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E21316" w:rsidRDefault="00685E53" w:rsidP="00214C18">
            <w:pPr>
              <w:rPr>
                <w:lang w:val="en-CA"/>
              </w:rPr>
            </w:pPr>
            <w:r>
              <w:fldChar w:fldCharType="begin"/>
            </w:r>
            <w:r>
              <w:instrText xml:space="preserve"> DOCPROPERTY "Document number"  \* MERGEFORMAT </w:instrText>
            </w:r>
            <w:r>
              <w:fldChar w:fldCharType="separate"/>
            </w:r>
            <w:r w:rsidR="00AB2F77">
              <w:t>UNEP/</w:t>
            </w:r>
            <w:proofErr w:type="spellStart"/>
            <w:r w:rsidR="00AB2F77">
              <w:t>OzL.Pro</w:t>
            </w:r>
            <w:proofErr w:type="spellEnd"/>
            <w:r w:rsidR="00AB2F77">
              <w:t>/</w:t>
            </w:r>
            <w:proofErr w:type="spellStart"/>
            <w:r w:rsidR="00AB2F77">
              <w:t>ExCom</w:t>
            </w:r>
            <w:proofErr w:type="spellEnd"/>
            <w:r w:rsidR="00AB2F77">
              <w:t>/84/43</w:t>
            </w:r>
            <w:r>
              <w:fldChar w:fldCharType="end"/>
            </w:r>
            <w:r w:rsidR="001B1C02" w:rsidRPr="0011020F">
              <w:rPr>
                <w:lang w:val="en-CA"/>
              </w:rPr>
              <w:br/>
            </w:r>
            <w:r w:rsidR="001B1C02">
              <w:rPr>
                <w:lang w:val="en-CA"/>
              </w:rPr>
              <w:t>22 November 2019</w:t>
            </w:r>
          </w:p>
          <w:p w:rsidR="00AB2F77" w:rsidRDefault="00AB2F77" w:rsidP="00AB2F77"/>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Pr="00F61C43" w:rsidRDefault="00E1360E">
            <w:pPr>
              <w:pStyle w:val="Heading4"/>
              <w:numPr>
                <w:ilvl w:val="0"/>
                <w:numId w:val="0"/>
              </w:numPr>
              <w:spacing w:before="0" w:after="0"/>
              <w:ind w:right="459"/>
              <w:jc w:val="right"/>
              <w:rPr>
                <w:rFonts w:cs="Arabic Transparent"/>
                <w:bCs/>
                <w:sz w:val="52"/>
                <w:szCs w:val="52"/>
                <w:lang w:val="en-US"/>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BD028E" w:rsidRDefault="00BD028E" w:rsidP="00BD028E">
      <w:pPr>
        <w:pStyle w:val="Caption"/>
        <w:ind w:left="0" w:right="180"/>
        <w:jc w:val="both"/>
        <w:rPr>
          <w:rFonts w:cs="Arabic Transparent"/>
          <w:b/>
          <w:bCs/>
          <w:sz w:val="28"/>
          <w:szCs w:val="28"/>
          <w:rtl/>
        </w:rPr>
      </w:pPr>
      <w:bookmarkStart w:id="0" w:name="_Hlk7529271"/>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BD028E" w:rsidRDefault="00BD028E" w:rsidP="00BD028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BD028E" w:rsidRDefault="00BD028E" w:rsidP="00BD028E">
      <w:pPr>
        <w:bidi/>
        <w:ind w:left="4"/>
        <w:jc w:val="lowKashida"/>
        <w:rPr>
          <w:sz w:val="28"/>
          <w:szCs w:val="28"/>
          <w:rtl/>
          <w:lang w:val="en-US" w:eastAsia="en-CA"/>
        </w:rPr>
      </w:pPr>
      <w:r>
        <w:rPr>
          <w:sz w:val="28"/>
          <w:szCs w:val="28"/>
          <w:rtl/>
          <w:lang w:val="en-US" w:eastAsia="en-CA"/>
        </w:rPr>
        <w:t xml:space="preserve">الاجتمــــــاع </w:t>
      </w:r>
      <w:r w:rsidR="00EF729B">
        <w:rPr>
          <w:rFonts w:hint="cs"/>
          <w:sz w:val="28"/>
          <w:szCs w:val="28"/>
          <w:rtl/>
          <w:lang w:val="en-US" w:eastAsia="en-CA" w:bidi="ar-EG"/>
        </w:rPr>
        <w:t>الرابع</w:t>
      </w:r>
      <w:r>
        <w:rPr>
          <w:rFonts w:hint="cs"/>
          <w:sz w:val="28"/>
          <w:szCs w:val="28"/>
          <w:rtl/>
          <w:lang w:val="en-US" w:eastAsia="en-CA"/>
        </w:rPr>
        <w:t xml:space="preserve"> والثمانون</w:t>
      </w:r>
    </w:p>
    <w:p w:rsidR="00BD028E" w:rsidRDefault="00BD028E" w:rsidP="00BD028E">
      <w:pPr>
        <w:pStyle w:val="0Heading0"/>
        <w:bidi/>
        <w:ind w:left="4"/>
        <w:rPr>
          <w:rFonts w:asciiTheme="majorBidi" w:hAnsiTheme="majorBidi" w:cstheme="majorBidi"/>
          <w:sz w:val="26"/>
          <w:szCs w:val="26"/>
          <w:lang w:bidi="ar-SY"/>
        </w:rPr>
      </w:pPr>
      <w:r>
        <w:rPr>
          <w:rFonts w:hint="cs"/>
          <w:sz w:val="28"/>
          <w:szCs w:val="28"/>
          <w:rtl/>
        </w:rPr>
        <w:t>مونتريال</w:t>
      </w:r>
      <w:r>
        <w:rPr>
          <w:sz w:val="28"/>
          <w:szCs w:val="28"/>
          <w:rtl/>
        </w:rPr>
        <w:t>،</w:t>
      </w:r>
      <w:r>
        <w:rPr>
          <w:rFonts w:hint="cs"/>
          <w:sz w:val="28"/>
          <w:szCs w:val="28"/>
          <w:rtl/>
        </w:rPr>
        <w:t xml:space="preserve"> من </w:t>
      </w:r>
      <w:r w:rsidR="00502457">
        <w:rPr>
          <w:rFonts w:hint="cs"/>
          <w:sz w:val="28"/>
          <w:szCs w:val="28"/>
          <w:rtl/>
        </w:rPr>
        <w:t>16</w:t>
      </w:r>
      <w:r>
        <w:rPr>
          <w:rFonts w:hint="cs"/>
          <w:sz w:val="28"/>
          <w:szCs w:val="28"/>
          <w:rtl/>
        </w:rPr>
        <w:t xml:space="preserve"> إلى</w:t>
      </w:r>
      <w:r w:rsidR="00502457">
        <w:rPr>
          <w:rFonts w:hint="cs"/>
          <w:sz w:val="28"/>
          <w:szCs w:val="28"/>
          <w:rtl/>
        </w:rPr>
        <w:t xml:space="preserve"> 20 ديسمبر/كانون الأول 2019</w:t>
      </w:r>
    </w:p>
    <w:p w:rsidR="00BD028E" w:rsidRDefault="00BD028E" w:rsidP="00BD028E">
      <w:pPr>
        <w:pStyle w:val="0Heading0"/>
        <w:bidi/>
        <w:ind w:left="4"/>
        <w:rPr>
          <w:rFonts w:cs="Arabic Transparent"/>
          <w:sz w:val="28"/>
          <w:szCs w:val="28"/>
          <w:lang w:bidi="ar-DZ"/>
        </w:rPr>
      </w:pPr>
    </w:p>
    <w:p w:rsidR="00AB2F77" w:rsidRDefault="00AB2F77" w:rsidP="00AB2F77">
      <w:pPr>
        <w:pStyle w:val="StyleHeader4Para4Left0Firstline0"/>
        <w:numPr>
          <w:ilvl w:val="0"/>
          <w:numId w:val="0"/>
        </w:numPr>
        <w:bidi/>
        <w:jc w:val="center"/>
        <w:rPr>
          <w:b/>
          <w:bCs/>
          <w:sz w:val="32"/>
          <w:szCs w:val="32"/>
          <w:lang w:bidi="ar-SA"/>
        </w:rPr>
      </w:pPr>
    </w:p>
    <w:p w:rsidR="00BD028E" w:rsidRDefault="00BD028E" w:rsidP="00AB2F77">
      <w:pPr>
        <w:pStyle w:val="StyleHeader4Para4Left0Firstline0"/>
        <w:numPr>
          <w:ilvl w:val="0"/>
          <w:numId w:val="0"/>
        </w:numPr>
        <w:bidi/>
        <w:jc w:val="center"/>
        <w:rPr>
          <w:b/>
          <w:bCs/>
          <w:sz w:val="32"/>
          <w:szCs w:val="32"/>
          <w:lang w:bidi="ar-EG"/>
        </w:rPr>
      </w:pPr>
      <w:r w:rsidRPr="00AB2F77">
        <w:rPr>
          <w:rFonts w:hint="cs"/>
          <w:b/>
          <w:bCs/>
          <w:sz w:val="32"/>
          <w:szCs w:val="32"/>
          <w:rtl/>
          <w:lang w:bidi="ar-SA"/>
        </w:rPr>
        <w:t xml:space="preserve">مقترح مشروع: </w:t>
      </w:r>
      <w:r w:rsidR="001B1C02" w:rsidRPr="00AB2F77">
        <w:rPr>
          <w:rFonts w:hint="cs"/>
          <w:b/>
          <w:bCs/>
          <w:sz w:val="32"/>
          <w:szCs w:val="32"/>
          <w:rtl/>
          <w:lang w:bidi="ar-EG"/>
        </w:rPr>
        <w:t>كولومبيا</w:t>
      </w:r>
    </w:p>
    <w:p w:rsidR="00AB2F77" w:rsidRPr="00AB2F77" w:rsidRDefault="00AB2F77" w:rsidP="00AB2F77">
      <w:pPr>
        <w:pStyle w:val="StyleHeader4Para4Left0Firstline0"/>
        <w:numPr>
          <w:ilvl w:val="0"/>
          <w:numId w:val="0"/>
        </w:numPr>
        <w:bidi/>
        <w:jc w:val="center"/>
        <w:rPr>
          <w:b/>
          <w:bCs/>
          <w:sz w:val="14"/>
          <w:szCs w:val="14"/>
          <w:rtl/>
          <w:lang w:val="en-US" w:bidi="ar-EG"/>
        </w:rPr>
      </w:pPr>
    </w:p>
    <w:p w:rsidR="00BD028E" w:rsidRPr="00AB2F77" w:rsidRDefault="00BD028E" w:rsidP="00AB2F77">
      <w:pPr>
        <w:pStyle w:val="StyleHeader4Para4Left0Firstline0"/>
        <w:numPr>
          <w:ilvl w:val="0"/>
          <w:numId w:val="0"/>
        </w:numPr>
        <w:bidi/>
        <w:rPr>
          <w:sz w:val="26"/>
          <w:szCs w:val="26"/>
          <w:rtl/>
          <w:lang w:bidi="ar-SA"/>
        </w:rPr>
      </w:pPr>
      <w:r w:rsidRPr="00AB2F77">
        <w:rPr>
          <w:rFonts w:hint="cs"/>
          <w:sz w:val="26"/>
          <w:szCs w:val="26"/>
          <w:rtl/>
          <w:lang w:bidi="ar-SA"/>
        </w:rPr>
        <w:t xml:space="preserve">تتألف هذه الوثيقة من تعليقات وتوصية الأمانة بشأن مقترح المشروع التالي: </w:t>
      </w:r>
    </w:p>
    <w:p w:rsidR="00BD028E" w:rsidRPr="00AB2F77" w:rsidRDefault="00BD028E" w:rsidP="00BD028E">
      <w:pPr>
        <w:pStyle w:val="StyleHeader4Para4Left0Firstline0"/>
        <w:numPr>
          <w:ilvl w:val="0"/>
          <w:numId w:val="0"/>
        </w:numPr>
        <w:bidi/>
        <w:rPr>
          <w:sz w:val="26"/>
          <w:szCs w:val="26"/>
          <w:u w:val="single"/>
          <w:rtl/>
          <w:lang w:bidi="ar-SA"/>
        </w:rPr>
      </w:pPr>
      <w:r w:rsidRPr="00AB2F77">
        <w:rPr>
          <w:rFonts w:hint="cs"/>
          <w:sz w:val="26"/>
          <w:szCs w:val="26"/>
          <w:u w:val="single"/>
          <w:rtl/>
          <w:lang w:bidi="ar-EG"/>
        </w:rPr>
        <w:t>الإزالة</w:t>
      </w:r>
    </w:p>
    <w:tbl>
      <w:tblPr>
        <w:tblStyle w:val="TableGrid"/>
        <w:bidiVisual/>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0"/>
        <w:gridCol w:w="2066"/>
      </w:tblGrid>
      <w:tr w:rsidR="00EB6EDC" w:rsidRPr="00AB2F77" w:rsidTr="006C4AD0">
        <w:tc>
          <w:tcPr>
            <w:tcW w:w="7550" w:type="dxa"/>
          </w:tcPr>
          <w:p w:rsidR="00B70DF5" w:rsidRPr="00AB2F77" w:rsidRDefault="00DB721A" w:rsidP="0041204A">
            <w:pPr>
              <w:pStyle w:val="StyleHeader4Para4Left0Firstline0"/>
              <w:numPr>
                <w:ilvl w:val="0"/>
                <w:numId w:val="23"/>
              </w:numPr>
              <w:bidi/>
              <w:rPr>
                <w:sz w:val="26"/>
                <w:szCs w:val="26"/>
                <w:rtl/>
                <w:lang w:bidi="ar-SA"/>
              </w:rPr>
            </w:pPr>
            <w:r w:rsidRPr="00AB2F77">
              <w:rPr>
                <w:rFonts w:hint="cs"/>
                <w:sz w:val="26"/>
                <w:szCs w:val="26"/>
                <w:rtl/>
                <w:lang w:bidi="ar-SA"/>
              </w:rPr>
              <w:t xml:space="preserve">خطة إدارة إزالة المواد الهيدروكلوروفلوروكربونية (المرحلة </w:t>
            </w:r>
            <w:r w:rsidR="00E21316" w:rsidRPr="00AB2F77">
              <w:rPr>
                <w:rFonts w:hint="cs"/>
                <w:sz w:val="26"/>
                <w:szCs w:val="26"/>
                <w:rtl/>
                <w:lang w:bidi="ar-SA"/>
              </w:rPr>
              <w:t>الثانية</w:t>
            </w:r>
            <w:r w:rsidRPr="00AB2F77">
              <w:rPr>
                <w:rFonts w:hint="cs"/>
                <w:sz w:val="26"/>
                <w:szCs w:val="26"/>
                <w:rtl/>
                <w:lang w:bidi="ar-SA"/>
              </w:rPr>
              <w:t xml:space="preserve">، </w:t>
            </w:r>
            <w:r w:rsidR="00502457" w:rsidRPr="00AB2F77">
              <w:rPr>
                <w:rFonts w:hint="cs"/>
                <w:sz w:val="26"/>
                <w:szCs w:val="26"/>
                <w:rtl/>
                <w:lang w:bidi="ar-SA"/>
              </w:rPr>
              <w:t xml:space="preserve">الشريحة </w:t>
            </w:r>
            <w:r w:rsidR="001B1C02" w:rsidRPr="00AB2F77">
              <w:rPr>
                <w:rFonts w:hint="cs"/>
                <w:sz w:val="26"/>
                <w:szCs w:val="26"/>
                <w:rtl/>
                <w:lang w:bidi="ar-EG"/>
              </w:rPr>
              <w:t>الثالثة</w:t>
            </w:r>
            <w:r w:rsidRPr="00AB2F77">
              <w:rPr>
                <w:rFonts w:hint="cs"/>
                <w:sz w:val="26"/>
                <w:szCs w:val="26"/>
                <w:rtl/>
                <w:lang w:bidi="ar-SA"/>
              </w:rPr>
              <w:t>)</w:t>
            </w:r>
          </w:p>
        </w:tc>
        <w:tc>
          <w:tcPr>
            <w:tcW w:w="2066" w:type="dxa"/>
          </w:tcPr>
          <w:p w:rsidR="00EB6EDC" w:rsidRPr="00AB2F77" w:rsidRDefault="001B1C02" w:rsidP="001A2DFA">
            <w:pPr>
              <w:pStyle w:val="StyleHeader4Para4Left0Firstline0"/>
              <w:numPr>
                <w:ilvl w:val="0"/>
                <w:numId w:val="0"/>
              </w:numPr>
              <w:bidi/>
              <w:jc w:val="right"/>
              <w:rPr>
                <w:sz w:val="26"/>
                <w:szCs w:val="26"/>
                <w:lang w:val="en-US" w:bidi="ar-EG"/>
              </w:rPr>
            </w:pPr>
            <w:r w:rsidRPr="00AB2F77">
              <w:rPr>
                <w:rFonts w:hint="cs"/>
                <w:sz w:val="26"/>
                <w:szCs w:val="26"/>
                <w:rtl/>
                <w:lang w:bidi="ar-SA"/>
              </w:rPr>
              <w:t>يوئنديبي، يونيب وحكومة ألمانيا</w:t>
            </w:r>
          </w:p>
        </w:tc>
      </w:tr>
    </w:tbl>
    <w:p w:rsidR="00EB6EDC" w:rsidRPr="00AB2F77" w:rsidRDefault="00EB6EDC" w:rsidP="00EB6EDC">
      <w:pPr>
        <w:pStyle w:val="StyleHeader4Para4Left0Firstline0"/>
        <w:numPr>
          <w:ilvl w:val="0"/>
          <w:numId w:val="0"/>
        </w:numPr>
        <w:bidi/>
        <w:rPr>
          <w:sz w:val="26"/>
          <w:szCs w:val="26"/>
          <w:rtl/>
          <w:lang w:bidi="ar-SA"/>
        </w:rPr>
      </w:pPr>
    </w:p>
    <w:bookmarkEnd w:id="0"/>
    <w:p w:rsidR="007E39FA" w:rsidRDefault="007E39FA" w:rsidP="00010740">
      <w:pPr>
        <w:pStyle w:val="StyleHeader4Para4Left0Firstline0"/>
        <w:numPr>
          <w:ilvl w:val="0"/>
          <w:numId w:val="0"/>
        </w:numPr>
        <w:bidi/>
        <w:spacing w:after="0"/>
        <w:jc w:val="center"/>
        <w:rPr>
          <w:b/>
          <w:bCs/>
          <w:sz w:val="28"/>
          <w:szCs w:val="28"/>
          <w:rtl/>
          <w:lang w:bidi="ar-SA"/>
        </w:rPr>
      </w:pPr>
    </w:p>
    <w:p w:rsidR="007E39FA" w:rsidRDefault="007E39FA" w:rsidP="007E39FA">
      <w:pPr>
        <w:pStyle w:val="StyleHeader4Para4Left0Firstline0"/>
        <w:numPr>
          <w:ilvl w:val="0"/>
          <w:numId w:val="0"/>
        </w:numPr>
        <w:bidi/>
        <w:spacing w:after="0"/>
        <w:jc w:val="center"/>
        <w:rPr>
          <w:sz w:val="24"/>
          <w:rtl/>
        </w:rPr>
      </w:pPr>
    </w:p>
    <w:p w:rsidR="00DB721A" w:rsidRDefault="009969EA">
      <w:pPr>
        <w:jc w:val="left"/>
        <w:rPr>
          <w:b/>
          <w:bCs/>
          <w:sz w:val="28"/>
          <w:szCs w:val="28"/>
          <w:rtl/>
          <w:lang w:bidi="ar-SA"/>
        </w:rPr>
      </w:pPr>
      <w:r w:rsidRPr="00B70DF5">
        <w:rPr>
          <w:noProof/>
          <w:sz w:val="26"/>
          <w:szCs w:val="26"/>
          <w:lang w:val="en-CA" w:eastAsia="en-CA" w:bidi="ar-SA"/>
        </w:rPr>
        <mc:AlternateContent>
          <mc:Choice Requires="wps">
            <w:drawing>
              <wp:anchor distT="0" distB="0" distL="114300" distR="114300" simplePos="0" relativeHeight="251662336" behindDoc="0" locked="0" layoutInCell="1" allowOverlap="1" wp14:anchorId="1950F7B0" wp14:editId="523AE591">
                <wp:simplePos x="0" y="0"/>
                <wp:positionH relativeFrom="margin">
                  <wp:posOffset>88488</wp:posOffset>
                </wp:positionH>
                <wp:positionV relativeFrom="page">
                  <wp:posOffset>9154795</wp:posOffset>
                </wp:positionV>
                <wp:extent cx="5774055" cy="421640"/>
                <wp:effectExtent l="0" t="0" r="17145" b="16510"/>
                <wp:wrapThrough wrapText="bothSides">
                  <wp:wrapPolygon edited="0">
                    <wp:start x="0" y="0"/>
                    <wp:lineTo x="0" y="21470"/>
                    <wp:lineTo x="21593" y="21470"/>
                    <wp:lineTo x="2159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21640"/>
                        </a:xfrm>
                        <a:prstGeom prst="rect">
                          <a:avLst/>
                        </a:prstGeom>
                        <a:solidFill>
                          <a:srgbClr val="FFFFFF"/>
                        </a:solidFill>
                        <a:ln w="9525">
                          <a:solidFill>
                            <a:srgbClr val="000000"/>
                          </a:solidFill>
                          <a:miter lim="800000"/>
                          <a:headEnd/>
                          <a:tailEnd/>
                        </a:ln>
                      </wps:spPr>
                      <wps:txbx>
                        <w:txbxContent>
                          <w:p w:rsidR="003F65B2" w:rsidRDefault="003F65B2" w:rsidP="007E39FA">
                            <w:pPr>
                              <w:jc w:val="center"/>
                              <w:rPr>
                                <w:rtl/>
                              </w:rPr>
                            </w:pPr>
                            <w:r>
                              <w:rPr>
                                <w:rtl/>
                              </w:rPr>
                              <w:t>إن وثائق ما قبل دورات اللجنة التنفيذية للصندوق المتعدد الأطراف لتنفيذ بروتوكول مونتريال</w:t>
                            </w:r>
                          </w:p>
                          <w:p w:rsidR="003F65B2" w:rsidRDefault="003F65B2" w:rsidP="007E39FA">
                            <w:pPr>
                              <w:bidi/>
                              <w:jc w:val="center"/>
                            </w:pPr>
                            <w:r>
                              <w:rPr>
                                <w:rtl/>
                              </w:rPr>
                              <w:t>قد تصدر دون إخلال بأي قرار تتخذه اللجنة التنفيذية بعد صدورها</w:t>
                            </w:r>
                            <w:r>
                              <w:t>.</w:t>
                            </w:r>
                          </w:p>
                        </w:txbxContent>
                      </wps:txbx>
                      <wps:bodyPr rot="0" vert="horz" wrap="square" lIns="91440" tIns="45720" rIns="91440" bIns="4572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50F7B0" id="_x0000_t202" coordsize="21600,21600" o:spt="202" path="m,l,21600r21600,l21600,xe">
                <v:stroke joinstyle="miter"/>
                <v:path gradientshapeok="t" o:connecttype="rect"/>
              </v:shapetype>
              <v:shape id="Text Box 2" o:spid="_x0000_s1026" type="#_x0000_t202" style="position:absolute;margin-left:6.95pt;margin-top:720.85pt;width:454.65pt;height:33.2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5eIwIAAEY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">
                <v:textbox style="mso-fit-shape-to-text:t">
                  <w:txbxContent>
                    <w:p w:rsidR="003F65B2" w:rsidRDefault="003F65B2" w:rsidP="007E39FA">
                      <w:pPr>
                        <w:jc w:val="center"/>
                        <w:rPr>
                          <w:rtl/>
                        </w:rPr>
                      </w:pPr>
                      <w:r>
                        <w:rPr>
                          <w:rtl/>
                        </w:rPr>
                        <w:t>إن وثائق ما قبل دورات اللجنة التنفيذية للصندوق المتعدد الأطراف لتنفيذ بروتوكول مونتريال</w:t>
                      </w:r>
                    </w:p>
                    <w:p w:rsidR="003F65B2" w:rsidRDefault="003F65B2" w:rsidP="007E39FA">
                      <w:pPr>
                        <w:bidi/>
                        <w:jc w:val="center"/>
                      </w:pPr>
                      <w:r>
                        <w:rPr>
                          <w:rtl/>
                        </w:rPr>
                        <w:t>قد تصدر دون إخلال بأي قرار تتخذه اللجنة التنفيذية بعد صدورها</w:t>
                      </w:r>
                      <w:r>
                        <w:t>.</w:t>
                      </w:r>
                    </w:p>
                  </w:txbxContent>
                </v:textbox>
                <w10:wrap type="through" anchorx="margin" anchory="page"/>
              </v:shape>
            </w:pict>
          </mc:Fallback>
        </mc:AlternateContent>
      </w:r>
      <w:r w:rsidR="00DB721A">
        <w:rPr>
          <w:b/>
          <w:bCs/>
          <w:sz w:val="28"/>
          <w:szCs w:val="28"/>
          <w:rtl/>
          <w:lang w:bidi="ar-SA"/>
        </w:rPr>
        <w:br w:type="page"/>
      </w:r>
    </w:p>
    <w:p w:rsidR="00C31215" w:rsidRDefault="00C31215" w:rsidP="00C31215">
      <w:pPr>
        <w:pStyle w:val="StyleHeader4Para4Left0Firstline0"/>
        <w:numPr>
          <w:ilvl w:val="0"/>
          <w:numId w:val="0"/>
        </w:numPr>
        <w:bidi/>
        <w:spacing w:after="0"/>
        <w:jc w:val="center"/>
        <w:rPr>
          <w:b/>
          <w:bCs/>
          <w:sz w:val="28"/>
          <w:szCs w:val="28"/>
          <w:rtl/>
          <w:lang w:bidi="ar-EG"/>
        </w:rPr>
      </w:pPr>
      <w:r w:rsidRPr="00010740">
        <w:rPr>
          <w:rFonts w:hint="cs"/>
          <w:b/>
          <w:bCs/>
          <w:sz w:val="28"/>
          <w:szCs w:val="28"/>
          <w:rtl/>
          <w:lang w:bidi="ar-SA"/>
        </w:rPr>
        <w:lastRenderedPageBreak/>
        <w:t xml:space="preserve">ورقة تقييم المشروع </w:t>
      </w:r>
      <w:r w:rsidRPr="00010740">
        <w:rPr>
          <w:b/>
          <w:bCs/>
          <w:sz w:val="28"/>
          <w:szCs w:val="28"/>
          <w:rtl/>
          <w:lang w:bidi="ar-SA"/>
        </w:rPr>
        <w:t>–</w:t>
      </w:r>
      <w:r w:rsidRPr="00010740">
        <w:rPr>
          <w:rFonts w:hint="cs"/>
          <w:b/>
          <w:bCs/>
          <w:sz w:val="28"/>
          <w:szCs w:val="28"/>
          <w:rtl/>
          <w:lang w:bidi="ar-SA"/>
        </w:rPr>
        <w:t xml:space="preserve"> </w:t>
      </w:r>
      <w:r>
        <w:rPr>
          <w:rFonts w:hint="cs"/>
          <w:b/>
          <w:bCs/>
          <w:sz w:val="28"/>
          <w:szCs w:val="28"/>
          <w:rtl/>
          <w:lang w:bidi="ar-EG"/>
        </w:rPr>
        <w:t>مشروعات متعددة السنوات</w:t>
      </w:r>
    </w:p>
    <w:p w:rsidR="00C31215" w:rsidRPr="000B3FC8" w:rsidRDefault="001B1C02" w:rsidP="00C31215">
      <w:pPr>
        <w:bidi/>
        <w:jc w:val="center"/>
        <w:rPr>
          <w:b/>
          <w:bCs/>
          <w:sz w:val="28"/>
          <w:szCs w:val="28"/>
          <w:rtl/>
          <w:lang w:val="en-US" w:bidi="ar-EG"/>
        </w:rPr>
      </w:pPr>
      <w:r>
        <w:rPr>
          <w:rFonts w:hint="cs"/>
          <w:b/>
          <w:bCs/>
          <w:sz w:val="28"/>
          <w:szCs w:val="28"/>
          <w:rtl/>
          <w:lang w:bidi="ar-EG"/>
        </w:rPr>
        <w:t>كولومبيا</w:t>
      </w:r>
    </w:p>
    <w:p w:rsidR="00C31215" w:rsidRPr="008769F2" w:rsidRDefault="00C31215" w:rsidP="00C31215">
      <w:pPr>
        <w:bidi/>
        <w:jc w:val="center"/>
        <w:rPr>
          <w:lang w:val="en-CA"/>
        </w:rPr>
      </w:pPr>
    </w:p>
    <w:tbl>
      <w:tblPr>
        <w:tblStyle w:val="TableGrid"/>
        <w:bidiVisual/>
        <w:tblW w:w="1018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94"/>
        <w:gridCol w:w="5094"/>
      </w:tblGrid>
      <w:tr w:rsidR="001B1C02" w:rsidRPr="00436E4A" w:rsidTr="001B1C02">
        <w:trPr>
          <w:trHeight w:val="240"/>
          <w:jc w:val="center"/>
        </w:trPr>
        <w:tc>
          <w:tcPr>
            <w:tcW w:w="5094" w:type="dxa"/>
            <w:shd w:val="clear" w:color="auto" w:fill="auto"/>
          </w:tcPr>
          <w:p w:rsidR="001B1C02" w:rsidRPr="00436E4A" w:rsidRDefault="001B1C02" w:rsidP="00AD39A6">
            <w:pPr>
              <w:bidi/>
              <w:spacing w:after="80"/>
              <w:jc w:val="left"/>
              <w:rPr>
                <w:bCs/>
                <w:sz w:val="18"/>
                <w:szCs w:val="18"/>
                <w:lang w:val="en-CA"/>
              </w:rPr>
            </w:pPr>
            <w:r w:rsidRPr="00436E4A">
              <w:rPr>
                <w:rFonts w:hint="cs"/>
                <w:bCs/>
                <w:sz w:val="18"/>
                <w:szCs w:val="18"/>
                <w:rtl/>
                <w:lang w:val="en-CA"/>
              </w:rPr>
              <w:t>(</w:t>
            </w:r>
            <w:r w:rsidR="00AD39A6">
              <w:rPr>
                <w:rFonts w:hint="cs"/>
                <w:bCs/>
                <w:sz w:val="18"/>
                <w:szCs w:val="18"/>
                <w:rtl/>
                <w:lang w:val="en-CA"/>
              </w:rPr>
              <w:t>أولا</w:t>
            </w:r>
            <w:r w:rsidRPr="00436E4A">
              <w:rPr>
                <w:rFonts w:hint="cs"/>
                <w:bCs/>
                <w:sz w:val="18"/>
                <w:szCs w:val="18"/>
                <w:rtl/>
                <w:lang w:val="en-CA"/>
              </w:rPr>
              <w:t>) عنوان المشروع</w:t>
            </w:r>
          </w:p>
        </w:tc>
        <w:tc>
          <w:tcPr>
            <w:tcW w:w="5094" w:type="dxa"/>
            <w:shd w:val="clear" w:color="auto" w:fill="auto"/>
          </w:tcPr>
          <w:p w:rsidR="001B1C02" w:rsidRPr="00436E4A" w:rsidRDefault="001B1C02" w:rsidP="008E7B3D">
            <w:pPr>
              <w:bidi/>
              <w:spacing w:after="80"/>
              <w:jc w:val="center"/>
              <w:rPr>
                <w:bCs/>
                <w:sz w:val="18"/>
                <w:szCs w:val="18"/>
                <w:lang w:val="en-CA"/>
              </w:rPr>
            </w:pPr>
            <w:r w:rsidRPr="00436E4A">
              <w:rPr>
                <w:rFonts w:hint="cs"/>
                <w:bCs/>
                <w:sz w:val="18"/>
                <w:szCs w:val="18"/>
                <w:rtl/>
                <w:lang w:val="en-CA"/>
              </w:rPr>
              <w:t>الوكالة</w:t>
            </w:r>
          </w:p>
        </w:tc>
      </w:tr>
      <w:tr w:rsidR="001B1C02" w:rsidRPr="00436E4A" w:rsidTr="001B1C02">
        <w:trPr>
          <w:trHeight w:val="240"/>
          <w:jc w:val="center"/>
        </w:trPr>
        <w:tc>
          <w:tcPr>
            <w:tcW w:w="5094" w:type="dxa"/>
            <w:shd w:val="clear" w:color="auto" w:fill="auto"/>
          </w:tcPr>
          <w:p w:rsidR="001B1C02" w:rsidRDefault="001B1C02" w:rsidP="008E7B3D">
            <w:pPr>
              <w:bidi/>
              <w:spacing w:after="80"/>
              <w:jc w:val="center"/>
              <w:rPr>
                <w:sz w:val="18"/>
                <w:szCs w:val="18"/>
                <w:rtl/>
                <w:lang w:val="en-CA"/>
              </w:rPr>
            </w:pPr>
            <w:r w:rsidRPr="00436E4A">
              <w:rPr>
                <w:rFonts w:hint="cs"/>
                <w:sz w:val="18"/>
                <w:szCs w:val="18"/>
                <w:rtl/>
                <w:lang w:val="en-CA"/>
              </w:rPr>
              <w:t>خطة إزالة المواد الهيدروكلوروفلوروكربونية</w:t>
            </w:r>
          </w:p>
          <w:p w:rsidR="001B1C02" w:rsidRPr="00436E4A" w:rsidRDefault="001B1C02" w:rsidP="008E7B3D">
            <w:pPr>
              <w:bidi/>
              <w:spacing w:after="80"/>
              <w:jc w:val="center"/>
              <w:rPr>
                <w:sz w:val="18"/>
                <w:szCs w:val="18"/>
                <w:lang w:val="en-CA"/>
              </w:rPr>
            </w:pPr>
            <w:r w:rsidRPr="00436E4A">
              <w:rPr>
                <w:rFonts w:hint="cs"/>
                <w:sz w:val="18"/>
                <w:szCs w:val="18"/>
                <w:rtl/>
                <w:lang w:val="en-CA"/>
              </w:rPr>
              <w:t xml:space="preserve">(المرحلة </w:t>
            </w:r>
            <w:r>
              <w:rPr>
                <w:rFonts w:hint="cs"/>
                <w:sz w:val="18"/>
                <w:szCs w:val="18"/>
                <w:rtl/>
                <w:lang w:val="en-CA"/>
              </w:rPr>
              <w:t>الثانية</w:t>
            </w:r>
            <w:r w:rsidRPr="00436E4A">
              <w:rPr>
                <w:rFonts w:hint="cs"/>
                <w:sz w:val="18"/>
                <w:szCs w:val="18"/>
                <w:rtl/>
                <w:lang w:val="en-CA"/>
              </w:rPr>
              <w:t>)</w:t>
            </w:r>
          </w:p>
        </w:tc>
        <w:tc>
          <w:tcPr>
            <w:tcW w:w="5094" w:type="dxa"/>
            <w:shd w:val="clear" w:color="auto" w:fill="auto"/>
          </w:tcPr>
          <w:p w:rsidR="001B1C02" w:rsidRPr="00436E4A" w:rsidRDefault="001B1C02" w:rsidP="001B1C02">
            <w:pPr>
              <w:bidi/>
              <w:spacing w:after="80"/>
              <w:jc w:val="center"/>
              <w:rPr>
                <w:sz w:val="18"/>
                <w:szCs w:val="18"/>
                <w:lang w:val="en-CA"/>
              </w:rPr>
            </w:pPr>
            <w:r>
              <w:rPr>
                <w:rFonts w:hint="cs"/>
                <w:sz w:val="18"/>
                <w:szCs w:val="18"/>
                <w:rtl/>
                <w:lang w:val="en-CA" w:bidi="ar-EG"/>
              </w:rPr>
              <w:t>يوئنديبي (رئيسية)، يونيب، ألمانيا</w:t>
            </w:r>
          </w:p>
        </w:tc>
      </w:tr>
    </w:tbl>
    <w:p w:rsidR="00C31215" w:rsidRPr="00214C18" w:rsidRDefault="00C31215" w:rsidP="00C31215">
      <w:pPr>
        <w:spacing w:after="60"/>
        <w:jc w:val="center"/>
        <w:rPr>
          <w:sz w:val="10"/>
          <w:szCs w:val="10"/>
          <w:lang w:val="en-CA"/>
        </w:rPr>
      </w:pPr>
    </w:p>
    <w:tbl>
      <w:tblPr>
        <w:tblStyle w:val="TableGrid"/>
        <w:bidiVisual/>
        <w:tblW w:w="10352" w:type="dxa"/>
        <w:tblInd w:w="-5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47"/>
        <w:gridCol w:w="1800"/>
        <w:gridCol w:w="3605"/>
      </w:tblGrid>
      <w:tr w:rsidR="00C31215" w:rsidRPr="00436E4A" w:rsidTr="00034DD8">
        <w:trPr>
          <w:trHeight w:val="240"/>
        </w:trPr>
        <w:tc>
          <w:tcPr>
            <w:tcW w:w="4947" w:type="dxa"/>
            <w:shd w:val="clear" w:color="auto" w:fill="auto"/>
          </w:tcPr>
          <w:p w:rsidR="00C31215" w:rsidRPr="00436E4A" w:rsidRDefault="00523882" w:rsidP="00AD39A6">
            <w:pPr>
              <w:bidi/>
              <w:spacing w:after="60"/>
              <w:jc w:val="left"/>
              <w:rPr>
                <w:bCs/>
                <w:sz w:val="18"/>
                <w:szCs w:val="18"/>
                <w:lang w:val="en-CA"/>
              </w:rPr>
            </w:pPr>
            <w:r w:rsidRPr="00436E4A">
              <w:rPr>
                <w:rFonts w:hint="cs"/>
                <w:bCs/>
                <w:sz w:val="18"/>
                <w:szCs w:val="18"/>
                <w:rtl/>
                <w:lang w:val="en-CA"/>
              </w:rPr>
              <w:t>(</w:t>
            </w:r>
            <w:r w:rsidR="00AD39A6">
              <w:rPr>
                <w:rFonts w:hint="cs"/>
                <w:bCs/>
                <w:sz w:val="18"/>
                <w:szCs w:val="18"/>
                <w:rtl/>
                <w:lang w:val="en-CA"/>
              </w:rPr>
              <w:t>ثانيا</w:t>
            </w:r>
            <w:r w:rsidRPr="00436E4A">
              <w:rPr>
                <w:rFonts w:hint="cs"/>
                <w:bCs/>
                <w:sz w:val="18"/>
                <w:szCs w:val="18"/>
                <w:rtl/>
                <w:lang w:val="en-CA"/>
              </w:rPr>
              <w:t>) أحدث بيانات المادة 7 (المرفق جيم المجموعة الأولى)</w:t>
            </w:r>
          </w:p>
        </w:tc>
        <w:tc>
          <w:tcPr>
            <w:tcW w:w="1800" w:type="dxa"/>
            <w:shd w:val="clear" w:color="auto" w:fill="auto"/>
          </w:tcPr>
          <w:p w:rsidR="00C31215" w:rsidRPr="00436E4A" w:rsidRDefault="00523882" w:rsidP="00C31215">
            <w:pPr>
              <w:spacing w:after="60"/>
              <w:jc w:val="center"/>
              <w:rPr>
                <w:sz w:val="18"/>
                <w:szCs w:val="18"/>
                <w:lang w:val="en-CA" w:bidi="ar-EG"/>
              </w:rPr>
            </w:pPr>
            <w:r w:rsidRPr="00331595">
              <w:rPr>
                <w:rFonts w:hint="cs"/>
                <w:sz w:val="18"/>
                <w:szCs w:val="18"/>
                <w:rtl/>
                <w:lang w:val="en-CA"/>
              </w:rPr>
              <w:t>السنة</w:t>
            </w:r>
            <w:r w:rsidRPr="00436E4A">
              <w:rPr>
                <w:rFonts w:hint="cs"/>
                <w:sz w:val="18"/>
                <w:szCs w:val="18"/>
                <w:rtl/>
                <w:lang w:val="en-CA"/>
              </w:rPr>
              <w:t xml:space="preserve">: </w:t>
            </w:r>
            <w:r w:rsidR="00807BB6">
              <w:rPr>
                <w:rFonts w:hint="cs"/>
                <w:sz w:val="18"/>
                <w:szCs w:val="18"/>
                <w:rtl/>
                <w:lang w:val="en-CA" w:bidi="ar-EG"/>
              </w:rPr>
              <w:t>2018</w:t>
            </w:r>
          </w:p>
        </w:tc>
        <w:tc>
          <w:tcPr>
            <w:tcW w:w="3605" w:type="dxa"/>
            <w:shd w:val="clear" w:color="auto" w:fill="auto"/>
          </w:tcPr>
          <w:p w:rsidR="00C31215" w:rsidRPr="00436E4A" w:rsidRDefault="001B1C02" w:rsidP="000B3FC8">
            <w:pPr>
              <w:bidi/>
              <w:spacing w:after="60"/>
              <w:jc w:val="left"/>
              <w:rPr>
                <w:sz w:val="18"/>
                <w:szCs w:val="18"/>
                <w:lang w:val="en-CA"/>
              </w:rPr>
            </w:pPr>
            <w:r w:rsidRPr="0011020F">
              <w:rPr>
                <w:sz w:val="16"/>
                <w:szCs w:val="16"/>
                <w:lang w:val="en-CA"/>
              </w:rPr>
              <w:t xml:space="preserve">79.51 </w:t>
            </w:r>
            <w:r>
              <w:rPr>
                <w:rFonts w:hint="cs"/>
                <w:sz w:val="16"/>
                <w:szCs w:val="16"/>
                <w:rtl/>
                <w:lang w:val="en-CA"/>
              </w:rPr>
              <w:t xml:space="preserve"> </w:t>
            </w:r>
            <w:r w:rsidR="00523882" w:rsidRPr="00436E4A">
              <w:rPr>
                <w:rFonts w:hint="cs"/>
                <w:sz w:val="18"/>
                <w:szCs w:val="18"/>
                <w:rtl/>
                <w:lang w:val="en-CA"/>
              </w:rPr>
              <w:t>(طن من قدرات استنفاد الأوزون)</w:t>
            </w:r>
          </w:p>
        </w:tc>
      </w:tr>
    </w:tbl>
    <w:p w:rsidR="00C31215" w:rsidRPr="00214C18" w:rsidRDefault="00C31215" w:rsidP="00C31215">
      <w:pPr>
        <w:spacing w:after="60"/>
        <w:jc w:val="center"/>
        <w:rPr>
          <w:sz w:val="16"/>
          <w:szCs w:val="16"/>
          <w:rtl/>
          <w:lang w:val="en-CA"/>
        </w:rPr>
      </w:pPr>
    </w:p>
    <w:tbl>
      <w:tblPr>
        <w:tblStyle w:val="TableGrid"/>
        <w:bidiVisual/>
        <w:tblW w:w="5529" w:type="pct"/>
        <w:tblInd w:w="-47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75"/>
        <w:gridCol w:w="1107"/>
        <w:gridCol w:w="763"/>
        <w:gridCol w:w="670"/>
        <w:gridCol w:w="753"/>
        <w:gridCol w:w="711"/>
        <w:gridCol w:w="732"/>
        <w:gridCol w:w="622"/>
        <w:gridCol w:w="1005"/>
        <w:gridCol w:w="1501"/>
      </w:tblGrid>
      <w:tr w:rsidR="00436E4A" w:rsidRPr="003814E6" w:rsidTr="00323F33">
        <w:trPr>
          <w:trHeight w:val="240"/>
        </w:trPr>
        <w:tc>
          <w:tcPr>
            <w:tcW w:w="3788" w:type="pct"/>
            <w:gridSpan w:val="8"/>
            <w:shd w:val="clear" w:color="auto" w:fill="auto"/>
          </w:tcPr>
          <w:p w:rsidR="00436E4A" w:rsidRPr="0051140D" w:rsidRDefault="00436E4A" w:rsidP="00AD39A6">
            <w:pPr>
              <w:bidi/>
              <w:spacing w:after="60"/>
              <w:jc w:val="left"/>
              <w:rPr>
                <w:bCs/>
                <w:sz w:val="18"/>
                <w:szCs w:val="18"/>
                <w:lang w:val="en-US"/>
              </w:rPr>
            </w:pPr>
            <w:r w:rsidRPr="0051140D">
              <w:rPr>
                <w:rFonts w:hint="cs"/>
                <w:bCs/>
                <w:sz w:val="18"/>
                <w:szCs w:val="18"/>
                <w:rtl/>
                <w:lang w:val="en-US"/>
              </w:rPr>
              <w:t>(</w:t>
            </w:r>
            <w:r w:rsidR="00AD39A6">
              <w:rPr>
                <w:rFonts w:hint="cs"/>
                <w:bCs/>
                <w:sz w:val="18"/>
                <w:szCs w:val="18"/>
                <w:rtl/>
                <w:lang w:val="en-US"/>
              </w:rPr>
              <w:t>ثالثا</w:t>
            </w:r>
            <w:r w:rsidRPr="0051140D">
              <w:rPr>
                <w:rFonts w:hint="cs"/>
                <w:bCs/>
                <w:sz w:val="18"/>
                <w:szCs w:val="18"/>
                <w:rtl/>
                <w:lang w:val="en-US"/>
              </w:rPr>
              <w:t>) أحدث البيانات القطاعية للبرنامج القطري (طن من قدرات استنفاد الأوزون)</w:t>
            </w:r>
          </w:p>
        </w:tc>
        <w:tc>
          <w:tcPr>
            <w:tcW w:w="1212" w:type="pct"/>
            <w:gridSpan w:val="2"/>
            <w:shd w:val="clear" w:color="auto" w:fill="auto"/>
          </w:tcPr>
          <w:p w:rsidR="00436E4A" w:rsidRPr="0051140D" w:rsidRDefault="00436E4A" w:rsidP="00C56D86">
            <w:pPr>
              <w:spacing w:after="60"/>
              <w:jc w:val="right"/>
              <w:rPr>
                <w:bCs/>
                <w:sz w:val="18"/>
                <w:szCs w:val="18"/>
                <w:lang w:val="en-US"/>
              </w:rPr>
            </w:pPr>
            <w:r w:rsidRPr="0051140D">
              <w:rPr>
                <w:rFonts w:hint="cs"/>
                <w:bCs/>
                <w:sz w:val="18"/>
                <w:szCs w:val="18"/>
                <w:rtl/>
                <w:lang w:val="en-US"/>
              </w:rPr>
              <w:t xml:space="preserve">السنة: </w:t>
            </w:r>
            <w:r w:rsidR="00E21316">
              <w:rPr>
                <w:rFonts w:hint="cs"/>
                <w:bCs/>
                <w:sz w:val="18"/>
                <w:szCs w:val="18"/>
                <w:rtl/>
                <w:lang w:val="en-US"/>
              </w:rPr>
              <w:t>2018</w:t>
            </w:r>
          </w:p>
        </w:tc>
      </w:tr>
      <w:tr w:rsidR="00436E4A" w:rsidRPr="003814E6" w:rsidTr="00323F33">
        <w:trPr>
          <w:trHeight w:val="240"/>
        </w:trPr>
        <w:tc>
          <w:tcPr>
            <w:tcW w:w="1197" w:type="pct"/>
            <w:shd w:val="clear" w:color="auto" w:fill="auto"/>
          </w:tcPr>
          <w:p w:rsidR="00436E4A" w:rsidRPr="00830A12" w:rsidRDefault="00436E4A" w:rsidP="00C56D86">
            <w:pPr>
              <w:bidi/>
              <w:spacing w:after="60"/>
              <w:jc w:val="center"/>
              <w:rPr>
                <w:sz w:val="18"/>
              </w:rPr>
            </w:pPr>
            <w:r>
              <w:rPr>
                <w:rFonts w:hint="cs"/>
                <w:sz w:val="18"/>
                <w:rtl/>
              </w:rPr>
              <w:t>كيميائي</w:t>
            </w:r>
          </w:p>
        </w:tc>
        <w:tc>
          <w:tcPr>
            <w:tcW w:w="535" w:type="pct"/>
            <w:shd w:val="clear" w:color="auto" w:fill="auto"/>
          </w:tcPr>
          <w:p w:rsidR="00436E4A" w:rsidRPr="00830A12" w:rsidRDefault="00436E4A" w:rsidP="00C56D86">
            <w:pPr>
              <w:bidi/>
              <w:spacing w:after="60"/>
              <w:jc w:val="center"/>
              <w:rPr>
                <w:sz w:val="18"/>
              </w:rPr>
            </w:pPr>
            <w:r>
              <w:rPr>
                <w:rFonts w:hint="cs"/>
                <w:sz w:val="18"/>
                <w:rtl/>
              </w:rPr>
              <w:t>الإيروصولات</w:t>
            </w:r>
          </w:p>
        </w:tc>
        <w:tc>
          <w:tcPr>
            <w:tcW w:w="369" w:type="pct"/>
            <w:shd w:val="clear" w:color="auto" w:fill="auto"/>
          </w:tcPr>
          <w:p w:rsidR="00436E4A" w:rsidRPr="00830A12" w:rsidRDefault="00436E4A" w:rsidP="00C56D86">
            <w:pPr>
              <w:bidi/>
              <w:spacing w:after="60"/>
              <w:jc w:val="center"/>
              <w:rPr>
                <w:sz w:val="18"/>
              </w:rPr>
            </w:pPr>
            <w:r>
              <w:rPr>
                <w:rFonts w:hint="cs"/>
                <w:sz w:val="18"/>
                <w:rtl/>
              </w:rPr>
              <w:t>الرغاوي</w:t>
            </w:r>
          </w:p>
        </w:tc>
        <w:tc>
          <w:tcPr>
            <w:tcW w:w="324" w:type="pct"/>
            <w:shd w:val="clear" w:color="auto" w:fill="auto"/>
          </w:tcPr>
          <w:p w:rsidR="00436E4A" w:rsidRPr="00830A12" w:rsidRDefault="00436E4A" w:rsidP="00C56D86">
            <w:pPr>
              <w:bidi/>
              <w:spacing w:after="60"/>
              <w:jc w:val="center"/>
              <w:rPr>
                <w:sz w:val="18"/>
              </w:rPr>
            </w:pPr>
            <w:r>
              <w:rPr>
                <w:rFonts w:hint="cs"/>
                <w:sz w:val="18"/>
                <w:rtl/>
              </w:rPr>
              <w:t>مكافحة الحريق</w:t>
            </w:r>
          </w:p>
        </w:tc>
        <w:tc>
          <w:tcPr>
            <w:tcW w:w="708" w:type="pct"/>
            <w:gridSpan w:val="2"/>
            <w:shd w:val="clear" w:color="auto" w:fill="auto"/>
          </w:tcPr>
          <w:p w:rsidR="00436E4A" w:rsidRPr="00830A12" w:rsidRDefault="00436E4A" w:rsidP="00C56D86">
            <w:pPr>
              <w:bidi/>
              <w:spacing w:after="60"/>
              <w:jc w:val="center"/>
              <w:rPr>
                <w:sz w:val="18"/>
              </w:rPr>
            </w:pPr>
            <w:r>
              <w:rPr>
                <w:rFonts w:hint="cs"/>
                <w:sz w:val="18"/>
                <w:rtl/>
              </w:rPr>
              <w:t>التبريد</w:t>
            </w:r>
          </w:p>
        </w:tc>
        <w:tc>
          <w:tcPr>
            <w:tcW w:w="354" w:type="pct"/>
            <w:shd w:val="clear" w:color="auto" w:fill="auto"/>
          </w:tcPr>
          <w:p w:rsidR="00436E4A" w:rsidRPr="00830A12" w:rsidRDefault="00436E4A" w:rsidP="00C56D86">
            <w:pPr>
              <w:bidi/>
              <w:spacing w:after="60"/>
              <w:jc w:val="center"/>
              <w:rPr>
                <w:sz w:val="18"/>
              </w:rPr>
            </w:pPr>
            <w:r>
              <w:rPr>
                <w:rFonts w:hint="cs"/>
                <w:sz w:val="18"/>
                <w:rtl/>
              </w:rPr>
              <w:t>المذيبات</w:t>
            </w:r>
          </w:p>
        </w:tc>
        <w:tc>
          <w:tcPr>
            <w:tcW w:w="301" w:type="pct"/>
            <w:shd w:val="clear" w:color="auto" w:fill="auto"/>
          </w:tcPr>
          <w:p w:rsidR="00436E4A" w:rsidRPr="00830A12" w:rsidRDefault="00436E4A" w:rsidP="00C56D86">
            <w:pPr>
              <w:bidi/>
              <w:spacing w:after="60"/>
              <w:jc w:val="center"/>
              <w:rPr>
                <w:sz w:val="18"/>
              </w:rPr>
            </w:pPr>
            <w:r>
              <w:rPr>
                <w:rFonts w:hint="cs"/>
                <w:sz w:val="18"/>
                <w:rtl/>
              </w:rPr>
              <w:t>عامل تصنيع</w:t>
            </w:r>
          </w:p>
        </w:tc>
        <w:tc>
          <w:tcPr>
            <w:tcW w:w="486" w:type="pct"/>
            <w:shd w:val="clear" w:color="auto" w:fill="auto"/>
          </w:tcPr>
          <w:p w:rsidR="00436E4A" w:rsidRPr="00830A12" w:rsidRDefault="00436E4A" w:rsidP="00C56D86">
            <w:pPr>
              <w:bidi/>
              <w:spacing w:after="60"/>
              <w:jc w:val="center"/>
              <w:rPr>
                <w:sz w:val="18"/>
              </w:rPr>
            </w:pPr>
            <w:r>
              <w:rPr>
                <w:rFonts w:hint="cs"/>
                <w:sz w:val="18"/>
                <w:rtl/>
              </w:rPr>
              <w:t>الاستخدامات المعملية</w:t>
            </w:r>
          </w:p>
        </w:tc>
        <w:tc>
          <w:tcPr>
            <w:tcW w:w="726" w:type="pct"/>
            <w:shd w:val="clear" w:color="auto" w:fill="auto"/>
          </w:tcPr>
          <w:p w:rsidR="00436E4A" w:rsidRPr="00830A12" w:rsidRDefault="00436E4A" w:rsidP="00C56D86">
            <w:pPr>
              <w:bidi/>
              <w:spacing w:after="60"/>
              <w:jc w:val="center"/>
              <w:rPr>
                <w:sz w:val="18"/>
              </w:rPr>
            </w:pPr>
            <w:r>
              <w:rPr>
                <w:rFonts w:hint="cs"/>
                <w:sz w:val="18"/>
                <w:rtl/>
              </w:rPr>
              <w:t>إجمالي استهلاك القطاع</w:t>
            </w:r>
          </w:p>
        </w:tc>
      </w:tr>
      <w:tr w:rsidR="00436E4A" w:rsidRPr="003814E6" w:rsidTr="00323F33">
        <w:trPr>
          <w:trHeight w:val="240"/>
        </w:trPr>
        <w:tc>
          <w:tcPr>
            <w:tcW w:w="2425" w:type="pct"/>
            <w:gridSpan w:val="4"/>
            <w:shd w:val="clear" w:color="auto" w:fill="auto"/>
          </w:tcPr>
          <w:p w:rsidR="00436E4A" w:rsidRPr="00830A12" w:rsidRDefault="00436E4A" w:rsidP="00C56D86">
            <w:pPr>
              <w:bidi/>
              <w:spacing w:after="60"/>
              <w:rPr>
                <w:sz w:val="18"/>
              </w:rPr>
            </w:pPr>
            <w:r w:rsidRPr="00830A12">
              <w:rPr>
                <w:sz w:val="18"/>
              </w:rPr>
              <w:t xml:space="preserve"> </w:t>
            </w:r>
          </w:p>
        </w:tc>
        <w:tc>
          <w:tcPr>
            <w:tcW w:w="364" w:type="pct"/>
            <w:shd w:val="clear" w:color="auto" w:fill="auto"/>
          </w:tcPr>
          <w:p w:rsidR="00436E4A" w:rsidRPr="00830A12" w:rsidRDefault="00436E4A" w:rsidP="00C56D86">
            <w:pPr>
              <w:bidi/>
              <w:spacing w:after="60"/>
              <w:rPr>
                <w:sz w:val="18"/>
              </w:rPr>
            </w:pPr>
            <w:r>
              <w:rPr>
                <w:rFonts w:hint="cs"/>
                <w:sz w:val="18"/>
                <w:rtl/>
              </w:rPr>
              <w:t>التصنيع</w:t>
            </w:r>
          </w:p>
        </w:tc>
        <w:tc>
          <w:tcPr>
            <w:tcW w:w="344" w:type="pct"/>
            <w:shd w:val="clear" w:color="auto" w:fill="auto"/>
          </w:tcPr>
          <w:p w:rsidR="00436E4A" w:rsidRPr="00830A12" w:rsidRDefault="00436E4A" w:rsidP="00C56D86">
            <w:pPr>
              <w:bidi/>
              <w:spacing w:after="60"/>
              <w:rPr>
                <w:sz w:val="18"/>
              </w:rPr>
            </w:pPr>
            <w:r>
              <w:rPr>
                <w:rFonts w:hint="cs"/>
                <w:sz w:val="18"/>
                <w:rtl/>
              </w:rPr>
              <w:t>الخدمة</w:t>
            </w:r>
          </w:p>
        </w:tc>
        <w:tc>
          <w:tcPr>
            <w:tcW w:w="1867" w:type="pct"/>
            <w:gridSpan w:val="4"/>
            <w:shd w:val="clear" w:color="auto" w:fill="auto"/>
          </w:tcPr>
          <w:p w:rsidR="00436E4A" w:rsidRPr="00830A12" w:rsidRDefault="00436E4A" w:rsidP="00C56D86">
            <w:pPr>
              <w:bidi/>
              <w:spacing w:after="60"/>
              <w:rPr>
                <w:sz w:val="18"/>
              </w:rPr>
            </w:pPr>
          </w:p>
        </w:tc>
      </w:tr>
      <w:tr w:rsidR="001B1C02" w:rsidRPr="003814E6" w:rsidTr="00323F33">
        <w:trPr>
          <w:trHeight w:val="240"/>
        </w:trPr>
        <w:tc>
          <w:tcPr>
            <w:tcW w:w="1197" w:type="pct"/>
            <w:shd w:val="clear" w:color="auto" w:fill="auto"/>
          </w:tcPr>
          <w:p w:rsidR="001B1C02" w:rsidRDefault="001B1C02" w:rsidP="001B1C02">
            <w:pPr>
              <w:bidi/>
              <w:spacing w:after="60"/>
              <w:jc w:val="left"/>
              <w:rPr>
                <w:sz w:val="18"/>
                <w:szCs w:val="18"/>
                <w:rtl/>
                <w:lang w:val="en-US"/>
              </w:rPr>
            </w:pPr>
            <w:r>
              <w:rPr>
                <w:rFonts w:hint="cs"/>
                <w:sz w:val="18"/>
                <w:szCs w:val="18"/>
                <w:rtl/>
                <w:lang w:val="en-US"/>
              </w:rPr>
              <w:t>الهيدروكلوروفلوروكربون-22</w:t>
            </w:r>
          </w:p>
        </w:tc>
        <w:tc>
          <w:tcPr>
            <w:tcW w:w="535" w:type="pct"/>
            <w:shd w:val="clear" w:color="auto" w:fill="auto"/>
          </w:tcPr>
          <w:p w:rsidR="001B1C02" w:rsidRPr="0011020F" w:rsidRDefault="001B1C02" w:rsidP="001B1C02">
            <w:pPr>
              <w:spacing w:after="60"/>
              <w:jc w:val="right"/>
              <w:rPr>
                <w:sz w:val="16"/>
                <w:szCs w:val="16"/>
                <w:lang w:val="en-CA"/>
              </w:rPr>
            </w:pPr>
          </w:p>
        </w:tc>
        <w:tc>
          <w:tcPr>
            <w:tcW w:w="369" w:type="pct"/>
            <w:shd w:val="clear" w:color="auto" w:fill="auto"/>
          </w:tcPr>
          <w:p w:rsidR="001B1C02" w:rsidRPr="0011020F" w:rsidRDefault="001B1C02" w:rsidP="001B1C02">
            <w:pPr>
              <w:spacing w:after="60"/>
              <w:jc w:val="right"/>
              <w:rPr>
                <w:sz w:val="16"/>
                <w:szCs w:val="16"/>
                <w:lang w:val="en-CA"/>
              </w:rPr>
            </w:pPr>
          </w:p>
        </w:tc>
        <w:tc>
          <w:tcPr>
            <w:tcW w:w="324" w:type="pct"/>
            <w:shd w:val="clear" w:color="auto" w:fill="auto"/>
          </w:tcPr>
          <w:p w:rsidR="001B1C02" w:rsidRPr="0011020F" w:rsidRDefault="001B1C02" w:rsidP="001B1C02">
            <w:pPr>
              <w:spacing w:after="60"/>
              <w:jc w:val="right"/>
              <w:rPr>
                <w:sz w:val="16"/>
                <w:szCs w:val="16"/>
                <w:lang w:val="en-CA"/>
              </w:rPr>
            </w:pPr>
          </w:p>
        </w:tc>
        <w:tc>
          <w:tcPr>
            <w:tcW w:w="364"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0.78</w:t>
            </w:r>
          </w:p>
        </w:tc>
        <w:tc>
          <w:tcPr>
            <w:tcW w:w="344"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41.53</w:t>
            </w:r>
          </w:p>
        </w:tc>
        <w:tc>
          <w:tcPr>
            <w:tcW w:w="354" w:type="pct"/>
            <w:shd w:val="clear" w:color="auto" w:fill="auto"/>
          </w:tcPr>
          <w:p w:rsidR="001B1C02" w:rsidRPr="0011020F" w:rsidRDefault="001B1C02" w:rsidP="001B1C02">
            <w:pPr>
              <w:spacing w:after="60"/>
              <w:jc w:val="right"/>
              <w:rPr>
                <w:sz w:val="16"/>
                <w:szCs w:val="16"/>
                <w:lang w:val="en-CA"/>
              </w:rPr>
            </w:pPr>
          </w:p>
        </w:tc>
        <w:tc>
          <w:tcPr>
            <w:tcW w:w="301" w:type="pct"/>
            <w:shd w:val="clear" w:color="auto" w:fill="auto"/>
          </w:tcPr>
          <w:p w:rsidR="001B1C02" w:rsidRPr="0011020F" w:rsidRDefault="001B1C02" w:rsidP="001B1C02">
            <w:pPr>
              <w:spacing w:after="60"/>
              <w:jc w:val="right"/>
              <w:rPr>
                <w:sz w:val="16"/>
                <w:szCs w:val="16"/>
                <w:lang w:val="en-CA"/>
              </w:rPr>
            </w:pPr>
          </w:p>
        </w:tc>
        <w:tc>
          <w:tcPr>
            <w:tcW w:w="486" w:type="pct"/>
            <w:shd w:val="clear" w:color="auto" w:fill="auto"/>
          </w:tcPr>
          <w:p w:rsidR="001B1C02" w:rsidRPr="0011020F" w:rsidRDefault="001B1C02" w:rsidP="001B1C02">
            <w:pPr>
              <w:spacing w:after="60"/>
              <w:jc w:val="right"/>
              <w:rPr>
                <w:sz w:val="16"/>
                <w:szCs w:val="16"/>
                <w:lang w:val="en-CA"/>
              </w:rPr>
            </w:pPr>
          </w:p>
        </w:tc>
        <w:tc>
          <w:tcPr>
            <w:tcW w:w="726" w:type="pct"/>
            <w:shd w:val="clear" w:color="auto" w:fill="auto"/>
          </w:tcPr>
          <w:p w:rsidR="001B1C02" w:rsidRPr="0011020F" w:rsidRDefault="001B1C02" w:rsidP="001B1C02">
            <w:pPr>
              <w:spacing w:after="60"/>
              <w:jc w:val="right"/>
              <w:rPr>
                <w:sz w:val="16"/>
                <w:szCs w:val="16"/>
                <w:lang w:val="en-CA"/>
              </w:rPr>
            </w:pPr>
            <w:r w:rsidRPr="0011020F">
              <w:rPr>
                <w:noProof/>
                <w:sz w:val="16"/>
                <w:szCs w:val="16"/>
                <w:lang w:val="en-CA"/>
              </w:rPr>
              <w:t>42.31</w:t>
            </w:r>
          </w:p>
        </w:tc>
      </w:tr>
      <w:tr w:rsidR="001B1C02" w:rsidRPr="003814E6" w:rsidTr="00323F33">
        <w:trPr>
          <w:trHeight w:val="240"/>
        </w:trPr>
        <w:tc>
          <w:tcPr>
            <w:tcW w:w="1197" w:type="pct"/>
            <w:shd w:val="clear" w:color="auto" w:fill="auto"/>
          </w:tcPr>
          <w:p w:rsidR="001B1C02" w:rsidRDefault="001B1C02" w:rsidP="001B1C02">
            <w:pPr>
              <w:bidi/>
              <w:spacing w:after="60"/>
              <w:jc w:val="left"/>
              <w:rPr>
                <w:sz w:val="18"/>
                <w:szCs w:val="18"/>
                <w:rtl/>
                <w:lang w:val="en-US"/>
              </w:rPr>
            </w:pPr>
            <w:r>
              <w:rPr>
                <w:rFonts w:hint="cs"/>
                <w:sz w:val="18"/>
                <w:szCs w:val="18"/>
                <w:rtl/>
                <w:lang w:val="en-US"/>
              </w:rPr>
              <w:t>الهيدروكلوروفلوروكربون-123</w:t>
            </w:r>
          </w:p>
        </w:tc>
        <w:tc>
          <w:tcPr>
            <w:tcW w:w="535" w:type="pct"/>
            <w:shd w:val="clear" w:color="auto" w:fill="auto"/>
          </w:tcPr>
          <w:p w:rsidR="001B1C02" w:rsidRPr="0011020F" w:rsidRDefault="001B1C02" w:rsidP="001B1C02">
            <w:pPr>
              <w:spacing w:after="60"/>
              <w:jc w:val="right"/>
              <w:rPr>
                <w:sz w:val="16"/>
                <w:szCs w:val="16"/>
                <w:lang w:val="en-CA"/>
              </w:rPr>
            </w:pPr>
          </w:p>
        </w:tc>
        <w:tc>
          <w:tcPr>
            <w:tcW w:w="369" w:type="pct"/>
            <w:shd w:val="clear" w:color="auto" w:fill="auto"/>
          </w:tcPr>
          <w:p w:rsidR="001B1C02" w:rsidRPr="0011020F" w:rsidRDefault="001B1C02" w:rsidP="001B1C02">
            <w:pPr>
              <w:spacing w:after="60"/>
              <w:jc w:val="right"/>
              <w:rPr>
                <w:sz w:val="16"/>
                <w:szCs w:val="16"/>
                <w:lang w:val="en-CA"/>
              </w:rPr>
            </w:pPr>
          </w:p>
        </w:tc>
        <w:tc>
          <w:tcPr>
            <w:tcW w:w="324"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0.58</w:t>
            </w:r>
          </w:p>
        </w:tc>
        <w:tc>
          <w:tcPr>
            <w:tcW w:w="364" w:type="pct"/>
            <w:shd w:val="clear" w:color="auto" w:fill="auto"/>
          </w:tcPr>
          <w:p w:rsidR="001B1C02" w:rsidRPr="0011020F" w:rsidRDefault="001B1C02" w:rsidP="001B1C02">
            <w:pPr>
              <w:spacing w:after="60"/>
              <w:jc w:val="right"/>
              <w:rPr>
                <w:sz w:val="16"/>
                <w:szCs w:val="16"/>
                <w:lang w:val="en-CA"/>
              </w:rPr>
            </w:pPr>
          </w:p>
        </w:tc>
        <w:tc>
          <w:tcPr>
            <w:tcW w:w="344"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0.07</w:t>
            </w:r>
          </w:p>
        </w:tc>
        <w:tc>
          <w:tcPr>
            <w:tcW w:w="354" w:type="pct"/>
            <w:shd w:val="clear" w:color="auto" w:fill="auto"/>
          </w:tcPr>
          <w:p w:rsidR="001B1C02" w:rsidRPr="0011020F" w:rsidRDefault="001B1C02" w:rsidP="001B1C02">
            <w:pPr>
              <w:spacing w:after="60"/>
              <w:jc w:val="right"/>
              <w:rPr>
                <w:sz w:val="16"/>
                <w:szCs w:val="16"/>
                <w:lang w:val="en-CA"/>
              </w:rPr>
            </w:pPr>
          </w:p>
        </w:tc>
        <w:tc>
          <w:tcPr>
            <w:tcW w:w="301" w:type="pct"/>
            <w:shd w:val="clear" w:color="auto" w:fill="auto"/>
          </w:tcPr>
          <w:p w:rsidR="001B1C02" w:rsidRPr="0011020F" w:rsidRDefault="001B1C02" w:rsidP="001B1C02">
            <w:pPr>
              <w:spacing w:after="60"/>
              <w:jc w:val="right"/>
              <w:rPr>
                <w:sz w:val="16"/>
                <w:szCs w:val="16"/>
                <w:lang w:val="en-CA"/>
              </w:rPr>
            </w:pPr>
          </w:p>
        </w:tc>
        <w:tc>
          <w:tcPr>
            <w:tcW w:w="486" w:type="pct"/>
            <w:shd w:val="clear" w:color="auto" w:fill="auto"/>
          </w:tcPr>
          <w:p w:rsidR="001B1C02" w:rsidRPr="0011020F" w:rsidRDefault="001B1C02" w:rsidP="001B1C02">
            <w:pPr>
              <w:spacing w:after="60"/>
              <w:jc w:val="right"/>
              <w:rPr>
                <w:sz w:val="16"/>
                <w:szCs w:val="16"/>
                <w:lang w:val="en-CA"/>
              </w:rPr>
            </w:pPr>
          </w:p>
        </w:tc>
        <w:tc>
          <w:tcPr>
            <w:tcW w:w="726" w:type="pct"/>
            <w:shd w:val="clear" w:color="auto" w:fill="auto"/>
          </w:tcPr>
          <w:p w:rsidR="001B1C02" w:rsidRPr="0011020F" w:rsidRDefault="001B1C02" w:rsidP="001B1C02">
            <w:pPr>
              <w:spacing w:after="60"/>
              <w:jc w:val="right"/>
              <w:rPr>
                <w:sz w:val="16"/>
                <w:szCs w:val="16"/>
                <w:lang w:val="en-CA"/>
              </w:rPr>
            </w:pPr>
            <w:r>
              <w:rPr>
                <w:sz w:val="16"/>
                <w:szCs w:val="16"/>
                <w:lang w:val="en-CA"/>
              </w:rPr>
              <w:t>0.65</w:t>
            </w:r>
          </w:p>
        </w:tc>
      </w:tr>
      <w:tr w:rsidR="001B1C02" w:rsidRPr="003814E6" w:rsidTr="00323F33">
        <w:trPr>
          <w:trHeight w:val="240"/>
        </w:trPr>
        <w:tc>
          <w:tcPr>
            <w:tcW w:w="1197" w:type="pct"/>
            <w:shd w:val="clear" w:color="auto" w:fill="auto"/>
          </w:tcPr>
          <w:p w:rsidR="001B1C02" w:rsidRDefault="001B1C02" w:rsidP="001B1C02">
            <w:pPr>
              <w:bidi/>
              <w:spacing w:after="60"/>
              <w:jc w:val="left"/>
              <w:rPr>
                <w:sz w:val="18"/>
                <w:szCs w:val="18"/>
                <w:rtl/>
                <w:lang w:val="en-US"/>
              </w:rPr>
            </w:pPr>
            <w:r>
              <w:rPr>
                <w:rFonts w:hint="cs"/>
                <w:sz w:val="18"/>
                <w:szCs w:val="18"/>
                <w:rtl/>
                <w:lang w:val="en-US"/>
              </w:rPr>
              <w:t>الهيدروكلوروفلوروكربون-141ب</w:t>
            </w:r>
          </w:p>
        </w:tc>
        <w:tc>
          <w:tcPr>
            <w:tcW w:w="535" w:type="pct"/>
            <w:shd w:val="clear" w:color="auto" w:fill="auto"/>
          </w:tcPr>
          <w:p w:rsidR="001B1C02" w:rsidRPr="0011020F" w:rsidRDefault="001B1C02" w:rsidP="001B1C02">
            <w:pPr>
              <w:spacing w:after="60"/>
              <w:jc w:val="right"/>
              <w:rPr>
                <w:sz w:val="16"/>
                <w:szCs w:val="16"/>
                <w:lang w:val="en-CA"/>
              </w:rPr>
            </w:pPr>
          </w:p>
        </w:tc>
        <w:tc>
          <w:tcPr>
            <w:tcW w:w="369"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28.01</w:t>
            </w:r>
          </w:p>
        </w:tc>
        <w:tc>
          <w:tcPr>
            <w:tcW w:w="324"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1.82</w:t>
            </w:r>
          </w:p>
        </w:tc>
        <w:tc>
          <w:tcPr>
            <w:tcW w:w="364" w:type="pct"/>
            <w:shd w:val="clear" w:color="auto" w:fill="auto"/>
          </w:tcPr>
          <w:p w:rsidR="001B1C02" w:rsidRPr="0011020F" w:rsidRDefault="001B1C02" w:rsidP="001B1C02">
            <w:pPr>
              <w:spacing w:after="60"/>
              <w:jc w:val="right"/>
              <w:rPr>
                <w:sz w:val="16"/>
                <w:szCs w:val="16"/>
                <w:lang w:val="en-CA"/>
              </w:rPr>
            </w:pPr>
          </w:p>
        </w:tc>
        <w:tc>
          <w:tcPr>
            <w:tcW w:w="344"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5.36</w:t>
            </w:r>
          </w:p>
        </w:tc>
        <w:tc>
          <w:tcPr>
            <w:tcW w:w="354" w:type="pct"/>
            <w:shd w:val="clear" w:color="auto" w:fill="auto"/>
          </w:tcPr>
          <w:p w:rsidR="001B1C02" w:rsidRPr="0011020F" w:rsidRDefault="001B1C02" w:rsidP="001B1C02">
            <w:pPr>
              <w:spacing w:after="60"/>
              <w:jc w:val="right"/>
              <w:rPr>
                <w:sz w:val="16"/>
                <w:szCs w:val="16"/>
                <w:lang w:val="en-CA"/>
              </w:rPr>
            </w:pPr>
          </w:p>
        </w:tc>
        <w:tc>
          <w:tcPr>
            <w:tcW w:w="301" w:type="pct"/>
            <w:shd w:val="clear" w:color="auto" w:fill="auto"/>
          </w:tcPr>
          <w:p w:rsidR="001B1C02" w:rsidRPr="0011020F" w:rsidRDefault="001B1C02" w:rsidP="001B1C02">
            <w:pPr>
              <w:spacing w:after="60"/>
              <w:jc w:val="right"/>
              <w:rPr>
                <w:sz w:val="16"/>
                <w:szCs w:val="16"/>
                <w:lang w:val="en-CA"/>
              </w:rPr>
            </w:pPr>
          </w:p>
        </w:tc>
        <w:tc>
          <w:tcPr>
            <w:tcW w:w="486" w:type="pct"/>
            <w:shd w:val="clear" w:color="auto" w:fill="auto"/>
          </w:tcPr>
          <w:p w:rsidR="001B1C02" w:rsidRPr="0011020F" w:rsidRDefault="001B1C02" w:rsidP="001B1C02">
            <w:pPr>
              <w:spacing w:after="60"/>
              <w:jc w:val="right"/>
              <w:rPr>
                <w:sz w:val="16"/>
                <w:szCs w:val="16"/>
                <w:lang w:val="en-CA"/>
              </w:rPr>
            </w:pPr>
          </w:p>
        </w:tc>
        <w:tc>
          <w:tcPr>
            <w:tcW w:w="726"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35.19</w:t>
            </w:r>
          </w:p>
        </w:tc>
      </w:tr>
      <w:tr w:rsidR="001B1C02" w:rsidRPr="003814E6" w:rsidTr="00323F33">
        <w:trPr>
          <w:trHeight w:val="240"/>
        </w:trPr>
        <w:tc>
          <w:tcPr>
            <w:tcW w:w="1197" w:type="pct"/>
            <w:shd w:val="clear" w:color="auto" w:fill="auto"/>
          </w:tcPr>
          <w:p w:rsidR="001B1C02" w:rsidRDefault="001B1C02" w:rsidP="001B1C02">
            <w:pPr>
              <w:bidi/>
              <w:spacing w:after="60"/>
              <w:jc w:val="left"/>
              <w:rPr>
                <w:sz w:val="18"/>
                <w:szCs w:val="18"/>
                <w:rtl/>
                <w:lang w:val="en-US"/>
              </w:rPr>
            </w:pPr>
            <w:r>
              <w:rPr>
                <w:rFonts w:hint="cs"/>
                <w:sz w:val="18"/>
                <w:szCs w:val="18"/>
                <w:rtl/>
                <w:lang w:val="en-US"/>
              </w:rPr>
              <w:t>الهيدروكلوروفلوروكربون-141 ب في البوليولات المستوردة سابقة الخلط</w:t>
            </w:r>
          </w:p>
        </w:tc>
        <w:tc>
          <w:tcPr>
            <w:tcW w:w="535" w:type="pct"/>
            <w:shd w:val="clear" w:color="auto" w:fill="auto"/>
          </w:tcPr>
          <w:p w:rsidR="001B1C02" w:rsidRPr="0011020F" w:rsidRDefault="001B1C02" w:rsidP="001B1C02">
            <w:pPr>
              <w:spacing w:after="60"/>
              <w:jc w:val="right"/>
              <w:rPr>
                <w:sz w:val="16"/>
                <w:szCs w:val="16"/>
                <w:lang w:val="en-CA"/>
              </w:rPr>
            </w:pPr>
          </w:p>
        </w:tc>
        <w:tc>
          <w:tcPr>
            <w:tcW w:w="369"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1.36</w:t>
            </w:r>
          </w:p>
        </w:tc>
        <w:tc>
          <w:tcPr>
            <w:tcW w:w="324" w:type="pct"/>
            <w:shd w:val="clear" w:color="auto" w:fill="auto"/>
          </w:tcPr>
          <w:p w:rsidR="001B1C02" w:rsidRPr="0011020F" w:rsidRDefault="001B1C02" w:rsidP="001B1C02">
            <w:pPr>
              <w:spacing w:after="60"/>
              <w:jc w:val="right"/>
              <w:rPr>
                <w:sz w:val="16"/>
                <w:szCs w:val="16"/>
                <w:lang w:val="en-CA"/>
              </w:rPr>
            </w:pPr>
          </w:p>
        </w:tc>
        <w:tc>
          <w:tcPr>
            <w:tcW w:w="364" w:type="pct"/>
            <w:shd w:val="clear" w:color="auto" w:fill="auto"/>
          </w:tcPr>
          <w:p w:rsidR="001B1C02" w:rsidRPr="0011020F" w:rsidRDefault="001B1C02" w:rsidP="001B1C02">
            <w:pPr>
              <w:spacing w:after="60"/>
              <w:jc w:val="right"/>
              <w:rPr>
                <w:sz w:val="16"/>
                <w:szCs w:val="16"/>
                <w:lang w:val="en-CA"/>
              </w:rPr>
            </w:pPr>
          </w:p>
        </w:tc>
        <w:tc>
          <w:tcPr>
            <w:tcW w:w="344" w:type="pct"/>
            <w:shd w:val="clear" w:color="auto" w:fill="auto"/>
          </w:tcPr>
          <w:p w:rsidR="001B1C02" w:rsidRPr="0011020F" w:rsidRDefault="001B1C02" w:rsidP="001B1C02">
            <w:pPr>
              <w:spacing w:after="60"/>
              <w:jc w:val="right"/>
              <w:rPr>
                <w:sz w:val="16"/>
                <w:szCs w:val="16"/>
                <w:lang w:val="en-CA"/>
              </w:rPr>
            </w:pPr>
          </w:p>
        </w:tc>
        <w:tc>
          <w:tcPr>
            <w:tcW w:w="354" w:type="pct"/>
            <w:shd w:val="clear" w:color="auto" w:fill="auto"/>
          </w:tcPr>
          <w:p w:rsidR="001B1C02" w:rsidRPr="0011020F" w:rsidRDefault="001B1C02" w:rsidP="001B1C02">
            <w:pPr>
              <w:spacing w:after="60"/>
              <w:jc w:val="right"/>
              <w:rPr>
                <w:sz w:val="16"/>
                <w:szCs w:val="16"/>
                <w:lang w:val="en-CA"/>
              </w:rPr>
            </w:pPr>
          </w:p>
        </w:tc>
        <w:tc>
          <w:tcPr>
            <w:tcW w:w="301" w:type="pct"/>
            <w:shd w:val="clear" w:color="auto" w:fill="auto"/>
          </w:tcPr>
          <w:p w:rsidR="001B1C02" w:rsidRPr="0011020F" w:rsidRDefault="001B1C02" w:rsidP="001B1C02">
            <w:pPr>
              <w:spacing w:after="60"/>
              <w:jc w:val="right"/>
              <w:rPr>
                <w:sz w:val="16"/>
                <w:szCs w:val="16"/>
                <w:lang w:val="en-CA"/>
              </w:rPr>
            </w:pPr>
          </w:p>
        </w:tc>
        <w:tc>
          <w:tcPr>
            <w:tcW w:w="486" w:type="pct"/>
            <w:shd w:val="clear" w:color="auto" w:fill="auto"/>
          </w:tcPr>
          <w:p w:rsidR="001B1C02" w:rsidRPr="0011020F" w:rsidRDefault="001B1C02" w:rsidP="001B1C02">
            <w:pPr>
              <w:spacing w:after="60"/>
              <w:jc w:val="right"/>
              <w:rPr>
                <w:sz w:val="16"/>
                <w:szCs w:val="16"/>
                <w:lang w:val="en-CA"/>
              </w:rPr>
            </w:pPr>
          </w:p>
        </w:tc>
        <w:tc>
          <w:tcPr>
            <w:tcW w:w="726"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1.36</w:t>
            </w:r>
          </w:p>
        </w:tc>
      </w:tr>
    </w:tbl>
    <w:p w:rsidR="00436E4A" w:rsidRPr="00214C18" w:rsidRDefault="00436E4A" w:rsidP="00436E4A">
      <w:pPr>
        <w:spacing w:after="60"/>
        <w:jc w:val="center"/>
        <w:rPr>
          <w:sz w:val="12"/>
          <w:szCs w:val="12"/>
          <w:lang w:val="en-US"/>
        </w:rPr>
      </w:pPr>
    </w:p>
    <w:tbl>
      <w:tblPr>
        <w:tblStyle w:val="TableGrid"/>
        <w:bidiVisual/>
        <w:tblW w:w="5539" w:type="pct"/>
        <w:tblInd w:w="-48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92"/>
        <w:gridCol w:w="754"/>
        <w:gridCol w:w="5332"/>
        <w:gridCol w:w="1280"/>
      </w:tblGrid>
      <w:tr w:rsidR="00436E4A" w:rsidRPr="003814E6" w:rsidTr="008251D2">
        <w:trPr>
          <w:trHeight w:val="240"/>
        </w:trPr>
        <w:tc>
          <w:tcPr>
            <w:tcW w:w="5000" w:type="pct"/>
            <w:gridSpan w:val="4"/>
            <w:shd w:val="clear" w:color="auto" w:fill="auto"/>
          </w:tcPr>
          <w:p w:rsidR="00436E4A" w:rsidRPr="0051140D" w:rsidRDefault="00436E4A" w:rsidP="00AD39A6">
            <w:pPr>
              <w:bidi/>
              <w:spacing w:after="60"/>
              <w:jc w:val="left"/>
              <w:rPr>
                <w:bCs/>
                <w:sz w:val="18"/>
                <w:szCs w:val="18"/>
                <w:lang w:val="en-US"/>
              </w:rPr>
            </w:pPr>
            <w:r w:rsidRPr="0051140D">
              <w:rPr>
                <w:rFonts w:hint="cs"/>
                <w:bCs/>
                <w:sz w:val="18"/>
                <w:szCs w:val="18"/>
                <w:rtl/>
                <w:lang w:val="en-US"/>
              </w:rPr>
              <w:t>(</w:t>
            </w:r>
            <w:r w:rsidR="00AD39A6">
              <w:rPr>
                <w:rFonts w:hint="cs"/>
                <w:bCs/>
                <w:sz w:val="18"/>
                <w:szCs w:val="18"/>
                <w:rtl/>
                <w:lang w:val="en-US"/>
              </w:rPr>
              <w:t>رابعا</w:t>
            </w:r>
            <w:r w:rsidRPr="0051140D">
              <w:rPr>
                <w:rFonts w:hint="cs"/>
                <w:bCs/>
                <w:sz w:val="18"/>
                <w:szCs w:val="18"/>
                <w:rtl/>
                <w:lang w:val="en-US"/>
              </w:rPr>
              <w:t>) بيانات الاستهلاك (طن من قدرات استنفاد الأوزون)</w:t>
            </w:r>
          </w:p>
        </w:tc>
      </w:tr>
      <w:tr w:rsidR="001B1C02" w:rsidRPr="003814E6" w:rsidTr="008251D2">
        <w:trPr>
          <w:trHeight w:val="240"/>
        </w:trPr>
        <w:tc>
          <w:tcPr>
            <w:tcW w:w="1444" w:type="pct"/>
            <w:shd w:val="clear" w:color="auto" w:fill="auto"/>
          </w:tcPr>
          <w:p w:rsidR="001B1C02" w:rsidRPr="003814E6" w:rsidRDefault="001B1C02" w:rsidP="001B1C02">
            <w:pPr>
              <w:spacing w:after="60"/>
              <w:jc w:val="center"/>
              <w:rPr>
                <w:sz w:val="18"/>
                <w:szCs w:val="18"/>
                <w:lang w:val="en-US"/>
              </w:rPr>
            </w:pPr>
            <w:r>
              <w:rPr>
                <w:rFonts w:hint="cs"/>
                <w:sz w:val="18"/>
                <w:szCs w:val="18"/>
                <w:rtl/>
                <w:lang w:val="en-US"/>
              </w:rPr>
              <w:t>خط الأساس للفترة 2009-2010</w:t>
            </w:r>
          </w:p>
        </w:tc>
        <w:tc>
          <w:tcPr>
            <w:tcW w:w="364"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225.6</w:t>
            </w:r>
          </w:p>
        </w:tc>
        <w:tc>
          <w:tcPr>
            <w:tcW w:w="2574" w:type="pct"/>
            <w:shd w:val="clear" w:color="auto" w:fill="auto"/>
          </w:tcPr>
          <w:p w:rsidR="001B1C02" w:rsidRPr="003814E6" w:rsidRDefault="001B1C02" w:rsidP="001B1C02">
            <w:pPr>
              <w:spacing w:after="60"/>
              <w:jc w:val="center"/>
              <w:rPr>
                <w:sz w:val="18"/>
                <w:szCs w:val="18"/>
                <w:lang w:val="en-US"/>
              </w:rPr>
            </w:pPr>
            <w:r>
              <w:rPr>
                <w:rFonts w:hint="cs"/>
                <w:sz w:val="18"/>
                <w:szCs w:val="18"/>
                <w:rtl/>
                <w:lang w:val="en-US"/>
              </w:rPr>
              <w:t>نقطة البداية للتخفيضات المجمعة المستدامة</w:t>
            </w:r>
          </w:p>
        </w:tc>
        <w:tc>
          <w:tcPr>
            <w:tcW w:w="618" w:type="pct"/>
            <w:shd w:val="clear" w:color="auto" w:fill="auto"/>
          </w:tcPr>
          <w:p w:rsidR="001B1C02" w:rsidRPr="00022F7C" w:rsidRDefault="001B1C02" w:rsidP="001B1C02">
            <w:pPr>
              <w:pStyle w:val="StyleHeader4Para4Left0Firstline0"/>
              <w:numPr>
                <w:ilvl w:val="0"/>
                <w:numId w:val="0"/>
              </w:numPr>
              <w:spacing w:after="60"/>
              <w:jc w:val="right"/>
              <w:rPr>
                <w:sz w:val="18"/>
              </w:rPr>
            </w:pPr>
            <w:r w:rsidRPr="0011020F">
              <w:rPr>
                <w:sz w:val="16"/>
                <w:szCs w:val="16"/>
                <w:lang w:val="en-CA"/>
              </w:rPr>
              <w:t>225.6</w:t>
            </w:r>
          </w:p>
        </w:tc>
      </w:tr>
      <w:tr w:rsidR="001B1C02" w:rsidRPr="003814E6" w:rsidTr="008251D2">
        <w:trPr>
          <w:trHeight w:val="240"/>
        </w:trPr>
        <w:tc>
          <w:tcPr>
            <w:tcW w:w="5000" w:type="pct"/>
            <w:gridSpan w:val="4"/>
            <w:shd w:val="clear" w:color="auto" w:fill="auto"/>
          </w:tcPr>
          <w:p w:rsidR="001B1C02" w:rsidRPr="0051140D" w:rsidRDefault="001B1C02" w:rsidP="001B1C02">
            <w:pPr>
              <w:spacing w:after="60"/>
              <w:jc w:val="center"/>
              <w:rPr>
                <w:bCs/>
                <w:sz w:val="18"/>
                <w:szCs w:val="18"/>
                <w:lang w:val="en-US"/>
              </w:rPr>
            </w:pPr>
            <w:r w:rsidRPr="0051140D">
              <w:rPr>
                <w:rFonts w:hint="cs"/>
                <w:bCs/>
                <w:sz w:val="18"/>
                <w:szCs w:val="18"/>
                <w:rtl/>
                <w:lang w:val="en-US"/>
              </w:rPr>
              <w:t>الاستهلاك المؤهل للتمويل (طن من قدرات استنفاد الأوزون)</w:t>
            </w:r>
          </w:p>
        </w:tc>
      </w:tr>
      <w:tr w:rsidR="001B1C02" w:rsidRPr="003814E6" w:rsidTr="008251D2">
        <w:trPr>
          <w:trHeight w:val="240"/>
        </w:trPr>
        <w:tc>
          <w:tcPr>
            <w:tcW w:w="1444" w:type="pct"/>
            <w:shd w:val="clear" w:color="auto" w:fill="auto"/>
          </w:tcPr>
          <w:p w:rsidR="001B1C02" w:rsidRPr="003814E6" w:rsidRDefault="001B1C02" w:rsidP="001B1C02">
            <w:pPr>
              <w:spacing w:after="60"/>
              <w:jc w:val="center"/>
              <w:rPr>
                <w:sz w:val="18"/>
                <w:szCs w:val="18"/>
                <w:lang w:val="en-US"/>
              </w:rPr>
            </w:pPr>
            <w:r>
              <w:rPr>
                <w:rFonts w:hint="cs"/>
                <w:sz w:val="18"/>
                <w:szCs w:val="18"/>
                <w:rtl/>
                <w:lang w:val="en-US"/>
              </w:rPr>
              <w:t>موافق عليه بالفعل:</w:t>
            </w:r>
          </w:p>
        </w:tc>
        <w:tc>
          <w:tcPr>
            <w:tcW w:w="364" w:type="pct"/>
            <w:shd w:val="clear" w:color="auto" w:fill="auto"/>
          </w:tcPr>
          <w:p w:rsidR="001B1C02" w:rsidRPr="00022F7C" w:rsidRDefault="001B1C02" w:rsidP="001B1C02">
            <w:pPr>
              <w:pStyle w:val="StyleHeader4Para4Left0Firstline0"/>
              <w:numPr>
                <w:ilvl w:val="0"/>
                <w:numId w:val="0"/>
              </w:numPr>
              <w:spacing w:after="60"/>
              <w:jc w:val="right"/>
              <w:rPr>
                <w:sz w:val="18"/>
              </w:rPr>
            </w:pPr>
            <w:r>
              <w:rPr>
                <w:sz w:val="16"/>
                <w:szCs w:val="16"/>
                <w:lang w:val="en-CA"/>
              </w:rPr>
              <w:t>201.21</w:t>
            </w:r>
          </w:p>
        </w:tc>
        <w:tc>
          <w:tcPr>
            <w:tcW w:w="2574" w:type="pct"/>
            <w:shd w:val="clear" w:color="auto" w:fill="auto"/>
          </w:tcPr>
          <w:p w:rsidR="001B1C02" w:rsidRPr="003814E6" w:rsidRDefault="001B1C02" w:rsidP="001B1C02">
            <w:pPr>
              <w:spacing w:after="60"/>
              <w:jc w:val="center"/>
              <w:rPr>
                <w:sz w:val="18"/>
                <w:szCs w:val="18"/>
                <w:lang w:val="en-US"/>
              </w:rPr>
            </w:pPr>
            <w:r>
              <w:rPr>
                <w:rFonts w:hint="cs"/>
                <w:sz w:val="18"/>
                <w:szCs w:val="18"/>
                <w:rtl/>
                <w:lang w:val="en-US"/>
              </w:rPr>
              <w:t>المتبقي</w:t>
            </w:r>
          </w:p>
        </w:tc>
        <w:tc>
          <w:tcPr>
            <w:tcW w:w="618" w:type="pct"/>
            <w:shd w:val="clear" w:color="auto" w:fill="auto"/>
          </w:tcPr>
          <w:p w:rsidR="001B1C02" w:rsidRPr="00022F7C" w:rsidRDefault="001B1C02" w:rsidP="001B1C02">
            <w:pPr>
              <w:pStyle w:val="StyleHeader4Para4Left0Firstline0"/>
              <w:numPr>
                <w:ilvl w:val="0"/>
                <w:numId w:val="0"/>
              </w:numPr>
              <w:spacing w:after="60"/>
              <w:jc w:val="right"/>
              <w:rPr>
                <w:sz w:val="18"/>
              </w:rPr>
            </w:pPr>
            <w:r>
              <w:rPr>
                <w:sz w:val="16"/>
                <w:szCs w:val="16"/>
                <w:lang w:val="en-CA"/>
              </w:rPr>
              <w:t>24.32</w:t>
            </w:r>
          </w:p>
        </w:tc>
      </w:tr>
    </w:tbl>
    <w:p w:rsidR="000B3FC8" w:rsidRPr="003814E6" w:rsidRDefault="000B3FC8" w:rsidP="000B3FC8">
      <w:pPr>
        <w:spacing w:after="60"/>
        <w:jc w:val="center"/>
        <w:rPr>
          <w:sz w:val="18"/>
          <w:szCs w:val="18"/>
          <w:lang w:val="en-US"/>
        </w:rPr>
      </w:pPr>
    </w:p>
    <w:tbl>
      <w:tblPr>
        <w:tblStyle w:val="TableGrid"/>
        <w:bidiVisual/>
        <w:tblW w:w="5507" w:type="pct"/>
        <w:tblInd w:w="-444" w:type="dxa"/>
        <w:tblLook w:val="04A0" w:firstRow="1" w:lastRow="0" w:firstColumn="1" w:lastColumn="0" w:noHBand="0" w:noVBand="1"/>
      </w:tblPr>
      <w:tblGrid>
        <w:gridCol w:w="938"/>
        <w:gridCol w:w="4432"/>
        <w:gridCol w:w="1184"/>
        <w:gridCol w:w="1188"/>
        <w:gridCol w:w="1184"/>
        <w:gridCol w:w="1372"/>
      </w:tblGrid>
      <w:tr w:rsidR="006C4AD0" w:rsidRPr="003814E6" w:rsidTr="008251D2">
        <w:trPr>
          <w:trHeight w:val="251"/>
        </w:trPr>
        <w:tc>
          <w:tcPr>
            <w:tcW w:w="2607" w:type="pct"/>
            <w:gridSpan w:val="2"/>
            <w:shd w:val="clear" w:color="auto" w:fill="auto"/>
          </w:tcPr>
          <w:p w:rsidR="006C4AD0" w:rsidRPr="0051140D" w:rsidRDefault="006C4AD0" w:rsidP="00AD39A6">
            <w:pPr>
              <w:bidi/>
              <w:spacing w:after="60"/>
              <w:jc w:val="left"/>
              <w:rPr>
                <w:bCs/>
                <w:color w:val="000000" w:themeColor="text1"/>
                <w:sz w:val="18"/>
                <w:szCs w:val="18"/>
              </w:rPr>
            </w:pPr>
            <w:r w:rsidRPr="0051140D">
              <w:rPr>
                <w:rFonts w:hint="cs"/>
                <w:bCs/>
                <w:color w:val="000000" w:themeColor="text1"/>
                <w:sz w:val="18"/>
                <w:szCs w:val="18"/>
                <w:rtl/>
              </w:rPr>
              <w:t>(</w:t>
            </w:r>
            <w:r w:rsidR="00AD39A6">
              <w:rPr>
                <w:rFonts w:hint="cs"/>
                <w:bCs/>
                <w:color w:val="000000" w:themeColor="text1"/>
                <w:sz w:val="18"/>
                <w:szCs w:val="18"/>
                <w:rtl/>
              </w:rPr>
              <w:t>خامسا</w:t>
            </w:r>
            <w:r w:rsidRPr="0051140D">
              <w:rPr>
                <w:rFonts w:hint="cs"/>
                <w:bCs/>
                <w:color w:val="000000" w:themeColor="text1"/>
                <w:sz w:val="18"/>
                <w:szCs w:val="18"/>
                <w:rtl/>
              </w:rPr>
              <w:t>) خطة الأعمال</w:t>
            </w:r>
          </w:p>
        </w:tc>
        <w:tc>
          <w:tcPr>
            <w:tcW w:w="575" w:type="pct"/>
            <w:shd w:val="clear" w:color="auto" w:fill="auto"/>
          </w:tcPr>
          <w:p w:rsidR="006C4AD0" w:rsidRPr="0071098A" w:rsidRDefault="006C4AD0" w:rsidP="002C6CC7">
            <w:pPr>
              <w:spacing w:after="60"/>
              <w:jc w:val="right"/>
              <w:rPr>
                <w:sz w:val="18"/>
                <w:lang w:val="en-CA"/>
              </w:rPr>
            </w:pPr>
            <w:r>
              <w:rPr>
                <w:rFonts w:hint="cs"/>
                <w:b/>
                <w:bCs/>
                <w:sz w:val="18"/>
                <w:rtl/>
                <w:lang w:val="en-CA"/>
              </w:rPr>
              <w:t>2019</w:t>
            </w:r>
          </w:p>
        </w:tc>
        <w:tc>
          <w:tcPr>
            <w:tcW w:w="577" w:type="pct"/>
            <w:shd w:val="clear" w:color="auto" w:fill="auto"/>
          </w:tcPr>
          <w:p w:rsidR="006C4AD0" w:rsidRPr="00790A44" w:rsidRDefault="006C4AD0" w:rsidP="00323F33">
            <w:pPr>
              <w:spacing w:after="60"/>
              <w:jc w:val="right"/>
              <w:rPr>
                <w:sz w:val="18"/>
                <w:lang w:val="en-CA"/>
              </w:rPr>
            </w:pPr>
            <w:r>
              <w:rPr>
                <w:rFonts w:hint="cs"/>
                <w:b/>
                <w:bCs/>
                <w:sz w:val="18"/>
                <w:rtl/>
                <w:lang w:val="en-CA"/>
              </w:rPr>
              <w:t>2020</w:t>
            </w:r>
          </w:p>
        </w:tc>
        <w:tc>
          <w:tcPr>
            <w:tcW w:w="575" w:type="pct"/>
            <w:shd w:val="clear" w:color="auto" w:fill="auto"/>
          </w:tcPr>
          <w:p w:rsidR="006C4AD0" w:rsidRPr="006C4AD0" w:rsidRDefault="006C4AD0" w:rsidP="00323F33">
            <w:pPr>
              <w:spacing w:after="60"/>
              <w:jc w:val="right"/>
              <w:rPr>
                <w:b/>
                <w:bCs/>
                <w:sz w:val="18"/>
                <w:lang w:val="en-CA"/>
              </w:rPr>
            </w:pPr>
            <w:r w:rsidRPr="006C4AD0">
              <w:rPr>
                <w:rFonts w:hint="cs"/>
                <w:b/>
                <w:bCs/>
                <w:sz w:val="18"/>
                <w:rtl/>
                <w:lang w:val="en-CA"/>
              </w:rPr>
              <w:t>2021</w:t>
            </w:r>
          </w:p>
        </w:tc>
        <w:tc>
          <w:tcPr>
            <w:tcW w:w="666" w:type="pct"/>
          </w:tcPr>
          <w:p w:rsidR="006C4AD0" w:rsidRPr="00A0789D" w:rsidRDefault="006C4AD0" w:rsidP="00B84E7C">
            <w:pPr>
              <w:spacing w:after="60"/>
              <w:jc w:val="center"/>
              <w:rPr>
                <w:bCs/>
                <w:sz w:val="18"/>
                <w:rtl/>
                <w:lang w:val="en-US" w:bidi="ar-EG"/>
              </w:rPr>
            </w:pPr>
            <w:r w:rsidRPr="00A0789D">
              <w:rPr>
                <w:rFonts w:hint="cs"/>
                <w:bCs/>
                <w:sz w:val="18"/>
                <w:rtl/>
                <w:lang w:val="en-US" w:bidi="ar-EG"/>
              </w:rPr>
              <w:t>المجموع</w:t>
            </w:r>
          </w:p>
        </w:tc>
      </w:tr>
      <w:tr w:rsidR="001B1C02" w:rsidRPr="003814E6" w:rsidTr="008251D2">
        <w:trPr>
          <w:trHeight w:val="251"/>
        </w:trPr>
        <w:tc>
          <w:tcPr>
            <w:tcW w:w="455" w:type="pct"/>
            <w:vMerge w:val="restart"/>
            <w:shd w:val="clear" w:color="auto" w:fill="auto"/>
          </w:tcPr>
          <w:p w:rsidR="001B1C02" w:rsidRPr="003814E6" w:rsidRDefault="001B1C02" w:rsidP="001B1C02">
            <w:pPr>
              <w:spacing w:after="60"/>
              <w:jc w:val="center"/>
              <w:rPr>
                <w:color w:val="000000" w:themeColor="text1"/>
                <w:sz w:val="18"/>
                <w:szCs w:val="18"/>
                <w:rtl/>
                <w:lang w:bidi="ar-EG"/>
              </w:rPr>
            </w:pPr>
            <w:r>
              <w:rPr>
                <w:rFonts w:hint="cs"/>
                <w:color w:val="000000" w:themeColor="text1"/>
                <w:sz w:val="18"/>
                <w:szCs w:val="18"/>
                <w:rtl/>
                <w:lang w:bidi="ar-EG"/>
              </w:rPr>
              <w:t>يوئنديبي</w:t>
            </w:r>
          </w:p>
        </w:tc>
        <w:tc>
          <w:tcPr>
            <w:tcW w:w="2152" w:type="pct"/>
            <w:shd w:val="clear" w:color="auto" w:fill="auto"/>
          </w:tcPr>
          <w:p w:rsidR="001B1C02" w:rsidRPr="003814E6" w:rsidRDefault="001B1C02" w:rsidP="001B1C02">
            <w:pPr>
              <w:bidi/>
              <w:spacing w:after="60"/>
              <w:jc w:val="left"/>
              <w:rPr>
                <w:color w:val="000000" w:themeColor="text1"/>
                <w:sz w:val="18"/>
                <w:szCs w:val="18"/>
              </w:rPr>
            </w:pPr>
            <w:r>
              <w:rPr>
                <w:rFonts w:hint="cs"/>
                <w:color w:val="000000" w:themeColor="text1"/>
                <w:sz w:val="18"/>
                <w:szCs w:val="18"/>
                <w:rtl/>
              </w:rPr>
              <w:t>إزالة المواد المستنفدة للأوزون (طن من قدرات استنفاد الأوزون)</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14.89</w:t>
            </w:r>
          </w:p>
        </w:tc>
        <w:tc>
          <w:tcPr>
            <w:tcW w:w="577"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6.02</w:t>
            </w:r>
          </w:p>
        </w:tc>
        <w:tc>
          <w:tcPr>
            <w:tcW w:w="666" w:type="pct"/>
          </w:tcPr>
          <w:p w:rsidR="001B1C02" w:rsidRPr="0011020F" w:rsidRDefault="001B1C02" w:rsidP="001B1C02">
            <w:pPr>
              <w:spacing w:after="60"/>
              <w:jc w:val="right"/>
              <w:rPr>
                <w:sz w:val="16"/>
                <w:szCs w:val="16"/>
                <w:lang w:val="en-CA"/>
              </w:rPr>
            </w:pPr>
            <w:r w:rsidRPr="0011020F">
              <w:rPr>
                <w:noProof/>
                <w:sz w:val="16"/>
                <w:szCs w:val="16"/>
                <w:lang w:val="en-CA"/>
              </w:rPr>
              <w:t>20.91</w:t>
            </w:r>
          </w:p>
        </w:tc>
      </w:tr>
      <w:tr w:rsidR="001B1C02" w:rsidRPr="003814E6" w:rsidTr="008251D2">
        <w:trPr>
          <w:trHeight w:val="251"/>
        </w:trPr>
        <w:tc>
          <w:tcPr>
            <w:tcW w:w="455" w:type="pct"/>
            <w:vMerge/>
            <w:shd w:val="clear" w:color="auto" w:fill="auto"/>
          </w:tcPr>
          <w:p w:rsidR="001B1C02" w:rsidRPr="003814E6" w:rsidRDefault="001B1C02" w:rsidP="001B1C02">
            <w:pPr>
              <w:spacing w:after="60"/>
              <w:jc w:val="center"/>
              <w:rPr>
                <w:color w:val="000000" w:themeColor="text1"/>
                <w:sz w:val="18"/>
                <w:szCs w:val="18"/>
              </w:rPr>
            </w:pPr>
          </w:p>
        </w:tc>
        <w:tc>
          <w:tcPr>
            <w:tcW w:w="2152" w:type="pct"/>
            <w:shd w:val="clear" w:color="auto" w:fill="auto"/>
          </w:tcPr>
          <w:p w:rsidR="001B1C02" w:rsidRPr="003814E6" w:rsidRDefault="001B1C02" w:rsidP="001B1C02">
            <w:pPr>
              <w:bidi/>
              <w:spacing w:after="60"/>
              <w:jc w:val="left"/>
              <w:rPr>
                <w:color w:val="000000" w:themeColor="text1"/>
                <w:sz w:val="18"/>
                <w:szCs w:val="18"/>
              </w:rPr>
            </w:pPr>
            <w:r>
              <w:rPr>
                <w:rFonts w:hint="cs"/>
                <w:color w:val="000000" w:themeColor="text1"/>
                <w:sz w:val="18"/>
                <w:szCs w:val="18"/>
                <w:rtl/>
              </w:rPr>
              <w:t>التمويل (دولار أمريكي)</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680,251</w:t>
            </w:r>
          </w:p>
        </w:tc>
        <w:tc>
          <w:tcPr>
            <w:tcW w:w="577"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275,133</w:t>
            </w:r>
          </w:p>
        </w:tc>
        <w:tc>
          <w:tcPr>
            <w:tcW w:w="666" w:type="pct"/>
          </w:tcPr>
          <w:p w:rsidR="001B1C02" w:rsidRPr="0011020F" w:rsidRDefault="001B1C02" w:rsidP="001B1C02">
            <w:pPr>
              <w:spacing w:after="60"/>
              <w:jc w:val="right"/>
              <w:rPr>
                <w:sz w:val="16"/>
                <w:szCs w:val="16"/>
                <w:lang w:val="en-CA"/>
              </w:rPr>
            </w:pPr>
            <w:r w:rsidRPr="0011020F">
              <w:rPr>
                <w:noProof/>
                <w:sz w:val="16"/>
                <w:szCs w:val="16"/>
                <w:lang w:val="en-CA"/>
              </w:rPr>
              <w:t>955,384</w:t>
            </w:r>
          </w:p>
        </w:tc>
      </w:tr>
      <w:tr w:rsidR="001B1C02" w:rsidRPr="003814E6" w:rsidTr="008251D2">
        <w:trPr>
          <w:trHeight w:val="251"/>
        </w:trPr>
        <w:tc>
          <w:tcPr>
            <w:tcW w:w="455" w:type="pct"/>
            <w:vMerge w:val="restart"/>
            <w:shd w:val="clear" w:color="auto" w:fill="auto"/>
          </w:tcPr>
          <w:p w:rsidR="001B1C02" w:rsidRPr="003814E6" w:rsidRDefault="001B1C02" w:rsidP="001B1C02">
            <w:pPr>
              <w:spacing w:after="60"/>
              <w:jc w:val="center"/>
              <w:rPr>
                <w:color w:val="000000" w:themeColor="text1"/>
                <w:sz w:val="18"/>
                <w:szCs w:val="18"/>
              </w:rPr>
            </w:pPr>
            <w:r>
              <w:rPr>
                <w:rFonts w:hint="cs"/>
                <w:color w:val="000000" w:themeColor="text1"/>
                <w:sz w:val="18"/>
                <w:szCs w:val="18"/>
                <w:rtl/>
              </w:rPr>
              <w:t>يونيب</w:t>
            </w:r>
          </w:p>
        </w:tc>
        <w:tc>
          <w:tcPr>
            <w:tcW w:w="2152" w:type="pct"/>
            <w:shd w:val="clear" w:color="auto" w:fill="auto"/>
          </w:tcPr>
          <w:p w:rsidR="001B1C02" w:rsidRPr="003814E6" w:rsidRDefault="001B1C02" w:rsidP="001B1C02">
            <w:pPr>
              <w:bidi/>
              <w:spacing w:after="60"/>
              <w:jc w:val="left"/>
              <w:rPr>
                <w:color w:val="000000" w:themeColor="text1"/>
                <w:sz w:val="18"/>
                <w:szCs w:val="18"/>
              </w:rPr>
            </w:pPr>
            <w:r>
              <w:rPr>
                <w:rFonts w:hint="cs"/>
                <w:color w:val="000000" w:themeColor="text1"/>
                <w:sz w:val="18"/>
                <w:szCs w:val="18"/>
                <w:rtl/>
              </w:rPr>
              <w:t>إزالة المواد المستنفدة للأوزون (طن من قدرات استنفاد الأوزون)</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1.17</w:t>
            </w:r>
          </w:p>
        </w:tc>
        <w:tc>
          <w:tcPr>
            <w:tcW w:w="577"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0.59</w:t>
            </w:r>
          </w:p>
        </w:tc>
        <w:tc>
          <w:tcPr>
            <w:tcW w:w="666" w:type="pct"/>
          </w:tcPr>
          <w:p w:rsidR="001B1C02" w:rsidRPr="0011020F" w:rsidRDefault="001B1C02" w:rsidP="001B1C02">
            <w:pPr>
              <w:spacing w:after="60"/>
              <w:jc w:val="right"/>
              <w:rPr>
                <w:sz w:val="16"/>
                <w:szCs w:val="16"/>
                <w:lang w:val="en-CA"/>
              </w:rPr>
            </w:pPr>
            <w:r w:rsidRPr="0011020F">
              <w:rPr>
                <w:noProof/>
                <w:sz w:val="16"/>
                <w:szCs w:val="16"/>
                <w:lang w:val="en-CA"/>
              </w:rPr>
              <w:t>1.76</w:t>
            </w:r>
          </w:p>
        </w:tc>
      </w:tr>
      <w:tr w:rsidR="001B1C02" w:rsidRPr="003814E6" w:rsidTr="008251D2">
        <w:trPr>
          <w:trHeight w:val="251"/>
        </w:trPr>
        <w:tc>
          <w:tcPr>
            <w:tcW w:w="455" w:type="pct"/>
            <w:vMerge/>
            <w:shd w:val="clear" w:color="auto" w:fill="auto"/>
          </w:tcPr>
          <w:p w:rsidR="001B1C02" w:rsidRPr="003814E6" w:rsidRDefault="001B1C02" w:rsidP="001B1C02">
            <w:pPr>
              <w:spacing w:after="60"/>
              <w:jc w:val="center"/>
              <w:rPr>
                <w:color w:val="000000" w:themeColor="text1"/>
                <w:sz w:val="18"/>
                <w:szCs w:val="18"/>
              </w:rPr>
            </w:pPr>
          </w:p>
        </w:tc>
        <w:tc>
          <w:tcPr>
            <w:tcW w:w="2152" w:type="pct"/>
            <w:shd w:val="clear" w:color="auto" w:fill="auto"/>
          </w:tcPr>
          <w:p w:rsidR="001B1C02" w:rsidRPr="003814E6" w:rsidRDefault="001B1C02" w:rsidP="001B1C02">
            <w:pPr>
              <w:bidi/>
              <w:spacing w:after="60"/>
              <w:jc w:val="left"/>
              <w:rPr>
                <w:color w:val="000000" w:themeColor="text1"/>
                <w:sz w:val="18"/>
                <w:szCs w:val="18"/>
              </w:rPr>
            </w:pPr>
            <w:r>
              <w:rPr>
                <w:rFonts w:hint="cs"/>
                <w:color w:val="000000" w:themeColor="text1"/>
                <w:sz w:val="18"/>
                <w:szCs w:val="18"/>
                <w:rtl/>
              </w:rPr>
              <w:t>التمويل (دولار أمريكي)</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56,500</w:t>
            </w:r>
          </w:p>
        </w:tc>
        <w:tc>
          <w:tcPr>
            <w:tcW w:w="577"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28,250</w:t>
            </w:r>
          </w:p>
        </w:tc>
        <w:tc>
          <w:tcPr>
            <w:tcW w:w="666" w:type="pct"/>
          </w:tcPr>
          <w:p w:rsidR="001B1C02" w:rsidRPr="0011020F" w:rsidRDefault="001B1C02" w:rsidP="001B1C02">
            <w:pPr>
              <w:spacing w:after="60"/>
              <w:jc w:val="right"/>
              <w:rPr>
                <w:sz w:val="16"/>
                <w:szCs w:val="16"/>
                <w:lang w:val="en-CA"/>
              </w:rPr>
            </w:pPr>
            <w:r w:rsidRPr="0011020F">
              <w:rPr>
                <w:noProof/>
                <w:sz w:val="16"/>
                <w:szCs w:val="16"/>
                <w:lang w:val="en-CA"/>
              </w:rPr>
              <w:t>84,750</w:t>
            </w:r>
          </w:p>
        </w:tc>
      </w:tr>
      <w:tr w:rsidR="001B1C02" w:rsidRPr="003814E6" w:rsidTr="008251D2">
        <w:trPr>
          <w:trHeight w:val="251"/>
        </w:trPr>
        <w:tc>
          <w:tcPr>
            <w:tcW w:w="455" w:type="pct"/>
            <w:vMerge w:val="restart"/>
            <w:shd w:val="clear" w:color="auto" w:fill="auto"/>
          </w:tcPr>
          <w:p w:rsidR="001B1C02" w:rsidRPr="003814E6" w:rsidRDefault="001B1C02" w:rsidP="001B1C02">
            <w:pPr>
              <w:spacing w:after="60"/>
              <w:jc w:val="center"/>
              <w:rPr>
                <w:color w:val="000000" w:themeColor="text1"/>
                <w:sz w:val="18"/>
                <w:szCs w:val="18"/>
              </w:rPr>
            </w:pPr>
            <w:r>
              <w:rPr>
                <w:rFonts w:hint="cs"/>
                <w:color w:val="000000" w:themeColor="text1"/>
                <w:sz w:val="18"/>
                <w:szCs w:val="18"/>
                <w:rtl/>
              </w:rPr>
              <w:t>ألمانيا</w:t>
            </w:r>
          </w:p>
        </w:tc>
        <w:tc>
          <w:tcPr>
            <w:tcW w:w="2152" w:type="pct"/>
            <w:shd w:val="clear" w:color="auto" w:fill="auto"/>
          </w:tcPr>
          <w:p w:rsidR="001B1C02" w:rsidRPr="003814E6" w:rsidRDefault="001B1C02" w:rsidP="001B1C02">
            <w:pPr>
              <w:bidi/>
              <w:spacing w:after="60"/>
              <w:jc w:val="left"/>
              <w:rPr>
                <w:color w:val="000000" w:themeColor="text1"/>
                <w:sz w:val="18"/>
                <w:szCs w:val="18"/>
              </w:rPr>
            </w:pPr>
            <w:r>
              <w:rPr>
                <w:rFonts w:hint="cs"/>
                <w:color w:val="000000" w:themeColor="text1"/>
                <w:sz w:val="18"/>
                <w:szCs w:val="18"/>
                <w:rtl/>
              </w:rPr>
              <w:t>إزالة المواد المستنفدة للأوزون (طن من قدرات استنفاد الأوزون)</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7"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1.27</w:t>
            </w:r>
          </w:p>
        </w:tc>
        <w:tc>
          <w:tcPr>
            <w:tcW w:w="666" w:type="pct"/>
          </w:tcPr>
          <w:p w:rsidR="001B1C02" w:rsidRPr="0011020F" w:rsidRDefault="001B1C02" w:rsidP="001B1C02">
            <w:pPr>
              <w:spacing w:after="60"/>
              <w:jc w:val="right"/>
              <w:rPr>
                <w:sz w:val="16"/>
                <w:szCs w:val="16"/>
                <w:lang w:val="en-CA"/>
              </w:rPr>
            </w:pPr>
            <w:r w:rsidRPr="0011020F">
              <w:rPr>
                <w:noProof/>
                <w:sz w:val="16"/>
                <w:szCs w:val="16"/>
                <w:lang w:val="en-CA"/>
              </w:rPr>
              <w:t>1.27</w:t>
            </w:r>
          </w:p>
        </w:tc>
      </w:tr>
      <w:tr w:rsidR="001B1C02" w:rsidRPr="003814E6" w:rsidTr="008251D2">
        <w:trPr>
          <w:trHeight w:val="251"/>
        </w:trPr>
        <w:tc>
          <w:tcPr>
            <w:tcW w:w="455" w:type="pct"/>
            <w:vMerge/>
            <w:shd w:val="clear" w:color="auto" w:fill="auto"/>
          </w:tcPr>
          <w:p w:rsidR="001B1C02" w:rsidRPr="003814E6" w:rsidRDefault="001B1C02" w:rsidP="001B1C02">
            <w:pPr>
              <w:spacing w:after="60"/>
              <w:jc w:val="center"/>
              <w:rPr>
                <w:color w:val="000000" w:themeColor="text1"/>
                <w:sz w:val="18"/>
                <w:szCs w:val="18"/>
              </w:rPr>
            </w:pPr>
          </w:p>
        </w:tc>
        <w:tc>
          <w:tcPr>
            <w:tcW w:w="2152" w:type="pct"/>
            <w:shd w:val="clear" w:color="auto" w:fill="auto"/>
          </w:tcPr>
          <w:p w:rsidR="001B1C02" w:rsidRPr="003814E6" w:rsidRDefault="001B1C02" w:rsidP="001B1C02">
            <w:pPr>
              <w:bidi/>
              <w:spacing w:after="60"/>
              <w:jc w:val="left"/>
              <w:rPr>
                <w:color w:val="000000" w:themeColor="text1"/>
                <w:sz w:val="18"/>
                <w:szCs w:val="18"/>
              </w:rPr>
            </w:pPr>
            <w:r>
              <w:rPr>
                <w:rFonts w:hint="cs"/>
                <w:color w:val="000000" w:themeColor="text1"/>
                <w:sz w:val="18"/>
                <w:szCs w:val="18"/>
                <w:rtl/>
              </w:rPr>
              <w:t>التمويل (دولار أمريكي)</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7"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0</w:t>
            </w:r>
          </w:p>
        </w:tc>
        <w:tc>
          <w:tcPr>
            <w:tcW w:w="575" w:type="pct"/>
            <w:shd w:val="clear" w:color="auto" w:fill="auto"/>
          </w:tcPr>
          <w:p w:rsidR="001B1C02" w:rsidRPr="0011020F" w:rsidRDefault="001B1C02" w:rsidP="001B1C02">
            <w:pPr>
              <w:spacing w:after="60"/>
              <w:jc w:val="right"/>
              <w:rPr>
                <w:sz w:val="16"/>
                <w:szCs w:val="16"/>
                <w:lang w:val="en-CA"/>
              </w:rPr>
            </w:pPr>
            <w:r w:rsidRPr="0011020F">
              <w:rPr>
                <w:sz w:val="16"/>
                <w:szCs w:val="16"/>
                <w:lang w:val="en-CA"/>
              </w:rPr>
              <w:t>61,273</w:t>
            </w:r>
          </w:p>
        </w:tc>
        <w:tc>
          <w:tcPr>
            <w:tcW w:w="666" w:type="pct"/>
          </w:tcPr>
          <w:p w:rsidR="001B1C02" w:rsidRPr="0011020F" w:rsidRDefault="001B1C02" w:rsidP="001B1C02">
            <w:pPr>
              <w:spacing w:after="60"/>
              <w:jc w:val="right"/>
              <w:rPr>
                <w:sz w:val="16"/>
                <w:szCs w:val="16"/>
                <w:lang w:val="en-CA"/>
              </w:rPr>
            </w:pPr>
            <w:r w:rsidRPr="0011020F">
              <w:rPr>
                <w:noProof/>
                <w:sz w:val="16"/>
                <w:szCs w:val="16"/>
                <w:lang w:val="en-CA"/>
              </w:rPr>
              <w:t>61,273</w:t>
            </w:r>
          </w:p>
        </w:tc>
      </w:tr>
    </w:tbl>
    <w:p w:rsidR="00E21316" w:rsidRDefault="00E21316" w:rsidP="00E21316">
      <w:pPr>
        <w:bidi/>
        <w:spacing w:after="60"/>
        <w:rPr>
          <w:sz w:val="20"/>
          <w:lang w:val="en-CA"/>
        </w:rPr>
      </w:pPr>
    </w:p>
    <w:tbl>
      <w:tblPr>
        <w:tblStyle w:val="TableGrid"/>
        <w:bidiVisual/>
        <w:tblW w:w="1040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08"/>
        <w:gridCol w:w="930"/>
        <w:gridCol w:w="1170"/>
        <w:gridCol w:w="978"/>
        <w:gridCol w:w="749"/>
        <w:gridCol w:w="900"/>
        <w:gridCol w:w="1009"/>
        <w:gridCol w:w="872"/>
        <w:gridCol w:w="872"/>
        <w:gridCol w:w="923"/>
        <w:gridCol w:w="990"/>
      </w:tblGrid>
      <w:tr w:rsidR="001B1C02" w:rsidRPr="004C20B6" w:rsidTr="001B1C02">
        <w:trPr>
          <w:jc w:val="center"/>
        </w:trPr>
        <w:tc>
          <w:tcPr>
            <w:tcW w:w="3108" w:type="dxa"/>
            <w:gridSpan w:val="3"/>
            <w:shd w:val="clear" w:color="auto" w:fill="auto"/>
          </w:tcPr>
          <w:p w:rsidR="001B1C02" w:rsidRPr="004A5C58" w:rsidRDefault="001B1C02" w:rsidP="00AD39A6">
            <w:pPr>
              <w:bidi/>
              <w:spacing w:after="60"/>
              <w:rPr>
                <w:bCs/>
                <w:sz w:val="17"/>
                <w:szCs w:val="17"/>
                <w:lang w:val="en-CA"/>
              </w:rPr>
            </w:pPr>
            <w:r w:rsidRPr="004A5C58">
              <w:rPr>
                <w:rFonts w:hint="cs"/>
                <w:bCs/>
                <w:sz w:val="17"/>
                <w:szCs w:val="17"/>
                <w:rtl/>
                <w:lang w:val="en-CA"/>
              </w:rPr>
              <w:t>(</w:t>
            </w:r>
            <w:r w:rsidR="00AD39A6">
              <w:rPr>
                <w:rFonts w:hint="cs"/>
                <w:bCs/>
                <w:sz w:val="17"/>
                <w:szCs w:val="17"/>
                <w:rtl/>
                <w:lang w:val="en-CA"/>
              </w:rPr>
              <w:t>سادسا</w:t>
            </w:r>
            <w:r w:rsidRPr="004A5C58">
              <w:rPr>
                <w:rFonts w:hint="cs"/>
                <w:bCs/>
                <w:sz w:val="17"/>
                <w:szCs w:val="17"/>
                <w:rtl/>
                <w:lang w:val="en-CA"/>
              </w:rPr>
              <w:t>) بيانات المشروع</w:t>
            </w:r>
          </w:p>
        </w:tc>
        <w:tc>
          <w:tcPr>
            <w:tcW w:w="978" w:type="dxa"/>
            <w:shd w:val="clear" w:color="auto" w:fill="auto"/>
          </w:tcPr>
          <w:p w:rsidR="001B1C02" w:rsidRPr="001B1C02" w:rsidRDefault="001B1C02" w:rsidP="001B1C02">
            <w:pPr>
              <w:bidi/>
              <w:spacing w:after="60"/>
              <w:jc w:val="left"/>
              <w:rPr>
                <w:b/>
                <w:sz w:val="18"/>
                <w:lang w:val="en-US"/>
              </w:rPr>
            </w:pPr>
            <w:r>
              <w:rPr>
                <w:b/>
                <w:sz w:val="18"/>
                <w:lang w:val="en-US"/>
              </w:rPr>
              <w:t>2015</w:t>
            </w:r>
          </w:p>
        </w:tc>
        <w:tc>
          <w:tcPr>
            <w:tcW w:w="749" w:type="dxa"/>
            <w:shd w:val="clear" w:color="auto" w:fill="auto"/>
          </w:tcPr>
          <w:p w:rsidR="001B1C02" w:rsidRPr="00790A44" w:rsidRDefault="001B1C02" w:rsidP="001B1C02">
            <w:pPr>
              <w:bidi/>
              <w:spacing w:after="60"/>
              <w:jc w:val="left"/>
              <w:rPr>
                <w:b/>
                <w:sz w:val="18"/>
                <w:lang w:val="en-CA"/>
              </w:rPr>
            </w:pPr>
            <w:r w:rsidRPr="00790A44">
              <w:rPr>
                <w:b/>
                <w:sz w:val="18"/>
                <w:lang w:val="en-CA"/>
              </w:rPr>
              <w:t>2016</w:t>
            </w:r>
          </w:p>
        </w:tc>
        <w:tc>
          <w:tcPr>
            <w:tcW w:w="900" w:type="dxa"/>
            <w:shd w:val="clear" w:color="auto" w:fill="auto"/>
          </w:tcPr>
          <w:p w:rsidR="001B1C02" w:rsidRPr="00790A44" w:rsidRDefault="001B1C02" w:rsidP="001B1C02">
            <w:pPr>
              <w:bidi/>
              <w:spacing w:after="60"/>
              <w:jc w:val="left"/>
              <w:rPr>
                <w:b/>
                <w:sz w:val="18"/>
                <w:lang w:val="en-CA"/>
              </w:rPr>
            </w:pPr>
            <w:r w:rsidRPr="00790A44">
              <w:rPr>
                <w:b/>
                <w:sz w:val="18"/>
                <w:lang w:val="en-CA"/>
              </w:rPr>
              <w:t>2017</w:t>
            </w:r>
          </w:p>
        </w:tc>
        <w:tc>
          <w:tcPr>
            <w:tcW w:w="1009" w:type="dxa"/>
            <w:shd w:val="clear" w:color="auto" w:fill="auto"/>
          </w:tcPr>
          <w:p w:rsidR="001B1C02" w:rsidRPr="00790A44" w:rsidRDefault="001B1C02" w:rsidP="001B1C02">
            <w:pPr>
              <w:bidi/>
              <w:spacing w:after="60"/>
              <w:jc w:val="left"/>
              <w:rPr>
                <w:b/>
                <w:sz w:val="18"/>
                <w:lang w:val="en-CA"/>
              </w:rPr>
            </w:pPr>
            <w:r w:rsidRPr="00790A44">
              <w:rPr>
                <w:b/>
                <w:sz w:val="18"/>
                <w:lang w:val="en-CA"/>
              </w:rPr>
              <w:t>2018</w:t>
            </w:r>
          </w:p>
        </w:tc>
        <w:tc>
          <w:tcPr>
            <w:tcW w:w="872" w:type="dxa"/>
            <w:shd w:val="clear" w:color="auto" w:fill="auto"/>
          </w:tcPr>
          <w:p w:rsidR="001B1C02" w:rsidRPr="00790A44" w:rsidRDefault="001B1C02" w:rsidP="001B1C02">
            <w:pPr>
              <w:bidi/>
              <w:spacing w:after="60"/>
              <w:jc w:val="left"/>
              <w:rPr>
                <w:b/>
                <w:sz w:val="18"/>
                <w:lang w:val="en-CA"/>
              </w:rPr>
            </w:pPr>
            <w:r w:rsidRPr="00790A44">
              <w:rPr>
                <w:b/>
                <w:sz w:val="18"/>
                <w:lang w:val="en-CA"/>
              </w:rPr>
              <w:t>2019</w:t>
            </w:r>
          </w:p>
        </w:tc>
        <w:tc>
          <w:tcPr>
            <w:tcW w:w="872" w:type="dxa"/>
          </w:tcPr>
          <w:p w:rsidR="001B1C02" w:rsidRPr="00790A44" w:rsidRDefault="001B1C02" w:rsidP="001B1C02">
            <w:pPr>
              <w:bidi/>
              <w:spacing w:after="60"/>
              <w:jc w:val="left"/>
              <w:rPr>
                <w:b/>
                <w:sz w:val="18"/>
                <w:lang w:val="en-CA"/>
              </w:rPr>
            </w:pPr>
            <w:r w:rsidRPr="00790A44">
              <w:rPr>
                <w:b/>
                <w:sz w:val="18"/>
                <w:lang w:val="en-CA"/>
              </w:rPr>
              <w:t>2020</w:t>
            </w:r>
          </w:p>
        </w:tc>
        <w:tc>
          <w:tcPr>
            <w:tcW w:w="923" w:type="dxa"/>
          </w:tcPr>
          <w:p w:rsidR="001B1C02" w:rsidRPr="003F1105" w:rsidRDefault="001B1C02" w:rsidP="001B1C02">
            <w:pPr>
              <w:bidi/>
              <w:spacing w:after="60"/>
              <w:jc w:val="left"/>
              <w:rPr>
                <w:bCs/>
                <w:sz w:val="19"/>
                <w:szCs w:val="19"/>
                <w:rtl/>
                <w:lang w:val="en-CA"/>
              </w:rPr>
            </w:pPr>
            <w:r>
              <w:rPr>
                <w:rFonts w:hint="cs"/>
                <w:bCs/>
                <w:sz w:val="19"/>
                <w:szCs w:val="19"/>
                <w:rtl/>
                <w:lang w:val="en-CA"/>
              </w:rPr>
              <w:t>2021</w:t>
            </w:r>
          </w:p>
        </w:tc>
        <w:tc>
          <w:tcPr>
            <w:tcW w:w="990" w:type="dxa"/>
            <w:shd w:val="clear" w:color="auto" w:fill="auto"/>
          </w:tcPr>
          <w:p w:rsidR="001B1C02" w:rsidRPr="003F1105" w:rsidRDefault="001B1C02" w:rsidP="001B1C02">
            <w:pPr>
              <w:bidi/>
              <w:spacing w:after="60"/>
              <w:jc w:val="left"/>
              <w:rPr>
                <w:bCs/>
                <w:sz w:val="19"/>
                <w:szCs w:val="19"/>
                <w:lang w:val="en-CA"/>
              </w:rPr>
            </w:pPr>
            <w:r w:rsidRPr="003F1105">
              <w:rPr>
                <w:rFonts w:hint="cs"/>
                <w:bCs/>
                <w:sz w:val="19"/>
                <w:szCs w:val="19"/>
                <w:rtl/>
                <w:lang w:val="en-CA"/>
              </w:rPr>
              <w:t>المجموع</w:t>
            </w:r>
          </w:p>
        </w:tc>
      </w:tr>
      <w:tr w:rsidR="001B1C02" w:rsidRPr="004C20B6" w:rsidTr="001B1C02">
        <w:trPr>
          <w:jc w:val="center"/>
        </w:trPr>
        <w:tc>
          <w:tcPr>
            <w:tcW w:w="3108" w:type="dxa"/>
            <w:gridSpan w:val="3"/>
            <w:shd w:val="clear" w:color="auto" w:fill="auto"/>
          </w:tcPr>
          <w:p w:rsidR="001B1C02" w:rsidRPr="00551ABA" w:rsidRDefault="001B1C02" w:rsidP="001B1C02">
            <w:pPr>
              <w:bidi/>
              <w:spacing w:after="60"/>
              <w:rPr>
                <w:color w:val="000000" w:themeColor="text1"/>
                <w:sz w:val="17"/>
                <w:szCs w:val="17"/>
              </w:rPr>
            </w:pPr>
            <w:r w:rsidRPr="00551ABA">
              <w:rPr>
                <w:rFonts w:hint="cs"/>
                <w:color w:val="000000" w:themeColor="text1"/>
                <w:sz w:val="17"/>
                <w:szCs w:val="17"/>
                <w:rtl/>
              </w:rPr>
              <w:t>حدود الاستهلاك في بروتوكول مونتريال</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146.62</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146.62</w:t>
            </w:r>
          </w:p>
        </w:tc>
        <w:tc>
          <w:tcPr>
            <w:tcW w:w="990" w:type="dxa"/>
            <w:shd w:val="clear" w:color="auto" w:fill="auto"/>
          </w:tcPr>
          <w:p w:rsidR="001B1C02" w:rsidRPr="00022F7C" w:rsidRDefault="001B1C02" w:rsidP="001B1C02">
            <w:pPr>
              <w:pStyle w:val="StyleHeader4Para4Left0Firstline0"/>
              <w:numPr>
                <w:ilvl w:val="0"/>
                <w:numId w:val="0"/>
              </w:numPr>
              <w:bidi/>
              <w:spacing w:after="60"/>
              <w:jc w:val="left"/>
              <w:rPr>
                <w:sz w:val="18"/>
              </w:rPr>
            </w:pPr>
            <w:r>
              <w:rPr>
                <w:rFonts w:hint="cs"/>
                <w:sz w:val="18"/>
                <w:rtl/>
              </w:rPr>
              <w:t>لا ينطبق</w:t>
            </w:r>
          </w:p>
        </w:tc>
      </w:tr>
      <w:tr w:rsidR="001B1C02" w:rsidRPr="004C20B6" w:rsidTr="001B1C02">
        <w:trPr>
          <w:jc w:val="center"/>
        </w:trPr>
        <w:tc>
          <w:tcPr>
            <w:tcW w:w="3108" w:type="dxa"/>
            <w:gridSpan w:val="3"/>
            <w:shd w:val="clear" w:color="auto" w:fill="auto"/>
          </w:tcPr>
          <w:p w:rsidR="001B1C02" w:rsidRPr="00551ABA" w:rsidRDefault="001B1C02" w:rsidP="001B1C02">
            <w:pPr>
              <w:bidi/>
              <w:rPr>
                <w:color w:val="000000" w:themeColor="text1"/>
                <w:sz w:val="17"/>
                <w:szCs w:val="17"/>
              </w:rPr>
            </w:pPr>
            <w:r w:rsidRPr="00551ABA">
              <w:rPr>
                <w:rFonts w:hint="cs"/>
                <w:color w:val="000000" w:themeColor="text1"/>
                <w:sz w:val="17"/>
                <w:szCs w:val="17"/>
                <w:rtl/>
              </w:rPr>
              <w:t>الحد الأقصى للاستهلاك المسموح به (طن من قدرات استنفاد الأوزون)</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203.01</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90.24</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78.96</w:t>
            </w:r>
          </w:p>
        </w:tc>
        <w:tc>
          <w:tcPr>
            <w:tcW w:w="990" w:type="dxa"/>
            <w:shd w:val="clear" w:color="auto" w:fill="auto"/>
          </w:tcPr>
          <w:p w:rsidR="001B1C02" w:rsidRPr="00022F7C" w:rsidRDefault="001B1C02" w:rsidP="001B1C02">
            <w:pPr>
              <w:pStyle w:val="StyleHeader4Para4Left0Firstline0"/>
              <w:numPr>
                <w:ilvl w:val="0"/>
                <w:numId w:val="0"/>
              </w:numPr>
              <w:bidi/>
              <w:spacing w:after="60"/>
              <w:jc w:val="left"/>
              <w:rPr>
                <w:sz w:val="18"/>
              </w:rPr>
            </w:pPr>
            <w:r>
              <w:rPr>
                <w:rFonts w:hint="cs"/>
                <w:sz w:val="18"/>
                <w:rtl/>
              </w:rPr>
              <w:t>لا ينطبق</w:t>
            </w:r>
          </w:p>
        </w:tc>
      </w:tr>
      <w:tr w:rsidR="001B1C02" w:rsidRPr="004C20B6" w:rsidTr="001B1C02">
        <w:trPr>
          <w:jc w:val="center"/>
        </w:trPr>
        <w:tc>
          <w:tcPr>
            <w:tcW w:w="1008" w:type="dxa"/>
            <w:vMerge w:val="restart"/>
            <w:shd w:val="clear" w:color="auto" w:fill="auto"/>
          </w:tcPr>
          <w:p w:rsidR="001B1C02" w:rsidRPr="00551ABA" w:rsidRDefault="001B1C02" w:rsidP="001B1C02">
            <w:pPr>
              <w:bidi/>
              <w:spacing w:after="60"/>
              <w:rPr>
                <w:sz w:val="17"/>
                <w:szCs w:val="17"/>
                <w:lang w:val="en-US"/>
              </w:rPr>
            </w:pPr>
            <w:r w:rsidRPr="00551ABA">
              <w:rPr>
                <w:rFonts w:hint="cs"/>
                <w:sz w:val="17"/>
                <w:szCs w:val="17"/>
                <w:rtl/>
                <w:lang w:val="en-US"/>
              </w:rPr>
              <w:t>التمويل الموافق عليه (بالدولار الأمريكي)</w:t>
            </w:r>
          </w:p>
        </w:tc>
        <w:tc>
          <w:tcPr>
            <w:tcW w:w="930" w:type="dxa"/>
            <w:vMerge w:val="restart"/>
            <w:shd w:val="clear" w:color="auto" w:fill="auto"/>
          </w:tcPr>
          <w:p w:rsidR="001B1C02" w:rsidRPr="00551ABA" w:rsidRDefault="001B1C02" w:rsidP="001B1C02">
            <w:pPr>
              <w:bidi/>
              <w:spacing w:after="60"/>
              <w:jc w:val="left"/>
              <w:rPr>
                <w:sz w:val="17"/>
                <w:szCs w:val="17"/>
                <w:rtl/>
                <w:lang w:val="en-US" w:bidi="ar-EG"/>
              </w:rPr>
            </w:pPr>
            <w:r>
              <w:rPr>
                <w:rFonts w:hint="cs"/>
                <w:sz w:val="17"/>
                <w:szCs w:val="17"/>
                <w:rtl/>
                <w:lang w:val="en-US" w:bidi="ar-EG"/>
              </w:rPr>
              <w:t>البنك الدولي</w:t>
            </w:r>
          </w:p>
        </w:tc>
        <w:tc>
          <w:tcPr>
            <w:tcW w:w="1170" w:type="dxa"/>
            <w:shd w:val="clear" w:color="auto" w:fill="auto"/>
          </w:tcPr>
          <w:p w:rsidR="001B1C02" w:rsidRPr="00551ABA" w:rsidRDefault="001B1C02" w:rsidP="001B1C02">
            <w:pPr>
              <w:bidi/>
              <w:spacing w:after="60"/>
              <w:rPr>
                <w:sz w:val="17"/>
                <w:szCs w:val="17"/>
                <w:lang w:val="en-US"/>
              </w:rPr>
            </w:pPr>
            <w:r w:rsidRPr="00551ABA">
              <w:rPr>
                <w:rFonts w:hint="cs"/>
                <w:sz w:val="17"/>
                <w:szCs w:val="17"/>
                <w:rtl/>
                <w:lang w:val="en-US"/>
              </w:rPr>
              <w:t>تكاليف المشروع</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2,342,591</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1,268,007</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635,749</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257,134</w:t>
            </w: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4,503,481</w:t>
            </w:r>
          </w:p>
        </w:tc>
      </w:tr>
      <w:tr w:rsidR="001B1C02" w:rsidRPr="004C20B6" w:rsidTr="001B1C02">
        <w:trPr>
          <w:jc w:val="center"/>
        </w:trPr>
        <w:tc>
          <w:tcPr>
            <w:tcW w:w="1008" w:type="dxa"/>
            <w:vMerge/>
            <w:shd w:val="clear" w:color="auto" w:fill="auto"/>
          </w:tcPr>
          <w:p w:rsidR="001B1C02" w:rsidRPr="00551ABA" w:rsidRDefault="001B1C02" w:rsidP="001B1C02">
            <w:pPr>
              <w:bidi/>
              <w:spacing w:after="60"/>
              <w:jc w:val="left"/>
              <w:rPr>
                <w:sz w:val="17"/>
                <w:szCs w:val="17"/>
                <w:lang w:val="en-CA"/>
              </w:rPr>
            </w:pPr>
          </w:p>
        </w:tc>
        <w:tc>
          <w:tcPr>
            <w:tcW w:w="930" w:type="dxa"/>
            <w:vMerge/>
            <w:shd w:val="clear" w:color="auto" w:fill="auto"/>
          </w:tcPr>
          <w:p w:rsidR="001B1C02" w:rsidRPr="00551ABA" w:rsidRDefault="001B1C02" w:rsidP="001B1C02">
            <w:pPr>
              <w:bidi/>
              <w:spacing w:after="60"/>
              <w:jc w:val="left"/>
              <w:rPr>
                <w:sz w:val="17"/>
                <w:szCs w:val="17"/>
                <w:lang w:val="en-CA"/>
              </w:rPr>
            </w:pPr>
          </w:p>
        </w:tc>
        <w:tc>
          <w:tcPr>
            <w:tcW w:w="1170" w:type="dxa"/>
            <w:shd w:val="clear" w:color="auto" w:fill="auto"/>
          </w:tcPr>
          <w:p w:rsidR="001B1C02" w:rsidRPr="00551ABA" w:rsidRDefault="001B1C02" w:rsidP="001B1C02">
            <w:pPr>
              <w:bidi/>
              <w:spacing w:after="60"/>
              <w:rPr>
                <w:sz w:val="17"/>
                <w:szCs w:val="17"/>
                <w:lang w:val="en-CA"/>
              </w:rPr>
            </w:pPr>
            <w:r w:rsidRPr="00551ABA">
              <w:rPr>
                <w:rFonts w:hint="cs"/>
                <w:sz w:val="17"/>
                <w:szCs w:val="17"/>
                <w:rtl/>
                <w:lang w:val="en-US"/>
              </w:rPr>
              <w:t>تكاليف الدعم</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163,981</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88,761</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44,502</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17,999</w:t>
            </w: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315,244</w:t>
            </w:r>
          </w:p>
        </w:tc>
      </w:tr>
      <w:tr w:rsidR="001B1C02" w:rsidRPr="004C20B6" w:rsidTr="001B1C02">
        <w:trPr>
          <w:jc w:val="center"/>
        </w:trPr>
        <w:tc>
          <w:tcPr>
            <w:tcW w:w="1008" w:type="dxa"/>
            <w:vMerge/>
            <w:shd w:val="clear" w:color="auto" w:fill="auto"/>
          </w:tcPr>
          <w:p w:rsidR="001B1C02" w:rsidRPr="00551ABA" w:rsidRDefault="001B1C02" w:rsidP="001B1C02">
            <w:pPr>
              <w:bidi/>
              <w:spacing w:after="60"/>
              <w:rPr>
                <w:sz w:val="17"/>
                <w:szCs w:val="17"/>
                <w:lang w:val="en-US"/>
              </w:rPr>
            </w:pPr>
          </w:p>
        </w:tc>
        <w:tc>
          <w:tcPr>
            <w:tcW w:w="930" w:type="dxa"/>
            <w:vMerge w:val="restart"/>
            <w:shd w:val="clear" w:color="auto" w:fill="auto"/>
          </w:tcPr>
          <w:p w:rsidR="001B1C02" w:rsidRPr="00551ABA" w:rsidRDefault="001B1C02" w:rsidP="001B1C02">
            <w:pPr>
              <w:bidi/>
              <w:spacing w:after="60"/>
              <w:jc w:val="left"/>
              <w:rPr>
                <w:sz w:val="17"/>
                <w:szCs w:val="17"/>
                <w:rtl/>
                <w:lang w:val="en-US" w:bidi="ar-EG"/>
              </w:rPr>
            </w:pPr>
            <w:r>
              <w:rPr>
                <w:rFonts w:hint="cs"/>
                <w:sz w:val="17"/>
                <w:szCs w:val="17"/>
                <w:rtl/>
                <w:lang w:val="en-US" w:bidi="ar-EG"/>
              </w:rPr>
              <w:t>يونيدو</w:t>
            </w:r>
          </w:p>
        </w:tc>
        <w:tc>
          <w:tcPr>
            <w:tcW w:w="1170" w:type="dxa"/>
            <w:shd w:val="clear" w:color="auto" w:fill="auto"/>
          </w:tcPr>
          <w:p w:rsidR="001B1C02" w:rsidRPr="00551ABA" w:rsidRDefault="001B1C02" w:rsidP="001B1C02">
            <w:pPr>
              <w:bidi/>
              <w:spacing w:after="60"/>
              <w:rPr>
                <w:sz w:val="17"/>
                <w:szCs w:val="17"/>
                <w:lang w:val="en-US"/>
              </w:rPr>
            </w:pPr>
            <w:r w:rsidRPr="00551ABA">
              <w:rPr>
                <w:rFonts w:hint="cs"/>
                <w:sz w:val="17"/>
                <w:szCs w:val="17"/>
                <w:rtl/>
                <w:lang w:val="en-US"/>
              </w:rPr>
              <w:t>تكاليف المشروع</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50,000</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50,000</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50,000</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25,000</w:t>
            </w: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175,000</w:t>
            </w:r>
          </w:p>
        </w:tc>
      </w:tr>
      <w:tr w:rsidR="001B1C02" w:rsidRPr="004C20B6" w:rsidTr="001B1C02">
        <w:trPr>
          <w:jc w:val="center"/>
        </w:trPr>
        <w:tc>
          <w:tcPr>
            <w:tcW w:w="1008" w:type="dxa"/>
            <w:vMerge/>
            <w:shd w:val="clear" w:color="auto" w:fill="auto"/>
          </w:tcPr>
          <w:p w:rsidR="001B1C02" w:rsidRPr="00551ABA" w:rsidRDefault="001B1C02" w:rsidP="001B1C02">
            <w:pPr>
              <w:bidi/>
              <w:spacing w:after="60"/>
              <w:jc w:val="left"/>
              <w:rPr>
                <w:sz w:val="17"/>
                <w:szCs w:val="17"/>
                <w:lang w:val="en-CA"/>
              </w:rPr>
            </w:pPr>
          </w:p>
        </w:tc>
        <w:tc>
          <w:tcPr>
            <w:tcW w:w="930" w:type="dxa"/>
            <w:vMerge/>
            <w:shd w:val="clear" w:color="auto" w:fill="auto"/>
          </w:tcPr>
          <w:p w:rsidR="001B1C02" w:rsidRPr="00551ABA" w:rsidRDefault="001B1C02" w:rsidP="001B1C02">
            <w:pPr>
              <w:bidi/>
              <w:spacing w:after="60"/>
              <w:jc w:val="left"/>
              <w:rPr>
                <w:sz w:val="17"/>
                <w:szCs w:val="17"/>
                <w:lang w:val="en-CA"/>
              </w:rPr>
            </w:pPr>
          </w:p>
        </w:tc>
        <w:tc>
          <w:tcPr>
            <w:tcW w:w="1170" w:type="dxa"/>
            <w:shd w:val="clear" w:color="auto" w:fill="auto"/>
          </w:tcPr>
          <w:p w:rsidR="001B1C02" w:rsidRPr="00551ABA" w:rsidRDefault="001B1C02" w:rsidP="001B1C02">
            <w:pPr>
              <w:bidi/>
              <w:spacing w:after="60"/>
              <w:rPr>
                <w:sz w:val="17"/>
                <w:szCs w:val="17"/>
                <w:lang w:val="en-CA"/>
              </w:rPr>
            </w:pPr>
            <w:r w:rsidRPr="00551ABA">
              <w:rPr>
                <w:rFonts w:hint="cs"/>
                <w:sz w:val="17"/>
                <w:szCs w:val="17"/>
                <w:rtl/>
                <w:lang w:val="en-US"/>
              </w:rPr>
              <w:t>تكاليف الدعم</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6,500</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6,500</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6,500</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3,250</w:t>
            </w: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22,750</w:t>
            </w:r>
          </w:p>
        </w:tc>
      </w:tr>
      <w:tr w:rsidR="001B1C02" w:rsidRPr="004C20B6" w:rsidTr="001B1C02">
        <w:trPr>
          <w:jc w:val="center"/>
        </w:trPr>
        <w:tc>
          <w:tcPr>
            <w:tcW w:w="1008" w:type="dxa"/>
            <w:vMerge/>
            <w:shd w:val="clear" w:color="auto" w:fill="auto"/>
          </w:tcPr>
          <w:p w:rsidR="001B1C02" w:rsidRDefault="001B1C02" w:rsidP="001B1C02">
            <w:pPr>
              <w:bidi/>
              <w:spacing w:after="60"/>
              <w:rPr>
                <w:sz w:val="17"/>
                <w:szCs w:val="17"/>
                <w:rtl/>
                <w:lang w:val="en-CA" w:bidi="ar-EG"/>
              </w:rPr>
            </w:pPr>
          </w:p>
        </w:tc>
        <w:tc>
          <w:tcPr>
            <w:tcW w:w="930" w:type="dxa"/>
            <w:vMerge w:val="restart"/>
            <w:shd w:val="clear" w:color="auto" w:fill="auto"/>
          </w:tcPr>
          <w:p w:rsidR="001B1C02" w:rsidRDefault="001B1C02" w:rsidP="001B1C02">
            <w:pPr>
              <w:bidi/>
              <w:spacing w:after="60"/>
              <w:rPr>
                <w:sz w:val="17"/>
                <w:szCs w:val="17"/>
                <w:rtl/>
                <w:lang w:val="en-CA" w:bidi="ar-EG"/>
              </w:rPr>
            </w:pPr>
            <w:r>
              <w:rPr>
                <w:rFonts w:hint="cs"/>
                <w:sz w:val="17"/>
                <w:szCs w:val="17"/>
                <w:rtl/>
                <w:lang w:val="en-CA" w:bidi="ar-EG"/>
              </w:rPr>
              <w:t>ألمانيا</w:t>
            </w:r>
          </w:p>
        </w:tc>
        <w:tc>
          <w:tcPr>
            <w:tcW w:w="1170" w:type="dxa"/>
            <w:shd w:val="clear" w:color="auto" w:fill="auto"/>
          </w:tcPr>
          <w:p w:rsidR="001B1C02" w:rsidRPr="00551ABA" w:rsidRDefault="001B1C02" w:rsidP="001B1C02">
            <w:pPr>
              <w:bidi/>
              <w:spacing w:after="60"/>
              <w:rPr>
                <w:sz w:val="17"/>
                <w:szCs w:val="17"/>
                <w:lang w:val="en-US"/>
              </w:rPr>
            </w:pPr>
            <w:r w:rsidRPr="00551ABA">
              <w:rPr>
                <w:rFonts w:hint="cs"/>
                <w:sz w:val="17"/>
                <w:szCs w:val="17"/>
                <w:rtl/>
                <w:lang w:val="en-US"/>
              </w:rPr>
              <w:t>تكاليف المشروع</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325,800</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162,900</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54,300</w:t>
            </w: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543,000</w:t>
            </w:r>
          </w:p>
        </w:tc>
      </w:tr>
      <w:tr w:rsidR="001B1C02" w:rsidRPr="004C20B6" w:rsidTr="001B1C02">
        <w:trPr>
          <w:jc w:val="center"/>
        </w:trPr>
        <w:tc>
          <w:tcPr>
            <w:tcW w:w="1008" w:type="dxa"/>
            <w:vMerge/>
            <w:shd w:val="clear" w:color="auto" w:fill="auto"/>
          </w:tcPr>
          <w:p w:rsidR="001B1C02" w:rsidRDefault="001B1C02" w:rsidP="001B1C02">
            <w:pPr>
              <w:bidi/>
              <w:spacing w:after="60"/>
              <w:rPr>
                <w:sz w:val="17"/>
                <w:szCs w:val="17"/>
                <w:rtl/>
                <w:lang w:val="en-CA" w:bidi="ar-EG"/>
              </w:rPr>
            </w:pPr>
          </w:p>
        </w:tc>
        <w:tc>
          <w:tcPr>
            <w:tcW w:w="930" w:type="dxa"/>
            <w:vMerge/>
            <w:shd w:val="clear" w:color="auto" w:fill="auto"/>
          </w:tcPr>
          <w:p w:rsidR="001B1C02" w:rsidRDefault="001B1C02" w:rsidP="001B1C02">
            <w:pPr>
              <w:bidi/>
              <w:spacing w:after="60"/>
              <w:rPr>
                <w:sz w:val="17"/>
                <w:szCs w:val="17"/>
                <w:rtl/>
                <w:lang w:val="en-CA" w:bidi="ar-EG"/>
              </w:rPr>
            </w:pPr>
          </w:p>
        </w:tc>
        <w:tc>
          <w:tcPr>
            <w:tcW w:w="1170" w:type="dxa"/>
            <w:shd w:val="clear" w:color="auto" w:fill="auto"/>
          </w:tcPr>
          <w:p w:rsidR="001B1C02" w:rsidRPr="00551ABA" w:rsidRDefault="001B1C02" w:rsidP="001B1C02">
            <w:pPr>
              <w:bidi/>
              <w:spacing w:after="60"/>
              <w:rPr>
                <w:sz w:val="17"/>
                <w:szCs w:val="17"/>
                <w:lang w:val="en-CA"/>
              </w:rPr>
            </w:pPr>
            <w:r w:rsidRPr="00551ABA">
              <w:rPr>
                <w:rFonts w:hint="cs"/>
                <w:sz w:val="17"/>
                <w:szCs w:val="17"/>
                <w:rtl/>
                <w:lang w:val="en-US"/>
              </w:rPr>
              <w:t>تكاليف الدعم</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41,838</w:t>
            </w:r>
          </w:p>
        </w:tc>
        <w:tc>
          <w:tcPr>
            <w:tcW w:w="74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0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20,919</w:t>
            </w: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0</w:t>
            </w:r>
          </w:p>
        </w:tc>
        <w:tc>
          <w:tcPr>
            <w:tcW w:w="872" w:type="dxa"/>
          </w:tcPr>
          <w:p w:rsidR="001B1C02" w:rsidRPr="0011020F" w:rsidRDefault="001B1C02" w:rsidP="001B1C02">
            <w:pPr>
              <w:jc w:val="right"/>
              <w:rPr>
                <w:color w:val="000000"/>
                <w:sz w:val="18"/>
                <w:szCs w:val="18"/>
                <w:lang w:val="en-CA"/>
              </w:rPr>
            </w:pPr>
            <w:r w:rsidRPr="0011020F">
              <w:rPr>
                <w:color w:val="000000"/>
                <w:sz w:val="18"/>
                <w:szCs w:val="18"/>
                <w:lang w:val="en-CA"/>
              </w:rPr>
              <w:t>0 </w:t>
            </w:r>
          </w:p>
        </w:tc>
        <w:tc>
          <w:tcPr>
            <w:tcW w:w="923" w:type="dxa"/>
          </w:tcPr>
          <w:p w:rsidR="001B1C02" w:rsidRPr="0011020F" w:rsidRDefault="001B1C02" w:rsidP="001B1C02">
            <w:pPr>
              <w:jc w:val="right"/>
              <w:rPr>
                <w:color w:val="000000"/>
                <w:sz w:val="18"/>
                <w:szCs w:val="18"/>
                <w:lang w:val="en-CA"/>
              </w:rPr>
            </w:pPr>
            <w:r w:rsidRPr="0011020F">
              <w:rPr>
                <w:color w:val="000000"/>
                <w:sz w:val="18"/>
                <w:szCs w:val="18"/>
                <w:lang w:val="en-CA"/>
              </w:rPr>
              <w:t>6,973</w:t>
            </w: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69,730</w:t>
            </w:r>
          </w:p>
        </w:tc>
      </w:tr>
      <w:tr w:rsidR="001B1C02" w:rsidRPr="004C20B6" w:rsidTr="001B1C02">
        <w:trPr>
          <w:jc w:val="center"/>
        </w:trPr>
        <w:tc>
          <w:tcPr>
            <w:tcW w:w="1938" w:type="dxa"/>
            <w:gridSpan w:val="2"/>
            <w:vMerge w:val="restart"/>
            <w:shd w:val="clear" w:color="auto" w:fill="auto"/>
          </w:tcPr>
          <w:p w:rsidR="001B1C02" w:rsidRPr="00551ABA" w:rsidRDefault="001B1C02" w:rsidP="001B1C02">
            <w:pPr>
              <w:bidi/>
              <w:spacing w:after="60"/>
              <w:rPr>
                <w:sz w:val="17"/>
                <w:szCs w:val="17"/>
                <w:lang w:val="en-CA"/>
              </w:rPr>
            </w:pPr>
            <w:r>
              <w:rPr>
                <w:rFonts w:hint="cs"/>
                <w:sz w:val="17"/>
                <w:szCs w:val="17"/>
                <w:rtl/>
                <w:lang w:val="en-CA" w:bidi="ar-EG"/>
              </w:rPr>
              <w:t>المبالغ التي وافقت عليها اللجنة التنفيذية</w:t>
            </w:r>
            <w:r w:rsidRPr="00551ABA">
              <w:rPr>
                <w:rFonts w:hint="cs"/>
                <w:sz w:val="17"/>
                <w:szCs w:val="17"/>
                <w:rtl/>
                <w:lang w:val="en-CA"/>
              </w:rPr>
              <w:t xml:space="preserve"> (بالدولار الأمريكي)</w:t>
            </w:r>
          </w:p>
        </w:tc>
        <w:tc>
          <w:tcPr>
            <w:tcW w:w="1170" w:type="dxa"/>
            <w:shd w:val="clear" w:color="auto" w:fill="auto"/>
          </w:tcPr>
          <w:p w:rsidR="001B1C02" w:rsidRPr="00551ABA" w:rsidRDefault="001B1C02" w:rsidP="001B1C02">
            <w:pPr>
              <w:bidi/>
              <w:spacing w:after="60"/>
              <w:rPr>
                <w:sz w:val="17"/>
                <w:szCs w:val="17"/>
                <w:lang w:val="en-CA"/>
              </w:rPr>
            </w:pPr>
            <w:r w:rsidRPr="00551ABA">
              <w:rPr>
                <w:rFonts w:hint="cs"/>
                <w:sz w:val="17"/>
                <w:szCs w:val="17"/>
                <w:rtl/>
                <w:lang w:val="en-CA"/>
              </w:rPr>
              <w:t>تكاليف المشروع</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2,718,391</w:t>
            </w:r>
          </w:p>
        </w:tc>
        <w:tc>
          <w:tcPr>
            <w:tcW w:w="749" w:type="dxa"/>
            <w:shd w:val="clear" w:color="auto" w:fill="auto"/>
          </w:tcPr>
          <w:p w:rsidR="001B1C02" w:rsidRPr="0011020F" w:rsidRDefault="001B1C02" w:rsidP="001B1C02">
            <w:pPr>
              <w:spacing w:after="60"/>
              <w:jc w:val="right"/>
              <w:rPr>
                <w:sz w:val="18"/>
                <w:szCs w:val="18"/>
                <w:lang w:val="en-CA"/>
              </w:rPr>
            </w:pPr>
            <w:r w:rsidRPr="0011020F">
              <w:rPr>
                <w:sz w:val="18"/>
                <w:szCs w:val="18"/>
                <w:lang w:val="en-CA"/>
              </w:rPr>
              <w:t>0</w:t>
            </w:r>
          </w:p>
        </w:tc>
        <w:tc>
          <w:tcPr>
            <w:tcW w:w="900" w:type="dxa"/>
            <w:shd w:val="clear" w:color="auto" w:fill="auto"/>
          </w:tcPr>
          <w:p w:rsidR="001B1C02" w:rsidRPr="0011020F" w:rsidRDefault="001B1C02" w:rsidP="001B1C02">
            <w:pPr>
              <w:spacing w:after="60"/>
              <w:jc w:val="right"/>
              <w:rPr>
                <w:sz w:val="18"/>
                <w:szCs w:val="18"/>
                <w:lang w:val="en-CA"/>
              </w:rPr>
            </w:pPr>
            <w:r w:rsidRPr="0011020F">
              <w:rPr>
                <w:sz w:val="18"/>
                <w:szCs w:val="18"/>
                <w:lang w:val="en-CA"/>
              </w:rPr>
              <w:t>0</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1,480,907</w:t>
            </w:r>
          </w:p>
        </w:tc>
        <w:tc>
          <w:tcPr>
            <w:tcW w:w="872" w:type="dxa"/>
            <w:shd w:val="clear" w:color="auto" w:fill="auto"/>
          </w:tcPr>
          <w:p w:rsidR="001B1C02" w:rsidRPr="0011020F" w:rsidRDefault="001B1C02" w:rsidP="001B1C02">
            <w:pPr>
              <w:spacing w:after="60"/>
              <w:jc w:val="right"/>
              <w:rPr>
                <w:sz w:val="18"/>
                <w:szCs w:val="18"/>
                <w:lang w:val="en-CA"/>
              </w:rPr>
            </w:pPr>
            <w:r w:rsidRPr="0011020F">
              <w:rPr>
                <w:sz w:val="18"/>
                <w:szCs w:val="18"/>
                <w:lang w:val="en-CA"/>
              </w:rPr>
              <w:t>0</w:t>
            </w:r>
          </w:p>
        </w:tc>
        <w:tc>
          <w:tcPr>
            <w:tcW w:w="872" w:type="dxa"/>
          </w:tcPr>
          <w:p w:rsidR="001B1C02" w:rsidRPr="0011020F" w:rsidRDefault="001B1C02" w:rsidP="001B1C02">
            <w:pPr>
              <w:spacing w:after="60"/>
              <w:jc w:val="right"/>
              <w:rPr>
                <w:sz w:val="18"/>
                <w:szCs w:val="18"/>
                <w:lang w:val="en-CA"/>
              </w:rPr>
            </w:pPr>
          </w:p>
        </w:tc>
        <w:tc>
          <w:tcPr>
            <w:tcW w:w="923" w:type="dxa"/>
          </w:tcPr>
          <w:p w:rsidR="001B1C02" w:rsidRPr="0011020F" w:rsidRDefault="001B1C02" w:rsidP="001B1C02">
            <w:pPr>
              <w:spacing w:after="60"/>
              <w:jc w:val="right"/>
              <w:rPr>
                <w:sz w:val="18"/>
                <w:szCs w:val="18"/>
                <w:lang w:val="en-CA"/>
              </w:rPr>
            </w:pPr>
          </w:p>
        </w:tc>
        <w:tc>
          <w:tcPr>
            <w:tcW w:w="990" w:type="dxa"/>
            <w:shd w:val="clear" w:color="auto" w:fill="auto"/>
          </w:tcPr>
          <w:p w:rsidR="001B1C02" w:rsidRPr="0011020F" w:rsidRDefault="001B1C02" w:rsidP="001B1C02">
            <w:pPr>
              <w:jc w:val="right"/>
              <w:rPr>
                <w:color w:val="000000"/>
                <w:sz w:val="18"/>
                <w:szCs w:val="18"/>
                <w:lang w:val="en-CA"/>
              </w:rPr>
            </w:pPr>
            <w:r w:rsidRPr="0011020F">
              <w:rPr>
                <w:noProof/>
                <w:color w:val="000000"/>
                <w:sz w:val="18"/>
                <w:szCs w:val="18"/>
                <w:lang w:val="en-CA"/>
              </w:rPr>
              <w:t>4,199,298</w:t>
            </w:r>
          </w:p>
        </w:tc>
      </w:tr>
      <w:tr w:rsidR="001B1C02" w:rsidRPr="004C20B6" w:rsidTr="001B1C02">
        <w:trPr>
          <w:jc w:val="center"/>
        </w:trPr>
        <w:tc>
          <w:tcPr>
            <w:tcW w:w="1938" w:type="dxa"/>
            <w:gridSpan w:val="2"/>
            <w:vMerge/>
            <w:shd w:val="clear" w:color="auto" w:fill="auto"/>
          </w:tcPr>
          <w:p w:rsidR="001B1C02" w:rsidRPr="00551ABA" w:rsidRDefault="001B1C02" w:rsidP="001B1C02">
            <w:pPr>
              <w:bidi/>
              <w:spacing w:after="60"/>
              <w:jc w:val="left"/>
              <w:rPr>
                <w:sz w:val="17"/>
                <w:szCs w:val="17"/>
                <w:lang w:val="en-CA"/>
              </w:rPr>
            </w:pPr>
          </w:p>
        </w:tc>
        <w:tc>
          <w:tcPr>
            <w:tcW w:w="1170" w:type="dxa"/>
            <w:shd w:val="clear" w:color="auto" w:fill="auto"/>
          </w:tcPr>
          <w:p w:rsidR="001B1C02" w:rsidRPr="00551ABA" w:rsidRDefault="001B1C02" w:rsidP="001B1C02">
            <w:pPr>
              <w:bidi/>
              <w:spacing w:after="60"/>
              <w:rPr>
                <w:sz w:val="17"/>
                <w:szCs w:val="17"/>
                <w:lang w:val="en-CA"/>
              </w:rPr>
            </w:pPr>
            <w:r w:rsidRPr="00551ABA">
              <w:rPr>
                <w:rFonts w:hint="cs"/>
                <w:sz w:val="17"/>
                <w:szCs w:val="17"/>
                <w:rtl/>
                <w:lang w:val="en-CA"/>
              </w:rPr>
              <w:t>تكاليف الدعم</w:t>
            </w:r>
          </w:p>
        </w:tc>
        <w:tc>
          <w:tcPr>
            <w:tcW w:w="978"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212,319</w:t>
            </w:r>
          </w:p>
        </w:tc>
        <w:tc>
          <w:tcPr>
            <w:tcW w:w="749" w:type="dxa"/>
            <w:shd w:val="clear" w:color="auto" w:fill="auto"/>
          </w:tcPr>
          <w:p w:rsidR="001B1C02" w:rsidRPr="0011020F" w:rsidRDefault="001B1C02" w:rsidP="001B1C02">
            <w:pPr>
              <w:spacing w:after="60"/>
              <w:jc w:val="right"/>
              <w:rPr>
                <w:sz w:val="18"/>
                <w:szCs w:val="18"/>
                <w:lang w:val="en-CA"/>
              </w:rPr>
            </w:pPr>
            <w:r w:rsidRPr="0011020F">
              <w:rPr>
                <w:sz w:val="18"/>
                <w:szCs w:val="18"/>
                <w:lang w:val="en-CA"/>
              </w:rPr>
              <w:t>0</w:t>
            </w:r>
          </w:p>
        </w:tc>
        <w:tc>
          <w:tcPr>
            <w:tcW w:w="900" w:type="dxa"/>
            <w:shd w:val="clear" w:color="auto" w:fill="auto"/>
          </w:tcPr>
          <w:p w:rsidR="001B1C02" w:rsidRPr="0011020F" w:rsidRDefault="001B1C02" w:rsidP="001B1C02">
            <w:pPr>
              <w:spacing w:after="60"/>
              <w:jc w:val="right"/>
              <w:rPr>
                <w:sz w:val="18"/>
                <w:szCs w:val="18"/>
                <w:lang w:val="en-CA"/>
              </w:rPr>
            </w:pPr>
            <w:r w:rsidRPr="0011020F">
              <w:rPr>
                <w:sz w:val="18"/>
                <w:szCs w:val="18"/>
                <w:lang w:val="en-CA"/>
              </w:rPr>
              <w:t>0</w:t>
            </w:r>
          </w:p>
        </w:tc>
        <w:tc>
          <w:tcPr>
            <w:tcW w:w="1009"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116,180</w:t>
            </w:r>
          </w:p>
        </w:tc>
        <w:tc>
          <w:tcPr>
            <w:tcW w:w="872" w:type="dxa"/>
            <w:shd w:val="clear" w:color="auto" w:fill="auto"/>
          </w:tcPr>
          <w:p w:rsidR="001B1C02" w:rsidRPr="0011020F" w:rsidRDefault="001B1C02" w:rsidP="001B1C02">
            <w:pPr>
              <w:spacing w:after="60"/>
              <w:jc w:val="right"/>
              <w:rPr>
                <w:sz w:val="18"/>
                <w:szCs w:val="18"/>
                <w:lang w:val="en-CA"/>
              </w:rPr>
            </w:pPr>
            <w:r w:rsidRPr="0011020F">
              <w:rPr>
                <w:sz w:val="18"/>
                <w:szCs w:val="18"/>
                <w:lang w:val="en-CA"/>
              </w:rPr>
              <w:t>0</w:t>
            </w:r>
          </w:p>
        </w:tc>
        <w:tc>
          <w:tcPr>
            <w:tcW w:w="872" w:type="dxa"/>
          </w:tcPr>
          <w:p w:rsidR="001B1C02" w:rsidRPr="0011020F" w:rsidRDefault="001B1C02" w:rsidP="001B1C02">
            <w:pPr>
              <w:spacing w:after="60"/>
              <w:jc w:val="right"/>
              <w:rPr>
                <w:sz w:val="18"/>
                <w:szCs w:val="18"/>
                <w:lang w:val="en-CA"/>
              </w:rPr>
            </w:pPr>
          </w:p>
        </w:tc>
        <w:tc>
          <w:tcPr>
            <w:tcW w:w="923" w:type="dxa"/>
          </w:tcPr>
          <w:p w:rsidR="001B1C02" w:rsidRPr="0011020F" w:rsidRDefault="001B1C02" w:rsidP="001B1C02">
            <w:pPr>
              <w:spacing w:after="60"/>
              <w:jc w:val="right"/>
              <w:rPr>
                <w:sz w:val="18"/>
                <w:szCs w:val="18"/>
                <w:lang w:val="en-CA"/>
              </w:rPr>
            </w:pPr>
          </w:p>
        </w:tc>
        <w:tc>
          <w:tcPr>
            <w:tcW w:w="990" w:type="dxa"/>
            <w:shd w:val="clear" w:color="auto" w:fill="auto"/>
          </w:tcPr>
          <w:p w:rsidR="001B1C02" w:rsidRPr="0011020F" w:rsidRDefault="001B1C02" w:rsidP="001B1C02">
            <w:pPr>
              <w:jc w:val="right"/>
              <w:rPr>
                <w:color w:val="000000"/>
                <w:sz w:val="18"/>
                <w:szCs w:val="18"/>
                <w:lang w:val="en-CA"/>
              </w:rPr>
            </w:pPr>
            <w:r w:rsidRPr="0011020F">
              <w:rPr>
                <w:noProof/>
                <w:color w:val="000000"/>
                <w:sz w:val="18"/>
                <w:szCs w:val="18"/>
                <w:lang w:val="en-CA"/>
              </w:rPr>
              <w:t>328,499</w:t>
            </w:r>
          </w:p>
        </w:tc>
      </w:tr>
      <w:tr w:rsidR="001B1C02" w:rsidRPr="004C20B6" w:rsidTr="001B1C02">
        <w:trPr>
          <w:jc w:val="center"/>
        </w:trPr>
        <w:tc>
          <w:tcPr>
            <w:tcW w:w="1938" w:type="dxa"/>
            <w:gridSpan w:val="2"/>
            <w:vMerge w:val="restart"/>
            <w:shd w:val="clear" w:color="auto" w:fill="auto"/>
          </w:tcPr>
          <w:p w:rsidR="001B1C02" w:rsidRPr="00407B79" w:rsidRDefault="001B1C02" w:rsidP="001B1C02">
            <w:pPr>
              <w:bidi/>
              <w:rPr>
                <w:sz w:val="20"/>
                <w:szCs w:val="24"/>
                <w:lang w:val="en-CA"/>
              </w:rPr>
            </w:pPr>
            <w:r w:rsidRPr="00BD028E">
              <w:rPr>
                <w:rFonts w:hint="cs"/>
                <w:color w:val="000000" w:themeColor="text1"/>
                <w:sz w:val="17"/>
                <w:szCs w:val="17"/>
                <w:rtl/>
              </w:rPr>
              <w:t xml:space="preserve">إجمالي </w:t>
            </w:r>
            <w:r>
              <w:rPr>
                <w:rFonts w:hint="cs"/>
                <w:color w:val="000000" w:themeColor="text1"/>
                <w:sz w:val="17"/>
                <w:szCs w:val="17"/>
                <w:rtl/>
              </w:rPr>
              <w:t xml:space="preserve">المبالغ </w:t>
            </w:r>
            <w:r w:rsidRPr="00BD028E">
              <w:rPr>
                <w:rFonts w:hint="cs"/>
                <w:color w:val="000000" w:themeColor="text1"/>
                <w:sz w:val="17"/>
                <w:szCs w:val="17"/>
                <w:rtl/>
              </w:rPr>
              <w:t>المطلوب</w:t>
            </w:r>
            <w:r>
              <w:rPr>
                <w:rFonts w:hint="cs"/>
                <w:color w:val="000000" w:themeColor="text1"/>
                <w:sz w:val="17"/>
                <w:szCs w:val="17"/>
                <w:rtl/>
              </w:rPr>
              <w:t xml:space="preserve"> الموافقة عليها</w:t>
            </w:r>
            <w:r w:rsidRPr="00BD028E">
              <w:rPr>
                <w:rFonts w:hint="cs"/>
                <w:color w:val="000000" w:themeColor="text1"/>
                <w:sz w:val="17"/>
                <w:szCs w:val="17"/>
                <w:rtl/>
              </w:rPr>
              <w:t xml:space="preserve"> في هذا الاجتماع (دولار أمريكي)</w:t>
            </w:r>
          </w:p>
        </w:tc>
        <w:tc>
          <w:tcPr>
            <w:tcW w:w="1170" w:type="dxa"/>
            <w:shd w:val="clear" w:color="auto" w:fill="auto"/>
          </w:tcPr>
          <w:p w:rsidR="001B1C02" w:rsidRPr="00551ABA" w:rsidRDefault="001B1C02" w:rsidP="001B1C02">
            <w:pPr>
              <w:bidi/>
              <w:spacing w:after="60"/>
              <w:rPr>
                <w:sz w:val="17"/>
                <w:szCs w:val="17"/>
                <w:lang w:val="en-US"/>
              </w:rPr>
            </w:pPr>
            <w:r w:rsidRPr="00551ABA">
              <w:rPr>
                <w:rFonts w:hint="cs"/>
                <w:sz w:val="17"/>
                <w:szCs w:val="17"/>
                <w:rtl/>
                <w:lang w:val="en-US"/>
              </w:rPr>
              <w:t>تكاليف المشروع</w:t>
            </w:r>
          </w:p>
        </w:tc>
        <w:tc>
          <w:tcPr>
            <w:tcW w:w="978" w:type="dxa"/>
            <w:shd w:val="clear" w:color="auto" w:fill="auto"/>
          </w:tcPr>
          <w:p w:rsidR="001B1C02" w:rsidRPr="0011020F" w:rsidRDefault="001B1C02" w:rsidP="001B1C02">
            <w:pPr>
              <w:spacing w:after="60"/>
              <w:jc w:val="right"/>
              <w:rPr>
                <w:sz w:val="18"/>
                <w:szCs w:val="18"/>
                <w:lang w:val="en-CA"/>
              </w:rPr>
            </w:pPr>
          </w:p>
        </w:tc>
        <w:tc>
          <w:tcPr>
            <w:tcW w:w="749" w:type="dxa"/>
            <w:shd w:val="clear" w:color="auto" w:fill="auto"/>
          </w:tcPr>
          <w:p w:rsidR="001B1C02" w:rsidRPr="0011020F" w:rsidRDefault="001B1C02" w:rsidP="001B1C02">
            <w:pPr>
              <w:spacing w:after="60"/>
              <w:jc w:val="right"/>
              <w:rPr>
                <w:sz w:val="18"/>
                <w:szCs w:val="18"/>
                <w:lang w:val="en-CA"/>
              </w:rPr>
            </w:pPr>
          </w:p>
        </w:tc>
        <w:tc>
          <w:tcPr>
            <w:tcW w:w="900" w:type="dxa"/>
            <w:shd w:val="clear" w:color="auto" w:fill="auto"/>
          </w:tcPr>
          <w:p w:rsidR="001B1C02" w:rsidRPr="0011020F" w:rsidRDefault="001B1C02" w:rsidP="001B1C02">
            <w:pPr>
              <w:spacing w:after="60"/>
              <w:jc w:val="right"/>
              <w:rPr>
                <w:sz w:val="18"/>
                <w:szCs w:val="18"/>
                <w:lang w:val="en-CA"/>
              </w:rPr>
            </w:pPr>
          </w:p>
        </w:tc>
        <w:tc>
          <w:tcPr>
            <w:tcW w:w="1009" w:type="dxa"/>
            <w:shd w:val="clear" w:color="auto" w:fill="auto"/>
          </w:tcPr>
          <w:p w:rsidR="001B1C02" w:rsidRPr="0011020F" w:rsidRDefault="001B1C02" w:rsidP="001B1C02">
            <w:pPr>
              <w:jc w:val="right"/>
              <w:rPr>
                <w:color w:val="000000"/>
                <w:sz w:val="18"/>
                <w:szCs w:val="18"/>
                <w:lang w:val="en-CA"/>
              </w:rPr>
            </w:pP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685,749</w:t>
            </w:r>
          </w:p>
        </w:tc>
        <w:tc>
          <w:tcPr>
            <w:tcW w:w="872" w:type="dxa"/>
          </w:tcPr>
          <w:p w:rsidR="001B1C02" w:rsidRPr="0011020F" w:rsidRDefault="001B1C02" w:rsidP="001B1C02">
            <w:pPr>
              <w:spacing w:after="60"/>
              <w:jc w:val="right"/>
              <w:rPr>
                <w:sz w:val="18"/>
                <w:szCs w:val="18"/>
                <w:lang w:val="en-CA"/>
              </w:rPr>
            </w:pPr>
          </w:p>
        </w:tc>
        <w:tc>
          <w:tcPr>
            <w:tcW w:w="923" w:type="dxa"/>
          </w:tcPr>
          <w:p w:rsidR="001B1C02" w:rsidRPr="0011020F" w:rsidRDefault="001B1C02" w:rsidP="001B1C02">
            <w:pPr>
              <w:spacing w:after="60"/>
              <w:jc w:val="right"/>
              <w:rPr>
                <w:sz w:val="18"/>
                <w:szCs w:val="18"/>
                <w:lang w:val="en-CA"/>
              </w:rPr>
            </w:pP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685,749</w:t>
            </w:r>
          </w:p>
        </w:tc>
      </w:tr>
      <w:tr w:rsidR="001B1C02" w:rsidRPr="004C20B6" w:rsidTr="001B1C02">
        <w:trPr>
          <w:jc w:val="center"/>
        </w:trPr>
        <w:tc>
          <w:tcPr>
            <w:tcW w:w="1938" w:type="dxa"/>
            <w:gridSpan w:val="2"/>
            <w:vMerge/>
            <w:shd w:val="clear" w:color="auto" w:fill="auto"/>
          </w:tcPr>
          <w:p w:rsidR="001B1C02" w:rsidRPr="00551ABA" w:rsidRDefault="001B1C02" w:rsidP="001B1C02">
            <w:pPr>
              <w:bidi/>
              <w:spacing w:after="60"/>
              <w:jc w:val="left"/>
              <w:rPr>
                <w:sz w:val="17"/>
                <w:szCs w:val="17"/>
                <w:lang w:val="en-CA"/>
              </w:rPr>
            </w:pPr>
          </w:p>
        </w:tc>
        <w:tc>
          <w:tcPr>
            <w:tcW w:w="1170" w:type="dxa"/>
            <w:shd w:val="clear" w:color="auto" w:fill="auto"/>
          </w:tcPr>
          <w:p w:rsidR="001B1C02" w:rsidRPr="00551ABA" w:rsidRDefault="001B1C02" w:rsidP="001B1C02">
            <w:pPr>
              <w:bidi/>
              <w:spacing w:after="60"/>
              <w:rPr>
                <w:sz w:val="17"/>
                <w:szCs w:val="17"/>
                <w:lang w:val="en-CA"/>
              </w:rPr>
            </w:pPr>
            <w:r w:rsidRPr="00551ABA">
              <w:rPr>
                <w:rFonts w:hint="cs"/>
                <w:sz w:val="17"/>
                <w:szCs w:val="17"/>
                <w:rtl/>
                <w:lang w:val="en-US"/>
              </w:rPr>
              <w:t>تكاليف الدعم</w:t>
            </w:r>
          </w:p>
        </w:tc>
        <w:tc>
          <w:tcPr>
            <w:tcW w:w="978" w:type="dxa"/>
            <w:shd w:val="clear" w:color="auto" w:fill="auto"/>
          </w:tcPr>
          <w:p w:rsidR="001B1C02" w:rsidRPr="0011020F" w:rsidRDefault="001B1C02" w:rsidP="001B1C02">
            <w:pPr>
              <w:spacing w:after="60"/>
              <w:jc w:val="right"/>
              <w:rPr>
                <w:sz w:val="18"/>
                <w:szCs w:val="18"/>
                <w:lang w:val="en-CA"/>
              </w:rPr>
            </w:pPr>
          </w:p>
        </w:tc>
        <w:tc>
          <w:tcPr>
            <w:tcW w:w="749" w:type="dxa"/>
            <w:shd w:val="clear" w:color="auto" w:fill="auto"/>
          </w:tcPr>
          <w:p w:rsidR="001B1C02" w:rsidRPr="0011020F" w:rsidRDefault="001B1C02" w:rsidP="001B1C02">
            <w:pPr>
              <w:spacing w:after="60"/>
              <w:jc w:val="right"/>
              <w:rPr>
                <w:sz w:val="18"/>
                <w:szCs w:val="18"/>
                <w:lang w:val="en-CA"/>
              </w:rPr>
            </w:pPr>
          </w:p>
        </w:tc>
        <w:tc>
          <w:tcPr>
            <w:tcW w:w="900" w:type="dxa"/>
            <w:shd w:val="clear" w:color="auto" w:fill="auto"/>
          </w:tcPr>
          <w:p w:rsidR="001B1C02" w:rsidRPr="0011020F" w:rsidRDefault="001B1C02" w:rsidP="001B1C02">
            <w:pPr>
              <w:spacing w:after="60"/>
              <w:jc w:val="right"/>
              <w:rPr>
                <w:sz w:val="18"/>
                <w:szCs w:val="18"/>
                <w:lang w:val="en-CA"/>
              </w:rPr>
            </w:pPr>
          </w:p>
        </w:tc>
        <w:tc>
          <w:tcPr>
            <w:tcW w:w="1009" w:type="dxa"/>
            <w:shd w:val="clear" w:color="auto" w:fill="auto"/>
          </w:tcPr>
          <w:p w:rsidR="001B1C02" w:rsidRPr="0011020F" w:rsidRDefault="001B1C02" w:rsidP="001B1C02">
            <w:pPr>
              <w:jc w:val="right"/>
              <w:rPr>
                <w:color w:val="000000"/>
                <w:sz w:val="18"/>
                <w:szCs w:val="18"/>
                <w:lang w:val="en-CA"/>
              </w:rPr>
            </w:pPr>
          </w:p>
        </w:tc>
        <w:tc>
          <w:tcPr>
            <w:tcW w:w="872"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51,002</w:t>
            </w:r>
          </w:p>
        </w:tc>
        <w:tc>
          <w:tcPr>
            <w:tcW w:w="872" w:type="dxa"/>
          </w:tcPr>
          <w:p w:rsidR="001B1C02" w:rsidRPr="0011020F" w:rsidRDefault="001B1C02" w:rsidP="001B1C02">
            <w:pPr>
              <w:spacing w:after="60"/>
              <w:jc w:val="right"/>
              <w:rPr>
                <w:sz w:val="18"/>
                <w:szCs w:val="18"/>
                <w:lang w:val="en-CA"/>
              </w:rPr>
            </w:pPr>
          </w:p>
        </w:tc>
        <w:tc>
          <w:tcPr>
            <w:tcW w:w="923" w:type="dxa"/>
          </w:tcPr>
          <w:p w:rsidR="001B1C02" w:rsidRPr="0011020F" w:rsidRDefault="001B1C02" w:rsidP="001B1C02">
            <w:pPr>
              <w:spacing w:after="60"/>
              <w:jc w:val="right"/>
              <w:rPr>
                <w:sz w:val="18"/>
                <w:szCs w:val="18"/>
                <w:lang w:val="en-CA"/>
              </w:rPr>
            </w:pPr>
          </w:p>
        </w:tc>
        <w:tc>
          <w:tcPr>
            <w:tcW w:w="990" w:type="dxa"/>
            <w:shd w:val="clear" w:color="auto" w:fill="auto"/>
          </w:tcPr>
          <w:p w:rsidR="001B1C02" w:rsidRPr="0011020F" w:rsidRDefault="001B1C02" w:rsidP="001B1C02">
            <w:pPr>
              <w:jc w:val="right"/>
              <w:rPr>
                <w:color w:val="000000"/>
                <w:sz w:val="18"/>
                <w:szCs w:val="18"/>
                <w:lang w:val="en-CA"/>
              </w:rPr>
            </w:pPr>
            <w:r w:rsidRPr="0011020F">
              <w:rPr>
                <w:color w:val="000000"/>
                <w:sz w:val="18"/>
                <w:szCs w:val="18"/>
                <w:lang w:val="en-CA"/>
              </w:rPr>
              <w:t>51,002</w:t>
            </w:r>
          </w:p>
        </w:tc>
      </w:tr>
    </w:tbl>
    <w:p w:rsidR="004D7426" w:rsidRPr="000B3FC8" w:rsidRDefault="004D7426" w:rsidP="004D7426">
      <w:pPr>
        <w:bidi/>
        <w:spacing w:after="60"/>
        <w:rPr>
          <w:sz w:val="16"/>
          <w:szCs w:val="16"/>
          <w:lang w:val="en-US" w:bidi="ar-EG"/>
        </w:rPr>
      </w:pPr>
    </w:p>
    <w:tbl>
      <w:tblPr>
        <w:tblStyle w:val="TableGrid"/>
        <w:bidiVisual/>
        <w:tblW w:w="9893" w:type="dxa"/>
        <w:tblInd w:w="-23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36"/>
        <w:gridCol w:w="6657"/>
      </w:tblGrid>
      <w:tr w:rsidR="002D5FAE" w:rsidRPr="003B1D77" w:rsidTr="00C76601">
        <w:trPr>
          <w:trHeight w:val="240"/>
        </w:trPr>
        <w:tc>
          <w:tcPr>
            <w:tcW w:w="3236" w:type="dxa"/>
            <w:shd w:val="clear" w:color="auto" w:fill="auto"/>
          </w:tcPr>
          <w:p w:rsidR="002D5FAE" w:rsidRPr="00C14F21" w:rsidRDefault="002D5FAE" w:rsidP="00460098">
            <w:pPr>
              <w:bidi/>
              <w:spacing w:after="60"/>
              <w:jc w:val="left"/>
              <w:rPr>
                <w:bCs/>
                <w:sz w:val="18"/>
              </w:rPr>
            </w:pPr>
            <w:r w:rsidRPr="00C14F21">
              <w:rPr>
                <w:rFonts w:hint="cs"/>
                <w:bCs/>
                <w:sz w:val="18"/>
                <w:rtl/>
              </w:rPr>
              <w:t>توصية الأمانة</w:t>
            </w:r>
            <w:r>
              <w:rPr>
                <w:rFonts w:hint="cs"/>
                <w:bCs/>
                <w:sz w:val="18"/>
                <w:rtl/>
              </w:rPr>
              <w:t>:</w:t>
            </w:r>
          </w:p>
        </w:tc>
        <w:tc>
          <w:tcPr>
            <w:tcW w:w="6657" w:type="dxa"/>
            <w:shd w:val="clear" w:color="auto" w:fill="auto"/>
          </w:tcPr>
          <w:p w:rsidR="002D5FAE" w:rsidRPr="001518A0" w:rsidRDefault="008E7B3D" w:rsidP="00214C18">
            <w:pPr>
              <w:bidi/>
              <w:spacing w:after="60"/>
              <w:jc w:val="center"/>
              <w:rPr>
                <w:sz w:val="18"/>
              </w:rPr>
            </w:pPr>
            <w:r>
              <w:rPr>
                <w:rFonts w:hint="cs"/>
                <w:sz w:val="18"/>
                <w:rtl/>
              </w:rPr>
              <w:t>للموافقة ا</w:t>
            </w:r>
            <w:r w:rsidR="00214C18">
              <w:rPr>
                <w:rFonts w:hint="cs"/>
                <w:sz w:val="18"/>
                <w:rtl/>
              </w:rPr>
              <w:t>لشمولية</w:t>
            </w:r>
          </w:p>
        </w:tc>
      </w:tr>
    </w:tbl>
    <w:p w:rsidR="00206034" w:rsidRDefault="00AB2735" w:rsidP="0045228A">
      <w:pPr>
        <w:bidi/>
        <w:jc w:val="center"/>
        <w:rPr>
          <w:b/>
          <w:bCs/>
          <w:sz w:val="28"/>
          <w:szCs w:val="28"/>
          <w:rtl/>
        </w:rPr>
      </w:pPr>
      <w:r>
        <w:rPr>
          <w:b/>
          <w:bCs/>
          <w:sz w:val="28"/>
          <w:szCs w:val="28"/>
          <w:rtl/>
        </w:rPr>
        <w:br w:type="page"/>
      </w:r>
      <w:bookmarkStart w:id="1" w:name="_Hlk7529719"/>
      <w:r w:rsidR="00507AB6" w:rsidRPr="00010740">
        <w:rPr>
          <w:rFonts w:hint="cs"/>
          <w:b/>
          <w:bCs/>
          <w:sz w:val="28"/>
          <w:szCs w:val="28"/>
          <w:rtl/>
        </w:rPr>
        <w:lastRenderedPageBreak/>
        <w:t>وصف المشروع</w:t>
      </w:r>
    </w:p>
    <w:p w:rsidR="00F15F8F" w:rsidRPr="00F15F8F" w:rsidRDefault="00F15F8F" w:rsidP="00F15F8F">
      <w:pPr>
        <w:bidi/>
        <w:jc w:val="center"/>
        <w:rPr>
          <w:b/>
          <w:bCs/>
          <w:sz w:val="18"/>
          <w:szCs w:val="18"/>
          <w:rtl/>
        </w:rPr>
      </w:pPr>
    </w:p>
    <w:p w:rsidR="00706A2E" w:rsidRPr="004B1960" w:rsidRDefault="00B84E7C" w:rsidP="00875815">
      <w:pPr>
        <w:pStyle w:val="StyleHeader4Para4Left0Firstline0"/>
        <w:numPr>
          <w:ilvl w:val="0"/>
          <w:numId w:val="0"/>
        </w:numPr>
        <w:tabs>
          <w:tab w:val="clear" w:pos="2880"/>
          <w:tab w:val="clear" w:pos="5760"/>
          <w:tab w:val="left" w:pos="720"/>
        </w:tabs>
        <w:bidi/>
        <w:rPr>
          <w:sz w:val="26"/>
          <w:szCs w:val="26"/>
          <w:rtl/>
          <w:lang w:val="en-US" w:bidi="ar-EG"/>
        </w:rPr>
      </w:pPr>
      <w:r w:rsidRPr="00010740">
        <w:rPr>
          <w:rFonts w:hint="cs"/>
          <w:sz w:val="26"/>
          <w:szCs w:val="26"/>
          <w:rtl/>
        </w:rPr>
        <w:t>1 -</w:t>
      </w:r>
      <w:r w:rsidRPr="00010740">
        <w:rPr>
          <w:rFonts w:hint="cs"/>
          <w:sz w:val="26"/>
          <w:szCs w:val="26"/>
          <w:rtl/>
        </w:rPr>
        <w:tab/>
      </w:r>
      <w:r w:rsidR="008E7B3D">
        <w:rPr>
          <w:rFonts w:hint="cs"/>
          <w:sz w:val="26"/>
          <w:szCs w:val="26"/>
          <w:rtl/>
          <w:lang w:bidi="ar-EG"/>
        </w:rPr>
        <w:t xml:space="preserve">بالنيابة عن حكومة </w:t>
      </w:r>
      <w:r w:rsidR="00063E07">
        <w:rPr>
          <w:rFonts w:hint="cs"/>
          <w:sz w:val="26"/>
          <w:szCs w:val="26"/>
          <w:rtl/>
          <w:lang w:bidi="ar-EG"/>
        </w:rPr>
        <w:t xml:space="preserve">كولومبيا، قدم يوئنديبي بصفته الوكالة المنفذة الرئيسية طلبا لتمويل الشريحة الثالثة من المرحلة الثانية من خطة إدارة إزالة المواد الهيدروكلوروفلوروكربونية بتكلفة إجمالية قدرها </w:t>
      </w:r>
      <w:r w:rsidR="00063E07">
        <w:rPr>
          <w:sz w:val="26"/>
          <w:szCs w:val="26"/>
          <w:lang w:val="en-US" w:bidi="ar-EG"/>
        </w:rPr>
        <w:t>736,751</w:t>
      </w:r>
      <w:r w:rsidR="00063E07">
        <w:rPr>
          <w:rFonts w:hint="cs"/>
          <w:sz w:val="26"/>
          <w:szCs w:val="26"/>
          <w:rtl/>
          <w:lang w:val="en-US" w:bidi="ar-EG"/>
        </w:rPr>
        <w:t xml:space="preserve"> دولار أمريكي تشمل </w:t>
      </w:r>
      <w:r w:rsidR="009C47EB">
        <w:rPr>
          <w:sz w:val="26"/>
          <w:szCs w:val="26"/>
          <w:lang w:val="en-US" w:bidi="ar-EG"/>
        </w:rPr>
        <w:t>635,749</w:t>
      </w:r>
      <w:r w:rsidR="009C47EB">
        <w:rPr>
          <w:rFonts w:hint="cs"/>
          <w:sz w:val="26"/>
          <w:szCs w:val="26"/>
          <w:rtl/>
          <w:lang w:val="en-US" w:bidi="ar-EG"/>
        </w:rPr>
        <w:t xml:space="preserve"> دولار أمريكي زائد تكاليف دعم الوكالة البالغة </w:t>
      </w:r>
      <w:r w:rsidR="009C47EB">
        <w:rPr>
          <w:sz w:val="26"/>
          <w:szCs w:val="26"/>
          <w:lang w:val="en-US" w:bidi="ar-EG"/>
        </w:rPr>
        <w:t>44,502</w:t>
      </w:r>
      <w:r w:rsidR="009C47EB">
        <w:rPr>
          <w:rFonts w:hint="cs"/>
          <w:sz w:val="26"/>
          <w:szCs w:val="26"/>
          <w:rtl/>
          <w:lang w:val="en-US" w:bidi="ar-EG"/>
        </w:rPr>
        <w:t xml:space="preserve"> دولار أمريكي ليوئنديبي، و </w:t>
      </w:r>
      <w:r w:rsidR="009C47EB">
        <w:rPr>
          <w:sz w:val="26"/>
          <w:szCs w:val="26"/>
          <w:lang w:val="en-US" w:bidi="ar-EG"/>
        </w:rPr>
        <w:t>50,000</w:t>
      </w:r>
      <w:r w:rsidR="009C47EB">
        <w:rPr>
          <w:rFonts w:hint="cs"/>
          <w:sz w:val="26"/>
          <w:szCs w:val="26"/>
          <w:rtl/>
          <w:lang w:val="en-US" w:bidi="ar-EG"/>
        </w:rPr>
        <w:t xml:space="preserve"> دولار أمريكي زائد تكاليف دعم الوكالة ومقدارها </w:t>
      </w:r>
      <w:r w:rsidR="009C47EB">
        <w:rPr>
          <w:sz w:val="26"/>
          <w:szCs w:val="26"/>
          <w:lang w:val="en-US" w:bidi="ar-EG"/>
        </w:rPr>
        <w:t>6,500</w:t>
      </w:r>
      <w:r w:rsidR="009C47EB">
        <w:rPr>
          <w:rFonts w:hint="cs"/>
          <w:sz w:val="26"/>
          <w:szCs w:val="26"/>
          <w:rtl/>
          <w:lang w:val="en-US" w:bidi="ar-EG"/>
        </w:rPr>
        <w:t xml:space="preserve"> دولار أمريكي ليونيب</w:t>
      </w:r>
      <w:r w:rsidR="004B1960" w:rsidRPr="00010740">
        <w:rPr>
          <w:rStyle w:val="FootnoteReference"/>
          <w:sz w:val="26"/>
          <w:szCs w:val="26"/>
          <w:rtl/>
        </w:rPr>
        <w:footnoteReference w:id="2"/>
      </w:r>
      <w:r w:rsidR="007F6423">
        <w:rPr>
          <w:rFonts w:hint="cs"/>
          <w:sz w:val="26"/>
          <w:szCs w:val="26"/>
          <w:rtl/>
          <w:lang w:val="en-US" w:bidi="ar-EG"/>
        </w:rPr>
        <w:t>.</w:t>
      </w:r>
      <w:r w:rsidR="00917BCA">
        <w:rPr>
          <w:rFonts w:hint="cs"/>
          <w:sz w:val="26"/>
          <w:szCs w:val="26"/>
          <w:rtl/>
          <w:lang w:val="en-US" w:bidi="ar-EG"/>
        </w:rPr>
        <w:t xml:space="preserve"> </w:t>
      </w:r>
      <w:r w:rsidR="004F0E38">
        <w:rPr>
          <w:rFonts w:hint="cs"/>
          <w:sz w:val="26"/>
          <w:szCs w:val="26"/>
          <w:rtl/>
          <w:lang w:val="en-US" w:bidi="ar-EG"/>
        </w:rPr>
        <w:t xml:space="preserve">ويشمل الطلب تقريرا مرحليا بشأن تنفيذ الشريحة </w:t>
      </w:r>
      <w:r w:rsidR="009C47EB">
        <w:rPr>
          <w:rFonts w:hint="cs"/>
          <w:sz w:val="26"/>
          <w:szCs w:val="26"/>
          <w:rtl/>
          <w:lang w:val="en-US" w:bidi="ar-EG"/>
        </w:rPr>
        <w:t>الثانية</w:t>
      </w:r>
      <w:r w:rsidR="004F0E38">
        <w:rPr>
          <w:rFonts w:hint="cs"/>
          <w:sz w:val="26"/>
          <w:szCs w:val="26"/>
          <w:rtl/>
          <w:lang w:val="en-US" w:bidi="ar-EG"/>
        </w:rPr>
        <w:t xml:space="preserve">، وتقرير تحقق لاستهلاك المواد الهيدروكلوروفلوروكربونية </w:t>
      </w:r>
      <w:r w:rsidR="009C47EB">
        <w:rPr>
          <w:rFonts w:hint="cs"/>
          <w:sz w:val="26"/>
          <w:szCs w:val="26"/>
          <w:rtl/>
          <w:lang w:val="en-US" w:bidi="ar-EG"/>
        </w:rPr>
        <w:t xml:space="preserve">لعام 2018 </w:t>
      </w:r>
      <w:r w:rsidR="004F0E38">
        <w:rPr>
          <w:rFonts w:hint="cs"/>
          <w:sz w:val="26"/>
          <w:szCs w:val="26"/>
          <w:rtl/>
          <w:lang w:val="en-US" w:bidi="ar-EG"/>
        </w:rPr>
        <w:t xml:space="preserve">وخطة تنفيذ الشريحة للفترة </w:t>
      </w:r>
      <w:r w:rsidR="009C47EB">
        <w:rPr>
          <w:rFonts w:hint="cs"/>
          <w:sz w:val="26"/>
          <w:szCs w:val="26"/>
          <w:rtl/>
          <w:lang w:val="en-US" w:bidi="ar-EG"/>
        </w:rPr>
        <w:t xml:space="preserve">من 2019 إلى </w:t>
      </w:r>
      <w:r w:rsidR="004F0E38">
        <w:rPr>
          <w:rFonts w:hint="cs"/>
          <w:sz w:val="26"/>
          <w:szCs w:val="26"/>
          <w:rtl/>
          <w:lang w:val="en-US" w:bidi="ar-EG"/>
        </w:rPr>
        <w:t>2021.</w:t>
      </w:r>
    </w:p>
    <w:bookmarkEnd w:id="1"/>
    <w:p w:rsidR="000B7A14" w:rsidRPr="000B7A14" w:rsidRDefault="00C83E42" w:rsidP="000B7A14">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Pr>
          <w:rFonts w:hint="cs"/>
          <w:sz w:val="26"/>
          <w:szCs w:val="26"/>
          <w:u w:val="single"/>
          <w:rtl/>
          <w:lang w:val="en-US" w:bidi="ar-EG"/>
        </w:rPr>
        <w:t>تقرير بشأن استهلاك المواد الهيدروكلوروفلوروكربونية</w:t>
      </w:r>
    </w:p>
    <w:p w:rsidR="000B7A14" w:rsidRDefault="00495CF0" w:rsidP="000B7A14">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w:t>
      </w:r>
      <w:r w:rsidR="000B7A14">
        <w:rPr>
          <w:rFonts w:hint="cs"/>
          <w:sz w:val="26"/>
          <w:szCs w:val="26"/>
          <w:rtl/>
          <w:lang w:val="en-US" w:bidi="ar-EG"/>
        </w:rPr>
        <w:t xml:space="preserve"> -</w:t>
      </w:r>
      <w:r w:rsidR="000B7A14">
        <w:rPr>
          <w:sz w:val="26"/>
          <w:szCs w:val="26"/>
          <w:rtl/>
          <w:lang w:val="en-US" w:bidi="ar-EG"/>
        </w:rPr>
        <w:tab/>
      </w:r>
      <w:r w:rsidR="00C83E42">
        <w:rPr>
          <w:rFonts w:hint="cs"/>
          <w:sz w:val="26"/>
          <w:szCs w:val="26"/>
          <w:rtl/>
          <w:lang w:val="en-US" w:bidi="ar-EG"/>
        </w:rPr>
        <w:t xml:space="preserve">أبلغت حكومة </w:t>
      </w:r>
      <w:r w:rsidR="009C47EB">
        <w:rPr>
          <w:rFonts w:hint="cs"/>
          <w:sz w:val="26"/>
          <w:szCs w:val="26"/>
          <w:rtl/>
          <w:lang w:val="en-US" w:bidi="ar-EG"/>
        </w:rPr>
        <w:t xml:space="preserve">كولومبيا </w:t>
      </w:r>
      <w:r w:rsidR="00CF2FBB">
        <w:rPr>
          <w:rFonts w:hint="cs"/>
          <w:sz w:val="26"/>
          <w:szCs w:val="26"/>
          <w:rtl/>
          <w:lang w:val="en-US" w:bidi="ar-EG"/>
        </w:rPr>
        <w:t xml:space="preserve">عن </w:t>
      </w:r>
      <w:r w:rsidR="00875815">
        <w:rPr>
          <w:rFonts w:hint="cs"/>
          <w:sz w:val="26"/>
          <w:szCs w:val="26"/>
          <w:rtl/>
          <w:lang w:val="en-US" w:bidi="ar-EG"/>
        </w:rPr>
        <w:t>استهلاك المواد الهيدروكلوروفلوروكربونية</w:t>
      </w:r>
      <w:r w:rsidR="004F0E38">
        <w:rPr>
          <w:rFonts w:hint="cs"/>
          <w:sz w:val="26"/>
          <w:szCs w:val="26"/>
          <w:rtl/>
          <w:lang w:val="en-US" w:bidi="ar-EG"/>
        </w:rPr>
        <w:t xml:space="preserve"> يبلغ </w:t>
      </w:r>
      <w:r w:rsidR="009C47EB">
        <w:rPr>
          <w:sz w:val="26"/>
          <w:szCs w:val="26"/>
          <w:lang w:val="en-US" w:bidi="ar-EG"/>
        </w:rPr>
        <w:t>78.15</w:t>
      </w:r>
      <w:r w:rsidR="004F0E38">
        <w:rPr>
          <w:rFonts w:hint="cs"/>
          <w:sz w:val="26"/>
          <w:szCs w:val="26"/>
          <w:rtl/>
          <w:lang w:val="en-US" w:bidi="ar-EG"/>
        </w:rPr>
        <w:t xml:space="preserve"> طن من قدرات استنفاد الأوزون عام 2018، وهو أقل بنسبة </w:t>
      </w:r>
      <w:r w:rsidR="009C47EB">
        <w:rPr>
          <w:rFonts w:hint="cs"/>
          <w:sz w:val="26"/>
          <w:szCs w:val="26"/>
          <w:rtl/>
          <w:lang w:val="en-US" w:bidi="ar-EG"/>
        </w:rPr>
        <w:t>65</w:t>
      </w:r>
      <w:r w:rsidR="004F0E38">
        <w:rPr>
          <w:rFonts w:hint="cs"/>
          <w:sz w:val="26"/>
          <w:szCs w:val="26"/>
          <w:rtl/>
          <w:lang w:val="en-US" w:bidi="ar-EG"/>
        </w:rPr>
        <w:t xml:space="preserve"> في المائة من خط </w:t>
      </w:r>
      <w:r w:rsidR="009C47EB">
        <w:rPr>
          <w:rFonts w:hint="cs"/>
          <w:sz w:val="26"/>
          <w:szCs w:val="26"/>
          <w:rtl/>
          <w:lang w:val="en-US" w:bidi="ar-EG"/>
        </w:rPr>
        <w:t>ا</w:t>
      </w:r>
      <w:r w:rsidR="004F0E38">
        <w:rPr>
          <w:rFonts w:hint="cs"/>
          <w:sz w:val="26"/>
          <w:szCs w:val="26"/>
          <w:rtl/>
          <w:lang w:val="en-US" w:bidi="ar-EG"/>
        </w:rPr>
        <w:t>لامتثال لهذه المواد</w:t>
      </w:r>
      <w:r w:rsidR="009C47EB">
        <w:rPr>
          <w:rFonts w:hint="cs"/>
          <w:sz w:val="26"/>
          <w:szCs w:val="26"/>
          <w:rtl/>
          <w:lang w:val="en-US" w:bidi="ar-EG"/>
        </w:rPr>
        <w:t xml:space="preserve">، زائد </w:t>
      </w:r>
      <w:r w:rsidR="009C47EB">
        <w:rPr>
          <w:sz w:val="26"/>
          <w:szCs w:val="26"/>
          <w:lang w:val="en-US" w:bidi="ar-EG"/>
        </w:rPr>
        <w:t>1.36</w:t>
      </w:r>
      <w:r w:rsidR="009C47EB">
        <w:rPr>
          <w:rFonts w:hint="cs"/>
          <w:sz w:val="26"/>
          <w:szCs w:val="26"/>
          <w:rtl/>
          <w:lang w:val="en-US" w:bidi="ar-EG"/>
        </w:rPr>
        <w:t xml:space="preserve"> طن من قدرات استنفاد الأوزون من </w:t>
      </w:r>
      <w:r w:rsidR="004F0E38">
        <w:rPr>
          <w:rFonts w:hint="cs"/>
          <w:sz w:val="26"/>
          <w:szCs w:val="26"/>
          <w:rtl/>
          <w:lang w:val="en-US" w:bidi="ar-EG"/>
        </w:rPr>
        <w:t>الهيدروكلوروفلوروكربون</w:t>
      </w:r>
      <w:r w:rsidR="009C47EB">
        <w:rPr>
          <w:rFonts w:hint="cs"/>
          <w:sz w:val="26"/>
          <w:szCs w:val="26"/>
          <w:rtl/>
          <w:lang w:val="en-US" w:bidi="ar-EG"/>
        </w:rPr>
        <w:t>-141ب</w:t>
      </w:r>
      <w:r w:rsidR="00592EAA">
        <w:rPr>
          <w:rFonts w:hint="cs"/>
          <w:sz w:val="26"/>
          <w:szCs w:val="26"/>
          <w:rtl/>
          <w:lang w:val="en-US" w:bidi="ar-EG"/>
        </w:rPr>
        <w:t xml:space="preserve"> في البوليولات المستوردة سابقة الخلط. ويبين الجدول 1 استهلاك المواد الهيدروكلوروفلوروكربونية للفترة ما بين 2014 و 2018</w:t>
      </w:r>
      <w:r w:rsidR="00875815">
        <w:rPr>
          <w:rFonts w:hint="cs"/>
          <w:sz w:val="26"/>
          <w:szCs w:val="26"/>
          <w:rtl/>
          <w:lang w:val="en-US" w:bidi="ar-EG"/>
        </w:rPr>
        <w:t>.</w:t>
      </w:r>
    </w:p>
    <w:p w:rsidR="004712AB" w:rsidRDefault="004712AB" w:rsidP="004712AB">
      <w:pPr>
        <w:pStyle w:val="StyleHeader4Para4Left0Firstline0"/>
        <w:numPr>
          <w:ilvl w:val="0"/>
          <w:numId w:val="0"/>
        </w:numPr>
        <w:tabs>
          <w:tab w:val="clear" w:pos="2880"/>
          <w:tab w:val="clear" w:pos="5760"/>
          <w:tab w:val="left" w:pos="720"/>
        </w:tabs>
        <w:bidi/>
        <w:spacing w:before="120"/>
        <w:rPr>
          <w:b/>
          <w:bCs/>
          <w:sz w:val="26"/>
          <w:szCs w:val="26"/>
          <w:rtl/>
          <w:lang w:val="en-US" w:bidi="ar-EG"/>
        </w:rPr>
      </w:pPr>
      <w:r w:rsidRPr="00CC644A">
        <w:rPr>
          <w:rFonts w:hint="cs"/>
          <w:b/>
          <w:bCs/>
          <w:sz w:val="26"/>
          <w:szCs w:val="26"/>
          <w:rtl/>
          <w:lang w:val="en-US" w:bidi="ar-EG"/>
        </w:rPr>
        <w:t xml:space="preserve">الجدول 1. استهلاك المواد الهيدروكلوروفلوروكربونية في </w:t>
      </w:r>
      <w:r w:rsidR="00592EAA">
        <w:rPr>
          <w:rFonts w:hint="cs"/>
          <w:b/>
          <w:bCs/>
          <w:sz w:val="26"/>
          <w:szCs w:val="26"/>
          <w:rtl/>
          <w:lang w:val="en-US" w:bidi="ar-EG"/>
        </w:rPr>
        <w:t>كولومبيا</w:t>
      </w:r>
      <w:r w:rsidRPr="00CC644A">
        <w:rPr>
          <w:rFonts w:hint="cs"/>
          <w:b/>
          <w:bCs/>
          <w:sz w:val="26"/>
          <w:szCs w:val="26"/>
          <w:rtl/>
          <w:lang w:val="en-US" w:bidi="ar-EG"/>
        </w:rPr>
        <w:t xml:space="preserve"> (</w:t>
      </w:r>
      <w:r>
        <w:rPr>
          <w:b/>
          <w:bCs/>
          <w:sz w:val="26"/>
          <w:szCs w:val="26"/>
          <w:lang w:val="en-US" w:bidi="ar-EG"/>
        </w:rPr>
        <w:t>2018-2014</w:t>
      </w:r>
      <w:r w:rsidRPr="00CC644A">
        <w:rPr>
          <w:rFonts w:hint="cs"/>
          <w:b/>
          <w:bCs/>
          <w:sz w:val="26"/>
          <w:szCs w:val="26"/>
          <w:rtl/>
          <w:lang w:val="en-US" w:bidi="ar-EG"/>
        </w:rPr>
        <w:t xml:space="preserve"> بيانات المادة 7)</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990"/>
        <w:gridCol w:w="990"/>
        <w:gridCol w:w="989"/>
        <w:gridCol w:w="989"/>
        <w:gridCol w:w="991"/>
        <w:gridCol w:w="1255"/>
      </w:tblGrid>
      <w:tr w:rsidR="00006195" w:rsidRPr="00CB1939" w:rsidTr="00006195">
        <w:trPr>
          <w:tblHeader/>
        </w:trPr>
        <w:tc>
          <w:tcPr>
            <w:tcW w:w="1682" w:type="pct"/>
            <w:shd w:val="clear" w:color="auto" w:fill="auto"/>
            <w:noWrap/>
            <w:tcMar>
              <w:left w:w="43" w:type="dxa"/>
              <w:right w:w="43" w:type="dxa"/>
            </w:tcMar>
            <w:vAlign w:val="center"/>
            <w:hideMark/>
          </w:tcPr>
          <w:p w:rsidR="00006195" w:rsidRPr="00CB1939" w:rsidRDefault="004F0E38" w:rsidP="00006195">
            <w:pPr>
              <w:widowControl w:val="0"/>
              <w:bidi/>
              <w:jc w:val="left"/>
              <w:rPr>
                <w:b/>
                <w:bCs/>
                <w:color w:val="000000"/>
                <w:sz w:val="20"/>
                <w:lang w:val="en-CA"/>
              </w:rPr>
            </w:pPr>
            <w:r>
              <w:rPr>
                <w:rFonts w:hint="cs"/>
                <w:b/>
                <w:bCs/>
                <w:color w:val="000000"/>
                <w:sz w:val="20"/>
                <w:rtl/>
                <w:lang w:val="en-CA"/>
              </w:rPr>
              <w:t>المادة</w:t>
            </w:r>
          </w:p>
        </w:tc>
        <w:tc>
          <w:tcPr>
            <w:tcW w:w="529" w:type="pct"/>
            <w:shd w:val="clear" w:color="auto" w:fill="auto"/>
            <w:noWrap/>
            <w:vAlign w:val="center"/>
            <w:hideMark/>
          </w:tcPr>
          <w:p w:rsidR="00006195" w:rsidRPr="00CB1939" w:rsidRDefault="00006195" w:rsidP="00CE25EF">
            <w:pPr>
              <w:widowControl w:val="0"/>
              <w:jc w:val="center"/>
              <w:rPr>
                <w:b/>
                <w:bCs/>
                <w:color w:val="000000"/>
                <w:sz w:val="20"/>
                <w:lang w:val="en-CA"/>
              </w:rPr>
            </w:pPr>
            <w:r w:rsidRPr="00CB1939">
              <w:rPr>
                <w:b/>
                <w:bCs/>
                <w:color w:val="000000"/>
                <w:sz w:val="20"/>
                <w:lang w:val="en-CA"/>
              </w:rPr>
              <w:t>2014</w:t>
            </w:r>
          </w:p>
        </w:tc>
        <w:tc>
          <w:tcPr>
            <w:tcW w:w="529" w:type="pct"/>
            <w:shd w:val="clear" w:color="auto" w:fill="auto"/>
            <w:noWrap/>
            <w:vAlign w:val="center"/>
            <w:hideMark/>
          </w:tcPr>
          <w:p w:rsidR="00006195" w:rsidRPr="00CB1939" w:rsidRDefault="00006195" w:rsidP="00CE25EF">
            <w:pPr>
              <w:widowControl w:val="0"/>
              <w:jc w:val="center"/>
              <w:rPr>
                <w:b/>
                <w:bCs/>
                <w:color w:val="000000"/>
                <w:sz w:val="20"/>
                <w:lang w:val="en-CA"/>
              </w:rPr>
            </w:pPr>
            <w:r w:rsidRPr="00CB1939">
              <w:rPr>
                <w:b/>
                <w:bCs/>
                <w:color w:val="000000"/>
                <w:sz w:val="20"/>
                <w:lang w:val="en-CA"/>
              </w:rPr>
              <w:t>2015</w:t>
            </w:r>
          </w:p>
        </w:tc>
        <w:tc>
          <w:tcPr>
            <w:tcW w:w="529" w:type="pct"/>
            <w:shd w:val="clear" w:color="auto" w:fill="auto"/>
            <w:noWrap/>
            <w:vAlign w:val="center"/>
            <w:hideMark/>
          </w:tcPr>
          <w:p w:rsidR="00006195" w:rsidRPr="00CB1939" w:rsidRDefault="00006195" w:rsidP="00CE25EF">
            <w:pPr>
              <w:widowControl w:val="0"/>
              <w:jc w:val="center"/>
              <w:rPr>
                <w:b/>
                <w:bCs/>
                <w:color w:val="000000"/>
                <w:sz w:val="20"/>
                <w:lang w:val="en-CA"/>
              </w:rPr>
            </w:pPr>
            <w:r w:rsidRPr="00CB1939">
              <w:rPr>
                <w:b/>
                <w:bCs/>
                <w:color w:val="000000"/>
                <w:sz w:val="20"/>
                <w:lang w:val="en-CA"/>
              </w:rPr>
              <w:t>2016</w:t>
            </w:r>
          </w:p>
        </w:tc>
        <w:tc>
          <w:tcPr>
            <w:tcW w:w="529" w:type="pct"/>
          </w:tcPr>
          <w:p w:rsidR="00006195" w:rsidRPr="00CB1939" w:rsidRDefault="00006195" w:rsidP="00CE25EF">
            <w:pPr>
              <w:widowControl w:val="0"/>
              <w:jc w:val="center"/>
              <w:rPr>
                <w:b/>
                <w:bCs/>
                <w:color w:val="000000"/>
                <w:sz w:val="20"/>
                <w:lang w:val="en-CA"/>
              </w:rPr>
            </w:pPr>
            <w:r w:rsidRPr="00CB1939">
              <w:rPr>
                <w:b/>
                <w:bCs/>
                <w:color w:val="000000"/>
                <w:sz w:val="20"/>
                <w:lang w:val="en-CA"/>
              </w:rPr>
              <w:t>2017</w:t>
            </w:r>
          </w:p>
        </w:tc>
        <w:tc>
          <w:tcPr>
            <w:tcW w:w="530" w:type="pct"/>
          </w:tcPr>
          <w:p w:rsidR="00006195" w:rsidRPr="00CB1939" w:rsidRDefault="00006195" w:rsidP="00CE25EF">
            <w:pPr>
              <w:widowControl w:val="0"/>
              <w:jc w:val="center"/>
              <w:rPr>
                <w:b/>
                <w:bCs/>
                <w:color w:val="000000"/>
                <w:sz w:val="20"/>
                <w:lang w:val="en-CA"/>
              </w:rPr>
            </w:pPr>
            <w:r w:rsidRPr="00CB1939">
              <w:rPr>
                <w:b/>
                <w:bCs/>
                <w:color w:val="000000"/>
                <w:sz w:val="20"/>
                <w:lang w:val="en-CA"/>
              </w:rPr>
              <w:t>2018</w:t>
            </w:r>
          </w:p>
        </w:tc>
        <w:tc>
          <w:tcPr>
            <w:tcW w:w="671" w:type="pct"/>
            <w:shd w:val="clear" w:color="auto" w:fill="auto"/>
            <w:noWrap/>
            <w:vAlign w:val="center"/>
            <w:hideMark/>
          </w:tcPr>
          <w:p w:rsidR="00006195" w:rsidRPr="00CB1939" w:rsidRDefault="00006195" w:rsidP="00CE25EF">
            <w:pPr>
              <w:widowControl w:val="0"/>
              <w:jc w:val="center"/>
              <w:rPr>
                <w:b/>
                <w:bCs/>
                <w:color w:val="000000"/>
                <w:sz w:val="20"/>
                <w:lang w:val="en-CA"/>
              </w:rPr>
            </w:pPr>
            <w:r>
              <w:rPr>
                <w:rFonts w:hint="cs"/>
                <w:b/>
                <w:bCs/>
                <w:color w:val="000000"/>
                <w:sz w:val="20"/>
                <w:rtl/>
                <w:lang w:val="en-CA"/>
              </w:rPr>
              <w:t>خط الأساس</w:t>
            </w:r>
          </w:p>
        </w:tc>
      </w:tr>
      <w:tr w:rsidR="00592EAA" w:rsidRPr="00CB1939" w:rsidTr="00477CB9">
        <w:tc>
          <w:tcPr>
            <w:tcW w:w="1682" w:type="pct"/>
            <w:shd w:val="clear" w:color="auto" w:fill="auto"/>
            <w:noWrap/>
            <w:tcMar>
              <w:left w:w="43" w:type="dxa"/>
              <w:right w:w="43" w:type="dxa"/>
            </w:tcMar>
            <w:vAlign w:val="center"/>
            <w:hideMark/>
          </w:tcPr>
          <w:p w:rsidR="00592EAA" w:rsidRPr="00CB1939" w:rsidRDefault="00592EAA" w:rsidP="00592EAA">
            <w:pPr>
              <w:widowControl w:val="0"/>
              <w:bidi/>
              <w:jc w:val="left"/>
              <w:rPr>
                <w:b/>
                <w:bCs/>
                <w:color w:val="000000"/>
                <w:sz w:val="20"/>
                <w:lang w:val="en-CA"/>
              </w:rPr>
            </w:pPr>
            <w:r>
              <w:rPr>
                <w:rFonts w:hint="cs"/>
                <w:b/>
                <w:bCs/>
                <w:color w:val="000000"/>
                <w:sz w:val="20"/>
                <w:rtl/>
                <w:lang w:val="en-CA"/>
              </w:rPr>
              <w:t>طن متري</w:t>
            </w:r>
          </w:p>
        </w:tc>
        <w:tc>
          <w:tcPr>
            <w:tcW w:w="529" w:type="pct"/>
            <w:shd w:val="clear" w:color="auto" w:fill="auto"/>
            <w:noWrap/>
            <w:hideMark/>
          </w:tcPr>
          <w:p w:rsidR="00592EAA" w:rsidRPr="0011020F" w:rsidRDefault="00592EAA" w:rsidP="00592EAA">
            <w:pPr>
              <w:widowControl w:val="0"/>
              <w:jc w:val="center"/>
              <w:rPr>
                <w:b/>
                <w:bCs/>
                <w:color w:val="000000"/>
                <w:sz w:val="20"/>
                <w:lang w:val="en-CA"/>
              </w:rPr>
            </w:pPr>
          </w:p>
        </w:tc>
        <w:tc>
          <w:tcPr>
            <w:tcW w:w="529" w:type="pct"/>
            <w:shd w:val="clear" w:color="auto" w:fill="auto"/>
            <w:noWrap/>
            <w:vAlign w:val="center"/>
            <w:hideMark/>
          </w:tcPr>
          <w:p w:rsidR="00592EAA" w:rsidRPr="0011020F" w:rsidRDefault="00592EAA" w:rsidP="00592EAA">
            <w:pPr>
              <w:widowControl w:val="0"/>
              <w:jc w:val="center"/>
              <w:rPr>
                <w:b/>
                <w:bCs/>
                <w:color w:val="000000"/>
                <w:sz w:val="20"/>
                <w:lang w:val="en-CA"/>
              </w:rPr>
            </w:pPr>
          </w:p>
        </w:tc>
        <w:tc>
          <w:tcPr>
            <w:tcW w:w="529" w:type="pct"/>
            <w:shd w:val="clear" w:color="auto" w:fill="auto"/>
            <w:noWrap/>
            <w:vAlign w:val="center"/>
            <w:hideMark/>
          </w:tcPr>
          <w:p w:rsidR="00592EAA" w:rsidRPr="0011020F" w:rsidRDefault="00592EAA" w:rsidP="00592EAA">
            <w:pPr>
              <w:widowControl w:val="0"/>
              <w:jc w:val="center"/>
              <w:rPr>
                <w:b/>
                <w:bCs/>
                <w:color w:val="000000"/>
                <w:sz w:val="20"/>
                <w:lang w:val="en-CA"/>
              </w:rPr>
            </w:pPr>
          </w:p>
        </w:tc>
        <w:tc>
          <w:tcPr>
            <w:tcW w:w="529" w:type="pct"/>
            <w:vAlign w:val="center"/>
          </w:tcPr>
          <w:p w:rsidR="00592EAA" w:rsidRPr="0011020F" w:rsidRDefault="00592EAA" w:rsidP="00592EAA">
            <w:pPr>
              <w:widowControl w:val="0"/>
              <w:jc w:val="center"/>
              <w:rPr>
                <w:b/>
                <w:bCs/>
                <w:color w:val="000000"/>
                <w:sz w:val="20"/>
                <w:lang w:val="en-CA"/>
              </w:rPr>
            </w:pPr>
          </w:p>
        </w:tc>
        <w:tc>
          <w:tcPr>
            <w:tcW w:w="530" w:type="pct"/>
          </w:tcPr>
          <w:p w:rsidR="00592EAA" w:rsidRPr="0011020F" w:rsidRDefault="00592EAA" w:rsidP="00592EAA">
            <w:pPr>
              <w:widowControl w:val="0"/>
              <w:jc w:val="center"/>
              <w:rPr>
                <w:b/>
                <w:bCs/>
                <w:color w:val="000000"/>
                <w:sz w:val="20"/>
                <w:lang w:val="en-CA"/>
              </w:rPr>
            </w:pPr>
          </w:p>
        </w:tc>
        <w:tc>
          <w:tcPr>
            <w:tcW w:w="671" w:type="pct"/>
            <w:shd w:val="clear" w:color="auto" w:fill="auto"/>
            <w:noWrap/>
            <w:vAlign w:val="center"/>
            <w:hideMark/>
          </w:tcPr>
          <w:p w:rsidR="00592EAA" w:rsidRPr="0011020F" w:rsidRDefault="00592EAA" w:rsidP="00592EAA">
            <w:pPr>
              <w:widowControl w:val="0"/>
              <w:jc w:val="center"/>
              <w:rPr>
                <w:b/>
                <w:bCs/>
                <w:color w:val="000000"/>
                <w:sz w:val="20"/>
                <w:lang w:val="en-CA"/>
              </w:rPr>
            </w:pPr>
          </w:p>
        </w:tc>
      </w:tr>
      <w:tr w:rsidR="00592EAA" w:rsidRPr="00CB1939" w:rsidTr="00477CB9">
        <w:tc>
          <w:tcPr>
            <w:tcW w:w="1682" w:type="pct"/>
            <w:shd w:val="clear" w:color="auto" w:fill="auto"/>
            <w:noWrap/>
            <w:tcMar>
              <w:left w:w="43" w:type="dxa"/>
              <w:right w:w="43" w:type="dxa"/>
            </w:tcMar>
            <w:vAlign w:val="center"/>
            <w:hideMark/>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الهيدروكلوروفلوروكربون-22</w:t>
            </w:r>
          </w:p>
        </w:tc>
        <w:tc>
          <w:tcPr>
            <w:tcW w:w="529" w:type="pct"/>
            <w:shd w:val="clear" w:color="auto" w:fill="auto"/>
            <w:noWrap/>
          </w:tcPr>
          <w:p w:rsidR="00592EAA" w:rsidRPr="0011020F" w:rsidRDefault="00592EAA" w:rsidP="00592EAA">
            <w:pPr>
              <w:jc w:val="right"/>
              <w:rPr>
                <w:sz w:val="20"/>
                <w:lang w:val="en-CA"/>
              </w:rPr>
            </w:pPr>
            <w:r w:rsidRPr="0011020F">
              <w:rPr>
                <w:color w:val="000000"/>
                <w:sz w:val="20"/>
                <w:lang w:val="en-CA"/>
              </w:rPr>
              <w:t>1,226.16</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1,081.54</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947.44</w:t>
            </w:r>
          </w:p>
        </w:tc>
        <w:tc>
          <w:tcPr>
            <w:tcW w:w="529" w:type="pct"/>
            <w:vAlign w:val="bottom"/>
          </w:tcPr>
          <w:p w:rsidR="00592EAA" w:rsidRPr="0011020F" w:rsidRDefault="00592EAA" w:rsidP="00592EAA">
            <w:pPr>
              <w:jc w:val="right"/>
              <w:rPr>
                <w:sz w:val="20"/>
                <w:lang w:val="en-CA"/>
              </w:rPr>
            </w:pPr>
            <w:r w:rsidRPr="0011020F">
              <w:rPr>
                <w:color w:val="000000"/>
                <w:sz w:val="20"/>
                <w:lang w:val="en-CA"/>
              </w:rPr>
              <w:t>806.21</w:t>
            </w:r>
          </w:p>
        </w:tc>
        <w:tc>
          <w:tcPr>
            <w:tcW w:w="530" w:type="pct"/>
          </w:tcPr>
          <w:p w:rsidR="00592EAA" w:rsidRPr="0011020F" w:rsidRDefault="00592EAA" w:rsidP="00592EAA">
            <w:pPr>
              <w:jc w:val="right"/>
              <w:rPr>
                <w:sz w:val="20"/>
                <w:lang w:val="en-CA"/>
              </w:rPr>
            </w:pPr>
            <w:r w:rsidRPr="0011020F">
              <w:rPr>
                <w:sz w:val="20"/>
                <w:lang w:val="en-CA"/>
              </w:rPr>
              <w:t>769.29</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1,292.6</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الهيدروكلوروفلوروكربون-123</w:t>
            </w:r>
          </w:p>
        </w:tc>
        <w:tc>
          <w:tcPr>
            <w:tcW w:w="529" w:type="pct"/>
            <w:shd w:val="clear" w:color="auto" w:fill="auto"/>
            <w:noWrap/>
          </w:tcPr>
          <w:p w:rsidR="00592EAA" w:rsidRPr="0011020F" w:rsidRDefault="00592EAA" w:rsidP="00592EAA">
            <w:pPr>
              <w:jc w:val="right"/>
              <w:rPr>
                <w:sz w:val="20"/>
                <w:lang w:val="en-CA"/>
              </w:rPr>
            </w:pPr>
            <w:r w:rsidRPr="0011020F">
              <w:rPr>
                <w:color w:val="000000"/>
                <w:sz w:val="20"/>
                <w:lang w:val="en-CA"/>
              </w:rPr>
              <w:t>103.58</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93.91</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78.81</w:t>
            </w:r>
          </w:p>
        </w:tc>
        <w:tc>
          <w:tcPr>
            <w:tcW w:w="529" w:type="pct"/>
            <w:vAlign w:val="bottom"/>
          </w:tcPr>
          <w:p w:rsidR="00592EAA" w:rsidRPr="0011020F" w:rsidRDefault="00592EAA" w:rsidP="00592EAA">
            <w:pPr>
              <w:jc w:val="right"/>
              <w:rPr>
                <w:sz w:val="20"/>
                <w:lang w:val="en-CA"/>
              </w:rPr>
            </w:pPr>
            <w:r w:rsidRPr="0011020F">
              <w:rPr>
                <w:color w:val="000000"/>
                <w:sz w:val="20"/>
                <w:lang w:val="en-CA"/>
              </w:rPr>
              <w:t>8.31</w:t>
            </w:r>
          </w:p>
        </w:tc>
        <w:tc>
          <w:tcPr>
            <w:tcW w:w="530" w:type="pct"/>
          </w:tcPr>
          <w:p w:rsidR="00592EAA" w:rsidRPr="0011020F" w:rsidRDefault="00592EAA" w:rsidP="00592EAA">
            <w:pPr>
              <w:jc w:val="right"/>
              <w:rPr>
                <w:sz w:val="20"/>
                <w:lang w:val="en-CA"/>
              </w:rPr>
            </w:pPr>
            <w:r w:rsidRPr="0011020F">
              <w:rPr>
                <w:sz w:val="20"/>
                <w:lang w:val="en-CA"/>
              </w:rPr>
              <w:t>32.50</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110.4</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الهيدروكلوروفلوروكربون-124</w:t>
            </w:r>
          </w:p>
        </w:tc>
        <w:tc>
          <w:tcPr>
            <w:tcW w:w="529" w:type="pct"/>
            <w:shd w:val="clear" w:color="auto" w:fill="auto"/>
            <w:noWrap/>
          </w:tcPr>
          <w:p w:rsidR="00592EAA" w:rsidRPr="0011020F" w:rsidRDefault="00592EAA" w:rsidP="00592EAA">
            <w:pPr>
              <w:jc w:val="right"/>
              <w:rPr>
                <w:sz w:val="20"/>
                <w:lang w:val="en-CA"/>
              </w:rPr>
            </w:pPr>
            <w:r w:rsidRPr="0011020F">
              <w:rPr>
                <w:color w:val="000000"/>
                <w:sz w:val="20"/>
                <w:lang w:val="en-CA"/>
              </w:rPr>
              <w:t>0.70</w:t>
            </w:r>
          </w:p>
        </w:tc>
        <w:tc>
          <w:tcPr>
            <w:tcW w:w="529" w:type="pct"/>
            <w:shd w:val="clear" w:color="auto" w:fill="auto"/>
            <w:noWrap/>
          </w:tcPr>
          <w:p w:rsidR="00592EAA" w:rsidRPr="0011020F" w:rsidRDefault="00592EAA" w:rsidP="00592EAA">
            <w:pPr>
              <w:jc w:val="right"/>
              <w:rPr>
                <w:sz w:val="20"/>
                <w:lang w:val="en-CA"/>
              </w:rPr>
            </w:pPr>
            <w:r w:rsidRPr="0011020F">
              <w:rPr>
                <w:sz w:val="20"/>
                <w:lang w:val="en-CA"/>
              </w:rPr>
              <w:t>0.40</w:t>
            </w:r>
          </w:p>
        </w:tc>
        <w:tc>
          <w:tcPr>
            <w:tcW w:w="529" w:type="pct"/>
            <w:shd w:val="clear" w:color="auto" w:fill="auto"/>
            <w:noWrap/>
          </w:tcPr>
          <w:p w:rsidR="00592EAA" w:rsidRPr="0011020F" w:rsidRDefault="00592EAA" w:rsidP="00592EAA">
            <w:pPr>
              <w:jc w:val="right"/>
              <w:rPr>
                <w:sz w:val="20"/>
                <w:lang w:val="en-CA"/>
              </w:rPr>
            </w:pPr>
            <w:r>
              <w:rPr>
                <w:sz w:val="20"/>
                <w:lang w:val="en-CA"/>
              </w:rPr>
              <w:t>0.0</w:t>
            </w:r>
            <w:r w:rsidRPr="0011020F">
              <w:rPr>
                <w:sz w:val="20"/>
                <w:lang w:val="en-CA"/>
              </w:rPr>
              <w:t>0</w:t>
            </w:r>
          </w:p>
        </w:tc>
        <w:tc>
          <w:tcPr>
            <w:tcW w:w="529" w:type="pct"/>
            <w:vAlign w:val="center"/>
          </w:tcPr>
          <w:p w:rsidR="00592EAA" w:rsidRDefault="00592EAA" w:rsidP="00592EAA">
            <w:pPr>
              <w:jc w:val="right"/>
            </w:pPr>
            <w:r w:rsidRPr="00A51D17">
              <w:rPr>
                <w:sz w:val="20"/>
                <w:lang w:val="en-CA"/>
              </w:rPr>
              <w:t>0.00</w:t>
            </w:r>
          </w:p>
        </w:tc>
        <w:tc>
          <w:tcPr>
            <w:tcW w:w="530" w:type="pct"/>
            <w:vAlign w:val="center"/>
          </w:tcPr>
          <w:p w:rsidR="00592EAA" w:rsidRDefault="00592EAA" w:rsidP="00592EAA">
            <w:pPr>
              <w:jc w:val="right"/>
            </w:pPr>
            <w:r w:rsidRPr="00A51D17">
              <w:rPr>
                <w:sz w:val="20"/>
                <w:lang w:val="en-CA"/>
              </w:rPr>
              <w:t>0.00</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1.8</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الهيدروكلوروفلوروكربون-141ب</w:t>
            </w:r>
          </w:p>
        </w:tc>
        <w:tc>
          <w:tcPr>
            <w:tcW w:w="529" w:type="pct"/>
            <w:shd w:val="clear" w:color="auto" w:fill="auto"/>
            <w:noWrap/>
          </w:tcPr>
          <w:p w:rsidR="00592EAA" w:rsidRPr="0011020F" w:rsidRDefault="00592EAA" w:rsidP="00592EAA">
            <w:pPr>
              <w:jc w:val="right"/>
              <w:rPr>
                <w:sz w:val="20"/>
                <w:lang w:val="en-CA"/>
              </w:rPr>
            </w:pPr>
            <w:r w:rsidRPr="0011020F">
              <w:rPr>
                <w:color w:val="000000"/>
                <w:sz w:val="20"/>
                <w:lang w:val="en-CA"/>
              </w:rPr>
              <w:t>783.83</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938.40</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753.26</w:t>
            </w:r>
          </w:p>
        </w:tc>
        <w:tc>
          <w:tcPr>
            <w:tcW w:w="529" w:type="pct"/>
            <w:vAlign w:val="bottom"/>
          </w:tcPr>
          <w:p w:rsidR="00592EAA" w:rsidRPr="0011020F" w:rsidRDefault="00592EAA" w:rsidP="00592EAA">
            <w:pPr>
              <w:jc w:val="right"/>
              <w:rPr>
                <w:sz w:val="20"/>
                <w:lang w:val="en-CA"/>
              </w:rPr>
            </w:pPr>
            <w:r w:rsidRPr="0011020F">
              <w:rPr>
                <w:color w:val="000000"/>
                <w:sz w:val="20"/>
                <w:lang w:val="en-CA"/>
              </w:rPr>
              <w:t>944.75</w:t>
            </w:r>
          </w:p>
        </w:tc>
        <w:tc>
          <w:tcPr>
            <w:tcW w:w="530" w:type="pct"/>
          </w:tcPr>
          <w:p w:rsidR="00592EAA" w:rsidRPr="0011020F" w:rsidRDefault="00592EAA" w:rsidP="00592EAA">
            <w:pPr>
              <w:jc w:val="right"/>
              <w:rPr>
                <w:sz w:val="20"/>
                <w:lang w:val="en-CA"/>
              </w:rPr>
            </w:pPr>
            <w:r w:rsidRPr="0011020F">
              <w:rPr>
                <w:sz w:val="20"/>
                <w:lang w:val="en-CA"/>
              </w:rPr>
              <w:t>319.91</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1,379.5</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b/>
                <w:bCs/>
                <w:color w:val="000000"/>
                <w:sz w:val="20"/>
                <w:lang w:val="en-CA"/>
              </w:rPr>
            </w:pPr>
            <w:r>
              <w:rPr>
                <w:rFonts w:hint="cs"/>
                <w:color w:val="000000"/>
                <w:sz w:val="20"/>
                <w:rtl/>
                <w:lang w:val="en-CA"/>
              </w:rPr>
              <w:t>الهيدروكلوروفلوروكربون-142ب</w:t>
            </w:r>
          </w:p>
        </w:tc>
        <w:tc>
          <w:tcPr>
            <w:tcW w:w="529" w:type="pct"/>
            <w:shd w:val="clear" w:color="auto" w:fill="auto"/>
            <w:noWrap/>
          </w:tcPr>
          <w:p w:rsidR="00592EAA" w:rsidRPr="0011020F" w:rsidRDefault="00592EAA" w:rsidP="00592EAA">
            <w:pPr>
              <w:jc w:val="right"/>
              <w:rPr>
                <w:sz w:val="20"/>
                <w:lang w:val="en-CA"/>
              </w:rPr>
            </w:pPr>
            <w:r w:rsidRPr="0011020F">
              <w:rPr>
                <w:color w:val="000000"/>
                <w:sz w:val="20"/>
                <w:lang w:val="en-CA"/>
              </w:rPr>
              <w:t>4.35</w:t>
            </w:r>
          </w:p>
        </w:tc>
        <w:tc>
          <w:tcPr>
            <w:tcW w:w="529" w:type="pct"/>
            <w:shd w:val="clear" w:color="auto" w:fill="auto"/>
            <w:noWrap/>
          </w:tcPr>
          <w:p w:rsidR="00592EAA" w:rsidRPr="0011020F" w:rsidRDefault="00592EAA" w:rsidP="00592EAA">
            <w:pPr>
              <w:jc w:val="right"/>
              <w:rPr>
                <w:sz w:val="20"/>
                <w:lang w:val="en-CA"/>
              </w:rPr>
            </w:pPr>
            <w:r w:rsidRPr="0011020F">
              <w:rPr>
                <w:sz w:val="20"/>
                <w:lang w:val="en-CA"/>
              </w:rPr>
              <w:t>0.10</w:t>
            </w:r>
          </w:p>
        </w:tc>
        <w:tc>
          <w:tcPr>
            <w:tcW w:w="529" w:type="pct"/>
            <w:shd w:val="clear" w:color="auto" w:fill="auto"/>
            <w:noWrap/>
          </w:tcPr>
          <w:p w:rsidR="00592EAA" w:rsidRPr="0011020F" w:rsidRDefault="00592EAA" w:rsidP="00592EAA">
            <w:pPr>
              <w:jc w:val="right"/>
              <w:rPr>
                <w:sz w:val="20"/>
                <w:lang w:val="en-CA"/>
              </w:rPr>
            </w:pPr>
            <w:r w:rsidRPr="0011020F">
              <w:rPr>
                <w:sz w:val="20"/>
                <w:lang w:val="en-CA"/>
              </w:rPr>
              <w:t>0</w:t>
            </w:r>
          </w:p>
        </w:tc>
        <w:tc>
          <w:tcPr>
            <w:tcW w:w="529" w:type="pct"/>
            <w:vAlign w:val="bottom"/>
          </w:tcPr>
          <w:p w:rsidR="00592EAA" w:rsidRPr="0011020F" w:rsidRDefault="00592EAA" w:rsidP="00592EAA">
            <w:pPr>
              <w:jc w:val="right"/>
              <w:rPr>
                <w:sz w:val="20"/>
                <w:lang w:val="en-CA"/>
              </w:rPr>
            </w:pPr>
            <w:r w:rsidRPr="0011020F">
              <w:rPr>
                <w:color w:val="000000"/>
                <w:sz w:val="20"/>
                <w:lang w:val="en-CA"/>
              </w:rPr>
              <w:t>1.25</w:t>
            </w:r>
          </w:p>
        </w:tc>
        <w:tc>
          <w:tcPr>
            <w:tcW w:w="530" w:type="pct"/>
          </w:tcPr>
          <w:p w:rsidR="00592EAA" w:rsidRPr="0011020F" w:rsidRDefault="00592EAA" w:rsidP="00592EAA">
            <w:pPr>
              <w:jc w:val="right"/>
              <w:rPr>
                <w:sz w:val="20"/>
                <w:lang w:val="en-CA"/>
              </w:rPr>
            </w:pPr>
            <w:r w:rsidRPr="0011020F">
              <w:rPr>
                <w:sz w:val="20"/>
                <w:lang w:val="en-CA"/>
              </w:rPr>
              <w:t>0</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7.5</w:t>
            </w:r>
          </w:p>
        </w:tc>
      </w:tr>
      <w:tr w:rsidR="00592EAA" w:rsidRPr="00CB1939" w:rsidTr="00477CB9">
        <w:tc>
          <w:tcPr>
            <w:tcW w:w="1682" w:type="pct"/>
            <w:shd w:val="clear" w:color="auto" w:fill="auto"/>
            <w:noWrap/>
            <w:tcMar>
              <w:left w:w="43" w:type="dxa"/>
              <w:right w:w="43" w:type="dxa"/>
            </w:tcMar>
            <w:vAlign w:val="center"/>
          </w:tcPr>
          <w:p w:rsidR="00592EAA" w:rsidRPr="00592EAA" w:rsidRDefault="00592EAA" w:rsidP="00592EAA">
            <w:pPr>
              <w:widowControl w:val="0"/>
              <w:bidi/>
              <w:jc w:val="left"/>
              <w:rPr>
                <w:b/>
                <w:bCs/>
                <w:color w:val="000000"/>
                <w:sz w:val="20"/>
                <w:lang w:val="en-CA"/>
              </w:rPr>
            </w:pPr>
            <w:r w:rsidRPr="00592EAA">
              <w:rPr>
                <w:rFonts w:hint="cs"/>
                <w:b/>
                <w:bCs/>
                <w:color w:val="000000"/>
                <w:sz w:val="20"/>
                <w:rtl/>
                <w:lang w:val="en-CA"/>
              </w:rPr>
              <w:t>المجموع (طن متري)</w:t>
            </w:r>
          </w:p>
        </w:tc>
        <w:tc>
          <w:tcPr>
            <w:tcW w:w="529" w:type="pct"/>
            <w:shd w:val="clear" w:color="auto" w:fill="auto"/>
            <w:noWrap/>
          </w:tcPr>
          <w:p w:rsidR="00592EAA" w:rsidRPr="0011020F" w:rsidRDefault="00592EAA" w:rsidP="00592EAA">
            <w:pPr>
              <w:jc w:val="right"/>
              <w:rPr>
                <w:b/>
                <w:color w:val="000000"/>
                <w:sz w:val="20"/>
                <w:lang w:val="en-CA"/>
              </w:rPr>
            </w:pPr>
            <w:r w:rsidRPr="0011020F">
              <w:rPr>
                <w:b/>
                <w:color w:val="000000"/>
                <w:sz w:val="20"/>
                <w:lang w:val="en-CA"/>
              </w:rPr>
              <w:t>2,118.62</w:t>
            </w:r>
          </w:p>
        </w:tc>
        <w:tc>
          <w:tcPr>
            <w:tcW w:w="529" w:type="pct"/>
            <w:shd w:val="clear" w:color="auto" w:fill="auto"/>
            <w:noWrap/>
          </w:tcPr>
          <w:p w:rsidR="00592EAA" w:rsidRPr="0011020F" w:rsidRDefault="00592EAA" w:rsidP="00592EAA">
            <w:pPr>
              <w:jc w:val="right"/>
              <w:rPr>
                <w:b/>
                <w:color w:val="000000"/>
                <w:sz w:val="20"/>
                <w:lang w:val="en-CA"/>
              </w:rPr>
            </w:pPr>
            <w:r w:rsidRPr="0011020F">
              <w:rPr>
                <w:b/>
                <w:noProof/>
                <w:color w:val="000000"/>
                <w:sz w:val="20"/>
                <w:lang w:val="en-CA"/>
              </w:rPr>
              <w:t>2,114.35</w:t>
            </w:r>
          </w:p>
        </w:tc>
        <w:tc>
          <w:tcPr>
            <w:tcW w:w="529" w:type="pct"/>
            <w:shd w:val="clear" w:color="auto" w:fill="auto"/>
            <w:noWrap/>
          </w:tcPr>
          <w:p w:rsidR="00592EAA" w:rsidRPr="0011020F" w:rsidRDefault="00592EAA" w:rsidP="00592EAA">
            <w:pPr>
              <w:jc w:val="right"/>
              <w:rPr>
                <w:b/>
                <w:color w:val="000000"/>
                <w:sz w:val="20"/>
                <w:lang w:val="en-CA"/>
              </w:rPr>
            </w:pPr>
            <w:r w:rsidRPr="0011020F">
              <w:rPr>
                <w:b/>
                <w:bCs/>
                <w:color w:val="000000"/>
                <w:sz w:val="20"/>
                <w:lang w:val="en-CA"/>
              </w:rPr>
              <w:t>1,779.51</w:t>
            </w:r>
          </w:p>
        </w:tc>
        <w:tc>
          <w:tcPr>
            <w:tcW w:w="529" w:type="pct"/>
            <w:vAlign w:val="bottom"/>
          </w:tcPr>
          <w:p w:rsidR="00592EAA" w:rsidRPr="0011020F" w:rsidRDefault="00592EAA" w:rsidP="00592EAA">
            <w:pPr>
              <w:jc w:val="right"/>
              <w:rPr>
                <w:b/>
                <w:color w:val="000000"/>
                <w:sz w:val="20"/>
                <w:lang w:val="en-CA"/>
              </w:rPr>
            </w:pPr>
            <w:r w:rsidRPr="0011020F">
              <w:rPr>
                <w:b/>
                <w:color w:val="000000"/>
                <w:sz w:val="20"/>
                <w:lang w:val="en-CA"/>
              </w:rPr>
              <w:t>1,760.52</w:t>
            </w:r>
          </w:p>
        </w:tc>
        <w:tc>
          <w:tcPr>
            <w:tcW w:w="530" w:type="pct"/>
          </w:tcPr>
          <w:p w:rsidR="00592EAA" w:rsidRPr="0011020F" w:rsidRDefault="00592EAA" w:rsidP="00592EAA">
            <w:pPr>
              <w:jc w:val="right"/>
              <w:rPr>
                <w:b/>
                <w:color w:val="000000"/>
                <w:sz w:val="20"/>
                <w:lang w:val="en-CA"/>
              </w:rPr>
            </w:pPr>
            <w:r w:rsidRPr="0011020F">
              <w:rPr>
                <w:b/>
                <w:color w:val="000000"/>
                <w:sz w:val="20"/>
                <w:lang w:val="en-CA"/>
              </w:rPr>
              <w:t>1,121.7</w:t>
            </w:r>
          </w:p>
        </w:tc>
        <w:tc>
          <w:tcPr>
            <w:tcW w:w="671" w:type="pct"/>
            <w:shd w:val="clear" w:color="auto" w:fill="auto"/>
            <w:noWrap/>
          </w:tcPr>
          <w:p w:rsidR="00592EAA" w:rsidRPr="0011020F" w:rsidRDefault="00592EAA" w:rsidP="00592EAA">
            <w:pPr>
              <w:jc w:val="right"/>
              <w:rPr>
                <w:b/>
                <w:color w:val="000000"/>
                <w:sz w:val="20"/>
                <w:lang w:val="en-CA"/>
              </w:rPr>
            </w:pPr>
            <w:r w:rsidRPr="0011020F">
              <w:rPr>
                <w:b/>
                <w:color w:val="000000"/>
                <w:sz w:val="20"/>
                <w:lang w:val="en-CA"/>
              </w:rPr>
              <w:t>2,791.7</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الهيدروكلوروفلوروكربون-141 ب في البوليولات المستوردة سابقة الخلط*</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0.03</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6.30</w:t>
            </w:r>
          </w:p>
        </w:tc>
        <w:tc>
          <w:tcPr>
            <w:tcW w:w="529" w:type="pct"/>
            <w:shd w:val="clear" w:color="auto" w:fill="auto"/>
            <w:noWrap/>
          </w:tcPr>
          <w:p w:rsidR="00592EAA" w:rsidRPr="0011020F" w:rsidRDefault="00592EAA" w:rsidP="00592EAA">
            <w:pPr>
              <w:jc w:val="right"/>
              <w:rPr>
                <w:bCs/>
                <w:color w:val="000000"/>
                <w:sz w:val="20"/>
                <w:lang w:val="en-CA"/>
              </w:rPr>
            </w:pPr>
            <w:r w:rsidRPr="0011020F">
              <w:rPr>
                <w:bCs/>
                <w:color w:val="000000"/>
                <w:sz w:val="20"/>
                <w:lang w:val="en-CA"/>
              </w:rPr>
              <w:t>7.94</w:t>
            </w:r>
          </w:p>
        </w:tc>
        <w:tc>
          <w:tcPr>
            <w:tcW w:w="529" w:type="pct"/>
          </w:tcPr>
          <w:p w:rsidR="00592EAA" w:rsidRPr="0011020F" w:rsidRDefault="00592EAA" w:rsidP="00592EAA">
            <w:pPr>
              <w:jc w:val="right"/>
              <w:rPr>
                <w:color w:val="000000"/>
                <w:sz w:val="20"/>
                <w:lang w:val="en-CA"/>
              </w:rPr>
            </w:pPr>
            <w:r w:rsidRPr="0011020F">
              <w:rPr>
                <w:color w:val="000000"/>
                <w:sz w:val="20"/>
                <w:lang w:val="en-CA"/>
              </w:rPr>
              <w:t>7.75</w:t>
            </w:r>
          </w:p>
        </w:tc>
        <w:tc>
          <w:tcPr>
            <w:tcW w:w="530" w:type="pct"/>
          </w:tcPr>
          <w:p w:rsidR="00592EAA" w:rsidRPr="0011020F" w:rsidRDefault="00592EAA" w:rsidP="00592EAA">
            <w:pPr>
              <w:jc w:val="right"/>
              <w:rPr>
                <w:color w:val="000000"/>
                <w:sz w:val="20"/>
                <w:lang w:val="en-CA"/>
              </w:rPr>
            </w:pPr>
            <w:r w:rsidRPr="0011020F">
              <w:rPr>
                <w:color w:val="000000"/>
                <w:sz w:val="20"/>
                <w:lang w:val="en-CA"/>
              </w:rPr>
              <w:t>12.37</w:t>
            </w:r>
          </w:p>
        </w:tc>
        <w:tc>
          <w:tcPr>
            <w:tcW w:w="671" w:type="pct"/>
            <w:shd w:val="clear" w:color="auto" w:fill="auto"/>
            <w:noWrap/>
          </w:tcPr>
          <w:p w:rsidR="00592EAA" w:rsidRPr="0011020F" w:rsidRDefault="00592EAA" w:rsidP="00592EAA">
            <w:pPr>
              <w:jc w:val="right"/>
              <w:rPr>
                <w:color w:val="000000"/>
                <w:sz w:val="20"/>
                <w:lang w:val="en-CA"/>
              </w:rPr>
            </w:pPr>
            <w:r>
              <w:rPr>
                <w:rFonts w:hint="cs"/>
                <w:color w:val="000000"/>
                <w:sz w:val="20"/>
                <w:rtl/>
                <w:lang w:val="en-CA"/>
              </w:rPr>
              <w:t>لا ينطبق</w:t>
            </w:r>
          </w:p>
        </w:tc>
      </w:tr>
      <w:tr w:rsidR="00592EAA" w:rsidRPr="00CB1939" w:rsidTr="00477CB9">
        <w:tc>
          <w:tcPr>
            <w:tcW w:w="1682" w:type="pct"/>
            <w:shd w:val="clear" w:color="auto" w:fill="auto"/>
            <w:noWrap/>
            <w:tcMar>
              <w:left w:w="43" w:type="dxa"/>
              <w:right w:w="43" w:type="dxa"/>
            </w:tcMar>
            <w:vAlign w:val="center"/>
          </w:tcPr>
          <w:p w:rsidR="00592EAA" w:rsidRPr="00592EAA" w:rsidRDefault="00592EAA" w:rsidP="00592EAA">
            <w:pPr>
              <w:widowControl w:val="0"/>
              <w:bidi/>
              <w:jc w:val="left"/>
              <w:rPr>
                <w:b/>
                <w:bCs/>
                <w:color w:val="000000"/>
                <w:sz w:val="20"/>
                <w:rtl/>
                <w:lang w:val="en-CA"/>
              </w:rPr>
            </w:pPr>
            <w:r w:rsidRPr="00592EAA">
              <w:rPr>
                <w:rFonts w:hint="cs"/>
                <w:b/>
                <w:bCs/>
                <w:color w:val="000000"/>
                <w:sz w:val="20"/>
                <w:rtl/>
                <w:lang w:val="en-CA"/>
              </w:rPr>
              <w:t>أطنان من قدرات استنفاد الأوزون</w:t>
            </w:r>
          </w:p>
        </w:tc>
        <w:tc>
          <w:tcPr>
            <w:tcW w:w="529" w:type="pct"/>
            <w:shd w:val="clear" w:color="auto" w:fill="auto"/>
            <w:noWrap/>
          </w:tcPr>
          <w:p w:rsidR="00592EAA" w:rsidRPr="0011020F" w:rsidRDefault="00592EAA" w:rsidP="00592EAA">
            <w:pPr>
              <w:widowControl w:val="0"/>
              <w:jc w:val="right"/>
              <w:rPr>
                <w:color w:val="000000"/>
                <w:sz w:val="20"/>
                <w:lang w:val="en-CA"/>
              </w:rPr>
            </w:pPr>
          </w:p>
        </w:tc>
        <w:tc>
          <w:tcPr>
            <w:tcW w:w="529" w:type="pct"/>
            <w:shd w:val="clear" w:color="auto" w:fill="auto"/>
            <w:noWrap/>
          </w:tcPr>
          <w:p w:rsidR="00592EAA" w:rsidRPr="0011020F" w:rsidRDefault="00592EAA" w:rsidP="00592EAA">
            <w:pPr>
              <w:widowControl w:val="0"/>
              <w:jc w:val="right"/>
              <w:rPr>
                <w:color w:val="000000"/>
                <w:sz w:val="20"/>
                <w:lang w:val="en-CA"/>
              </w:rPr>
            </w:pPr>
          </w:p>
        </w:tc>
        <w:tc>
          <w:tcPr>
            <w:tcW w:w="529" w:type="pct"/>
            <w:shd w:val="clear" w:color="auto" w:fill="auto"/>
            <w:noWrap/>
          </w:tcPr>
          <w:p w:rsidR="00592EAA" w:rsidRPr="0011020F" w:rsidRDefault="00592EAA" w:rsidP="00592EAA">
            <w:pPr>
              <w:widowControl w:val="0"/>
              <w:jc w:val="right"/>
              <w:rPr>
                <w:color w:val="000000"/>
                <w:sz w:val="20"/>
                <w:lang w:val="en-CA"/>
              </w:rPr>
            </w:pPr>
          </w:p>
        </w:tc>
        <w:tc>
          <w:tcPr>
            <w:tcW w:w="529" w:type="pct"/>
          </w:tcPr>
          <w:p w:rsidR="00592EAA" w:rsidRPr="0011020F" w:rsidRDefault="00592EAA" w:rsidP="00592EAA">
            <w:pPr>
              <w:widowControl w:val="0"/>
              <w:jc w:val="right"/>
              <w:rPr>
                <w:color w:val="000000"/>
                <w:sz w:val="20"/>
                <w:lang w:val="en-CA"/>
              </w:rPr>
            </w:pPr>
          </w:p>
        </w:tc>
        <w:tc>
          <w:tcPr>
            <w:tcW w:w="530" w:type="pct"/>
          </w:tcPr>
          <w:p w:rsidR="00592EAA" w:rsidRPr="0011020F" w:rsidRDefault="00592EAA" w:rsidP="00592EAA">
            <w:pPr>
              <w:widowControl w:val="0"/>
              <w:jc w:val="right"/>
              <w:rPr>
                <w:color w:val="000000"/>
                <w:sz w:val="20"/>
                <w:lang w:val="en-CA"/>
              </w:rPr>
            </w:pPr>
          </w:p>
        </w:tc>
        <w:tc>
          <w:tcPr>
            <w:tcW w:w="671" w:type="pct"/>
            <w:shd w:val="clear" w:color="auto" w:fill="auto"/>
            <w:noWrap/>
          </w:tcPr>
          <w:p w:rsidR="00592EAA" w:rsidRPr="0011020F" w:rsidRDefault="00592EAA" w:rsidP="00592EAA">
            <w:pPr>
              <w:widowControl w:val="0"/>
              <w:jc w:val="right"/>
              <w:rPr>
                <w:color w:val="000000"/>
                <w:sz w:val="20"/>
                <w:lang w:val="en-CA"/>
              </w:rPr>
            </w:pP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الهيدروكلوروفلوروكربون-22</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67.44</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59.48</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52.11</w:t>
            </w:r>
          </w:p>
        </w:tc>
        <w:tc>
          <w:tcPr>
            <w:tcW w:w="529" w:type="pct"/>
            <w:vAlign w:val="bottom"/>
          </w:tcPr>
          <w:p w:rsidR="00592EAA" w:rsidRPr="0011020F" w:rsidRDefault="00592EAA" w:rsidP="00592EAA">
            <w:pPr>
              <w:jc w:val="right"/>
              <w:rPr>
                <w:color w:val="000000"/>
                <w:sz w:val="20"/>
                <w:lang w:val="en-CA"/>
              </w:rPr>
            </w:pPr>
            <w:r w:rsidRPr="0011020F">
              <w:rPr>
                <w:color w:val="000000"/>
                <w:sz w:val="20"/>
                <w:lang w:val="en-CA"/>
              </w:rPr>
              <w:t>44.34</w:t>
            </w:r>
          </w:p>
        </w:tc>
        <w:tc>
          <w:tcPr>
            <w:tcW w:w="530" w:type="pct"/>
          </w:tcPr>
          <w:p w:rsidR="00592EAA" w:rsidRPr="0011020F" w:rsidRDefault="00592EAA" w:rsidP="00592EAA">
            <w:pPr>
              <w:jc w:val="right"/>
              <w:rPr>
                <w:color w:val="000000"/>
                <w:sz w:val="20"/>
                <w:lang w:val="en-CA"/>
              </w:rPr>
            </w:pPr>
            <w:r w:rsidRPr="0011020F">
              <w:rPr>
                <w:color w:val="000000"/>
                <w:sz w:val="20"/>
                <w:lang w:val="en-CA"/>
              </w:rPr>
              <w:t>42.31</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71.1</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الهيدروكلوروفلوروكربون-123</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2.07</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1.88</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1.58</w:t>
            </w:r>
          </w:p>
        </w:tc>
        <w:tc>
          <w:tcPr>
            <w:tcW w:w="529" w:type="pct"/>
            <w:vAlign w:val="bottom"/>
          </w:tcPr>
          <w:p w:rsidR="00592EAA" w:rsidRPr="0011020F" w:rsidRDefault="00592EAA" w:rsidP="00592EAA">
            <w:pPr>
              <w:jc w:val="right"/>
              <w:rPr>
                <w:color w:val="000000"/>
                <w:sz w:val="20"/>
                <w:lang w:val="en-CA"/>
              </w:rPr>
            </w:pPr>
            <w:r w:rsidRPr="0011020F">
              <w:rPr>
                <w:color w:val="000000"/>
                <w:sz w:val="20"/>
                <w:lang w:val="en-CA"/>
              </w:rPr>
              <w:t>0.17</w:t>
            </w:r>
          </w:p>
        </w:tc>
        <w:tc>
          <w:tcPr>
            <w:tcW w:w="530" w:type="pct"/>
          </w:tcPr>
          <w:p w:rsidR="00592EAA" w:rsidRPr="0011020F" w:rsidRDefault="00592EAA" w:rsidP="00592EAA">
            <w:pPr>
              <w:jc w:val="right"/>
              <w:rPr>
                <w:color w:val="000000"/>
                <w:sz w:val="20"/>
                <w:lang w:val="en-CA"/>
              </w:rPr>
            </w:pPr>
            <w:r w:rsidRPr="0011020F">
              <w:rPr>
                <w:color w:val="000000"/>
                <w:sz w:val="20"/>
                <w:lang w:val="en-CA"/>
              </w:rPr>
              <w:t>0.65</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2.2</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الهيدروكلوروفلوروكربون-124</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0.02</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0.01</w:t>
            </w:r>
          </w:p>
        </w:tc>
        <w:tc>
          <w:tcPr>
            <w:tcW w:w="529" w:type="pct"/>
            <w:shd w:val="clear" w:color="auto" w:fill="auto"/>
            <w:noWrap/>
            <w:vAlign w:val="center"/>
          </w:tcPr>
          <w:p w:rsidR="00592EAA" w:rsidRDefault="00592EAA" w:rsidP="00592EAA">
            <w:pPr>
              <w:jc w:val="right"/>
            </w:pPr>
            <w:r w:rsidRPr="00EB4E04">
              <w:rPr>
                <w:sz w:val="20"/>
                <w:lang w:val="en-CA"/>
              </w:rPr>
              <w:t>0.00</w:t>
            </w:r>
          </w:p>
        </w:tc>
        <w:tc>
          <w:tcPr>
            <w:tcW w:w="529" w:type="pct"/>
            <w:vAlign w:val="center"/>
          </w:tcPr>
          <w:p w:rsidR="00592EAA" w:rsidRDefault="00592EAA" w:rsidP="00592EAA">
            <w:pPr>
              <w:jc w:val="right"/>
            </w:pPr>
            <w:r w:rsidRPr="00EB4E04">
              <w:rPr>
                <w:sz w:val="20"/>
                <w:lang w:val="en-CA"/>
              </w:rPr>
              <w:t>0.00</w:t>
            </w:r>
          </w:p>
        </w:tc>
        <w:tc>
          <w:tcPr>
            <w:tcW w:w="530" w:type="pct"/>
            <w:vAlign w:val="center"/>
          </w:tcPr>
          <w:p w:rsidR="00592EAA" w:rsidRDefault="00592EAA" w:rsidP="00592EAA">
            <w:pPr>
              <w:jc w:val="right"/>
            </w:pPr>
            <w:r w:rsidRPr="00EB4E04">
              <w:rPr>
                <w:sz w:val="20"/>
                <w:lang w:val="en-CA"/>
              </w:rPr>
              <w:t>0.00</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0.0</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الهيدروكلوروفلوروكربون-141ب</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86.22</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103.22</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82.86</w:t>
            </w:r>
          </w:p>
        </w:tc>
        <w:tc>
          <w:tcPr>
            <w:tcW w:w="529" w:type="pct"/>
            <w:vAlign w:val="bottom"/>
          </w:tcPr>
          <w:p w:rsidR="00592EAA" w:rsidRPr="0011020F" w:rsidRDefault="00592EAA" w:rsidP="00592EAA">
            <w:pPr>
              <w:jc w:val="right"/>
              <w:rPr>
                <w:color w:val="000000"/>
                <w:sz w:val="20"/>
                <w:lang w:val="en-CA"/>
              </w:rPr>
            </w:pPr>
            <w:r w:rsidRPr="0011020F">
              <w:rPr>
                <w:color w:val="000000"/>
                <w:sz w:val="20"/>
                <w:lang w:val="en-CA"/>
              </w:rPr>
              <w:t>103.92</w:t>
            </w:r>
          </w:p>
        </w:tc>
        <w:tc>
          <w:tcPr>
            <w:tcW w:w="530" w:type="pct"/>
          </w:tcPr>
          <w:p w:rsidR="00592EAA" w:rsidRPr="0011020F" w:rsidRDefault="00592EAA" w:rsidP="00592EAA">
            <w:pPr>
              <w:jc w:val="right"/>
              <w:rPr>
                <w:color w:val="000000"/>
                <w:sz w:val="20"/>
                <w:lang w:val="en-CA"/>
              </w:rPr>
            </w:pPr>
            <w:r w:rsidRPr="0011020F">
              <w:rPr>
                <w:color w:val="000000"/>
                <w:sz w:val="20"/>
                <w:lang w:val="en-CA"/>
              </w:rPr>
              <w:t>35.19</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151.7</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b/>
                <w:bCs/>
                <w:color w:val="000000"/>
                <w:sz w:val="20"/>
                <w:lang w:val="en-CA"/>
              </w:rPr>
            </w:pPr>
            <w:r>
              <w:rPr>
                <w:rFonts w:hint="cs"/>
                <w:color w:val="000000"/>
                <w:sz w:val="20"/>
                <w:rtl/>
                <w:lang w:val="en-CA"/>
              </w:rPr>
              <w:t>الهيدروكلوروفلوروكربون-142ب</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0.28</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0.01</w:t>
            </w:r>
          </w:p>
        </w:tc>
        <w:tc>
          <w:tcPr>
            <w:tcW w:w="529" w:type="pct"/>
            <w:shd w:val="clear" w:color="auto" w:fill="auto"/>
            <w:noWrap/>
            <w:vAlign w:val="bottom"/>
          </w:tcPr>
          <w:p w:rsidR="00592EAA" w:rsidRPr="0011020F" w:rsidRDefault="00592EAA" w:rsidP="00592EAA">
            <w:pPr>
              <w:jc w:val="right"/>
              <w:rPr>
                <w:sz w:val="20"/>
                <w:lang w:val="en-CA"/>
              </w:rPr>
            </w:pPr>
            <w:r w:rsidRPr="0011020F">
              <w:rPr>
                <w:sz w:val="20"/>
                <w:lang w:val="en-CA"/>
              </w:rPr>
              <w:t>0</w:t>
            </w:r>
          </w:p>
        </w:tc>
        <w:tc>
          <w:tcPr>
            <w:tcW w:w="529" w:type="pct"/>
            <w:vAlign w:val="bottom"/>
          </w:tcPr>
          <w:p w:rsidR="00592EAA" w:rsidRPr="0011020F" w:rsidRDefault="00592EAA" w:rsidP="00592EAA">
            <w:pPr>
              <w:jc w:val="right"/>
              <w:rPr>
                <w:color w:val="000000"/>
                <w:sz w:val="20"/>
                <w:lang w:val="en-CA"/>
              </w:rPr>
            </w:pPr>
            <w:r w:rsidRPr="0011020F">
              <w:rPr>
                <w:color w:val="000000"/>
                <w:sz w:val="20"/>
                <w:lang w:val="en-CA"/>
              </w:rPr>
              <w:t>0.08</w:t>
            </w:r>
          </w:p>
        </w:tc>
        <w:tc>
          <w:tcPr>
            <w:tcW w:w="530" w:type="pct"/>
          </w:tcPr>
          <w:p w:rsidR="00592EAA" w:rsidRPr="0011020F" w:rsidRDefault="00592EAA" w:rsidP="00592EAA">
            <w:pPr>
              <w:jc w:val="right"/>
              <w:rPr>
                <w:color w:val="000000"/>
                <w:sz w:val="20"/>
                <w:lang w:val="en-CA"/>
              </w:rPr>
            </w:pPr>
            <w:r w:rsidRPr="0011020F">
              <w:rPr>
                <w:color w:val="000000"/>
                <w:sz w:val="20"/>
                <w:lang w:val="en-CA"/>
              </w:rPr>
              <w:t>0</w:t>
            </w:r>
          </w:p>
        </w:tc>
        <w:tc>
          <w:tcPr>
            <w:tcW w:w="671"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0.5</w:t>
            </w:r>
          </w:p>
        </w:tc>
      </w:tr>
      <w:tr w:rsidR="00592EAA" w:rsidRPr="00CB1939" w:rsidTr="00477CB9">
        <w:tc>
          <w:tcPr>
            <w:tcW w:w="1682" w:type="pct"/>
            <w:shd w:val="clear" w:color="auto" w:fill="auto"/>
            <w:noWrap/>
            <w:tcMar>
              <w:left w:w="43" w:type="dxa"/>
              <w:right w:w="43" w:type="dxa"/>
            </w:tcMar>
            <w:vAlign w:val="center"/>
          </w:tcPr>
          <w:p w:rsidR="00592EAA" w:rsidRPr="00592EAA" w:rsidRDefault="00592EAA" w:rsidP="00592EAA">
            <w:pPr>
              <w:widowControl w:val="0"/>
              <w:bidi/>
              <w:jc w:val="left"/>
              <w:rPr>
                <w:b/>
                <w:bCs/>
                <w:color w:val="000000"/>
                <w:sz w:val="20"/>
                <w:lang w:val="en-CA"/>
              </w:rPr>
            </w:pPr>
            <w:r>
              <w:rPr>
                <w:rFonts w:hint="cs"/>
                <w:b/>
                <w:bCs/>
                <w:color w:val="000000"/>
                <w:sz w:val="20"/>
                <w:rtl/>
                <w:lang w:val="en-CA"/>
              </w:rPr>
              <w:t>المجموع (أطنان من قدرات استنفاد الأوزون)</w:t>
            </w:r>
          </w:p>
        </w:tc>
        <w:tc>
          <w:tcPr>
            <w:tcW w:w="529" w:type="pct"/>
            <w:shd w:val="clear" w:color="auto" w:fill="auto"/>
            <w:noWrap/>
          </w:tcPr>
          <w:p w:rsidR="00592EAA" w:rsidRPr="0011020F" w:rsidRDefault="00592EAA" w:rsidP="00592EAA">
            <w:pPr>
              <w:jc w:val="right"/>
              <w:rPr>
                <w:b/>
                <w:color w:val="000000"/>
                <w:sz w:val="20"/>
                <w:lang w:val="en-CA"/>
              </w:rPr>
            </w:pPr>
            <w:r w:rsidRPr="0011020F">
              <w:rPr>
                <w:b/>
                <w:color w:val="000000"/>
                <w:sz w:val="20"/>
                <w:lang w:val="en-CA"/>
              </w:rPr>
              <w:t>156.03</w:t>
            </w:r>
          </w:p>
        </w:tc>
        <w:tc>
          <w:tcPr>
            <w:tcW w:w="529" w:type="pct"/>
            <w:shd w:val="clear" w:color="auto" w:fill="auto"/>
            <w:noWrap/>
            <w:vAlign w:val="bottom"/>
          </w:tcPr>
          <w:p w:rsidR="00592EAA" w:rsidRPr="0011020F" w:rsidRDefault="00592EAA" w:rsidP="00592EAA">
            <w:pPr>
              <w:jc w:val="right"/>
              <w:rPr>
                <w:b/>
                <w:sz w:val="20"/>
                <w:lang w:val="en-CA"/>
              </w:rPr>
            </w:pPr>
            <w:r w:rsidRPr="0011020F">
              <w:rPr>
                <w:b/>
                <w:noProof/>
                <w:sz w:val="20"/>
                <w:lang w:val="en-CA"/>
              </w:rPr>
              <w:t>164.6</w:t>
            </w:r>
            <w:r w:rsidRPr="0011020F">
              <w:rPr>
                <w:b/>
                <w:sz w:val="20"/>
                <w:lang w:val="en-CA"/>
              </w:rPr>
              <w:t>0</w:t>
            </w:r>
          </w:p>
        </w:tc>
        <w:tc>
          <w:tcPr>
            <w:tcW w:w="529" w:type="pct"/>
            <w:shd w:val="clear" w:color="auto" w:fill="auto"/>
            <w:noWrap/>
            <w:vAlign w:val="bottom"/>
          </w:tcPr>
          <w:p w:rsidR="00592EAA" w:rsidRPr="0011020F" w:rsidRDefault="00592EAA" w:rsidP="00592EAA">
            <w:pPr>
              <w:jc w:val="right"/>
              <w:rPr>
                <w:b/>
                <w:sz w:val="20"/>
                <w:lang w:val="en-CA"/>
              </w:rPr>
            </w:pPr>
            <w:r w:rsidRPr="0011020F">
              <w:rPr>
                <w:b/>
                <w:noProof/>
                <w:sz w:val="20"/>
                <w:lang w:val="en-CA"/>
              </w:rPr>
              <w:t>136.54</w:t>
            </w:r>
          </w:p>
        </w:tc>
        <w:tc>
          <w:tcPr>
            <w:tcW w:w="529" w:type="pct"/>
          </w:tcPr>
          <w:p w:rsidR="00592EAA" w:rsidRPr="0011020F" w:rsidRDefault="00592EAA" w:rsidP="00592EAA">
            <w:pPr>
              <w:jc w:val="right"/>
              <w:rPr>
                <w:b/>
                <w:color w:val="000000"/>
                <w:sz w:val="20"/>
                <w:lang w:val="en-CA"/>
              </w:rPr>
            </w:pPr>
            <w:r w:rsidRPr="0011020F">
              <w:rPr>
                <w:b/>
                <w:noProof/>
                <w:color w:val="000000"/>
                <w:sz w:val="20"/>
                <w:lang w:val="en-CA"/>
              </w:rPr>
              <w:t>148.51</w:t>
            </w:r>
          </w:p>
        </w:tc>
        <w:tc>
          <w:tcPr>
            <w:tcW w:w="530" w:type="pct"/>
          </w:tcPr>
          <w:p w:rsidR="00592EAA" w:rsidRPr="0011020F" w:rsidRDefault="00592EAA" w:rsidP="00592EAA">
            <w:pPr>
              <w:jc w:val="right"/>
              <w:rPr>
                <w:b/>
                <w:color w:val="000000"/>
                <w:sz w:val="20"/>
                <w:lang w:val="en-CA"/>
              </w:rPr>
            </w:pPr>
            <w:r w:rsidRPr="0011020F">
              <w:rPr>
                <w:b/>
                <w:color w:val="000000"/>
                <w:sz w:val="20"/>
                <w:lang w:val="en-CA"/>
              </w:rPr>
              <w:t>78.15</w:t>
            </w:r>
          </w:p>
        </w:tc>
        <w:tc>
          <w:tcPr>
            <w:tcW w:w="671" w:type="pct"/>
            <w:shd w:val="clear" w:color="auto" w:fill="auto"/>
            <w:noWrap/>
          </w:tcPr>
          <w:p w:rsidR="00592EAA" w:rsidRPr="0011020F" w:rsidRDefault="00592EAA" w:rsidP="00592EAA">
            <w:pPr>
              <w:jc w:val="right"/>
              <w:rPr>
                <w:b/>
                <w:color w:val="000000"/>
                <w:sz w:val="20"/>
                <w:lang w:val="en-CA"/>
              </w:rPr>
            </w:pPr>
            <w:r w:rsidRPr="0011020F">
              <w:rPr>
                <w:b/>
                <w:color w:val="000000"/>
                <w:sz w:val="20"/>
                <w:lang w:val="en-CA"/>
              </w:rPr>
              <w:t>225.6</w:t>
            </w:r>
          </w:p>
        </w:tc>
      </w:tr>
      <w:tr w:rsidR="00592EAA" w:rsidRPr="00CB1939" w:rsidTr="00477CB9">
        <w:tc>
          <w:tcPr>
            <w:tcW w:w="1682" w:type="pct"/>
            <w:shd w:val="clear" w:color="auto" w:fill="auto"/>
            <w:noWrap/>
            <w:tcMar>
              <w:left w:w="43" w:type="dxa"/>
              <w:right w:w="43" w:type="dxa"/>
            </w:tcMar>
            <w:vAlign w:val="center"/>
          </w:tcPr>
          <w:p w:rsidR="00592EAA" w:rsidRPr="00CB1939" w:rsidRDefault="00592EAA" w:rsidP="00592EAA">
            <w:pPr>
              <w:widowControl w:val="0"/>
              <w:bidi/>
              <w:jc w:val="left"/>
              <w:rPr>
                <w:color w:val="000000"/>
                <w:sz w:val="20"/>
                <w:lang w:val="en-CA"/>
              </w:rPr>
            </w:pPr>
            <w:r>
              <w:rPr>
                <w:rFonts w:hint="cs"/>
                <w:color w:val="000000"/>
                <w:sz w:val="20"/>
                <w:rtl/>
                <w:lang w:val="en-CA"/>
              </w:rPr>
              <w:t>الهيدروكلوروفلوروكربون-141 ب في البوليولات المستوردة سابقة الخلط*</w:t>
            </w:r>
          </w:p>
        </w:tc>
        <w:tc>
          <w:tcPr>
            <w:tcW w:w="529" w:type="pct"/>
            <w:shd w:val="clear" w:color="auto" w:fill="auto"/>
            <w:noWrap/>
          </w:tcPr>
          <w:p w:rsidR="00592EAA" w:rsidRPr="0011020F" w:rsidRDefault="00592EAA" w:rsidP="00592EAA">
            <w:pPr>
              <w:jc w:val="right"/>
              <w:rPr>
                <w:color w:val="000000"/>
                <w:sz w:val="20"/>
                <w:lang w:val="en-CA"/>
              </w:rPr>
            </w:pPr>
            <w:r w:rsidRPr="0011020F">
              <w:rPr>
                <w:color w:val="000000"/>
                <w:sz w:val="20"/>
                <w:lang w:val="en-CA"/>
              </w:rPr>
              <w:t>0.003</w:t>
            </w:r>
          </w:p>
        </w:tc>
        <w:tc>
          <w:tcPr>
            <w:tcW w:w="529" w:type="pct"/>
            <w:shd w:val="clear" w:color="auto" w:fill="auto"/>
            <w:noWrap/>
          </w:tcPr>
          <w:p w:rsidR="00592EAA" w:rsidRPr="0011020F" w:rsidRDefault="00592EAA" w:rsidP="00592EAA">
            <w:pPr>
              <w:jc w:val="right"/>
              <w:rPr>
                <w:sz w:val="20"/>
                <w:lang w:val="en-CA"/>
              </w:rPr>
            </w:pPr>
            <w:r w:rsidRPr="0011020F">
              <w:rPr>
                <w:sz w:val="20"/>
                <w:lang w:val="en-CA"/>
              </w:rPr>
              <w:t>0.69</w:t>
            </w:r>
          </w:p>
        </w:tc>
        <w:tc>
          <w:tcPr>
            <w:tcW w:w="529" w:type="pct"/>
            <w:shd w:val="clear" w:color="auto" w:fill="auto"/>
            <w:noWrap/>
          </w:tcPr>
          <w:p w:rsidR="00592EAA" w:rsidRPr="0011020F" w:rsidRDefault="00592EAA" w:rsidP="00592EAA">
            <w:pPr>
              <w:jc w:val="right"/>
              <w:rPr>
                <w:sz w:val="20"/>
                <w:lang w:val="en-CA"/>
              </w:rPr>
            </w:pPr>
            <w:r w:rsidRPr="0011020F">
              <w:rPr>
                <w:sz w:val="20"/>
                <w:lang w:val="en-CA"/>
              </w:rPr>
              <w:t>0.87</w:t>
            </w:r>
          </w:p>
        </w:tc>
        <w:tc>
          <w:tcPr>
            <w:tcW w:w="529" w:type="pct"/>
          </w:tcPr>
          <w:p w:rsidR="00592EAA" w:rsidRPr="0011020F" w:rsidRDefault="00592EAA" w:rsidP="00592EAA">
            <w:pPr>
              <w:jc w:val="right"/>
              <w:rPr>
                <w:color w:val="000000"/>
                <w:sz w:val="20"/>
                <w:lang w:val="en-CA"/>
              </w:rPr>
            </w:pPr>
            <w:r w:rsidRPr="0011020F">
              <w:rPr>
                <w:color w:val="000000"/>
                <w:sz w:val="20"/>
                <w:lang w:val="en-CA"/>
              </w:rPr>
              <w:t>0.85</w:t>
            </w:r>
          </w:p>
        </w:tc>
        <w:tc>
          <w:tcPr>
            <w:tcW w:w="530" w:type="pct"/>
          </w:tcPr>
          <w:p w:rsidR="00592EAA" w:rsidRPr="0011020F" w:rsidRDefault="00592EAA" w:rsidP="00592EAA">
            <w:pPr>
              <w:jc w:val="right"/>
              <w:rPr>
                <w:color w:val="000000"/>
                <w:sz w:val="20"/>
                <w:lang w:val="en-CA"/>
              </w:rPr>
            </w:pPr>
            <w:r w:rsidRPr="0011020F">
              <w:rPr>
                <w:color w:val="000000"/>
                <w:sz w:val="20"/>
                <w:lang w:val="en-CA"/>
              </w:rPr>
              <w:t>1.36</w:t>
            </w:r>
          </w:p>
        </w:tc>
        <w:tc>
          <w:tcPr>
            <w:tcW w:w="671" w:type="pct"/>
            <w:shd w:val="clear" w:color="auto" w:fill="auto"/>
            <w:noWrap/>
          </w:tcPr>
          <w:p w:rsidR="00592EAA" w:rsidRPr="0011020F" w:rsidRDefault="00592EAA" w:rsidP="00592EAA">
            <w:pPr>
              <w:jc w:val="right"/>
              <w:rPr>
                <w:color w:val="000000"/>
                <w:sz w:val="20"/>
                <w:lang w:val="en-CA"/>
              </w:rPr>
            </w:pPr>
            <w:r>
              <w:rPr>
                <w:rFonts w:hint="cs"/>
                <w:color w:val="000000"/>
                <w:sz w:val="20"/>
                <w:rtl/>
                <w:lang w:val="en-CA"/>
              </w:rPr>
              <w:t>لا ينطبق</w:t>
            </w:r>
          </w:p>
        </w:tc>
      </w:tr>
    </w:tbl>
    <w:p w:rsidR="00006195" w:rsidRDefault="00006195" w:rsidP="00006195">
      <w:pPr>
        <w:bidi/>
        <w:spacing w:before="120" w:after="60"/>
        <w:rPr>
          <w:sz w:val="16"/>
          <w:szCs w:val="16"/>
          <w:lang w:val="en-US" w:bidi="ar-EG"/>
        </w:rPr>
      </w:pPr>
      <w:r>
        <w:rPr>
          <w:rFonts w:hint="cs"/>
          <w:sz w:val="16"/>
          <w:szCs w:val="16"/>
          <w:rtl/>
          <w:lang w:val="en-US" w:bidi="ar-EG"/>
        </w:rPr>
        <w:t xml:space="preserve"> *.</w:t>
      </w:r>
      <w:r w:rsidR="00592EAA">
        <w:rPr>
          <w:rFonts w:hint="cs"/>
          <w:sz w:val="16"/>
          <w:szCs w:val="16"/>
          <w:rtl/>
          <w:lang w:val="en-US" w:bidi="ar-EG"/>
        </w:rPr>
        <w:t>بيانات البرنامج القطري</w:t>
      </w:r>
      <w:r>
        <w:rPr>
          <w:rFonts w:hint="cs"/>
          <w:sz w:val="16"/>
          <w:szCs w:val="16"/>
          <w:rtl/>
          <w:lang w:val="en-US" w:bidi="ar-EG"/>
        </w:rPr>
        <w:t>.</w:t>
      </w:r>
    </w:p>
    <w:p w:rsidR="000B7A14" w:rsidRDefault="00213DD8" w:rsidP="00213DD8">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sidRPr="00213DD8">
        <w:rPr>
          <w:rFonts w:hint="cs"/>
          <w:sz w:val="26"/>
          <w:szCs w:val="26"/>
          <w:rtl/>
          <w:lang w:val="en-US" w:bidi="ar-EG"/>
        </w:rPr>
        <w:t>3 -</w:t>
      </w:r>
      <w:r w:rsidRPr="00213DD8">
        <w:rPr>
          <w:sz w:val="26"/>
          <w:szCs w:val="26"/>
          <w:rtl/>
          <w:lang w:val="en-US" w:bidi="ar-EG"/>
        </w:rPr>
        <w:tab/>
      </w:r>
      <w:r w:rsidR="00592EAA">
        <w:rPr>
          <w:rFonts w:hint="cs"/>
          <w:sz w:val="26"/>
          <w:szCs w:val="26"/>
          <w:rtl/>
          <w:lang w:val="en-US" w:bidi="ar-EG"/>
        </w:rPr>
        <w:t xml:space="preserve">يستمر استهلاك المواد الهيدروكلوروفلوروكربونية في التناقص بتخفيضات سواء في الخدمة أو في التصنيع بسبب تنفيذ أنشطة في إطار خطة إدارة إزالة المواد الهيدروكلوروفلوروكربونية بالإضافة إلى زيادة دخول </w:t>
      </w:r>
      <w:r w:rsidR="00592EAA">
        <w:rPr>
          <w:sz w:val="26"/>
          <w:szCs w:val="26"/>
          <w:rtl/>
          <w:lang w:val="en-US" w:bidi="ar-EG"/>
        </w:rPr>
        <w:br/>
      </w:r>
      <w:r w:rsidR="00592EAA">
        <w:rPr>
          <w:rFonts w:hint="cs"/>
          <w:sz w:val="26"/>
          <w:szCs w:val="26"/>
          <w:rtl/>
          <w:lang w:val="en-US" w:bidi="ar-EG"/>
        </w:rPr>
        <w:t xml:space="preserve">غاز </w:t>
      </w:r>
      <w:r w:rsidR="00592EAA">
        <w:rPr>
          <w:sz w:val="26"/>
          <w:szCs w:val="26"/>
          <w:lang w:val="en-US" w:bidi="ar-EG"/>
        </w:rPr>
        <w:t>R-410A</w:t>
      </w:r>
      <w:r w:rsidR="00592EAA">
        <w:rPr>
          <w:rFonts w:hint="cs"/>
          <w:sz w:val="26"/>
          <w:szCs w:val="26"/>
          <w:rtl/>
          <w:lang w:val="en-US" w:bidi="ar-EG"/>
        </w:rPr>
        <w:t xml:space="preserve"> ومعدات قائمة عليه إلى السوق. وقد تزايد استهلاك الهيدروكلورفلوروكربو-141ب عام 2017 وعاد إلى نفس مستوى استهلاك عام 2015 تقريبا وبعد ذلك انخفض بدرجة كبيرة بالتنفيذ الناجح لتحويلات تصنيع رغاوي البوليوريتان. ومنذ عام 2015 فإن الاستهلاك المجمع للهيدروكلوروفلوروكربون-123 والهيدروكلوروفلوروكربون-141ب في قطاع مكافحة الحريق قد انخفض بشكل مستمر. وما بين </w:t>
      </w:r>
      <w:r w:rsidR="009630EF">
        <w:rPr>
          <w:rFonts w:hint="cs"/>
          <w:sz w:val="26"/>
          <w:szCs w:val="26"/>
          <w:rtl/>
          <w:lang w:val="en-US" w:bidi="ar-EG"/>
        </w:rPr>
        <w:t>عامي 2017 و 2018 انخفض استهلاك الهيدروكلوروفلوروكربون 141ب في القطاع بدرجة كبيرة؛ وفي المقابل ارتفع استهلاك الهيدروكلوروفلوروكربون-123 مما يو</w:t>
      </w:r>
      <w:r w:rsidR="003F65B2">
        <w:rPr>
          <w:rFonts w:hint="cs"/>
          <w:sz w:val="26"/>
          <w:szCs w:val="26"/>
          <w:rtl/>
          <w:lang w:val="en-US" w:bidi="ar-EG"/>
        </w:rPr>
        <w:t>حي</w:t>
      </w:r>
      <w:r w:rsidR="009630EF">
        <w:rPr>
          <w:rFonts w:hint="cs"/>
          <w:sz w:val="26"/>
          <w:szCs w:val="26"/>
          <w:rtl/>
          <w:lang w:val="en-US" w:bidi="ar-EG"/>
        </w:rPr>
        <w:t xml:space="preserve"> بأن الاستهلاك المنخفض للهيدروكلوروفلوروكربون-141ب في القطاع يرجع إلى تحسين الممارسات وزيادة استهلاك الهيدروكلوروفلوروكربون-123.</w:t>
      </w:r>
    </w:p>
    <w:p w:rsidR="00006195" w:rsidRPr="00917BCA" w:rsidRDefault="00006195" w:rsidP="00006195">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917BCA">
        <w:rPr>
          <w:rFonts w:hint="cs"/>
          <w:i/>
          <w:iCs/>
          <w:sz w:val="26"/>
          <w:szCs w:val="26"/>
          <w:rtl/>
          <w:lang w:val="en-US" w:bidi="ar-EG"/>
        </w:rPr>
        <w:lastRenderedPageBreak/>
        <w:t>تقرير تنفيذ البرنامج القطري</w:t>
      </w:r>
    </w:p>
    <w:p w:rsidR="000A7E61" w:rsidRDefault="00A026A2" w:rsidP="00006195">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4 -</w:t>
      </w:r>
      <w:r>
        <w:rPr>
          <w:sz w:val="26"/>
          <w:szCs w:val="26"/>
          <w:rtl/>
          <w:lang w:val="en-US" w:bidi="ar-EG"/>
        </w:rPr>
        <w:tab/>
      </w:r>
      <w:r w:rsidR="009630EF">
        <w:rPr>
          <w:rFonts w:hint="cs"/>
          <w:sz w:val="26"/>
          <w:szCs w:val="26"/>
          <w:rtl/>
          <w:lang w:val="en-US" w:bidi="ar-EG"/>
        </w:rPr>
        <w:t>أبلغت حكومة كولومبيا عن بيانات استهلاك قطاع الهيدروكلوروفلوروكربون في إطار تقرير تنفيذ البرنامج القطري لعام 2018 وهي متسقة والبيانات المبلغ عنها بموجب المادة 7 لبروتوكول مونتريال.</w:t>
      </w:r>
    </w:p>
    <w:p w:rsidR="00006195" w:rsidRPr="00947678" w:rsidRDefault="00006195" w:rsidP="00006195">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Pr>
          <w:rFonts w:hint="cs"/>
          <w:i/>
          <w:iCs/>
          <w:sz w:val="26"/>
          <w:szCs w:val="26"/>
          <w:rtl/>
          <w:lang w:val="en-US" w:bidi="ar-EG"/>
        </w:rPr>
        <w:t>تقرير التحقق</w:t>
      </w:r>
    </w:p>
    <w:p w:rsidR="00917BCA" w:rsidRDefault="00917BCA" w:rsidP="00006195">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5 -</w:t>
      </w:r>
      <w:r>
        <w:rPr>
          <w:sz w:val="26"/>
          <w:szCs w:val="26"/>
          <w:rtl/>
          <w:lang w:val="en-US" w:bidi="ar-EG"/>
        </w:rPr>
        <w:tab/>
      </w:r>
      <w:r w:rsidR="009630EF">
        <w:rPr>
          <w:rFonts w:hint="cs"/>
          <w:sz w:val="26"/>
          <w:szCs w:val="26"/>
          <w:rtl/>
          <w:lang w:val="en-US" w:bidi="ar-EG"/>
        </w:rPr>
        <w:t xml:space="preserve">أكد تقرير التحقق أن الحكومة تقوم بتنفيذ نظام ترخيص وحصص لواردات وصادرات المواد الهيدروكلوروفلوروكربونية وأن إجمالي استهلاك هذه المواد لعام 2018 كان </w:t>
      </w:r>
      <w:r w:rsidR="009630EF">
        <w:rPr>
          <w:sz w:val="26"/>
          <w:szCs w:val="26"/>
          <w:lang w:val="en-US" w:bidi="ar-EG"/>
        </w:rPr>
        <w:t>78.15</w:t>
      </w:r>
      <w:r w:rsidR="009630EF">
        <w:rPr>
          <w:rFonts w:hint="cs"/>
          <w:sz w:val="26"/>
          <w:szCs w:val="26"/>
          <w:rtl/>
          <w:lang w:val="en-US" w:bidi="ar-EG"/>
        </w:rPr>
        <w:t xml:space="preserve"> طن من قدرات استنفاد الأوزون مع </w:t>
      </w:r>
      <w:r w:rsidR="009630EF">
        <w:rPr>
          <w:sz w:val="26"/>
          <w:szCs w:val="26"/>
          <w:lang w:val="en-US" w:bidi="ar-EG"/>
        </w:rPr>
        <w:t>1.36</w:t>
      </w:r>
      <w:r w:rsidR="009630EF">
        <w:rPr>
          <w:rFonts w:hint="cs"/>
          <w:sz w:val="26"/>
          <w:szCs w:val="26"/>
          <w:rtl/>
          <w:lang w:val="en-US" w:bidi="ar-EG"/>
        </w:rPr>
        <w:t xml:space="preserve"> طن من قدرات استنفاد الأوزن إضافية من الهيدروكلوروفلوروكربون-141ب في البوليولات المستوردة سابقة الخلط. وخلص التحقق إلى أن كولومبيا قد حققت بالكامل جميع الأهداف المحددة في الاتفاق بين البلد واللجنة التنفيذية وأنها في حالة امتثال ببروتوكول مونتريال. ويتم التفتيش الفعلي على كافة واردات المواد المستنفدة للأوزون </w:t>
      </w:r>
      <w:r w:rsidR="009630EF" w:rsidRPr="003F65B2">
        <w:rPr>
          <w:rFonts w:hint="cs"/>
          <w:color w:val="000000" w:themeColor="text1"/>
          <w:sz w:val="26"/>
          <w:szCs w:val="26"/>
          <w:rtl/>
          <w:lang w:val="en-US" w:bidi="ar-EG"/>
        </w:rPr>
        <w:t xml:space="preserve">والهيدروفلوروكربونية </w:t>
      </w:r>
      <w:r w:rsidR="009630EF">
        <w:rPr>
          <w:rFonts w:hint="cs"/>
          <w:sz w:val="26"/>
          <w:szCs w:val="26"/>
          <w:rtl/>
          <w:lang w:val="en-US" w:bidi="ar-EG"/>
        </w:rPr>
        <w:t xml:space="preserve">بما في ذلك المواد الخاضعة للرقابة والموجودة في البوليولات سابقة الخلط، ويتم التأكد من الوثائق الخاصة بها؛ فضلا عن ذلك يمكن استخدام أجهزة تحديد غاز التبريد على عينات عشوائية من الواردات. وحتى تاريخه لم يتم العثور على أي شحنات مشبوهة كما لم يتم اكتشاف أي مادة من الكلوروفلوروكربون-11 أو 12 في أي واردات. وقامت عدة دول من المنطقة (مثل الإكوادور وجمهورية فنزويلا البوليفارية) </w:t>
      </w:r>
      <w:r w:rsidR="003F65B2">
        <w:rPr>
          <w:rFonts w:hint="cs"/>
          <w:sz w:val="26"/>
          <w:szCs w:val="26"/>
          <w:rtl/>
          <w:lang w:val="en-US" w:bidi="ar-EG"/>
        </w:rPr>
        <w:t xml:space="preserve">بزيارة إلى </w:t>
      </w:r>
      <w:r w:rsidR="009630EF">
        <w:rPr>
          <w:rFonts w:hint="cs"/>
          <w:sz w:val="26"/>
          <w:szCs w:val="26"/>
          <w:rtl/>
          <w:lang w:val="en-US" w:bidi="ar-EG"/>
        </w:rPr>
        <w:t>كولومبيا لتبادل المعلومات وتعزيز التعاون بشأن رصد التجارة غير المشروعة في المواد المستنفدة للأوزون.</w:t>
      </w:r>
    </w:p>
    <w:p w:rsidR="009630EF" w:rsidRPr="009630EF" w:rsidRDefault="009630EF" w:rsidP="009630EF">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9630EF">
        <w:rPr>
          <w:rFonts w:hint="cs"/>
          <w:sz w:val="26"/>
          <w:szCs w:val="26"/>
          <w:u w:val="single"/>
          <w:rtl/>
          <w:lang w:val="en-US" w:bidi="ar-EG"/>
        </w:rPr>
        <w:t>تقرير مرحلي بشأن تنفيذ الشريحة الثانية من خطة إدارة إزالة المواد الهيدروكلوروفلوروكربونية</w:t>
      </w:r>
    </w:p>
    <w:p w:rsidR="009630EF" w:rsidRPr="009630EF" w:rsidRDefault="009630EF" w:rsidP="009630EF">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9630EF">
        <w:rPr>
          <w:rFonts w:hint="cs"/>
          <w:i/>
          <w:iCs/>
          <w:sz w:val="26"/>
          <w:szCs w:val="26"/>
          <w:rtl/>
          <w:lang w:val="en-US" w:bidi="ar-EG"/>
        </w:rPr>
        <w:t>الإطار القانوني</w:t>
      </w:r>
    </w:p>
    <w:p w:rsidR="009630EF" w:rsidRDefault="009630EF" w:rsidP="009630EF">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6 -</w:t>
      </w:r>
      <w:r>
        <w:rPr>
          <w:sz w:val="26"/>
          <w:szCs w:val="26"/>
          <w:rtl/>
          <w:lang w:val="en-US" w:bidi="ar-EG"/>
        </w:rPr>
        <w:tab/>
      </w:r>
      <w:r>
        <w:rPr>
          <w:rFonts w:hint="cs"/>
          <w:sz w:val="26"/>
          <w:szCs w:val="26"/>
          <w:rtl/>
          <w:lang w:val="en-US" w:bidi="ar-EG"/>
        </w:rPr>
        <w:t>عدلت الحكومة نظام الحصص لواردات المواد الهيدروكلوروفلوروكربونية لتحقيق تخفيض في استهلاك هذه المواد بنسبة 65 في المائة من خط الأساس بحلول عام 2021، وفقا لاتفاقها مع اللجنة التنفيذية؛ وفي عام 2013 حظرت تصنيع واستيراد معدات التبريد القائمة على المواد الهيدروكلوروفلوروكربونية؛ وبدءا من 31 كانون الأول/</w:t>
      </w:r>
      <w:r w:rsidR="003F65B2">
        <w:rPr>
          <w:rFonts w:hint="cs"/>
          <w:sz w:val="26"/>
          <w:szCs w:val="26"/>
          <w:rtl/>
          <w:lang w:val="en-US" w:bidi="ar-EG"/>
        </w:rPr>
        <w:t xml:space="preserve"> </w:t>
      </w:r>
      <w:r>
        <w:rPr>
          <w:rFonts w:hint="cs"/>
          <w:sz w:val="26"/>
          <w:szCs w:val="26"/>
          <w:rtl/>
          <w:lang w:val="en-US" w:bidi="ar-EG"/>
        </w:rPr>
        <w:t>ديسمبر 2020 أصدرت حظرا على واردات الهيدروكلوروفلوروكربون-141 ب السائب وفي البوليولات سابقة الخلط. ومنذ عام 2018 دخل المرسوم رقم 1496</w:t>
      </w:r>
      <w:r w:rsidR="00C50F42">
        <w:rPr>
          <w:rFonts w:hint="cs"/>
          <w:sz w:val="26"/>
          <w:szCs w:val="26"/>
          <w:rtl/>
          <w:lang w:val="en-US" w:bidi="ar-EG"/>
        </w:rPr>
        <w:t xml:space="preserve"> حيز النفاد وبه تم اعتمد نظام شامل ومنسق لتصنيف وترسيم المواد الكيميائية في البلد، مما سيساعد على تعزيز الرقابة على تجارة المواد والمعدات القائمة على المواد الهيدروكلوروفلوروكربونية. </w:t>
      </w:r>
    </w:p>
    <w:p w:rsidR="00C50F42" w:rsidRPr="00C50F42" w:rsidRDefault="00C50F42" w:rsidP="00C50F42">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C50F42">
        <w:rPr>
          <w:rFonts w:hint="cs"/>
          <w:i/>
          <w:iCs/>
          <w:sz w:val="26"/>
          <w:szCs w:val="26"/>
          <w:rtl/>
          <w:lang w:val="en-US" w:bidi="ar-EG"/>
        </w:rPr>
        <w:t>المساعدة الفنية للأنشطة التنظيمية</w:t>
      </w:r>
    </w:p>
    <w:p w:rsidR="00C50F42" w:rsidRDefault="00C50F42" w:rsidP="00C50F42">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7 -</w:t>
      </w:r>
      <w:r>
        <w:rPr>
          <w:sz w:val="26"/>
          <w:szCs w:val="26"/>
          <w:rtl/>
          <w:lang w:val="en-US" w:bidi="ar-EG"/>
        </w:rPr>
        <w:tab/>
      </w:r>
      <w:r>
        <w:rPr>
          <w:rFonts w:hint="cs"/>
          <w:sz w:val="26"/>
          <w:szCs w:val="26"/>
          <w:rtl/>
          <w:lang w:val="en-US" w:bidi="ar-EG"/>
        </w:rPr>
        <w:t>تم القيام بالأنشطة التالية:</w:t>
      </w:r>
    </w:p>
    <w:p w:rsidR="00C50F42" w:rsidRDefault="00C50F42" w:rsidP="00C50F42">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يتقدم العمل في سجل لإطلاق ونقل المواد الملوثة مخصص للمستوردين والمصنعين والمستخدمين النهائيين. وقد تم الانتهاء من إقامة منصة رقمية (المعدات والبرمجيات) وتم البدء في التجارب الرائدة مع بعض المؤسسات؛</w:t>
      </w:r>
    </w:p>
    <w:p w:rsidR="00C50F42" w:rsidRDefault="00C50F42" w:rsidP="00C50F42">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رصد تنفيذ نظام الترخيص والتصريحات والحصص لواردات وصادرات المواد الهيدروكلوروفلوروكربونية لاكتشاف ومنع التجارة غير المشروعة. وتم جمع البيانات وتحليلها، بما</w:t>
      </w:r>
      <w:r>
        <w:rPr>
          <w:rFonts w:hint="eastAsia"/>
          <w:sz w:val="26"/>
          <w:szCs w:val="26"/>
          <w:rtl/>
          <w:lang w:val="en-US" w:bidi="ar-EG"/>
        </w:rPr>
        <w:t> </w:t>
      </w:r>
      <w:r>
        <w:rPr>
          <w:rFonts w:hint="cs"/>
          <w:sz w:val="26"/>
          <w:szCs w:val="26"/>
          <w:rtl/>
          <w:lang w:val="en-US" w:bidi="ar-EG"/>
        </w:rPr>
        <w:t xml:space="preserve">في ذلك من خلال المقارنات بين قاعدة بيانات التراخيص البيئية والتصاريح الصادرة عن الهيئة الوطنية لتراخيص البيئة (المعروفة بالإسبانية </w:t>
      </w:r>
      <w:r>
        <w:rPr>
          <w:sz w:val="26"/>
          <w:szCs w:val="26"/>
          <w:lang w:val="en-US" w:bidi="ar-EG"/>
        </w:rPr>
        <w:t>ANLA</w:t>
      </w:r>
      <w:r>
        <w:rPr>
          <w:rFonts w:hint="cs"/>
          <w:sz w:val="26"/>
          <w:szCs w:val="26"/>
          <w:rtl/>
          <w:lang w:val="en-US" w:bidi="ar-EG"/>
        </w:rPr>
        <w:t xml:space="preserve">) والبيانات الخاصة بالواردات والصادرات المقدمة إلى وزارة التجارة والصناعة والسياحة والمديرية الوطنية للضرائب والجمارك؛ وتم تحليل المعلومات المبلغ عنها من 18 مستوردا للمواد المستنفدة للأوزون في تقارير الامتثال الخاصة بهم بشأن تراخيص البيئة؛ كما تمت 79 زيارة متابعة لمحال تجارة غاز التبريد في 10 مدن؛ وشاركت كولومبيا في آلية </w:t>
      </w:r>
      <w:r w:rsidR="003F65B2">
        <w:rPr>
          <w:rFonts w:hint="cs"/>
          <w:sz w:val="26"/>
          <w:szCs w:val="26"/>
          <w:rtl/>
          <w:lang w:val="en-US" w:bidi="ar-EG"/>
        </w:rPr>
        <w:t>الموافقة</w:t>
      </w:r>
      <w:r>
        <w:rPr>
          <w:rFonts w:hint="cs"/>
          <w:sz w:val="26"/>
          <w:szCs w:val="26"/>
          <w:rtl/>
          <w:lang w:val="en-US" w:bidi="ar-EG"/>
        </w:rPr>
        <w:t xml:space="preserve"> السابقة عن علم غير الرسمية؛</w:t>
      </w:r>
    </w:p>
    <w:p w:rsidR="00C50F42" w:rsidRDefault="00C50F42" w:rsidP="00C50F42">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 xml:space="preserve">عقدت اجتماعات تنسيق بشأن رقابة أفضل ورصد تجارة المواد المستنفدة للأوزون والمعدات </w:t>
      </w:r>
      <w:r>
        <w:rPr>
          <w:rFonts w:hint="cs"/>
          <w:sz w:val="26"/>
          <w:szCs w:val="26"/>
          <w:rtl/>
          <w:lang w:val="en-US" w:bidi="ar-EG"/>
        </w:rPr>
        <w:lastRenderedPageBreak/>
        <w:t xml:space="preserve">والمنتجات القائمة عليها بما في ذلك مع مديرية الضرائب </w:t>
      </w:r>
      <w:r w:rsidR="00A724DE">
        <w:rPr>
          <w:rFonts w:hint="cs"/>
          <w:sz w:val="26"/>
          <w:szCs w:val="26"/>
          <w:rtl/>
          <w:lang w:val="en-US" w:bidi="ar-EG"/>
        </w:rPr>
        <w:t xml:space="preserve">والجمارك والمعهد الوطني لرصد الأغذية والدواء ووزارة التجارة والصناعة والسياحة؛ كما عقدت ورش عمل ضمت 128 موظف جمارك بشأن الإطار التنظيمي المحدث والتدريب على استخدام أجهزة التعرف على غاز التبريد؛ </w:t>
      </w:r>
    </w:p>
    <w:p w:rsidR="00A724DE" w:rsidRDefault="00A724DE" w:rsidP="00A724DE">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 xml:space="preserve">تدابير لمنع التجارة غير المشروعة بتوزيع 103 </w:t>
      </w:r>
      <w:r w:rsidR="00FE114A">
        <w:rPr>
          <w:rFonts w:hint="cs"/>
          <w:sz w:val="26"/>
          <w:szCs w:val="26"/>
          <w:rtl/>
          <w:lang w:val="en-US" w:bidi="ar-EG"/>
        </w:rPr>
        <w:t>أدلة توجيهية على المسوقين و 32 نشرة و 54 دليلا للمستوردين وأرباب تجارة</w:t>
      </w:r>
      <w:r>
        <w:rPr>
          <w:rFonts w:hint="cs"/>
          <w:sz w:val="26"/>
          <w:szCs w:val="26"/>
          <w:rtl/>
          <w:lang w:val="en-US" w:bidi="ar-EG"/>
        </w:rPr>
        <w:t xml:space="preserve"> </w:t>
      </w:r>
      <w:r w:rsidR="00FE114A">
        <w:rPr>
          <w:rFonts w:hint="cs"/>
          <w:sz w:val="26"/>
          <w:szCs w:val="26"/>
          <w:rtl/>
          <w:lang w:val="en-US" w:bidi="ar-EG"/>
        </w:rPr>
        <w:t xml:space="preserve">غازات التبريد، وموظفي الجمارك؛ وإبلاغ رجال الصناعة والمستوردين لغازات التبريد بمسؤوليتهم تجاه وضع العلامات وإصدار وثائق بيانات أمن المواد وفقا لمتطلبات </w:t>
      </w:r>
      <w:r w:rsidR="003F65B2">
        <w:rPr>
          <w:rFonts w:hint="cs"/>
          <w:sz w:val="26"/>
          <w:szCs w:val="26"/>
          <w:rtl/>
          <w:lang w:val="en-US" w:bidi="ar-EG"/>
        </w:rPr>
        <w:t>النظام الشامل المنسق</w:t>
      </w:r>
      <w:r w:rsidR="00FE114A">
        <w:rPr>
          <w:rFonts w:hint="cs"/>
          <w:sz w:val="26"/>
          <w:szCs w:val="26"/>
          <w:rtl/>
          <w:lang w:val="en-US" w:bidi="ar-EG"/>
        </w:rPr>
        <w:t>؛ كما تمت استشارة لإعداد استراتيجية وطنية للأسطوانات القابلة لإعادة الملء في التجارة المحلية بغرض إنشاء نظام لتجميع حاويات المواد الهيدروكلوروفلوروكربونية ومعالجتها وضياع هذه الحاويات داخل الإطار التنظيمي</w:t>
      </w:r>
      <w:r w:rsidR="003F65B2">
        <w:rPr>
          <w:rFonts w:hint="cs"/>
          <w:sz w:val="26"/>
          <w:szCs w:val="26"/>
          <w:rtl/>
          <w:lang w:val="en-US" w:bidi="ar-EG"/>
        </w:rPr>
        <w:t xml:space="preserve"> الوطني</w:t>
      </w:r>
      <w:r w:rsidR="00FE114A">
        <w:rPr>
          <w:rFonts w:hint="cs"/>
          <w:sz w:val="26"/>
          <w:szCs w:val="26"/>
          <w:rtl/>
          <w:lang w:val="en-US" w:bidi="ar-EG"/>
        </w:rPr>
        <w:t>؛ و</w:t>
      </w:r>
    </w:p>
    <w:p w:rsidR="00FE114A" w:rsidRDefault="00FE114A" w:rsidP="00FE114A">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 xml:space="preserve">تم تنظيم عدة مشروعات لزيادة الوعي بما في ذلك الاتحاد من أجل التعليم باستنفاد طبقة الأوزون؛ وإعداد دليل تعليمي بشأن استنفاد الأوزون؛ وحافظة أدوات تعليمية؛ ونشر ثلاث نشرات بشأن الاستهلاك والصحة والبيئة وإدارة المواد المستنفدة للأوزون. </w:t>
      </w:r>
    </w:p>
    <w:p w:rsidR="00FE114A" w:rsidRPr="00FE114A" w:rsidRDefault="00FE114A" w:rsidP="00FE114A">
      <w:pPr>
        <w:pStyle w:val="StyleHeader4Para4Left0Firstline0"/>
        <w:numPr>
          <w:ilvl w:val="0"/>
          <w:numId w:val="0"/>
        </w:numPr>
        <w:tabs>
          <w:tab w:val="clear" w:pos="2880"/>
          <w:tab w:val="clear" w:pos="5760"/>
          <w:tab w:val="left" w:pos="720"/>
        </w:tabs>
        <w:bidi/>
        <w:spacing w:before="120"/>
        <w:ind w:left="1324" w:hanging="1324"/>
        <w:jc w:val="lowKashida"/>
        <w:rPr>
          <w:i/>
          <w:iCs/>
          <w:sz w:val="26"/>
          <w:szCs w:val="26"/>
          <w:rtl/>
          <w:lang w:val="en-US" w:bidi="ar-EG"/>
        </w:rPr>
      </w:pPr>
      <w:r w:rsidRPr="00FE114A">
        <w:rPr>
          <w:rFonts w:hint="cs"/>
          <w:i/>
          <w:iCs/>
          <w:sz w:val="26"/>
          <w:szCs w:val="26"/>
          <w:rtl/>
          <w:lang w:val="en-US" w:bidi="ar-EG"/>
        </w:rPr>
        <w:t>أنشطة في قطاع الرغاوي</w:t>
      </w:r>
    </w:p>
    <w:p w:rsidR="00FE114A" w:rsidRDefault="00FE114A" w:rsidP="00FE114A">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8 -</w:t>
      </w:r>
      <w:r>
        <w:rPr>
          <w:sz w:val="26"/>
          <w:szCs w:val="26"/>
          <w:rtl/>
          <w:lang w:val="en-US" w:bidi="ar-EG"/>
        </w:rPr>
        <w:tab/>
      </w:r>
      <w:r>
        <w:rPr>
          <w:rFonts w:hint="cs"/>
          <w:sz w:val="26"/>
          <w:szCs w:val="26"/>
          <w:rtl/>
          <w:lang w:val="en-US" w:bidi="ar-EG"/>
        </w:rPr>
        <w:t xml:space="preserve">استكملت عملية تحويل مؤسسات رغاوي </w:t>
      </w:r>
      <w:proofErr w:type="spellStart"/>
      <w:r>
        <w:rPr>
          <w:sz w:val="26"/>
          <w:szCs w:val="26"/>
          <w:lang w:val="en-US" w:bidi="ar-EG"/>
        </w:rPr>
        <w:t>Olaflex</w:t>
      </w:r>
      <w:proofErr w:type="spellEnd"/>
      <w:r>
        <w:rPr>
          <w:rFonts w:hint="cs"/>
          <w:sz w:val="26"/>
          <w:szCs w:val="26"/>
          <w:rtl/>
          <w:lang w:val="en-US" w:bidi="ar-EG"/>
        </w:rPr>
        <w:t xml:space="preserve"> (ألواح صلدة) و </w:t>
      </w:r>
      <w:r w:rsidRPr="0011020F">
        <w:rPr>
          <w:lang w:val="en-CA"/>
        </w:rPr>
        <w:t xml:space="preserve">Rojas </w:t>
      </w:r>
      <w:proofErr w:type="spellStart"/>
      <w:r w:rsidRPr="0011020F">
        <w:rPr>
          <w:lang w:val="en-CA"/>
        </w:rPr>
        <w:t>Hermanos</w:t>
      </w:r>
      <w:proofErr w:type="spellEnd"/>
      <w:r>
        <w:rPr>
          <w:rFonts w:hint="cs"/>
          <w:rtl/>
          <w:lang w:val="en-CA" w:bidi="ar-EG"/>
        </w:rPr>
        <w:t xml:space="preserve"> </w:t>
      </w:r>
      <w:r>
        <w:rPr>
          <w:rFonts w:hint="cs"/>
          <w:sz w:val="26"/>
          <w:szCs w:val="26"/>
          <w:rtl/>
          <w:lang w:val="en-CA" w:bidi="ar-EG"/>
        </w:rPr>
        <w:t xml:space="preserve">(ألواح غير متصلة) إلى السيكلوبنتان في شهري تشرين الأول/أكتوبر و شباط/فبراير 2019 على التوالي، مما أدى إلى إزالة </w:t>
      </w:r>
      <w:r>
        <w:rPr>
          <w:sz w:val="26"/>
          <w:szCs w:val="26"/>
          <w:lang w:val="en-US" w:bidi="ar-EG"/>
        </w:rPr>
        <w:t>65.76</w:t>
      </w:r>
      <w:r>
        <w:rPr>
          <w:rFonts w:hint="cs"/>
          <w:sz w:val="26"/>
          <w:szCs w:val="26"/>
          <w:rtl/>
          <w:lang w:val="en-US" w:bidi="ar-EG"/>
        </w:rPr>
        <w:t xml:space="preserve"> طن متري (</w:t>
      </w:r>
      <w:r>
        <w:rPr>
          <w:sz w:val="26"/>
          <w:szCs w:val="26"/>
          <w:lang w:val="en-US" w:bidi="ar-EG"/>
        </w:rPr>
        <w:t>7.23</w:t>
      </w:r>
      <w:r>
        <w:rPr>
          <w:rFonts w:hint="cs"/>
          <w:sz w:val="26"/>
          <w:szCs w:val="26"/>
          <w:rtl/>
          <w:lang w:val="en-US" w:bidi="ar-EG"/>
        </w:rPr>
        <w:t xml:space="preserve"> طن من قدرات استنفاد الأوزون)</w:t>
      </w:r>
      <w:r w:rsidR="00477CB9">
        <w:rPr>
          <w:rFonts w:hint="cs"/>
          <w:sz w:val="26"/>
          <w:szCs w:val="26"/>
          <w:rtl/>
          <w:lang w:val="en-US" w:bidi="ar-EG"/>
        </w:rPr>
        <w:t xml:space="preserve"> من الهيدروكلوروفلوروكربون-141ب. ويجري حاليا تحويل مؤسسة </w:t>
      </w:r>
      <w:proofErr w:type="spellStart"/>
      <w:r w:rsidR="00477CB9">
        <w:rPr>
          <w:sz w:val="26"/>
          <w:szCs w:val="26"/>
          <w:lang w:val="en-US" w:bidi="ar-EG"/>
        </w:rPr>
        <w:t>Espumlatex</w:t>
      </w:r>
      <w:proofErr w:type="spellEnd"/>
      <w:r w:rsidR="00477CB9">
        <w:rPr>
          <w:rFonts w:hint="cs"/>
          <w:sz w:val="26"/>
          <w:szCs w:val="26"/>
          <w:rtl/>
          <w:lang w:val="en-US" w:bidi="ar-EG"/>
        </w:rPr>
        <w:t xml:space="preserve"> (ألواح صلدة) إلى المواد الهيدروفلوروأوليفانية نظرا لاستمرار تجربة تركيبات الهيدروفلوروأوليفان المخفضة. ووقعت ثلاثة بيوت نظم (</w:t>
      </w:r>
      <w:proofErr w:type="spellStart"/>
      <w:r w:rsidR="00477CB9">
        <w:rPr>
          <w:sz w:val="26"/>
          <w:szCs w:val="26"/>
          <w:lang w:val="en-US" w:bidi="ar-EG"/>
        </w:rPr>
        <w:t>Espum</w:t>
      </w:r>
      <w:r w:rsidR="003F65B2">
        <w:rPr>
          <w:sz w:val="26"/>
          <w:szCs w:val="26"/>
          <w:lang w:val="en-US" w:bidi="ar-EG"/>
        </w:rPr>
        <w:t>l</w:t>
      </w:r>
      <w:r w:rsidR="00477CB9">
        <w:rPr>
          <w:sz w:val="26"/>
          <w:szCs w:val="26"/>
          <w:lang w:val="en-US" w:bidi="ar-EG"/>
        </w:rPr>
        <w:t>atex</w:t>
      </w:r>
      <w:proofErr w:type="spellEnd"/>
      <w:r w:rsidR="00477CB9">
        <w:rPr>
          <w:rFonts w:hint="cs"/>
          <w:sz w:val="26"/>
          <w:szCs w:val="26"/>
          <w:rtl/>
          <w:lang w:val="en-US" w:bidi="ar-EG"/>
        </w:rPr>
        <w:t xml:space="preserve"> و </w:t>
      </w:r>
      <w:proofErr w:type="spellStart"/>
      <w:r w:rsidR="00477CB9">
        <w:rPr>
          <w:sz w:val="26"/>
          <w:szCs w:val="26"/>
          <w:lang w:val="en-US" w:bidi="ar-EG"/>
        </w:rPr>
        <w:t>Olaflex</w:t>
      </w:r>
      <w:proofErr w:type="spellEnd"/>
      <w:r w:rsidR="00477CB9">
        <w:rPr>
          <w:rFonts w:hint="cs"/>
          <w:sz w:val="26"/>
          <w:szCs w:val="26"/>
          <w:rtl/>
          <w:lang w:val="en-US" w:bidi="ar-EG"/>
        </w:rPr>
        <w:t xml:space="preserve"> و </w:t>
      </w:r>
      <w:r w:rsidR="00477CB9">
        <w:rPr>
          <w:sz w:val="26"/>
          <w:szCs w:val="26"/>
          <w:lang w:val="en-US" w:bidi="ar-EG"/>
        </w:rPr>
        <w:t>QIC</w:t>
      </w:r>
      <w:r w:rsidR="00477CB9">
        <w:rPr>
          <w:rFonts w:hint="cs"/>
          <w:sz w:val="26"/>
          <w:szCs w:val="26"/>
          <w:rtl/>
          <w:lang w:val="en-US" w:bidi="ar-EG"/>
        </w:rPr>
        <w:t xml:space="preserve">) اتفاقات عام 2018 وبدأت الأنشطة من أجل تطوير تركيبات بوليول/نظم باستخدام المواد الهيدروفلوروأوليفانية وتجارب معملية تمهيدية لخواص الرغاوي وشراء معدات المعامل والبدء في التحقق من استهلاك مؤسسات الرغاوي اللاحقة. ولم يتم بعد وضع اللمسات الأخيرة على الاتفاق مع بيت النظم الرابع </w:t>
      </w:r>
      <w:r w:rsidR="00477CB9">
        <w:rPr>
          <w:sz w:val="26"/>
          <w:szCs w:val="26"/>
          <w:lang w:val="en-US" w:bidi="ar-EG"/>
        </w:rPr>
        <w:t>GMP</w:t>
      </w:r>
      <w:r w:rsidR="00477CB9">
        <w:rPr>
          <w:rFonts w:hint="cs"/>
          <w:sz w:val="26"/>
          <w:szCs w:val="26"/>
          <w:rtl/>
          <w:lang w:val="en-US" w:bidi="ar-EG"/>
        </w:rPr>
        <w:t>.</w:t>
      </w:r>
    </w:p>
    <w:p w:rsidR="00477CB9" w:rsidRPr="00477CB9" w:rsidRDefault="00477CB9" w:rsidP="00477CB9">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477CB9">
        <w:rPr>
          <w:rFonts w:hint="cs"/>
          <w:i/>
          <w:iCs/>
          <w:sz w:val="26"/>
          <w:szCs w:val="26"/>
          <w:rtl/>
          <w:lang w:val="en-US" w:bidi="ar-EG"/>
        </w:rPr>
        <w:t>أنشطة في قطاع الخدمة</w:t>
      </w:r>
    </w:p>
    <w:p w:rsidR="00477CB9" w:rsidRDefault="00477CB9" w:rsidP="00477CB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9 -</w:t>
      </w:r>
      <w:r>
        <w:rPr>
          <w:sz w:val="26"/>
          <w:szCs w:val="26"/>
          <w:rtl/>
          <w:lang w:val="en-US" w:bidi="ar-EG"/>
        </w:rPr>
        <w:tab/>
      </w:r>
      <w:r>
        <w:rPr>
          <w:rFonts w:hint="cs"/>
          <w:sz w:val="26"/>
          <w:szCs w:val="26"/>
          <w:rtl/>
          <w:lang w:val="en-US" w:bidi="ar-EG"/>
        </w:rPr>
        <w:t>تم القيام بالأنشطة التالية:</w:t>
      </w:r>
    </w:p>
    <w:p w:rsidR="00477CB9" w:rsidRDefault="00477CB9" w:rsidP="00477CB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 xml:space="preserve">إعداد </w:t>
      </w:r>
      <w:r w:rsidR="003F65B2">
        <w:rPr>
          <w:rFonts w:hint="cs"/>
          <w:sz w:val="26"/>
          <w:szCs w:val="26"/>
          <w:rtl/>
          <w:lang w:val="en-US" w:bidi="ar-EG"/>
        </w:rPr>
        <w:t>دليل</w:t>
      </w:r>
      <w:r>
        <w:rPr>
          <w:rFonts w:hint="cs"/>
          <w:sz w:val="26"/>
          <w:szCs w:val="26"/>
          <w:rtl/>
          <w:lang w:val="en-US" w:bidi="ar-EG"/>
        </w:rPr>
        <w:t xml:space="preserve"> لأفضل الممارسات مع التركيز على رقابة التسرب </w:t>
      </w:r>
      <w:r w:rsidR="003F65B2">
        <w:rPr>
          <w:rFonts w:hint="cs"/>
          <w:sz w:val="26"/>
          <w:szCs w:val="26"/>
          <w:rtl/>
          <w:lang w:val="en-US" w:bidi="ar-EG"/>
        </w:rPr>
        <w:t>وتصميم</w:t>
      </w:r>
      <w:r>
        <w:rPr>
          <w:rFonts w:hint="cs"/>
          <w:sz w:val="26"/>
          <w:szCs w:val="26"/>
          <w:rtl/>
          <w:lang w:val="en-US" w:bidi="ar-EG"/>
        </w:rPr>
        <w:t xml:space="preserve"> النظ</w:t>
      </w:r>
      <w:r w:rsidR="003F65B2">
        <w:rPr>
          <w:rFonts w:hint="cs"/>
          <w:sz w:val="26"/>
          <w:szCs w:val="26"/>
          <w:rtl/>
          <w:lang w:val="en-US" w:bidi="ar-EG"/>
        </w:rPr>
        <w:t>ا</w:t>
      </w:r>
      <w:r>
        <w:rPr>
          <w:rFonts w:hint="cs"/>
          <w:sz w:val="26"/>
          <w:szCs w:val="26"/>
          <w:rtl/>
          <w:lang w:val="en-US" w:bidi="ar-EG"/>
        </w:rPr>
        <w:t>م المغلق والتخطيط للصيانة الوقائية. وسيتم تنفيذ التدريب على ذلك مع التدريب على استخدام غازات التبريد الطبيعية عام 2020؛</w:t>
      </w:r>
    </w:p>
    <w:p w:rsidR="00477CB9" w:rsidRDefault="00477CB9" w:rsidP="00477CB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 xml:space="preserve">تم إنشاء مركز للتدريب على غازات التبريد الطبيعية وهناك برنامج لتدريب المدربين سيقام في تشرين الثاني/نوفمبر 2019؛ وورشة عمل تدريبية للمدربين في الهيئة الوطنية للتدريب المهني (المعروفة </w:t>
      </w:r>
      <w:r>
        <w:rPr>
          <w:sz w:val="26"/>
          <w:szCs w:val="26"/>
          <w:lang w:val="en-US" w:bidi="ar-EG"/>
        </w:rPr>
        <w:t>SENA</w:t>
      </w:r>
      <w:r>
        <w:rPr>
          <w:rFonts w:hint="cs"/>
          <w:sz w:val="26"/>
          <w:szCs w:val="26"/>
          <w:rtl/>
          <w:lang w:val="en-US" w:bidi="ar-EG"/>
        </w:rPr>
        <w:t xml:space="preserve"> باللغة الإسبانية) نفذها خبراء محليون في تشرين الثاني/نوفمبر 2018. وقد تم تدريب 44 مدربا على الاستخدام الآمن للهيدروكربون كغاز تبريد؛ </w:t>
      </w:r>
    </w:p>
    <w:p w:rsidR="00477CB9" w:rsidRDefault="00477CB9" w:rsidP="00477CB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 xml:space="preserve">تم اعتماد المعيار الدولي </w:t>
      </w:r>
      <w:r>
        <w:rPr>
          <w:sz w:val="26"/>
          <w:szCs w:val="26"/>
          <w:lang w:val="en-US" w:bidi="ar-EG"/>
        </w:rPr>
        <w:t>ISO5149:2014</w:t>
      </w:r>
      <w:r>
        <w:rPr>
          <w:rFonts w:hint="cs"/>
          <w:sz w:val="26"/>
          <w:szCs w:val="26"/>
          <w:rtl/>
          <w:lang w:val="en-US" w:bidi="ar-EG"/>
        </w:rPr>
        <w:t xml:space="preserve"> "نظم التبريد </w:t>
      </w:r>
      <w:r w:rsidR="003F65B2">
        <w:rPr>
          <w:rFonts w:hint="cs"/>
          <w:sz w:val="26"/>
          <w:szCs w:val="26"/>
          <w:rtl/>
          <w:lang w:val="en-US" w:bidi="ar-EG"/>
        </w:rPr>
        <w:t>ومضخات</w:t>
      </w:r>
      <w:r>
        <w:rPr>
          <w:rFonts w:hint="cs"/>
          <w:sz w:val="26"/>
          <w:szCs w:val="26"/>
          <w:rtl/>
          <w:lang w:val="en-US" w:bidi="ar-EG"/>
        </w:rPr>
        <w:t xml:space="preserve"> حرارية </w:t>
      </w:r>
      <w:r>
        <w:rPr>
          <w:sz w:val="26"/>
          <w:szCs w:val="26"/>
          <w:rtl/>
          <w:lang w:val="en-US" w:bidi="ar-EG"/>
        </w:rPr>
        <w:t>–</w:t>
      </w:r>
      <w:r>
        <w:rPr>
          <w:rFonts w:hint="cs"/>
          <w:sz w:val="26"/>
          <w:szCs w:val="26"/>
          <w:rtl/>
          <w:lang w:val="en-US" w:bidi="ar-EG"/>
        </w:rPr>
        <w:t xml:space="preserve"> الأمان والمتطلبات البيئية" جزئيا وجاري اعتماد الأجزاء الثلاثة المتبقية؛</w:t>
      </w:r>
    </w:p>
    <w:p w:rsidR="00477CB9" w:rsidRDefault="00477CB9" w:rsidP="00477CB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 xml:space="preserve">اعتمدت </w:t>
      </w:r>
      <w:r>
        <w:rPr>
          <w:sz w:val="26"/>
          <w:szCs w:val="26"/>
          <w:lang w:val="en-US" w:bidi="ar-EG"/>
        </w:rPr>
        <w:t>SENA</w:t>
      </w:r>
      <w:r>
        <w:rPr>
          <w:rFonts w:hint="cs"/>
          <w:sz w:val="26"/>
          <w:szCs w:val="26"/>
          <w:rtl/>
          <w:lang w:val="en-US" w:bidi="ar-EG"/>
        </w:rPr>
        <w:t xml:space="preserve"> نسخة جديدة من المعيار القطاعي لكفاءة العمل في قطاع التبريد وتكييف الهواء بعد المشاورة العامة والتحقق المنهجي. ويشمل المعيار الجديد تدابير للمعالجة الآمنة للهيدروكربون وثاني أكسيد الكربون والأمونيا، وهناك مجموعتان من الفنيين في مدينتين يتم اعتمادهما في مجال استخدام غازات التبريد القابلة للاشتعال باستخدام هذا المعيار؛</w:t>
      </w:r>
    </w:p>
    <w:p w:rsidR="00477CB9" w:rsidRDefault="00477CB9" w:rsidP="00477CB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 xml:space="preserve">تم بناء </w:t>
      </w:r>
      <w:r w:rsidR="00AD6177">
        <w:rPr>
          <w:rFonts w:hint="cs"/>
          <w:sz w:val="26"/>
          <w:szCs w:val="26"/>
          <w:rtl/>
          <w:lang w:val="en-US" w:bidi="ar-EG"/>
        </w:rPr>
        <w:t xml:space="preserve">القدرات في الجمعية الكولومبية لتكييف الهواء والتبريد (المعروفة </w:t>
      </w:r>
      <w:r w:rsidR="00AD6177">
        <w:rPr>
          <w:sz w:val="26"/>
          <w:szCs w:val="26"/>
          <w:lang w:val="en-US" w:bidi="ar-EG"/>
        </w:rPr>
        <w:t>ACAIRE</w:t>
      </w:r>
      <w:r w:rsidR="00AD6177">
        <w:rPr>
          <w:rFonts w:hint="cs"/>
          <w:sz w:val="26"/>
          <w:szCs w:val="26"/>
          <w:rtl/>
          <w:lang w:val="en-US" w:bidi="ar-EG"/>
        </w:rPr>
        <w:t xml:space="preserve"> باللغة </w:t>
      </w:r>
      <w:r w:rsidR="00AD6177">
        <w:rPr>
          <w:rFonts w:hint="cs"/>
          <w:sz w:val="26"/>
          <w:szCs w:val="26"/>
          <w:rtl/>
          <w:lang w:val="en-US" w:bidi="ar-EG"/>
        </w:rPr>
        <w:lastRenderedPageBreak/>
        <w:t xml:space="preserve">الإسبانية) لاعتماد كفاءة العمل لدى الفنيين في قطاع الخدمة؛ وتم اعتماد </w:t>
      </w:r>
      <w:r w:rsidR="00AD6177">
        <w:rPr>
          <w:sz w:val="26"/>
          <w:szCs w:val="26"/>
          <w:lang w:val="en-US" w:bidi="ar-EG"/>
        </w:rPr>
        <w:t>1,813</w:t>
      </w:r>
      <w:r w:rsidR="00AD6177">
        <w:rPr>
          <w:rFonts w:hint="cs"/>
          <w:sz w:val="26"/>
          <w:szCs w:val="26"/>
          <w:rtl/>
          <w:lang w:val="en-US" w:bidi="ar-EG"/>
        </w:rPr>
        <w:t xml:space="preserve"> فني في معايير "المعالجة البيئية لغازات التبريد وفقا للتشريعات الوطنية والدولية"؛ وعقد 29 اجتماعا لزيادة الوعي في 24 مدينة شملت </w:t>
      </w:r>
      <w:r w:rsidR="00AD6177">
        <w:rPr>
          <w:sz w:val="26"/>
          <w:szCs w:val="26"/>
          <w:lang w:val="en-US" w:bidi="ar-EG"/>
        </w:rPr>
        <w:t>1,213</w:t>
      </w:r>
      <w:r w:rsidR="00AD6177">
        <w:rPr>
          <w:rFonts w:hint="cs"/>
          <w:sz w:val="26"/>
          <w:szCs w:val="26"/>
          <w:rtl/>
          <w:lang w:val="en-US" w:bidi="ar-EG"/>
        </w:rPr>
        <w:t xml:space="preserve"> فنيا ومؤسسة في قطاع التبريد وتكييف الهواء؛ وعق</w:t>
      </w:r>
      <w:r w:rsidR="003F65B2">
        <w:rPr>
          <w:rFonts w:hint="cs"/>
          <w:sz w:val="26"/>
          <w:szCs w:val="26"/>
          <w:rtl/>
          <w:lang w:val="en-US" w:bidi="ar-EG"/>
        </w:rPr>
        <w:t>د</w:t>
      </w:r>
      <w:r w:rsidR="00AD6177">
        <w:rPr>
          <w:rFonts w:hint="cs"/>
          <w:sz w:val="26"/>
          <w:szCs w:val="26"/>
          <w:rtl/>
          <w:lang w:val="en-US" w:bidi="ar-EG"/>
        </w:rPr>
        <w:t>ت ورشتا عمل ضمت 52 فنيا على الاستخدام الآمن لغازات تبريد الهيدروكربون؛</w:t>
      </w:r>
    </w:p>
    <w:p w:rsidR="00AD6177" w:rsidRDefault="00AD6177" w:rsidP="00AD6177">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(و)</w:t>
      </w:r>
      <w:r>
        <w:rPr>
          <w:sz w:val="26"/>
          <w:szCs w:val="26"/>
          <w:rtl/>
          <w:lang w:val="en-US" w:bidi="ar-EG"/>
        </w:rPr>
        <w:tab/>
      </w:r>
      <w:r>
        <w:rPr>
          <w:rFonts w:hint="cs"/>
          <w:sz w:val="26"/>
          <w:szCs w:val="26"/>
          <w:rtl/>
          <w:lang w:val="en-US" w:bidi="ar-EG"/>
        </w:rPr>
        <w:t>تم استلام 263 معدة استرداد و 520 (</w:t>
      </w:r>
      <w:r>
        <w:rPr>
          <w:sz w:val="26"/>
          <w:szCs w:val="26"/>
          <w:lang w:val="en-US" w:bidi="ar-EG"/>
        </w:rPr>
        <w:t>13.6</w:t>
      </w:r>
      <w:r>
        <w:rPr>
          <w:rFonts w:hint="cs"/>
          <w:sz w:val="26"/>
          <w:szCs w:val="26"/>
          <w:rtl/>
          <w:lang w:val="en-US" w:bidi="ar-EG"/>
        </w:rPr>
        <w:t xml:space="preserve"> رطل) أسطوانة وسيتم توزيعها على الفنيين والشركات في قطاع خدمة التبريد وتكييف الهواء، وعقدت ست ورش عمل فنية لتدريب الفنيين ومراكز الاستصلاح والتجميع على كيفية استخدام معدات الاسترداد واسطوانات التخزين؛ وعقد اجتماعا</w:t>
      </w:r>
      <w:r w:rsidR="003F65B2">
        <w:rPr>
          <w:rFonts w:hint="cs"/>
          <w:sz w:val="26"/>
          <w:szCs w:val="26"/>
          <w:rtl/>
          <w:lang w:val="en-US" w:bidi="ar-EG"/>
        </w:rPr>
        <w:t>ن</w:t>
      </w:r>
      <w:r>
        <w:rPr>
          <w:rFonts w:hint="cs"/>
          <w:sz w:val="26"/>
          <w:szCs w:val="26"/>
          <w:rtl/>
          <w:lang w:val="en-US" w:bidi="ar-EG"/>
        </w:rPr>
        <w:t xml:space="preserve"> لتقييم شبكة الاسترداد وإعادة التدوير والاستصلاح؛ كما تم استرداد </w:t>
      </w:r>
      <w:r>
        <w:rPr>
          <w:sz w:val="26"/>
          <w:szCs w:val="26"/>
          <w:lang w:val="en-US" w:bidi="ar-EG"/>
        </w:rPr>
        <w:t>2,8</w:t>
      </w:r>
      <w:r w:rsidR="003F65B2">
        <w:rPr>
          <w:sz w:val="26"/>
          <w:szCs w:val="26"/>
          <w:lang w:val="en-US" w:bidi="ar-EG"/>
        </w:rPr>
        <w:t>57</w:t>
      </w:r>
      <w:r>
        <w:rPr>
          <w:rFonts w:hint="cs"/>
          <w:sz w:val="26"/>
          <w:szCs w:val="26"/>
          <w:rtl/>
          <w:lang w:val="en-US" w:bidi="ar-EG"/>
        </w:rPr>
        <w:t xml:space="preserve"> كغم من غازات التبريد عام 2018؛ </w:t>
      </w:r>
    </w:p>
    <w:p w:rsidR="00AD6177" w:rsidRDefault="00AD6177" w:rsidP="00A4248F">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w:t>
      </w:r>
      <w:r w:rsidR="00A4248F">
        <w:rPr>
          <w:rFonts w:hint="cs"/>
          <w:sz w:val="26"/>
          <w:szCs w:val="26"/>
          <w:rtl/>
          <w:lang w:val="en-US" w:bidi="ar-EG"/>
        </w:rPr>
        <w:t>ز</w:t>
      </w:r>
      <w:r>
        <w:rPr>
          <w:rFonts w:hint="cs"/>
          <w:sz w:val="26"/>
          <w:szCs w:val="26"/>
          <w:rtl/>
          <w:lang w:val="en-US" w:bidi="ar-EG"/>
        </w:rPr>
        <w:t>)</w:t>
      </w:r>
      <w:r>
        <w:rPr>
          <w:sz w:val="26"/>
          <w:szCs w:val="26"/>
          <w:rtl/>
          <w:lang w:val="en-US" w:bidi="ar-EG"/>
        </w:rPr>
        <w:tab/>
      </w:r>
      <w:r>
        <w:rPr>
          <w:rFonts w:hint="cs"/>
          <w:sz w:val="26"/>
          <w:szCs w:val="26"/>
          <w:rtl/>
          <w:lang w:val="en-US" w:bidi="ar-EG"/>
        </w:rPr>
        <w:t xml:space="preserve">بالتعاون مع وزارة المناجم والطاقة تتقدم عملية إعداد لوائح النظم الحرارية والتركيبات بغرض ضمان معايير توفير </w:t>
      </w:r>
      <w:r w:rsidR="00B36419">
        <w:rPr>
          <w:rFonts w:hint="cs"/>
          <w:sz w:val="26"/>
          <w:szCs w:val="26"/>
          <w:rtl/>
          <w:lang w:val="en-US" w:bidi="ar-EG"/>
        </w:rPr>
        <w:t xml:space="preserve">الخدمة والأمان وكفاءة الطاقة والأثر البيئي. وعقدت خمسة اجتماعات إقليمية لنشر أهداف اللوائح الفنية؛ والمشاركة في معرض </w:t>
      </w:r>
      <w:proofErr w:type="spellStart"/>
      <w:r w:rsidR="00B36419">
        <w:rPr>
          <w:sz w:val="26"/>
          <w:szCs w:val="26"/>
          <w:lang w:val="en-US" w:bidi="ar-EG"/>
        </w:rPr>
        <w:t>ExpoAcaire</w:t>
      </w:r>
      <w:proofErr w:type="spellEnd"/>
      <w:r w:rsidR="00B36419">
        <w:rPr>
          <w:rFonts w:hint="cs"/>
          <w:sz w:val="26"/>
          <w:szCs w:val="26"/>
          <w:rtl/>
          <w:lang w:val="en-US" w:bidi="ar-EG"/>
        </w:rPr>
        <w:t xml:space="preserve"> عامي 2018 و 2019 (المعرض الوطني للتبريد وتكييف الهواء) لزيادة الوعي باللائحة الفنية الخاصة بالنظم الحرارية والتركيبات (المعروفة </w:t>
      </w:r>
      <w:r w:rsidR="00B36419">
        <w:rPr>
          <w:sz w:val="26"/>
          <w:szCs w:val="26"/>
          <w:lang w:val="en-US" w:bidi="ar-EG"/>
        </w:rPr>
        <w:t>RETIST</w:t>
      </w:r>
      <w:r w:rsidR="00B36419">
        <w:rPr>
          <w:rFonts w:hint="cs"/>
          <w:sz w:val="26"/>
          <w:szCs w:val="26"/>
          <w:rtl/>
          <w:lang w:val="en-US" w:bidi="ar-EG"/>
        </w:rPr>
        <w:t xml:space="preserve"> باللغة الإسبانية) والاستراتيجية الوطنية لاستدامة التبريد؛</w:t>
      </w:r>
    </w:p>
    <w:p w:rsidR="00B36419" w:rsidRDefault="00B36419" w:rsidP="00A4248F">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w:t>
      </w:r>
      <w:r w:rsidR="00A4248F">
        <w:rPr>
          <w:rFonts w:hint="cs"/>
          <w:sz w:val="26"/>
          <w:szCs w:val="26"/>
          <w:rtl/>
          <w:lang w:val="en-US" w:bidi="ar-EG"/>
        </w:rPr>
        <w:t>ح</w:t>
      </w:r>
      <w:r>
        <w:rPr>
          <w:rFonts w:hint="cs"/>
          <w:sz w:val="26"/>
          <w:szCs w:val="26"/>
          <w:rtl/>
          <w:lang w:val="en-US" w:bidi="ar-EG"/>
        </w:rPr>
        <w:t>)</w:t>
      </w:r>
      <w:r>
        <w:rPr>
          <w:sz w:val="26"/>
          <w:szCs w:val="26"/>
          <w:rtl/>
          <w:lang w:val="en-US" w:bidi="ar-EG"/>
        </w:rPr>
        <w:tab/>
      </w:r>
      <w:r>
        <w:rPr>
          <w:rFonts w:hint="cs"/>
          <w:sz w:val="26"/>
          <w:szCs w:val="26"/>
          <w:rtl/>
          <w:lang w:val="en-US" w:bidi="ar-EG"/>
        </w:rPr>
        <w:t xml:space="preserve">تعزيز استثناء ضريبة القيمة المضافة للمستخدمين النهائيين لنظم التبريد التي تطبق كفاءة الطاقة ومعايير الأثر البيئي المنخفض (القرار رقم 2000 بتاريخ 29 أيلول/سبتمبر 2017 والقرار رقم 463 بتاريخ 28 أغسطس 2018) وقد تم ذلك من خلال النقابات واجتماعات قطاعية؛ و </w:t>
      </w:r>
    </w:p>
    <w:p w:rsidR="00B36419" w:rsidRDefault="00B36419" w:rsidP="00A4248F">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w:t>
      </w:r>
      <w:r w:rsidR="00A4248F">
        <w:rPr>
          <w:rFonts w:hint="cs"/>
          <w:sz w:val="26"/>
          <w:szCs w:val="26"/>
          <w:rtl/>
          <w:lang w:val="en-US" w:bidi="ar-EG"/>
        </w:rPr>
        <w:t>ط</w:t>
      </w:r>
      <w:r>
        <w:rPr>
          <w:rFonts w:hint="cs"/>
          <w:sz w:val="26"/>
          <w:szCs w:val="26"/>
          <w:rtl/>
          <w:lang w:val="en-US" w:bidi="ar-EG"/>
        </w:rPr>
        <w:t>)</w:t>
      </w:r>
      <w:r>
        <w:rPr>
          <w:sz w:val="26"/>
          <w:szCs w:val="26"/>
          <w:rtl/>
          <w:lang w:val="en-US" w:bidi="ar-EG"/>
        </w:rPr>
        <w:tab/>
      </w:r>
      <w:r>
        <w:rPr>
          <w:rFonts w:hint="cs"/>
          <w:sz w:val="26"/>
          <w:szCs w:val="26"/>
          <w:rtl/>
          <w:lang w:val="en-US" w:bidi="ar-EG"/>
        </w:rPr>
        <w:t xml:space="preserve">اتفاق لإدراج بدائل ذات إمكانية احترار عالمي منخفضة ومعايير أخرى بيئية في معيار قطاع صناعة الزهور؛ والترويج مع عدة أعضاء في جمعية مصدري الزهور في كولومبيا لتنفيذ بدائل ذات إمكانية احترار عالمي منخفضة في صناعة الزهور. </w:t>
      </w:r>
    </w:p>
    <w:p w:rsidR="00B36419" w:rsidRPr="00B36419" w:rsidRDefault="00B36419" w:rsidP="00B36419">
      <w:pPr>
        <w:pStyle w:val="StyleHeader4Para4Left0Firstline0"/>
        <w:numPr>
          <w:ilvl w:val="0"/>
          <w:numId w:val="0"/>
        </w:numPr>
        <w:tabs>
          <w:tab w:val="clear" w:pos="2880"/>
          <w:tab w:val="clear" w:pos="5760"/>
          <w:tab w:val="left" w:pos="720"/>
        </w:tabs>
        <w:bidi/>
        <w:spacing w:before="120"/>
        <w:ind w:left="1324" w:hanging="1324"/>
        <w:jc w:val="lowKashida"/>
        <w:rPr>
          <w:i/>
          <w:iCs/>
          <w:sz w:val="26"/>
          <w:szCs w:val="26"/>
          <w:rtl/>
          <w:lang w:val="en-US" w:bidi="ar-EG"/>
        </w:rPr>
      </w:pPr>
      <w:r w:rsidRPr="00B36419">
        <w:rPr>
          <w:rFonts w:hint="cs"/>
          <w:i/>
          <w:iCs/>
          <w:sz w:val="26"/>
          <w:szCs w:val="26"/>
          <w:rtl/>
          <w:lang w:val="en-US" w:bidi="ar-EG"/>
        </w:rPr>
        <w:t>أنشطة في قطاع مكافحة الحريق</w:t>
      </w:r>
    </w:p>
    <w:p w:rsidR="00C965A6" w:rsidRDefault="00B36419" w:rsidP="00C965A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10 -</w:t>
      </w:r>
      <w:r>
        <w:rPr>
          <w:sz w:val="26"/>
          <w:szCs w:val="26"/>
          <w:rtl/>
          <w:lang w:val="en-US" w:bidi="ar-EG"/>
        </w:rPr>
        <w:tab/>
      </w:r>
      <w:r>
        <w:rPr>
          <w:rFonts w:hint="cs"/>
          <w:sz w:val="26"/>
          <w:szCs w:val="26"/>
          <w:rtl/>
          <w:lang w:val="en-US" w:bidi="ar-EG"/>
        </w:rPr>
        <w:t>تم القيام بالأنشطة التالية:</w:t>
      </w:r>
    </w:p>
    <w:p w:rsidR="00B36419" w:rsidRDefault="00B36419" w:rsidP="00B3641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عقدت ثلاث عشرة ورشة عمل لتعزيز الممارسات الجيدة في صيانة وإعادة شحن أجهزة الإطفاء المحمولة باستخدام الهيدروكلورورفلوروكربون-123 كعامل إطفاء وإزالة الهيدروكلوروفلوروكربون-141ب في هذا الاستخدام وذلك خلال عامي 2018 و 2019؛</w:t>
      </w:r>
    </w:p>
    <w:p w:rsidR="00B36419" w:rsidRDefault="00B36419" w:rsidP="00B3641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 xml:space="preserve">تم إعداد خطوط توجيهية مع التركيز على الممارسات الجيدة في صيانة وإعادة شحن أجهزة الإطفاء المحمولة باستخدام الهيدروكلوروفلوروكربون-123 من جانب وحدة الأوزون الفنية (وحدة الأوزون الوطنية، المعروفة </w:t>
      </w:r>
      <w:r w:rsidR="003F65B2">
        <w:rPr>
          <w:sz w:val="26"/>
          <w:szCs w:val="26"/>
          <w:lang w:val="en-US" w:bidi="ar-EG"/>
        </w:rPr>
        <w:t>UTO</w:t>
      </w:r>
      <w:r>
        <w:rPr>
          <w:rFonts w:hint="cs"/>
          <w:sz w:val="26"/>
          <w:szCs w:val="26"/>
          <w:rtl/>
          <w:lang w:val="en-US" w:bidi="ar-EG"/>
        </w:rPr>
        <w:t xml:space="preserve"> باللغة الإسبانية) وهي حاليا طور الطباعة؛ و</w:t>
      </w:r>
    </w:p>
    <w:p w:rsidR="00B36419" w:rsidRDefault="00B36419" w:rsidP="00B3641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sidR="003F65B2">
        <w:rPr>
          <w:rFonts w:hint="cs"/>
          <w:sz w:val="26"/>
          <w:szCs w:val="26"/>
          <w:rtl/>
          <w:lang w:val="en-US" w:bidi="ar-EG"/>
        </w:rPr>
        <w:t xml:space="preserve">دخل </w:t>
      </w:r>
      <w:r>
        <w:rPr>
          <w:rFonts w:hint="cs"/>
          <w:sz w:val="26"/>
          <w:szCs w:val="26"/>
          <w:rtl/>
          <w:lang w:val="en-US" w:bidi="ar-EG"/>
        </w:rPr>
        <w:t>اقتراح بحظر استيراد وتصنيع بعض المنتجات والمعدات التي تستخدم المواد الهيدروكلوروفلوروكربونية (بما في ذلك أجهزة إطفاء الحريق المحمولة التي تستخدم الهيدروكلوروفلوروكربون-141ب) حاليا في مرحلة الاعتماد.</w:t>
      </w:r>
    </w:p>
    <w:p w:rsidR="00C965A6" w:rsidRPr="00B36419" w:rsidRDefault="00B36419" w:rsidP="00C965A6">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B36419">
        <w:rPr>
          <w:rFonts w:hint="cs"/>
          <w:i/>
          <w:iCs/>
          <w:sz w:val="26"/>
          <w:szCs w:val="26"/>
          <w:rtl/>
          <w:lang w:val="en-US" w:bidi="ar-EG"/>
        </w:rPr>
        <w:t>وحدة رصد وتنفيذ المشروع</w:t>
      </w:r>
    </w:p>
    <w:p w:rsidR="00B36419" w:rsidRDefault="001A62BD" w:rsidP="00B3641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11 -</w:t>
      </w:r>
      <w:r>
        <w:rPr>
          <w:sz w:val="26"/>
          <w:szCs w:val="26"/>
          <w:rtl/>
          <w:lang w:val="en-US" w:bidi="ar-EG"/>
        </w:rPr>
        <w:tab/>
      </w:r>
      <w:r>
        <w:rPr>
          <w:rFonts w:hint="cs"/>
          <w:sz w:val="26"/>
          <w:szCs w:val="26"/>
          <w:rtl/>
          <w:lang w:val="en-US" w:bidi="ar-EG"/>
        </w:rPr>
        <w:t xml:space="preserve">خلال الشريحة الثانية، أعدت وحدة رصد وتنفيذ المشروع تقريرين سنويين لكل مشروع وعقدت ستة اجتماعات لمتابعة تنفيذ المشروعات؛ وقامت بمراجعتين لتنفيذ المشروعات. وبتاريخ تشرين الأول/أكتوبر 2019 </w:t>
      </w:r>
      <w:r w:rsidR="003F65B2">
        <w:rPr>
          <w:rFonts w:hint="cs"/>
          <w:sz w:val="26"/>
          <w:szCs w:val="26"/>
          <w:rtl/>
          <w:lang w:val="en-US" w:bidi="ar-EG"/>
        </w:rPr>
        <w:t xml:space="preserve">تم صرف 100 في المائة </w:t>
      </w:r>
      <w:r>
        <w:rPr>
          <w:rFonts w:hint="cs"/>
          <w:sz w:val="26"/>
          <w:szCs w:val="26"/>
          <w:rtl/>
          <w:lang w:val="en-US" w:bidi="ar-EG"/>
        </w:rPr>
        <w:t xml:space="preserve">من إجمالي مبلغ </w:t>
      </w:r>
      <w:r>
        <w:rPr>
          <w:sz w:val="26"/>
          <w:szCs w:val="26"/>
          <w:lang w:val="en-US" w:bidi="ar-EG"/>
        </w:rPr>
        <w:t>261,095</w:t>
      </w:r>
      <w:r>
        <w:rPr>
          <w:rFonts w:hint="cs"/>
          <w:sz w:val="26"/>
          <w:szCs w:val="26"/>
          <w:rtl/>
          <w:lang w:val="en-US" w:bidi="ar-EG"/>
        </w:rPr>
        <w:t xml:space="preserve"> دولار أمريكي كما يتضح من الجدول 2.</w:t>
      </w:r>
    </w:p>
    <w:p w:rsidR="001A62BD" w:rsidRPr="001A62BD" w:rsidRDefault="001A62BD" w:rsidP="001A62BD">
      <w:pPr>
        <w:pStyle w:val="StyleHeader4Para4Left0Firstline0"/>
        <w:keepNext/>
        <w:keepLines/>
        <w:numPr>
          <w:ilvl w:val="0"/>
          <w:numId w:val="0"/>
        </w:numPr>
        <w:tabs>
          <w:tab w:val="clear" w:pos="2880"/>
          <w:tab w:val="clear" w:pos="5760"/>
          <w:tab w:val="left" w:pos="720"/>
        </w:tabs>
        <w:bidi/>
        <w:spacing w:before="120"/>
        <w:jc w:val="lowKashida"/>
        <w:rPr>
          <w:b/>
          <w:bCs/>
          <w:sz w:val="26"/>
          <w:szCs w:val="26"/>
          <w:rtl/>
          <w:lang w:val="en-US" w:bidi="ar-EG"/>
        </w:rPr>
      </w:pPr>
      <w:r w:rsidRPr="001A62BD">
        <w:rPr>
          <w:rFonts w:hint="cs"/>
          <w:b/>
          <w:bCs/>
          <w:sz w:val="26"/>
          <w:szCs w:val="26"/>
          <w:rtl/>
          <w:lang w:val="en-US" w:bidi="ar-EG"/>
        </w:rPr>
        <w:lastRenderedPageBreak/>
        <w:t>الجدول 2. صرف وحدة رصد وتنفيذ المشروع حسب النشاط والشريحة</w:t>
      </w:r>
    </w:p>
    <w:tbl>
      <w:tblPr>
        <w:tblStyle w:val="TableGrid"/>
        <w:bidiVisual/>
        <w:tblW w:w="9355" w:type="dxa"/>
        <w:tblLook w:val="04A0" w:firstRow="1" w:lastRow="0" w:firstColumn="1" w:lastColumn="0" w:noHBand="0" w:noVBand="1"/>
      </w:tblPr>
      <w:tblGrid>
        <w:gridCol w:w="4585"/>
        <w:gridCol w:w="2385"/>
        <w:gridCol w:w="2385"/>
      </w:tblGrid>
      <w:tr w:rsidR="001A62BD" w:rsidRPr="00904E12" w:rsidTr="001A62BD">
        <w:tc>
          <w:tcPr>
            <w:tcW w:w="4585" w:type="dxa"/>
            <w:vMerge w:val="restart"/>
            <w:vAlign w:val="center"/>
          </w:tcPr>
          <w:p w:rsidR="001A62BD" w:rsidRPr="00A4248F" w:rsidRDefault="001A62BD" w:rsidP="001A62BD">
            <w:pPr>
              <w:bidi/>
              <w:jc w:val="left"/>
              <w:rPr>
                <w:bCs/>
                <w:sz w:val="22"/>
                <w:szCs w:val="22"/>
                <w:lang w:val="en-CA"/>
              </w:rPr>
            </w:pPr>
            <w:r w:rsidRPr="00A4248F">
              <w:rPr>
                <w:rFonts w:hint="cs"/>
                <w:bCs/>
                <w:sz w:val="22"/>
                <w:szCs w:val="22"/>
                <w:rtl/>
                <w:lang w:val="en-CA"/>
              </w:rPr>
              <w:t>النشاط</w:t>
            </w:r>
          </w:p>
        </w:tc>
        <w:tc>
          <w:tcPr>
            <w:tcW w:w="4770" w:type="dxa"/>
            <w:gridSpan w:val="2"/>
          </w:tcPr>
          <w:p w:rsidR="001A62BD" w:rsidRPr="00A4248F" w:rsidRDefault="001A62BD" w:rsidP="00F3662C">
            <w:pPr>
              <w:jc w:val="center"/>
              <w:rPr>
                <w:bCs/>
                <w:sz w:val="22"/>
                <w:szCs w:val="22"/>
                <w:lang w:val="en-CA"/>
              </w:rPr>
            </w:pPr>
            <w:r w:rsidRPr="00A4248F">
              <w:rPr>
                <w:rFonts w:hint="cs"/>
                <w:bCs/>
                <w:sz w:val="22"/>
                <w:szCs w:val="22"/>
                <w:rtl/>
                <w:lang w:val="en-CA"/>
              </w:rPr>
              <w:t>الصرف (دولار أمريكي)</w:t>
            </w:r>
          </w:p>
        </w:tc>
      </w:tr>
      <w:tr w:rsidR="001A62BD" w:rsidRPr="00904E12" w:rsidTr="001A62BD">
        <w:tc>
          <w:tcPr>
            <w:tcW w:w="4585" w:type="dxa"/>
            <w:vMerge/>
          </w:tcPr>
          <w:p w:rsidR="001A62BD" w:rsidRPr="00A4248F" w:rsidRDefault="001A62BD" w:rsidP="001A62BD">
            <w:pPr>
              <w:bidi/>
              <w:rPr>
                <w:bCs/>
                <w:sz w:val="22"/>
                <w:szCs w:val="22"/>
                <w:lang w:val="en-CA"/>
              </w:rPr>
            </w:pPr>
          </w:p>
        </w:tc>
        <w:tc>
          <w:tcPr>
            <w:tcW w:w="2385" w:type="dxa"/>
          </w:tcPr>
          <w:p w:rsidR="001A62BD" w:rsidRPr="00A4248F" w:rsidRDefault="001A62BD" w:rsidP="00F3662C">
            <w:pPr>
              <w:jc w:val="center"/>
              <w:rPr>
                <w:bCs/>
                <w:sz w:val="22"/>
                <w:szCs w:val="22"/>
                <w:lang w:val="en-CA"/>
              </w:rPr>
            </w:pPr>
            <w:r w:rsidRPr="00A4248F">
              <w:rPr>
                <w:rFonts w:hint="cs"/>
                <w:bCs/>
                <w:sz w:val="22"/>
                <w:szCs w:val="22"/>
                <w:rtl/>
                <w:lang w:val="en-CA"/>
              </w:rPr>
              <w:t>الشريحة الأولى</w:t>
            </w:r>
          </w:p>
        </w:tc>
        <w:tc>
          <w:tcPr>
            <w:tcW w:w="2385" w:type="dxa"/>
          </w:tcPr>
          <w:p w:rsidR="001A62BD" w:rsidRPr="00A4248F" w:rsidRDefault="001A62BD" w:rsidP="00F3662C">
            <w:pPr>
              <w:jc w:val="center"/>
              <w:rPr>
                <w:bCs/>
                <w:sz w:val="22"/>
                <w:szCs w:val="22"/>
                <w:lang w:val="en-CA"/>
              </w:rPr>
            </w:pPr>
            <w:r w:rsidRPr="00A4248F">
              <w:rPr>
                <w:rFonts w:hint="cs"/>
                <w:bCs/>
                <w:sz w:val="22"/>
                <w:szCs w:val="22"/>
                <w:rtl/>
                <w:lang w:val="en-CA"/>
              </w:rPr>
              <w:t>الشريحة الثانية</w:t>
            </w:r>
          </w:p>
        </w:tc>
      </w:tr>
      <w:tr w:rsidR="001A62BD" w:rsidRPr="00904E12" w:rsidTr="001A62BD">
        <w:tc>
          <w:tcPr>
            <w:tcW w:w="4585" w:type="dxa"/>
          </w:tcPr>
          <w:p w:rsidR="001A62BD" w:rsidRPr="00A4248F" w:rsidRDefault="001A62BD" w:rsidP="001A62BD">
            <w:pPr>
              <w:bidi/>
              <w:rPr>
                <w:sz w:val="22"/>
                <w:szCs w:val="22"/>
                <w:lang w:val="en-CA"/>
              </w:rPr>
            </w:pPr>
            <w:r w:rsidRPr="00A4248F">
              <w:rPr>
                <w:rFonts w:hint="cs"/>
                <w:sz w:val="22"/>
                <w:szCs w:val="22"/>
                <w:rtl/>
                <w:lang w:val="en-CA"/>
              </w:rPr>
              <w:t>مستشارون</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185,132</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6,088</w:t>
            </w:r>
          </w:p>
        </w:tc>
      </w:tr>
      <w:tr w:rsidR="001A62BD" w:rsidRPr="00904E12" w:rsidTr="001A62BD">
        <w:tc>
          <w:tcPr>
            <w:tcW w:w="4585" w:type="dxa"/>
          </w:tcPr>
          <w:p w:rsidR="001A62BD" w:rsidRPr="00A4248F" w:rsidRDefault="001A62BD" w:rsidP="001A62BD">
            <w:pPr>
              <w:bidi/>
              <w:rPr>
                <w:sz w:val="22"/>
                <w:szCs w:val="22"/>
                <w:lang w:val="en-CA"/>
              </w:rPr>
            </w:pPr>
            <w:r w:rsidRPr="00A4248F">
              <w:rPr>
                <w:rFonts w:hint="cs"/>
                <w:sz w:val="22"/>
                <w:szCs w:val="22"/>
                <w:rtl/>
                <w:lang w:val="en-CA"/>
              </w:rPr>
              <w:t>اجتماعات للرصد</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21,562</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0</w:t>
            </w:r>
          </w:p>
        </w:tc>
      </w:tr>
      <w:tr w:rsidR="001A62BD" w:rsidRPr="00904E12" w:rsidTr="001A62BD">
        <w:tc>
          <w:tcPr>
            <w:tcW w:w="4585" w:type="dxa"/>
          </w:tcPr>
          <w:p w:rsidR="001A62BD" w:rsidRPr="00A4248F" w:rsidRDefault="001A62BD" w:rsidP="001A62BD">
            <w:pPr>
              <w:bidi/>
              <w:rPr>
                <w:sz w:val="22"/>
                <w:szCs w:val="22"/>
                <w:lang w:val="en-CA"/>
              </w:rPr>
            </w:pPr>
            <w:r w:rsidRPr="00A4248F">
              <w:rPr>
                <w:rFonts w:hint="cs"/>
                <w:sz w:val="22"/>
                <w:szCs w:val="22"/>
                <w:rtl/>
                <w:lang w:val="en-CA"/>
              </w:rPr>
              <w:t>تكاليف السفر</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30,265</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687</w:t>
            </w:r>
          </w:p>
        </w:tc>
      </w:tr>
      <w:tr w:rsidR="001A62BD" w:rsidRPr="00904E12" w:rsidTr="001A62BD">
        <w:tc>
          <w:tcPr>
            <w:tcW w:w="4585" w:type="dxa"/>
          </w:tcPr>
          <w:p w:rsidR="001A62BD" w:rsidRPr="00A4248F" w:rsidRDefault="001A62BD" w:rsidP="001A62BD">
            <w:pPr>
              <w:bidi/>
              <w:rPr>
                <w:sz w:val="22"/>
                <w:szCs w:val="22"/>
                <w:lang w:val="en-CA"/>
              </w:rPr>
            </w:pPr>
            <w:r w:rsidRPr="00A4248F">
              <w:rPr>
                <w:rFonts w:hint="cs"/>
                <w:sz w:val="22"/>
                <w:szCs w:val="22"/>
                <w:rtl/>
                <w:lang w:val="en-CA"/>
              </w:rPr>
              <w:t>متفرقات</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751</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0</w:t>
            </w:r>
          </w:p>
        </w:tc>
      </w:tr>
      <w:tr w:rsidR="001A62BD" w:rsidRPr="00904E12" w:rsidTr="001A62BD">
        <w:tc>
          <w:tcPr>
            <w:tcW w:w="4585" w:type="dxa"/>
          </w:tcPr>
          <w:p w:rsidR="001A62BD" w:rsidRPr="00A4248F" w:rsidRDefault="001A62BD" w:rsidP="001A62BD">
            <w:pPr>
              <w:bidi/>
              <w:rPr>
                <w:sz w:val="22"/>
                <w:szCs w:val="22"/>
                <w:lang w:val="en-CA"/>
              </w:rPr>
            </w:pPr>
            <w:r w:rsidRPr="00A4248F">
              <w:rPr>
                <w:rFonts w:hint="cs"/>
                <w:sz w:val="22"/>
                <w:szCs w:val="22"/>
                <w:rtl/>
                <w:lang w:val="en-CA"/>
              </w:rPr>
              <w:t>تحقق مستقل للاستهلاك</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7,615</w:t>
            </w:r>
          </w:p>
        </w:tc>
        <w:tc>
          <w:tcPr>
            <w:tcW w:w="2385" w:type="dxa"/>
            <w:tcMar>
              <w:left w:w="115" w:type="dxa"/>
              <w:right w:w="288" w:type="dxa"/>
            </w:tcMar>
          </w:tcPr>
          <w:p w:rsidR="001A62BD" w:rsidRPr="00A4248F" w:rsidRDefault="001A62BD" w:rsidP="00F3662C">
            <w:pPr>
              <w:jc w:val="right"/>
              <w:rPr>
                <w:sz w:val="22"/>
                <w:szCs w:val="22"/>
                <w:lang w:val="en-CA"/>
              </w:rPr>
            </w:pPr>
            <w:r w:rsidRPr="00A4248F">
              <w:rPr>
                <w:sz w:val="22"/>
                <w:szCs w:val="22"/>
                <w:lang w:val="en-CA"/>
              </w:rPr>
              <w:t>8,995</w:t>
            </w:r>
          </w:p>
        </w:tc>
      </w:tr>
      <w:tr w:rsidR="001A62BD" w:rsidRPr="00904E12" w:rsidTr="001A62BD">
        <w:tc>
          <w:tcPr>
            <w:tcW w:w="4585" w:type="dxa"/>
          </w:tcPr>
          <w:p w:rsidR="001A62BD" w:rsidRPr="00A4248F" w:rsidRDefault="001A62BD" w:rsidP="001A62BD">
            <w:pPr>
              <w:bidi/>
              <w:rPr>
                <w:bCs/>
                <w:sz w:val="22"/>
                <w:szCs w:val="22"/>
                <w:lang w:val="en-CA"/>
              </w:rPr>
            </w:pPr>
            <w:r w:rsidRPr="00A4248F">
              <w:rPr>
                <w:rFonts w:hint="cs"/>
                <w:bCs/>
                <w:sz w:val="22"/>
                <w:szCs w:val="22"/>
                <w:rtl/>
                <w:lang w:val="en-CA"/>
              </w:rPr>
              <w:t>المجموع</w:t>
            </w:r>
          </w:p>
        </w:tc>
        <w:tc>
          <w:tcPr>
            <w:tcW w:w="2385" w:type="dxa"/>
            <w:tcMar>
              <w:left w:w="115" w:type="dxa"/>
              <w:right w:w="288" w:type="dxa"/>
            </w:tcMar>
          </w:tcPr>
          <w:p w:rsidR="001A62BD" w:rsidRPr="00A4248F" w:rsidRDefault="001A62BD" w:rsidP="00F3662C">
            <w:pPr>
              <w:jc w:val="right"/>
              <w:rPr>
                <w:b/>
                <w:sz w:val="22"/>
                <w:szCs w:val="22"/>
                <w:lang w:val="en-CA"/>
              </w:rPr>
            </w:pPr>
            <w:r w:rsidRPr="00A4248F">
              <w:rPr>
                <w:b/>
                <w:sz w:val="22"/>
                <w:szCs w:val="22"/>
                <w:lang w:val="en-CA"/>
              </w:rPr>
              <w:t>245,325</w:t>
            </w:r>
          </w:p>
        </w:tc>
        <w:tc>
          <w:tcPr>
            <w:tcW w:w="2385" w:type="dxa"/>
            <w:tcMar>
              <w:left w:w="115" w:type="dxa"/>
              <w:right w:w="288" w:type="dxa"/>
            </w:tcMar>
          </w:tcPr>
          <w:p w:rsidR="001A62BD" w:rsidRPr="00A4248F" w:rsidRDefault="001A62BD" w:rsidP="00F3662C">
            <w:pPr>
              <w:jc w:val="right"/>
              <w:rPr>
                <w:b/>
                <w:sz w:val="22"/>
                <w:szCs w:val="22"/>
                <w:lang w:val="en-CA"/>
              </w:rPr>
            </w:pPr>
            <w:r w:rsidRPr="00A4248F">
              <w:rPr>
                <w:b/>
                <w:sz w:val="22"/>
                <w:szCs w:val="22"/>
                <w:lang w:val="en-CA"/>
              </w:rPr>
              <w:t>15,770</w:t>
            </w:r>
          </w:p>
        </w:tc>
      </w:tr>
    </w:tbl>
    <w:p w:rsidR="001A62BD" w:rsidRPr="001A62BD" w:rsidRDefault="001A62BD" w:rsidP="001A62BD">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1A62BD">
        <w:rPr>
          <w:rFonts w:hint="cs"/>
          <w:sz w:val="26"/>
          <w:szCs w:val="26"/>
          <w:u w:val="single"/>
          <w:rtl/>
          <w:lang w:val="en-US" w:bidi="ar-EG"/>
        </w:rPr>
        <w:t>مستوى صرف الأموال</w:t>
      </w:r>
    </w:p>
    <w:p w:rsidR="001A62BD" w:rsidRDefault="001A62BD" w:rsidP="001A62BD">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12 -</w:t>
      </w:r>
      <w:r>
        <w:rPr>
          <w:sz w:val="26"/>
          <w:szCs w:val="26"/>
          <w:rtl/>
          <w:lang w:val="en-US" w:bidi="ar-EG"/>
        </w:rPr>
        <w:tab/>
      </w:r>
      <w:r>
        <w:rPr>
          <w:rFonts w:hint="cs"/>
          <w:sz w:val="26"/>
          <w:szCs w:val="26"/>
          <w:rtl/>
          <w:lang w:val="en-US" w:bidi="ar-EG"/>
        </w:rPr>
        <w:t>بتاريخ تشرين الأول/أكتوبر</w:t>
      </w:r>
      <w:r w:rsidR="003F65B2">
        <w:rPr>
          <w:rFonts w:hint="cs"/>
          <w:sz w:val="26"/>
          <w:szCs w:val="26"/>
          <w:rtl/>
          <w:lang w:val="en-US" w:bidi="ar-EG"/>
        </w:rPr>
        <w:t xml:space="preserve"> 2019</w:t>
      </w:r>
      <w:r>
        <w:rPr>
          <w:rFonts w:hint="cs"/>
          <w:sz w:val="26"/>
          <w:szCs w:val="26"/>
          <w:rtl/>
          <w:lang w:val="en-US" w:bidi="ar-EG"/>
        </w:rPr>
        <w:t xml:space="preserve">، من إجمالي مبلغ </w:t>
      </w:r>
      <w:r>
        <w:rPr>
          <w:sz w:val="26"/>
          <w:szCs w:val="26"/>
          <w:lang w:val="en-US" w:bidi="ar-EG"/>
        </w:rPr>
        <w:t>4,199,298</w:t>
      </w:r>
      <w:r>
        <w:rPr>
          <w:rFonts w:hint="cs"/>
          <w:sz w:val="26"/>
          <w:szCs w:val="26"/>
          <w:rtl/>
          <w:lang w:val="en-US" w:bidi="ar-EG"/>
        </w:rPr>
        <w:t xml:space="preserve"> دولار أمريكي موافق عليه حتى الآن، تم صرف </w:t>
      </w:r>
      <w:r>
        <w:rPr>
          <w:sz w:val="26"/>
          <w:szCs w:val="26"/>
          <w:lang w:val="en-US" w:bidi="ar-EG"/>
        </w:rPr>
        <w:t>2,240,297</w:t>
      </w:r>
      <w:r>
        <w:rPr>
          <w:rFonts w:hint="cs"/>
          <w:sz w:val="26"/>
          <w:szCs w:val="26"/>
          <w:rtl/>
          <w:lang w:val="en-US" w:bidi="ar-EG"/>
        </w:rPr>
        <w:t xml:space="preserve"> دولار أمريكي </w:t>
      </w:r>
      <w:r w:rsidR="00EF56C7">
        <w:rPr>
          <w:rFonts w:hint="cs"/>
          <w:sz w:val="26"/>
          <w:szCs w:val="26"/>
          <w:rtl/>
          <w:lang w:val="en-US" w:bidi="ar-EG"/>
        </w:rPr>
        <w:t>(</w:t>
      </w:r>
      <w:r w:rsidR="00EF56C7">
        <w:rPr>
          <w:sz w:val="26"/>
          <w:szCs w:val="26"/>
          <w:lang w:val="en-US" w:bidi="ar-EG"/>
        </w:rPr>
        <w:t>1,717,152</w:t>
      </w:r>
      <w:r w:rsidR="00EF56C7">
        <w:rPr>
          <w:rFonts w:hint="cs"/>
          <w:sz w:val="26"/>
          <w:szCs w:val="26"/>
          <w:rtl/>
          <w:lang w:val="en-US" w:bidi="ar-EG"/>
        </w:rPr>
        <w:t xml:space="preserve"> دولار أمريكي ليوئنديبي و </w:t>
      </w:r>
      <w:r w:rsidR="00EF56C7">
        <w:rPr>
          <w:sz w:val="26"/>
          <w:szCs w:val="26"/>
          <w:lang w:val="en-US" w:bidi="ar-EG"/>
        </w:rPr>
        <w:t>34,445</w:t>
      </w:r>
      <w:r w:rsidR="00EF56C7">
        <w:rPr>
          <w:rFonts w:hint="cs"/>
          <w:sz w:val="26"/>
          <w:szCs w:val="26"/>
          <w:rtl/>
          <w:lang w:val="en-US" w:bidi="ar-EG"/>
        </w:rPr>
        <w:t xml:space="preserve"> دولار أمريكي ليونيب، و </w:t>
      </w:r>
      <w:r w:rsidR="00EF56C7">
        <w:rPr>
          <w:sz w:val="26"/>
          <w:szCs w:val="26"/>
          <w:lang w:val="en-US" w:bidi="ar-EG"/>
        </w:rPr>
        <w:t>488,700</w:t>
      </w:r>
      <w:r w:rsidR="00EF56C7">
        <w:rPr>
          <w:rFonts w:hint="cs"/>
          <w:sz w:val="26"/>
          <w:szCs w:val="26"/>
          <w:rtl/>
          <w:lang w:val="en-US" w:bidi="ar-EG"/>
        </w:rPr>
        <w:t xml:space="preserve"> دولار أمريكي لحكومة ألمانيا) كما يبين الجدول 3. وسيتم صرف الرصيد المتبقي وقدره </w:t>
      </w:r>
      <w:r w:rsidR="00EF56C7">
        <w:rPr>
          <w:sz w:val="26"/>
          <w:szCs w:val="26"/>
          <w:lang w:val="en-US" w:bidi="ar-EG"/>
        </w:rPr>
        <w:t>1,959,001</w:t>
      </w:r>
      <w:r w:rsidR="00EF56C7">
        <w:rPr>
          <w:rFonts w:hint="cs"/>
          <w:sz w:val="26"/>
          <w:szCs w:val="26"/>
          <w:rtl/>
          <w:lang w:val="en-US" w:bidi="ar-EG"/>
        </w:rPr>
        <w:t xml:space="preserve"> دولار أمريكي خلال الفترة من 2019 إلى 2021.</w:t>
      </w:r>
    </w:p>
    <w:p w:rsidR="00EF56C7" w:rsidRPr="00EF56C7" w:rsidRDefault="00EF56C7" w:rsidP="00EF56C7">
      <w:pPr>
        <w:pStyle w:val="StyleHeader4Para4Left0Firstline0"/>
        <w:numPr>
          <w:ilvl w:val="0"/>
          <w:numId w:val="0"/>
        </w:numPr>
        <w:tabs>
          <w:tab w:val="clear" w:pos="2880"/>
          <w:tab w:val="clear" w:pos="5760"/>
          <w:tab w:val="left" w:pos="720"/>
        </w:tabs>
        <w:bidi/>
        <w:spacing w:before="120"/>
        <w:jc w:val="lowKashida"/>
        <w:rPr>
          <w:b/>
          <w:bCs/>
          <w:sz w:val="26"/>
          <w:szCs w:val="26"/>
          <w:rtl/>
          <w:lang w:val="en-US" w:bidi="ar-EG"/>
        </w:rPr>
      </w:pPr>
      <w:r w:rsidRPr="00EF56C7">
        <w:rPr>
          <w:rFonts w:hint="cs"/>
          <w:b/>
          <w:bCs/>
          <w:sz w:val="26"/>
          <w:szCs w:val="26"/>
          <w:rtl/>
          <w:lang w:val="en-US" w:bidi="ar-EG"/>
        </w:rPr>
        <w:t>الجدول 3. التقرير المالي للمرحلة الثانية من خطة إدارة إزالة المواد الهيدروكلوروفلوروكربونية في كولومبيا (دولار أمريكي)</w:t>
      </w:r>
    </w:p>
    <w:tbl>
      <w:tblPr>
        <w:tblStyle w:val="TableGrid"/>
        <w:bidiVisual/>
        <w:tblW w:w="0" w:type="auto"/>
        <w:tblLook w:val="04A0" w:firstRow="1" w:lastRow="0" w:firstColumn="1" w:lastColumn="0" w:noHBand="0" w:noVBand="1"/>
      </w:tblPr>
      <w:tblGrid>
        <w:gridCol w:w="2144"/>
        <w:gridCol w:w="1201"/>
        <w:gridCol w:w="1201"/>
        <w:gridCol w:w="1201"/>
        <w:gridCol w:w="1201"/>
        <w:gridCol w:w="1201"/>
        <w:gridCol w:w="1201"/>
      </w:tblGrid>
      <w:tr w:rsidR="00EF56C7" w:rsidRPr="0011020F" w:rsidTr="00EF56C7">
        <w:tc>
          <w:tcPr>
            <w:tcW w:w="2144" w:type="dxa"/>
            <w:vMerge w:val="restart"/>
            <w:tcMar>
              <w:left w:w="29" w:type="dxa"/>
              <w:right w:w="0" w:type="dxa"/>
            </w:tcMar>
            <w:vAlign w:val="center"/>
          </w:tcPr>
          <w:p w:rsidR="00EF56C7" w:rsidRPr="00EF56C7" w:rsidRDefault="00EF56C7" w:rsidP="00AD39A6">
            <w:pPr>
              <w:keepNext/>
              <w:bidi/>
              <w:ind w:left="144"/>
              <w:jc w:val="left"/>
              <w:rPr>
                <w:bCs/>
                <w:sz w:val="20"/>
                <w:lang w:val="en-CA"/>
              </w:rPr>
            </w:pPr>
            <w:r w:rsidRPr="00EF56C7">
              <w:rPr>
                <w:rFonts w:hint="cs"/>
                <w:bCs/>
                <w:sz w:val="20"/>
                <w:rtl/>
                <w:lang w:val="en-CA"/>
              </w:rPr>
              <w:t>الوكالة</w:t>
            </w:r>
          </w:p>
        </w:tc>
        <w:tc>
          <w:tcPr>
            <w:tcW w:w="2402" w:type="dxa"/>
            <w:gridSpan w:val="2"/>
          </w:tcPr>
          <w:p w:rsidR="00EF56C7" w:rsidRPr="00EF56C7" w:rsidRDefault="00EF56C7" w:rsidP="003F65B2">
            <w:pPr>
              <w:keepNext/>
              <w:jc w:val="center"/>
              <w:rPr>
                <w:bCs/>
                <w:sz w:val="20"/>
                <w:lang w:val="en-CA"/>
              </w:rPr>
            </w:pPr>
            <w:r w:rsidRPr="00EF56C7">
              <w:rPr>
                <w:rFonts w:hint="cs"/>
                <w:bCs/>
                <w:sz w:val="20"/>
                <w:rtl/>
                <w:lang w:val="en-CA"/>
              </w:rPr>
              <w:t>الشريحة الأولى</w:t>
            </w:r>
          </w:p>
        </w:tc>
        <w:tc>
          <w:tcPr>
            <w:tcW w:w="2402" w:type="dxa"/>
            <w:gridSpan w:val="2"/>
          </w:tcPr>
          <w:p w:rsidR="00EF56C7" w:rsidRPr="00EF56C7" w:rsidRDefault="00EF56C7" w:rsidP="003F65B2">
            <w:pPr>
              <w:keepNext/>
              <w:jc w:val="center"/>
              <w:rPr>
                <w:bCs/>
                <w:sz w:val="20"/>
                <w:lang w:val="en-CA"/>
              </w:rPr>
            </w:pPr>
            <w:r w:rsidRPr="00EF56C7">
              <w:rPr>
                <w:rFonts w:hint="cs"/>
                <w:bCs/>
                <w:sz w:val="20"/>
                <w:rtl/>
                <w:lang w:val="en-CA"/>
              </w:rPr>
              <w:t>الشريحة الثانية</w:t>
            </w:r>
          </w:p>
        </w:tc>
        <w:tc>
          <w:tcPr>
            <w:tcW w:w="2402" w:type="dxa"/>
            <w:gridSpan w:val="2"/>
          </w:tcPr>
          <w:p w:rsidR="00EF56C7" w:rsidRPr="00EF56C7" w:rsidRDefault="00EF56C7" w:rsidP="003F65B2">
            <w:pPr>
              <w:keepNext/>
              <w:jc w:val="center"/>
              <w:rPr>
                <w:bCs/>
                <w:sz w:val="20"/>
                <w:lang w:val="en-CA"/>
              </w:rPr>
            </w:pPr>
            <w:r w:rsidRPr="00EF56C7">
              <w:rPr>
                <w:rFonts w:hint="cs"/>
                <w:bCs/>
                <w:sz w:val="20"/>
                <w:rtl/>
                <w:lang w:val="en-CA"/>
              </w:rPr>
              <w:t>مجموع الموافق عليه</w:t>
            </w:r>
          </w:p>
        </w:tc>
      </w:tr>
      <w:tr w:rsidR="00EF56C7" w:rsidRPr="0011020F" w:rsidTr="00EF56C7">
        <w:tc>
          <w:tcPr>
            <w:tcW w:w="2144" w:type="dxa"/>
            <w:vMerge/>
            <w:tcMar>
              <w:left w:w="29" w:type="dxa"/>
              <w:right w:w="0" w:type="dxa"/>
            </w:tcMar>
            <w:vAlign w:val="center"/>
          </w:tcPr>
          <w:p w:rsidR="00EF56C7" w:rsidRPr="00EF56C7" w:rsidRDefault="00EF56C7" w:rsidP="00AD39A6">
            <w:pPr>
              <w:keepNext/>
              <w:bidi/>
              <w:ind w:left="144"/>
              <w:jc w:val="left"/>
              <w:rPr>
                <w:bCs/>
                <w:sz w:val="20"/>
                <w:lang w:val="en-CA"/>
              </w:rPr>
            </w:pPr>
          </w:p>
        </w:tc>
        <w:tc>
          <w:tcPr>
            <w:tcW w:w="1201" w:type="dxa"/>
          </w:tcPr>
          <w:p w:rsidR="00EF56C7" w:rsidRPr="00EF56C7" w:rsidRDefault="00EF56C7" w:rsidP="003F65B2">
            <w:pPr>
              <w:keepNext/>
              <w:jc w:val="center"/>
              <w:rPr>
                <w:bCs/>
                <w:sz w:val="20"/>
                <w:lang w:val="en-CA"/>
              </w:rPr>
            </w:pPr>
            <w:r w:rsidRPr="00EF56C7">
              <w:rPr>
                <w:rFonts w:hint="cs"/>
                <w:bCs/>
                <w:sz w:val="20"/>
                <w:rtl/>
                <w:lang w:val="en-CA"/>
              </w:rPr>
              <w:t>الموافق عليه</w:t>
            </w:r>
          </w:p>
        </w:tc>
        <w:tc>
          <w:tcPr>
            <w:tcW w:w="1201" w:type="dxa"/>
          </w:tcPr>
          <w:p w:rsidR="00EF56C7" w:rsidRPr="00EF56C7" w:rsidRDefault="00EF56C7" w:rsidP="003F65B2">
            <w:pPr>
              <w:keepNext/>
              <w:jc w:val="center"/>
              <w:rPr>
                <w:bCs/>
                <w:sz w:val="20"/>
                <w:lang w:val="en-CA"/>
              </w:rPr>
            </w:pPr>
            <w:r w:rsidRPr="00EF56C7">
              <w:rPr>
                <w:rFonts w:hint="cs"/>
                <w:bCs/>
                <w:sz w:val="20"/>
                <w:rtl/>
                <w:lang w:val="en-CA"/>
              </w:rPr>
              <w:t>المصروف</w:t>
            </w:r>
          </w:p>
        </w:tc>
        <w:tc>
          <w:tcPr>
            <w:tcW w:w="1201" w:type="dxa"/>
          </w:tcPr>
          <w:p w:rsidR="00EF56C7" w:rsidRPr="00EF56C7" w:rsidRDefault="00EF56C7" w:rsidP="003F65B2">
            <w:pPr>
              <w:keepNext/>
              <w:jc w:val="center"/>
              <w:rPr>
                <w:bCs/>
                <w:sz w:val="20"/>
                <w:lang w:val="en-CA"/>
              </w:rPr>
            </w:pPr>
            <w:r w:rsidRPr="00EF56C7">
              <w:rPr>
                <w:rFonts w:hint="cs"/>
                <w:bCs/>
                <w:sz w:val="20"/>
                <w:rtl/>
                <w:lang w:val="en-CA"/>
              </w:rPr>
              <w:t>الموافق عليه</w:t>
            </w:r>
          </w:p>
        </w:tc>
        <w:tc>
          <w:tcPr>
            <w:tcW w:w="1201" w:type="dxa"/>
          </w:tcPr>
          <w:p w:rsidR="00EF56C7" w:rsidRPr="00EF56C7" w:rsidRDefault="00EF56C7" w:rsidP="003F65B2">
            <w:pPr>
              <w:keepNext/>
              <w:jc w:val="center"/>
              <w:rPr>
                <w:bCs/>
                <w:sz w:val="20"/>
                <w:lang w:val="en-CA"/>
              </w:rPr>
            </w:pPr>
            <w:r w:rsidRPr="00EF56C7">
              <w:rPr>
                <w:rFonts w:hint="cs"/>
                <w:bCs/>
                <w:sz w:val="20"/>
                <w:rtl/>
                <w:lang w:val="en-CA"/>
              </w:rPr>
              <w:t>المصروف</w:t>
            </w:r>
          </w:p>
        </w:tc>
        <w:tc>
          <w:tcPr>
            <w:tcW w:w="1201" w:type="dxa"/>
          </w:tcPr>
          <w:p w:rsidR="00EF56C7" w:rsidRPr="00EF56C7" w:rsidRDefault="00EF56C7" w:rsidP="003F65B2">
            <w:pPr>
              <w:keepNext/>
              <w:jc w:val="center"/>
              <w:rPr>
                <w:bCs/>
                <w:sz w:val="20"/>
                <w:lang w:val="en-CA"/>
              </w:rPr>
            </w:pPr>
            <w:r w:rsidRPr="00EF56C7">
              <w:rPr>
                <w:rFonts w:hint="cs"/>
                <w:bCs/>
                <w:sz w:val="20"/>
                <w:rtl/>
                <w:lang w:val="en-CA"/>
              </w:rPr>
              <w:t>الموافق عليه</w:t>
            </w:r>
          </w:p>
        </w:tc>
        <w:tc>
          <w:tcPr>
            <w:tcW w:w="1201" w:type="dxa"/>
          </w:tcPr>
          <w:p w:rsidR="00EF56C7" w:rsidRPr="00EF56C7" w:rsidRDefault="00EF56C7" w:rsidP="003F65B2">
            <w:pPr>
              <w:keepNext/>
              <w:jc w:val="center"/>
              <w:rPr>
                <w:bCs/>
                <w:sz w:val="20"/>
                <w:lang w:val="en-CA"/>
              </w:rPr>
            </w:pPr>
            <w:r w:rsidRPr="00EF56C7">
              <w:rPr>
                <w:rFonts w:hint="cs"/>
                <w:bCs/>
                <w:sz w:val="20"/>
                <w:rtl/>
                <w:lang w:val="en-CA"/>
              </w:rPr>
              <w:t>المصروف</w:t>
            </w:r>
          </w:p>
        </w:tc>
      </w:tr>
      <w:tr w:rsidR="00EF56C7" w:rsidRPr="0011020F" w:rsidTr="00EF56C7">
        <w:tc>
          <w:tcPr>
            <w:tcW w:w="2144" w:type="dxa"/>
            <w:tcMar>
              <w:left w:w="29" w:type="dxa"/>
              <w:right w:w="0" w:type="dxa"/>
            </w:tcMar>
            <w:vAlign w:val="center"/>
          </w:tcPr>
          <w:p w:rsidR="00EF56C7" w:rsidRPr="0011020F" w:rsidRDefault="00EF56C7" w:rsidP="00AD39A6">
            <w:pPr>
              <w:keepNext/>
              <w:bidi/>
              <w:ind w:left="144"/>
              <w:jc w:val="left"/>
              <w:rPr>
                <w:sz w:val="20"/>
                <w:lang w:val="en-CA"/>
              </w:rPr>
            </w:pPr>
            <w:r>
              <w:rPr>
                <w:rFonts w:hint="cs"/>
                <w:sz w:val="20"/>
                <w:rtl/>
                <w:lang w:val="en-CA"/>
              </w:rPr>
              <w:t>يوئنديبي</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2,342,591</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1,538,917</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1,268,007</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178,235</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3,610,598</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1,717,152</w:t>
            </w:r>
          </w:p>
        </w:tc>
      </w:tr>
      <w:tr w:rsidR="00EF56C7" w:rsidRPr="0011020F" w:rsidTr="00EF56C7">
        <w:tc>
          <w:tcPr>
            <w:tcW w:w="2144" w:type="dxa"/>
            <w:tcMar>
              <w:left w:w="29" w:type="dxa"/>
              <w:right w:w="0" w:type="dxa"/>
            </w:tcMar>
            <w:vAlign w:val="center"/>
          </w:tcPr>
          <w:p w:rsidR="00EF56C7" w:rsidRPr="0011020F" w:rsidRDefault="00EF56C7" w:rsidP="00AD39A6">
            <w:pPr>
              <w:bidi/>
              <w:ind w:left="144"/>
              <w:jc w:val="left"/>
              <w:rPr>
                <w:sz w:val="20"/>
                <w:lang w:val="en-CA"/>
              </w:rPr>
            </w:pPr>
            <w:r>
              <w:rPr>
                <w:rFonts w:hint="cs"/>
                <w:sz w:val="20"/>
                <w:rtl/>
                <w:lang w:val="en-CA"/>
              </w:rPr>
              <w:t>يونيب</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50,000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34,445</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50,000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100,000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34,445</w:t>
            </w:r>
          </w:p>
        </w:tc>
      </w:tr>
      <w:tr w:rsidR="00EF56C7" w:rsidRPr="0011020F" w:rsidTr="00EF56C7">
        <w:tc>
          <w:tcPr>
            <w:tcW w:w="2144" w:type="dxa"/>
            <w:tcMar>
              <w:left w:w="29" w:type="dxa"/>
              <w:right w:w="0" w:type="dxa"/>
            </w:tcMar>
            <w:vAlign w:val="center"/>
          </w:tcPr>
          <w:p w:rsidR="00EF56C7" w:rsidRPr="0011020F" w:rsidRDefault="00EF56C7" w:rsidP="00AD39A6">
            <w:pPr>
              <w:bidi/>
              <w:ind w:left="144"/>
              <w:jc w:val="left"/>
              <w:rPr>
                <w:sz w:val="20"/>
                <w:lang w:val="en-CA"/>
              </w:rPr>
            </w:pPr>
            <w:r>
              <w:rPr>
                <w:rFonts w:hint="cs"/>
                <w:sz w:val="20"/>
                <w:rtl/>
                <w:lang w:val="en-CA"/>
              </w:rPr>
              <w:t>ألمانيا</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325,800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325,800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162,900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162,900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488,700</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488,700</w:t>
            </w:r>
          </w:p>
        </w:tc>
      </w:tr>
      <w:tr w:rsidR="00EF56C7" w:rsidRPr="0011020F" w:rsidTr="00EF56C7">
        <w:tc>
          <w:tcPr>
            <w:tcW w:w="2144" w:type="dxa"/>
            <w:tcMar>
              <w:left w:w="29" w:type="dxa"/>
              <w:right w:w="0" w:type="dxa"/>
            </w:tcMar>
            <w:vAlign w:val="center"/>
          </w:tcPr>
          <w:p w:rsidR="00EF56C7" w:rsidRPr="00EF56C7" w:rsidRDefault="00EF56C7" w:rsidP="00AD39A6">
            <w:pPr>
              <w:bidi/>
              <w:ind w:left="144"/>
              <w:jc w:val="left"/>
              <w:rPr>
                <w:bCs/>
                <w:sz w:val="20"/>
                <w:lang w:val="en-CA"/>
              </w:rPr>
            </w:pPr>
            <w:r w:rsidRPr="00EF56C7">
              <w:rPr>
                <w:rFonts w:hint="cs"/>
                <w:bCs/>
                <w:sz w:val="20"/>
                <w:rtl/>
                <w:lang w:val="en-CA"/>
              </w:rPr>
              <w:t>المجموع</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2,718,391</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1,899,162</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1,480,907</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341,135</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4,199,298</w:t>
            </w:r>
          </w:p>
        </w:tc>
        <w:tc>
          <w:tcPr>
            <w:tcW w:w="1201" w:type="dxa"/>
            <w:tcMar>
              <w:left w:w="115" w:type="dxa"/>
              <w:right w:w="144" w:type="dxa"/>
            </w:tcMar>
          </w:tcPr>
          <w:p w:rsidR="00EF56C7" w:rsidRPr="0011020F" w:rsidRDefault="00EF56C7" w:rsidP="003F65B2">
            <w:pPr>
              <w:jc w:val="right"/>
              <w:rPr>
                <w:sz w:val="20"/>
                <w:lang w:val="en-CA"/>
              </w:rPr>
            </w:pPr>
            <w:r w:rsidRPr="0011020F">
              <w:rPr>
                <w:sz w:val="20"/>
                <w:lang w:val="en-CA"/>
              </w:rPr>
              <w:t>2,240,297</w:t>
            </w:r>
          </w:p>
        </w:tc>
      </w:tr>
      <w:tr w:rsidR="00EF56C7" w:rsidRPr="0011020F" w:rsidTr="00EF56C7">
        <w:tc>
          <w:tcPr>
            <w:tcW w:w="2144" w:type="dxa"/>
            <w:tcMar>
              <w:left w:w="29" w:type="dxa"/>
              <w:right w:w="0" w:type="dxa"/>
            </w:tcMar>
            <w:vAlign w:val="center"/>
          </w:tcPr>
          <w:p w:rsidR="00EF56C7" w:rsidRPr="00EF56C7" w:rsidRDefault="00EF56C7" w:rsidP="00AD39A6">
            <w:pPr>
              <w:bidi/>
              <w:ind w:left="144"/>
              <w:jc w:val="left"/>
              <w:rPr>
                <w:bCs/>
                <w:sz w:val="20"/>
                <w:lang w:val="en-CA"/>
              </w:rPr>
            </w:pPr>
            <w:r w:rsidRPr="00EF56C7">
              <w:rPr>
                <w:rFonts w:hint="cs"/>
                <w:bCs/>
                <w:sz w:val="20"/>
                <w:rtl/>
                <w:lang w:val="en-CA"/>
              </w:rPr>
              <w:t>نسبة الصرف (%)</w:t>
            </w:r>
          </w:p>
        </w:tc>
        <w:tc>
          <w:tcPr>
            <w:tcW w:w="2402" w:type="dxa"/>
            <w:gridSpan w:val="2"/>
            <w:tcMar>
              <w:left w:w="115" w:type="dxa"/>
              <w:right w:w="144" w:type="dxa"/>
            </w:tcMar>
            <w:vAlign w:val="center"/>
          </w:tcPr>
          <w:p w:rsidR="00EF56C7" w:rsidRPr="0011020F" w:rsidRDefault="00EF56C7" w:rsidP="003F65B2">
            <w:pPr>
              <w:jc w:val="center"/>
              <w:rPr>
                <w:sz w:val="20"/>
                <w:lang w:val="en-CA"/>
              </w:rPr>
            </w:pPr>
            <w:r w:rsidRPr="0011020F">
              <w:rPr>
                <w:sz w:val="20"/>
                <w:lang w:val="en-CA"/>
              </w:rPr>
              <w:t>70</w:t>
            </w:r>
          </w:p>
        </w:tc>
        <w:tc>
          <w:tcPr>
            <w:tcW w:w="2402" w:type="dxa"/>
            <w:gridSpan w:val="2"/>
            <w:tcMar>
              <w:left w:w="115" w:type="dxa"/>
              <w:right w:w="144" w:type="dxa"/>
            </w:tcMar>
            <w:vAlign w:val="center"/>
          </w:tcPr>
          <w:p w:rsidR="00EF56C7" w:rsidRPr="0011020F" w:rsidRDefault="00EF56C7" w:rsidP="003F65B2">
            <w:pPr>
              <w:jc w:val="center"/>
              <w:rPr>
                <w:sz w:val="20"/>
                <w:lang w:val="en-CA"/>
              </w:rPr>
            </w:pPr>
            <w:r w:rsidRPr="0011020F">
              <w:rPr>
                <w:sz w:val="20"/>
                <w:lang w:val="en-CA"/>
              </w:rPr>
              <w:t>23</w:t>
            </w:r>
          </w:p>
        </w:tc>
        <w:tc>
          <w:tcPr>
            <w:tcW w:w="2402" w:type="dxa"/>
            <w:gridSpan w:val="2"/>
            <w:tcMar>
              <w:left w:w="115" w:type="dxa"/>
              <w:right w:w="144" w:type="dxa"/>
            </w:tcMar>
            <w:vAlign w:val="center"/>
          </w:tcPr>
          <w:p w:rsidR="00EF56C7" w:rsidRPr="0011020F" w:rsidRDefault="00EF56C7" w:rsidP="003F65B2">
            <w:pPr>
              <w:jc w:val="center"/>
              <w:rPr>
                <w:sz w:val="20"/>
                <w:lang w:val="en-CA"/>
              </w:rPr>
            </w:pPr>
            <w:r w:rsidRPr="0011020F">
              <w:rPr>
                <w:sz w:val="20"/>
                <w:lang w:val="en-CA"/>
              </w:rPr>
              <w:t>53</w:t>
            </w:r>
          </w:p>
        </w:tc>
      </w:tr>
    </w:tbl>
    <w:p w:rsidR="00EF56C7" w:rsidRPr="003F65B2" w:rsidRDefault="00EF56C7" w:rsidP="00EF56C7">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3F65B2">
        <w:rPr>
          <w:rFonts w:hint="cs"/>
          <w:sz w:val="26"/>
          <w:szCs w:val="26"/>
          <w:u w:val="single"/>
          <w:rtl/>
          <w:lang w:val="en-US" w:bidi="ar-EG"/>
        </w:rPr>
        <w:t>خطة تنفيذ الشريحة الثالثة م</w:t>
      </w:r>
      <w:r w:rsidR="003F65B2" w:rsidRPr="003F65B2">
        <w:rPr>
          <w:rFonts w:hint="cs"/>
          <w:sz w:val="26"/>
          <w:szCs w:val="26"/>
          <w:u w:val="single"/>
          <w:rtl/>
          <w:lang w:val="en-US" w:bidi="ar-EG"/>
        </w:rPr>
        <w:t>ن</w:t>
      </w:r>
      <w:r w:rsidRPr="003F65B2">
        <w:rPr>
          <w:rFonts w:hint="cs"/>
          <w:sz w:val="26"/>
          <w:szCs w:val="26"/>
          <w:u w:val="single"/>
          <w:rtl/>
          <w:lang w:val="en-US" w:bidi="ar-EG"/>
        </w:rPr>
        <w:t xml:space="preserve"> خطة إدارة إزالة المواد الهيدروكلوروفلوروكربونية</w:t>
      </w:r>
    </w:p>
    <w:p w:rsidR="00EF56C7" w:rsidRDefault="00EF56C7" w:rsidP="00EF56C7">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13 -</w:t>
      </w:r>
      <w:r>
        <w:rPr>
          <w:sz w:val="26"/>
          <w:szCs w:val="26"/>
          <w:rtl/>
          <w:lang w:val="en-US" w:bidi="ar-EG"/>
        </w:rPr>
        <w:tab/>
      </w:r>
      <w:r>
        <w:rPr>
          <w:rFonts w:hint="cs"/>
          <w:sz w:val="26"/>
          <w:szCs w:val="26"/>
          <w:rtl/>
          <w:lang w:val="en-US" w:bidi="ar-EG"/>
        </w:rPr>
        <w:t>سيتم تنفيذ الأنشطة التالية ما بين عامي 2019 و 2021:</w:t>
      </w:r>
    </w:p>
    <w:p w:rsidR="001A62BD" w:rsidRDefault="001A62BD" w:rsidP="001A62BD">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sidR="00EF56C7">
        <w:rPr>
          <w:rFonts w:hint="cs"/>
          <w:sz w:val="26"/>
          <w:szCs w:val="26"/>
          <w:rtl/>
          <w:lang w:val="en-US" w:bidi="ar-EG"/>
        </w:rPr>
        <w:t xml:space="preserve">استعراض ومقارنة قاعدة بيانات الواردات والحصص والترخيص </w:t>
      </w:r>
      <w:r>
        <w:rPr>
          <w:rFonts w:hint="cs"/>
          <w:sz w:val="26"/>
          <w:szCs w:val="26"/>
          <w:rtl/>
          <w:lang w:val="en-US" w:bidi="ar-EG"/>
        </w:rPr>
        <w:t xml:space="preserve">ورصد التجارة والمشاركة في آلية الموافقة المسبقة عن علم غير الرسمية؛ تنفيذ خطة رائدة لاستخدام الأسطوانات القابلة لإعادة الملء؛ والمشاركة في </w:t>
      </w:r>
      <w:r w:rsidR="003F65B2">
        <w:rPr>
          <w:rFonts w:hint="cs"/>
          <w:sz w:val="26"/>
          <w:szCs w:val="26"/>
          <w:rtl/>
          <w:lang w:val="en-US" w:bidi="ar-EG"/>
        </w:rPr>
        <w:t>النظام الشامل المنسق</w:t>
      </w:r>
      <w:r>
        <w:rPr>
          <w:rFonts w:hint="cs"/>
          <w:sz w:val="26"/>
          <w:szCs w:val="26"/>
          <w:rtl/>
          <w:lang w:val="en-US" w:bidi="ar-EG"/>
        </w:rPr>
        <w:t xml:space="preserve"> لوضع العلامات لتحسين ترسيم المواد الهيدروكلوروفلوروكربونية (يونيب) (</w:t>
      </w:r>
      <w:r>
        <w:rPr>
          <w:sz w:val="26"/>
          <w:szCs w:val="26"/>
          <w:lang w:val="en-US" w:bidi="ar-EG"/>
        </w:rPr>
        <w:t>50,000</w:t>
      </w:r>
      <w:r>
        <w:rPr>
          <w:rFonts w:hint="cs"/>
          <w:sz w:val="26"/>
          <w:szCs w:val="26"/>
          <w:rtl/>
          <w:lang w:val="en-US" w:bidi="ar-EG"/>
        </w:rPr>
        <w:t xml:space="preserve"> دولار أمريكي)؛</w:t>
      </w:r>
    </w:p>
    <w:p w:rsidR="001A62BD" w:rsidRDefault="001A62BD" w:rsidP="001A62BD">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الاستعراض المستمر للوائح وتقييم الآثار البيئية ومساندة نظام المعلومات البيئية في كولومبيا المتعلق بالمواد المستنفدة للأوزون (يوئنديبي) (</w:t>
      </w:r>
      <w:r>
        <w:rPr>
          <w:sz w:val="26"/>
          <w:szCs w:val="26"/>
          <w:lang w:val="en-US" w:bidi="ar-EG"/>
        </w:rPr>
        <w:t>15,000</w:t>
      </w:r>
      <w:r>
        <w:rPr>
          <w:rFonts w:hint="cs"/>
          <w:sz w:val="26"/>
          <w:szCs w:val="26"/>
          <w:rtl/>
          <w:lang w:val="en-US" w:bidi="ar-EG"/>
        </w:rPr>
        <w:t xml:space="preserve"> دولار أمريكي)؛</w:t>
      </w:r>
    </w:p>
    <w:p w:rsidR="001A62BD" w:rsidRDefault="001A62BD" w:rsidP="001A62BD">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إعداد وسائل تقييم لمعايير كفاءة العمل الجديدة (</w:t>
      </w:r>
      <w:r>
        <w:rPr>
          <w:sz w:val="26"/>
          <w:szCs w:val="26"/>
          <w:lang w:val="en-US" w:bidi="ar-EG"/>
        </w:rPr>
        <w:t>5,000</w:t>
      </w:r>
      <w:r>
        <w:rPr>
          <w:rFonts w:hint="cs"/>
          <w:sz w:val="26"/>
          <w:szCs w:val="26"/>
          <w:rtl/>
          <w:lang w:val="en-US" w:bidi="ar-EG"/>
        </w:rPr>
        <w:t xml:space="preserve"> دولار أمريكي) </w:t>
      </w:r>
      <w:r w:rsidR="003F65B2">
        <w:rPr>
          <w:rFonts w:hint="cs"/>
          <w:sz w:val="26"/>
          <w:szCs w:val="26"/>
          <w:rtl/>
          <w:lang w:val="en-US" w:bidi="ar-EG"/>
        </w:rPr>
        <w:t>و</w:t>
      </w:r>
      <w:r>
        <w:rPr>
          <w:rFonts w:hint="cs"/>
          <w:sz w:val="26"/>
          <w:szCs w:val="26"/>
          <w:rtl/>
          <w:lang w:val="en-US" w:bidi="ar-EG"/>
        </w:rPr>
        <w:t>مستشار محلي لتعزيز الاعتماد في كفاءة العمل (</w:t>
      </w:r>
      <w:r>
        <w:rPr>
          <w:sz w:val="26"/>
          <w:szCs w:val="26"/>
          <w:lang w:val="en-US" w:bidi="ar-EG"/>
        </w:rPr>
        <w:t>5,000</w:t>
      </w:r>
      <w:r>
        <w:rPr>
          <w:rFonts w:hint="cs"/>
          <w:sz w:val="26"/>
          <w:szCs w:val="26"/>
          <w:rtl/>
          <w:lang w:val="en-US" w:bidi="ar-EG"/>
        </w:rPr>
        <w:t xml:space="preserve"> دولار أمريكي) وشراء 150 قطعة أدوات لتركيب وصيانة معدات التبريد وتكييف الهواء القائمة على الهيدروكربون (</w:t>
      </w:r>
      <w:r>
        <w:rPr>
          <w:sz w:val="26"/>
          <w:szCs w:val="26"/>
          <w:lang w:val="en-US" w:bidi="ar-EG"/>
        </w:rPr>
        <w:t>260,000</w:t>
      </w:r>
      <w:r>
        <w:rPr>
          <w:rFonts w:hint="cs"/>
          <w:sz w:val="26"/>
          <w:szCs w:val="26"/>
          <w:rtl/>
          <w:lang w:val="en-US" w:bidi="ar-EG"/>
        </w:rPr>
        <w:t xml:space="preserve"> دولار أمريكي) (يوئنديبي)؛</w:t>
      </w:r>
    </w:p>
    <w:p w:rsidR="001A62BD" w:rsidRDefault="001A62BD" w:rsidP="001A62BD">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دراسة جدوى لتطوير آلة استرداد غاز تبريد منخفضة التكلفة بما في ذلك اختيار المؤسسة وتصميم الآلة وتجميع النموذج الأولي واستمرار رصد شبكة الاسترداد وإعادة التدوير والاستصلاح (يوئنديبي) (</w:t>
      </w:r>
      <w:r>
        <w:rPr>
          <w:sz w:val="26"/>
          <w:szCs w:val="26"/>
          <w:lang w:val="en-US" w:bidi="ar-EG"/>
        </w:rPr>
        <w:t>30,000</w:t>
      </w:r>
      <w:r>
        <w:rPr>
          <w:rFonts w:hint="cs"/>
          <w:sz w:val="26"/>
          <w:szCs w:val="26"/>
          <w:rtl/>
          <w:lang w:val="en-US" w:bidi="ar-EG"/>
        </w:rPr>
        <w:t xml:space="preserve"> دولار أمريكي)؛</w:t>
      </w:r>
    </w:p>
    <w:p w:rsidR="00944E89" w:rsidRDefault="00944E89" w:rsidP="00944E8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التنسيق وورش عمل مع المستخدمين النهائيين (</w:t>
      </w:r>
      <w:r>
        <w:rPr>
          <w:sz w:val="26"/>
          <w:szCs w:val="26"/>
          <w:lang w:val="en-US" w:bidi="ar-EG"/>
        </w:rPr>
        <w:t>20,000</w:t>
      </w:r>
      <w:r>
        <w:rPr>
          <w:rFonts w:hint="cs"/>
          <w:sz w:val="26"/>
          <w:szCs w:val="26"/>
          <w:rtl/>
          <w:lang w:val="en-US" w:bidi="ar-EG"/>
        </w:rPr>
        <w:t xml:space="preserve"> دولار أمريكي) والتدريب على استخدام استثناء ضريبة القيمة المضافة (</w:t>
      </w:r>
      <w:r>
        <w:rPr>
          <w:sz w:val="26"/>
          <w:szCs w:val="26"/>
          <w:lang w:val="en-US" w:bidi="ar-EG"/>
        </w:rPr>
        <w:t>20,000</w:t>
      </w:r>
      <w:r>
        <w:rPr>
          <w:rFonts w:hint="cs"/>
          <w:sz w:val="26"/>
          <w:szCs w:val="26"/>
          <w:rtl/>
          <w:lang w:val="en-US" w:bidi="ar-EG"/>
        </w:rPr>
        <w:t xml:space="preserve"> دولار أمريكي) والمساعدة الفنية للاستخدام الآمن لبدائل </w:t>
      </w:r>
      <w:r>
        <w:rPr>
          <w:rFonts w:hint="cs"/>
          <w:sz w:val="26"/>
          <w:szCs w:val="26"/>
          <w:rtl/>
          <w:lang w:val="en-US" w:bidi="ar-EG"/>
        </w:rPr>
        <w:lastRenderedPageBreak/>
        <w:t>ذات إمكانية احترار عالمي منخفضة في مشروع رائد سيتم اختياره (</w:t>
      </w:r>
      <w:r>
        <w:rPr>
          <w:sz w:val="26"/>
          <w:szCs w:val="26"/>
          <w:lang w:val="en-US" w:bidi="ar-EG"/>
        </w:rPr>
        <w:t>41,000</w:t>
      </w:r>
      <w:r>
        <w:rPr>
          <w:rFonts w:hint="cs"/>
          <w:sz w:val="26"/>
          <w:szCs w:val="26"/>
          <w:rtl/>
          <w:lang w:val="en-US" w:bidi="ar-EG"/>
        </w:rPr>
        <w:t xml:space="preserve"> دولار أمريكي) (يوئنديبي)؛ </w:t>
      </w:r>
    </w:p>
    <w:p w:rsidR="00944E89" w:rsidRDefault="00944E89" w:rsidP="00944E8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(و)</w:t>
      </w:r>
      <w:r>
        <w:rPr>
          <w:sz w:val="26"/>
          <w:szCs w:val="26"/>
          <w:rtl/>
          <w:lang w:val="en-US" w:bidi="ar-EG"/>
        </w:rPr>
        <w:tab/>
      </w:r>
      <w:r>
        <w:rPr>
          <w:rFonts w:hint="cs"/>
          <w:sz w:val="26"/>
          <w:szCs w:val="26"/>
          <w:rtl/>
          <w:lang w:val="en-US" w:bidi="ar-EG"/>
        </w:rPr>
        <w:t>زيادة الوعي والتعاون المستمر مع المدارس لتعزيز حماية طبقة الأوزون (يوئنديبي) (</w:t>
      </w:r>
      <w:r>
        <w:rPr>
          <w:sz w:val="26"/>
          <w:szCs w:val="26"/>
          <w:lang w:val="en-US" w:bidi="ar-EG"/>
        </w:rPr>
        <w:t>20,000</w:t>
      </w:r>
      <w:r>
        <w:rPr>
          <w:rFonts w:hint="cs"/>
          <w:sz w:val="26"/>
          <w:szCs w:val="26"/>
          <w:rtl/>
          <w:lang w:val="en-US" w:bidi="ar-EG"/>
        </w:rPr>
        <w:t xml:space="preserve"> دولار أمريكي)؛</w:t>
      </w:r>
    </w:p>
    <w:p w:rsidR="00C965A6" w:rsidRDefault="00944E89" w:rsidP="00944E8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(ز)</w:t>
      </w:r>
      <w:r>
        <w:rPr>
          <w:sz w:val="26"/>
          <w:szCs w:val="26"/>
          <w:rtl/>
          <w:lang w:val="en-US" w:bidi="ar-EG"/>
        </w:rPr>
        <w:tab/>
      </w:r>
      <w:r>
        <w:rPr>
          <w:rFonts w:hint="cs"/>
          <w:sz w:val="26"/>
          <w:szCs w:val="26"/>
          <w:rtl/>
          <w:lang w:val="en-US" w:bidi="ar-EG"/>
        </w:rPr>
        <w:t>الاستمرار في إدارة ورصد المشروع بم</w:t>
      </w:r>
      <w:r w:rsidR="00390C03">
        <w:rPr>
          <w:rFonts w:hint="cs"/>
          <w:sz w:val="26"/>
          <w:szCs w:val="26"/>
          <w:rtl/>
          <w:lang w:val="en-US" w:bidi="ar-EG"/>
        </w:rPr>
        <w:t>ا</w:t>
      </w:r>
      <w:r>
        <w:rPr>
          <w:rFonts w:hint="cs"/>
          <w:sz w:val="26"/>
          <w:szCs w:val="26"/>
          <w:rtl/>
          <w:lang w:val="en-US" w:bidi="ar-EG"/>
        </w:rPr>
        <w:t xml:space="preserve"> في ذلك المستشارون (</w:t>
      </w:r>
      <w:r>
        <w:rPr>
          <w:sz w:val="26"/>
          <w:szCs w:val="26"/>
          <w:lang w:val="en-US" w:bidi="ar-EG"/>
        </w:rPr>
        <w:t>180,749</w:t>
      </w:r>
      <w:r>
        <w:rPr>
          <w:rFonts w:hint="cs"/>
          <w:sz w:val="26"/>
          <w:szCs w:val="26"/>
          <w:rtl/>
          <w:lang w:val="en-US" w:bidi="ar-EG"/>
        </w:rPr>
        <w:t xml:space="preserve"> دولار أمريكي)؛ اجتماعات رصد (</w:t>
      </w:r>
      <w:r>
        <w:rPr>
          <w:sz w:val="26"/>
          <w:szCs w:val="26"/>
          <w:lang w:val="en-US" w:bidi="ar-EG"/>
        </w:rPr>
        <w:t>11,000</w:t>
      </w:r>
      <w:r>
        <w:rPr>
          <w:rFonts w:hint="cs"/>
          <w:sz w:val="26"/>
          <w:szCs w:val="26"/>
          <w:rtl/>
          <w:lang w:val="en-US" w:bidi="ar-EG"/>
        </w:rPr>
        <w:t xml:space="preserve"> دولار أمريكي)، تكاليف السفر (</w:t>
      </w:r>
      <w:r>
        <w:rPr>
          <w:sz w:val="26"/>
          <w:szCs w:val="26"/>
          <w:lang w:val="en-US" w:bidi="ar-EG"/>
        </w:rPr>
        <w:t>15,000</w:t>
      </w:r>
      <w:r>
        <w:rPr>
          <w:rFonts w:hint="cs"/>
          <w:sz w:val="26"/>
          <w:szCs w:val="26"/>
          <w:rtl/>
          <w:lang w:val="en-US" w:bidi="ar-EG"/>
        </w:rPr>
        <w:t xml:space="preserve"> دولار أمريكي) متفرقات (</w:t>
      </w:r>
      <w:r>
        <w:rPr>
          <w:sz w:val="26"/>
          <w:szCs w:val="26"/>
          <w:lang w:val="en-US" w:bidi="ar-EG"/>
        </w:rPr>
        <w:t>1,000</w:t>
      </w:r>
      <w:r>
        <w:rPr>
          <w:rFonts w:hint="cs"/>
          <w:sz w:val="26"/>
          <w:szCs w:val="26"/>
          <w:rtl/>
          <w:lang w:val="en-US" w:bidi="ar-EG"/>
        </w:rPr>
        <w:t xml:space="preserve"> دولار أمريكي) والتحقق المستقل من الاستهلاك (</w:t>
      </w:r>
      <w:r>
        <w:rPr>
          <w:sz w:val="26"/>
          <w:szCs w:val="26"/>
          <w:lang w:val="en-US" w:bidi="ar-EG"/>
        </w:rPr>
        <w:t>12,000</w:t>
      </w:r>
      <w:r>
        <w:rPr>
          <w:rFonts w:hint="cs"/>
          <w:sz w:val="26"/>
          <w:szCs w:val="26"/>
          <w:rtl/>
          <w:lang w:val="en-US" w:bidi="ar-EG"/>
        </w:rPr>
        <w:t xml:space="preserve"> دولار أمريكي) (يوئنديبي).</w:t>
      </w:r>
    </w:p>
    <w:p w:rsidR="00944E89" w:rsidRPr="00944E89" w:rsidRDefault="00944E89" w:rsidP="00B66F57">
      <w:pPr>
        <w:bidi/>
        <w:jc w:val="center"/>
        <w:rPr>
          <w:b/>
          <w:bCs/>
          <w:sz w:val="26"/>
          <w:szCs w:val="26"/>
          <w:rtl/>
          <w:lang w:val="en-US" w:bidi="ar-EG"/>
        </w:rPr>
      </w:pPr>
      <w:r w:rsidRPr="00944E89">
        <w:rPr>
          <w:rFonts w:hint="cs"/>
          <w:b/>
          <w:bCs/>
          <w:sz w:val="26"/>
          <w:szCs w:val="26"/>
          <w:rtl/>
          <w:lang w:val="en-US" w:bidi="ar-EG"/>
        </w:rPr>
        <w:t>تعليقات الأمانة وتوصيتها</w:t>
      </w:r>
    </w:p>
    <w:p w:rsidR="00944E89" w:rsidRPr="00944E89" w:rsidRDefault="00944E89" w:rsidP="00944E89">
      <w:pPr>
        <w:pStyle w:val="StyleHeader4Para4Left0Firstline0"/>
        <w:numPr>
          <w:ilvl w:val="0"/>
          <w:numId w:val="0"/>
        </w:numPr>
        <w:tabs>
          <w:tab w:val="clear" w:pos="2880"/>
          <w:tab w:val="clear" w:pos="5760"/>
          <w:tab w:val="left" w:pos="720"/>
        </w:tabs>
        <w:bidi/>
        <w:spacing w:before="120"/>
        <w:ind w:left="1324" w:hanging="1324"/>
        <w:jc w:val="lowKashida"/>
        <w:rPr>
          <w:b/>
          <w:bCs/>
          <w:sz w:val="26"/>
          <w:szCs w:val="26"/>
          <w:rtl/>
          <w:lang w:val="en-US" w:bidi="ar-EG"/>
        </w:rPr>
      </w:pPr>
      <w:r w:rsidRPr="00944E89">
        <w:rPr>
          <w:rFonts w:hint="cs"/>
          <w:b/>
          <w:bCs/>
          <w:sz w:val="26"/>
          <w:szCs w:val="26"/>
          <w:rtl/>
          <w:lang w:val="en-US" w:bidi="ar-EG"/>
        </w:rPr>
        <w:t>التعليقات</w:t>
      </w:r>
    </w:p>
    <w:p w:rsidR="00944E89" w:rsidRPr="00944E89" w:rsidRDefault="00944E89" w:rsidP="00944E89">
      <w:pPr>
        <w:pStyle w:val="StyleHeader4Para4Left0Firstline0"/>
        <w:numPr>
          <w:ilvl w:val="0"/>
          <w:numId w:val="0"/>
        </w:numPr>
        <w:tabs>
          <w:tab w:val="clear" w:pos="2880"/>
          <w:tab w:val="clear" w:pos="5760"/>
          <w:tab w:val="left" w:pos="720"/>
        </w:tabs>
        <w:bidi/>
        <w:spacing w:before="120"/>
        <w:ind w:left="1324" w:hanging="1324"/>
        <w:jc w:val="lowKashida"/>
        <w:rPr>
          <w:sz w:val="26"/>
          <w:szCs w:val="26"/>
          <w:u w:val="single"/>
          <w:rtl/>
          <w:lang w:val="en-US" w:bidi="ar-EG"/>
        </w:rPr>
      </w:pPr>
      <w:r w:rsidRPr="00944E89">
        <w:rPr>
          <w:rFonts w:hint="cs"/>
          <w:sz w:val="26"/>
          <w:szCs w:val="26"/>
          <w:u w:val="single"/>
          <w:rtl/>
          <w:lang w:val="en-US" w:bidi="ar-EG"/>
        </w:rPr>
        <w:t>تقرير بشأن استهلاك المواد الهيدروكلوروفلوروكربونية</w:t>
      </w:r>
    </w:p>
    <w:p w:rsidR="00944E89" w:rsidRDefault="00944E89" w:rsidP="00944E8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14 -</w:t>
      </w:r>
      <w:r>
        <w:rPr>
          <w:sz w:val="26"/>
          <w:szCs w:val="26"/>
          <w:rtl/>
          <w:lang w:val="en-US" w:bidi="ar-EG"/>
        </w:rPr>
        <w:tab/>
      </w:r>
      <w:r>
        <w:rPr>
          <w:rFonts w:hint="cs"/>
          <w:sz w:val="26"/>
          <w:szCs w:val="26"/>
          <w:rtl/>
          <w:lang w:val="en-US" w:bidi="ar-EG"/>
        </w:rPr>
        <w:t xml:space="preserve">على الرغم من أنه وفقا للمقرر 68/42(ج) </w:t>
      </w:r>
      <w:r w:rsidR="00390C03">
        <w:rPr>
          <w:rFonts w:hint="cs"/>
          <w:sz w:val="26"/>
          <w:szCs w:val="26"/>
          <w:rtl/>
          <w:lang w:val="en-US" w:bidi="ar-EG"/>
        </w:rPr>
        <w:t xml:space="preserve">يوجد </w:t>
      </w:r>
      <w:r>
        <w:rPr>
          <w:rFonts w:hint="cs"/>
          <w:sz w:val="26"/>
          <w:szCs w:val="26"/>
          <w:rtl/>
          <w:lang w:val="en-US" w:bidi="ar-EG"/>
        </w:rPr>
        <w:t xml:space="preserve">لدى البلد نظام وطني لتسجيل كمية الهيدروكلوروفلوروكربون-141 </w:t>
      </w:r>
      <w:r w:rsidR="00390C03">
        <w:rPr>
          <w:rFonts w:hint="cs"/>
          <w:sz w:val="26"/>
          <w:szCs w:val="26"/>
          <w:rtl/>
          <w:lang w:val="en-US" w:bidi="ar-EG"/>
        </w:rPr>
        <w:t xml:space="preserve">ب </w:t>
      </w:r>
      <w:r>
        <w:rPr>
          <w:rFonts w:hint="cs"/>
          <w:sz w:val="26"/>
          <w:szCs w:val="26"/>
          <w:rtl/>
          <w:lang w:val="en-US" w:bidi="ar-EG"/>
        </w:rPr>
        <w:t>في البوليولات المصدرة (</w:t>
      </w:r>
      <w:r w:rsidR="00390C03">
        <w:rPr>
          <w:rFonts w:hint="cs"/>
          <w:sz w:val="26"/>
          <w:szCs w:val="26"/>
          <w:rtl/>
          <w:lang w:val="en-US" w:bidi="ar-EG"/>
        </w:rPr>
        <w:t>و</w:t>
      </w:r>
      <w:r>
        <w:rPr>
          <w:rFonts w:hint="cs"/>
          <w:sz w:val="26"/>
          <w:szCs w:val="26"/>
          <w:rtl/>
          <w:lang w:val="en-US" w:bidi="ar-EG"/>
        </w:rPr>
        <w:t xml:space="preserve">المستوردة) سابقة الخلط، إلا أن البلد لا يدرج هذه الصادرات في تقرير البرنامج القطري ذلك لأنه يعتبر أن الهيدروكلوروفلوروكربون-141ب </w:t>
      </w:r>
      <w:r w:rsidR="00710A72">
        <w:rPr>
          <w:rFonts w:hint="cs"/>
          <w:sz w:val="26"/>
          <w:szCs w:val="26"/>
          <w:rtl/>
          <w:lang w:val="en-US" w:bidi="ar-EG"/>
        </w:rPr>
        <w:t>المحتو</w:t>
      </w:r>
      <w:r w:rsidR="00F820BB">
        <w:rPr>
          <w:rFonts w:hint="cs"/>
          <w:sz w:val="26"/>
          <w:szCs w:val="26"/>
          <w:rtl/>
          <w:lang w:val="en-US" w:bidi="ar-EG"/>
        </w:rPr>
        <w:t>ى في البوليولات المصدرة سابقة الخلط من المنتجات. وأكد يوئنديبي أن كولومبيا قد صدرت في السابق الهيدروكلوروفلوروكربون-141ب في البوليولات سابقة الخلط وقامت بذلك مرة أخرى عام 2018.</w:t>
      </w:r>
    </w:p>
    <w:p w:rsidR="00F820BB" w:rsidRPr="00F820BB" w:rsidRDefault="00F820BB" w:rsidP="00F820BB">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F820BB">
        <w:rPr>
          <w:rFonts w:hint="cs"/>
          <w:sz w:val="26"/>
          <w:szCs w:val="26"/>
          <w:u w:val="single"/>
          <w:rtl/>
          <w:lang w:val="en-US" w:bidi="ar-EG"/>
        </w:rPr>
        <w:t>تقرير مرحلي بشأن تنفيذ الشريحة الثانية من خطة إدارة إزالة المواد الهيدروكلوروفلوروكربونية</w:t>
      </w:r>
    </w:p>
    <w:p w:rsidR="00F820BB" w:rsidRPr="00F820BB" w:rsidRDefault="00F820BB" w:rsidP="00F820BB">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F820BB">
        <w:rPr>
          <w:rFonts w:hint="cs"/>
          <w:i/>
          <w:iCs/>
          <w:sz w:val="26"/>
          <w:szCs w:val="26"/>
          <w:rtl/>
          <w:lang w:val="en-US" w:bidi="ar-EG"/>
        </w:rPr>
        <w:t>الإطار القانوني</w:t>
      </w:r>
    </w:p>
    <w:p w:rsidR="00F820BB" w:rsidRDefault="00F820BB" w:rsidP="00F820B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15 -</w:t>
      </w:r>
      <w:r>
        <w:rPr>
          <w:sz w:val="26"/>
          <w:szCs w:val="26"/>
          <w:rtl/>
          <w:lang w:val="en-US" w:bidi="ar-EG"/>
        </w:rPr>
        <w:tab/>
      </w:r>
      <w:r>
        <w:rPr>
          <w:rFonts w:hint="cs"/>
          <w:sz w:val="26"/>
          <w:szCs w:val="26"/>
          <w:rtl/>
          <w:lang w:val="en-US" w:bidi="ar-EG"/>
        </w:rPr>
        <w:t>أصدرت حكومة كولومبيا بالفعل حصص استيراد المواد الهيدروكلوروفلوروكربونية لعام 2019 وفقا لأهداف الرقابة في بروتوكول مونتريال.</w:t>
      </w:r>
    </w:p>
    <w:p w:rsidR="00F820BB" w:rsidRDefault="00F820BB" w:rsidP="00F820B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16 -</w:t>
      </w:r>
      <w:r>
        <w:rPr>
          <w:sz w:val="26"/>
          <w:szCs w:val="26"/>
          <w:rtl/>
          <w:lang w:val="en-US" w:bidi="ar-EG"/>
        </w:rPr>
        <w:tab/>
      </w:r>
      <w:r>
        <w:rPr>
          <w:rFonts w:hint="cs"/>
          <w:sz w:val="26"/>
          <w:szCs w:val="26"/>
          <w:rtl/>
          <w:lang w:val="en-US" w:bidi="ar-EG"/>
        </w:rPr>
        <w:t xml:space="preserve">في الاجتماع الحادي والثمانين، تم الإبلاغ بأن مشروع القرار الخاص </w:t>
      </w:r>
      <w:r w:rsidR="00390C03">
        <w:rPr>
          <w:rFonts w:hint="cs"/>
          <w:sz w:val="26"/>
          <w:szCs w:val="26"/>
          <w:rtl/>
          <w:lang w:val="en-US" w:bidi="ar-EG"/>
        </w:rPr>
        <w:t>ب</w:t>
      </w:r>
      <w:r>
        <w:rPr>
          <w:rFonts w:hint="cs"/>
          <w:sz w:val="26"/>
          <w:szCs w:val="26"/>
          <w:rtl/>
          <w:lang w:val="en-US" w:bidi="ar-EG"/>
        </w:rPr>
        <w:t>تنفيذ الحظر على استخدام الهيدروكلوروفلوروكربون-141ب في قطاع الحماية من الحريق والذي وبموجب المقرر 75/44 (ب) (2) كان المفروض تنفيذه بحلول 31 كانون الأول/ديسمبر 2017، حاليا قيد الدراسة في وزارة البيئة والتنمية المستدامة ومن المتوقع أن يتم تنفيذه بنهاية عام 2018. وعلى حين أن تلك الدراسة قد استكملت، ف</w:t>
      </w:r>
      <w:r w:rsidR="00390C03">
        <w:rPr>
          <w:rFonts w:hint="cs"/>
          <w:sz w:val="26"/>
          <w:szCs w:val="26"/>
          <w:rtl/>
          <w:lang w:val="en-US" w:bidi="ar-EG"/>
        </w:rPr>
        <w:t>إ</w:t>
      </w:r>
      <w:r>
        <w:rPr>
          <w:rFonts w:hint="cs"/>
          <w:sz w:val="26"/>
          <w:szCs w:val="26"/>
          <w:rtl/>
          <w:lang w:val="en-US" w:bidi="ar-EG"/>
        </w:rPr>
        <w:t xml:space="preserve">ن الحظر لم يتم تنفيذه بعد ذلك لأن الصك القانوني لتنفيذ الحظر هو جزء من قانون أعم وأشمل لم يتم إقراره بعد. وقد تم إعداد القانون، وهو يشمل الحظر على استخدام الهيدروكلوروفلوروكربون-141 ب في قطاع الحماية من الحريق وتصنيع واستيراد أنواع </w:t>
      </w:r>
      <w:r w:rsidR="00390C03">
        <w:rPr>
          <w:rFonts w:hint="cs"/>
          <w:sz w:val="26"/>
          <w:szCs w:val="26"/>
          <w:rtl/>
          <w:lang w:val="en-US" w:bidi="ar-EG"/>
        </w:rPr>
        <w:t xml:space="preserve">من </w:t>
      </w:r>
      <w:r>
        <w:rPr>
          <w:rFonts w:hint="cs"/>
          <w:sz w:val="26"/>
          <w:szCs w:val="26"/>
          <w:rtl/>
          <w:lang w:val="en-US" w:bidi="ar-EG"/>
        </w:rPr>
        <w:t xml:space="preserve">معدات تكييف </w:t>
      </w:r>
      <w:r w:rsidR="00390C03">
        <w:rPr>
          <w:rFonts w:hint="cs"/>
          <w:sz w:val="26"/>
          <w:szCs w:val="26"/>
          <w:rtl/>
          <w:lang w:val="en-US" w:bidi="ar-EG"/>
        </w:rPr>
        <w:t>ال</w:t>
      </w:r>
      <w:r>
        <w:rPr>
          <w:rFonts w:hint="cs"/>
          <w:sz w:val="26"/>
          <w:szCs w:val="26"/>
          <w:rtl/>
          <w:lang w:val="en-US" w:bidi="ar-EG"/>
        </w:rPr>
        <w:t xml:space="preserve">هواء مكثفة </w:t>
      </w:r>
      <w:r w:rsidR="00390C03">
        <w:rPr>
          <w:rFonts w:hint="cs"/>
          <w:sz w:val="26"/>
          <w:szCs w:val="26"/>
          <w:rtl/>
          <w:lang w:val="en-US" w:bidi="ar-EG"/>
        </w:rPr>
        <w:t>ومغلفة</w:t>
      </w:r>
      <w:r>
        <w:rPr>
          <w:rFonts w:hint="cs"/>
          <w:sz w:val="26"/>
          <w:szCs w:val="26"/>
          <w:rtl/>
          <w:lang w:val="en-US" w:bidi="ar-EG"/>
        </w:rPr>
        <w:t xml:space="preserve"> والتي تستخدم الهيدروكلوروفلوروكربون-22 بقدرة تبريد أقل من 5 أطنان (وكان متوقعا بحلول 31 كانون الأول/ديسمبر 2020). والقانون حاليا قيد الاستعراض في عدة وزارات وبعد ذلك سيعرض للمشاورة العامة. ونظرا لتعقد الصك القانوني، فالانتهاء منه والتنفيذ قد يستغرق حتى عام 2021. وعلى حين أن الأمانة أخذت علما بأن كولومبيا لم تفٍ بالتزاماتها الواردة في المقرر 75/44، ف</w:t>
      </w:r>
      <w:r w:rsidR="00390C03">
        <w:rPr>
          <w:rFonts w:hint="cs"/>
          <w:sz w:val="26"/>
          <w:szCs w:val="26"/>
          <w:rtl/>
          <w:lang w:val="en-US" w:bidi="ar-EG"/>
        </w:rPr>
        <w:t>إ</w:t>
      </w:r>
      <w:r>
        <w:rPr>
          <w:rFonts w:hint="cs"/>
          <w:sz w:val="26"/>
          <w:szCs w:val="26"/>
          <w:rtl/>
          <w:lang w:val="en-US" w:bidi="ar-EG"/>
        </w:rPr>
        <w:t>نها ترى أن استراتيجية الجمع بين تدابير تشريعية في إجراء واحد أمر فعال وبالتالي فإن التأخير في تنفيذ الحظر كان معقولا.</w:t>
      </w:r>
    </w:p>
    <w:p w:rsidR="00F820BB" w:rsidRPr="00F820BB" w:rsidRDefault="00F820BB" w:rsidP="00F820BB">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F820BB">
        <w:rPr>
          <w:rFonts w:hint="cs"/>
          <w:i/>
          <w:iCs/>
          <w:sz w:val="26"/>
          <w:szCs w:val="26"/>
          <w:rtl/>
          <w:lang w:val="en-US" w:bidi="ar-EG"/>
        </w:rPr>
        <w:t>أنشطة في قطاع الرغاوي</w:t>
      </w:r>
    </w:p>
    <w:p w:rsidR="00F820BB" w:rsidRDefault="00F820BB" w:rsidP="00F820B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17 -</w:t>
      </w:r>
      <w:r>
        <w:rPr>
          <w:sz w:val="26"/>
          <w:szCs w:val="26"/>
          <w:rtl/>
          <w:lang w:val="en-US" w:bidi="ar-EG"/>
        </w:rPr>
        <w:tab/>
      </w:r>
      <w:r>
        <w:rPr>
          <w:rFonts w:hint="cs"/>
          <w:sz w:val="26"/>
          <w:szCs w:val="26"/>
          <w:rtl/>
          <w:lang w:val="en-US" w:bidi="ar-EG"/>
        </w:rPr>
        <w:t xml:space="preserve">على حين أنه تم استكمال عمليات التحويل إلى السيكلوبنتان، فإن تنفيذ التحويل القائم على الهيدروفلوروأوليفان قد تأخر نظرا للإتاحة التجارية المحدودة لهذه المواد في السوق. وتبعا لذلك اقترح يوئنديبي أن يتم تمديد تاريخ استكمال التحويل في مشروعات بيوت النظم ومشروع </w:t>
      </w:r>
      <w:proofErr w:type="spellStart"/>
      <w:r>
        <w:rPr>
          <w:sz w:val="26"/>
          <w:szCs w:val="26"/>
          <w:lang w:val="en-US" w:bidi="ar-EG"/>
        </w:rPr>
        <w:t>Espum</w:t>
      </w:r>
      <w:r w:rsidR="00390C03">
        <w:rPr>
          <w:sz w:val="26"/>
          <w:szCs w:val="26"/>
          <w:lang w:val="en-US" w:bidi="ar-EG"/>
        </w:rPr>
        <w:t>l</w:t>
      </w:r>
      <w:r>
        <w:rPr>
          <w:sz w:val="26"/>
          <w:szCs w:val="26"/>
          <w:lang w:val="en-US" w:bidi="ar-EG"/>
        </w:rPr>
        <w:t>atex</w:t>
      </w:r>
      <w:proofErr w:type="spellEnd"/>
      <w:r>
        <w:rPr>
          <w:rFonts w:hint="cs"/>
          <w:sz w:val="26"/>
          <w:szCs w:val="26"/>
          <w:rtl/>
          <w:lang w:val="en-US" w:bidi="ar-EG"/>
        </w:rPr>
        <w:t xml:space="preserve"> في تصنيع ألواح الرغاوي الصلبة إلى 31 تموز/يوليه 2021.</w:t>
      </w:r>
    </w:p>
    <w:p w:rsidR="00F820BB" w:rsidRDefault="00F820BB" w:rsidP="00F820B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lastRenderedPageBreak/>
        <w:t>18 -</w:t>
      </w:r>
      <w:r>
        <w:rPr>
          <w:sz w:val="26"/>
          <w:szCs w:val="26"/>
          <w:rtl/>
          <w:lang w:val="en-US" w:bidi="ar-EG"/>
        </w:rPr>
        <w:tab/>
      </w:r>
      <w:r>
        <w:rPr>
          <w:rFonts w:hint="cs"/>
          <w:sz w:val="26"/>
          <w:szCs w:val="26"/>
          <w:rtl/>
          <w:lang w:val="en-US" w:bidi="ar-EG"/>
        </w:rPr>
        <w:t xml:space="preserve">مع ملاحظة أن الحكومة قد أصدرت بالفعل الحظر على واردات الهيدروكلوروفلوروكربون-141 ب السائب والمحتوى في البوليولات المستوردة سابقة الخلط بحلول 31 كانون الأول/ديسمبر 2020، اقترحت الأمانة أن ذلك التاريخ </w:t>
      </w:r>
      <w:r w:rsidR="00390C03">
        <w:rPr>
          <w:rFonts w:hint="cs"/>
          <w:sz w:val="26"/>
          <w:szCs w:val="26"/>
          <w:rtl/>
          <w:lang w:val="en-US" w:bidi="ar-EG"/>
        </w:rPr>
        <w:t>يمكن أن يكون</w:t>
      </w:r>
      <w:r>
        <w:rPr>
          <w:rFonts w:hint="cs"/>
          <w:sz w:val="26"/>
          <w:szCs w:val="26"/>
          <w:rtl/>
          <w:lang w:val="en-US" w:bidi="ar-EG"/>
        </w:rPr>
        <w:t xml:space="preserve"> أكثر ملائمة. واقترح يوئنديبي التمديد إلى 31 تموز/يوليه 2021 حتى تتمكن بيوت النظم من استخدام المخزون المتبقي من الهيدروكلوروفلوروكربون-141ب بتصدير الهيدروكلوروفلوروكربون-141 ب في البوليولات سابقة الخلط حتى ذلك التاريخ. وعلى حين أنه من الممكن </w:t>
      </w:r>
      <w:r w:rsidR="00377032">
        <w:rPr>
          <w:rFonts w:hint="cs"/>
          <w:sz w:val="26"/>
          <w:szCs w:val="26"/>
          <w:rtl/>
          <w:lang w:val="en-US" w:bidi="ar-EG"/>
        </w:rPr>
        <w:t xml:space="preserve">أن </w:t>
      </w:r>
      <w:r w:rsidR="00390C03">
        <w:rPr>
          <w:rFonts w:hint="cs"/>
          <w:sz w:val="26"/>
          <w:szCs w:val="26"/>
          <w:rtl/>
          <w:lang w:val="en-US" w:bidi="ar-EG"/>
        </w:rPr>
        <w:t xml:space="preserve">تعرقل هذه الصادرات إزالة الهيدروكلوروفلوروكربون-141ب حسب البلد في المنطقة، فمن المحتمل أن </w:t>
      </w:r>
      <w:r w:rsidR="00377032">
        <w:rPr>
          <w:rFonts w:hint="cs"/>
          <w:sz w:val="26"/>
          <w:szCs w:val="26"/>
          <w:rtl/>
          <w:lang w:val="en-US" w:bidi="ar-EG"/>
        </w:rPr>
        <w:t xml:space="preserve">تكون هذه الصادرات بحجم صغير نظرا </w:t>
      </w:r>
      <w:r w:rsidR="00390C03">
        <w:rPr>
          <w:rFonts w:hint="cs"/>
          <w:sz w:val="26"/>
          <w:szCs w:val="26"/>
          <w:rtl/>
          <w:lang w:val="en-US" w:bidi="ar-EG"/>
        </w:rPr>
        <w:t>للإتاحة الفعلية ل</w:t>
      </w:r>
      <w:r w:rsidR="00377032">
        <w:rPr>
          <w:rFonts w:hint="cs"/>
          <w:sz w:val="26"/>
          <w:szCs w:val="26"/>
          <w:rtl/>
          <w:lang w:val="en-US" w:bidi="ar-EG"/>
        </w:rPr>
        <w:t>نظم قائمة على مواد ذات إمكانية احترار عالمي عالية في المنطقة.</w:t>
      </w:r>
    </w:p>
    <w:p w:rsidR="003624CF" w:rsidRDefault="003624CF" w:rsidP="003624CF">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19 -</w:t>
      </w:r>
      <w:r>
        <w:rPr>
          <w:sz w:val="26"/>
          <w:szCs w:val="26"/>
          <w:rtl/>
          <w:lang w:val="en-US" w:bidi="ar-EG"/>
        </w:rPr>
        <w:tab/>
      </w:r>
      <w:r>
        <w:rPr>
          <w:rFonts w:hint="cs"/>
          <w:sz w:val="26"/>
          <w:szCs w:val="26"/>
          <w:rtl/>
          <w:lang w:val="en-US" w:bidi="ar-EG"/>
        </w:rPr>
        <w:t xml:space="preserve">فيما يتعلق بمشاركة بيت </w:t>
      </w:r>
      <w:r>
        <w:rPr>
          <w:sz w:val="26"/>
          <w:szCs w:val="26"/>
          <w:lang w:val="en-US" w:bidi="ar-EG"/>
        </w:rPr>
        <w:t>GMP</w:t>
      </w:r>
      <w:r>
        <w:rPr>
          <w:rFonts w:hint="cs"/>
          <w:sz w:val="26"/>
          <w:szCs w:val="26"/>
          <w:rtl/>
          <w:lang w:val="en-US" w:bidi="ar-EG"/>
        </w:rPr>
        <w:t xml:space="preserve"> في المشروع، أوضح يوئنديبي أن بيت النظم في طريقه لأن يصبح موزعا لنظم البوليوريتان، بالتعاون مع بيت نظم متعدد الجنسية الذي يعد تركيبات البوليولات في كولومبيا. وتستمر المفاوضات مع بيت النظم للمشاركة في المشروع، ومن المتوقع أن يقوم بيت النظم بالتوقيع على الاتفاق عام 2020. وإذا ما قرر بيت </w:t>
      </w:r>
      <w:r>
        <w:rPr>
          <w:sz w:val="26"/>
          <w:szCs w:val="26"/>
          <w:lang w:val="en-US" w:bidi="ar-EG"/>
        </w:rPr>
        <w:t>GMP</w:t>
      </w:r>
      <w:r>
        <w:rPr>
          <w:rFonts w:hint="cs"/>
          <w:sz w:val="26"/>
          <w:szCs w:val="26"/>
          <w:rtl/>
          <w:lang w:val="en-US" w:bidi="ar-EG"/>
        </w:rPr>
        <w:t xml:space="preserve"> خلال المفاوضات عدم المشاركة، ستتمكن بيوت نظم أخرى من تحويل عملاء </w:t>
      </w:r>
      <w:r>
        <w:rPr>
          <w:sz w:val="26"/>
          <w:szCs w:val="26"/>
          <w:lang w:val="en-US" w:bidi="ar-EG"/>
        </w:rPr>
        <w:t>GMP</w:t>
      </w:r>
      <w:r>
        <w:rPr>
          <w:rFonts w:hint="cs"/>
          <w:sz w:val="26"/>
          <w:szCs w:val="26"/>
          <w:rtl/>
          <w:lang w:val="en-US" w:bidi="ar-EG"/>
        </w:rPr>
        <w:t>.</w:t>
      </w:r>
    </w:p>
    <w:p w:rsidR="003624CF" w:rsidRDefault="003624CF" w:rsidP="003624CF">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20 -</w:t>
      </w:r>
      <w:r>
        <w:rPr>
          <w:sz w:val="26"/>
          <w:szCs w:val="26"/>
          <w:rtl/>
          <w:lang w:val="en-US" w:bidi="ar-EG"/>
        </w:rPr>
        <w:tab/>
      </w:r>
      <w:r>
        <w:rPr>
          <w:rFonts w:hint="cs"/>
          <w:sz w:val="26"/>
          <w:szCs w:val="26"/>
          <w:rtl/>
          <w:lang w:val="en-US" w:bidi="ar-EG"/>
        </w:rPr>
        <w:t xml:space="preserve">ونظرا لأن عملية التحويل إلى المواد الهيدروفلوروأوليفانية لم تتم بعد، لاحظت الأمانة أنه يتعين على يوئنديبي أن يقدم تقريرا عن تكلفة التشغيل الإضافية التي تكبدت بالفعل خلال التحويل إلى تركيبات ذات هيدروفلوروأوليفان منخفض في قطاع الرغاوي عند طلب الشريحة الرابعة والأخيرة من المرحلة الثانية من خطة إدارة إزالة المواد الهيدروكلوروفلوروكربونية، على أساس أنه إذا ما كانت تكلفة التشغيل الإضافية أقل من </w:t>
      </w:r>
      <w:r>
        <w:rPr>
          <w:sz w:val="26"/>
          <w:szCs w:val="26"/>
          <w:lang w:val="en-US" w:bidi="ar-EG"/>
        </w:rPr>
        <w:t>2.13</w:t>
      </w:r>
      <w:r>
        <w:rPr>
          <w:rFonts w:hint="cs"/>
          <w:sz w:val="26"/>
          <w:szCs w:val="26"/>
          <w:rtl/>
          <w:lang w:val="en-US" w:bidi="ar-EG"/>
        </w:rPr>
        <w:t xml:space="preserve"> دولار أمريكي للكغم فإنه يتعين على حكومة كولومبيا إعادة الأموال المتعلقة به إلى الصندوق المتعدد الأطراف وفقا للمقررين 75/44 (ب) (</w:t>
      </w:r>
      <w:r w:rsidR="00390C03">
        <w:rPr>
          <w:rFonts w:hint="cs"/>
          <w:sz w:val="26"/>
          <w:szCs w:val="26"/>
          <w:rtl/>
          <w:lang w:val="en-US" w:bidi="ar-EG"/>
        </w:rPr>
        <w:t>6</w:t>
      </w:r>
      <w:r>
        <w:rPr>
          <w:rFonts w:hint="cs"/>
          <w:sz w:val="26"/>
          <w:szCs w:val="26"/>
          <w:rtl/>
          <w:lang w:val="en-US" w:bidi="ar-EG"/>
        </w:rPr>
        <w:t xml:space="preserve">) و 81/34 (أ). </w:t>
      </w:r>
    </w:p>
    <w:p w:rsidR="003624CF" w:rsidRPr="003624CF" w:rsidRDefault="003624CF" w:rsidP="003624CF">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3624CF">
        <w:rPr>
          <w:rFonts w:hint="cs"/>
          <w:i/>
          <w:iCs/>
          <w:sz w:val="26"/>
          <w:szCs w:val="26"/>
          <w:rtl/>
          <w:lang w:val="en-US" w:bidi="ar-EG"/>
        </w:rPr>
        <w:t>أنشطة في قطاع الخدمة</w:t>
      </w:r>
    </w:p>
    <w:p w:rsidR="003624CF" w:rsidRDefault="003624CF" w:rsidP="003624CF">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21 -</w:t>
      </w:r>
      <w:r>
        <w:rPr>
          <w:sz w:val="26"/>
          <w:szCs w:val="26"/>
          <w:rtl/>
          <w:lang w:val="en-US" w:bidi="ar-EG"/>
        </w:rPr>
        <w:tab/>
      </w:r>
      <w:r>
        <w:rPr>
          <w:rFonts w:hint="cs"/>
          <w:sz w:val="26"/>
          <w:szCs w:val="26"/>
          <w:rtl/>
          <w:lang w:val="en-US" w:bidi="ar-EG"/>
        </w:rPr>
        <w:t>فيما يتعلق بالترويج لاستثناء ضريبة القيمة المضافة للتبريد ذي إمكانية احترار عالمي منخفضة وكفاءة طاقة، أوضح يوئنديبي أنه على حين أن شهادة استثناء ضريبة القيمة المضافة لم تصدر بعد، فإن عديد من المشروعات تقوم بإعداد الملف المطلوب، بما في ذلك مشروعان لتكييف الهواء في مبانٍ بنظم تبريد بالتوليد المشترك والامتصاص.</w:t>
      </w:r>
    </w:p>
    <w:p w:rsidR="003624CF" w:rsidRDefault="003624CF" w:rsidP="003624CF">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22 -</w:t>
      </w:r>
      <w:r>
        <w:rPr>
          <w:sz w:val="26"/>
          <w:szCs w:val="26"/>
          <w:rtl/>
          <w:lang w:val="en-US" w:bidi="ar-EG"/>
        </w:rPr>
        <w:tab/>
      </w:r>
      <w:r>
        <w:rPr>
          <w:rFonts w:hint="cs"/>
          <w:sz w:val="26"/>
          <w:szCs w:val="26"/>
          <w:rtl/>
          <w:lang w:val="en-US" w:bidi="ar-EG"/>
        </w:rPr>
        <w:t xml:space="preserve">في الاجتماع الحادي والثمانين، قدم يوئنديبي بالنيابة عن حكومة كولومبيا التقرير الختامي للمشروع الإيضاحي لاستخدام </w:t>
      </w:r>
      <w:r>
        <w:rPr>
          <w:sz w:val="26"/>
          <w:szCs w:val="26"/>
          <w:lang w:val="en-US" w:bidi="ar-EG"/>
        </w:rPr>
        <w:t>R-290</w:t>
      </w:r>
      <w:r>
        <w:rPr>
          <w:rFonts w:hint="cs"/>
          <w:sz w:val="26"/>
          <w:szCs w:val="26"/>
          <w:rtl/>
          <w:lang w:val="en-US" w:bidi="ar-EG"/>
        </w:rPr>
        <w:t xml:space="preserve"> كغاز تبريد بديل في تصنيع تكييف الهواء التجاري في شركة </w:t>
      </w:r>
      <w:proofErr w:type="spellStart"/>
      <w:r w:rsidRPr="003624CF">
        <w:rPr>
          <w:sz w:val="24"/>
          <w:szCs w:val="24"/>
          <w:lang w:val="en-CA"/>
        </w:rPr>
        <w:t>Industrias</w:t>
      </w:r>
      <w:proofErr w:type="spellEnd"/>
      <w:r w:rsidRPr="003624CF">
        <w:rPr>
          <w:sz w:val="24"/>
          <w:szCs w:val="24"/>
          <w:lang w:val="en-CA"/>
        </w:rPr>
        <w:t xml:space="preserve"> </w:t>
      </w:r>
      <w:proofErr w:type="spellStart"/>
      <w:r w:rsidRPr="003624CF">
        <w:rPr>
          <w:sz w:val="24"/>
          <w:szCs w:val="24"/>
          <w:lang w:val="en-CA"/>
        </w:rPr>
        <w:t>Thermotar</w:t>
      </w:r>
      <w:proofErr w:type="spellEnd"/>
      <w:r w:rsidR="002D51C0">
        <w:rPr>
          <w:sz w:val="24"/>
          <w:szCs w:val="24"/>
          <w:lang w:val="en-CA"/>
        </w:rPr>
        <w:t xml:space="preserve"> </w:t>
      </w:r>
      <w:proofErr w:type="spellStart"/>
      <w:r w:rsidR="002D51C0">
        <w:rPr>
          <w:sz w:val="24"/>
          <w:szCs w:val="24"/>
          <w:lang w:val="en-CA"/>
        </w:rPr>
        <w:t>Ltda</w:t>
      </w:r>
      <w:proofErr w:type="spellEnd"/>
      <w:r>
        <w:rPr>
          <w:rFonts w:hint="cs"/>
          <w:sz w:val="30"/>
          <w:szCs w:val="30"/>
          <w:rtl/>
          <w:lang w:val="en-US" w:bidi="ar-EG"/>
        </w:rPr>
        <w:t xml:space="preserve">. </w:t>
      </w:r>
      <w:r w:rsidRPr="003624CF">
        <w:rPr>
          <w:rFonts w:hint="cs"/>
          <w:sz w:val="26"/>
          <w:szCs w:val="26"/>
          <w:rtl/>
          <w:lang w:val="en-US" w:bidi="ar-EG"/>
        </w:rPr>
        <w:t>وفي ذلك الوقت</w:t>
      </w:r>
      <w:r>
        <w:rPr>
          <w:rFonts w:hint="cs"/>
          <w:sz w:val="26"/>
          <w:szCs w:val="26"/>
          <w:rtl/>
          <w:lang w:val="en-US" w:bidi="ar-EG"/>
        </w:rPr>
        <w:t xml:space="preserve">، لاحظت الأمانة </w:t>
      </w:r>
      <w:r w:rsidR="00390C03">
        <w:rPr>
          <w:rFonts w:hint="cs"/>
          <w:sz w:val="26"/>
          <w:szCs w:val="26"/>
          <w:rtl/>
          <w:lang w:val="en-US" w:bidi="ar-EG"/>
        </w:rPr>
        <w:t xml:space="preserve">أن المؤسسة لم تتمكن بعد من بيع أي معدات قائمة على </w:t>
      </w:r>
      <w:r w:rsidR="00390C03">
        <w:rPr>
          <w:sz w:val="26"/>
          <w:szCs w:val="26"/>
          <w:lang w:val="en-US" w:bidi="ar-EG"/>
        </w:rPr>
        <w:t>R-290</w:t>
      </w:r>
      <w:r w:rsidR="00390C03">
        <w:rPr>
          <w:rFonts w:hint="cs"/>
          <w:sz w:val="26"/>
          <w:szCs w:val="26"/>
          <w:rtl/>
          <w:lang w:val="en-US" w:bidi="ar-EG"/>
        </w:rPr>
        <w:t xml:space="preserve"> وأشار يوئنديبي إلى </w:t>
      </w:r>
      <w:r>
        <w:rPr>
          <w:rFonts w:hint="cs"/>
          <w:sz w:val="26"/>
          <w:szCs w:val="26"/>
          <w:rtl/>
          <w:lang w:val="en-US" w:bidi="ar-EG"/>
        </w:rPr>
        <w:t xml:space="preserve">أنه ليس هناك عقبات تجارية وأن المؤسسة كانت تنتظر أول دفعة من الكباسات القائمة على </w:t>
      </w:r>
      <w:r>
        <w:rPr>
          <w:sz w:val="26"/>
          <w:szCs w:val="26"/>
          <w:lang w:val="en-US" w:bidi="ar-EG"/>
        </w:rPr>
        <w:t>R-290</w:t>
      </w:r>
      <w:r>
        <w:rPr>
          <w:rFonts w:hint="cs"/>
          <w:sz w:val="26"/>
          <w:szCs w:val="26"/>
          <w:rtl/>
          <w:lang w:val="en-US" w:bidi="ar-EG"/>
        </w:rPr>
        <w:t xml:space="preserve"> والانتهاء من تدريب فنيي الخدمة. وقد أرسلت أول دفعة من الكباسات القائمة </w:t>
      </w:r>
      <w:r w:rsidR="00B66F57">
        <w:rPr>
          <w:sz w:val="26"/>
          <w:szCs w:val="26"/>
          <w:rtl/>
          <w:lang w:val="en-US" w:bidi="ar-EG"/>
        </w:rPr>
        <w:br/>
      </w:r>
      <w:r>
        <w:rPr>
          <w:rFonts w:hint="cs"/>
          <w:sz w:val="26"/>
          <w:szCs w:val="26"/>
          <w:rtl/>
          <w:lang w:val="en-US" w:bidi="ar-EG"/>
        </w:rPr>
        <w:t xml:space="preserve">على </w:t>
      </w:r>
      <w:r>
        <w:rPr>
          <w:sz w:val="26"/>
          <w:szCs w:val="26"/>
          <w:lang w:val="en-US" w:bidi="ar-EG"/>
        </w:rPr>
        <w:t>R-290</w:t>
      </w:r>
      <w:r>
        <w:rPr>
          <w:rFonts w:hint="cs"/>
          <w:sz w:val="26"/>
          <w:szCs w:val="26"/>
          <w:rtl/>
          <w:lang w:val="en-US" w:bidi="ar-EG"/>
        </w:rPr>
        <w:t xml:space="preserve">، وتتوقع شركة </w:t>
      </w:r>
      <w:proofErr w:type="spellStart"/>
      <w:r w:rsidR="002D51C0">
        <w:rPr>
          <w:sz w:val="26"/>
          <w:szCs w:val="26"/>
          <w:lang w:val="en-US" w:bidi="ar-EG"/>
        </w:rPr>
        <w:t>Industrias</w:t>
      </w:r>
      <w:proofErr w:type="spellEnd"/>
      <w:r w:rsidR="002D51C0">
        <w:rPr>
          <w:sz w:val="26"/>
          <w:szCs w:val="26"/>
          <w:lang w:val="en-US" w:bidi="ar-EG"/>
        </w:rPr>
        <w:t xml:space="preserve"> </w:t>
      </w:r>
      <w:proofErr w:type="spellStart"/>
      <w:r w:rsidR="002D51C0">
        <w:rPr>
          <w:sz w:val="26"/>
          <w:szCs w:val="26"/>
          <w:lang w:val="en-US" w:bidi="ar-EG"/>
        </w:rPr>
        <w:t>Thermotar</w:t>
      </w:r>
      <w:proofErr w:type="spellEnd"/>
      <w:r w:rsidR="002D51C0">
        <w:rPr>
          <w:sz w:val="26"/>
          <w:szCs w:val="26"/>
          <w:lang w:val="en-US" w:bidi="ar-EG"/>
        </w:rPr>
        <w:t xml:space="preserve"> </w:t>
      </w:r>
      <w:proofErr w:type="spellStart"/>
      <w:r w:rsidR="002D51C0">
        <w:rPr>
          <w:sz w:val="26"/>
          <w:szCs w:val="26"/>
          <w:lang w:val="en-US" w:bidi="ar-EG"/>
        </w:rPr>
        <w:t>Ltda</w:t>
      </w:r>
      <w:proofErr w:type="spellEnd"/>
      <w:r w:rsidR="002D51C0">
        <w:rPr>
          <w:rFonts w:hint="cs"/>
          <w:sz w:val="26"/>
          <w:szCs w:val="26"/>
          <w:rtl/>
          <w:lang w:val="en-US" w:bidi="ar-EG"/>
        </w:rPr>
        <w:t xml:space="preserve"> </w:t>
      </w:r>
      <w:r>
        <w:rPr>
          <w:rFonts w:hint="cs"/>
          <w:sz w:val="26"/>
          <w:szCs w:val="26"/>
          <w:rtl/>
          <w:lang w:val="en-US" w:bidi="ar-EG"/>
        </w:rPr>
        <w:t xml:space="preserve">أن </w:t>
      </w:r>
      <w:r w:rsidR="002D51C0">
        <w:rPr>
          <w:rFonts w:hint="cs"/>
          <w:sz w:val="26"/>
          <w:szCs w:val="26"/>
          <w:rtl/>
          <w:lang w:val="en-US" w:bidi="ar-EG"/>
        </w:rPr>
        <w:t xml:space="preserve">تبدأ التصنيع عندما يتم تسليم الكباسات في نهاية تشرين الثاني/نوفمبر 2019. فضلا عن ذلك، استكملت المؤسسة تدريب فنيي الخدمة وتتوقع أن تبدأ في بيع نظم تكييف الهواء التجارية القائمة على </w:t>
      </w:r>
      <w:r w:rsidR="002D51C0">
        <w:rPr>
          <w:sz w:val="26"/>
          <w:szCs w:val="26"/>
          <w:lang w:val="en-US" w:bidi="ar-EG"/>
        </w:rPr>
        <w:t>R-290</w:t>
      </w:r>
      <w:r w:rsidR="002D51C0">
        <w:rPr>
          <w:rFonts w:hint="cs"/>
          <w:sz w:val="26"/>
          <w:szCs w:val="26"/>
          <w:rtl/>
          <w:lang w:val="en-US" w:bidi="ar-EG"/>
        </w:rPr>
        <w:t xml:space="preserve"> في كانون الثاني/يناير 2020. بالإضافة </w:t>
      </w:r>
      <w:r w:rsidR="00390C03">
        <w:rPr>
          <w:rFonts w:hint="cs"/>
          <w:sz w:val="26"/>
          <w:szCs w:val="26"/>
          <w:rtl/>
          <w:lang w:val="en-US" w:bidi="ar-EG"/>
        </w:rPr>
        <w:t>إ</w:t>
      </w:r>
      <w:r w:rsidR="002D51C0">
        <w:rPr>
          <w:rFonts w:hint="cs"/>
          <w:sz w:val="26"/>
          <w:szCs w:val="26"/>
          <w:rtl/>
          <w:lang w:val="en-US" w:bidi="ar-EG"/>
        </w:rPr>
        <w:t xml:space="preserve">لى ذلك تقوم المؤسسة بتطوير مبرد </w:t>
      </w:r>
      <w:r w:rsidR="002D51C0">
        <w:rPr>
          <w:sz w:val="26"/>
          <w:szCs w:val="26"/>
          <w:lang w:val="en-US" w:bidi="ar-EG"/>
        </w:rPr>
        <w:t>R-290</w:t>
      </w:r>
      <w:r w:rsidR="002D51C0">
        <w:rPr>
          <w:rFonts w:hint="cs"/>
          <w:sz w:val="26"/>
          <w:szCs w:val="26"/>
          <w:rtl/>
          <w:lang w:val="en-US" w:bidi="ar-EG"/>
        </w:rPr>
        <w:t xml:space="preserve"> وسوف يتم توفير تحديث عنه عندما تنتهي المؤسسة من تصميم الآلة.</w:t>
      </w:r>
    </w:p>
    <w:p w:rsidR="002D51C0" w:rsidRPr="002D51C0" w:rsidRDefault="002D51C0" w:rsidP="002D51C0">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2D51C0">
        <w:rPr>
          <w:rFonts w:hint="cs"/>
          <w:sz w:val="26"/>
          <w:szCs w:val="26"/>
          <w:u w:val="single"/>
          <w:rtl/>
          <w:lang w:val="en-US" w:bidi="ar-EG"/>
        </w:rPr>
        <w:t>استدامة إزالة المواد الهيدروكلوروفلوروكربونية</w:t>
      </w:r>
    </w:p>
    <w:p w:rsidR="002D51C0" w:rsidRDefault="002D51C0" w:rsidP="002D51C0">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23 -</w:t>
      </w:r>
      <w:r>
        <w:rPr>
          <w:sz w:val="26"/>
          <w:szCs w:val="26"/>
          <w:rtl/>
          <w:lang w:val="en-US" w:bidi="ar-EG"/>
        </w:rPr>
        <w:tab/>
      </w:r>
      <w:r>
        <w:rPr>
          <w:rFonts w:hint="cs"/>
          <w:sz w:val="26"/>
          <w:szCs w:val="26"/>
          <w:rtl/>
          <w:lang w:val="en-US" w:bidi="ar-EG"/>
        </w:rPr>
        <w:t>لدى حكومة كولومبيا نظام ترخيص وحصص قابل للإنفاذ و</w:t>
      </w:r>
      <w:r w:rsidR="00390C03">
        <w:rPr>
          <w:rFonts w:hint="cs"/>
          <w:sz w:val="26"/>
          <w:szCs w:val="26"/>
          <w:rtl/>
          <w:lang w:val="en-US" w:bidi="ar-EG"/>
        </w:rPr>
        <w:t xml:space="preserve">قد </w:t>
      </w:r>
      <w:r>
        <w:rPr>
          <w:rFonts w:hint="cs"/>
          <w:sz w:val="26"/>
          <w:szCs w:val="26"/>
          <w:rtl/>
          <w:lang w:val="en-US" w:bidi="ar-EG"/>
        </w:rPr>
        <w:t xml:space="preserve">قامت بالفعل بتنفيذ حظر على تصنيع واستيراد الثلاجات المنزلية القائمة على المواد الهيدروكلوروفلوروكربونية، والمبردات والثلاجات بالمبردات وعلى واردات الهيدروكلوروفلوروكربون-141ب السائب والمحتوى في البوليولات سابقة الخلط (بدءا من 31 كانون الأول/ديسمبر 2020). كما سيقوم الحظر المقبل بالإضافة </w:t>
      </w:r>
      <w:r w:rsidR="00390C03">
        <w:rPr>
          <w:rFonts w:hint="cs"/>
          <w:sz w:val="26"/>
          <w:szCs w:val="26"/>
          <w:rtl/>
          <w:lang w:val="en-US" w:bidi="ar-EG"/>
        </w:rPr>
        <w:t>إ</w:t>
      </w:r>
      <w:r>
        <w:rPr>
          <w:rFonts w:hint="cs"/>
          <w:sz w:val="26"/>
          <w:szCs w:val="26"/>
          <w:rtl/>
          <w:lang w:val="en-US" w:bidi="ar-EG"/>
        </w:rPr>
        <w:t xml:space="preserve">لى استخدام </w:t>
      </w:r>
      <w:r w:rsidR="00390C03">
        <w:rPr>
          <w:rFonts w:hint="cs"/>
          <w:sz w:val="26"/>
          <w:szCs w:val="26"/>
          <w:rtl/>
          <w:lang w:val="en-US" w:bidi="ar-EG"/>
        </w:rPr>
        <w:t>سجل إطلاق ونقل الملوثات</w:t>
      </w:r>
      <w:r>
        <w:rPr>
          <w:rFonts w:hint="cs"/>
          <w:sz w:val="26"/>
          <w:szCs w:val="26"/>
          <w:rtl/>
          <w:lang w:val="en-US" w:bidi="ar-EG"/>
        </w:rPr>
        <w:t xml:space="preserve"> </w:t>
      </w:r>
      <w:r w:rsidR="00390C03">
        <w:rPr>
          <w:rFonts w:hint="cs"/>
          <w:sz w:val="26"/>
          <w:szCs w:val="26"/>
          <w:rtl/>
          <w:lang w:val="en-US" w:bidi="ar-EG"/>
        </w:rPr>
        <w:t>و</w:t>
      </w:r>
      <w:r>
        <w:rPr>
          <w:rFonts w:hint="cs"/>
          <w:sz w:val="26"/>
          <w:szCs w:val="26"/>
          <w:rtl/>
          <w:lang w:val="en-US" w:bidi="ar-EG"/>
        </w:rPr>
        <w:t xml:space="preserve">تصنيف </w:t>
      </w:r>
      <w:r w:rsidR="00390C03">
        <w:rPr>
          <w:rFonts w:hint="cs"/>
          <w:sz w:val="26"/>
          <w:szCs w:val="26"/>
          <w:rtl/>
          <w:lang w:val="en-US" w:bidi="ar-EG"/>
        </w:rPr>
        <w:t>النظام الشامل المنسق</w:t>
      </w:r>
      <w:r>
        <w:rPr>
          <w:rFonts w:hint="cs"/>
          <w:sz w:val="26"/>
          <w:szCs w:val="26"/>
          <w:rtl/>
          <w:lang w:val="en-US" w:bidi="ar-EG"/>
        </w:rPr>
        <w:t xml:space="preserve"> وترسيم المواد الكيميائية والرقابة الصارمة ورصد الواردات بتعزيز استدامة إزالة المواد الهيدروكلوروفلوروكربونية. ووثق تقرير استكمال المشروع للمرحلة الأولى من خطة إدارة إزالة المواد الهيدروكلوروفلوروكربونية عملية تفكيك 16 ماكينة رغاوي قائمة على المواد الهيدروكلوروفلوروكربونية والتخلص منها في المؤسسات الأربع التي غطتها المرحلة الأولى.</w:t>
      </w:r>
    </w:p>
    <w:p w:rsidR="002D51C0" w:rsidRPr="002D51C0" w:rsidRDefault="002D51C0" w:rsidP="00B66F57">
      <w:pPr>
        <w:pStyle w:val="StyleHeader4Para4Left0Firstline0"/>
        <w:keepNext/>
        <w:keepLines/>
        <w:numPr>
          <w:ilvl w:val="0"/>
          <w:numId w:val="0"/>
        </w:numPr>
        <w:tabs>
          <w:tab w:val="clear" w:pos="2880"/>
          <w:tab w:val="clear" w:pos="5760"/>
          <w:tab w:val="left" w:pos="720"/>
        </w:tabs>
        <w:bidi/>
        <w:spacing w:before="120"/>
        <w:jc w:val="lowKashida"/>
        <w:rPr>
          <w:sz w:val="26"/>
          <w:szCs w:val="26"/>
          <w:u w:val="single"/>
          <w:rtl/>
          <w:lang w:val="en-US" w:bidi="ar-EG"/>
        </w:rPr>
      </w:pPr>
      <w:r w:rsidRPr="002D51C0">
        <w:rPr>
          <w:rFonts w:hint="cs"/>
          <w:sz w:val="26"/>
          <w:szCs w:val="26"/>
          <w:u w:val="single"/>
          <w:rtl/>
          <w:lang w:val="en-US" w:bidi="ar-EG"/>
        </w:rPr>
        <w:lastRenderedPageBreak/>
        <w:t>الخلاصة</w:t>
      </w:r>
    </w:p>
    <w:p w:rsidR="002D51C0" w:rsidRDefault="002D51C0" w:rsidP="002D51C0">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24 -</w:t>
      </w:r>
      <w:r>
        <w:rPr>
          <w:sz w:val="26"/>
          <w:szCs w:val="26"/>
          <w:rtl/>
          <w:lang w:val="en-US" w:bidi="ar-EG"/>
        </w:rPr>
        <w:tab/>
      </w:r>
      <w:r>
        <w:rPr>
          <w:rFonts w:hint="cs"/>
          <w:sz w:val="26"/>
          <w:szCs w:val="26"/>
          <w:rtl/>
          <w:lang w:val="en-US" w:bidi="ar-EG"/>
        </w:rPr>
        <w:t xml:space="preserve">كان استهلاك البلد الذي تم التحقق منه أقل بنسبة 65 في المائة من خط الأساس للبلد للامتثال، كما أن نظام ترخيص وحصص الواردات في البلد </w:t>
      </w:r>
      <w:r w:rsidR="00390C03">
        <w:rPr>
          <w:rFonts w:hint="cs"/>
          <w:sz w:val="26"/>
          <w:szCs w:val="26"/>
          <w:rtl/>
          <w:lang w:val="en-US" w:bidi="ar-EG"/>
        </w:rPr>
        <w:t>يعمل</w:t>
      </w:r>
      <w:r>
        <w:rPr>
          <w:rFonts w:hint="cs"/>
          <w:sz w:val="26"/>
          <w:szCs w:val="26"/>
          <w:rtl/>
          <w:lang w:val="en-US" w:bidi="ar-EG"/>
        </w:rPr>
        <w:t xml:space="preserve"> بالفعل وسوف يمكّن من</w:t>
      </w:r>
      <w:r w:rsidR="00390C03">
        <w:rPr>
          <w:rFonts w:hint="cs"/>
          <w:sz w:val="26"/>
          <w:szCs w:val="26"/>
          <w:rtl/>
          <w:lang w:val="en-US" w:bidi="ar-EG"/>
        </w:rPr>
        <w:t xml:space="preserve"> تحقيق</w:t>
      </w:r>
      <w:r>
        <w:rPr>
          <w:rFonts w:hint="cs"/>
          <w:sz w:val="26"/>
          <w:szCs w:val="26"/>
          <w:rtl/>
          <w:lang w:val="en-US" w:bidi="ar-EG"/>
        </w:rPr>
        <w:t xml:space="preserve"> تخفيضات استهلاك المواد الهيدروكلوروفلوروكربونية قبل جدول الإزالة في بروتوكول مونتريال. وقد استكملت عمليات التحويل في قطاع تصنيع رغاوي البوليوريتان إلى السيكلوبنتان مما أدى إلى إزالة </w:t>
      </w:r>
      <w:r>
        <w:rPr>
          <w:sz w:val="26"/>
          <w:szCs w:val="26"/>
          <w:lang w:val="en-US" w:bidi="ar-EG"/>
        </w:rPr>
        <w:t>65.76</w:t>
      </w:r>
      <w:r>
        <w:rPr>
          <w:rFonts w:hint="cs"/>
          <w:sz w:val="26"/>
          <w:szCs w:val="26"/>
          <w:rtl/>
          <w:lang w:val="en-US" w:bidi="ar-EG"/>
        </w:rPr>
        <w:t xml:space="preserve"> طن متري (</w:t>
      </w:r>
      <w:r>
        <w:rPr>
          <w:sz w:val="26"/>
          <w:szCs w:val="26"/>
          <w:lang w:val="en-US" w:bidi="ar-EG"/>
        </w:rPr>
        <w:t>7.23</w:t>
      </w:r>
      <w:r>
        <w:rPr>
          <w:rFonts w:hint="cs"/>
          <w:sz w:val="26"/>
          <w:szCs w:val="26"/>
          <w:rtl/>
          <w:lang w:val="en-US" w:bidi="ar-EG"/>
        </w:rPr>
        <w:t xml:space="preserve"> طن من قدرات استنفاد الأوزون) من الهيدروكلوروفلوروكربون-141ب، على حين أن التحويل إلى المواد الهيدروفلوروأوليفانية قد تأخر بسبب الإتاحة التجارية المحدودة للمواد في السوق، وهي مسألة للبلد عليها سيطرة محدودة. وعلى حين أن الممارسة غير الآمنة لاستخدام الهيدروكلوروفلوروكربون-141ب في قطاع مكافحة الحريق مستمرة بعد فترة طويلة من الإزالة المتوقعة لهذه الممارسة، فإن الأنشطة المنفذة في خطة إدارة إزالة المواد الهيدروكلوروفلوروكربونية قد خفضت هذا الاستهلاك بدرجة كبيرة. وقد تم تنفيذ الحظر على واردات الهيدروكلوروفلوروكربون-141ب السائب وفي البوليولات سابقة الخلط بحلول 31 كانون الأول/ديسمبر 2020، على حين أن أنواع الحظر الأخرى التي كان من المتوقع تنفيذها قد تأخرت بسبب تجميعها في إطار قانون تنظيمي واحد. وتعتبر الأمانة </w:t>
      </w:r>
      <w:r w:rsidR="009238D7">
        <w:rPr>
          <w:rFonts w:hint="cs"/>
          <w:sz w:val="26"/>
          <w:szCs w:val="26"/>
          <w:rtl/>
          <w:lang w:val="en-US" w:bidi="ar-EG"/>
        </w:rPr>
        <w:t>استراتيجية</w:t>
      </w:r>
      <w:r>
        <w:rPr>
          <w:rFonts w:hint="cs"/>
          <w:sz w:val="26"/>
          <w:szCs w:val="26"/>
          <w:rtl/>
          <w:lang w:val="en-US" w:bidi="ar-EG"/>
        </w:rPr>
        <w:t xml:space="preserve"> تجميع التدابير </w:t>
      </w:r>
      <w:r w:rsidR="009238D7">
        <w:rPr>
          <w:rFonts w:hint="cs"/>
          <w:sz w:val="26"/>
          <w:szCs w:val="26"/>
          <w:rtl/>
          <w:lang w:val="en-US" w:bidi="ar-EG"/>
        </w:rPr>
        <w:t>التشريعية أمرا فعالا وبالتالي فإن التأخير في تنفيذ الحظر يبدو معقولا. ووصل مستوى صرف الأموال للشريحة الثانية إلى 23 في المائة و 53 في المائة للتمويل الشامل الموافق عليه. والأنشطة التي تمت في قطاع الخدمة جزء من إطار متجانس مخطط بدقة لتعزيز القطاع، و</w:t>
      </w:r>
      <w:r w:rsidR="00390C03">
        <w:rPr>
          <w:rFonts w:hint="cs"/>
          <w:sz w:val="26"/>
          <w:szCs w:val="26"/>
          <w:rtl/>
          <w:lang w:val="en-US" w:bidi="ar-EG"/>
        </w:rPr>
        <w:t>ت</w:t>
      </w:r>
      <w:r w:rsidR="009238D7">
        <w:rPr>
          <w:rFonts w:hint="cs"/>
          <w:sz w:val="26"/>
          <w:szCs w:val="26"/>
          <w:rtl/>
          <w:lang w:val="en-US" w:bidi="ar-EG"/>
        </w:rPr>
        <w:t xml:space="preserve">يسير إدخال بدائل صديقة للبيئة ذات إمكانية احترار عالمي منخفضة ومن المتوقع أن تضمن استدامة طويلة المدى للأنشطة وأن تستمر في مساعدة البلد على الوفاء </w:t>
      </w:r>
      <w:r w:rsidR="009238D7" w:rsidRPr="00390C03">
        <w:rPr>
          <w:rFonts w:hint="cs"/>
          <w:color w:val="000000" w:themeColor="text1"/>
          <w:sz w:val="26"/>
          <w:szCs w:val="26"/>
          <w:rtl/>
          <w:lang w:val="en-US" w:bidi="ar-EG"/>
        </w:rPr>
        <w:t xml:space="preserve">بالتزامات الامتثال </w:t>
      </w:r>
      <w:r w:rsidR="009238D7">
        <w:rPr>
          <w:rFonts w:hint="cs"/>
          <w:sz w:val="26"/>
          <w:szCs w:val="26"/>
          <w:rtl/>
          <w:lang w:val="en-US" w:bidi="ar-EG"/>
        </w:rPr>
        <w:t>بموجب البروتوكول.</w:t>
      </w:r>
    </w:p>
    <w:p w:rsidR="009238D7" w:rsidRPr="009238D7" w:rsidRDefault="009238D7" w:rsidP="009238D7">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9238D7">
        <w:rPr>
          <w:rFonts w:hint="cs"/>
          <w:i/>
          <w:iCs/>
          <w:sz w:val="26"/>
          <w:szCs w:val="26"/>
          <w:rtl/>
          <w:lang w:val="en-US" w:bidi="ar-EG"/>
        </w:rPr>
        <w:t>التوصية</w:t>
      </w:r>
    </w:p>
    <w:p w:rsidR="009238D7" w:rsidRPr="00AD39A6" w:rsidRDefault="009238D7" w:rsidP="00782747">
      <w:pPr>
        <w:pStyle w:val="StyleHeader4Para4Left0Firstline0"/>
        <w:numPr>
          <w:ilvl w:val="0"/>
          <w:numId w:val="0"/>
        </w:numPr>
        <w:tabs>
          <w:tab w:val="clear" w:pos="2880"/>
          <w:tab w:val="clear" w:pos="5760"/>
          <w:tab w:val="left" w:pos="720"/>
        </w:tabs>
        <w:bidi/>
        <w:spacing w:before="120"/>
        <w:jc w:val="lowKashida"/>
        <w:rPr>
          <w:spacing w:val="4"/>
          <w:sz w:val="26"/>
          <w:szCs w:val="26"/>
          <w:lang w:val="en-US" w:bidi="ar-EG"/>
        </w:rPr>
      </w:pPr>
      <w:r w:rsidRPr="00AD39A6">
        <w:rPr>
          <w:rFonts w:hint="cs"/>
          <w:spacing w:val="4"/>
          <w:sz w:val="26"/>
          <w:szCs w:val="26"/>
          <w:rtl/>
          <w:lang w:val="en-US" w:bidi="ar-EG"/>
        </w:rPr>
        <w:t>25 -</w:t>
      </w:r>
      <w:r w:rsidRPr="00AD39A6">
        <w:rPr>
          <w:spacing w:val="4"/>
          <w:sz w:val="26"/>
          <w:szCs w:val="26"/>
          <w:rtl/>
          <w:lang w:val="en-US" w:bidi="ar-EG"/>
        </w:rPr>
        <w:tab/>
      </w:r>
      <w:r w:rsidRPr="00AD39A6">
        <w:rPr>
          <w:rFonts w:hint="cs"/>
          <w:spacing w:val="4"/>
          <w:sz w:val="26"/>
          <w:szCs w:val="26"/>
          <w:rtl/>
          <w:lang w:val="en-US" w:bidi="ar-EG"/>
        </w:rPr>
        <w:t xml:space="preserve">توصي أمانة الصندوق أن تأخذ اللجنة التنفيذية علما بالتقرير المرحلي بشأن تنفيذ الشريحة الثانية من المرحلة </w:t>
      </w:r>
      <w:r w:rsidR="00782747" w:rsidRPr="00AD39A6">
        <w:rPr>
          <w:rFonts w:hint="cs"/>
          <w:spacing w:val="4"/>
          <w:sz w:val="26"/>
          <w:szCs w:val="26"/>
          <w:rtl/>
          <w:lang w:val="en-US" w:bidi="ar-EG"/>
        </w:rPr>
        <w:t>الثانية</w:t>
      </w:r>
      <w:r w:rsidRPr="00AD39A6">
        <w:rPr>
          <w:rFonts w:hint="cs"/>
          <w:spacing w:val="4"/>
          <w:sz w:val="26"/>
          <w:szCs w:val="26"/>
          <w:rtl/>
          <w:lang w:val="en-US" w:bidi="ar-EG"/>
        </w:rPr>
        <w:t xml:space="preserve"> </w:t>
      </w:r>
      <w:r w:rsidRPr="00AD39A6">
        <w:rPr>
          <w:rFonts w:hint="cs"/>
          <w:spacing w:val="4"/>
          <w:sz w:val="26"/>
          <w:szCs w:val="26"/>
          <w:rtl/>
          <w:lang w:val="en-US" w:bidi="ar-EG"/>
        </w:rPr>
        <w:t xml:space="preserve">من خطة إدارة إزالة المواد الهيدروكلوروفلوروكربونية لكولومبيا؛ وتوصي أيضا بالموافقة الشاملة على الشريحة الثالثة من المرحلة </w:t>
      </w:r>
      <w:r w:rsidR="00782747" w:rsidRPr="00AD39A6">
        <w:rPr>
          <w:rFonts w:hint="cs"/>
          <w:spacing w:val="4"/>
          <w:sz w:val="26"/>
          <w:szCs w:val="26"/>
          <w:rtl/>
          <w:lang w:val="en-US" w:bidi="ar-EG"/>
        </w:rPr>
        <w:t>الثانية</w:t>
      </w:r>
      <w:r w:rsidRPr="00AD39A6">
        <w:rPr>
          <w:rFonts w:hint="cs"/>
          <w:spacing w:val="4"/>
          <w:sz w:val="26"/>
          <w:szCs w:val="26"/>
          <w:rtl/>
          <w:lang w:val="en-US" w:bidi="ar-EG"/>
        </w:rPr>
        <w:t xml:space="preserve"> </w:t>
      </w:r>
      <w:r w:rsidRPr="00AD39A6">
        <w:rPr>
          <w:rFonts w:hint="cs"/>
          <w:spacing w:val="4"/>
          <w:sz w:val="26"/>
          <w:szCs w:val="26"/>
          <w:rtl/>
          <w:lang w:val="en-US" w:bidi="ar-EG"/>
        </w:rPr>
        <w:t>من خطة كولومبيا، وخطة تنفيذ الشريحة المقابلة للفترة 2019</w:t>
      </w:r>
      <w:r w:rsidR="00782747">
        <w:rPr>
          <w:spacing w:val="4"/>
          <w:sz w:val="26"/>
          <w:szCs w:val="26"/>
          <w:rtl/>
          <w:lang w:val="en-US" w:bidi="ar-EG"/>
        </w:rPr>
        <w:noBreakHyphen/>
      </w:r>
      <w:r w:rsidRPr="00AD39A6">
        <w:rPr>
          <w:rFonts w:hint="cs"/>
          <w:spacing w:val="4"/>
          <w:sz w:val="26"/>
          <w:szCs w:val="26"/>
          <w:rtl/>
          <w:lang w:val="en-US" w:bidi="ar-EG"/>
        </w:rPr>
        <w:t>2021</w:t>
      </w:r>
      <w:r w:rsidRPr="00AD39A6">
        <w:rPr>
          <w:spacing w:val="4"/>
          <w:sz w:val="26"/>
          <w:szCs w:val="26"/>
          <w:lang w:val="en-US" w:bidi="ar-EG"/>
        </w:rPr>
        <w:t xml:space="preserve"> </w:t>
      </w:r>
      <w:r w:rsidRPr="00AD39A6">
        <w:rPr>
          <w:rFonts w:hint="cs"/>
          <w:spacing w:val="4"/>
          <w:sz w:val="26"/>
          <w:szCs w:val="26"/>
          <w:rtl/>
          <w:lang w:val="en-US" w:bidi="ar-EG"/>
        </w:rPr>
        <w:t xml:space="preserve"> على مستويات التمويل المبينة في الجدول أدناه، على أساس أن يقدم يوئنديبي تقريرا بشأن تكاليف التشغيل الإضافية الفعلية التي تم تكبدها خلال التحويل إلى تركيبات مخفضة من الهيدروفلوروأوليفان في قطاع الرغاوي عند طلب الشريحة الرابعة والأخيرة من المرحلة الثانية من الخطة، وأنه إذا ما كانت تكلفة التشغيل الإضافية أقل من </w:t>
      </w:r>
      <w:r w:rsidRPr="00AD39A6">
        <w:rPr>
          <w:spacing w:val="4"/>
          <w:sz w:val="26"/>
          <w:szCs w:val="26"/>
          <w:lang w:val="en-US" w:bidi="ar-EG"/>
        </w:rPr>
        <w:t>2.13</w:t>
      </w:r>
      <w:r w:rsidRPr="00AD39A6">
        <w:rPr>
          <w:rFonts w:hint="cs"/>
          <w:spacing w:val="4"/>
          <w:sz w:val="26"/>
          <w:szCs w:val="26"/>
          <w:rtl/>
          <w:lang w:val="en-US" w:bidi="ar-EG"/>
        </w:rPr>
        <w:t xml:space="preserve"> دولار أمريكي للكغم فإن حكومة كولومبيا سوف تعيد الأموال المعنية إلى الصندوق المتعدد الأطراف بموجب المقررين 75/44 (ب) (</w:t>
      </w:r>
      <w:r w:rsidR="00390C03" w:rsidRPr="00AD39A6">
        <w:rPr>
          <w:rFonts w:hint="cs"/>
          <w:spacing w:val="4"/>
          <w:sz w:val="26"/>
          <w:szCs w:val="26"/>
          <w:rtl/>
          <w:lang w:val="en-US" w:bidi="ar-EG"/>
        </w:rPr>
        <w:t>6</w:t>
      </w:r>
      <w:r w:rsidRPr="00AD39A6">
        <w:rPr>
          <w:rFonts w:hint="cs"/>
          <w:spacing w:val="4"/>
          <w:sz w:val="26"/>
          <w:szCs w:val="26"/>
          <w:rtl/>
          <w:lang w:val="en-US" w:bidi="ar-EG"/>
        </w:rPr>
        <w:t>) و 81/34 (أ):</w:t>
      </w:r>
    </w:p>
    <w:tbl>
      <w:tblPr>
        <w:bidiVisual/>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9238D7" w:rsidRPr="0011020F" w:rsidTr="009238D7">
        <w:tc>
          <w:tcPr>
            <w:tcW w:w="540" w:type="dxa"/>
          </w:tcPr>
          <w:p w:rsidR="009238D7" w:rsidRPr="0011020F" w:rsidRDefault="009238D7" w:rsidP="009238D7">
            <w:pPr>
              <w:bidi/>
              <w:jc w:val="center"/>
              <w:rPr>
                <w:b/>
                <w:bCs/>
                <w:sz w:val="20"/>
                <w:lang w:val="en-CA"/>
              </w:rPr>
            </w:pPr>
          </w:p>
        </w:tc>
        <w:tc>
          <w:tcPr>
            <w:tcW w:w="4320" w:type="dxa"/>
          </w:tcPr>
          <w:p w:rsidR="009238D7" w:rsidRPr="0011020F" w:rsidRDefault="009238D7" w:rsidP="009238D7">
            <w:pPr>
              <w:bidi/>
              <w:jc w:val="center"/>
              <w:rPr>
                <w:b/>
                <w:bCs/>
                <w:sz w:val="20"/>
                <w:lang w:val="en-CA"/>
              </w:rPr>
            </w:pPr>
            <w:r>
              <w:rPr>
                <w:rFonts w:hint="cs"/>
                <w:b/>
                <w:bCs/>
                <w:sz w:val="20"/>
                <w:rtl/>
                <w:lang w:val="en-CA"/>
              </w:rPr>
              <w:t>عنوان المشروع</w:t>
            </w:r>
          </w:p>
        </w:tc>
        <w:tc>
          <w:tcPr>
            <w:tcW w:w="1461" w:type="dxa"/>
            <w:tcMar>
              <w:left w:w="29" w:type="dxa"/>
              <w:right w:w="29" w:type="dxa"/>
            </w:tcMar>
          </w:tcPr>
          <w:p w:rsidR="009238D7" w:rsidRPr="0011020F" w:rsidRDefault="009238D7" w:rsidP="009238D7">
            <w:pPr>
              <w:bidi/>
              <w:jc w:val="center"/>
              <w:rPr>
                <w:b/>
                <w:bCs/>
                <w:sz w:val="20"/>
                <w:lang w:val="en-CA"/>
              </w:rPr>
            </w:pPr>
            <w:r>
              <w:rPr>
                <w:rFonts w:hint="cs"/>
                <w:b/>
                <w:bCs/>
                <w:sz w:val="20"/>
                <w:rtl/>
                <w:lang w:val="en-CA"/>
              </w:rPr>
              <w:t>تمويل المشروع (دولار أمريكي)</w:t>
            </w:r>
          </w:p>
        </w:tc>
        <w:tc>
          <w:tcPr>
            <w:tcW w:w="1461" w:type="dxa"/>
            <w:tcMar>
              <w:left w:w="29" w:type="dxa"/>
              <w:right w:w="29" w:type="dxa"/>
            </w:tcMar>
          </w:tcPr>
          <w:p w:rsidR="009238D7" w:rsidRPr="0011020F" w:rsidRDefault="009238D7" w:rsidP="009238D7">
            <w:pPr>
              <w:bidi/>
              <w:jc w:val="center"/>
              <w:rPr>
                <w:b/>
                <w:bCs/>
                <w:sz w:val="20"/>
                <w:lang w:val="en-CA"/>
              </w:rPr>
            </w:pPr>
            <w:r>
              <w:rPr>
                <w:rFonts w:hint="cs"/>
                <w:b/>
                <w:bCs/>
                <w:sz w:val="20"/>
                <w:rtl/>
                <w:lang w:val="en-CA"/>
              </w:rPr>
              <w:t>تكاليف الدعم</w:t>
            </w:r>
            <w:r>
              <w:rPr>
                <w:b/>
                <w:bCs/>
                <w:sz w:val="20"/>
                <w:rtl/>
                <w:lang w:val="en-CA"/>
              </w:rPr>
              <w:br/>
            </w:r>
            <w:r>
              <w:rPr>
                <w:rFonts w:hint="cs"/>
                <w:b/>
                <w:bCs/>
                <w:sz w:val="20"/>
                <w:rtl/>
                <w:lang w:val="en-CA"/>
              </w:rPr>
              <w:t>(دولار أمريكي)</w:t>
            </w:r>
          </w:p>
        </w:tc>
        <w:tc>
          <w:tcPr>
            <w:tcW w:w="1461" w:type="dxa"/>
            <w:tcMar>
              <w:left w:w="29" w:type="dxa"/>
              <w:right w:w="29" w:type="dxa"/>
            </w:tcMar>
          </w:tcPr>
          <w:p w:rsidR="009238D7" w:rsidRPr="0011020F" w:rsidRDefault="009238D7" w:rsidP="009238D7">
            <w:pPr>
              <w:bidi/>
              <w:jc w:val="center"/>
              <w:rPr>
                <w:b/>
                <w:bCs/>
                <w:sz w:val="20"/>
                <w:lang w:val="en-CA"/>
              </w:rPr>
            </w:pPr>
            <w:r>
              <w:rPr>
                <w:rFonts w:hint="cs"/>
                <w:b/>
                <w:bCs/>
                <w:sz w:val="20"/>
                <w:rtl/>
                <w:lang w:val="en-CA"/>
              </w:rPr>
              <w:t>الوكالة المنفذة</w:t>
            </w:r>
          </w:p>
        </w:tc>
      </w:tr>
      <w:tr w:rsidR="009238D7" w:rsidRPr="0011020F" w:rsidTr="009238D7">
        <w:tc>
          <w:tcPr>
            <w:tcW w:w="540" w:type="dxa"/>
          </w:tcPr>
          <w:p w:rsidR="009238D7" w:rsidRPr="0011020F" w:rsidRDefault="009238D7" w:rsidP="009238D7">
            <w:pPr>
              <w:bidi/>
              <w:rPr>
                <w:sz w:val="20"/>
                <w:lang w:val="en-CA"/>
              </w:rPr>
            </w:pPr>
            <w:r>
              <w:rPr>
                <w:rFonts w:hint="cs"/>
                <w:sz w:val="20"/>
                <w:rtl/>
                <w:lang w:val="en-CA"/>
              </w:rPr>
              <w:t>(أ)</w:t>
            </w:r>
          </w:p>
        </w:tc>
        <w:tc>
          <w:tcPr>
            <w:tcW w:w="4320" w:type="dxa"/>
          </w:tcPr>
          <w:p w:rsidR="009238D7" w:rsidRPr="00283C2E" w:rsidRDefault="009238D7" w:rsidP="009238D7">
            <w:pPr>
              <w:bidi/>
              <w:jc w:val="left"/>
              <w:rPr>
                <w:sz w:val="22"/>
                <w:szCs w:val="22"/>
                <w:lang w:val="en-CA"/>
              </w:rPr>
            </w:pPr>
            <w:r w:rsidRPr="00283C2E">
              <w:rPr>
                <w:rFonts w:hint="cs"/>
                <w:sz w:val="22"/>
                <w:szCs w:val="22"/>
                <w:rtl/>
                <w:lang w:val="en-CA"/>
              </w:rPr>
              <w:t>خطة إدارة إزالة المواد الهيدروكلوروفلوروكربونية (المرحلة الأولى، الشريحة الثالثة)</w:t>
            </w:r>
          </w:p>
        </w:tc>
        <w:tc>
          <w:tcPr>
            <w:tcW w:w="1461" w:type="dxa"/>
          </w:tcPr>
          <w:p w:rsidR="009238D7" w:rsidRPr="0011020F" w:rsidRDefault="009238D7" w:rsidP="003F65B2">
            <w:pPr>
              <w:jc w:val="right"/>
              <w:rPr>
                <w:sz w:val="20"/>
                <w:lang w:val="en-CA"/>
              </w:rPr>
            </w:pPr>
            <w:r w:rsidRPr="0011020F">
              <w:rPr>
                <w:sz w:val="20"/>
                <w:lang w:val="en-CA"/>
              </w:rPr>
              <w:t>635,749</w:t>
            </w:r>
          </w:p>
        </w:tc>
        <w:tc>
          <w:tcPr>
            <w:tcW w:w="1461" w:type="dxa"/>
          </w:tcPr>
          <w:p w:rsidR="009238D7" w:rsidRPr="0011020F" w:rsidRDefault="009238D7" w:rsidP="003F65B2">
            <w:pPr>
              <w:jc w:val="right"/>
              <w:rPr>
                <w:sz w:val="20"/>
                <w:lang w:val="en-CA"/>
              </w:rPr>
            </w:pPr>
            <w:r w:rsidRPr="0011020F">
              <w:rPr>
                <w:sz w:val="20"/>
                <w:lang w:val="en-CA"/>
              </w:rPr>
              <w:t>44,502</w:t>
            </w:r>
          </w:p>
        </w:tc>
        <w:tc>
          <w:tcPr>
            <w:tcW w:w="1461" w:type="dxa"/>
          </w:tcPr>
          <w:p w:rsidR="009238D7" w:rsidRPr="00283C2E" w:rsidRDefault="009238D7" w:rsidP="003F65B2">
            <w:pPr>
              <w:jc w:val="center"/>
              <w:rPr>
                <w:sz w:val="22"/>
                <w:szCs w:val="22"/>
                <w:lang w:val="en-CA"/>
              </w:rPr>
            </w:pPr>
            <w:r w:rsidRPr="00283C2E">
              <w:rPr>
                <w:rFonts w:hint="cs"/>
                <w:sz w:val="22"/>
                <w:szCs w:val="22"/>
                <w:rtl/>
                <w:lang w:val="en-CA"/>
              </w:rPr>
              <w:t>يوئنديبي</w:t>
            </w:r>
          </w:p>
        </w:tc>
      </w:tr>
      <w:tr w:rsidR="009238D7" w:rsidRPr="0011020F" w:rsidTr="009238D7">
        <w:tc>
          <w:tcPr>
            <w:tcW w:w="540" w:type="dxa"/>
          </w:tcPr>
          <w:p w:rsidR="009238D7" w:rsidRPr="0011020F" w:rsidRDefault="009238D7" w:rsidP="009238D7">
            <w:pPr>
              <w:bidi/>
              <w:rPr>
                <w:sz w:val="20"/>
                <w:lang w:val="en-CA"/>
              </w:rPr>
            </w:pPr>
            <w:r w:rsidRPr="0011020F">
              <w:rPr>
                <w:sz w:val="20"/>
                <w:lang w:val="en-CA"/>
              </w:rPr>
              <w:t>(b)</w:t>
            </w:r>
          </w:p>
        </w:tc>
        <w:tc>
          <w:tcPr>
            <w:tcW w:w="4320" w:type="dxa"/>
          </w:tcPr>
          <w:p w:rsidR="009238D7" w:rsidRPr="00283C2E" w:rsidRDefault="009238D7" w:rsidP="009238D7">
            <w:pPr>
              <w:bidi/>
              <w:jc w:val="left"/>
              <w:rPr>
                <w:sz w:val="22"/>
                <w:szCs w:val="22"/>
                <w:lang w:val="en-CA"/>
              </w:rPr>
            </w:pPr>
            <w:r w:rsidRPr="00283C2E">
              <w:rPr>
                <w:rFonts w:hint="cs"/>
                <w:sz w:val="22"/>
                <w:szCs w:val="22"/>
                <w:rtl/>
                <w:lang w:val="en-CA"/>
              </w:rPr>
              <w:t>خطة إدارة إزالة المواد الهيدروكلوروفلوروكربونية (المرحلة الأولى، الشريحة الثالثة)</w:t>
            </w:r>
          </w:p>
        </w:tc>
        <w:tc>
          <w:tcPr>
            <w:tcW w:w="1461" w:type="dxa"/>
          </w:tcPr>
          <w:p w:rsidR="009238D7" w:rsidRPr="0011020F" w:rsidRDefault="009238D7" w:rsidP="003F65B2">
            <w:pPr>
              <w:jc w:val="right"/>
              <w:rPr>
                <w:sz w:val="20"/>
                <w:lang w:val="en-CA"/>
              </w:rPr>
            </w:pPr>
            <w:r w:rsidRPr="0011020F">
              <w:rPr>
                <w:sz w:val="20"/>
                <w:lang w:val="en-CA"/>
              </w:rPr>
              <w:t>50,000</w:t>
            </w:r>
          </w:p>
        </w:tc>
        <w:tc>
          <w:tcPr>
            <w:tcW w:w="1461" w:type="dxa"/>
          </w:tcPr>
          <w:p w:rsidR="009238D7" w:rsidRPr="0011020F" w:rsidRDefault="009238D7" w:rsidP="003F65B2">
            <w:pPr>
              <w:jc w:val="right"/>
              <w:rPr>
                <w:sz w:val="20"/>
                <w:lang w:val="en-CA"/>
              </w:rPr>
            </w:pPr>
            <w:r w:rsidRPr="0011020F">
              <w:rPr>
                <w:sz w:val="20"/>
                <w:lang w:val="en-CA"/>
              </w:rPr>
              <w:t>6,500</w:t>
            </w:r>
          </w:p>
        </w:tc>
        <w:tc>
          <w:tcPr>
            <w:tcW w:w="1461" w:type="dxa"/>
          </w:tcPr>
          <w:p w:rsidR="009238D7" w:rsidRPr="00283C2E" w:rsidRDefault="009238D7" w:rsidP="003F65B2">
            <w:pPr>
              <w:jc w:val="center"/>
              <w:rPr>
                <w:sz w:val="22"/>
                <w:szCs w:val="22"/>
                <w:lang w:val="en-CA"/>
              </w:rPr>
            </w:pPr>
            <w:r w:rsidRPr="00283C2E">
              <w:rPr>
                <w:rFonts w:hint="cs"/>
                <w:sz w:val="22"/>
                <w:szCs w:val="22"/>
                <w:rtl/>
                <w:lang w:val="en-CA"/>
              </w:rPr>
              <w:t>يونيب</w:t>
            </w:r>
          </w:p>
        </w:tc>
      </w:tr>
    </w:tbl>
    <w:p w:rsidR="009238D7" w:rsidRPr="0011020F" w:rsidRDefault="009238D7" w:rsidP="009238D7">
      <w:pPr>
        <w:rPr>
          <w:lang w:val="en-CA"/>
        </w:rPr>
      </w:pPr>
    </w:p>
    <w:p w:rsidR="009238D7" w:rsidRPr="0011020F" w:rsidRDefault="009238D7" w:rsidP="009238D7">
      <w:pPr>
        <w:tabs>
          <w:tab w:val="left" w:pos="8280"/>
        </w:tabs>
        <w:rPr>
          <w:lang w:val="en-CA"/>
        </w:r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9238D7" w:rsidRPr="0011020F" w:rsidTr="003F65B2">
        <w:tc>
          <w:tcPr>
            <w:tcW w:w="1915" w:type="dxa"/>
          </w:tcPr>
          <w:p w:rsidR="009238D7" w:rsidRPr="0011020F" w:rsidRDefault="009238D7" w:rsidP="003F65B2">
            <w:pPr>
              <w:tabs>
                <w:tab w:val="left" w:pos="8280"/>
              </w:tabs>
              <w:rPr>
                <w:lang w:val="en-CA"/>
              </w:rPr>
            </w:pPr>
          </w:p>
        </w:tc>
        <w:tc>
          <w:tcPr>
            <w:tcW w:w="1915" w:type="dxa"/>
          </w:tcPr>
          <w:p w:rsidR="009238D7" w:rsidRPr="0011020F" w:rsidRDefault="009238D7" w:rsidP="003F65B2">
            <w:pPr>
              <w:tabs>
                <w:tab w:val="left" w:pos="8280"/>
              </w:tabs>
              <w:rPr>
                <w:lang w:val="en-CA"/>
              </w:rPr>
            </w:pPr>
          </w:p>
        </w:tc>
        <w:tc>
          <w:tcPr>
            <w:tcW w:w="1915" w:type="dxa"/>
            <w:tcBorders>
              <w:bottom w:val="single" w:sz="4" w:space="0" w:color="auto"/>
            </w:tcBorders>
          </w:tcPr>
          <w:p w:rsidR="009238D7" w:rsidRPr="0011020F" w:rsidRDefault="009238D7" w:rsidP="003F65B2">
            <w:pPr>
              <w:tabs>
                <w:tab w:val="left" w:pos="8280"/>
              </w:tabs>
              <w:rPr>
                <w:lang w:val="en-CA"/>
              </w:rPr>
            </w:pPr>
          </w:p>
        </w:tc>
        <w:tc>
          <w:tcPr>
            <w:tcW w:w="1915" w:type="dxa"/>
          </w:tcPr>
          <w:p w:rsidR="009238D7" w:rsidRPr="0011020F" w:rsidRDefault="009238D7" w:rsidP="003F65B2">
            <w:pPr>
              <w:tabs>
                <w:tab w:val="left" w:pos="8280"/>
              </w:tabs>
              <w:rPr>
                <w:lang w:val="en-CA"/>
              </w:rPr>
            </w:pPr>
          </w:p>
        </w:tc>
        <w:tc>
          <w:tcPr>
            <w:tcW w:w="1916" w:type="dxa"/>
          </w:tcPr>
          <w:p w:rsidR="009238D7" w:rsidRPr="0011020F" w:rsidRDefault="009238D7" w:rsidP="003F65B2">
            <w:pPr>
              <w:tabs>
                <w:tab w:val="left" w:pos="8280"/>
              </w:tabs>
              <w:rPr>
                <w:lang w:val="en-CA"/>
              </w:rPr>
            </w:pPr>
          </w:p>
        </w:tc>
      </w:tr>
    </w:tbl>
    <w:p w:rsidR="009238D7" w:rsidRPr="0011020F" w:rsidRDefault="009238D7" w:rsidP="009238D7">
      <w:pPr>
        <w:tabs>
          <w:tab w:val="left" w:pos="8280"/>
        </w:tabs>
        <w:rPr>
          <w:lang w:val="en-CA"/>
        </w:rPr>
      </w:pPr>
    </w:p>
    <w:p w:rsidR="009238D7" w:rsidRPr="003624CF" w:rsidRDefault="009238D7" w:rsidP="009238D7">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p>
    <w:sectPr w:rsidR="009238D7" w:rsidRPr="003624C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29" w:rsidRDefault="00655A29" w:rsidP="00F67183">
      <w:pPr>
        <w:bidi/>
      </w:pPr>
      <w:r>
        <w:separator/>
      </w:r>
    </w:p>
  </w:endnote>
  <w:endnote w:type="continuationSeparator" w:id="0">
    <w:p w:rsidR="00655A29" w:rsidRDefault="00655A29"/>
  </w:endnote>
  <w:endnote w:type="continuationNotice" w:id="1">
    <w:p w:rsidR="00655A29" w:rsidRDefault="00655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B2" w:rsidRDefault="003F65B2">
    <w:pPr>
      <w:jc w:val="center"/>
    </w:pPr>
    <w:r>
      <w:fldChar w:fldCharType="begin"/>
    </w:r>
    <w:r>
      <w:instrText xml:space="preserve"> PAGE </w:instrText>
    </w:r>
    <w:r>
      <w:fldChar w:fldCharType="separate"/>
    </w:r>
    <w:r w:rsidR="00685E53">
      <w:rPr>
        <w:noProof/>
      </w:rPr>
      <w:t>10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B2" w:rsidRDefault="003F65B2">
    <w:pPr>
      <w:jc w:val="center"/>
    </w:pPr>
    <w:r>
      <w:fldChar w:fldCharType="begin"/>
    </w:r>
    <w:r>
      <w:instrText xml:space="preserve"> PAGE </w:instrText>
    </w:r>
    <w:r>
      <w:fldChar w:fldCharType="separate"/>
    </w:r>
    <w:r w:rsidR="00685E53">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rsidR="003F65B2" w:rsidRDefault="003F65B2">
        <w:pPr>
          <w:pStyle w:val="Footer"/>
          <w:jc w:val="center"/>
        </w:pPr>
        <w:r>
          <w:fldChar w:fldCharType="begin"/>
        </w:r>
        <w:r>
          <w:instrText xml:space="preserve"> PAGE   \* MERGEFORMAT </w:instrText>
        </w:r>
        <w:r>
          <w:fldChar w:fldCharType="separate"/>
        </w:r>
        <w:r w:rsidR="00283C2E">
          <w:rPr>
            <w:noProof/>
          </w:rPr>
          <w:t>1</w:t>
        </w:r>
        <w:r>
          <w:rPr>
            <w:noProof/>
          </w:rPr>
          <w:fldChar w:fldCharType="end"/>
        </w:r>
      </w:p>
    </w:sdtContent>
  </w:sdt>
  <w:p w:rsidR="003F65B2" w:rsidRDefault="003F6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29" w:rsidRPr="007A35A7" w:rsidRDefault="00655A29" w:rsidP="009D6713">
      <w:pPr>
        <w:pStyle w:val="Footer"/>
        <w:bidi/>
        <w:spacing w:after="80"/>
        <w:ind w:left="792"/>
        <w:jc w:val="left"/>
        <w:rPr>
          <w:b/>
          <w:sz w:val="16"/>
        </w:rPr>
      </w:pPr>
      <w:r>
        <w:rPr>
          <w:rFonts w:hint="cs"/>
          <w:b/>
          <w:sz w:val="16"/>
          <w:rtl/>
        </w:rPr>
        <w:t>____</w:t>
      </w:r>
      <w:r w:rsidRPr="007A35A7">
        <w:rPr>
          <w:b/>
          <w:sz w:val="16"/>
          <w:rtl/>
        </w:rPr>
        <w:t>__________</w:t>
      </w:r>
    </w:p>
  </w:footnote>
  <w:footnote w:type="continuationSeparator" w:id="0">
    <w:p w:rsidR="00655A29" w:rsidRPr="007A35A7" w:rsidRDefault="00655A29" w:rsidP="009D6713">
      <w:pPr>
        <w:pStyle w:val="Footer"/>
        <w:bidi/>
        <w:spacing w:after="80"/>
        <w:ind w:left="792"/>
        <w:jc w:val="left"/>
        <w:rPr>
          <w:b/>
          <w:sz w:val="16"/>
        </w:rPr>
      </w:pPr>
      <w:r>
        <w:rPr>
          <w:rFonts w:hint="cs"/>
          <w:b/>
          <w:sz w:val="16"/>
          <w:rtl/>
        </w:rPr>
        <w:t>_____</w:t>
      </w:r>
      <w:r w:rsidRPr="007A35A7">
        <w:rPr>
          <w:b/>
          <w:sz w:val="16"/>
          <w:rtl/>
        </w:rPr>
        <w:t>__________</w:t>
      </w:r>
    </w:p>
  </w:footnote>
  <w:footnote w:type="continuationNotice" w:id="1">
    <w:p w:rsidR="00655A29" w:rsidRDefault="00655A29"/>
  </w:footnote>
  <w:footnote w:id="2">
    <w:p w:rsidR="003F65B2" w:rsidRDefault="003F65B2" w:rsidP="004B1960">
      <w:pPr>
        <w:pStyle w:val="FootnoteText"/>
        <w:bidi/>
        <w:rPr>
          <w:rtl/>
          <w:lang w:bidi="ar-EG"/>
        </w:rPr>
      </w:pPr>
      <w:r>
        <w:rPr>
          <w:rStyle w:val="FootnoteReference"/>
        </w:rPr>
        <w:footnoteRef/>
      </w:r>
      <w:r>
        <w:rPr>
          <w:rFonts w:hint="cs"/>
          <w:sz w:val="18"/>
          <w:szCs w:val="18"/>
          <w:rtl/>
          <w:lang w:val="en-CA"/>
        </w:rPr>
        <w:t xml:space="preserve"> حسب رسالة مؤرخة في أيلول/سبتمبر 2019 من وزوارة البيئة والتنمية المستدامة في كولومبيا إلى يوئنديبي.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77" w:rsidRDefault="00685E53" w:rsidP="00AB2F77">
    <w:pPr>
      <w:jc w:val="right"/>
      <w:rPr>
        <w:rtl/>
      </w:rPr>
    </w:pPr>
    <w:r>
      <w:fldChar w:fldCharType="begin"/>
    </w:r>
    <w:r>
      <w:instrText xml:space="preserve"> DOCPROPERTY "Document number"  \* MERGEFORMAT </w:instrText>
    </w:r>
    <w:r>
      <w:fldChar w:fldCharType="separate"/>
    </w:r>
    <w:r w:rsidR="00AB2F77">
      <w:t>UNEP/</w:t>
    </w:r>
    <w:proofErr w:type="spellStart"/>
    <w:r w:rsidR="00AB2F77">
      <w:t>OzL.Pro</w:t>
    </w:r>
    <w:proofErr w:type="spellEnd"/>
    <w:r w:rsidR="00AB2F77">
      <w:t>/</w:t>
    </w:r>
    <w:proofErr w:type="spellStart"/>
    <w:r w:rsidR="00AB2F77">
      <w:t>ExCom</w:t>
    </w:r>
    <w:proofErr w:type="spellEnd"/>
    <w:r w:rsidR="00AB2F77">
      <w:t>/84/43</w:t>
    </w:r>
    <w:r>
      <w:fldChar w:fldCharType="end"/>
    </w:r>
  </w:p>
  <w:p w:rsidR="003F65B2" w:rsidRDefault="003F65B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77" w:rsidRDefault="00685E53" w:rsidP="00AB2F77">
    <w:pPr>
      <w:rPr>
        <w:rtl/>
      </w:rPr>
    </w:pPr>
    <w:r>
      <w:fldChar w:fldCharType="begin"/>
    </w:r>
    <w:r>
      <w:instrText xml:space="preserve"> DOCPROPERTY "Document number"  \* MERGEFORMAT </w:instrText>
    </w:r>
    <w:r>
      <w:fldChar w:fldCharType="separate"/>
    </w:r>
    <w:r w:rsidR="00AB2F77">
      <w:t>UNEP/</w:t>
    </w:r>
    <w:proofErr w:type="spellStart"/>
    <w:r w:rsidR="00AB2F77">
      <w:t>OzL.Pro</w:t>
    </w:r>
    <w:proofErr w:type="spellEnd"/>
    <w:r w:rsidR="00AB2F77">
      <w:t>/</w:t>
    </w:r>
    <w:proofErr w:type="spellStart"/>
    <w:r w:rsidR="00AB2F77">
      <w:t>ExCom</w:t>
    </w:r>
    <w:proofErr w:type="spellEnd"/>
    <w:r w:rsidR="00AB2F77">
      <w:t>/84/43</w:t>
    </w:r>
    <w:r>
      <w:fldChar w:fldCharType="end"/>
    </w:r>
  </w:p>
  <w:p w:rsidR="003F65B2" w:rsidRDefault="003F65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B2" w:rsidRDefault="003F65B2"/>
  <w:p w:rsidR="003F65B2" w:rsidRDefault="003F65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D7B2C"/>
    <w:multiLevelType w:val="hybridMultilevel"/>
    <w:tmpl w:val="1088AC8A"/>
    <w:lvl w:ilvl="0" w:tplc="479C7B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5"/>
  </w:num>
  <w:num w:numId="21">
    <w:abstractNumId w:val="11"/>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4"/>
  </w:num>
  <w:num w:numId="32">
    <w:abstractNumId w:val="19"/>
  </w:num>
  <w:num w:numId="33">
    <w:abstractNumId w:val="19"/>
  </w:num>
  <w:num w:numId="34">
    <w:abstractNumId w:val="19"/>
  </w:num>
  <w:num w:numId="35">
    <w:abstractNumId w:val="19"/>
  </w:num>
  <w:num w:numId="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662"/>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5"/>
    <w:rsid w:val="00000CBA"/>
    <w:rsid w:val="00000F1D"/>
    <w:rsid w:val="00003753"/>
    <w:rsid w:val="00006195"/>
    <w:rsid w:val="00006875"/>
    <w:rsid w:val="00007239"/>
    <w:rsid w:val="00010740"/>
    <w:rsid w:val="00027024"/>
    <w:rsid w:val="00031CF0"/>
    <w:rsid w:val="00034DD8"/>
    <w:rsid w:val="0004254A"/>
    <w:rsid w:val="00047E7A"/>
    <w:rsid w:val="00054572"/>
    <w:rsid w:val="000604B1"/>
    <w:rsid w:val="000620E9"/>
    <w:rsid w:val="00063E07"/>
    <w:rsid w:val="00065726"/>
    <w:rsid w:val="000708A7"/>
    <w:rsid w:val="000755E1"/>
    <w:rsid w:val="000771B7"/>
    <w:rsid w:val="00080BF0"/>
    <w:rsid w:val="00093BEC"/>
    <w:rsid w:val="000A24BF"/>
    <w:rsid w:val="000A7E61"/>
    <w:rsid w:val="000B3FC8"/>
    <w:rsid w:val="000B7A14"/>
    <w:rsid w:val="000C03AD"/>
    <w:rsid w:val="000C2FE8"/>
    <w:rsid w:val="000E05CB"/>
    <w:rsid w:val="000E17E0"/>
    <w:rsid w:val="000F1773"/>
    <w:rsid w:val="000F5AF8"/>
    <w:rsid w:val="000F5F7D"/>
    <w:rsid w:val="000F7292"/>
    <w:rsid w:val="000F7BF0"/>
    <w:rsid w:val="0010294D"/>
    <w:rsid w:val="001042FA"/>
    <w:rsid w:val="00115C45"/>
    <w:rsid w:val="001204B3"/>
    <w:rsid w:val="00133F3B"/>
    <w:rsid w:val="00136EA6"/>
    <w:rsid w:val="00140838"/>
    <w:rsid w:val="001518A0"/>
    <w:rsid w:val="00154388"/>
    <w:rsid w:val="0016057A"/>
    <w:rsid w:val="0016284B"/>
    <w:rsid w:val="001679CE"/>
    <w:rsid w:val="00174E44"/>
    <w:rsid w:val="00176144"/>
    <w:rsid w:val="00181D84"/>
    <w:rsid w:val="00181DA5"/>
    <w:rsid w:val="00190203"/>
    <w:rsid w:val="001928CD"/>
    <w:rsid w:val="001A1C2A"/>
    <w:rsid w:val="001A1E60"/>
    <w:rsid w:val="001A2DFA"/>
    <w:rsid w:val="001A5C7A"/>
    <w:rsid w:val="001A62BD"/>
    <w:rsid w:val="001B1C02"/>
    <w:rsid w:val="001B1C9C"/>
    <w:rsid w:val="001B1FCA"/>
    <w:rsid w:val="001B63BB"/>
    <w:rsid w:val="001C0C69"/>
    <w:rsid w:val="001C624E"/>
    <w:rsid w:val="001D298C"/>
    <w:rsid w:val="001D6A04"/>
    <w:rsid w:val="001E6028"/>
    <w:rsid w:val="00206034"/>
    <w:rsid w:val="002072FF"/>
    <w:rsid w:val="0021031D"/>
    <w:rsid w:val="00213D51"/>
    <w:rsid w:val="00213DD8"/>
    <w:rsid w:val="00214C18"/>
    <w:rsid w:val="002212EC"/>
    <w:rsid w:val="00224008"/>
    <w:rsid w:val="002304F1"/>
    <w:rsid w:val="00231F1C"/>
    <w:rsid w:val="00244A64"/>
    <w:rsid w:val="00247833"/>
    <w:rsid w:val="00250228"/>
    <w:rsid w:val="00252E98"/>
    <w:rsid w:val="0025485C"/>
    <w:rsid w:val="00261B27"/>
    <w:rsid w:val="002646E3"/>
    <w:rsid w:val="002659E1"/>
    <w:rsid w:val="0027038B"/>
    <w:rsid w:val="00273AF7"/>
    <w:rsid w:val="00274561"/>
    <w:rsid w:val="00274D4B"/>
    <w:rsid w:val="00283B39"/>
    <w:rsid w:val="00283C2E"/>
    <w:rsid w:val="00286383"/>
    <w:rsid w:val="0029351B"/>
    <w:rsid w:val="002A273E"/>
    <w:rsid w:val="002A2C7D"/>
    <w:rsid w:val="002B4705"/>
    <w:rsid w:val="002C6CC7"/>
    <w:rsid w:val="002D0483"/>
    <w:rsid w:val="002D1D02"/>
    <w:rsid w:val="002D3579"/>
    <w:rsid w:val="002D51C0"/>
    <w:rsid w:val="002D5FAE"/>
    <w:rsid w:val="002D7637"/>
    <w:rsid w:val="002E4E30"/>
    <w:rsid w:val="002F60C3"/>
    <w:rsid w:val="00300B22"/>
    <w:rsid w:val="00302A04"/>
    <w:rsid w:val="00311CE5"/>
    <w:rsid w:val="003121B5"/>
    <w:rsid w:val="00316B72"/>
    <w:rsid w:val="00322729"/>
    <w:rsid w:val="00323F33"/>
    <w:rsid w:val="00331595"/>
    <w:rsid w:val="0033374A"/>
    <w:rsid w:val="003337E6"/>
    <w:rsid w:val="003338BA"/>
    <w:rsid w:val="003367ED"/>
    <w:rsid w:val="00336B54"/>
    <w:rsid w:val="00342ADF"/>
    <w:rsid w:val="0034342F"/>
    <w:rsid w:val="003624CF"/>
    <w:rsid w:val="0037417A"/>
    <w:rsid w:val="00375DD3"/>
    <w:rsid w:val="00377032"/>
    <w:rsid w:val="00381063"/>
    <w:rsid w:val="00382B0B"/>
    <w:rsid w:val="00383B3E"/>
    <w:rsid w:val="00387415"/>
    <w:rsid w:val="00390C03"/>
    <w:rsid w:val="0039491A"/>
    <w:rsid w:val="003B05D0"/>
    <w:rsid w:val="003B1238"/>
    <w:rsid w:val="003B3F55"/>
    <w:rsid w:val="003B6B85"/>
    <w:rsid w:val="003B6E3B"/>
    <w:rsid w:val="003C4182"/>
    <w:rsid w:val="003D09DB"/>
    <w:rsid w:val="003D153F"/>
    <w:rsid w:val="003E355C"/>
    <w:rsid w:val="003E3D2A"/>
    <w:rsid w:val="003F1105"/>
    <w:rsid w:val="003F2925"/>
    <w:rsid w:val="003F2B28"/>
    <w:rsid w:val="003F65B2"/>
    <w:rsid w:val="003F6EED"/>
    <w:rsid w:val="0041054A"/>
    <w:rsid w:val="0041204A"/>
    <w:rsid w:val="00412210"/>
    <w:rsid w:val="00412F2D"/>
    <w:rsid w:val="004142D1"/>
    <w:rsid w:val="00415FE4"/>
    <w:rsid w:val="00416F3E"/>
    <w:rsid w:val="00436034"/>
    <w:rsid w:val="00436E4A"/>
    <w:rsid w:val="004371CC"/>
    <w:rsid w:val="004410C0"/>
    <w:rsid w:val="00447DBB"/>
    <w:rsid w:val="00450949"/>
    <w:rsid w:val="00450A81"/>
    <w:rsid w:val="00451B4C"/>
    <w:rsid w:val="0045228A"/>
    <w:rsid w:val="00452966"/>
    <w:rsid w:val="00460098"/>
    <w:rsid w:val="004712AB"/>
    <w:rsid w:val="00474E9A"/>
    <w:rsid w:val="00477CB9"/>
    <w:rsid w:val="004812A2"/>
    <w:rsid w:val="0049004D"/>
    <w:rsid w:val="00495CF0"/>
    <w:rsid w:val="0049635C"/>
    <w:rsid w:val="004A0843"/>
    <w:rsid w:val="004A45F5"/>
    <w:rsid w:val="004A5C58"/>
    <w:rsid w:val="004B0EB6"/>
    <w:rsid w:val="004B18D6"/>
    <w:rsid w:val="004B1960"/>
    <w:rsid w:val="004B6FDC"/>
    <w:rsid w:val="004C2AFA"/>
    <w:rsid w:val="004C5B74"/>
    <w:rsid w:val="004D0ED2"/>
    <w:rsid w:val="004D4682"/>
    <w:rsid w:val="004D716E"/>
    <w:rsid w:val="004D7426"/>
    <w:rsid w:val="004E3FC1"/>
    <w:rsid w:val="004F0E38"/>
    <w:rsid w:val="004F2D2B"/>
    <w:rsid w:val="00502457"/>
    <w:rsid w:val="00502B2A"/>
    <w:rsid w:val="00503231"/>
    <w:rsid w:val="00506111"/>
    <w:rsid w:val="00507AB6"/>
    <w:rsid w:val="005109B8"/>
    <w:rsid w:val="0051140D"/>
    <w:rsid w:val="00512A23"/>
    <w:rsid w:val="00523882"/>
    <w:rsid w:val="005255C4"/>
    <w:rsid w:val="0054202C"/>
    <w:rsid w:val="0054414C"/>
    <w:rsid w:val="0054707D"/>
    <w:rsid w:val="00551ABA"/>
    <w:rsid w:val="005546BF"/>
    <w:rsid w:val="00556BAD"/>
    <w:rsid w:val="00566516"/>
    <w:rsid w:val="005921A9"/>
    <w:rsid w:val="00592EAA"/>
    <w:rsid w:val="005960B3"/>
    <w:rsid w:val="00596354"/>
    <w:rsid w:val="005A4ED1"/>
    <w:rsid w:val="005B263F"/>
    <w:rsid w:val="005B3442"/>
    <w:rsid w:val="005B49E7"/>
    <w:rsid w:val="005B5EBC"/>
    <w:rsid w:val="005B64E4"/>
    <w:rsid w:val="005C4216"/>
    <w:rsid w:val="005E7154"/>
    <w:rsid w:val="005F0746"/>
    <w:rsid w:val="00605C25"/>
    <w:rsid w:val="00620441"/>
    <w:rsid w:val="00624BB2"/>
    <w:rsid w:val="0063279F"/>
    <w:rsid w:val="00637D33"/>
    <w:rsid w:val="006442E8"/>
    <w:rsid w:val="00645503"/>
    <w:rsid w:val="00655A29"/>
    <w:rsid w:val="006602F9"/>
    <w:rsid w:val="0066081E"/>
    <w:rsid w:val="0066216F"/>
    <w:rsid w:val="00662A73"/>
    <w:rsid w:val="006669F4"/>
    <w:rsid w:val="0066786B"/>
    <w:rsid w:val="00672987"/>
    <w:rsid w:val="006757C2"/>
    <w:rsid w:val="00675FA8"/>
    <w:rsid w:val="00685E53"/>
    <w:rsid w:val="00685EDE"/>
    <w:rsid w:val="00686037"/>
    <w:rsid w:val="006A3DB4"/>
    <w:rsid w:val="006A5C4B"/>
    <w:rsid w:val="006B1B52"/>
    <w:rsid w:val="006B7BC2"/>
    <w:rsid w:val="006C4AD0"/>
    <w:rsid w:val="006D3AA1"/>
    <w:rsid w:val="006D4787"/>
    <w:rsid w:val="006D5A0C"/>
    <w:rsid w:val="006D63B3"/>
    <w:rsid w:val="006E1160"/>
    <w:rsid w:val="006E42BE"/>
    <w:rsid w:val="006E4DEB"/>
    <w:rsid w:val="006E6EB7"/>
    <w:rsid w:val="006F2F33"/>
    <w:rsid w:val="006F32EF"/>
    <w:rsid w:val="006F33DC"/>
    <w:rsid w:val="0070162F"/>
    <w:rsid w:val="00706A2E"/>
    <w:rsid w:val="007103CE"/>
    <w:rsid w:val="00710A72"/>
    <w:rsid w:val="00723990"/>
    <w:rsid w:val="00723D98"/>
    <w:rsid w:val="0072483D"/>
    <w:rsid w:val="007265E0"/>
    <w:rsid w:val="00734C1C"/>
    <w:rsid w:val="00737017"/>
    <w:rsid w:val="00740E02"/>
    <w:rsid w:val="00741146"/>
    <w:rsid w:val="007520E2"/>
    <w:rsid w:val="0076357D"/>
    <w:rsid w:val="00764615"/>
    <w:rsid w:val="007655ED"/>
    <w:rsid w:val="00770E9A"/>
    <w:rsid w:val="007770C7"/>
    <w:rsid w:val="00780172"/>
    <w:rsid w:val="00782747"/>
    <w:rsid w:val="00786775"/>
    <w:rsid w:val="00790F54"/>
    <w:rsid w:val="00793934"/>
    <w:rsid w:val="007A19A0"/>
    <w:rsid w:val="007A35A7"/>
    <w:rsid w:val="007B4D07"/>
    <w:rsid w:val="007B6222"/>
    <w:rsid w:val="007B6C14"/>
    <w:rsid w:val="007C27C9"/>
    <w:rsid w:val="007C3BCA"/>
    <w:rsid w:val="007C4C9D"/>
    <w:rsid w:val="007E39FA"/>
    <w:rsid w:val="007E5D09"/>
    <w:rsid w:val="007E6F1B"/>
    <w:rsid w:val="007E7C7F"/>
    <w:rsid w:val="007F4378"/>
    <w:rsid w:val="007F6423"/>
    <w:rsid w:val="00807BB6"/>
    <w:rsid w:val="008200FD"/>
    <w:rsid w:val="008251D2"/>
    <w:rsid w:val="008266E6"/>
    <w:rsid w:val="00831F60"/>
    <w:rsid w:val="0083268B"/>
    <w:rsid w:val="0085349E"/>
    <w:rsid w:val="00862111"/>
    <w:rsid w:val="00864E48"/>
    <w:rsid w:val="00870553"/>
    <w:rsid w:val="008716F0"/>
    <w:rsid w:val="00874478"/>
    <w:rsid w:val="00875815"/>
    <w:rsid w:val="00877C28"/>
    <w:rsid w:val="00886208"/>
    <w:rsid w:val="008A2224"/>
    <w:rsid w:val="008A3A4A"/>
    <w:rsid w:val="008A56B4"/>
    <w:rsid w:val="008A79A6"/>
    <w:rsid w:val="008C3B1F"/>
    <w:rsid w:val="008C4045"/>
    <w:rsid w:val="008C4669"/>
    <w:rsid w:val="008E4795"/>
    <w:rsid w:val="008E7B3D"/>
    <w:rsid w:val="00900918"/>
    <w:rsid w:val="0090495D"/>
    <w:rsid w:val="00917BCA"/>
    <w:rsid w:val="009238D7"/>
    <w:rsid w:val="009268F4"/>
    <w:rsid w:val="00935CEE"/>
    <w:rsid w:val="009436A0"/>
    <w:rsid w:val="00944E89"/>
    <w:rsid w:val="00945360"/>
    <w:rsid w:val="00945E34"/>
    <w:rsid w:val="00946B1B"/>
    <w:rsid w:val="00947678"/>
    <w:rsid w:val="00951CCF"/>
    <w:rsid w:val="009545F3"/>
    <w:rsid w:val="00955A0D"/>
    <w:rsid w:val="009621C4"/>
    <w:rsid w:val="009630EF"/>
    <w:rsid w:val="00966983"/>
    <w:rsid w:val="00966FE4"/>
    <w:rsid w:val="00967816"/>
    <w:rsid w:val="0097788A"/>
    <w:rsid w:val="009807A4"/>
    <w:rsid w:val="00995E4E"/>
    <w:rsid w:val="0099635D"/>
    <w:rsid w:val="009969EA"/>
    <w:rsid w:val="00996F5C"/>
    <w:rsid w:val="009A1D11"/>
    <w:rsid w:val="009A308B"/>
    <w:rsid w:val="009C0949"/>
    <w:rsid w:val="009C0DF4"/>
    <w:rsid w:val="009C47EB"/>
    <w:rsid w:val="009D0CCC"/>
    <w:rsid w:val="009D5A5E"/>
    <w:rsid w:val="009D64DE"/>
    <w:rsid w:val="009D6713"/>
    <w:rsid w:val="009E10CF"/>
    <w:rsid w:val="009E15D8"/>
    <w:rsid w:val="009E33BA"/>
    <w:rsid w:val="009F591F"/>
    <w:rsid w:val="009F6F60"/>
    <w:rsid w:val="009F7C90"/>
    <w:rsid w:val="00A0241E"/>
    <w:rsid w:val="00A026A2"/>
    <w:rsid w:val="00A0789D"/>
    <w:rsid w:val="00A20E98"/>
    <w:rsid w:val="00A21948"/>
    <w:rsid w:val="00A22DF4"/>
    <w:rsid w:val="00A22E8E"/>
    <w:rsid w:val="00A257A8"/>
    <w:rsid w:val="00A2747C"/>
    <w:rsid w:val="00A27C50"/>
    <w:rsid w:val="00A305A6"/>
    <w:rsid w:val="00A4248F"/>
    <w:rsid w:val="00A46027"/>
    <w:rsid w:val="00A46EC8"/>
    <w:rsid w:val="00A50376"/>
    <w:rsid w:val="00A53D46"/>
    <w:rsid w:val="00A719B5"/>
    <w:rsid w:val="00A719FB"/>
    <w:rsid w:val="00A724DE"/>
    <w:rsid w:val="00A72F78"/>
    <w:rsid w:val="00A734A3"/>
    <w:rsid w:val="00A7518B"/>
    <w:rsid w:val="00A75944"/>
    <w:rsid w:val="00A771D2"/>
    <w:rsid w:val="00A83328"/>
    <w:rsid w:val="00A83526"/>
    <w:rsid w:val="00AA3845"/>
    <w:rsid w:val="00AA395A"/>
    <w:rsid w:val="00AA71E9"/>
    <w:rsid w:val="00AB045C"/>
    <w:rsid w:val="00AB2735"/>
    <w:rsid w:val="00AB2F77"/>
    <w:rsid w:val="00AB418E"/>
    <w:rsid w:val="00AC10B9"/>
    <w:rsid w:val="00AC3E34"/>
    <w:rsid w:val="00AC4AA8"/>
    <w:rsid w:val="00AC66DB"/>
    <w:rsid w:val="00AD348B"/>
    <w:rsid w:val="00AD39A6"/>
    <w:rsid w:val="00AD6177"/>
    <w:rsid w:val="00AE0A44"/>
    <w:rsid w:val="00AE445E"/>
    <w:rsid w:val="00AF3ADD"/>
    <w:rsid w:val="00AF6643"/>
    <w:rsid w:val="00AF754D"/>
    <w:rsid w:val="00B043D6"/>
    <w:rsid w:val="00B0630C"/>
    <w:rsid w:val="00B11DB6"/>
    <w:rsid w:val="00B16F37"/>
    <w:rsid w:val="00B2216F"/>
    <w:rsid w:val="00B22535"/>
    <w:rsid w:val="00B255A1"/>
    <w:rsid w:val="00B25AD1"/>
    <w:rsid w:val="00B26144"/>
    <w:rsid w:val="00B36419"/>
    <w:rsid w:val="00B45106"/>
    <w:rsid w:val="00B47419"/>
    <w:rsid w:val="00B530A7"/>
    <w:rsid w:val="00B55994"/>
    <w:rsid w:val="00B60A2F"/>
    <w:rsid w:val="00B66F57"/>
    <w:rsid w:val="00B70276"/>
    <w:rsid w:val="00B70DF5"/>
    <w:rsid w:val="00B76450"/>
    <w:rsid w:val="00B81E83"/>
    <w:rsid w:val="00B84E7C"/>
    <w:rsid w:val="00B93CC1"/>
    <w:rsid w:val="00B94048"/>
    <w:rsid w:val="00BA083E"/>
    <w:rsid w:val="00BA42AD"/>
    <w:rsid w:val="00BA4808"/>
    <w:rsid w:val="00BC20D4"/>
    <w:rsid w:val="00BC4182"/>
    <w:rsid w:val="00BC7399"/>
    <w:rsid w:val="00BD028E"/>
    <w:rsid w:val="00BD3B04"/>
    <w:rsid w:val="00BD4417"/>
    <w:rsid w:val="00BE291A"/>
    <w:rsid w:val="00BE4790"/>
    <w:rsid w:val="00BF30E7"/>
    <w:rsid w:val="00C14F21"/>
    <w:rsid w:val="00C220F4"/>
    <w:rsid w:val="00C30640"/>
    <w:rsid w:val="00C31215"/>
    <w:rsid w:val="00C31CA8"/>
    <w:rsid w:val="00C37396"/>
    <w:rsid w:val="00C40E7D"/>
    <w:rsid w:val="00C415C3"/>
    <w:rsid w:val="00C41F2E"/>
    <w:rsid w:val="00C44E32"/>
    <w:rsid w:val="00C50F42"/>
    <w:rsid w:val="00C55774"/>
    <w:rsid w:val="00C56D86"/>
    <w:rsid w:val="00C602D7"/>
    <w:rsid w:val="00C60DA5"/>
    <w:rsid w:val="00C6163F"/>
    <w:rsid w:val="00C65BF8"/>
    <w:rsid w:val="00C71CBB"/>
    <w:rsid w:val="00C76601"/>
    <w:rsid w:val="00C81938"/>
    <w:rsid w:val="00C83E42"/>
    <w:rsid w:val="00C8643F"/>
    <w:rsid w:val="00C965A6"/>
    <w:rsid w:val="00C977E5"/>
    <w:rsid w:val="00CA3FB3"/>
    <w:rsid w:val="00CB4734"/>
    <w:rsid w:val="00CB607A"/>
    <w:rsid w:val="00CC25D3"/>
    <w:rsid w:val="00CC36DA"/>
    <w:rsid w:val="00CC3FFD"/>
    <w:rsid w:val="00CC644A"/>
    <w:rsid w:val="00CD3C16"/>
    <w:rsid w:val="00CD7FC6"/>
    <w:rsid w:val="00CE25EF"/>
    <w:rsid w:val="00CE3756"/>
    <w:rsid w:val="00CE3D26"/>
    <w:rsid w:val="00CE50BE"/>
    <w:rsid w:val="00CE5154"/>
    <w:rsid w:val="00CF1B6A"/>
    <w:rsid w:val="00CF2FBB"/>
    <w:rsid w:val="00CF4E9C"/>
    <w:rsid w:val="00D026E1"/>
    <w:rsid w:val="00D034D8"/>
    <w:rsid w:val="00D07A01"/>
    <w:rsid w:val="00D15632"/>
    <w:rsid w:val="00D25D2A"/>
    <w:rsid w:val="00D33CBF"/>
    <w:rsid w:val="00D36AC1"/>
    <w:rsid w:val="00D41991"/>
    <w:rsid w:val="00D47079"/>
    <w:rsid w:val="00D52870"/>
    <w:rsid w:val="00D54D77"/>
    <w:rsid w:val="00D62D51"/>
    <w:rsid w:val="00D742FB"/>
    <w:rsid w:val="00D8113B"/>
    <w:rsid w:val="00D8582B"/>
    <w:rsid w:val="00D916F0"/>
    <w:rsid w:val="00D91DAB"/>
    <w:rsid w:val="00D91F0D"/>
    <w:rsid w:val="00D93292"/>
    <w:rsid w:val="00DA4C9B"/>
    <w:rsid w:val="00DA6038"/>
    <w:rsid w:val="00DB721A"/>
    <w:rsid w:val="00DC3A69"/>
    <w:rsid w:val="00DC5715"/>
    <w:rsid w:val="00DC772D"/>
    <w:rsid w:val="00DC7BDD"/>
    <w:rsid w:val="00DD0FD1"/>
    <w:rsid w:val="00DD336F"/>
    <w:rsid w:val="00DE32BB"/>
    <w:rsid w:val="00DE4E94"/>
    <w:rsid w:val="00DE51F3"/>
    <w:rsid w:val="00DE6E49"/>
    <w:rsid w:val="00DF327A"/>
    <w:rsid w:val="00DF605C"/>
    <w:rsid w:val="00E00F04"/>
    <w:rsid w:val="00E049C4"/>
    <w:rsid w:val="00E0647A"/>
    <w:rsid w:val="00E112DF"/>
    <w:rsid w:val="00E127E7"/>
    <w:rsid w:val="00E1360E"/>
    <w:rsid w:val="00E139E2"/>
    <w:rsid w:val="00E21316"/>
    <w:rsid w:val="00E24802"/>
    <w:rsid w:val="00E26C56"/>
    <w:rsid w:val="00E279A7"/>
    <w:rsid w:val="00E37B2A"/>
    <w:rsid w:val="00E47CE5"/>
    <w:rsid w:val="00E507AE"/>
    <w:rsid w:val="00E5081C"/>
    <w:rsid w:val="00E51328"/>
    <w:rsid w:val="00E517E0"/>
    <w:rsid w:val="00E60295"/>
    <w:rsid w:val="00E65B2E"/>
    <w:rsid w:val="00E715C7"/>
    <w:rsid w:val="00E731B2"/>
    <w:rsid w:val="00E80CAC"/>
    <w:rsid w:val="00E82173"/>
    <w:rsid w:val="00E8279A"/>
    <w:rsid w:val="00E84F23"/>
    <w:rsid w:val="00E852C8"/>
    <w:rsid w:val="00E915DA"/>
    <w:rsid w:val="00EA0299"/>
    <w:rsid w:val="00EA0C8F"/>
    <w:rsid w:val="00EA2F75"/>
    <w:rsid w:val="00EA3C8D"/>
    <w:rsid w:val="00EA77A8"/>
    <w:rsid w:val="00EB0AAE"/>
    <w:rsid w:val="00EB6EDC"/>
    <w:rsid w:val="00EB7FCC"/>
    <w:rsid w:val="00EC59E6"/>
    <w:rsid w:val="00EE0DEA"/>
    <w:rsid w:val="00EE5F1C"/>
    <w:rsid w:val="00EF072B"/>
    <w:rsid w:val="00EF5427"/>
    <w:rsid w:val="00EF56C7"/>
    <w:rsid w:val="00EF729B"/>
    <w:rsid w:val="00F00968"/>
    <w:rsid w:val="00F01456"/>
    <w:rsid w:val="00F05B70"/>
    <w:rsid w:val="00F11759"/>
    <w:rsid w:val="00F145A5"/>
    <w:rsid w:val="00F15EF3"/>
    <w:rsid w:val="00F15F8F"/>
    <w:rsid w:val="00F21A7C"/>
    <w:rsid w:val="00F26A09"/>
    <w:rsid w:val="00F331E9"/>
    <w:rsid w:val="00F3662C"/>
    <w:rsid w:val="00F44BFB"/>
    <w:rsid w:val="00F549C1"/>
    <w:rsid w:val="00F54BA8"/>
    <w:rsid w:val="00F550D2"/>
    <w:rsid w:val="00F55625"/>
    <w:rsid w:val="00F61C43"/>
    <w:rsid w:val="00F6233B"/>
    <w:rsid w:val="00F65213"/>
    <w:rsid w:val="00F67183"/>
    <w:rsid w:val="00F6737B"/>
    <w:rsid w:val="00F81DB6"/>
    <w:rsid w:val="00F820BB"/>
    <w:rsid w:val="00F843C5"/>
    <w:rsid w:val="00FA17FD"/>
    <w:rsid w:val="00FA18EF"/>
    <w:rsid w:val="00FA1A8F"/>
    <w:rsid w:val="00FA1D69"/>
    <w:rsid w:val="00FC34E0"/>
    <w:rsid w:val="00FC40FA"/>
    <w:rsid w:val="00FC6D6A"/>
    <w:rsid w:val="00FD0163"/>
    <w:rsid w:val="00FE114A"/>
    <w:rsid w:val="00FE3138"/>
    <w:rsid w:val="00FF3597"/>
    <w:rsid w:val="00FF6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745E19"/>
  <w15:docId w15:val="{6562F6CB-FDD6-4786-9061-D5EC232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507AB6"/>
    <w:rPr>
      <w:sz w:val="20"/>
    </w:rPr>
  </w:style>
  <w:style w:type="character" w:customStyle="1" w:styleId="FootnoteTextChar">
    <w:name w:val="Footnote Text Char"/>
    <w:basedOn w:val="DefaultParagraphFont"/>
    <w:link w:val="FootnoteText"/>
    <w:uiPriority w:val="99"/>
    <w:semiHidden/>
    <w:rsid w:val="00507AB6"/>
    <w:rPr>
      <w:lang w:val="en-GB" w:bidi="ar-DZ"/>
    </w:rPr>
  </w:style>
  <w:style w:type="character" w:styleId="FootnoteReference">
    <w:name w:val="footnote reference"/>
    <w:basedOn w:val="DefaultParagraphFont"/>
    <w:uiPriority w:val="99"/>
    <w:semiHidden/>
    <w:unhideWhenUsed/>
    <w:rsid w:val="00507AB6"/>
    <w:rPr>
      <w:vertAlign w:val="superscript"/>
    </w:rPr>
  </w:style>
  <w:style w:type="paragraph" w:styleId="ListParagraph">
    <w:name w:val="List Paragraph"/>
    <w:basedOn w:val="Normal"/>
    <w:uiPriority w:val="34"/>
    <w:qFormat/>
    <w:rsid w:val="000F7292"/>
    <w:pPr>
      <w:ind w:left="720"/>
      <w:contextualSpacing/>
    </w:pPr>
  </w:style>
  <w:style w:type="paragraph" w:styleId="EndnoteText">
    <w:name w:val="endnote text"/>
    <w:basedOn w:val="Normal"/>
    <w:link w:val="EndnoteTextChar"/>
    <w:uiPriority w:val="99"/>
    <w:semiHidden/>
    <w:unhideWhenUsed/>
    <w:rsid w:val="00F67183"/>
    <w:rPr>
      <w:sz w:val="20"/>
    </w:rPr>
  </w:style>
  <w:style w:type="character" w:customStyle="1" w:styleId="EndnoteTextChar">
    <w:name w:val="Endnote Text Char"/>
    <w:basedOn w:val="DefaultParagraphFont"/>
    <w:link w:val="EndnoteText"/>
    <w:uiPriority w:val="99"/>
    <w:semiHidden/>
    <w:rsid w:val="00F67183"/>
    <w:rPr>
      <w:lang w:val="en-GB" w:bidi="ar-DZ"/>
    </w:rPr>
  </w:style>
  <w:style w:type="character" w:styleId="EndnoteReference">
    <w:name w:val="endnote reference"/>
    <w:basedOn w:val="DefaultParagraphFont"/>
    <w:uiPriority w:val="99"/>
    <w:semiHidden/>
    <w:unhideWhenUsed/>
    <w:rsid w:val="00F67183"/>
    <w:rPr>
      <w:vertAlign w:val="superscript"/>
    </w:rPr>
  </w:style>
  <w:style w:type="table" w:customStyle="1" w:styleId="TableGrid10">
    <w:name w:val="Table Grid1"/>
    <w:basedOn w:val="TableNormal"/>
    <w:next w:val="TableGrid"/>
    <w:uiPriority w:val="59"/>
    <w:rsid w:val="005114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5F3"/>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7A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532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652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di.Ghazaly\Downloads\A81-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UNEP/OzL.Pro/ExCom/84/43</Document_x0020_Number>
    <DocumentType xmlns="48d2d36d-b4e3-478b-a344-cdbeebaca89a">Pre-session</DocumentType>
  </documentManagement>
</p:properties>
</file>

<file path=customXml/itemProps1.xml><?xml version="1.0" encoding="utf-8"?>
<ds:datastoreItem xmlns:ds="http://schemas.openxmlformats.org/officeDocument/2006/customXml" ds:itemID="{7B079559-7883-4679-A89C-7A2336DC9A3A}"/>
</file>

<file path=customXml/itemProps2.xml><?xml version="1.0" encoding="utf-8"?>
<ds:datastoreItem xmlns:ds="http://schemas.openxmlformats.org/officeDocument/2006/customXml" ds:itemID="{05023146-A0F7-4AE5-B43A-8BC877544B23}"/>
</file>

<file path=customXml/itemProps3.xml><?xml version="1.0" encoding="utf-8"?>
<ds:datastoreItem xmlns:ds="http://schemas.openxmlformats.org/officeDocument/2006/customXml" ds:itemID="{A1D19B95-7838-4458-AF11-98960E23A0F4}"/>
</file>

<file path=customXml/itemProps4.xml><?xml version="1.0" encoding="utf-8"?>
<ds:datastoreItem xmlns:ds="http://schemas.openxmlformats.org/officeDocument/2006/customXml" ds:itemID="{8A2EA979-6D83-41AE-B0C4-648F74CD23E9}"/>
</file>

<file path=docProps/app.xml><?xml version="1.0" encoding="utf-8"?>
<Properties xmlns="http://schemas.openxmlformats.org/officeDocument/2006/extended-properties" xmlns:vt="http://schemas.openxmlformats.org/officeDocument/2006/docPropsVTypes">
  <Template>A81-template</Template>
  <TotalTime>1091</TotalTime>
  <Pages>10</Pages>
  <Words>3809</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مقترح مشروع: كولومبيا</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كولومبيا</dc:title>
  <cp:lastModifiedBy>HBE</cp:lastModifiedBy>
  <cp:revision>19</cp:revision>
  <cp:lastPrinted>2019-12-03T17:23:00Z</cp:lastPrinted>
  <dcterms:created xsi:type="dcterms:W3CDTF">2019-12-02T00:24:00Z</dcterms:created>
  <dcterms:modified xsi:type="dcterms:W3CDTF">2019-12-06T23:32:00Z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UNEP/OzL.Pro/ExCom/84/43</vt:lpwstr>
  </property>
  <property fmtid="{D5CDD505-2E9C-101B-9397-08002B2CF9AE}" pid="3" name="Revision date">
    <vt:lpwstr>5/15/2018</vt:lpwstr>
  </property>
  <property fmtid="{D5CDD505-2E9C-101B-9397-08002B2CF9AE}" pid="4" name="ContentTypeId">
    <vt:lpwstr>0x010100EA99018734B2C14FBE47A02BC3D0CA56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