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62D7755D" w14:textId="77777777">
        <w:trPr>
          <w:trHeight w:val="720"/>
        </w:trPr>
        <w:tc>
          <w:tcPr>
            <w:tcW w:w="4410" w:type="dxa"/>
            <w:gridSpan w:val="2"/>
            <w:tcBorders>
              <w:bottom w:val="single" w:sz="18" w:space="0" w:color="auto"/>
            </w:tcBorders>
          </w:tcPr>
          <w:p w14:paraId="4FAB4A7E"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9559238"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36DB8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EBE56E9"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0D0BF203" wp14:editId="1E500B79">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7FD4E523" wp14:editId="25677B2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67191896" w14:textId="77777777" w:rsidR="007E5D09" w:rsidRDefault="00E1360E">
            <w:pPr>
              <w:spacing w:before="120"/>
              <w:jc w:val="left"/>
              <w:rPr>
                <w:lang w:val="en-US"/>
              </w:rPr>
            </w:pPr>
            <w:r>
              <w:rPr>
                <w:lang w:val="en-US"/>
              </w:rPr>
              <w:t>GENERAL</w:t>
            </w:r>
          </w:p>
          <w:p w14:paraId="48D11AB8" w14:textId="77777777" w:rsidR="007E5D09" w:rsidRDefault="007E5D09">
            <w:pPr>
              <w:spacing w:before="120"/>
              <w:jc w:val="left"/>
              <w:rPr>
                <w:lang w:val="en-US"/>
              </w:rPr>
            </w:pPr>
          </w:p>
          <w:p w14:paraId="68CF3354" w14:textId="60EB0E13" w:rsidR="007628C3" w:rsidRDefault="007628C3" w:rsidP="007628C3">
            <w:pPr>
              <w:jc w:val="left"/>
            </w:pPr>
            <w:fldSimple w:instr=" DOCPROPERTY &quot;Document number&quot;  \* MERGEFORMAT ">
              <w:r w:rsidR="00CB4585">
                <w:t>UNEP/OzL.Pro/ExCom/84/15</w:t>
              </w:r>
            </w:fldSimple>
          </w:p>
          <w:p w14:paraId="694C679E" w14:textId="6A5C5E0A" w:rsidR="00662A73" w:rsidRPr="003F73BA" w:rsidRDefault="009775AF" w:rsidP="00662A73">
            <w:pPr>
              <w:spacing w:before="120"/>
              <w:jc w:val="left"/>
            </w:pPr>
            <w:r>
              <w:rPr>
                <w:lang w:val="en-US"/>
              </w:rPr>
              <w:t>25 November 2019</w:t>
            </w:r>
          </w:p>
          <w:p w14:paraId="33300831" w14:textId="77777777" w:rsidR="00662A73" w:rsidRDefault="00662A73">
            <w:pPr>
              <w:spacing w:before="120"/>
              <w:jc w:val="left"/>
              <w:rPr>
                <w:rtl/>
                <w:lang w:val="en-US" w:bidi="ar-AE"/>
              </w:rPr>
            </w:pPr>
          </w:p>
          <w:p w14:paraId="54B719F0" w14:textId="77777777" w:rsidR="007E5D09" w:rsidRDefault="00E1360E">
            <w:pPr>
              <w:spacing w:before="120"/>
              <w:jc w:val="left"/>
              <w:rPr>
                <w:lang w:val="en-US"/>
              </w:rPr>
            </w:pPr>
            <w:r>
              <w:rPr>
                <w:lang w:val="en-US"/>
              </w:rPr>
              <w:t>ARABIC</w:t>
            </w:r>
          </w:p>
          <w:p w14:paraId="0F6AF9BC"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15FB6A34"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69261C9D"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76249710"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74C42D75"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2510CA08" w14:textId="77777777" w:rsidR="007E5D09" w:rsidRDefault="007E5D09">
            <w:pPr>
              <w:rPr>
                <w:caps/>
                <w:lang w:val="en-US"/>
              </w:rPr>
            </w:pPr>
          </w:p>
          <w:p w14:paraId="1023575F" w14:textId="77777777" w:rsidR="007E5D09" w:rsidRDefault="007E5D09">
            <w:pPr>
              <w:rPr>
                <w:lang w:val="en-US"/>
              </w:rPr>
            </w:pPr>
          </w:p>
        </w:tc>
      </w:tr>
    </w:tbl>
    <w:p w14:paraId="201975F4" w14:textId="77777777" w:rsidR="007E5D09" w:rsidRDefault="007E5D09">
      <w:pPr>
        <w:pStyle w:val="Caption"/>
        <w:spacing w:line="200" w:lineRule="exact"/>
        <w:ind w:left="187" w:right="187" w:hanging="187"/>
        <w:jc w:val="both"/>
        <w:rPr>
          <w:rFonts w:cs="Akhbar MT"/>
          <w:b/>
          <w:bCs/>
          <w:sz w:val="28"/>
          <w:szCs w:val="28"/>
          <w:rtl/>
        </w:rPr>
      </w:pPr>
    </w:p>
    <w:p w14:paraId="0BCEDE12"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1A2A1682" w14:textId="77777777" w:rsidR="007E5D09" w:rsidRDefault="00E1360E">
      <w:pPr>
        <w:bidi/>
        <w:ind w:left="180" w:hanging="180"/>
        <w:jc w:val="lowKashida"/>
        <w:rPr>
          <w:rFonts w:cs="Arabic Transparent"/>
          <w:b/>
          <w:bCs/>
          <w:sz w:val="28"/>
          <w:szCs w:val="28"/>
          <w:rtl/>
          <w:lang w:val="en-US" w:eastAsia="en-CA" w:bidi="ar-EG"/>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5BAE3505"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14:paraId="4534D8B5" w14:textId="77777777" w:rsidR="007E5D09" w:rsidRDefault="00E1360E" w:rsidP="006F2A2C">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6F2A2C">
        <w:rPr>
          <w:rFonts w:hint="cs"/>
          <w:sz w:val="28"/>
          <w:szCs w:val="28"/>
          <w:rtl/>
        </w:rPr>
        <w:t>16</w:t>
      </w:r>
      <w:r>
        <w:rPr>
          <w:rFonts w:hint="cs"/>
          <w:sz w:val="28"/>
          <w:szCs w:val="28"/>
          <w:rtl/>
        </w:rPr>
        <w:t xml:space="preserve"> إلى </w:t>
      </w:r>
      <w:r w:rsidR="006F2A2C">
        <w:rPr>
          <w:rFonts w:hint="cs"/>
          <w:sz w:val="28"/>
          <w:szCs w:val="28"/>
          <w:rtl/>
        </w:rPr>
        <w:t>20</w:t>
      </w:r>
      <w:r w:rsidR="00013372">
        <w:rPr>
          <w:sz w:val="28"/>
          <w:szCs w:val="28"/>
        </w:rPr>
        <w:t xml:space="preserve"> </w:t>
      </w:r>
      <w:r w:rsidR="00A44778">
        <w:rPr>
          <w:rFonts w:hint="cs"/>
          <w:sz w:val="28"/>
          <w:szCs w:val="28"/>
          <w:rtl/>
        </w:rPr>
        <w:t xml:space="preserve"> </w:t>
      </w:r>
      <w:r w:rsidR="006F2A2C" w:rsidRPr="00DB2568">
        <w:rPr>
          <w:rFonts w:asciiTheme="majorBidi" w:hAnsiTheme="majorBidi" w:cstheme="majorBidi" w:hint="cs"/>
          <w:sz w:val="26"/>
          <w:szCs w:val="26"/>
          <w:rtl/>
          <w:lang w:bidi="ar-SY"/>
        </w:rPr>
        <w:t>ديسمبر/</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14:paraId="176A7412" w14:textId="533C4DEB" w:rsidR="007E5D09" w:rsidRDefault="007E5D09">
      <w:pPr>
        <w:pStyle w:val="Heading2"/>
        <w:numPr>
          <w:ilvl w:val="0"/>
          <w:numId w:val="0"/>
        </w:numPr>
        <w:ind w:left="4"/>
        <w:rPr>
          <w:lang w:val="en-CA"/>
        </w:rPr>
      </w:pPr>
    </w:p>
    <w:p w14:paraId="4B861B71" w14:textId="77777777" w:rsidR="009775AF" w:rsidRPr="009775AF" w:rsidRDefault="009775AF" w:rsidP="009775AF">
      <w:pPr>
        <w:rPr>
          <w:rtl/>
          <w:lang w:val="en-CA"/>
        </w:rPr>
      </w:pPr>
    </w:p>
    <w:p w14:paraId="65A1252D" w14:textId="4F892F28" w:rsidR="00423AB8" w:rsidRPr="00676BAB" w:rsidRDefault="00423AB8" w:rsidP="00423AB8">
      <w:pPr>
        <w:bidi/>
        <w:spacing w:after="240" w:line="360" w:lineRule="auto"/>
        <w:jc w:val="center"/>
        <w:rPr>
          <w:b/>
          <w:caps/>
          <w:sz w:val="32"/>
          <w:szCs w:val="32"/>
        </w:rPr>
      </w:pPr>
      <w:bookmarkStart w:id="0" w:name="_GoBack"/>
      <w:r w:rsidRPr="00676BAB">
        <w:rPr>
          <w:b/>
          <w:bCs/>
          <w:caps/>
          <w:sz w:val="32"/>
          <w:szCs w:val="32"/>
          <w:rtl/>
          <w:lang w:bidi="ar-SA"/>
        </w:rPr>
        <w:t xml:space="preserve">مشروع برنامج عمل الرصد والتقييم لعام </w:t>
      </w:r>
      <w:r w:rsidRPr="00676BAB">
        <w:rPr>
          <w:b/>
          <w:bCs/>
          <w:caps/>
          <w:sz w:val="32"/>
          <w:szCs w:val="32"/>
          <w:rtl/>
          <w:lang w:bidi="ar"/>
        </w:rPr>
        <w:t>2020</w:t>
      </w:r>
    </w:p>
    <w:bookmarkEnd w:id="0"/>
    <w:p w14:paraId="721C1CE4" w14:textId="77777777" w:rsidR="00423AB8" w:rsidRPr="00987608" w:rsidRDefault="00423AB8" w:rsidP="00423AB8">
      <w:pPr>
        <w:bidi/>
        <w:spacing w:after="240" w:line="360" w:lineRule="auto"/>
        <w:rPr>
          <w:b/>
          <w:sz w:val="26"/>
          <w:szCs w:val="26"/>
        </w:rPr>
      </w:pPr>
      <w:r w:rsidRPr="00987608">
        <w:rPr>
          <w:b/>
          <w:bCs/>
          <w:sz w:val="26"/>
          <w:szCs w:val="26"/>
          <w:rtl/>
          <w:lang w:bidi="ar-SA"/>
        </w:rPr>
        <w:t>مقدمة</w:t>
      </w:r>
    </w:p>
    <w:p w14:paraId="3B8D4619" w14:textId="77777777" w:rsidR="00423AB8" w:rsidRPr="003923B9" w:rsidRDefault="00423AB8" w:rsidP="003923B9">
      <w:pPr>
        <w:pStyle w:val="Heading1"/>
        <w:numPr>
          <w:ilvl w:val="0"/>
          <w:numId w:val="33"/>
        </w:numPr>
        <w:bidi/>
        <w:spacing w:line="264" w:lineRule="auto"/>
        <w:rPr>
          <w:sz w:val="26"/>
          <w:szCs w:val="26"/>
        </w:rPr>
      </w:pPr>
      <w:r w:rsidRPr="003923B9">
        <w:rPr>
          <w:sz w:val="26"/>
          <w:szCs w:val="26"/>
          <w:rtl/>
          <w:lang w:bidi="ar-SA"/>
        </w:rPr>
        <w:t xml:space="preserve">تعرض هذه الوثيقة مشروع برنامج عمل الرصد والتقييم لعام </w:t>
      </w:r>
      <w:r w:rsidRPr="003923B9">
        <w:rPr>
          <w:sz w:val="26"/>
          <w:szCs w:val="26"/>
          <w:rtl/>
          <w:lang w:bidi="ar"/>
        </w:rPr>
        <w:t xml:space="preserve">2020 </w:t>
      </w:r>
      <w:r w:rsidRPr="003923B9">
        <w:rPr>
          <w:sz w:val="26"/>
          <w:szCs w:val="26"/>
          <w:rtl/>
          <w:lang w:bidi="ar-SA"/>
        </w:rPr>
        <w:t>لتنظر فيه اللجنة التنفيذية</w:t>
      </w:r>
      <w:r w:rsidRPr="003923B9">
        <w:rPr>
          <w:sz w:val="26"/>
          <w:szCs w:val="26"/>
          <w:rtl/>
          <w:lang w:bidi="ar"/>
        </w:rPr>
        <w:t xml:space="preserve">. </w:t>
      </w:r>
      <w:r w:rsidRPr="003923B9">
        <w:rPr>
          <w:sz w:val="26"/>
          <w:szCs w:val="26"/>
          <w:rtl/>
          <w:lang w:bidi="ar-SA"/>
        </w:rPr>
        <w:t>وقد اقتُرحت أنشطة الرصد والتقييم الواردة في برنامج العمل بعد مناقشات سابقة أجرتها اللجنة التنفيذية بشأن القضايا المتعلقة بالرصد والتقييم؛ و</w:t>
      </w:r>
      <w:r w:rsidRPr="003923B9">
        <w:rPr>
          <w:rFonts w:hint="cs"/>
          <w:sz w:val="26"/>
          <w:szCs w:val="26"/>
          <w:rtl/>
          <w:lang w:bidi="ar-EG"/>
        </w:rPr>
        <w:t xml:space="preserve">بعد </w:t>
      </w:r>
      <w:r w:rsidRPr="003923B9">
        <w:rPr>
          <w:sz w:val="26"/>
          <w:szCs w:val="26"/>
          <w:rtl/>
          <w:lang w:bidi="ar-SA"/>
        </w:rPr>
        <w:t>استعراض التقارير المرحلية للمشروعات الجارية وتقارير إتمام المشروعات؛ وبناء على المناقشات التي دارت مع الوكالات الثنائية والمنفذة والأمانة</w:t>
      </w:r>
      <w:r w:rsidRPr="003923B9">
        <w:rPr>
          <w:sz w:val="26"/>
          <w:szCs w:val="26"/>
          <w:rtl/>
          <w:lang w:bidi="ar"/>
        </w:rPr>
        <w:t xml:space="preserve">. </w:t>
      </w:r>
      <w:r w:rsidRPr="003923B9">
        <w:rPr>
          <w:sz w:val="26"/>
          <w:szCs w:val="26"/>
          <w:rtl/>
          <w:lang w:bidi="ar-SA"/>
        </w:rPr>
        <w:t>وقد وضع برنامج العمل في الاعتبار أيضا مناقشات اللجنة التنفيذية بشأن العديد من بنود جدول الأعمال ذات الصلة بأنشطة الرصد والتقييم</w:t>
      </w:r>
      <w:r w:rsidRPr="003923B9">
        <w:rPr>
          <w:sz w:val="26"/>
          <w:szCs w:val="26"/>
          <w:rtl/>
          <w:lang w:bidi="ar"/>
        </w:rPr>
        <w:t>.</w:t>
      </w:r>
    </w:p>
    <w:p w14:paraId="35C6FCE2" w14:textId="77777777" w:rsidR="00423AB8" w:rsidRPr="00987608" w:rsidRDefault="00423AB8" w:rsidP="009775AF">
      <w:pPr>
        <w:pStyle w:val="Heading1"/>
        <w:widowControl w:val="0"/>
        <w:bidi/>
        <w:spacing w:line="264" w:lineRule="auto"/>
        <w:rPr>
          <w:sz w:val="26"/>
          <w:szCs w:val="26"/>
        </w:rPr>
      </w:pPr>
      <w:r w:rsidRPr="00987608">
        <w:rPr>
          <w:sz w:val="26"/>
          <w:szCs w:val="26"/>
          <w:rtl/>
          <w:lang w:bidi="ar-SA"/>
        </w:rPr>
        <w:t xml:space="preserve">وعلى وجه الخصوص، يعد مشروع برنامج عمل الرصد والتقييم امتدادا لبرنامج عمل عام </w:t>
      </w:r>
      <w:r w:rsidRPr="00987608">
        <w:rPr>
          <w:sz w:val="26"/>
          <w:szCs w:val="26"/>
          <w:rtl/>
          <w:lang w:bidi="ar"/>
        </w:rPr>
        <w:t xml:space="preserve">2019 </w:t>
      </w:r>
      <w:r w:rsidRPr="00987608">
        <w:rPr>
          <w:rStyle w:val="FootnoteReference"/>
          <w:sz w:val="26"/>
          <w:szCs w:val="26"/>
          <w:rtl/>
          <w:lang w:bidi="ar"/>
        </w:rPr>
        <w:footnoteReference w:id="1"/>
      </w:r>
      <w:r w:rsidRPr="00987608">
        <w:rPr>
          <w:sz w:val="26"/>
          <w:szCs w:val="26"/>
          <w:rtl/>
          <w:lang w:bidi="ar-SA"/>
        </w:rPr>
        <w:t>الذي اعتمد في الاجتماع الثاني والثمانين، ويتألف مما يلي</w:t>
      </w:r>
      <w:r w:rsidRPr="00987608">
        <w:rPr>
          <w:sz w:val="26"/>
          <w:szCs w:val="26"/>
          <w:rtl/>
          <w:lang w:bidi="ar"/>
        </w:rPr>
        <w:t>:</w:t>
      </w:r>
    </w:p>
    <w:p w14:paraId="2DE02EBD" w14:textId="77777777" w:rsidR="00423AB8" w:rsidRPr="00987608" w:rsidRDefault="00423AB8" w:rsidP="009775AF">
      <w:pPr>
        <w:autoSpaceDE w:val="0"/>
        <w:autoSpaceDN w:val="0"/>
        <w:bidi/>
        <w:adjustRightInd w:val="0"/>
        <w:spacing w:after="240" w:line="264" w:lineRule="auto"/>
        <w:rPr>
          <w:sz w:val="26"/>
          <w:szCs w:val="26"/>
          <w:u w:val="single"/>
        </w:rPr>
      </w:pPr>
      <w:r w:rsidRPr="00987608">
        <w:rPr>
          <w:sz w:val="26"/>
          <w:szCs w:val="26"/>
          <w:u w:val="single"/>
          <w:rtl/>
          <w:lang w:bidi="ar-SA"/>
        </w:rPr>
        <w:t>أنشطة التقييم</w:t>
      </w:r>
    </w:p>
    <w:p w14:paraId="0C6DCAD3" w14:textId="77777777" w:rsidR="00423AB8" w:rsidRPr="00987608" w:rsidRDefault="00423AB8" w:rsidP="009775AF">
      <w:pPr>
        <w:pStyle w:val="Heading2"/>
        <w:numPr>
          <w:ilvl w:val="0"/>
          <w:numId w:val="23"/>
        </w:numPr>
        <w:tabs>
          <w:tab w:val="left" w:pos="720"/>
        </w:tabs>
        <w:bidi/>
        <w:spacing w:after="120" w:line="264" w:lineRule="auto"/>
        <w:ind w:left="1440" w:hanging="720"/>
        <w:rPr>
          <w:sz w:val="26"/>
          <w:szCs w:val="26"/>
        </w:rPr>
      </w:pPr>
      <w:r w:rsidRPr="00987608">
        <w:rPr>
          <w:sz w:val="26"/>
          <w:szCs w:val="26"/>
          <w:rtl/>
          <w:lang w:bidi="ar-SA"/>
        </w:rPr>
        <w:t>المرحلة الثانية من تقييم استدامة إنجازات بروتوكول مونتريال</w:t>
      </w:r>
      <w:r w:rsidRPr="00987608">
        <w:rPr>
          <w:sz w:val="26"/>
          <w:szCs w:val="26"/>
          <w:rtl/>
          <w:lang w:bidi="ar"/>
        </w:rPr>
        <w:t xml:space="preserve">: </w:t>
      </w:r>
      <w:r w:rsidRPr="00987608">
        <w:rPr>
          <w:sz w:val="26"/>
          <w:szCs w:val="26"/>
          <w:rtl/>
          <w:lang w:bidi="ar-SA"/>
        </w:rPr>
        <w:t>تُقدَّم دراسة نظرية في الاجتماع الرابع والثمانين</w:t>
      </w:r>
      <w:r w:rsidRPr="00987608">
        <w:rPr>
          <w:sz w:val="26"/>
          <w:szCs w:val="26"/>
          <w:rtl/>
          <w:lang w:bidi="ar"/>
        </w:rPr>
        <w:t>.</w:t>
      </w:r>
      <w:r w:rsidRPr="00987608">
        <w:rPr>
          <w:rStyle w:val="FootnoteReference"/>
          <w:sz w:val="26"/>
          <w:szCs w:val="26"/>
        </w:rPr>
        <w:footnoteReference w:id="2"/>
      </w:r>
      <w:r w:rsidRPr="00987608">
        <w:rPr>
          <w:sz w:val="26"/>
          <w:szCs w:val="26"/>
          <w:rtl/>
          <w:lang w:bidi="ar-SA"/>
        </w:rPr>
        <w:t xml:space="preserve"> وبناء على النتائج، تُقترح مرحلة ثانية من التقييم لتقييم جملة أمور من بينها دور وحدات الأوزون الوطنية ووحدات إدارة المشاريع في رصد إزالة المواد المستنفدة للأوزون؛ ونقاط </w:t>
      </w:r>
      <w:r w:rsidRPr="00987608">
        <w:rPr>
          <w:sz w:val="26"/>
          <w:szCs w:val="26"/>
          <w:rtl/>
          <w:lang w:bidi="ar-SA"/>
        </w:rPr>
        <w:lastRenderedPageBreak/>
        <w:t>القوة والضعف في المؤسسات الوطنية المشاركة في إزالة المواد المستنفدة للأوزون؛ والتحديات القائمة في تحقيق استدامة إنجازات بروتوكول مونتريال</w:t>
      </w:r>
      <w:r w:rsidRPr="00987608">
        <w:rPr>
          <w:sz w:val="26"/>
          <w:szCs w:val="26"/>
          <w:rtl/>
          <w:lang w:bidi="ar"/>
        </w:rPr>
        <w:t xml:space="preserve">. </w:t>
      </w:r>
      <w:r w:rsidRPr="00987608">
        <w:rPr>
          <w:sz w:val="26"/>
          <w:szCs w:val="26"/>
          <w:rtl/>
          <w:lang w:bidi="ar-SA"/>
        </w:rPr>
        <w:t xml:space="preserve">وخلال المرحلة الثانية، ستُوفد بعثات ميدانية إلى مجموعة مختارة من خمسة من البلدان المدرجة في المادة </w:t>
      </w:r>
      <w:r w:rsidRPr="00987608">
        <w:rPr>
          <w:sz w:val="26"/>
          <w:szCs w:val="26"/>
          <w:rtl/>
          <w:lang w:bidi="ar"/>
        </w:rPr>
        <w:t xml:space="preserve">5 </w:t>
      </w:r>
      <w:r w:rsidRPr="00987608">
        <w:rPr>
          <w:sz w:val="26"/>
          <w:szCs w:val="26"/>
          <w:rtl/>
          <w:lang w:bidi="ar-SA"/>
        </w:rPr>
        <w:t>لجمع بيانات إضافية واستخلاص دروس متعمقة</w:t>
      </w:r>
      <w:r w:rsidRPr="00987608">
        <w:rPr>
          <w:sz w:val="26"/>
          <w:szCs w:val="26"/>
          <w:rtl/>
          <w:lang w:bidi="ar"/>
        </w:rPr>
        <w:t xml:space="preserve">. </w:t>
      </w:r>
      <w:r w:rsidRPr="00987608">
        <w:rPr>
          <w:sz w:val="26"/>
          <w:szCs w:val="26"/>
          <w:rtl/>
          <w:lang w:bidi="ar-SA"/>
        </w:rPr>
        <w:t>وسيقترح على اللجنة اختيار البلدان في اختصاصات المرحلة الثانية من التقييم، التي ستُقدم إلى الاجتماع الخامس والثمانين</w:t>
      </w:r>
      <w:r w:rsidRPr="00987608">
        <w:rPr>
          <w:sz w:val="26"/>
          <w:szCs w:val="26"/>
          <w:rtl/>
          <w:lang w:bidi="ar"/>
        </w:rPr>
        <w:t xml:space="preserve">. </w:t>
      </w:r>
      <w:r w:rsidRPr="00987608">
        <w:rPr>
          <w:sz w:val="26"/>
          <w:szCs w:val="26"/>
          <w:rtl/>
          <w:lang w:bidi="ar-SA"/>
        </w:rPr>
        <w:t>وسيُقدم تقرير نهائي في الاجتماع السادس والثمانين</w:t>
      </w:r>
      <w:r w:rsidRPr="00987608">
        <w:rPr>
          <w:sz w:val="26"/>
          <w:szCs w:val="26"/>
          <w:rtl/>
          <w:lang w:bidi="ar"/>
        </w:rPr>
        <w:t xml:space="preserve">. </w:t>
      </w:r>
      <w:r w:rsidRPr="00987608">
        <w:rPr>
          <w:sz w:val="26"/>
          <w:szCs w:val="26"/>
          <w:rtl/>
          <w:lang w:bidi="ar-SA"/>
        </w:rPr>
        <w:t>وقد ترغب اللجنة التنفيذية في أن تقرر الحصول على التقرير النهائي في عدة نواتج؛</w:t>
      </w:r>
    </w:p>
    <w:p w14:paraId="6B0AC309" w14:textId="77777777" w:rsidR="00423AB8" w:rsidRPr="00987608" w:rsidRDefault="00423AB8" w:rsidP="009775AF">
      <w:pPr>
        <w:pStyle w:val="Heading2"/>
        <w:numPr>
          <w:ilvl w:val="0"/>
          <w:numId w:val="23"/>
        </w:numPr>
        <w:tabs>
          <w:tab w:val="left" w:pos="720"/>
        </w:tabs>
        <w:bidi/>
        <w:spacing w:after="120" w:line="264" w:lineRule="auto"/>
        <w:ind w:left="1440" w:hanging="720"/>
        <w:rPr>
          <w:sz w:val="26"/>
          <w:szCs w:val="26"/>
        </w:rPr>
      </w:pPr>
      <w:r w:rsidRPr="00987608">
        <w:rPr>
          <w:sz w:val="26"/>
          <w:szCs w:val="26"/>
          <w:rtl/>
          <w:lang w:bidi="ar-SA"/>
        </w:rPr>
        <w:t>المرحلة الثانية من تقييم الشبكات الإقليمية لموظفي الأوزون الوطنيين</w:t>
      </w:r>
      <w:r w:rsidRPr="00987608">
        <w:rPr>
          <w:sz w:val="26"/>
          <w:szCs w:val="26"/>
          <w:rtl/>
          <w:lang w:bidi="ar"/>
        </w:rPr>
        <w:t xml:space="preserve">: </w:t>
      </w:r>
      <w:r w:rsidRPr="00987608">
        <w:rPr>
          <w:sz w:val="26"/>
          <w:szCs w:val="26"/>
          <w:rtl/>
          <w:lang w:bidi="ar-SA"/>
        </w:rPr>
        <w:t>يجري حاليا تقديم اختصاصات الدراسة النظرية إلى الاجتماع الرابع والثمانين،</w:t>
      </w:r>
      <w:r w:rsidRPr="00987608">
        <w:rPr>
          <w:rStyle w:val="FootnoteReference"/>
          <w:sz w:val="26"/>
          <w:szCs w:val="26"/>
          <w:rtl/>
          <w:lang w:bidi="ar"/>
        </w:rPr>
        <w:footnoteReference w:id="3"/>
      </w:r>
      <w:r w:rsidRPr="00987608">
        <w:rPr>
          <w:sz w:val="26"/>
          <w:szCs w:val="26"/>
          <w:rtl/>
          <w:lang w:bidi="ar-SA"/>
        </w:rPr>
        <w:t xml:space="preserve"> وستُقدم دراسة نظرية إلى الاجتماع الخامس والثمانين، وتقرير تقييم نهائي في الاجتماع الثامن والثمانين</w:t>
      </w:r>
      <w:r w:rsidRPr="00987608">
        <w:rPr>
          <w:sz w:val="26"/>
          <w:szCs w:val="26"/>
          <w:rtl/>
          <w:lang w:bidi="ar"/>
        </w:rPr>
        <w:t xml:space="preserve">. </w:t>
      </w:r>
      <w:r w:rsidRPr="00987608">
        <w:rPr>
          <w:sz w:val="26"/>
          <w:szCs w:val="26"/>
          <w:rtl/>
          <w:lang w:bidi="ar-SA"/>
        </w:rPr>
        <w:t>وسيستكمل التقييم التقييمات السابقة</w:t>
      </w:r>
      <w:r w:rsidRPr="00987608">
        <w:rPr>
          <w:rStyle w:val="FootnoteReference"/>
          <w:sz w:val="26"/>
          <w:szCs w:val="26"/>
          <w:rtl/>
          <w:lang w:bidi="ar"/>
        </w:rPr>
        <w:footnoteReference w:id="4"/>
      </w:r>
      <w:r w:rsidRPr="00987608">
        <w:rPr>
          <w:sz w:val="26"/>
          <w:szCs w:val="26"/>
          <w:rtl/>
          <w:lang w:bidi="ar-SA"/>
        </w:rPr>
        <w:t xml:space="preserve"> وسيتضمن تقييما شاملا للشبكات الإقليمية في نواحٍ منها ما يلي</w:t>
      </w:r>
      <w:r w:rsidRPr="00987608">
        <w:rPr>
          <w:sz w:val="26"/>
          <w:szCs w:val="26"/>
          <w:rtl/>
          <w:lang w:bidi="ar"/>
        </w:rPr>
        <w:t xml:space="preserve">: </w:t>
      </w:r>
      <w:r w:rsidRPr="00987608">
        <w:rPr>
          <w:sz w:val="26"/>
          <w:szCs w:val="26"/>
          <w:rtl/>
          <w:lang w:bidi="ar-SA"/>
        </w:rPr>
        <w:t xml:space="preserve">دورها في تنفيذ بروتوكول مونتريال، والتطور الذي لحق </w:t>
      </w:r>
      <w:r w:rsidRPr="00987608">
        <w:rPr>
          <w:rFonts w:hint="cs"/>
          <w:sz w:val="26"/>
          <w:szCs w:val="26"/>
          <w:rtl/>
          <w:lang w:bidi="ar-SA"/>
        </w:rPr>
        <w:t>ب</w:t>
      </w:r>
      <w:r w:rsidRPr="00987608">
        <w:rPr>
          <w:sz w:val="26"/>
          <w:szCs w:val="26"/>
          <w:rtl/>
          <w:lang w:bidi="ar-SA"/>
        </w:rPr>
        <w:t>ها مع مرور الوقت، وأثرها على مستويات مختلفة للوقوف على الفرص والثغرات التي يمكن أن تزيد من تعزيز اجتماعات الشبكة لمواجهة التحديات الماثلة التي يواجهها بروتوكول مونتريال</w:t>
      </w:r>
      <w:r w:rsidRPr="00987608">
        <w:rPr>
          <w:sz w:val="26"/>
          <w:szCs w:val="26"/>
          <w:rtl/>
          <w:lang w:bidi="ar"/>
        </w:rPr>
        <w:t xml:space="preserve">. </w:t>
      </w:r>
      <w:r w:rsidRPr="00987608">
        <w:rPr>
          <w:sz w:val="26"/>
          <w:szCs w:val="26"/>
          <w:rtl/>
          <w:lang w:bidi="ar-SA"/>
        </w:rPr>
        <w:t>وبناء على نتائج الدراسة النظرية، ستُقدَّم اختصاصات المرحلة الثانية من التقييم إلى الاجتماع الخامس والثمانين؛</w:t>
      </w:r>
    </w:p>
    <w:p w14:paraId="16E92DED" w14:textId="77777777" w:rsidR="00423AB8" w:rsidRPr="00987608" w:rsidRDefault="00423AB8" w:rsidP="009775AF">
      <w:pPr>
        <w:pStyle w:val="Heading2"/>
        <w:numPr>
          <w:ilvl w:val="0"/>
          <w:numId w:val="23"/>
        </w:numPr>
        <w:tabs>
          <w:tab w:val="left" w:pos="720"/>
        </w:tabs>
        <w:bidi/>
        <w:spacing w:line="264" w:lineRule="auto"/>
        <w:ind w:left="1440" w:hanging="720"/>
        <w:rPr>
          <w:sz w:val="26"/>
          <w:szCs w:val="26"/>
        </w:rPr>
      </w:pPr>
      <w:r w:rsidRPr="00987608">
        <w:rPr>
          <w:sz w:val="26"/>
          <w:szCs w:val="26"/>
          <w:rtl/>
          <w:lang w:bidi="ar-SA"/>
        </w:rPr>
        <w:t>تقييم كفاءة الطاقة في قطاع الخدم</w:t>
      </w:r>
      <w:r w:rsidRPr="00987608">
        <w:rPr>
          <w:rFonts w:hint="cs"/>
          <w:sz w:val="26"/>
          <w:szCs w:val="26"/>
          <w:rtl/>
          <w:lang w:bidi="ar-SA"/>
        </w:rPr>
        <w:t>ة</w:t>
      </w:r>
      <w:r w:rsidRPr="00987608">
        <w:rPr>
          <w:sz w:val="26"/>
          <w:szCs w:val="26"/>
          <w:rtl/>
          <w:lang w:bidi="ar"/>
        </w:rPr>
        <w:t xml:space="preserve">: </w:t>
      </w:r>
      <w:r w:rsidRPr="00987608">
        <w:rPr>
          <w:sz w:val="26"/>
          <w:szCs w:val="26"/>
          <w:rtl/>
          <w:lang w:bidi="ar-SA"/>
        </w:rPr>
        <w:t>يُقدَّم تقرير مرحلي إلى الاجتماع الرابع والثمانين،</w:t>
      </w:r>
      <w:r w:rsidRPr="00987608">
        <w:rPr>
          <w:rStyle w:val="FootnoteReference"/>
          <w:sz w:val="26"/>
          <w:szCs w:val="26"/>
          <w:rtl/>
          <w:lang w:bidi="ar"/>
        </w:rPr>
        <w:footnoteReference w:id="5"/>
      </w:r>
      <w:r w:rsidRPr="00987608">
        <w:rPr>
          <w:sz w:val="26"/>
          <w:szCs w:val="26"/>
          <w:rtl/>
          <w:lang w:bidi="ar-SA"/>
        </w:rPr>
        <w:t xml:space="preserve"> وستقدم دراسة نظرية إلى الاجتماع السادس والثمانين، بهدف أن تُحدَّد وتُقيَّم، بقدر الإمكان، أفضل الممارسات والدروس المستفادة والفرص الإضافية للحفاظ على كفاءة الطاقة في قطاع الخدم</w:t>
      </w:r>
      <w:r w:rsidRPr="00987608">
        <w:rPr>
          <w:rFonts w:hint="cs"/>
          <w:sz w:val="26"/>
          <w:szCs w:val="26"/>
          <w:rtl/>
          <w:lang w:bidi="ar-SA"/>
        </w:rPr>
        <w:t>ة</w:t>
      </w:r>
      <w:r w:rsidRPr="00987608">
        <w:rPr>
          <w:sz w:val="26"/>
          <w:szCs w:val="26"/>
          <w:rtl/>
          <w:lang w:bidi="ar"/>
        </w:rPr>
        <w:t xml:space="preserve">. </w:t>
      </w:r>
      <w:r w:rsidRPr="00987608">
        <w:rPr>
          <w:sz w:val="26"/>
          <w:szCs w:val="26"/>
          <w:rtl/>
          <w:lang w:bidi="ar-SA"/>
        </w:rPr>
        <w:t>وستستعرض الدراسة النظرية المشروعات الممولة سابقا لتحديد الأنشطة المتعلقة بكفاءة الطاقة في قطاع الخدمات، وتطبيقاتها في السياسات والنُظم على المستوى القطري</w:t>
      </w:r>
      <w:r w:rsidRPr="00987608">
        <w:rPr>
          <w:sz w:val="26"/>
          <w:szCs w:val="26"/>
          <w:rtl/>
          <w:lang w:bidi="ar"/>
        </w:rPr>
        <w:t xml:space="preserve">. </w:t>
      </w:r>
    </w:p>
    <w:p w14:paraId="0A93A81B" w14:textId="77777777" w:rsidR="00423AB8" w:rsidRPr="00987608" w:rsidRDefault="00423AB8" w:rsidP="009775AF">
      <w:pPr>
        <w:autoSpaceDE w:val="0"/>
        <w:autoSpaceDN w:val="0"/>
        <w:bidi/>
        <w:adjustRightInd w:val="0"/>
        <w:spacing w:after="240" w:line="264" w:lineRule="auto"/>
        <w:rPr>
          <w:sz w:val="26"/>
          <w:szCs w:val="26"/>
          <w:u w:val="single"/>
        </w:rPr>
      </w:pPr>
      <w:r w:rsidRPr="00987608">
        <w:rPr>
          <w:sz w:val="26"/>
          <w:szCs w:val="26"/>
          <w:u w:val="single"/>
          <w:rtl/>
          <w:lang w:bidi="ar-SA"/>
        </w:rPr>
        <w:t>أنشطة الرصد</w:t>
      </w:r>
    </w:p>
    <w:p w14:paraId="5DA4C077" w14:textId="77777777" w:rsidR="00423AB8" w:rsidRPr="00987608" w:rsidRDefault="00423AB8" w:rsidP="009775AF">
      <w:pPr>
        <w:pStyle w:val="Heading2"/>
        <w:numPr>
          <w:ilvl w:val="0"/>
          <w:numId w:val="24"/>
        </w:numPr>
        <w:tabs>
          <w:tab w:val="left" w:pos="720"/>
        </w:tabs>
        <w:bidi/>
        <w:spacing w:line="264" w:lineRule="auto"/>
        <w:ind w:left="1418" w:hanging="709"/>
        <w:rPr>
          <w:sz w:val="26"/>
          <w:szCs w:val="26"/>
        </w:rPr>
      </w:pPr>
      <w:r w:rsidRPr="00987608">
        <w:rPr>
          <w:sz w:val="26"/>
          <w:szCs w:val="26"/>
          <w:rtl/>
          <w:lang w:bidi="ar-SA"/>
        </w:rPr>
        <w:t>تقرير مجمع عن إتمام مشروعات الاتفاقات الفردية و</w:t>
      </w:r>
      <w:r w:rsidRPr="00987608">
        <w:rPr>
          <w:rFonts w:hint="cs"/>
          <w:sz w:val="26"/>
          <w:szCs w:val="26"/>
          <w:rtl/>
          <w:lang w:bidi="ar-SA"/>
        </w:rPr>
        <w:t>ال</w:t>
      </w:r>
      <w:r w:rsidRPr="00987608">
        <w:rPr>
          <w:sz w:val="26"/>
          <w:szCs w:val="26"/>
          <w:rtl/>
          <w:lang w:bidi="ar-SA"/>
        </w:rPr>
        <w:t>مشروعات المتعددة السنوات على حد سواء</w:t>
      </w:r>
      <w:r w:rsidRPr="00987608">
        <w:rPr>
          <w:sz w:val="26"/>
          <w:szCs w:val="26"/>
          <w:rtl/>
          <w:lang w:bidi="ar"/>
        </w:rPr>
        <w:t>.</w:t>
      </w:r>
    </w:p>
    <w:p w14:paraId="147878F7" w14:textId="77777777" w:rsidR="00423AB8" w:rsidRPr="00987608" w:rsidRDefault="00423AB8" w:rsidP="009775AF">
      <w:pPr>
        <w:pStyle w:val="Heading1"/>
        <w:bidi/>
        <w:spacing w:line="264" w:lineRule="auto"/>
        <w:rPr>
          <w:sz w:val="26"/>
          <w:szCs w:val="26"/>
        </w:rPr>
      </w:pPr>
      <w:r w:rsidRPr="00987608">
        <w:rPr>
          <w:rFonts w:hint="cs"/>
          <w:sz w:val="26"/>
          <w:szCs w:val="26"/>
          <w:rtl/>
          <w:lang w:bidi="ar-SA"/>
        </w:rPr>
        <w:t>و</w:t>
      </w:r>
      <w:r w:rsidRPr="00987608">
        <w:rPr>
          <w:sz w:val="26"/>
          <w:szCs w:val="26"/>
          <w:rtl/>
          <w:lang w:bidi="ar-SA"/>
        </w:rPr>
        <w:t>سيعمل المسؤول الرئيسي للرصد والتقييم عن كثب مع الوكالات الثنائية والمنفذة المعنية لتقديم جميع تقارير إتمام المشروعات التي لم تُقدَّم بعد مما له علاقة بالاتفاقات المتعددة السنوات والمشروعات الفردية إلى الاجتماعين الخامس والثمانين والسادس والثمانين، و</w:t>
      </w:r>
      <w:r w:rsidRPr="00987608">
        <w:rPr>
          <w:rFonts w:hint="cs"/>
          <w:sz w:val="26"/>
          <w:szCs w:val="26"/>
          <w:rtl/>
          <w:lang w:bidi="ar-SA"/>
        </w:rPr>
        <w:t>ل</w:t>
      </w:r>
      <w:r w:rsidRPr="00987608">
        <w:rPr>
          <w:sz w:val="26"/>
          <w:szCs w:val="26"/>
          <w:rtl/>
          <w:lang w:bidi="ar-SA"/>
        </w:rPr>
        <w:t>تحديد الخيارات اللازمة لتبسيط عملية إعداد التقارير وتقديمها</w:t>
      </w:r>
      <w:r w:rsidRPr="00987608">
        <w:rPr>
          <w:sz w:val="26"/>
          <w:szCs w:val="26"/>
          <w:rtl/>
          <w:lang w:bidi="ar"/>
        </w:rPr>
        <w:t>.</w:t>
      </w:r>
    </w:p>
    <w:p w14:paraId="6CC54623" w14:textId="77777777" w:rsidR="00423AB8" w:rsidRPr="00987608" w:rsidRDefault="00423AB8" w:rsidP="009775AF">
      <w:pPr>
        <w:pStyle w:val="Heading1"/>
        <w:bidi/>
        <w:spacing w:line="264" w:lineRule="auto"/>
        <w:rPr>
          <w:sz w:val="26"/>
          <w:szCs w:val="26"/>
        </w:rPr>
      </w:pPr>
      <w:r w:rsidRPr="00987608">
        <w:rPr>
          <w:sz w:val="26"/>
          <w:szCs w:val="26"/>
          <w:rtl/>
          <w:lang w:bidi="ar-SA"/>
        </w:rPr>
        <w:t>وسيقدم تقرير إتمام المشروعات المجمع إلى اللجنة التنفيذية نظرة</w:t>
      </w:r>
      <w:r w:rsidRPr="00987608">
        <w:rPr>
          <w:rFonts w:hint="cs"/>
          <w:sz w:val="26"/>
          <w:szCs w:val="26"/>
          <w:rtl/>
          <w:lang w:bidi="ar-SA"/>
        </w:rPr>
        <w:t>ً</w:t>
      </w:r>
      <w:r w:rsidRPr="00987608">
        <w:rPr>
          <w:sz w:val="26"/>
          <w:szCs w:val="26"/>
          <w:rtl/>
          <w:lang w:bidi="ar-SA"/>
        </w:rPr>
        <w:t xml:space="preserve"> عامة</w:t>
      </w:r>
      <w:r w:rsidRPr="00987608">
        <w:rPr>
          <w:rFonts w:hint="cs"/>
          <w:sz w:val="26"/>
          <w:szCs w:val="26"/>
          <w:rtl/>
          <w:lang w:bidi="ar-SA"/>
        </w:rPr>
        <w:t>ً</w:t>
      </w:r>
      <w:r w:rsidRPr="00987608">
        <w:rPr>
          <w:sz w:val="26"/>
          <w:szCs w:val="26"/>
          <w:rtl/>
          <w:lang w:bidi="ar-SA"/>
        </w:rPr>
        <w:t xml:space="preserve"> عن النتائج والدروس المستفادة كما ورد في تقارير الإتمام</w:t>
      </w:r>
      <w:r w:rsidRPr="00987608">
        <w:rPr>
          <w:sz w:val="26"/>
          <w:szCs w:val="26"/>
          <w:rtl/>
          <w:lang w:bidi="ar"/>
        </w:rPr>
        <w:t>.</w:t>
      </w:r>
    </w:p>
    <w:p w14:paraId="6720A592" w14:textId="77777777" w:rsidR="00423AB8" w:rsidRPr="00987608" w:rsidRDefault="00423AB8" w:rsidP="009775AF">
      <w:pPr>
        <w:pStyle w:val="Heading1"/>
        <w:keepNext/>
        <w:keepLines/>
        <w:widowControl w:val="0"/>
        <w:bidi/>
        <w:spacing w:line="264" w:lineRule="auto"/>
        <w:rPr>
          <w:sz w:val="26"/>
          <w:szCs w:val="26"/>
        </w:rPr>
      </w:pPr>
      <w:r w:rsidRPr="00987608">
        <w:rPr>
          <w:sz w:val="26"/>
          <w:szCs w:val="26"/>
          <w:rtl/>
          <w:lang w:bidi="ar-SA"/>
        </w:rPr>
        <w:t xml:space="preserve">وقد تنشأ قضايا إضافية ذات أهمية أثناء تنفيذ برنامج عمل عام </w:t>
      </w:r>
      <w:r w:rsidRPr="00987608">
        <w:rPr>
          <w:sz w:val="26"/>
          <w:szCs w:val="26"/>
          <w:rtl/>
          <w:lang w:bidi="ar"/>
        </w:rPr>
        <w:t xml:space="preserve">2020 </w:t>
      </w:r>
      <w:r w:rsidRPr="00987608">
        <w:rPr>
          <w:sz w:val="26"/>
          <w:szCs w:val="26"/>
          <w:rtl/>
          <w:lang w:bidi="ar-SA"/>
        </w:rPr>
        <w:t>مما يلزم أن تعالجه اللجنة التنفيذية</w:t>
      </w:r>
      <w:r w:rsidRPr="00987608">
        <w:rPr>
          <w:sz w:val="26"/>
          <w:szCs w:val="26"/>
          <w:rtl/>
          <w:lang w:bidi="ar"/>
        </w:rPr>
        <w:t xml:space="preserve">. </w:t>
      </w:r>
      <w:r w:rsidRPr="00987608">
        <w:rPr>
          <w:sz w:val="26"/>
          <w:szCs w:val="26"/>
          <w:rtl/>
          <w:lang w:bidi="ar-SA"/>
        </w:rPr>
        <w:t>ولذلك، قد يُسمح بدرجة ما من المرونة في تنفيذها وكذلك في تخصيص ميزانيتها من أجل استيعاب أي من هذه القضايا</w:t>
      </w:r>
      <w:r w:rsidRPr="00987608">
        <w:rPr>
          <w:sz w:val="26"/>
          <w:szCs w:val="26"/>
          <w:rtl/>
          <w:lang w:bidi="ar"/>
        </w:rPr>
        <w:t xml:space="preserve">. </w:t>
      </w:r>
    </w:p>
    <w:p w14:paraId="6A7CD1CA" w14:textId="77777777" w:rsidR="00423AB8" w:rsidRPr="00987608" w:rsidRDefault="00423AB8" w:rsidP="009775AF">
      <w:pPr>
        <w:pStyle w:val="Heading1"/>
        <w:keepNext/>
        <w:numPr>
          <w:ilvl w:val="0"/>
          <w:numId w:val="0"/>
        </w:numPr>
        <w:bidi/>
        <w:spacing w:line="264" w:lineRule="auto"/>
        <w:rPr>
          <w:b/>
          <w:sz w:val="26"/>
          <w:szCs w:val="26"/>
        </w:rPr>
      </w:pPr>
      <w:r w:rsidRPr="00987608">
        <w:rPr>
          <w:b/>
          <w:bCs/>
          <w:sz w:val="26"/>
          <w:szCs w:val="26"/>
          <w:rtl/>
          <w:lang w:bidi="ar-SA"/>
        </w:rPr>
        <w:t>الجدول الزمني للتقديم</w:t>
      </w:r>
    </w:p>
    <w:p w14:paraId="518926F8" w14:textId="77777777" w:rsidR="00423AB8" w:rsidRPr="00987608" w:rsidRDefault="00423AB8" w:rsidP="009775AF">
      <w:pPr>
        <w:pStyle w:val="Heading1"/>
        <w:tabs>
          <w:tab w:val="clear" w:pos="0"/>
        </w:tabs>
        <w:bidi/>
        <w:spacing w:line="264" w:lineRule="auto"/>
        <w:rPr>
          <w:sz w:val="26"/>
          <w:szCs w:val="26"/>
        </w:rPr>
      </w:pPr>
      <w:r w:rsidRPr="00987608">
        <w:rPr>
          <w:sz w:val="26"/>
          <w:szCs w:val="26"/>
          <w:rtl/>
          <w:lang w:bidi="ar-SA"/>
        </w:rPr>
        <w:t xml:space="preserve">ترد في الجدول </w:t>
      </w:r>
      <w:r w:rsidRPr="00987608">
        <w:rPr>
          <w:sz w:val="26"/>
          <w:szCs w:val="26"/>
          <w:rtl/>
          <w:lang w:bidi="ar"/>
        </w:rPr>
        <w:t xml:space="preserve">1 </w:t>
      </w:r>
      <w:r w:rsidRPr="00987608">
        <w:rPr>
          <w:sz w:val="26"/>
          <w:szCs w:val="26"/>
          <w:rtl/>
          <w:lang w:bidi="ar-SA"/>
        </w:rPr>
        <w:t xml:space="preserve">نظرة عامة على الأنشطة الواردة في مشروع برنامج عمل الرصد والتقييم المقترح لعام </w:t>
      </w:r>
      <w:r w:rsidRPr="00987608">
        <w:rPr>
          <w:sz w:val="26"/>
          <w:szCs w:val="26"/>
          <w:rtl/>
          <w:lang w:bidi="ar"/>
        </w:rPr>
        <w:t>2020.</w:t>
      </w:r>
    </w:p>
    <w:p w14:paraId="0A7D5564" w14:textId="0F18A168" w:rsidR="00676BAB" w:rsidRPr="003923B9" w:rsidRDefault="00423AB8" w:rsidP="003923B9">
      <w:pPr>
        <w:keepNext/>
        <w:keepLines/>
        <w:bidi/>
        <w:spacing w:after="240" w:line="360" w:lineRule="auto"/>
        <w:contextualSpacing/>
        <w:rPr>
          <w:b/>
          <w:bCs/>
          <w:sz w:val="26"/>
          <w:szCs w:val="26"/>
          <w:lang w:bidi="ar"/>
        </w:rPr>
      </w:pPr>
      <w:r w:rsidRPr="00987608">
        <w:rPr>
          <w:b/>
          <w:bCs/>
          <w:sz w:val="26"/>
          <w:szCs w:val="26"/>
          <w:rtl/>
          <w:lang w:bidi="ar-SA"/>
        </w:rPr>
        <w:lastRenderedPageBreak/>
        <w:t xml:space="preserve">الجدول </w:t>
      </w:r>
      <w:r w:rsidRPr="00987608">
        <w:rPr>
          <w:b/>
          <w:bCs/>
          <w:sz w:val="26"/>
          <w:szCs w:val="26"/>
          <w:rtl/>
          <w:lang w:bidi="ar"/>
        </w:rPr>
        <w:t xml:space="preserve">1: </w:t>
      </w:r>
      <w:r w:rsidRPr="00987608">
        <w:rPr>
          <w:b/>
          <w:bCs/>
          <w:sz w:val="26"/>
          <w:szCs w:val="26"/>
          <w:rtl/>
          <w:lang w:bidi="ar-SA"/>
        </w:rPr>
        <w:t xml:space="preserve">الجدول الزمني لتقديم الأنشطة في برنامج عمل الرصد والتقييم لعام </w:t>
      </w:r>
      <w:r w:rsidRPr="00987608">
        <w:rPr>
          <w:b/>
          <w:bCs/>
          <w:sz w:val="26"/>
          <w:szCs w:val="26"/>
          <w:rtl/>
          <w:lang w:bidi="ar"/>
        </w:rPr>
        <w:t>2020</w:t>
      </w:r>
    </w:p>
    <w:tbl>
      <w:tblPr>
        <w:tblStyle w:val="TableGrid"/>
        <w:bidiVisual/>
        <w:tblW w:w="9450" w:type="dxa"/>
        <w:tblInd w:w="-5" w:type="dxa"/>
        <w:tblLook w:val="04A0" w:firstRow="1" w:lastRow="0" w:firstColumn="1" w:lastColumn="0" w:noHBand="0" w:noVBand="1"/>
      </w:tblPr>
      <w:tblGrid>
        <w:gridCol w:w="4725"/>
        <w:gridCol w:w="4725"/>
      </w:tblGrid>
      <w:tr w:rsidR="00423AB8" w:rsidRPr="00987608" w14:paraId="0F0E8EF8" w14:textId="77777777" w:rsidTr="00652E20">
        <w:tc>
          <w:tcPr>
            <w:tcW w:w="4725" w:type="dxa"/>
          </w:tcPr>
          <w:p w14:paraId="0C2DE599" w14:textId="77777777" w:rsidR="00423AB8" w:rsidRPr="00987608" w:rsidRDefault="00423AB8" w:rsidP="00652E20">
            <w:pPr>
              <w:bidi/>
              <w:spacing w:line="360" w:lineRule="auto"/>
              <w:jc w:val="center"/>
              <w:rPr>
                <w:szCs w:val="25"/>
              </w:rPr>
            </w:pPr>
            <w:r w:rsidRPr="00987608">
              <w:rPr>
                <w:b/>
                <w:bCs/>
                <w:szCs w:val="25"/>
                <w:rtl/>
                <w:lang w:bidi="ar-SA"/>
              </w:rPr>
              <w:t>الاجتماع الخامس والثمانون</w:t>
            </w:r>
          </w:p>
        </w:tc>
        <w:tc>
          <w:tcPr>
            <w:tcW w:w="4725" w:type="dxa"/>
          </w:tcPr>
          <w:p w14:paraId="57CDD91A" w14:textId="77777777" w:rsidR="00423AB8" w:rsidRPr="00987608" w:rsidRDefault="00423AB8" w:rsidP="00652E20">
            <w:pPr>
              <w:pStyle w:val="Heading4"/>
              <w:keepNext w:val="0"/>
              <w:numPr>
                <w:ilvl w:val="0"/>
                <w:numId w:val="0"/>
              </w:numPr>
              <w:bidi/>
              <w:spacing w:before="0" w:after="0" w:line="360" w:lineRule="auto"/>
              <w:jc w:val="center"/>
              <w:outlineLvl w:val="3"/>
              <w:rPr>
                <w:szCs w:val="25"/>
              </w:rPr>
            </w:pPr>
            <w:r w:rsidRPr="00987608">
              <w:rPr>
                <w:b/>
                <w:bCs/>
                <w:szCs w:val="25"/>
                <w:rtl/>
                <w:lang w:bidi="ar-SA"/>
              </w:rPr>
              <w:t>الاجتماع السادس والثمانون</w:t>
            </w:r>
          </w:p>
        </w:tc>
      </w:tr>
      <w:tr w:rsidR="00423AB8" w:rsidRPr="00987608" w14:paraId="3F4FEAA1" w14:textId="77777777" w:rsidTr="00652E20">
        <w:tc>
          <w:tcPr>
            <w:tcW w:w="4725" w:type="dxa"/>
          </w:tcPr>
          <w:p w14:paraId="3C8F6F60" w14:textId="77777777" w:rsidR="00423AB8" w:rsidRPr="00987608" w:rsidRDefault="00423AB8" w:rsidP="003D087B">
            <w:pPr>
              <w:bidi/>
              <w:spacing w:line="264" w:lineRule="auto"/>
              <w:jc w:val="left"/>
              <w:rPr>
                <w:b/>
                <w:szCs w:val="25"/>
              </w:rPr>
            </w:pPr>
            <w:r w:rsidRPr="00987608">
              <w:rPr>
                <w:szCs w:val="25"/>
                <w:rtl/>
                <w:lang w:bidi="ar-SA"/>
              </w:rPr>
              <w:t xml:space="preserve">تقرير إتمام المشروعات المجمع الخاص بالاتفاقات المتعددة السنوات والمشروعات الفردية </w:t>
            </w:r>
          </w:p>
        </w:tc>
        <w:tc>
          <w:tcPr>
            <w:tcW w:w="4725" w:type="dxa"/>
          </w:tcPr>
          <w:p w14:paraId="65B080F4" w14:textId="77777777" w:rsidR="00423AB8" w:rsidRPr="00987608" w:rsidRDefault="00423AB8" w:rsidP="003D087B">
            <w:pPr>
              <w:pStyle w:val="Heading4"/>
              <w:keepNext w:val="0"/>
              <w:numPr>
                <w:ilvl w:val="0"/>
                <w:numId w:val="0"/>
              </w:numPr>
              <w:bidi/>
              <w:spacing w:before="0" w:after="0" w:line="264" w:lineRule="auto"/>
              <w:jc w:val="left"/>
              <w:outlineLvl w:val="3"/>
              <w:rPr>
                <w:b/>
                <w:szCs w:val="25"/>
              </w:rPr>
            </w:pPr>
            <w:r w:rsidRPr="00987608">
              <w:rPr>
                <w:szCs w:val="25"/>
                <w:rtl/>
                <w:lang w:bidi="ar-SA"/>
              </w:rPr>
              <w:t>تقرير إتمام المشروعات المجمع الخاص بالاتفاقات المتعددة السنوات والمشروعات الفردية</w:t>
            </w:r>
          </w:p>
        </w:tc>
      </w:tr>
      <w:tr w:rsidR="00423AB8" w:rsidRPr="00987608" w14:paraId="0FE6887C" w14:textId="77777777" w:rsidTr="00652E20">
        <w:tc>
          <w:tcPr>
            <w:tcW w:w="4725" w:type="dxa"/>
          </w:tcPr>
          <w:p w14:paraId="77E90218" w14:textId="77777777" w:rsidR="00423AB8" w:rsidRPr="00987608" w:rsidRDefault="00423AB8" w:rsidP="003D087B">
            <w:pPr>
              <w:bidi/>
              <w:spacing w:line="264" w:lineRule="auto"/>
              <w:rPr>
                <w:szCs w:val="25"/>
              </w:rPr>
            </w:pPr>
            <w:r w:rsidRPr="00987608">
              <w:rPr>
                <w:szCs w:val="25"/>
                <w:rtl/>
                <w:lang w:bidi="ar-SA"/>
              </w:rPr>
              <w:t>دراسة نظرية لتقييم الشبكات الإقليمية لموظفي الأوزون الوطنيين</w:t>
            </w:r>
          </w:p>
        </w:tc>
        <w:tc>
          <w:tcPr>
            <w:tcW w:w="4725" w:type="dxa"/>
          </w:tcPr>
          <w:p w14:paraId="41024A3B" w14:textId="77777777" w:rsidR="00423AB8" w:rsidRPr="00987608" w:rsidRDefault="00423AB8" w:rsidP="00652E20">
            <w:pPr>
              <w:pStyle w:val="Heading4"/>
              <w:keepNext w:val="0"/>
              <w:numPr>
                <w:ilvl w:val="0"/>
                <w:numId w:val="0"/>
              </w:numPr>
              <w:bidi/>
              <w:spacing w:before="0" w:after="0" w:line="360" w:lineRule="auto"/>
              <w:outlineLvl w:val="3"/>
              <w:rPr>
                <w:szCs w:val="25"/>
              </w:rPr>
            </w:pPr>
            <w:r w:rsidRPr="00987608">
              <w:rPr>
                <w:szCs w:val="25"/>
                <w:rtl/>
                <w:lang w:bidi="ar-SA"/>
              </w:rPr>
              <w:t>التقرير النهائي لتقييم استدامة إنجازات بروتوكول مونتريال</w:t>
            </w:r>
          </w:p>
        </w:tc>
      </w:tr>
      <w:tr w:rsidR="00423AB8" w:rsidRPr="00987608" w14:paraId="1881AEC6" w14:textId="77777777" w:rsidTr="00652E20">
        <w:tc>
          <w:tcPr>
            <w:tcW w:w="4725" w:type="dxa"/>
          </w:tcPr>
          <w:p w14:paraId="1A0EC8BA" w14:textId="77777777" w:rsidR="00423AB8" w:rsidRPr="00987608" w:rsidRDefault="00423AB8" w:rsidP="003D087B">
            <w:pPr>
              <w:bidi/>
              <w:spacing w:line="264" w:lineRule="auto"/>
              <w:rPr>
                <w:szCs w:val="25"/>
              </w:rPr>
            </w:pPr>
            <w:r w:rsidRPr="00987608">
              <w:rPr>
                <w:szCs w:val="25"/>
                <w:rtl/>
                <w:lang w:bidi="ar-SA"/>
              </w:rPr>
              <w:t>اختصاصات المرحلة الثانية من تقييم استدامة إنجازات بروتوكول مونتريال</w:t>
            </w:r>
          </w:p>
        </w:tc>
        <w:tc>
          <w:tcPr>
            <w:tcW w:w="4725" w:type="dxa"/>
          </w:tcPr>
          <w:p w14:paraId="44374C94" w14:textId="77777777" w:rsidR="00423AB8" w:rsidRPr="00987608" w:rsidRDefault="00423AB8" w:rsidP="00652E20">
            <w:pPr>
              <w:pStyle w:val="Heading4"/>
              <w:keepNext w:val="0"/>
              <w:numPr>
                <w:ilvl w:val="0"/>
                <w:numId w:val="0"/>
              </w:numPr>
              <w:bidi/>
              <w:spacing w:before="0" w:after="0" w:line="360" w:lineRule="auto"/>
              <w:outlineLvl w:val="3"/>
              <w:rPr>
                <w:szCs w:val="25"/>
              </w:rPr>
            </w:pPr>
            <w:r w:rsidRPr="00987608">
              <w:rPr>
                <w:szCs w:val="25"/>
                <w:rtl/>
                <w:lang w:bidi="ar-SA"/>
              </w:rPr>
              <w:t>دراسة نظرية لتقييم كفاءة الطاقة في قطاع الخدمات</w:t>
            </w:r>
          </w:p>
        </w:tc>
      </w:tr>
      <w:tr w:rsidR="00423AB8" w:rsidRPr="00987608" w14:paraId="20B233D8" w14:textId="77777777" w:rsidTr="00652E20">
        <w:tc>
          <w:tcPr>
            <w:tcW w:w="4725" w:type="dxa"/>
          </w:tcPr>
          <w:p w14:paraId="421A8FB6" w14:textId="77777777" w:rsidR="00423AB8" w:rsidRPr="00987608" w:rsidRDefault="00423AB8" w:rsidP="003D087B">
            <w:pPr>
              <w:bidi/>
              <w:spacing w:line="264" w:lineRule="auto"/>
              <w:rPr>
                <w:szCs w:val="25"/>
              </w:rPr>
            </w:pPr>
            <w:r w:rsidRPr="00987608">
              <w:rPr>
                <w:szCs w:val="25"/>
                <w:rtl/>
                <w:lang w:bidi="ar-SA"/>
              </w:rPr>
              <w:t>اختصاصات المرحلة الثانية من تقييم الشبكات الإقليمية لموظفي الأوزون الوطنيين</w:t>
            </w:r>
          </w:p>
        </w:tc>
        <w:tc>
          <w:tcPr>
            <w:tcW w:w="4725" w:type="dxa"/>
          </w:tcPr>
          <w:p w14:paraId="10081249" w14:textId="77777777" w:rsidR="00423AB8" w:rsidRPr="00987608" w:rsidRDefault="00423AB8" w:rsidP="00652E20">
            <w:pPr>
              <w:pStyle w:val="Heading4"/>
              <w:keepNext w:val="0"/>
              <w:numPr>
                <w:ilvl w:val="0"/>
                <w:numId w:val="0"/>
              </w:numPr>
              <w:spacing w:before="0" w:after="0" w:line="360" w:lineRule="auto"/>
              <w:outlineLvl w:val="3"/>
              <w:rPr>
                <w:szCs w:val="25"/>
              </w:rPr>
            </w:pPr>
          </w:p>
        </w:tc>
      </w:tr>
    </w:tbl>
    <w:p w14:paraId="6F7B9738" w14:textId="77777777" w:rsidR="00423AB8" w:rsidRPr="00987608" w:rsidRDefault="00423AB8" w:rsidP="00423AB8">
      <w:pPr>
        <w:keepNext/>
        <w:keepLines/>
        <w:bidi/>
        <w:spacing w:before="240" w:after="240" w:line="360" w:lineRule="auto"/>
        <w:rPr>
          <w:b/>
          <w:sz w:val="26"/>
          <w:szCs w:val="26"/>
        </w:rPr>
      </w:pPr>
      <w:r w:rsidRPr="00987608">
        <w:rPr>
          <w:b/>
          <w:bCs/>
          <w:sz w:val="26"/>
          <w:szCs w:val="26"/>
          <w:rtl/>
          <w:lang w:bidi="ar-SA"/>
        </w:rPr>
        <w:t>الميزانية</w:t>
      </w:r>
    </w:p>
    <w:p w14:paraId="7365308F" w14:textId="77777777" w:rsidR="00423AB8" w:rsidRPr="00987608" w:rsidRDefault="00423AB8" w:rsidP="003D087B">
      <w:pPr>
        <w:pStyle w:val="Heading1"/>
        <w:keepNext/>
        <w:keepLines/>
        <w:bidi/>
        <w:spacing w:line="264" w:lineRule="auto"/>
        <w:rPr>
          <w:sz w:val="26"/>
          <w:szCs w:val="26"/>
        </w:rPr>
      </w:pPr>
      <w:r w:rsidRPr="00987608">
        <w:rPr>
          <w:sz w:val="26"/>
          <w:szCs w:val="26"/>
          <w:rtl/>
          <w:lang w:bidi="ar-SA"/>
        </w:rPr>
        <w:t xml:space="preserve">يعرض الجدول </w:t>
      </w:r>
      <w:r w:rsidRPr="00987608">
        <w:rPr>
          <w:sz w:val="26"/>
          <w:szCs w:val="26"/>
          <w:rtl/>
          <w:lang w:bidi="ar"/>
        </w:rPr>
        <w:t xml:space="preserve">2 </w:t>
      </w:r>
      <w:r w:rsidRPr="00987608">
        <w:rPr>
          <w:sz w:val="26"/>
          <w:szCs w:val="26"/>
          <w:rtl/>
          <w:lang w:bidi="ar-SA"/>
        </w:rPr>
        <w:t xml:space="preserve">ميزانية برنامج عمل الرصد والتقييم لعام </w:t>
      </w:r>
      <w:r w:rsidRPr="00987608">
        <w:rPr>
          <w:sz w:val="26"/>
          <w:szCs w:val="26"/>
          <w:rtl/>
          <w:lang w:bidi="ar"/>
        </w:rPr>
        <w:t xml:space="preserve">2020. </w:t>
      </w:r>
      <w:r w:rsidRPr="00987608">
        <w:rPr>
          <w:sz w:val="26"/>
          <w:szCs w:val="26"/>
          <w:rtl/>
          <w:lang w:bidi="ar-SA"/>
        </w:rPr>
        <w:t>ويشمل الأتعاب وتكاليف السفر للخبراء الاستشاريين، وكذلك المسؤول الرئيسي للرصد والتقييم، ممن سيشاركون في مجموعة مختارة من الزيارات الميدانية</w:t>
      </w:r>
      <w:r w:rsidRPr="00987608">
        <w:rPr>
          <w:sz w:val="26"/>
          <w:szCs w:val="26"/>
          <w:rtl/>
          <w:lang w:bidi="ar"/>
        </w:rPr>
        <w:t xml:space="preserve">. </w:t>
      </w:r>
    </w:p>
    <w:p w14:paraId="0C04C97A" w14:textId="77777777" w:rsidR="00423AB8" w:rsidRPr="00987608" w:rsidRDefault="00423AB8" w:rsidP="00423AB8">
      <w:pPr>
        <w:keepNext/>
        <w:bidi/>
        <w:spacing w:line="360" w:lineRule="auto"/>
        <w:contextualSpacing/>
        <w:jc w:val="left"/>
        <w:rPr>
          <w:b/>
          <w:sz w:val="26"/>
          <w:szCs w:val="26"/>
        </w:rPr>
      </w:pPr>
      <w:r w:rsidRPr="00987608">
        <w:rPr>
          <w:b/>
          <w:bCs/>
          <w:sz w:val="26"/>
          <w:szCs w:val="26"/>
          <w:rtl/>
          <w:lang w:bidi="ar-SA"/>
        </w:rPr>
        <w:t xml:space="preserve">الجدول </w:t>
      </w:r>
      <w:r w:rsidRPr="00987608">
        <w:rPr>
          <w:b/>
          <w:bCs/>
          <w:sz w:val="26"/>
          <w:szCs w:val="26"/>
          <w:rtl/>
          <w:lang w:bidi="ar"/>
        </w:rPr>
        <w:t xml:space="preserve">2: </w:t>
      </w:r>
      <w:r w:rsidRPr="00987608">
        <w:rPr>
          <w:b/>
          <w:bCs/>
          <w:sz w:val="26"/>
          <w:szCs w:val="26"/>
          <w:rtl/>
          <w:lang w:bidi="ar-SA"/>
        </w:rPr>
        <w:t xml:space="preserve">الميزانية المقترحة لبرنامج عمل الرصد والتقييم لعام </w:t>
      </w:r>
      <w:r w:rsidRPr="00987608">
        <w:rPr>
          <w:b/>
          <w:bCs/>
          <w:sz w:val="26"/>
          <w:szCs w:val="26"/>
          <w:rtl/>
          <w:lang w:bidi="ar"/>
        </w:rPr>
        <w:t>2020</w:t>
      </w:r>
    </w:p>
    <w:tbl>
      <w:tblPr>
        <w:tblStyle w:val="TableGrid"/>
        <w:bidiVisual/>
        <w:tblW w:w="5000" w:type="pct"/>
        <w:tblInd w:w="-5" w:type="dxa"/>
        <w:tblLook w:val="04A0" w:firstRow="1" w:lastRow="0" w:firstColumn="1" w:lastColumn="0" w:noHBand="0" w:noVBand="1"/>
      </w:tblPr>
      <w:tblGrid>
        <w:gridCol w:w="7658"/>
        <w:gridCol w:w="1692"/>
      </w:tblGrid>
      <w:tr w:rsidR="00423AB8" w:rsidRPr="00987608" w14:paraId="2DF8FC4A" w14:textId="77777777" w:rsidTr="00652E20">
        <w:trPr>
          <w:tblHeader/>
        </w:trPr>
        <w:tc>
          <w:tcPr>
            <w:tcW w:w="4095" w:type="pct"/>
            <w:vAlign w:val="center"/>
          </w:tcPr>
          <w:p w14:paraId="2EB1F39C" w14:textId="77777777" w:rsidR="00423AB8" w:rsidRPr="00987608" w:rsidRDefault="00423AB8" w:rsidP="00652E20">
            <w:pPr>
              <w:pStyle w:val="Heading1"/>
              <w:numPr>
                <w:ilvl w:val="0"/>
                <w:numId w:val="0"/>
              </w:numPr>
              <w:bidi/>
              <w:spacing w:after="0" w:line="360" w:lineRule="auto"/>
              <w:outlineLvl w:val="0"/>
              <w:rPr>
                <w:szCs w:val="24"/>
              </w:rPr>
            </w:pPr>
            <w:r w:rsidRPr="00987608">
              <w:rPr>
                <w:b/>
                <w:bCs/>
                <w:szCs w:val="24"/>
                <w:rtl/>
                <w:lang w:bidi="ar-SA"/>
              </w:rPr>
              <w:t>البيان</w:t>
            </w:r>
          </w:p>
        </w:tc>
        <w:tc>
          <w:tcPr>
            <w:tcW w:w="905" w:type="pct"/>
            <w:vAlign w:val="center"/>
          </w:tcPr>
          <w:p w14:paraId="7BDB7A8A" w14:textId="77777777" w:rsidR="00423AB8" w:rsidRPr="00987608" w:rsidRDefault="00423AB8" w:rsidP="00652E20">
            <w:pPr>
              <w:pStyle w:val="Heading1"/>
              <w:numPr>
                <w:ilvl w:val="0"/>
                <w:numId w:val="0"/>
              </w:numPr>
              <w:bidi/>
              <w:spacing w:after="0" w:line="360" w:lineRule="auto"/>
              <w:jc w:val="center"/>
              <w:outlineLvl w:val="0"/>
              <w:rPr>
                <w:szCs w:val="24"/>
              </w:rPr>
            </w:pPr>
            <w:r w:rsidRPr="00987608">
              <w:rPr>
                <w:b/>
                <w:bCs/>
                <w:szCs w:val="24"/>
                <w:rtl/>
                <w:lang w:bidi="ar-SA"/>
              </w:rPr>
              <w:t xml:space="preserve">المبلغ </w:t>
            </w:r>
            <w:r w:rsidRPr="00987608">
              <w:rPr>
                <w:b/>
                <w:bCs/>
                <w:szCs w:val="24"/>
                <w:rtl/>
                <w:lang w:bidi="ar"/>
              </w:rPr>
              <w:t>(</w:t>
            </w:r>
            <w:r w:rsidRPr="00987608">
              <w:rPr>
                <w:b/>
                <w:bCs/>
                <w:szCs w:val="24"/>
                <w:rtl/>
                <w:lang w:bidi="ar-SA"/>
              </w:rPr>
              <w:t>بالدولارات الأمريكية</w:t>
            </w:r>
            <w:r w:rsidRPr="00987608">
              <w:rPr>
                <w:b/>
                <w:bCs/>
                <w:szCs w:val="24"/>
                <w:rtl/>
                <w:lang w:bidi="ar"/>
              </w:rPr>
              <w:t>)</w:t>
            </w:r>
          </w:p>
        </w:tc>
      </w:tr>
      <w:tr w:rsidR="00423AB8" w:rsidRPr="00987608" w14:paraId="4F5CEC38" w14:textId="77777777" w:rsidTr="00652E20">
        <w:tc>
          <w:tcPr>
            <w:tcW w:w="4095" w:type="pct"/>
          </w:tcPr>
          <w:p w14:paraId="43F37BF9" w14:textId="77777777" w:rsidR="00423AB8" w:rsidRPr="00987608" w:rsidRDefault="00423AB8" w:rsidP="00652E20">
            <w:pPr>
              <w:pStyle w:val="Heading1"/>
              <w:numPr>
                <w:ilvl w:val="0"/>
                <w:numId w:val="0"/>
              </w:numPr>
              <w:bidi/>
              <w:spacing w:after="0" w:line="360" w:lineRule="auto"/>
              <w:jc w:val="left"/>
              <w:outlineLvl w:val="0"/>
              <w:rPr>
                <w:b/>
                <w:szCs w:val="24"/>
              </w:rPr>
            </w:pPr>
            <w:r w:rsidRPr="00987608">
              <w:rPr>
                <w:b/>
                <w:bCs/>
                <w:szCs w:val="24"/>
                <w:rtl/>
                <w:lang w:bidi="ar-SA"/>
              </w:rPr>
              <w:t>المرحلة الثانية من تقييم استدامة إنجازات بروتوكول مونتريال</w:t>
            </w:r>
          </w:p>
        </w:tc>
        <w:tc>
          <w:tcPr>
            <w:tcW w:w="905" w:type="pct"/>
            <w:vAlign w:val="center"/>
          </w:tcPr>
          <w:p w14:paraId="6EE7D82B" w14:textId="77777777" w:rsidR="00423AB8" w:rsidRPr="00987608" w:rsidRDefault="00423AB8" w:rsidP="00652E20">
            <w:pPr>
              <w:pStyle w:val="Heading1"/>
              <w:numPr>
                <w:ilvl w:val="0"/>
                <w:numId w:val="0"/>
              </w:numPr>
              <w:spacing w:after="0" w:line="360" w:lineRule="auto"/>
              <w:jc w:val="right"/>
              <w:outlineLvl w:val="0"/>
              <w:rPr>
                <w:szCs w:val="24"/>
              </w:rPr>
            </w:pPr>
          </w:p>
        </w:tc>
      </w:tr>
      <w:tr w:rsidR="00423AB8" w:rsidRPr="00987608" w14:paraId="6E641519" w14:textId="77777777" w:rsidTr="00652E20">
        <w:tc>
          <w:tcPr>
            <w:tcW w:w="4095" w:type="pct"/>
            <w:shd w:val="clear" w:color="auto" w:fill="auto"/>
          </w:tcPr>
          <w:p w14:paraId="3ADF1143"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rFonts w:hint="cs"/>
                <w:szCs w:val="24"/>
                <w:rtl/>
                <w:lang w:bidi="ar-SA"/>
              </w:rPr>
              <w:t>ال</w:t>
            </w:r>
            <w:r w:rsidRPr="00987608">
              <w:rPr>
                <w:szCs w:val="24"/>
                <w:rtl/>
                <w:lang w:bidi="ar-SA"/>
              </w:rPr>
              <w:t xml:space="preserve">زيارات </w:t>
            </w:r>
            <w:r w:rsidRPr="00987608">
              <w:rPr>
                <w:rFonts w:hint="cs"/>
                <w:szCs w:val="24"/>
                <w:rtl/>
                <w:lang w:bidi="ar-SA"/>
              </w:rPr>
              <w:t>ال</w:t>
            </w:r>
            <w:r w:rsidRPr="00987608">
              <w:rPr>
                <w:szCs w:val="24"/>
                <w:rtl/>
                <w:lang w:bidi="ar-SA"/>
              </w:rPr>
              <w:t xml:space="preserve">ميدانية </w:t>
            </w:r>
            <w:r w:rsidRPr="00987608">
              <w:rPr>
                <w:szCs w:val="24"/>
                <w:rtl/>
                <w:lang w:bidi="ar"/>
              </w:rPr>
              <w:t xml:space="preserve">(5 </w:t>
            </w:r>
            <w:r w:rsidRPr="00987608">
              <w:rPr>
                <w:szCs w:val="24"/>
                <w:rtl/>
                <w:lang w:bidi="ar-SA"/>
              </w:rPr>
              <w:t xml:space="preserve">بلدان، </w:t>
            </w:r>
            <w:r w:rsidRPr="00987608">
              <w:rPr>
                <w:szCs w:val="24"/>
                <w:rtl/>
                <w:lang w:bidi="ar"/>
              </w:rPr>
              <w:t xml:space="preserve">7 </w:t>
            </w:r>
            <w:r w:rsidRPr="00987608">
              <w:rPr>
                <w:szCs w:val="24"/>
                <w:rtl/>
                <w:lang w:bidi="ar-SA"/>
              </w:rPr>
              <w:t>أيام</w:t>
            </w:r>
            <w:r w:rsidRPr="00987608">
              <w:rPr>
                <w:szCs w:val="24"/>
                <w:rtl/>
                <w:lang w:bidi="ar"/>
              </w:rPr>
              <w:t>/</w:t>
            </w:r>
            <w:r w:rsidRPr="00987608">
              <w:rPr>
                <w:szCs w:val="24"/>
                <w:rtl/>
                <w:lang w:bidi="ar-SA"/>
              </w:rPr>
              <w:t>بلد</w:t>
            </w:r>
            <w:r w:rsidRPr="00987608">
              <w:rPr>
                <w:szCs w:val="24"/>
                <w:rtl/>
                <w:lang w:bidi="ar"/>
              </w:rPr>
              <w:t>)</w:t>
            </w:r>
          </w:p>
        </w:tc>
        <w:tc>
          <w:tcPr>
            <w:tcW w:w="905" w:type="pct"/>
            <w:shd w:val="clear" w:color="auto" w:fill="auto"/>
            <w:vAlign w:val="center"/>
          </w:tcPr>
          <w:p w14:paraId="1AA606EB" w14:textId="77777777" w:rsidR="00423AB8" w:rsidRPr="00987608" w:rsidRDefault="00423AB8" w:rsidP="00652E20">
            <w:pPr>
              <w:pStyle w:val="Heading1"/>
              <w:numPr>
                <w:ilvl w:val="0"/>
                <w:numId w:val="0"/>
              </w:numPr>
              <w:spacing w:after="0" w:line="360" w:lineRule="auto"/>
              <w:jc w:val="right"/>
              <w:outlineLvl w:val="0"/>
              <w:rPr>
                <w:szCs w:val="24"/>
              </w:rPr>
            </w:pPr>
          </w:p>
        </w:tc>
      </w:tr>
      <w:tr w:rsidR="00423AB8" w:rsidRPr="00987608" w14:paraId="337E95B4" w14:textId="77777777" w:rsidTr="00652E20">
        <w:tc>
          <w:tcPr>
            <w:tcW w:w="4095" w:type="pct"/>
            <w:shd w:val="clear" w:color="auto" w:fill="auto"/>
          </w:tcPr>
          <w:p w14:paraId="108A54F9"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szCs w:val="24"/>
                <w:rtl/>
                <w:lang w:bidi="ar-SA"/>
              </w:rPr>
              <w:t>العاملون</w:t>
            </w:r>
            <w:r w:rsidRPr="00987608">
              <w:rPr>
                <w:szCs w:val="24"/>
                <w:rtl/>
                <w:lang w:bidi="ar"/>
              </w:rPr>
              <w:t>:</w:t>
            </w:r>
          </w:p>
        </w:tc>
        <w:tc>
          <w:tcPr>
            <w:tcW w:w="905" w:type="pct"/>
            <w:shd w:val="clear" w:color="auto" w:fill="auto"/>
            <w:vAlign w:val="center"/>
          </w:tcPr>
          <w:p w14:paraId="25EA95B9" w14:textId="77777777" w:rsidR="00423AB8" w:rsidRPr="00987608" w:rsidRDefault="00423AB8" w:rsidP="00652E20">
            <w:pPr>
              <w:pStyle w:val="Heading1"/>
              <w:numPr>
                <w:ilvl w:val="0"/>
                <w:numId w:val="0"/>
              </w:numPr>
              <w:spacing w:after="0" w:line="360" w:lineRule="auto"/>
              <w:jc w:val="right"/>
              <w:outlineLvl w:val="0"/>
              <w:rPr>
                <w:szCs w:val="24"/>
              </w:rPr>
            </w:pPr>
          </w:p>
        </w:tc>
      </w:tr>
      <w:tr w:rsidR="00423AB8" w:rsidRPr="00987608" w14:paraId="12793DB8" w14:textId="77777777" w:rsidTr="00652E20">
        <w:tc>
          <w:tcPr>
            <w:tcW w:w="4095" w:type="pct"/>
            <w:shd w:val="clear" w:color="auto" w:fill="auto"/>
          </w:tcPr>
          <w:p w14:paraId="1A41D669" w14:textId="77777777" w:rsidR="00423AB8" w:rsidRPr="00987608" w:rsidRDefault="00423AB8" w:rsidP="00423AB8">
            <w:pPr>
              <w:pStyle w:val="Heading1"/>
              <w:numPr>
                <w:ilvl w:val="0"/>
                <w:numId w:val="25"/>
              </w:numPr>
              <w:bidi/>
              <w:spacing w:after="0" w:line="360" w:lineRule="auto"/>
              <w:jc w:val="left"/>
              <w:outlineLvl w:val="0"/>
              <w:rPr>
                <w:szCs w:val="24"/>
              </w:rPr>
            </w:pPr>
            <w:r w:rsidRPr="00987608">
              <w:rPr>
                <w:szCs w:val="24"/>
                <w:rtl/>
                <w:lang w:bidi="ar-SA"/>
              </w:rPr>
              <w:t xml:space="preserve">السفر </w:t>
            </w:r>
            <w:r w:rsidRPr="00987608">
              <w:rPr>
                <w:szCs w:val="24"/>
                <w:rtl/>
                <w:lang w:bidi="ar"/>
              </w:rPr>
              <w:t xml:space="preserve">(4 </w:t>
            </w:r>
            <w:r w:rsidRPr="00987608">
              <w:rPr>
                <w:szCs w:val="24"/>
                <w:rtl/>
                <w:lang w:bidi="ar-SA"/>
              </w:rPr>
              <w:t xml:space="preserve">بلدان </w:t>
            </w:r>
            <w:r w:rsidRPr="00987608">
              <w:rPr>
                <w:szCs w:val="24"/>
                <w:rtl/>
                <w:lang w:bidi="ar"/>
              </w:rPr>
              <w:t xml:space="preserve">* 6000 </w:t>
            </w:r>
            <w:r w:rsidRPr="00987608">
              <w:rPr>
                <w:szCs w:val="24"/>
                <w:rtl/>
                <w:lang w:bidi="ar-SA"/>
              </w:rPr>
              <w:t>دولار أمريكي</w:t>
            </w:r>
            <w:r w:rsidRPr="00987608">
              <w:rPr>
                <w:szCs w:val="24"/>
                <w:rtl/>
                <w:lang w:bidi="ar"/>
              </w:rPr>
              <w:t>)</w:t>
            </w:r>
          </w:p>
        </w:tc>
        <w:tc>
          <w:tcPr>
            <w:tcW w:w="905" w:type="pct"/>
            <w:shd w:val="clear" w:color="auto" w:fill="auto"/>
            <w:vAlign w:val="center"/>
          </w:tcPr>
          <w:p w14:paraId="6ACB4093"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24,000</w:t>
            </w:r>
          </w:p>
        </w:tc>
      </w:tr>
      <w:tr w:rsidR="00423AB8" w:rsidRPr="00987608" w14:paraId="762AC8C0" w14:textId="77777777" w:rsidTr="00652E20">
        <w:tc>
          <w:tcPr>
            <w:tcW w:w="4095" w:type="pct"/>
            <w:shd w:val="clear" w:color="auto" w:fill="auto"/>
          </w:tcPr>
          <w:p w14:paraId="50416820" w14:textId="77777777" w:rsidR="00423AB8" w:rsidRPr="00987608" w:rsidRDefault="00423AB8" w:rsidP="00423AB8">
            <w:pPr>
              <w:pStyle w:val="Heading1"/>
              <w:numPr>
                <w:ilvl w:val="0"/>
                <w:numId w:val="25"/>
              </w:numPr>
              <w:bidi/>
              <w:spacing w:after="0" w:line="360" w:lineRule="auto"/>
              <w:jc w:val="left"/>
              <w:outlineLvl w:val="0"/>
              <w:rPr>
                <w:szCs w:val="24"/>
              </w:rPr>
            </w:pPr>
            <w:r w:rsidRPr="00987608">
              <w:rPr>
                <w:szCs w:val="24"/>
                <w:rtl/>
                <w:lang w:bidi="ar-SA"/>
              </w:rPr>
              <w:t xml:space="preserve">بدل الإعاشة اليومي </w:t>
            </w:r>
            <w:r w:rsidRPr="00987608">
              <w:rPr>
                <w:szCs w:val="24"/>
                <w:rtl/>
                <w:lang w:bidi="ar"/>
              </w:rPr>
              <w:t xml:space="preserve">(28 </w:t>
            </w:r>
            <w:r w:rsidRPr="00987608">
              <w:rPr>
                <w:szCs w:val="24"/>
                <w:rtl/>
                <w:lang w:bidi="ar-SA"/>
              </w:rPr>
              <w:t xml:space="preserve">يوما </w:t>
            </w:r>
            <w:r w:rsidRPr="00987608">
              <w:rPr>
                <w:szCs w:val="24"/>
                <w:rtl/>
                <w:lang w:bidi="ar"/>
              </w:rPr>
              <w:t xml:space="preserve">* 350 </w:t>
            </w:r>
            <w:r w:rsidRPr="00987608">
              <w:rPr>
                <w:szCs w:val="24"/>
                <w:rtl/>
                <w:lang w:bidi="ar-SA"/>
              </w:rPr>
              <w:t>دولارا أمريكيا</w:t>
            </w:r>
            <w:r w:rsidRPr="00987608">
              <w:rPr>
                <w:szCs w:val="24"/>
                <w:rtl/>
                <w:lang w:bidi="ar"/>
              </w:rPr>
              <w:t>/</w:t>
            </w:r>
            <w:r w:rsidRPr="00987608">
              <w:rPr>
                <w:szCs w:val="24"/>
                <w:rtl/>
                <w:lang w:bidi="ar-SA"/>
              </w:rPr>
              <w:t>يوم</w:t>
            </w:r>
            <w:r w:rsidRPr="00987608">
              <w:rPr>
                <w:szCs w:val="24"/>
                <w:rtl/>
                <w:lang w:bidi="ar"/>
              </w:rPr>
              <w:t>)</w:t>
            </w:r>
          </w:p>
        </w:tc>
        <w:tc>
          <w:tcPr>
            <w:tcW w:w="905" w:type="pct"/>
            <w:shd w:val="clear" w:color="auto" w:fill="auto"/>
            <w:vAlign w:val="center"/>
          </w:tcPr>
          <w:p w14:paraId="78447AE0"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9,800</w:t>
            </w:r>
          </w:p>
        </w:tc>
      </w:tr>
      <w:tr w:rsidR="00423AB8" w:rsidRPr="00987608" w14:paraId="7B5C6EA9" w14:textId="77777777" w:rsidTr="00652E20">
        <w:tc>
          <w:tcPr>
            <w:tcW w:w="4095" w:type="pct"/>
          </w:tcPr>
          <w:p w14:paraId="626464CF"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szCs w:val="24"/>
                <w:rtl/>
                <w:lang w:bidi="ar-SA"/>
              </w:rPr>
              <w:t xml:space="preserve">الخبراء الاستشاريون </w:t>
            </w:r>
          </w:p>
        </w:tc>
        <w:tc>
          <w:tcPr>
            <w:tcW w:w="905" w:type="pct"/>
            <w:vAlign w:val="center"/>
          </w:tcPr>
          <w:p w14:paraId="407C4B2A" w14:textId="77777777" w:rsidR="00423AB8" w:rsidRPr="00987608" w:rsidRDefault="00423AB8" w:rsidP="00652E20">
            <w:pPr>
              <w:pStyle w:val="Heading1"/>
              <w:numPr>
                <w:ilvl w:val="0"/>
                <w:numId w:val="0"/>
              </w:numPr>
              <w:spacing w:after="0" w:line="360" w:lineRule="auto"/>
              <w:jc w:val="right"/>
              <w:outlineLvl w:val="0"/>
              <w:rPr>
                <w:szCs w:val="24"/>
                <w:highlight w:val="green"/>
              </w:rPr>
            </w:pPr>
          </w:p>
        </w:tc>
      </w:tr>
      <w:tr w:rsidR="00423AB8" w:rsidRPr="00987608" w14:paraId="6AD4C48C" w14:textId="77777777" w:rsidTr="00652E20">
        <w:tc>
          <w:tcPr>
            <w:tcW w:w="4095" w:type="pct"/>
          </w:tcPr>
          <w:p w14:paraId="240E3285" w14:textId="77777777" w:rsidR="00423AB8" w:rsidRPr="00987608" w:rsidRDefault="00423AB8" w:rsidP="00423AB8">
            <w:pPr>
              <w:pStyle w:val="Heading1"/>
              <w:numPr>
                <w:ilvl w:val="0"/>
                <w:numId w:val="25"/>
              </w:numPr>
              <w:bidi/>
              <w:spacing w:after="0" w:line="360" w:lineRule="auto"/>
              <w:jc w:val="left"/>
              <w:outlineLvl w:val="0"/>
              <w:rPr>
                <w:szCs w:val="24"/>
              </w:rPr>
            </w:pPr>
            <w:r w:rsidRPr="00987608">
              <w:rPr>
                <w:szCs w:val="24"/>
                <w:rtl/>
                <w:lang w:bidi="ar-SA"/>
              </w:rPr>
              <w:t xml:space="preserve">الأتعاب </w:t>
            </w:r>
            <w:r w:rsidRPr="00987608">
              <w:rPr>
                <w:szCs w:val="24"/>
                <w:rtl/>
                <w:lang w:bidi="ar"/>
              </w:rPr>
              <w:t xml:space="preserve">(7 </w:t>
            </w:r>
            <w:r w:rsidRPr="00987608">
              <w:rPr>
                <w:szCs w:val="24"/>
                <w:rtl/>
                <w:lang w:bidi="ar-SA"/>
              </w:rPr>
              <w:t xml:space="preserve">أيام </w:t>
            </w:r>
            <w:r w:rsidRPr="00987608">
              <w:rPr>
                <w:szCs w:val="24"/>
                <w:rtl/>
                <w:lang w:bidi="ar"/>
              </w:rPr>
              <w:t xml:space="preserve">* 5 </w:t>
            </w:r>
            <w:r w:rsidRPr="00987608">
              <w:rPr>
                <w:szCs w:val="24"/>
                <w:rtl/>
                <w:lang w:bidi="ar-SA"/>
              </w:rPr>
              <w:t xml:space="preserve">بلدان </w:t>
            </w:r>
            <w:r w:rsidRPr="00987608">
              <w:rPr>
                <w:szCs w:val="24"/>
                <w:rtl/>
                <w:lang w:bidi="ar"/>
              </w:rPr>
              <w:t xml:space="preserve">* 500 </w:t>
            </w:r>
            <w:r w:rsidRPr="00987608">
              <w:rPr>
                <w:szCs w:val="24"/>
                <w:rtl/>
                <w:lang w:bidi="ar-SA"/>
              </w:rPr>
              <w:t>دولار أمريكي</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4FB4EC29"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17,500</w:t>
            </w:r>
          </w:p>
        </w:tc>
      </w:tr>
      <w:tr w:rsidR="00423AB8" w:rsidRPr="00987608" w14:paraId="073BABC9" w14:textId="77777777" w:rsidTr="00652E20">
        <w:tc>
          <w:tcPr>
            <w:tcW w:w="4095" w:type="pct"/>
          </w:tcPr>
          <w:p w14:paraId="7F851F06" w14:textId="77777777" w:rsidR="00423AB8" w:rsidRPr="00987608" w:rsidRDefault="00423AB8" w:rsidP="00423AB8">
            <w:pPr>
              <w:pStyle w:val="Heading1"/>
              <w:numPr>
                <w:ilvl w:val="0"/>
                <w:numId w:val="25"/>
              </w:numPr>
              <w:bidi/>
              <w:spacing w:after="0" w:line="360" w:lineRule="auto"/>
              <w:jc w:val="left"/>
              <w:outlineLvl w:val="0"/>
              <w:rPr>
                <w:szCs w:val="24"/>
              </w:rPr>
            </w:pPr>
            <w:r w:rsidRPr="00987608">
              <w:rPr>
                <w:szCs w:val="24"/>
                <w:rtl/>
                <w:lang w:bidi="ar-SA"/>
              </w:rPr>
              <w:t xml:space="preserve">السفر </w:t>
            </w:r>
            <w:r w:rsidRPr="00987608">
              <w:rPr>
                <w:szCs w:val="24"/>
                <w:rtl/>
                <w:lang w:bidi="ar"/>
              </w:rPr>
              <w:t xml:space="preserve">(5 </w:t>
            </w:r>
            <w:r w:rsidRPr="00987608">
              <w:rPr>
                <w:szCs w:val="24"/>
                <w:rtl/>
                <w:lang w:bidi="ar-SA"/>
              </w:rPr>
              <w:t xml:space="preserve">بلدان </w:t>
            </w:r>
            <w:r w:rsidRPr="00987608">
              <w:rPr>
                <w:szCs w:val="24"/>
                <w:rtl/>
                <w:lang w:bidi="ar"/>
              </w:rPr>
              <w:t xml:space="preserve">* 3000 </w:t>
            </w:r>
            <w:r w:rsidRPr="00987608">
              <w:rPr>
                <w:szCs w:val="24"/>
                <w:rtl/>
                <w:lang w:bidi="ar-SA"/>
              </w:rPr>
              <w:t>دولار أمريكي</w:t>
            </w:r>
            <w:r w:rsidRPr="00987608">
              <w:rPr>
                <w:szCs w:val="24"/>
                <w:rtl/>
                <w:lang w:bidi="ar"/>
              </w:rPr>
              <w:t>)</w:t>
            </w:r>
          </w:p>
        </w:tc>
        <w:tc>
          <w:tcPr>
            <w:tcW w:w="905" w:type="pct"/>
            <w:vAlign w:val="center"/>
          </w:tcPr>
          <w:p w14:paraId="3104263C"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15,000</w:t>
            </w:r>
          </w:p>
        </w:tc>
      </w:tr>
      <w:tr w:rsidR="00423AB8" w:rsidRPr="00987608" w14:paraId="4B898069" w14:textId="77777777" w:rsidTr="00652E20">
        <w:tc>
          <w:tcPr>
            <w:tcW w:w="4095" w:type="pct"/>
          </w:tcPr>
          <w:p w14:paraId="1739E549" w14:textId="77777777" w:rsidR="00423AB8" w:rsidRPr="00987608" w:rsidRDefault="00423AB8" w:rsidP="00423AB8">
            <w:pPr>
              <w:pStyle w:val="Heading1"/>
              <w:numPr>
                <w:ilvl w:val="0"/>
                <w:numId w:val="25"/>
              </w:numPr>
              <w:bidi/>
              <w:spacing w:after="0" w:line="360" w:lineRule="auto"/>
              <w:jc w:val="left"/>
              <w:outlineLvl w:val="0"/>
              <w:rPr>
                <w:szCs w:val="24"/>
              </w:rPr>
            </w:pPr>
            <w:r w:rsidRPr="00987608">
              <w:rPr>
                <w:szCs w:val="24"/>
                <w:rtl/>
                <w:lang w:bidi="ar-SA"/>
              </w:rPr>
              <w:t xml:space="preserve">بدل الإعاشة اليومي </w:t>
            </w:r>
            <w:r w:rsidRPr="00987608">
              <w:rPr>
                <w:szCs w:val="24"/>
                <w:rtl/>
                <w:lang w:bidi="ar"/>
              </w:rPr>
              <w:t xml:space="preserve">(35 </w:t>
            </w:r>
            <w:r w:rsidRPr="00987608">
              <w:rPr>
                <w:szCs w:val="24"/>
                <w:rtl/>
                <w:lang w:bidi="ar-SA"/>
              </w:rPr>
              <w:t xml:space="preserve">يوما </w:t>
            </w:r>
            <w:r w:rsidRPr="00987608">
              <w:rPr>
                <w:szCs w:val="24"/>
                <w:rtl/>
                <w:lang w:bidi="ar"/>
              </w:rPr>
              <w:t xml:space="preserve">* 350 </w:t>
            </w:r>
            <w:r w:rsidRPr="00987608">
              <w:rPr>
                <w:szCs w:val="24"/>
                <w:rtl/>
                <w:lang w:bidi="ar-SA"/>
              </w:rPr>
              <w:t>دولارا أمريكيا</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231DDBE4"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12,250</w:t>
            </w:r>
          </w:p>
        </w:tc>
      </w:tr>
      <w:tr w:rsidR="00423AB8" w:rsidRPr="00987608" w14:paraId="358F31D4" w14:textId="77777777" w:rsidTr="00652E20">
        <w:tc>
          <w:tcPr>
            <w:tcW w:w="4095" w:type="pct"/>
          </w:tcPr>
          <w:p w14:paraId="75101A07" w14:textId="77777777" w:rsidR="00423AB8" w:rsidRPr="00987608" w:rsidRDefault="00423AB8" w:rsidP="00652E20">
            <w:pPr>
              <w:pStyle w:val="Heading1"/>
              <w:numPr>
                <w:ilvl w:val="0"/>
                <w:numId w:val="0"/>
              </w:numPr>
              <w:bidi/>
              <w:spacing w:after="0" w:line="360" w:lineRule="auto"/>
              <w:jc w:val="left"/>
              <w:outlineLvl w:val="0"/>
              <w:rPr>
                <w:szCs w:val="24"/>
                <w:highlight w:val="yellow"/>
              </w:rPr>
            </w:pPr>
            <w:r w:rsidRPr="00987608">
              <w:rPr>
                <w:szCs w:val="24"/>
                <w:rtl/>
                <w:lang w:bidi="ar-SA"/>
              </w:rPr>
              <w:t xml:space="preserve">كتابة التقارير </w:t>
            </w:r>
            <w:r w:rsidRPr="00987608">
              <w:rPr>
                <w:szCs w:val="24"/>
                <w:rtl/>
                <w:lang w:bidi="ar"/>
              </w:rPr>
              <w:t xml:space="preserve">(5 </w:t>
            </w:r>
            <w:r w:rsidRPr="00987608">
              <w:rPr>
                <w:szCs w:val="24"/>
                <w:rtl/>
                <w:lang w:bidi="ar-SA"/>
              </w:rPr>
              <w:t xml:space="preserve">بلدان </w:t>
            </w:r>
            <w:r w:rsidRPr="00987608">
              <w:rPr>
                <w:szCs w:val="24"/>
                <w:rtl/>
                <w:lang w:bidi="ar"/>
              </w:rPr>
              <w:t xml:space="preserve">* 7 </w:t>
            </w:r>
            <w:r w:rsidRPr="00987608">
              <w:rPr>
                <w:szCs w:val="24"/>
                <w:rtl/>
                <w:lang w:bidi="ar-SA"/>
              </w:rPr>
              <w:t xml:space="preserve">أيام </w:t>
            </w:r>
            <w:r w:rsidRPr="00987608">
              <w:rPr>
                <w:szCs w:val="24"/>
                <w:rtl/>
                <w:lang w:bidi="ar"/>
              </w:rPr>
              <w:t xml:space="preserve">* 500 </w:t>
            </w:r>
            <w:r w:rsidRPr="00987608">
              <w:rPr>
                <w:szCs w:val="24"/>
                <w:rtl/>
                <w:lang w:bidi="ar-SA"/>
              </w:rPr>
              <w:t>دولار أمريكي</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05C36F3D"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17,500</w:t>
            </w:r>
          </w:p>
        </w:tc>
      </w:tr>
      <w:tr w:rsidR="00423AB8" w:rsidRPr="00987608" w14:paraId="403F7C40" w14:textId="77777777" w:rsidTr="00652E20">
        <w:tc>
          <w:tcPr>
            <w:tcW w:w="4095" w:type="pct"/>
          </w:tcPr>
          <w:p w14:paraId="51777478"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rFonts w:hint="cs"/>
                <w:szCs w:val="24"/>
                <w:rtl/>
                <w:lang w:bidi="ar-SA"/>
              </w:rPr>
              <w:t>ال</w:t>
            </w:r>
            <w:r w:rsidRPr="00987608">
              <w:rPr>
                <w:szCs w:val="24"/>
                <w:rtl/>
                <w:lang w:bidi="ar-SA"/>
              </w:rPr>
              <w:t xml:space="preserve">تقرير </w:t>
            </w:r>
            <w:r w:rsidRPr="00987608">
              <w:rPr>
                <w:rFonts w:hint="cs"/>
                <w:szCs w:val="24"/>
                <w:rtl/>
                <w:lang w:bidi="ar-SA"/>
              </w:rPr>
              <w:t>ال</w:t>
            </w:r>
            <w:r w:rsidRPr="00987608">
              <w:rPr>
                <w:szCs w:val="24"/>
                <w:rtl/>
                <w:lang w:bidi="ar-SA"/>
              </w:rPr>
              <w:t xml:space="preserve">تجميعي </w:t>
            </w:r>
            <w:r w:rsidRPr="00987608">
              <w:rPr>
                <w:szCs w:val="24"/>
                <w:rtl/>
                <w:lang w:bidi="ar"/>
              </w:rPr>
              <w:t xml:space="preserve">(12 </w:t>
            </w:r>
            <w:r w:rsidRPr="00987608">
              <w:rPr>
                <w:szCs w:val="24"/>
                <w:rtl/>
                <w:lang w:bidi="ar-SA"/>
              </w:rPr>
              <w:t xml:space="preserve">يوما </w:t>
            </w:r>
            <w:r w:rsidRPr="00987608">
              <w:rPr>
                <w:szCs w:val="24"/>
                <w:rtl/>
                <w:lang w:bidi="ar"/>
              </w:rPr>
              <w:t xml:space="preserve">* 500 </w:t>
            </w:r>
            <w:r w:rsidRPr="00987608">
              <w:rPr>
                <w:szCs w:val="24"/>
                <w:rtl/>
                <w:lang w:bidi="ar-SA"/>
              </w:rPr>
              <w:t>دولار أمريكي</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6EBC135B"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6,000</w:t>
            </w:r>
          </w:p>
        </w:tc>
      </w:tr>
      <w:tr w:rsidR="00423AB8" w:rsidRPr="00987608" w14:paraId="6BE9B0FD" w14:textId="77777777" w:rsidTr="00652E20">
        <w:tc>
          <w:tcPr>
            <w:tcW w:w="4095" w:type="pct"/>
          </w:tcPr>
          <w:p w14:paraId="5E8E7632" w14:textId="77777777" w:rsidR="00423AB8" w:rsidRPr="00987608" w:rsidRDefault="00423AB8" w:rsidP="00652E20">
            <w:pPr>
              <w:pStyle w:val="Heading1"/>
              <w:numPr>
                <w:ilvl w:val="0"/>
                <w:numId w:val="0"/>
              </w:numPr>
              <w:bidi/>
              <w:spacing w:after="0" w:line="360" w:lineRule="auto"/>
              <w:jc w:val="left"/>
              <w:outlineLvl w:val="0"/>
              <w:rPr>
                <w:b/>
                <w:szCs w:val="24"/>
              </w:rPr>
            </w:pPr>
            <w:r w:rsidRPr="00987608">
              <w:rPr>
                <w:b/>
                <w:bCs/>
                <w:szCs w:val="24"/>
                <w:rtl/>
                <w:lang w:bidi="ar-SA"/>
              </w:rPr>
              <w:t>دراسة نظرية لتقييم الشبكات الإقليمية لموظفي الأوزون الوطنيين</w:t>
            </w:r>
          </w:p>
        </w:tc>
        <w:tc>
          <w:tcPr>
            <w:tcW w:w="905" w:type="pct"/>
            <w:vAlign w:val="center"/>
          </w:tcPr>
          <w:p w14:paraId="1A5938EE" w14:textId="77777777" w:rsidR="00423AB8" w:rsidRPr="00987608" w:rsidRDefault="00423AB8" w:rsidP="00652E20">
            <w:pPr>
              <w:pStyle w:val="Heading1"/>
              <w:numPr>
                <w:ilvl w:val="0"/>
                <w:numId w:val="0"/>
              </w:numPr>
              <w:spacing w:after="0" w:line="360" w:lineRule="auto"/>
              <w:jc w:val="right"/>
              <w:outlineLvl w:val="0"/>
              <w:rPr>
                <w:szCs w:val="24"/>
              </w:rPr>
            </w:pPr>
          </w:p>
        </w:tc>
      </w:tr>
      <w:tr w:rsidR="00423AB8" w:rsidRPr="00987608" w14:paraId="63049BFA" w14:textId="77777777" w:rsidTr="00652E20">
        <w:tc>
          <w:tcPr>
            <w:tcW w:w="4095" w:type="pct"/>
          </w:tcPr>
          <w:p w14:paraId="7F37D264"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szCs w:val="24"/>
                <w:rtl/>
                <w:lang w:bidi="ar-SA"/>
              </w:rPr>
              <w:t xml:space="preserve">كتابة التقارير </w:t>
            </w:r>
            <w:r w:rsidRPr="00987608">
              <w:rPr>
                <w:szCs w:val="24"/>
                <w:rtl/>
                <w:lang w:bidi="ar"/>
              </w:rPr>
              <w:t xml:space="preserve">(30 </w:t>
            </w:r>
            <w:r w:rsidRPr="00987608">
              <w:rPr>
                <w:szCs w:val="24"/>
                <w:rtl/>
                <w:lang w:bidi="ar-SA"/>
              </w:rPr>
              <w:t xml:space="preserve">يوما </w:t>
            </w:r>
            <w:r w:rsidRPr="00987608">
              <w:rPr>
                <w:szCs w:val="24"/>
                <w:rtl/>
                <w:lang w:bidi="ar"/>
              </w:rPr>
              <w:t xml:space="preserve">* 500 </w:t>
            </w:r>
            <w:r w:rsidRPr="00987608">
              <w:rPr>
                <w:szCs w:val="24"/>
                <w:rtl/>
                <w:lang w:bidi="ar-SA"/>
              </w:rPr>
              <w:t>دولار أمريكي</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1B8F4988"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15,000</w:t>
            </w:r>
          </w:p>
        </w:tc>
      </w:tr>
      <w:tr w:rsidR="00423AB8" w:rsidRPr="00987608" w14:paraId="271B92B2" w14:textId="77777777" w:rsidTr="00652E20">
        <w:tc>
          <w:tcPr>
            <w:tcW w:w="4095" w:type="pct"/>
          </w:tcPr>
          <w:p w14:paraId="42E0C127"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b/>
                <w:bCs/>
                <w:szCs w:val="24"/>
                <w:rtl/>
                <w:lang w:bidi="ar-SA"/>
              </w:rPr>
              <w:t xml:space="preserve">دراسة نظرية لتقييم كفاءة الطاقة في قطاع الخدمة </w:t>
            </w:r>
          </w:p>
        </w:tc>
        <w:tc>
          <w:tcPr>
            <w:tcW w:w="905" w:type="pct"/>
            <w:vAlign w:val="center"/>
          </w:tcPr>
          <w:p w14:paraId="435ECE42" w14:textId="77777777" w:rsidR="00423AB8" w:rsidRPr="00987608" w:rsidRDefault="00423AB8" w:rsidP="00652E20">
            <w:pPr>
              <w:pStyle w:val="Heading1"/>
              <w:numPr>
                <w:ilvl w:val="0"/>
                <w:numId w:val="0"/>
              </w:numPr>
              <w:spacing w:after="0" w:line="360" w:lineRule="auto"/>
              <w:jc w:val="right"/>
              <w:outlineLvl w:val="0"/>
              <w:rPr>
                <w:szCs w:val="24"/>
              </w:rPr>
            </w:pPr>
          </w:p>
        </w:tc>
      </w:tr>
      <w:tr w:rsidR="00423AB8" w:rsidRPr="00987608" w14:paraId="14FCB3A5" w14:textId="77777777" w:rsidTr="00652E20">
        <w:tc>
          <w:tcPr>
            <w:tcW w:w="4095" w:type="pct"/>
          </w:tcPr>
          <w:p w14:paraId="67D76C89"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szCs w:val="24"/>
                <w:rtl/>
                <w:lang w:bidi="ar-SA"/>
              </w:rPr>
              <w:t xml:space="preserve">كتابة التقارير </w:t>
            </w:r>
            <w:r w:rsidRPr="00987608">
              <w:rPr>
                <w:szCs w:val="24"/>
                <w:rtl/>
                <w:lang w:bidi="ar"/>
              </w:rPr>
              <w:t xml:space="preserve">(30 </w:t>
            </w:r>
            <w:r w:rsidRPr="00987608">
              <w:rPr>
                <w:szCs w:val="24"/>
                <w:rtl/>
                <w:lang w:bidi="ar-SA"/>
              </w:rPr>
              <w:t xml:space="preserve">يوما </w:t>
            </w:r>
            <w:r w:rsidRPr="00987608">
              <w:rPr>
                <w:szCs w:val="24"/>
                <w:rtl/>
                <w:lang w:bidi="ar"/>
              </w:rPr>
              <w:t xml:space="preserve">* 500 </w:t>
            </w:r>
            <w:r w:rsidRPr="00987608">
              <w:rPr>
                <w:szCs w:val="24"/>
                <w:rtl/>
                <w:lang w:bidi="ar-SA"/>
              </w:rPr>
              <w:t>دولار أمريكي</w:t>
            </w:r>
            <w:r w:rsidRPr="00987608">
              <w:rPr>
                <w:szCs w:val="24"/>
                <w:rtl/>
                <w:lang w:bidi="ar"/>
              </w:rPr>
              <w:t>/</w:t>
            </w:r>
            <w:r w:rsidRPr="00987608">
              <w:rPr>
                <w:szCs w:val="24"/>
                <w:rtl/>
                <w:lang w:bidi="ar-SA"/>
              </w:rPr>
              <w:t>يوم</w:t>
            </w:r>
            <w:r w:rsidRPr="00987608">
              <w:rPr>
                <w:szCs w:val="24"/>
                <w:rtl/>
                <w:lang w:bidi="ar"/>
              </w:rPr>
              <w:t>)</w:t>
            </w:r>
          </w:p>
        </w:tc>
        <w:tc>
          <w:tcPr>
            <w:tcW w:w="905" w:type="pct"/>
            <w:vAlign w:val="center"/>
          </w:tcPr>
          <w:p w14:paraId="4E6BB49C" w14:textId="657A259F" w:rsidR="00423AB8" w:rsidRPr="00987608" w:rsidRDefault="003923B9" w:rsidP="00652E20">
            <w:pPr>
              <w:pStyle w:val="Heading1"/>
              <w:numPr>
                <w:ilvl w:val="0"/>
                <w:numId w:val="0"/>
              </w:numPr>
              <w:bidi/>
              <w:spacing w:after="0" w:line="360" w:lineRule="auto"/>
              <w:jc w:val="right"/>
              <w:outlineLvl w:val="0"/>
              <w:rPr>
                <w:szCs w:val="24"/>
              </w:rPr>
            </w:pPr>
            <w:r>
              <w:rPr>
                <w:szCs w:val="24"/>
                <w:lang w:bidi="ar-SA"/>
              </w:rPr>
              <w:t>0</w:t>
            </w:r>
            <w:r w:rsidR="00423AB8" w:rsidRPr="00987608">
              <w:rPr>
                <w:szCs w:val="24"/>
                <w:rtl/>
                <w:lang w:bidi="ar"/>
              </w:rPr>
              <w:t>*</w:t>
            </w:r>
          </w:p>
        </w:tc>
      </w:tr>
      <w:tr w:rsidR="00423AB8" w:rsidRPr="00987608" w14:paraId="06FC0558" w14:textId="77777777" w:rsidTr="00652E20">
        <w:tc>
          <w:tcPr>
            <w:tcW w:w="4095" w:type="pct"/>
          </w:tcPr>
          <w:p w14:paraId="3D8474CB" w14:textId="77777777" w:rsidR="00423AB8" w:rsidRPr="00987608" w:rsidRDefault="00423AB8" w:rsidP="00652E20">
            <w:pPr>
              <w:pStyle w:val="Heading1"/>
              <w:numPr>
                <w:ilvl w:val="0"/>
                <w:numId w:val="0"/>
              </w:numPr>
              <w:bidi/>
              <w:spacing w:after="0" w:line="360" w:lineRule="auto"/>
              <w:jc w:val="left"/>
              <w:outlineLvl w:val="0"/>
              <w:rPr>
                <w:szCs w:val="24"/>
              </w:rPr>
            </w:pPr>
            <w:r w:rsidRPr="00987608">
              <w:rPr>
                <w:b/>
                <w:bCs/>
                <w:szCs w:val="24"/>
                <w:rtl/>
                <w:lang w:bidi="ar-SA"/>
              </w:rPr>
              <w:lastRenderedPageBreak/>
              <w:t>المجموع الفرعي</w:t>
            </w:r>
          </w:p>
        </w:tc>
        <w:tc>
          <w:tcPr>
            <w:tcW w:w="905" w:type="pct"/>
            <w:vAlign w:val="center"/>
          </w:tcPr>
          <w:p w14:paraId="1D815DE6"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b/>
                <w:bCs/>
                <w:szCs w:val="24"/>
                <w:rtl/>
                <w:lang w:bidi="ar"/>
              </w:rPr>
              <w:t>117,050</w:t>
            </w:r>
          </w:p>
        </w:tc>
      </w:tr>
      <w:tr w:rsidR="00423AB8" w:rsidRPr="00987608" w14:paraId="4C339E98" w14:textId="77777777" w:rsidTr="00652E20">
        <w:tc>
          <w:tcPr>
            <w:tcW w:w="4095" w:type="pct"/>
          </w:tcPr>
          <w:p w14:paraId="0D65AAB5" w14:textId="77777777" w:rsidR="00423AB8" w:rsidRPr="00987608" w:rsidRDefault="00423AB8" w:rsidP="00652E20">
            <w:pPr>
              <w:pStyle w:val="Heading1"/>
              <w:keepNext/>
              <w:keepLines/>
              <w:numPr>
                <w:ilvl w:val="0"/>
                <w:numId w:val="0"/>
              </w:numPr>
              <w:bidi/>
              <w:spacing w:after="0" w:line="360" w:lineRule="auto"/>
              <w:jc w:val="left"/>
              <w:outlineLvl w:val="0"/>
              <w:rPr>
                <w:szCs w:val="24"/>
              </w:rPr>
            </w:pPr>
            <w:r w:rsidRPr="00987608">
              <w:rPr>
                <w:szCs w:val="24"/>
                <w:rtl/>
                <w:lang w:bidi="ar-SA"/>
              </w:rPr>
              <w:t>متنوع</w:t>
            </w:r>
            <w:r w:rsidRPr="00987608">
              <w:rPr>
                <w:szCs w:val="24"/>
                <w:rtl/>
                <w:lang w:bidi="ar"/>
              </w:rPr>
              <w:t>**</w:t>
            </w:r>
          </w:p>
        </w:tc>
        <w:tc>
          <w:tcPr>
            <w:tcW w:w="905" w:type="pct"/>
            <w:vAlign w:val="center"/>
          </w:tcPr>
          <w:p w14:paraId="10529BE7" w14:textId="77777777" w:rsidR="00423AB8" w:rsidRPr="00987608" w:rsidRDefault="00423AB8" w:rsidP="00652E20">
            <w:pPr>
              <w:pStyle w:val="Heading1"/>
              <w:numPr>
                <w:ilvl w:val="0"/>
                <w:numId w:val="0"/>
              </w:numPr>
              <w:bidi/>
              <w:spacing w:after="0" w:line="360" w:lineRule="auto"/>
              <w:jc w:val="right"/>
              <w:outlineLvl w:val="0"/>
              <w:rPr>
                <w:szCs w:val="24"/>
              </w:rPr>
            </w:pPr>
            <w:r w:rsidRPr="00987608">
              <w:rPr>
                <w:szCs w:val="24"/>
                <w:rtl/>
                <w:lang w:bidi="ar"/>
              </w:rPr>
              <w:t>4,000</w:t>
            </w:r>
          </w:p>
        </w:tc>
      </w:tr>
      <w:tr w:rsidR="00423AB8" w:rsidRPr="00987608" w14:paraId="4895C0C8" w14:textId="77777777" w:rsidTr="00652E20">
        <w:tc>
          <w:tcPr>
            <w:tcW w:w="4095" w:type="pct"/>
          </w:tcPr>
          <w:p w14:paraId="73581777" w14:textId="77777777" w:rsidR="00423AB8" w:rsidRPr="00987608" w:rsidRDefault="00423AB8" w:rsidP="00652E20">
            <w:pPr>
              <w:pStyle w:val="Heading1"/>
              <w:numPr>
                <w:ilvl w:val="0"/>
                <w:numId w:val="0"/>
              </w:numPr>
              <w:bidi/>
              <w:spacing w:after="0" w:line="360" w:lineRule="auto"/>
              <w:jc w:val="left"/>
              <w:outlineLvl w:val="0"/>
              <w:rPr>
                <w:szCs w:val="24"/>
                <w:highlight w:val="green"/>
              </w:rPr>
            </w:pPr>
            <w:r w:rsidRPr="00987608">
              <w:rPr>
                <w:b/>
                <w:bCs/>
                <w:szCs w:val="24"/>
                <w:rtl/>
                <w:lang w:bidi="ar-SA"/>
              </w:rPr>
              <w:t>المجموع</w:t>
            </w:r>
          </w:p>
        </w:tc>
        <w:tc>
          <w:tcPr>
            <w:tcW w:w="905" w:type="pct"/>
            <w:vAlign w:val="center"/>
          </w:tcPr>
          <w:p w14:paraId="15891FCD" w14:textId="77777777" w:rsidR="00423AB8" w:rsidRPr="00987608" w:rsidRDefault="00423AB8" w:rsidP="00652E20">
            <w:pPr>
              <w:pStyle w:val="Heading1"/>
              <w:numPr>
                <w:ilvl w:val="0"/>
                <w:numId w:val="0"/>
              </w:numPr>
              <w:bidi/>
              <w:spacing w:after="0" w:line="360" w:lineRule="auto"/>
              <w:jc w:val="right"/>
              <w:outlineLvl w:val="0"/>
              <w:rPr>
                <w:b/>
                <w:szCs w:val="24"/>
              </w:rPr>
            </w:pPr>
            <w:r w:rsidRPr="00987608">
              <w:rPr>
                <w:b/>
                <w:bCs/>
                <w:szCs w:val="24"/>
                <w:rtl/>
                <w:lang w:bidi="ar"/>
              </w:rPr>
              <w:t>121,050</w:t>
            </w:r>
          </w:p>
        </w:tc>
      </w:tr>
    </w:tbl>
    <w:p w14:paraId="3411932C" w14:textId="60450EA5" w:rsidR="00423AB8" w:rsidRPr="00615DA5" w:rsidRDefault="00423AB8" w:rsidP="003D087B">
      <w:pPr>
        <w:pStyle w:val="Heading1"/>
        <w:numPr>
          <w:ilvl w:val="0"/>
          <w:numId w:val="0"/>
        </w:numPr>
        <w:bidi/>
        <w:spacing w:after="0" w:line="264" w:lineRule="auto"/>
        <w:rPr>
          <w:sz w:val="22"/>
          <w:szCs w:val="22"/>
        </w:rPr>
      </w:pPr>
      <w:r w:rsidRPr="00615DA5">
        <w:rPr>
          <w:sz w:val="22"/>
          <w:szCs w:val="22"/>
          <w:rtl/>
          <w:lang w:bidi="ar"/>
        </w:rPr>
        <w:t xml:space="preserve">* </w:t>
      </w:r>
      <w:r w:rsidRPr="00615DA5">
        <w:rPr>
          <w:sz w:val="22"/>
          <w:szCs w:val="22"/>
          <w:rtl/>
          <w:lang w:bidi="ar-SA"/>
        </w:rPr>
        <w:t xml:space="preserve">سيُعاد تخصص مبلغ قدره </w:t>
      </w:r>
      <w:r w:rsidR="003923B9" w:rsidRPr="00615DA5">
        <w:rPr>
          <w:sz w:val="22"/>
          <w:szCs w:val="22"/>
          <w:lang w:bidi="ar"/>
        </w:rPr>
        <w:t>15,000</w:t>
      </w:r>
      <w:r w:rsidRPr="00615DA5">
        <w:rPr>
          <w:sz w:val="22"/>
          <w:szCs w:val="22"/>
          <w:rtl/>
          <w:lang w:bidi="ar"/>
        </w:rPr>
        <w:t xml:space="preserve"> </w:t>
      </w:r>
      <w:r w:rsidRPr="00615DA5">
        <w:rPr>
          <w:sz w:val="22"/>
          <w:szCs w:val="22"/>
          <w:rtl/>
          <w:lang w:bidi="ar-SA"/>
        </w:rPr>
        <w:t xml:space="preserve">دولار أمريكي للدراسة النظرية لتقييم كفاءة الطاقة في قطاع الخدمة لبرنامج عمل عام </w:t>
      </w:r>
      <w:r w:rsidRPr="00615DA5">
        <w:rPr>
          <w:sz w:val="22"/>
          <w:szCs w:val="22"/>
          <w:rtl/>
          <w:lang w:bidi="ar"/>
        </w:rPr>
        <w:t xml:space="preserve">2020 </w:t>
      </w:r>
      <w:r w:rsidRPr="00615DA5">
        <w:rPr>
          <w:sz w:val="22"/>
          <w:szCs w:val="22"/>
          <w:rtl/>
          <w:lang w:bidi="ar-SA"/>
        </w:rPr>
        <w:t xml:space="preserve">بعد أن كان مخصصا لبرنامج عمل عام </w:t>
      </w:r>
      <w:r w:rsidRPr="00615DA5">
        <w:rPr>
          <w:sz w:val="22"/>
          <w:szCs w:val="22"/>
          <w:rtl/>
          <w:lang w:bidi="ar"/>
        </w:rPr>
        <w:t xml:space="preserve">2019. </w:t>
      </w:r>
    </w:p>
    <w:p w14:paraId="2147C2A6" w14:textId="77777777" w:rsidR="00423AB8" w:rsidRPr="00615DA5" w:rsidRDefault="00423AB8" w:rsidP="003D087B">
      <w:pPr>
        <w:bidi/>
        <w:spacing w:line="264" w:lineRule="auto"/>
        <w:contextualSpacing/>
        <w:rPr>
          <w:sz w:val="22"/>
          <w:szCs w:val="22"/>
        </w:rPr>
      </w:pPr>
      <w:r w:rsidRPr="00615DA5">
        <w:rPr>
          <w:sz w:val="22"/>
          <w:szCs w:val="22"/>
          <w:rtl/>
          <w:lang w:bidi="ar"/>
        </w:rPr>
        <w:t xml:space="preserve">** </w:t>
      </w:r>
      <w:r w:rsidRPr="00615DA5">
        <w:rPr>
          <w:sz w:val="22"/>
          <w:szCs w:val="22"/>
          <w:rtl/>
          <w:lang w:bidi="ar-SA"/>
        </w:rPr>
        <w:t>من المخطط تخصيص أموال متنوعة لتغطية السفريات الإضافية غير المتوقعة أثناء البعثات والاستبدال غير المتوقع لمعدات مكتب الرصد والتقييم</w:t>
      </w:r>
      <w:r w:rsidRPr="00615DA5">
        <w:rPr>
          <w:sz w:val="22"/>
          <w:szCs w:val="22"/>
          <w:rtl/>
          <w:lang w:bidi="ar"/>
        </w:rPr>
        <w:t>.</w:t>
      </w:r>
    </w:p>
    <w:p w14:paraId="59030E9A" w14:textId="77777777" w:rsidR="00423AB8" w:rsidRPr="00615DA5" w:rsidRDefault="00423AB8" w:rsidP="00423AB8">
      <w:pPr>
        <w:spacing w:after="240" w:line="360" w:lineRule="auto"/>
        <w:rPr>
          <w:sz w:val="22"/>
          <w:szCs w:val="22"/>
        </w:rPr>
      </w:pPr>
    </w:p>
    <w:p w14:paraId="655421E7" w14:textId="77777777" w:rsidR="00423AB8" w:rsidRPr="00987608" w:rsidRDefault="00423AB8" w:rsidP="003D087B">
      <w:pPr>
        <w:keepNext/>
        <w:keepLines/>
        <w:bidi/>
        <w:spacing w:before="120" w:after="240" w:line="264" w:lineRule="auto"/>
        <w:rPr>
          <w:b/>
          <w:sz w:val="26"/>
          <w:szCs w:val="26"/>
        </w:rPr>
      </w:pPr>
      <w:r w:rsidRPr="00987608">
        <w:rPr>
          <w:b/>
          <w:bCs/>
          <w:sz w:val="26"/>
          <w:szCs w:val="26"/>
          <w:rtl/>
          <w:lang w:bidi="ar-SA"/>
        </w:rPr>
        <w:t>الإجراء المتوقع من اللجنة التنفيذية</w:t>
      </w:r>
    </w:p>
    <w:p w14:paraId="67A593B3" w14:textId="77777777" w:rsidR="00423AB8" w:rsidRPr="00987608" w:rsidRDefault="00423AB8" w:rsidP="003D087B">
      <w:pPr>
        <w:pStyle w:val="Heading1"/>
        <w:keepNext/>
        <w:keepLines/>
        <w:bidi/>
        <w:spacing w:line="264" w:lineRule="auto"/>
        <w:rPr>
          <w:sz w:val="26"/>
          <w:szCs w:val="26"/>
        </w:rPr>
      </w:pPr>
      <w:r w:rsidRPr="00987608">
        <w:rPr>
          <w:sz w:val="26"/>
          <w:szCs w:val="26"/>
          <w:rtl/>
          <w:lang w:bidi="ar-SA"/>
        </w:rPr>
        <w:t>قد ترغب اللجنة التنفيذية في ما يلي</w:t>
      </w:r>
      <w:r w:rsidRPr="00987608">
        <w:rPr>
          <w:sz w:val="26"/>
          <w:szCs w:val="26"/>
          <w:rtl/>
          <w:lang w:bidi="ar"/>
        </w:rPr>
        <w:t>:</w:t>
      </w:r>
    </w:p>
    <w:p w14:paraId="562032BC" w14:textId="6E331448" w:rsidR="00423AB8" w:rsidRPr="00987608" w:rsidRDefault="00423AB8" w:rsidP="003D087B">
      <w:pPr>
        <w:pStyle w:val="Heading2"/>
        <w:numPr>
          <w:ilvl w:val="0"/>
          <w:numId w:val="31"/>
        </w:numPr>
        <w:tabs>
          <w:tab w:val="left" w:pos="720"/>
        </w:tabs>
        <w:bidi/>
        <w:spacing w:after="120" w:line="264" w:lineRule="auto"/>
        <w:ind w:left="1350"/>
        <w:rPr>
          <w:sz w:val="26"/>
          <w:szCs w:val="26"/>
        </w:rPr>
      </w:pPr>
      <w:r w:rsidRPr="00987608">
        <w:rPr>
          <w:sz w:val="26"/>
          <w:szCs w:val="26"/>
          <w:rtl/>
          <w:lang w:bidi="ar-SA"/>
        </w:rPr>
        <w:t xml:space="preserve">الموافقة على مقترح برنامج عمل الرصد والتقييم لعام </w:t>
      </w:r>
      <w:r w:rsidRPr="00987608">
        <w:rPr>
          <w:sz w:val="26"/>
          <w:szCs w:val="26"/>
          <w:rtl/>
          <w:lang w:bidi="ar"/>
        </w:rPr>
        <w:t xml:space="preserve">2020 </w:t>
      </w:r>
      <w:r w:rsidRPr="00987608">
        <w:rPr>
          <w:sz w:val="26"/>
          <w:szCs w:val="26"/>
          <w:rtl/>
          <w:lang w:bidi="ar-SA"/>
        </w:rPr>
        <w:t xml:space="preserve">الوارد في الوثيقة </w:t>
      </w:r>
      <w:r w:rsidRPr="00987608">
        <w:rPr>
          <w:sz w:val="26"/>
          <w:szCs w:val="26"/>
        </w:rPr>
        <w:t>UNEP/OzL.Pro/ExCom/84/15</w:t>
      </w:r>
      <w:r w:rsidRPr="00987608">
        <w:rPr>
          <w:sz w:val="26"/>
          <w:szCs w:val="26"/>
          <w:rtl/>
          <w:lang w:bidi="ar-SA"/>
        </w:rPr>
        <w:t xml:space="preserve"> والميزانية ذات الصلة البالغة </w:t>
      </w:r>
      <w:r w:rsidR="003923B9">
        <w:rPr>
          <w:sz w:val="26"/>
          <w:szCs w:val="26"/>
          <w:lang w:bidi="ar"/>
        </w:rPr>
        <w:t>121,050</w:t>
      </w:r>
      <w:r w:rsidRPr="00987608">
        <w:rPr>
          <w:sz w:val="26"/>
          <w:szCs w:val="26"/>
          <w:rtl/>
          <w:lang w:bidi="ar"/>
        </w:rPr>
        <w:t xml:space="preserve"> </w:t>
      </w:r>
      <w:r w:rsidRPr="00987608">
        <w:rPr>
          <w:sz w:val="26"/>
          <w:szCs w:val="26"/>
          <w:rtl/>
          <w:lang w:bidi="ar-SA"/>
        </w:rPr>
        <w:t xml:space="preserve">دولارا أمريكيا على النحو المبين في الجدول </w:t>
      </w:r>
      <w:r w:rsidRPr="00987608">
        <w:rPr>
          <w:sz w:val="26"/>
          <w:szCs w:val="26"/>
          <w:rtl/>
          <w:lang w:bidi="ar"/>
        </w:rPr>
        <w:t xml:space="preserve">2 </w:t>
      </w:r>
      <w:r w:rsidRPr="00987608">
        <w:rPr>
          <w:sz w:val="26"/>
          <w:szCs w:val="26"/>
          <w:rtl/>
          <w:lang w:bidi="ar-SA"/>
        </w:rPr>
        <w:t>من تلك الوثيقة؛</w:t>
      </w:r>
    </w:p>
    <w:p w14:paraId="3DC09B9C" w14:textId="2AEAFA0D" w:rsidR="007E5D09" w:rsidRDefault="00423AB8" w:rsidP="006016B5">
      <w:pPr>
        <w:pStyle w:val="Heading2"/>
        <w:numPr>
          <w:ilvl w:val="0"/>
          <w:numId w:val="31"/>
        </w:numPr>
        <w:tabs>
          <w:tab w:val="left" w:pos="720"/>
        </w:tabs>
        <w:bidi/>
        <w:spacing w:after="120" w:line="264" w:lineRule="auto"/>
        <w:ind w:left="1350"/>
        <w:rPr>
          <w:rtl/>
          <w:lang w:bidi="ar-EG"/>
        </w:rPr>
      </w:pPr>
      <w:r w:rsidRPr="00987608">
        <w:rPr>
          <w:sz w:val="26"/>
          <w:szCs w:val="26"/>
          <w:rtl/>
          <w:lang w:bidi="ar-SA"/>
        </w:rPr>
        <w:t xml:space="preserve">إعادة تخصيص مبلغ </w:t>
      </w:r>
      <w:r w:rsidR="006016B5">
        <w:rPr>
          <w:sz w:val="26"/>
          <w:szCs w:val="26"/>
          <w:lang w:bidi="ar"/>
        </w:rPr>
        <w:t>15,000</w:t>
      </w:r>
      <w:r w:rsidRPr="00987608">
        <w:rPr>
          <w:sz w:val="26"/>
          <w:szCs w:val="26"/>
          <w:rtl/>
          <w:lang w:bidi="ar"/>
        </w:rPr>
        <w:t xml:space="preserve"> </w:t>
      </w:r>
      <w:r w:rsidRPr="00987608">
        <w:rPr>
          <w:sz w:val="26"/>
          <w:szCs w:val="26"/>
          <w:rtl/>
          <w:lang w:bidi="ar-SA"/>
        </w:rPr>
        <w:t xml:space="preserve">دولار أمريكي للدراسة النظرية لتقييم كفاءة الطاقة في قطاع الخدمة لميزانية عام </w:t>
      </w:r>
      <w:r w:rsidRPr="00987608">
        <w:rPr>
          <w:sz w:val="26"/>
          <w:szCs w:val="26"/>
          <w:rtl/>
          <w:lang w:bidi="ar"/>
        </w:rPr>
        <w:t xml:space="preserve">2020 </w:t>
      </w:r>
      <w:r w:rsidRPr="00987608">
        <w:rPr>
          <w:sz w:val="26"/>
          <w:szCs w:val="26"/>
          <w:rtl/>
          <w:lang w:bidi="ar-SA"/>
        </w:rPr>
        <w:t xml:space="preserve">بعد أن كانت مخصصة لبرنامج عمل الرصد والتقييم لعام </w:t>
      </w:r>
      <w:r w:rsidRPr="00987608">
        <w:rPr>
          <w:sz w:val="26"/>
          <w:szCs w:val="26"/>
          <w:rtl/>
          <w:lang w:bidi="ar"/>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14:paraId="6C25B9DB" w14:textId="77777777">
        <w:tc>
          <w:tcPr>
            <w:tcW w:w="1915" w:type="dxa"/>
          </w:tcPr>
          <w:p w14:paraId="7DACD506" w14:textId="77777777" w:rsidR="007E5D09" w:rsidRDefault="007E5D09">
            <w:pPr>
              <w:rPr>
                <w:lang w:val="en-CA"/>
              </w:rPr>
            </w:pPr>
          </w:p>
        </w:tc>
        <w:tc>
          <w:tcPr>
            <w:tcW w:w="1915" w:type="dxa"/>
          </w:tcPr>
          <w:p w14:paraId="6A754E46" w14:textId="77777777" w:rsidR="007E5D09" w:rsidRDefault="007E5D09">
            <w:pPr>
              <w:rPr>
                <w:lang w:val="en-CA"/>
              </w:rPr>
            </w:pPr>
          </w:p>
        </w:tc>
        <w:tc>
          <w:tcPr>
            <w:tcW w:w="1915" w:type="dxa"/>
            <w:tcBorders>
              <w:bottom w:val="single" w:sz="4" w:space="0" w:color="auto"/>
            </w:tcBorders>
          </w:tcPr>
          <w:p w14:paraId="3148C074" w14:textId="77777777" w:rsidR="007E5D09" w:rsidRDefault="007E5D09">
            <w:pPr>
              <w:rPr>
                <w:b/>
                <w:bCs/>
                <w:lang w:val="en-CA"/>
              </w:rPr>
            </w:pPr>
          </w:p>
        </w:tc>
        <w:tc>
          <w:tcPr>
            <w:tcW w:w="1915" w:type="dxa"/>
          </w:tcPr>
          <w:p w14:paraId="4F0BE0A1" w14:textId="77777777" w:rsidR="007E5D09" w:rsidRDefault="007E5D09">
            <w:pPr>
              <w:rPr>
                <w:lang w:val="en-CA"/>
              </w:rPr>
            </w:pPr>
          </w:p>
        </w:tc>
        <w:tc>
          <w:tcPr>
            <w:tcW w:w="1916" w:type="dxa"/>
          </w:tcPr>
          <w:p w14:paraId="15B56D10" w14:textId="77777777" w:rsidR="007E5D09" w:rsidRDefault="007E5D09">
            <w:pPr>
              <w:rPr>
                <w:lang w:val="en-CA"/>
              </w:rPr>
            </w:pPr>
          </w:p>
        </w:tc>
      </w:tr>
    </w:tbl>
    <w:p w14:paraId="7E57E57D" w14:textId="77777777" w:rsidR="007E5D09" w:rsidRDefault="007E5D09">
      <w:pPr>
        <w:rPr>
          <w:rtl/>
          <w:lang w:val="en-CA"/>
        </w:rPr>
      </w:pPr>
    </w:p>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4948" w14:textId="77777777" w:rsidR="00567227" w:rsidRDefault="00567227">
      <w:r>
        <w:separator/>
      </w:r>
    </w:p>
  </w:endnote>
  <w:endnote w:type="continuationSeparator" w:id="0">
    <w:p w14:paraId="220CB8C6" w14:textId="77777777" w:rsidR="00567227" w:rsidRDefault="0056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A94C" w14:textId="34122EE2" w:rsidR="007E5D09" w:rsidRDefault="00E1360E">
    <w:pPr>
      <w:jc w:val="center"/>
    </w:pPr>
    <w:r>
      <w:fldChar w:fldCharType="begin"/>
    </w:r>
    <w:r>
      <w:instrText xml:space="preserve"> PAGE </w:instrText>
    </w:r>
    <w:r>
      <w:fldChar w:fldCharType="separate"/>
    </w:r>
    <w:r w:rsidR="00CB4585">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B7CD" w14:textId="78AAEE4C" w:rsidR="007E5D09" w:rsidRDefault="00E1360E">
    <w:pPr>
      <w:jc w:val="center"/>
    </w:pPr>
    <w:r>
      <w:fldChar w:fldCharType="begin"/>
    </w:r>
    <w:r>
      <w:instrText xml:space="preserve"> PAGE </w:instrText>
    </w:r>
    <w:r>
      <w:fldChar w:fldCharType="separate"/>
    </w:r>
    <w:r w:rsidR="00CB4585">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23D6208D" w14:textId="77777777" w:rsidR="009775AF" w:rsidRDefault="009775AF" w:rsidP="009775AF">
        <w:pPr>
          <w:pStyle w:val="Footer"/>
          <w:rPr>
            <w:noProof/>
          </w:rPr>
        </w:pPr>
      </w:p>
      <w:tbl>
        <w:tblPr>
          <w:tblStyle w:val="TableGrid"/>
          <w:tblW w:w="0" w:type="auto"/>
          <w:tblLook w:val="04A0" w:firstRow="1" w:lastRow="0" w:firstColumn="1" w:lastColumn="0" w:noHBand="0" w:noVBand="1"/>
        </w:tblPr>
        <w:tblGrid>
          <w:gridCol w:w="9350"/>
        </w:tblGrid>
        <w:tr w:rsidR="009775AF" w14:paraId="7E8D94FF" w14:textId="77777777" w:rsidTr="009775AF">
          <w:tc>
            <w:tcPr>
              <w:tcW w:w="9350" w:type="dxa"/>
            </w:tcPr>
            <w:p w14:paraId="321779CD" w14:textId="77777777" w:rsidR="009775AF" w:rsidRDefault="009775AF" w:rsidP="009775AF">
              <w:pPr>
                <w:pStyle w:val="Footer"/>
                <w:jc w:val="center"/>
                <w:rPr>
                  <w:rtl/>
                  <w:lang w:bidi="ar-AE"/>
                </w:rPr>
              </w:pPr>
              <w:r>
                <w:rPr>
                  <w:rFonts w:hint="cs"/>
                  <w:rtl/>
                  <w:lang w:bidi="ar-AE"/>
                </w:rPr>
                <w:t>إن وثائق ما قبل دورات اللجنة التنفيذية للصندوق المتعدد الأطراف لتنفيذ بروتوكول مونتريال</w:t>
              </w:r>
            </w:p>
            <w:p w14:paraId="1659653D" w14:textId="14798C08" w:rsidR="009775AF" w:rsidRDefault="009775AF" w:rsidP="009775AF">
              <w:pPr>
                <w:pStyle w:val="Footer"/>
                <w:jc w:val="center"/>
                <w:rPr>
                  <w:rtl/>
                  <w:lang w:bidi="ar-AE"/>
                </w:rPr>
              </w:pPr>
              <w:r>
                <w:rPr>
                  <w:rFonts w:hint="cs"/>
                  <w:rtl/>
                  <w:lang w:bidi="ar-AE"/>
                </w:rPr>
                <w:t>قد تصدر دون إخلال بأي قرار تتخذه اللجنة التنفيذية بعد صدورها.</w:t>
              </w:r>
            </w:p>
          </w:tc>
        </w:tr>
      </w:tbl>
      <w:p w14:paraId="431DFC71" w14:textId="0E1DAF2E" w:rsidR="007E5D09" w:rsidRDefault="00CB4585" w:rsidP="009775AF">
        <w:pPr>
          <w:pStyle w:val="Footer"/>
        </w:pPr>
      </w:p>
    </w:sdtContent>
  </w:sdt>
  <w:p w14:paraId="706A5470" w14:textId="77777777" w:rsidR="007E5D09" w:rsidRDefault="007E5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E14B" w14:textId="77777777" w:rsidR="00567227" w:rsidRDefault="00567227" w:rsidP="009775AF">
      <w:pPr>
        <w:jc w:val="right"/>
      </w:pPr>
      <w:r>
        <w:separator/>
      </w:r>
    </w:p>
  </w:footnote>
  <w:footnote w:type="continuationSeparator" w:id="0">
    <w:p w14:paraId="576125CD" w14:textId="77777777" w:rsidR="00567227" w:rsidRDefault="00567227">
      <w:r>
        <w:continuationSeparator/>
      </w:r>
    </w:p>
  </w:footnote>
  <w:footnote w:id="1">
    <w:p w14:paraId="45A37722" w14:textId="77777777" w:rsidR="00423AB8" w:rsidRPr="00FC796E" w:rsidRDefault="00423AB8" w:rsidP="00423AB8">
      <w:pPr>
        <w:pStyle w:val="FootnoteText"/>
        <w:bidi/>
      </w:pPr>
      <w:r>
        <w:rPr>
          <w:rStyle w:val="FootnoteReference"/>
        </w:rPr>
        <w:footnoteRef/>
      </w:r>
      <w:r>
        <w:rPr>
          <w:rtl/>
          <w:lang w:bidi="ar"/>
        </w:rPr>
        <w:t xml:space="preserve"> </w:t>
      </w:r>
      <w:r>
        <w:t>UNEP/OzL.Pro/ExCom/82/13/Rev.1</w:t>
      </w:r>
    </w:p>
  </w:footnote>
  <w:footnote w:id="2">
    <w:p w14:paraId="2B1E227A" w14:textId="77777777" w:rsidR="00423AB8" w:rsidRPr="00355347" w:rsidRDefault="00423AB8" w:rsidP="00423AB8">
      <w:pPr>
        <w:pStyle w:val="FootnoteText"/>
        <w:bidi/>
      </w:pPr>
      <w:r>
        <w:rPr>
          <w:rStyle w:val="FootnoteReference"/>
        </w:rPr>
        <w:footnoteRef/>
      </w:r>
      <w:r>
        <w:rPr>
          <w:rtl/>
          <w:lang w:bidi="ar"/>
        </w:rPr>
        <w:t xml:space="preserve"> </w:t>
      </w:r>
      <w:r>
        <w:t>UNEP/OzL.Pro/ExCom/84/12</w:t>
      </w:r>
    </w:p>
  </w:footnote>
  <w:footnote w:id="3">
    <w:p w14:paraId="3E1D74F7" w14:textId="77777777" w:rsidR="00423AB8" w:rsidRPr="008E2089" w:rsidRDefault="00423AB8" w:rsidP="00423AB8">
      <w:pPr>
        <w:pStyle w:val="FootnoteText"/>
        <w:bidi/>
      </w:pPr>
      <w:r>
        <w:rPr>
          <w:rStyle w:val="FootnoteReference"/>
        </w:rPr>
        <w:footnoteRef/>
      </w:r>
      <w:r>
        <w:rPr>
          <w:rtl/>
          <w:lang w:bidi="ar"/>
        </w:rPr>
        <w:t xml:space="preserve"> </w:t>
      </w:r>
      <w:r>
        <w:t>UNEP/OzL.Pro/ExCom/84/13</w:t>
      </w:r>
    </w:p>
  </w:footnote>
  <w:footnote w:id="4">
    <w:p w14:paraId="0B1D0EFC" w14:textId="77777777" w:rsidR="00423AB8" w:rsidRPr="00774F0F" w:rsidRDefault="00423AB8" w:rsidP="00423AB8">
      <w:pPr>
        <w:pStyle w:val="FootnoteText"/>
        <w:bidi/>
      </w:pPr>
      <w:r>
        <w:rPr>
          <w:rStyle w:val="FootnoteReference"/>
        </w:rPr>
        <w:footnoteRef/>
      </w:r>
      <w:r>
        <w:rPr>
          <w:rtl/>
          <w:lang w:bidi="ar"/>
        </w:rPr>
        <w:t xml:space="preserve"> </w:t>
      </w:r>
      <w:r>
        <w:t>UNEP/OzL.Pro/ExCom/33/7 and Corr.1</w:t>
      </w:r>
    </w:p>
  </w:footnote>
  <w:footnote w:id="5">
    <w:p w14:paraId="74D4988F" w14:textId="77777777" w:rsidR="00423AB8" w:rsidRPr="0007148B" w:rsidRDefault="00423AB8" w:rsidP="00423AB8">
      <w:pPr>
        <w:pStyle w:val="FootnoteText"/>
        <w:bidi/>
      </w:pPr>
      <w:r>
        <w:rPr>
          <w:rStyle w:val="FootnoteReference"/>
        </w:rPr>
        <w:footnoteRef/>
      </w:r>
      <w:r>
        <w:rPr>
          <w:rtl/>
          <w:lang w:bidi="ar"/>
        </w:rPr>
        <w:t xml:space="preserve"> </w:t>
      </w:r>
      <w:r>
        <w:t>UNEP/OzL.Pro/ExCom/84/14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CAC2" w14:textId="77777777" w:rsidR="007628C3" w:rsidRDefault="007628C3" w:rsidP="007628C3">
    <w:pPr>
      <w:jc w:val="right"/>
    </w:pPr>
    <w:fldSimple w:instr=" DOCPROPERTY &quot;Document number&quot;  \* MERGEFORMAT ">
      <w:r>
        <w:t>UNEP/OzL.Pro/ExCom/84/15</w:t>
      </w:r>
    </w:fldSimple>
  </w:p>
  <w:p w14:paraId="3B14256D" w14:textId="77777777" w:rsidR="007E5D09" w:rsidRDefault="007E5D09"/>
  <w:p w14:paraId="0EEC9BA5" w14:textId="77777777"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043E" w14:textId="77777777" w:rsidR="007628C3" w:rsidRDefault="007628C3" w:rsidP="007628C3">
    <w:pPr>
      <w:jc w:val="left"/>
    </w:pPr>
    <w:fldSimple w:instr=" DOCPROPERTY &quot;Document number&quot;  \* MERGEFORMAT ">
      <w:r>
        <w:t>UNEP/OzL.Pro/ExCom/84/15</w:t>
      </w:r>
    </w:fldSimple>
  </w:p>
  <w:p w14:paraId="275FD0D0" w14:textId="77777777" w:rsidR="007E5D09" w:rsidRDefault="007E5D09"/>
  <w:p w14:paraId="21DA8286" w14:textId="77777777" w:rsidR="007E5D09" w:rsidRDefault="007E5D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691F" w14:textId="77777777" w:rsidR="007E5D09" w:rsidRDefault="007E5D09"/>
  <w:p w14:paraId="183ABD5B" w14:textId="77777777"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7E4428"/>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0074C51"/>
    <w:multiLevelType w:val="hybridMultilevel"/>
    <w:tmpl w:val="E90627F4"/>
    <w:lvl w:ilvl="0" w:tplc="1E7270F6">
      <w:start w:val="1"/>
      <w:numFmt w:val="arabicAbjad"/>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BE6D3F"/>
    <w:multiLevelType w:val="hybridMultilevel"/>
    <w:tmpl w:val="1BECB3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0CF4F79"/>
    <w:multiLevelType w:val="hybridMultilevel"/>
    <w:tmpl w:val="3376B18A"/>
    <w:lvl w:ilvl="0" w:tplc="651EB570">
      <w:start w:val="1"/>
      <w:numFmt w:val="arabicAbjad"/>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16A6190"/>
    <w:multiLevelType w:val="hybridMultilevel"/>
    <w:tmpl w:val="024A4708"/>
    <w:lvl w:ilvl="0" w:tplc="10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49012E3"/>
    <w:multiLevelType w:val="hybridMultilevel"/>
    <w:tmpl w:val="5D0E3B62"/>
    <w:lvl w:ilvl="0" w:tplc="B5D65764">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2"/>
  </w:num>
  <w:num w:numId="20">
    <w:abstractNumId w:val="17"/>
  </w:num>
  <w:num w:numId="21">
    <w:abstractNumId w:val="12"/>
  </w:num>
  <w:num w:numId="22">
    <w:abstractNumId w:val="16"/>
  </w:num>
  <w:num w:numId="23">
    <w:abstractNumId w:val="21"/>
  </w:num>
  <w:num w:numId="24">
    <w:abstractNumId w:val="20"/>
  </w:num>
  <w:num w:numId="25">
    <w:abstractNumId w:val="13"/>
  </w:num>
  <w:num w:numId="26">
    <w:abstractNumId w:val="11"/>
  </w:num>
  <w:num w:numId="27">
    <w:abstractNumId w:val="22"/>
  </w:num>
  <w:num w:numId="28">
    <w:abstractNumId w:val="21"/>
  </w:num>
  <w:num w:numId="29">
    <w:abstractNumId w:val="10"/>
  </w:num>
  <w:num w:numId="30">
    <w:abstractNumId w:val="10"/>
  </w:num>
  <w:num w:numId="31">
    <w:abstractNumId w:val="1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B8"/>
    <w:rsid w:val="00013372"/>
    <w:rsid w:val="0004254A"/>
    <w:rsid w:val="000861FE"/>
    <w:rsid w:val="000C2FE8"/>
    <w:rsid w:val="002E7EF7"/>
    <w:rsid w:val="002F505F"/>
    <w:rsid w:val="003923B9"/>
    <w:rsid w:val="003D087B"/>
    <w:rsid w:val="003F2852"/>
    <w:rsid w:val="00423AB8"/>
    <w:rsid w:val="004C5B74"/>
    <w:rsid w:val="00567227"/>
    <w:rsid w:val="005C7D4A"/>
    <w:rsid w:val="006016B5"/>
    <w:rsid w:val="00615DA5"/>
    <w:rsid w:val="00662A73"/>
    <w:rsid w:val="00676BAB"/>
    <w:rsid w:val="006F2A2C"/>
    <w:rsid w:val="007628C3"/>
    <w:rsid w:val="00786775"/>
    <w:rsid w:val="007E5D09"/>
    <w:rsid w:val="009775AF"/>
    <w:rsid w:val="00A44778"/>
    <w:rsid w:val="00A44E2D"/>
    <w:rsid w:val="00AB4886"/>
    <w:rsid w:val="00B11DB6"/>
    <w:rsid w:val="00B40E87"/>
    <w:rsid w:val="00B81E83"/>
    <w:rsid w:val="00CB4585"/>
    <w:rsid w:val="00CE1E85"/>
    <w:rsid w:val="00E1360E"/>
    <w:rsid w:val="00EC1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64C9F"/>
  <w15:docId w15:val="{9085CD2F-5186-4DD1-A3D9-76777B1F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423AB8"/>
    <w:rPr>
      <w:sz w:val="20"/>
      <w:lang w:bidi="ar-SA"/>
    </w:rPr>
  </w:style>
  <w:style w:type="character" w:customStyle="1" w:styleId="FootnoteTextChar">
    <w:name w:val="Footnote Text Char"/>
    <w:basedOn w:val="DefaultParagraphFont"/>
    <w:link w:val="FootnoteText"/>
    <w:uiPriority w:val="99"/>
    <w:semiHidden/>
    <w:rsid w:val="00423AB8"/>
    <w:rPr>
      <w:lang w:val="en-GB"/>
    </w:rPr>
  </w:style>
  <w:style w:type="character" w:styleId="FootnoteReference">
    <w:name w:val="footnote reference"/>
    <w:basedOn w:val="DefaultParagraphFont"/>
    <w:uiPriority w:val="99"/>
    <w:semiHidden/>
    <w:unhideWhenUsed/>
    <w:rsid w:val="00423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Desktop\UNEP\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UNEP/OzL.Pro/ExCom/84/15</Document_x0020_Number>
    <DocumentType xmlns="48d2d36d-b4e3-478b-a344-cdbeebaca89a">Pre-session</DocumentType>
  </documentManagement>
</p:properties>
</file>

<file path=customXml/itemProps1.xml><?xml version="1.0" encoding="utf-8"?>
<ds:datastoreItem xmlns:ds="http://schemas.openxmlformats.org/officeDocument/2006/customXml" ds:itemID="{36B6E5BA-AFDF-4EA8-A72B-D0432C82FC5A}"/>
</file>

<file path=customXml/itemProps2.xml><?xml version="1.0" encoding="utf-8"?>
<ds:datastoreItem xmlns:ds="http://schemas.openxmlformats.org/officeDocument/2006/customXml" ds:itemID="{146EE251-6A82-44A8-803C-365F8260324F}"/>
</file>

<file path=customXml/itemProps3.xml><?xml version="1.0" encoding="utf-8"?>
<ds:datastoreItem xmlns:ds="http://schemas.openxmlformats.org/officeDocument/2006/customXml" ds:itemID="{545E33FF-3ECB-41D1-A57D-F599B7712139}"/>
</file>

<file path=customXml/itemProps4.xml><?xml version="1.0" encoding="utf-8"?>
<ds:datastoreItem xmlns:ds="http://schemas.openxmlformats.org/officeDocument/2006/customXml" ds:itemID="{D3CE5C76-479A-4947-B682-38A416DEFA3A}"/>
</file>

<file path=docProps/app.xml><?xml version="1.0" encoding="utf-8"?>
<Properties xmlns="http://schemas.openxmlformats.org/officeDocument/2006/extended-properties" xmlns:vt="http://schemas.openxmlformats.org/officeDocument/2006/docPropsVTypes">
  <Template>A84-template</Template>
  <TotalTime>28</TotalTime>
  <Pages>4</Pages>
  <Words>940</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مشروع برنامج عمل الرصد والتقييم لعام 2020</vt:lpstr>
    </vt:vector>
  </TitlesOfParts>
  <Company>UNMFS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برنامج عمل الرصد والتقييم لعام 2020</dc:title>
  <dc:creator>Fathi</dc:creator>
  <cp:lastModifiedBy>HBE</cp:lastModifiedBy>
  <cp:revision>10</cp:revision>
  <cp:lastPrinted>2019-11-26T21:08:00Z</cp:lastPrinted>
  <dcterms:created xsi:type="dcterms:W3CDTF">2019-11-26T15:45:00Z</dcterms:created>
  <dcterms:modified xsi:type="dcterms:W3CDTF">2019-11-28T00:19:00Z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UNEP/OzL.Pro/ExCom/84/15</vt:lpwstr>
  </property>
  <property fmtid="{D5CDD505-2E9C-101B-9397-08002B2CF9AE}" pid="3" name="Revision date">
    <vt:lpwstr>10/2/2019</vt:lpwstr>
  </property>
  <property fmtid="{D5CDD505-2E9C-101B-9397-08002B2CF9AE}" pid="4" name="ContentTypeId">
    <vt:lpwstr>0x010100EA99018734B2C14FBE47A02BC3D0CA56</vt:lpwstr>
  </property>
</Properties>
</file>