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6" w:type="dxa"/>
        <w:tblInd w:w="-432" w:type="dxa"/>
        <w:tblLayout w:type="fixed"/>
        <w:tblLook w:val="0000" w:firstRow="0" w:lastRow="0" w:firstColumn="0" w:lastColumn="0" w:noHBand="0" w:noVBand="0"/>
      </w:tblPr>
      <w:tblGrid>
        <w:gridCol w:w="2070"/>
        <w:gridCol w:w="4424"/>
        <w:gridCol w:w="3402"/>
      </w:tblGrid>
      <w:tr w:rsidR="00753E16" w:rsidRPr="00B25E57" w14:paraId="7A58B365" w14:textId="77777777" w:rsidTr="00C1238D">
        <w:trPr>
          <w:trHeight w:val="720"/>
        </w:trPr>
        <w:tc>
          <w:tcPr>
            <w:tcW w:w="6494" w:type="dxa"/>
            <w:gridSpan w:val="2"/>
            <w:tcBorders>
              <w:bottom w:val="single" w:sz="18" w:space="0" w:color="auto"/>
            </w:tcBorders>
          </w:tcPr>
          <w:p w14:paraId="214EBFE5" w14:textId="77777777" w:rsidR="00753E16" w:rsidRPr="00B25E57" w:rsidRDefault="00753E16" w:rsidP="00FB38C2">
            <w:pPr>
              <w:jc w:val="left"/>
              <w:rPr>
                <w:rFonts w:ascii="Univers" w:hAnsi="Univers"/>
                <w:b/>
                <w:sz w:val="28"/>
                <w:szCs w:val="28"/>
                <w:lang w:val="es-ES_tradnl"/>
              </w:rPr>
            </w:pPr>
            <w:r w:rsidRPr="00B25E57">
              <w:rPr>
                <w:rFonts w:ascii="Univers" w:hAnsi="Univers"/>
                <w:b/>
                <w:sz w:val="28"/>
                <w:szCs w:val="28"/>
                <w:lang w:val="es-ES_tradnl"/>
              </w:rPr>
              <w:t>NACIONES</w:t>
            </w:r>
          </w:p>
          <w:p w14:paraId="65247C0C" w14:textId="77777777" w:rsidR="00753E16" w:rsidRPr="00B25E57" w:rsidRDefault="00753E16" w:rsidP="00C1238D">
            <w:pPr>
              <w:rPr>
                <w:rFonts w:ascii="Univers" w:hAnsi="Univers"/>
                <w:b/>
                <w:sz w:val="28"/>
                <w:szCs w:val="28"/>
                <w:lang w:val="es-ES_tradnl"/>
              </w:rPr>
            </w:pPr>
            <w:r w:rsidRPr="00B25E57">
              <w:rPr>
                <w:rFonts w:ascii="Univers" w:hAnsi="Univers"/>
                <w:b/>
                <w:sz w:val="28"/>
                <w:szCs w:val="28"/>
                <w:lang w:val="es-ES_tradnl"/>
              </w:rPr>
              <w:t>UNIDAS</w:t>
            </w:r>
          </w:p>
        </w:tc>
        <w:tc>
          <w:tcPr>
            <w:tcW w:w="3402" w:type="dxa"/>
            <w:tcBorders>
              <w:bottom w:val="single" w:sz="18" w:space="0" w:color="auto"/>
            </w:tcBorders>
          </w:tcPr>
          <w:p w14:paraId="43B7B99E" w14:textId="77777777" w:rsidR="00753E16" w:rsidRPr="00B25E57" w:rsidRDefault="00753E16" w:rsidP="00C1238D">
            <w:pPr>
              <w:ind w:right="146"/>
              <w:jc w:val="right"/>
              <w:rPr>
                <w:rFonts w:asciiTheme="minorBidi" w:hAnsiTheme="minorBidi" w:cstheme="minorBidi"/>
                <w:sz w:val="52"/>
                <w:szCs w:val="52"/>
                <w:lang w:val="es-ES_tradnl"/>
              </w:rPr>
            </w:pPr>
            <w:r w:rsidRPr="00B25E57">
              <w:rPr>
                <w:rFonts w:asciiTheme="minorBidi" w:hAnsiTheme="minorBidi" w:cstheme="minorBidi"/>
                <w:b/>
                <w:sz w:val="72"/>
                <w:lang w:val="es-ES_tradnl"/>
              </w:rPr>
              <w:t>EP</w:t>
            </w:r>
          </w:p>
        </w:tc>
      </w:tr>
      <w:tr w:rsidR="00753E16" w:rsidRPr="00B25E57" w14:paraId="5C055A54" w14:textId="77777777" w:rsidTr="00C1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7E71118" w14:textId="77777777" w:rsidR="00753E16" w:rsidRPr="00B25E57" w:rsidRDefault="00753E16" w:rsidP="00C1238D">
            <w:pPr>
              <w:spacing w:before="120"/>
              <w:rPr>
                <w:lang w:val="es-ES_tradnl"/>
              </w:rPr>
            </w:pPr>
            <w:r w:rsidRPr="00B25E57">
              <w:rPr>
                <w:noProof/>
                <w:lang w:val="en-CA" w:eastAsia="en-CA"/>
              </w:rPr>
              <w:drawing>
                <wp:anchor distT="0" distB="0" distL="114300" distR="114300" simplePos="0" relativeHeight="251659264" behindDoc="0" locked="0" layoutInCell="1" allowOverlap="1" wp14:anchorId="0017DB3B" wp14:editId="2E421E55">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B25E57">
              <w:rPr>
                <w:noProof/>
                <w:lang w:val="en-CA" w:eastAsia="en-CA"/>
              </w:rPr>
              <w:drawing>
                <wp:anchor distT="0" distB="0" distL="114300" distR="114300" simplePos="0" relativeHeight="251660288" behindDoc="1" locked="0" layoutInCell="0" allowOverlap="1" wp14:anchorId="399269B0" wp14:editId="40ED5F0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68792AC" w14:textId="77777777" w:rsidR="00753E16" w:rsidRPr="00B25E57" w:rsidRDefault="00753E16" w:rsidP="00C1238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0A1298DE" w14:textId="14B7BB33" w:rsidR="00753E16" w:rsidRPr="00B25E57" w:rsidRDefault="00753E16" w:rsidP="00C1238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B25E57">
              <w:rPr>
                <w:rFonts w:ascii="Univers" w:hAnsi="Univers"/>
                <w:b/>
                <w:sz w:val="32"/>
                <w:lang w:val="es-ES_tradnl"/>
              </w:rPr>
              <w:t>Programa</w:t>
            </w:r>
            <w:r w:rsidR="003A46A1" w:rsidRPr="00B25E57">
              <w:rPr>
                <w:rFonts w:ascii="Univers" w:hAnsi="Univers"/>
                <w:b/>
                <w:sz w:val="32"/>
                <w:lang w:val="es-ES_tradnl"/>
              </w:rPr>
              <w:t xml:space="preserve"> </w:t>
            </w:r>
            <w:r w:rsidRPr="00B25E57">
              <w:rPr>
                <w:rFonts w:ascii="Univers" w:hAnsi="Univers"/>
                <w:b/>
                <w:sz w:val="32"/>
                <w:lang w:val="es-ES_tradnl"/>
              </w:rPr>
              <w:t>de</w:t>
            </w:r>
            <w:r w:rsidR="003A46A1" w:rsidRPr="00B25E57">
              <w:rPr>
                <w:rFonts w:ascii="Univers" w:hAnsi="Univers"/>
                <w:b/>
                <w:sz w:val="32"/>
                <w:lang w:val="es-ES_tradnl"/>
              </w:rPr>
              <w:t xml:space="preserve"> </w:t>
            </w:r>
            <w:r w:rsidRPr="00B25E57">
              <w:rPr>
                <w:rFonts w:ascii="Univers" w:hAnsi="Univers"/>
                <w:b/>
                <w:sz w:val="32"/>
                <w:lang w:val="es-ES_tradnl"/>
              </w:rPr>
              <w:t>las</w:t>
            </w:r>
          </w:p>
          <w:p w14:paraId="067F41F6" w14:textId="63E8ED82" w:rsidR="00753E16" w:rsidRPr="00B25E57" w:rsidRDefault="00753E16" w:rsidP="00C1238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B25E57">
              <w:rPr>
                <w:rFonts w:ascii="Univers" w:hAnsi="Univers"/>
                <w:b/>
                <w:sz w:val="32"/>
                <w:lang w:val="es-ES_tradnl"/>
              </w:rPr>
              <w:t>Naciones</w:t>
            </w:r>
            <w:r w:rsidR="003A46A1" w:rsidRPr="00B25E57">
              <w:rPr>
                <w:rFonts w:ascii="Univers" w:hAnsi="Univers"/>
                <w:b/>
                <w:sz w:val="32"/>
                <w:lang w:val="es-ES_tradnl"/>
              </w:rPr>
              <w:t xml:space="preserve"> </w:t>
            </w:r>
            <w:r w:rsidRPr="00B25E57">
              <w:rPr>
                <w:rFonts w:ascii="Univers" w:hAnsi="Univers"/>
                <w:b/>
                <w:sz w:val="32"/>
                <w:lang w:val="es-ES_tradnl"/>
              </w:rPr>
              <w:t>Unidas</w:t>
            </w:r>
          </w:p>
          <w:p w14:paraId="5B122E84" w14:textId="5A616137" w:rsidR="00753E16" w:rsidRPr="00B25E57" w:rsidRDefault="00753E16" w:rsidP="00C1238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B25E57">
              <w:rPr>
                <w:rFonts w:ascii="Univers" w:hAnsi="Univers"/>
                <w:b/>
                <w:sz w:val="32"/>
                <w:lang w:val="es-ES_tradnl"/>
              </w:rPr>
              <w:t>para</w:t>
            </w:r>
            <w:r w:rsidR="003A46A1" w:rsidRPr="00B25E57">
              <w:rPr>
                <w:rFonts w:ascii="Univers" w:hAnsi="Univers"/>
                <w:b/>
                <w:sz w:val="32"/>
                <w:lang w:val="es-ES_tradnl"/>
              </w:rPr>
              <w:t xml:space="preserve"> </w:t>
            </w:r>
            <w:r w:rsidRPr="00B25E57">
              <w:rPr>
                <w:rFonts w:ascii="Univers" w:hAnsi="Univers"/>
                <w:b/>
                <w:sz w:val="32"/>
                <w:lang w:val="es-ES_tradnl"/>
              </w:rPr>
              <w:t>el</w:t>
            </w:r>
            <w:r w:rsidR="003A46A1" w:rsidRPr="00B25E57">
              <w:rPr>
                <w:rFonts w:ascii="Univers" w:hAnsi="Univers"/>
                <w:b/>
                <w:sz w:val="32"/>
                <w:lang w:val="es-ES_tradnl"/>
              </w:rPr>
              <w:t xml:space="preserve"> </w:t>
            </w:r>
            <w:r w:rsidRPr="00B25E57">
              <w:rPr>
                <w:rFonts w:ascii="Univers" w:hAnsi="Univers"/>
                <w:b/>
                <w:sz w:val="32"/>
                <w:lang w:val="es-ES_tradnl"/>
              </w:rPr>
              <w:t>Medio</w:t>
            </w:r>
            <w:r w:rsidR="003A46A1" w:rsidRPr="00B25E57">
              <w:rPr>
                <w:rFonts w:ascii="Univers" w:hAnsi="Univers"/>
                <w:b/>
                <w:sz w:val="32"/>
                <w:lang w:val="es-ES_tradnl"/>
              </w:rPr>
              <w:t xml:space="preserve"> </w:t>
            </w:r>
            <w:r w:rsidRPr="00B25E57">
              <w:rPr>
                <w:rFonts w:ascii="Univers" w:hAnsi="Univers"/>
                <w:b/>
                <w:sz w:val="32"/>
                <w:lang w:val="es-ES_tradnl"/>
              </w:rPr>
              <w:t>Ambiente</w:t>
            </w:r>
          </w:p>
          <w:p w14:paraId="638F67FA" w14:textId="77777777" w:rsidR="00753E16" w:rsidRPr="00B25E57" w:rsidRDefault="00753E16" w:rsidP="00C1238D">
            <w:pPr>
              <w:spacing w:before="720"/>
              <w:ind w:left="158"/>
              <w:rPr>
                <w:lang w:val="es-ES_tradnl"/>
              </w:rPr>
            </w:pPr>
          </w:p>
        </w:tc>
        <w:tc>
          <w:tcPr>
            <w:tcW w:w="3402" w:type="dxa"/>
            <w:tcBorders>
              <w:top w:val="nil"/>
              <w:left w:val="nil"/>
              <w:bottom w:val="single" w:sz="36" w:space="0" w:color="auto"/>
              <w:right w:val="nil"/>
            </w:tcBorders>
          </w:tcPr>
          <w:p w14:paraId="0F94BC7D" w14:textId="77777777" w:rsidR="00753E16" w:rsidRPr="00B25E57" w:rsidRDefault="00753E16" w:rsidP="00C1238D">
            <w:pPr>
              <w:ind w:right="146"/>
              <w:rPr>
                <w:lang w:val="es-ES_tradnl"/>
              </w:rPr>
            </w:pPr>
          </w:p>
          <w:p w14:paraId="580FB2A5" w14:textId="77777777" w:rsidR="00753E16" w:rsidRPr="00B25E57" w:rsidRDefault="00753E16" w:rsidP="00C1238D">
            <w:pPr>
              <w:ind w:right="146"/>
              <w:rPr>
                <w:lang w:val="es-ES_tradnl"/>
              </w:rPr>
            </w:pPr>
            <w:r w:rsidRPr="00B25E57">
              <w:rPr>
                <w:lang w:val="es-ES_tradnl"/>
              </w:rPr>
              <w:t>Distr.</w:t>
            </w:r>
          </w:p>
          <w:p w14:paraId="6D45365C" w14:textId="77777777" w:rsidR="00753E16" w:rsidRPr="00B25E57" w:rsidRDefault="00753E16" w:rsidP="00C1238D">
            <w:pPr>
              <w:ind w:right="146"/>
              <w:rPr>
                <w:lang w:val="es-ES_tradnl"/>
              </w:rPr>
            </w:pPr>
            <w:r w:rsidRPr="00B25E57">
              <w:rPr>
                <w:lang w:val="es-ES_tradnl"/>
              </w:rPr>
              <w:t>GENERAL</w:t>
            </w:r>
          </w:p>
          <w:p w14:paraId="13436022" w14:textId="77777777" w:rsidR="00753E16" w:rsidRPr="00B25E57" w:rsidRDefault="00753E16" w:rsidP="00C1238D">
            <w:pPr>
              <w:ind w:right="146"/>
              <w:rPr>
                <w:lang w:val="es-ES_tradnl"/>
              </w:rPr>
            </w:pPr>
          </w:p>
          <w:p w14:paraId="1ACBC3CF" w14:textId="1505250A" w:rsidR="00753E16" w:rsidRPr="00B25E57" w:rsidRDefault="00753E16" w:rsidP="00C1238D">
            <w:pPr>
              <w:ind w:right="146"/>
              <w:rPr>
                <w:lang w:val="es-ES_tradnl"/>
              </w:rPr>
            </w:pPr>
            <w:r w:rsidRPr="00B25E57">
              <w:rPr>
                <w:lang w:val="es-ES_tradnl"/>
              </w:rPr>
              <w:fldChar w:fldCharType="begin"/>
            </w:r>
            <w:r w:rsidRPr="00B25E57">
              <w:rPr>
                <w:lang w:val="es-ES_tradnl"/>
              </w:rPr>
              <w:instrText xml:space="preserve"> DOCPROPERTY "Document number"  \* MERGEFORMAT </w:instrText>
            </w:r>
            <w:r w:rsidRPr="00B25E57">
              <w:rPr>
                <w:lang w:val="es-ES_tradnl"/>
              </w:rPr>
              <w:fldChar w:fldCharType="separate"/>
            </w:r>
            <w:r w:rsidR="00216433">
              <w:rPr>
                <w:lang w:val="es-ES_tradnl"/>
              </w:rPr>
              <w:t>UNEP/OzL.Pro/ExCom/83/44</w:t>
            </w:r>
            <w:r w:rsidRPr="00B25E57">
              <w:rPr>
                <w:lang w:val="es-ES_tradnl"/>
              </w:rPr>
              <w:fldChar w:fldCharType="end"/>
            </w:r>
          </w:p>
          <w:p w14:paraId="16238C4E" w14:textId="595D2A12" w:rsidR="00753E16" w:rsidRPr="00B25E57" w:rsidRDefault="00753E16" w:rsidP="00C1238D">
            <w:pPr>
              <w:ind w:right="146"/>
              <w:rPr>
                <w:caps/>
                <w:lang w:val="es-ES_tradnl"/>
              </w:rPr>
            </w:pPr>
            <w:r w:rsidRPr="00B25E57">
              <w:rPr>
                <w:lang w:val="es-ES_tradnl"/>
              </w:rPr>
              <w:t>11</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mayo</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2019</w:t>
            </w:r>
          </w:p>
          <w:p w14:paraId="6CCA5756" w14:textId="77777777" w:rsidR="00753E16" w:rsidRPr="00B25E57" w:rsidRDefault="00753E16" w:rsidP="00C1238D">
            <w:pPr>
              <w:rPr>
                <w:caps/>
                <w:lang w:val="es-ES_tradnl"/>
              </w:rPr>
            </w:pPr>
          </w:p>
          <w:p w14:paraId="298577A1" w14:textId="77777777" w:rsidR="00753E16" w:rsidRPr="00B25E57" w:rsidRDefault="00753E16" w:rsidP="00C1238D">
            <w:pPr>
              <w:ind w:right="146"/>
              <w:rPr>
                <w:lang w:val="es-ES_tradnl"/>
              </w:rPr>
            </w:pPr>
            <w:r w:rsidRPr="00B25E57">
              <w:rPr>
                <w:lang w:val="es-ES_tradnl"/>
              </w:rPr>
              <w:t>ESPAÑOL</w:t>
            </w:r>
          </w:p>
          <w:p w14:paraId="004B18DC" w14:textId="072FAB39" w:rsidR="00753E16" w:rsidRPr="00B25E57" w:rsidRDefault="00753E16" w:rsidP="00C1238D">
            <w:pPr>
              <w:ind w:right="146"/>
              <w:rPr>
                <w:lang w:val="es-ES_tradnl"/>
              </w:rPr>
            </w:pPr>
            <w:r w:rsidRPr="00B25E57">
              <w:rPr>
                <w:lang w:val="es-ES_tradnl"/>
              </w:rPr>
              <w:t>ORIGINAL:</w:t>
            </w:r>
            <w:r w:rsidR="003A46A1" w:rsidRPr="00B25E57">
              <w:rPr>
                <w:lang w:val="es-ES_tradnl"/>
              </w:rPr>
              <w:t xml:space="preserve"> </w:t>
            </w:r>
            <w:r w:rsidRPr="00B25E57">
              <w:rPr>
                <w:lang w:val="es-ES_tradnl"/>
              </w:rPr>
              <w:t>INGLÉS</w:t>
            </w:r>
          </w:p>
        </w:tc>
      </w:tr>
    </w:tbl>
    <w:p w14:paraId="54674160" w14:textId="7217F1FF" w:rsidR="00753E16" w:rsidRPr="00B25E57" w:rsidRDefault="00753E16" w:rsidP="00753E16">
      <w:pPr>
        <w:jc w:val="left"/>
        <w:rPr>
          <w:lang w:val="es-ES_tradnl"/>
        </w:rPr>
      </w:pPr>
      <w:r w:rsidRPr="00B25E57">
        <w:rPr>
          <w:lang w:val="es-ES_tradnl"/>
        </w:rPr>
        <w:t>COMITÉ</w:t>
      </w:r>
      <w:r w:rsidR="003A46A1" w:rsidRPr="00B25E57">
        <w:rPr>
          <w:lang w:val="es-ES_tradnl"/>
        </w:rPr>
        <w:t xml:space="preserve"> </w:t>
      </w:r>
      <w:r w:rsidRPr="00B25E57">
        <w:rPr>
          <w:lang w:val="es-ES_tradnl"/>
        </w:rPr>
        <w:t>EJECUTIVO</w:t>
      </w:r>
      <w:r w:rsidR="003A46A1" w:rsidRPr="00B25E57">
        <w:rPr>
          <w:lang w:val="es-ES_tradnl"/>
        </w:rPr>
        <w:t xml:space="preserve"> </w:t>
      </w:r>
      <w:r w:rsidRPr="00B25E57">
        <w:rPr>
          <w:lang w:val="es-ES_tradnl"/>
        </w:rPr>
        <w:t>DEL</w:t>
      </w:r>
      <w:r w:rsidR="003A46A1" w:rsidRPr="00B25E57">
        <w:rPr>
          <w:lang w:val="es-ES_tradnl"/>
        </w:rPr>
        <w:t xml:space="preserve"> </w:t>
      </w:r>
      <w:r w:rsidRPr="00B25E57">
        <w:rPr>
          <w:lang w:val="es-ES_tradnl"/>
        </w:rPr>
        <w:t>FONDO</w:t>
      </w:r>
      <w:r w:rsidR="003A46A1" w:rsidRPr="00B25E57">
        <w:rPr>
          <w:lang w:val="es-ES_tradnl"/>
        </w:rPr>
        <w:t xml:space="preserve"> </w:t>
      </w:r>
      <w:r w:rsidRPr="00B25E57">
        <w:rPr>
          <w:lang w:val="es-ES_tradnl"/>
        </w:rPr>
        <w:t>MULTILATERAL</w:t>
      </w:r>
      <w:r w:rsidRPr="00B25E57">
        <w:rPr>
          <w:lang w:val="es-ES_tradnl"/>
        </w:rPr>
        <w:br/>
      </w:r>
      <w:r w:rsidR="003A46A1" w:rsidRPr="00B25E57">
        <w:rPr>
          <w:lang w:val="es-ES_tradnl"/>
        </w:rPr>
        <w:t xml:space="preserve"> </w:t>
      </w:r>
      <w:r w:rsidRPr="00B25E57">
        <w:rPr>
          <w:lang w:val="es-ES_tradnl"/>
        </w:rPr>
        <w:t>PARA</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APLICACIÓN</w:t>
      </w:r>
      <w:r w:rsidR="003A46A1" w:rsidRPr="00B25E57">
        <w:rPr>
          <w:lang w:val="es-ES_tradnl"/>
        </w:rPr>
        <w:t xml:space="preserve"> </w:t>
      </w:r>
      <w:r w:rsidRPr="00B25E57">
        <w:rPr>
          <w:lang w:val="es-ES_tradnl"/>
        </w:rPr>
        <w:t>DEL</w:t>
      </w:r>
      <w:r w:rsidRPr="00B25E57">
        <w:rPr>
          <w:lang w:val="es-ES_tradnl"/>
        </w:rPr>
        <w:br/>
      </w:r>
      <w:r w:rsidR="003A46A1" w:rsidRPr="00B25E57">
        <w:rPr>
          <w:lang w:val="es-ES_tradnl"/>
        </w:rPr>
        <w:t xml:space="preserve"> </w:t>
      </w:r>
      <w:r w:rsidRPr="00B25E57">
        <w:rPr>
          <w:lang w:val="es-ES_tradnl"/>
        </w:rPr>
        <w:t>PROTOCOLO</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MONTREAL</w:t>
      </w:r>
    </w:p>
    <w:p w14:paraId="1843E794" w14:textId="6F9158B8" w:rsidR="00753E16" w:rsidRPr="00B25E57" w:rsidRDefault="00753E16" w:rsidP="00753E16">
      <w:pPr>
        <w:jc w:val="left"/>
        <w:rPr>
          <w:lang w:val="es-ES_tradnl"/>
        </w:rPr>
      </w:pPr>
      <w:r w:rsidRPr="00B25E57">
        <w:rPr>
          <w:lang w:val="es-ES_tradnl"/>
        </w:rPr>
        <w:t>Octogésima</w:t>
      </w:r>
      <w:r w:rsidR="003A46A1" w:rsidRPr="00B25E57">
        <w:rPr>
          <w:lang w:val="es-ES_tradnl"/>
        </w:rPr>
        <w:t xml:space="preserve"> </w:t>
      </w:r>
      <w:r w:rsidRPr="00B25E57">
        <w:rPr>
          <w:lang w:val="es-ES_tradnl"/>
        </w:rPr>
        <w:t>tercera</w:t>
      </w:r>
      <w:r w:rsidR="003A46A1" w:rsidRPr="00B25E57">
        <w:rPr>
          <w:lang w:val="es-ES_tradnl"/>
        </w:rPr>
        <w:t xml:space="preserve"> </w:t>
      </w:r>
      <w:r w:rsidRPr="00B25E57">
        <w:rPr>
          <w:lang w:val="es-ES_tradnl"/>
        </w:rPr>
        <w:t>Reunión</w:t>
      </w:r>
      <w:r w:rsidRPr="00B25E57">
        <w:rPr>
          <w:lang w:val="es-ES_tradnl"/>
        </w:rPr>
        <w:br/>
        <w:t>Montreal,</w:t>
      </w:r>
      <w:r w:rsidR="003A46A1" w:rsidRPr="00B25E57">
        <w:rPr>
          <w:lang w:val="es-ES_tradnl"/>
        </w:rPr>
        <w:t xml:space="preserve"> </w:t>
      </w:r>
      <w:r w:rsidRPr="00B25E57">
        <w:rPr>
          <w:lang w:val="es-ES_tradnl"/>
        </w:rPr>
        <w:t>27</w:t>
      </w:r>
      <w:r w:rsidR="00FB38C2" w:rsidRPr="00B25E57">
        <w:rPr>
          <w:lang w:val="es-ES_tradnl"/>
        </w:rPr>
        <w:t>-</w:t>
      </w:r>
      <w:r w:rsidRPr="00B25E57">
        <w:rPr>
          <w:lang w:val="es-ES_tradnl"/>
        </w:rPr>
        <w:t>31</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mayo</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2019</w:t>
      </w:r>
    </w:p>
    <w:p w14:paraId="74213BC1" w14:textId="77777777" w:rsidR="007B22B4" w:rsidRPr="00B25E57" w:rsidRDefault="007B22B4" w:rsidP="003919B9">
      <w:pPr>
        <w:rPr>
          <w:lang w:val="es-ES_tradnl"/>
        </w:rPr>
      </w:pPr>
    </w:p>
    <w:p w14:paraId="26C027D3" w14:textId="77777777" w:rsidR="00EE66BA" w:rsidRPr="00B25E57" w:rsidRDefault="00EE66BA" w:rsidP="001C3C80">
      <w:pPr>
        <w:tabs>
          <w:tab w:val="left" w:pos="8280"/>
        </w:tabs>
        <w:rPr>
          <w:lang w:val="es-ES_tradnl"/>
        </w:rPr>
      </w:pPr>
    </w:p>
    <w:p w14:paraId="07CC17E9" w14:textId="17DD0DB0" w:rsidR="009C203C" w:rsidRPr="00B25E57" w:rsidRDefault="0030598B" w:rsidP="009C203C">
      <w:pPr>
        <w:tabs>
          <w:tab w:val="left" w:pos="8280"/>
        </w:tabs>
        <w:jc w:val="center"/>
        <w:rPr>
          <w:b/>
          <w:lang w:val="es-ES_tradnl"/>
        </w:rPr>
      </w:pPr>
      <w:r w:rsidRPr="0030598B">
        <w:rPr>
          <w:b/>
          <w:lang w:val="es-ES_tradnl"/>
        </w:rPr>
        <w:t>ASPECTOS CLAVE RELACIONADOS CON LAS</w:t>
      </w:r>
      <w:r w:rsidR="00BA7F82">
        <w:rPr>
          <w:b/>
          <w:lang w:val="es-ES_tradnl"/>
        </w:rPr>
        <w:t xml:space="preserve"> TECNOLOGÍAS DE CONTROL DEL HFC</w:t>
      </w:r>
      <w:r w:rsidR="00BA7F82">
        <w:rPr>
          <w:b/>
          <w:lang w:val="es-ES_tradnl"/>
        </w:rPr>
        <w:noBreakHyphen/>
      </w:r>
      <w:r w:rsidRPr="0030598B">
        <w:rPr>
          <w:b/>
          <w:lang w:val="es-ES_tradnl"/>
        </w:rPr>
        <w:t xml:space="preserve">23 COMO SUBPRODUCTO </w:t>
      </w:r>
      <w:r w:rsidR="009C203C" w:rsidRPr="00B25E57">
        <w:rPr>
          <w:b/>
          <w:lang w:val="es-ES_tradnl"/>
        </w:rPr>
        <w:t>(</w:t>
      </w:r>
      <w:r w:rsidR="004241C5" w:rsidRPr="00B25E57">
        <w:rPr>
          <w:b/>
          <w:lang w:val="es-ES_tradnl"/>
        </w:rPr>
        <w:t>DECISIÓN</w:t>
      </w:r>
      <w:r w:rsidR="003A46A1" w:rsidRPr="00B25E57">
        <w:rPr>
          <w:b/>
          <w:lang w:val="es-ES_tradnl"/>
        </w:rPr>
        <w:t xml:space="preserve"> </w:t>
      </w:r>
      <w:r w:rsidR="009C203C" w:rsidRPr="00B25E57">
        <w:rPr>
          <w:b/>
          <w:lang w:val="es-ES_tradnl"/>
        </w:rPr>
        <w:t>82/85)</w:t>
      </w:r>
    </w:p>
    <w:p w14:paraId="3BBDFE11" w14:textId="77777777" w:rsidR="00E91F68" w:rsidRPr="00B25E57" w:rsidRDefault="00E91F68">
      <w:pPr>
        <w:jc w:val="left"/>
        <w:rPr>
          <w:lang w:val="es-ES_tradnl"/>
        </w:rPr>
      </w:pPr>
    </w:p>
    <w:p w14:paraId="02C8A367" w14:textId="035C0707" w:rsidR="00D44123" w:rsidRPr="00B25E57" w:rsidRDefault="007B22B4" w:rsidP="003801A5">
      <w:pPr>
        <w:rPr>
          <w:u w:val="single"/>
          <w:lang w:val="es-ES_tradnl"/>
        </w:rPr>
      </w:pPr>
      <w:r w:rsidRPr="00B25E57">
        <w:rPr>
          <w:u w:val="single"/>
          <w:lang w:val="es-ES_tradnl"/>
        </w:rPr>
        <w:t>Antecedentes</w:t>
      </w:r>
    </w:p>
    <w:p w14:paraId="663155FF" w14:textId="77777777" w:rsidR="00D44123" w:rsidRPr="00B25E57" w:rsidRDefault="00D44123" w:rsidP="00D44123">
      <w:pPr>
        <w:rPr>
          <w:lang w:val="es-ES_tradnl"/>
        </w:rPr>
      </w:pPr>
    </w:p>
    <w:p w14:paraId="6B55E2F3" w14:textId="66BE4E51" w:rsidR="007B22B4" w:rsidRPr="00B25E57" w:rsidRDefault="00B25E57" w:rsidP="001D6DFC">
      <w:pPr>
        <w:pStyle w:val="Heading1"/>
        <w:rPr>
          <w:lang w:val="es-ES_tradnl"/>
        </w:rPr>
      </w:pPr>
      <w:r>
        <w:rPr>
          <w:lang w:val="es-ES_tradnl"/>
        </w:rPr>
        <w:t xml:space="preserve">En la </w:t>
      </w:r>
      <w:r w:rsidR="00B06216" w:rsidRPr="00B25E57">
        <w:rPr>
          <w:lang w:val="es-ES_tradnl"/>
        </w:rPr>
        <w:t>7</w:t>
      </w:r>
      <w:r w:rsidR="004057BA" w:rsidRPr="00B25E57">
        <w:rPr>
          <w:lang w:val="es-ES_tradnl"/>
        </w:rPr>
        <w:t>9</w:t>
      </w:r>
      <w:r w:rsidR="00F942C6" w:rsidRPr="00B25E57">
        <w:rPr>
          <w:lang w:val="es-ES_tradnl"/>
        </w:rPr>
        <w:t>ª reunión</w:t>
      </w:r>
      <w:r w:rsidR="00B06216"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E32795">
        <w:rPr>
          <w:lang w:val="es-ES_tradnl"/>
        </w:rPr>
        <w:t>eval</w:t>
      </w:r>
      <w:r w:rsidR="003C4810">
        <w:rPr>
          <w:lang w:val="es-ES_tradnl"/>
        </w:rPr>
        <w:t xml:space="preserve">uó, </w:t>
      </w:r>
      <w:r w:rsidR="004057BA" w:rsidRPr="001F39EF">
        <w:rPr>
          <w:lang w:val="es-ES_tradnl"/>
        </w:rPr>
        <w:t>entre</w:t>
      </w:r>
      <w:r w:rsidR="003A46A1" w:rsidRPr="001F39EF">
        <w:rPr>
          <w:lang w:val="es-ES_tradnl"/>
        </w:rPr>
        <w:t xml:space="preserve"> </w:t>
      </w:r>
      <w:r w:rsidR="00FA28A4">
        <w:rPr>
          <w:lang w:val="es-ES_tradnl"/>
        </w:rPr>
        <w:t>otra</w:t>
      </w:r>
      <w:r w:rsidR="004057BA" w:rsidRPr="0050444D">
        <w:rPr>
          <w:lang w:val="es-ES_tradnl"/>
        </w:rPr>
        <w:t>s</w:t>
      </w:r>
      <w:r w:rsidR="00FA28A4">
        <w:rPr>
          <w:lang w:val="es-ES_tradnl"/>
        </w:rPr>
        <w:t xml:space="preserve"> cosas</w:t>
      </w:r>
      <w:r w:rsidR="00E32795" w:rsidRPr="00216433">
        <w:rPr>
          <w:lang w:val="es-ES"/>
        </w:rPr>
        <w:t xml:space="preserve">, </w:t>
      </w:r>
      <w:r w:rsidR="00DE4DE5">
        <w:rPr>
          <w:lang w:val="es-ES_tradnl"/>
        </w:rPr>
        <w:t>posibles opciones económicas</w:t>
      </w:r>
      <w:r w:rsidR="003A46A1" w:rsidRPr="00B25E57">
        <w:rPr>
          <w:lang w:val="es-ES_tradnl"/>
        </w:rPr>
        <w:t xml:space="preserve"> </w:t>
      </w:r>
      <w:r w:rsidR="003A7060">
        <w:rPr>
          <w:lang w:val="es-ES_tradnl"/>
        </w:rPr>
        <w:t>de</w:t>
      </w:r>
      <w:r w:rsidR="003A46A1" w:rsidRPr="00B25E57">
        <w:rPr>
          <w:lang w:val="es-ES_tradnl"/>
        </w:rPr>
        <w:t xml:space="preserve"> </w:t>
      </w:r>
      <w:r w:rsidR="00473541">
        <w:rPr>
          <w:lang w:val="es-ES_tradnl"/>
        </w:rPr>
        <w:t>compensación</w:t>
      </w:r>
      <w:r w:rsidR="003A46A1" w:rsidRPr="00B25E57">
        <w:rPr>
          <w:lang w:val="es-ES_tradnl"/>
        </w:rPr>
        <w:t xml:space="preserve"> </w:t>
      </w:r>
      <w:r w:rsidR="00F33C58" w:rsidRPr="00B25E57">
        <w:rPr>
          <w:lang w:val="es-ES_tradnl"/>
        </w:rPr>
        <w:t>para</w:t>
      </w:r>
      <w:r w:rsidR="003A46A1" w:rsidRPr="00B25E57">
        <w:rPr>
          <w:lang w:val="es-ES_tradnl"/>
        </w:rPr>
        <w:t xml:space="preserve"> </w:t>
      </w:r>
      <w:r w:rsidR="00E02E17">
        <w:rPr>
          <w:lang w:val="es-ES_tradnl"/>
        </w:rPr>
        <w:t>plantas duales de producción de HCFC-22</w:t>
      </w:r>
      <w:r w:rsidR="003A46A1" w:rsidRPr="00B25E57">
        <w:rPr>
          <w:lang w:val="es-ES_tradnl"/>
        </w:rPr>
        <w:t xml:space="preserve"> </w:t>
      </w:r>
      <w:r w:rsidR="006B13B0">
        <w:rPr>
          <w:lang w:val="es-ES_tradnl"/>
        </w:rPr>
        <w:t xml:space="preserve">con vistas a facilitar el </w:t>
      </w:r>
      <w:r w:rsidR="007B22B4" w:rsidRPr="00B25E57">
        <w:rPr>
          <w:lang w:val="es-ES_tradnl"/>
        </w:rPr>
        <w:t>cumplimiento</w:t>
      </w:r>
      <w:r w:rsidR="003A46A1" w:rsidRPr="00B25E57">
        <w:rPr>
          <w:lang w:val="es-ES_tradnl"/>
        </w:rPr>
        <w:t xml:space="preserve"> </w:t>
      </w:r>
      <w:r w:rsidR="006B13B0">
        <w:rPr>
          <w:lang w:val="es-ES_tradnl"/>
        </w:rPr>
        <w:t xml:space="preserve">de </w:t>
      </w:r>
      <w:r w:rsidR="00EA236A">
        <w:rPr>
          <w:lang w:val="es-ES_tradnl"/>
        </w:rPr>
        <w:t>las obligaciones de control del subproducto HFC-23</w:t>
      </w:r>
      <w:r w:rsidR="003A46A1" w:rsidRPr="00B25E57">
        <w:rPr>
          <w:lang w:val="es-ES_tradnl"/>
        </w:rPr>
        <w:t xml:space="preserve"> </w:t>
      </w:r>
      <w:r w:rsidR="00CB240B">
        <w:rPr>
          <w:lang w:val="es-ES_tradnl"/>
        </w:rPr>
        <w:t xml:space="preserve">previstas en </w:t>
      </w:r>
      <w:r w:rsidR="00A4343B" w:rsidRPr="00B25E57">
        <w:rPr>
          <w:lang w:val="es-ES_tradnl"/>
        </w:rPr>
        <w:t>la</w:t>
      </w:r>
      <w:r w:rsidR="003A46A1" w:rsidRPr="00B25E57">
        <w:rPr>
          <w:lang w:val="es-ES_tradnl"/>
        </w:rPr>
        <w:t xml:space="preserve"> </w:t>
      </w:r>
      <w:r w:rsidR="00A4343B" w:rsidRPr="00B25E57">
        <w:rPr>
          <w:lang w:val="es-ES_tradnl"/>
        </w:rPr>
        <w:t>Enmienda</w:t>
      </w:r>
      <w:r w:rsidR="003A46A1" w:rsidRPr="00B25E57">
        <w:rPr>
          <w:lang w:val="es-ES_tradnl"/>
        </w:rPr>
        <w:t xml:space="preserve"> </w:t>
      </w:r>
      <w:r w:rsidR="00A4343B" w:rsidRPr="00B25E57">
        <w:rPr>
          <w:lang w:val="es-ES_tradnl"/>
        </w:rPr>
        <w:t>de</w:t>
      </w:r>
      <w:r w:rsidR="003A46A1" w:rsidRPr="00B25E57">
        <w:rPr>
          <w:lang w:val="es-ES_tradnl"/>
        </w:rPr>
        <w:t xml:space="preserve"> </w:t>
      </w:r>
      <w:r w:rsidR="00A4343B" w:rsidRPr="00B25E57">
        <w:rPr>
          <w:lang w:val="es-ES_tradnl"/>
        </w:rPr>
        <w:t>Kigali</w:t>
      </w:r>
      <w:r w:rsidR="00C95CDA">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7A3C7E">
        <w:rPr>
          <w:lang w:val="es-ES_tradnl"/>
        </w:rPr>
        <w:t>solicitó</w:t>
      </w:r>
      <w:r w:rsidR="003A46A1" w:rsidRPr="00B25E57">
        <w:rPr>
          <w:lang w:val="es-ES_tradnl"/>
        </w:rPr>
        <w:t xml:space="preserve"> </w:t>
      </w:r>
      <w:r w:rsidR="007A3C7E">
        <w:rPr>
          <w:lang w:val="es-ES_tradnl"/>
        </w:rPr>
        <w:t xml:space="preserve">a los </w:t>
      </w:r>
      <w:r w:rsidR="002E51CA">
        <w:rPr>
          <w:lang w:val="es-ES_tradnl"/>
        </w:rPr>
        <w:t>g</w:t>
      </w:r>
      <w:r w:rsidR="00A9712C">
        <w:rPr>
          <w:lang w:val="es-ES_tradnl"/>
        </w:rPr>
        <w:t>obierno</w:t>
      </w:r>
      <w:r w:rsidR="00D04DC2" w:rsidRPr="00B25E57">
        <w:rPr>
          <w:lang w:val="es-ES_tradnl"/>
        </w:rPr>
        <w:t>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D04DC2" w:rsidRPr="00B25E57">
        <w:rPr>
          <w:lang w:val="es-ES_tradnl"/>
        </w:rPr>
        <w:t>países</w:t>
      </w:r>
      <w:r w:rsidR="003A46A1" w:rsidRPr="00B25E57">
        <w:rPr>
          <w:lang w:val="es-ES_tradnl"/>
        </w:rPr>
        <w:t xml:space="preserve"> </w:t>
      </w:r>
      <w:r w:rsidR="00D04DC2" w:rsidRPr="00B25E57">
        <w:rPr>
          <w:lang w:val="es-ES_tradnl"/>
        </w:rPr>
        <w:t>del</w:t>
      </w:r>
      <w:r w:rsidR="003A46A1" w:rsidRPr="00B25E57">
        <w:rPr>
          <w:lang w:val="es-ES_tradnl"/>
        </w:rPr>
        <w:t xml:space="preserve"> </w:t>
      </w:r>
      <w:r w:rsidR="00D04DC2" w:rsidRPr="00B25E57">
        <w:rPr>
          <w:lang w:val="es-ES_tradnl"/>
        </w:rPr>
        <w:t>artículo</w:t>
      </w:r>
      <w:r w:rsidR="003A46A1" w:rsidRPr="00B25E57">
        <w:rPr>
          <w:lang w:val="es-ES_tradnl"/>
        </w:rPr>
        <w:t xml:space="preserve"> </w:t>
      </w:r>
      <w:r w:rsidR="00D04DC2" w:rsidRPr="00B25E57">
        <w:rPr>
          <w:lang w:val="es-ES_tradnl"/>
        </w:rPr>
        <w:t>5</w:t>
      </w:r>
      <w:r w:rsidR="003A46A1" w:rsidRPr="00B25E57">
        <w:rPr>
          <w:lang w:val="es-ES_tradnl"/>
        </w:rPr>
        <w:t xml:space="preserve"> </w:t>
      </w:r>
      <w:r w:rsidR="00B97989">
        <w:rPr>
          <w:lang w:val="es-ES_tradnl"/>
        </w:rPr>
        <w:t xml:space="preserve">interesados en </w:t>
      </w:r>
      <w:r w:rsidR="00AA1A89">
        <w:rPr>
          <w:lang w:val="es-ES_tradnl"/>
        </w:rPr>
        <w:t xml:space="preserve">cerrar </w:t>
      </w:r>
      <w:r w:rsidR="00A00075">
        <w:rPr>
          <w:lang w:val="es-ES_tradnl"/>
        </w:rPr>
        <w:t xml:space="preserve">este tipo de </w:t>
      </w:r>
      <w:r w:rsidR="00E02E17">
        <w:rPr>
          <w:lang w:val="es-ES_tradnl"/>
        </w:rPr>
        <w:t xml:space="preserve">plantas </w:t>
      </w:r>
      <w:r w:rsidR="006F1230">
        <w:rPr>
          <w:lang w:val="es-ES_tradnl"/>
        </w:rPr>
        <w:t xml:space="preserve">presentar </w:t>
      </w:r>
      <w:r w:rsidR="0031053A">
        <w:rPr>
          <w:lang w:val="es-ES_tradnl"/>
        </w:rPr>
        <w:t>información preliminar</w:t>
      </w:r>
      <w:r w:rsidR="003A46A1" w:rsidRPr="00B25E57">
        <w:rPr>
          <w:lang w:val="es-ES_tradnl"/>
        </w:rPr>
        <w:t xml:space="preserve"> </w:t>
      </w:r>
      <w:r w:rsidR="00E22238" w:rsidRPr="00B25E57">
        <w:rPr>
          <w:lang w:val="es-ES_tradnl"/>
        </w:rPr>
        <w:t>a</w:t>
      </w:r>
      <w:r w:rsidR="003A46A1" w:rsidRPr="00B25E57">
        <w:rPr>
          <w:lang w:val="es-ES_tradnl"/>
        </w:rPr>
        <w:t xml:space="preserve"> </w:t>
      </w:r>
      <w:r w:rsidR="00E22238" w:rsidRPr="00B25E57">
        <w:rPr>
          <w:lang w:val="es-ES_tradnl"/>
        </w:rPr>
        <w:t>la</w:t>
      </w:r>
      <w:r w:rsidR="003A46A1" w:rsidRPr="00B25E57">
        <w:rPr>
          <w:lang w:val="es-ES_tradnl"/>
        </w:rPr>
        <w:t xml:space="preserve"> </w:t>
      </w:r>
      <w:r w:rsidR="00E22238" w:rsidRPr="00B25E57">
        <w:rPr>
          <w:lang w:val="es-ES_tradnl"/>
        </w:rPr>
        <w:t>80</w:t>
      </w:r>
      <w:r w:rsidR="00F942C6" w:rsidRPr="00B25E57">
        <w:rPr>
          <w:lang w:val="es-ES_tradnl"/>
        </w:rPr>
        <w:t>ª reunión</w:t>
      </w:r>
      <w:r w:rsidR="003A46A1" w:rsidRPr="00B25E57">
        <w:rPr>
          <w:lang w:val="es-ES_tradnl"/>
        </w:rPr>
        <w:t xml:space="preserve"> </w:t>
      </w:r>
      <w:r w:rsidR="00B06216" w:rsidRPr="00B25E57">
        <w:rPr>
          <w:lang w:val="es-ES_tradnl"/>
        </w:rPr>
        <w:t>(</w:t>
      </w:r>
      <w:r w:rsidR="004241C5" w:rsidRPr="00B25E57">
        <w:rPr>
          <w:lang w:val="es-ES_tradnl"/>
        </w:rPr>
        <w:t>decisión</w:t>
      </w:r>
      <w:r w:rsidR="003A46A1" w:rsidRPr="00B25E57">
        <w:rPr>
          <w:lang w:val="es-ES_tradnl"/>
        </w:rPr>
        <w:t xml:space="preserve"> </w:t>
      </w:r>
      <w:r w:rsidR="00B06216" w:rsidRPr="00B25E57">
        <w:rPr>
          <w:lang w:val="es-ES_tradnl"/>
        </w:rPr>
        <w:t>79/47(</w:t>
      </w:r>
      <w:r w:rsidR="00074F58" w:rsidRPr="00B25E57">
        <w:rPr>
          <w:lang w:val="es-ES_tradnl"/>
        </w:rPr>
        <w:t>c</w:t>
      </w:r>
      <w:r w:rsidR="00B06216" w:rsidRPr="00B25E57">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074F58" w:rsidRPr="00B25E57">
        <w:rPr>
          <w:lang w:val="es-ES_tradnl"/>
        </w:rPr>
        <w:t>(d</w:t>
      </w:r>
      <w:r w:rsidR="00B06216" w:rsidRPr="00B25E57">
        <w:rPr>
          <w:lang w:val="es-ES_tradnl"/>
        </w:rPr>
        <w:t>)</w:t>
      </w:r>
      <w:r w:rsidR="00074F58" w:rsidRPr="00B25E57">
        <w:rPr>
          <w:lang w:val="es-ES_tradnl"/>
        </w:rPr>
        <w:t>)</w:t>
      </w:r>
      <w:r w:rsidR="00B06216" w:rsidRPr="00B25E57">
        <w:rPr>
          <w:lang w:val="es-ES_tradnl"/>
        </w:rPr>
        <w:t>.</w:t>
      </w:r>
      <w:r w:rsidR="003A46A1" w:rsidRPr="00B25E57">
        <w:rPr>
          <w:lang w:val="es-ES_tradnl"/>
        </w:rPr>
        <w:t xml:space="preserve"> </w:t>
      </w:r>
      <w:r>
        <w:rPr>
          <w:lang w:val="es-ES_tradnl"/>
        </w:rPr>
        <w:t xml:space="preserve">En la </w:t>
      </w:r>
      <w:r w:rsidR="003A46A1" w:rsidRPr="00B25E57">
        <w:rPr>
          <w:lang w:val="es-ES_tradnl"/>
        </w:rPr>
        <w:t>80</w:t>
      </w:r>
      <w:r w:rsidR="00F942C6" w:rsidRPr="00B25E57">
        <w:rPr>
          <w:lang w:val="es-ES_tradnl"/>
        </w:rPr>
        <w:t>ª reunión</w:t>
      </w:r>
      <w:r w:rsidR="00B06216" w:rsidRPr="00B25E57">
        <w:rPr>
          <w:lang w:val="es-ES_tradnl"/>
        </w:rPr>
        <w:t>,</w:t>
      </w:r>
      <w:r w:rsidR="003A46A1" w:rsidRPr="00B25E57">
        <w:rPr>
          <w:lang w:val="es-ES_tradnl"/>
        </w:rPr>
        <w:t xml:space="preserve"> </w:t>
      </w:r>
      <w:r w:rsidR="00862A82" w:rsidRPr="00B25E57">
        <w:rPr>
          <w:lang w:val="es-ES_tradnl"/>
        </w:rPr>
        <w:t>el</w:t>
      </w:r>
      <w:r w:rsidR="003A46A1" w:rsidRPr="00B25E57">
        <w:rPr>
          <w:lang w:val="es-ES_tradnl"/>
        </w:rPr>
        <w:t xml:space="preserve"> </w:t>
      </w:r>
      <w:r w:rsidR="00862A82" w:rsidRPr="00B25E57">
        <w:rPr>
          <w:lang w:val="es-ES_tradnl"/>
        </w:rPr>
        <w:t>Comité</w:t>
      </w:r>
      <w:r w:rsidR="003A46A1" w:rsidRPr="00B25E57">
        <w:rPr>
          <w:lang w:val="es-ES_tradnl"/>
        </w:rPr>
        <w:t xml:space="preserve"> </w:t>
      </w:r>
      <w:r w:rsidR="00FC0B67">
        <w:rPr>
          <w:lang w:val="es-ES_tradnl"/>
        </w:rPr>
        <w:t xml:space="preserve">evaluó </w:t>
      </w:r>
      <w:r w:rsidR="00247EDA">
        <w:rPr>
          <w:lang w:val="es-ES_tradnl"/>
        </w:rPr>
        <w:t xml:space="preserve">la </w:t>
      </w:r>
      <w:r w:rsidR="00247EDA" w:rsidRPr="00247EDA">
        <w:rPr>
          <w:lang w:val="es-ES_tradnl"/>
        </w:rPr>
        <w:t xml:space="preserve">información preliminar presentada </w:t>
      </w:r>
      <w:r w:rsidR="00247EDA">
        <w:rPr>
          <w:lang w:val="es-ES_tradnl"/>
        </w:rPr>
        <w:t xml:space="preserve">en </w:t>
      </w:r>
      <w:r w:rsidR="00267ABA">
        <w:rPr>
          <w:lang w:val="es-ES_tradnl"/>
        </w:rPr>
        <w:t xml:space="preserve">el </w:t>
      </w:r>
      <w:r w:rsidR="007B22B4" w:rsidRPr="00B25E57">
        <w:rPr>
          <w:lang w:val="es-ES_tradnl"/>
        </w:rPr>
        <w:t>documento</w:t>
      </w:r>
      <w:r w:rsidR="003A46A1" w:rsidRPr="00B25E57">
        <w:rPr>
          <w:lang w:val="es-ES_tradnl"/>
        </w:rPr>
        <w:t xml:space="preserve"> </w:t>
      </w:r>
      <w:r w:rsidR="00862A82" w:rsidRPr="00B25E57">
        <w:rPr>
          <w:lang w:val="es-ES_tradnl"/>
        </w:rPr>
        <w:t>UNEP/OzL.Pro</w:t>
      </w:r>
      <w:r w:rsidR="00B06216" w:rsidRPr="00B25E57">
        <w:rPr>
          <w:lang w:val="es-ES_tradnl"/>
        </w:rPr>
        <w:t>/ExCom/80/5</w:t>
      </w:r>
      <w:r w:rsidR="00AD58C3">
        <w:rPr>
          <w:lang w:val="es-ES_tradnl"/>
        </w:rPr>
        <w:t>6</w:t>
      </w:r>
      <w:r w:rsidR="008723C9" w:rsidRPr="00216433">
        <w:rPr>
          <w:lang w:val="es-ES"/>
        </w:rPr>
        <w:t xml:space="preserve"> </w:t>
      </w:r>
      <w:r w:rsidR="008723C9" w:rsidRPr="008723C9">
        <w:rPr>
          <w:lang w:val="es-ES_tradnl"/>
        </w:rPr>
        <w:t xml:space="preserve">por el </w:t>
      </w:r>
      <w:r w:rsidR="00535C22" w:rsidRPr="00535C22">
        <w:rPr>
          <w:lang w:val="es-ES_tradnl"/>
        </w:rPr>
        <w:t>Gobierno de la República Argentina</w:t>
      </w:r>
      <w:r w:rsidR="00247EDA">
        <w:rPr>
          <w:lang w:val="es-ES_tradnl"/>
        </w:rPr>
        <w:t>,</w:t>
      </w:r>
      <w:r w:rsidR="003A46A1" w:rsidRPr="00B25E57">
        <w:rPr>
          <w:lang w:val="es-ES_tradnl"/>
        </w:rPr>
        <w:t xml:space="preserve"> </w:t>
      </w:r>
      <w:r w:rsidR="00862A82" w:rsidRPr="00B25E57">
        <w:rPr>
          <w:lang w:val="es-ES_tradnl"/>
        </w:rPr>
        <w:t>conforme</w:t>
      </w:r>
      <w:r w:rsidR="003A46A1" w:rsidRPr="00B25E57">
        <w:rPr>
          <w:lang w:val="es-ES_tradnl"/>
        </w:rPr>
        <w:t xml:space="preserve"> </w:t>
      </w:r>
      <w:r w:rsidR="00862A82" w:rsidRPr="00B25E57">
        <w:rPr>
          <w:lang w:val="es-ES_tradnl"/>
        </w:rPr>
        <w:t>a</w:t>
      </w:r>
      <w:r w:rsidR="003A46A1" w:rsidRPr="00B25E57">
        <w:rPr>
          <w:lang w:val="es-ES_tradnl"/>
        </w:rPr>
        <w:t xml:space="preserve"> </w:t>
      </w:r>
      <w:r w:rsidR="00862A82" w:rsidRPr="00B25E57">
        <w:rPr>
          <w:lang w:val="es-ES_tradnl"/>
        </w:rPr>
        <w:t>lo</w:t>
      </w:r>
      <w:r w:rsidR="003A46A1" w:rsidRPr="00B25E57">
        <w:rPr>
          <w:lang w:val="es-ES_tradnl"/>
        </w:rPr>
        <w:t xml:space="preserve"> </w:t>
      </w:r>
      <w:r w:rsidR="00862A82" w:rsidRPr="00B25E57">
        <w:rPr>
          <w:lang w:val="es-ES_tradnl"/>
        </w:rPr>
        <w:t>dispuesto</w:t>
      </w:r>
      <w:r w:rsidR="003A46A1" w:rsidRPr="00B25E57">
        <w:rPr>
          <w:lang w:val="es-ES_tradnl"/>
        </w:rPr>
        <w:t xml:space="preserve"> </w:t>
      </w:r>
      <w:r w:rsidR="00862A82" w:rsidRPr="00B25E57">
        <w:rPr>
          <w:lang w:val="es-ES_tradnl"/>
        </w:rPr>
        <w:t>en</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decisión</w:t>
      </w:r>
      <w:r w:rsidR="003A46A1" w:rsidRPr="00B25E57">
        <w:rPr>
          <w:lang w:val="es-ES_tradnl"/>
        </w:rPr>
        <w:t xml:space="preserve"> </w:t>
      </w:r>
      <w:r w:rsidR="00B06216" w:rsidRPr="00B25E57">
        <w:rPr>
          <w:lang w:val="es-ES_tradnl"/>
        </w:rPr>
        <w:t>79/47(d).</w:t>
      </w:r>
    </w:p>
    <w:p w14:paraId="267FC75D" w14:textId="604EE91B" w:rsidR="00684CC8" w:rsidRPr="00B25E57" w:rsidRDefault="00B25E57" w:rsidP="003857BD">
      <w:pPr>
        <w:pStyle w:val="Heading1"/>
        <w:rPr>
          <w:lang w:val="es-ES_tradnl"/>
        </w:rPr>
      </w:pPr>
      <w:r>
        <w:rPr>
          <w:lang w:val="es-ES_tradnl"/>
        </w:rPr>
        <w:t xml:space="preserve">En la </w:t>
      </w:r>
      <w:r w:rsidR="00684CC8" w:rsidRPr="00B25E57">
        <w:rPr>
          <w:lang w:val="es-ES_tradnl"/>
        </w:rPr>
        <w:t>8</w:t>
      </w:r>
      <w:r w:rsidR="004057BA" w:rsidRPr="00B25E57">
        <w:rPr>
          <w:lang w:val="es-ES_tradnl"/>
        </w:rPr>
        <w:t>1</w:t>
      </w:r>
      <w:r w:rsidR="00F942C6" w:rsidRPr="00B25E57">
        <w:rPr>
          <w:lang w:val="es-ES_tradnl"/>
        </w:rPr>
        <w:t>ª reunión</w:t>
      </w:r>
      <w:r w:rsidR="00684CC8"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781624">
        <w:rPr>
          <w:lang w:val="es-ES_tradnl"/>
        </w:rPr>
        <w:t>Ejecutivo solicitó a</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E04B0D">
        <w:rPr>
          <w:lang w:val="es-ES_tradnl"/>
        </w:rPr>
        <w:t>contratar</w:t>
      </w:r>
      <w:r w:rsidR="00015614" w:rsidRPr="00015614">
        <w:rPr>
          <w:lang w:val="es-ES_tradnl"/>
        </w:rPr>
        <w:t xml:space="preserve"> </w:t>
      </w:r>
      <w:r w:rsidR="00E04B0D">
        <w:rPr>
          <w:lang w:val="es-ES_tradnl"/>
        </w:rPr>
        <w:t xml:space="preserve">a </w:t>
      </w:r>
      <w:r w:rsidR="00F942C6" w:rsidRPr="00B25E57">
        <w:rPr>
          <w:lang w:val="es-ES_tradnl"/>
        </w:rPr>
        <w:t>un</w:t>
      </w:r>
      <w:r w:rsidR="003A46A1" w:rsidRPr="00B25E57">
        <w:rPr>
          <w:lang w:val="es-ES_tradnl"/>
        </w:rPr>
        <w:t xml:space="preserve"> consultor independiente </w:t>
      </w:r>
      <w:r w:rsidR="00E04B0D">
        <w:rPr>
          <w:lang w:val="es-ES_tradnl"/>
        </w:rPr>
        <w:t>a fines de elaborar</w:t>
      </w:r>
      <w:r w:rsidR="002F34BF">
        <w:rPr>
          <w:lang w:val="es-ES_tradnl"/>
        </w:rPr>
        <w:t xml:space="preserve"> </w:t>
      </w:r>
      <w:r w:rsidR="00F942C6" w:rsidRPr="00B25E57">
        <w:rPr>
          <w:lang w:val="es-ES_tradnl"/>
        </w:rPr>
        <w:t xml:space="preserve">para la </w:t>
      </w:r>
      <w:r w:rsidR="003A46A1" w:rsidRPr="00B25E57">
        <w:rPr>
          <w:lang w:val="es-ES_tradnl"/>
        </w:rPr>
        <w:t>82</w:t>
      </w:r>
      <w:r w:rsidR="00F942C6" w:rsidRPr="00B25E57">
        <w:rPr>
          <w:lang w:val="es-ES_tradnl"/>
        </w:rPr>
        <w:t>ª reunión</w:t>
      </w:r>
      <w:r w:rsidR="003A46A1" w:rsidRPr="00B25E57">
        <w:rPr>
          <w:lang w:val="es-ES_tradnl"/>
        </w:rPr>
        <w:t xml:space="preserve"> </w:t>
      </w:r>
      <w:r w:rsidR="009B0148" w:rsidRPr="009B0148">
        <w:rPr>
          <w:lang w:val="es-ES_tradnl"/>
        </w:rPr>
        <w:t xml:space="preserve">un informe </w:t>
      </w:r>
      <w:r w:rsidR="00685E05">
        <w:rPr>
          <w:lang w:val="es-ES_tradnl"/>
        </w:rPr>
        <w:t xml:space="preserve">con la siguiente </w:t>
      </w:r>
      <w:r w:rsidR="004241C5" w:rsidRPr="00B25E57">
        <w:rPr>
          <w:lang w:val="es-ES_tradnl"/>
        </w:rPr>
        <w:t>información</w:t>
      </w:r>
      <w:r w:rsidR="00684CC8" w:rsidRPr="00B25E57">
        <w:rPr>
          <w:lang w:val="es-ES_tradnl"/>
        </w:rPr>
        <w:t>:</w:t>
      </w:r>
    </w:p>
    <w:p w14:paraId="1C9325D1" w14:textId="2645A29F" w:rsidR="007B22B4" w:rsidRPr="00B25E57" w:rsidRDefault="00F86849" w:rsidP="003857BD">
      <w:pPr>
        <w:pStyle w:val="Heading2"/>
        <w:ind w:left="1418"/>
        <w:rPr>
          <w:lang w:val="es-ES_tradnl"/>
        </w:rPr>
      </w:pPr>
      <w:r>
        <w:rPr>
          <w:lang w:val="es-ES_tradnl"/>
        </w:rPr>
        <w:t>O</w:t>
      </w:r>
      <w:r w:rsidR="00F33C58" w:rsidRPr="00B25E57">
        <w:rPr>
          <w:lang w:val="es-ES_tradnl"/>
        </w:rPr>
        <w:t>pciones</w:t>
      </w:r>
      <w:r w:rsidR="00152C03">
        <w:rPr>
          <w:lang w:val="es-ES_tradnl"/>
        </w:rPr>
        <w:t xml:space="preserve">, </w:t>
      </w:r>
      <w:r w:rsidR="004241C5" w:rsidRPr="00B25E57">
        <w:rPr>
          <w:lang w:val="es-ES_tradnl"/>
        </w:rPr>
        <w:t>costos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F33C58" w:rsidRPr="00B25E57">
        <w:rPr>
          <w:lang w:val="es-ES_tradnl"/>
        </w:rPr>
        <w:t>ahorro</w:t>
      </w:r>
      <w:r w:rsidR="001B6393">
        <w:rPr>
          <w:lang w:val="es-ES_tradnl"/>
        </w:rPr>
        <w:t>s</w:t>
      </w:r>
      <w:r w:rsidR="003A46A1" w:rsidRPr="00B25E57">
        <w:rPr>
          <w:lang w:val="es-ES_tradnl"/>
        </w:rPr>
        <w:t xml:space="preserve"> </w:t>
      </w:r>
      <w:r w:rsidR="0021034F">
        <w:rPr>
          <w:lang w:val="es-ES_tradnl"/>
        </w:rPr>
        <w:t xml:space="preserve">relativos </w:t>
      </w:r>
      <w:r w:rsidR="00646B20">
        <w:rPr>
          <w:lang w:val="es-ES_tradnl"/>
        </w:rPr>
        <w:t xml:space="preserve">al control de </w:t>
      </w:r>
      <w:r w:rsidR="0021034F">
        <w:rPr>
          <w:lang w:val="es-ES_tradnl"/>
        </w:rPr>
        <w:t xml:space="preserve">las </w:t>
      </w:r>
      <w:r w:rsidR="00B6344F">
        <w:rPr>
          <w:lang w:val="es-ES_tradnl"/>
        </w:rPr>
        <w:t>emisiones del subproducto HFC-23</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52688E">
        <w:rPr>
          <w:lang w:val="es-ES_tradnl"/>
        </w:rPr>
        <w:t xml:space="preserve">la </w:t>
      </w:r>
      <w:r w:rsidR="00684CC8" w:rsidRPr="00B25E57">
        <w:rPr>
          <w:lang w:val="es-ES_tradnl"/>
        </w:rPr>
        <w:t>Argentina,</w:t>
      </w:r>
      <w:r w:rsidR="003A46A1" w:rsidRPr="00B25E57">
        <w:rPr>
          <w:lang w:val="es-ES_tradnl"/>
        </w:rPr>
        <w:t xml:space="preserve"> </w:t>
      </w:r>
      <w:r w:rsidR="00F942C6" w:rsidRPr="00B25E57">
        <w:rPr>
          <w:lang w:val="es-ES_tradnl"/>
        </w:rPr>
        <w:t xml:space="preserve">sobre la base de </w:t>
      </w:r>
      <w:r w:rsidR="00C31F53">
        <w:rPr>
          <w:lang w:val="es-ES_tradnl"/>
        </w:rPr>
        <w:t>las cantidades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684CC8" w:rsidRPr="00B25E57">
        <w:rPr>
          <w:lang w:val="es-ES_tradnl"/>
        </w:rPr>
        <w:t>HCFC</w:t>
      </w:r>
      <w:r w:rsidR="00FB38C2" w:rsidRPr="00B25E57">
        <w:rPr>
          <w:lang w:val="es-ES_tradnl"/>
        </w:rPr>
        <w:t>-</w:t>
      </w:r>
      <w:r w:rsidR="00684CC8" w:rsidRPr="00B25E57">
        <w:rPr>
          <w:lang w:val="es-ES_tradnl"/>
        </w:rPr>
        <w:t>22</w:t>
      </w:r>
      <w:r w:rsidR="003A46A1" w:rsidRPr="00B25E57">
        <w:rPr>
          <w:lang w:val="es-ES_tradnl"/>
        </w:rPr>
        <w:t xml:space="preserve"> </w:t>
      </w:r>
      <w:r w:rsidR="00FB38C2" w:rsidRPr="00B25E57">
        <w:rPr>
          <w:lang w:val="es-ES_tradnl"/>
        </w:rPr>
        <w:t>y</w:t>
      </w:r>
      <w:r w:rsidR="003A46A1" w:rsidRPr="00B25E57">
        <w:rPr>
          <w:lang w:val="es-ES_tradnl"/>
        </w:rPr>
        <w:t xml:space="preserve"> </w:t>
      </w:r>
      <w:r w:rsidR="00684CC8" w:rsidRPr="00B25E57">
        <w:rPr>
          <w:lang w:val="es-ES_tradnl"/>
        </w:rPr>
        <w:t>HFC</w:t>
      </w:r>
      <w:r w:rsidR="00FB38C2" w:rsidRPr="00B25E57">
        <w:rPr>
          <w:lang w:val="es-ES_tradnl"/>
        </w:rPr>
        <w:t>-</w:t>
      </w:r>
      <w:r w:rsidR="00684CC8" w:rsidRPr="00B25E57">
        <w:rPr>
          <w:lang w:val="es-ES_tradnl"/>
        </w:rPr>
        <w:t>23</w:t>
      </w:r>
      <w:r w:rsidR="003A46A1" w:rsidRPr="00B25E57">
        <w:rPr>
          <w:lang w:val="es-ES_tradnl"/>
        </w:rPr>
        <w:t xml:space="preserve"> </w:t>
      </w:r>
      <w:r w:rsidR="00297B6F">
        <w:rPr>
          <w:lang w:val="es-ES_tradnl"/>
        </w:rPr>
        <w:t>producidas</w:t>
      </w:r>
      <w:r w:rsidR="00C31F53">
        <w:rPr>
          <w:lang w:val="es-ES_tradnl"/>
        </w:rPr>
        <w:t xml:space="preserve"> en </w:t>
      </w:r>
      <w:r w:rsidR="00102137">
        <w:rPr>
          <w:lang w:val="es-ES_tradnl"/>
        </w:rPr>
        <w:t>planta</w:t>
      </w:r>
      <w:r w:rsidR="003A46A1" w:rsidRPr="00B25E57">
        <w:rPr>
          <w:lang w:val="es-ES_tradnl"/>
        </w:rPr>
        <w:t xml:space="preserve"> </w:t>
      </w:r>
      <w:r w:rsidR="00025C99">
        <w:rPr>
          <w:lang w:val="es-ES_tradnl"/>
        </w:rPr>
        <w:t xml:space="preserve">y </w:t>
      </w:r>
      <w:r w:rsidR="00440AA9">
        <w:rPr>
          <w:lang w:val="es-ES_tradnl"/>
        </w:rPr>
        <w:t xml:space="preserve">de </w:t>
      </w:r>
      <w:r w:rsidR="00673E3E">
        <w:rPr>
          <w:lang w:val="es-ES_tradnl"/>
        </w:rPr>
        <w:t>los antecedentes</w:t>
      </w:r>
      <w:r w:rsidR="003A46A1" w:rsidRPr="00B25E57">
        <w:rPr>
          <w:lang w:val="es-ES_tradnl"/>
        </w:rPr>
        <w:t xml:space="preserve"> </w:t>
      </w:r>
      <w:r w:rsidR="00673E3E">
        <w:rPr>
          <w:lang w:val="es-ES_tradnl"/>
        </w:rPr>
        <w:t>adjuntados</w:t>
      </w:r>
      <w:r w:rsidR="007236D6">
        <w:rPr>
          <w:lang w:val="es-ES_tradnl"/>
        </w:rPr>
        <w:t xml:space="preserve"> a </w:t>
      </w:r>
      <w:r w:rsidR="00A624A8">
        <w:rPr>
          <w:lang w:val="es-ES_tradnl"/>
        </w:rPr>
        <w:t xml:space="preserve">los </w:t>
      </w:r>
      <w:r w:rsidR="004057BA" w:rsidRPr="00B25E57">
        <w:rPr>
          <w:lang w:val="es-ES_tradnl"/>
        </w:rPr>
        <w:t>informes</w:t>
      </w:r>
      <w:r w:rsidR="003A46A1" w:rsidRPr="00B25E57">
        <w:rPr>
          <w:lang w:val="es-ES_tradnl"/>
        </w:rPr>
        <w:t xml:space="preserve"> </w:t>
      </w:r>
      <w:r w:rsidR="00A624A8">
        <w:rPr>
          <w:lang w:val="es-ES_tradnl"/>
        </w:rPr>
        <w:t xml:space="preserve">presentados previamente </w:t>
      </w:r>
      <w:r w:rsidR="00F33C58" w:rsidRPr="00B25E57">
        <w:rPr>
          <w:lang w:val="es-ES_tradnl"/>
        </w:rPr>
        <w:t>al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684CC8" w:rsidRPr="00B25E57">
        <w:rPr>
          <w:lang w:val="es-ES_tradnl"/>
        </w:rPr>
        <w:t>,</w:t>
      </w:r>
      <w:r w:rsidR="003A46A1" w:rsidRPr="00B25E57">
        <w:rPr>
          <w:lang w:val="es-ES_tradnl"/>
        </w:rPr>
        <w:t xml:space="preserve"> </w:t>
      </w:r>
      <w:r w:rsidR="004057BA" w:rsidRPr="00B25E57">
        <w:rPr>
          <w:lang w:val="es-ES_tradnl"/>
        </w:rPr>
        <w:t>incluyendo</w:t>
      </w:r>
      <w:r w:rsidR="003A46A1" w:rsidRPr="00B25E57">
        <w:rPr>
          <w:lang w:val="es-ES_tradnl"/>
        </w:rPr>
        <w:t xml:space="preserve"> </w:t>
      </w:r>
      <w:r w:rsidR="00E14181">
        <w:rPr>
          <w:lang w:val="es-ES_tradnl"/>
        </w:rPr>
        <w:t>la opción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6173A2">
        <w:rPr>
          <w:lang w:val="es-ES_tradnl"/>
        </w:rPr>
        <w:t xml:space="preserve">destruir </w:t>
      </w:r>
      <w:r w:rsidR="00B15A7B">
        <w:rPr>
          <w:lang w:val="es-ES_tradnl"/>
        </w:rPr>
        <w:t xml:space="preserve">el </w:t>
      </w:r>
      <w:r w:rsidR="00684CC8" w:rsidRPr="00B25E57">
        <w:rPr>
          <w:lang w:val="es-ES_tradnl"/>
        </w:rPr>
        <w:t>HFC</w:t>
      </w:r>
      <w:r w:rsidR="00FB38C2" w:rsidRPr="00B25E57">
        <w:rPr>
          <w:lang w:val="es-ES_tradnl"/>
        </w:rPr>
        <w:t>-</w:t>
      </w:r>
      <w:r w:rsidR="00684CC8" w:rsidRPr="00B25E57">
        <w:rPr>
          <w:lang w:val="es-ES_tradnl"/>
        </w:rPr>
        <w:t>23</w:t>
      </w:r>
      <w:r w:rsidR="003A46A1" w:rsidRPr="00B25E57">
        <w:rPr>
          <w:lang w:val="es-ES_tradnl"/>
        </w:rPr>
        <w:t xml:space="preserve"> </w:t>
      </w:r>
      <w:r w:rsidR="00B654D8">
        <w:rPr>
          <w:lang w:val="es-ES_tradnl"/>
        </w:rPr>
        <w:t>ex situ</w:t>
      </w:r>
      <w:r w:rsidR="00684CC8" w:rsidRPr="00B25E57">
        <w:rPr>
          <w:lang w:val="es-ES_tradnl"/>
        </w:rPr>
        <w:t>;</w:t>
      </w:r>
    </w:p>
    <w:p w14:paraId="76AF12E6" w14:textId="6E6E3705" w:rsidR="00684CC8" w:rsidRPr="00B25E57" w:rsidRDefault="006A4E0E" w:rsidP="003857BD">
      <w:pPr>
        <w:pStyle w:val="Heading2"/>
        <w:ind w:left="1418"/>
        <w:rPr>
          <w:sz w:val="24"/>
          <w:szCs w:val="20"/>
          <w:lang w:val="es-ES_tradnl"/>
        </w:rPr>
      </w:pPr>
      <w:r>
        <w:rPr>
          <w:lang w:val="es-ES_tradnl"/>
        </w:rPr>
        <w:t xml:space="preserve">Una estimación de </w:t>
      </w:r>
      <w:r w:rsidR="000E3C6F">
        <w:rPr>
          <w:lang w:val="es-ES_tradnl"/>
        </w:rPr>
        <w:t>las emisiones fugitivas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9E38EB">
        <w:rPr>
          <w:lang w:val="es-ES_tradnl"/>
        </w:rPr>
        <w:t xml:space="preserve">de las </w:t>
      </w:r>
      <w:r w:rsidR="00F33C58" w:rsidRPr="00B25E57">
        <w:rPr>
          <w:lang w:val="es-ES_tradnl"/>
        </w:rPr>
        <w:t>opciones</w:t>
      </w:r>
      <w:r w:rsidR="003A46A1" w:rsidRPr="00B25E57">
        <w:rPr>
          <w:lang w:val="es-ES_tradnl"/>
        </w:rPr>
        <w:t xml:space="preserve"> </w:t>
      </w:r>
      <w:r w:rsidR="00C23FBB">
        <w:rPr>
          <w:lang w:val="es-ES_tradnl"/>
        </w:rPr>
        <w:t xml:space="preserve">de </w:t>
      </w:r>
      <w:r w:rsidR="007D7382" w:rsidRPr="00B25E57">
        <w:rPr>
          <w:lang w:val="es-ES_tradnl"/>
        </w:rPr>
        <w:t>supervisión</w:t>
      </w:r>
      <w:r w:rsidR="00684CC8" w:rsidRPr="00B25E57">
        <w:rPr>
          <w:lang w:val="es-ES_tradnl"/>
        </w:rPr>
        <w:t>,</w:t>
      </w:r>
      <w:r w:rsidR="003A46A1" w:rsidRPr="00B25E57">
        <w:rPr>
          <w:lang w:val="es-ES_tradnl"/>
        </w:rPr>
        <w:t xml:space="preserve"> </w:t>
      </w:r>
      <w:r w:rsidR="004A6780">
        <w:rPr>
          <w:lang w:val="es-ES_tradnl"/>
        </w:rPr>
        <w:t>detección de fugas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B6344F">
        <w:rPr>
          <w:lang w:val="es-ES_tradnl"/>
        </w:rPr>
        <w:t>control del subproducto</w:t>
      </w:r>
      <w:r w:rsidR="003A46A1" w:rsidRPr="00B25E57">
        <w:rPr>
          <w:lang w:val="es-ES_tradnl"/>
        </w:rPr>
        <w:t xml:space="preserve"> </w:t>
      </w:r>
      <w:r w:rsidR="004512EA" w:rsidRPr="00B25E57">
        <w:rPr>
          <w:lang w:val="es-ES_tradnl"/>
        </w:rPr>
        <w:t>HFC-23</w:t>
      </w:r>
      <w:r w:rsidR="004A6780">
        <w:rPr>
          <w:lang w:val="es-ES_tradnl"/>
        </w:rPr>
        <w:t xml:space="preserve"> en planta</w:t>
      </w:r>
      <w:r w:rsidR="00684CC8" w:rsidRPr="00B25E57">
        <w:rPr>
          <w:lang w:val="es-ES_tradnl"/>
        </w:rPr>
        <w:t>;</w:t>
      </w:r>
      <w:r w:rsidR="003A46A1" w:rsidRPr="00B25E57">
        <w:rPr>
          <w:lang w:val="es-ES_tradnl"/>
        </w:rPr>
        <w:t xml:space="preserve"> </w:t>
      </w:r>
      <w:r w:rsidR="00FB38C2" w:rsidRPr="00B25E57">
        <w:rPr>
          <w:lang w:val="es-ES_tradnl"/>
        </w:rPr>
        <w:t>y</w:t>
      </w:r>
    </w:p>
    <w:p w14:paraId="3574F120" w14:textId="67136ABB" w:rsidR="00684CC8" w:rsidRPr="00B25E57" w:rsidRDefault="00EC7067" w:rsidP="003857BD">
      <w:pPr>
        <w:pStyle w:val="Heading2"/>
        <w:ind w:left="1418"/>
        <w:rPr>
          <w:lang w:val="es-ES_tradnl"/>
        </w:rPr>
      </w:pPr>
      <w:r>
        <w:rPr>
          <w:lang w:val="es-ES_tradnl"/>
        </w:rPr>
        <w:t>L</w:t>
      </w:r>
      <w:r w:rsidR="00862A82" w:rsidRPr="00B25E57">
        <w:rPr>
          <w:lang w:val="es-ES_tradnl"/>
        </w:rPr>
        <w:t>os</w:t>
      </w:r>
      <w:r w:rsidR="003A46A1" w:rsidRPr="00B25E57">
        <w:rPr>
          <w:lang w:val="es-ES_tradnl"/>
        </w:rPr>
        <w:t xml:space="preserve"> </w:t>
      </w:r>
      <w:r w:rsidR="00862A82" w:rsidRPr="00B25E57">
        <w:rPr>
          <w:lang w:val="es-ES_tradnl"/>
        </w:rPr>
        <w:t>costos</w:t>
      </w:r>
      <w:r w:rsidR="00684CC8" w:rsidRPr="00B25E57">
        <w:rPr>
          <w:lang w:val="es-ES_tradnl"/>
        </w:rPr>
        <w:t>,</w:t>
      </w:r>
      <w:r w:rsidR="003A46A1" w:rsidRPr="00B25E57">
        <w:rPr>
          <w:lang w:val="es-ES_tradnl"/>
        </w:rPr>
        <w:t xml:space="preserve"> </w:t>
      </w:r>
      <w:r w:rsidR="005564D9">
        <w:rPr>
          <w:lang w:val="es-ES_tradnl"/>
        </w:rPr>
        <w:t>factibilidad técnica</w:t>
      </w:r>
      <w:r w:rsidR="003A46A1" w:rsidRPr="00B25E57">
        <w:rPr>
          <w:lang w:val="es-ES_tradnl"/>
        </w:rPr>
        <w:t xml:space="preserve"> </w:t>
      </w:r>
      <w:r w:rsidR="00F33C58" w:rsidRPr="00B25E57">
        <w:rPr>
          <w:lang w:val="es-ES_tradnl"/>
        </w:rPr>
        <w:t>y</w:t>
      </w:r>
      <w:r w:rsidR="003A46A1" w:rsidRPr="00B25E57">
        <w:rPr>
          <w:lang w:val="es-ES_tradnl"/>
        </w:rPr>
        <w:t xml:space="preserve"> </w:t>
      </w:r>
      <w:r w:rsidR="00461D5D">
        <w:rPr>
          <w:lang w:val="es-ES_tradnl"/>
        </w:rPr>
        <w:t>aspectos logísticos</w:t>
      </w:r>
      <w:r w:rsidR="0056388D">
        <w:rPr>
          <w:lang w:val="es-ES_tradnl"/>
        </w:rPr>
        <w:t>, legal</w:t>
      </w:r>
      <w:r w:rsidR="00461D5D">
        <w:rPr>
          <w:lang w:val="es-ES_tradnl"/>
        </w:rPr>
        <w:t>es</w:t>
      </w:r>
      <w:r w:rsidR="0056388D">
        <w:rPr>
          <w:lang w:val="es-ES_tradnl"/>
        </w:rPr>
        <w:t xml:space="preserve"> y </w:t>
      </w:r>
      <w:r w:rsidR="008A3D32" w:rsidRPr="008A3D32">
        <w:rPr>
          <w:lang w:val="es-ES_tradnl"/>
        </w:rPr>
        <w:t>transaccional</w:t>
      </w:r>
      <w:r w:rsidR="008A3D32">
        <w:rPr>
          <w:lang w:val="es-ES_tradnl"/>
        </w:rPr>
        <w:t>es</w:t>
      </w:r>
      <w:r w:rsidR="008A3D32" w:rsidRPr="008A3D32">
        <w:rPr>
          <w:lang w:val="es-ES_tradnl"/>
        </w:rPr>
        <w:t xml:space="preserve"> </w:t>
      </w:r>
      <w:r w:rsidR="0017412B">
        <w:rPr>
          <w:lang w:val="es-ES_tradnl"/>
        </w:rPr>
        <w:t>relativos al transporte de HFC</w:t>
      </w:r>
      <w:r w:rsidR="00FB38C2" w:rsidRPr="00B25E57">
        <w:rPr>
          <w:lang w:val="es-ES_tradnl"/>
        </w:rPr>
        <w:t>-</w:t>
      </w:r>
      <w:r w:rsidR="00684CC8" w:rsidRPr="00B25E57">
        <w:rPr>
          <w:lang w:val="es-ES_tradnl"/>
        </w:rPr>
        <w:t>23</w:t>
      </w:r>
      <w:r w:rsidR="003A46A1" w:rsidRPr="00B25E57">
        <w:rPr>
          <w:lang w:val="es-ES_tradnl"/>
        </w:rPr>
        <w:t xml:space="preserve"> </w:t>
      </w:r>
      <w:r w:rsidR="002831D3">
        <w:rPr>
          <w:lang w:val="es-ES_tradnl"/>
        </w:rPr>
        <w:t xml:space="preserve">para su destrucción </w:t>
      </w:r>
      <w:r w:rsidR="00B654D8">
        <w:rPr>
          <w:lang w:val="es-ES_tradnl"/>
        </w:rPr>
        <w:t>ex situ</w:t>
      </w:r>
      <w:r w:rsidR="003A46A1" w:rsidRPr="00B25E57">
        <w:rPr>
          <w:lang w:val="es-ES_tradnl"/>
        </w:rPr>
        <w:t xml:space="preserve"> </w:t>
      </w:r>
      <w:r w:rsidR="0017412B">
        <w:rPr>
          <w:lang w:val="es-ES_tradnl"/>
        </w:rPr>
        <w:t>por medio</w:t>
      </w:r>
      <w:r w:rsidR="003A46A1" w:rsidRPr="00B25E57">
        <w:rPr>
          <w:lang w:val="es-ES_tradnl"/>
        </w:rPr>
        <w:t xml:space="preserve"> </w:t>
      </w:r>
      <w:r w:rsidR="0068756D">
        <w:rPr>
          <w:lang w:val="es-ES_tradnl"/>
        </w:rPr>
        <w:t xml:space="preserve">de </w:t>
      </w:r>
      <w:r w:rsidR="004241C5" w:rsidRPr="00B25E57">
        <w:rPr>
          <w:lang w:val="es-ES_tradnl"/>
        </w:rPr>
        <w:t>tecnología</w:t>
      </w:r>
      <w:r w:rsidR="0017412B">
        <w:rPr>
          <w:lang w:val="es-ES_tradnl"/>
        </w:rPr>
        <w:t>s</w:t>
      </w:r>
      <w:r w:rsidR="003A46A1" w:rsidRPr="00B25E57">
        <w:rPr>
          <w:lang w:val="es-ES_tradnl"/>
        </w:rPr>
        <w:t xml:space="preserve"> </w:t>
      </w:r>
      <w:r w:rsidR="00244EC0">
        <w:rPr>
          <w:lang w:val="es-ES_tradnl"/>
        </w:rPr>
        <w:t>tales como</w:t>
      </w:r>
      <w:r w:rsidR="003A46A1" w:rsidRPr="00B25E57">
        <w:rPr>
          <w:lang w:val="es-ES_tradnl"/>
        </w:rPr>
        <w:t xml:space="preserve"> </w:t>
      </w:r>
      <w:r w:rsidR="00567EAB">
        <w:rPr>
          <w:lang w:val="es-ES_tradnl"/>
        </w:rPr>
        <w:t xml:space="preserve">el </w:t>
      </w:r>
      <w:r w:rsidR="00E22238" w:rsidRPr="00B25E57">
        <w:rPr>
          <w:lang w:val="es-ES_tradnl"/>
        </w:rPr>
        <w:t>proceso</w:t>
      </w:r>
      <w:r w:rsidR="003A46A1" w:rsidRPr="00B25E57">
        <w:rPr>
          <w:lang w:val="es-ES_tradnl"/>
        </w:rPr>
        <w:t xml:space="preserve"> </w:t>
      </w:r>
      <w:r w:rsidR="00B57345">
        <w:rPr>
          <w:lang w:val="es-ES_tradnl"/>
        </w:rPr>
        <w:t>fluorado descrito en</w:t>
      </w:r>
      <w:r w:rsidR="003A46A1" w:rsidRPr="00B25E57">
        <w:rPr>
          <w:lang w:val="es-ES_tradnl"/>
        </w:rPr>
        <w:t xml:space="preserve"> </w:t>
      </w:r>
      <w:r w:rsidR="00F33C58" w:rsidRPr="00B25E57">
        <w:rPr>
          <w:lang w:val="es-ES_tradnl"/>
        </w:rPr>
        <w:t>el</w:t>
      </w:r>
      <w:r w:rsidR="003A46A1" w:rsidRPr="00B25E57">
        <w:rPr>
          <w:lang w:val="es-ES_tradnl"/>
        </w:rPr>
        <w:t xml:space="preserve"> </w:t>
      </w:r>
      <w:r w:rsidR="00F33C58" w:rsidRPr="00B25E57">
        <w:rPr>
          <w:lang w:val="es-ES_tradnl"/>
        </w:rPr>
        <w:t>documento</w:t>
      </w:r>
      <w:r w:rsidR="003A46A1" w:rsidRPr="00B25E57">
        <w:rPr>
          <w:lang w:val="es-ES_tradnl"/>
        </w:rPr>
        <w:t xml:space="preserve"> </w:t>
      </w:r>
      <w:r w:rsidR="00862A82" w:rsidRPr="00B25E57">
        <w:rPr>
          <w:lang w:val="es-ES_tradnl"/>
        </w:rPr>
        <w:t>UNEP/OzL.Pro</w:t>
      </w:r>
      <w:r w:rsidR="00684CC8" w:rsidRPr="00B25E57">
        <w:rPr>
          <w:lang w:val="es-ES_tradnl"/>
        </w:rPr>
        <w:t>/ExCom/81/54</w:t>
      </w:r>
      <w:r w:rsidR="006A58B6" w:rsidRPr="00B25E57">
        <w:rPr>
          <w:lang w:val="es-ES_tradnl"/>
        </w:rPr>
        <w:t>.</w:t>
      </w:r>
    </w:p>
    <w:p w14:paraId="32829EA1" w14:textId="2DBBC477" w:rsidR="007B22B4" w:rsidRPr="00B25E57" w:rsidRDefault="004241C5" w:rsidP="005A5258">
      <w:pPr>
        <w:pStyle w:val="Heading1"/>
        <w:rPr>
          <w:lang w:val="es-ES_tradnl"/>
        </w:rPr>
      </w:pPr>
      <w:r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481FE8">
        <w:rPr>
          <w:lang w:val="es-ES_tradnl"/>
        </w:rPr>
        <w:t>solicitó</w:t>
      </w:r>
      <w:r w:rsidR="003A46A1" w:rsidRPr="00B25E57">
        <w:rPr>
          <w:lang w:val="es-ES_tradnl"/>
        </w:rPr>
        <w:t xml:space="preserve"> </w:t>
      </w:r>
      <w:r w:rsidR="0069432B" w:rsidRPr="0069432B">
        <w:rPr>
          <w:lang w:val="es-ES_tradnl"/>
        </w:rPr>
        <w:t xml:space="preserve">además </w:t>
      </w:r>
      <w:r w:rsidR="00481FE8">
        <w:rPr>
          <w:lang w:val="es-ES_tradnl"/>
        </w:rPr>
        <w:t>a</w:t>
      </w:r>
      <w:r w:rsidR="00FB38C2" w:rsidRPr="00B25E57">
        <w:rPr>
          <w:lang w:val="es-ES_tradnl"/>
        </w:rPr>
        <w:t>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A03CAF">
        <w:rPr>
          <w:lang w:val="es-ES_tradnl"/>
        </w:rPr>
        <w:t>proporcionar</w:t>
      </w:r>
      <w:r w:rsidR="00684CC8" w:rsidRPr="00B25E57">
        <w:rPr>
          <w:lang w:val="es-ES_tradnl"/>
        </w:rPr>
        <w:t>,</w:t>
      </w:r>
      <w:r w:rsidR="003A46A1" w:rsidRPr="00B25E57">
        <w:rPr>
          <w:lang w:val="es-ES_tradnl"/>
        </w:rPr>
        <w:t xml:space="preserve"> </w:t>
      </w:r>
      <w:r w:rsidR="00A03CAF">
        <w:rPr>
          <w:lang w:val="es-ES_tradnl"/>
        </w:rPr>
        <w:t xml:space="preserve">de forma </w:t>
      </w:r>
      <w:r w:rsidR="00A4343B" w:rsidRPr="00B25E57">
        <w:rPr>
          <w:lang w:val="es-ES_tradnl"/>
        </w:rPr>
        <w:t>volunta</w:t>
      </w:r>
      <w:r w:rsidR="00A03CAF">
        <w:rPr>
          <w:lang w:val="es-ES_tradnl"/>
        </w:rPr>
        <w:t>ria</w:t>
      </w:r>
      <w:r w:rsidR="00684CC8" w:rsidRPr="00B25E57">
        <w:rPr>
          <w:lang w:val="es-ES_tradnl"/>
        </w:rPr>
        <w:t>,</w:t>
      </w:r>
      <w:r w:rsidR="003A46A1" w:rsidRPr="00B25E57">
        <w:rPr>
          <w:lang w:val="es-ES_tradnl"/>
        </w:rPr>
        <w:t xml:space="preserve"> </w:t>
      </w:r>
      <w:r w:rsidR="006E2BFE">
        <w:rPr>
          <w:lang w:val="es-ES_tradnl"/>
        </w:rPr>
        <w:t xml:space="preserve">datos </w:t>
      </w:r>
      <w:r w:rsidR="00F24FA9" w:rsidRPr="00B25E57">
        <w:rPr>
          <w:lang w:val="es-ES_tradnl"/>
        </w:rPr>
        <w:t>pertinente</w:t>
      </w:r>
      <w:r w:rsidR="006E2BFE">
        <w:rPr>
          <w:lang w:val="es-ES_tradnl"/>
        </w:rPr>
        <w:t>s</w:t>
      </w:r>
      <w:r w:rsidR="003A46A1" w:rsidRPr="00B25E57">
        <w:rPr>
          <w:lang w:val="es-ES_tradnl"/>
        </w:rPr>
        <w:t xml:space="preserve"> </w:t>
      </w:r>
      <w:r w:rsidR="006E2BFE">
        <w:rPr>
          <w:lang w:val="es-ES_tradnl"/>
        </w:rPr>
        <w:t xml:space="preserve">a </w:t>
      </w:r>
      <w:r w:rsidR="00002A9F">
        <w:rPr>
          <w:lang w:val="es-ES_tradnl"/>
        </w:rPr>
        <w:t xml:space="preserve">los </w:t>
      </w:r>
      <w:r w:rsidR="000F3FD2">
        <w:rPr>
          <w:lang w:val="es-ES_tradnl"/>
        </w:rPr>
        <w:t>fines d</w:t>
      </w:r>
      <w:r w:rsidR="007B22B4" w:rsidRPr="00B25E57">
        <w:rPr>
          <w:lang w:val="es-ES_tradnl"/>
        </w:rPr>
        <w:t>el</w:t>
      </w:r>
      <w:r w:rsidR="003A46A1" w:rsidRPr="00B25E57">
        <w:rPr>
          <w:lang w:val="es-ES_tradnl"/>
        </w:rPr>
        <w:t xml:space="preserve"> </w:t>
      </w:r>
      <w:r w:rsidR="007B22B4" w:rsidRPr="00B25E57">
        <w:rPr>
          <w:lang w:val="es-ES_tradnl"/>
        </w:rPr>
        <w:t>informe</w:t>
      </w:r>
      <w:r w:rsidR="003A46A1" w:rsidRPr="00B25E57">
        <w:rPr>
          <w:lang w:val="es-ES_tradnl"/>
        </w:rPr>
        <w:t xml:space="preserve"> </w:t>
      </w:r>
      <w:r w:rsidR="00485906">
        <w:rPr>
          <w:lang w:val="es-ES_tradnl"/>
        </w:rPr>
        <w:t xml:space="preserve">a que se refiere el párrafo anterior </w:t>
      </w:r>
      <w:r w:rsidR="00684CC8" w:rsidRPr="00B25E57">
        <w:rPr>
          <w:lang w:val="es-ES_tradnl"/>
        </w:rPr>
        <w:t>(</w:t>
      </w:r>
      <w:r w:rsidRPr="00B25E57">
        <w:rPr>
          <w:lang w:val="es-ES_tradnl"/>
        </w:rPr>
        <w:t>decisión</w:t>
      </w:r>
      <w:r w:rsidR="003A46A1" w:rsidRPr="00B25E57">
        <w:rPr>
          <w:lang w:val="es-ES_tradnl"/>
        </w:rPr>
        <w:t xml:space="preserve"> </w:t>
      </w:r>
      <w:r w:rsidR="00684CC8" w:rsidRPr="00B25E57">
        <w:rPr>
          <w:lang w:val="es-ES_tradnl"/>
        </w:rPr>
        <w:t>81/68).</w:t>
      </w:r>
    </w:p>
    <w:p w14:paraId="6DFDA681" w14:textId="463E280C" w:rsidR="007B22B4" w:rsidRPr="0066753E" w:rsidRDefault="00B25E57" w:rsidP="00A36814">
      <w:pPr>
        <w:pStyle w:val="Heading1"/>
        <w:rPr>
          <w:lang w:val="es-ES_tradnl"/>
        </w:rPr>
      </w:pPr>
      <w:r>
        <w:rPr>
          <w:lang w:val="es-ES_tradnl"/>
        </w:rPr>
        <w:t xml:space="preserve">En la </w:t>
      </w:r>
      <w:r w:rsidR="006A58B6" w:rsidRPr="00B25E57">
        <w:rPr>
          <w:lang w:val="es-ES_tradnl"/>
        </w:rPr>
        <w:t>8</w:t>
      </w:r>
      <w:r w:rsidR="004057BA" w:rsidRPr="00B25E57">
        <w:rPr>
          <w:lang w:val="es-ES_tradnl"/>
        </w:rPr>
        <w:t>2</w:t>
      </w:r>
      <w:r w:rsidR="00F942C6" w:rsidRPr="00B25E57">
        <w:rPr>
          <w:lang w:val="es-ES_tradnl"/>
        </w:rPr>
        <w:t>ª reunión</w:t>
      </w:r>
      <w:r w:rsidR="006A58B6"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3B0C76">
        <w:rPr>
          <w:lang w:val="es-ES_tradnl"/>
        </w:rPr>
        <w:t xml:space="preserve">decidió, </w:t>
      </w:r>
      <w:r w:rsidR="003B0C76" w:rsidRPr="003B0C76">
        <w:rPr>
          <w:lang w:val="es-ES_tradnl"/>
        </w:rPr>
        <w:t>entre otros</w:t>
      </w:r>
      <w:r w:rsidR="00074F58" w:rsidRPr="00B25E57">
        <w:rPr>
          <w:lang w:val="es-ES_tradnl"/>
        </w:rPr>
        <w:t>:</w:t>
      </w:r>
    </w:p>
    <w:p w14:paraId="67D4B143" w14:textId="1A49077E" w:rsidR="00D44123" w:rsidRPr="002362D9" w:rsidRDefault="00F86AA5" w:rsidP="00F86AA5">
      <w:pPr>
        <w:ind w:left="1440" w:hanging="720"/>
        <w:rPr>
          <w:lang w:val="es-ES_tradnl"/>
        </w:rPr>
      </w:pPr>
      <w:r w:rsidRPr="002362D9">
        <w:rPr>
          <w:lang w:val="es-ES_tradnl"/>
        </w:rPr>
        <w:lastRenderedPageBreak/>
        <w:t>c)</w:t>
      </w:r>
      <w:r w:rsidRPr="002362D9">
        <w:rPr>
          <w:lang w:val="es-ES_tradnl"/>
        </w:rPr>
        <w:tab/>
      </w:r>
      <w:r w:rsidR="0045354B" w:rsidRPr="002362D9">
        <w:rPr>
          <w:lang w:val="es-ES_tradnl"/>
        </w:rPr>
        <w:t xml:space="preserve">Aprobar 75.000 $EUA para </w:t>
      </w:r>
      <w:r w:rsidR="00FD7BE1" w:rsidRPr="002362D9">
        <w:rPr>
          <w:lang w:val="es-ES_tradnl"/>
        </w:rPr>
        <w:t xml:space="preserve">que </w:t>
      </w:r>
      <w:r w:rsidR="0045354B" w:rsidRPr="002362D9">
        <w:rPr>
          <w:lang w:val="es-ES_tradnl"/>
        </w:rPr>
        <w:t>la ONUDI</w:t>
      </w:r>
      <w:r w:rsidR="00F741A2" w:rsidRPr="002362D9">
        <w:rPr>
          <w:lang w:val="es-ES_tradnl"/>
        </w:rPr>
        <w:t xml:space="preserve">, a </w:t>
      </w:r>
      <w:r w:rsidR="0045354B" w:rsidRPr="002362D9">
        <w:rPr>
          <w:lang w:val="es-ES_tradnl"/>
        </w:rPr>
        <w:t xml:space="preserve">nombre del </w:t>
      </w:r>
      <w:r w:rsidR="00A9712C">
        <w:rPr>
          <w:lang w:val="es-ES_tradnl"/>
        </w:rPr>
        <w:t>Gobierno</w:t>
      </w:r>
      <w:r w:rsidR="00D2009D" w:rsidRPr="002362D9">
        <w:rPr>
          <w:lang w:val="es-ES_tradnl"/>
        </w:rPr>
        <w:t xml:space="preserve"> de la Argentina</w:t>
      </w:r>
      <w:r w:rsidR="0045354B" w:rsidRPr="002362D9">
        <w:rPr>
          <w:lang w:val="es-ES_tradnl"/>
        </w:rPr>
        <w:t xml:space="preserve">, </w:t>
      </w:r>
      <w:r w:rsidR="0007704E" w:rsidRPr="002362D9">
        <w:rPr>
          <w:lang w:val="es-ES_tradnl"/>
        </w:rPr>
        <w:t xml:space="preserve">presente a la 83ª reunión </w:t>
      </w:r>
      <w:r w:rsidR="00D2009D" w:rsidRPr="002362D9">
        <w:rPr>
          <w:lang w:val="es-ES_tradnl"/>
        </w:rPr>
        <w:t>una propuesta de opciones</w:t>
      </w:r>
      <w:r w:rsidR="00711B4E" w:rsidRPr="002362D9">
        <w:rPr>
          <w:lang w:val="es-ES_tradnl"/>
        </w:rPr>
        <w:t xml:space="preserve"> que </w:t>
      </w:r>
      <w:r w:rsidR="000B72AC">
        <w:rPr>
          <w:lang w:val="es-ES_tradnl"/>
        </w:rPr>
        <w:t xml:space="preserve">permitan </w:t>
      </w:r>
      <w:r w:rsidR="00843791">
        <w:rPr>
          <w:lang w:val="es-ES_tradnl"/>
        </w:rPr>
        <w:t xml:space="preserve">a dicho </w:t>
      </w:r>
      <w:r w:rsidR="00A9712C">
        <w:rPr>
          <w:lang w:val="es-ES_tradnl"/>
        </w:rPr>
        <w:t>Gobierno</w:t>
      </w:r>
      <w:r w:rsidR="00843791" w:rsidRPr="00843791">
        <w:rPr>
          <w:lang w:val="es-ES_tradnl"/>
        </w:rPr>
        <w:t xml:space="preserve"> </w:t>
      </w:r>
      <w:r w:rsidR="00CE2F4E" w:rsidRPr="002362D9">
        <w:rPr>
          <w:lang w:val="es-ES_tradnl"/>
        </w:rPr>
        <w:t xml:space="preserve">cumplir con </w:t>
      </w:r>
      <w:r w:rsidR="006315AB" w:rsidRPr="002362D9">
        <w:rPr>
          <w:lang w:val="es-ES_tradnl"/>
        </w:rPr>
        <w:t>la obligación</w:t>
      </w:r>
      <w:r w:rsidR="0045354B" w:rsidRPr="002362D9">
        <w:rPr>
          <w:lang w:val="es-ES_tradnl"/>
        </w:rPr>
        <w:t xml:space="preserve"> </w:t>
      </w:r>
      <w:r w:rsidR="00B55311" w:rsidRPr="002362D9">
        <w:rPr>
          <w:lang w:val="es-ES_tradnl"/>
        </w:rPr>
        <w:t xml:space="preserve">de controlar </w:t>
      </w:r>
      <w:r w:rsidR="00343A62" w:rsidRPr="002362D9">
        <w:rPr>
          <w:lang w:val="es-ES_tradnl"/>
        </w:rPr>
        <w:t>el subproducto HFC-23</w:t>
      </w:r>
      <w:r w:rsidR="0045354B" w:rsidRPr="002362D9">
        <w:rPr>
          <w:lang w:val="es-ES_tradnl"/>
        </w:rPr>
        <w:t xml:space="preserve"> </w:t>
      </w:r>
      <w:r w:rsidR="004F6E1D">
        <w:rPr>
          <w:lang w:val="es-ES_tradnl"/>
        </w:rPr>
        <w:t xml:space="preserve">contraída </w:t>
      </w:r>
      <w:r w:rsidR="001E3933" w:rsidRPr="002362D9">
        <w:rPr>
          <w:lang w:val="es-ES_tradnl"/>
        </w:rPr>
        <w:t xml:space="preserve">en </w:t>
      </w:r>
      <w:r w:rsidR="0045354B" w:rsidRPr="002362D9">
        <w:rPr>
          <w:lang w:val="es-ES_tradnl"/>
        </w:rPr>
        <w:t xml:space="preserve">la Enmienda de Kigali, </w:t>
      </w:r>
      <w:r w:rsidR="006D0C25" w:rsidRPr="002362D9">
        <w:rPr>
          <w:lang w:val="es-ES_tradnl"/>
        </w:rPr>
        <w:t xml:space="preserve">habida </w:t>
      </w:r>
      <w:r w:rsidR="0045354B" w:rsidRPr="002362D9">
        <w:rPr>
          <w:lang w:val="es-ES_tradnl"/>
        </w:rPr>
        <w:t xml:space="preserve">cuenta </w:t>
      </w:r>
      <w:r w:rsidR="006D0C25" w:rsidRPr="002362D9">
        <w:rPr>
          <w:lang w:val="es-ES_tradnl"/>
        </w:rPr>
        <w:t xml:space="preserve">de </w:t>
      </w:r>
      <w:r w:rsidR="00D967C1" w:rsidRPr="002362D9">
        <w:rPr>
          <w:lang w:val="es-ES_tradnl"/>
        </w:rPr>
        <w:t xml:space="preserve">los antecedentes entregados </w:t>
      </w:r>
      <w:r w:rsidR="0045354B" w:rsidRPr="002362D9">
        <w:rPr>
          <w:lang w:val="es-ES_tradnl"/>
        </w:rPr>
        <w:t xml:space="preserve">en el documento UNEP/OzL.Pro/ExCom/82/69, </w:t>
      </w:r>
      <w:r w:rsidR="00800FCD" w:rsidRPr="002362D9">
        <w:rPr>
          <w:lang w:val="es-ES_tradnl"/>
        </w:rPr>
        <w:t xml:space="preserve">en </w:t>
      </w:r>
      <w:r w:rsidR="00992755">
        <w:rPr>
          <w:lang w:val="es-ES_tradnl"/>
        </w:rPr>
        <w:t xml:space="preserve">particular </w:t>
      </w:r>
      <w:r w:rsidR="0045354B" w:rsidRPr="002362D9">
        <w:rPr>
          <w:lang w:val="es-ES_tradnl"/>
        </w:rPr>
        <w:t>sobre costos y beneficios</w:t>
      </w:r>
      <w:r w:rsidR="00442A1B" w:rsidRPr="002362D9">
        <w:rPr>
          <w:lang w:val="es-ES_tradnl"/>
        </w:rPr>
        <w:t>,</w:t>
      </w:r>
      <w:r w:rsidR="0045354B" w:rsidRPr="002362D9">
        <w:rPr>
          <w:lang w:val="es-ES_tradnl"/>
        </w:rPr>
        <w:t xml:space="preserve"> y </w:t>
      </w:r>
      <w:r w:rsidR="00F84FE2" w:rsidRPr="002362D9">
        <w:rPr>
          <w:lang w:val="es-ES_tradnl"/>
        </w:rPr>
        <w:t xml:space="preserve">que </w:t>
      </w:r>
      <w:r w:rsidR="00E4266D" w:rsidRPr="002362D9">
        <w:rPr>
          <w:lang w:val="es-ES_tradnl"/>
        </w:rPr>
        <w:t xml:space="preserve">abarque </w:t>
      </w:r>
      <w:r w:rsidR="0045354B" w:rsidRPr="002362D9">
        <w:rPr>
          <w:lang w:val="es-ES_tradnl"/>
        </w:rPr>
        <w:t xml:space="preserve">la </w:t>
      </w:r>
      <w:r w:rsidR="005564D9" w:rsidRPr="002362D9">
        <w:rPr>
          <w:lang w:val="es-ES_tradnl"/>
        </w:rPr>
        <w:t>factibilidad técnica</w:t>
      </w:r>
      <w:r w:rsidR="0045354B" w:rsidRPr="002362D9">
        <w:rPr>
          <w:lang w:val="es-ES_tradnl"/>
        </w:rPr>
        <w:t xml:space="preserve">, viabilidad económica y </w:t>
      </w:r>
      <w:r w:rsidR="00813662" w:rsidRPr="002362D9">
        <w:rPr>
          <w:lang w:val="es-ES_tradnl"/>
        </w:rPr>
        <w:t xml:space="preserve">aspectos logísticos, legales y transaccionales </w:t>
      </w:r>
      <w:r w:rsidR="00227C96">
        <w:rPr>
          <w:lang w:val="es-ES_tradnl"/>
        </w:rPr>
        <w:t>de</w:t>
      </w:r>
      <w:r w:rsidR="00D97D40">
        <w:rPr>
          <w:lang w:val="es-ES_tradnl"/>
        </w:rPr>
        <w:t xml:space="preserve"> </w:t>
      </w:r>
      <w:r w:rsidR="00BE1888">
        <w:rPr>
          <w:lang w:val="es-ES_tradnl"/>
        </w:rPr>
        <w:t>las</w:t>
      </w:r>
      <w:r w:rsidR="0045354B" w:rsidRPr="002362D9">
        <w:rPr>
          <w:lang w:val="es-ES_tradnl"/>
        </w:rPr>
        <w:t xml:space="preserve"> siguiente</w:t>
      </w:r>
      <w:r w:rsidR="00BE1888">
        <w:rPr>
          <w:lang w:val="es-ES_tradnl"/>
        </w:rPr>
        <w:t>s opciones</w:t>
      </w:r>
      <w:r w:rsidR="0045354B" w:rsidRPr="002362D9">
        <w:rPr>
          <w:lang w:val="es-ES_tradnl"/>
        </w:rPr>
        <w:t>:</w:t>
      </w:r>
    </w:p>
    <w:p w14:paraId="2F0DEBD2" w14:textId="683B76F9" w:rsidR="00F72734" w:rsidRPr="002362D9" w:rsidRDefault="003C66C7" w:rsidP="00F72734">
      <w:pPr>
        <w:pStyle w:val="ListParagraph"/>
        <w:numPr>
          <w:ilvl w:val="0"/>
          <w:numId w:val="43"/>
        </w:numPr>
        <w:spacing w:before="240" w:after="240"/>
        <w:ind w:left="2127" w:hanging="709"/>
        <w:contextualSpacing w:val="0"/>
        <w:rPr>
          <w:lang w:val="es-ES_tradnl"/>
        </w:rPr>
      </w:pPr>
      <w:r w:rsidRPr="002362D9">
        <w:rPr>
          <w:lang w:val="es-ES_tradnl"/>
        </w:rPr>
        <w:t xml:space="preserve">Reponer en servicio </w:t>
      </w:r>
      <w:r w:rsidR="00F72734" w:rsidRPr="002362D9">
        <w:rPr>
          <w:lang w:val="es-ES_tradnl"/>
        </w:rPr>
        <w:t xml:space="preserve">el incinerador ubicado en la </w:t>
      </w:r>
      <w:r w:rsidR="00E02E17" w:rsidRPr="002362D9">
        <w:rPr>
          <w:lang w:val="es-ES_tradnl"/>
        </w:rPr>
        <w:t xml:space="preserve">planta dual de </w:t>
      </w:r>
      <w:r w:rsidR="001D17E6">
        <w:rPr>
          <w:lang w:val="es-ES_tradnl"/>
        </w:rPr>
        <w:t>producción</w:t>
      </w:r>
      <w:r w:rsidR="00917381" w:rsidRPr="002362D9">
        <w:rPr>
          <w:lang w:val="es-ES_tradnl"/>
        </w:rPr>
        <w:t xml:space="preserve"> </w:t>
      </w:r>
      <w:r w:rsidR="00E86595" w:rsidRPr="002362D9">
        <w:rPr>
          <w:lang w:val="es-ES_tradnl"/>
        </w:rPr>
        <w:t xml:space="preserve">de </w:t>
      </w:r>
      <w:r w:rsidR="00E02E17" w:rsidRPr="002362D9">
        <w:rPr>
          <w:lang w:val="es-ES_tradnl"/>
        </w:rPr>
        <w:t>HCFC-22</w:t>
      </w:r>
      <w:r w:rsidR="00F72734" w:rsidRPr="002362D9">
        <w:rPr>
          <w:lang w:val="es-ES_tradnl"/>
        </w:rPr>
        <w:t xml:space="preserve"> </w:t>
      </w:r>
      <w:r w:rsidR="00E86595" w:rsidRPr="002362D9">
        <w:rPr>
          <w:lang w:val="es-ES_tradnl"/>
        </w:rPr>
        <w:t xml:space="preserve">que opera </w:t>
      </w:r>
      <w:r w:rsidR="00F72734" w:rsidRPr="002362D9">
        <w:rPr>
          <w:lang w:val="es-ES_tradnl"/>
        </w:rPr>
        <w:t xml:space="preserve">FIASA, </w:t>
      </w:r>
      <w:r w:rsidR="0085542D">
        <w:rPr>
          <w:lang w:val="es-ES_tradnl"/>
        </w:rPr>
        <w:t xml:space="preserve">en </w:t>
      </w:r>
      <w:r w:rsidR="00F72734" w:rsidRPr="002362D9">
        <w:rPr>
          <w:lang w:val="es-ES_tradnl"/>
        </w:rPr>
        <w:t xml:space="preserve">base </w:t>
      </w:r>
      <w:r w:rsidR="0085542D">
        <w:rPr>
          <w:lang w:val="es-ES_tradnl"/>
        </w:rPr>
        <w:t>a</w:t>
      </w:r>
      <w:r w:rsidR="00F72734" w:rsidRPr="002362D9">
        <w:rPr>
          <w:lang w:val="es-ES_tradnl"/>
        </w:rPr>
        <w:t xml:space="preserve"> tres </w:t>
      </w:r>
      <w:r w:rsidR="00816926">
        <w:rPr>
          <w:lang w:val="es-ES_tradnl"/>
        </w:rPr>
        <w:t>presupuestos</w:t>
      </w:r>
      <w:r w:rsidR="00F72734" w:rsidRPr="002362D9">
        <w:rPr>
          <w:lang w:val="es-ES_tradnl"/>
        </w:rPr>
        <w:t xml:space="preserve"> independientes </w:t>
      </w:r>
      <w:r w:rsidR="007C4E06">
        <w:rPr>
          <w:lang w:val="es-ES_tradnl"/>
        </w:rPr>
        <w:t>que</w:t>
      </w:r>
      <w:r w:rsidR="003A3E4E">
        <w:rPr>
          <w:lang w:val="es-ES_tradnl"/>
        </w:rPr>
        <w:t xml:space="preserve"> incluya</w:t>
      </w:r>
      <w:r w:rsidR="007C4E06">
        <w:rPr>
          <w:lang w:val="es-ES_tradnl"/>
        </w:rPr>
        <w:t>n</w:t>
      </w:r>
      <w:r w:rsidR="008D0956">
        <w:rPr>
          <w:lang w:val="es-ES_tradnl"/>
        </w:rPr>
        <w:t xml:space="preserve"> </w:t>
      </w:r>
      <w:r w:rsidR="00F72734" w:rsidRPr="002362D9">
        <w:rPr>
          <w:lang w:val="es-ES_tradnl"/>
        </w:rPr>
        <w:t xml:space="preserve">los costos </w:t>
      </w:r>
      <w:r w:rsidR="00886D30">
        <w:rPr>
          <w:lang w:val="es-ES_tradnl"/>
        </w:rPr>
        <w:t>operacionales</w:t>
      </w:r>
      <w:r w:rsidR="00F72734" w:rsidRPr="002362D9">
        <w:rPr>
          <w:lang w:val="es-ES_tradnl"/>
        </w:rPr>
        <w:t xml:space="preserve">, </w:t>
      </w:r>
      <w:r w:rsidR="00571D2C">
        <w:rPr>
          <w:lang w:val="es-ES_tradnl"/>
        </w:rPr>
        <w:t>d</w:t>
      </w:r>
      <w:r w:rsidR="00185088">
        <w:rPr>
          <w:lang w:val="es-ES_tradnl"/>
        </w:rPr>
        <w:t xml:space="preserve">el </w:t>
      </w:r>
      <w:r w:rsidR="00F72734" w:rsidRPr="002362D9">
        <w:rPr>
          <w:lang w:val="es-ES_tradnl"/>
        </w:rPr>
        <w:t xml:space="preserve">cumplimiento de </w:t>
      </w:r>
      <w:r w:rsidR="007E2CEF">
        <w:rPr>
          <w:lang w:val="es-ES_tradnl"/>
        </w:rPr>
        <w:t>la</w:t>
      </w:r>
      <w:r w:rsidR="00587CC2">
        <w:rPr>
          <w:lang w:val="es-ES_tradnl"/>
        </w:rPr>
        <w:t>s</w:t>
      </w:r>
      <w:r w:rsidR="007E2CEF">
        <w:rPr>
          <w:lang w:val="es-ES_tradnl"/>
        </w:rPr>
        <w:t xml:space="preserve"> norma</w:t>
      </w:r>
      <w:r w:rsidR="00587CC2">
        <w:rPr>
          <w:lang w:val="es-ES_tradnl"/>
        </w:rPr>
        <w:t>s</w:t>
      </w:r>
      <w:r w:rsidR="00F72734" w:rsidRPr="002362D9">
        <w:rPr>
          <w:lang w:val="es-ES_tradnl"/>
        </w:rPr>
        <w:t xml:space="preserve"> sobre </w:t>
      </w:r>
      <w:r w:rsidR="005B44B1" w:rsidRPr="002362D9">
        <w:rPr>
          <w:lang w:val="es-ES_tradnl"/>
        </w:rPr>
        <w:t>residuos peligrosos</w:t>
      </w:r>
      <w:r w:rsidR="00F72734" w:rsidRPr="002362D9">
        <w:rPr>
          <w:lang w:val="es-ES_tradnl"/>
        </w:rPr>
        <w:t xml:space="preserve"> y de </w:t>
      </w:r>
      <w:r w:rsidR="00FF5FC8">
        <w:rPr>
          <w:lang w:val="es-ES_tradnl"/>
        </w:rPr>
        <w:t>supervisar y verificar</w:t>
      </w:r>
      <w:r w:rsidR="00F72734" w:rsidRPr="002362D9">
        <w:rPr>
          <w:lang w:val="es-ES_tradnl"/>
        </w:rPr>
        <w:t xml:space="preserve"> la destrucción </w:t>
      </w:r>
      <w:r w:rsidR="009A7B7F">
        <w:rPr>
          <w:lang w:val="es-ES_tradnl"/>
        </w:rPr>
        <w:t>del subproducto</w:t>
      </w:r>
      <w:r w:rsidR="00343A62" w:rsidRPr="002362D9">
        <w:rPr>
          <w:lang w:val="es-ES_tradnl"/>
        </w:rPr>
        <w:t xml:space="preserve"> HFC-23</w:t>
      </w:r>
      <w:r w:rsidR="00F72734" w:rsidRPr="002362D9">
        <w:rPr>
          <w:lang w:val="es-ES_tradnl"/>
        </w:rPr>
        <w:t>;</w:t>
      </w:r>
    </w:p>
    <w:p w14:paraId="441CB03B" w14:textId="28BF08E6" w:rsidR="00F72734" w:rsidRPr="002362D9" w:rsidRDefault="005E3242" w:rsidP="00F72734">
      <w:pPr>
        <w:pStyle w:val="ListParagraph"/>
        <w:numPr>
          <w:ilvl w:val="0"/>
          <w:numId w:val="43"/>
        </w:numPr>
        <w:spacing w:before="240" w:after="240"/>
        <w:ind w:left="2127" w:hanging="709"/>
        <w:contextualSpacing w:val="0"/>
        <w:rPr>
          <w:lang w:val="es-ES_tradnl"/>
        </w:rPr>
      </w:pPr>
      <w:r>
        <w:rPr>
          <w:lang w:val="es-ES_tradnl"/>
        </w:rPr>
        <w:t xml:space="preserve">Pagar una indemnización </w:t>
      </w:r>
      <w:r w:rsidR="00A945CE">
        <w:rPr>
          <w:lang w:val="es-ES_tradnl"/>
        </w:rPr>
        <w:t>por el cierre de la planta</w:t>
      </w:r>
      <w:r w:rsidR="001A0F78">
        <w:rPr>
          <w:lang w:val="es-ES_tradnl"/>
        </w:rPr>
        <w:t xml:space="preserve"> </w:t>
      </w:r>
      <w:r w:rsidR="00BA7F82">
        <w:rPr>
          <w:lang w:val="es-ES_tradnl"/>
        </w:rPr>
        <w:t>dual de producción de HCFC</w:t>
      </w:r>
      <w:r w:rsidR="00BA7F82">
        <w:rPr>
          <w:lang w:val="es-ES_tradnl"/>
        </w:rPr>
        <w:noBreakHyphen/>
      </w:r>
      <w:r w:rsidR="007D0BDA">
        <w:rPr>
          <w:lang w:val="es-ES_tradnl"/>
        </w:rPr>
        <w:t>22</w:t>
      </w:r>
      <w:r w:rsidR="001A0F78">
        <w:rPr>
          <w:lang w:val="es-ES_tradnl"/>
        </w:rPr>
        <w:t xml:space="preserve"> que opera FIASA</w:t>
      </w:r>
      <w:r w:rsidR="00F72734" w:rsidRPr="002362D9">
        <w:rPr>
          <w:lang w:val="es-ES_tradnl"/>
        </w:rPr>
        <w:t xml:space="preserve"> </w:t>
      </w:r>
      <w:r w:rsidR="005D367D">
        <w:rPr>
          <w:lang w:val="es-ES_tradnl"/>
        </w:rPr>
        <w:t>a</w:t>
      </w:r>
      <w:r w:rsidR="00F72734" w:rsidRPr="002362D9">
        <w:rPr>
          <w:lang w:val="es-ES_tradnl"/>
        </w:rPr>
        <w:t xml:space="preserve">l 1º de enero </w:t>
      </w:r>
      <w:r w:rsidR="00A404A7">
        <w:rPr>
          <w:lang w:val="es-ES_tradnl"/>
        </w:rPr>
        <w:t xml:space="preserve">de 2020 </w:t>
      </w:r>
      <w:r w:rsidR="00F72734" w:rsidRPr="002362D9">
        <w:rPr>
          <w:lang w:val="es-ES_tradnl"/>
        </w:rPr>
        <w:t xml:space="preserve">o a la ratificación de la Enmienda de Kigali por </w:t>
      </w:r>
      <w:r w:rsidR="00A85575">
        <w:rPr>
          <w:lang w:val="es-ES_tradnl"/>
        </w:rPr>
        <w:t>parte d</w:t>
      </w:r>
      <w:r w:rsidR="00F72734" w:rsidRPr="002362D9">
        <w:rPr>
          <w:lang w:val="es-ES_tradnl"/>
        </w:rPr>
        <w:t xml:space="preserve">el </w:t>
      </w:r>
      <w:r w:rsidR="00A9712C">
        <w:rPr>
          <w:lang w:val="es-ES_tradnl"/>
        </w:rPr>
        <w:t>Gobierno</w:t>
      </w:r>
      <w:r w:rsidR="00D2009D" w:rsidRPr="002362D9">
        <w:rPr>
          <w:lang w:val="es-ES_tradnl"/>
        </w:rPr>
        <w:t xml:space="preserve"> de la Argentina</w:t>
      </w:r>
      <w:r w:rsidR="00F72734" w:rsidRPr="002362D9">
        <w:rPr>
          <w:lang w:val="es-ES_tradnl"/>
        </w:rPr>
        <w:t xml:space="preserve">, </w:t>
      </w:r>
      <w:r w:rsidR="00B44A56">
        <w:rPr>
          <w:lang w:val="es-ES_tradnl"/>
        </w:rPr>
        <w:t>lo que ocurra primero</w:t>
      </w:r>
      <w:r w:rsidR="00F72734" w:rsidRPr="002362D9">
        <w:rPr>
          <w:lang w:val="es-ES_tradnl"/>
        </w:rPr>
        <w:t>;</w:t>
      </w:r>
    </w:p>
    <w:p w14:paraId="3DDDFBE7" w14:textId="615F6142" w:rsidR="00CF5C06" w:rsidRDefault="00DD47F7" w:rsidP="00F72734">
      <w:pPr>
        <w:pStyle w:val="ListParagraph"/>
        <w:numPr>
          <w:ilvl w:val="0"/>
          <w:numId w:val="43"/>
        </w:numPr>
        <w:spacing w:before="240" w:after="240"/>
        <w:ind w:left="2127" w:hanging="709"/>
        <w:contextualSpacing w:val="0"/>
        <w:rPr>
          <w:lang w:val="es-ES_tradnl"/>
        </w:rPr>
      </w:pPr>
      <w:r>
        <w:rPr>
          <w:lang w:val="es-ES_tradnl"/>
        </w:rPr>
        <w:t xml:space="preserve">Destruir </w:t>
      </w:r>
      <w:r w:rsidR="009A7B7F">
        <w:rPr>
          <w:lang w:val="es-ES_tradnl"/>
        </w:rPr>
        <w:t>el subproducto</w:t>
      </w:r>
      <w:r w:rsidR="00343A62" w:rsidRPr="002362D9">
        <w:rPr>
          <w:lang w:val="es-ES_tradnl"/>
        </w:rPr>
        <w:t xml:space="preserve"> HFC-23</w:t>
      </w:r>
      <w:r w:rsidR="00F72734" w:rsidRPr="002362D9">
        <w:rPr>
          <w:lang w:val="es-ES_tradnl"/>
        </w:rPr>
        <w:t xml:space="preserve"> por medio de </w:t>
      </w:r>
      <w:r w:rsidR="00A2705E" w:rsidRPr="00A2705E">
        <w:rPr>
          <w:lang w:val="es-ES_tradnl"/>
        </w:rPr>
        <w:t xml:space="preserve">tecnologías </w:t>
      </w:r>
      <w:r w:rsidR="00F25E84">
        <w:rPr>
          <w:lang w:val="es-ES_tradnl"/>
        </w:rPr>
        <w:t xml:space="preserve">de </w:t>
      </w:r>
      <w:r w:rsidR="00F72734" w:rsidRPr="002362D9">
        <w:rPr>
          <w:lang w:val="es-ES_tradnl"/>
        </w:rPr>
        <w:t xml:space="preserve">transformación irreversible y otras nuevas </w:t>
      </w:r>
      <w:r w:rsidR="00F94095" w:rsidRPr="00F94095">
        <w:rPr>
          <w:lang w:val="es-ES_tradnl"/>
        </w:rPr>
        <w:t xml:space="preserve">opciones </w:t>
      </w:r>
      <w:r w:rsidR="00F72734" w:rsidRPr="002362D9">
        <w:rPr>
          <w:lang w:val="es-ES_tradnl"/>
        </w:rPr>
        <w:t xml:space="preserve">de conversión y </w:t>
      </w:r>
      <w:r w:rsidR="002860F1">
        <w:rPr>
          <w:lang w:val="es-ES_tradnl"/>
        </w:rPr>
        <w:t xml:space="preserve">acopio </w:t>
      </w:r>
      <w:r w:rsidR="003D14D1">
        <w:rPr>
          <w:lang w:val="es-ES_tradnl"/>
        </w:rPr>
        <w:t>para</w:t>
      </w:r>
      <w:r w:rsidR="00F62E0B">
        <w:rPr>
          <w:lang w:val="es-ES_tradnl"/>
        </w:rPr>
        <w:t xml:space="preserve"> </w:t>
      </w:r>
      <w:r w:rsidR="002F1A2F">
        <w:rPr>
          <w:lang w:val="es-ES_tradnl"/>
        </w:rPr>
        <w:t>su</w:t>
      </w:r>
      <w:r w:rsidR="00107911">
        <w:rPr>
          <w:lang w:val="es-ES_tradnl"/>
        </w:rPr>
        <w:t xml:space="preserve"> manejo</w:t>
      </w:r>
      <w:r w:rsidR="00F72734" w:rsidRPr="002362D9">
        <w:rPr>
          <w:lang w:val="es-ES_tradnl"/>
        </w:rPr>
        <w:t>;</w:t>
      </w:r>
    </w:p>
    <w:p w14:paraId="20730619" w14:textId="7DE56260" w:rsidR="00F72734" w:rsidRPr="002362D9" w:rsidRDefault="001C5EC6" w:rsidP="00F72734">
      <w:pPr>
        <w:pStyle w:val="ListParagraph"/>
        <w:numPr>
          <w:ilvl w:val="0"/>
          <w:numId w:val="43"/>
        </w:numPr>
        <w:spacing w:before="240" w:after="240"/>
        <w:ind w:left="2127" w:hanging="709"/>
        <w:contextualSpacing w:val="0"/>
        <w:rPr>
          <w:lang w:val="es-ES_tradnl"/>
        </w:rPr>
      </w:pPr>
      <w:r>
        <w:rPr>
          <w:lang w:val="es-ES_tradnl"/>
        </w:rPr>
        <w:t>D</w:t>
      </w:r>
      <w:r w:rsidR="00F72734" w:rsidRPr="002362D9">
        <w:rPr>
          <w:lang w:val="es-ES_tradnl"/>
        </w:rPr>
        <w:t>est</w:t>
      </w:r>
      <w:r w:rsidR="00DD47F7">
        <w:rPr>
          <w:lang w:val="es-ES_tradnl"/>
        </w:rPr>
        <w:t>ruir</w:t>
      </w:r>
      <w:r w:rsidR="00F72734" w:rsidRPr="002362D9">
        <w:rPr>
          <w:lang w:val="es-ES_tradnl"/>
        </w:rPr>
        <w:t xml:space="preserve"> </w:t>
      </w:r>
      <w:r>
        <w:rPr>
          <w:lang w:val="es-ES_tradnl"/>
        </w:rPr>
        <w:t xml:space="preserve">el </w:t>
      </w:r>
      <w:r w:rsidRPr="001C5EC6">
        <w:rPr>
          <w:lang w:val="es-ES_tradnl"/>
        </w:rPr>
        <w:t>HFC-23</w:t>
      </w:r>
      <w:r w:rsidR="00FF0597">
        <w:rPr>
          <w:lang w:val="es-ES_tradnl"/>
        </w:rPr>
        <w:t xml:space="preserve"> </w:t>
      </w:r>
      <w:r w:rsidR="00AD4D86" w:rsidRPr="00AD4D86">
        <w:rPr>
          <w:lang w:val="es-ES_tradnl"/>
        </w:rPr>
        <w:t xml:space="preserve">ex situ </w:t>
      </w:r>
      <w:r w:rsidR="00F72734" w:rsidRPr="002362D9">
        <w:rPr>
          <w:lang w:val="es-ES_tradnl"/>
        </w:rPr>
        <w:t>por medio de una tecnología aprobada por la Reunión de las Partes;</w:t>
      </w:r>
    </w:p>
    <w:p w14:paraId="57E2F4A8" w14:textId="03FACCFB" w:rsidR="00D44123" w:rsidRPr="002362D9" w:rsidRDefault="00F86AA5" w:rsidP="00F86AA5">
      <w:pPr>
        <w:ind w:left="1440" w:hanging="720"/>
        <w:rPr>
          <w:lang w:val="es-ES_tradnl"/>
        </w:rPr>
      </w:pPr>
      <w:r w:rsidRPr="002362D9">
        <w:rPr>
          <w:lang w:val="es-ES_tradnl"/>
        </w:rPr>
        <w:t>d)</w:t>
      </w:r>
      <w:r w:rsidRPr="002362D9">
        <w:rPr>
          <w:lang w:val="es-ES_tradnl"/>
        </w:rPr>
        <w:tab/>
      </w:r>
      <w:r w:rsidR="00C91113" w:rsidRPr="002362D9">
        <w:rPr>
          <w:lang w:val="es-ES_tradnl"/>
        </w:rPr>
        <w:t xml:space="preserve">Considerar </w:t>
      </w:r>
      <w:r w:rsidR="00FC66F9" w:rsidRPr="00FC66F9">
        <w:rPr>
          <w:lang w:val="es-ES_tradnl"/>
        </w:rPr>
        <w:t>cada una de las opciones propuestas</w:t>
      </w:r>
      <w:r w:rsidR="00C91113" w:rsidRPr="002362D9">
        <w:rPr>
          <w:lang w:val="es-ES_tradnl"/>
        </w:rPr>
        <w:t xml:space="preserve">, </w:t>
      </w:r>
      <w:r w:rsidR="003530C4">
        <w:rPr>
          <w:lang w:val="es-ES_tradnl"/>
        </w:rPr>
        <w:t>en especial</w:t>
      </w:r>
      <w:r w:rsidR="00C91113" w:rsidRPr="002362D9">
        <w:rPr>
          <w:lang w:val="es-ES_tradnl"/>
        </w:rPr>
        <w:t xml:space="preserve"> los </w:t>
      </w:r>
      <w:r w:rsidR="00D30EF5" w:rsidRPr="00D30EF5">
        <w:rPr>
          <w:lang w:val="es-ES_tradnl"/>
        </w:rPr>
        <w:t xml:space="preserve">antecedentes </w:t>
      </w:r>
      <w:r w:rsidR="00307593" w:rsidRPr="00307593">
        <w:rPr>
          <w:lang w:val="es-ES_tradnl"/>
        </w:rPr>
        <w:t>aportados</w:t>
      </w:r>
      <w:r w:rsidR="00C91113" w:rsidRPr="002362D9">
        <w:rPr>
          <w:lang w:val="es-ES_tradnl"/>
        </w:rPr>
        <w:t xml:space="preserve"> </w:t>
      </w:r>
      <w:r w:rsidR="00F668A4">
        <w:rPr>
          <w:lang w:val="es-ES_tradnl"/>
        </w:rPr>
        <w:t xml:space="preserve">en virtud del párrafo </w:t>
      </w:r>
      <w:r w:rsidR="00C91113" w:rsidRPr="002362D9">
        <w:rPr>
          <w:lang w:val="es-ES_tradnl"/>
        </w:rPr>
        <w:t xml:space="preserve">c) anterior, y </w:t>
      </w:r>
      <w:r w:rsidR="00443E14">
        <w:rPr>
          <w:lang w:val="es-ES_tradnl"/>
        </w:rPr>
        <w:t xml:space="preserve">definir </w:t>
      </w:r>
      <w:r w:rsidR="00C91113" w:rsidRPr="002362D9">
        <w:rPr>
          <w:lang w:val="es-ES_tradnl"/>
        </w:rPr>
        <w:t xml:space="preserve">criterios para </w:t>
      </w:r>
      <w:r w:rsidR="009013BB">
        <w:rPr>
          <w:lang w:val="es-ES_tradnl"/>
        </w:rPr>
        <w:t>el financiamiento de</w:t>
      </w:r>
      <w:r w:rsidR="00487FA3">
        <w:rPr>
          <w:lang w:val="es-ES_tradnl"/>
        </w:rPr>
        <w:t xml:space="preserve"> </w:t>
      </w:r>
      <w:r w:rsidR="00C91113" w:rsidRPr="002362D9">
        <w:rPr>
          <w:lang w:val="es-ES_tradnl"/>
        </w:rPr>
        <w:t xml:space="preserve">las actividades </w:t>
      </w:r>
      <w:r w:rsidR="00175677">
        <w:rPr>
          <w:lang w:val="es-ES_tradnl"/>
        </w:rPr>
        <w:t>relativas a</w:t>
      </w:r>
      <w:r w:rsidR="00C91113" w:rsidRPr="002362D9">
        <w:rPr>
          <w:lang w:val="es-ES_tradnl"/>
        </w:rPr>
        <w:t xml:space="preserve"> las </w:t>
      </w:r>
      <w:r w:rsidR="00AB103A">
        <w:rPr>
          <w:lang w:val="es-ES_tradnl"/>
        </w:rPr>
        <w:t>obligaciones de cumplimiento adquiridas por las Partes del artículo 5</w:t>
      </w:r>
      <w:r w:rsidR="00C91113" w:rsidRPr="002362D9">
        <w:rPr>
          <w:lang w:val="es-ES_tradnl"/>
        </w:rPr>
        <w:t>;</w:t>
      </w:r>
    </w:p>
    <w:p w14:paraId="38D0C685" w14:textId="77777777" w:rsidR="00F86AA5" w:rsidRPr="002362D9" w:rsidRDefault="00F86AA5" w:rsidP="00F86AA5">
      <w:pPr>
        <w:ind w:left="1440" w:hanging="720"/>
        <w:rPr>
          <w:lang w:val="es-ES_tradnl"/>
        </w:rPr>
      </w:pPr>
    </w:p>
    <w:p w14:paraId="3C5CAEF6" w14:textId="68BD8E00" w:rsidR="00D44123" w:rsidRPr="002362D9" w:rsidRDefault="00F86AA5" w:rsidP="00F86AA5">
      <w:pPr>
        <w:ind w:left="1440" w:hanging="720"/>
        <w:rPr>
          <w:lang w:val="es-ES_tradnl"/>
        </w:rPr>
      </w:pPr>
      <w:r w:rsidRPr="002362D9">
        <w:rPr>
          <w:lang w:val="es-ES_tradnl"/>
        </w:rPr>
        <w:t>e)</w:t>
      </w:r>
      <w:r w:rsidRPr="002362D9">
        <w:rPr>
          <w:lang w:val="es-ES_tradnl"/>
        </w:rPr>
        <w:tab/>
      </w:r>
      <w:r w:rsidR="004512EA" w:rsidRPr="002362D9">
        <w:rPr>
          <w:lang w:val="es-ES_tradnl"/>
        </w:rPr>
        <w:t>Solicitar</w:t>
      </w:r>
      <w:r w:rsidR="003A46A1" w:rsidRPr="002362D9">
        <w:rPr>
          <w:lang w:val="es-ES_tradnl"/>
        </w:rPr>
        <w:t xml:space="preserve"> </w:t>
      </w:r>
      <w:r w:rsidR="00B75B28" w:rsidRPr="002362D9">
        <w:rPr>
          <w:lang w:val="es-ES_tradnl"/>
        </w:rPr>
        <w:t xml:space="preserve">a la Secretaría </w:t>
      </w:r>
      <w:r w:rsidR="00015614" w:rsidRPr="002362D9">
        <w:rPr>
          <w:lang w:val="es-ES_tradnl"/>
        </w:rPr>
        <w:t>la contratación de</w:t>
      </w:r>
      <w:r w:rsidR="00B75B28" w:rsidRPr="002362D9">
        <w:rPr>
          <w:lang w:val="es-ES_tradnl"/>
        </w:rPr>
        <w:t xml:space="preserve"> un consultor independiente que </w:t>
      </w:r>
      <w:r w:rsidR="00B01EFD" w:rsidRPr="002362D9">
        <w:rPr>
          <w:lang w:val="es-ES_tradnl"/>
        </w:rPr>
        <w:t xml:space="preserve">efectúe </w:t>
      </w:r>
      <w:r w:rsidR="00B75B28" w:rsidRPr="002362D9">
        <w:rPr>
          <w:lang w:val="es-ES_tradnl"/>
        </w:rPr>
        <w:t xml:space="preserve">una auditoría técnica de FIASA </w:t>
      </w:r>
      <w:r w:rsidR="001D6315">
        <w:rPr>
          <w:lang w:val="es-ES_tradnl"/>
        </w:rPr>
        <w:t>a fin de</w:t>
      </w:r>
      <w:r w:rsidR="00B75B28" w:rsidRPr="002362D9">
        <w:rPr>
          <w:lang w:val="es-ES_tradnl"/>
        </w:rPr>
        <w:t xml:space="preserve"> determinar </w:t>
      </w:r>
      <w:r w:rsidR="0092429D" w:rsidRPr="002362D9">
        <w:rPr>
          <w:lang w:val="es-ES_tradnl"/>
        </w:rPr>
        <w:t>el costo de</w:t>
      </w:r>
      <w:r w:rsidR="00F3567F">
        <w:rPr>
          <w:lang w:val="es-ES_tradnl"/>
        </w:rPr>
        <w:t>l</w:t>
      </w:r>
      <w:r w:rsidR="0092429D" w:rsidRPr="002362D9">
        <w:rPr>
          <w:lang w:val="es-ES_tradnl"/>
        </w:rPr>
        <w:t xml:space="preserve"> cierre</w:t>
      </w:r>
      <w:r w:rsidR="00944C04">
        <w:rPr>
          <w:lang w:val="es-ES_tradnl"/>
        </w:rPr>
        <w:t xml:space="preserve"> de la planta</w:t>
      </w:r>
      <w:r w:rsidR="00B75B28" w:rsidRPr="002362D9">
        <w:rPr>
          <w:lang w:val="es-ES_tradnl"/>
        </w:rPr>
        <w:t>;</w:t>
      </w:r>
    </w:p>
    <w:p w14:paraId="4AB0FA9E" w14:textId="77777777" w:rsidR="00F86AA5" w:rsidRPr="002362D9" w:rsidRDefault="00F86AA5" w:rsidP="00F86AA5">
      <w:pPr>
        <w:ind w:left="1440" w:hanging="720"/>
        <w:rPr>
          <w:lang w:val="es-ES_tradnl"/>
        </w:rPr>
      </w:pPr>
    </w:p>
    <w:p w14:paraId="028B64C8" w14:textId="2CD6B4A3" w:rsidR="00D44123" w:rsidRPr="002362D9" w:rsidRDefault="00F86AA5" w:rsidP="00F86AA5">
      <w:pPr>
        <w:ind w:left="1440" w:hanging="720"/>
        <w:rPr>
          <w:lang w:val="es-ES_tradnl"/>
        </w:rPr>
      </w:pPr>
      <w:r w:rsidRPr="002362D9">
        <w:rPr>
          <w:lang w:val="es-ES_tradnl"/>
        </w:rPr>
        <w:t>f)</w:t>
      </w:r>
      <w:r w:rsidRPr="002362D9">
        <w:rPr>
          <w:lang w:val="es-ES_tradnl"/>
        </w:rPr>
        <w:tab/>
      </w:r>
      <w:r w:rsidR="0069019F" w:rsidRPr="002362D9">
        <w:rPr>
          <w:lang w:val="es-ES_tradnl"/>
        </w:rPr>
        <w:t xml:space="preserve">Aprobar 50.000 $EUA </w:t>
      </w:r>
      <w:r w:rsidR="00D40B17">
        <w:rPr>
          <w:lang w:val="es-ES_tradnl"/>
        </w:rPr>
        <w:t xml:space="preserve">para que </w:t>
      </w:r>
      <w:r w:rsidR="0069019F" w:rsidRPr="002362D9">
        <w:rPr>
          <w:lang w:val="es-ES_tradnl"/>
        </w:rPr>
        <w:t xml:space="preserve">la Secretaría </w:t>
      </w:r>
      <w:r w:rsidR="004C0BAA">
        <w:rPr>
          <w:lang w:val="es-ES_tradnl"/>
        </w:rPr>
        <w:t xml:space="preserve">lleve </w:t>
      </w:r>
      <w:r w:rsidR="0069019F" w:rsidRPr="002362D9">
        <w:rPr>
          <w:lang w:val="es-ES_tradnl"/>
        </w:rPr>
        <w:t>a cabo la auditoría técnica menciona</w:t>
      </w:r>
      <w:r w:rsidR="00FA0783">
        <w:rPr>
          <w:lang w:val="es-ES_tradnl"/>
        </w:rPr>
        <w:t>da</w:t>
      </w:r>
      <w:r w:rsidR="0069019F" w:rsidRPr="002362D9">
        <w:rPr>
          <w:lang w:val="es-ES_tradnl"/>
        </w:rPr>
        <w:t xml:space="preserve"> en el </w:t>
      </w:r>
      <w:r w:rsidR="00BC0428">
        <w:rPr>
          <w:lang w:val="es-ES_tradnl"/>
        </w:rPr>
        <w:t>párrafo</w:t>
      </w:r>
      <w:r w:rsidR="0069019F" w:rsidRPr="002362D9">
        <w:rPr>
          <w:lang w:val="es-ES_tradnl"/>
        </w:rPr>
        <w:t xml:space="preserve"> e) anterior; y</w:t>
      </w:r>
    </w:p>
    <w:p w14:paraId="38A5F6EB" w14:textId="77777777" w:rsidR="00F86AA5" w:rsidRPr="002362D9" w:rsidRDefault="00F86AA5" w:rsidP="00F86AA5">
      <w:pPr>
        <w:ind w:left="1440" w:hanging="720"/>
        <w:rPr>
          <w:lang w:val="es-ES_tradnl"/>
        </w:rPr>
      </w:pPr>
    </w:p>
    <w:p w14:paraId="51FE59EF" w14:textId="171CDAC3" w:rsidR="00D44123" w:rsidRPr="00B25E57" w:rsidRDefault="00F86AA5" w:rsidP="00F86AA5">
      <w:pPr>
        <w:ind w:left="1440" w:hanging="720"/>
        <w:rPr>
          <w:lang w:val="es-ES_tradnl"/>
        </w:rPr>
      </w:pPr>
      <w:r w:rsidRPr="002362D9">
        <w:rPr>
          <w:lang w:val="es-ES_tradnl"/>
        </w:rPr>
        <w:t>g)</w:t>
      </w:r>
      <w:r w:rsidRPr="002362D9">
        <w:rPr>
          <w:lang w:val="es-ES_tradnl"/>
        </w:rPr>
        <w:tab/>
      </w:r>
      <w:r w:rsidR="00C94276">
        <w:rPr>
          <w:lang w:val="es-ES_tradnl"/>
        </w:rPr>
        <w:t xml:space="preserve">Considerar la </w:t>
      </w:r>
      <w:r w:rsidR="0012445B">
        <w:rPr>
          <w:lang w:val="es-ES_tradnl"/>
        </w:rPr>
        <w:t xml:space="preserve">posible aplicación de los procedimientos expuestos en la presente decisión y de los criterios de financiamiento de actividades relativas a las </w:t>
      </w:r>
      <w:r w:rsidR="00AB103A">
        <w:rPr>
          <w:lang w:val="es-ES_tradnl"/>
        </w:rPr>
        <w:t>obligaciones de cumplimiento adquiridas por las Partes del artículo 5</w:t>
      </w:r>
      <w:r w:rsidR="001822F4" w:rsidRPr="002362D9">
        <w:rPr>
          <w:lang w:val="es-ES_tradnl"/>
        </w:rPr>
        <w:t xml:space="preserve">, </w:t>
      </w:r>
      <w:r w:rsidR="00F74B46">
        <w:rPr>
          <w:lang w:val="es-ES_tradnl"/>
        </w:rPr>
        <w:t xml:space="preserve">una vez </w:t>
      </w:r>
      <w:r w:rsidR="001822F4" w:rsidRPr="002362D9">
        <w:rPr>
          <w:lang w:val="es-ES_tradnl"/>
        </w:rPr>
        <w:t xml:space="preserve">se </w:t>
      </w:r>
      <w:r w:rsidR="00B628B9" w:rsidRPr="00B628B9">
        <w:rPr>
          <w:lang w:val="es-ES_tradnl"/>
        </w:rPr>
        <w:t>convengan</w:t>
      </w:r>
      <w:r w:rsidR="001822F4" w:rsidRPr="002362D9">
        <w:rPr>
          <w:lang w:val="es-ES_tradnl"/>
        </w:rPr>
        <w:t>, respecto de</w:t>
      </w:r>
      <w:r w:rsidR="002C111D">
        <w:rPr>
          <w:lang w:val="es-ES_tradnl"/>
        </w:rPr>
        <w:t>l</w:t>
      </w:r>
      <w:r w:rsidR="001822F4" w:rsidRPr="002362D9">
        <w:rPr>
          <w:lang w:val="es-ES_tradnl"/>
        </w:rPr>
        <w:t xml:space="preserve"> </w:t>
      </w:r>
      <w:r w:rsidR="002C111D">
        <w:rPr>
          <w:lang w:val="es-ES_tradnl"/>
        </w:rPr>
        <w:t>control</w:t>
      </w:r>
      <w:r w:rsidR="001822F4" w:rsidRPr="002362D9">
        <w:rPr>
          <w:lang w:val="es-ES_tradnl"/>
        </w:rPr>
        <w:t xml:space="preserve"> del HFC-23 </w:t>
      </w:r>
      <w:r w:rsidR="001D2245">
        <w:rPr>
          <w:lang w:val="es-ES_tradnl"/>
        </w:rPr>
        <w:t>en las demás Partes</w:t>
      </w:r>
      <w:r w:rsidR="001822F4" w:rsidRPr="002362D9">
        <w:rPr>
          <w:lang w:val="es-ES_tradnl"/>
        </w:rPr>
        <w:t xml:space="preserve"> del artículo 5</w:t>
      </w:r>
      <w:r w:rsidR="003A46A1" w:rsidRPr="002362D9">
        <w:rPr>
          <w:lang w:val="es-ES_tradnl"/>
        </w:rPr>
        <w:t xml:space="preserve"> </w:t>
      </w:r>
      <w:r w:rsidR="00074F58" w:rsidRPr="002362D9">
        <w:rPr>
          <w:lang w:val="es-ES_tradnl"/>
        </w:rPr>
        <w:t>(</w:t>
      </w:r>
      <w:r w:rsidR="004241C5" w:rsidRPr="002362D9">
        <w:rPr>
          <w:lang w:val="es-ES_tradnl"/>
        </w:rPr>
        <w:t>decisión</w:t>
      </w:r>
      <w:r w:rsidR="003A46A1" w:rsidRPr="002362D9">
        <w:rPr>
          <w:lang w:val="es-ES_tradnl"/>
        </w:rPr>
        <w:t xml:space="preserve"> </w:t>
      </w:r>
      <w:r w:rsidR="00074F58" w:rsidRPr="002362D9">
        <w:rPr>
          <w:lang w:val="es-ES_tradnl"/>
        </w:rPr>
        <w:t>82/85)</w:t>
      </w:r>
      <w:r w:rsidR="00C705AA" w:rsidRPr="002362D9">
        <w:rPr>
          <w:lang w:val="es-ES_tradnl"/>
        </w:rPr>
        <w:t>.</w:t>
      </w:r>
    </w:p>
    <w:p w14:paraId="25CCF806" w14:textId="77777777" w:rsidR="00F86AA5" w:rsidRPr="00B25E57" w:rsidRDefault="00F86AA5" w:rsidP="00F86AA5">
      <w:pPr>
        <w:rPr>
          <w:lang w:val="es-ES_tradnl"/>
        </w:rPr>
      </w:pPr>
    </w:p>
    <w:p w14:paraId="4353BB9F" w14:textId="26A6E9E1" w:rsidR="00074F58" w:rsidRPr="00B25E57" w:rsidRDefault="00862A82" w:rsidP="004D364B">
      <w:pPr>
        <w:pStyle w:val="Heading1"/>
        <w:rPr>
          <w:lang w:val="es-ES_tradnl"/>
        </w:rPr>
      </w:pPr>
      <w:r w:rsidRPr="00B25E57">
        <w:rPr>
          <w:lang w:val="es-ES_tradnl"/>
        </w:rPr>
        <w:t>Conforme</w:t>
      </w:r>
      <w:r w:rsidR="003A46A1" w:rsidRPr="00B25E57">
        <w:rPr>
          <w:lang w:val="es-ES_tradnl"/>
        </w:rPr>
        <w:t xml:space="preserve"> </w:t>
      </w:r>
      <w:r w:rsidRPr="00B25E57">
        <w:rPr>
          <w:lang w:val="es-ES_tradnl"/>
        </w:rPr>
        <w:t>a</w:t>
      </w:r>
      <w:r w:rsidR="003A46A1" w:rsidRPr="00B25E57">
        <w:rPr>
          <w:lang w:val="es-ES_tradnl"/>
        </w:rPr>
        <w:t xml:space="preserve"> </w:t>
      </w:r>
      <w:r w:rsidRPr="00B25E57">
        <w:rPr>
          <w:lang w:val="es-ES_tradnl"/>
        </w:rPr>
        <w:t>lo</w:t>
      </w:r>
      <w:r w:rsidR="003A46A1" w:rsidRPr="00B25E57">
        <w:rPr>
          <w:lang w:val="es-ES_tradnl"/>
        </w:rPr>
        <w:t xml:space="preserve"> </w:t>
      </w:r>
      <w:r w:rsidRPr="00B25E57">
        <w:rPr>
          <w:lang w:val="es-ES_tradnl"/>
        </w:rPr>
        <w:t>dispuesto</w:t>
      </w:r>
      <w:r w:rsidR="003A46A1" w:rsidRPr="00B25E57">
        <w:rPr>
          <w:lang w:val="es-ES_tradnl"/>
        </w:rPr>
        <w:t xml:space="preserve"> </w:t>
      </w:r>
      <w:r w:rsidRPr="00B25E57">
        <w:rPr>
          <w:lang w:val="es-ES_tradnl"/>
        </w:rPr>
        <w:t>en</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decisión</w:t>
      </w:r>
      <w:r w:rsidR="003A46A1" w:rsidRPr="00B25E57">
        <w:rPr>
          <w:lang w:val="es-ES_tradnl"/>
        </w:rPr>
        <w:t xml:space="preserve"> </w:t>
      </w:r>
      <w:r w:rsidR="00C705AA" w:rsidRPr="00B25E57">
        <w:rPr>
          <w:lang w:val="es-ES_tradnl"/>
        </w:rPr>
        <w:t>82/8</w:t>
      </w:r>
      <w:r w:rsidR="00312EC2">
        <w:rPr>
          <w:lang w:val="es-ES_tradnl"/>
        </w:rPr>
        <w:t xml:space="preserve">5, </w:t>
      </w:r>
      <w:r w:rsidR="00312EC2" w:rsidRPr="00312EC2">
        <w:rPr>
          <w:lang w:val="es-ES_tradnl"/>
        </w:rPr>
        <w:t xml:space="preserve">la </w:t>
      </w:r>
      <w:r w:rsidR="00312EC2">
        <w:rPr>
          <w:lang w:val="es-ES_tradnl"/>
        </w:rPr>
        <w:t>ONUDI,</w:t>
      </w:r>
      <w:r w:rsidR="003A46A1" w:rsidRPr="00B25E57">
        <w:rPr>
          <w:lang w:val="es-ES_tradnl"/>
        </w:rPr>
        <w:t xml:space="preserve"> </w:t>
      </w:r>
      <w:r w:rsidR="00FB38C2" w:rsidRPr="00B25E57">
        <w:rPr>
          <w:lang w:val="es-ES_tradnl"/>
        </w:rPr>
        <w:t>a</w:t>
      </w:r>
      <w:r w:rsidR="003A46A1" w:rsidRPr="00B25E57">
        <w:rPr>
          <w:lang w:val="es-ES_tradnl"/>
        </w:rPr>
        <w:t xml:space="preserve"> </w:t>
      </w:r>
      <w:r w:rsidR="00FB38C2" w:rsidRPr="00B25E57">
        <w:rPr>
          <w:lang w:val="es-ES_tradnl"/>
        </w:rPr>
        <w:t>nombre</w:t>
      </w:r>
      <w:r w:rsidR="003A46A1" w:rsidRPr="00B25E57">
        <w:rPr>
          <w:lang w:val="es-ES_tradnl"/>
        </w:rPr>
        <w:t xml:space="preserve"> </w:t>
      </w:r>
      <w:r w:rsidR="00FB38C2" w:rsidRPr="00B25E57">
        <w:rPr>
          <w:lang w:val="es-ES_tradnl"/>
        </w:rPr>
        <w:t>del</w:t>
      </w:r>
      <w:r w:rsidR="003A46A1" w:rsidRPr="00B25E57">
        <w:rPr>
          <w:lang w:val="es-ES_tradnl"/>
        </w:rPr>
        <w:t xml:space="preserve"> </w:t>
      </w:r>
      <w:r w:rsidR="00535C22">
        <w:rPr>
          <w:lang w:val="es-ES_tradnl"/>
        </w:rPr>
        <w:t>Gobierno de Argentina</w:t>
      </w:r>
      <w:r w:rsidR="00AA3A4C" w:rsidRPr="00B25E57">
        <w:rPr>
          <w:lang w:val="es-ES_tradnl"/>
        </w:rPr>
        <w:t>,</w:t>
      </w:r>
      <w:r w:rsidR="003A46A1" w:rsidRPr="00B25E57">
        <w:rPr>
          <w:lang w:val="es-ES_tradnl"/>
        </w:rPr>
        <w:t xml:space="preserve"> </w:t>
      </w:r>
      <w:r w:rsidR="004241C5" w:rsidRPr="00B25E57">
        <w:rPr>
          <w:lang w:val="es-ES_tradnl"/>
        </w:rPr>
        <w:t>ha</w:t>
      </w:r>
      <w:r w:rsidR="003A46A1" w:rsidRPr="00B25E57">
        <w:rPr>
          <w:lang w:val="es-ES_tradnl"/>
        </w:rPr>
        <w:t xml:space="preserve"> </w:t>
      </w:r>
      <w:r w:rsidR="004241C5" w:rsidRPr="00B25E57">
        <w:rPr>
          <w:lang w:val="es-ES_tradnl"/>
        </w:rPr>
        <w:t>presentado</w:t>
      </w:r>
      <w:r w:rsidR="003A46A1" w:rsidRPr="00B25E57">
        <w:rPr>
          <w:lang w:val="es-ES_tradnl"/>
        </w:rPr>
        <w:t xml:space="preserve"> </w:t>
      </w:r>
      <w:r w:rsidR="00133BEB">
        <w:rPr>
          <w:lang w:val="es-ES_tradnl"/>
        </w:rPr>
        <w:t xml:space="preserve">una </w:t>
      </w:r>
      <w:r w:rsidR="00FB38C2" w:rsidRPr="00B25E57">
        <w:rPr>
          <w:lang w:val="es-ES_tradnl"/>
        </w:rPr>
        <w:t>propuesta</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33C58" w:rsidRPr="00B25E57">
        <w:rPr>
          <w:lang w:val="es-ES_tradnl"/>
        </w:rPr>
        <w:t>opciones</w:t>
      </w:r>
      <w:r w:rsidR="003A46A1" w:rsidRPr="00B25E57">
        <w:rPr>
          <w:lang w:val="es-ES_tradnl"/>
        </w:rPr>
        <w:t xml:space="preserve"> </w:t>
      </w:r>
      <w:r w:rsidR="00322D64">
        <w:rPr>
          <w:lang w:val="es-ES_tradnl"/>
        </w:rPr>
        <w:t xml:space="preserve">para el </w:t>
      </w:r>
      <w:r w:rsidR="00074F58" w:rsidRPr="00B25E57">
        <w:rPr>
          <w:lang w:val="es-ES_tradnl"/>
        </w:rPr>
        <w:t>control</w:t>
      </w:r>
      <w:r w:rsidR="003A46A1" w:rsidRPr="00B25E57">
        <w:rPr>
          <w:lang w:val="es-ES_tradnl"/>
        </w:rPr>
        <w:t xml:space="preserve"> </w:t>
      </w:r>
      <w:r w:rsidR="00FB38C2" w:rsidRPr="00B25E57">
        <w:rPr>
          <w:lang w:val="es-ES_tradnl"/>
        </w:rPr>
        <w:t>y</w:t>
      </w:r>
      <w:r w:rsidR="003A46A1" w:rsidRPr="00B25E57">
        <w:rPr>
          <w:lang w:val="es-ES_tradnl"/>
        </w:rPr>
        <w:t xml:space="preserve"> </w:t>
      </w:r>
      <w:r w:rsidR="00511581">
        <w:rPr>
          <w:lang w:val="es-ES_tradnl"/>
        </w:rPr>
        <w:t>eliminación del HFC-23 emitido por Frío</w:t>
      </w:r>
      <w:r w:rsidR="003A46A1" w:rsidRPr="00B25E57">
        <w:rPr>
          <w:lang w:val="es-ES_tradnl"/>
        </w:rPr>
        <w:t xml:space="preserve"> </w:t>
      </w:r>
      <w:r w:rsidR="00074F58" w:rsidRPr="00B25E57">
        <w:rPr>
          <w:lang w:val="es-ES_tradnl"/>
        </w:rPr>
        <w:t>Industrias</w:t>
      </w:r>
      <w:r w:rsidR="003A46A1" w:rsidRPr="00B25E57">
        <w:rPr>
          <w:lang w:val="es-ES_tradnl"/>
        </w:rPr>
        <w:t xml:space="preserve"> </w:t>
      </w:r>
      <w:r w:rsidR="00074F58" w:rsidRPr="00B25E57">
        <w:rPr>
          <w:lang w:val="es-ES_tradnl"/>
        </w:rPr>
        <w:t>Argentinas</w:t>
      </w:r>
      <w:r w:rsidR="003F030E">
        <w:rPr>
          <w:lang w:val="es-ES_tradnl"/>
        </w:rPr>
        <w:t xml:space="preserve"> </w:t>
      </w:r>
      <w:r w:rsidR="00074F58" w:rsidRPr="00B25E57">
        <w:rPr>
          <w:lang w:val="es-ES_tradnl"/>
        </w:rPr>
        <w:t>(FIASA),</w:t>
      </w:r>
      <w:r w:rsidR="003A46A1" w:rsidRPr="00B25E57">
        <w:rPr>
          <w:lang w:val="es-ES_tradnl"/>
        </w:rPr>
        <w:t xml:space="preserve"> </w:t>
      </w:r>
      <w:r w:rsidR="004057BA" w:rsidRPr="00B25E57">
        <w:rPr>
          <w:lang w:val="es-ES_tradnl"/>
        </w:rPr>
        <w:t>por</w:t>
      </w:r>
      <w:r w:rsidR="003A46A1" w:rsidRPr="00B25E57">
        <w:rPr>
          <w:lang w:val="es-ES_tradnl"/>
        </w:rPr>
        <w:t xml:space="preserve"> </w:t>
      </w:r>
      <w:r w:rsidR="004057BA" w:rsidRPr="00B25E57">
        <w:rPr>
          <w:lang w:val="es-ES_tradnl"/>
        </w:rPr>
        <w:t>un</w:t>
      </w:r>
      <w:r w:rsidR="003A46A1" w:rsidRPr="00B25E57">
        <w:rPr>
          <w:lang w:val="es-ES_tradnl"/>
        </w:rPr>
        <w:t xml:space="preserve"> </w:t>
      </w:r>
      <w:r w:rsidR="004057BA" w:rsidRPr="00B25E57">
        <w:rPr>
          <w:lang w:val="es-ES_tradnl"/>
        </w:rPr>
        <w:t>monto</w:t>
      </w:r>
      <w:r w:rsidR="003A46A1" w:rsidRPr="00B25E57">
        <w:rPr>
          <w:lang w:val="es-ES_tradnl"/>
        </w:rPr>
        <w:t xml:space="preserve"> </w:t>
      </w:r>
      <w:r w:rsidR="004057BA" w:rsidRPr="00B25E57">
        <w:rPr>
          <w:lang w:val="es-ES_tradnl"/>
        </w:rPr>
        <w:t>total</w:t>
      </w:r>
      <w:r w:rsidR="003A46A1" w:rsidRPr="00B25E57">
        <w:rPr>
          <w:lang w:val="es-ES_tradnl"/>
        </w:rPr>
        <w:t xml:space="preserve"> </w:t>
      </w:r>
      <w:r w:rsidR="005733AE">
        <w:rPr>
          <w:lang w:val="es-ES_tradnl"/>
        </w:rPr>
        <w:t xml:space="preserve">que </w:t>
      </w:r>
      <w:r w:rsidR="001812D7">
        <w:rPr>
          <w:lang w:val="es-ES_tradnl"/>
        </w:rPr>
        <w:t>varía de</w:t>
      </w:r>
      <w:r w:rsidR="007A6330">
        <w:rPr>
          <w:lang w:val="es-ES_tradnl"/>
        </w:rPr>
        <w:t xml:space="preserve"> </w:t>
      </w:r>
      <w:r w:rsidR="00074F58" w:rsidRPr="00B25E57">
        <w:rPr>
          <w:lang w:val="es-ES_tradnl"/>
        </w:rPr>
        <w:t>1</w:t>
      </w:r>
      <w:r w:rsidR="00FB38C2" w:rsidRPr="00B25E57">
        <w:rPr>
          <w:lang w:val="es-ES_tradnl"/>
        </w:rPr>
        <w:t>0.</w:t>
      </w:r>
      <w:r w:rsidR="00074F58" w:rsidRPr="00B25E57">
        <w:rPr>
          <w:lang w:val="es-ES_tradnl"/>
        </w:rPr>
        <w:t>86</w:t>
      </w:r>
      <w:r w:rsidR="004241C5" w:rsidRPr="00B25E57">
        <w:rPr>
          <w:lang w:val="es-ES_tradnl"/>
        </w:rPr>
        <w:t>7.</w:t>
      </w:r>
      <w:r w:rsidR="00074F58" w:rsidRPr="00B25E57">
        <w:rPr>
          <w:lang w:val="es-ES_tradnl"/>
        </w:rPr>
        <w:t>00</w:t>
      </w:r>
      <w:r w:rsidR="00FB38C2" w:rsidRPr="00B25E57">
        <w:rPr>
          <w:lang w:val="es-ES_tradnl"/>
        </w:rPr>
        <w:t>0</w:t>
      </w:r>
      <w:r w:rsidR="003A46A1" w:rsidRPr="00B25E57">
        <w:rPr>
          <w:lang w:val="es-ES_tradnl"/>
        </w:rPr>
        <w:t xml:space="preserve"> </w:t>
      </w:r>
      <w:r w:rsidRPr="00B25E57">
        <w:rPr>
          <w:lang w:val="es-ES_tradnl"/>
        </w:rPr>
        <w:t>$EUA</w:t>
      </w:r>
      <w:r w:rsidR="003A46A1" w:rsidRPr="00B25E57">
        <w:rPr>
          <w:lang w:val="es-ES_tradnl"/>
        </w:rPr>
        <w:t xml:space="preserve"> </w:t>
      </w:r>
      <w:r w:rsidRPr="00B25E57">
        <w:rPr>
          <w:lang w:val="es-ES_tradnl"/>
        </w:rPr>
        <w:t>más</w:t>
      </w:r>
      <w:r w:rsidR="003A46A1" w:rsidRPr="00B25E57">
        <w:rPr>
          <w:lang w:val="es-ES_tradnl"/>
        </w:rPr>
        <w:t xml:space="preserve"> </w:t>
      </w:r>
      <w:r w:rsidR="00F942C6" w:rsidRPr="00B25E57">
        <w:rPr>
          <w:lang w:val="es-ES_tradnl"/>
        </w:rPr>
        <w:t>gastos de apoyo de</w:t>
      </w:r>
      <w:r w:rsidR="003A46A1" w:rsidRPr="00B25E57">
        <w:rPr>
          <w:lang w:val="es-ES_tradnl"/>
        </w:rPr>
        <w:t xml:space="preserve"> </w:t>
      </w:r>
      <w:r w:rsidR="00074F58" w:rsidRPr="00B25E57">
        <w:rPr>
          <w:lang w:val="es-ES_tradnl"/>
        </w:rPr>
        <w:t>76</w:t>
      </w:r>
      <w:r w:rsidR="00FB38C2" w:rsidRPr="00B25E57">
        <w:rPr>
          <w:lang w:val="es-ES_tradnl"/>
        </w:rPr>
        <w:t>0.</w:t>
      </w:r>
      <w:r w:rsidR="00074F58" w:rsidRPr="00B25E57">
        <w:rPr>
          <w:lang w:val="es-ES_tradnl"/>
        </w:rPr>
        <w:t>69</w:t>
      </w:r>
      <w:r w:rsidR="00FB38C2" w:rsidRPr="00B25E57">
        <w:rPr>
          <w:lang w:val="es-ES_tradnl"/>
        </w:rPr>
        <w:t>0</w:t>
      </w:r>
      <w:r w:rsidR="007A6330">
        <w:rPr>
          <w:lang w:val="es-ES_tradnl"/>
        </w:rPr>
        <w:t xml:space="preserve"> </w:t>
      </w:r>
      <w:r w:rsidR="007A6330" w:rsidRPr="007A6330">
        <w:rPr>
          <w:lang w:val="es-ES_tradnl"/>
        </w:rPr>
        <w:t>$EUA</w:t>
      </w:r>
      <w:r w:rsidR="003A46A1" w:rsidRPr="00B25E57">
        <w:rPr>
          <w:lang w:val="es-ES_tradnl"/>
        </w:rPr>
        <w:t xml:space="preserve"> </w:t>
      </w:r>
      <w:r w:rsidR="00B67DBA">
        <w:rPr>
          <w:lang w:val="es-ES_tradnl"/>
        </w:rPr>
        <w:t>hast</w:t>
      </w:r>
      <w:r w:rsidR="000C1C76">
        <w:rPr>
          <w:lang w:val="es-ES_tradnl"/>
        </w:rPr>
        <w:t>a</w:t>
      </w:r>
      <w:r w:rsidR="003A46A1" w:rsidRPr="00B25E57">
        <w:rPr>
          <w:lang w:val="es-ES_tradnl"/>
        </w:rPr>
        <w:t xml:space="preserve"> </w:t>
      </w:r>
      <w:r w:rsidR="004D364B" w:rsidRPr="00B25E57">
        <w:rPr>
          <w:lang w:val="es-ES_tradnl"/>
        </w:rPr>
        <w:t>5</w:t>
      </w:r>
      <w:r w:rsidR="004241C5" w:rsidRPr="00B25E57">
        <w:rPr>
          <w:lang w:val="es-ES_tradnl"/>
        </w:rPr>
        <w:t>9.</w:t>
      </w:r>
      <w:r w:rsidR="004D364B" w:rsidRPr="00B25E57">
        <w:rPr>
          <w:lang w:val="es-ES_tradnl"/>
        </w:rPr>
        <w:t>66</w:t>
      </w:r>
      <w:r w:rsidR="004241C5" w:rsidRPr="00B25E57">
        <w:rPr>
          <w:lang w:val="es-ES_tradnl"/>
        </w:rPr>
        <w:t>7.</w:t>
      </w:r>
      <w:r w:rsidR="004D364B" w:rsidRPr="00B25E57">
        <w:rPr>
          <w:lang w:val="es-ES_tradnl"/>
        </w:rPr>
        <w:t>00</w:t>
      </w:r>
      <w:r w:rsidR="00FB38C2" w:rsidRPr="00B25E57">
        <w:rPr>
          <w:lang w:val="es-ES_tradnl"/>
        </w:rPr>
        <w:t>0</w:t>
      </w:r>
      <w:r w:rsidR="003A46A1" w:rsidRPr="00B25E57">
        <w:rPr>
          <w:lang w:val="es-ES_tradnl"/>
        </w:rPr>
        <w:t xml:space="preserve"> </w:t>
      </w:r>
      <w:r w:rsidRPr="00B25E57">
        <w:rPr>
          <w:lang w:val="es-ES_tradnl"/>
        </w:rPr>
        <w:t>$EUA</w:t>
      </w:r>
      <w:r w:rsidR="003A46A1" w:rsidRPr="00B25E57">
        <w:rPr>
          <w:lang w:val="es-ES_tradnl"/>
        </w:rPr>
        <w:t xml:space="preserve"> </w:t>
      </w:r>
      <w:r w:rsidRPr="00B25E57">
        <w:rPr>
          <w:lang w:val="es-ES_tradnl"/>
        </w:rPr>
        <w:t>más</w:t>
      </w:r>
      <w:r w:rsidR="003A46A1" w:rsidRPr="00B25E57">
        <w:rPr>
          <w:lang w:val="es-ES_tradnl"/>
        </w:rPr>
        <w:t xml:space="preserve"> </w:t>
      </w:r>
      <w:r w:rsidRPr="00B25E57">
        <w:rPr>
          <w:lang w:val="es-ES_tradnl"/>
        </w:rPr>
        <w:t>gastos</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apoyo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4.</w:t>
      </w:r>
      <w:r w:rsidR="004D364B" w:rsidRPr="00B25E57">
        <w:rPr>
          <w:lang w:val="es-ES_tradnl"/>
        </w:rPr>
        <w:t>17</w:t>
      </w:r>
      <w:r w:rsidR="004241C5" w:rsidRPr="00B25E57">
        <w:rPr>
          <w:lang w:val="es-ES_tradnl"/>
        </w:rPr>
        <w:t>6.</w:t>
      </w:r>
      <w:r w:rsidR="004D364B" w:rsidRPr="00B25E57">
        <w:rPr>
          <w:lang w:val="es-ES_tradnl"/>
        </w:rPr>
        <w:t>69</w:t>
      </w:r>
      <w:r w:rsidR="00FB38C2" w:rsidRPr="00B25E57">
        <w:rPr>
          <w:lang w:val="es-ES_tradnl"/>
        </w:rPr>
        <w:t>0</w:t>
      </w:r>
      <w:r w:rsidR="007A6330">
        <w:rPr>
          <w:lang w:val="es-ES_tradnl"/>
        </w:rPr>
        <w:t xml:space="preserve"> </w:t>
      </w:r>
      <w:r w:rsidR="007A6330" w:rsidRPr="007A6330">
        <w:rPr>
          <w:lang w:val="es-ES_tradnl"/>
        </w:rPr>
        <w:t>$EUA</w:t>
      </w:r>
      <w:r w:rsidR="007A6330">
        <w:rPr>
          <w:lang w:val="es-ES_tradnl"/>
        </w:rPr>
        <w:t>,</w:t>
      </w:r>
      <w:r w:rsidR="004D364B" w:rsidRPr="00B25E57">
        <w:rPr>
          <w:lang w:val="es-ES_tradnl"/>
        </w:rPr>
        <w:t>‬</w:t>
      </w:r>
      <w:r w:rsidR="003A46A1" w:rsidRPr="00B25E57">
        <w:rPr>
          <w:lang w:val="es-ES_tradnl"/>
        </w:rPr>
        <w:t xml:space="preserve"> </w:t>
      </w:r>
      <w:r w:rsidR="004241C5" w:rsidRPr="00B25E57">
        <w:rPr>
          <w:lang w:val="es-ES_tradnl"/>
        </w:rPr>
        <w:t>según</w:t>
      </w:r>
      <w:r w:rsidR="003A46A1" w:rsidRPr="00B25E57">
        <w:rPr>
          <w:lang w:val="es-ES_tradnl"/>
        </w:rPr>
        <w:t xml:space="preserve"> </w:t>
      </w:r>
      <w:r w:rsidR="004241C5" w:rsidRPr="00B25E57">
        <w:rPr>
          <w:lang w:val="es-ES_tradnl"/>
        </w:rPr>
        <w:t>lo</w:t>
      </w:r>
      <w:r w:rsidR="003A46A1" w:rsidRPr="00B25E57">
        <w:rPr>
          <w:lang w:val="es-ES_tradnl"/>
        </w:rPr>
        <w:t xml:space="preserve"> </w:t>
      </w:r>
      <w:r w:rsidR="004241C5" w:rsidRPr="00B25E57">
        <w:rPr>
          <w:lang w:val="es-ES_tradnl"/>
        </w:rPr>
        <w:t>originalmente</w:t>
      </w:r>
      <w:r w:rsidR="003A46A1" w:rsidRPr="00B25E57">
        <w:rPr>
          <w:lang w:val="es-ES_tradnl"/>
        </w:rPr>
        <w:t xml:space="preserve"> </w:t>
      </w:r>
      <w:r w:rsidR="004241C5" w:rsidRPr="00B25E57">
        <w:rPr>
          <w:lang w:val="es-ES_tradnl"/>
        </w:rPr>
        <w:t>solicitado</w:t>
      </w:r>
      <w:r w:rsidR="00074F58" w:rsidRPr="00B25E57">
        <w:rPr>
          <w:lang w:val="es-ES_tradnl"/>
        </w:rPr>
        <w:t>.</w:t>
      </w:r>
      <w:r w:rsidR="00074F58" w:rsidRPr="00B25E57">
        <w:rPr>
          <w:rStyle w:val="FootnoteReference"/>
          <w:lang w:val="es-ES_tradnl"/>
        </w:rPr>
        <w:footnoteReference w:id="1"/>
      </w:r>
      <w:r w:rsidR="003A46A1" w:rsidRPr="00B25E57">
        <w:rPr>
          <w:lang w:val="es-ES_tradnl"/>
        </w:rPr>
        <w:t xml:space="preserve"> </w:t>
      </w:r>
      <w:r w:rsidR="004F7409" w:rsidRPr="00B25E57">
        <w:rPr>
          <w:lang w:val="es-ES_tradnl"/>
        </w:rPr>
        <w:t>‬</w:t>
      </w:r>
      <w:r w:rsidR="009840F7" w:rsidRPr="00B25E57">
        <w:rPr>
          <w:lang w:val="es-ES_tradnl"/>
        </w:rPr>
        <w:t>‬</w:t>
      </w:r>
      <w:r w:rsidR="00667A11" w:rsidRPr="00B25E57">
        <w:rPr>
          <w:lang w:val="es-ES_tradnl"/>
        </w:rPr>
        <w:t>‬</w:t>
      </w:r>
      <w:r w:rsidR="00665672" w:rsidRPr="00B25E57">
        <w:rPr>
          <w:lang w:val="es-ES_tradnl"/>
        </w:rPr>
        <w:t>‬</w:t>
      </w:r>
      <w:r w:rsidR="00010DAA" w:rsidRPr="00B25E57">
        <w:rPr>
          <w:lang w:val="es-ES_tradnl"/>
        </w:rPr>
        <w:t>‬</w:t>
      </w:r>
      <w:r w:rsidR="00DD07B5" w:rsidRPr="00B25E57">
        <w:rPr>
          <w:lang w:val="es-ES_tradnl"/>
        </w:rPr>
        <w:t>‬</w:t>
      </w:r>
      <w:r w:rsidR="00FF62A0" w:rsidRPr="00B25E57">
        <w:rPr>
          <w:lang w:val="es-ES_tradnl"/>
        </w:rPr>
        <w:t>‬</w:t>
      </w:r>
      <w:r w:rsidR="002174E7" w:rsidRPr="00B25E57">
        <w:rPr>
          <w:lang w:val="es-ES_tradnl"/>
        </w:rPr>
        <w:t>‬</w:t>
      </w:r>
    </w:p>
    <w:p w14:paraId="7E519A80" w14:textId="4D950198" w:rsidR="00C705AA" w:rsidRPr="00B25E57" w:rsidRDefault="00F942C6" w:rsidP="008068AE">
      <w:pPr>
        <w:keepNext/>
        <w:keepLines/>
        <w:rPr>
          <w:u w:val="single"/>
          <w:lang w:val="es-ES_tradnl"/>
        </w:rPr>
      </w:pPr>
      <w:r w:rsidRPr="00B25E57">
        <w:rPr>
          <w:u w:val="single"/>
          <w:lang w:val="es-ES_tradnl"/>
        </w:rPr>
        <w:lastRenderedPageBreak/>
        <w:t>Alcance</w:t>
      </w:r>
      <w:r w:rsidR="003A46A1" w:rsidRPr="00B25E57">
        <w:rPr>
          <w:u w:val="single"/>
          <w:lang w:val="es-ES_tradnl"/>
        </w:rPr>
        <w:t xml:space="preserve"> </w:t>
      </w:r>
      <w:r w:rsidR="004057BA" w:rsidRPr="00B25E57">
        <w:rPr>
          <w:u w:val="single"/>
          <w:lang w:val="es-ES_tradnl"/>
        </w:rPr>
        <w:t>del</w:t>
      </w:r>
      <w:r w:rsidR="003A46A1" w:rsidRPr="00B25E57">
        <w:rPr>
          <w:u w:val="single"/>
          <w:lang w:val="es-ES_tradnl"/>
        </w:rPr>
        <w:t xml:space="preserve"> </w:t>
      </w:r>
      <w:r w:rsidR="007B22B4" w:rsidRPr="00B25E57">
        <w:rPr>
          <w:u w:val="single"/>
          <w:lang w:val="es-ES_tradnl"/>
        </w:rPr>
        <w:t>documento</w:t>
      </w:r>
    </w:p>
    <w:p w14:paraId="1BA1153E" w14:textId="77777777" w:rsidR="00C705AA" w:rsidRPr="00B25E57" w:rsidRDefault="00C705AA" w:rsidP="008068AE">
      <w:pPr>
        <w:keepNext/>
        <w:keepLines/>
        <w:rPr>
          <w:u w:val="single"/>
          <w:lang w:val="es-ES_tradnl"/>
        </w:rPr>
      </w:pPr>
    </w:p>
    <w:p w14:paraId="0DB89F01" w14:textId="24BDA074" w:rsidR="00074F58" w:rsidRPr="00B25E57" w:rsidRDefault="00147277" w:rsidP="008068AE">
      <w:pPr>
        <w:pStyle w:val="Heading1"/>
        <w:keepNext/>
        <w:keepLines/>
        <w:widowControl w:val="0"/>
        <w:rPr>
          <w:lang w:val="es-ES_tradnl"/>
        </w:rPr>
      </w:pPr>
      <w:r w:rsidRPr="00B25E57">
        <w:rPr>
          <w:lang w:val="es-ES_tradnl"/>
        </w:rPr>
        <w:t>El</w:t>
      </w:r>
      <w:r w:rsidR="003A46A1" w:rsidRPr="00B25E57">
        <w:rPr>
          <w:lang w:val="es-ES_tradnl"/>
        </w:rPr>
        <w:t xml:space="preserve"> </w:t>
      </w:r>
      <w:r w:rsidRPr="00B25E57">
        <w:rPr>
          <w:lang w:val="es-ES_tradnl"/>
        </w:rPr>
        <w:t>presente</w:t>
      </w:r>
      <w:r w:rsidR="003A46A1" w:rsidRPr="00B25E57">
        <w:rPr>
          <w:lang w:val="es-ES_tradnl"/>
        </w:rPr>
        <w:t xml:space="preserve"> </w:t>
      </w:r>
      <w:r w:rsidR="007B22B4" w:rsidRPr="00B25E57">
        <w:rPr>
          <w:lang w:val="es-ES_tradnl"/>
        </w:rPr>
        <w:t>documento</w:t>
      </w:r>
      <w:r w:rsidR="003A46A1" w:rsidRPr="00B25E57">
        <w:rPr>
          <w:lang w:val="es-ES_tradnl"/>
        </w:rPr>
        <w:t xml:space="preserve"> </w:t>
      </w:r>
      <w:r w:rsidR="00F942C6" w:rsidRPr="00B25E57">
        <w:rPr>
          <w:lang w:val="es-ES_tradnl"/>
        </w:rPr>
        <w:t>consta de</w:t>
      </w:r>
      <w:r w:rsidR="003A46A1" w:rsidRPr="00B25E57">
        <w:rPr>
          <w:lang w:val="es-ES_tradnl"/>
        </w:rPr>
        <w:t xml:space="preserve"> </w:t>
      </w:r>
      <w:r w:rsidR="004057BA" w:rsidRPr="00B25E57">
        <w:rPr>
          <w:lang w:val="es-ES_tradnl"/>
        </w:rPr>
        <w:t>las</w:t>
      </w:r>
      <w:r w:rsidR="003A46A1" w:rsidRPr="00B25E57">
        <w:rPr>
          <w:lang w:val="es-ES_tradnl"/>
        </w:rPr>
        <w:t xml:space="preserve"> </w:t>
      </w:r>
      <w:r w:rsidR="004057BA" w:rsidRPr="00B25E57">
        <w:rPr>
          <w:lang w:val="es-ES_tradnl"/>
        </w:rPr>
        <w:t>siguientes</w:t>
      </w:r>
      <w:r w:rsidR="003A46A1" w:rsidRPr="00B25E57">
        <w:rPr>
          <w:lang w:val="es-ES_tradnl"/>
        </w:rPr>
        <w:t xml:space="preserve"> </w:t>
      </w:r>
      <w:r w:rsidR="00F942C6" w:rsidRPr="00B25E57">
        <w:rPr>
          <w:lang w:val="es-ES_tradnl"/>
        </w:rPr>
        <w:t>partes</w:t>
      </w:r>
      <w:r w:rsidR="00C705AA" w:rsidRPr="00B25E57">
        <w:rPr>
          <w:lang w:val="es-ES_tradnl"/>
        </w:rPr>
        <w:t>:</w:t>
      </w:r>
    </w:p>
    <w:p w14:paraId="7EB894AB" w14:textId="74A6439F" w:rsidR="00C705AA" w:rsidRPr="00B25E57" w:rsidRDefault="00F33C58" w:rsidP="008D0FF7">
      <w:pPr>
        <w:keepLines/>
        <w:widowControl w:val="0"/>
        <w:ind w:left="1560" w:hanging="840"/>
        <w:rPr>
          <w:lang w:val="es-ES_tradnl"/>
        </w:rPr>
      </w:pPr>
      <w:r w:rsidRPr="00B25E57">
        <w:rPr>
          <w:lang w:val="es-ES_tradnl"/>
        </w:rPr>
        <w:t>Parte</w:t>
      </w:r>
      <w:r w:rsidR="003A46A1" w:rsidRPr="00B25E57">
        <w:rPr>
          <w:lang w:val="es-ES_tradnl"/>
        </w:rPr>
        <w:t xml:space="preserve"> </w:t>
      </w:r>
      <w:r w:rsidR="00C705AA" w:rsidRPr="00B25E57">
        <w:rPr>
          <w:lang w:val="es-ES_tradnl"/>
        </w:rPr>
        <w:t>I:</w:t>
      </w:r>
      <w:r w:rsidR="00C705AA" w:rsidRPr="00B25E57">
        <w:rPr>
          <w:lang w:val="es-ES_tradnl"/>
        </w:rPr>
        <w:tab/>
      </w:r>
      <w:r w:rsidR="00FB38C2" w:rsidRPr="00B25E57">
        <w:rPr>
          <w:lang w:val="es-ES_tradnl"/>
        </w:rPr>
        <w:t>Propuesta</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proyecto</w:t>
      </w:r>
      <w:r w:rsidR="000A4DA7">
        <w:rPr>
          <w:lang w:val="es-ES_tradnl"/>
        </w:rPr>
        <w:t xml:space="preserve"> para </w:t>
      </w:r>
      <w:r w:rsidR="00980D4D">
        <w:rPr>
          <w:lang w:val="es-ES_tradnl"/>
        </w:rPr>
        <w:t xml:space="preserve">la </w:t>
      </w:r>
      <w:r w:rsidR="00832F45">
        <w:rPr>
          <w:lang w:val="es-ES_tradnl"/>
        </w:rPr>
        <w:t>Argentina:</w:t>
      </w:r>
      <w:r w:rsidR="003A46A1" w:rsidRPr="00B25E57">
        <w:rPr>
          <w:lang w:val="es-ES_tradnl"/>
        </w:rPr>
        <w:t xml:space="preserve"> </w:t>
      </w:r>
      <w:r w:rsidR="00286721">
        <w:rPr>
          <w:lang w:val="es-ES_tradnl"/>
        </w:rPr>
        <w:t>P</w:t>
      </w:r>
      <w:r w:rsidR="00F942C6" w:rsidRPr="00B25E57">
        <w:rPr>
          <w:lang w:val="es-ES_tradnl"/>
        </w:rPr>
        <w:t>resenta</w:t>
      </w:r>
      <w:r w:rsidR="003A46A1" w:rsidRPr="00B25E57">
        <w:rPr>
          <w:lang w:val="es-ES_tradnl"/>
        </w:rPr>
        <w:t xml:space="preserve"> </w:t>
      </w:r>
      <w:r w:rsidR="00FD2690">
        <w:rPr>
          <w:lang w:val="es-ES_tradnl"/>
        </w:rPr>
        <w:t>un</w:t>
      </w:r>
      <w:r w:rsidR="00C705AA" w:rsidRPr="00B25E57">
        <w:rPr>
          <w:lang w:val="es-ES_tradnl"/>
        </w:rPr>
        <w:t>a</w:t>
      </w:r>
      <w:r w:rsidR="003A46A1" w:rsidRPr="00B25E57">
        <w:rPr>
          <w:lang w:val="es-ES_tradnl"/>
        </w:rPr>
        <w:t xml:space="preserve"> </w:t>
      </w:r>
      <w:r w:rsidR="004241C5" w:rsidRPr="00B25E57">
        <w:rPr>
          <w:lang w:val="es-ES_tradnl"/>
        </w:rPr>
        <w:t>descripción</w:t>
      </w:r>
      <w:r w:rsidR="003A46A1" w:rsidRPr="00B25E57">
        <w:rPr>
          <w:lang w:val="es-ES_tradnl"/>
        </w:rPr>
        <w:t xml:space="preserve"> </w:t>
      </w:r>
      <w:r w:rsidR="00A9712C">
        <w:rPr>
          <w:lang w:val="es-ES_tradnl"/>
        </w:rPr>
        <w:t>de la propuesta</w:t>
      </w:r>
      <w:r w:rsidR="003A46A1" w:rsidRPr="00B25E57">
        <w:rPr>
          <w:lang w:val="es-ES_tradnl"/>
        </w:rPr>
        <w:t xml:space="preserve"> </w:t>
      </w:r>
      <w:r w:rsidR="007D561B">
        <w:rPr>
          <w:lang w:val="es-ES_tradnl"/>
        </w:rPr>
        <w:t>presentada</w:t>
      </w:r>
      <w:r w:rsidR="003A46A1" w:rsidRPr="00B25E57">
        <w:rPr>
          <w:lang w:val="es-ES_tradnl"/>
        </w:rPr>
        <w:t xml:space="preserve"> </w:t>
      </w:r>
      <w:r w:rsidR="00D04DC2" w:rsidRPr="00B25E57">
        <w:rPr>
          <w:lang w:val="es-ES_tradnl"/>
        </w:rPr>
        <w:t>por</w:t>
      </w:r>
      <w:r w:rsidR="003A46A1" w:rsidRPr="00B25E57">
        <w:rPr>
          <w:lang w:val="es-ES_tradnl"/>
        </w:rPr>
        <w:t xml:space="preserve"> </w:t>
      </w:r>
      <w:r w:rsidR="00862A82" w:rsidRPr="00B25E57">
        <w:rPr>
          <w:lang w:val="es-ES_tradnl"/>
        </w:rPr>
        <w:t>el</w:t>
      </w:r>
      <w:r w:rsidR="003A46A1" w:rsidRPr="00B25E57">
        <w:rPr>
          <w:lang w:val="es-ES_tradnl"/>
        </w:rPr>
        <w:t xml:space="preserve"> </w:t>
      </w:r>
      <w:r w:rsidR="00A9712C">
        <w:rPr>
          <w:lang w:val="es-ES_tradnl"/>
        </w:rPr>
        <w:t>Gobierno</w:t>
      </w:r>
      <w:r w:rsidR="00C705AA" w:rsidRPr="00B25E57">
        <w:rPr>
          <w:lang w:val="es-ES_tradnl"/>
        </w:rPr>
        <w:t>,</w:t>
      </w:r>
      <w:r w:rsidR="003A46A1" w:rsidRPr="00B25E57">
        <w:rPr>
          <w:lang w:val="es-ES_tradnl"/>
        </w:rPr>
        <w:t xml:space="preserve"> </w:t>
      </w:r>
      <w:r w:rsidR="008A3316" w:rsidRPr="00B25E57">
        <w:rPr>
          <w:lang w:val="es-ES_tradnl"/>
        </w:rPr>
        <w:t>un</w:t>
      </w:r>
      <w:r w:rsidR="003A46A1" w:rsidRPr="00B25E57">
        <w:rPr>
          <w:lang w:val="es-ES_tradnl"/>
        </w:rPr>
        <w:t xml:space="preserve"> </w:t>
      </w:r>
      <w:r w:rsidR="008A3316" w:rsidRPr="00B25E57">
        <w:rPr>
          <w:lang w:val="es-ES_tradnl"/>
        </w:rPr>
        <w:t>resumen</w:t>
      </w:r>
      <w:r w:rsidR="003A46A1" w:rsidRPr="00B25E57">
        <w:rPr>
          <w:lang w:val="es-ES_tradnl"/>
        </w:rPr>
        <w:t xml:space="preserve"> </w:t>
      </w:r>
      <w:r w:rsidR="00A9712C">
        <w:rPr>
          <w:lang w:val="es-ES_tradnl"/>
        </w:rPr>
        <w:t>de la auditoría técnica</w:t>
      </w:r>
      <w:r w:rsidR="00CB7520" w:rsidRPr="00B25E57">
        <w:rPr>
          <w:rStyle w:val="FootnoteReference"/>
          <w:lang w:val="es-ES_tradnl"/>
        </w:rPr>
        <w:footnoteReference w:id="2"/>
      </w:r>
      <w:r w:rsidR="003A46A1" w:rsidRPr="00B25E57">
        <w:rPr>
          <w:lang w:val="es-ES_tradnl"/>
        </w:rPr>
        <w:t xml:space="preserve"> </w:t>
      </w:r>
      <w:r w:rsidR="00A9712C">
        <w:rPr>
          <w:lang w:val="es-ES_tradnl"/>
        </w:rPr>
        <w:t xml:space="preserve">efectuada por el </w:t>
      </w:r>
      <w:r w:rsidR="003A46A1" w:rsidRPr="00B25E57">
        <w:rPr>
          <w:lang w:val="es-ES_tradnl"/>
        </w:rPr>
        <w:t xml:space="preserve">consultor </w:t>
      </w:r>
      <w:r w:rsidR="00A9712C" w:rsidRPr="00A9712C">
        <w:rPr>
          <w:lang w:val="es-ES_tradnl"/>
        </w:rPr>
        <w:t>independiente</w:t>
      </w:r>
      <w:r w:rsidR="00380F94">
        <w:rPr>
          <w:lang w:val="es-ES_tradnl"/>
        </w:rPr>
        <w:t xml:space="preserve">, </w:t>
      </w:r>
      <w:r w:rsidRPr="00B25E57">
        <w:rPr>
          <w:lang w:val="es-ES_tradnl"/>
        </w:rPr>
        <w:t>y</w:t>
      </w:r>
      <w:r w:rsidR="003A46A1" w:rsidRPr="00B25E57">
        <w:rPr>
          <w:lang w:val="es-ES_tradnl"/>
        </w:rPr>
        <w:t xml:space="preserve"> </w:t>
      </w:r>
      <w:r w:rsidR="00517D62" w:rsidRPr="00B25E57">
        <w:rPr>
          <w:lang w:val="es-ES_tradnl"/>
        </w:rPr>
        <w:t>las observaciones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Secretaría</w:t>
      </w:r>
      <w:r w:rsidR="004D364B" w:rsidRPr="00B25E57">
        <w:rPr>
          <w:lang w:val="es-ES_tradnl"/>
        </w:rPr>
        <w:t>.</w:t>
      </w:r>
    </w:p>
    <w:p w14:paraId="0A2C63E1" w14:textId="77777777" w:rsidR="00CB7520" w:rsidRPr="00B25E57" w:rsidRDefault="00CB7520" w:rsidP="008D0FF7">
      <w:pPr>
        <w:ind w:left="1560" w:hanging="840"/>
        <w:rPr>
          <w:lang w:val="es-ES_tradnl"/>
        </w:rPr>
      </w:pPr>
    </w:p>
    <w:p w14:paraId="640056AC" w14:textId="4F09FBEC" w:rsidR="00581659" w:rsidRPr="00B25E57" w:rsidRDefault="00581659" w:rsidP="008D0FF7">
      <w:pPr>
        <w:ind w:left="1560" w:hanging="840"/>
        <w:rPr>
          <w:lang w:val="es-ES_tradnl"/>
        </w:rPr>
      </w:pPr>
      <w:r w:rsidRPr="00B25E57">
        <w:rPr>
          <w:lang w:val="es-ES_tradnl"/>
        </w:rPr>
        <w:tab/>
      </w:r>
      <w:r w:rsidR="00C7566A">
        <w:rPr>
          <w:lang w:val="es-ES_tradnl"/>
        </w:rPr>
        <w:t>T</w:t>
      </w:r>
      <w:r w:rsidR="00A6563B">
        <w:rPr>
          <w:lang w:val="es-ES_tradnl"/>
        </w:rPr>
        <w:t xml:space="preserve">anto </w:t>
      </w:r>
      <w:r w:rsidR="00F33C58" w:rsidRPr="00B25E57">
        <w:rPr>
          <w:lang w:val="es-ES_tradnl"/>
        </w:rPr>
        <w:t>la</w:t>
      </w:r>
      <w:r w:rsidR="003A46A1" w:rsidRPr="00B25E57">
        <w:rPr>
          <w:lang w:val="es-ES_tradnl"/>
        </w:rPr>
        <w:t xml:space="preserve"> </w:t>
      </w:r>
      <w:r w:rsidR="00F33C58" w:rsidRPr="00B25E57">
        <w:rPr>
          <w:lang w:val="es-ES_tradnl"/>
        </w:rPr>
        <w:t>propuesta</w:t>
      </w:r>
      <w:r w:rsidR="003A46A1" w:rsidRPr="00B25E57">
        <w:rPr>
          <w:lang w:val="es-ES_tradnl"/>
        </w:rPr>
        <w:t xml:space="preserve"> </w:t>
      </w:r>
      <w:r w:rsidR="00A6563B">
        <w:rPr>
          <w:lang w:val="es-ES_tradnl"/>
        </w:rPr>
        <w:t xml:space="preserve">de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98604A">
        <w:rPr>
          <w:lang w:val="es-ES_tradnl"/>
        </w:rPr>
        <w:t xml:space="preserve">como </w:t>
      </w:r>
      <w:r w:rsidR="00075D7A">
        <w:rPr>
          <w:lang w:val="es-ES_tradnl"/>
        </w:rPr>
        <w:t>la auditoría</w:t>
      </w:r>
      <w:r w:rsidR="003A46A1" w:rsidRPr="00B25E57">
        <w:rPr>
          <w:lang w:val="es-ES_tradnl"/>
        </w:rPr>
        <w:t xml:space="preserve"> </w:t>
      </w:r>
      <w:r w:rsidR="00147277" w:rsidRPr="00B25E57">
        <w:rPr>
          <w:lang w:val="es-ES_tradnl"/>
        </w:rPr>
        <w:t>técnica</w:t>
      </w:r>
      <w:r w:rsidR="003A46A1" w:rsidRPr="00B25E57">
        <w:rPr>
          <w:lang w:val="es-ES_tradnl"/>
        </w:rPr>
        <w:t xml:space="preserve"> </w:t>
      </w:r>
      <w:r w:rsidR="006A4410">
        <w:rPr>
          <w:lang w:val="es-ES_tradnl"/>
        </w:rPr>
        <w:t>realizada por el consultor</w:t>
      </w:r>
      <w:r w:rsidR="003A46A1" w:rsidRPr="00B25E57">
        <w:rPr>
          <w:lang w:val="es-ES_tradnl"/>
        </w:rPr>
        <w:t xml:space="preserve"> </w:t>
      </w:r>
      <w:r w:rsidR="006A4410">
        <w:rPr>
          <w:lang w:val="es-ES_tradnl"/>
        </w:rPr>
        <w:t xml:space="preserve">contienen </w:t>
      </w:r>
      <w:r w:rsidR="004241C5" w:rsidRPr="00B25E57">
        <w:rPr>
          <w:lang w:val="es-ES_tradnl"/>
        </w:rPr>
        <w:t>información</w:t>
      </w:r>
      <w:r w:rsidR="003A46A1" w:rsidRPr="00B25E57">
        <w:rPr>
          <w:lang w:val="es-ES_tradnl"/>
        </w:rPr>
        <w:t xml:space="preserve"> </w:t>
      </w:r>
      <w:r w:rsidR="00C32B70">
        <w:rPr>
          <w:lang w:val="es-ES_tradnl"/>
        </w:rPr>
        <w:t>que se estima de carácter reservado</w:t>
      </w:r>
      <w:r w:rsidRPr="00B25E57">
        <w:rPr>
          <w:lang w:val="es-ES_tradnl"/>
        </w:rPr>
        <w:t>,</w:t>
      </w:r>
      <w:r w:rsidR="003A46A1" w:rsidRPr="00B25E57">
        <w:rPr>
          <w:lang w:val="es-ES_tradnl"/>
        </w:rPr>
        <w:t xml:space="preserve"> </w:t>
      </w:r>
      <w:r w:rsidR="00C7566A">
        <w:rPr>
          <w:lang w:val="es-ES_tradnl"/>
        </w:rPr>
        <w:t xml:space="preserve">por lo que </w:t>
      </w:r>
      <w:r w:rsidR="00CD20D9">
        <w:rPr>
          <w:lang w:val="es-ES_tradnl"/>
        </w:rPr>
        <w:t xml:space="preserve">este </w:t>
      </w:r>
      <w:r w:rsidR="007B22B4" w:rsidRPr="00B25E57">
        <w:rPr>
          <w:lang w:val="es-ES_tradnl"/>
        </w:rPr>
        <w:t>documento</w:t>
      </w:r>
      <w:r w:rsidR="003A46A1" w:rsidRPr="00B25E57">
        <w:rPr>
          <w:lang w:val="es-ES_tradnl"/>
        </w:rPr>
        <w:t xml:space="preserve"> </w:t>
      </w:r>
      <w:r w:rsidR="004046A5">
        <w:rPr>
          <w:lang w:val="es-ES_tradnl"/>
        </w:rPr>
        <w:t xml:space="preserve">sintetiza </w:t>
      </w:r>
      <w:r w:rsidR="006074C0">
        <w:rPr>
          <w:lang w:val="es-ES_tradnl"/>
        </w:rPr>
        <w:t xml:space="preserve">los contenidos </w:t>
      </w:r>
      <w:r w:rsidR="00F33C58" w:rsidRPr="00B25E57">
        <w:rPr>
          <w:lang w:val="es-ES_tradnl"/>
        </w:rPr>
        <w:t>y</w:t>
      </w:r>
      <w:r w:rsidR="003A46A1" w:rsidRPr="00B25E57">
        <w:rPr>
          <w:lang w:val="es-ES_tradnl"/>
        </w:rPr>
        <w:t xml:space="preserve"> </w:t>
      </w:r>
      <w:r w:rsidR="00F942C6" w:rsidRPr="00B25E57">
        <w:rPr>
          <w:lang w:val="es-ES_tradnl"/>
        </w:rPr>
        <w:t>presenta</w:t>
      </w:r>
      <w:r w:rsidR="003A46A1" w:rsidRPr="00B25E57">
        <w:rPr>
          <w:lang w:val="es-ES_tradnl"/>
        </w:rPr>
        <w:t xml:space="preserve"> </w:t>
      </w:r>
      <w:r w:rsidR="00517D62" w:rsidRPr="00B25E57">
        <w:rPr>
          <w:lang w:val="es-ES_tradnl"/>
        </w:rPr>
        <w:t>las observaciones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Secretaría</w:t>
      </w:r>
      <w:r w:rsidRPr="00B25E57">
        <w:rPr>
          <w:lang w:val="es-ES_tradnl"/>
        </w:rPr>
        <w:t>.</w:t>
      </w:r>
      <w:r w:rsidR="003A46A1" w:rsidRPr="00B25E57">
        <w:rPr>
          <w:lang w:val="es-ES_tradnl"/>
        </w:rPr>
        <w:t xml:space="preserve"> </w:t>
      </w:r>
      <w:r w:rsidR="003863A7">
        <w:rPr>
          <w:lang w:val="es-ES_tradnl"/>
        </w:rPr>
        <w:t>Los m</w:t>
      </w:r>
      <w:r w:rsidR="00F33C58" w:rsidRPr="00B25E57">
        <w:rPr>
          <w:lang w:val="es-ES_tradnl"/>
        </w:rPr>
        <w:t>iembros</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2A3407">
        <w:rPr>
          <w:lang w:val="es-ES_tradnl"/>
        </w:rPr>
        <w:t xml:space="preserve">que deseen </w:t>
      </w:r>
      <w:r w:rsidR="001466DE">
        <w:rPr>
          <w:lang w:val="es-ES_tradnl"/>
        </w:rPr>
        <w:t xml:space="preserve">conocer </w:t>
      </w:r>
      <w:r w:rsidR="00D01D11">
        <w:rPr>
          <w:lang w:val="es-ES_tradnl"/>
        </w:rPr>
        <w:t xml:space="preserve">estos materiales los </w:t>
      </w:r>
      <w:r w:rsidR="00FE41B0">
        <w:rPr>
          <w:lang w:val="es-ES_tradnl"/>
        </w:rPr>
        <w:t xml:space="preserve">pueden </w:t>
      </w:r>
      <w:r w:rsidR="00DA4D64">
        <w:rPr>
          <w:lang w:val="es-ES_tradnl"/>
        </w:rPr>
        <w:t xml:space="preserve">solicitar a </w:t>
      </w:r>
      <w:r w:rsidR="004241C5" w:rsidRPr="00B25E57">
        <w:rPr>
          <w:lang w:val="es-ES_tradnl"/>
        </w:rPr>
        <w:t>la</w:t>
      </w:r>
      <w:r w:rsidR="003A46A1" w:rsidRPr="00B25E57">
        <w:rPr>
          <w:lang w:val="es-ES_tradnl"/>
        </w:rPr>
        <w:t xml:space="preserve"> </w:t>
      </w:r>
      <w:r w:rsidR="004241C5" w:rsidRPr="00B25E57">
        <w:rPr>
          <w:lang w:val="es-ES_tradnl"/>
        </w:rPr>
        <w:t>Secretaría</w:t>
      </w:r>
      <w:r w:rsidR="00DA4D64">
        <w:rPr>
          <w:lang w:val="es-ES_tradnl"/>
        </w:rPr>
        <w:t>,</w:t>
      </w:r>
      <w:r w:rsidR="003A46A1" w:rsidRPr="00B25E57">
        <w:rPr>
          <w:lang w:val="es-ES_tradnl"/>
        </w:rPr>
        <w:t xml:space="preserve"> </w:t>
      </w:r>
      <w:r w:rsidR="007B22B4" w:rsidRPr="00B25E57">
        <w:rPr>
          <w:lang w:val="es-ES_tradnl"/>
        </w:rPr>
        <w:t>en</w:t>
      </w:r>
      <w:r w:rsidR="003A46A1" w:rsidRPr="00B25E57">
        <w:rPr>
          <w:lang w:val="es-ES_tradnl"/>
        </w:rPr>
        <w:t xml:space="preserve"> </w:t>
      </w:r>
      <w:r w:rsidR="007B22B4" w:rsidRPr="00B25E57">
        <w:rPr>
          <w:lang w:val="es-ES_tradnl"/>
        </w:rPr>
        <w:t>el</w:t>
      </w:r>
      <w:r w:rsidR="003A46A1" w:rsidRPr="00B25E57">
        <w:rPr>
          <w:lang w:val="es-ES_tradnl"/>
        </w:rPr>
        <w:t xml:space="preserve"> </w:t>
      </w:r>
      <w:r w:rsidR="007B22B4" w:rsidRPr="00B25E57">
        <w:rPr>
          <w:lang w:val="es-ES_tradnl"/>
        </w:rPr>
        <w:t>entendido</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que</w:t>
      </w:r>
      <w:r w:rsidR="003A46A1" w:rsidRPr="00B25E57">
        <w:rPr>
          <w:lang w:val="es-ES_tradnl"/>
        </w:rPr>
        <w:t xml:space="preserve"> </w:t>
      </w:r>
      <w:r w:rsidR="004512EA" w:rsidRPr="00B25E57">
        <w:rPr>
          <w:lang w:val="es-ES_tradnl"/>
        </w:rPr>
        <w:t>la</w:t>
      </w:r>
      <w:r w:rsidR="003A46A1" w:rsidRPr="00B25E57">
        <w:rPr>
          <w:lang w:val="es-ES_tradnl"/>
        </w:rPr>
        <w:t xml:space="preserve"> </w:t>
      </w:r>
      <w:r w:rsidR="004512EA" w:rsidRPr="00B25E57">
        <w:rPr>
          <w:lang w:val="es-ES_tradnl"/>
        </w:rPr>
        <w:t>información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E22238" w:rsidRPr="00B25E57">
        <w:rPr>
          <w:lang w:val="es-ES_tradnl"/>
        </w:rPr>
        <w:t>datos</w:t>
      </w:r>
      <w:r w:rsidR="003A46A1" w:rsidRPr="00B25E57">
        <w:rPr>
          <w:lang w:val="es-ES_tradnl"/>
        </w:rPr>
        <w:t xml:space="preserve"> </w:t>
      </w:r>
      <w:r w:rsidR="00FD7265">
        <w:rPr>
          <w:lang w:val="es-ES_tradnl"/>
        </w:rPr>
        <w:t>que contiene</w:t>
      </w:r>
      <w:r w:rsidR="007C5FF9">
        <w:rPr>
          <w:lang w:val="es-ES_tradnl"/>
        </w:rPr>
        <w:t>n</w:t>
      </w:r>
      <w:r w:rsidR="00FD7265">
        <w:rPr>
          <w:lang w:val="es-ES_tradnl"/>
        </w:rPr>
        <w:t xml:space="preserve"> </w:t>
      </w:r>
      <w:r w:rsidR="00B72A58">
        <w:rPr>
          <w:lang w:val="es-ES_tradnl"/>
        </w:rPr>
        <w:t xml:space="preserve">serán </w:t>
      </w:r>
      <w:r w:rsidR="00882501">
        <w:rPr>
          <w:lang w:val="es-ES_tradnl"/>
        </w:rPr>
        <w:t xml:space="preserve">únicamente </w:t>
      </w:r>
      <w:r w:rsidR="00DF2F88">
        <w:rPr>
          <w:lang w:val="es-ES_tradnl"/>
        </w:rPr>
        <w:t>a</w:t>
      </w:r>
      <w:r w:rsidR="006648CA">
        <w:rPr>
          <w:lang w:val="es-ES_tradnl"/>
        </w:rPr>
        <w:t xml:space="preserve"> los fines de evaluar el </w:t>
      </w:r>
      <w:r w:rsidR="004241C5" w:rsidRPr="00B25E57">
        <w:rPr>
          <w:lang w:val="es-ES_tradnl"/>
        </w:rPr>
        <w:t>proyecto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6648CA">
        <w:rPr>
          <w:lang w:val="es-ES_tradnl"/>
        </w:rPr>
        <w:t xml:space="preserve">no </w:t>
      </w:r>
      <w:r w:rsidR="00CF12B0">
        <w:rPr>
          <w:lang w:val="es-ES_tradnl"/>
        </w:rPr>
        <w:t xml:space="preserve">serán divulgados a </w:t>
      </w:r>
      <w:r w:rsidR="00AF310A">
        <w:rPr>
          <w:lang w:val="es-ES_tradnl"/>
        </w:rPr>
        <w:t>terceros</w:t>
      </w:r>
      <w:r w:rsidRPr="00B25E57">
        <w:rPr>
          <w:lang w:val="es-ES_tradnl"/>
        </w:rPr>
        <w:t>.</w:t>
      </w:r>
    </w:p>
    <w:p w14:paraId="7C09FD91" w14:textId="77777777" w:rsidR="00C705AA" w:rsidRPr="00B25E57" w:rsidRDefault="00C705AA" w:rsidP="008D0FF7">
      <w:pPr>
        <w:ind w:left="1560" w:hanging="840"/>
        <w:rPr>
          <w:lang w:val="es-ES_tradnl"/>
        </w:rPr>
      </w:pPr>
    </w:p>
    <w:p w14:paraId="265191E6" w14:textId="013639A1" w:rsidR="00C705AA" w:rsidRPr="00B25E57" w:rsidRDefault="00F33C58" w:rsidP="008D0FF7">
      <w:pPr>
        <w:ind w:left="1560" w:hanging="840"/>
        <w:rPr>
          <w:lang w:val="es-ES_tradnl"/>
        </w:rPr>
      </w:pPr>
      <w:r w:rsidRPr="00B25E57">
        <w:rPr>
          <w:lang w:val="es-ES_tradnl"/>
        </w:rPr>
        <w:t>Parte</w:t>
      </w:r>
      <w:r w:rsidR="003A46A1" w:rsidRPr="00B25E57">
        <w:rPr>
          <w:lang w:val="es-ES_tradnl"/>
        </w:rPr>
        <w:t xml:space="preserve"> </w:t>
      </w:r>
      <w:r w:rsidR="00C705AA" w:rsidRPr="00B25E57">
        <w:rPr>
          <w:lang w:val="es-ES_tradnl"/>
        </w:rPr>
        <w:t>II:</w:t>
      </w:r>
      <w:r w:rsidR="00C705AA" w:rsidRPr="00B25E57">
        <w:rPr>
          <w:lang w:val="es-ES_tradnl"/>
        </w:rPr>
        <w:tab/>
      </w:r>
      <w:r w:rsidR="003C1459">
        <w:rPr>
          <w:lang w:val="es-ES_tradnl"/>
        </w:rPr>
        <w:t>P</w:t>
      </w:r>
      <w:r w:rsidR="003C1459" w:rsidRPr="00B25E57">
        <w:rPr>
          <w:lang w:val="es-ES_tradnl"/>
        </w:rPr>
        <w:t>olítica</w:t>
      </w:r>
      <w:r w:rsidR="003C1459">
        <w:rPr>
          <w:lang w:val="es-ES_tradnl"/>
        </w:rPr>
        <w:t>s</w:t>
      </w:r>
      <w:r w:rsidR="003C1459" w:rsidRPr="00B25E57">
        <w:rPr>
          <w:lang w:val="es-ES_tradnl"/>
        </w:rPr>
        <w:t xml:space="preserve"> </w:t>
      </w:r>
      <w:r w:rsidR="00702445">
        <w:rPr>
          <w:lang w:val="es-ES_tradnl"/>
        </w:rPr>
        <w:t xml:space="preserve">de </w:t>
      </w:r>
      <w:r w:rsidR="00581659" w:rsidRPr="00B25E57">
        <w:rPr>
          <w:lang w:val="es-ES_tradnl"/>
        </w:rPr>
        <w:t>control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B6344F">
        <w:rPr>
          <w:lang w:val="es-ES_tradnl"/>
        </w:rPr>
        <w:t>emisiones del subproducto HFC-23</w:t>
      </w:r>
      <w:r w:rsidR="00832F45">
        <w:rPr>
          <w:lang w:val="es-ES_tradnl"/>
        </w:rPr>
        <w:t>:</w:t>
      </w:r>
      <w:r w:rsidR="003A46A1" w:rsidRPr="00B25E57">
        <w:rPr>
          <w:lang w:val="es-ES_tradnl"/>
        </w:rPr>
        <w:t xml:space="preserve"> </w:t>
      </w:r>
      <w:r w:rsidR="00F942C6" w:rsidRPr="00B25E57">
        <w:rPr>
          <w:lang w:val="es-ES_tradnl"/>
        </w:rPr>
        <w:t>Identifica</w:t>
      </w:r>
      <w:r w:rsidR="003A46A1" w:rsidRPr="00B25E57">
        <w:rPr>
          <w:lang w:val="es-ES_tradnl"/>
        </w:rPr>
        <w:t xml:space="preserve"> </w:t>
      </w:r>
      <w:r w:rsidR="00863D83">
        <w:rPr>
          <w:lang w:val="es-ES_tradnl"/>
        </w:rPr>
        <w:t xml:space="preserve">materias </w:t>
      </w:r>
      <w:r w:rsidR="00CD04DD">
        <w:rPr>
          <w:lang w:val="es-ES_tradnl"/>
        </w:rPr>
        <w:t xml:space="preserve">relativas al </w:t>
      </w:r>
      <w:r w:rsidR="000D1953">
        <w:rPr>
          <w:lang w:val="es-ES_tradnl"/>
        </w:rPr>
        <w:t xml:space="preserve">control de emisiones del subproducto HFC-23 </w:t>
      </w:r>
      <w:r w:rsidR="004241C5" w:rsidRPr="00B25E57">
        <w:rPr>
          <w:lang w:val="es-ES_tradnl"/>
        </w:rPr>
        <w:t>en</w:t>
      </w:r>
      <w:r w:rsidR="003A46A1" w:rsidRPr="00B25E57">
        <w:rPr>
          <w:lang w:val="es-ES_tradnl"/>
        </w:rPr>
        <w:t xml:space="preserve"> </w:t>
      </w:r>
      <w:r w:rsidRPr="00B25E57">
        <w:rPr>
          <w:lang w:val="es-ES_tradnl"/>
        </w:rPr>
        <w:t>Partes</w:t>
      </w:r>
      <w:r w:rsidR="003A46A1" w:rsidRPr="00B25E57">
        <w:rPr>
          <w:lang w:val="es-ES_tradnl"/>
        </w:rPr>
        <w:t xml:space="preserve"> </w:t>
      </w:r>
      <w:r w:rsidRPr="00B25E57">
        <w:rPr>
          <w:lang w:val="es-ES_tradnl"/>
        </w:rPr>
        <w:t>del</w:t>
      </w:r>
      <w:r w:rsidR="003A46A1" w:rsidRPr="00B25E57">
        <w:rPr>
          <w:lang w:val="es-ES_tradnl"/>
        </w:rPr>
        <w:t xml:space="preserve"> </w:t>
      </w:r>
      <w:r w:rsidRPr="00B25E57">
        <w:rPr>
          <w:lang w:val="es-ES_tradnl"/>
        </w:rPr>
        <w:t>artículo</w:t>
      </w:r>
      <w:r w:rsidR="003A46A1" w:rsidRPr="00B25E57">
        <w:rPr>
          <w:lang w:val="es-ES_tradnl"/>
        </w:rPr>
        <w:t xml:space="preserve"> </w:t>
      </w:r>
      <w:r w:rsidRPr="00B25E57">
        <w:rPr>
          <w:lang w:val="es-ES_tradnl"/>
        </w:rPr>
        <w:t>5</w:t>
      </w:r>
      <w:r w:rsidR="00073BF2">
        <w:rPr>
          <w:lang w:val="es-ES_tradnl"/>
        </w:rPr>
        <w:t xml:space="preserve">, </w:t>
      </w:r>
      <w:r w:rsidR="005779E7">
        <w:rPr>
          <w:lang w:val="es-ES_tradnl"/>
        </w:rPr>
        <w:t xml:space="preserve">según </w:t>
      </w:r>
      <w:r w:rsidR="00862A82" w:rsidRPr="00B25E57">
        <w:rPr>
          <w:lang w:val="es-ES_tradnl"/>
        </w:rPr>
        <w:t>lo</w:t>
      </w:r>
      <w:r w:rsidR="003A46A1" w:rsidRPr="00B25E57">
        <w:rPr>
          <w:lang w:val="es-ES_tradnl"/>
        </w:rPr>
        <w:t xml:space="preserve"> </w:t>
      </w:r>
      <w:r w:rsidR="005779E7">
        <w:rPr>
          <w:lang w:val="es-ES_tradnl"/>
        </w:rPr>
        <w:t xml:space="preserve">dispone </w:t>
      </w:r>
      <w:r w:rsidR="00862A82" w:rsidRPr="00B25E57">
        <w:rPr>
          <w:lang w:val="es-ES_tradnl"/>
        </w:rPr>
        <w:t>la</w:t>
      </w:r>
      <w:r w:rsidR="003A46A1" w:rsidRPr="00B25E57">
        <w:rPr>
          <w:lang w:val="es-ES_tradnl"/>
        </w:rPr>
        <w:t xml:space="preserve"> </w:t>
      </w:r>
      <w:r w:rsidR="00862A82" w:rsidRPr="00B25E57">
        <w:rPr>
          <w:lang w:val="es-ES_tradnl"/>
        </w:rPr>
        <w:t>decisión</w:t>
      </w:r>
      <w:r w:rsidR="003A46A1" w:rsidRPr="00B25E57">
        <w:rPr>
          <w:lang w:val="es-ES_tradnl"/>
        </w:rPr>
        <w:t xml:space="preserve"> </w:t>
      </w:r>
      <w:r w:rsidR="002002A7" w:rsidRPr="00B25E57">
        <w:rPr>
          <w:lang w:val="es-ES_tradnl"/>
        </w:rPr>
        <w:t>82/85(d)</w:t>
      </w:r>
      <w:r w:rsidR="003A46A1" w:rsidRPr="00B25E57">
        <w:rPr>
          <w:lang w:val="es-ES_tradnl"/>
        </w:rPr>
        <w:t xml:space="preserve"> </w:t>
      </w:r>
      <w:r w:rsidR="00FB38C2" w:rsidRPr="00B25E57">
        <w:rPr>
          <w:lang w:val="es-ES_tradnl"/>
        </w:rPr>
        <w:t>y</w:t>
      </w:r>
      <w:r w:rsidR="003A46A1" w:rsidRPr="00B25E57">
        <w:rPr>
          <w:lang w:val="es-ES_tradnl"/>
        </w:rPr>
        <w:t xml:space="preserve"> </w:t>
      </w:r>
      <w:r w:rsidR="002002A7" w:rsidRPr="00B25E57">
        <w:rPr>
          <w:lang w:val="es-ES_tradnl"/>
        </w:rPr>
        <w:t>(g</w:t>
      </w:r>
      <w:r w:rsidR="002002A7" w:rsidRPr="00694C88">
        <w:rPr>
          <w:lang w:val="es-ES_tradnl"/>
        </w:rPr>
        <w:t>)</w:t>
      </w:r>
      <w:r w:rsidR="00570BF1">
        <w:rPr>
          <w:lang w:val="es-ES_tradnl"/>
        </w:rPr>
        <w:t>,</w:t>
      </w:r>
      <w:r w:rsidR="00CD04DD" w:rsidRPr="00694C88">
        <w:rPr>
          <w:lang w:val="es-ES_tradnl"/>
        </w:rPr>
        <w:t xml:space="preserve"> </w:t>
      </w:r>
      <w:r w:rsidR="00932935" w:rsidRPr="00694C88">
        <w:rPr>
          <w:lang w:val="es-ES_tradnl"/>
        </w:rPr>
        <w:t xml:space="preserve">respecto de </w:t>
      </w:r>
      <w:r w:rsidR="00CD04DD" w:rsidRPr="00694C88">
        <w:rPr>
          <w:lang w:val="es-ES_tradnl"/>
        </w:rPr>
        <w:t>las cuales la Secretaría solicita la orientación del Comité Ejecutivo</w:t>
      </w:r>
      <w:r w:rsidR="00331607" w:rsidRPr="00694C88">
        <w:rPr>
          <w:lang w:val="es-ES_tradnl"/>
        </w:rPr>
        <w:t>,</w:t>
      </w:r>
      <w:r w:rsidR="003A46A1" w:rsidRPr="00694C88">
        <w:rPr>
          <w:lang w:val="es-ES_tradnl"/>
        </w:rPr>
        <w:t xml:space="preserve"> </w:t>
      </w:r>
      <w:r w:rsidRPr="00694C88">
        <w:rPr>
          <w:lang w:val="es-ES_tradnl"/>
        </w:rPr>
        <w:t>y</w:t>
      </w:r>
      <w:r w:rsidR="003A46A1" w:rsidRPr="00694C88">
        <w:rPr>
          <w:lang w:val="es-ES_tradnl"/>
        </w:rPr>
        <w:t xml:space="preserve"> </w:t>
      </w:r>
      <w:r w:rsidR="00F942C6" w:rsidRPr="00694C88">
        <w:rPr>
          <w:lang w:val="es-ES_tradnl"/>
        </w:rPr>
        <w:t>presenta</w:t>
      </w:r>
      <w:r w:rsidR="003A46A1" w:rsidRPr="00694C88">
        <w:rPr>
          <w:lang w:val="es-ES_tradnl"/>
        </w:rPr>
        <w:t xml:space="preserve"> </w:t>
      </w:r>
      <w:r w:rsidR="00214A7E">
        <w:rPr>
          <w:lang w:val="es-ES_tradnl"/>
        </w:rPr>
        <w:t xml:space="preserve">además </w:t>
      </w:r>
      <w:r w:rsidR="00D93498" w:rsidRPr="00694C88">
        <w:rPr>
          <w:lang w:val="es-ES_tradnl"/>
        </w:rPr>
        <w:t>un</w:t>
      </w:r>
      <w:r w:rsidR="00AC7BBE" w:rsidRPr="00694C88">
        <w:rPr>
          <w:lang w:val="es-ES_tradnl"/>
        </w:rPr>
        <w:t>a</w:t>
      </w:r>
      <w:r w:rsidR="003A46A1" w:rsidRPr="00694C88">
        <w:rPr>
          <w:lang w:val="es-ES_tradnl"/>
        </w:rPr>
        <w:t xml:space="preserve"> </w:t>
      </w:r>
      <w:r w:rsidR="00FB38C2" w:rsidRPr="00694C88">
        <w:rPr>
          <w:lang w:val="es-ES_tradnl"/>
        </w:rPr>
        <w:t>recomendación</w:t>
      </w:r>
      <w:r w:rsidR="00AC7BBE" w:rsidRPr="00694C88">
        <w:rPr>
          <w:lang w:val="es-ES_tradnl"/>
        </w:rPr>
        <w:t>.</w:t>
      </w:r>
    </w:p>
    <w:p w14:paraId="2256DF87" w14:textId="77777777" w:rsidR="00581659" w:rsidRPr="00B25E57" w:rsidRDefault="00581659" w:rsidP="00A41AA6">
      <w:pPr>
        <w:rPr>
          <w:lang w:val="es-ES_tradnl"/>
        </w:rPr>
      </w:pPr>
    </w:p>
    <w:p w14:paraId="79C9EFA4" w14:textId="77777777" w:rsidR="00A41AA6" w:rsidRPr="00B25E57" w:rsidRDefault="00A41AA6" w:rsidP="00A41AA6">
      <w:pPr>
        <w:rPr>
          <w:lang w:val="es-ES_tradnl"/>
        </w:rPr>
      </w:pPr>
    </w:p>
    <w:p w14:paraId="52FB7038" w14:textId="1E743CCF" w:rsidR="00581659" w:rsidRPr="00974054" w:rsidRDefault="00F33C58" w:rsidP="00297BE1">
      <w:pPr>
        <w:rPr>
          <w:b/>
          <w:caps/>
          <w:lang w:val="es-ES_tradnl"/>
        </w:rPr>
      </w:pPr>
      <w:r w:rsidRPr="00974054">
        <w:rPr>
          <w:b/>
          <w:caps/>
          <w:lang w:val="es-ES_tradnl"/>
        </w:rPr>
        <w:t>PARTE</w:t>
      </w:r>
      <w:r w:rsidR="003A46A1" w:rsidRPr="00974054">
        <w:rPr>
          <w:b/>
          <w:caps/>
          <w:lang w:val="es-ES_tradnl"/>
        </w:rPr>
        <w:t xml:space="preserve"> </w:t>
      </w:r>
      <w:r w:rsidR="00581659" w:rsidRPr="00974054">
        <w:rPr>
          <w:b/>
          <w:caps/>
          <w:lang w:val="es-ES_tradnl"/>
        </w:rPr>
        <w:t>I.</w:t>
      </w:r>
      <w:r w:rsidR="00581659" w:rsidRPr="00974054">
        <w:rPr>
          <w:b/>
          <w:caps/>
          <w:lang w:val="es-ES_tradnl"/>
        </w:rPr>
        <w:tab/>
      </w:r>
      <w:r w:rsidR="00FB38C2" w:rsidRPr="00974054">
        <w:rPr>
          <w:b/>
          <w:caps/>
          <w:lang w:val="es-ES_tradnl"/>
        </w:rPr>
        <w:t>PROPUESTA</w:t>
      </w:r>
      <w:r w:rsidR="003A46A1" w:rsidRPr="00974054">
        <w:rPr>
          <w:b/>
          <w:caps/>
          <w:lang w:val="es-ES_tradnl"/>
        </w:rPr>
        <w:t xml:space="preserve"> </w:t>
      </w:r>
      <w:r w:rsidR="00FB38C2" w:rsidRPr="00974054">
        <w:rPr>
          <w:b/>
          <w:caps/>
          <w:lang w:val="es-ES_tradnl"/>
        </w:rPr>
        <w:t>DE</w:t>
      </w:r>
      <w:r w:rsidR="003A46A1" w:rsidRPr="00974054">
        <w:rPr>
          <w:b/>
          <w:caps/>
          <w:lang w:val="es-ES_tradnl"/>
        </w:rPr>
        <w:t xml:space="preserve"> </w:t>
      </w:r>
      <w:r w:rsidR="00FB38C2" w:rsidRPr="00974054">
        <w:rPr>
          <w:b/>
          <w:caps/>
          <w:lang w:val="es-ES_tradnl"/>
        </w:rPr>
        <w:t>PROYECTO</w:t>
      </w:r>
      <w:r w:rsidR="003A46A1" w:rsidRPr="00974054">
        <w:rPr>
          <w:b/>
          <w:caps/>
          <w:lang w:val="es-ES_tradnl"/>
        </w:rPr>
        <w:t xml:space="preserve"> </w:t>
      </w:r>
      <w:r w:rsidR="00F17409" w:rsidRPr="00974054">
        <w:rPr>
          <w:b/>
          <w:caps/>
          <w:lang w:val="es-ES_tradnl"/>
        </w:rPr>
        <w:t>para</w:t>
      </w:r>
      <w:r w:rsidR="003A46A1" w:rsidRPr="00974054">
        <w:rPr>
          <w:b/>
          <w:caps/>
          <w:lang w:val="es-ES_tradnl"/>
        </w:rPr>
        <w:t xml:space="preserve"> </w:t>
      </w:r>
      <w:r w:rsidR="00980D4D">
        <w:rPr>
          <w:b/>
          <w:caps/>
          <w:lang w:val="es-ES_tradnl"/>
        </w:rPr>
        <w:t xml:space="preserve">la </w:t>
      </w:r>
      <w:r w:rsidR="00581659" w:rsidRPr="00974054">
        <w:rPr>
          <w:b/>
          <w:caps/>
          <w:lang w:val="es-ES_tradnl"/>
        </w:rPr>
        <w:t>ARGENTINA</w:t>
      </w:r>
    </w:p>
    <w:p w14:paraId="130D081C" w14:textId="77777777" w:rsidR="00581659" w:rsidRPr="00B25E57" w:rsidRDefault="00581659" w:rsidP="00297BE1">
      <w:pPr>
        <w:rPr>
          <w:lang w:val="es-ES_tradnl"/>
        </w:rPr>
      </w:pPr>
    </w:p>
    <w:p w14:paraId="75FCE5FF" w14:textId="4567BA42" w:rsidR="00581659" w:rsidRPr="00B25E57" w:rsidRDefault="00FB38C2" w:rsidP="00297BE1">
      <w:pPr>
        <w:rPr>
          <w:b/>
          <w:lang w:val="es-ES_tradnl"/>
        </w:rPr>
      </w:pPr>
      <w:r w:rsidRPr="00B25E57">
        <w:rPr>
          <w:b/>
          <w:lang w:val="es-ES_tradnl"/>
        </w:rPr>
        <w:t>Descripción</w:t>
      </w:r>
    </w:p>
    <w:p w14:paraId="021060F3" w14:textId="77777777" w:rsidR="00581659" w:rsidRPr="00B25E57" w:rsidRDefault="00581659" w:rsidP="00297BE1">
      <w:pPr>
        <w:rPr>
          <w:lang w:val="es-ES_tradnl"/>
        </w:rPr>
      </w:pPr>
    </w:p>
    <w:p w14:paraId="496400C0" w14:textId="6D481A72" w:rsidR="00581659" w:rsidRPr="00B25E57" w:rsidRDefault="00F33C58" w:rsidP="007132CB">
      <w:pPr>
        <w:pStyle w:val="Heading1"/>
        <w:rPr>
          <w:lang w:val="es-ES_tradnl"/>
        </w:rPr>
      </w:pPr>
      <w:r w:rsidRPr="00B25E57">
        <w:rPr>
          <w:lang w:val="es-ES_tradnl"/>
        </w:rPr>
        <w:t>La</w:t>
      </w:r>
      <w:r w:rsidR="003A46A1" w:rsidRPr="00B25E57">
        <w:rPr>
          <w:lang w:val="es-ES_tradnl"/>
        </w:rPr>
        <w:t xml:space="preserve"> </w:t>
      </w:r>
      <w:r w:rsidRPr="00B25E57">
        <w:rPr>
          <w:lang w:val="es-ES_tradnl"/>
        </w:rPr>
        <w:t>propuesta</w:t>
      </w:r>
      <w:r w:rsidR="003A46A1" w:rsidRPr="00B25E57">
        <w:rPr>
          <w:lang w:val="es-ES_tradnl"/>
        </w:rPr>
        <w:t xml:space="preserve"> </w:t>
      </w:r>
      <w:r w:rsidR="00E921D0">
        <w:rPr>
          <w:lang w:val="es-ES_tradnl"/>
        </w:rPr>
        <w:t xml:space="preserve">entregada </w:t>
      </w:r>
      <w:r w:rsidR="00D04DC2"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F942C6" w:rsidRPr="00B25E57">
        <w:rPr>
          <w:lang w:val="es-ES_tradnl"/>
        </w:rPr>
        <w:t>presenta</w:t>
      </w:r>
      <w:r w:rsidR="003A46A1" w:rsidRPr="00B25E57">
        <w:rPr>
          <w:lang w:val="es-ES_tradnl"/>
        </w:rPr>
        <w:t xml:space="preserve"> </w:t>
      </w:r>
      <w:r w:rsidRPr="00B25E57">
        <w:rPr>
          <w:lang w:val="es-ES_tradnl"/>
        </w:rPr>
        <w:t>opciones</w:t>
      </w:r>
      <w:r w:rsidR="003A46A1" w:rsidRPr="00B25E57">
        <w:rPr>
          <w:lang w:val="es-ES_tradnl"/>
        </w:rPr>
        <w:t xml:space="preserve"> </w:t>
      </w:r>
      <w:r w:rsidR="00866A83">
        <w:rPr>
          <w:lang w:val="es-ES_tradnl"/>
        </w:rPr>
        <w:t>que permitirían a</w:t>
      </w:r>
      <w:r w:rsidR="00FB38C2" w:rsidRPr="00B25E57">
        <w:rPr>
          <w:lang w:val="es-ES_tradnl"/>
        </w:rPr>
        <w:t>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C527E8">
        <w:rPr>
          <w:lang w:val="es-ES_tradnl"/>
        </w:rPr>
        <w:t>cumplir</w:t>
      </w:r>
      <w:r w:rsidR="003A46A1" w:rsidRPr="00B25E57">
        <w:rPr>
          <w:lang w:val="es-ES_tradnl"/>
        </w:rPr>
        <w:t xml:space="preserve"> </w:t>
      </w:r>
      <w:r w:rsidR="004241C5" w:rsidRPr="00B25E57">
        <w:rPr>
          <w:lang w:val="es-ES_tradnl"/>
        </w:rPr>
        <w:t>con</w:t>
      </w:r>
      <w:r w:rsidR="009E3D1D">
        <w:rPr>
          <w:lang w:val="es-ES_tradnl"/>
        </w:rPr>
        <w:t xml:space="preserve"> la obligación</w:t>
      </w:r>
      <w:r w:rsidR="00EA236A">
        <w:rPr>
          <w:lang w:val="es-ES_tradnl"/>
        </w:rPr>
        <w:t xml:space="preserve"> de control</w:t>
      </w:r>
      <w:r w:rsidR="00EE622A">
        <w:rPr>
          <w:lang w:val="es-ES_tradnl"/>
        </w:rPr>
        <w:t xml:space="preserve">ar </w:t>
      </w:r>
      <w:r w:rsidR="00EA236A">
        <w:rPr>
          <w:lang w:val="es-ES_tradnl"/>
        </w:rPr>
        <w:t xml:space="preserve">el subproducto </w:t>
      </w:r>
      <w:r w:rsidR="009E3D1D">
        <w:rPr>
          <w:lang w:val="es-ES_tradnl"/>
        </w:rPr>
        <w:t>HFC-23 contraída</w:t>
      </w:r>
      <w:r w:rsidR="002B6442">
        <w:rPr>
          <w:lang w:val="es-ES_tradnl"/>
        </w:rPr>
        <w:t xml:space="preserve"> en </w:t>
      </w:r>
      <w:r w:rsidR="00E47A34">
        <w:rPr>
          <w:lang w:val="es-ES_tradnl"/>
        </w:rPr>
        <w:t xml:space="preserve">virtud de </w:t>
      </w:r>
      <w:r w:rsidR="002B6442">
        <w:rPr>
          <w:lang w:val="es-ES_tradnl"/>
        </w:rPr>
        <w:t>la Enmienda</w:t>
      </w:r>
      <w:r w:rsidR="003A46A1" w:rsidRPr="00B25E57">
        <w:rPr>
          <w:lang w:val="es-ES_tradnl"/>
        </w:rPr>
        <w:t xml:space="preserve"> de Kigali</w:t>
      </w:r>
      <w:r w:rsidR="007132CB" w:rsidRPr="00B25E57">
        <w:rPr>
          <w:lang w:val="es-ES_tradnl"/>
        </w:rPr>
        <w:t>.</w:t>
      </w:r>
    </w:p>
    <w:p w14:paraId="1C7DA19E" w14:textId="4D35A16D" w:rsidR="00297BE1" w:rsidRPr="00B25E57" w:rsidRDefault="007B22B4" w:rsidP="00297BE1">
      <w:pPr>
        <w:rPr>
          <w:u w:val="single"/>
          <w:lang w:val="es-ES_tradnl"/>
        </w:rPr>
      </w:pPr>
      <w:r w:rsidRPr="00B25E57">
        <w:rPr>
          <w:u w:val="single"/>
          <w:lang w:val="es-ES_tradnl"/>
        </w:rPr>
        <w:t>Informe</w:t>
      </w:r>
      <w:r w:rsidR="003A46A1" w:rsidRPr="00B25E57">
        <w:rPr>
          <w:u w:val="single"/>
          <w:lang w:val="es-ES_tradnl"/>
        </w:rPr>
        <w:t xml:space="preserve"> </w:t>
      </w:r>
      <w:r w:rsidRPr="00B25E57">
        <w:rPr>
          <w:u w:val="single"/>
          <w:lang w:val="es-ES_tradnl"/>
        </w:rPr>
        <w:t>de</w:t>
      </w:r>
      <w:r w:rsidR="003A46A1" w:rsidRPr="00B25E57">
        <w:rPr>
          <w:u w:val="single"/>
          <w:lang w:val="es-ES_tradnl"/>
        </w:rPr>
        <w:t xml:space="preserve"> </w:t>
      </w:r>
      <w:r w:rsidRPr="00B25E57">
        <w:rPr>
          <w:u w:val="single"/>
          <w:lang w:val="es-ES_tradnl"/>
        </w:rPr>
        <w:t>consumo</w:t>
      </w:r>
      <w:r w:rsidR="003A46A1" w:rsidRPr="00B25E57">
        <w:rPr>
          <w:u w:val="single"/>
          <w:lang w:val="es-ES_tradnl"/>
        </w:rPr>
        <w:t xml:space="preserve"> </w:t>
      </w:r>
      <w:r w:rsidRPr="00B25E57">
        <w:rPr>
          <w:u w:val="single"/>
          <w:lang w:val="es-ES_tradnl"/>
        </w:rPr>
        <w:t>de</w:t>
      </w:r>
      <w:r w:rsidR="003A46A1" w:rsidRPr="00B25E57">
        <w:rPr>
          <w:u w:val="single"/>
          <w:lang w:val="es-ES_tradnl"/>
        </w:rPr>
        <w:t xml:space="preserve"> </w:t>
      </w:r>
      <w:r w:rsidRPr="00B25E57">
        <w:rPr>
          <w:u w:val="single"/>
          <w:lang w:val="es-ES_tradnl"/>
        </w:rPr>
        <w:t>HCFC</w:t>
      </w:r>
    </w:p>
    <w:p w14:paraId="1AADE90B" w14:textId="77777777" w:rsidR="00297BE1" w:rsidRPr="00B25E57" w:rsidRDefault="00297BE1" w:rsidP="00297BE1">
      <w:pPr>
        <w:rPr>
          <w:lang w:val="es-ES_tradnl"/>
        </w:rPr>
      </w:pPr>
    </w:p>
    <w:p w14:paraId="644A202E" w14:textId="1FFD920C" w:rsidR="007B22B4" w:rsidRPr="00B25E57" w:rsidRDefault="002A5169" w:rsidP="007132CB">
      <w:pPr>
        <w:pStyle w:val="Heading1"/>
        <w:rPr>
          <w:lang w:val="es-ES_tradnl"/>
        </w:rPr>
      </w:pPr>
      <w:r>
        <w:rPr>
          <w:lang w:val="es-ES_tradnl"/>
        </w:rPr>
        <w:t xml:space="preserve">Para el año </w:t>
      </w:r>
      <w:r w:rsidRPr="002A5169">
        <w:rPr>
          <w:lang w:val="es-ES_tradnl"/>
        </w:rPr>
        <w:t>2018</w:t>
      </w:r>
      <w:r>
        <w:rPr>
          <w:lang w:val="es-ES_tradnl"/>
        </w:rPr>
        <w:t>, e</w:t>
      </w:r>
      <w:r w:rsidR="00FB38C2" w:rsidRPr="00B25E57">
        <w:rPr>
          <w:lang w:val="es-ES_tradnl"/>
        </w:rPr>
        <w:t>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633E5C">
        <w:rPr>
          <w:lang w:val="es-ES_tradnl"/>
        </w:rPr>
        <w:t xml:space="preserve">informó un </w:t>
      </w:r>
      <w:r w:rsidR="007D7382" w:rsidRPr="00B25E57">
        <w:rPr>
          <w:lang w:val="es-ES_tradnl"/>
        </w:rPr>
        <w:t>consumo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167694" w:rsidRPr="00B25E57">
        <w:rPr>
          <w:lang w:val="es-ES_tradnl"/>
        </w:rPr>
        <w:t>198.42</w:t>
      </w:r>
      <w:r w:rsidR="003A46A1" w:rsidRPr="00B25E57">
        <w:rPr>
          <w:lang w:val="es-ES_tradnl"/>
        </w:rPr>
        <w:t xml:space="preserve"> </w:t>
      </w:r>
      <w:r w:rsidR="00FB38C2" w:rsidRPr="00B25E57">
        <w:rPr>
          <w:lang w:val="es-ES_tradnl"/>
        </w:rPr>
        <w:t>toneladas</w:t>
      </w:r>
      <w:r w:rsidR="003A46A1" w:rsidRPr="00B25E57">
        <w:rPr>
          <w:lang w:val="es-ES_tradnl"/>
        </w:rPr>
        <w:t xml:space="preserve"> </w:t>
      </w:r>
      <w:r w:rsidR="00FB38C2" w:rsidRPr="00B25E57">
        <w:rPr>
          <w:lang w:val="es-ES_tradnl"/>
        </w:rPr>
        <w:t>PAO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057BA" w:rsidRPr="00B25E57">
        <w:rPr>
          <w:lang w:val="es-ES_tradnl"/>
        </w:rPr>
        <w:t>HCFC</w:t>
      </w:r>
      <w:r w:rsidR="0063167F" w:rsidRPr="0063167F">
        <w:rPr>
          <w:lang w:val="es-ES_tradnl"/>
        </w:rPr>
        <w:t xml:space="preserve"> </w:t>
      </w:r>
      <w:r w:rsidR="007132CB" w:rsidRPr="00B25E57">
        <w:rPr>
          <w:lang w:val="es-ES_tradnl"/>
        </w:rPr>
        <w:t>(50</w:t>
      </w:r>
      <w:r w:rsidR="00FB38C2" w:rsidRPr="00B25E57">
        <w:rPr>
          <w:lang w:val="es-ES_tradnl"/>
        </w:rPr>
        <w:t>%</w:t>
      </w:r>
      <w:r w:rsidR="003A46A1" w:rsidRPr="00B25E57">
        <w:rPr>
          <w:lang w:val="es-ES_tradnl"/>
        </w:rPr>
        <w:t xml:space="preserve"> </w:t>
      </w:r>
      <w:r w:rsidR="00AA445A">
        <w:rPr>
          <w:lang w:val="es-ES_tradnl"/>
        </w:rPr>
        <w:t xml:space="preserve">menor a la </w:t>
      </w:r>
      <w:r w:rsidR="007B22B4" w:rsidRPr="00B25E57">
        <w:rPr>
          <w:lang w:val="es-ES_tradnl"/>
        </w:rPr>
        <w:t>base</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comparación</w:t>
      </w:r>
      <w:r w:rsidR="007132CB" w:rsidRPr="00B25E57">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924AD1">
        <w:rPr>
          <w:lang w:val="es-ES_tradnl"/>
        </w:rPr>
        <w:t>un</w:t>
      </w:r>
      <w:r w:rsidR="007132CB" w:rsidRPr="00B25E57">
        <w:rPr>
          <w:lang w:val="es-ES_tradnl"/>
        </w:rPr>
        <w:t>a</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167694" w:rsidRPr="00B25E57">
        <w:rPr>
          <w:lang w:val="es-ES_tradnl"/>
        </w:rPr>
        <w:t>HCFC</w:t>
      </w:r>
      <w:r w:rsidR="00FB38C2" w:rsidRPr="00B25E57">
        <w:rPr>
          <w:lang w:val="es-ES_tradnl"/>
        </w:rPr>
        <w:t>-</w:t>
      </w:r>
      <w:r w:rsidR="00167694" w:rsidRPr="00B25E57">
        <w:rPr>
          <w:lang w:val="es-ES_tradnl"/>
        </w:rPr>
        <w:t>22</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167694" w:rsidRPr="00B25E57">
        <w:rPr>
          <w:lang w:val="es-ES_tradnl"/>
        </w:rPr>
        <w:t>65.57</w:t>
      </w:r>
      <w:r w:rsidR="003A46A1" w:rsidRPr="00B25E57">
        <w:rPr>
          <w:lang w:val="es-ES_tradnl"/>
        </w:rPr>
        <w:t xml:space="preserve"> </w:t>
      </w:r>
      <w:r w:rsidR="00FB38C2" w:rsidRPr="00B25E57">
        <w:rPr>
          <w:lang w:val="es-ES_tradnl"/>
        </w:rPr>
        <w:t>toneladas</w:t>
      </w:r>
      <w:r w:rsidR="003A46A1" w:rsidRPr="00B25E57">
        <w:rPr>
          <w:lang w:val="es-ES_tradnl"/>
        </w:rPr>
        <w:t xml:space="preserve"> </w:t>
      </w:r>
      <w:r w:rsidR="00FB38C2" w:rsidRPr="00B25E57">
        <w:rPr>
          <w:lang w:val="es-ES_tradnl"/>
        </w:rPr>
        <w:t>PAO</w:t>
      </w:r>
      <w:r w:rsidR="003A46A1" w:rsidRPr="00B25E57">
        <w:rPr>
          <w:lang w:val="es-ES_tradnl"/>
        </w:rPr>
        <w:t xml:space="preserve"> </w:t>
      </w:r>
      <w:r w:rsidR="007132CB" w:rsidRPr="00B25E57">
        <w:rPr>
          <w:lang w:val="es-ES_tradnl"/>
        </w:rPr>
        <w:t>(71</w:t>
      </w:r>
      <w:r w:rsidR="00FB38C2" w:rsidRPr="00B25E57">
        <w:rPr>
          <w:lang w:val="es-ES_tradnl"/>
        </w:rPr>
        <w:t>%</w:t>
      </w:r>
      <w:r w:rsidR="003A46A1" w:rsidRPr="00B25E57">
        <w:rPr>
          <w:lang w:val="es-ES_tradnl"/>
        </w:rPr>
        <w:t xml:space="preserve"> </w:t>
      </w:r>
      <w:r w:rsidR="0093402C">
        <w:rPr>
          <w:lang w:val="es-ES_tradnl"/>
        </w:rPr>
        <w:t xml:space="preserve">menor a la </w:t>
      </w:r>
      <w:r w:rsidR="007B22B4" w:rsidRPr="00B25E57">
        <w:rPr>
          <w:lang w:val="es-ES_tradnl"/>
        </w:rPr>
        <w:t>base</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comparación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374A2" w:rsidRPr="00B25E57">
        <w:rPr>
          <w:lang w:val="es-ES_tradnl"/>
        </w:rPr>
        <w:t>35</w:t>
      </w:r>
      <w:r w:rsidR="00FB38C2" w:rsidRPr="00B25E57">
        <w:rPr>
          <w:lang w:val="es-ES_tradnl"/>
        </w:rPr>
        <w:t>%</w:t>
      </w:r>
      <w:r w:rsidR="003A46A1" w:rsidRPr="00B25E57">
        <w:rPr>
          <w:lang w:val="es-ES_tradnl"/>
        </w:rPr>
        <w:t xml:space="preserve"> </w:t>
      </w:r>
      <w:r w:rsidR="00DF090A">
        <w:rPr>
          <w:lang w:val="es-ES_tradnl"/>
        </w:rPr>
        <w:t xml:space="preserve">bajo </w:t>
      </w:r>
      <w:r w:rsidR="00370DF5">
        <w:rPr>
          <w:lang w:val="es-ES_tradnl"/>
        </w:rPr>
        <w:t xml:space="preserve">el nivel </w:t>
      </w:r>
      <w:r w:rsidR="00DF090A">
        <w:rPr>
          <w:lang w:val="es-ES_tradnl"/>
        </w:rPr>
        <w:t xml:space="preserve">del año </w:t>
      </w:r>
      <w:r w:rsidR="001374A2" w:rsidRPr="00B25E57">
        <w:rPr>
          <w:lang w:val="es-ES_tradnl"/>
        </w:rPr>
        <w:t>2017).</w:t>
      </w:r>
      <w:r w:rsidR="003A46A1" w:rsidRPr="00B25E57">
        <w:rPr>
          <w:lang w:val="es-ES_tradnl"/>
        </w:rPr>
        <w:t xml:space="preserve"> </w:t>
      </w:r>
      <w:r w:rsidR="00020A8F">
        <w:rPr>
          <w:lang w:val="es-ES_tradnl"/>
        </w:rPr>
        <w:t xml:space="preserve">El </w:t>
      </w:r>
      <w:r w:rsidR="003F2837" w:rsidRPr="003F2837">
        <w:rPr>
          <w:lang w:val="es-ES_tradnl"/>
        </w:rPr>
        <w:t>Cuadro 1</w:t>
      </w:r>
      <w:r w:rsidR="003F2837">
        <w:rPr>
          <w:lang w:val="es-ES_tradnl"/>
        </w:rPr>
        <w:t xml:space="preserve"> muestra </w:t>
      </w:r>
      <w:r w:rsidR="003C1302">
        <w:rPr>
          <w:lang w:val="es-ES_tradnl"/>
        </w:rPr>
        <w:t xml:space="preserve">el </w:t>
      </w:r>
      <w:r w:rsidR="007D7382" w:rsidRPr="00B25E57">
        <w:rPr>
          <w:lang w:val="es-ES_tradnl"/>
        </w:rPr>
        <w:t>consumo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1C2CDA" w:rsidRPr="001C2CDA">
        <w:rPr>
          <w:lang w:val="es-ES_tradnl"/>
        </w:rPr>
        <w:t xml:space="preserve">de HCFC </w:t>
      </w:r>
      <w:r w:rsidR="001C2CDA">
        <w:rPr>
          <w:lang w:val="es-ES_tradnl"/>
        </w:rPr>
        <w:t xml:space="preserve">en </w:t>
      </w:r>
      <w:r w:rsidR="003E149F">
        <w:rPr>
          <w:lang w:val="es-ES_tradnl"/>
        </w:rPr>
        <w:t xml:space="preserve">el período </w:t>
      </w:r>
      <w:r w:rsidR="001C2CDA" w:rsidRPr="001C2CDA">
        <w:rPr>
          <w:lang w:val="es-ES_tradnl"/>
        </w:rPr>
        <w:t>2014-2018</w:t>
      </w:r>
      <w:r w:rsidR="00297BE1" w:rsidRPr="00B25E57">
        <w:rPr>
          <w:lang w:val="es-ES_tradnl"/>
        </w:rPr>
        <w:t>.</w:t>
      </w:r>
    </w:p>
    <w:p w14:paraId="3E41C375" w14:textId="594DD0A2" w:rsidR="00297BE1" w:rsidRPr="00B25E57" w:rsidRDefault="00FB38C2" w:rsidP="001B11C8">
      <w:pPr>
        <w:keepNext/>
        <w:keepLines/>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297BE1" w:rsidRPr="00B25E57">
        <w:rPr>
          <w:b/>
          <w:sz w:val="21"/>
          <w:szCs w:val="21"/>
          <w:lang w:val="es-ES_tradnl"/>
        </w:rPr>
        <w:t>1.</w:t>
      </w:r>
      <w:r w:rsidR="003A46A1" w:rsidRPr="00B25E57">
        <w:rPr>
          <w:b/>
          <w:sz w:val="21"/>
          <w:szCs w:val="21"/>
          <w:lang w:val="es-ES_tradnl"/>
        </w:rPr>
        <w:t xml:space="preserve"> </w:t>
      </w:r>
      <w:r w:rsidR="00271BD1">
        <w:rPr>
          <w:b/>
          <w:sz w:val="21"/>
          <w:szCs w:val="21"/>
          <w:lang w:val="es-ES_tradnl"/>
        </w:rPr>
        <w:t>Consumo y producción de HCFC</w:t>
      </w:r>
      <w:r w:rsidR="003A46A1" w:rsidRPr="00B25E57">
        <w:rPr>
          <w:b/>
          <w:sz w:val="21"/>
          <w:szCs w:val="21"/>
          <w:lang w:val="es-ES_tradnl"/>
        </w:rPr>
        <w:t xml:space="preserve"> </w:t>
      </w:r>
      <w:r w:rsidR="004241C5" w:rsidRPr="00B25E57">
        <w:rPr>
          <w:b/>
          <w:sz w:val="21"/>
          <w:szCs w:val="21"/>
          <w:lang w:val="es-ES_tradnl"/>
        </w:rPr>
        <w:t>en</w:t>
      </w:r>
      <w:r w:rsidR="003A46A1" w:rsidRPr="00B25E57">
        <w:rPr>
          <w:b/>
          <w:sz w:val="21"/>
          <w:szCs w:val="21"/>
          <w:lang w:val="es-ES_tradnl"/>
        </w:rPr>
        <w:t xml:space="preserve"> </w:t>
      </w:r>
      <w:r w:rsidR="00907BDC" w:rsidRPr="00B25E57">
        <w:rPr>
          <w:b/>
          <w:sz w:val="21"/>
          <w:szCs w:val="21"/>
          <w:lang w:val="es-ES_tradnl"/>
        </w:rPr>
        <w:t>Argentina</w:t>
      </w:r>
      <w:r w:rsidR="003A46A1" w:rsidRPr="00B25E57">
        <w:rPr>
          <w:b/>
          <w:sz w:val="21"/>
          <w:szCs w:val="21"/>
          <w:lang w:val="es-ES_tradnl"/>
        </w:rPr>
        <w:t xml:space="preserve"> </w:t>
      </w:r>
      <w:r w:rsidR="004241C5" w:rsidRPr="00B25E57">
        <w:rPr>
          <w:b/>
          <w:sz w:val="21"/>
          <w:szCs w:val="21"/>
          <w:lang w:val="es-ES_tradnl"/>
        </w:rPr>
        <w:t>en</w:t>
      </w:r>
      <w:r w:rsidR="003A46A1" w:rsidRPr="00B25E57">
        <w:rPr>
          <w:b/>
          <w:sz w:val="21"/>
          <w:szCs w:val="21"/>
          <w:lang w:val="es-ES_tradnl"/>
        </w:rPr>
        <w:t xml:space="preserve"> </w:t>
      </w:r>
      <w:r w:rsidR="00271BD1">
        <w:rPr>
          <w:b/>
          <w:sz w:val="21"/>
          <w:szCs w:val="21"/>
          <w:lang w:val="es-ES_tradnl"/>
        </w:rPr>
        <w:t xml:space="preserve">tons. </w:t>
      </w:r>
      <w:r w:rsidRPr="00B25E57">
        <w:rPr>
          <w:b/>
          <w:sz w:val="21"/>
          <w:szCs w:val="21"/>
          <w:lang w:val="es-ES_tradnl"/>
        </w:rPr>
        <w:t>PAO</w:t>
      </w:r>
      <w:r w:rsidR="003A46A1" w:rsidRPr="00B25E57">
        <w:rPr>
          <w:b/>
          <w:sz w:val="21"/>
          <w:szCs w:val="21"/>
          <w:lang w:val="es-ES_tradnl"/>
        </w:rPr>
        <w:t xml:space="preserve"> </w:t>
      </w:r>
      <w:r w:rsidR="00297BE1" w:rsidRPr="00B25E57">
        <w:rPr>
          <w:b/>
          <w:sz w:val="21"/>
          <w:szCs w:val="21"/>
          <w:lang w:val="es-ES_tradnl"/>
        </w:rPr>
        <w:t>(2014</w:t>
      </w:r>
      <w:r w:rsidRPr="00B25E57">
        <w:rPr>
          <w:b/>
          <w:sz w:val="21"/>
          <w:szCs w:val="21"/>
          <w:lang w:val="es-ES_tradnl"/>
        </w:rPr>
        <w:t>-</w:t>
      </w:r>
      <w:r w:rsidR="003432FD">
        <w:rPr>
          <w:b/>
          <w:sz w:val="21"/>
          <w:szCs w:val="21"/>
          <w:lang w:val="es-ES_tradnl"/>
        </w:rPr>
        <w:t>2018, datos del artículo 7</w:t>
      </w:r>
      <w:r w:rsidR="00297BE1" w:rsidRPr="00B25E57">
        <w:rPr>
          <w:b/>
          <w:sz w:val="21"/>
          <w:szCs w:val="21"/>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3"/>
        <w:gridCol w:w="883"/>
        <w:gridCol w:w="883"/>
        <w:gridCol w:w="883"/>
        <w:gridCol w:w="883"/>
        <w:gridCol w:w="883"/>
        <w:gridCol w:w="2118"/>
      </w:tblGrid>
      <w:tr w:rsidR="007132CB" w:rsidRPr="00B25E57" w14:paraId="73B82384" w14:textId="77777777" w:rsidTr="007132CB">
        <w:tc>
          <w:tcPr>
            <w:tcW w:w="1681" w:type="pct"/>
            <w:noWrap/>
            <w:tcMar>
              <w:top w:w="0" w:type="dxa"/>
              <w:left w:w="108" w:type="dxa"/>
              <w:bottom w:w="0" w:type="dxa"/>
              <w:right w:w="108" w:type="dxa"/>
            </w:tcMar>
            <w:hideMark/>
          </w:tcPr>
          <w:p w14:paraId="7BF43F2F" w14:textId="77777777" w:rsidR="00CA59C9" w:rsidRPr="00B25E57" w:rsidRDefault="00CA59C9" w:rsidP="001B11C8">
            <w:pPr>
              <w:keepNext/>
              <w:keepLines/>
              <w:jc w:val="left"/>
              <w:rPr>
                <w:rFonts w:eastAsiaTheme="minorHAnsi"/>
                <w:b/>
                <w:bCs/>
                <w:color w:val="000000"/>
                <w:sz w:val="21"/>
                <w:szCs w:val="21"/>
                <w:lang w:val="es-ES_tradnl"/>
              </w:rPr>
            </w:pPr>
            <w:r w:rsidRPr="00B25E57">
              <w:rPr>
                <w:b/>
                <w:bCs/>
                <w:color w:val="000000"/>
                <w:sz w:val="21"/>
                <w:szCs w:val="21"/>
                <w:lang w:val="es-ES_tradnl"/>
              </w:rPr>
              <w:t>HCFC</w:t>
            </w:r>
          </w:p>
        </w:tc>
        <w:tc>
          <w:tcPr>
            <w:tcW w:w="553" w:type="pct"/>
            <w:noWrap/>
            <w:tcMar>
              <w:top w:w="0" w:type="dxa"/>
              <w:left w:w="108" w:type="dxa"/>
              <w:bottom w:w="0" w:type="dxa"/>
              <w:right w:w="108" w:type="dxa"/>
            </w:tcMar>
            <w:vAlign w:val="bottom"/>
            <w:hideMark/>
          </w:tcPr>
          <w:p w14:paraId="6428EC8D" w14:textId="77777777" w:rsidR="00CA59C9" w:rsidRPr="00B25E57" w:rsidRDefault="00CA59C9" w:rsidP="001B11C8">
            <w:pPr>
              <w:keepNext/>
              <w:keepLines/>
              <w:jc w:val="center"/>
              <w:rPr>
                <w:rFonts w:eastAsiaTheme="minorHAnsi"/>
                <w:b/>
                <w:bCs/>
                <w:color w:val="000000"/>
                <w:sz w:val="21"/>
                <w:szCs w:val="21"/>
                <w:lang w:val="es-ES_tradnl"/>
              </w:rPr>
            </w:pPr>
            <w:r w:rsidRPr="00B25E57">
              <w:rPr>
                <w:b/>
                <w:bCs/>
                <w:color w:val="000000"/>
                <w:sz w:val="21"/>
                <w:szCs w:val="21"/>
                <w:lang w:val="es-ES_tradnl"/>
              </w:rPr>
              <w:t>2014</w:t>
            </w:r>
          </w:p>
        </w:tc>
        <w:tc>
          <w:tcPr>
            <w:tcW w:w="553" w:type="pct"/>
            <w:noWrap/>
            <w:tcMar>
              <w:top w:w="0" w:type="dxa"/>
              <w:left w:w="108" w:type="dxa"/>
              <w:bottom w:w="0" w:type="dxa"/>
              <w:right w:w="108" w:type="dxa"/>
            </w:tcMar>
            <w:vAlign w:val="bottom"/>
            <w:hideMark/>
          </w:tcPr>
          <w:p w14:paraId="1107CE71" w14:textId="77777777" w:rsidR="00CA59C9" w:rsidRPr="00B25E57" w:rsidRDefault="00CA59C9" w:rsidP="001B11C8">
            <w:pPr>
              <w:keepNext/>
              <w:keepLines/>
              <w:jc w:val="center"/>
              <w:rPr>
                <w:rFonts w:eastAsiaTheme="minorHAnsi"/>
                <w:b/>
                <w:bCs/>
                <w:color w:val="000000"/>
                <w:sz w:val="21"/>
                <w:szCs w:val="21"/>
                <w:lang w:val="es-ES_tradnl"/>
              </w:rPr>
            </w:pPr>
            <w:r w:rsidRPr="00B25E57">
              <w:rPr>
                <w:b/>
                <w:bCs/>
                <w:color w:val="000000"/>
                <w:sz w:val="21"/>
                <w:szCs w:val="21"/>
                <w:lang w:val="es-ES_tradnl"/>
              </w:rPr>
              <w:t>2015</w:t>
            </w:r>
          </w:p>
        </w:tc>
        <w:tc>
          <w:tcPr>
            <w:tcW w:w="553" w:type="pct"/>
            <w:noWrap/>
            <w:tcMar>
              <w:top w:w="0" w:type="dxa"/>
              <w:left w:w="108" w:type="dxa"/>
              <w:bottom w:w="0" w:type="dxa"/>
              <w:right w:w="108" w:type="dxa"/>
            </w:tcMar>
            <w:vAlign w:val="bottom"/>
            <w:hideMark/>
          </w:tcPr>
          <w:p w14:paraId="73878A22" w14:textId="77777777" w:rsidR="00CA59C9" w:rsidRPr="00B25E57" w:rsidRDefault="00CA59C9" w:rsidP="001B11C8">
            <w:pPr>
              <w:keepNext/>
              <w:keepLines/>
              <w:jc w:val="center"/>
              <w:rPr>
                <w:rFonts w:eastAsiaTheme="minorHAnsi"/>
                <w:b/>
                <w:bCs/>
                <w:color w:val="000000"/>
                <w:sz w:val="21"/>
                <w:szCs w:val="21"/>
                <w:lang w:val="es-ES_tradnl"/>
              </w:rPr>
            </w:pPr>
            <w:r w:rsidRPr="00B25E57">
              <w:rPr>
                <w:b/>
                <w:bCs/>
                <w:color w:val="000000"/>
                <w:sz w:val="21"/>
                <w:szCs w:val="21"/>
                <w:lang w:val="es-ES_tradnl"/>
              </w:rPr>
              <w:t>2016</w:t>
            </w:r>
          </w:p>
        </w:tc>
        <w:tc>
          <w:tcPr>
            <w:tcW w:w="553" w:type="pct"/>
            <w:shd w:val="clear" w:color="auto" w:fill="auto"/>
          </w:tcPr>
          <w:p w14:paraId="31CB2653" w14:textId="77777777" w:rsidR="00CA59C9" w:rsidRPr="00B25E57" w:rsidRDefault="00CA59C9" w:rsidP="001B11C8">
            <w:pPr>
              <w:keepNext/>
              <w:keepLines/>
              <w:jc w:val="center"/>
              <w:rPr>
                <w:b/>
                <w:sz w:val="21"/>
                <w:szCs w:val="21"/>
                <w:lang w:val="es-ES_tradnl"/>
              </w:rPr>
            </w:pPr>
            <w:r w:rsidRPr="00B25E57">
              <w:rPr>
                <w:b/>
                <w:sz w:val="21"/>
                <w:szCs w:val="21"/>
                <w:lang w:val="es-ES_tradnl"/>
              </w:rPr>
              <w:t>2017</w:t>
            </w:r>
          </w:p>
        </w:tc>
        <w:tc>
          <w:tcPr>
            <w:tcW w:w="553" w:type="pct"/>
          </w:tcPr>
          <w:p w14:paraId="598A0E40" w14:textId="77777777" w:rsidR="00CA59C9" w:rsidRPr="00B25E57" w:rsidRDefault="00CA59C9" w:rsidP="001B11C8">
            <w:pPr>
              <w:keepNext/>
              <w:keepLines/>
              <w:jc w:val="center"/>
              <w:rPr>
                <w:b/>
                <w:sz w:val="21"/>
                <w:szCs w:val="21"/>
                <w:lang w:val="es-ES_tradnl"/>
              </w:rPr>
            </w:pPr>
            <w:r w:rsidRPr="00B25E57">
              <w:rPr>
                <w:b/>
                <w:sz w:val="21"/>
                <w:szCs w:val="21"/>
                <w:lang w:val="es-ES_tradnl"/>
              </w:rPr>
              <w:t>2018</w:t>
            </w:r>
            <w:r w:rsidR="00632D25" w:rsidRPr="00B25E57">
              <w:rPr>
                <w:b/>
                <w:sz w:val="21"/>
                <w:szCs w:val="21"/>
                <w:lang w:val="es-ES_tradnl"/>
              </w:rPr>
              <w:t>*</w:t>
            </w:r>
          </w:p>
        </w:tc>
        <w:tc>
          <w:tcPr>
            <w:tcW w:w="553" w:type="pct"/>
            <w:noWrap/>
            <w:tcMar>
              <w:top w:w="0" w:type="dxa"/>
              <w:left w:w="108" w:type="dxa"/>
              <w:bottom w:w="0" w:type="dxa"/>
              <w:right w:w="108" w:type="dxa"/>
            </w:tcMar>
            <w:vAlign w:val="bottom"/>
            <w:hideMark/>
          </w:tcPr>
          <w:p w14:paraId="20518DC3" w14:textId="7D754FB9" w:rsidR="00CA59C9" w:rsidRPr="00B25E57" w:rsidRDefault="007B22B4" w:rsidP="001B11C8">
            <w:pPr>
              <w:keepNext/>
              <w:keepLines/>
              <w:jc w:val="center"/>
              <w:rPr>
                <w:rFonts w:eastAsiaTheme="minorHAnsi"/>
                <w:b/>
                <w:bCs/>
                <w:color w:val="000000"/>
                <w:sz w:val="21"/>
                <w:szCs w:val="21"/>
                <w:lang w:val="es-ES_tradnl"/>
              </w:rPr>
            </w:pPr>
            <w:r w:rsidRPr="00B25E57">
              <w:rPr>
                <w:b/>
                <w:bCs/>
                <w:color w:val="000000"/>
                <w:sz w:val="21"/>
                <w:szCs w:val="21"/>
                <w:lang w:val="es-ES_tradnl"/>
              </w:rPr>
              <w:t>Base</w:t>
            </w:r>
            <w:r w:rsidR="003A46A1" w:rsidRPr="00B25E57">
              <w:rPr>
                <w:b/>
                <w:bCs/>
                <w:color w:val="000000"/>
                <w:sz w:val="21"/>
                <w:szCs w:val="21"/>
                <w:lang w:val="es-ES_tradnl"/>
              </w:rPr>
              <w:t xml:space="preserve"> </w:t>
            </w:r>
            <w:r w:rsidRPr="00B25E57">
              <w:rPr>
                <w:b/>
                <w:bCs/>
                <w:color w:val="000000"/>
                <w:sz w:val="21"/>
                <w:szCs w:val="21"/>
                <w:lang w:val="es-ES_tradnl"/>
              </w:rPr>
              <w:t>de</w:t>
            </w:r>
            <w:r w:rsidR="003A46A1" w:rsidRPr="00B25E57">
              <w:rPr>
                <w:b/>
                <w:bCs/>
                <w:color w:val="000000"/>
                <w:sz w:val="21"/>
                <w:szCs w:val="21"/>
                <w:lang w:val="es-ES_tradnl"/>
              </w:rPr>
              <w:t xml:space="preserve"> </w:t>
            </w:r>
            <w:r w:rsidRPr="00B25E57">
              <w:rPr>
                <w:b/>
                <w:bCs/>
                <w:color w:val="000000"/>
                <w:sz w:val="21"/>
                <w:szCs w:val="21"/>
                <w:lang w:val="es-ES_tradnl"/>
              </w:rPr>
              <w:t>comparación</w:t>
            </w:r>
          </w:p>
        </w:tc>
      </w:tr>
      <w:tr w:rsidR="007132CB" w:rsidRPr="00B25E57" w14:paraId="5259CC6F" w14:textId="77777777" w:rsidTr="007132CB">
        <w:tc>
          <w:tcPr>
            <w:tcW w:w="1681" w:type="pct"/>
            <w:noWrap/>
            <w:tcMar>
              <w:top w:w="0" w:type="dxa"/>
              <w:left w:w="108" w:type="dxa"/>
              <w:bottom w:w="0" w:type="dxa"/>
              <w:right w:w="108" w:type="dxa"/>
            </w:tcMar>
            <w:hideMark/>
          </w:tcPr>
          <w:p w14:paraId="7A376933" w14:textId="42BA46A5" w:rsidR="00167694" w:rsidRPr="00B25E57" w:rsidRDefault="00167694" w:rsidP="00167694">
            <w:pPr>
              <w:jc w:val="left"/>
              <w:rPr>
                <w:rFonts w:eastAsiaTheme="minorHAnsi"/>
                <w:color w:val="000000"/>
                <w:sz w:val="21"/>
                <w:szCs w:val="21"/>
                <w:lang w:val="es-ES_tradnl"/>
              </w:rPr>
            </w:pPr>
            <w:r w:rsidRPr="00B25E57">
              <w:rPr>
                <w:color w:val="000000"/>
                <w:sz w:val="21"/>
                <w:szCs w:val="21"/>
                <w:lang w:val="es-ES_tradnl"/>
              </w:rPr>
              <w:t>HCFC</w:t>
            </w:r>
            <w:r w:rsidR="00FB38C2" w:rsidRPr="00B25E57">
              <w:rPr>
                <w:color w:val="000000"/>
                <w:sz w:val="21"/>
                <w:szCs w:val="21"/>
                <w:lang w:val="es-ES_tradnl"/>
              </w:rPr>
              <w:t>-</w:t>
            </w:r>
            <w:r w:rsidRPr="00B25E57">
              <w:rPr>
                <w:color w:val="000000"/>
                <w:sz w:val="21"/>
                <w:szCs w:val="21"/>
                <w:lang w:val="es-ES_tradnl"/>
              </w:rPr>
              <w:t>22</w:t>
            </w:r>
          </w:p>
        </w:tc>
        <w:tc>
          <w:tcPr>
            <w:tcW w:w="553" w:type="pct"/>
            <w:noWrap/>
            <w:tcMar>
              <w:top w:w="0" w:type="dxa"/>
              <w:left w:w="108" w:type="dxa"/>
              <w:bottom w:w="0" w:type="dxa"/>
              <w:right w:w="144" w:type="dxa"/>
            </w:tcMar>
            <w:vAlign w:val="center"/>
          </w:tcPr>
          <w:p w14:paraId="3ACBB93F"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159.73</w:t>
            </w:r>
          </w:p>
        </w:tc>
        <w:tc>
          <w:tcPr>
            <w:tcW w:w="553" w:type="pct"/>
            <w:noWrap/>
            <w:tcMar>
              <w:top w:w="0" w:type="dxa"/>
              <w:left w:w="108" w:type="dxa"/>
              <w:bottom w:w="0" w:type="dxa"/>
              <w:right w:w="144" w:type="dxa"/>
            </w:tcMar>
          </w:tcPr>
          <w:p w14:paraId="348E7922" w14:textId="77777777" w:rsidR="00167694" w:rsidRPr="00B25E57" w:rsidRDefault="00167694" w:rsidP="00167694">
            <w:pPr>
              <w:keepNext/>
              <w:jc w:val="right"/>
              <w:rPr>
                <w:color w:val="000000"/>
                <w:sz w:val="21"/>
                <w:szCs w:val="21"/>
                <w:lang w:val="es-ES_tradnl"/>
              </w:rPr>
            </w:pPr>
            <w:r w:rsidRPr="00B25E57">
              <w:rPr>
                <w:color w:val="000000"/>
                <w:sz w:val="21"/>
                <w:szCs w:val="21"/>
                <w:lang w:val="es-ES_tradnl"/>
              </w:rPr>
              <w:t>167.38</w:t>
            </w:r>
          </w:p>
        </w:tc>
        <w:tc>
          <w:tcPr>
            <w:tcW w:w="553" w:type="pct"/>
            <w:noWrap/>
            <w:tcMar>
              <w:top w:w="0" w:type="dxa"/>
              <w:left w:w="108" w:type="dxa"/>
              <w:bottom w:w="0" w:type="dxa"/>
              <w:right w:w="144" w:type="dxa"/>
            </w:tcMar>
          </w:tcPr>
          <w:p w14:paraId="58C9DF9F" w14:textId="77777777" w:rsidR="00167694" w:rsidRPr="00B25E57" w:rsidRDefault="00167694" w:rsidP="00167694">
            <w:pPr>
              <w:jc w:val="right"/>
              <w:rPr>
                <w:sz w:val="21"/>
                <w:szCs w:val="21"/>
                <w:lang w:val="es-ES_tradnl"/>
              </w:rPr>
            </w:pPr>
            <w:r w:rsidRPr="00B25E57">
              <w:rPr>
                <w:sz w:val="21"/>
                <w:szCs w:val="21"/>
                <w:lang w:val="es-ES_tradnl"/>
              </w:rPr>
              <w:t>127.89</w:t>
            </w:r>
          </w:p>
        </w:tc>
        <w:tc>
          <w:tcPr>
            <w:tcW w:w="553" w:type="pct"/>
            <w:shd w:val="clear" w:color="auto" w:fill="auto"/>
            <w:tcMar>
              <w:right w:w="144" w:type="dxa"/>
            </w:tcMar>
          </w:tcPr>
          <w:p w14:paraId="5394C189" w14:textId="77777777" w:rsidR="00167694" w:rsidRPr="00B25E57" w:rsidRDefault="00167694" w:rsidP="00167694">
            <w:pPr>
              <w:jc w:val="right"/>
              <w:rPr>
                <w:sz w:val="21"/>
                <w:szCs w:val="21"/>
                <w:lang w:val="es-ES_tradnl"/>
              </w:rPr>
            </w:pPr>
            <w:r w:rsidRPr="00B25E57">
              <w:rPr>
                <w:sz w:val="21"/>
                <w:szCs w:val="21"/>
                <w:lang w:val="es-ES_tradnl"/>
              </w:rPr>
              <w:t>135.52</w:t>
            </w:r>
          </w:p>
        </w:tc>
        <w:tc>
          <w:tcPr>
            <w:tcW w:w="553" w:type="pct"/>
            <w:tcMar>
              <w:right w:w="144" w:type="dxa"/>
            </w:tcMar>
          </w:tcPr>
          <w:p w14:paraId="0CD17865" w14:textId="77777777" w:rsidR="00167694" w:rsidRPr="00B25E57" w:rsidRDefault="00167694" w:rsidP="00167694">
            <w:pPr>
              <w:jc w:val="right"/>
              <w:rPr>
                <w:sz w:val="21"/>
                <w:szCs w:val="21"/>
                <w:lang w:val="es-ES_tradnl"/>
              </w:rPr>
            </w:pPr>
            <w:r w:rsidRPr="00B25E57">
              <w:rPr>
                <w:sz w:val="21"/>
                <w:szCs w:val="21"/>
                <w:lang w:val="es-ES_tradnl"/>
              </w:rPr>
              <w:t>109.36</w:t>
            </w:r>
          </w:p>
        </w:tc>
        <w:tc>
          <w:tcPr>
            <w:tcW w:w="553" w:type="pct"/>
            <w:noWrap/>
            <w:tcMar>
              <w:top w:w="0" w:type="dxa"/>
              <w:left w:w="108" w:type="dxa"/>
              <w:bottom w:w="0" w:type="dxa"/>
              <w:right w:w="144" w:type="dxa"/>
            </w:tcMar>
          </w:tcPr>
          <w:p w14:paraId="5B046314" w14:textId="77777777" w:rsidR="00167694" w:rsidRPr="00B25E57" w:rsidRDefault="00167694" w:rsidP="00167694">
            <w:pPr>
              <w:jc w:val="right"/>
              <w:rPr>
                <w:rFonts w:eastAsiaTheme="minorHAnsi"/>
                <w:color w:val="000000"/>
                <w:sz w:val="21"/>
                <w:szCs w:val="21"/>
                <w:lang w:val="es-ES_tradnl"/>
              </w:rPr>
            </w:pPr>
            <w:r w:rsidRPr="00B25E57">
              <w:rPr>
                <w:rFonts w:eastAsiaTheme="minorHAnsi"/>
                <w:color w:val="000000"/>
                <w:sz w:val="21"/>
                <w:szCs w:val="21"/>
                <w:lang w:val="es-ES_tradnl"/>
              </w:rPr>
              <w:t>267.3</w:t>
            </w:r>
          </w:p>
        </w:tc>
      </w:tr>
      <w:tr w:rsidR="007132CB" w:rsidRPr="00B25E57" w14:paraId="7B59542E" w14:textId="77777777" w:rsidTr="007132CB">
        <w:tc>
          <w:tcPr>
            <w:tcW w:w="1681" w:type="pct"/>
            <w:noWrap/>
            <w:tcMar>
              <w:top w:w="0" w:type="dxa"/>
              <w:left w:w="108" w:type="dxa"/>
              <w:bottom w:w="0" w:type="dxa"/>
              <w:right w:w="108" w:type="dxa"/>
            </w:tcMar>
          </w:tcPr>
          <w:p w14:paraId="5A0493D1" w14:textId="2EB1F16B" w:rsidR="00167694" w:rsidRPr="00B25E57" w:rsidRDefault="00167694" w:rsidP="00167694">
            <w:pPr>
              <w:jc w:val="left"/>
              <w:rPr>
                <w:color w:val="000000"/>
                <w:sz w:val="21"/>
                <w:szCs w:val="21"/>
                <w:lang w:val="es-ES_tradnl" w:eastAsia="en-CA"/>
              </w:rPr>
            </w:pPr>
            <w:r w:rsidRPr="00B25E57">
              <w:rPr>
                <w:color w:val="000000"/>
                <w:sz w:val="21"/>
                <w:szCs w:val="21"/>
                <w:lang w:val="es-ES_tradnl" w:eastAsia="en-CA"/>
              </w:rPr>
              <w:t>HCFC</w:t>
            </w:r>
            <w:r w:rsidR="00FB38C2" w:rsidRPr="00B25E57">
              <w:rPr>
                <w:color w:val="000000"/>
                <w:sz w:val="21"/>
                <w:szCs w:val="21"/>
                <w:lang w:val="es-ES_tradnl" w:eastAsia="en-CA"/>
              </w:rPr>
              <w:t>-</w:t>
            </w:r>
            <w:r w:rsidRPr="00B25E57">
              <w:rPr>
                <w:color w:val="000000"/>
                <w:sz w:val="21"/>
                <w:szCs w:val="21"/>
                <w:lang w:val="es-ES_tradnl" w:eastAsia="en-CA"/>
              </w:rPr>
              <w:t>123</w:t>
            </w:r>
          </w:p>
        </w:tc>
        <w:tc>
          <w:tcPr>
            <w:tcW w:w="553" w:type="pct"/>
            <w:noWrap/>
            <w:tcMar>
              <w:top w:w="0" w:type="dxa"/>
              <w:left w:w="108" w:type="dxa"/>
              <w:bottom w:w="0" w:type="dxa"/>
              <w:right w:w="144" w:type="dxa"/>
            </w:tcMar>
            <w:vAlign w:val="center"/>
          </w:tcPr>
          <w:p w14:paraId="7CA79C6D"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1.56</w:t>
            </w:r>
          </w:p>
        </w:tc>
        <w:tc>
          <w:tcPr>
            <w:tcW w:w="553" w:type="pct"/>
            <w:noWrap/>
            <w:tcMar>
              <w:top w:w="0" w:type="dxa"/>
              <w:left w:w="108" w:type="dxa"/>
              <w:bottom w:w="0" w:type="dxa"/>
              <w:right w:w="144" w:type="dxa"/>
            </w:tcMar>
          </w:tcPr>
          <w:p w14:paraId="45290A31" w14:textId="77777777" w:rsidR="00167694" w:rsidRPr="00B25E57" w:rsidRDefault="00167694" w:rsidP="00167694">
            <w:pPr>
              <w:keepNext/>
              <w:jc w:val="right"/>
              <w:rPr>
                <w:color w:val="000000"/>
                <w:sz w:val="21"/>
                <w:szCs w:val="21"/>
                <w:lang w:val="es-ES_tradnl"/>
              </w:rPr>
            </w:pPr>
            <w:r w:rsidRPr="00B25E57">
              <w:rPr>
                <w:color w:val="000000"/>
                <w:sz w:val="21"/>
                <w:szCs w:val="21"/>
                <w:lang w:val="es-ES_tradnl"/>
              </w:rPr>
              <w:t>2.23</w:t>
            </w:r>
          </w:p>
        </w:tc>
        <w:tc>
          <w:tcPr>
            <w:tcW w:w="553" w:type="pct"/>
            <w:noWrap/>
            <w:tcMar>
              <w:top w:w="0" w:type="dxa"/>
              <w:left w:w="108" w:type="dxa"/>
              <w:bottom w:w="0" w:type="dxa"/>
              <w:right w:w="144" w:type="dxa"/>
            </w:tcMar>
          </w:tcPr>
          <w:p w14:paraId="5278D8BC" w14:textId="77777777" w:rsidR="00167694" w:rsidRPr="00B25E57" w:rsidRDefault="00167694" w:rsidP="00167694">
            <w:pPr>
              <w:jc w:val="right"/>
              <w:rPr>
                <w:sz w:val="21"/>
                <w:szCs w:val="21"/>
                <w:lang w:val="es-ES_tradnl"/>
              </w:rPr>
            </w:pPr>
            <w:r w:rsidRPr="00B25E57">
              <w:rPr>
                <w:sz w:val="21"/>
                <w:szCs w:val="21"/>
                <w:lang w:val="es-ES_tradnl"/>
              </w:rPr>
              <w:t>2.22</w:t>
            </w:r>
          </w:p>
        </w:tc>
        <w:tc>
          <w:tcPr>
            <w:tcW w:w="553" w:type="pct"/>
            <w:shd w:val="clear" w:color="auto" w:fill="auto"/>
            <w:tcMar>
              <w:right w:w="144" w:type="dxa"/>
            </w:tcMar>
          </w:tcPr>
          <w:p w14:paraId="011F8376" w14:textId="77777777" w:rsidR="00167694" w:rsidRPr="00B25E57" w:rsidRDefault="00167694" w:rsidP="00167694">
            <w:pPr>
              <w:jc w:val="right"/>
              <w:rPr>
                <w:sz w:val="21"/>
                <w:szCs w:val="21"/>
                <w:lang w:val="es-ES_tradnl"/>
              </w:rPr>
            </w:pPr>
            <w:r w:rsidRPr="00B25E57">
              <w:rPr>
                <w:sz w:val="21"/>
                <w:szCs w:val="21"/>
                <w:lang w:val="es-ES_tradnl"/>
              </w:rPr>
              <w:t>3.25</w:t>
            </w:r>
          </w:p>
        </w:tc>
        <w:tc>
          <w:tcPr>
            <w:tcW w:w="553" w:type="pct"/>
            <w:tcMar>
              <w:right w:w="144" w:type="dxa"/>
            </w:tcMar>
          </w:tcPr>
          <w:p w14:paraId="3102ED35" w14:textId="77777777" w:rsidR="00167694" w:rsidRPr="00B25E57" w:rsidRDefault="00167694" w:rsidP="00167694">
            <w:pPr>
              <w:jc w:val="right"/>
              <w:rPr>
                <w:sz w:val="21"/>
                <w:szCs w:val="21"/>
                <w:lang w:val="es-ES_tradnl"/>
              </w:rPr>
            </w:pPr>
            <w:r w:rsidRPr="00B25E57">
              <w:rPr>
                <w:sz w:val="21"/>
                <w:szCs w:val="21"/>
                <w:lang w:val="es-ES_tradnl"/>
              </w:rPr>
              <w:t>0.87</w:t>
            </w:r>
          </w:p>
        </w:tc>
        <w:tc>
          <w:tcPr>
            <w:tcW w:w="553" w:type="pct"/>
            <w:noWrap/>
            <w:tcMar>
              <w:top w:w="0" w:type="dxa"/>
              <w:left w:w="108" w:type="dxa"/>
              <w:bottom w:w="0" w:type="dxa"/>
              <w:right w:w="144" w:type="dxa"/>
            </w:tcMar>
          </w:tcPr>
          <w:p w14:paraId="5852CB97" w14:textId="77777777" w:rsidR="00167694" w:rsidRPr="00B25E57" w:rsidRDefault="00167694" w:rsidP="00167694">
            <w:pPr>
              <w:jc w:val="right"/>
              <w:rPr>
                <w:rFonts w:eastAsiaTheme="minorHAnsi"/>
                <w:color w:val="000000"/>
                <w:sz w:val="21"/>
                <w:szCs w:val="21"/>
                <w:lang w:val="es-ES_tradnl"/>
              </w:rPr>
            </w:pPr>
            <w:r w:rsidRPr="00B25E57">
              <w:rPr>
                <w:rFonts w:eastAsiaTheme="minorHAnsi"/>
                <w:color w:val="000000"/>
                <w:sz w:val="21"/>
                <w:szCs w:val="21"/>
                <w:lang w:val="es-ES_tradnl"/>
              </w:rPr>
              <w:t>1.5</w:t>
            </w:r>
          </w:p>
        </w:tc>
      </w:tr>
      <w:tr w:rsidR="007132CB" w:rsidRPr="00B25E57" w14:paraId="66B0F12C" w14:textId="77777777" w:rsidTr="007132CB">
        <w:tc>
          <w:tcPr>
            <w:tcW w:w="1681" w:type="pct"/>
            <w:noWrap/>
            <w:tcMar>
              <w:top w:w="0" w:type="dxa"/>
              <w:left w:w="108" w:type="dxa"/>
              <w:bottom w:w="0" w:type="dxa"/>
              <w:right w:w="108" w:type="dxa"/>
            </w:tcMar>
          </w:tcPr>
          <w:p w14:paraId="2CFF55A8" w14:textId="123214B2" w:rsidR="00167694" w:rsidRPr="00B25E57" w:rsidRDefault="00167694" w:rsidP="00167694">
            <w:pPr>
              <w:jc w:val="left"/>
              <w:rPr>
                <w:color w:val="000000"/>
                <w:sz w:val="21"/>
                <w:szCs w:val="21"/>
                <w:lang w:val="es-ES_tradnl" w:eastAsia="en-CA"/>
              </w:rPr>
            </w:pPr>
            <w:r w:rsidRPr="00B25E57">
              <w:rPr>
                <w:color w:val="000000"/>
                <w:sz w:val="21"/>
                <w:szCs w:val="21"/>
                <w:lang w:val="es-ES_tradnl" w:eastAsia="en-CA"/>
              </w:rPr>
              <w:t>HCFC</w:t>
            </w:r>
            <w:r w:rsidR="00FB38C2" w:rsidRPr="00B25E57">
              <w:rPr>
                <w:color w:val="000000"/>
                <w:sz w:val="21"/>
                <w:szCs w:val="21"/>
                <w:lang w:val="es-ES_tradnl" w:eastAsia="en-CA"/>
              </w:rPr>
              <w:t>-</w:t>
            </w:r>
            <w:r w:rsidRPr="00B25E57">
              <w:rPr>
                <w:color w:val="000000"/>
                <w:sz w:val="21"/>
                <w:szCs w:val="21"/>
                <w:lang w:val="es-ES_tradnl" w:eastAsia="en-CA"/>
              </w:rPr>
              <w:t>124</w:t>
            </w:r>
          </w:p>
        </w:tc>
        <w:tc>
          <w:tcPr>
            <w:tcW w:w="553" w:type="pct"/>
            <w:noWrap/>
            <w:tcMar>
              <w:top w:w="0" w:type="dxa"/>
              <w:left w:w="108" w:type="dxa"/>
              <w:bottom w:w="0" w:type="dxa"/>
              <w:right w:w="144" w:type="dxa"/>
            </w:tcMar>
            <w:vAlign w:val="center"/>
          </w:tcPr>
          <w:p w14:paraId="5A85EC11"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0.63</w:t>
            </w:r>
          </w:p>
        </w:tc>
        <w:tc>
          <w:tcPr>
            <w:tcW w:w="553" w:type="pct"/>
            <w:noWrap/>
            <w:tcMar>
              <w:top w:w="0" w:type="dxa"/>
              <w:left w:w="108" w:type="dxa"/>
              <w:bottom w:w="0" w:type="dxa"/>
              <w:right w:w="144" w:type="dxa"/>
            </w:tcMar>
          </w:tcPr>
          <w:p w14:paraId="5EBE2071" w14:textId="77777777" w:rsidR="00167694" w:rsidRPr="00B25E57" w:rsidRDefault="00167694" w:rsidP="00167694">
            <w:pPr>
              <w:keepNext/>
              <w:jc w:val="right"/>
              <w:rPr>
                <w:color w:val="000000"/>
                <w:sz w:val="21"/>
                <w:szCs w:val="21"/>
                <w:lang w:val="es-ES_tradnl"/>
              </w:rPr>
            </w:pPr>
            <w:r w:rsidRPr="00B25E57">
              <w:rPr>
                <w:color w:val="000000"/>
                <w:sz w:val="21"/>
                <w:szCs w:val="21"/>
                <w:lang w:val="es-ES_tradnl"/>
              </w:rPr>
              <w:t>0.85</w:t>
            </w:r>
          </w:p>
        </w:tc>
        <w:tc>
          <w:tcPr>
            <w:tcW w:w="553" w:type="pct"/>
            <w:noWrap/>
            <w:tcMar>
              <w:top w:w="0" w:type="dxa"/>
              <w:left w:w="108" w:type="dxa"/>
              <w:bottom w:w="0" w:type="dxa"/>
              <w:right w:w="144" w:type="dxa"/>
            </w:tcMar>
          </w:tcPr>
          <w:p w14:paraId="3EEF67D7" w14:textId="77777777" w:rsidR="00167694" w:rsidRPr="00B25E57" w:rsidRDefault="00167694" w:rsidP="00167694">
            <w:pPr>
              <w:jc w:val="right"/>
              <w:rPr>
                <w:sz w:val="21"/>
                <w:szCs w:val="21"/>
                <w:lang w:val="es-ES_tradnl"/>
              </w:rPr>
            </w:pPr>
            <w:r w:rsidRPr="00B25E57">
              <w:rPr>
                <w:sz w:val="21"/>
                <w:szCs w:val="21"/>
                <w:lang w:val="es-ES_tradnl"/>
              </w:rPr>
              <w:t>0.46</w:t>
            </w:r>
          </w:p>
        </w:tc>
        <w:tc>
          <w:tcPr>
            <w:tcW w:w="553" w:type="pct"/>
            <w:shd w:val="clear" w:color="auto" w:fill="auto"/>
            <w:tcMar>
              <w:right w:w="144" w:type="dxa"/>
            </w:tcMar>
          </w:tcPr>
          <w:p w14:paraId="016F8651" w14:textId="77777777" w:rsidR="00167694" w:rsidRPr="00B25E57" w:rsidRDefault="00167694" w:rsidP="00167694">
            <w:pPr>
              <w:jc w:val="right"/>
              <w:rPr>
                <w:sz w:val="21"/>
                <w:szCs w:val="21"/>
                <w:lang w:val="es-ES_tradnl"/>
              </w:rPr>
            </w:pPr>
            <w:r w:rsidRPr="00B25E57">
              <w:rPr>
                <w:sz w:val="21"/>
                <w:szCs w:val="21"/>
                <w:lang w:val="es-ES_tradnl"/>
              </w:rPr>
              <w:t>0.17</w:t>
            </w:r>
          </w:p>
        </w:tc>
        <w:tc>
          <w:tcPr>
            <w:tcW w:w="553" w:type="pct"/>
            <w:tcMar>
              <w:right w:w="144" w:type="dxa"/>
            </w:tcMar>
          </w:tcPr>
          <w:p w14:paraId="2E80716C" w14:textId="77777777" w:rsidR="00167694" w:rsidRPr="00B25E57" w:rsidRDefault="00167694" w:rsidP="00167694">
            <w:pPr>
              <w:jc w:val="right"/>
              <w:rPr>
                <w:sz w:val="21"/>
                <w:szCs w:val="21"/>
                <w:lang w:val="es-ES_tradnl"/>
              </w:rPr>
            </w:pPr>
            <w:r w:rsidRPr="00B25E57">
              <w:rPr>
                <w:sz w:val="21"/>
                <w:szCs w:val="21"/>
                <w:lang w:val="es-ES_tradnl"/>
              </w:rPr>
              <w:t>0.00</w:t>
            </w:r>
          </w:p>
        </w:tc>
        <w:tc>
          <w:tcPr>
            <w:tcW w:w="553" w:type="pct"/>
            <w:noWrap/>
            <w:tcMar>
              <w:top w:w="0" w:type="dxa"/>
              <w:left w:w="108" w:type="dxa"/>
              <w:bottom w:w="0" w:type="dxa"/>
              <w:right w:w="144" w:type="dxa"/>
            </w:tcMar>
          </w:tcPr>
          <w:p w14:paraId="108C0538" w14:textId="77777777" w:rsidR="00167694" w:rsidRPr="00B25E57" w:rsidRDefault="00167694" w:rsidP="00167694">
            <w:pPr>
              <w:jc w:val="right"/>
              <w:rPr>
                <w:rFonts w:eastAsiaTheme="minorHAnsi"/>
                <w:color w:val="000000"/>
                <w:sz w:val="21"/>
                <w:szCs w:val="21"/>
                <w:highlight w:val="cyan"/>
                <w:lang w:val="es-ES_tradnl"/>
              </w:rPr>
            </w:pPr>
            <w:r w:rsidRPr="00B25E57">
              <w:rPr>
                <w:rFonts w:eastAsiaTheme="minorHAnsi"/>
                <w:color w:val="000000"/>
                <w:sz w:val="21"/>
                <w:szCs w:val="21"/>
                <w:lang w:val="es-ES_tradnl"/>
              </w:rPr>
              <w:t>1.0</w:t>
            </w:r>
          </w:p>
        </w:tc>
      </w:tr>
      <w:tr w:rsidR="007132CB" w:rsidRPr="00B25E57" w14:paraId="0C44B749" w14:textId="77777777" w:rsidTr="007132CB">
        <w:tc>
          <w:tcPr>
            <w:tcW w:w="1681" w:type="pct"/>
            <w:noWrap/>
            <w:tcMar>
              <w:top w:w="0" w:type="dxa"/>
              <w:left w:w="108" w:type="dxa"/>
              <w:bottom w:w="0" w:type="dxa"/>
              <w:right w:w="108" w:type="dxa"/>
            </w:tcMar>
            <w:hideMark/>
          </w:tcPr>
          <w:p w14:paraId="2D21138B" w14:textId="7D8AD832" w:rsidR="00167694" w:rsidRPr="00B25E57" w:rsidRDefault="00167694" w:rsidP="00167694">
            <w:pPr>
              <w:jc w:val="left"/>
              <w:rPr>
                <w:rFonts w:eastAsiaTheme="minorHAnsi"/>
                <w:color w:val="000000"/>
                <w:sz w:val="21"/>
                <w:szCs w:val="21"/>
                <w:lang w:val="es-ES_tradnl"/>
              </w:rPr>
            </w:pPr>
            <w:r w:rsidRPr="00B25E57">
              <w:rPr>
                <w:color w:val="000000"/>
                <w:sz w:val="21"/>
                <w:szCs w:val="21"/>
                <w:lang w:val="es-ES_tradnl"/>
              </w:rPr>
              <w:t>HCFC</w:t>
            </w:r>
            <w:r w:rsidR="00FB38C2" w:rsidRPr="00B25E57">
              <w:rPr>
                <w:color w:val="000000"/>
                <w:sz w:val="21"/>
                <w:szCs w:val="21"/>
                <w:lang w:val="es-ES_tradnl"/>
              </w:rPr>
              <w:t>-</w:t>
            </w:r>
            <w:r w:rsidRPr="00B25E57">
              <w:rPr>
                <w:color w:val="000000"/>
                <w:sz w:val="21"/>
                <w:szCs w:val="21"/>
                <w:lang w:val="es-ES_tradnl"/>
              </w:rPr>
              <w:t>141b</w:t>
            </w:r>
          </w:p>
        </w:tc>
        <w:tc>
          <w:tcPr>
            <w:tcW w:w="553" w:type="pct"/>
            <w:noWrap/>
            <w:tcMar>
              <w:top w:w="0" w:type="dxa"/>
              <w:left w:w="108" w:type="dxa"/>
              <w:bottom w:w="0" w:type="dxa"/>
              <w:right w:w="144" w:type="dxa"/>
            </w:tcMar>
            <w:vAlign w:val="center"/>
          </w:tcPr>
          <w:p w14:paraId="68F78287"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104.69</w:t>
            </w:r>
          </w:p>
        </w:tc>
        <w:tc>
          <w:tcPr>
            <w:tcW w:w="553" w:type="pct"/>
            <w:noWrap/>
            <w:tcMar>
              <w:top w:w="0" w:type="dxa"/>
              <w:left w:w="108" w:type="dxa"/>
              <w:bottom w:w="0" w:type="dxa"/>
              <w:right w:w="144" w:type="dxa"/>
            </w:tcMar>
          </w:tcPr>
          <w:p w14:paraId="7A57565F" w14:textId="77777777" w:rsidR="00167694" w:rsidRPr="00B25E57" w:rsidRDefault="00167694" w:rsidP="00167694">
            <w:pPr>
              <w:keepNext/>
              <w:jc w:val="right"/>
              <w:rPr>
                <w:color w:val="000000"/>
                <w:sz w:val="21"/>
                <w:szCs w:val="21"/>
                <w:lang w:val="es-ES_tradnl"/>
              </w:rPr>
            </w:pPr>
            <w:r w:rsidRPr="00B25E57">
              <w:rPr>
                <w:color w:val="000000"/>
                <w:sz w:val="21"/>
                <w:szCs w:val="21"/>
                <w:lang w:val="es-ES_tradnl"/>
              </w:rPr>
              <w:t>107.66</w:t>
            </w:r>
          </w:p>
        </w:tc>
        <w:tc>
          <w:tcPr>
            <w:tcW w:w="553" w:type="pct"/>
            <w:noWrap/>
            <w:tcMar>
              <w:top w:w="0" w:type="dxa"/>
              <w:left w:w="108" w:type="dxa"/>
              <w:bottom w:w="0" w:type="dxa"/>
              <w:right w:w="144" w:type="dxa"/>
            </w:tcMar>
          </w:tcPr>
          <w:p w14:paraId="039978D8" w14:textId="77777777" w:rsidR="00167694" w:rsidRPr="00B25E57" w:rsidRDefault="00167694" w:rsidP="00167694">
            <w:pPr>
              <w:jc w:val="right"/>
              <w:rPr>
                <w:sz w:val="21"/>
                <w:szCs w:val="21"/>
                <w:lang w:val="es-ES_tradnl"/>
              </w:rPr>
            </w:pPr>
            <w:r w:rsidRPr="00B25E57">
              <w:rPr>
                <w:sz w:val="21"/>
                <w:szCs w:val="21"/>
                <w:lang w:val="es-ES_tradnl"/>
              </w:rPr>
              <w:t>91.25</w:t>
            </w:r>
          </w:p>
        </w:tc>
        <w:tc>
          <w:tcPr>
            <w:tcW w:w="553" w:type="pct"/>
            <w:shd w:val="clear" w:color="auto" w:fill="auto"/>
            <w:tcMar>
              <w:right w:w="144" w:type="dxa"/>
            </w:tcMar>
          </w:tcPr>
          <w:p w14:paraId="31BDB389" w14:textId="77777777" w:rsidR="00167694" w:rsidRPr="00B25E57" w:rsidRDefault="00167694" w:rsidP="00167694">
            <w:pPr>
              <w:jc w:val="right"/>
              <w:rPr>
                <w:sz w:val="21"/>
                <w:szCs w:val="21"/>
                <w:lang w:val="es-ES_tradnl"/>
              </w:rPr>
            </w:pPr>
            <w:r w:rsidRPr="00B25E57">
              <w:rPr>
                <w:sz w:val="21"/>
                <w:szCs w:val="21"/>
                <w:lang w:val="es-ES_tradnl"/>
              </w:rPr>
              <w:t>105.41</w:t>
            </w:r>
          </w:p>
        </w:tc>
        <w:tc>
          <w:tcPr>
            <w:tcW w:w="553" w:type="pct"/>
            <w:tcMar>
              <w:right w:w="144" w:type="dxa"/>
            </w:tcMar>
          </w:tcPr>
          <w:p w14:paraId="559D6A08" w14:textId="77777777" w:rsidR="00167694" w:rsidRPr="00B25E57" w:rsidRDefault="00167694" w:rsidP="00167694">
            <w:pPr>
              <w:jc w:val="right"/>
              <w:rPr>
                <w:sz w:val="21"/>
                <w:szCs w:val="21"/>
                <w:lang w:val="es-ES_tradnl"/>
              </w:rPr>
            </w:pPr>
            <w:r w:rsidRPr="00B25E57">
              <w:rPr>
                <w:sz w:val="21"/>
                <w:szCs w:val="21"/>
                <w:lang w:val="es-ES_tradnl"/>
              </w:rPr>
              <w:t>83.90</w:t>
            </w:r>
          </w:p>
        </w:tc>
        <w:tc>
          <w:tcPr>
            <w:tcW w:w="553" w:type="pct"/>
            <w:noWrap/>
            <w:tcMar>
              <w:top w:w="0" w:type="dxa"/>
              <w:left w:w="108" w:type="dxa"/>
              <w:bottom w:w="0" w:type="dxa"/>
              <w:right w:w="144" w:type="dxa"/>
            </w:tcMar>
          </w:tcPr>
          <w:p w14:paraId="12F997E4" w14:textId="77777777" w:rsidR="00167694" w:rsidRPr="00B25E57" w:rsidRDefault="00167694" w:rsidP="00167694">
            <w:pPr>
              <w:jc w:val="right"/>
              <w:rPr>
                <w:rFonts w:eastAsiaTheme="minorHAnsi"/>
                <w:color w:val="000000"/>
                <w:sz w:val="21"/>
                <w:szCs w:val="21"/>
                <w:lang w:val="es-ES_tradnl"/>
              </w:rPr>
            </w:pPr>
            <w:r w:rsidRPr="00B25E57">
              <w:rPr>
                <w:rFonts w:eastAsiaTheme="minorHAnsi"/>
                <w:color w:val="000000"/>
                <w:sz w:val="21"/>
                <w:szCs w:val="21"/>
                <w:lang w:val="es-ES_tradnl"/>
              </w:rPr>
              <w:t>113.4</w:t>
            </w:r>
          </w:p>
        </w:tc>
      </w:tr>
      <w:tr w:rsidR="007132CB" w:rsidRPr="00B25E57" w14:paraId="6DEEE1EF" w14:textId="77777777" w:rsidTr="007132CB">
        <w:tc>
          <w:tcPr>
            <w:tcW w:w="1681" w:type="pct"/>
            <w:noWrap/>
            <w:tcMar>
              <w:top w:w="0" w:type="dxa"/>
              <w:left w:w="108" w:type="dxa"/>
              <w:bottom w:w="0" w:type="dxa"/>
              <w:right w:w="108" w:type="dxa"/>
            </w:tcMar>
            <w:hideMark/>
          </w:tcPr>
          <w:p w14:paraId="43381A80" w14:textId="38A7FB4B" w:rsidR="00167694" w:rsidRPr="00B25E57" w:rsidRDefault="00167694" w:rsidP="00167694">
            <w:pPr>
              <w:jc w:val="left"/>
              <w:rPr>
                <w:rFonts w:eastAsiaTheme="minorHAnsi"/>
                <w:color w:val="000000"/>
                <w:sz w:val="21"/>
                <w:szCs w:val="21"/>
                <w:lang w:val="es-ES_tradnl"/>
              </w:rPr>
            </w:pPr>
            <w:r w:rsidRPr="00B25E57">
              <w:rPr>
                <w:color w:val="000000"/>
                <w:sz w:val="21"/>
                <w:szCs w:val="21"/>
                <w:lang w:val="es-ES_tradnl"/>
              </w:rPr>
              <w:t>HCFC</w:t>
            </w:r>
            <w:r w:rsidR="00FB38C2" w:rsidRPr="00B25E57">
              <w:rPr>
                <w:color w:val="000000"/>
                <w:sz w:val="21"/>
                <w:szCs w:val="21"/>
                <w:lang w:val="es-ES_tradnl"/>
              </w:rPr>
              <w:t>-</w:t>
            </w:r>
            <w:r w:rsidRPr="00B25E57">
              <w:rPr>
                <w:color w:val="000000"/>
                <w:sz w:val="21"/>
                <w:szCs w:val="21"/>
                <w:lang w:val="es-ES_tradnl"/>
              </w:rPr>
              <w:t>142b</w:t>
            </w:r>
          </w:p>
        </w:tc>
        <w:tc>
          <w:tcPr>
            <w:tcW w:w="553" w:type="pct"/>
            <w:noWrap/>
            <w:tcMar>
              <w:top w:w="0" w:type="dxa"/>
              <w:left w:w="108" w:type="dxa"/>
              <w:bottom w:w="0" w:type="dxa"/>
              <w:right w:w="144" w:type="dxa"/>
            </w:tcMar>
            <w:vAlign w:val="center"/>
          </w:tcPr>
          <w:p w14:paraId="5A5D7611"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9.48</w:t>
            </w:r>
          </w:p>
        </w:tc>
        <w:tc>
          <w:tcPr>
            <w:tcW w:w="553" w:type="pct"/>
            <w:noWrap/>
            <w:tcMar>
              <w:top w:w="0" w:type="dxa"/>
              <w:left w:w="108" w:type="dxa"/>
              <w:bottom w:w="0" w:type="dxa"/>
              <w:right w:w="144" w:type="dxa"/>
            </w:tcMar>
          </w:tcPr>
          <w:p w14:paraId="4E8754A6" w14:textId="77777777" w:rsidR="00167694" w:rsidRPr="00B25E57" w:rsidRDefault="00167694" w:rsidP="00167694">
            <w:pPr>
              <w:keepNext/>
              <w:jc w:val="right"/>
              <w:rPr>
                <w:color w:val="000000"/>
                <w:sz w:val="21"/>
                <w:szCs w:val="21"/>
                <w:lang w:val="es-ES_tradnl"/>
              </w:rPr>
            </w:pPr>
            <w:r w:rsidRPr="00B25E57">
              <w:rPr>
                <w:color w:val="000000"/>
                <w:sz w:val="21"/>
                <w:szCs w:val="21"/>
                <w:lang w:val="es-ES_tradnl"/>
              </w:rPr>
              <w:t>17.31</w:t>
            </w:r>
          </w:p>
        </w:tc>
        <w:tc>
          <w:tcPr>
            <w:tcW w:w="553" w:type="pct"/>
            <w:noWrap/>
            <w:tcMar>
              <w:top w:w="0" w:type="dxa"/>
              <w:left w:w="108" w:type="dxa"/>
              <w:bottom w:w="0" w:type="dxa"/>
              <w:right w:w="144" w:type="dxa"/>
            </w:tcMar>
          </w:tcPr>
          <w:p w14:paraId="38C7426A" w14:textId="77777777" w:rsidR="00167694" w:rsidRPr="00B25E57" w:rsidRDefault="00167694" w:rsidP="00167694">
            <w:pPr>
              <w:jc w:val="right"/>
              <w:rPr>
                <w:sz w:val="21"/>
                <w:szCs w:val="21"/>
                <w:lang w:val="es-ES_tradnl"/>
              </w:rPr>
            </w:pPr>
            <w:r w:rsidRPr="00B25E57">
              <w:rPr>
                <w:sz w:val="21"/>
                <w:szCs w:val="21"/>
                <w:lang w:val="es-ES_tradnl"/>
              </w:rPr>
              <w:t>7.23</w:t>
            </w:r>
          </w:p>
        </w:tc>
        <w:tc>
          <w:tcPr>
            <w:tcW w:w="553" w:type="pct"/>
            <w:shd w:val="clear" w:color="auto" w:fill="auto"/>
            <w:tcMar>
              <w:right w:w="144" w:type="dxa"/>
            </w:tcMar>
          </w:tcPr>
          <w:p w14:paraId="4F4BBBBE" w14:textId="77777777" w:rsidR="00167694" w:rsidRPr="00B25E57" w:rsidRDefault="00167694" w:rsidP="00167694">
            <w:pPr>
              <w:jc w:val="right"/>
              <w:rPr>
                <w:sz w:val="21"/>
                <w:szCs w:val="21"/>
                <w:lang w:val="es-ES_tradnl"/>
              </w:rPr>
            </w:pPr>
            <w:r w:rsidRPr="00B25E57">
              <w:rPr>
                <w:sz w:val="21"/>
                <w:szCs w:val="21"/>
                <w:lang w:val="es-ES_tradnl"/>
              </w:rPr>
              <w:t>3.94</w:t>
            </w:r>
          </w:p>
        </w:tc>
        <w:tc>
          <w:tcPr>
            <w:tcW w:w="553" w:type="pct"/>
            <w:tcMar>
              <w:right w:w="144" w:type="dxa"/>
            </w:tcMar>
          </w:tcPr>
          <w:p w14:paraId="276E3CB2" w14:textId="77777777" w:rsidR="00167694" w:rsidRPr="00B25E57" w:rsidRDefault="00167694" w:rsidP="00167694">
            <w:pPr>
              <w:jc w:val="right"/>
              <w:rPr>
                <w:sz w:val="21"/>
                <w:szCs w:val="21"/>
                <w:lang w:val="es-ES_tradnl"/>
              </w:rPr>
            </w:pPr>
            <w:r w:rsidRPr="00B25E57">
              <w:rPr>
                <w:sz w:val="21"/>
                <w:szCs w:val="21"/>
                <w:lang w:val="es-ES_tradnl"/>
              </w:rPr>
              <w:t>4.28</w:t>
            </w:r>
          </w:p>
        </w:tc>
        <w:tc>
          <w:tcPr>
            <w:tcW w:w="553" w:type="pct"/>
            <w:noWrap/>
            <w:tcMar>
              <w:top w:w="0" w:type="dxa"/>
              <w:left w:w="108" w:type="dxa"/>
              <w:bottom w:w="0" w:type="dxa"/>
              <w:right w:w="144" w:type="dxa"/>
            </w:tcMar>
          </w:tcPr>
          <w:p w14:paraId="4B1B35E1" w14:textId="77777777" w:rsidR="00167694" w:rsidRPr="00B25E57" w:rsidRDefault="00167694" w:rsidP="00167694">
            <w:pPr>
              <w:jc w:val="right"/>
              <w:rPr>
                <w:rFonts w:eastAsiaTheme="minorHAnsi"/>
                <w:color w:val="000000"/>
                <w:sz w:val="21"/>
                <w:szCs w:val="21"/>
                <w:lang w:val="es-ES_tradnl"/>
              </w:rPr>
            </w:pPr>
            <w:r w:rsidRPr="00B25E57">
              <w:rPr>
                <w:rFonts w:eastAsiaTheme="minorHAnsi"/>
                <w:color w:val="000000"/>
                <w:sz w:val="21"/>
                <w:szCs w:val="21"/>
                <w:lang w:val="es-ES_tradnl"/>
              </w:rPr>
              <w:t>17.5</w:t>
            </w:r>
          </w:p>
        </w:tc>
      </w:tr>
      <w:tr w:rsidR="007132CB" w:rsidRPr="00B25E57" w14:paraId="2A785F10" w14:textId="77777777" w:rsidTr="007132CB">
        <w:tc>
          <w:tcPr>
            <w:tcW w:w="1681" w:type="pct"/>
            <w:noWrap/>
            <w:tcMar>
              <w:top w:w="0" w:type="dxa"/>
              <w:left w:w="108" w:type="dxa"/>
              <w:bottom w:w="0" w:type="dxa"/>
              <w:right w:w="108" w:type="dxa"/>
            </w:tcMar>
            <w:hideMark/>
          </w:tcPr>
          <w:p w14:paraId="005E8EEE" w14:textId="13C2D356" w:rsidR="00167694" w:rsidRPr="00B25E57" w:rsidRDefault="00862A82" w:rsidP="007132CB">
            <w:pPr>
              <w:jc w:val="left"/>
              <w:rPr>
                <w:rFonts w:eastAsiaTheme="minorHAnsi"/>
                <w:color w:val="000000"/>
                <w:sz w:val="21"/>
                <w:szCs w:val="21"/>
                <w:lang w:val="es-ES_tradnl"/>
              </w:rPr>
            </w:pPr>
            <w:r w:rsidRPr="00B25E57">
              <w:rPr>
                <w:color w:val="000000"/>
                <w:sz w:val="21"/>
                <w:szCs w:val="21"/>
                <w:lang w:val="es-ES_tradnl"/>
              </w:rPr>
              <w:t>Consumo</w:t>
            </w:r>
            <w:r w:rsidR="003A46A1" w:rsidRPr="00B25E57">
              <w:rPr>
                <w:color w:val="000000"/>
                <w:sz w:val="21"/>
                <w:szCs w:val="21"/>
                <w:lang w:val="es-ES_tradnl"/>
              </w:rPr>
              <w:t xml:space="preserve"> </w:t>
            </w:r>
            <w:r w:rsidRPr="00B25E57">
              <w:rPr>
                <w:color w:val="000000"/>
                <w:sz w:val="21"/>
                <w:szCs w:val="21"/>
                <w:lang w:val="es-ES_tradnl"/>
              </w:rPr>
              <w:t>total</w:t>
            </w:r>
          </w:p>
        </w:tc>
        <w:tc>
          <w:tcPr>
            <w:tcW w:w="553" w:type="pct"/>
            <w:noWrap/>
            <w:tcMar>
              <w:top w:w="0" w:type="dxa"/>
              <w:left w:w="108" w:type="dxa"/>
              <w:bottom w:w="0" w:type="dxa"/>
              <w:right w:w="144" w:type="dxa"/>
            </w:tcMar>
          </w:tcPr>
          <w:p w14:paraId="469DF2BD" w14:textId="77777777" w:rsidR="00167694" w:rsidRPr="00B25E57" w:rsidRDefault="00167694" w:rsidP="00167694">
            <w:pPr>
              <w:jc w:val="right"/>
              <w:rPr>
                <w:rFonts w:eastAsiaTheme="minorHAnsi"/>
                <w:color w:val="000000"/>
                <w:sz w:val="21"/>
                <w:szCs w:val="21"/>
                <w:highlight w:val="cyan"/>
                <w:lang w:val="es-ES_tradnl"/>
              </w:rPr>
            </w:pPr>
            <w:r w:rsidRPr="00B25E57">
              <w:rPr>
                <w:rFonts w:eastAsiaTheme="minorHAnsi"/>
                <w:color w:val="000000"/>
                <w:sz w:val="21"/>
                <w:szCs w:val="21"/>
                <w:lang w:val="es-ES_tradnl"/>
              </w:rPr>
              <w:t>276.09</w:t>
            </w:r>
          </w:p>
        </w:tc>
        <w:tc>
          <w:tcPr>
            <w:tcW w:w="553" w:type="pct"/>
            <w:noWrap/>
            <w:tcMar>
              <w:top w:w="0" w:type="dxa"/>
              <w:left w:w="108" w:type="dxa"/>
              <w:bottom w:w="0" w:type="dxa"/>
              <w:right w:w="144" w:type="dxa"/>
            </w:tcMar>
          </w:tcPr>
          <w:p w14:paraId="347611EE" w14:textId="77777777" w:rsidR="00167694" w:rsidRPr="00B25E57" w:rsidRDefault="00167694" w:rsidP="00167694">
            <w:pPr>
              <w:jc w:val="right"/>
              <w:rPr>
                <w:color w:val="000000"/>
                <w:sz w:val="21"/>
                <w:szCs w:val="21"/>
                <w:lang w:val="es-ES_tradnl"/>
              </w:rPr>
            </w:pPr>
            <w:r w:rsidRPr="00B25E57">
              <w:rPr>
                <w:color w:val="000000"/>
                <w:sz w:val="21"/>
                <w:szCs w:val="21"/>
                <w:lang w:val="es-ES_tradnl"/>
              </w:rPr>
              <w:t>295.42</w:t>
            </w:r>
          </w:p>
        </w:tc>
        <w:tc>
          <w:tcPr>
            <w:tcW w:w="553" w:type="pct"/>
            <w:noWrap/>
            <w:tcMar>
              <w:top w:w="0" w:type="dxa"/>
              <w:left w:w="108" w:type="dxa"/>
              <w:bottom w:w="0" w:type="dxa"/>
              <w:right w:w="144" w:type="dxa"/>
            </w:tcMar>
          </w:tcPr>
          <w:p w14:paraId="309AB473" w14:textId="77777777" w:rsidR="00167694" w:rsidRPr="00B25E57" w:rsidRDefault="00167694" w:rsidP="00167694">
            <w:pPr>
              <w:jc w:val="right"/>
              <w:rPr>
                <w:sz w:val="21"/>
                <w:szCs w:val="21"/>
                <w:lang w:val="es-ES_tradnl"/>
              </w:rPr>
            </w:pPr>
            <w:r w:rsidRPr="00B25E57">
              <w:rPr>
                <w:sz w:val="21"/>
                <w:szCs w:val="21"/>
                <w:lang w:val="es-ES_tradnl"/>
              </w:rPr>
              <w:t>229.05</w:t>
            </w:r>
          </w:p>
        </w:tc>
        <w:tc>
          <w:tcPr>
            <w:tcW w:w="553" w:type="pct"/>
            <w:tcMar>
              <w:right w:w="144" w:type="dxa"/>
            </w:tcMar>
          </w:tcPr>
          <w:p w14:paraId="3A096337" w14:textId="77777777" w:rsidR="00167694" w:rsidRPr="00B25E57" w:rsidRDefault="00167694" w:rsidP="00167694">
            <w:pPr>
              <w:jc w:val="right"/>
              <w:rPr>
                <w:sz w:val="21"/>
                <w:szCs w:val="21"/>
                <w:lang w:val="es-ES_tradnl"/>
              </w:rPr>
            </w:pPr>
            <w:r w:rsidRPr="00B25E57">
              <w:rPr>
                <w:sz w:val="21"/>
                <w:szCs w:val="21"/>
                <w:lang w:val="es-ES_tradnl"/>
              </w:rPr>
              <w:t>248.29</w:t>
            </w:r>
          </w:p>
        </w:tc>
        <w:tc>
          <w:tcPr>
            <w:tcW w:w="553" w:type="pct"/>
            <w:tcMar>
              <w:right w:w="144" w:type="dxa"/>
            </w:tcMar>
          </w:tcPr>
          <w:p w14:paraId="152FFABE" w14:textId="77777777" w:rsidR="00167694" w:rsidRPr="00B25E57" w:rsidRDefault="00167694" w:rsidP="00167694">
            <w:pPr>
              <w:jc w:val="right"/>
              <w:rPr>
                <w:sz w:val="21"/>
                <w:szCs w:val="21"/>
                <w:lang w:val="es-ES_tradnl"/>
              </w:rPr>
            </w:pPr>
            <w:r w:rsidRPr="00B25E57">
              <w:rPr>
                <w:sz w:val="21"/>
                <w:szCs w:val="21"/>
                <w:lang w:val="es-ES_tradnl"/>
              </w:rPr>
              <w:t>198.42</w:t>
            </w:r>
          </w:p>
        </w:tc>
        <w:tc>
          <w:tcPr>
            <w:tcW w:w="553" w:type="pct"/>
            <w:noWrap/>
            <w:tcMar>
              <w:top w:w="0" w:type="dxa"/>
              <w:left w:w="108" w:type="dxa"/>
              <w:bottom w:w="0" w:type="dxa"/>
              <w:right w:w="144" w:type="dxa"/>
            </w:tcMar>
          </w:tcPr>
          <w:p w14:paraId="6CB3029E" w14:textId="77777777" w:rsidR="00167694" w:rsidRPr="00B25E57" w:rsidRDefault="00167694" w:rsidP="00167694">
            <w:pPr>
              <w:jc w:val="right"/>
              <w:rPr>
                <w:rFonts w:eastAsiaTheme="minorHAnsi"/>
                <w:color w:val="000000"/>
                <w:sz w:val="21"/>
                <w:szCs w:val="21"/>
                <w:highlight w:val="cyan"/>
                <w:lang w:val="es-ES_tradnl"/>
              </w:rPr>
            </w:pPr>
            <w:r w:rsidRPr="00B25E57">
              <w:rPr>
                <w:rFonts w:eastAsiaTheme="minorHAnsi"/>
                <w:color w:val="000000"/>
                <w:sz w:val="21"/>
                <w:szCs w:val="21"/>
                <w:lang w:val="es-ES_tradnl"/>
              </w:rPr>
              <w:t>400.7</w:t>
            </w:r>
          </w:p>
        </w:tc>
      </w:tr>
      <w:tr w:rsidR="007132CB" w:rsidRPr="00B25E57" w14:paraId="45AF9E23" w14:textId="77777777" w:rsidTr="007132CB">
        <w:tc>
          <w:tcPr>
            <w:tcW w:w="1681" w:type="pct"/>
            <w:noWrap/>
            <w:tcMar>
              <w:top w:w="0" w:type="dxa"/>
              <w:left w:w="108" w:type="dxa"/>
              <w:bottom w:w="0" w:type="dxa"/>
              <w:right w:w="108" w:type="dxa"/>
            </w:tcMar>
          </w:tcPr>
          <w:p w14:paraId="66E39F6F" w14:textId="386A0462" w:rsidR="00CA59C9" w:rsidRPr="00B25E57" w:rsidRDefault="0057623B" w:rsidP="007132CB">
            <w:pPr>
              <w:jc w:val="left"/>
              <w:rPr>
                <w:color w:val="000000"/>
                <w:sz w:val="21"/>
                <w:szCs w:val="21"/>
                <w:lang w:val="es-ES_tradnl"/>
              </w:rPr>
            </w:pPr>
            <w:r>
              <w:rPr>
                <w:color w:val="000000"/>
                <w:sz w:val="21"/>
                <w:szCs w:val="21"/>
                <w:lang w:val="es-ES_tradnl"/>
              </w:rPr>
              <w:t>Producción total</w:t>
            </w:r>
            <w:r w:rsidR="003A46A1" w:rsidRPr="00B25E57">
              <w:rPr>
                <w:color w:val="000000"/>
                <w:sz w:val="21"/>
                <w:szCs w:val="21"/>
                <w:lang w:val="es-ES_tradnl"/>
              </w:rPr>
              <w:t xml:space="preserve"> </w:t>
            </w:r>
            <w:r w:rsidR="004512EA" w:rsidRPr="00B25E57">
              <w:rPr>
                <w:color w:val="000000"/>
                <w:sz w:val="21"/>
                <w:szCs w:val="21"/>
                <w:lang w:val="es-ES_tradnl"/>
              </w:rPr>
              <w:t>de</w:t>
            </w:r>
            <w:r w:rsidR="003A46A1" w:rsidRPr="00B25E57">
              <w:rPr>
                <w:color w:val="000000"/>
                <w:sz w:val="21"/>
                <w:szCs w:val="21"/>
                <w:lang w:val="es-ES_tradnl"/>
              </w:rPr>
              <w:t xml:space="preserve"> </w:t>
            </w:r>
            <w:r w:rsidR="004512EA" w:rsidRPr="00B25E57">
              <w:rPr>
                <w:color w:val="000000"/>
                <w:sz w:val="21"/>
                <w:szCs w:val="21"/>
                <w:lang w:val="es-ES_tradnl"/>
              </w:rPr>
              <w:t>HCFC-22</w:t>
            </w:r>
          </w:p>
        </w:tc>
        <w:tc>
          <w:tcPr>
            <w:tcW w:w="553" w:type="pct"/>
            <w:noWrap/>
            <w:tcMar>
              <w:top w:w="0" w:type="dxa"/>
              <w:left w:w="108" w:type="dxa"/>
              <w:bottom w:w="0" w:type="dxa"/>
              <w:right w:w="144" w:type="dxa"/>
            </w:tcMar>
          </w:tcPr>
          <w:p w14:paraId="45684F1F" w14:textId="77777777" w:rsidR="00CA59C9" w:rsidRPr="00B25E57" w:rsidRDefault="00CA59C9" w:rsidP="00CA59C9">
            <w:pPr>
              <w:jc w:val="right"/>
              <w:rPr>
                <w:sz w:val="21"/>
                <w:szCs w:val="21"/>
                <w:lang w:val="es-ES_tradnl"/>
              </w:rPr>
            </w:pPr>
            <w:r w:rsidRPr="00B25E57">
              <w:rPr>
                <w:sz w:val="21"/>
                <w:szCs w:val="21"/>
                <w:lang w:val="es-ES_tradnl"/>
              </w:rPr>
              <w:t>125.73</w:t>
            </w:r>
          </w:p>
        </w:tc>
        <w:tc>
          <w:tcPr>
            <w:tcW w:w="553" w:type="pct"/>
            <w:noWrap/>
            <w:tcMar>
              <w:top w:w="0" w:type="dxa"/>
              <w:left w:w="108" w:type="dxa"/>
              <w:bottom w:w="0" w:type="dxa"/>
              <w:right w:w="144" w:type="dxa"/>
            </w:tcMar>
          </w:tcPr>
          <w:p w14:paraId="4DB04462" w14:textId="77777777" w:rsidR="00CA59C9" w:rsidRPr="00B25E57" w:rsidRDefault="00CA59C9" w:rsidP="00CA59C9">
            <w:pPr>
              <w:jc w:val="right"/>
              <w:rPr>
                <w:sz w:val="21"/>
                <w:szCs w:val="21"/>
                <w:lang w:val="es-ES_tradnl"/>
              </w:rPr>
            </w:pPr>
            <w:r w:rsidRPr="00B25E57">
              <w:rPr>
                <w:sz w:val="21"/>
                <w:szCs w:val="21"/>
                <w:lang w:val="es-ES_tradnl"/>
              </w:rPr>
              <w:t>134.53</w:t>
            </w:r>
          </w:p>
        </w:tc>
        <w:tc>
          <w:tcPr>
            <w:tcW w:w="553" w:type="pct"/>
            <w:noWrap/>
            <w:tcMar>
              <w:top w:w="0" w:type="dxa"/>
              <w:left w:w="108" w:type="dxa"/>
              <w:bottom w:w="0" w:type="dxa"/>
              <w:right w:w="144" w:type="dxa"/>
            </w:tcMar>
          </w:tcPr>
          <w:p w14:paraId="7E3C418F" w14:textId="77777777" w:rsidR="00CA59C9" w:rsidRPr="00B25E57" w:rsidRDefault="00CA59C9" w:rsidP="00CA59C9">
            <w:pPr>
              <w:jc w:val="right"/>
              <w:rPr>
                <w:sz w:val="21"/>
                <w:szCs w:val="21"/>
                <w:lang w:val="es-ES_tradnl"/>
              </w:rPr>
            </w:pPr>
            <w:r w:rsidRPr="00B25E57">
              <w:rPr>
                <w:sz w:val="21"/>
                <w:szCs w:val="21"/>
                <w:lang w:val="es-ES_tradnl"/>
              </w:rPr>
              <w:t>95.84</w:t>
            </w:r>
          </w:p>
        </w:tc>
        <w:tc>
          <w:tcPr>
            <w:tcW w:w="553" w:type="pct"/>
            <w:tcMar>
              <w:right w:w="144" w:type="dxa"/>
            </w:tcMar>
          </w:tcPr>
          <w:p w14:paraId="68AC029C" w14:textId="77777777" w:rsidR="00CA59C9" w:rsidRPr="00B25E57" w:rsidRDefault="00CA59C9" w:rsidP="00CA59C9">
            <w:pPr>
              <w:jc w:val="right"/>
              <w:rPr>
                <w:sz w:val="21"/>
                <w:szCs w:val="21"/>
                <w:lang w:val="es-ES_tradnl"/>
              </w:rPr>
            </w:pPr>
            <w:r w:rsidRPr="00B25E57">
              <w:rPr>
                <w:sz w:val="21"/>
                <w:szCs w:val="21"/>
                <w:lang w:val="es-ES_tradnl"/>
              </w:rPr>
              <w:t>100.27</w:t>
            </w:r>
          </w:p>
        </w:tc>
        <w:tc>
          <w:tcPr>
            <w:tcW w:w="553" w:type="pct"/>
            <w:tcMar>
              <w:right w:w="144" w:type="dxa"/>
            </w:tcMar>
          </w:tcPr>
          <w:p w14:paraId="29ECF7A9" w14:textId="77777777" w:rsidR="00CA59C9" w:rsidRPr="00B25E57" w:rsidRDefault="00632D25" w:rsidP="00CA59C9">
            <w:pPr>
              <w:jc w:val="right"/>
              <w:rPr>
                <w:sz w:val="21"/>
                <w:szCs w:val="21"/>
                <w:lang w:val="es-ES_tradnl"/>
              </w:rPr>
            </w:pPr>
            <w:r w:rsidRPr="00B25E57">
              <w:rPr>
                <w:sz w:val="21"/>
                <w:szCs w:val="21"/>
                <w:lang w:val="es-ES_tradnl"/>
              </w:rPr>
              <w:t>65.57</w:t>
            </w:r>
          </w:p>
        </w:tc>
        <w:tc>
          <w:tcPr>
            <w:tcW w:w="553" w:type="pct"/>
            <w:noWrap/>
            <w:tcMar>
              <w:top w:w="0" w:type="dxa"/>
              <w:left w:w="108" w:type="dxa"/>
              <w:bottom w:w="0" w:type="dxa"/>
              <w:right w:w="144" w:type="dxa"/>
            </w:tcMar>
          </w:tcPr>
          <w:p w14:paraId="02E5D1D6" w14:textId="77777777" w:rsidR="00CA59C9" w:rsidRPr="00B25E57" w:rsidRDefault="00B20D12" w:rsidP="00CA59C9">
            <w:pPr>
              <w:jc w:val="right"/>
              <w:rPr>
                <w:rFonts w:eastAsiaTheme="minorHAnsi"/>
                <w:color w:val="000000"/>
                <w:sz w:val="21"/>
                <w:szCs w:val="21"/>
                <w:lang w:val="es-ES_tradnl"/>
              </w:rPr>
            </w:pPr>
            <w:r w:rsidRPr="00B25E57">
              <w:rPr>
                <w:rFonts w:eastAsiaTheme="minorHAnsi"/>
                <w:color w:val="000000"/>
                <w:sz w:val="21"/>
                <w:szCs w:val="21"/>
                <w:lang w:val="es-ES_tradnl"/>
              </w:rPr>
              <w:t>224.54</w:t>
            </w:r>
          </w:p>
        </w:tc>
      </w:tr>
    </w:tbl>
    <w:p w14:paraId="7D5282AD" w14:textId="501FEAFC" w:rsidR="00297BE1" w:rsidRPr="00B25E57" w:rsidRDefault="00297BE1" w:rsidP="00297BE1">
      <w:pPr>
        <w:rPr>
          <w:sz w:val="20"/>
          <w:szCs w:val="20"/>
          <w:lang w:val="es-ES_tradnl"/>
        </w:rPr>
      </w:pPr>
      <w:r w:rsidRPr="00B25E57">
        <w:rPr>
          <w:sz w:val="20"/>
          <w:szCs w:val="20"/>
          <w:lang w:val="es-ES_tradnl"/>
        </w:rPr>
        <w:t>*</w:t>
      </w:r>
      <w:r w:rsidR="0079080A">
        <w:rPr>
          <w:sz w:val="20"/>
          <w:szCs w:val="20"/>
          <w:lang w:val="es-ES_tradnl"/>
        </w:rPr>
        <w:t xml:space="preserve"> </w:t>
      </w:r>
      <w:r w:rsidR="003964CE">
        <w:rPr>
          <w:sz w:val="20"/>
          <w:szCs w:val="20"/>
          <w:lang w:val="es-ES_tradnl"/>
        </w:rPr>
        <w:t xml:space="preserve">Según </w:t>
      </w:r>
      <w:r w:rsidR="008C43AC">
        <w:rPr>
          <w:sz w:val="20"/>
          <w:szCs w:val="20"/>
          <w:lang w:val="es-ES_tradnl"/>
        </w:rPr>
        <w:t>d</w:t>
      </w:r>
      <w:r w:rsidR="00451B31" w:rsidRPr="00B25E57">
        <w:rPr>
          <w:sz w:val="20"/>
          <w:szCs w:val="20"/>
          <w:lang w:val="es-ES_tradnl"/>
        </w:rPr>
        <w:t>atos</w:t>
      </w:r>
      <w:r w:rsidR="003A46A1" w:rsidRPr="00B25E57">
        <w:rPr>
          <w:sz w:val="20"/>
          <w:szCs w:val="20"/>
          <w:lang w:val="es-ES_tradnl"/>
        </w:rPr>
        <w:t xml:space="preserve"> </w:t>
      </w:r>
      <w:r w:rsidR="00E434B2" w:rsidRPr="00B25E57">
        <w:rPr>
          <w:sz w:val="20"/>
          <w:szCs w:val="20"/>
          <w:lang w:val="es-ES_tradnl"/>
        </w:rPr>
        <w:t>del</w:t>
      </w:r>
      <w:r w:rsidR="003A46A1" w:rsidRPr="00B25E57">
        <w:rPr>
          <w:sz w:val="20"/>
          <w:szCs w:val="20"/>
          <w:lang w:val="es-ES_tradnl"/>
        </w:rPr>
        <w:t xml:space="preserve"> </w:t>
      </w:r>
      <w:r w:rsidR="00E434B2" w:rsidRPr="00B25E57">
        <w:rPr>
          <w:sz w:val="20"/>
          <w:szCs w:val="20"/>
          <w:lang w:val="es-ES_tradnl"/>
        </w:rPr>
        <w:t>Programa</w:t>
      </w:r>
      <w:r w:rsidR="003A46A1" w:rsidRPr="00B25E57">
        <w:rPr>
          <w:sz w:val="20"/>
          <w:szCs w:val="20"/>
          <w:lang w:val="es-ES_tradnl"/>
        </w:rPr>
        <w:t xml:space="preserve"> </w:t>
      </w:r>
      <w:r w:rsidR="00E434B2" w:rsidRPr="00B25E57">
        <w:rPr>
          <w:sz w:val="20"/>
          <w:szCs w:val="20"/>
          <w:lang w:val="es-ES_tradnl"/>
        </w:rPr>
        <w:t>País</w:t>
      </w:r>
      <w:r w:rsidR="003A46A1" w:rsidRPr="00B25E57">
        <w:rPr>
          <w:sz w:val="20"/>
          <w:szCs w:val="20"/>
          <w:lang w:val="es-ES_tradnl"/>
        </w:rPr>
        <w:t xml:space="preserve"> </w:t>
      </w:r>
      <w:r w:rsidR="009F38E6">
        <w:rPr>
          <w:sz w:val="20"/>
          <w:szCs w:val="20"/>
          <w:lang w:val="es-ES_tradnl"/>
        </w:rPr>
        <w:t xml:space="preserve">al </w:t>
      </w:r>
      <w:r w:rsidR="003D499B" w:rsidRPr="00B25E57">
        <w:rPr>
          <w:sz w:val="20"/>
          <w:szCs w:val="20"/>
          <w:lang w:val="es-ES_tradnl"/>
        </w:rPr>
        <w:t>1</w:t>
      </w:r>
      <w:r w:rsidR="009F38E6">
        <w:rPr>
          <w:sz w:val="20"/>
          <w:szCs w:val="20"/>
          <w:lang w:val="es-ES_tradnl"/>
        </w:rPr>
        <w:t>º</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00FB38C2" w:rsidRPr="00B25E57">
        <w:rPr>
          <w:sz w:val="20"/>
          <w:szCs w:val="20"/>
          <w:lang w:val="es-ES_tradnl"/>
        </w:rPr>
        <w:t>abril</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003D499B" w:rsidRPr="00B25E57">
        <w:rPr>
          <w:sz w:val="20"/>
          <w:szCs w:val="20"/>
          <w:lang w:val="es-ES_tradnl"/>
        </w:rPr>
        <w:t>2019</w:t>
      </w:r>
      <w:r w:rsidRPr="00B25E57">
        <w:rPr>
          <w:sz w:val="20"/>
          <w:szCs w:val="20"/>
          <w:lang w:val="es-ES_tradnl"/>
        </w:rPr>
        <w:t>.</w:t>
      </w:r>
    </w:p>
    <w:p w14:paraId="616C0F25" w14:textId="77777777" w:rsidR="00D10F69" w:rsidRPr="00B25E57" w:rsidRDefault="00D10F69" w:rsidP="00297BE1">
      <w:pPr>
        <w:rPr>
          <w:lang w:val="es-ES_tradnl"/>
        </w:rPr>
      </w:pPr>
    </w:p>
    <w:p w14:paraId="38C7E836" w14:textId="43F3EFE3" w:rsidR="007B22B4" w:rsidRPr="00B25E57" w:rsidRDefault="00B25E57" w:rsidP="00A36814">
      <w:pPr>
        <w:pStyle w:val="Heading1"/>
        <w:rPr>
          <w:lang w:val="es-ES_tradnl"/>
        </w:rPr>
      </w:pPr>
      <w:r>
        <w:rPr>
          <w:lang w:val="es-ES_tradnl"/>
        </w:rPr>
        <w:t xml:space="preserve">En la </w:t>
      </w:r>
      <w:r w:rsidR="003A46A1" w:rsidRPr="00B25E57">
        <w:rPr>
          <w:lang w:val="es-ES_tradnl"/>
        </w:rPr>
        <w:t>79</w:t>
      </w:r>
      <w:r w:rsidR="00F942C6" w:rsidRPr="00B25E57">
        <w:rPr>
          <w:lang w:val="es-ES_tradnl"/>
        </w:rPr>
        <w:t>ª reunión</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DA1CDD">
        <w:rPr>
          <w:lang w:val="es-ES_tradnl"/>
        </w:rPr>
        <w:t>informó que los bajos niveles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consumo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HCFC</w:t>
      </w:r>
      <w:r w:rsidR="003A46A1" w:rsidRPr="00B25E57">
        <w:rPr>
          <w:lang w:val="es-ES_tradnl"/>
        </w:rPr>
        <w:t xml:space="preserve"> </w:t>
      </w:r>
      <w:r w:rsidR="00FB38C2" w:rsidRPr="00B25E57">
        <w:rPr>
          <w:lang w:val="es-ES_tradnl"/>
        </w:rPr>
        <w:t>en</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7E1D6F">
        <w:rPr>
          <w:lang w:val="es-ES_tradnl"/>
        </w:rPr>
        <w:t xml:space="preserve">recientes se debían </w:t>
      </w:r>
      <w:r w:rsidR="00C25D65">
        <w:rPr>
          <w:lang w:val="es-ES_tradnl"/>
        </w:rPr>
        <w:t xml:space="preserve">en gran parte </w:t>
      </w:r>
      <w:r w:rsidR="00286039">
        <w:rPr>
          <w:lang w:val="es-ES_tradnl"/>
        </w:rPr>
        <w:t>a una</w:t>
      </w:r>
      <w:r w:rsidR="00E72043">
        <w:rPr>
          <w:lang w:val="es-ES_tradnl"/>
        </w:rPr>
        <w:t xml:space="preserve"> baja en </w:t>
      </w:r>
      <w:r w:rsidR="00B23706">
        <w:rPr>
          <w:lang w:val="es-ES_tradnl"/>
        </w:rPr>
        <w:t xml:space="preserve">la </w:t>
      </w:r>
      <w:r w:rsidR="00E72043">
        <w:rPr>
          <w:lang w:val="es-ES_tradnl"/>
        </w:rPr>
        <w:t>actividad económica</w:t>
      </w:r>
      <w:r w:rsidR="003A46A1" w:rsidRPr="00B25E57">
        <w:rPr>
          <w:lang w:val="es-ES_tradnl"/>
        </w:rPr>
        <w:t xml:space="preserve"> </w:t>
      </w:r>
      <w:r w:rsidR="00F44BD5">
        <w:rPr>
          <w:lang w:val="es-ES_tradnl"/>
        </w:rPr>
        <w:t>y</w:t>
      </w:r>
      <w:r w:rsidR="003A46A1" w:rsidRPr="00B25E57">
        <w:rPr>
          <w:lang w:val="es-ES_tradnl"/>
        </w:rPr>
        <w:t xml:space="preserve"> </w:t>
      </w:r>
      <w:r w:rsidR="004E05A2">
        <w:rPr>
          <w:lang w:val="es-ES_tradnl"/>
        </w:rPr>
        <w:t xml:space="preserve">a </w:t>
      </w:r>
      <w:r w:rsidR="007B22B4" w:rsidRPr="00B25E57">
        <w:rPr>
          <w:lang w:val="es-ES_tradnl"/>
        </w:rPr>
        <w:t>medidas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control</w:t>
      </w:r>
      <w:r w:rsidR="003A46A1" w:rsidRPr="00B25E57">
        <w:rPr>
          <w:lang w:val="es-ES_tradnl"/>
        </w:rPr>
        <w:t xml:space="preserve"> </w:t>
      </w:r>
      <w:r w:rsidR="004E05A2">
        <w:rPr>
          <w:lang w:val="es-ES_tradnl"/>
        </w:rPr>
        <w:t xml:space="preserve">del </w:t>
      </w:r>
      <w:r w:rsidR="004E05A2" w:rsidRPr="004E05A2">
        <w:rPr>
          <w:lang w:val="es-ES_tradnl"/>
        </w:rPr>
        <w:t xml:space="preserve">tipo de </w:t>
      </w:r>
      <w:r w:rsidR="004E05A2" w:rsidRPr="004E05A2">
        <w:rPr>
          <w:lang w:val="es-ES_tradnl"/>
        </w:rPr>
        <w:lastRenderedPageBreak/>
        <w:t xml:space="preserve">cambio </w:t>
      </w:r>
      <w:r w:rsidR="00116A4D">
        <w:rPr>
          <w:lang w:val="es-ES_tradnl"/>
        </w:rPr>
        <w:t xml:space="preserve">que </w:t>
      </w:r>
      <w:r w:rsidR="00016370">
        <w:rPr>
          <w:lang w:val="es-ES_tradnl"/>
        </w:rPr>
        <w:t xml:space="preserve">impidieron a </w:t>
      </w:r>
      <w:r w:rsidR="00691404">
        <w:rPr>
          <w:lang w:val="es-ES_tradnl"/>
        </w:rPr>
        <w:t>algunos</w:t>
      </w:r>
      <w:r w:rsidR="003A46A1" w:rsidRPr="00B25E57">
        <w:rPr>
          <w:lang w:val="es-ES_tradnl"/>
        </w:rPr>
        <w:t xml:space="preserve"> </w:t>
      </w:r>
      <w:r w:rsidR="007B22B4" w:rsidRPr="00B25E57">
        <w:rPr>
          <w:lang w:val="es-ES_tradnl"/>
        </w:rPr>
        <w:t>importadores</w:t>
      </w:r>
      <w:r w:rsidR="003A46A1" w:rsidRPr="00B25E57">
        <w:rPr>
          <w:lang w:val="es-ES_tradnl"/>
        </w:rPr>
        <w:t xml:space="preserve"> </w:t>
      </w:r>
      <w:r w:rsidR="00D46C04">
        <w:rPr>
          <w:lang w:val="es-ES_tradnl"/>
        </w:rPr>
        <w:t>cumplimentar</w:t>
      </w:r>
      <w:r w:rsidR="00016370">
        <w:rPr>
          <w:lang w:val="es-ES_tradnl"/>
        </w:rPr>
        <w:t xml:space="preserve"> </w:t>
      </w:r>
      <w:r w:rsidR="00643547">
        <w:rPr>
          <w:lang w:val="es-ES_tradnl"/>
        </w:rPr>
        <w:t xml:space="preserve">la totalidad de su </w:t>
      </w:r>
      <w:r w:rsidR="007B22B4" w:rsidRPr="00B25E57">
        <w:rPr>
          <w:lang w:val="es-ES_tradnl"/>
        </w:rPr>
        <w:t>cuota</w:t>
      </w:r>
      <w:r w:rsidR="005D685B" w:rsidRPr="00B25E57">
        <w:rPr>
          <w:lang w:val="es-ES_tradnl"/>
        </w:rPr>
        <w:t>.</w:t>
      </w:r>
      <w:r w:rsidR="003A46A1" w:rsidRPr="00B25E57">
        <w:rPr>
          <w:lang w:val="es-ES_tradnl"/>
        </w:rPr>
        <w:t xml:space="preserve"> </w:t>
      </w:r>
      <w:r w:rsidR="00A3207A">
        <w:rPr>
          <w:lang w:val="es-ES_tradnl"/>
        </w:rPr>
        <w:t>Se espera</w:t>
      </w:r>
      <w:r w:rsidR="002F4EC4">
        <w:rPr>
          <w:lang w:val="es-ES_tradnl"/>
        </w:rPr>
        <w:t>ba</w:t>
      </w:r>
      <w:r w:rsidR="00A3207A">
        <w:rPr>
          <w:lang w:val="es-ES_tradnl"/>
        </w:rPr>
        <w:t xml:space="preserve"> que e</w:t>
      </w:r>
      <w:r w:rsidR="002349C6">
        <w:rPr>
          <w:lang w:val="es-ES_tradnl"/>
        </w:rPr>
        <w:t xml:space="preserve">stas </w:t>
      </w:r>
      <w:r w:rsidR="00F33C58" w:rsidRPr="00B25E57">
        <w:rPr>
          <w:lang w:val="es-ES_tradnl"/>
        </w:rPr>
        <w:t>circunstancias</w:t>
      </w:r>
      <w:r w:rsidR="005D685B" w:rsidRPr="00B25E57">
        <w:rPr>
          <w:lang w:val="es-ES_tradnl"/>
        </w:rPr>
        <w:t>,</w:t>
      </w:r>
      <w:r w:rsidR="003A46A1" w:rsidRPr="00B25E57">
        <w:rPr>
          <w:lang w:val="es-ES_tradnl"/>
        </w:rPr>
        <w:t xml:space="preserve"> </w:t>
      </w:r>
      <w:r w:rsidR="009C3B8D">
        <w:rPr>
          <w:lang w:val="es-ES_tradnl"/>
        </w:rPr>
        <w:t xml:space="preserve">que no </w:t>
      </w:r>
      <w:r w:rsidR="009D7728">
        <w:rPr>
          <w:lang w:val="es-ES_tradnl"/>
        </w:rPr>
        <w:t>decían</w:t>
      </w:r>
      <w:r w:rsidR="009C3B8D">
        <w:rPr>
          <w:lang w:val="es-ES_tradnl"/>
        </w:rPr>
        <w:t xml:space="preserve"> relación con </w:t>
      </w:r>
      <w:r w:rsidR="00283A86">
        <w:rPr>
          <w:lang w:val="es-ES_tradnl"/>
        </w:rPr>
        <w:t xml:space="preserve">la demanda de </w:t>
      </w:r>
      <w:r w:rsidR="00F33C58" w:rsidRPr="00B25E57">
        <w:rPr>
          <w:lang w:val="es-ES_tradnl"/>
        </w:rPr>
        <w:t>HCFC</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7D7382" w:rsidRPr="00B25E57">
        <w:rPr>
          <w:lang w:val="es-ES_tradnl"/>
        </w:rPr>
        <w:t>el</w:t>
      </w:r>
      <w:r w:rsidR="003A46A1" w:rsidRPr="00B25E57">
        <w:rPr>
          <w:lang w:val="es-ES_tradnl"/>
        </w:rPr>
        <w:t xml:space="preserve"> </w:t>
      </w:r>
      <w:r w:rsidR="007D7382" w:rsidRPr="00B25E57">
        <w:rPr>
          <w:lang w:val="es-ES_tradnl"/>
        </w:rPr>
        <w:t>mercado</w:t>
      </w:r>
      <w:r w:rsidR="003A46A1" w:rsidRPr="00B25E57">
        <w:rPr>
          <w:lang w:val="es-ES_tradnl"/>
        </w:rPr>
        <w:t xml:space="preserve"> </w:t>
      </w:r>
      <w:r w:rsidR="008A3316" w:rsidRPr="00B25E57">
        <w:rPr>
          <w:lang w:val="es-ES_tradnl"/>
        </w:rPr>
        <w:t>nacional</w:t>
      </w:r>
      <w:r w:rsidR="006F2CFD" w:rsidRPr="00B25E57">
        <w:rPr>
          <w:lang w:val="es-ES_tradnl"/>
        </w:rPr>
        <w:t>,</w:t>
      </w:r>
      <w:r w:rsidR="003A46A1" w:rsidRPr="00B25E57">
        <w:rPr>
          <w:lang w:val="es-ES_tradnl"/>
        </w:rPr>
        <w:t xml:space="preserve"> </w:t>
      </w:r>
      <w:r w:rsidR="00025E6C">
        <w:rPr>
          <w:lang w:val="es-ES_tradnl"/>
        </w:rPr>
        <w:t>retornasen</w:t>
      </w:r>
      <w:r w:rsidR="00F85E7F">
        <w:rPr>
          <w:lang w:val="es-ES_tradnl"/>
        </w:rPr>
        <w:t xml:space="preserve"> </w:t>
      </w:r>
      <w:r w:rsidR="00F85E7F" w:rsidRPr="00F85E7F">
        <w:rPr>
          <w:lang w:val="es-ES_tradnl"/>
        </w:rPr>
        <w:t xml:space="preserve">en un futuro próximo </w:t>
      </w:r>
      <w:r w:rsidR="002926FD">
        <w:rPr>
          <w:lang w:val="es-ES_tradnl"/>
        </w:rPr>
        <w:t>a su estado anterior</w:t>
      </w:r>
      <w:r w:rsidR="005D685B" w:rsidRPr="00B25E57">
        <w:rPr>
          <w:lang w:val="es-ES_tradnl"/>
        </w:rPr>
        <w:t>,</w:t>
      </w:r>
      <w:r w:rsidR="003A46A1" w:rsidRPr="00B25E57">
        <w:rPr>
          <w:lang w:val="es-ES_tradnl"/>
        </w:rPr>
        <w:t xml:space="preserve"> </w:t>
      </w:r>
      <w:r w:rsidR="00C66EFB">
        <w:rPr>
          <w:lang w:val="es-ES_tradnl"/>
        </w:rPr>
        <w:t>generando</w:t>
      </w:r>
      <w:r w:rsidR="00684153">
        <w:rPr>
          <w:lang w:val="es-ES_tradnl"/>
        </w:rPr>
        <w:t xml:space="preserve"> un </w:t>
      </w:r>
      <w:r w:rsidR="00D90F23">
        <w:rPr>
          <w:lang w:val="es-ES_tradnl"/>
        </w:rPr>
        <w:t xml:space="preserve">posible </w:t>
      </w:r>
      <w:r w:rsidR="00684153">
        <w:rPr>
          <w:lang w:val="es-ES_tradnl"/>
        </w:rPr>
        <w:t xml:space="preserve">incremento </w:t>
      </w:r>
      <w:r w:rsidR="004241C5" w:rsidRPr="00B25E57">
        <w:rPr>
          <w:lang w:val="es-ES_tradnl"/>
        </w:rPr>
        <w:t>en</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consumo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057BA" w:rsidRPr="00B25E57">
        <w:rPr>
          <w:lang w:val="es-ES_tradnl"/>
        </w:rPr>
        <w:t>HCFC</w:t>
      </w:r>
      <w:r w:rsidR="005D685B" w:rsidRPr="00B25E57">
        <w:rPr>
          <w:lang w:val="es-ES_tradnl"/>
        </w:rPr>
        <w:t>.</w:t>
      </w:r>
      <w:r w:rsidR="001613FF" w:rsidRPr="00B25E57">
        <w:rPr>
          <w:rStyle w:val="FootnoteReference"/>
          <w:lang w:val="es-ES_tradnl"/>
        </w:rPr>
        <w:footnoteReference w:id="3"/>
      </w:r>
      <w:r w:rsidR="003A46A1" w:rsidRPr="00B25E57">
        <w:rPr>
          <w:lang w:val="es-ES_tradnl"/>
        </w:rPr>
        <w:t xml:space="preserve"> </w:t>
      </w:r>
      <w:r w:rsidR="00155E21">
        <w:rPr>
          <w:lang w:val="es-ES_tradnl"/>
        </w:rPr>
        <w:t xml:space="preserve">Luego, sin embargo, </w:t>
      </w:r>
      <w:r w:rsidR="00DD3CF9">
        <w:rPr>
          <w:lang w:val="es-ES_tradnl"/>
        </w:rPr>
        <w:t xml:space="preserve">el país </w:t>
      </w:r>
      <w:r w:rsidR="003A57CE">
        <w:rPr>
          <w:lang w:val="es-ES_tradnl"/>
        </w:rPr>
        <w:t xml:space="preserve">sufrió una </w:t>
      </w:r>
      <w:r w:rsidR="00DE406F">
        <w:rPr>
          <w:lang w:val="es-ES_tradnl"/>
        </w:rPr>
        <w:t>crisis económica</w:t>
      </w:r>
      <w:r w:rsidR="00672903">
        <w:rPr>
          <w:lang w:val="es-ES_tradnl"/>
        </w:rPr>
        <w:t xml:space="preserve"> </w:t>
      </w:r>
      <w:r w:rsidR="008F6E62">
        <w:rPr>
          <w:lang w:val="es-ES_tradnl"/>
        </w:rPr>
        <w:t xml:space="preserve">que </w:t>
      </w:r>
      <w:r w:rsidR="009D257D">
        <w:rPr>
          <w:lang w:val="es-ES_tradnl"/>
        </w:rPr>
        <w:t xml:space="preserve">devaluó </w:t>
      </w:r>
      <w:r w:rsidR="004057BA" w:rsidRPr="00B25E57">
        <w:rPr>
          <w:lang w:val="es-ES_tradnl"/>
        </w:rPr>
        <w:t>el</w:t>
      </w:r>
      <w:r w:rsidR="003A46A1" w:rsidRPr="00B25E57">
        <w:rPr>
          <w:lang w:val="es-ES_tradnl"/>
        </w:rPr>
        <w:t xml:space="preserve"> </w:t>
      </w:r>
      <w:r w:rsidR="00DE406F">
        <w:rPr>
          <w:lang w:val="es-ES_tradnl"/>
        </w:rPr>
        <w:t>peso argentino</w:t>
      </w:r>
      <w:r w:rsidR="003A46A1" w:rsidRPr="00B25E57">
        <w:rPr>
          <w:lang w:val="es-ES_tradnl"/>
        </w:rPr>
        <w:t xml:space="preserve"> </w:t>
      </w:r>
      <w:r w:rsidR="00E5774F">
        <w:rPr>
          <w:lang w:val="es-ES_tradnl"/>
        </w:rPr>
        <w:t xml:space="preserve">en </w:t>
      </w:r>
      <w:r w:rsidR="004057BA" w:rsidRPr="00B25E57">
        <w:rPr>
          <w:lang w:val="es-ES_tradnl"/>
        </w:rPr>
        <w:t>cerca</w:t>
      </w:r>
      <w:r w:rsidR="003A46A1" w:rsidRPr="00B25E57">
        <w:rPr>
          <w:lang w:val="es-ES_tradnl"/>
        </w:rPr>
        <w:t xml:space="preserve"> </w:t>
      </w:r>
      <w:r w:rsidR="004057BA" w:rsidRPr="00B25E57">
        <w:rPr>
          <w:lang w:val="es-ES_tradnl"/>
        </w:rPr>
        <w:t>de</w:t>
      </w:r>
      <w:r w:rsidR="00E5774F">
        <w:rPr>
          <w:lang w:val="es-ES_tradnl"/>
        </w:rPr>
        <w:t>l</w:t>
      </w:r>
      <w:r w:rsidR="003A46A1" w:rsidRPr="00B25E57">
        <w:rPr>
          <w:lang w:val="es-ES_tradnl"/>
        </w:rPr>
        <w:t xml:space="preserve"> </w:t>
      </w:r>
      <w:r w:rsidR="00203320" w:rsidRPr="00B25E57">
        <w:rPr>
          <w:lang w:val="es-ES_tradnl"/>
        </w:rPr>
        <w:t>60</w:t>
      </w:r>
      <w:r w:rsidR="00FB38C2" w:rsidRPr="00B25E57">
        <w:rPr>
          <w:lang w:val="es-ES_tradnl"/>
        </w:rPr>
        <w:t>%</w:t>
      </w:r>
      <w:r w:rsidR="003A46A1" w:rsidRPr="00B25E57">
        <w:rPr>
          <w:lang w:val="es-ES_tradnl"/>
        </w:rPr>
        <w:t xml:space="preserve"> </w:t>
      </w:r>
      <w:r w:rsidR="00E5774F">
        <w:rPr>
          <w:lang w:val="es-ES_tradnl"/>
        </w:rPr>
        <w:t xml:space="preserve">respecto de otras monedas </w:t>
      </w:r>
      <w:r w:rsidR="00203320" w:rsidRPr="00B25E57">
        <w:rPr>
          <w:lang w:val="es-ES_tradnl"/>
        </w:rPr>
        <w:t>(</w:t>
      </w:r>
      <w:r w:rsidR="00F52399">
        <w:rPr>
          <w:lang w:val="es-ES_tradnl"/>
        </w:rPr>
        <w:t>yuan chino</w:t>
      </w:r>
      <w:r w:rsidR="00203320" w:rsidRPr="00B25E57">
        <w:rPr>
          <w:lang w:val="es-ES_tradnl"/>
        </w:rPr>
        <w:t>,</w:t>
      </w:r>
      <w:r w:rsidR="003A46A1" w:rsidRPr="00B25E57">
        <w:rPr>
          <w:lang w:val="es-ES_tradnl"/>
        </w:rPr>
        <w:t xml:space="preserve"> </w:t>
      </w:r>
      <w:r w:rsidR="00F52399">
        <w:rPr>
          <w:lang w:val="es-ES_tradnl"/>
        </w:rPr>
        <w:t>dólar</w:t>
      </w:r>
      <w:r w:rsidR="00203320" w:rsidRPr="00B25E57">
        <w:rPr>
          <w:lang w:val="es-ES_tradnl"/>
        </w:rPr>
        <w:t>,</w:t>
      </w:r>
      <w:r w:rsidR="003A46A1" w:rsidRPr="00B25E57">
        <w:rPr>
          <w:lang w:val="es-ES_tradnl"/>
        </w:rPr>
        <w:t xml:space="preserve"> </w:t>
      </w:r>
      <w:r w:rsidR="00F52399">
        <w:rPr>
          <w:lang w:val="es-ES_tradnl"/>
        </w:rPr>
        <w:t>e</w:t>
      </w:r>
      <w:r w:rsidR="00203320" w:rsidRPr="00B25E57">
        <w:rPr>
          <w:lang w:val="es-ES_tradnl"/>
        </w:rPr>
        <w:t>uro).</w:t>
      </w:r>
    </w:p>
    <w:p w14:paraId="2688DBF6" w14:textId="0BC22382" w:rsidR="00511317" w:rsidRPr="00B25E57" w:rsidRDefault="00517D62" w:rsidP="00A36814">
      <w:pPr>
        <w:keepNext/>
        <w:rPr>
          <w:u w:val="single"/>
          <w:lang w:val="es-ES_tradnl"/>
        </w:rPr>
      </w:pPr>
      <w:r w:rsidRPr="00B25E57">
        <w:rPr>
          <w:u w:val="single"/>
          <w:lang w:val="es-ES_tradnl"/>
        </w:rPr>
        <w:t>Situación de</w:t>
      </w:r>
      <w:r w:rsidR="004057BA" w:rsidRPr="00B25E57">
        <w:rPr>
          <w:u w:val="single"/>
          <w:lang w:val="es-ES_tradnl"/>
        </w:rPr>
        <w:t>l</w:t>
      </w:r>
      <w:r w:rsidR="003A46A1" w:rsidRPr="00B25E57">
        <w:rPr>
          <w:u w:val="single"/>
          <w:lang w:val="es-ES_tradnl"/>
        </w:rPr>
        <w:t xml:space="preserve"> </w:t>
      </w:r>
      <w:r w:rsidR="00BD43FA">
        <w:rPr>
          <w:u w:val="single"/>
          <w:lang w:val="es-ES_tradnl"/>
        </w:rPr>
        <w:t>sector productor de SAO</w:t>
      </w:r>
    </w:p>
    <w:p w14:paraId="6B6B362B" w14:textId="77777777" w:rsidR="00511317" w:rsidRPr="00B25E57" w:rsidRDefault="00511317" w:rsidP="00A36814">
      <w:pPr>
        <w:keepNext/>
        <w:rPr>
          <w:lang w:val="es-ES_tradnl"/>
        </w:rPr>
      </w:pPr>
    </w:p>
    <w:p w14:paraId="517DA683" w14:textId="55430362" w:rsidR="007B22B4" w:rsidRPr="00B25E57" w:rsidRDefault="00332FE1" w:rsidP="00332FE1">
      <w:pPr>
        <w:pStyle w:val="Heading1"/>
        <w:rPr>
          <w:lang w:val="es-ES_tradnl"/>
        </w:rPr>
      </w:pPr>
      <w:r w:rsidRPr="00B25E57">
        <w:rPr>
          <w:lang w:val="es-ES_tradnl"/>
        </w:rPr>
        <w:t>FIASA</w:t>
      </w:r>
      <w:r w:rsidR="006F6922">
        <w:rPr>
          <w:lang w:val="es-ES_tradnl"/>
        </w:rPr>
        <w:t xml:space="preserve">, fundada en </w:t>
      </w:r>
      <w:r w:rsidRPr="00B25E57">
        <w:rPr>
          <w:lang w:val="es-ES_tradnl"/>
        </w:rPr>
        <w:t>1986</w:t>
      </w:r>
      <w:r w:rsidR="006F6922">
        <w:rPr>
          <w:lang w:val="es-ES_tradnl"/>
        </w:rPr>
        <w:t xml:space="preserve">, </w:t>
      </w:r>
      <w:r w:rsidR="00BD0AC7">
        <w:rPr>
          <w:lang w:val="es-ES_tradnl"/>
        </w:rPr>
        <w:t xml:space="preserve">produjo </w:t>
      </w:r>
      <w:r w:rsidRPr="00B25E57">
        <w:rPr>
          <w:lang w:val="es-ES_tradnl"/>
        </w:rPr>
        <w:t>CFC</w:t>
      </w:r>
      <w:r w:rsidR="00FB38C2" w:rsidRPr="00B25E57">
        <w:rPr>
          <w:lang w:val="es-ES_tradnl"/>
        </w:rPr>
        <w:t>-</w:t>
      </w:r>
      <w:r w:rsidRPr="00B25E57">
        <w:rPr>
          <w:lang w:val="es-ES_tradnl"/>
        </w:rPr>
        <w:t>11</w:t>
      </w:r>
      <w:r w:rsidR="003A46A1" w:rsidRPr="00B25E57">
        <w:rPr>
          <w:lang w:val="es-ES_tradnl"/>
        </w:rPr>
        <w:t xml:space="preserve"> </w:t>
      </w:r>
      <w:r w:rsidR="00FB38C2" w:rsidRPr="00B25E57">
        <w:rPr>
          <w:lang w:val="es-ES_tradnl"/>
        </w:rPr>
        <w:t>y</w:t>
      </w:r>
      <w:r w:rsidR="003A46A1" w:rsidRPr="00B25E57">
        <w:rPr>
          <w:lang w:val="es-ES_tradnl"/>
        </w:rPr>
        <w:t xml:space="preserve"> </w:t>
      </w:r>
      <w:r w:rsidRPr="00B25E57">
        <w:rPr>
          <w:lang w:val="es-ES_tradnl"/>
        </w:rPr>
        <w:t>CFC</w:t>
      </w:r>
      <w:r w:rsidR="00FB38C2" w:rsidRPr="00B25E57">
        <w:rPr>
          <w:lang w:val="es-ES_tradnl"/>
        </w:rPr>
        <w:t>-</w:t>
      </w:r>
      <w:r w:rsidRPr="00B25E57">
        <w:rPr>
          <w:lang w:val="es-ES_tradnl"/>
        </w:rPr>
        <w:t>12</w:t>
      </w:r>
      <w:r w:rsidR="003A46A1" w:rsidRPr="00B25E57">
        <w:rPr>
          <w:lang w:val="es-ES_tradnl"/>
        </w:rPr>
        <w:t xml:space="preserve"> </w:t>
      </w:r>
      <w:r w:rsidR="00517D62" w:rsidRPr="00B25E57">
        <w:rPr>
          <w:lang w:val="es-ES_tradnl"/>
        </w:rPr>
        <w:t>hasta</w:t>
      </w:r>
      <w:r w:rsidR="003A46A1" w:rsidRPr="00B25E57">
        <w:rPr>
          <w:lang w:val="es-ES_tradnl"/>
        </w:rPr>
        <w:t xml:space="preserve"> </w:t>
      </w:r>
      <w:r w:rsidR="00B24AC7">
        <w:rPr>
          <w:lang w:val="es-ES_tradnl"/>
        </w:rPr>
        <w:t xml:space="preserve">el </w:t>
      </w:r>
      <w:r w:rsidRPr="00B25E57">
        <w:rPr>
          <w:lang w:val="es-ES_tradnl"/>
        </w:rPr>
        <w:t>200</w:t>
      </w:r>
      <w:r w:rsidR="005F1555">
        <w:rPr>
          <w:lang w:val="es-ES_tradnl"/>
        </w:rPr>
        <w:t>7,</w:t>
      </w:r>
      <w:r w:rsidR="003A46A1" w:rsidRPr="00B25E57">
        <w:rPr>
          <w:lang w:val="es-ES_tradnl"/>
        </w:rPr>
        <w:t xml:space="preserve"> </w:t>
      </w:r>
      <w:r w:rsidR="0034330E" w:rsidRPr="0034330E">
        <w:rPr>
          <w:lang w:val="es-ES_tradnl"/>
        </w:rPr>
        <w:t xml:space="preserve">año </w:t>
      </w:r>
      <w:r w:rsidR="0034330E">
        <w:rPr>
          <w:lang w:val="es-ES_tradnl"/>
        </w:rPr>
        <w:t xml:space="preserve">en que </w:t>
      </w:r>
      <w:r w:rsidR="00736174">
        <w:rPr>
          <w:lang w:val="es-ES_tradnl"/>
        </w:rPr>
        <w:t xml:space="preserve">convirtió </w:t>
      </w:r>
      <w:r w:rsidR="00F942C6" w:rsidRPr="00B25E57">
        <w:rPr>
          <w:lang w:val="es-ES_tradnl"/>
        </w:rPr>
        <w:t>su</w:t>
      </w:r>
      <w:r w:rsidR="003A46A1" w:rsidRPr="00B25E57">
        <w:rPr>
          <w:lang w:val="es-ES_tradnl"/>
        </w:rPr>
        <w:t xml:space="preserve"> </w:t>
      </w:r>
      <w:r w:rsidR="00E02E17">
        <w:rPr>
          <w:lang w:val="es-ES_tradnl"/>
        </w:rPr>
        <w:t>planta dual</w:t>
      </w:r>
      <w:r w:rsidR="003A46A1" w:rsidRPr="00B25E57">
        <w:rPr>
          <w:lang w:val="es-ES_tradnl"/>
        </w:rPr>
        <w:t xml:space="preserve"> </w:t>
      </w:r>
      <w:r w:rsidR="00965453">
        <w:rPr>
          <w:lang w:val="es-ES_tradnl"/>
        </w:rPr>
        <w:t xml:space="preserve">a la producción de </w:t>
      </w:r>
      <w:r w:rsidRPr="00B25E57">
        <w:rPr>
          <w:lang w:val="es-ES_tradnl"/>
        </w:rPr>
        <w:t>HCFC</w:t>
      </w:r>
      <w:r w:rsidR="00FB38C2" w:rsidRPr="00B25E57">
        <w:rPr>
          <w:lang w:val="es-ES_tradnl"/>
        </w:rPr>
        <w:t>-</w:t>
      </w:r>
      <w:r w:rsidRPr="00B25E57">
        <w:rPr>
          <w:lang w:val="es-ES_tradnl"/>
        </w:rPr>
        <w:t>22.</w:t>
      </w:r>
      <w:r w:rsidR="001374A2" w:rsidRPr="00B25E57">
        <w:rPr>
          <w:rStyle w:val="FootnoteReference"/>
          <w:lang w:val="es-ES_tradnl"/>
        </w:rPr>
        <w:footnoteReference w:id="4"/>
      </w:r>
      <w:r w:rsidR="003A46A1" w:rsidRPr="00B25E57">
        <w:rPr>
          <w:lang w:val="es-ES_tradnl"/>
        </w:rPr>
        <w:t xml:space="preserve"> </w:t>
      </w:r>
      <w:r w:rsidR="005F1555">
        <w:rPr>
          <w:lang w:val="es-ES_tradnl"/>
        </w:rPr>
        <w:t>Desde ese entonces</w:t>
      </w:r>
      <w:r w:rsidR="003A46A1" w:rsidRPr="00B25E57">
        <w:rPr>
          <w:lang w:val="es-ES_tradnl"/>
        </w:rPr>
        <w:t xml:space="preserve"> </w:t>
      </w:r>
      <w:r w:rsidR="00B25E57">
        <w:rPr>
          <w:lang w:val="es-ES_tradnl"/>
        </w:rPr>
        <w:t>ha sido</w:t>
      </w:r>
      <w:r w:rsidR="003A46A1" w:rsidRPr="00B25E57">
        <w:rPr>
          <w:lang w:val="es-ES_tradnl"/>
        </w:rPr>
        <w:t xml:space="preserve"> </w:t>
      </w:r>
      <w:r w:rsidR="009E1FB2">
        <w:rPr>
          <w:lang w:val="es-ES_tradnl"/>
        </w:rPr>
        <w:t>el único productor</w:t>
      </w:r>
      <w:r w:rsidR="003A46A1" w:rsidRPr="00B25E57">
        <w:rPr>
          <w:lang w:val="es-ES_tradnl"/>
        </w:rPr>
        <w:t xml:space="preserve"> </w:t>
      </w:r>
      <w:r w:rsidR="009E1FB2">
        <w:rPr>
          <w:lang w:val="es-ES_tradnl"/>
        </w:rPr>
        <w:t xml:space="preserve">de </w:t>
      </w:r>
      <w:r w:rsidR="009E1FB2" w:rsidRPr="009E1FB2">
        <w:rPr>
          <w:lang w:val="es-ES_tradnl"/>
        </w:rPr>
        <w:t xml:space="preserve">HCFC </w:t>
      </w:r>
      <w:r w:rsidR="00384473">
        <w:rPr>
          <w:lang w:val="es-ES_tradnl"/>
        </w:rPr>
        <w:t>del país</w:t>
      </w:r>
      <w:r w:rsidR="00091EC9">
        <w:rPr>
          <w:lang w:val="es-ES_tradnl"/>
        </w:rPr>
        <w:t xml:space="preserve">, con una producción </w:t>
      </w:r>
      <w:r w:rsidR="00307950">
        <w:rPr>
          <w:lang w:val="es-ES_tradnl"/>
        </w:rPr>
        <w:t xml:space="preserve">de </w:t>
      </w:r>
      <w:r w:rsidR="00307950" w:rsidRPr="00307950">
        <w:rPr>
          <w:lang w:val="es-ES_tradnl"/>
        </w:rPr>
        <w:t xml:space="preserve">HCFC-22 </w:t>
      </w:r>
      <w:r w:rsidR="00294BF3">
        <w:rPr>
          <w:lang w:val="es-ES_tradnl"/>
        </w:rPr>
        <w:t xml:space="preserve">que se destina </w:t>
      </w:r>
      <w:r w:rsidR="00307950">
        <w:rPr>
          <w:lang w:val="es-ES_tradnl"/>
        </w:rPr>
        <w:t xml:space="preserve">exclusivamente al mercado </w:t>
      </w:r>
      <w:r w:rsidR="00A4343B" w:rsidRPr="00B25E57">
        <w:rPr>
          <w:lang w:val="es-ES_tradnl"/>
        </w:rPr>
        <w:t>residencial</w:t>
      </w:r>
      <w:r w:rsidRPr="00B25E57">
        <w:rPr>
          <w:lang w:val="es-ES_tradnl"/>
        </w:rPr>
        <w:t>.</w:t>
      </w:r>
    </w:p>
    <w:p w14:paraId="1B9248E3" w14:textId="396D8545" w:rsidR="00960B62" w:rsidRPr="00B25E57" w:rsidRDefault="00A6484A" w:rsidP="006C36A8">
      <w:pPr>
        <w:pStyle w:val="Heading1"/>
        <w:rPr>
          <w:lang w:val="es-ES_tradnl"/>
        </w:rPr>
      </w:pPr>
      <w:r>
        <w:rPr>
          <w:lang w:val="es-ES_tradnl"/>
        </w:rPr>
        <w:t xml:space="preserve">Del </w:t>
      </w:r>
      <w:r w:rsidRPr="00A6484A">
        <w:rPr>
          <w:lang w:val="es-ES_tradnl"/>
        </w:rPr>
        <w:t>15 de octubre de 2007 al 14 de octubre de 2013</w:t>
      </w:r>
      <w:r>
        <w:rPr>
          <w:lang w:val="es-ES_tradnl"/>
        </w:rPr>
        <w:t xml:space="preserve"> </w:t>
      </w:r>
      <w:r w:rsidR="00511317" w:rsidRPr="00B25E57">
        <w:rPr>
          <w:lang w:val="es-ES_tradnl"/>
        </w:rPr>
        <w:t>FIASA</w:t>
      </w:r>
      <w:r w:rsidR="003A46A1" w:rsidRPr="00B25E57">
        <w:rPr>
          <w:lang w:val="es-ES_tradnl"/>
        </w:rPr>
        <w:t xml:space="preserve"> </w:t>
      </w:r>
      <w:r w:rsidR="00A04C73">
        <w:rPr>
          <w:lang w:val="es-ES_tradnl"/>
        </w:rPr>
        <w:t>implementó</w:t>
      </w:r>
      <w:r w:rsidR="003A46A1" w:rsidRPr="00B25E57">
        <w:rPr>
          <w:lang w:val="es-ES_tradnl"/>
        </w:rPr>
        <w:t xml:space="preserve"> </w:t>
      </w:r>
      <w:r w:rsidR="00A04C73">
        <w:rPr>
          <w:lang w:val="es-ES_tradnl"/>
        </w:rPr>
        <w:t>un</w:t>
      </w:r>
      <w:r w:rsidR="003A46A1" w:rsidRPr="00B25E57">
        <w:rPr>
          <w:lang w:val="es-ES_tradnl"/>
        </w:rPr>
        <w:t xml:space="preserve"> </w:t>
      </w:r>
      <w:r w:rsidR="00A04C73" w:rsidRPr="00A04C73">
        <w:rPr>
          <w:lang w:val="es-ES_tradnl"/>
        </w:rPr>
        <w:t xml:space="preserve">proyecto </w:t>
      </w:r>
      <w:r w:rsidR="00A04C73">
        <w:rPr>
          <w:lang w:val="es-ES_tradnl"/>
        </w:rPr>
        <w:t>de</w:t>
      </w:r>
      <w:r w:rsidR="00150D69">
        <w:rPr>
          <w:lang w:val="es-ES_tradnl"/>
        </w:rPr>
        <w:t>l</w:t>
      </w:r>
      <w:r w:rsidR="00A04C73">
        <w:rPr>
          <w:lang w:val="es-ES_tradnl"/>
        </w:rPr>
        <w:t xml:space="preserve"> Mecanismo para un Desarrollo Limpio</w:t>
      </w:r>
      <w:r w:rsidR="003A46A1" w:rsidRPr="00B25E57">
        <w:rPr>
          <w:lang w:val="es-ES_tradnl"/>
        </w:rPr>
        <w:t xml:space="preserve"> </w:t>
      </w:r>
      <w:r w:rsidR="005D685B" w:rsidRPr="00B25E57">
        <w:rPr>
          <w:lang w:val="es-ES_tradnl"/>
        </w:rPr>
        <w:t>(</w:t>
      </w:r>
      <w:r w:rsidR="00A04C73">
        <w:rPr>
          <w:lang w:val="es-ES_tradnl"/>
        </w:rPr>
        <w:t>MDL</w:t>
      </w:r>
      <w:r w:rsidR="005D685B" w:rsidRPr="00B25E57">
        <w:rPr>
          <w:lang w:val="es-ES_tradnl"/>
        </w:rPr>
        <w:t>)</w:t>
      </w:r>
      <w:r w:rsidR="003A46A1" w:rsidRPr="00B25E57">
        <w:rPr>
          <w:lang w:val="es-ES_tradnl"/>
        </w:rPr>
        <w:t xml:space="preserve"> </w:t>
      </w:r>
      <w:r w:rsidR="0024677D">
        <w:rPr>
          <w:lang w:val="es-ES_tradnl"/>
        </w:rPr>
        <w:t xml:space="preserve">para </w:t>
      </w:r>
      <w:r w:rsidR="006F2CFD" w:rsidRPr="00B25E57">
        <w:rPr>
          <w:lang w:val="es-ES_tradnl"/>
        </w:rPr>
        <w:t>control</w:t>
      </w:r>
      <w:r w:rsidR="0024677D">
        <w:rPr>
          <w:lang w:val="es-ES_tradnl"/>
        </w:rPr>
        <w:t>ar</w:t>
      </w:r>
      <w:r w:rsidR="003A46A1" w:rsidRPr="00B25E57">
        <w:rPr>
          <w:lang w:val="es-ES_tradnl"/>
        </w:rPr>
        <w:t xml:space="preserve"> </w:t>
      </w:r>
      <w:r w:rsidR="000B2354">
        <w:rPr>
          <w:lang w:val="es-ES_tradnl"/>
        </w:rPr>
        <w:t xml:space="preserve">las </w:t>
      </w:r>
      <w:r w:rsidR="006B3C02">
        <w:rPr>
          <w:lang w:val="es-ES_tradnl"/>
        </w:rPr>
        <w:t>emisiones de</w:t>
      </w:r>
      <w:r w:rsidR="00B6344F">
        <w:rPr>
          <w:lang w:val="es-ES_tradnl"/>
        </w:rPr>
        <w:t xml:space="preserve"> HFC-23</w:t>
      </w:r>
      <w:r w:rsidR="00511317" w:rsidRPr="00B25E57">
        <w:rPr>
          <w:lang w:val="es-ES_tradnl"/>
        </w:rPr>
        <w:t>.</w:t>
      </w:r>
      <w:r w:rsidR="003A46A1" w:rsidRPr="00B25E57">
        <w:rPr>
          <w:lang w:val="es-ES_tradnl"/>
        </w:rPr>
        <w:t xml:space="preserve"> </w:t>
      </w:r>
      <w:r w:rsidR="00D213C9">
        <w:rPr>
          <w:lang w:val="es-ES_tradnl"/>
        </w:rPr>
        <w:t>El</w:t>
      </w:r>
      <w:r w:rsidR="003A46A1" w:rsidRPr="00B25E57">
        <w:rPr>
          <w:lang w:val="es-ES_tradnl"/>
        </w:rPr>
        <w:t xml:space="preserve"> </w:t>
      </w:r>
      <w:r w:rsidR="0070615B" w:rsidRPr="00B25E57">
        <w:rPr>
          <w:lang w:val="es-ES_tradnl"/>
        </w:rPr>
        <w:t>15</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octubre</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0615B" w:rsidRPr="00B25E57">
        <w:rPr>
          <w:lang w:val="es-ES_tradnl"/>
        </w:rPr>
        <w:t>2007</w:t>
      </w:r>
      <w:r w:rsidR="003A46A1" w:rsidRPr="00B25E57">
        <w:rPr>
          <w:lang w:val="es-ES_tradnl"/>
        </w:rPr>
        <w:t xml:space="preserve"> </w:t>
      </w:r>
      <w:r w:rsidR="0070615B" w:rsidRPr="00B25E57">
        <w:rPr>
          <w:lang w:val="es-ES_tradnl"/>
        </w:rPr>
        <w:t>FIASA</w:t>
      </w:r>
      <w:r w:rsidR="003A46A1" w:rsidRPr="00B25E57">
        <w:rPr>
          <w:lang w:val="es-ES_tradnl"/>
        </w:rPr>
        <w:t xml:space="preserve"> </w:t>
      </w:r>
      <w:r w:rsidR="00234E8A">
        <w:rPr>
          <w:lang w:val="es-ES_tradnl"/>
        </w:rPr>
        <w:t xml:space="preserve">puso en servicio un </w:t>
      </w:r>
      <w:r w:rsidR="004057BA" w:rsidRPr="00B25E57">
        <w:rPr>
          <w:lang w:val="es-ES_tradnl"/>
        </w:rPr>
        <w:t>sistema</w:t>
      </w:r>
      <w:r w:rsidR="003A46A1" w:rsidRPr="00B25E57">
        <w:rPr>
          <w:lang w:val="es-ES_tradnl"/>
        </w:rPr>
        <w:t xml:space="preserve"> </w:t>
      </w:r>
      <w:r w:rsidR="00234E8A">
        <w:rPr>
          <w:lang w:val="es-ES_tradnl"/>
        </w:rPr>
        <w:t xml:space="preserve">de </w:t>
      </w:r>
      <w:r w:rsidR="00234E8A" w:rsidRPr="00234E8A">
        <w:rPr>
          <w:lang w:val="es-ES_tradnl"/>
        </w:rPr>
        <w:t xml:space="preserve">incineración por oxidación térmica </w:t>
      </w:r>
      <w:r w:rsidR="007E5B2F">
        <w:rPr>
          <w:lang w:val="es-ES_tradnl"/>
        </w:rPr>
        <w:t xml:space="preserve">adquirido a </w:t>
      </w:r>
      <w:r w:rsidR="0070615B" w:rsidRPr="00216433">
        <w:rPr>
          <w:lang w:val="es-ES"/>
        </w:rPr>
        <w:t>SGL</w:t>
      </w:r>
      <w:r w:rsidR="003A46A1" w:rsidRPr="00216433">
        <w:rPr>
          <w:lang w:val="es-ES"/>
        </w:rPr>
        <w:t xml:space="preserve"> </w:t>
      </w:r>
      <w:r w:rsidR="0070615B" w:rsidRPr="00216433">
        <w:rPr>
          <w:lang w:val="es-ES"/>
        </w:rPr>
        <w:t>Carbon</w:t>
      </w:r>
      <w:r w:rsidR="003A46A1" w:rsidRPr="00216433">
        <w:rPr>
          <w:lang w:val="es-ES"/>
        </w:rPr>
        <w:t xml:space="preserve"> </w:t>
      </w:r>
      <w:r w:rsidR="00D11AB0" w:rsidRPr="00216433">
        <w:rPr>
          <w:lang w:val="es-ES"/>
        </w:rPr>
        <w:t>Group</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0615B" w:rsidRPr="00B25E57">
        <w:rPr>
          <w:lang w:val="es-ES_tradnl"/>
        </w:rPr>
        <w:t>Meitingen,</w:t>
      </w:r>
      <w:r w:rsidR="003A46A1" w:rsidRPr="00B25E57">
        <w:rPr>
          <w:lang w:val="es-ES_tradnl"/>
        </w:rPr>
        <w:t xml:space="preserve"> </w:t>
      </w:r>
      <w:r w:rsidR="004057BA" w:rsidRPr="00B25E57">
        <w:rPr>
          <w:lang w:val="es-ES_tradnl"/>
        </w:rPr>
        <w:t>Alemania</w:t>
      </w:r>
      <w:r w:rsidR="0070615B" w:rsidRPr="00B25E57">
        <w:rPr>
          <w:lang w:val="es-ES_tradnl"/>
        </w:rPr>
        <w:t>.</w:t>
      </w:r>
      <w:r w:rsidR="003A46A1" w:rsidRPr="00B25E57">
        <w:rPr>
          <w:lang w:val="es-ES_tradnl"/>
        </w:rPr>
        <w:t xml:space="preserve"> </w:t>
      </w:r>
      <w:r w:rsidR="00332FE1" w:rsidRPr="00B25E57">
        <w:rPr>
          <w:lang w:val="es-ES_tradnl"/>
        </w:rPr>
        <w:t>FIASA</w:t>
      </w:r>
      <w:r w:rsidR="003A46A1" w:rsidRPr="00B25E57">
        <w:rPr>
          <w:lang w:val="es-ES_tradnl"/>
        </w:rPr>
        <w:t xml:space="preserve"> </w:t>
      </w:r>
      <w:r w:rsidR="00687328">
        <w:rPr>
          <w:lang w:val="es-ES_tradnl"/>
        </w:rPr>
        <w:t xml:space="preserve">instaló </w:t>
      </w:r>
      <w:r w:rsidR="00736F7E">
        <w:rPr>
          <w:lang w:val="es-ES_tradnl"/>
        </w:rPr>
        <w:t xml:space="preserve">además </w:t>
      </w:r>
      <w:r w:rsidR="00687328">
        <w:rPr>
          <w:lang w:val="es-ES_tradnl"/>
        </w:rPr>
        <w:t xml:space="preserve">un </w:t>
      </w:r>
      <w:r w:rsidR="006A0B9C">
        <w:rPr>
          <w:lang w:val="es-ES_tradnl"/>
        </w:rPr>
        <w:t>tanque criogénico</w:t>
      </w:r>
      <w:r w:rsidR="003A46A1" w:rsidRPr="00B25E57">
        <w:rPr>
          <w:lang w:val="es-ES_tradnl"/>
        </w:rPr>
        <w:t xml:space="preserve"> </w:t>
      </w:r>
      <w:r w:rsidR="00C77948">
        <w:rPr>
          <w:lang w:val="es-ES_tradnl"/>
        </w:rPr>
        <w:t xml:space="preserve">de </w:t>
      </w:r>
      <w:r w:rsidR="00C77948" w:rsidRPr="00C77948">
        <w:rPr>
          <w:lang w:val="es-ES_tradnl"/>
        </w:rPr>
        <w:t xml:space="preserve">40 toneladas métricas (tm) </w:t>
      </w:r>
      <w:r w:rsidR="00CF0806">
        <w:rPr>
          <w:lang w:val="es-ES_tradnl"/>
        </w:rPr>
        <w:t xml:space="preserve">destinado a almacenar </w:t>
      </w:r>
      <w:r w:rsidR="00511317" w:rsidRPr="00B25E57">
        <w:rPr>
          <w:lang w:val="es-ES_tradnl"/>
        </w:rPr>
        <w:t>HFC</w:t>
      </w:r>
      <w:r w:rsidR="00FB38C2" w:rsidRPr="00B25E57">
        <w:rPr>
          <w:lang w:val="es-ES_tradnl"/>
        </w:rPr>
        <w:t>-</w:t>
      </w:r>
      <w:r w:rsidR="00511317" w:rsidRPr="00B25E57">
        <w:rPr>
          <w:lang w:val="es-ES_tradnl"/>
        </w:rPr>
        <w:t>23</w:t>
      </w:r>
      <w:r w:rsidR="003A46A1" w:rsidRPr="00B25E57">
        <w:rPr>
          <w:lang w:val="es-ES_tradnl"/>
        </w:rPr>
        <w:t xml:space="preserve"> </w:t>
      </w:r>
      <w:r w:rsidR="00FB38C2" w:rsidRPr="00B25E57">
        <w:rPr>
          <w:lang w:val="es-ES_tradnl"/>
        </w:rPr>
        <w:t>y</w:t>
      </w:r>
      <w:r w:rsidR="003A46A1" w:rsidRPr="00B25E57">
        <w:rPr>
          <w:lang w:val="es-ES_tradnl"/>
        </w:rPr>
        <w:t xml:space="preserve"> </w:t>
      </w:r>
      <w:r w:rsidR="00A57E8F">
        <w:rPr>
          <w:lang w:val="es-ES_tradnl"/>
        </w:rPr>
        <w:t>regular</w:t>
      </w:r>
      <w:r w:rsidR="00E0141E">
        <w:rPr>
          <w:lang w:val="es-ES_tradnl"/>
        </w:rPr>
        <w:t xml:space="preserve"> </w:t>
      </w:r>
      <w:r w:rsidR="004630C8">
        <w:rPr>
          <w:lang w:val="es-ES_tradnl"/>
        </w:rPr>
        <w:t xml:space="preserve">el </w:t>
      </w:r>
      <w:r w:rsidR="008A34CD">
        <w:rPr>
          <w:lang w:val="es-ES_tradnl"/>
        </w:rPr>
        <w:t>suministro</w:t>
      </w:r>
      <w:r w:rsidR="004630C8">
        <w:rPr>
          <w:lang w:val="es-ES_tradnl"/>
        </w:rPr>
        <w:t xml:space="preserve"> </w:t>
      </w:r>
      <w:r w:rsidR="004F4FCA">
        <w:rPr>
          <w:lang w:val="es-ES_tradnl"/>
        </w:rPr>
        <w:t>a</w:t>
      </w:r>
      <w:r w:rsidR="00C95B4F">
        <w:rPr>
          <w:lang w:val="es-ES_tradnl"/>
        </w:rPr>
        <w:t>l incinerador</w:t>
      </w:r>
      <w:r w:rsidR="00511317" w:rsidRPr="00B25E57">
        <w:rPr>
          <w:lang w:val="es-ES_tradnl"/>
        </w:rPr>
        <w:t>.</w:t>
      </w:r>
      <w:r w:rsidR="003A46A1" w:rsidRPr="00B25E57">
        <w:rPr>
          <w:lang w:val="es-ES_tradnl"/>
        </w:rPr>
        <w:t xml:space="preserve"> </w:t>
      </w:r>
      <w:r w:rsidR="00F5323E" w:rsidRPr="00B25E57">
        <w:rPr>
          <w:lang w:val="es-ES_tradnl"/>
        </w:rPr>
        <w:t>E</w:t>
      </w:r>
      <w:r w:rsidR="007B22B4" w:rsidRPr="00B25E57">
        <w:rPr>
          <w:lang w:val="es-ES_tradnl"/>
        </w:rPr>
        <w:t>n</w:t>
      </w:r>
      <w:r w:rsidR="00F5323E">
        <w:rPr>
          <w:lang w:val="es-ES_tradnl"/>
        </w:rPr>
        <w:t xml:space="preserve"> </w:t>
      </w:r>
      <w:r w:rsidR="00FB38C2" w:rsidRPr="00B25E57">
        <w:rPr>
          <w:lang w:val="es-ES_tradnl"/>
        </w:rPr>
        <w:t>octubre</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D73668" w:rsidRPr="00B25E57">
        <w:rPr>
          <w:lang w:val="es-ES_tradnl"/>
        </w:rPr>
        <w:t>201</w:t>
      </w:r>
      <w:r w:rsidR="00F5323E">
        <w:rPr>
          <w:lang w:val="es-ES_tradnl"/>
        </w:rPr>
        <w:t>3,</w:t>
      </w:r>
      <w:r w:rsidR="003A46A1" w:rsidRPr="00B25E57">
        <w:rPr>
          <w:lang w:val="es-ES_tradnl"/>
        </w:rPr>
        <w:t xml:space="preserve"> </w:t>
      </w:r>
      <w:r w:rsidR="00AE7711">
        <w:rPr>
          <w:lang w:val="es-ES_tradnl"/>
        </w:rPr>
        <w:t xml:space="preserve">una vez </w:t>
      </w:r>
      <w:r w:rsidR="00993192">
        <w:rPr>
          <w:lang w:val="es-ES_tradnl"/>
        </w:rPr>
        <w:t xml:space="preserve">concluido </w:t>
      </w:r>
      <w:r w:rsidR="007F3B2A">
        <w:rPr>
          <w:lang w:val="es-ES_tradnl"/>
        </w:rPr>
        <w:t>el proyecto MDL</w:t>
      </w:r>
      <w:r w:rsidR="00D73668" w:rsidRPr="00B25E57">
        <w:rPr>
          <w:lang w:val="es-ES_tradnl"/>
        </w:rPr>
        <w:t>,</w:t>
      </w:r>
      <w:r w:rsidR="003A46A1" w:rsidRPr="00B25E57">
        <w:rPr>
          <w:lang w:val="es-ES_tradnl"/>
        </w:rPr>
        <w:t xml:space="preserve"> </w:t>
      </w:r>
      <w:r w:rsidR="00C95B4F">
        <w:rPr>
          <w:lang w:val="es-ES_tradnl"/>
        </w:rPr>
        <w:t>el incinerador</w:t>
      </w:r>
      <w:r w:rsidR="003A46A1" w:rsidRPr="00B25E57">
        <w:rPr>
          <w:lang w:val="es-ES_tradnl"/>
        </w:rPr>
        <w:t xml:space="preserve"> </w:t>
      </w:r>
      <w:r w:rsidR="007F3B2A">
        <w:rPr>
          <w:lang w:val="es-ES_tradnl"/>
        </w:rPr>
        <w:t xml:space="preserve">fue </w:t>
      </w:r>
      <w:r w:rsidR="0002705B" w:rsidRPr="0002705B">
        <w:rPr>
          <w:lang w:val="es-ES_tradnl"/>
        </w:rPr>
        <w:t>detenido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7C28F2">
        <w:rPr>
          <w:lang w:val="es-ES_tradnl"/>
        </w:rPr>
        <w:t>se mantiene</w:t>
      </w:r>
      <w:r w:rsidR="00BC353C">
        <w:rPr>
          <w:lang w:val="es-ES_tradnl"/>
        </w:rPr>
        <w:t xml:space="preserve"> </w:t>
      </w:r>
      <w:r w:rsidR="006442DF">
        <w:rPr>
          <w:lang w:val="es-ES_tradnl"/>
        </w:rPr>
        <w:t>paralizado hasta hoy</w:t>
      </w:r>
      <w:r w:rsidR="00000F15">
        <w:rPr>
          <w:lang w:val="es-ES_tradnl"/>
        </w:rPr>
        <w:t>.</w:t>
      </w:r>
      <w:r w:rsidR="003A46A1" w:rsidRPr="00B25E57">
        <w:rPr>
          <w:lang w:val="es-ES_tradnl"/>
        </w:rPr>
        <w:t xml:space="preserve"> </w:t>
      </w:r>
      <w:r w:rsidR="004F62E5">
        <w:rPr>
          <w:lang w:val="es-ES_tradnl"/>
        </w:rPr>
        <w:t>L</w:t>
      </w:r>
      <w:r w:rsidR="00964AB9">
        <w:rPr>
          <w:lang w:val="es-ES_tradnl"/>
        </w:rPr>
        <w:t xml:space="preserve">a </w:t>
      </w:r>
      <w:r w:rsidR="00474648" w:rsidRPr="00474648">
        <w:rPr>
          <w:lang w:val="es-ES_tradnl"/>
        </w:rPr>
        <w:t>tubería</w:t>
      </w:r>
      <w:r w:rsidR="006A3F26">
        <w:rPr>
          <w:lang w:val="es-ES_tradnl"/>
        </w:rPr>
        <w:t xml:space="preserve"> </w:t>
      </w:r>
      <w:r w:rsidR="003714D3">
        <w:rPr>
          <w:lang w:val="es-ES_tradnl"/>
        </w:rPr>
        <w:t xml:space="preserve">de </w:t>
      </w:r>
      <w:r w:rsidR="00D3546C" w:rsidRPr="00B25E57">
        <w:rPr>
          <w:lang w:val="es-ES_tradnl"/>
        </w:rPr>
        <w:t>HFC</w:t>
      </w:r>
      <w:r w:rsidR="00FB38C2" w:rsidRPr="00B25E57">
        <w:rPr>
          <w:lang w:val="es-ES_tradnl"/>
        </w:rPr>
        <w:t>-</w:t>
      </w:r>
      <w:r w:rsidR="00D3546C" w:rsidRPr="00B25E57">
        <w:rPr>
          <w:lang w:val="es-ES_tradnl"/>
        </w:rPr>
        <w:t>23</w:t>
      </w:r>
      <w:r w:rsidR="003A46A1" w:rsidRPr="00B25E57">
        <w:rPr>
          <w:lang w:val="es-ES_tradnl"/>
        </w:rPr>
        <w:t xml:space="preserve"> </w:t>
      </w:r>
      <w:r w:rsidR="00511317" w:rsidRPr="00B25E57">
        <w:rPr>
          <w:lang w:val="es-ES_tradnl"/>
        </w:rPr>
        <w:t>(</w:t>
      </w:r>
      <w:r w:rsidR="00DF394D">
        <w:rPr>
          <w:lang w:val="es-ES_tradnl"/>
        </w:rPr>
        <w:t>con un flujo consistente</w:t>
      </w:r>
      <w:r w:rsidR="003A46A1" w:rsidRPr="00B25E57">
        <w:rPr>
          <w:lang w:val="es-ES_tradnl"/>
        </w:rPr>
        <w:t xml:space="preserve"> </w:t>
      </w:r>
      <w:r w:rsidR="00A4343B" w:rsidRPr="00B25E57">
        <w:rPr>
          <w:lang w:val="es-ES_tradnl"/>
        </w:rPr>
        <w:t>en</w:t>
      </w:r>
      <w:r w:rsidR="003A46A1" w:rsidRPr="00B25E57">
        <w:rPr>
          <w:lang w:val="es-ES_tradnl"/>
        </w:rPr>
        <w:t xml:space="preserve"> </w:t>
      </w:r>
      <w:r w:rsidR="00C15A0B">
        <w:rPr>
          <w:lang w:val="es-ES_tradnl"/>
        </w:rPr>
        <w:t xml:space="preserve">alrededor </w:t>
      </w:r>
      <w:r w:rsidR="00E21E9F">
        <w:rPr>
          <w:lang w:val="es-ES_tradnl"/>
        </w:rPr>
        <w:t xml:space="preserve">de un </w:t>
      </w:r>
      <w:r w:rsidR="00511317" w:rsidRPr="00B25E57">
        <w:rPr>
          <w:lang w:val="es-ES_tradnl"/>
        </w:rPr>
        <w:t>93</w:t>
      </w:r>
      <w:r w:rsidR="00FB38C2" w:rsidRPr="00B25E57">
        <w:rPr>
          <w:lang w:val="es-ES_tradnl"/>
        </w:rPr>
        <w:t>%</w:t>
      </w:r>
      <w:r w:rsidR="003A46A1" w:rsidRPr="00B25E57">
        <w:rPr>
          <w:lang w:val="es-ES_tradnl"/>
        </w:rPr>
        <w:t xml:space="preserve"> </w:t>
      </w:r>
      <w:r w:rsidR="00511317" w:rsidRPr="00B25E57">
        <w:rPr>
          <w:lang w:val="es-ES_tradnl"/>
        </w:rPr>
        <w:t>HFC</w:t>
      </w:r>
      <w:r w:rsidR="00FB38C2" w:rsidRPr="00B25E57">
        <w:rPr>
          <w:lang w:val="es-ES_tradnl"/>
        </w:rPr>
        <w:t>-</w:t>
      </w:r>
      <w:r w:rsidR="00511317" w:rsidRPr="00B25E57">
        <w:rPr>
          <w:lang w:val="es-ES_tradnl"/>
        </w:rPr>
        <w:t>23</w:t>
      </w:r>
      <w:r w:rsidR="003A46A1" w:rsidRPr="00B25E57">
        <w:rPr>
          <w:lang w:val="es-ES_tradnl"/>
        </w:rPr>
        <w:t xml:space="preserve"> </w:t>
      </w:r>
      <w:r w:rsidR="00FB38C2" w:rsidRPr="00B25E57">
        <w:rPr>
          <w:lang w:val="es-ES_tradnl"/>
        </w:rPr>
        <w:t>y</w:t>
      </w:r>
      <w:r w:rsidR="003A46A1" w:rsidRPr="00B25E57">
        <w:rPr>
          <w:lang w:val="es-ES_tradnl"/>
        </w:rPr>
        <w:t xml:space="preserve"> </w:t>
      </w:r>
      <w:r w:rsidR="00862A82" w:rsidRPr="00B25E57">
        <w:rPr>
          <w:lang w:val="es-ES_tradnl"/>
        </w:rPr>
        <w:t>el</w:t>
      </w:r>
      <w:r w:rsidR="003A46A1" w:rsidRPr="00B25E57">
        <w:rPr>
          <w:lang w:val="es-ES_tradnl"/>
        </w:rPr>
        <w:t xml:space="preserve"> </w:t>
      </w:r>
      <w:r w:rsidR="00E21E9F">
        <w:rPr>
          <w:lang w:val="es-ES_tradnl"/>
        </w:rPr>
        <w:t xml:space="preserve">resto </w:t>
      </w:r>
      <w:r w:rsidR="00A4343B" w:rsidRPr="00B25E57">
        <w:rPr>
          <w:lang w:val="es-ES_tradnl"/>
        </w:rPr>
        <w:t>principalmente</w:t>
      </w:r>
      <w:r w:rsidR="003A46A1" w:rsidRPr="00B25E57">
        <w:rPr>
          <w:lang w:val="es-ES_tradnl"/>
        </w:rPr>
        <w:t xml:space="preserve"> </w:t>
      </w:r>
      <w:r w:rsidR="00511317" w:rsidRPr="00B25E57">
        <w:rPr>
          <w:lang w:val="es-ES_tradnl"/>
        </w:rPr>
        <w:t>HCFC</w:t>
      </w:r>
      <w:r w:rsidR="00FB38C2" w:rsidRPr="00B25E57">
        <w:rPr>
          <w:lang w:val="es-ES_tradnl"/>
        </w:rPr>
        <w:t>-</w:t>
      </w:r>
      <w:r w:rsidR="00511317" w:rsidRPr="00B25E57">
        <w:rPr>
          <w:lang w:val="es-ES_tradnl"/>
        </w:rPr>
        <w:t>22)</w:t>
      </w:r>
      <w:r w:rsidR="003A46A1" w:rsidRPr="00B25E57">
        <w:rPr>
          <w:lang w:val="es-ES_tradnl"/>
        </w:rPr>
        <w:t xml:space="preserve"> </w:t>
      </w:r>
      <w:r w:rsidR="00406782">
        <w:rPr>
          <w:lang w:val="es-ES_tradnl"/>
        </w:rPr>
        <w:t xml:space="preserve">fue </w:t>
      </w:r>
      <w:r w:rsidR="00376BE2">
        <w:rPr>
          <w:lang w:val="es-ES_tradnl"/>
        </w:rPr>
        <w:t>cortada</w:t>
      </w:r>
      <w:r w:rsidR="00406782">
        <w:rPr>
          <w:lang w:val="es-ES_tradnl"/>
        </w:rPr>
        <w:t xml:space="preserve">, de modo que </w:t>
      </w:r>
      <w:r w:rsidR="004B0C19">
        <w:rPr>
          <w:lang w:val="es-ES_tradnl"/>
        </w:rPr>
        <w:t xml:space="preserve">el flujo de </w:t>
      </w:r>
      <w:r w:rsidR="00156438" w:rsidRPr="00B25E57">
        <w:rPr>
          <w:lang w:val="es-ES_tradnl"/>
        </w:rPr>
        <w:t>HFC</w:t>
      </w:r>
      <w:r w:rsidR="00FB38C2" w:rsidRPr="00B25E57">
        <w:rPr>
          <w:lang w:val="es-ES_tradnl"/>
        </w:rPr>
        <w:t>-</w:t>
      </w:r>
      <w:r w:rsidR="00156438" w:rsidRPr="00B25E57">
        <w:rPr>
          <w:lang w:val="es-ES_tradnl"/>
        </w:rPr>
        <w:t>23</w:t>
      </w:r>
      <w:r w:rsidR="003A46A1" w:rsidRPr="00B25E57">
        <w:rPr>
          <w:lang w:val="es-ES_tradnl"/>
        </w:rPr>
        <w:t xml:space="preserve"> </w:t>
      </w:r>
      <w:r w:rsidR="000867B9">
        <w:rPr>
          <w:lang w:val="es-ES_tradnl"/>
        </w:rPr>
        <w:t xml:space="preserve">se descarga a la atmósfera </w:t>
      </w:r>
      <w:r w:rsidR="009861A5">
        <w:rPr>
          <w:lang w:val="es-ES_tradnl"/>
        </w:rPr>
        <w:t>hasta el día de hoy</w:t>
      </w:r>
      <w:r w:rsidR="00511317" w:rsidRPr="00B25E57">
        <w:rPr>
          <w:lang w:val="es-ES_tradnl"/>
        </w:rPr>
        <w:t>.</w:t>
      </w:r>
    </w:p>
    <w:p w14:paraId="5602F73E" w14:textId="4513D2E5" w:rsidR="001374A2" w:rsidRPr="00B25E57" w:rsidRDefault="0027728D" w:rsidP="001374A2">
      <w:pPr>
        <w:pStyle w:val="Heading1"/>
        <w:rPr>
          <w:lang w:val="es-ES_tradnl"/>
        </w:rPr>
      </w:pPr>
      <w:r>
        <w:rPr>
          <w:lang w:val="es-ES_tradnl"/>
        </w:rPr>
        <w:t xml:space="preserve">Aparte de instalar </w:t>
      </w:r>
      <w:r w:rsidR="00C95B4F">
        <w:rPr>
          <w:lang w:val="es-ES_tradnl"/>
        </w:rPr>
        <w:t>el incinerador</w:t>
      </w:r>
      <w:r w:rsidR="003A46A1" w:rsidRPr="00B25E57">
        <w:rPr>
          <w:lang w:val="es-ES_tradnl"/>
        </w:rPr>
        <w:t xml:space="preserve"> </w:t>
      </w:r>
      <w:r w:rsidR="00FB38C2" w:rsidRPr="00B25E57">
        <w:rPr>
          <w:lang w:val="es-ES_tradnl"/>
        </w:rPr>
        <w:t>y</w:t>
      </w:r>
      <w:r w:rsidR="003A46A1" w:rsidRPr="00B25E57">
        <w:rPr>
          <w:lang w:val="es-ES_tradnl"/>
        </w:rPr>
        <w:t xml:space="preserve"> </w:t>
      </w:r>
      <w:r>
        <w:rPr>
          <w:lang w:val="es-ES_tradnl"/>
        </w:rPr>
        <w:t>cambiar una torre de destilación</w:t>
      </w:r>
      <w:r w:rsidR="001374A2" w:rsidRPr="00B25E57">
        <w:rPr>
          <w:lang w:val="es-ES_tradnl"/>
        </w:rPr>
        <w:t>,</w:t>
      </w:r>
      <w:r w:rsidR="003A46A1" w:rsidRPr="00B25E57">
        <w:rPr>
          <w:lang w:val="es-ES_tradnl"/>
        </w:rPr>
        <w:t xml:space="preserve"> </w:t>
      </w:r>
      <w:r w:rsidR="00AC69C9">
        <w:rPr>
          <w:lang w:val="es-ES_tradnl"/>
        </w:rPr>
        <w:t xml:space="preserve">la </w:t>
      </w:r>
      <w:r w:rsidR="004057BA" w:rsidRPr="00B25E57">
        <w:rPr>
          <w:lang w:val="es-ES_tradnl"/>
        </w:rPr>
        <w:t>infraestructura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A20B60">
        <w:rPr>
          <w:lang w:val="es-ES_tradnl"/>
        </w:rPr>
        <w:t xml:space="preserve">el activo fijo de </w:t>
      </w:r>
      <w:r w:rsidR="0048577C">
        <w:rPr>
          <w:lang w:val="es-ES_tradnl"/>
        </w:rPr>
        <w:t>FIASA</w:t>
      </w:r>
      <w:r w:rsidR="003A46A1" w:rsidRPr="00B25E57">
        <w:rPr>
          <w:lang w:val="es-ES_tradnl"/>
        </w:rPr>
        <w:t xml:space="preserve"> </w:t>
      </w:r>
      <w:r w:rsidR="005F7EBC">
        <w:rPr>
          <w:lang w:val="es-ES_tradnl"/>
        </w:rPr>
        <w:t>se han mantenido</w:t>
      </w:r>
      <w:r w:rsidR="00DD6191">
        <w:rPr>
          <w:lang w:val="es-ES_tradnl"/>
        </w:rPr>
        <w:t xml:space="preserve"> sin variación</w:t>
      </w:r>
      <w:r w:rsidR="00247216">
        <w:rPr>
          <w:lang w:val="es-ES_tradnl"/>
        </w:rPr>
        <w:t xml:space="preserve">, </w:t>
      </w:r>
      <w:r w:rsidR="00651020">
        <w:rPr>
          <w:lang w:val="es-ES_tradnl"/>
        </w:rPr>
        <w:t>permaneciendo</w:t>
      </w:r>
      <w:r w:rsidR="00247216">
        <w:rPr>
          <w:lang w:val="es-ES_tradnl"/>
        </w:rPr>
        <w:t xml:space="preserve"> </w:t>
      </w:r>
      <w:r w:rsidR="006F2376">
        <w:rPr>
          <w:lang w:val="es-ES_tradnl"/>
        </w:rPr>
        <w:t xml:space="preserve">en uso reactores de </w:t>
      </w:r>
      <w:r w:rsidR="00853D2E">
        <w:rPr>
          <w:lang w:val="es-ES_tradnl"/>
        </w:rPr>
        <w:t>33 años de antigüedad</w:t>
      </w:r>
      <w:r w:rsidR="001374A2" w:rsidRPr="00B25E57">
        <w:rPr>
          <w:lang w:val="es-ES_tradnl"/>
        </w:rPr>
        <w:t>.</w:t>
      </w:r>
    </w:p>
    <w:p w14:paraId="4AD3EA00" w14:textId="34941D3B" w:rsidR="0065423B" w:rsidRPr="00B25E57" w:rsidRDefault="00F356FE" w:rsidP="00960B62">
      <w:pPr>
        <w:rPr>
          <w:u w:val="single"/>
          <w:lang w:val="es-ES_tradnl"/>
        </w:rPr>
      </w:pPr>
      <w:r>
        <w:rPr>
          <w:u w:val="single"/>
          <w:lang w:val="es-ES_tradnl"/>
        </w:rPr>
        <w:t>Propuesta de opciones</w:t>
      </w:r>
    </w:p>
    <w:p w14:paraId="3EC4F218" w14:textId="77777777" w:rsidR="001222D9" w:rsidRPr="00B25E57" w:rsidRDefault="001222D9" w:rsidP="00960B62">
      <w:pPr>
        <w:rPr>
          <w:lang w:val="es-ES_tradnl"/>
        </w:rPr>
      </w:pPr>
    </w:p>
    <w:p w14:paraId="602DC078" w14:textId="4E1E03E7" w:rsidR="007B22B4" w:rsidRPr="00B25E57" w:rsidRDefault="000036B6" w:rsidP="00C643BB">
      <w:pPr>
        <w:pStyle w:val="Heading1"/>
        <w:rPr>
          <w:lang w:val="es-ES_tradnl"/>
        </w:rPr>
      </w:pPr>
      <w:r>
        <w:rPr>
          <w:lang w:val="es-ES_tradnl"/>
        </w:rPr>
        <w:t xml:space="preserve">Para el </w:t>
      </w:r>
      <w:r w:rsidR="004206AC">
        <w:rPr>
          <w:lang w:val="es-ES_tradnl"/>
        </w:rPr>
        <w:t xml:space="preserve">control de las </w:t>
      </w:r>
      <w:r w:rsidR="004404E6">
        <w:rPr>
          <w:lang w:val="es-ES_tradnl"/>
        </w:rPr>
        <w:t xml:space="preserve">emisiones de </w:t>
      </w:r>
      <w:r w:rsidR="004206AC" w:rsidRPr="004206AC">
        <w:rPr>
          <w:lang w:val="es-ES_tradnl"/>
        </w:rPr>
        <w:t>HCF-23</w:t>
      </w:r>
      <w:r w:rsidR="004206AC">
        <w:rPr>
          <w:lang w:val="es-ES_tradnl"/>
        </w:rPr>
        <w:t xml:space="preserve">, </w:t>
      </w:r>
      <w:r>
        <w:rPr>
          <w:lang w:val="es-ES_tradnl"/>
        </w:rPr>
        <w:t>l</w:t>
      </w:r>
      <w:r w:rsidR="00FB38C2" w:rsidRPr="00B25E57">
        <w:rPr>
          <w:lang w:val="es-ES_tradnl"/>
        </w:rPr>
        <w:t>a</w:t>
      </w:r>
      <w:r w:rsidR="008A1528">
        <w:rPr>
          <w:lang w:val="es-ES_tradnl"/>
        </w:rPr>
        <w:t xml:space="preserve"> </w:t>
      </w:r>
      <w:r w:rsidR="00517D62" w:rsidRPr="00B25E57">
        <w:rPr>
          <w:lang w:val="es-ES_tradnl"/>
        </w:rPr>
        <w:t>ONUDI presentó</w:t>
      </w:r>
      <w:r w:rsidR="003A46A1" w:rsidRPr="00B25E57">
        <w:rPr>
          <w:lang w:val="es-ES_tradnl"/>
        </w:rPr>
        <w:t xml:space="preserve"> </w:t>
      </w:r>
      <w:r w:rsidR="004057BA" w:rsidRPr="00B25E57">
        <w:rPr>
          <w:lang w:val="es-ES_tradnl"/>
        </w:rPr>
        <w:t>las</w:t>
      </w:r>
      <w:r w:rsidR="003A46A1" w:rsidRPr="00B25E57">
        <w:rPr>
          <w:lang w:val="es-ES_tradnl"/>
        </w:rPr>
        <w:t xml:space="preserve"> </w:t>
      </w:r>
      <w:r w:rsidR="004057BA" w:rsidRPr="00B25E57">
        <w:rPr>
          <w:lang w:val="es-ES_tradnl"/>
        </w:rPr>
        <w:t>siguientes</w:t>
      </w:r>
      <w:r w:rsidR="003A46A1" w:rsidRPr="00B25E57">
        <w:rPr>
          <w:lang w:val="es-ES_tradnl"/>
        </w:rPr>
        <w:t xml:space="preserve"> </w:t>
      </w:r>
      <w:r w:rsidR="00FB38C2" w:rsidRPr="00B25E57">
        <w:rPr>
          <w:lang w:val="es-ES_tradnl"/>
        </w:rPr>
        <w:t>tres</w:t>
      </w:r>
      <w:r w:rsidR="003A46A1" w:rsidRPr="00B25E57">
        <w:rPr>
          <w:lang w:val="es-ES_tradnl"/>
        </w:rPr>
        <w:t xml:space="preserve"> </w:t>
      </w:r>
      <w:r w:rsidR="00F33C58" w:rsidRPr="00B25E57">
        <w:rPr>
          <w:lang w:val="es-ES_tradnl"/>
        </w:rPr>
        <w:t>opciones</w:t>
      </w:r>
      <w:r w:rsidR="001B405C" w:rsidRPr="00B25E57">
        <w:rPr>
          <w:lang w:val="es-ES_tradnl"/>
        </w:rPr>
        <w:t>:</w:t>
      </w:r>
      <w:r w:rsidR="00BE674B" w:rsidRPr="00B25E57">
        <w:rPr>
          <w:rStyle w:val="FootnoteReference"/>
          <w:lang w:val="es-ES_tradnl"/>
        </w:rPr>
        <w:footnoteReference w:id="5"/>
      </w:r>
    </w:p>
    <w:p w14:paraId="1CCCBD36" w14:textId="43545227" w:rsidR="001374A2" w:rsidRPr="00B25E57" w:rsidRDefault="00F33C58" w:rsidP="00F57F5A">
      <w:pPr>
        <w:pStyle w:val="Heading2"/>
        <w:numPr>
          <w:ilvl w:val="0"/>
          <w:numId w:val="0"/>
        </w:numPr>
        <w:ind w:left="1440" w:hanging="720"/>
        <w:rPr>
          <w:lang w:val="es-ES_tradnl"/>
        </w:rPr>
      </w:pPr>
      <w:r w:rsidRPr="00B25E57">
        <w:rPr>
          <w:lang w:val="es-ES_tradnl"/>
        </w:rPr>
        <w:t>Opción</w:t>
      </w:r>
      <w:r w:rsidR="003A46A1" w:rsidRPr="00B25E57">
        <w:rPr>
          <w:lang w:val="es-ES_tradnl"/>
        </w:rPr>
        <w:t xml:space="preserve"> </w:t>
      </w:r>
      <w:r w:rsidR="00F57F5A" w:rsidRPr="00B25E57">
        <w:rPr>
          <w:lang w:val="es-ES_tradnl"/>
        </w:rPr>
        <w:t>1:</w:t>
      </w:r>
      <w:r w:rsidR="00F57F5A" w:rsidRPr="00B25E57">
        <w:rPr>
          <w:lang w:val="es-ES_tradnl"/>
        </w:rPr>
        <w:tab/>
      </w:r>
      <w:r w:rsidR="00ED61A2">
        <w:rPr>
          <w:lang w:val="es-ES_tradnl"/>
        </w:rPr>
        <w:t>Cese de la producción de HCFC-22</w:t>
      </w:r>
    </w:p>
    <w:p w14:paraId="75838B05" w14:textId="40848036" w:rsidR="001374A2" w:rsidRPr="00B25E57" w:rsidRDefault="00F33C58" w:rsidP="00F57F5A">
      <w:pPr>
        <w:pStyle w:val="Heading2"/>
        <w:numPr>
          <w:ilvl w:val="0"/>
          <w:numId w:val="0"/>
        </w:numPr>
        <w:ind w:left="1440" w:hanging="720"/>
        <w:rPr>
          <w:lang w:val="es-ES_tradnl"/>
        </w:rPr>
      </w:pPr>
      <w:r w:rsidRPr="00B25E57">
        <w:rPr>
          <w:lang w:val="es-ES_tradnl"/>
        </w:rPr>
        <w:t>Opción</w:t>
      </w:r>
      <w:r w:rsidR="003A46A1" w:rsidRPr="00B25E57">
        <w:rPr>
          <w:lang w:val="es-ES_tradnl"/>
        </w:rPr>
        <w:t xml:space="preserve"> </w:t>
      </w:r>
      <w:r w:rsidR="00F57F5A" w:rsidRPr="00B25E57">
        <w:rPr>
          <w:lang w:val="es-ES_tradnl"/>
        </w:rPr>
        <w:t>2:</w:t>
      </w:r>
      <w:r w:rsidR="00F57F5A" w:rsidRPr="00B25E57">
        <w:rPr>
          <w:lang w:val="es-ES_tradnl"/>
        </w:rPr>
        <w:tab/>
      </w:r>
      <w:r w:rsidR="007930E9">
        <w:rPr>
          <w:lang w:val="es-ES_tradnl"/>
        </w:rPr>
        <w:t>Reponer en servicio</w:t>
      </w:r>
      <w:r w:rsidR="003A46A1" w:rsidRPr="00B25E57">
        <w:rPr>
          <w:lang w:val="es-ES_tradnl"/>
        </w:rPr>
        <w:t xml:space="preserve"> </w:t>
      </w:r>
      <w:r w:rsidR="00C95B4F">
        <w:rPr>
          <w:lang w:val="es-ES_tradnl"/>
        </w:rPr>
        <w:t>el incinerador</w:t>
      </w:r>
    </w:p>
    <w:p w14:paraId="527926D1" w14:textId="08AE2435" w:rsidR="001374A2" w:rsidRPr="00B25E57" w:rsidRDefault="00F33C58" w:rsidP="00F57F5A">
      <w:pPr>
        <w:pStyle w:val="Heading2"/>
        <w:numPr>
          <w:ilvl w:val="0"/>
          <w:numId w:val="0"/>
        </w:numPr>
        <w:ind w:left="1440" w:hanging="720"/>
        <w:rPr>
          <w:lang w:val="es-ES_tradnl"/>
        </w:rPr>
      </w:pPr>
      <w:r w:rsidRPr="00B25E57">
        <w:rPr>
          <w:lang w:val="es-ES_tradnl"/>
        </w:rPr>
        <w:t>Opción</w:t>
      </w:r>
      <w:r w:rsidR="003A46A1" w:rsidRPr="00B25E57">
        <w:rPr>
          <w:lang w:val="es-ES_tradnl"/>
        </w:rPr>
        <w:t xml:space="preserve"> </w:t>
      </w:r>
      <w:r w:rsidR="00F57F5A" w:rsidRPr="00B25E57">
        <w:rPr>
          <w:lang w:val="es-ES_tradnl"/>
        </w:rPr>
        <w:t>3:</w:t>
      </w:r>
      <w:r w:rsidR="00F57F5A" w:rsidRPr="00B25E57">
        <w:rPr>
          <w:lang w:val="es-ES_tradnl"/>
        </w:rPr>
        <w:tab/>
      </w:r>
      <w:r w:rsidR="00C91884">
        <w:rPr>
          <w:lang w:val="es-ES_tradnl"/>
        </w:rPr>
        <w:t xml:space="preserve">Destrucción </w:t>
      </w:r>
      <w:r w:rsidR="00B654D8">
        <w:rPr>
          <w:lang w:val="es-ES_tradnl"/>
        </w:rPr>
        <w:t>ex situ</w:t>
      </w:r>
      <w:r w:rsidR="003A46A1" w:rsidRPr="00B25E57">
        <w:rPr>
          <w:lang w:val="es-ES_tradnl"/>
        </w:rPr>
        <w:t xml:space="preserve"> </w:t>
      </w:r>
      <w:r w:rsidR="00B6344F">
        <w:rPr>
          <w:lang w:val="es-ES_tradnl"/>
        </w:rPr>
        <w:t>del subproducto</w:t>
      </w:r>
      <w:r w:rsidR="003A46A1" w:rsidRPr="00B25E57">
        <w:rPr>
          <w:lang w:val="es-ES_tradnl"/>
        </w:rPr>
        <w:t xml:space="preserve"> </w:t>
      </w:r>
      <w:r w:rsidR="004512EA" w:rsidRPr="00B25E57">
        <w:rPr>
          <w:lang w:val="es-ES_tradnl"/>
        </w:rPr>
        <w:t>HFC-23</w:t>
      </w:r>
    </w:p>
    <w:p w14:paraId="1660950E" w14:textId="1DB8CF7F" w:rsidR="007B22B4" w:rsidRPr="00B25E57" w:rsidRDefault="00B41538" w:rsidP="001374A2">
      <w:pPr>
        <w:pStyle w:val="Heading1"/>
        <w:rPr>
          <w:lang w:val="es-ES_tradnl"/>
        </w:rPr>
      </w:pPr>
      <w:r>
        <w:rPr>
          <w:lang w:val="es-ES_tradnl"/>
        </w:rPr>
        <w:t xml:space="preserve">Como </w:t>
      </w:r>
      <w:r w:rsidRPr="00B41538">
        <w:rPr>
          <w:lang w:val="es-ES_tradnl"/>
        </w:rPr>
        <w:t xml:space="preserve">se </w:t>
      </w:r>
      <w:r>
        <w:rPr>
          <w:lang w:val="es-ES_tradnl"/>
        </w:rPr>
        <w:t>detalla más adelante, p</w:t>
      </w:r>
      <w:r w:rsidR="005E6A52">
        <w:rPr>
          <w:lang w:val="es-ES_tradnl"/>
        </w:rPr>
        <w:t>ara</w:t>
      </w:r>
      <w:r w:rsidR="003A46A1" w:rsidRPr="00B25E57">
        <w:rPr>
          <w:lang w:val="es-ES_tradnl"/>
        </w:rPr>
        <w:t xml:space="preserve"> </w:t>
      </w:r>
      <w:r w:rsidR="00A4343B" w:rsidRPr="00B25E57">
        <w:rPr>
          <w:lang w:val="es-ES_tradnl"/>
        </w:rPr>
        <w:t>cada</w:t>
      </w:r>
      <w:r w:rsidR="003A46A1" w:rsidRPr="00B25E57">
        <w:rPr>
          <w:lang w:val="es-ES_tradnl"/>
        </w:rPr>
        <w:t xml:space="preserve"> </w:t>
      </w:r>
      <w:r w:rsidR="00F33C58" w:rsidRPr="00B25E57">
        <w:rPr>
          <w:lang w:val="es-ES_tradnl"/>
        </w:rPr>
        <w:t>opción</w:t>
      </w:r>
      <w:r w:rsidR="003A46A1" w:rsidRPr="00B25E57">
        <w:rPr>
          <w:lang w:val="es-ES_tradnl"/>
        </w:rPr>
        <w:t xml:space="preserve"> </w:t>
      </w:r>
      <w:r w:rsidR="00646A29">
        <w:rPr>
          <w:lang w:val="es-ES_tradnl"/>
        </w:rPr>
        <w:t xml:space="preserve">se presentaron </w:t>
      </w:r>
      <w:r w:rsidR="00977917">
        <w:rPr>
          <w:lang w:val="es-ES_tradnl"/>
        </w:rPr>
        <w:t xml:space="preserve">diversos </w:t>
      </w:r>
      <w:r w:rsidR="0061462C">
        <w:rPr>
          <w:lang w:val="es-ES_tradnl"/>
        </w:rPr>
        <w:t>escenario</w:t>
      </w:r>
      <w:r w:rsidR="001B405C" w:rsidRPr="00B25E57">
        <w:rPr>
          <w:lang w:val="es-ES_tradnl"/>
        </w:rPr>
        <w:t>s</w:t>
      </w:r>
      <w:r w:rsidR="003A46A1" w:rsidRPr="00B25E57">
        <w:rPr>
          <w:lang w:val="es-ES_tradnl"/>
        </w:rPr>
        <w:t xml:space="preserve"> </w:t>
      </w:r>
      <w:r w:rsidR="001F5CC9">
        <w:rPr>
          <w:lang w:val="es-ES_tradnl"/>
        </w:rPr>
        <w:t xml:space="preserve">estructurados en base a </w:t>
      </w:r>
      <w:r w:rsidR="005564D9">
        <w:rPr>
          <w:lang w:val="es-ES_tradnl"/>
        </w:rPr>
        <w:t>factibilidad técnica</w:t>
      </w:r>
      <w:r w:rsidR="003A46A1" w:rsidRPr="00B25E57">
        <w:rPr>
          <w:lang w:val="es-ES_tradnl"/>
        </w:rPr>
        <w:t xml:space="preserve"> </w:t>
      </w:r>
      <w:r w:rsidR="001B405C" w:rsidRPr="00B25E57">
        <w:rPr>
          <w:lang w:val="es-ES_tradnl"/>
        </w:rPr>
        <w:t>(</w:t>
      </w:r>
      <w:r w:rsidR="007B22B4" w:rsidRPr="00B25E57">
        <w:rPr>
          <w:lang w:val="es-ES_tradnl"/>
        </w:rPr>
        <w:t>disponibilidad</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241C5" w:rsidRPr="00B25E57">
        <w:rPr>
          <w:lang w:val="es-ES_tradnl"/>
        </w:rPr>
        <w:t>tecnología</w:t>
      </w:r>
      <w:r w:rsidR="00A97157" w:rsidRPr="00216433">
        <w:rPr>
          <w:lang w:val="es-ES"/>
        </w:rPr>
        <w:t xml:space="preserve"> </w:t>
      </w:r>
      <w:r w:rsidR="004B2D19">
        <w:rPr>
          <w:lang w:val="es-ES_tradnl"/>
        </w:rPr>
        <w:t>comprobada</w:t>
      </w:r>
      <w:r w:rsidR="001B405C" w:rsidRPr="00B25E57">
        <w:rPr>
          <w:lang w:val="es-ES_tradnl"/>
        </w:rPr>
        <w:t>),</w:t>
      </w:r>
      <w:r w:rsidR="003A46A1" w:rsidRPr="00B25E57">
        <w:rPr>
          <w:lang w:val="es-ES_tradnl"/>
        </w:rPr>
        <w:t xml:space="preserve"> </w:t>
      </w:r>
      <w:r w:rsidR="00FB38C2" w:rsidRPr="00B25E57">
        <w:rPr>
          <w:lang w:val="es-ES_tradnl"/>
        </w:rPr>
        <w:t>marco</w:t>
      </w:r>
      <w:r w:rsidR="003A46A1" w:rsidRPr="00B25E57">
        <w:rPr>
          <w:lang w:val="es-ES_tradnl"/>
        </w:rPr>
        <w:t xml:space="preserve"> </w:t>
      </w:r>
      <w:r w:rsidR="00FB38C2" w:rsidRPr="00B25E57">
        <w:rPr>
          <w:lang w:val="es-ES_tradnl"/>
        </w:rPr>
        <w:t>regulatorio</w:t>
      </w:r>
      <w:r w:rsidR="003A46A1" w:rsidRPr="00B25E57">
        <w:rPr>
          <w:lang w:val="es-ES_tradnl"/>
        </w:rPr>
        <w:t xml:space="preserve"> </w:t>
      </w:r>
      <w:r w:rsidR="001B405C" w:rsidRPr="00B25E57">
        <w:rPr>
          <w:lang w:val="es-ES_tradnl"/>
        </w:rPr>
        <w:t>(</w:t>
      </w:r>
      <w:r w:rsidR="00862A82" w:rsidRPr="00B25E57">
        <w:rPr>
          <w:lang w:val="es-ES_tradnl"/>
        </w:rPr>
        <w:t>normas</w:t>
      </w:r>
      <w:r w:rsidR="003A46A1" w:rsidRPr="00B25E57">
        <w:rPr>
          <w:lang w:val="es-ES_tradnl"/>
        </w:rPr>
        <w:t xml:space="preserve"> </w:t>
      </w:r>
      <w:r w:rsidR="009D4812" w:rsidRPr="009D4812">
        <w:rPr>
          <w:lang w:val="es-ES_tradnl"/>
        </w:rPr>
        <w:t>nacional</w:t>
      </w:r>
      <w:r w:rsidR="009D4812">
        <w:rPr>
          <w:lang w:val="es-ES_tradnl"/>
        </w:rPr>
        <w:t>es</w:t>
      </w:r>
      <w:r w:rsidR="009D4812" w:rsidRPr="009D4812">
        <w:rPr>
          <w:lang w:val="es-ES_tradnl"/>
        </w:rPr>
        <w:t xml:space="preserve"> e internacional</w:t>
      </w:r>
      <w:r w:rsidR="009D4812">
        <w:rPr>
          <w:lang w:val="es-ES_tradnl"/>
        </w:rPr>
        <w:t>es</w:t>
      </w:r>
      <w:r w:rsidR="009D4812" w:rsidRPr="009D4812">
        <w:rPr>
          <w:lang w:val="es-ES_tradnl"/>
        </w:rPr>
        <w:t xml:space="preserve"> </w:t>
      </w:r>
      <w:r w:rsidR="00553BB6">
        <w:rPr>
          <w:lang w:val="es-ES_tradnl"/>
        </w:rPr>
        <w:t xml:space="preserve">de </w:t>
      </w:r>
      <w:r w:rsidR="004241C5" w:rsidRPr="00B25E57">
        <w:rPr>
          <w:lang w:val="es-ES_tradnl"/>
        </w:rPr>
        <w:t>producción</w:t>
      </w:r>
      <w:r w:rsidR="001B405C" w:rsidRPr="00B25E57">
        <w:rPr>
          <w:lang w:val="es-ES_tradnl"/>
        </w:rPr>
        <w:t>,</w:t>
      </w:r>
      <w:r w:rsidR="003A46A1" w:rsidRPr="00B25E57">
        <w:rPr>
          <w:lang w:val="es-ES_tradnl"/>
        </w:rPr>
        <w:t xml:space="preserve"> </w:t>
      </w:r>
      <w:r w:rsidR="00691404">
        <w:rPr>
          <w:lang w:val="es-ES_tradnl"/>
        </w:rPr>
        <w:t>tratamiento</w:t>
      </w:r>
      <w:r w:rsidR="001B405C" w:rsidRPr="00B25E57">
        <w:rPr>
          <w:lang w:val="es-ES_tradnl"/>
        </w:rPr>
        <w:t>,</w:t>
      </w:r>
      <w:r w:rsidR="003A46A1" w:rsidRPr="00B25E57">
        <w:rPr>
          <w:lang w:val="es-ES_tradnl"/>
        </w:rPr>
        <w:t xml:space="preserve"> </w:t>
      </w:r>
      <w:r w:rsidR="00691404">
        <w:rPr>
          <w:lang w:val="es-ES_tradnl"/>
        </w:rPr>
        <w:t>manejo</w:t>
      </w:r>
      <w:r w:rsidR="001B405C" w:rsidRPr="00B25E57">
        <w:rPr>
          <w:lang w:val="es-ES_tradnl"/>
        </w:rPr>
        <w:t>,</w:t>
      </w:r>
      <w:r w:rsidR="003A46A1" w:rsidRPr="00B25E57">
        <w:rPr>
          <w:lang w:val="es-ES_tradnl"/>
        </w:rPr>
        <w:t xml:space="preserve"> </w:t>
      </w:r>
      <w:r w:rsidR="00F33C58" w:rsidRPr="00B25E57">
        <w:rPr>
          <w:lang w:val="es-ES_tradnl"/>
        </w:rPr>
        <w:t>almacenamiento</w:t>
      </w:r>
      <w:r w:rsidR="001B405C" w:rsidRPr="00B25E57">
        <w:rPr>
          <w:lang w:val="es-ES_tradnl"/>
        </w:rPr>
        <w:t>,</w:t>
      </w:r>
      <w:r w:rsidR="003A46A1" w:rsidRPr="00B25E57">
        <w:rPr>
          <w:lang w:val="es-ES_tradnl"/>
        </w:rPr>
        <w:t xml:space="preserve"> </w:t>
      </w:r>
      <w:r w:rsidR="00E434B2" w:rsidRPr="00B25E57">
        <w:rPr>
          <w:lang w:val="es-ES_tradnl"/>
        </w:rPr>
        <w:t>transporte</w:t>
      </w:r>
      <w:r w:rsidR="003A46A1" w:rsidRPr="00B25E57">
        <w:rPr>
          <w:lang w:val="es-ES_tradnl"/>
        </w:rPr>
        <w:t xml:space="preserve"> </w:t>
      </w:r>
      <w:r w:rsidR="00FB38C2" w:rsidRPr="00B25E57">
        <w:rPr>
          <w:lang w:val="es-ES_tradnl"/>
        </w:rPr>
        <w:t>y</w:t>
      </w:r>
      <w:r w:rsidR="003A46A1" w:rsidRPr="00B25E57">
        <w:rPr>
          <w:lang w:val="es-ES_tradnl"/>
        </w:rPr>
        <w:t xml:space="preserve"> </w:t>
      </w:r>
      <w:r w:rsidR="00DF7126">
        <w:rPr>
          <w:lang w:val="es-ES_tradnl"/>
        </w:rPr>
        <w:t>movimiento</w:t>
      </w:r>
      <w:r w:rsidR="00B25E57">
        <w:rPr>
          <w:lang w:val="es-ES_tradnl"/>
        </w:rPr>
        <w:t xml:space="preserve"> transfronterizo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1B405C" w:rsidRPr="00B25E57">
        <w:rPr>
          <w:lang w:val="es-ES_tradnl"/>
        </w:rPr>
        <w:t>HFC</w:t>
      </w:r>
      <w:r w:rsidR="00FB38C2" w:rsidRPr="00B25E57">
        <w:rPr>
          <w:lang w:val="es-ES_tradnl"/>
        </w:rPr>
        <w:t>-</w:t>
      </w:r>
      <w:r w:rsidR="001B405C" w:rsidRPr="00B25E57">
        <w:rPr>
          <w:lang w:val="es-ES_tradnl"/>
        </w:rPr>
        <w:t>23)</w:t>
      </w:r>
      <w:r w:rsidR="003A46A1" w:rsidRPr="00B25E57">
        <w:rPr>
          <w:lang w:val="es-ES_tradnl"/>
        </w:rPr>
        <w:t xml:space="preserve"> </w:t>
      </w:r>
      <w:r w:rsidR="00F33C58" w:rsidRPr="00B25E57">
        <w:rPr>
          <w:lang w:val="es-ES_tradnl"/>
        </w:rPr>
        <w:t>y</w:t>
      </w:r>
      <w:r w:rsidR="003A46A1" w:rsidRPr="00B25E57">
        <w:rPr>
          <w:lang w:val="es-ES_tradnl"/>
        </w:rPr>
        <w:t xml:space="preserve"> </w:t>
      </w:r>
      <w:r w:rsidR="00A4343B" w:rsidRPr="00B25E57">
        <w:rPr>
          <w:lang w:val="es-ES_tradnl"/>
        </w:rPr>
        <w:t>cronograma</w:t>
      </w:r>
      <w:r w:rsidR="00D52CF8">
        <w:rPr>
          <w:lang w:val="es-ES_tradnl"/>
        </w:rPr>
        <w:t>s</w:t>
      </w:r>
      <w:r w:rsidR="003A46A1" w:rsidRPr="00B25E57">
        <w:rPr>
          <w:lang w:val="es-ES_tradnl"/>
        </w:rPr>
        <w:t xml:space="preserve"> </w:t>
      </w:r>
      <w:r w:rsidR="001B405C" w:rsidRPr="00B25E57">
        <w:rPr>
          <w:lang w:val="es-ES_tradnl"/>
        </w:rPr>
        <w:t>(</w:t>
      </w:r>
      <w:r w:rsidR="00122DDA">
        <w:rPr>
          <w:lang w:val="es-ES_tradnl"/>
        </w:rPr>
        <w:t xml:space="preserve">es decir, </w:t>
      </w:r>
      <w:r w:rsidR="00E971C9">
        <w:rPr>
          <w:lang w:val="es-ES_tradnl"/>
        </w:rPr>
        <w:t xml:space="preserve">si </w:t>
      </w:r>
      <w:r w:rsidR="00A526BE">
        <w:rPr>
          <w:lang w:val="es-ES_tradnl"/>
        </w:rPr>
        <w:t xml:space="preserve">era factible </w:t>
      </w:r>
      <w:r w:rsidR="009C1E06">
        <w:rPr>
          <w:lang w:val="es-ES_tradnl"/>
        </w:rPr>
        <w:t xml:space="preserve">de </w:t>
      </w:r>
      <w:r w:rsidR="00E971C9">
        <w:rPr>
          <w:lang w:val="es-ES_tradnl"/>
        </w:rPr>
        <w:t xml:space="preserve">implementar </w:t>
      </w:r>
      <w:r w:rsidR="00B25E57">
        <w:rPr>
          <w:lang w:val="es-ES_tradnl"/>
        </w:rPr>
        <w:t>antes del 1º de enero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03558A">
        <w:rPr>
          <w:lang w:val="es-ES_tradnl"/>
        </w:rPr>
        <w:t>2020)</w:t>
      </w:r>
      <w:r w:rsidR="001B405C" w:rsidRPr="00B25E57">
        <w:rPr>
          <w:lang w:val="es-ES_tradnl"/>
        </w:rPr>
        <w:t>.</w:t>
      </w:r>
    </w:p>
    <w:p w14:paraId="15711E1E" w14:textId="50CA42C7" w:rsidR="001B405C" w:rsidRPr="00B25E57" w:rsidRDefault="006D7406" w:rsidP="001374A2">
      <w:pPr>
        <w:pStyle w:val="Heading1"/>
        <w:rPr>
          <w:lang w:val="es-ES_tradnl"/>
        </w:rPr>
      </w:pPr>
      <w:r w:rsidRPr="00B25E57">
        <w:rPr>
          <w:lang w:val="es-ES_tradnl"/>
        </w:rPr>
        <w:t>L</w:t>
      </w:r>
      <w:r w:rsidR="00FB38C2" w:rsidRPr="00B25E57">
        <w:rPr>
          <w:lang w:val="es-ES_tradnl"/>
        </w:rPr>
        <w:t>a</w:t>
      </w:r>
      <w:r>
        <w:rPr>
          <w:lang w:val="es-ES_tradnl"/>
        </w:rPr>
        <w:t xml:space="preserve"> </w:t>
      </w:r>
      <w:r w:rsidR="00FB38C2" w:rsidRPr="00B25E57">
        <w:rPr>
          <w:lang w:val="es-ES_tradnl"/>
        </w:rPr>
        <w:t>ONUDI</w:t>
      </w:r>
      <w:r w:rsidR="003A46A1" w:rsidRPr="00B25E57">
        <w:rPr>
          <w:lang w:val="es-ES_tradnl"/>
        </w:rPr>
        <w:t xml:space="preserve"> </w:t>
      </w:r>
      <w:r w:rsidR="00606B66">
        <w:rPr>
          <w:lang w:val="es-ES_tradnl"/>
        </w:rPr>
        <w:t xml:space="preserve">proporcionó </w:t>
      </w:r>
      <w:r w:rsidR="008D4896">
        <w:rPr>
          <w:lang w:val="es-ES_tradnl"/>
        </w:rPr>
        <w:t xml:space="preserve">además </w:t>
      </w:r>
      <w:r w:rsidR="00606B66">
        <w:rPr>
          <w:lang w:val="es-ES_tradnl"/>
        </w:rPr>
        <w:t xml:space="preserve">un </w:t>
      </w:r>
      <w:r w:rsidR="0001497C">
        <w:rPr>
          <w:lang w:val="es-ES_tradnl"/>
        </w:rPr>
        <w:t>análisis jurídico</w:t>
      </w:r>
      <w:r w:rsidR="003A46A1" w:rsidRPr="00B25E57">
        <w:rPr>
          <w:lang w:val="es-ES_tradnl"/>
        </w:rPr>
        <w:t xml:space="preserve"> </w:t>
      </w:r>
      <w:r w:rsidR="00044E84">
        <w:rPr>
          <w:lang w:val="es-ES_tradnl"/>
        </w:rPr>
        <w:t>de las opciones de control propuestas</w:t>
      </w:r>
      <w:r w:rsidR="003A46A1" w:rsidRPr="00B25E57">
        <w:rPr>
          <w:lang w:val="es-ES_tradnl"/>
        </w:rPr>
        <w:t xml:space="preserve"> </w:t>
      </w:r>
      <w:r w:rsidR="001374A2" w:rsidRPr="00B25E57">
        <w:rPr>
          <w:lang w:val="es-ES_tradnl"/>
        </w:rPr>
        <w:t>(</w:t>
      </w:r>
      <w:r w:rsidR="00F05CBF">
        <w:rPr>
          <w:lang w:val="es-ES_tradnl"/>
        </w:rPr>
        <w:t>el</w:t>
      </w:r>
      <w:r w:rsidR="00BA7F82">
        <w:rPr>
          <w:lang w:val="es-ES_tradnl"/>
        </w:rPr>
        <w:t> </w:t>
      </w:r>
      <w:r w:rsidR="00F05CBF" w:rsidRPr="00F05CBF">
        <w:rPr>
          <w:lang w:val="es-ES_tradnl"/>
        </w:rPr>
        <w:t xml:space="preserve">análisis </w:t>
      </w:r>
      <w:r w:rsidR="00F05CBF">
        <w:rPr>
          <w:lang w:val="es-ES_tradnl"/>
        </w:rPr>
        <w:t>completo</w:t>
      </w:r>
      <w:r w:rsidR="00314EC5">
        <w:rPr>
          <w:lang w:val="es-ES_tradnl"/>
        </w:rPr>
        <w:t xml:space="preserve"> </w:t>
      </w:r>
      <w:r w:rsidR="00A06834">
        <w:rPr>
          <w:lang w:val="es-ES_tradnl"/>
        </w:rPr>
        <w:t>que</w:t>
      </w:r>
      <w:r w:rsidR="00AC7A33">
        <w:rPr>
          <w:lang w:val="es-ES_tradnl"/>
        </w:rPr>
        <w:t>da</w:t>
      </w:r>
      <w:r w:rsidR="00A06834">
        <w:rPr>
          <w:lang w:val="es-ES_tradnl"/>
        </w:rPr>
        <w:t xml:space="preserve"> a disposición </w:t>
      </w:r>
      <w:r w:rsidR="00EB386A">
        <w:rPr>
          <w:lang w:val="es-ES_tradnl"/>
        </w:rPr>
        <w:t xml:space="preserve">de los </w:t>
      </w:r>
      <w:r w:rsidR="00691404">
        <w:rPr>
          <w:lang w:val="es-ES_tradnl"/>
        </w:rPr>
        <w:t>miembros</w:t>
      </w:r>
      <w:r w:rsidR="003A46A1" w:rsidRPr="00B25E57">
        <w:rPr>
          <w:lang w:val="es-ES_tradnl"/>
        </w:rPr>
        <w:t xml:space="preserve"> </w:t>
      </w:r>
      <w:r w:rsidR="007B22B4" w:rsidRPr="00B25E57">
        <w:rPr>
          <w:lang w:val="es-ES_tradnl"/>
        </w:rPr>
        <w:t>del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EB386A" w:rsidRPr="00216433">
        <w:rPr>
          <w:lang w:val="es-ES"/>
        </w:rPr>
        <w:t xml:space="preserve"> </w:t>
      </w:r>
      <w:r w:rsidR="00EB386A" w:rsidRPr="00EB386A">
        <w:rPr>
          <w:lang w:val="es-ES_tradnl"/>
        </w:rPr>
        <w:t>a solicitud de parte</w:t>
      </w:r>
      <w:r w:rsidR="001374A2" w:rsidRPr="00B25E57">
        <w:rPr>
          <w:lang w:val="es-ES_tradnl"/>
        </w:rPr>
        <w:t>)</w:t>
      </w:r>
      <w:r w:rsidR="00023D07" w:rsidRPr="00B25E57">
        <w:rPr>
          <w:lang w:val="es-ES_tradnl"/>
        </w:rPr>
        <w:t>.</w:t>
      </w:r>
    </w:p>
    <w:p w14:paraId="2F3E40DA" w14:textId="10BFB798" w:rsidR="007B22B4" w:rsidRPr="00B25E57" w:rsidRDefault="009840F7" w:rsidP="009840F7">
      <w:pPr>
        <w:pStyle w:val="Heading1"/>
        <w:rPr>
          <w:lang w:val="es-ES_tradnl"/>
        </w:rPr>
      </w:pPr>
      <w:r w:rsidRPr="00B25E57">
        <w:rPr>
          <w:lang w:val="es-ES_tradnl"/>
        </w:rPr>
        <w:t>No</w:t>
      </w:r>
      <w:r w:rsidR="003A46A1" w:rsidRPr="00B25E57">
        <w:rPr>
          <w:lang w:val="es-ES_tradnl"/>
        </w:rPr>
        <w:t xml:space="preserve"> </w:t>
      </w:r>
      <w:r w:rsidR="0061516F">
        <w:rPr>
          <w:lang w:val="es-ES_tradnl"/>
        </w:rPr>
        <w:t xml:space="preserve">se presentaron </w:t>
      </w:r>
      <w:r w:rsidR="00862A82" w:rsidRPr="00B25E57">
        <w:rPr>
          <w:lang w:val="es-ES_tradnl"/>
        </w:rPr>
        <w:t>propuesta</w:t>
      </w:r>
      <w:r w:rsidRPr="00B25E57">
        <w:rPr>
          <w:lang w:val="es-ES_tradnl"/>
        </w:rPr>
        <w:t>s</w:t>
      </w:r>
      <w:r w:rsidR="003A46A1" w:rsidRPr="00B25E57">
        <w:rPr>
          <w:lang w:val="es-ES_tradnl"/>
        </w:rPr>
        <w:t xml:space="preserve"> </w:t>
      </w:r>
      <w:r w:rsidR="0061516F">
        <w:rPr>
          <w:lang w:val="es-ES_tradnl"/>
        </w:rPr>
        <w:t xml:space="preserve">para </w:t>
      </w:r>
      <w:r w:rsidR="00695689">
        <w:rPr>
          <w:lang w:val="es-ES_tradnl"/>
        </w:rPr>
        <w:t>destruir</w:t>
      </w:r>
      <w:r w:rsidR="003A46A1" w:rsidRPr="00B25E57">
        <w:rPr>
          <w:lang w:val="es-ES_tradnl"/>
        </w:rPr>
        <w:t xml:space="preserve"> </w:t>
      </w:r>
      <w:r w:rsidR="00695689">
        <w:rPr>
          <w:lang w:val="es-ES_tradnl"/>
        </w:rPr>
        <w:t xml:space="preserve">el </w:t>
      </w:r>
      <w:r w:rsidR="004512EA" w:rsidRPr="00B25E57">
        <w:rPr>
          <w:lang w:val="es-ES_tradnl"/>
        </w:rPr>
        <w:t>subproducto</w:t>
      </w:r>
      <w:r w:rsidR="003A46A1" w:rsidRPr="00B25E57">
        <w:rPr>
          <w:lang w:val="es-ES_tradnl"/>
        </w:rPr>
        <w:t xml:space="preserve"> </w:t>
      </w:r>
      <w:r w:rsidR="004512EA" w:rsidRPr="00B25E57">
        <w:rPr>
          <w:lang w:val="es-ES_tradnl"/>
        </w:rPr>
        <w:t>HFC-23</w:t>
      </w:r>
      <w:r w:rsidR="003A46A1" w:rsidRPr="00B25E57">
        <w:rPr>
          <w:lang w:val="es-ES_tradnl"/>
        </w:rPr>
        <w:t xml:space="preserve"> </w:t>
      </w:r>
      <w:r w:rsidR="00C55126" w:rsidRPr="00C55126">
        <w:rPr>
          <w:lang w:val="es-ES_tradnl"/>
        </w:rPr>
        <w:t xml:space="preserve">por medio de tecnologías de transformación irreversible y otras nuevas opciones de conversión y acopio para </w:t>
      </w:r>
      <w:r w:rsidR="00C55126">
        <w:rPr>
          <w:lang w:val="es-ES_tradnl"/>
        </w:rPr>
        <w:t xml:space="preserve">su </w:t>
      </w:r>
      <w:r w:rsidR="00C55126" w:rsidRPr="00C55126">
        <w:rPr>
          <w:lang w:val="es-ES_tradnl"/>
        </w:rPr>
        <w:t>manejo</w:t>
      </w:r>
      <w:r w:rsidR="00C246DE" w:rsidRPr="00B25E57">
        <w:rPr>
          <w:lang w:val="es-ES_tradnl"/>
        </w:rPr>
        <w:t>,</w:t>
      </w:r>
      <w:r w:rsidR="003A46A1" w:rsidRPr="00B25E57">
        <w:rPr>
          <w:lang w:val="es-ES_tradnl"/>
        </w:rPr>
        <w:t xml:space="preserve"> </w:t>
      </w:r>
      <w:r w:rsidR="007F1468">
        <w:rPr>
          <w:lang w:val="es-ES_tradnl"/>
        </w:rPr>
        <w:t>como se solicitaba</w:t>
      </w:r>
      <w:r w:rsidR="003A46A1" w:rsidRPr="00B25E57">
        <w:rPr>
          <w:lang w:val="es-ES_tradnl"/>
        </w:rPr>
        <w:t xml:space="preserve"> </w:t>
      </w:r>
      <w:r w:rsidR="00147277" w:rsidRPr="00B25E57">
        <w:rPr>
          <w:lang w:val="es-ES_tradnl"/>
        </w:rPr>
        <w:t>en</w:t>
      </w:r>
      <w:r w:rsidR="003A46A1" w:rsidRPr="00B25E57">
        <w:rPr>
          <w:lang w:val="es-ES_tradnl"/>
        </w:rPr>
        <w:t xml:space="preserve"> </w:t>
      </w:r>
      <w:r w:rsidR="00147277" w:rsidRPr="00B25E57">
        <w:rPr>
          <w:lang w:val="es-ES_tradnl"/>
        </w:rPr>
        <w:t>la</w:t>
      </w:r>
      <w:r w:rsidR="003A46A1" w:rsidRPr="00B25E57">
        <w:rPr>
          <w:lang w:val="es-ES_tradnl"/>
        </w:rPr>
        <w:t xml:space="preserve"> </w:t>
      </w:r>
      <w:r w:rsidR="00147277" w:rsidRPr="00B25E57">
        <w:rPr>
          <w:lang w:val="es-ES_tradnl"/>
        </w:rPr>
        <w:t>decisión</w:t>
      </w:r>
      <w:r w:rsidR="003A46A1" w:rsidRPr="00B25E57">
        <w:rPr>
          <w:lang w:val="es-ES_tradnl"/>
        </w:rPr>
        <w:t xml:space="preserve"> </w:t>
      </w:r>
      <w:r w:rsidRPr="00B25E57">
        <w:rPr>
          <w:lang w:val="es-ES_tradnl"/>
        </w:rPr>
        <w:t>82/85(c)(iii)</w:t>
      </w:r>
      <w:r w:rsidR="00C246DE" w:rsidRPr="00B25E57">
        <w:rPr>
          <w:lang w:val="es-ES_tradnl"/>
        </w:rPr>
        <w:t>,</w:t>
      </w:r>
      <w:r w:rsidR="003A46A1" w:rsidRPr="00B25E57">
        <w:rPr>
          <w:lang w:val="es-ES_tradnl"/>
        </w:rPr>
        <w:t xml:space="preserve"> </w:t>
      </w:r>
      <w:r w:rsidR="00BD6556">
        <w:rPr>
          <w:lang w:val="es-ES_tradnl"/>
        </w:rPr>
        <w:t xml:space="preserve">debido a </w:t>
      </w:r>
      <w:r w:rsidR="00691404">
        <w:rPr>
          <w:lang w:val="es-ES_tradnl"/>
        </w:rPr>
        <w:t>la falta</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BD6556">
        <w:rPr>
          <w:lang w:val="es-ES_tradnl"/>
        </w:rPr>
        <w:t xml:space="preserve">antecedentes </w:t>
      </w:r>
      <w:r w:rsidR="00800CE8">
        <w:rPr>
          <w:lang w:val="es-ES_tradnl"/>
        </w:rPr>
        <w:t xml:space="preserve">sobre tales </w:t>
      </w:r>
      <w:r w:rsidR="00F33C58" w:rsidRPr="00B25E57">
        <w:rPr>
          <w:lang w:val="es-ES_tradnl"/>
        </w:rPr>
        <w:t>opciones</w:t>
      </w:r>
      <w:r w:rsidRPr="00B25E57">
        <w:rPr>
          <w:lang w:val="es-ES_tradnl"/>
        </w:rPr>
        <w:t>.</w:t>
      </w:r>
      <w:r w:rsidR="003A46A1" w:rsidRPr="00B25E57">
        <w:rPr>
          <w:lang w:val="es-ES_tradnl"/>
        </w:rPr>
        <w:t xml:space="preserve"> </w:t>
      </w:r>
      <w:r w:rsidR="009B557A">
        <w:rPr>
          <w:lang w:val="es-ES_tradnl"/>
        </w:rPr>
        <w:t>L</w:t>
      </w:r>
      <w:r w:rsidR="00F33C58" w:rsidRPr="00B25E57">
        <w:rPr>
          <w:lang w:val="es-ES_tradnl"/>
        </w:rPr>
        <w:t>a</w:t>
      </w:r>
      <w:r w:rsidR="003A46A1" w:rsidRPr="00B25E57">
        <w:rPr>
          <w:lang w:val="es-ES_tradnl"/>
        </w:rPr>
        <w:t xml:space="preserve"> </w:t>
      </w:r>
      <w:r w:rsidR="00F33C58" w:rsidRPr="00B25E57">
        <w:rPr>
          <w:lang w:val="es-ES_tradnl"/>
        </w:rPr>
        <w:t>propuesta</w:t>
      </w:r>
      <w:r w:rsidR="003A46A1" w:rsidRPr="00B25E57">
        <w:rPr>
          <w:lang w:val="es-ES_tradnl"/>
        </w:rPr>
        <w:t xml:space="preserve"> </w:t>
      </w:r>
      <w:r w:rsidR="00A65413">
        <w:rPr>
          <w:lang w:val="es-ES_tradnl"/>
        </w:rPr>
        <w:lastRenderedPageBreak/>
        <w:t>menciona</w:t>
      </w:r>
      <w:r w:rsidR="00510BB5">
        <w:rPr>
          <w:lang w:val="es-ES_tradnl"/>
        </w:rPr>
        <w:t xml:space="preserve"> la </w:t>
      </w:r>
      <w:r w:rsidR="004057BA" w:rsidRPr="00B25E57">
        <w:rPr>
          <w:lang w:val="es-ES_tradnl"/>
        </w:rPr>
        <w:t>posible</w:t>
      </w:r>
      <w:r w:rsidR="003A46A1" w:rsidRPr="00B25E57">
        <w:rPr>
          <w:lang w:val="es-ES_tradnl"/>
        </w:rPr>
        <w:t xml:space="preserve"> </w:t>
      </w:r>
      <w:r w:rsidR="004241C5" w:rsidRPr="00B25E57">
        <w:rPr>
          <w:lang w:val="es-ES_tradnl"/>
        </w:rPr>
        <w:t>conversión</w:t>
      </w:r>
      <w:r w:rsidR="003A46A1" w:rsidRPr="00B25E57">
        <w:rPr>
          <w:lang w:val="es-ES_tradnl"/>
        </w:rPr>
        <w:t xml:space="preserve"> </w:t>
      </w:r>
      <w:r w:rsidR="00BF0D1D">
        <w:rPr>
          <w:lang w:val="es-ES_tradnl"/>
        </w:rPr>
        <w:t xml:space="preserve">de la </w:t>
      </w:r>
      <w:r w:rsidR="00510BB5">
        <w:rPr>
          <w:lang w:val="es-ES_tradnl"/>
        </w:rPr>
        <w:t>línea</w:t>
      </w:r>
      <w:r w:rsidR="003A46A1" w:rsidRPr="00B25E57">
        <w:rPr>
          <w:lang w:val="es-ES_tradnl"/>
        </w:rPr>
        <w:t xml:space="preserve"> </w:t>
      </w:r>
      <w:r w:rsidR="00BF0D1D">
        <w:rPr>
          <w:lang w:val="es-ES_tradnl"/>
        </w:rPr>
        <w:t xml:space="preserve">a la producción de </w:t>
      </w:r>
      <w:r w:rsidRPr="00B25E57">
        <w:rPr>
          <w:lang w:val="es-ES_tradnl"/>
        </w:rPr>
        <w:t>HFC</w:t>
      </w:r>
      <w:r w:rsidR="00FB38C2" w:rsidRPr="00B25E57">
        <w:rPr>
          <w:lang w:val="es-ES_tradnl"/>
        </w:rPr>
        <w:t>-</w:t>
      </w:r>
      <w:r w:rsidRPr="00B25E57">
        <w:rPr>
          <w:lang w:val="es-ES_tradnl"/>
        </w:rPr>
        <w:t>32</w:t>
      </w:r>
      <w:r w:rsidR="00A65413">
        <w:rPr>
          <w:lang w:val="es-ES_tradnl"/>
        </w:rPr>
        <w:t>,</w:t>
      </w:r>
      <w:r w:rsidRPr="00B25E57">
        <w:rPr>
          <w:rStyle w:val="FootnoteReference"/>
          <w:lang w:val="es-ES_tradnl"/>
        </w:rPr>
        <w:footnoteReference w:id="6"/>
      </w:r>
      <w:r w:rsidR="003A46A1" w:rsidRPr="00B25E57">
        <w:rPr>
          <w:lang w:val="es-ES_tradnl"/>
        </w:rPr>
        <w:t xml:space="preserve"> </w:t>
      </w:r>
      <w:r w:rsidR="00E14181">
        <w:rPr>
          <w:lang w:val="es-ES_tradnl"/>
        </w:rPr>
        <w:t>opción</w:t>
      </w:r>
      <w:r w:rsidR="003A46A1" w:rsidRPr="00B25E57">
        <w:rPr>
          <w:lang w:val="es-ES_tradnl"/>
        </w:rPr>
        <w:t xml:space="preserve"> </w:t>
      </w:r>
      <w:r w:rsidR="00C06942">
        <w:rPr>
          <w:lang w:val="es-ES_tradnl"/>
        </w:rPr>
        <w:t xml:space="preserve">que </w:t>
      </w:r>
      <w:r w:rsidR="00AD6079">
        <w:rPr>
          <w:lang w:val="es-ES_tradnl"/>
        </w:rPr>
        <w:t xml:space="preserve">no se desarrolla en mayor detalle dado que en la actualidad el </w:t>
      </w:r>
      <w:r w:rsidRPr="00B25E57">
        <w:rPr>
          <w:lang w:val="es-ES_tradnl"/>
        </w:rPr>
        <w:t>HFC</w:t>
      </w:r>
      <w:r w:rsidR="00FB38C2" w:rsidRPr="00B25E57">
        <w:rPr>
          <w:lang w:val="es-ES_tradnl"/>
        </w:rPr>
        <w:t>-</w:t>
      </w:r>
      <w:r w:rsidRPr="00B25E57">
        <w:rPr>
          <w:lang w:val="es-ES_tradnl"/>
        </w:rPr>
        <w:t>32</w:t>
      </w:r>
      <w:r w:rsidR="003A46A1" w:rsidRPr="00B25E57">
        <w:rPr>
          <w:lang w:val="es-ES_tradnl"/>
        </w:rPr>
        <w:t xml:space="preserve"> </w:t>
      </w:r>
      <w:r w:rsidR="00AD6079">
        <w:rPr>
          <w:lang w:val="es-ES_tradnl"/>
        </w:rPr>
        <w:t xml:space="preserve">no tiene </w:t>
      </w:r>
      <w:r w:rsidR="00AD6079" w:rsidRPr="00AD6079">
        <w:rPr>
          <w:lang w:val="es-ES_tradnl"/>
        </w:rPr>
        <w:t xml:space="preserve">mercado </w:t>
      </w:r>
      <w:r w:rsidR="004241C5" w:rsidRPr="00B25E57">
        <w:rPr>
          <w:lang w:val="es-ES_tradnl"/>
        </w:rPr>
        <w:t>en</w:t>
      </w:r>
      <w:r w:rsidR="003A46A1" w:rsidRPr="00B25E57">
        <w:rPr>
          <w:lang w:val="es-ES_tradnl"/>
        </w:rPr>
        <w:t xml:space="preserve"> </w:t>
      </w:r>
      <w:r w:rsidR="005315CD">
        <w:rPr>
          <w:lang w:val="es-ES_tradnl"/>
        </w:rPr>
        <w:t xml:space="preserve">la </w:t>
      </w:r>
      <w:r w:rsidRPr="00B25E57">
        <w:rPr>
          <w:lang w:val="es-ES_tradnl"/>
        </w:rPr>
        <w:t>Argentina,</w:t>
      </w:r>
      <w:r w:rsidR="003A46A1" w:rsidRPr="00B25E57">
        <w:rPr>
          <w:lang w:val="es-ES_tradnl"/>
        </w:rPr>
        <w:t xml:space="preserve"> </w:t>
      </w:r>
      <w:r w:rsidR="00286D8E">
        <w:rPr>
          <w:lang w:val="es-ES_tradnl"/>
        </w:rPr>
        <w:t xml:space="preserve">que tal </w:t>
      </w:r>
      <w:r w:rsidR="004241C5" w:rsidRPr="00B25E57">
        <w:rPr>
          <w:lang w:val="es-ES_tradnl"/>
        </w:rPr>
        <w:t>conversión</w:t>
      </w:r>
      <w:r w:rsidR="003A46A1" w:rsidRPr="00B25E57">
        <w:rPr>
          <w:lang w:val="es-ES_tradnl"/>
        </w:rPr>
        <w:t xml:space="preserve"> </w:t>
      </w:r>
      <w:r w:rsidR="00906C21">
        <w:rPr>
          <w:lang w:val="es-ES_tradnl"/>
        </w:rPr>
        <w:t xml:space="preserve">podría </w:t>
      </w:r>
      <w:r w:rsidR="0057539C">
        <w:rPr>
          <w:lang w:val="es-ES_tradnl"/>
        </w:rPr>
        <w:t xml:space="preserve">carecer de sustentabilidad a </w:t>
      </w:r>
      <w:r w:rsidR="00F24FA9" w:rsidRPr="00B25E57">
        <w:rPr>
          <w:lang w:val="es-ES_tradnl"/>
        </w:rPr>
        <w:t>largo</w:t>
      </w:r>
      <w:r w:rsidR="003A46A1" w:rsidRPr="00B25E57">
        <w:rPr>
          <w:lang w:val="es-ES_tradnl"/>
        </w:rPr>
        <w:t xml:space="preserve"> </w:t>
      </w:r>
      <w:r w:rsidR="00F24FA9" w:rsidRPr="00B25E57">
        <w:rPr>
          <w:lang w:val="es-ES_tradnl"/>
        </w:rPr>
        <w:t>plazo</w:t>
      </w:r>
      <w:r w:rsidRPr="00B25E57">
        <w:rPr>
          <w:lang w:val="es-ES_tradnl"/>
        </w:rPr>
        <w:t>,</w:t>
      </w:r>
      <w:r w:rsidR="003A46A1" w:rsidRPr="00B25E57">
        <w:rPr>
          <w:lang w:val="es-ES_tradnl"/>
        </w:rPr>
        <w:t xml:space="preserve"> </w:t>
      </w:r>
      <w:r w:rsidR="00AF74E2">
        <w:rPr>
          <w:lang w:val="es-ES_tradnl"/>
        </w:rPr>
        <w:t xml:space="preserve">que no </w:t>
      </w:r>
      <w:r w:rsidR="005751F3">
        <w:rPr>
          <w:lang w:val="es-ES_tradnl"/>
        </w:rPr>
        <w:t xml:space="preserve">existe </w:t>
      </w:r>
      <w:r w:rsidR="00691404">
        <w:rPr>
          <w:lang w:val="es-ES_tradnl"/>
        </w:rPr>
        <w:t>suficiente</w:t>
      </w:r>
      <w:r w:rsidR="003A46A1" w:rsidRPr="00B25E57">
        <w:rPr>
          <w:lang w:val="es-ES_tradnl"/>
        </w:rPr>
        <w:t xml:space="preserve"> </w:t>
      </w:r>
      <w:r w:rsidR="00A4343B" w:rsidRPr="00B25E57">
        <w:rPr>
          <w:lang w:val="es-ES_tradnl"/>
        </w:rPr>
        <w:t>información</w:t>
      </w:r>
      <w:r w:rsidR="003A46A1" w:rsidRPr="00B25E57">
        <w:rPr>
          <w:lang w:val="es-ES_tradnl"/>
        </w:rPr>
        <w:t xml:space="preserve"> </w:t>
      </w:r>
      <w:r w:rsidR="00A4343B" w:rsidRPr="00B25E57">
        <w:rPr>
          <w:lang w:val="es-ES_tradnl"/>
        </w:rPr>
        <w:t>sobre</w:t>
      </w:r>
      <w:r w:rsidR="003A46A1" w:rsidRPr="00B25E57">
        <w:rPr>
          <w:lang w:val="es-ES_tradnl"/>
        </w:rPr>
        <w:t xml:space="preserve"> </w:t>
      </w:r>
      <w:r w:rsidR="00165FAA">
        <w:rPr>
          <w:lang w:val="es-ES_tradnl"/>
        </w:rPr>
        <w:t xml:space="preserve">la </w:t>
      </w:r>
      <w:r w:rsidR="00165FAA" w:rsidRPr="00165FAA">
        <w:rPr>
          <w:lang w:val="es-ES_tradnl"/>
        </w:rPr>
        <w:t xml:space="preserve">tecnología </w:t>
      </w:r>
      <w:r w:rsidR="00165FAA">
        <w:rPr>
          <w:lang w:val="es-ES_tradnl"/>
        </w:rPr>
        <w:t xml:space="preserve">de </w:t>
      </w:r>
      <w:r w:rsidR="00E22238" w:rsidRPr="00B25E57">
        <w:rPr>
          <w:lang w:val="es-ES_tradnl"/>
        </w:rPr>
        <w:t>proceso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241C5" w:rsidRPr="00B25E57">
        <w:rPr>
          <w:lang w:val="es-ES_tradnl"/>
        </w:rPr>
        <w:t>producción</w:t>
      </w:r>
      <w:r w:rsidR="00B07EFD">
        <w:rPr>
          <w:lang w:val="es-ES_tradnl"/>
        </w:rPr>
        <w:t xml:space="preserve">, y por </w:t>
      </w:r>
      <w:r w:rsidR="00257C11">
        <w:rPr>
          <w:lang w:val="es-ES_tradnl"/>
        </w:rPr>
        <w:t xml:space="preserve">los </w:t>
      </w:r>
      <w:r w:rsidR="004057BA" w:rsidRPr="00B25E57">
        <w:rPr>
          <w:lang w:val="es-ES_tradnl"/>
        </w:rPr>
        <w:t>posible</w:t>
      </w:r>
      <w:r w:rsidR="00257C11">
        <w:rPr>
          <w:lang w:val="es-ES_tradnl"/>
        </w:rPr>
        <w:t>s</w:t>
      </w:r>
      <w:r w:rsidR="003A46A1" w:rsidRPr="00B25E57">
        <w:rPr>
          <w:lang w:val="es-ES_tradnl"/>
        </w:rPr>
        <w:t xml:space="preserve"> </w:t>
      </w:r>
      <w:r w:rsidR="009170DB">
        <w:rPr>
          <w:lang w:val="es-ES_tradnl"/>
        </w:rPr>
        <w:t>costos de inversión</w:t>
      </w:r>
      <w:r w:rsidR="003A46A1" w:rsidRPr="00B25E57">
        <w:rPr>
          <w:lang w:val="es-ES_tradnl"/>
        </w:rPr>
        <w:t xml:space="preserve"> </w:t>
      </w:r>
      <w:r w:rsidR="005F0942">
        <w:rPr>
          <w:lang w:val="es-ES_tradnl"/>
        </w:rPr>
        <w:t>que exigiría</w:t>
      </w:r>
      <w:r w:rsidRPr="00B25E57">
        <w:rPr>
          <w:lang w:val="es-ES_tradnl"/>
        </w:rPr>
        <w:t>.</w:t>
      </w:r>
      <w:r w:rsidR="003A46A1" w:rsidRPr="00B25E57">
        <w:rPr>
          <w:lang w:val="es-ES_tradnl"/>
        </w:rPr>
        <w:t xml:space="preserve"> </w:t>
      </w:r>
      <w:r w:rsidR="000B3653">
        <w:rPr>
          <w:lang w:val="es-ES_tradnl"/>
        </w:rPr>
        <w:t>L</w:t>
      </w:r>
      <w:r w:rsidR="004512EA" w:rsidRPr="00B25E57">
        <w:rPr>
          <w:lang w:val="es-ES_tradnl"/>
        </w:rPr>
        <w:t>a</w:t>
      </w:r>
      <w:r w:rsidR="003A46A1" w:rsidRPr="00B25E57">
        <w:rPr>
          <w:lang w:val="es-ES_tradnl"/>
        </w:rPr>
        <w:t xml:space="preserve"> </w:t>
      </w:r>
      <w:r w:rsidR="004512EA" w:rsidRPr="00B25E57">
        <w:rPr>
          <w:lang w:val="es-ES_tradnl"/>
        </w:rPr>
        <w:t>presentación</w:t>
      </w:r>
      <w:r w:rsidR="003A46A1" w:rsidRPr="00B25E57">
        <w:rPr>
          <w:lang w:val="es-ES_tradnl"/>
        </w:rPr>
        <w:t xml:space="preserve"> </w:t>
      </w:r>
      <w:r w:rsidR="0027700B">
        <w:rPr>
          <w:lang w:val="es-ES_tradnl"/>
        </w:rPr>
        <w:t xml:space="preserve">se refiere </w:t>
      </w:r>
      <w:r w:rsidR="009F7C5F" w:rsidRPr="009F7C5F">
        <w:rPr>
          <w:lang w:val="es-ES_tradnl"/>
        </w:rPr>
        <w:t>asimismo</w:t>
      </w:r>
      <w:r w:rsidR="0027700B">
        <w:rPr>
          <w:lang w:val="es-ES_tradnl"/>
        </w:rPr>
        <w:t xml:space="preserve"> a los </w:t>
      </w:r>
      <w:r w:rsidR="004057BA" w:rsidRPr="00B25E57">
        <w:rPr>
          <w:lang w:val="es-ES_tradnl"/>
        </w:rPr>
        <w:t>posible</w:t>
      </w:r>
      <w:r w:rsidR="0027700B">
        <w:rPr>
          <w:lang w:val="es-ES_tradnl"/>
        </w:rPr>
        <w:t>s</w:t>
      </w:r>
      <w:r w:rsidR="003A46A1" w:rsidRPr="00B25E57">
        <w:rPr>
          <w:lang w:val="es-ES_tradnl"/>
        </w:rPr>
        <w:t xml:space="preserve"> </w:t>
      </w:r>
      <w:r w:rsidR="0027700B">
        <w:rPr>
          <w:lang w:val="es-ES_tradnl"/>
        </w:rPr>
        <w:t xml:space="preserve">usos </w:t>
      </w:r>
      <w:r w:rsidR="00FB38C2" w:rsidRPr="00B25E57">
        <w:rPr>
          <w:lang w:val="es-ES_tradnl"/>
        </w:rPr>
        <w:t>de</w:t>
      </w:r>
      <w:r w:rsidR="00A2201A">
        <w:rPr>
          <w:lang w:val="es-ES_tradnl"/>
        </w:rPr>
        <w:t>l</w:t>
      </w:r>
      <w:r w:rsidR="003A46A1" w:rsidRPr="00B25E57">
        <w:rPr>
          <w:lang w:val="es-ES_tradnl"/>
        </w:rPr>
        <w:t xml:space="preserve"> </w:t>
      </w:r>
      <w:r w:rsidRPr="00B25E57">
        <w:rPr>
          <w:lang w:val="es-ES_tradnl"/>
        </w:rPr>
        <w:t>HFC</w:t>
      </w:r>
      <w:r w:rsidR="00FB38C2" w:rsidRPr="00B25E57">
        <w:rPr>
          <w:lang w:val="es-ES_tradnl"/>
        </w:rPr>
        <w:t>-</w:t>
      </w:r>
      <w:r w:rsidRPr="00B25E57">
        <w:rPr>
          <w:lang w:val="es-ES_tradnl"/>
        </w:rPr>
        <w:t>23</w:t>
      </w:r>
      <w:r w:rsidR="003A46A1" w:rsidRPr="00B25E57">
        <w:rPr>
          <w:lang w:val="es-ES_tradnl"/>
        </w:rPr>
        <w:t xml:space="preserve"> </w:t>
      </w:r>
      <w:r w:rsidR="009170DB">
        <w:rPr>
          <w:lang w:val="es-ES_tradnl"/>
        </w:rPr>
        <w:t xml:space="preserve">como </w:t>
      </w:r>
      <w:r w:rsidR="00A4343B" w:rsidRPr="00B25E57">
        <w:rPr>
          <w:lang w:val="es-ES_tradnl"/>
        </w:rPr>
        <w:t>insumo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A2201A">
        <w:rPr>
          <w:lang w:val="es-ES_tradnl"/>
        </w:rPr>
        <w:t xml:space="preserve">en </w:t>
      </w:r>
      <w:r w:rsidR="009170DB">
        <w:rPr>
          <w:lang w:val="es-ES_tradnl"/>
        </w:rPr>
        <w:t>usos controlados</w:t>
      </w:r>
      <w:r w:rsidR="00A854FE">
        <w:rPr>
          <w:lang w:val="es-ES_tradnl"/>
        </w:rPr>
        <w:t>. L</w:t>
      </w:r>
      <w:r w:rsidR="00967721">
        <w:rPr>
          <w:lang w:val="es-ES_tradnl"/>
        </w:rPr>
        <w:t xml:space="preserve">o primero </w:t>
      </w:r>
      <w:r w:rsidR="00ED0227">
        <w:rPr>
          <w:lang w:val="es-ES_tradnl"/>
        </w:rPr>
        <w:t xml:space="preserve">carece de un suficiente desarrollo </w:t>
      </w:r>
      <w:r w:rsidR="004057BA" w:rsidRPr="00B25E57">
        <w:rPr>
          <w:lang w:val="es-ES_tradnl"/>
        </w:rPr>
        <w:t>comercial</w:t>
      </w:r>
      <w:r w:rsidR="003A46A1" w:rsidRPr="00B25E57">
        <w:rPr>
          <w:lang w:val="es-ES_tradnl"/>
        </w:rPr>
        <w:t xml:space="preserve"> </w:t>
      </w:r>
      <w:r w:rsidR="00FB38C2" w:rsidRPr="00B25E57">
        <w:rPr>
          <w:lang w:val="es-ES_tradnl"/>
        </w:rPr>
        <w:t>y</w:t>
      </w:r>
      <w:r w:rsidR="003A46A1" w:rsidRPr="00B25E57">
        <w:rPr>
          <w:lang w:val="es-ES_tradnl"/>
        </w:rPr>
        <w:t xml:space="preserve"> </w:t>
      </w:r>
      <w:r w:rsidR="00ED0227">
        <w:rPr>
          <w:lang w:val="es-ES_tradnl"/>
        </w:rPr>
        <w:t>técnico</w:t>
      </w:r>
      <w:r w:rsidR="00F21CAB">
        <w:rPr>
          <w:lang w:val="es-ES_tradnl"/>
        </w:rPr>
        <w:t>,</w:t>
      </w:r>
      <w:r w:rsidR="00ED0227">
        <w:rPr>
          <w:lang w:val="es-ES_tradnl"/>
        </w:rPr>
        <w:t xml:space="preserve"> </w:t>
      </w:r>
      <w:r w:rsidR="00F33C58" w:rsidRPr="00B25E57">
        <w:rPr>
          <w:lang w:val="es-ES_tradnl"/>
        </w:rPr>
        <w:t>y</w:t>
      </w:r>
      <w:r w:rsidR="003A46A1" w:rsidRPr="00B25E57">
        <w:rPr>
          <w:lang w:val="es-ES_tradnl"/>
        </w:rPr>
        <w:t xml:space="preserve"> </w:t>
      </w:r>
      <w:r w:rsidR="00ED0227">
        <w:rPr>
          <w:lang w:val="es-ES_tradnl"/>
        </w:rPr>
        <w:t xml:space="preserve">lo segundo </w:t>
      </w:r>
      <w:r w:rsidR="00FE6473">
        <w:rPr>
          <w:lang w:val="es-ES_tradnl"/>
        </w:rPr>
        <w:t xml:space="preserve">se estimó inviable </w:t>
      </w:r>
      <w:r w:rsidR="00EE5646">
        <w:rPr>
          <w:lang w:val="es-ES_tradnl"/>
        </w:rPr>
        <w:t xml:space="preserve">debido a la </w:t>
      </w:r>
      <w:r w:rsidR="00B141B5">
        <w:rPr>
          <w:lang w:val="es-ES_tradnl"/>
        </w:rPr>
        <w:t xml:space="preserve">inversión </w:t>
      </w:r>
      <w:r w:rsidR="00F975B5">
        <w:rPr>
          <w:lang w:val="es-ES_tradnl"/>
        </w:rPr>
        <w:t xml:space="preserve">necesaria para </w:t>
      </w:r>
      <w:r w:rsidR="00B141B5">
        <w:rPr>
          <w:lang w:val="es-ES_tradnl"/>
        </w:rPr>
        <w:t xml:space="preserve">procesar </w:t>
      </w:r>
      <w:r w:rsidR="00201485">
        <w:rPr>
          <w:lang w:val="es-ES_tradnl"/>
        </w:rPr>
        <w:t>el HFC</w:t>
      </w:r>
      <w:r w:rsidR="00FB38C2" w:rsidRPr="00B25E57">
        <w:rPr>
          <w:lang w:val="es-ES_tradnl"/>
        </w:rPr>
        <w:t>-</w:t>
      </w:r>
      <w:r w:rsidRPr="00B25E57">
        <w:rPr>
          <w:lang w:val="es-ES_tradnl"/>
        </w:rPr>
        <w:t>23</w:t>
      </w:r>
      <w:r w:rsidR="003A46A1" w:rsidRPr="00B25E57">
        <w:rPr>
          <w:lang w:val="es-ES_tradnl"/>
        </w:rPr>
        <w:t xml:space="preserve"> </w:t>
      </w:r>
      <w:r w:rsidR="002F02F8">
        <w:rPr>
          <w:lang w:val="es-ES_tradnl"/>
        </w:rPr>
        <w:t xml:space="preserve">según </w:t>
      </w:r>
      <w:r w:rsidR="00AF41CA">
        <w:rPr>
          <w:lang w:val="es-ES_tradnl"/>
        </w:rPr>
        <w:t>las normas de calidad</w:t>
      </w:r>
      <w:r w:rsidR="003A46A1" w:rsidRPr="00B25E57">
        <w:rPr>
          <w:lang w:val="es-ES_tradnl"/>
        </w:rPr>
        <w:t xml:space="preserve"> </w:t>
      </w:r>
      <w:r w:rsidR="00AF41CA">
        <w:rPr>
          <w:lang w:val="es-ES_tradnl"/>
        </w:rPr>
        <w:t xml:space="preserve">que exigen los </w:t>
      </w:r>
      <w:r w:rsidR="009170DB">
        <w:rPr>
          <w:lang w:val="es-ES_tradnl"/>
        </w:rPr>
        <w:t>usos controlados</w:t>
      </w:r>
      <w:r w:rsidRPr="00B25E57">
        <w:rPr>
          <w:lang w:val="es-ES_tradnl"/>
        </w:rPr>
        <w:t>.</w:t>
      </w:r>
    </w:p>
    <w:p w14:paraId="3BDC0898" w14:textId="1D96AF49" w:rsidR="007B069E" w:rsidRPr="00B25E57" w:rsidRDefault="0001497C" w:rsidP="00AC7BBE">
      <w:pPr>
        <w:keepNext/>
        <w:keepLines/>
        <w:rPr>
          <w:i/>
          <w:lang w:val="es-ES_tradnl"/>
        </w:rPr>
      </w:pPr>
      <w:r>
        <w:rPr>
          <w:i/>
          <w:lang w:val="es-ES_tradnl"/>
        </w:rPr>
        <w:t>Análisis jurídico</w:t>
      </w:r>
      <w:r w:rsidR="003A46A1" w:rsidRPr="00B25E57">
        <w:rPr>
          <w:i/>
          <w:lang w:val="es-ES_tradnl"/>
        </w:rPr>
        <w:t xml:space="preserve"> </w:t>
      </w:r>
      <w:r w:rsidR="00FB38C2" w:rsidRPr="00B25E57">
        <w:rPr>
          <w:i/>
          <w:lang w:val="es-ES_tradnl"/>
        </w:rPr>
        <w:t>de</w:t>
      </w:r>
      <w:r w:rsidR="003A46A1" w:rsidRPr="00B25E57">
        <w:rPr>
          <w:i/>
          <w:lang w:val="es-ES_tradnl"/>
        </w:rPr>
        <w:t xml:space="preserve"> </w:t>
      </w:r>
      <w:r w:rsidR="00502D72">
        <w:rPr>
          <w:i/>
          <w:lang w:val="es-ES_tradnl"/>
        </w:rPr>
        <w:t xml:space="preserve">las </w:t>
      </w:r>
      <w:r>
        <w:rPr>
          <w:i/>
          <w:lang w:val="es-ES_tradnl"/>
        </w:rPr>
        <w:t>opciones de control</w:t>
      </w:r>
    </w:p>
    <w:p w14:paraId="03428DDB" w14:textId="77777777" w:rsidR="007B069E" w:rsidRPr="00B25E57" w:rsidRDefault="007B069E" w:rsidP="00AC7BBE">
      <w:pPr>
        <w:keepNext/>
        <w:keepLines/>
        <w:rPr>
          <w:lang w:val="es-ES_tradnl"/>
        </w:rPr>
      </w:pPr>
    </w:p>
    <w:p w14:paraId="2B48CDD9" w14:textId="058E006B" w:rsidR="007B069E" w:rsidRPr="00B25E57" w:rsidRDefault="00E91050" w:rsidP="00AC7BBE">
      <w:pPr>
        <w:pStyle w:val="Heading1"/>
        <w:keepNext/>
        <w:keepLines/>
        <w:rPr>
          <w:lang w:val="es-ES_tradnl"/>
        </w:rPr>
      </w:pPr>
      <w:r>
        <w:rPr>
          <w:lang w:val="es-ES_tradnl"/>
        </w:rPr>
        <w:t xml:space="preserve">La </w:t>
      </w:r>
      <w:r w:rsidR="008D0F26">
        <w:rPr>
          <w:lang w:val="es-ES_tradnl"/>
        </w:rPr>
        <w:t>Ley 24.051</w:t>
      </w:r>
      <w:r w:rsidR="003A46A1" w:rsidRPr="00B25E57">
        <w:rPr>
          <w:lang w:val="es-ES_tradnl"/>
        </w:rPr>
        <w:t xml:space="preserve"> </w:t>
      </w:r>
      <w:r w:rsidR="00985FFA">
        <w:rPr>
          <w:lang w:val="es-ES_tradnl"/>
        </w:rPr>
        <w:t>regula</w:t>
      </w:r>
      <w:r w:rsidR="003A46A1" w:rsidRPr="00B25E57">
        <w:rPr>
          <w:lang w:val="es-ES_tradnl"/>
        </w:rPr>
        <w:t xml:space="preserve"> </w:t>
      </w:r>
      <w:r w:rsidR="00985FFA">
        <w:rPr>
          <w:lang w:val="es-ES_tradnl"/>
        </w:rPr>
        <w:t xml:space="preserve">la </w:t>
      </w:r>
      <w:r w:rsidR="00985FFA" w:rsidRPr="00985FFA">
        <w:rPr>
          <w:lang w:val="es-ES_tradnl"/>
        </w:rPr>
        <w:t>generación, manipulación, transporte, tratamiento y disposición final de residuos peligrosos</w:t>
      </w:r>
      <w:r w:rsidR="007B069E" w:rsidRPr="00B25E57">
        <w:rPr>
          <w:lang w:val="es-ES_tradnl"/>
        </w:rPr>
        <w:t>.</w:t>
      </w:r>
      <w:r w:rsidR="003A46A1" w:rsidRPr="00B25E57">
        <w:rPr>
          <w:lang w:val="es-ES_tradnl"/>
        </w:rPr>
        <w:t xml:space="preserve"> </w:t>
      </w:r>
      <w:r w:rsidR="004241C5" w:rsidRPr="00B25E57">
        <w:rPr>
          <w:lang w:val="es-ES_tradnl"/>
        </w:rPr>
        <w:t>E</w:t>
      </w:r>
      <w:r w:rsidR="00710EEE">
        <w:rPr>
          <w:lang w:val="es-ES_tradnl"/>
        </w:rPr>
        <w:t>l a</w:t>
      </w:r>
      <w:r w:rsidR="00A4343B" w:rsidRPr="00B25E57">
        <w:rPr>
          <w:lang w:val="es-ES_tradnl"/>
        </w:rPr>
        <w:t>rtículo</w:t>
      </w:r>
      <w:r w:rsidR="003A46A1" w:rsidRPr="00B25E57">
        <w:rPr>
          <w:lang w:val="es-ES_tradnl"/>
        </w:rPr>
        <w:t xml:space="preserve"> </w:t>
      </w:r>
      <w:r w:rsidR="007B069E" w:rsidRPr="00B25E57">
        <w:rPr>
          <w:lang w:val="es-ES_tradnl"/>
        </w:rPr>
        <w:t>2</w:t>
      </w:r>
      <w:r w:rsidR="003A46A1" w:rsidRPr="00B25E57">
        <w:rPr>
          <w:lang w:val="es-ES_tradnl"/>
        </w:rPr>
        <w:t xml:space="preserve"> </w:t>
      </w:r>
      <w:r w:rsidR="0099263C">
        <w:rPr>
          <w:lang w:val="es-ES_tradnl"/>
        </w:rPr>
        <w:t>define</w:t>
      </w:r>
      <w:r w:rsidR="003A46A1" w:rsidRPr="00B25E57">
        <w:rPr>
          <w:lang w:val="es-ES_tradnl"/>
        </w:rPr>
        <w:t xml:space="preserve"> </w:t>
      </w:r>
      <w:r w:rsidR="002C4859">
        <w:rPr>
          <w:lang w:val="es-ES_tradnl"/>
        </w:rPr>
        <w:t xml:space="preserve">los </w:t>
      </w:r>
      <w:r w:rsidR="005B44B1">
        <w:rPr>
          <w:lang w:val="es-ES_tradnl"/>
        </w:rPr>
        <w:t>residuos peligrosos</w:t>
      </w:r>
      <w:r w:rsidR="003A46A1" w:rsidRPr="00B25E57">
        <w:rPr>
          <w:lang w:val="es-ES_tradnl"/>
        </w:rPr>
        <w:t xml:space="preserve"> </w:t>
      </w:r>
      <w:r w:rsidR="00F33C58" w:rsidRPr="00B25E57">
        <w:rPr>
          <w:lang w:val="es-ES_tradnl"/>
        </w:rPr>
        <w:t>y</w:t>
      </w:r>
      <w:r w:rsidR="003A46A1" w:rsidRPr="00B25E57">
        <w:rPr>
          <w:lang w:val="es-ES_tradnl"/>
        </w:rPr>
        <w:t xml:space="preserve"> </w:t>
      </w:r>
      <w:r w:rsidR="00725903">
        <w:rPr>
          <w:lang w:val="es-ES_tradnl"/>
        </w:rPr>
        <w:t>los a</w:t>
      </w:r>
      <w:r w:rsidR="00A4343B" w:rsidRPr="00B25E57">
        <w:rPr>
          <w:lang w:val="es-ES_tradnl"/>
        </w:rPr>
        <w:t>rtículo</w:t>
      </w:r>
      <w:r w:rsidR="004D364B" w:rsidRPr="00B25E57">
        <w:rPr>
          <w:lang w:val="es-ES_tradnl"/>
        </w:rPr>
        <w:t>s</w:t>
      </w:r>
      <w:r w:rsidR="003A46A1" w:rsidRPr="00B25E57">
        <w:rPr>
          <w:lang w:val="es-ES_tradnl"/>
        </w:rPr>
        <w:t xml:space="preserve"> </w:t>
      </w:r>
      <w:r w:rsidR="004D364B" w:rsidRPr="00B25E57">
        <w:rPr>
          <w:lang w:val="es-ES_tradnl"/>
        </w:rPr>
        <w:t>14</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D364B" w:rsidRPr="00B25E57">
        <w:rPr>
          <w:lang w:val="es-ES_tradnl"/>
        </w:rPr>
        <w:t>33</w:t>
      </w:r>
      <w:r w:rsidR="00C318DB">
        <w:rPr>
          <w:lang w:val="es-ES_tradnl"/>
        </w:rPr>
        <w:t xml:space="preserve"> </w:t>
      </w:r>
      <w:r w:rsidR="00F74F3E">
        <w:rPr>
          <w:lang w:val="es-ES_tradnl"/>
        </w:rPr>
        <w:t>los generadores y las plantas de tratamiento</w:t>
      </w:r>
      <w:r w:rsidR="004D364B" w:rsidRPr="00B25E57">
        <w:rPr>
          <w:lang w:val="es-ES_tradnl"/>
        </w:rPr>
        <w:t>.</w:t>
      </w:r>
      <w:r w:rsidR="00A41AA6" w:rsidRPr="00B25E57">
        <w:rPr>
          <w:rStyle w:val="FootnoteReference"/>
          <w:lang w:val="es-ES_tradnl"/>
        </w:rPr>
        <w:footnoteReference w:id="7"/>
      </w:r>
      <w:r w:rsidR="003A46A1" w:rsidRPr="00B25E57">
        <w:rPr>
          <w:lang w:val="es-ES_tradnl"/>
        </w:rPr>
        <w:t xml:space="preserve"> </w:t>
      </w:r>
      <w:r w:rsidR="004241C5" w:rsidRPr="00B25E57">
        <w:rPr>
          <w:lang w:val="es-ES_tradnl"/>
        </w:rPr>
        <w:t>En</w:t>
      </w:r>
      <w:r w:rsidR="003A46A1" w:rsidRPr="00B25E57">
        <w:rPr>
          <w:lang w:val="es-ES_tradnl"/>
        </w:rPr>
        <w:t xml:space="preserve"> </w:t>
      </w:r>
      <w:r w:rsidR="00456177">
        <w:rPr>
          <w:lang w:val="es-ES_tradnl"/>
        </w:rPr>
        <w:t>la</w:t>
      </w:r>
      <w:r w:rsidR="003A46A1" w:rsidRPr="00B25E57">
        <w:rPr>
          <w:lang w:val="es-ES_tradnl"/>
        </w:rPr>
        <w:t xml:space="preserve"> </w:t>
      </w:r>
      <w:r w:rsidR="00985023">
        <w:rPr>
          <w:lang w:val="es-ES_tradnl"/>
        </w:rPr>
        <w:t>Provincia</w:t>
      </w:r>
      <w:r w:rsidR="00985023" w:rsidRPr="00B25E57">
        <w:rPr>
          <w:lang w:val="es-ES_tradnl"/>
        </w:rPr>
        <w:t xml:space="preserve"> </w:t>
      </w:r>
      <w:r w:rsidR="00FB38C2" w:rsidRPr="00B25E57">
        <w:rPr>
          <w:lang w:val="es-ES_tradnl"/>
        </w:rPr>
        <w:t>de</w:t>
      </w:r>
      <w:r w:rsidR="003A46A1" w:rsidRPr="00B25E57">
        <w:rPr>
          <w:lang w:val="es-ES_tradnl"/>
        </w:rPr>
        <w:t xml:space="preserve"> </w:t>
      </w:r>
      <w:r w:rsidR="007B069E" w:rsidRPr="00B25E57">
        <w:rPr>
          <w:lang w:val="es-ES_tradnl"/>
        </w:rPr>
        <w:t>San</w:t>
      </w:r>
      <w:r w:rsidR="003A46A1" w:rsidRPr="00B25E57">
        <w:rPr>
          <w:lang w:val="es-ES_tradnl"/>
        </w:rPr>
        <w:t xml:space="preserve"> </w:t>
      </w:r>
      <w:r w:rsidR="007B069E" w:rsidRPr="00B25E57">
        <w:rPr>
          <w:lang w:val="es-ES_tradnl"/>
        </w:rPr>
        <w:t>Luis,</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E20DD0">
        <w:rPr>
          <w:lang w:val="es-ES_tradnl"/>
        </w:rPr>
        <w:t xml:space="preserve">se sitúa </w:t>
      </w:r>
      <w:r w:rsidR="0003198B" w:rsidRPr="00B25E57">
        <w:rPr>
          <w:lang w:val="es-ES_tradnl"/>
        </w:rPr>
        <w:t>FIASA,</w:t>
      </w:r>
      <w:r w:rsidR="003A46A1" w:rsidRPr="00B25E57">
        <w:rPr>
          <w:lang w:val="es-ES_tradnl"/>
        </w:rPr>
        <w:t xml:space="preserve"> </w:t>
      </w:r>
      <w:r w:rsidR="00B26056" w:rsidRPr="00B26056">
        <w:rPr>
          <w:lang w:val="es-ES_tradnl"/>
        </w:rPr>
        <w:t>la aplicación de la Ley 24.051</w:t>
      </w:r>
      <w:r w:rsidR="00B26056">
        <w:rPr>
          <w:lang w:val="es-ES_tradnl"/>
        </w:rPr>
        <w:t xml:space="preserve"> está </w:t>
      </w:r>
      <w:r w:rsidR="00A015EA">
        <w:rPr>
          <w:lang w:val="es-ES_tradnl"/>
        </w:rPr>
        <w:t xml:space="preserve">normada </w:t>
      </w:r>
      <w:r w:rsidR="00B26056">
        <w:rPr>
          <w:lang w:val="es-ES_tradnl"/>
        </w:rPr>
        <w:t xml:space="preserve">por </w:t>
      </w:r>
      <w:r w:rsidR="008B0922">
        <w:rPr>
          <w:lang w:val="es-ES_tradnl"/>
        </w:rPr>
        <w:t>el Decreto</w:t>
      </w:r>
      <w:r w:rsidR="003A46A1" w:rsidRPr="00B25E57">
        <w:rPr>
          <w:lang w:val="es-ES_tradnl"/>
        </w:rPr>
        <w:t xml:space="preserve"> </w:t>
      </w:r>
      <w:r w:rsidR="0003198B" w:rsidRPr="00B25E57">
        <w:rPr>
          <w:lang w:val="es-ES_tradnl"/>
        </w:rPr>
        <w:t>2092</w:t>
      </w:r>
      <w:r w:rsidR="00B26056">
        <w:rPr>
          <w:lang w:val="es-ES_tradnl"/>
        </w:rPr>
        <w:t xml:space="preserve">, cuyo </w:t>
      </w:r>
      <w:r w:rsidR="004241C5" w:rsidRPr="00B25E57">
        <w:rPr>
          <w:lang w:val="es-ES_tradnl"/>
        </w:rPr>
        <w:t>Anexo</w:t>
      </w:r>
      <w:r w:rsidR="003A46A1" w:rsidRPr="00B25E57">
        <w:rPr>
          <w:lang w:val="es-ES_tradnl"/>
        </w:rPr>
        <w:t xml:space="preserve"> </w:t>
      </w:r>
      <w:r w:rsidR="007B069E" w:rsidRPr="00B25E57">
        <w:rPr>
          <w:lang w:val="es-ES_tradnl"/>
        </w:rPr>
        <w:t>V</w:t>
      </w:r>
      <w:r w:rsidR="003A46A1" w:rsidRPr="00B25E57">
        <w:rPr>
          <w:lang w:val="es-ES_tradnl"/>
        </w:rPr>
        <w:t xml:space="preserve"> </w:t>
      </w:r>
      <w:r w:rsidR="003505A5">
        <w:rPr>
          <w:lang w:val="es-ES_tradnl"/>
        </w:rPr>
        <w:t>fija</w:t>
      </w:r>
      <w:r w:rsidR="003A46A1" w:rsidRPr="00B25E57">
        <w:rPr>
          <w:lang w:val="es-ES_tradnl"/>
        </w:rPr>
        <w:t xml:space="preserve"> </w:t>
      </w:r>
      <w:r w:rsidR="004C1817">
        <w:rPr>
          <w:lang w:val="es-ES_tradnl"/>
        </w:rPr>
        <w:t>límites</w:t>
      </w:r>
      <w:r w:rsidR="003A46A1" w:rsidRPr="00B25E57">
        <w:rPr>
          <w:lang w:val="es-ES_tradnl"/>
        </w:rPr>
        <w:t xml:space="preserve"> </w:t>
      </w:r>
      <w:r w:rsidR="004C1817">
        <w:rPr>
          <w:lang w:val="es-ES_tradnl"/>
        </w:rPr>
        <w:t xml:space="preserve">de </w:t>
      </w:r>
      <w:r w:rsidR="003900C2">
        <w:rPr>
          <w:lang w:val="es-ES_tradnl"/>
        </w:rPr>
        <w:t>emisión de gases</w:t>
      </w:r>
      <w:r w:rsidR="003A46A1" w:rsidRPr="00B25E57">
        <w:rPr>
          <w:lang w:val="es-ES_tradnl"/>
        </w:rPr>
        <w:t xml:space="preserve"> </w:t>
      </w:r>
      <w:r w:rsidR="00247946">
        <w:rPr>
          <w:lang w:val="es-ES_tradnl"/>
        </w:rPr>
        <w:t xml:space="preserve">pero </w:t>
      </w:r>
      <w:r w:rsidR="00EE192A">
        <w:rPr>
          <w:lang w:val="es-ES_tradnl"/>
        </w:rPr>
        <w:t xml:space="preserve">sin </w:t>
      </w:r>
      <w:r w:rsidR="00247946">
        <w:rPr>
          <w:lang w:val="es-ES_tradnl"/>
        </w:rPr>
        <w:t>menciona</w:t>
      </w:r>
      <w:r w:rsidR="00EE192A">
        <w:rPr>
          <w:lang w:val="es-ES_tradnl"/>
        </w:rPr>
        <w:t>r</w:t>
      </w:r>
      <w:r w:rsidR="00247946">
        <w:rPr>
          <w:lang w:val="es-ES_tradnl"/>
        </w:rPr>
        <w:t xml:space="preserve"> </w:t>
      </w:r>
      <w:r w:rsidR="008F2BCC">
        <w:rPr>
          <w:lang w:val="es-ES_tradnl"/>
        </w:rPr>
        <w:t xml:space="preserve">la emisión de </w:t>
      </w:r>
      <w:r w:rsidR="007B069E" w:rsidRPr="00B25E57">
        <w:rPr>
          <w:lang w:val="es-ES_tradnl"/>
        </w:rPr>
        <w:t>HFC</w:t>
      </w:r>
      <w:r w:rsidR="00FB38C2" w:rsidRPr="00B25E57">
        <w:rPr>
          <w:lang w:val="es-ES_tradnl"/>
        </w:rPr>
        <w:t>-</w:t>
      </w:r>
      <w:r w:rsidR="007B069E" w:rsidRPr="00B25E57">
        <w:rPr>
          <w:lang w:val="es-ES_tradnl"/>
        </w:rPr>
        <w:t>23.</w:t>
      </w:r>
      <w:r w:rsidR="003A46A1" w:rsidRPr="00B25E57">
        <w:rPr>
          <w:lang w:val="es-ES_tradnl"/>
        </w:rPr>
        <w:t xml:space="preserve"> </w:t>
      </w:r>
      <w:r w:rsidR="009F45F5">
        <w:rPr>
          <w:lang w:val="es-ES_tradnl"/>
        </w:rPr>
        <w:t xml:space="preserve">Así, </w:t>
      </w:r>
      <w:r w:rsidR="00F24FA9" w:rsidRPr="00B25E57">
        <w:rPr>
          <w:lang w:val="es-ES_tradnl"/>
        </w:rPr>
        <w:t>antes</w:t>
      </w:r>
      <w:r w:rsidR="003A46A1" w:rsidRPr="00B25E57">
        <w:rPr>
          <w:lang w:val="es-ES_tradnl"/>
        </w:rPr>
        <w:t xml:space="preserve"> </w:t>
      </w:r>
      <w:r w:rsidR="00F24FA9" w:rsidRPr="00B25E57">
        <w:rPr>
          <w:lang w:val="es-ES_tradnl"/>
        </w:rPr>
        <w:t>de</w:t>
      </w:r>
      <w:r w:rsidR="003A46A1" w:rsidRPr="00B25E57">
        <w:rPr>
          <w:lang w:val="es-ES_tradnl"/>
        </w:rPr>
        <w:t xml:space="preserve"> </w:t>
      </w:r>
      <w:r w:rsidR="00F72958">
        <w:rPr>
          <w:lang w:val="es-ES_tradnl"/>
        </w:rPr>
        <w:t xml:space="preserve">ponerse en marcha </w:t>
      </w:r>
      <w:r w:rsidR="004057BA" w:rsidRPr="00B25E57">
        <w:rPr>
          <w:lang w:val="es-ES_tradnl"/>
        </w:rPr>
        <w:t>el</w:t>
      </w:r>
      <w:r w:rsidR="003A46A1" w:rsidRPr="00B25E57">
        <w:rPr>
          <w:lang w:val="es-ES_tradnl"/>
        </w:rPr>
        <w:t xml:space="preserve"> </w:t>
      </w:r>
      <w:r w:rsidR="00F72958">
        <w:rPr>
          <w:lang w:val="es-ES_tradnl"/>
        </w:rPr>
        <w:t>sistema de incineración</w:t>
      </w:r>
      <w:r w:rsidR="003A46A1" w:rsidRPr="00B25E57">
        <w:rPr>
          <w:lang w:val="es-ES_tradnl"/>
        </w:rPr>
        <w:t xml:space="preserve"> </w:t>
      </w:r>
      <w:r w:rsidR="00327882">
        <w:rPr>
          <w:lang w:val="es-ES_tradnl"/>
        </w:rPr>
        <w:t>no se controlaba</w:t>
      </w:r>
      <w:r w:rsidR="007E5BEB" w:rsidRPr="007E5BEB">
        <w:rPr>
          <w:lang w:val="es-ES_tradnl"/>
        </w:rPr>
        <w:t xml:space="preserve"> </w:t>
      </w:r>
      <w:r w:rsidR="00327882">
        <w:rPr>
          <w:lang w:val="es-ES_tradnl"/>
        </w:rPr>
        <w:t xml:space="preserve">el </w:t>
      </w:r>
      <w:r w:rsidR="003A46A1" w:rsidRPr="00B25E57">
        <w:rPr>
          <w:lang w:val="es-ES_tradnl"/>
        </w:rPr>
        <w:t xml:space="preserve">HFC-23 </w:t>
      </w:r>
      <w:r w:rsidR="00327882">
        <w:rPr>
          <w:lang w:val="es-ES_tradnl"/>
        </w:rPr>
        <w:t>generado</w:t>
      </w:r>
      <w:r w:rsidR="00804E09">
        <w:rPr>
          <w:lang w:val="es-ES_tradnl"/>
        </w:rPr>
        <w:t xml:space="preserve"> por </w:t>
      </w:r>
      <w:r w:rsidR="004241C5" w:rsidRPr="00B25E57">
        <w:rPr>
          <w:lang w:val="es-ES_tradnl"/>
        </w:rPr>
        <w:t>la</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B069E" w:rsidRPr="00B25E57">
        <w:rPr>
          <w:lang w:val="es-ES_tradnl"/>
        </w:rPr>
        <w:t>HCFC</w:t>
      </w:r>
      <w:r w:rsidR="00FB38C2" w:rsidRPr="00B25E57">
        <w:rPr>
          <w:lang w:val="es-ES_tradnl"/>
        </w:rPr>
        <w:t>-</w:t>
      </w:r>
      <w:r w:rsidR="007B069E" w:rsidRPr="00B25E57">
        <w:rPr>
          <w:lang w:val="es-ES_tradnl"/>
        </w:rPr>
        <w:t>22</w:t>
      </w:r>
      <w:r w:rsidR="00EE13E0">
        <w:rPr>
          <w:lang w:val="es-ES_tradnl"/>
        </w:rPr>
        <w:t xml:space="preserve">, </w:t>
      </w:r>
      <w:r w:rsidR="00D815B4">
        <w:rPr>
          <w:lang w:val="es-ES_tradnl"/>
        </w:rPr>
        <w:t xml:space="preserve">y por lo tanto, </w:t>
      </w:r>
      <w:r w:rsidR="004E1688">
        <w:rPr>
          <w:lang w:val="es-ES_tradnl"/>
        </w:rPr>
        <w:t xml:space="preserve">las </w:t>
      </w:r>
      <w:r w:rsidR="003A46A1" w:rsidRPr="00B25E57">
        <w:rPr>
          <w:lang w:val="es-ES_tradnl"/>
        </w:rPr>
        <w:t xml:space="preserve">emisiones de HFC-23 </w:t>
      </w:r>
      <w:r w:rsidR="00EA2260">
        <w:rPr>
          <w:lang w:val="es-ES_tradnl"/>
        </w:rPr>
        <w:t>producidas</w:t>
      </w:r>
      <w:r w:rsidR="003A46A1" w:rsidRPr="00B25E57">
        <w:rPr>
          <w:lang w:val="es-ES_tradnl"/>
        </w:rPr>
        <w:t xml:space="preserve"> </w:t>
      </w:r>
      <w:r w:rsidR="009E54B6">
        <w:rPr>
          <w:lang w:val="es-ES_tradnl"/>
        </w:rPr>
        <w:t xml:space="preserve">por </w:t>
      </w:r>
      <w:r w:rsidR="007B069E" w:rsidRPr="00B25E57">
        <w:rPr>
          <w:lang w:val="es-ES_tradnl"/>
        </w:rPr>
        <w:t>FIASA</w:t>
      </w:r>
      <w:r w:rsidR="003A46A1" w:rsidRPr="00B25E57">
        <w:rPr>
          <w:lang w:val="es-ES_tradnl"/>
        </w:rPr>
        <w:t xml:space="preserve"> </w:t>
      </w:r>
      <w:r w:rsidR="001174F1">
        <w:rPr>
          <w:lang w:val="es-ES_tradnl"/>
        </w:rPr>
        <w:t xml:space="preserve">desde </w:t>
      </w:r>
      <w:r w:rsidR="00F46007">
        <w:rPr>
          <w:lang w:val="es-ES_tradnl"/>
        </w:rPr>
        <w:t xml:space="preserve">la paralización del </w:t>
      </w:r>
      <w:r w:rsidR="00C95B4F">
        <w:rPr>
          <w:lang w:val="es-ES_tradnl"/>
        </w:rPr>
        <w:t>incinerador</w:t>
      </w:r>
      <w:r w:rsidR="003A46A1" w:rsidRPr="00B25E57">
        <w:rPr>
          <w:lang w:val="es-ES_tradnl"/>
        </w:rPr>
        <w:t xml:space="preserve"> </w:t>
      </w:r>
      <w:r w:rsidR="00E63612">
        <w:rPr>
          <w:lang w:val="es-ES_tradnl"/>
        </w:rPr>
        <w:t xml:space="preserve">tampoco </w:t>
      </w:r>
      <w:r w:rsidR="00F52D99">
        <w:rPr>
          <w:lang w:val="es-ES_tradnl"/>
        </w:rPr>
        <w:t>son</w:t>
      </w:r>
      <w:r w:rsidR="00E63612">
        <w:rPr>
          <w:lang w:val="es-ES_tradnl"/>
        </w:rPr>
        <w:t xml:space="preserve"> controladas</w:t>
      </w:r>
      <w:r w:rsidR="007B069E" w:rsidRPr="00B25E57">
        <w:rPr>
          <w:lang w:val="es-ES_tradnl"/>
        </w:rPr>
        <w:t>.</w:t>
      </w:r>
    </w:p>
    <w:p w14:paraId="230DB5A8" w14:textId="32AF07AB" w:rsidR="007B069E" w:rsidRPr="00B25E57" w:rsidRDefault="005804D7" w:rsidP="007B069E">
      <w:pPr>
        <w:pStyle w:val="Heading1"/>
        <w:rPr>
          <w:lang w:val="es-ES_tradnl"/>
        </w:rPr>
      </w:pPr>
      <w:r>
        <w:rPr>
          <w:lang w:val="es-ES_tradnl"/>
        </w:rPr>
        <w:t xml:space="preserve">La </w:t>
      </w:r>
      <w:r w:rsidRPr="005804D7">
        <w:rPr>
          <w:lang w:val="es-ES_tradnl"/>
        </w:rPr>
        <w:t xml:space="preserve">normativa </w:t>
      </w:r>
      <w:r w:rsidR="004057BA" w:rsidRPr="00B25E57">
        <w:rPr>
          <w:lang w:val="es-ES_tradnl"/>
        </w:rPr>
        <w:t>legal</w:t>
      </w:r>
      <w:r w:rsidR="003A46A1" w:rsidRPr="00B25E57">
        <w:rPr>
          <w:lang w:val="es-ES_tradnl"/>
        </w:rPr>
        <w:t xml:space="preserve"> </w:t>
      </w:r>
      <w:r w:rsidR="004057BA" w:rsidRPr="00B25E57">
        <w:rPr>
          <w:lang w:val="es-ES_tradnl"/>
        </w:rPr>
        <w:t>y</w:t>
      </w:r>
      <w:r w:rsidR="003A46A1" w:rsidRPr="00B25E57">
        <w:rPr>
          <w:lang w:val="es-ES_tradnl"/>
        </w:rPr>
        <w:t xml:space="preserve"> </w:t>
      </w:r>
      <w:r w:rsidR="004057BA" w:rsidRPr="00B25E57">
        <w:rPr>
          <w:lang w:val="es-ES_tradnl"/>
        </w:rPr>
        <w:t>reglamentaria</w:t>
      </w:r>
      <w:r w:rsidR="003A46A1" w:rsidRPr="00B25E57">
        <w:rPr>
          <w:lang w:val="es-ES_tradnl"/>
        </w:rPr>
        <w:t xml:space="preserve"> </w:t>
      </w:r>
      <w:r w:rsidR="002921C0">
        <w:rPr>
          <w:lang w:val="es-ES_tradnl"/>
        </w:rPr>
        <w:t xml:space="preserve">sobre </w:t>
      </w:r>
      <w:r w:rsidR="002921C0" w:rsidRPr="002921C0">
        <w:rPr>
          <w:lang w:val="es-ES_tradnl"/>
        </w:rPr>
        <w:t xml:space="preserve">residuos peligrosos </w:t>
      </w:r>
      <w:r>
        <w:rPr>
          <w:lang w:val="es-ES_tradnl"/>
        </w:rPr>
        <w:t>del país</w:t>
      </w:r>
      <w:r w:rsidRPr="005804D7">
        <w:rPr>
          <w:lang w:val="es-ES_tradnl"/>
        </w:rPr>
        <w:t xml:space="preserve"> </w:t>
      </w:r>
      <w:r w:rsidR="00E15086">
        <w:rPr>
          <w:lang w:val="es-ES_tradnl"/>
        </w:rPr>
        <w:t xml:space="preserve">rige para </w:t>
      </w:r>
      <w:r w:rsidR="00CB0263">
        <w:rPr>
          <w:lang w:val="es-ES_tradnl"/>
        </w:rPr>
        <w:t xml:space="preserve">la </w:t>
      </w:r>
      <w:r w:rsidR="00141CE9">
        <w:rPr>
          <w:lang w:val="es-ES_tradnl"/>
        </w:rPr>
        <w:t>generación</w:t>
      </w:r>
      <w:r w:rsidR="007B069E" w:rsidRPr="00B25E57">
        <w:rPr>
          <w:lang w:val="es-ES_tradnl"/>
        </w:rPr>
        <w:t>,</w:t>
      </w:r>
      <w:r w:rsidR="003A46A1" w:rsidRPr="00B25E57">
        <w:rPr>
          <w:lang w:val="es-ES_tradnl"/>
        </w:rPr>
        <w:t xml:space="preserve"> </w:t>
      </w:r>
      <w:r w:rsidR="00691404">
        <w:rPr>
          <w:lang w:val="es-ES_tradnl"/>
        </w:rPr>
        <w:t>tratamiento</w:t>
      </w:r>
      <w:r w:rsidR="007B069E" w:rsidRPr="00B25E57">
        <w:rPr>
          <w:lang w:val="es-ES_tradnl"/>
        </w:rPr>
        <w:t>,</w:t>
      </w:r>
      <w:r w:rsidR="003A46A1" w:rsidRPr="00B25E57">
        <w:rPr>
          <w:lang w:val="es-ES_tradnl"/>
        </w:rPr>
        <w:t xml:space="preserve"> </w:t>
      </w:r>
      <w:r w:rsidR="00ED64A9" w:rsidRPr="00ED64A9">
        <w:rPr>
          <w:lang w:val="es-ES_tradnl"/>
        </w:rPr>
        <w:t>acopio</w:t>
      </w:r>
      <w:r w:rsidR="007B069E" w:rsidRPr="00B25E57">
        <w:rPr>
          <w:lang w:val="es-ES_tradnl"/>
        </w:rPr>
        <w:t>,</w:t>
      </w:r>
      <w:r w:rsidR="003A46A1" w:rsidRPr="00B25E57">
        <w:rPr>
          <w:lang w:val="es-ES_tradnl"/>
        </w:rPr>
        <w:t xml:space="preserve"> </w:t>
      </w:r>
      <w:r w:rsidR="00E434B2" w:rsidRPr="00B25E57">
        <w:rPr>
          <w:lang w:val="es-ES_tradnl"/>
        </w:rPr>
        <w:t>transporte</w:t>
      </w:r>
      <w:r w:rsidR="003A46A1" w:rsidRPr="00B25E57">
        <w:rPr>
          <w:lang w:val="es-ES_tradnl"/>
        </w:rPr>
        <w:t xml:space="preserve"> </w:t>
      </w:r>
      <w:r w:rsidR="00F33C58" w:rsidRPr="00B25E57">
        <w:rPr>
          <w:lang w:val="es-ES_tradnl"/>
        </w:rPr>
        <w:t>y</w:t>
      </w:r>
      <w:r w:rsidR="003A46A1" w:rsidRPr="00B25E57">
        <w:rPr>
          <w:lang w:val="es-ES_tradnl"/>
        </w:rPr>
        <w:t xml:space="preserve"> </w:t>
      </w:r>
      <w:r w:rsidR="00B25E57">
        <w:rPr>
          <w:lang w:val="es-ES_tradnl"/>
        </w:rPr>
        <w:t>movimientos transfronterizos</w:t>
      </w:r>
      <w:r w:rsidR="003A46A1" w:rsidRPr="00B25E57">
        <w:rPr>
          <w:lang w:val="es-ES_tradnl"/>
        </w:rPr>
        <w:t xml:space="preserve"> </w:t>
      </w:r>
      <w:r w:rsidR="00B6344F">
        <w:rPr>
          <w:lang w:val="es-ES_tradnl"/>
        </w:rPr>
        <w:t>del subproducto</w:t>
      </w:r>
      <w:r w:rsidR="003A46A1" w:rsidRPr="00B25E57">
        <w:rPr>
          <w:lang w:val="es-ES_tradnl"/>
        </w:rPr>
        <w:t xml:space="preserve"> </w:t>
      </w:r>
      <w:r w:rsidR="004512EA" w:rsidRPr="00B25E57">
        <w:rPr>
          <w:lang w:val="es-ES_tradnl"/>
        </w:rPr>
        <w:t>HFC-23</w:t>
      </w:r>
      <w:r w:rsidR="003A46A1" w:rsidRPr="00B25E57">
        <w:rPr>
          <w:lang w:val="es-ES_tradnl"/>
        </w:rPr>
        <w:t xml:space="preserve"> </w:t>
      </w:r>
      <w:r w:rsidR="00DF4FF4">
        <w:rPr>
          <w:lang w:val="es-ES_tradnl"/>
        </w:rPr>
        <w:t xml:space="preserve">para </w:t>
      </w:r>
      <w:r w:rsidR="00552827">
        <w:rPr>
          <w:lang w:val="es-ES_tradnl"/>
        </w:rPr>
        <w:t xml:space="preserve">su </w:t>
      </w:r>
      <w:r w:rsidR="00DF4FF4">
        <w:rPr>
          <w:lang w:val="es-ES_tradnl"/>
        </w:rPr>
        <w:t>destrucción</w:t>
      </w:r>
      <w:r w:rsidR="007B069E" w:rsidRPr="00B25E57">
        <w:rPr>
          <w:lang w:val="es-ES_tradnl"/>
        </w:rPr>
        <w:t>.</w:t>
      </w:r>
      <w:r w:rsidR="003A46A1" w:rsidRPr="00B25E57">
        <w:rPr>
          <w:lang w:val="es-ES_tradnl"/>
        </w:rPr>
        <w:t xml:space="preserve"> </w:t>
      </w:r>
      <w:r w:rsidR="00B8738A">
        <w:rPr>
          <w:lang w:val="es-ES_tradnl"/>
        </w:rPr>
        <w:t>Los</w:t>
      </w:r>
      <w:r w:rsidR="00294FB3">
        <w:rPr>
          <w:lang w:val="es-ES_tradnl"/>
        </w:rPr>
        <w:t xml:space="preserve"> </w:t>
      </w:r>
      <w:r w:rsidR="00201485">
        <w:rPr>
          <w:lang w:val="es-ES_tradnl"/>
        </w:rPr>
        <w:t>daño</w:t>
      </w:r>
      <w:r w:rsidR="00C11C6E">
        <w:rPr>
          <w:lang w:val="es-ES_tradnl"/>
        </w:rPr>
        <w:t>s</w:t>
      </w:r>
      <w:r w:rsidR="00201485">
        <w:rPr>
          <w:lang w:val="es-ES_tradnl"/>
        </w:rPr>
        <w:t xml:space="preserve"> causado</w:t>
      </w:r>
      <w:r w:rsidR="00C11C6E">
        <w:rPr>
          <w:lang w:val="es-ES_tradnl"/>
        </w:rPr>
        <w:t>s</w:t>
      </w:r>
      <w:r w:rsidR="00201485">
        <w:rPr>
          <w:lang w:val="es-ES_tradnl"/>
        </w:rPr>
        <w:t xml:space="preserve"> </w:t>
      </w:r>
      <w:r w:rsidR="00F942C6" w:rsidRPr="00B25E57">
        <w:rPr>
          <w:lang w:val="es-ES_tradnl"/>
        </w:rPr>
        <w:t>por</w:t>
      </w:r>
      <w:r w:rsidR="003A46A1" w:rsidRPr="00B25E57">
        <w:rPr>
          <w:lang w:val="es-ES_tradnl"/>
        </w:rPr>
        <w:t xml:space="preserve"> </w:t>
      </w:r>
      <w:r w:rsidR="00201485">
        <w:rPr>
          <w:lang w:val="es-ES_tradnl"/>
        </w:rPr>
        <w:t>el HFC</w:t>
      </w:r>
      <w:r w:rsidR="00FB38C2" w:rsidRPr="00B25E57">
        <w:rPr>
          <w:lang w:val="es-ES_tradnl"/>
        </w:rPr>
        <w:t>-</w:t>
      </w:r>
      <w:r w:rsidR="0070477B" w:rsidRPr="00B25E57">
        <w:rPr>
          <w:lang w:val="es-ES_tradnl"/>
        </w:rPr>
        <w:t>23</w:t>
      </w:r>
      <w:r w:rsidR="003A46A1" w:rsidRPr="00B25E57">
        <w:rPr>
          <w:lang w:val="es-ES_tradnl"/>
        </w:rPr>
        <w:t xml:space="preserve"> </w:t>
      </w:r>
      <w:r w:rsidR="00517D62" w:rsidRPr="00B25E57">
        <w:rPr>
          <w:lang w:val="es-ES_tradnl"/>
        </w:rPr>
        <w:t>hasta</w:t>
      </w:r>
      <w:r w:rsidR="003A46A1" w:rsidRPr="00B25E57">
        <w:rPr>
          <w:lang w:val="es-ES_tradnl"/>
        </w:rPr>
        <w:t xml:space="preserve"> </w:t>
      </w:r>
      <w:r w:rsidR="00F942C6" w:rsidRPr="00B25E57">
        <w:rPr>
          <w:lang w:val="es-ES_tradnl"/>
        </w:rPr>
        <w:t>su</w:t>
      </w:r>
      <w:r w:rsidR="003A46A1" w:rsidRPr="00B25E57">
        <w:rPr>
          <w:lang w:val="es-ES_tradnl"/>
        </w:rPr>
        <w:t xml:space="preserve"> </w:t>
      </w:r>
      <w:r w:rsidR="00A00156">
        <w:rPr>
          <w:lang w:val="es-ES_tradnl"/>
        </w:rPr>
        <w:t>eliminación</w:t>
      </w:r>
      <w:r w:rsidR="003A46A1" w:rsidRPr="00B25E57">
        <w:rPr>
          <w:lang w:val="es-ES_tradnl"/>
        </w:rPr>
        <w:t xml:space="preserve"> </w:t>
      </w:r>
      <w:r w:rsidR="00A00156">
        <w:rPr>
          <w:lang w:val="es-ES_tradnl"/>
        </w:rPr>
        <w:t xml:space="preserve">comprobada </w:t>
      </w:r>
      <w:r w:rsidR="00B8738A">
        <w:rPr>
          <w:lang w:val="es-ES_tradnl"/>
        </w:rPr>
        <w:t>son</w:t>
      </w:r>
      <w:r w:rsidR="00B8738A" w:rsidRPr="00216433">
        <w:rPr>
          <w:lang w:val="es-ES"/>
        </w:rPr>
        <w:t xml:space="preserve"> </w:t>
      </w:r>
      <w:r w:rsidR="008B2615" w:rsidRPr="00216433">
        <w:rPr>
          <w:lang w:val="es-ES"/>
        </w:rPr>
        <w:t xml:space="preserve">de </w:t>
      </w:r>
      <w:r w:rsidR="00B8738A" w:rsidRPr="00B8738A">
        <w:rPr>
          <w:lang w:val="es-ES_tradnl"/>
        </w:rPr>
        <w:t>responsabilidad</w:t>
      </w:r>
      <w:r w:rsidR="006A7E3B">
        <w:rPr>
          <w:lang w:val="es-ES_tradnl"/>
        </w:rPr>
        <w:t xml:space="preserve"> del </w:t>
      </w:r>
      <w:r w:rsidR="004574C8">
        <w:rPr>
          <w:lang w:val="es-ES_tradnl"/>
        </w:rPr>
        <w:t>generador</w:t>
      </w:r>
      <w:r w:rsidR="00201B6A">
        <w:rPr>
          <w:lang w:val="es-ES_tradnl"/>
        </w:rPr>
        <w:t xml:space="preserve">, quien </w:t>
      </w:r>
      <w:r w:rsidR="00201B6A" w:rsidRPr="00201B6A">
        <w:rPr>
          <w:lang w:val="es-ES_tradnl"/>
        </w:rPr>
        <w:t>tiene responsabilidad solidaria</w:t>
      </w:r>
      <w:r w:rsidR="003A46A1" w:rsidRPr="00B25E57">
        <w:rPr>
          <w:lang w:val="es-ES_tradnl"/>
        </w:rPr>
        <w:t xml:space="preserve"> </w:t>
      </w:r>
      <w:r w:rsidR="00201B6A">
        <w:rPr>
          <w:lang w:val="es-ES_tradnl"/>
        </w:rPr>
        <w:t>i</w:t>
      </w:r>
      <w:r w:rsidR="002474D4">
        <w:rPr>
          <w:lang w:val="es-ES_tradnl"/>
        </w:rPr>
        <w:t xml:space="preserve">ncluso si </w:t>
      </w:r>
      <w:r w:rsidR="009E0AB5">
        <w:rPr>
          <w:lang w:val="es-ES_tradnl"/>
        </w:rPr>
        <w:t xml:space="preserve">entrega </w:t>
      </w:r>
      <w:r w:rsidR="002474D4">
        <w:rPr>
          <w:lang w:val="es-ES_tradnl"/>
        </w:rPr>
        <w:t xml:space="preserve">los residuos </w:t>
      </w:r>
      <w:r w:rsidR="006940C0">
        <w:rPr>
          <w:lang w:val="es-ES_tradnl"/>
        </w:rPr>
        <w:t xml:space="preserve">para su </w:t>
      </w:r>
      <w:r w:rsidR="00E434B2" w:rsidRPr="00B25E57">
        <w:rPr>
          <w:lang w:val="es-ES_tradnl"/>
        </w:rPr>
        <w:t>transporte</w:t>
      </w:r>
      <w:r w:rsidR="007B069E" w:rsidRPr="00B25E57">
        <w:rPr>
          <w:lang w:val="es-ES_tradnl"/>
        </w:rPr>
        <w:t>,</w:t>
      </w:r>
      <w:r w:rsidR="003A46A1" w:rsidRPr="00B25E57">
        <w:rPr>
          <w:lang w:val="es-ES_tradnl"/>
        </w:rPr>
        <w:t xml:space="preserve"> </w:t>
      </w:r>
      <w:r w:rsidR="00F33C58" w:rsidRPr="00B25E57">
        <w:rPr>
          <w:lang w:val="es-ES_tradnl"/>
        </w:rPr>
        <w:t>almacenamiento</w:t>
      </w:r>
      <w:r w:rsidR="007B069E" w:rsidRPr="00B25E57">
        <w:rPr>
          <w:lang w:val="es-ES_tradnl"/>
        </w:rPr>
        <w:t>,</w:t>
      </w:r>
      <w:r w:rsidR="003A46A1" w:rsidRPr="00B25E57">
        <w:rPr>
          <w:lang w:val="es-ES_tradnl"/>
        </w:rPr>
        <w:t xml:space="preserve"> </w:t>
      </w:r>
      <w:r w:rsidR="00691404">
        <w:rPr>
          <w:lang w:val="es-ES_tradnl"/>
        </w:rPr>
        <w:t>tratamiento</w:t>
      </w:r>
      <w:r w:rsidR="003A46A1" w:rsidRPr="00B25E57">
        <w:rPr>
          <w:lang w:val="es-ES_tradnl"/>
        </w:rPr>
        <w:t xml:space="preserve"> </w:t>
      </w:r>
      <w:r w:rsidR="00FB38C2" w:rsidRPr="00B25E57">
        <w:rPr>
          <w:lang w:val="es-ES_tradnl"/>
        </w:rPr>
        <w:t>o</w:t>
      </w:r>
      <w:r w:rsidR="003A46A1" w:rsidRPr="00B25E57">
        <w:rPr>
          <w:lang w:val="es-ES_tradnl"/>
        </w:rPr>
        <w:t xml:space="preserve"> </w:t>
      </w:r>
      <w:r w:rsidR="00F33C58" w:rsidRPr="00B25E57">
        <w:rPr>
          <w:lang w:val="es-ES_tradnl"/>
        </w:rPr>
        <w:t>destrucción</w:t>
      </w:r>
      <w:r w:rsidR="003A46A1" w:rsidRPr="00B25E57">
        <w:rPr>
          <w:lang w:val="es-ES_tradnl"/>
        </w:rPr>
        <w:t xml:space="preserve"> </w:t>
      </w:r>
      <w:r w:rsidR="00B478B1">
        <w:rPr>
          <w:lang w:val="es-ES_tradnl"/>
        </w:rPr>
        <w:t xml:space="preserve">y los </w:t>
      </w:r>
      <w:r w:rsidR="006D4489" w:rsidRPr="006D4489">
        <w:rPr>
          <w:lang w:val="es-ES_tradnl"/>
        </w:rPr>
        <w:t xml:space="preserve">daños </w:t>
      </w:r>
      <w:r w:rsidR="006D4489">
        <w:rPr>
          <w:lang w:val="es-ES_tradnl"/>
        </w:rPr>
        <w:t xml:space="preserve">los </w:t>
      </w:r>
      <w:r w:rsidR="00DA76F8">
        <w:rPr>
          <w:lang w:val="es-ES_tradnl"/>
        </w:rPr>
        <w:t>causa</w:t>
      </w:r>
      <w:r w:rsidR="0020431B">
        <w:rPr>
          <w:lang w:val="es-ES_tradnl"/>
        </w:rPr>
        <w:t xml:space="preserve"> </w:t>
      </w:r>
      <w:r w:rsidR="00443A5A">
        <w:rPr>
          <w:lang w:val="es-ES_tradnl"/>
        </w:rPr>
        <w:t>un tercero</w:t>
      </w:r>
      <w:r w:rsidR="007B069E" w:rsidRPr="00B25E57">
        <w:rPr>
          <w:lang w:val="es-ES_tradnl"/>
        </w:rPr>
        <w:t>.</w:t>
      </w:r>
    </w:p>
    <w:p w14:paraId="09395EA9" w14:textId="3080AA76" w:rsidR="007B22B4" w:rsidRPr="00B25E57" w:rsidRDefault="00275C23" w:rsidP="00D21BCE">
      <w:pPr>
        <w:pStyle w:val="Heading1"/>
        <w:rPr>
          <w:lang w:val="es-ES_tradnl"/>
        </w:rPr>
      </w:pPr>
      <w:r>
        <w:rPr>
          <w:lang w:val="es-ES_tradnl"/>
        </w:rPr>
        <w:t>Aunque l</w:t>
      </w:r>
      <w:r w:rsidR="006966E5">
        <w:rPr>
          <w:lang w:val="es-ES_tradnl"/>
        </w:rPr>
        <w:t xml:space="preserve">a </w:t>
      </w:r>
      <w:r w:rsidR="006966E5" w:rsidRPr="006966E5">
        <w:rPr>
          <w:lang w:val="es-ES_tradnl"/>
        </w:rPr>
        <w:t xml:space="preserve">norma </w:t>
      </w:r>
      <w:r w:rsidR="00857586" w:rsidRPr="00857586">
        <w:rPr>
          <w:lang w:val="es-ES_tradnl"/>
        </w:rPr>
        <w:t xml:space="preserve">nacional </w:t>
      </w:r>
      <w:r w:rsidR="00CD050A">
        <w:rPr>
          <w:lang w:val="es-ES_tradnl"/>
        </w:rPr>
        <w:t>no regula</w:t>
      </w:r>
      <w:r w:rsidR="003A46A1" w:rsidRPr="00B25E57">
        <w:rPr>
          <w:lang w:val="es-ES_tradnl"/>
        </w:rPr>
        <w:t xml:space="preserve"> </w:t>
      </w:r>
      <w:r w:rsidR="00E476C1">
        <w:rPr>
          <w:lang w:val="es-ES_tradnl"/>
        </w:rPr>
        <w:t xml:space="preserve">la </w:t>
      </w:r>
      <w:r w:rsidR="003900C2">
        <w:rPr>
          <w:lang w:val="es-ES_tradnl"/>
        </w:rPr>
        <w:t xml:space="preserve">emisión de </w:t>
      </w:r>
      <w:r w:rsidR="0070477B" w:rsidRPr="00B25E57">
        <w:rPr>
          <w:lang w:val="es-ES_tradnl"/>
        </w:rPr>
        <w:t>HFC</w:t>
      </w:r>
      <w:r w:rsidR="00FB38C2" w:rsidRPr="00B25E57">
        <w:rPr>
          <w:lang w:val="es-ES_tradnl"/>
        </w:rPr>
        <w:t>-</w:t>
      </w:r>
      <w:r w:rsidR="002709B6">
        <w:rPr>
          <w:lang w:val="es-ES_tradnl"/>
        </w:rPr>
        <w:t>23,</w:t>
      </w:r>
      <w:r w:rsidR="003A46A1" w:rsidRPr="00B25E57">
        <w:rPr>
          <w:lang w:val="es-ES_tradnl"/>
        </w:rPr>
        <w:t xml:space="preserve"> </w:t>
      </w:r>
      <w:r w:rsidR="001B6EFB">
        <w:rPr>
          <w:lang w:val="es-ES_tradnl"/>
        </w:rPr>
        <w:t>un</w:t>
      </w:r>
      <w:r w:rsidR="002709B6">
        <w:rPr>
          <w:lang w:val="es-ES_tradnl"/>
        </w:rPr>
        <w:t xml:space="preserve"> </w:t>
      </w:r>
      <w:r w:rsidR="001B6EFB">
        <w:rPr>
          <w:lang w:val="es-ES_tradnl"/>
        </w:rPr>
        <w:t>residuo peligroso</w:t>
      </w:r>
      <w:r w:rsidR="004D4BDF">
        <w:rPr>
          <w:lang w:val="es-ES_tradnl"/>
        </w:rPr>
        <w:t xml:space="preserve"> </w:t>
      </w:r>
      <w:r w:rsidR="001B6EFB">
        <w:rPr>
          <w:lang w:val="es-ES_tradnl"/>
        </w:rPr>
        <w:t xml:space="preserve">de tipo gaseoso </w:t>
      </w:r>
      <w:r w:rsidR="007C2308" w:rsidRPr="007C2308">
        <w:rPr>
          <w:lang w:val="es-ES_tradnl"/>
        </w:rPr>
        <w:t xml:space="preserve">se clasifica como </w:t>
      </w:r>
      <w:r w:rsidR="007C2308">
        <w:rPr>
          <w:lang w:val="es-ES_tradnl"/>
        </w:rPr>
        <w:t xml:space="preserve">tal en cuanto </w:t>
      </w:r>
      <w:r w:rsidR="00B7749D">
        <w:rPr>
          <w:lang w:val="es-ES_tradnl"/>
        </w:rPr>
        <w:t xml:space="preserve">se </w:t>
      </w:r>
      <w:r w:rsidR="00E01CE7" w:rsidRPr="00E01CE7">
        <w:rPr>
          <w:lang w:val="es-ES_tradnl"/>
        </w:rPr>
        <w:t>deposita</w:t>
      </w:r>
      <w:r w:rsidR="00E01CE7">
        <w:rPr>
          <w:lang w:val="es-ES_tradnl"/>
        </w:rPr>
        <w:t xml:space="preserve"> </w:t>
      </w:r>
      <w:r w:rsidR="004241C5" w:rsidRPr="00B25E57">
        <w:rPr>
          <w:lang w:val="es-ES_tradnl"/>
        </w:rPr>
        <w:t>en</w:t>
      </w:r>
      <w:r w:rsidR="003A46A1" w:rsidRPr="00B25E57">
        <w:rPr>
          <w:lang w:val="es-ES_tradnl"/>
        </w:rPr>
        <w:t xml:space="preserve"> </w:t>
      </w:r>
      <w:r w:rsidR="0025444B">
        <w:rPr>
          <w:lang w:val="es-ES_tradnl"/>
        </w:rPr>
        <w:t xml:space="preserve">un </w:t>
      </w:r>
      <w:r w:rsidR="00C141FB">
        <w:rPr>
          <w:lang w:val="es-ES_tradnl"/>
        </w:rPr>
        <w:t>contenedor</w:t>
      </w:r>
      <w:r w:rsidR="0070477B" w:rsidRPr="00B25E57">
        <w:rPr>
          <w:lang w:val="es-ES_tradnl"/>
        </w:rPr>
        <w:t>.</w:t>
      </w:r>
      <w:r w:rsidR="003A46A1" w:rsidRPr="00B25E57">
        <w:rPr>
          <w:lang w:val="es-ES_tradnl"/>
        </w:rPr>
        <w:t xml:space="preserve"> </w:t>
      </w:r>
      <w:r w:rsidR="002E2C71">
        <w:rPr>
          <w:lang w:val="es-ES_tradnl"/>
        </w:rPr>
        <w:t>En consecuencia</w:t>
      </w:r>
      <w:r w:rsidR="0070477B" w:rsidRPr="00B25E57">
        <w:rPr>
          <w:lang w:val="es-ES_tradnl"/>
        </w:rPr>
        <w:t>,</w:t>
      </w:r>
      <w:r w:rsidR="003A46A1" w:rsidRPr="00B25E57">
        <w:rPr>
          <w:lang w:val="es-ES_tradnl"/>
        </w:rPr>
        <w:t xml:space="preserve"> </w:t>
      </w:r>
      <w:r w:rsidR="002E2C71">
        <w:rPr>
          <w:lang w:val="es-ES_tradnl"/>
        </w:rPr>
        <w:t xml:space="preserve">cualquier </w:t>
      </w:r>
      <w:r w:rsidR="00F33C58" w:rsidRPr="00B25E57">
        <w:rPr>
          <w:lang w:val="es-ES_tradnl"/>
        </w:rPr>
        <w:t>opción</w:t>
      </w:r>
      <w:r w:rsidR="003A46A1" w:rsidRPr="00B25E57">
        <w:rPr>
          <w:lang w:val="es-ES_tradnl"/>
        </w:rPr>
        <w:t xml:space="preserve"> </w:t>
      </w:r>
      <w:r w:rsidR="002E2C71">
        <w:rPr>
          <w:lang w:val="es-ES_tradnl"/>
        </w:rPr>
        <w:t xml:space="preserve">que incluya </w:t>
      </w:r>
      <w:r w:rsidR="00030A4F">
        <w:rPr>
          <w:lang w:val="es-ES_tradnl"/>
        </w:rPr>
        <w:t xml:space="preserve">disponer </w:t>
      </w:r>
      <w:r w:rsidR="00B6344F">
        <w:rPr>
          <w:lang w:val="es-ES_tradnl"/>
        </w:rPr>
        <w:t xml:space="preserve">el </w:t>
      </w:r>
      <w:r w:rsidR="004512EA" w:rsidRPr="00B25E57">
        <w:rPr>
          <w:lang w:val="es-ES_tradnl"/>
        </w:rPr>
        <w:t>HFC-23</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83712C">
        <w:rPr>
          <w:lang w:val="es-ES_tradnl"/>
        </w:rPr>
        <w:t xml:space="preserve">un </w:t>
      </w:r>
      <w:r w:rsidR="001428AB" w:rsidRPr="001428AB">
        <w:rPr>
          <w:lang w:val="es-ES_tradnl"/>
        </w:rPr>
        <w:t xml:space="preserve">contenedor </w:t>
      </w:r>
      <w:r w:rsidR="0083712C">
        <w:rPr>
          <w:lang w:val="es-ES_tradnl"/>
        </w:rPr>
        <w:t xml:space="preserve">de cualquier tipo </w:t>
      </w:r>
      <w:r w:rsidR="00BE674B" w:rsidRPr="00B25E57">
        <w:rPr>
          <w:lang w:val="es-ES_tradnl"/>
        </w:rPr>
        <w:t>(</w:t>
      </w:r>
      <w:r w:rsidR="0083712C">
        <w:rPr>
          <w:lang w:val="es-ES_tradnl"/>
        </w:rPr>
        <w:t>un</w:t>
      </w:r>
      <w:r w:rsidR="003A46A1" w:rsidRPr="00B25E57">
        <w:rPr>
          <w:lang w:val="es-ES_tradnl"/>
        </w:rPr>
        <w:t xml:space="preserve"> </w:t>
      </w:r>
      <w:r w:rsidR="006A0B9C">
        <w:rPr>
          <w:lang w:val="es-ES_tradnl"/>
        </w:rPr>
        <w:t>tanque criogénico</w:t>
      </w:r>
      <w:r w:rsidR="003A46A1" w:rsidRPr="00B25E57">
        <w:rPr>
          <w:lang w:val="es-ES_tradnl"/>
        </w:rPr>
        <w:t xml:space="preserve"> </w:t>
      </w:r>
      <w:r w:rsidR="0083712C">
        <w:rPr>
          <w:lang w:val="es-ES_tradnl"/>
        </w:rPr>
        <w:t>de</w:t>
      </w:r>
      <w:r w:rsidR="003A46A1" w:rsidRPr="00B25E57">
        <w:rPr>
          <w:lang w:val="es-ES_tradnl"/>
        </w:rPr>
        <w:t xml:space="preserve"> </w:t>
      </w:r>
      <w:r w:rsidR="00F33C58" w:rsidRPr="00B25E57">
        <w:rPr>
          <w:lang w:val="es-ES_tradnl"/>
        </w:rPr>
        <w:t>almacenamiento</w:t>
      </w:r>
      <w:r w:rsidR="003A46A1" w:rsidRPr="00B25E57">
        <w:rPr>
          <w:lang w:val="es-ES_tradnl"/>
        </w:rPr>
        <w:t xml:space="preserve"> </w:t>
      </w:r>
      <w:r w:rsidR="00FB38C2" w:rsidRPr="00B25E57">
        <w:rPr>
          <w:lang w:val="es-ES_tradnl"/>
        </w:rPr>
        <w:t>o</w:t>
      </w:r>
      <w:r w:rsidR="003A46A1" w:rsidRPr="00B25E57">
        <w:rPr>
          <w:lang w:val="es-ES_tradnl"/>
        </w:rPr>
        <w:t xml:space="preserve"> </w:t>
      </w:r>
      <w:r w:rsidR="00F942C6" w:rsidRPr="00B25E57">
        <w:rPr>
          <w:lang w:val="es-ES_tradnl"/>
        </w:rPr>
        <w:t>un</w:t>
      </w:r>
      <w:r w:rsidR="003A46A1" w:rsidRPr="00B25E57">
        <w:rPr>
          <w:lang w:val="es-ES_tradnl"/>
        </w:rPr>
        <w:t xml:space="preserve"> </w:t>
      </w:r>
      <w:r w:rsidR="00B73238">
        <w:rPr>
          <w:lang w:val="es-ES_tradnl"/>
        </w:rPr>
        <w:t>isotanque</w:t>
      </w:r>
      <w:r w:rsidR="003A46A1" w:rsidRPr="00B25E57">
        <w:rPr>
          <w:lang w:val="es-ES_tradnl"/>
        </w:rPr>
        <w:t xml:space="preserve"> </w:t>
      </w:r>
      <w:r w:rsidR="001C1262">
        <w:rPr>
          <w:lang w:val="es-ES_tradnl"/>
        </w:rPr>
        <w:t xml:space="preserve">para el </w:t>
      </w:r>
      <w:r w:rsidR="0017412B">
        <w:rPr>
          <w:lang w:val="es-ES_tradnl"/>
        </w:rPr>
        <w:t xml:space="preserve">transporte </w:t>
      </w:r>
      <w:r w:rsidR="00B77334">
        <w:rPr>
          <w:lang w:val="es-ES_tradnl"/>
        </w:rPr>
        <w:t xml:space="preserve">a </w:t>
      </w:r>
      <w:r w:rsidR="002831D3">
        <w:rPr>
          <w:lang w:val="es-ES_tradnl"/>
        </w:rPr>
        <w:t xml:space="preserve">su destrucción </w:t>
      </w:r>
      <w:r w:rsidR="00B654D8">
        <w:rPr>
          <w:lang w:val="es-ES_tradnl"/>
        </w:rPr>
        <w:t>ex situ</w:t>
      </w:r>
      <w:r w:rsidR="00BE674B" w:rsidRPr="00B25E57">
        <w:rPr>
          <w:lang w:val="es-ES_tradnl"/>
        </w:rPr>
        <w:t>)</w:t>
      </w:r>
      <w:r w:rsidR="002C303D">
        <w:rPr>
          <w:lang w:val="es-ES_tradnl"/>
        </w:rPr>
        <w:t xml:space="preserve"> </w:t>
      </w:r>
      <w:r w:rsidR="002C3A27">
        <w:rPr>
          <w:lang w:val="es-ES_tradnl"/>
        </w:rPr>
        <w:t xml:space="preserve">obligaría a </w:t>
      </w:r>
      <w:r w:rsidR="0070477B" w:rsidRPr="00B25E57">
        <w:rPr>
          <w:lang w:val="es-ES_tradnl"/>
        </w:rPr>
        <w:t>FIASA</w:t>
      </w:r>
      <w:r w:rsidR="003A46A1" w:rsidRPr="00B25E57">
        <w:rPr>
          <w:lang w:val="es-ES_tradnl"/>
        </w:rPr>
        <w:t xml:space="preserve"> </w:t>
      </w:r>
      <w:r w:rsidR="002C3A27">
        <w:rPr>
          <w:lang w:val="es-ES_tradnl"/>
        </w:rPr>
        <w:t>a inscribirse en el r</w:t>
      </w:r>
      <w:r w:rsidR="00EA16AA">
        <w:rPr>
          <w:lang w:val="es-ES_tradnl"/>
        </w:rPr>
        <w:t>egistro de generadores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B44B1">
        <w:rPr>
          <w:lang w:val="es-ES_tradnl"/>
        </w:rPr>
        <w:t>residuos peligrosos</w:t>
      </w:r>
      <w:r w:rsidR="0070477B" w:rsidRPr="00B25E57">
        <w:rPr>
          <w:lang w:val="es-ES_tradnl"/>
        </w:rPr>
        <w:t>.</w:t>
      </w:r>
      <w:r w:rsidR="003A46A1" w:rsidRPr="00B25E57">
        <w:rPr>
          <w:lang w:val="es-ES_tradnl"/>
        </w:rPr>
        <w:t xml:space="preserve"> </w:t>
      </w:r>
      <w:r w:rsidR="00785C24">
        <w:rPr>
          <w:lang w:val="es-ES_tradnl"/>
        </w:rPr>
        <w:t>R</w:t>
      </w:r>
      <w:r w:rsidR="00135F83">
        <w:rPr>
          <w:lang w:val="es-ES_tradnl"/>
        </w:rPr>
        <w:t>e</w:t>
      </w:r>
      <w:r w:rsidR="00785C24">
        <w:rPr>
          <w:lang w:val="es-ES_tradnl"/>
        </w:rPr>
        <w:t xml:space="preserve">poner </w:t>
      </w:r>
      <w:r w:rsidR="007C517B">
        <w:rPr>
          <w:lang w:val="es-ES_tradnl"/>
        </w:rPr>
        <w:t xml:space="preserve">en funcionamiento el </w:t>
      </w:r>
      <w:r w:rsidR="003A46A1" w:rsidRPr="00B25E57">
        <w:rPr>
          <w:lang w:val="es-ES_tradnl"/>
        </w:rPr>
        <w:t xml:space="preserve">incinerador </w:t>
      </w:r>
      <w:r w:rsidR="00D3774D">
        <w:rPr>
          <w:lang w:val="es-ES_tradnl"/>
        </w:rPr>
        <w:t xml:space="preserve">obligaría </w:t>
      </w:r>
      <w:r w:rsidR="00A86321">
        <w:rPr>
          <w:lang w:val="es-ES_tradnl"/>
        </w:rPr>
        <w:t xml:space="preserve">a </w:t>
      </w:r>
      <w:r w:rsidR="0070477B" w:rsidRPr="00B25E57">
        <w:rPr>
          <w:lang w:val="es-ES_tradnl"/>
        </w:rPr>
        <w:t>FIASA</w:t>
      </w:r>
      <w:r w:rsidR="003A46A1" w:rsidRPr="00B25E57">
        <w:rPr>
          <w:lang w:val="es-ES_tradnl"/>
        </w:rPr>
        <w:t xml:space="preserve"> </w:t>
      </w:r>
      <w:r w:rsidR="00A86321">
        <w:rPr>
          <w:lang w:val="es-ES_tradnl"/>
        </w:rPr>
        <w:t xml:space="preserve">a </w:t>
      </w:r>
      <w:r w:rsidR="00265293">
        <w:rPr>
          <w:lang w:val="es-ES_tradnl"/>
        </w:rPr>
        <w:t xml:space="preserve">inscribirse </w:t>
      </w:r>
      <w:r w:rsidR="00785C24">
        <w:rPr>
          <w:lang w:val="es-ES_tradnl"/>
        </w:rPr>
        <w:t xml:space="preserve">además </w:t>
      </w:r>
      <w:r w:rsidR="00265293">
        <w:rPr>
          <w:lang w:val="es-ES_tradnl"/>
        </w:rPr>
        <w:t>como</w:t>
      </w:r>
      <w:r w:rsidR="003A46A1" w:rsidRPr="00B25E57">
        <w:rPr>
          <w:lang w:val="es-ES_tradnl"/>
        </w:rPr>
        <w:t xml:space="preserve"> </w:t>
      </w:r>
      <w:r w:rsidR="007555C4">
        <w:rPr>
          <w:lang w:val="es-ES_tradnl"/>
        </w:rPr>
        <w:t xml:space="preserve">planta de tratamiento de </w:t>
      </w:r>
      <w:r w:rsidR="005B44B1">
        <w:rPr>
          <w:lang w:val="es-ES_tradnl"/>
        </w:rPr>
        <w:t>residuos peligrosos</w:t>
      </w:r>
      <w:r w:rsidR="0070477B" w:rsidRPr="00B25E57">
        <w:rPr>
          <w:lang w:val="es-ES_tradnl"/>
        </w:rPr>
        <w:t>.</w:t>
      </w:r>
      <w:r w:rsidR="003A46A1" w:rsidRPr="00B25E57">
        <w:rPr>
          <w:lang w:val="es-ES_tradnl"/>
        </w:rPr>
        <w:t xml:space="preserve"> </w:t>
      </w:r>
      <w:r w:rsidR="00906F5F">
        <w:rPr>
          <w:lang w:val="es-ES_tradnl"/>
        </w:rPr>
        <w:t>El t</w:t>
      </w:r>
      <w:r w:rsidR="00E434B2" w:rsidRPr="00B25E57">
        <w:rPr>
          <w:lang w:val="es-ES_tradnl"/>
        </w:rPr>
        <w:t>ransporte</w:t>
      </w:r>
      <w:r w:rsidR="003A46A1" w:rsidRPr="00B25E57">
        <w:rPr>
          <w:lang w:val="es-ES_tradnl"/>
        </w:rPr>
        <w:t xml:space="preserve"> </w:t>
      </w:r>
      <w:r w:rsidR="00691404">
        <w:rPr>
          <w:lang w:val="es-ES_tradnl"/>
        </w:rPr>
        <w:t>también</w:t>
      </w:r>
      <w:r w:rsidR="003A46A1" w:rsidRPr="00B25E57">
        <w:rPr>
          <w:lang w:val="es-ES_tradnl"/>
        </w:rPr>
        <w:t xml:space="preserve"> </w:t>
      </w:r>
      <w:r w:rsidR="00CC4BC6">
        <w:rPr>
          <w:lang w:val="es-ES_tradnl"/>
        </w:rPr>
        <w:t>r</w:t>
      </w:r>
      <w:r w:rsidR="00586D54">
        <w:rPr>
          <w:lang w:val="es-ES_tradnl"/>
        </w:rPr>
        <w:t>e</w:t>
      </w:r>
      <w:r w:rsidR="00CC4BC6">
        <w:rPr>
          <w:lang w:val="es-ES_tradnl"/>
        </w:rPr>
        <w:t xml:space="preserve">quiere </w:t>
      </w:r>
      <w:r w:rsidR="00F05971">
        <w:rPr>
          <w:lang w:val="es-ES_tradnl"/>
        </w:rPr>
        <w:t xml:space="preserve">de </w:t>
      </w:r>
      <w:r w:rsidR="00CC38B1">
        <w:rPr>
          <w:lang w:val="es-ES_tradnl"/>
        </w:rPr>
        <w:t xml:space="preserve">un </w:t>
      </w:r>
      <w:r w:rsidR="006C0473">
        <w:rPr>
          <w:lang w:val="es-ES_tradnl"/>
        </w:rPr>
        <w:t>permiso</w:t>
      </w:r>
      <w:r w:rsidR="004D364B" w:rsidRPr="00B25E57">
        <w:rPr>
          <w:lang w:val="es-ES_tradnl"/>
        </w:rPr>
        <w:t>.</w:t>
      </w:r>
      <w:r w:rsidR="003A46A1" w:rsidRPr="00B25E57">
        <w:rPr>
          <w:lang w:val="es-ES_tradnl"/>
        </w:rPr>
        <w:t xml:space="preserve"> </w:t>
      </w:r>
      <w:r w:rsidR="00624E03">
        <w:rPr>
          <w:lang w:val="es-ES_tradnl"/>
        </w:rPr>
        <w:t xml:space="preserve">A la fecha, </w:t>
      </w:r>
      <w:r w:rsidR="00A65B56">
        <w:rPr>
          <w:lang w:val="es-ES_tradnl"/>
        </w:rPr>
        <w:t>ninguna</w:t>
      </w:r>
      <w:r w:rsidR="00624E03">
        <w:rPr>
          <w:lang w:val="es-ES_tradnl"/>
        </w:rPr>
        <w:t xml:space="preserve"> </w:t>
      </w:r>
      <w:r w:rsidR="00A65B56">
        <w:rPr>
          <w:lang w:val="es-ES_tradnl"/>
        </w:rPr>
        <w:t>autoridad</w:t>
      </w:r>
      <w:r w:rsidR="008C64B0" w:rsidRPr="008C64B0">
        <w:rPr>
          <w:lang w:val="es-ES_tradnl"/>
        </w:rPr>
        <w:t xml:space="preserve"> </w:t>
      </w:r>
      <w:r w:rsidR="00A65B56">
        <w:rPr>
          <w:lang w:val="es-ES_tradnl"/>
        </w:rPr>
        <w:t>nacional</w:t>
      </w:r>
      <w:r w:rsidR="00680CC8">
        <w:rPr>
          <w:lang w:val="es-ES_tradnl"/>
        </w:rPr>
        <w:t xml:space="preserve"> </w:t>
      </w:r>
      <w:r w:rsidR="00A65B56">
        <w:rPr>
          <w:lang w:val="es-ES_tradnl"/>
        </w:rPr>
        <w:t>o provincial</w:t>
      </w:r>
      <w:r w:rsidR="00363935">
        <w:rPr>
          <w:lang w:val="es-ES_tradnl"/>
        </w:rPr>
        <w:t xml:space="preserve"> </w:t>
      </w:r>
      <w:r w:rsidR="00477E27">
        <w:rPr>
          <w:lang w:val="es-ES_tradnl"/>
        </w:rPr>
        <w:t xml:space="preserve">ha </w:t>
      </w:r>
      <w:r w:rsidR="00B06EDC">
        <w:rPr>
          <w:lang w:val="es-ES_tradnl"/>
        </w:rPr>
        <w:t xml:space="preserve">expedido </w:t>
      </w:r>
      <w:r w:rsidR="00D654F8">
        <w:rPr>
          <w:lang w:val="es-ES_tradnl"/>
        </w:rPr>
        <w:t xml:space="preserve">permisos </w:t>
      </w:r>
      <w:r w:rsidR="00A12AA7">
        <w:rPr>
          <w:lang w:val="es-ES_tradnl"/>
        </w:rPr>
        <w:t xml:space="preserve">para </w:t>
      </w:r>
      <w:r w:rsidR="00B71D94">
        <w:rPr>
          <w:lang w:val="es-ES_tradnl"/>
        </w:rPr>
        <w:t>el transporte</w:t>
      </w:r>
      <w:r w:rsidR="00A12AA7">
        <w:rPr>
          <w:lang w:val="es-ES_tradnl"/>
        </w:rPr>
        <w:t xml:space="preserve"> </w:t>
      </w:r>
      <w:r w:rsidR="00B71D94">
        <w:rPr>
          <w:lang w:val="es-ES_tradnl"/>
        </w:rPr>
        <w:t xml:space="preserve">de </w:t>
      </w:r>
      <w:r w:rsidR="0017412B">
        <w:rPr>
          <w:lang w:val="es-ES_tradnl"/>
        </w:rPr>
        <w:t>HFC</w:t>
      </w:r>
      <w:r w:rsidR="00FB38C2" w:rsidRPr="00B25E57">
        <w:rPr>
          <w:lang w:val="es-ES_tradnl"/>
        </w:rPr>
        <w:t>-</w:t>
      </w:r>
      <w:r w:rsidR="007B069E" w:rsidRPr="00B25E57">
        <w:rPr>
          <w:lang w:val="es-ES_tradnl"/>
        </w:rPr>
        <w:t>23</w:t>
      </w:r>
      <w:r w:rsidR="003A46A1" w:rsidRPr="00B25E57">
        <w:rPr>
          <w:lang w:val="es-ES_tradnl"/>
        </w:rPr>
        <w:t xml:space="preserve"> </w:t>
      </w:r>
      <w:r w:rsidR="00FB38C2" w:rsidRPr="00B25E57">
        <w:rPr>
          <w:lang w:val="es-ES_tradnl"/>
        </w:rPr>
        <w:t>o</w:t>
      </w:r>
      <w:r w:rsidR="003A46A1" w:rsidRPr="00B25E57">
        <w:rPr>
          <w:lang w:val="es-ES_tradnl"/>
        </w:rPr>
        <w:t xml:space="preserve"> </w:t>
      </w:r>
      <w:r w:rsidR="00F80628">
        <w:rPr>
          <w:lang w:val="es-ES_tradnl"/>
        </w:rPr>
        <w:t xml:space="preserve">el uso </w:t>
      </w:r>
      <w:r w:rsidR="00B71D94">
        <w:rPr>
          <w:lang w:val="es-ES_tradnl"/>
        </w:rPr>
        <w:t>de</w:t>
      </w:r>
      <w:r w:rsidR="00A12AA7">
        <w:rPr>
          <w:lang w:val="es-ES_tradnl"/>
        </w:rPr>
        <w:t xml:space="preserve"> </w:t>
      </w:r>
      <w:r w:rsidR="00AC3463">
        <w:rPr>
          <w:lang w:val="es-ES_tradnl"/>
        </w:rPr>
        <w:t xml:space="preserve">contenedores de </w:t>
      </w:r>
      <w:r w:rsidR="005B44B1">
        <w:rPr>
          <w:lang w:val="es-ES_tradnl"/>
        </w:rPr>
        <w:t>residuos peligrosos</w:t>
      </w:r>
      <w:r w:rsidR="007B069E" w:rsidRPr="00B25E57">
        <w:rPr>
          <w:lang w:val="es-ES_tradnl"/>
        </w:rPr>
        <w:t>.</w:t>
      </w:r>
    </w:p>
    <w:p w14:paraId="4BD38CDB" w14:textId="20AF0217" w:rsidR="003F247E" w:rsidRPr="00B25E57" w:rsidRDefault="008B50C0" w:rsidP="007212E8">
      <w:pPr>
        <w:pStyle w:val="Heading1"/>
        <w:rPr>
          <w:lang w:val="es-ES_tradnl"/>
        </w:rPr>
      </w:pPr>
      <w:r w:rsidRPr="00B25E57">
        <w:rPr>
          <w:lang w:val="es-ES_tradnl"/>
        </w:rPr>
        <w:t>L</w:t>
      </w:r>
      <w:r w:rsidR="00FB38C2" w:rsidRPr="00B25E57">
        <w:rPr>
          <w:lang w:val="es-ES_tradnl"/>
        </w:rPr>
        <w:t>a</w:t>
      </w:r>
      <w:r>
        <w:rPr>
          <w:lang w:val="es-ES_tradnl"/>
        </w:rPr>
        <w:t xml:space="preserve"> </w:t>
      </w:r>
      <w:r w:rsidR="00FB38C2" w:rsidRPr="00B25E57">
        <w:rPr>
          <w:lang w:val="es-ES_tradnl"/>
        </w:rPr>
        <w:t>ONUDI</w:t>
      </w:r>
      <w:r w:rsidR="003A46A1" w:rsidRPr="00B25E57">
        <w:rPr>
          <w:lang w:val="es-ES_tradnl"/>
        </w:rPr>
        <w:t xml:space="preserve"> </w:t>
      </w:r>
      <w:r w:rsidR="00100890">
        <w:rPr>
          <w:lang w:val="es-ES_tradnl"/>
        </w:rPr>
        <w:t xml:space="preserve">hizo notar que inscribirse como </w:t>
      </w:r>
      <w:r w:rsidR="00531BFE">
        <w:rPr>
          <w:lang w:val="es-ES_tradnl"/>
        </w:rPr>
        <w:t>planta de generación y tratamiento de residuos peligrosos</w:t>
      </w:r>
      <w:r w:rsidR="003A46A1" w:rsidRPr="00B25E57">
        <w:rPr>
          <w:lang w:val="es-ES_tradnl"/>
        </w:rPr>
        <w:t xml:space="preserve"> </w:t>
      </w:r>
      <w:r w:rsidR="0090537B">
        <w:rPr>
          <w:lang w:val="es-ES_tradnl"/>
        </w:rPr>
        <w:t xml:space="preserve">es un </w:t>
      </w:r>
      <w:r w:rsidR="00E22238" w:rsidRPr="00B25E57">
        <w:rPr>
          <w:lang w:val="es-ES_tradnl"/>
        </w:rPr>
        <w:t>procedimiento</w:t>
      </w:r>
      <w:r w:rsidR="003A46A1" w:rsidRPr="00B25E57">
        <w:rPr>
          <w:lang w:val="es-ES_tradnl"/>
        </w:rPr>
        <w:t xml:space="preserve"> </w:t>
      </w:r>
      <w:r w:rsidR="0090537B">
        <w:rPr>
          <w:lang w:val="es-ES_tradnl"/>
        </w:rPr>
        <w:t xml:space="preserve">complejo </w:t>
      </w:r>
      <w:r w:rsidR="00251293">
        <w:rPr>
          <w:lang w:val="es-ES_tradnl"/>
        </w:rPr>
        <w:t xml:space="preserve">de </w:t>
      </w:r>
      <w:r w:rsidR="00F33C58" w:rsidRPr="00B25E57">
        <w:rPr>
          <w:lang w:val="es-ES_tradnl"/>
        </w:rPr>
        <w:t>duración</w:t>
      </w:r>
      <w:r w:rsidR="003A46A1" w:rsidRPr="00B25E57">
        <w:rPr>
          <w:lang w:val="es-ES_tradnl"/>
        </w:rPr>
        <w:t xml:space="preserve"> </w:t>
      </w:r>
      <w:r w:rsidR="00251293">
        <w:rPr>
          <w:lang w:val="es-ES_tradnl"/>
        </w:rPr>
        <w:t xml:space="preserve">incierta </w:t>
      </w:r>
      <w:r w:rsidR="00F33C58" w:rsidRPr="00B25E57">
        <w:rPr>
          <w:lang w:val="es-ES_tradnl"/>
        </w:rPr>
        <w:t>y</w:t>
      </w:r>
      <w:r w:rsidR="003A46A1" w:rsidRPr="00B25E57">
        <w:rPr>
          <w:lang w:val="es-ES_tradnl"/>
        </w:rPr>
        <w:t xml:space="preserve"> </w:t>
      </w:r>
      <w:r w:rsidR="008A60E1">
        <w:rPr>
          <w:lang w:val="es-ES_tradnl"/>
        </w:rPr>
        <w:t xml:space="preserve">que ninguna </w:t>
      </w:r>
      <w:r w:rsidR="00072BC3">
        <w:rPr>
          <w:lang w:val="es-ES_tradnl"/>
        </w:rPr>
        <w:t>autoridad</w:t>
      </w:r>
      <w:r w:rsidR="003A46A1" w:rsidRPr="00B25E57">
        <w:rPr>
          <w:lang w:val="es-ES_tradnl"/>
        </w:rPr>
        <w:t xml:space="preserve"> </w:t>
      </w:r>
      <w:r w:rsidR="008A60E1">
        <w:rPr>
          <w:lang w:val="es-ES_tradnl"/>
        </w:rPr>
        <w:t>puede obligar a una entidad</w:t>
      </w:r>
      <w:r w:rsidR="003A46A1" w:rsidRPr="00B25E57">
        <w:rPr>
          <w:lang w:val="es-ES_tradnl"/>
        </w:rPr>
        <w:t xml:space="preserve"> </w:t>
      </w:r>
      <w:r w:rsidR="008A60E1">
        <w:rPr>
          <w:lang w:val="es-ES_tradnl"/>
        </w:rPr>
        <w:t>a hacerlo</w:t>
      </w:r>
      <w:r w:rsidR="007B069E" w:rsidRPr="00B25E57">
        <w:rPr>
          <w:lang w:val="es-ES_tradnl"/>
        </w:rPr>
        <w:t>.</w:t>
      </w:r>
      <w:r w:rsidR="003A46A1" w:rsidRPr="00B25E57">
        <w:rPr>
          <w:lang w:val="es-ES_tradnl"/>
        </w:rPr>
        <w:t xml:space="preserve"> </w:t>
      </w:r>
      <w:r w:rsidR="004208B8">
        <w:rPr>
          <w:lang w:val="es-ES_tradnl"/>
        </w:rPr>
        <w:t>S</w:t>
      </w:r>
      <w:r w:rsidR="00754D1B">
        <w:rPr>
          <w:lang w:val="es-ES_tradnl"/>
        </w:rPr>
        <w:t xml:space="preserve">e constataron </w:t>
      </w:r>
      <w:r w:rsidR="004208B8">
        <w:rPr>
          <w:lang w:val="es-ES_tradnl"/>
        </w:rPr>
        <w:t xml:space="preserve">además </w:t>
      </w:r>
      <w:r w:rsidR="00754D1B">
        <w:rPr>
          <w:lang w:val="es-ES_tradnl"/>
        </w:rPr>
        <w:t xml:space="preserve">los </w:t>
      </w:r>
      <w:r w:rsidR="004057BA" w:rsidRPr="00B25E57">
        <w:rPr>
          <w:lang w:val="es-ES_tradnl"/>
        </w:rPr>
        <w:t>siguientes</w:t>
      </w:r>
      <w:r w:rsidR="003A46A1" w:rsidRPr="00B25E57">
        <w:rPr>
          <w:lang w:val="es-ES_tradnl"/>
        </w:rPr>
        <w:t xml:space="preserve"> desafíos</w:t>
      </w:r>
      <w:r w:rsidR="003F247E" w:rsidRPr="00B25E57">
        <w:rPr>
          <w:lang w:val="es-ES_tradnl"/>
        </w:rPr>
        <w:t>:</w:t>
      </w:r>
    </w:p>
    <w:p w14:paraId="0DCF9257" w14:textId="58E5A18B" w:rsidR="003F247E" w:rsidRPr="00B25E57" w:rsidRDefault="003F247E" w:rsidP="0074589D">
      <w:pPr>
        <w:pStyle w:val="Heading2"/>
        <w:numPr>
          <w:ilvl w:val="1"/>
          <w:numId w:val="31"/>
        </w:numPr>
        <w:ind w:left="1417" w:hanging="567"/>
        <w:rPr>
          <w:lang w:val="es-ES_tradnl"/>
        </w:rPr>
      </w:pPr>
      <w:r w:rsidRPr="00B25E57">
        <w:rPr>
          <w:lang w:val="es-ES_tradnl"/>
        </w:rPr>
        <w:t>FIASA</w:t>
      </w:r>
      <w:r w:rsidR="003A46A1" w:rsidRPr="00B25E57">
        <w:rPr>
          <w:lang w:val="es-ES_tradnl"/>
        </w:rPr>
        <w:t xml:space="preserve"> </w:t>
      </w:r>
      <w:r w:rsidR="00FE69FB">
        <w:rPr>
          <w:lang w:val="es-ES_tradnl"/>
        </w:rPr>
        <w:t>tendría que</w:t>
      </w:r>
      <w:r w:rsidR="007A26A1">
        <w:rPr>
          <w:lang w:val="es-ES_tradnl"/>
        </w:rPr>
        <w:t xml:space="preserve"> </w:t>
      </w:r>
      <w:r w:rsidR="00927E48">
        <w:rPr>
          <w:lang w:val="es-ES_tradnl"/>
        </w:rPr>
        <w:t>inscribirse en el r</w:t>
      </w:r>
      <w:r w:rsidR="00EA16AA">
        <w:rPr>
          <w:lang w:val="es-ES_tradnl"/>
        </w:rPr>
        <w:t>egistro de generadores</w:t>
      </w:r>
      <w:r w:rsidR="004574C8">
        <w:rPr>
          <w:lang w:val="es-ES_tradnl"/>
        </w:rPr>
        <w:t xml:space="preserve"> de </w:t>
      </w:r>
      <w:r w:rsidR="005B44B1">
        <w:rPr>
          <w:lang w:val="es-ES_tradnl"/>
        </w:rPr>
        <w:t>residuos peligrosos</w:t>
      </w:r>
      <w:r w:rsidRPr="00B25E57">
        <w:rPr>
          <w:lang w:val="es-ES_tradnl"/>
        </w:rPr>
        <w:t>;</w:t>
      </w:r>
    </w:p>
    <w:p w14:paraId="6F2DD2D8" w14:textId="730F76BC" w:rsidR="00C464EB" w:rsidRPr="00B25E57" w:rsidRDefault="00CC4041" w:rsidP="0074589D">
      <w:pPr>
        <w:pStyle w:val="Heading2"/>
        <w:numPr>
          <w:ilvl w:val="1"/>
          <w:numId w:val="31"/>
        </w:numPr>
        <w:ind w:left="1417" w:hanging="567"/>
        <w:rPr>
          <w:lang w:val="es-ES_tradnl"/>
        </w:rPr>
      </w:pPr>
      <w:r>
        <w:rPr>
          <w:lang w:val="es-ES_tradnl"/>
        </w:rPr>
        <w:t xml:space="preserve">Para la </w:t>
      </w:r>
      <w:r w:rsidR="00F33C58" w:rsidRPr="00B25E57">
        <w:rPr>
          <w:lang w:val="es-ES_tradnl"/>
        </w:rPr>
        <w:t>Opción</w:t>
      </w:r>
      <w:r w:rsidR="003A46A1" w:rsidRPr="00B25E57">
        <w:rPr>
          <w:lang w:val="es-ES_tradnl"/>
        </w:rPr>
        <w:t xml:space="preserve"> </w:t>
      </w:r>
      <w:r w:rsidR="00150D2F">
        <w:rPr>
          <w:lang w:val="es-ES_tradnl"/>
        </w:rPr>
        <w:t>2,</w:t>
      </w:r>
      <w:r w:rsidR="003A46A1" w:rsidRPr="00B25E57">
        <w:rPr>
          <w:lang w:val="es-ES_tradnl"/>
        </w:rPr>
        <w:t xml:space="preserve"> </w:t>
      </w:r>
      <w:r w:rsidR="00C464EB" w:rsidRPr="00B25E57">
        <w:rPr>
          <w:lang w:val="es-ES_tradnl"/>
        </w:rPr>
        <w:t>FIASA</w:t>
      </w:r>
      <w:r w:rsidR="003A46A1" w:rsidRPr="00B25E57">
        <w:rPr>
          <w:lang w:val="es-ES_tradnl"/>
        </w:rPr>
        <w:t xml:space="preserve"> </w:t>
      </w:r>
      <w:r w:rsidR="00FE69FB" w:rsidRPr="00FE69FB">
        <w:rPr>
          <w:lang w:val="es-ES_tradnl"/>
        </w:rPr>
        <w:t xml:space="preserve">tendría </w:t>
      </w:r>
      <w:r w:rsidR="00150D2F">
        <w:rPr>
          <w:lang w:val="es-ES_tradnl"/>
        </w:rPr>
        <w:t xml:space="preserve">además </w:t>
      </w:r>
      <w:r w:rsidR="00FE69FB">
        <w:rPr>
          <w:lang w:val="es-ES_tradnl"/>
        </w:rPr>
        <w:t xml:space="preserve">que </w:t>
      </w:r>
      <w:r w:rsidR="00265293">
        <w:rPr>
          <w:lang w:val="es-ES_tradnl"/>
        </w:rPr>
        <w:t>inscribirse como</w:t>
      </w:r>
      <w:r w:rsidR="003A46A1" w:rsidRPr="00B25E57">
        <w:rPr>
          <w:lang w:val="es-ES_tradnl"/>
        </w:rPr>
        <w:t xml:space="preserve"> </w:t>
      </w:r>
      <w:r w:rsidR="007555C4">
        <w:rPr>
          <w:lang w:val="es-ES_tradnl"/>
        </w:rPr>
        <w:t xml:space="preserve">planta de tratamiento de </w:t>
      </w:r>
      <w:r w:rsidR="005B44B1">
        <w:rPr>
          <w:lang w:val="es-ES_tradnl"/>
        </w:rPr>
        <w:t>residuos peligrosos</w:t>
      </w:r>
      <w:r w:rsidR="00C464EB" w:rsidRPr="00B25E57">
        <w:rPr>
          <w:lang w:val="es-ES_tradnl"/>
        </w:rPr>
        <w:t>;</w:t>
      </w:r>
    </w:p>
    <w:p w14:paraId="4BFE8DFF" w14:textId="6603EF68" w:rsidR="003F247E" w:rsidRPr="00B25E57" w:rsidRDefault="00180907" w:rsidP="00AD1D61">
      <w:pPr>
        <w:pStyle w:val="Heading2"/>
        <w:keepNext/>
        <w:keepLines/>
        <w:numPr>
          <w:ilvl w:val="1"/>
          <w:numId w:val="31"/>
        </w:numPr>
        <w:ind w:left="1418" w:hanging="567"/>
        <w:rPr>
          <w:lang w:val="es-ES_tradnl"/>
        </w:rPr>
      </w:pPr>
      <w:r>
        <w:rPr>
          <w:lang w:val="es-ES_tradnl"/>
        </w:rPr>
        <w:lastRenderedPageBreak/>
        <w:t>Para la Opción</w:t>
      </w:r>
      <w:r w:rsidR="003A46A1" w:rsidRPr="00B25E57">
        <w:rPr>
          <w:lang w:val="es-ES_tradnl"/>
        </w:rPr>
        <w:t xml:space="preserve"> </w:t>
      </w:r>
      <w:r w:rsidR="00557543">
        <w:rPr>
          <w:lang w:val="es-ES_tradnl"/>
        </w:rPr>
        <w:t xml:space="preserve">3, </w:t>
      </w:r>
      <w:r w:rsidR="003F247E" w:rsidRPr="00B25E57">
        <w:rPr>
          <w:lang w:val="es-ES_tradnl"/>
        </w:rPr>
        <w:t>FIASA</w:t>
      </w:r>
      <w:r w:rsidR="003A46A1" w:rsidRPr="00B25E57">
        <w:rPr>
          <w:lang w:val="es-ES_tradnl"/>
        </w:rPr>
        <w:t xml:space="preserve"> </w:t>
      </w:r>
      <w:r w:rsidR="003057D6" w:rsidRPr="003057D6">
        <w:rPr>
          <w:lang w:val="es-ES_tradnl"/>
        </w:rPr>
        <w:t xml:space="preserve">tendría que </w:t>
      </w:r>
      <w:r w:rsidR="00265293">
        <w:rPr>
          <w:lang w:val="es-ES_tradnl"/>
        </w:rPr>
        <w:t>inscribirse como</w:t>
      </w:r>
      <w:r w:rsidR="003A46A1" w:rsidRPr="00B25E57">
        <w:rPr>
          <w:lang w:val="es-ES_tradnl"/>
        </w:rPr>
        <w:t xml:space="preserve"> </w:t>
      </w:r>
      <w:r w:rsidR="00077624">
        <w:rPr>
          <w:lang w:val="es-ES_tradnl"/>
        </w:rPr>
        <w:t>transportista</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B44B1">
        <w:rPr>
          <w:lang w:val="es-ES_tradnl"/>
        </w:rPr>
        <w:t>residuos peligrosos</w:t>
      </w:r>
      <w:r w:rsidR="00D833D8" w:rsidRPr="00B25E57">
        <w:rPr>
          <w:lang w:val="es-ES_tradnl"/>
        </w:rPr>
        <w:t>,</w:t>
      </w:r>
      <w:r w:rsidR="003A46A1" w:rsidRPr="00B25E57">
        <w:rPr>
          <w:lang w:val="es-ES_tradnl"/>
        </w:rPr>
        <w:t xml:space="preserve"> </w:t>
      </w:r>
      <w:r w:rsidR="00FB38C2" w:rsidRPr="00B25E57">
        <w:rPr>
          <w:lang w:val="es-ES_tradnl"/>
        </w:rPr>
        <w:t>o</w:t>
      </w:r>
      <w:r w:rsidR="003A46A1" w:rsidRPr="00B25E57">
        <w:rPr>
          <w:lang w:val="es-ES_tradnl"/>
        </w:rPr>
        <w:t xml:space="preserve"> </w:t>
      </w:r>
      <w:r w:rsidR="005A441F">
        <w:rPr>
          <w:lang w:val="es-ES_tradnl"/>
        </w:rPr>
        <w:t xml:space="preserve">bien </w:t>
      </w:r>
      <w:r w:rsidR="00CB50AB">
        <w:rPr>
          <w:lang w:val="es-ES_tradnl"/>
        </w:rPr>
        <w:t>recurrir</w:t>
      </w:r>
      <w:r w:rsidR="00A4092E">
        <w:rPr>
          <w:lang w:val="es-ES_tradnl"/>
        </w:rPr>
        <w:t xml:space="preserve"> </w:t>
      </w:r>
      <w:r w:rsidR="00CB50AB">
        <w:rPr>
          <w:lang w:val="es-ES_tradnl"/>
        </w:rPr>
        <w:t xml:space="preserve">a </w:t>
      </w:r>
      <w:r w:rsidR="00A4092E">
        <w:rPr>
          <w:lang w:val="es-ES_tradnl"/>
        </w:rPr>
        <w:t xml:space="preserve">una </w:t>
      </w:r>
      <w:r w:rsidR="004241C5" w:rsidRPr="00B25E57">
        <w:rPr>
          <w:lang w:val="es-ES_tradnl"/>
        </w:rPr>
        <w:t>empresa</w:t>
      </w:r>
      <w:r w:rsidR="003A46A1" w:rsidRPr="00B25E57">
        <w:rPr>
          <w:lang w:val="es-ES_tradnl"/>
        </w:rPr>
        <w:t xml:space="preserve"> </w:t>
      </w:r>
      <w:r w:rsidR="009C36B8">
        <w:rPr>
          <w:lang w:val="es-ES_tradnl"/>
        </w:rPr>
        <w:t xml:space="preserve">inscrita como tal e inscribirse </w:t>
      </w:r>
      <w:r w:rsidR="004505FF">
        <w:rPr>
          <w:lang w:val="es-ES_tradnl"/>
        </w:rPr>
        <w:t>como exportador</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B44B1">
        <w:rPr>
          <w:lang w:val="es-ES_tradnl"/>
        </w:rPr>
        <w:t>residuos peligrosos</w:t>
      </w:r>
      <w:r w:rsidR="00C464EB" w:rsidRPr="00B25E57">
        <w:rPr>
          <w:lang w:val="es-ES_tradnl"/>
        </w:rPr>
        <w:t>.</w:t>
      </w:r>
      <w:r w:rsidR="003A46A1" w:rsidRPr="00B25E57">
        <w:rPr>
          <w:lang w:val="es-ES_tradnl"/>
        </w:rPr>
        <w:t xml:space="preserve"> </w:t>
      </w:r>
      <w:r w:rsidR="004241C5" w:rsidRPr="00B25E57">
        <w:rPr>
          <w:lang w:val="es-ES_tradnl"/>
        </w:rPr>
        <w:t>Además,</w:t>
      </w:r>
      <w:r w:rsidR="003A46A1" w:rsidRPr="00B25E57">
        <w:rPr>
          <w:lang w:val="es-ES_tradnl"/>
        </w:rPr>
        <w:t xml:space="preserve"> </w:t>
      </w:r>
      <w:r w:rsidR="003F247E" w:rsidRPr="00B25E57">
        <w:rPr>
          <w:lang w:val="es-ES_tradnl"/>
        </w:rPr>
        <w:t>FIASA</w:t>
      </w:r>
      <w:r w:rsidR="003A46A1" w:rsidRPr="00B25E57">
        <w:rPr>
          <w:lang w:val="es-ES_tradnl"/>
        </w:rPr>
        <w:t xml:space="preserve"> </w:t>
      </w:r>
      <w:r w:rsidR="00E760AB">
        <w:rPr>
          <w:lang w:val="es-ES_tradnl"/>
        </w:rPr>
        <w:t xml:space="preserve">tendría que </w:t>
      </w:r>
      <w:r w:rsidR="00D44A61">
        <w:rPr>
          <w:lang w:val="es-ES_tradnl"/>
        </w:rPr>
        <w:t xml:space="preserve">solicitar </w:t>
      </w:r>
      <w:r w:rsidR="00D44A61" w:rsidRPr="00D44A61">
        <w:rPr>
          <w:lang w:val="es-ES_tradnl"/>
        </w:rPr>
        <w:t xml:space="preserve">a las provincias de San Luis y Buenos Aires </w:t>
      </w:r>
      <w:r w:rsidR="00DB00DB">
        <w:rPr>
          <w:lang w:val="es-ES_tradnl"/>
        </w:rPr>
        <w:t xml:space="preserve">los correspondientes </w:t>
      </w:r>
      <w:r w:rsidR="009F0A6B">
        <w:rPr>
          <w:lang w:val="es-ES_tradnl"/>
        </w:rPr>
        <w:t>permisos</w:t>
      </w:r>
      <w:r w:rsidR="003A46A1" w:rsidRPr="00B25E57">
        <w:rPr>
          <w:lang w:val="es-ES_tradnl"/>
        </w:rPr>
        <w:t xml:space="preserve"> </w:t>
      </w:r>
      <w:r w:rsidR="009F0A6B">
        <w:rPr>
          <w:lang w:val="es-ES_tradnl"/>
        </w:rPr>
        <w:t xml:space="preserve">para el </w:t>
      </w:r>
      <w:r w:rsidR="00A4343B" w:rsidRPr="00B25E57">
        <w:rPr>
          <w:lang w:val="es-ES_tradnl"/>
        </w:rPr>
        <w:t>transporte</w:t>
      </w:r>
      <w:r w:rsidR="003A46A1" w:rsidRPr="00B25E57">
        <w:rPr>
          <w:lang w:val="es-ES_tradnl"/>
        </w:rPr>
        <w:t xml:space="preserve"> </w:t>
      </w:r>
      <w:r w:rsidR="001D5199">
        <w:rPr>
          <w:lang w:val="es-ES_tradnl"/>
        </w:rPr>
        <w:t xml:space="preserve">de </w:t>
      </w:r>
      <w:r w:rsidR="005B44B1">
        <w:rPr>
          <w:lang w:val="es-ES_tradnl"/>
        </w:rPr>
        <w:t>residuos peligrosos</w:t>
      </w:r>
      <w:r w:rsidR="003F247E" w:rsidRPr="00B25E57">
        <w:rPr>
          <w:lang w:val="es-ES_tradnl"/>
        </w:rPr>
        <w:t>;</w:t>
      </w:r>
      <w:r w:rsidR="003A46A1" w:rsidRPr="00B25E57">
        <w:rPr>
          <w:lang w:val="es-ES_tradnl"/>
        </w:rPr>
        <w:t xml:space="preserve"> </w:t>
      </w:r>
      <w:r w:rsidR="00FB38C2" w:rsidRPr="00B25E57">
        <w:rPr>
          <w:lang w:val="es-ES_tradnl"/>
        </w:rPr>
        <w:t>y</w:t>
      </w:r>
    </w:p>
    <w:p w14:paraId="7F9A4E45" w14:textId="60070AB4" w:rsidR="00F57F5A" w:rsidRPr="00B25E57" w:rsidRDefault="00180907" w:rsidP="0074589D">
      <w:pPr>
        <w:pStyle w:val="Heading2"/>
        <w:numPr>
          <w:ilvl w:val="1"/>
          <w:numId w:val="31"/>
        </w:numPr>
        <w:ind w:left="1417" w:hanging="567"/>
        <w:rPr>
          <w:lang w:val="es-ES_tradnl"/>
        </w:rPr>
      </w:pPr>
      <w:r>
        <w:rPr>
          <w:lang w:val="es-ES_tradnl"/>
        </w:rPr>
        <w:t>Para la Opción</w:t>
      </w:r>
      <w:r w:rsidR="003A46A1" w:rsidRPr="00B25E57">
        <w:rPr>
          <w:lang w:val="es-ES_tradnl"/>
        </w:rPr>
        <w:t xml:space="preserve"> </w:t>
      </w:r>
      <w:r w:rsidR="0092407B">
        <w:rPr>
          <w:lang w:val="es-ES_tradnl"/>
        </w:rPr>
        <w:t xml:space="preserve">3, </w:t>
      </w:r>
      <w:r w:rsidR="00CC46FA">
        <w:rPr>
          <w:lang w:val="es-ES_tradnl"/>
        </w:rPr>
        <w:t>Argentina es</w:t>
      </w:r>
      <w:r w:rsidR="0092407B">
        <w:rPr>
          <w:lang w:val="es-ES_tradnl"/>
        </w:rPr>
        <w:t xml:space="preserve"> signataria </w:t>
      </w:r>
      <w:r w:rsidR="00DE47A7">
        <w:rPr>
          <w:lang w:val="es-ES_tradnl"/>
        </w:rPr>
        <w:t xml:space="preserve">de la </w:t>
      </w:r>
      <w:r w:rsidR="00A60D23" w:rsidRPr="00A60D23">
        <w:rPr>
          <w:lang w:val="es-ES_tradnl"/>
        </w:rPr>
        <w:t>Convención de Basilea sobre el control de los movimientos transfronterizos de los desechos peligrosos y su eliminación</w:t>
      </w:r>
      <w:r w:rsidR="0058245A">
        <w:rPr>
          <w:lang w:val="es-ES_tradnl"/>
        </w:rPr>
        <w:t xml:space="preserve">. En ese marco, </w:t>
      </w:r>
      <w:r w:rsidR="00FB38C2" w:rsidRPr="00B25E57">
        <w:rPr>
          <w:lang w:val="es-ES_tradnl"/>
        </w:rPr>
        <w:t>el</w:t>
      </w:r>
      <w:r w:rsidR="003A46A1" w:rsidRPr="00B25E57">
        <w:rPr>
          <w:lang w:val="es-ES_tradnl"/>
        </w:rPr>
        <w:t xml:space="preserve"> </w:t>
      </w:r>
      <w:r w:rsidR="00A9712C">
        <w:rPr>
          <w:lang w:val="es-ES_tradnl"/>
        </w:rPr>
        <w:t>Gobierno</w:t>
      </w:r>
      <w:r w:rsidR="007D3736">
        <w:rPr>
          <w:lang w:val="es-ES_tradnl"/>
        </w:rPr>
        <w:t xml:space="preserve"> </w:t>
      </w:r>
      <w:r w:rsidR="00E759CA">
        <w:rPr>
          <w:lang w:val="es-ES_tradnl"/>
        </w:rPr>
        <w:t>estima</w:t>
      </w:r>
      <w:r w:rsidR="003A46A1" w:rsidRPr="00B25E57">
        <w:rPr>
          <w:lang w:val="es-ES_tradnl"/>
        </w:rPr>
        <w:t xml:space="preserve"> </w:t>
      </w:r>
      <w:r w:rsidR="00A41CB7">
        <w:rPr>
          <w:lang w:val="es-ES_tradnl"/>
        </w:rPr>
        <w:t xml:space="preserve">que los </w:t>
      </w:r>
      <w:r w:rsidR="003F247E" w:rsidRPr="00B25E57">
        <w:rPr>
          <w:lang w:val="es-ES_tradnl"/>
        </w:rPr>
        <w:t>HFC</w:t>
      </w:r>
      <w:r w:rsidR="00FB38C2" w:rsidRPr="00B25E57">
        <w:rPr>
          <w:lang w:val="es-ES_tradnl"/>
        </w:rPr>
        <w:t>-</w:t>
      </w:r>
      <w:r w:rsidR="003F247E" w:rsidRPr="00B25E57">
        <w:rPr>
          <w:lang w:val="es-ES_tradnl"/>
        </w:rPr>
        <w:t>23</w:t>
      </w:r>
      <w:r w:rsidR="003A46A1" w:rsidRPr="00B25E57">
        <w:rPr>
          <w:lang w:val="es-ES_tradnl"/>
        </w:rPr>
        <w:t xml:space="preserve"> </w:t>
      </w:r>
      <w:r w:rsidR="00DF4FF4">
        <w:rPr>
          <w:lang w:val="es-ES_tradnl"/>
        </w:rPr>
        <w:t>para destrucción</w:t>
      </w:r>
      <w:r w:rsidR="003A46A1" w:rsidRPr="00B25E57">
        <w:rPr>
          <w:lang w:val="es-ES_tradnl"/>
        </w:rPr>
        <w:t xml:space="preserve"> </w:t>
      </w:r>
      <w:r w:rsidR="00B00E9B">
        <w:rPr>
          <w:lang w:val="es-ES_tradnl"/>
        </w:rPr>
        <w:t>caen</w:t>
      </w:r>
      <w:r w:rsidR="00596B44">
        <w:rPr>
          <w:lang w:val="es-ES_tradnl"/>
        </w:rPr>
        <w:t xml:space="preserve"> en la categoría</w:t>
      </w:r>
      <w:r w:rsidR="003A46A1" w:rsidRPr="00B25E57">
        <w:rPr>
          <w:lang w:val="es-ES_tradnl"/>
        </w:rPr>
        <w:t xml:space="preserve"> </w:t>
      </w:r>
      <w:r w:rsidR="003F247E" w:rsidRPr="00B25E57">
        <w:rPr>
          <w:lang w:val="es-ES_tradnl"/>
        </w:rPr>
        <w:t>y45</w:t>
      </w:r>
      <w:r w:rsidR="003A46A1" w:rsidRPr="00B25E57">
        <w:rPr>
          <w:lang w:val="es-ES_tradnl"/>
        </w:rPr>
        <w:t xml:space="preserve"> </w:t>
      </w:r>
      <w:r w:rsidR="00FB38C2" w:rsidRPr="00B25E57">
        <w:rPr>
          <w:lang w:val="es-ES_tradnl"/>
        </w:rPr>
        <w:t>de</w:t>
      </w:r>
      <w:r w:rsidR="00C91C70">
        <w:rPr>
          <w:lang w:val="es-ES_tradnl"/>
        </w:rPr>
        <w:t>l</w:t>
      </w:r>
      <w:r w:rsidR="003A46A1" w:rsidRPr="00B25E57">
        <w:rPr>
          <w:lang w:val="es-ES_tradnl"/>
        </w:rPr>
        <w:t xml:space="preserve"> </w:t>
      </w:r>
      <w:r w:rsidR="004241C5" w:rsidRPr="00B25E57">
        <w:rPr>
          <w:lang w:val="es-ES_tradnl"/>
        </w:rPr>
        <w:t>Anexo</w:t>
      </w:r>
      <w:r w:rsidR="003A46A1" w:rsidRPr="00B25E57">
        <w:rPr>
          <w:lang w:val="es-ES_tradnl"/>
        </w:rPr>
        <w:t xml:space="preserve"> </w:t>
      </w:r>
      <w:r w:rsidR="003F247E" w:rsidRPr="00B25E57">
        <w:rPr>
          <w:lang w:val="es-ES_tradnl"/>
        </w:rPr>
        <w:t>I</w:t>
      </w:r>
      <w:r w:rsidR="003A46A1" w:rsidRPr="00B25E57">
        <w:rPr>
          <w:lang w:val="es-ES_tradnl"/>
        </w:rPr>
        <w:t xml:space="preserve"> </w:t>
      </w:r>
      <w:r w:rsidR="00C91C70">
        <w:rPr>
          <w:lang w:val="es-ES_tradnl"/>
        </w:rPr>
        <w:t>de la</w:t>
      </w:r>
      <w:r w:rsidR="003A46A1" w:rsidRPr="00B25E57">
        <w:rPr>
          <w:lang w:val="es-ES_tradnl"/>
        </w:rPr>
        <w:t xml:space="preserve"> </w:t>
      </w:r>
      <w:r w:rsidR="00B25E57">
        <w:rPr>
          <w:lang w:val="es-ES_tradnl"/>
        </w:rPr>
        <w:t>Convención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651AB">
        <w:rPr>
          <w:lang w:val="es-ES_tradnl"/>
        </w:rPr>
        <w:t xml:space="preserve">son </w:t>
      </w:r>
      <w:r w:rsidR="00F24FA9" w:rsidRPr="00B25E57">
        <w:rPr>
          <w:lang w:val="es-ES_tradnl"/>
        </w:rPr>
        <w:t>por</w:t>
      </w:r>
      <w:r w:rsidR="003A46A1" w:rsidRPr="00B25E57">
        <w:rPr>
          <w:lang w:val="es-ES_tradnl"/>
        </w:rPr>
        <w:t xml:space="preserve"> </w:t>
      </w:r>
      <w:r w:rsidR="00A15B29">
        <w:rPr>
          <w:lang w:val="es-ES_tradnl"/>
        </w:rPr>
        <w:t>ende</w:t>
      </w:r>
      <w:r w:rsidR="001651AB">
        <w:rPr>
          <w:lang w:val="es-ES_tradnl"/>
        </w:rPr>
        <w:t xml:space="preserve"> </w:t>
      </w:r>
      <w:r w:rsidR="0031371E">
        <w:rPr>
          <w:lang w:val="es-ES_tradnl"/>
        </w:rPr>
        <w:t>residuo</w:t>
      </w:r>
      <w:r w:rsidR="00BC1D66">
        <w:rPr>
          <w:lang w:val="es-ES_tradnl"/>
        </w:rPr>
        <w:t>s</w:t>
      </w:r>
      <w:r w:rsidR="0031371E">
        <w:rPr>
          <w:lang w:val="es-ES_tradnl"/>
        </w:rPr>
        <w:t xml:space="preserve"> peligroso</w:t>
      </w:r>
      <w:r w:rsidR="00BC1D66">
        <w:rPr>
          <w:lang w:val="es-ES_tradnl"/>
        </w:rPr>
        <w:t>s</w:t>
      </w:r>
      <w:r w:rsidR="003F247E" w:rsidRPr="00B25E57">
        <w:rPr>
          <w:lang w:val="es-ES_tradnl"/>
        </w:rPr>
        <w:t>,</w:t>
      </w:r>
      <w:r w:rsidR="003A46A1" w:rsidRPr="00B25E57">
        <w:rPr>
          <w:lang w:val="es-ES_tradnl"/>
        </w:rPr>
        <w:t xml:space="preserve"> </w:t>
      </w:r>
      <w:r w:rsidR="00A72183">
        <w:rPr>
          <w:lang w:val="es-ES_tradnl"/>
        </w:rPr>
        <w:t xml:space="preserve">lo </w:t>
      </w:r>
      <w:r w:rsidR="003409DB">
        <w:rPr>
          <w:lang w:val="es-ES_tradnl"/>
        </w:rPr>
        <w:t xml:space="preserve">que </w:t>
      </w:r>
      <w:r w:rsidR="004771BA">
        <w:rPr>
          <w:lang w:val="es-ES_tradnl"/>
        </w:rPr>
        <w:t xml:space="preserve">exigiría </w:t>
      </w:r>
      <w:r w:rsidR="00AF39B2">
        <w:rPr>
          <w:lang w:val="es-ES_tradnl"/>
        </w:rPr>
        <w:t xml:space="preserve">autorización </w:t>
      </w:r>
      <w:r w:rsidR="006A4A65">
        <w:rPr>
          <w:lang w:val="es-ES_tradnl"/>
        </w:rPr>
        <w:t xml:space="preserve">del </w:t>
      </w:r>
      <w:r w:rsidR="007B22B4" w:rsidRPr="00B25E57">
        <w:rPr>
          <w:lang w:val="es-ES_tradnl"/>
        </w:rPr>
        <w:t>país</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393ED1">
        <w:rPr>
          <w:lang w:val="es-ES_tradnl"/>
        </w:rPr>
        <w:t xml:space="preserve">el </w:t>
      </w:r>
      <w:r w:rsidR="00F57F5A" w:rsidRPr="00B25E57">
        <w:rPr>
          <w:lang w:val="es-ES_tradnl"/>
        </w:rPr>
        <w:t>HFC</w:t>
      </w:r>
      <w:r w:rsidR="00FB38C2" w:rsidRPr="00B25E57">
        <w:rPr>
          <w:lang w:val="es-ES_tradnl"/>
        </w:rPr>
        <w:t>-</w:t>
      </w:r>
      <w:r w:rsidR="00F57F5A" w:rsidRPr="00B25E57">
        <w:rPr>
          <w:lang w:val="es-ES_tradnl"/>
        </w:rPr>
        <w:t>23</w:t>
      </w:r>
      <w:r w:rsidR="003A46A1" w:rsidRPr="00B25E57">
        <w:rPr>
          <w:lang w:val="es-ES_tradnl"/>
        </w:rPr>
        <w:t xml:space="preserve"> </w:t>
      </w:r>
      <w:r w:rsidR="006E7AA2">
        <w:rPr>
          <w:lang w:val="es-ES_tradnl"/>
        </w:rPr>
        <w:t xml:space="preserve">sería destruido </w:t>
      </w:r>
      <w:r w:rsidR="00FB38C2" w:rsidRPr="00B25E57">
        <w:rPr>
          <w:lang w:val="es-ES_tradnl"/>
        </w:rPr>
        <w:t>y</w:t>
      </w:r>
      <w:r w:rsidR="003A46A1" w:rsidRPr="00B25E57">
        <w:rPr>
          <w:lang w:val="es-ES_tradnl"/>
        </w:rPr>
        <w:t xml:space="preserve"> </w:t>
      </w:r>
      <w:r w:rsidR="006E7AA2">
        <w:rPr>
          <w:lang w:val="es-ES_tradnl"/>
        </w:rPr>
        <w:t xml:space="preserve">de los </w:t>
      </w:r>
      <w:r w:rsidR="007B22B4" w:rsidRPr="00B25E57">
        <w:rPr>
          <w:lang w:val="es-ES_tradnl"/>
        </w:rPr>
        <w:t>países</w:t>
      </w:r>
      <w:r w:rsidR="003A46A1" w:rsidRPr="00B25E57">
        <w:rPr>
          <w:lang w:val="es-ES_tradnl"/>
        </w:rPr>
        <w:t xml:space="preserve"> </w:t>
      </w:r>
      <w:r w:rsidR="006E7AA2">
        <w:rPr>
          <w:lang w:val="es-ES_tradnl"/>
        </w:rPr>
        <w:t xml:space="preserve">de tránsito </w:t>
      </w:r>
      <w:r w:rsidR="00D538C6">
        <w:rPr>
          <w:lang w:val="es-ES_tradnl"/>
        </w:rPr>
        <w:t>del embarque</w:t>
      </w:r>
      <w:r w:rsidR="00F57F5A" w:rsidRPr="00B25E57">
        <w:rPr>
          <w:lang w:val="es-ES_tradnl"/>
        </w:rPr>
        <w:t>.</w:t>
      </w:r>
    </w:p>
    <w:p w14:paraId="5DB996B7" w14:textId="3975D8E2" w:rsidR="00641E13" w:rsidRPr="00B25E57" w:rsidRDefault="00F33C58" w:rsidP="00AC7BBE">
      <w:pPr>
        <w:keepNext/>
        <w:keepLines/>
        <w:rPr>
          <w:i/>
          <w:lang w:val="es-ES_tradnl"/>
        </w:rPr>
      </w:pPr>
      <w:r w:rsidRPr="00B25E57">
        <w:rPr>
          <w:i/>
          <w:lang w:val="es-ES_tradnl"/>
        </w:rPr>
        <w:t>Opción</w:t>
      </w:r>
      <w:r w:rsidR="003A46A1" w:rsidRPr="00B25E57">
        <w:rPr>
          <w:i/>
          <w:lang w:val="es-ES_tradnl"/>
        </w:rPr>
        <w:t xml:space="preserve"> </w:t>
      </w:r>
      <w:r w:rsidR="00E06A90" w:rsidRPr="00B25E57">
        <w:rPr>
          <w:i/>
          <w:lang w:val="es-ES_tradnl"/>
        </w:rPr>
        <w:t>1:</w:t>
      </w:r>
      <w:r w:rsidR="003A46A1" w:rsidRPr="00B25E57">
        <w:rPr>
          <w:i/>
          <w:lang w:val="es-ES_tradnl"/>
        </w:rPr>
        <w:t xml:space="preserve"> </w:t>
      </w:r>
      <w:r w:rsidR="00ED61A2">
        <w:rPr>
          <w:i/>
          <w:lang w:val="es-ES_tradnl"/>
        </w:rPr>
        <w:t>Cese de la producción de HCFC-22</w:t>
      </w:r>
    </w:p>
    <w:p w14:paraId="33D7C8D1" w14:textId="77777777" w:rsidR="00641E13" w:rsidRPr="00B25E57" w:rsidRDefault="00641E13" w:rsidP="00AC7BBE">
      <w:pPr>
        <w:keepNext/>
        <w:keepLines/>
        <w:rPr>
          <w:lang w:val="es-ES_tradnl"/>
        </w:rPr>
      </w:pPr>
    </w:p>
    <w:p w14:paraId="3EDC927B" w14:textId="0EAC243B" w:rsidR="00CF5C06" w:rsidRDefault="00B56722" w:rsidP="00AC7BBE">
      <w:pPr>
        <w:pStyle w:val="Heading1"/>
        <w:keepNext/>
        <w:keepLines/>
        <w:rPr>
          <w:lang w:val="es-ES_tradnl"/>
        </w:rPr>
      </w:pPr>
      <w:r w:rsidRPr="00B56722">
        <w:rPr>
          <w:lang w:val="es-ES_tradnl"/>
        </w:rPr>
        <w:t>Implica</w:t>
      </w:r>
      <w:r w:rsidR="00293002">
        <w:rPr>
          <w:lang w:val="es-ES_tradnl"/>
        </w:rPr>
        <w:t xml:space="preserve"> compensar </w:t>
      </w:r>
      <w:r w:rsidR="00C2493F">
        <w:rPr>
          <w:lang w:val="es-ES_tradnl"/>
        </w:rPr>
        <w:t xml:space="preserve">a FIASA </w:t>
      </w:r>
      <w:r w:rsidR="00830E50" w:rsidRPr="00830E50">
        <w:rPr>
          <w:lang w:val="es-ES_tradnl"/>
        </w:rPr>
        <w:t xml:space="preserve">por cerrar la planta de producción al 1º de enero de 2020 o a la ratificación de la Enmienda de Kigali por parte del </w:t>
      </w:r>
      <w:r w:rsidR="00535C22">
        <w:rPr>
          <w:lang w:val="es-ES_tradnl"/>
        </w:rPr>
        <w:t>Gobierno de Argentina</w:t>
      </w:r>
      <w:r w:rsidR="00830E50" w:rsidRPr="00830E50">
        <w:rPr>
          <w:lang w:val="es-ES_tradnl"/>
        </w:rPr>
        <w:t>, lo que ocurra primero;</w:t>
      </w:r>
    </w:p>
    <w:p w14:paraId="41DD0CB2" w14:textId="272858D8" w:rsidR="00CE0FA5" w:rsidRPr="00B25E57" w:rsidRDefault="00F277A2" w:rsidP="00641E13">
      <w:pPr>
        <w:pStyle w:val="Heading1"/>
        <w:rPr>
          <w:lang w:val="es-ES_tradnl"/>
        </w:rPr>
      </w:pPr>
      <w:r>
        <w:rPr>
          <w:lang w:val="es-ES_tradnl"/>
        </w:rPr>
        <w:t xml:space="preserve">El </w:t>
      </w:r>
      <w:r w:rsidRPr="00F277A2">
        <w:rPr>
          <w:lang w:val="es-ES_tradnl"/>
        </w:rPr>
        <w:t>Cuadro 2</w:t>
      </w:r>
      <w:r w:rsidR="00AF599B">
        <w:rPr>
          <w:lang w:val="es-ES_tradnl"/>
        </w:rPr>
        <w:t xml:space="preserve"> muestra </w:t>
      </w:r>
      <w:r w:rsidR="00AF599B" w:rsidRPr="00AF599B">
        <w:rPr>
          <w:lang w:val="es-ES_tradnl"/>
        </w:rPr>
        <w:t xml:space="preserve">cuatro escenarios </w:t>
      </w:r>
      <w:r w:rsidR="009805F8">
        <w:rPr>
          <w:lang w:val="es-ES_tradnl"/>
        </w:rPr>
        <w:t>elaborados</w:t>
      </w:r>
      <w:r w:rsidR="00676DEB">
        <w:rPr>
          <w:lang w:val="es-ES_tradnl"/>
        </w:rPr>
        <w:t xml:space="preserve"> por la ONUDI </w:t>
      </w:r>
      <w:r w:rsidR="00F60FFA">
        <w:rPr>
          <w:lang w:val="es-ES_tradnl"/>
        </w:rPr>
        <w:t xml:space="preserve">con el </w:t>
      </w:r>
      <w:r w:rsidR="00B11B23">
        <w:rPr>
          <w:lang w:val="es-ES_tradnl"/>
        </w:rPr>
        <w:t xml:space="preserve">fin de pronosticar </w:t>
      </w:r>
      <w:r w:rsidR="00DC6A75">
        <w:rPr>
          <w:lang w:val="es-ES_tradnl"/>
        </w:rPr>
        <w:t xml:space="preserve">las </w:t>
      </w:r>
      <w:r w:rsidR="009739BD">
        <w:rPr>
          <w:lang w:val="es-ES_tradnl"/>
        </w:rPr>
        <w:t>ventas y producción</w:t>
      </w:r>
      <w:r w:rsidR="003A46A1" w:rsidRPr="00B25E57">
        <w:rPr>
          <w:lang w:val="es-ES_tradnl"/>
        </w:rPr>
        <w:t xml:space="preserve"> </w:t>
      </w:r>
      <w:r w:rsidR="00494367" w:rsidRPr="00494367">
        <w:rPr>
          <w:lang w:val="es-ES_tradnl"/>
        </w:rPr>
        <w:t xml:space="preserve">de HCFC-22 </w:t>
      </w:r>
      <w:r w:rsidR="009739BD">
        <w:rPr>
          <w:lang w:val="es-ES_tradnl"/>
        </w:rPr>
        <w:t xml:space="preserve">entre </w:t>
      </w:r>
      <w:r w:rsidR="008B2715" w:rsidRPr="00B25E57">
        <w:rPr>
          <w:lang w:val="es-ES_tradnl"/>
        </w:rPr>
        <w:t>2020</w:t>
      </w:r>
      <w:r w:rsidR="003A46A1" w:rsidRPr="00B25E57">
        <w:rPr>
          <w:lang w:val="es-ES_tradnl"/>
        </w:rPr>
        <w:t xml:space="preserve"> </w:t>
      </w:r>
      <w:r w:rsidR="009739BD">
        <w:rPr>
          <w:lang w:val="es-ES_tradnl"/>
        </w:rPr>
        <w:t>y</w:t>
      </w:r>
      <w:r w:rsidR="003A46A1" w:rsidRPr="00B25E57">
        <w:rPr>
          <w:lang w:val="es-ES_tradnl"/>
        </w:rPr>
        <w:t xml:space="preserve"> </w:t>
      </w:r>
      <w:r w:rsidR="00641E13" w:rsidRPr="00B25E57">
        <w:rPr>
          <w:lang w:val="es-ES_tradnl"/>
        </w:rPr>
        <w:t>202</w:t>
      </w:r>
      <w:r w:rsidR="004241C5" w:rsidRPr="00B25E57">
        <w:rPr>
          <w:lang w:val="es-ES_tradnl"/>
        </w:rPr>
        <w:t>9</w:t>
      </w:r>
      <w:r w:rsidR="008E751D">
        <w:rPr>
          <w:lang w:val="es-ES_tradnl"/>
        </w:rPr>
        <w:t xml:space="preserve">. </w:t>
      </w:r>
      <w:r w:rsidR="00A21C4E">
        <w:rPr>
          <w:lang w:val="es-ES_tradnl"/>
        </w:rPr>
        <w:t xml:space="preserve">Cada </w:t>
      </w:r>
      <w:r w:rsidR="00A21C4E" w:rsidRPr="00A21C4E">
        <w:rPr>
          <w:lang w:val="es-ES_tradnl"/>
        </w:rPr>
        <w:t>escen</w:t>
      </w:r>
      <w:r w:rsidR="00A21C4E">
        <w:rPr>
          <w:lang w:val="es-ES_tradnl"/>
        </w:rPr>
        <w:t xml:space="preserve">ario </w:t>
      </w:r>
      <w:r w:rsidR="005E7430">
        <w:rPr>
          <w:lang w:val="es-ES_tradnl"/>
        </w:rPr>
        <w:t xml:space="preserve">se basa en </w:t>
      </w:r>
      <w:r w:rsidR="00B25E57">
        <w:rPr>
          <w:lang w:val="es-ES_tradnl"/>
        </w:rPr>
        <w:t>diferente</w:t>
      </w:r>
      <w:r w:rsidR="005E7430">
        <w:rPr>
          <w:lang w:val="es-ES_tradnl"/>
        </w:rPr>
        <w:t>s</w:t>
      </w:r>
      <w:r w:rsidR="003A46A1" w:rsidRPr="00B25E57">
        <w:rPr>
          <w:lang w:val="es-ES_tradnl"/>
        </w:rPr>
        <w:t xml:space="preserve"> </w:t>
      </w:r>
      <w:r w:rsidR="004057BA" w:rsidRPr="00B25E57">
        <w:rPr>
          <w:lang w:val="es-ES_tradnl"/>
        </w:rPr>
        <w:t>niveles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512EA" w:rsidRPr="00B25E57">
        <w:rPr>
          <w:lang w:val="es-ES_tradnl"/>
        </w:rPr>
        <w:t>producción</w:t>
      </w:r>
      <w:r w:rsidR="003A46A1" w:rsidRPr="00B25E57">
        <w:rPr>
          <w:lang w:val="es-ES_tradnl"/>
        </w:rPr>
        <w:t xml:space="preserve"> </w:t>
      </w:r>
      <w:r w:rsidR="004F5AB3">
        <w:rPr>
          <w:lang w:val="es-ES_tradnl"/>
        </w:rPr>
        <w:t xml:space="preserve">y </w:t>
      </w:r>
      <w:r w:rsidR="004F5AB3" w:rsidRPr="004F5AB3">
        <w:rPr>
          <w:lang w:val="es-ES_tradnl"/>
        </w:rPr>
        <w:t xml:space="preserve">precio </w:t>
      </w:r>
      <w:r w:rsidR="004512EA" w:rsidRPr="00B25E57">
        <w:rPr>
          <w:lang w:val="es-ES_tradnl"/>
        </w:rPr>
        <w:t>de</w:t>
      </w:r>
      <w:r w:rsidR="003A46A1" w:rsidRPr="00B25E57">
        <w:rPr>
          <w:lang w:val="es-ES_tradnl"/>
        </w:rPr>
        <w:t xml:space="preserve"> </w:t>
      </w:r>
      <w:r w:rsidR="004512EA" w:rsidRPr="00B25E57">
        <w:rPr>
          <w:lang w:val="es-ES_tradnl"/>
        </w:rPr>
        <w:t>HCFC-22</w:t>
      </w:r>
      <w:r w:rsidR="003A46A1" w:rsidRPr="00B25E57">
        <w:rPr>
          <w:lang w:val="es-ES_tradnl"/>
        </w:rPr>
        <w:t xml:space="preserve"> </w:t>
      </w:r>
      <w:r w:rsidR="004241C5" w:rsidRPr="00B25E57">
        <w:rPr>
          <w:lang w:val="es-ES_tradnl"/>
        </w:rPr>
        <w:t>entre</w:t>
      </w:r>
      <w:r w:rsidR="003A46A1" w:rsidRPr="00B25E57">
        <w:rPr>
          <w:lang w:val="es-ES_tradnl"/>
        </w:rPr>
        <w:t xml:space="preserve"> </w:t>
      </w:r>
      <w:r w:rsidR="00CE0FA5" w:rsidRPr="00B25E57">
        <w:rPr>
          <w:lang w:val="es-ES_tradnl"/>
        </w:rPr>
        <w:t>2020</w:t>
      </w:r>
      <w:r w:rsidR="003A46A1" w:rsidRPr="00B25E57">
        <w:rPr>
          <w:lang w:val="es-ES_tradnl"/>
        </w:rPr>
        <w:t xml:space="preserve"> </w:t>
      </w:r>
      <w:r w:rsidR="00FB38C2" w:rsidRPr="00B25E57">
        <w:rPr>
          <w:lang w:val="es-ES_tradnl"/>
        </w:rPr>
        <w:t>y</w:t>
      </w:r>
      <w:r w:rsidR="003A46A1" w:rsidRPr="00B25E57">
        <w:rPr>
          <w:lang w:val="es-ES_tradnl"/>
        </w:rPr>
        <w:t xml:space="preserve"> </w:t>
      </w:r>
      <w:r w:rsidR="00CE0FA5" w:rsidRPr="00B25E57">
        <w:rPr>
          <w:lang w:val="es-ES_tradnl"/>
        </w:rPr>
        <w:t>2030.</w:t>
      </w:r>
    </w:p>
    <w:p w14:paraId="583CED71" w14:textId="667F874B" w:rsidR="00A53093" w:rsidRPr="00B25E57" w:rsidRDefault="00FB38C2" w:rsidP="00A53093">
      <w:pPr>
        <w:rPr>
          <w:sz w:val="21"/>
          <w:szCs w:val="21"/>
          <w:lang w:val="es-ES_tradnl"/>
        </w:rPr>
      </w:pPr>
      <w:bookmarkStart w:id="0" w:name="_Toc3715412"/>
      <w:r w:rsidRPr="00B25E57">
        <w:rPr>
          <w:b/>
          <w:sz w:val="21"/>
          <w:szCs w:val="21"/>
          <w:lang w:val="es-ES_tradnl"/>
        </w:rPr>
        <w:t>Cuadro</w:t>
      </w:r>
      <w:r w:rsidR="003A46A1" w:rsidRPr="00B25E57">
        <w:rPr>
          <w:b/>
          <w:sz w:val="21"/>
          <w:szCs w:val="21"/>
          <w:lang w:val="es-ES_tradnl"/>
        </w:rPr>
        <w:t xml:space="preserve"> </w:t>
      </w:r>
      <w:r w:rsidR="00A53093" w:rsidRPr="00B25E57">
        <w:rPr>
          <w:b/>
          <w:sz w:val="21"/>
          <w:szCs w:val="21"/>
          <w:lang w:val="es-ES_tradnl"/>
        </w:rPr>
        <w:t>2.</w:t>
      </w:r>
      <w:r w:rsidR="003A46A1" w:rsidRPr="00B25E57">
        <w:rPr>
          <w:b/>
          <w:sz w:val="21"/>
          <w:szCs w:val="21"/>
          <w:lang w:val="es-ES_tradnl"/>
        </w:rPr>
        <w:t xml:space="preserve"> </w:t>
      </w:r>
      <w:r w:rsidR="0061462C">
        <w:rPr>
          <w:b/>
          <w:sz w:val="21"/>
          <w:szCs w:val="21"/>
          <w:lang w:val="es-ES_tradnl"/>
        </w:rPr>
        <w:t>Escenario</w:t>
      </w:r>
      <w:r w:rsidR="00A53093" w:rsidRPr="00B25E57">
        <w:rPr>
          <w:b/>
          <w:sz w:val="21"/>
          <w:szCs w:val="21"/>
          <w:lang w:val="es-ES_tradnl"/>
        </w:rPr>
        <w:t>s</w:t>
      </w:r>
      <w:r w:rsidR="003A46A1" w:rsidRPr="00B25E57">
        <w:rPr>
          <w:b/>
          <w:sz w:val="21"/>
          <w:szCs w:val="21"/>
          <w:lang w:val="es-ES_tradnl"/>
        </w:rPr>
        <w:t xml:space="preserve"> </w:t>
      </w:r>
      <w:bookmarkEnd w:id="0"/>
      <w:r w:rsidR="00AF26AF">
        <w:rPr>
          <w:b/>
          <w:sz w:val="21"/>
          <w:szCs w:val="21"/>
          <w:lang w:val="es-ES_tradnl"/>
        </w:rPr>
        <w:t>de pronóstico de la</w:t>
      </w:r>
      <w:r w:rsidR="003A46A1" w:rsidRPr="00B25E57">
        <w:rPr>
          <w:b/>
          <w:sz w:val="21"/>
          <w:szCs w:val="21"/>
          <w:lang w:val="es-ES_tradnl"/>
        </w:rPr>
        <w:t xml:space="preserve"> </w:t>
      </w:r>
      <w:r w:rsidR="00AF26AF">
        <w:rPr>
          <w:b/>
          <w:sz w:val="21"/>
          <w:szCs w:val="21"/>
          <w:lang w:val="es-ES_tradnl"/>
        </w:rPr>
        <w:t>producción y ventas de HCFC-22</w:t>
      </w:r>
      <w:r w:rsidR="003A46A1" w:rsidRPr="00B25E57">
        <w:rPr>
          <w:b/>
          <w:sz w:val="21"/>
          <w:szCs w:val="21"/>
          <w:lang w:val="es-ES_tradnl"/>
        </w:rPr>
        <w:t xml:space="preserve"> </w:t>
      </w:r>
      <w:r w:rsidR="00F96CB6">
        <w:rPr>
          <w:b/>
          <w:sz w:val="21"/>
          <w:szCs w:val="21"/>
          <w:lang w:val="es-ES_tradnl"/>
        </w:rPr>
        <w:t>en</w:t>
      </w:r>
      <w:r w:rsidR="003A46A1" w:rsidRPr="00B25E57">
        <w:rPr>
          <w:b/>
          <w:sz w:val="21"/>
          <w:szCs w:val="21"/>
          <w:lang w:val="es-ES_tradnl"/>
        </w:rPr>
        <w:t xml:space="preserve"> </w:t>
      </w:r>
      <w:r w:rsidR="00F83DD6">
        <w:rPr>
          <w:b/>
          <w:sz w:val="21"/>
          <w:szCs w:val="21"/>
          <w:lang w:val="es-ES_tradnl"/>
        </w:rPr>
        <w:t xml:space="preserve">el período </w:t>
      </w:r>
      <w:r w:rsidR="00A53093" w:rsidRPr="00B25E57">
        <w:rPr>
          <w:b/>
          <w:sz w:val="21"/>
          <w:szCs w:val="21"/>
          <w:lang w:val="es-ES_tradnl"/>
        </w:rPr>
        <w:t>2020</w:t>
      </w:r>
      <w:r w:rsidRPr="00B25E57">
        <w:rPr>
          <w:b/>
          <w:sz w:val="21"/>
          <w:szCs w:val="21"/>
          <w:lang w:val="es-ES_tradnl"/>
        </w:rPr>
        <w:t>-</w:t>
      </w:r>
      <w:r w:rsidR="00A53093" w:rsidRPr="00B25E57">
        <w:rPr>
          <w:b/>
          <w:sz w:val="21"/>
          <w:szCs w:val="21"/>
          <w:lang w:val="es-ES_tradnl"/>
        </w:rPr>
        <w:t>2030</w:t>
      </w:r>
    </w:p>
    <w:tbl>
      <w:tblPr>
        <w:tblW w:w="9355" w:type="dxa"/>
        <w:tblLayout w:type="fixed"/>
        <w:tblLook w:val="04A0" w:firstRow="1" w:lastRow="0" w:firstColumn="1" w:lastColumn="0" w:noHBand="0" w:noVBand="1"/>
      </w:tblPr>
      <w:tblGrid>
        <w:gridCol w:w="1227"/>
        <w:gridCol w:w="3559"/>
        <w:gridCol w:w="4569"/>
      </w:tblGrid>
      <w:tr w:rsidR="00CE0FA5" w:rsidRPr="00B25E57" w14:paraId="1985F50A" w14:textId="77777777" w:rsidTr="00770D61">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46DEDA8" w14:textId="73919C17" w:rsidR="00CE0FA5" w:rsidRPr="00B25E57" w:rsidRDefault="0061462C" w:rsidP="00CE0FA5">
            <w:pPr>
              <w:jc w:val="center"/>
              <w:rPr>
                <w:b/>
                <w:color w:val="000000"/>
                <w:sz w:val="21"/>
                <w:szCs w:val="21"/>
                <w:lang w:val="es-ES_tradnl" w:eastAsia="en-CA"/>
              </w:rPr>
            </w:pPr>
            <w:r>
              <w:rPr>
                <w:b/>
                <w:color w:val="000000"/>
                <w:sz w:val="21"/>
                <w:szCs w:val="21"/>
                <w:lang w:val="es-ES_tradnl" w:eastAsia="en-CA"/>
              </w:rPr>
              <w:t>Escenario</w:t>
            </w:r>
          </w:p>
        </w:tc>
        <w:tc>
          <w:tcPr>
            <w:tcW w:w="3559" w:type="dxa"/>
            <w:tcBorders>
              <w:top w:val="single" w:sz="4" w:space="0" w:color="auto"/>
              <w:left w:val="nil"/>
              <w:bottom w:val="single" w:sz="4" w:space="0" w:color="auto"/>
              <w:right w:val="single" w:sz="4" w:space="0" w:color="auto"/>
            </w:tcBorders>
            <w:shd w:val="clear" w:color="auto" w:fill="auto"/>
            <w:noWrap/>
            <w:hideMark/>
          </w:tcPr>
          <w:p w14:paraId="78430531" w14:textId="5B0A734C" w:rsidR="00CE0FA5" w:rsidRPr="00B25E57" w:rsidRDefault="00220A35" w:rsidP="00E240A3">
            <w:pPr>
              <w:spacing w:after="40"/>
              <w:jc w:val="center"/>
              <w:rPr>
                <w:b/>
                <w:color w:val="000000"/>
                <w:sz w:val="21"/>
                <w:szCs w:val="21"/>
                <w:lang w:val="es-ES_tradnl" w:eastAsia="en-CA"/>
              </w:rPr>
            </w:pPr>
            <w:r w:rsidRPr="00220A35">
              <w:rPr>
                <w:b/>
                <w:color w:val="000000"/>
                <w:sz w:val="21"/>
                <w:szCs w:val="21"/>
                <w:lang w:val="es-ES_tradnl" w:eastAsia="en-CA"/>
              </w:rPr>
              <w:t>Volumen de ventas</w:t>
            </w:r>
          </w:p>
        </w:tc>
        <w:tc>
          <w:tcPr>
            <w:tcW w:w="4569" w:type="dxa"/>
            <w:tcBorders>
              <w:top w:val="single" w:sz="4" w:space="0" w:color="auto"/>
              <w:left w:val="nil"/>
              <w:bottom w:val="single" w:sz="4" w:space="0" w:color="auto"/>
              <w:right w:val="single" w:sz="4" w:space="0" w:color="auto"/>
            </w:tcBorders>
            <w:shd w:val="clear" w:color="auto" w:fill="auto"/>
            <w:noWrap/>
            <w:hideMark/>
          </w:tcPr>
          <w:p w14:paraId="3E2B2DB9" w14:textId="7D29BBE6" w:rsidR="00CE0FA5" w:rsidRPr="00B25E57" w:rsidRDefault="005A3BC8" w:rsidP="004C069B">
            <w:pPr>
              <w:jc w:val="center"/>
              <w:rPr>
                <w:b/>
                <w:color w:val="000000"/>
                <w:sz w:val="21"/>
                <w:szCs w:val="21"/>
                <w:lang w:val="es-ES_tradnl" w:eastAsia="en-CA"/>
              </w:rPr>
            </w:pPr>
            <w:r>
              <w:rPr>
                <w:b/>
                <w:color w:val="000000"/>
                <w:sz w:val="21"/>
                <w:szCs w:val="21"/>
                <w:lang w:val="es-ES_tradnl" w:eastAsia="en-CA"/>
              </w:rPr>
              <w:t>Precio</w:t>
            </w:r>
            <w:r w:rsidR="00EC697D">
              <w:rPr>
                <w:b/>
                <w:color w:val="000000"/>
                <w:sz w:val="21"/>
                <w:szCs w:val="21"/>
                <w:lang w:val="es-ES_tradnl" w:eastAsia="en-CA"/>
              </w:rPr>
              <w:t xml:space="preserve"> de venta</w:t>
            </w:r>
            <w:r w:rsidR="00470BB3">
              <w:rPr>
                <w:b/>
                <w:color w:val="000000"/>
                <w:sz w:val="21"/>
                <w:szCs w:val="21"/>
                <w:lang w:val="es-ES_tradnl" w:eastAsia="en-CA"/>
              </w:rPr>
              <w:t>*</w:t>
            </w:r>
          </w:p>
        </w:tc>
      </w:tr>
      <w:tr w:rsidR="00CE0FA5" w:rsidRPr="00AD1D61" w14:paraId="43C7A8E3" w14:textId="77777777" w:rsidTr="00770D61">
        <w:tc>
          <w:tcPr>
            <w:tcW w:w="1227" w:type="dxa"/>
            <w:tcBorders>
              <w:top w:val="nil"/>
              <w:left w:val="single" w:sz="4" w:space="0" w:color="auto"/>
              <w:bottom w:val="single" w:sz="4" w:space="0" w:color="auto"/>
              <w:right w:val="single" w:sz="4" w:space="0" w:color="auto"/>
            </w:tcBorders>
            <w:shd w:val="clear" w:color="auto" w:fill="auto"/>
            <w:hideMark/>
          </w:tcPr>
          <w:p w14:paraId="43164A83" w14:textId="6290F802" w:rsidR="00CE0FA5" w:rsidRPr="00B25E57" w:rsidRDefault="00CE0FA5" w:rsidP="00DF641D">
            <w:pPr>
              <w:spacing w:after="40"/>
              <w:jc w:val="center"/>
              <w:rPr>
                <w:color w:val="000000"/>
                <w:sz w:val="21"/>
                <w:szCs w:val="21"/>
                <w:lang w:val="es-ES_tradnl" w:eastAsia="en-CA"/>
              </w:rPr>
            </w:pPr>
            <w:r w:rsidRPr="00B25E57">
              <w:rPr>
                <w:color w:val="000000"/>
                <w:sz w:val="21"/>
                <w:szCs w:val="21"/>
                <w:lang w:val="es-ES_tradnl" w:eastAsia="en-CA"/>
              </w:rPr>
              <w:t>A</w:t>
            </w:r>
            <w:r w:rsidR="003A46A1" w:rsidRPr="00B25E57">
              <w:rPr>
                <w:color w:val="000000"/>
                <w:sz w:val="21"/>
                <w:szCs w:val="21"/>
                <w:lang w:val="es-ES_tradnl" w:eastAsia="en-CA"/>
              </w:rPr>
              <w:t xml:space="preserve"> </w:t>
            </w:r>
            <w:r w:rsidR="00F33C58" w:rsidRPr="00B25E57">
              <w:rPr>
                <w:color w:val="000000"/>
                <w:sz w:val="21"/>
                <w:szCs w:val="21"/>
                <w:lang w:val="es-ES_tradnl" w:eastAsia="en-CA"/>
              </w:rPr>
              <w:t>Opción</w:t>
            </w:r>
            <w:r w:rsidR="003A46A1" w:rsidRPr="00B25E57">
              <w:rPr>
                <w:color w:val="000000"/>
                <w:sz w:val="21"/>
                <w:szCs w:val="21"/>
                <w:lang w:val="es-ES_tradnl" w:eastAsia="en-CA"/>
              </w:rPr>
              <w:t xml:space="preserve"> </w:t>
            </w:r>
            <w:r w:rsidR="00DF641D" w:rsidRPr="00B25E57">
              <w:rPr>
                <w:color w:val="000000"/>
                <w:sz w:val="21"/>
                <w:szCs w:val="21"/>
                <w:lang w:val="es-ES_tradnl" w:eastAsia="en-CA"/>
              </w:rPr>
              <w:t>1</w:t>
            </w:r>
          </w:p>
        </w:tc>
        <w:tc>
          <w:tcPr>
            <w:tcW w:w="3559" w:type="dxa"/>
            <w:tcBorders>
              <w:top w:val="nil"/>
              <w:left w:val="nil"/>
              <w:bottom w:val="single" w:sz="4" w:space="0" w:color="auto"/>
              <w:right w:val="single" w:sz="4" w:space="0" w:color="auto"/>
            </w:tcBorders>
            <w:shd w:val="clear" w:color="auto" w:fill="auto"/>
            <w:tcMar>
              <w:left w:w="173" w:type="dxa"/>
              <w:right w:w="115" w:type="dxa"/>
            </w:tcMar>
            <w:hideMark/>
          </w:tcPr>
          <w:p w14:paraId="4935612D" w14:textId="0AF9D7D7"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2.</w:t>
            </w:r>
            <w:r w:rsidR="00CE0FA5" w:rsidRPr="00B25E57">
              <w:rPr>
                <w:color w:val="000000"/>
                <w:sz w:val="21"/>
                <w:szCs w:val="21"/>
                <w:lang w:val="es-ES_tradnl" w:eastAsia="en-CA"/>
              </w:rPr>
              <w:t>600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4B73A4">
              <w:rPr>
                <w:color w:val="000000"/>
                <w:sz w:val="21"/>
                <w:szCs w:val="21"/>
                <w:lang w:val="es-ES_tradnl" w:eastAsia="en-CA"/>
              </w:rPr>
              <w:t xml:space="preserve"> en 2020-2024</w:t>
            </w:r>
          </w:p>
          <w:p w14:paraId="1FDDD02B" w14:textId="7BBEF6B8"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1.</w:t>
            </w:r>
            <w:r w:rsidR="00CE0FA5" w:rsidRPr="00B25E57">
              <w:rPr>
                <w:color w:val="000000"/>
                <w:sz w:val="21"/>
                <w:szCs w:val="21"/>
                <w:lang w:val="es-ES_tradnl" w:eastAsia="en-CA"/>
              </w:rPr>
              <w:t>300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3A46A1" w:rsidRPr="00B25E57">
              <w:rPr>
                <w:color w:val="000000"/>
                <w:sz w:val="21"/>
                <w:szCs w:val="21"/>
                <w:lang w:val="es-ES_tradnl" w:eastAsia="en-CA"/>
              </w:rPr>
              <w:t xml:space="preserve"> </w:t>
            </w:r>
            <w:r w:rsidR="004B73A4">
              <w:rPr>
                <w:color w:val="000000"/>
                <w:sz w:val="21"/>
                <w:szCs w:val="21"/>
                <w:lang w:val="es-ES_tradnl" w:eastAsia="en-CA"/>
              </w:rPr>
              <w:t>en 2025-2029</w:t>
            </w:r>
          </w:p>
        </w:tc>
        <w:tc>
          <w:tcPr>
            <w:tcW w:w="4569" w:type="dxa"/>
            <w:tcBorders>
              <w:top w:val="nil"/>
              <w:left w:val="nil"/>
              <w:bottom w:val="single" w:sz="4" w:space="0" w:color="auto"/>
              <w:right w:val="single" w:sz="4" w:space="0" w:color="auto"/>
            </w:tcBorders>
            <w:shd w:val="clear" w:color="auto" w:fill="auto"/>
            <w:hideMark/>
          </w:tcPr>
          <w:p w14:paraId="1B87CCC7" w14:textId="64FDAEE6" w:rsidR="00CE0FA5" w:rsidRPr="00B25E57" w:rsidRDefault="00797314" w:rsidP="00C1238D">
            <w:pPr>
              <w:spacing w:after="40"/>
              <w:rPr>
                <w:color w:val="000000"/>
                <w:sz w:val="21"/>
                <w:szCs w:val="21"/>
                <w:lang w:val="es-ES_tradnl" w:eastAsia="en-CA"/>
              </w:rPr>
            </w:pPr>
            <w:r>
              <w:rPr>
                <w:color w:val="000000"/>
                <w:sz w:val="21"/>
                <w:szCs w:val="21"/>
                <w:lang w:val="es-ES_tradnl" w:eastAsia="en-CA"/>
              </w:rPr>
              <w:t>3 $EUA/</w:t>
            </w:r>
            <w:r w:rsidR="00CE0FA5" w:rsidRPr="00B25E57">
              <w:rPr>
                <w:color w:val="000000"/>
                <w:sz w:val="21"/>
                <w:szCs w:val="21"/>
                <w:lang w:val="es-ES_tradnl" w:eastAsia="en-CA"/>
              </w:rPr>
              <w:t>kg</w:t>
            </w:r>
            <w:r w:rsidR="003A46A1" w:rsidRPr="00B25E57">
              <w:rPr>
                <w:color w:val="000000"/>
                <w:sz w:val="21"/>
                <w:szCs w:val="21"/>
                <w:lang w:val="es-ES_tradnl" w:eastAsia="en-CA"/>
              </w:rPr>
              <w:t xml:space="preserve"> </w:t>
            </w:r>
            <w:r w:rsidR="00C34441">
              <w:rPr>
                <w:color w:val="000000"/>
                <w:sz w:val="21"/>
                <w:szCs w:val="21"/>
                <w:lang w:val="es-ES_tradnl" w:eastAsia="en-CA"/>
              </w:rPr>
              <w:t xml:space="preserve">sobre el </w:t>
            </w:r>
            <w:r w:rsidR="00784277">
              <w:rPr>
                <w:color w:val="000000"/>
                <w:sz w:val="21"/>
                <w:szCs w:val="21"/>
                <w:lang w:val="es-ES_tradnl" w:eastAsia="en-CA"/>
              </w:rPr>
              <w:t>precio del 2018</w:t>
            </w:r>
            <w:r w:rsidR="00C34441">
              <w:rPr>
                <w:color w:val="000000"/>
                <w:sz w:val="21"/>
                <w:szCs w:val="21"/>
                <w:lang w:val="es-ES_tradnl" w:eastAsia="en-CA"/>
              </w:rPr>
              <w:t xml:space="preserve"> en </w:t>
            </w:r>
            <w:r w:rsidR="004406FE">
              <w:rPr>
                <w:color w:val="000000"/>
                <w:sz w:val="21"/>
                <w:szCs w:val="21"/>
                <w:lang w:val="es-ES_tradnl" w:eastAsia="en-CA"/>
              </w:rPr>
              <w:t>2020, seguido</w:t>
            </w:r>
            <w:r w:rsidR="001E224C">
              <w:rPr>
                <w:color w:val="000000"/>
                <w:sz w:val="21"/>
                <w:szCs w:val="21"/>
                <w:lang w:val="es-ES_tradnl" w:eastAsia="en-CA"/>
              </w:rPr>
              <w:t xml:space="preserve"> por un aumento anual de</w:t>
            </w:r>
            <w:r w:rsidR="001A52B8">
              <w:rPr>
                <w:color w:val="000000"/>
                <w:sz w:val="21"/>
                <w:szCs w:val="21"/>
                <w:lang w:val="es-ES_tradnl" w:eastAsia="en-CA"/>
              </w:rPr>
              <w:t xml:space="preserve"> 1 $EUA</w:t>
            </w:r>
          </w:p>
        </w:tc>
      </w:tr>
      <w:tr w:rsidR="00CE0FA5" w:rsidRPr="00AD1D61" w14:paraId="0ED23880" w14:textId="77777777" w:rsidTr="00770D61">
        <w:tc>
          <w:tcPr>
            <w:tcW w:w="1227" w:type="dxa"/>
            <w:tcBorders>
              <w:top w:val="nil"/>
              <w:left w:val="single" w:sz="4" w:space="0" w:color="auto"/>
              <w:bottom w:val="single" w:sz="4" w:space="0" w:color="auto"/>
              <w:right w:val="single" w:sz="4" w:space="0" w:color="auto"/>
            </w:tcBorders>
            <w:shd w:val="clear" w:color="auto" w:fill="auto"/>
            <w:hideMark/>
          </w:tcPr>
          <w:p w14:paraId="5DA6E7F3" w14:textId="0B6BCDC1" w:rsidR="00CE0FA5" w:rsidRPr="00B25E57" w:rsidRDefault="00CE0FA5" w:rsidP="00DF641D">
            <w:pPr>
              <w:spacing w:after="40"/>
              <w:jc w:val="center"/>
              <w:rPr>
                <w:color w:val="000000"/>
                <w:sz w:val="21"/>
                <w:szCs w:val="21"/>
                <w:lang w:val="es-ES_tradnl" w:eastAsia="en-CA"/>
              </w:rPr>
            </w:pPr>
            <w:r w:rsidRPr="00B25E57">
              <w:rPr>
                <w:color w:val="000000"/>
                <w:sz w:val="21"/>
                <w:szCs w:val="21"/>
                <w:lang w:val="es-ES_tradnl" w:eastAsia="en-CA"/>
              </w:rPr>
              <w:t>B</w:t>
            </w:r>
            <w:r w:rsidR="003A46A1" w:rsidRPr="00B25E57">
              <w:rPr>
                <w:color w:val="000000"/>
                <w:sz w:val="21"/>
                <w:szCs w:val="21"/>
                <w:lang w:val="es-ES_tradnl" w:eastAsia="en-CA"/>
              </w:rPr>
              <w:t xml:space="preserve"> </w:t>
            </w:r>
            <w:r w:rsidR="00F33C58" w:rsidRPr="00B25E57">
              <w:rPr>
                <w:color w:val="000000"/>
                <w:sz w:val="21"/>
                <w:szCs w:val="21"/>
                <w:lang w:val="es-ES_tradnl" w:eastAsia="en-CA"/>
              </w:rPr>
              <w:t>Opción</w:t>
            </w:r>
            <w:r w:rsidR="003A46A1" w:rsidRPr="00B25E57">
              <w:rPr>
                <w:color w:val="000000"/>
                <w:sz w:val="21"/>
                <w:szCs w:val="21"/>
                <w:lang w:val="es-ES_tradnl" w:eastAsia="en-CA"/>
              </w:rPr>
              <w:t xml:space="preserve"> </w:t>
            </w:r>
            <w:r w:rsidR="00DF641D" w:rsidRPr="00B25E57">
              <w:rPr>
                <w:color w:val="000000"/>
                <w:sz w:val="21"/>
                <w:szCs w:val="21"/>
                <w:lang w:val="es-ES_tradnl" w:eastAsia="en-CA"/>
              </w:rPr>
              <w:t>1</w:t>
            </w:r>
          </w:p>
        </w:tc>
        <w:tc>
          <w:tcPr>
            <w:tcW w:w="3559" w:type="dxa"/>
            <w:tcBorders>
              <w:top w:val="nil"/>
              <w:left w:val="nil"/>
              <w:bottom w:val="single" w:sz="4" w:space="0" w:color="auto"/>
              <w:right w:val="single" w:sz="4" w:space="0" w:color="auto"/>
            </w:tcBorders>
            <w:shd w:val="clear" w:color="auto" w:fill="auto"/>
            <w:tcMar>
              <w:left w:w="173" w:type="dxa"/>
              <w:right w:w="115" w:type="dxa"/>
            </w:tcMar>
            <w:hideMark/>
          </w:tcPr>
          <w:p w14:paraId="671D4D29" w14:textId="225D7B3B"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2.</w:t>
            </w:r>
            <w:r w:rsidR="00CE0FA5" w:rsidRPr="00B25E57">
              <w:rPr>
                <w:color w:val="000000"/>
                <w:sz w:val="21"/>
                <w:szCs w:val="21"/>
                <w:lang w:val="es-ES_tradnl" w:eastAsia="en-CA"/>
              </w:rPr>
              <w:t>000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4B73A4">
              <w:rPr>
                <w:color w:val="000000"/>
                <w:sz w:val="21"/>
                <w:szCs w:val="21"/>
                <w:lang w:val="es-ES_tradnl" w:eastAsia="en-CA"/>
              </w:rPr>
              <w:t xml:space="preserve"> en 2020-2024</w:t>
            </w:r>
          </w:p>
          <w:p w14:paraId="6A260FB5" w14:textId="2A9328E8"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1.</w:t>
            </w:r>
            <w:r w:rsidR="00CE0FA5" w:rsidRPr="00B25E57">
              <w:rPr>
                <w:color w:val="000000"/>
                <w:sz w:val="21"/>
                <w:szCs w:val="21"/>
                <w:lang w:val="es-ES_tradnl" w:eastAsia="en-CA"/>
              </w:rPr>
              <w:t>300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3A46A1" w:rsidRPr="00B25E57">
              <w:rPr>
                <w:color w:val="000000"/>
                <w:sz w:val="21"/>
                <w:szCs w:val="21"/>
                <w:lang w:val="es-ES_tradnl" w:eastAsia="en-CA"/>
              </w:rPr>
              <w:t xml:space="preserve"> </w:t>
            </w:r>
            <w:r w:rsidR="004B73A4">
              <w:rPr>
                <w:color w:val="000000"/>
                <w:sz w:val="21"/>
                <w:szCs w:val="21"/>
                <w:lang w:val="es-ES_tradnl" w:eastAsia="en-CA"/>
              </w:rPr>
              <w:t>en 2025-2029</w:t>
            </w:r>
          </w:p>
        </w:tc>
        <w:tc>
          <w:tcPr>
            <w:tcW w:w="4569" w:type="dxa"/>
            <w:tcBorders>
              <w:top w:val="nil"/>
              <w:left w:val="nil"/>
              <w:bottom w:val="single" w:sz="4" w:space="0" w:color="auto"/>
              <w:right w:val="single" w:sz="4" w:space="0" w:color="auto"/>
            </w:tcBorders>
            <w:shd w:val="clear" w:color="auto" w:fill="auto"/>
            <w:hideMark/>
          </w:tcPr>
          <w:p w14:paraId="51358F95" w14:textId="5ED45501" w:rsidR="00CE0FA5" w:rsidRPr="00B25E57" w:rsidRDefault="00797314" w:rsidP="00C1238D">
            <w:pPr>
              <w:spacing w:after="40"/>
              <w:rPr>
                <w:color w:val="000000"/>
                <w:sz w:val="21"/>
                <w:szCs w:val="21"/>
                <w:lang w:val="es-ES_tradnl" w:eastAsia="en-CA"/>
              </w:rPr>
            </w:pPr>
            <w:r>
              <w:rPr>
                <w:color w:val="000000"/>
                <w:sz w:val="21"/>
                <w:szCs w:val="21"/>
                <w:lang w:val="es-ES_tradnl" w:eastAsia="en-CA"/>
              </w:rPr>
              <w:t>3 $EUA/</w:t>
            </w:r>
            <w:r w:rsidR="00CE0FA5" w:rsidRPr="00B25E57">
              <w:rPr>
                <w:color w:val="000000"/>
                <w:sz w:val="21"/>
                <w:szCs w:val="21"/>
                <w:lang w:val="es-ES_tradnl" w:eastAsia="en-CA"/>
              </w:rPr>
              <w:t>kg</w:t>
            </w:r>
            <w:r w:rsidR="003A46A1" w:rsidRPr="00B25E57">
              <w:rPr>
                <w:color w:val="000000"/>
                <w:sz w:val="21"/>
                <w:szCs w:val="21"/>
                <w:lang w:val="es-ES_tradnl" w:eastAsia="en-CA"/>
              </w:rPr>
              <w:t xml:space="preserve"> </w:t>
            </w:r>
            <w:r w:rsidR="00C34441">
              <w:rPr>
                <w:color w:val="000000"/>
                <w:sz w:val="21"/>
                <w:szCs w:val="21"/>
                <w:lang w:val="es-ES_tradnl" w:eastAsia="en-CA"/>
              </w:rPr>
              <w:t xml:space="preserve">sobre el </w:t>
            </w:r>
            <w:r w:rsidR="00784277">
              <w:rPr>
                <w:color w:val="000000"/>
                <w:sz w:val="21"/>
                <w:szCs w:val="21"/>
                <w:lang w:val="es-ES_tradnl" w:eastAsia="en-CA"/>
              </w:rPr>
              <w:t>precio del 2018</w:t>
            </w:r>
            <w:r w:rsidR="00C34441">
              <w:rPr>
                <w:color w:val="000000"/>
                <w:sz w:val="21"/>
                <w:szCs w:val="21"/>
                <w:lang w:val="es-ES_tradnl" w:eastAsia="en-CA"/>
              </w:rPr>
              <w:t xml:space="preserve"> en </w:t>
            </w:r>
            <w:r w:rsidR="004406FE">
              <w:rPr>
                <w:color w:val="000000"/>
                <w:sz w:val="21"/>
                <w:szCs w:val="21"/>
                <w:lang w:val="es-ES_tradnl" w:eastAsia="en-CA"/>
              </w:rPr>
              <w:t>2020, seguido</w:t>
            </w:r>
            <w:r w:rsidR="001E224C">
              <w:rPr>
                <w:color w:val="000000"/>
                <w:sz w:val="21"/>
                <w:szCs w:val="21"/>
                <w:lang w:val="es-ES_tradnl" w:eastAsia="en-CA"/>
              </w:rPr>
              <w:t xml:space="preserve"> por un aumento anual de</w:t>
            </w:r>
            <w:r w:rsidR="00C34441">
              <w:rPr>
                <w:color w:val="000000"/>
                <w:sz w:val="21"/>
                <w:szCs w:val="21"/>
                <w:lang w:val="es-ES_tradnl" w:eastAsia="en-CA"/>
              </w:rPr>
              <w:t xml:space="preserve"> 1 $EUA</w:t>
            </w:r>
          </w:p>
        </w:tc>
      </w:tr>
      <w:tr w:rsidR="00CE0FA5" w:rsidRPr="00AD1D61" w14:paraId="1418AB39" w14:textId="77777777" w:rsidTr="00770D61">
        <w:tc>
          <w:tcPr>
            <w:tcW w:w="1227" w:type="dxa"/>
            <w:tcBorders>
              <w:top w:val="nil"/>
              <w:left w:val="single" w:sz="4" w:space="0" w:color="auto"/>
              <w:bottom w:val="single" w:sz="4" w:space="0" w:color="auto"/>
              <w:right w:val="single" w:sz="4" w:space="0" w:color="auto"/>
            </w:tcBorders>
            <w:shd w:val="clear" w:color="auto" w:fill="auto"/>
            <w:hideMark/>
          </w:tcPr>
          <w:p w14:paraId="31CE3329" w14:textId="74FEC0B1" w:rsidR="00CE0FA5" w:rsidRPr="00B25E57" w:rsidRDefault="00CE0FA5" w:rsidP="00DF641D">
            <w:pPr>
              <w:spacing w:after="40"/>
              <w:jc w:val="center"/>
              <w:rPr>
                <w:color w:val="000000"/>
                <w:sz w:val="21"/>
                <w:szCs w:val="21"/>
                <w:lang w:val="es-ES_tradnl" w:eastAsia="en-CA"/>
              </w:rPr>
            </w:pPr>
            <w:r w:rsidRPr="00B25E57">
              <w:rPr>
                <w:color w:val="000000"/>
                <w:sz w:val="21"/>
                <w:szCs w:val="21"/>
                <w:lang w:val="es-ES_tradnl" w:eastAsia="en-CA"/>
              </w:rPr>
              <w:t>C</w:t>
            </w:r>
            <w:r w:rsidR="003A46A1" w:rsidRPr="00B25E57">
              <w:rPr>
                <w:color w:val="000000"/>
                <w:sz w:val="21"/>
                <w:szCs w:val="21"/>
                <w:lang w:val="es-ES_tradnl" w:eastAsia="en-CA"/>
              </w:rPr>
              <w:t xml:space="preserve"> </w:t>
            </w:r>
            <w:r w:rsidR="00F33C58" w:rsidRPr="00B25E57">
              <w:rPr>
                <w:color w:val="000000"/>
                <w:sz w:val="21"/>
                <w:szCs w:val="21"/>
                <w:lang w:val="es-ES_tradnl" w:eastAsia="en-CA"/>
              </w:rPr>
              <w:t>Opción</w:t>
            </w:r>
            <w:r w:rsidR="003A46A1" w:rsidRPr="00B25E57">
              <w:rPr>
                <w:color w:val="000000"/>
                <w:sz w:val="21"/>
                <w:szCs w:val="21"/>
                <w:lang w:val="es-ES_tradnl" w:eastAsia="en-CA"/>
              </w:rPr>
              <w:t xml:space="preserve"> </w:t>
            </w:r>
            <w:r w:rsidR="00DF641D" w:rsidRPr="00B25E57">
              <w:rPr>
                <w:color w:val="000000"/>
                <w:sz w:val="21"/>
                <w:szCs w:val="21"/>
                <w:lang w:val="es-ES_tradnl" w:eastAsia="en-CA"/>
              </w:rPr>
              <w:t>1</w:t>
            </w:r>
          </w:p>
        </w:tc>
        <w:tc>
          <w:tcPr>
            <w:tcW w:w="3559" w:type="dxa"/>
            <w:tcBorders>
              <w:top w:val="nil"/>
              <w:left w:val="nil"/>
              <w:bottom w:val="single" w:sz="4" w:space="0" w:color="auto"/>
              <w:right w:val="single" w:sz="4" w:space="0" w:color="auto"/>
            </w:tcBorders>
            <w:shd w:val="clear" w:color="auto" w:fill="auto"/>
            <w:tcMar>
              <w:left w:w="173" w:type="dxa"/>
              <w:right w:w="115" w:type="dxa"/>
            </w:tcMar>
            <w:hideMark/>
          </w:tcPr>
          <w:p w14:paraId="4E8D6943" w14:textId="6C064B09"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2.</w:t>
            </w:r>
            <w:r w:rsidR="00CE0FA5" w:rsidRPr="00B25E57">
              <w:rPr>
                <w:color w:val="000000"/>
                <w:sz w:val="21"/>
                <w:szCs w:val="21"/>
                <w:lang w:val="es-ES_tradnl" w:eastAsia="en-CA"/>
              </w:rPr>
              <w:t>000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4B73A4">
              <w:rPr>
                <w:color w:val="000000"/>
                <w:sz w:val="21"/>
                <w:szCs w:val="21"/>
                <w:lang w:val="es-ES_tradnl" w:eastAsia="en-CA"/>
              </w:rPr>
              <w:t xml:space="preserve"> en 2020-2024</w:t>
            </w:r>
          </w:p>
          <w:p w14:paraId="220C001D" w14:textId="75C1F1FE"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1.</w:t>
            </w:r>
            <w:r w:rsidR="00CE0FA5" w:rsidRPr="00B25E57">
              <w:rPr>
                <w:color w:val="000000"/>
                <w:sz w:val="21"/>
                <w:szCs w:val="21"/>
                <w:lang w:val="es-ES_tradnl" w:eastAsia="en-CA"/>
              </w:rPr>
              <w:t>300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3A46A1" w:rsidRPr="00B25E57">
              <w:rPr>
                <w:color w:val="000000"/>
                <w:sz w:val="21"/>
                <w:szCs w:val="21"/>
                <w:lang w:val="es-ES_tradnl" w:eastAsia="en-CA"/>
              </w:rPr>
              <w:t xml:space="preserve"> </w:t>
            </w:r>
            <w:r w:rsidR="004B73A4">
              <w:rPr>
                <w:color w:val="000000"/>
                <w:sz w:val="21"/>
                <w:szCs w:val="21"/>
                <w:lang w:val="es-ES_tradnl" w:eastAsia="en-CA"/>
              </w:rPr>
              <w:t>en 2025-2029</w:t>
            </w:r>
          </w:p>
        </w:tc>
        <w:tc>
          <w:tcPr>
            <w:tcW w:w="4569" w:type="dxa"/>
            <w:tcBorders>
              <w:top w:val="nil"/>
              <w:left w:val="nil"/>
              <w:bottom w:val="single" w:sz="4" w:space="0" w:color="auto"/>
              <w:right w:val="single" w:sz="4" w:space="0" w:color="auto"/>
            </w:tcBorders>
            <w:shd w:val="clear" w:color="auto" w:fill="auto"/>
            <w:hideMark/>
          </w:tcPr>
          <w:p w14:paraId="416D2B08" w14:textId="2ED89CB4" w:rsidR="00CE0FA5" w:rsidRPr="00B25E57" w:rsidRDefault="00CE0FA5" w:rsidP="00C1238D">
            <w:pPr>
              <w:spacing w:after="40"/>
              <w:rPr>
                <w:color w:val="000000"/>
                <w:sz w:val="21"/>
                <w:szCs w:val="21"/>
                <w:lang w:val="es-ES_tradnl" w:eastAsia="en-CA"/>
              </w:rPr>
            </w:pPr>
            <w:r w:rsidRPr="00B25E57">
              <w:rPr>
                <w:color w:val="000000"/>
                <w:sz w:val="21"/>
                <w:szCs w:val="21"/>
                <w:lang w:val="es-ES_tradnl" w:eastAsia="en-CA"/>
              </w:rPr>
              <w:t>2</w:t>
            </w:r>
            <w:r w:rsidR="0087636A">
              <w:rPr>
                <w:color w:val="000000"/>
                <w:sz w:val="21"/>
                <w:szCs w:val="21"/>
                <w:lang w:val="es-ES_tradnl" w:eastAsia="en-CA"/>
              </w:rPr>
              <w:t xml:space="preserve"> </w:t>
            </w:r>
            <w:r w:rsidR="0087636A" w:rsidRPr="0087636A">
              <w:rPr>
                <w:color w:val="000000"/>
                <w:sz w:val="21"/>
                <w:szCs w:val="21"/>
                <w:lang w:val="es-ES_tradnl" w:eastAsia="en-CA"/>
              </w:rPr>
              <w:t>$EUA</w:t>
            </w:r>
            <w:r w:rsidRPr="00B25E57">
              <w:rPr>
                <w:color w:val="000000"/>
                <w:sz w:val="21"/>
                <w:szCs w:val="21"/>
                <w:lang w:val="es-ES_tradnl" w:eastAsia="en-CA"/>
              </w:rPr>
              <w:t>/kg</w:t>
            </w:r>
            <w:r w:rsidR="003A46A1" w:rsidRPr="00B25E57">
              <w:rPr>
                <w:color w:val="000000"/>
                <w:sz w:val="21"/>
                <w:szCs w:val="21"/>
                <w:lang w:val="es-ES_tradnl" w:eastAsia="en-CA"/>
              </w:rPr>
              <w:t xml:space="preserve"> </w:t>
            </w:r>
            <w:r w:rsidR="00362D21" w:rsidRPr="00362D21">
              <w:rPr>
                <w:color w:val="000000"/>
                <w:sz w:val="21"/>
                <w:szCs w:val="21"/>
                <w:lang w:val="es-ES_tradnl" w:eastAsia="en-CA"/>
              </w:rPr>
              <w:t xml:space="preserve">sobre el </w:t>
            </w:r>
            <w:r w:rsidR="00784277">
              <w:rPr>
                <w:color w:val="000000"/>
                <w:sz w:val="21"/>
                <w:szCs w:val="21"/>
                <w:lang w:val="es-ES_tradnl" w:eastAsia="en-CA"/>
              </w:rPr>
              <w:t>precio del 2018</w:t>
            </w:r>
            <w:r w:rsidR="003A46A1" w:rsidRPr="00B25E57">
              <w:rPr>
                <w:color w:val="000000"/>
                <w:sz w:val="21"/>
                <w:szCs w:val="21"/>
                <w:lang w:val="es-ES_tradnl" w:eastAsia="en-CA"/>
              </w:rPr>
              <w:t xml:space="preserve"> </w:t>
            </w:r>
            <w:r w:rsidR="00362D21">
              <w:rPr>
                <w:color w:val="000000"/>
                <w:sz w:val="21"/>
                <w:szCs w:val="21"/>
                <w:lang w:val="es-ES_tradnl" w:eastAsia="en-CA"/>
              </w:rPr>
              <w:t xml:space="preserve">durante todo el </w:t>
            </w:r>
            <w:r w:rsidR="00147277" w:rsidRPr="00B25E57">
              <w:rPr>
                <w:color w:val="000000"/>
                <w:sz w:val="21"/>
                <w:szCs w:val="21"/>
                <w:lang w:val="es-ES_tradnl" w:eastAsia="en-CA"/>
              </w:rPr>
              <w:t>período</w:t>
            </w:r>
          </w:p>
        </w:tc>
      </w:tr>
      <w:tr w:rsidR="00CE0FA5" w:rsidRPr="00AD1D61" w14:paraId="5659647C" w14:textId="77777777" w:rsidTr="00770D61">
        <w:tc>
          <w:tcPr>
            <w:tcW w:w="1227" w:type="dxa"/>
            <w:tcBorders>
              <w:top w:val="nil"/>
              <w:left w:val="single" w:sz="4" w:space="0" w:color="auto"/>
              <w:bottom w:val="single" w:sz="4" w:space="0" w:color="auto"/>
              <w:right w:val="single" w:sz="4" w:space="0" w:color="auto"/>
            </w:tcBorders>
            <w:shd w:val="clear" w:color="auto" w:fill="auto"/>
            <w:hideMark/>
          </w:tcPr>
          <w:p w14:paraId="116D70F8" w14:textId="710BCD2B" w:rsidR="00CE0FA5" w:rsidRPr="00B25E57" w:rsidRDefault="00CE0FA5" w:rsidP="00DF641D">
            <w:pPr>
              <w:spacing w:after="40"/>
              <w:jc w:val="center"/>
              <w:rPr>
                <w:color w:val="000000"/>
                <w:sz w:val="21"/>
                <w:szCs w:val="21"/>
                <w:lang w:val="es-ES_tradnl" w:eastAsia="en-CA"/>
              </w:rPr>
            </w:pPr>
            <w:r w:rsidRPr="00B25E57">
              <w:rPr>
                <w:color w:val="000000"/>
                <w:sz w:val="21"/>
                <w:szCs w:val="21"/>
                <w:lang w:val="es-ES_tradnl" w:eastAsia="en-CA"/>
              </w:rPr>
              <w:t>D</w:t>
            </w:r>
            <w:r w:rsidR="003A46A1" w:rsidRPr="00B25E57">
              <w:rPr>
                <w:color w:val="000000"/>
                <w:sz w:val="21"/>
                <w:szCs w:val="21"/>
                <w:lang w:val="es-ES_tradnl" w:eastAsia="en-CA"/>
              </w:rPr>
              <w:t xml:space="preserve"> </w:t>
            </w:r>
            <w:r w:rsidR="00F33C58" w:rsidRPr="00B25E57">
              <w:rPr>
                <w:color w:val="000000"/>
                <w:sz w:val="21"/>
                <w:szCs w:val="21"/>
                <w:lang w:val="es-ES_tradnl" w:eastAsia="en-CA"/>
              </w:rPr>
              <w:t>Opción</w:t>
            </w:r>
            <w:r w:rsidR="003A46A1" w:rsidRPr="00B25E57">
              <w:rPr>
                <w:color w:val="000000"/>
                <w:sz w:val="21"/>
                <w:szCs w:val="21"/>
                <w:lang w:val="es-ES_tradnl" w:eastAsia="en-CA"/>
              </w:rPr>
              <w:t xml:space="preserve"> </w:t>
            </w:r>
            <w:r w:rsidR="00DF641D" w:rsidRPr="00B25E57">
              <w:rPr>
                <w:color w:val="000000"/>
                <w:sz w:val="21"/>
                <w:szCs w:val="21"/>
                <w:lang w:val="es-ES_tradnl" w:eastAsia="en-CA"/>
              </w:rPr>
              <w:t>1</w:t>
            </w:r>
          </w:p>
        </w:tc>
        <w:tc>
          <w:tcPr>
            <w:tcW w:w="3559" w:type="dxa"/>
            <w:tcBorders>
              <w:top w:val="nil"/>
              <w:left w:val="nil"/>
              <w:bottom w:val="single" w:sz="4" w:space="0" w:color="auto"/>
              <w:right w:val="single" w:sz="4" w:space="0" w:color="auto"/>
            </w:tcBorders>
            <w:shd w:val="clear" w:color="auto" w:fill="auto"/>
            <w:tcMar>
              <w:left w:w="173" w:type="dxa"/>
              <w:right w:w="115" w:type="dxa"/>
            </w:tcMar>
            <w:hideMark/>
          </w:tcPr>
          <w:p w14:paraId="5AAE584A" w14:textId="773AE0FC" w:rsidR="007B22B4"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2.</w:t>
            </w:r>
            <w:r w:rsidR="00CE0FA5" w:rsidRPr="00B25E57">
              <w:rPr>
                <w:color w:val="000000"/>
                <w:sz w:val="21"/>
                <w:szCs w:val="21"/>
                <w:lang w:val="es-ES_tradnl" w:eastAsia="en-CA"/>
              </w:rPr>
              <w:t>000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4B73A4">
              <w:rPr>
                <w:color w:val="000000"/>
                <w:sz w:val="21"/>
                <w:szCs w:val="21"/>
                <w:lang w:val="es-ES_tradnl" w:eastAsia="en-CA"/>
              </w:rPr>
              <w:t xml:space="preserve"> en 2020-2024</w:t>
            </w:r>
          </w:p>
          <w:p w14:paraId="6C2C9CE9" w14:textId="03508DBB" w:rsidR="00CE0FA5" w:rsidRPr="00B25E57" w:rsidRDefault="00FB38C2" w:rsidP="00DF641D">
            <w:pPr>
              <w:spacing w:after="40"/>
              <w:jc w:val="left"/>
              <w:rPr>
                <w:color w:val="000000"/>
                <w:sz w:val="21"/>
                <w:szCs w:val="21"/>
                <w:lang w:val="es-ES_tradnl" w:eastAsia="en-CA"/>
              </w:rPr>
            </w:pPr>
            <w:r w:rsidRPr="00B25E57">
              <w:rPr>
                <w:color w:val="000000"/>
                <w:sz w:val="21"/>
                <w:szCs w:val="21"/>
                <w:lang w:val="es-ES_tradnl" w:eastAsia="en-CA"/>
              </w:rPr>
              <w:t>1.</w:t>
            </w:r>
            <w:r w:rsidR="00CE0FA5" w:rsidRPr="00B25E57">
              <w:rPr>
                <w:color w:val="000000"/>
                <w:sz w:val="21"/>
                <w:szCs w:val="21"/>
                <w:lang w:val="es-ES_tradnl" w:eastAsia="en-CA"/>
              </w:rPr>
              <w:t>300</w:t>
            </w:r>
            <w:r w:rsidR="003A46A1" w:rsidRPr="00B25E57">
              <w:rPr>
                <w:color w:val="000000"/>
                <w:sz w:val="21"/>
                <w:szCs w:val="21"/>
                <w:lang w:val="es-ES_tradnl" w:eastAsia="en-CA"/>
              </w:rPr>
              <w:t xml:space="preserve"> </w:t>
            </w:r>
            <w:r w:rsidRPr="00B25E57">
              <w:rPr>
                <w:color w:val="000000"/>
                <w:sz w:val="21"/>
                <w:szCs w:val="21"/>
                <w:lang w:val="es-ES_tradnl" w:eastAsia="en-CA"/>
              </w:rPr>
              <w:t>tm</w:t>
            </w:r>
            <w:r w:rsidR="003A46A1" w:rsidRPr="00B25E57">
              <w:rPr>
                <w:color w:val="000000"/>
                <w:sz w:val="21"/>
                <w:szCs w:val="21"/>
                <w:lang w:val="es-ES_tradnl" w:eastAsia="en-CA"/>
              </w:rPr>
              <w:t xml:space="preserve"> </w:t>
            </w:r>
            <w:r w:rsidR="004B73A4">
              <w:rPr>
                <w:color w:val="000000"/>
                <w:sz w:val="21"/>
                <w:szCs w:val="21"/>
                <w:lang w:val="es-ES_tradnl" w:eastAsia="en-CA"/>
              </w:rPr>
              <w:t>en 2025-2029</w:t>
            </w:r>
          </w:p>
        </w:tc>
        <w:tc>
          <w:tcPr>
            <w:tcW w:w="4569" w:type="dxa"/>
            <w:tcBorders>
              <w:top w:val="nil"/>
              <w:left w:val="nil"/>
              <w:bottom w:val="single" w:sz="4" w:space="0" w:color="auto"/>
              <w:right w:val="single" w:sz="4" w:space="0" w:color="auto"/>
            </w:tcBorders>
            <w:shd w:val="clear" w:color="auto" w:fill="auto"/>
            <w:hideMark/>
          </w:tcPr>
          <w:p w14:paraId="068C7B0D" w14:textId="6E751229" w:rsidR="00CE0FA5" w:rsidRPr="00B25E57" w:rsidRDefault="00CE0FA5" w:rsidP="00C1238D">
            <w:pPr>
              <w:spacing w:after="40"/>
              <w:rPr>
                <w:color w:val="000000"/>
                <w:sz w:val="21"/>
                <w:szCs w:val="21"/>
                <w:lang w:val="es-ES_tradnl" w:eastAsia="en-CA"/>
              </w:rPr>
            </w:pPr>
            <w:r w:rsidRPr="00B25E57">
              <w:rPr>
                <w:color w:val="000000"/>
                <w:sz w:val="21"/>
                <w:szCs w:val="21"/>
                <w:lang w:val="es-ES_tradnl" w:eastAsia="en-CA"/>
              </w:rPr>
              <w:t>0.50</w:t>
            </w:r>
            <w:r w:rsidR="00496BEA">
              <w:rPr>
                <w:color w:val="000000"/>
                <w:sz w:val="21"/>
                <w:szCs w:val="21"/>
                <w:lang w:val="es-ES_tradnl" w:eastAsia="en-CA"/>
              </w:rPr>
              <w:t xml:space="preserve"> </w:t>
            </w:r>
            <w:r w:rsidR="00496BEA" w:rsidRPr="00496BEA">
              <w:rPr>
                <w:color w:val="000000"/>
                <w:sz w:val="21"/>
                <w:szCs w:val="21"/>
                <w:lang w:val="es-ES_tradnl" w:eastAsia="en-CA"/>
              </w:rPr>
              <w:t>$EUA</w:t>
            </w:r>
            <w:r w:rsidRPr="00B25E57">
              <w:rPr>
                <w:color w:val="000000"/>
                <w:sz w:val="21"/>
                <w:szCs w:val="21"/>
                <w:lang w:val="es-ES_tradnl" w:eastAsia="en-CA"/>
              </w:rPr>
              <w:t>/kg</w:t>
            </w:r>
            <w:r w:rsidR="003A46A1" w:rsidRPr="00B25E57">
              <w:rPr>
                <w:color w:val="000000"/>
                <w:sz w:val="21"/>
                <w:szCs w:val="21"/>
                <w:lang w:val="es-ES_tradnl" w:eastAsia="en-CA"/>
              </w:rPr>
              <w:t xml:space="preserve"> </w:t>
            </w:r>
            <w:r w:rsidR="00C34441">
              <w:rPr>
                <w:color w:val="000000"/>
                <w:sz w:val="21"/>
                <w:szCs w:val="21"/>
                <w:lang w:val="es-ES_tradnl" w:eastAsia="en-CA"/>
              </w:rPr>
              <w:t xml:space="preserve">sobre el </w:t>
            </w:r>
            <w:r w:rsidR="00784277">
              <w:rPr>
                <w:color w:val="000000"/>
                <w:sz w:val="21"/>
                <w:szCs w:val="21"/>
                <w:lang w:val="es-ES_tradnl" w:eastAsia="en-CA"/>
              </w:rPr>
              <w:t>precio del 2018</w:t>
            </w:r>
            <w:r w:rsidR="00C34441">
              <w:rPr>
                <w:color w:val="000000"/>
                <w:sz w:val="21"/>
                <w:szCs w:val="21"/>
                <w:lang w:val="es-ES_tradnl" w:eastAsia="en-CA"/>
              </w:rPr>
              <w:t xml:space="preserve"> en </w:t>
            </w:r>
            <w:r w:rsidR="004406FE">
              <w:rPr>
                <w:color w:val="000000"/>
                <w:sz w:val="21"/>
                <w:szCs w:val="21"/>
                <w:lang w:val="es-ES_tradnl" w:eastAsia="en-CA"/>
              </w:rPr>
              <w:t>2020, seguido</w:t>
            </w:r>
            <w:r w:rsidR="001E224C">
              <w:rPr>
                <w:color w:val="000000"/>
                <w:sz w:val="21"/>
                <w:szCs w:val="21"/>
                <w:lang w:val="es-ES_tradnl" w:eastAsia="en-CA"/>
              </w:rPr>
              <w:t xml:space="preserve"> por un aumento anual de</w:t>
            </w:r>
            <w:r w:rsidR="003A46A1" w:rsidRPr="00B25E57">
              <w:rPr>
                <w:color w:val="000000"/>
                <w:sz w:val="21"/>
                <w:szCs w:val="21"/>
                <w:lang w:val="es-ES_tradnl" w:eastAsia="en-CA"/>
              </w:rPr>
              <w:t xml:space="preserve"> </w:t>
            </w:r>
            <w:r w:rsidRPr="00B25E57">
              <w:rPr>
                <w:color w:val="000000"/>
                <w:sz w:val="21"/>
                <w:szCs w:val="21"/>
                <w:lang w:val="es-ES_tradnl" w:eastAsia="en-CA"/>
              </w:rPr>
              <w:t>0.50</w:t>
            </w:r>
            <w:r w:rsidR="00351158">
              <w:rPr>
                <w:color w:val="000000"/>
                <w:sz w:val="21"/>
                <w:szCs w:val="21"/>
                <w:lang w:val="es-ES_tradnl" w:eastAsia="en-CA"/>
              </w:rPr>
              <w:t xml:space="preserve"> </w:t>
            </w:r>
            <w:r w:rsidR="00351158" w:rsidRPr="00351158">
              <w:rPr>
                <w:color w:val="000000"/>
                <w:sz w:val="21"/>
                <w:szCs w:val="21"/>
                <w:lang w:val="es-ES_tradnl" w:eastAsia="en-CA"/>
              </w:rPr>
              <w:t>$EUA</w:t>
            </w:r>
          </w:p>
        </w:tc>
      </w:tr>
    </w:tbl>
    <w:p w14:paraId="3E70BCD1" w14:textId="522C5785" w:rsidR="00CE0FA5" w:rsidRPr="00B25E57" w:rsidRDefault="00D859AC" w:rsidP="00CE0FA5">
      <w:pPr>
        <w:rPr>
          <w:sz w:val="20"/>
          <w:szCs w:val="20"/>
          <w:lang w:val="es-ES_tradnl"/>
        </w:rPr>
      </w:pPr>
      <w:r w:rsidRPr="00B25E57">
        <w:rPr>
          <w:sz w:val="20"/>
          <w:szCs w:val="20"/>
          <w:lang w:val="es-ES_tradnl"/>
        </w:rPr>
        <w:t>*</w:t>
      </w:r>
      <w:r w:rsidR="003A46A1" w:rsidRPr="00B25E57">
        <w:rPr>
          <w:sz w:val="20"/>
          <w:szCs w:val="20"/>
          <w:lang w:val="es-ES_tradnl"/>
        </w:rPr>
        <w:t xml:space="preserve"> </w:t>
      </w:r>
      <w:r w:rsidR="007D7382" w:rsidRPr="00B25E57">
        <w:rPr>
          <w:sz w:val="20"/>
          <w:szCs w:val="20"/>
          <w:lang w:val="es-ES_tradnl"/>
        </w:rPr>
        <w:t>El</w:t>
      </w:r>
      <w:r w:rsidR="003A46A1" w:rsidRPr="00B25E57">
        <w:rPr>
          <w:sz w:val="20"/>
          <w:szCs w:val="20"/>
          <w:lang w:val="es-ES_tradnl"/>
        </w:rPr>
        <w:t xml:space="preserve"> </w:t>
      </w:r>
      <w:r w:rsidR="009113D3">
        <w:rPr>
          <w:sz w:val="20"/>
          <w:szCs w:val="20"/>
          <w:lang w:val="es-ES_tradnl"/>
        </w:rPr>
        <w:t>precio de mercado</w:t>
      </w:r>
      <w:r w:rsidR="003A46A1" w:rsidRPr="00B25E57">
        <w:rPr>
          <w:sz w:val="20"/>
          <w:szCs w:val="20"/>
          <w:lang w:val="es-ES_tradnl"/>
        </w:rPr>
        <w:t xml:space="preserve"> </w:t>
      </w:r>
      <w:r w:rsidR="00D57D00">
        <w:rPr>
          <w:sz w:val="20"/>
          <w:szCs w:val="20"/>
          <w:lang w:val="es-ES_tradnl"/>
        </w:rPr>
        <w:t xml:space="preserve">que cobró </w:t>
      </w:r>
      <w:r w:rsidR="00D57D00" w:rsidRPr="00D57D00">
        <w:rPr>
          <w:sz w:val="20"/>
          <w:szCs w:val="20"/>
          <w:lang w:val="es-ES_tradnl"/>
        </w:rPr>
        <w:t xml:space="preserve">FIASA en 2018 </w:t>
      </w:r>
      <w:r w:rsidR="00D57D00">
        <w:rPr>
          <w:sz w:val="20"/>
          <w:szCs w:val="20"/>
          <w:lang w:val="es-ES_tradnl"/>
        </w:rPr>
        <w:t>e</w:t>
      </w:r>
      <w:r w:rsidRPr="00B25E57">
        <w:rPr>
          <w:sz w:val="20"/>
          <w:szCs w:val="20"/>
          <w:lang w:val="es-ES_tradnl"/>
        </w:rPr>
        <w:t>s</w:t>
      </w:r>
      <w:r w:rsidR="003A46A1" w:rsidRPr="00B25E57">
        <w:rPr>
          <w:sz w:val="20"/>
          <w:szCs w:val="20"/>
          <w:lang w:val="es-ES_tradnl"/>
        </w:rPr>
        <w:t xml:space="preserve"> </w:t>
      </w:r>
      <w:r w:rsidR="00A6563B">
        <w:rPr>
          <w:sz w:val="20"/>
          <w:szCs w:val="20"/>
          <w:lang w:val="es-ES_tradnl"/>
        </w:rPr>
        <w:t>confidencial</w:t>
      </w:r>
      <w:r w:rsidRPr="00B25E57">
        <w:rPr>
          <w:sz w:val="20"/>
          <w:szCs w:val="20"/>
          <w:lang w:val="es-ES_tradnl"/>
        </w:rPr>
        <w:t>.</w:t>
      </w:r>
    </w:p>
    <w:p w14:paraId="06087A9E" w14:textId="77777777" w:rsidR="00CE0FA5" w:rsidRPr="00B25E57" w:rsidRDefault="00CE0FA5" w:rsidP="00CE0FA5">
      <w:pPr>
        <w:rPr>
          <w:lang w:val="es-ES_tradnl"/>
        </w:rPr>
      </w:pPr>
    </w:p>
    <w:p w14:paraId="0E54A6F7" w14:textId="4143399E" w:rsidR="00641E13" w:rsidRPr="00B25E57" w:rsidRDefault="00D86A5D" w:rsidP="00A53093">
      <w:pPr>
        <w:pStyle w:val="Heading1"/>
        <w:rPr>
          <w:lang w:val="es-ES_tradnl"/>
        </w:rPr>
      </w:pPr>
      <w:r>
        <w:rPr>
          <w:lang w:val="es-ES_tradnl"/>
        </w:rPr>
        <w:t>Los c</w:t>
      </w:r>
      <w:r w:rsidR="006C6A1A">
        <w:rPr>
          <w:lang w:val="es-ES_tradnl"/>
        </w:rPr>
        <w:t>ostos variables</w:t>
      </w:r>
      <w:r w:rsidR="003A46A1" w:rsidRPr="00B25E57">
        <w:rPr>
          <w:lang w:val="es-ES_tradnl"/>
        </w:rPr>
        <w:t xml:space="preserve"> </w:t>
      </w:r>
      <w:r w:rsidR="00EA52DA">
        <w:rPr>
          <w:lang w:val="es-ES_tradnl"/>
        </w:rPr>
        <w:t xml:space="preserve">de la </w:t>
      </w:r>
      <w:r w:rsidR="004512EA" w:rsidRPr="00B25E57">
        <w:rPr>
          <w:lang w:val="es-ES_tradnl"/>
        </w:rPr>
        <w:t>producción</w:t>
      </w:r>
      <w:r w:rsidR="003A46A1" w:rsidRPr="00B25E57">
        <w:rPr>
          <w:lang w:val="es-ES_tradnl"/>
        </w:rPr>
        <w:t xml:space="preserve"> </w:t>
      </w:r>
      <w:r w:rsidR="004512EA" w:rsidRPr="00B25E57">
        <w:rPr>
          <w:lang w:val="es-ES_tradnl"/>
        </w:rPr>
        <w:t>de</w:t>
      </w:r>
      <w:r w:rsidR="003A46A1" w:rsidRPr="00B25E57">
        <w:rPr>
          <w:lang w:val="es-ES_tradnl"/>
        </w:rPr>
        <w:t xml:space="preserve"> </w:t>
      </w:r>
      <w:r w:rsidR="004512EA" w:rsidRPr="00B25E57">
        <w:rPr>
          <w:lang w:val="es-ES_tradnl"/>
        </w:rPr>
        <w:t>HCFC-22</w:t>
      </w:r>
      <w:r w:rsidR="003A46A1" w:rsidRPr="00B25E57">
        <w:rPr>
          <w:lang w:val="es-ES_tradnl"/>
        </w:rPr>
        <w:t xml:space="preserve"> </w:t>
      </w:r>
      <w:r w:rsidR="00591864">
        <w:rPr>
          <w:lang w:val="es-ES_tradnl"/>
        </w:rPr>
        <w:t xml:space="preserve">se determinaron </w:t>
      </w:r>
      <w:r w:rsidR="00F942C6" w:rsidRPr="00B25E57">
        <w:rPr>
          <w:lang w:val="es-ES_tradnl"/>
        </w:rPr>
        <w:t>sobre la base de</w:t>
      </w:r>
      <w:r w:rsidR="00E17FF7">
        <w:rPr>
          <w:lang w:val="es-ES_tradnl"/>
        </w:rPr>
        <w:t>l</w:t>
      </w:r>
      <w:r w:rsidR="00E17FF7" w:rsidRPr="00216433">
        <w:rPr>
          <w:lang w:val="es-ES"/>
        </w:rPr>
        <w:t xml:space="preserve"> </w:t>
      </w:r>
      <w:r w:rsidR="00E17FF7" w:rsidRPr="00E17FF7">
        <w:rPr>
          <w:lang w:val="es-ES_tradnl"/>
        </w:rPr>
        <w:t>precio promedio</w:t>
      </w:r>
      <w:r w:rsidR="00F942C6" w:rsidRPr="00B25E57">
        <w:rPr>
          <w:lang w:val="es-ES_tradnl"/>
        </w:rPr>
        <w:t xml:space="preserve"> </w:t>
      </w:r>
      <w:r w:rsidR="00E17FF7">
        <w:rPr>
          <w:lang w:val="es-ES_tradnl"/>
        </w:rPr>
        <w:t xml:space="preserve">en </w:t>
      </w:r>
      <w:r w:rsidR="00641E13" w:rsidRPr="00B25E57">
        <w:rPr>
          <w:lang w:val="es-ES_tradnl"/>
        </w:rPr>
        <w:t>2014</w:t>
      </w:r>
      <w:r w:rsidR="00FB38C2" w:rsidRPr="00B25E57">
        <w:rPr>
          <w:lang w:val="es-ES_tradnl"/>
        </w:rPr>
        <w:t>-</w:t>
      </w:r>
      <w:r w:rsidR="00641E13" w:rsidRPr="00B25E57">
        <w:rPr>
          <w:lang w:val="es-ES_tradnl"/>
        </w:rPr>
        <w:t>2018</w:t>
      </w:r>
      <w:r w:rsidR="003A46A1" w:rsidRPr="00B25E57">
        <w:rPr>
          <w:lang w:val="es-ES_tradnl"/>
        </w:rPr>
        <w:t xml:space="preserve"> </w:t>
      </w:r>
      <w:r w:rsidR="00641E13" w:rsidRPr="00B25E57">
        <w:rPr>
          <w:lang w:val="es-ES_tradnl"/>
        </w:rPr>
        <w:t>(</w:t>
      </w:r>
      <w:r w:rsidR="00A63F9E">
        <w:rPr>
          <w:lang w:val="es-ES_tradnl"/>
        </w:rPr>
        <w:t>$EUA/</w:t>
      </w:r>
      <w:r w:rsidR="00FB38C2" w:rsidRPr="00B25E57">
        <w:rPr>
          <w:lang w:val="es-ES_tradnl"/>
        </w:rPr>
        <w:t>tm</w:t>
      </w:r>
      <w:r w:rsidR="00641E13" w:rsidRPr="00B25E57">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28200F">
        <w:rPr>
          <w:lang w:val="es-ES_tradnl"/>
        </w:rPr>
        <w:t>del factor consumo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241C5" w:rsidRPr="00B25E57">
        <w:rPr>
          <w:lang w:val="es-ES_tradnl"/>
        </w:rPr>
        <w:t>materias</w:t>
      </w:r>
      <w:r w:rsidR="003A46A1" w:rsidRPr="00B25E57">
        <w:rPr>
          <w:lang w:val="es-ES_tradnl"/>
        </w:rPr>
        <w:t xml:space="preserve"> </w:t>
      </w:r>
      <w:r w:rsidR="004241C5" w:rsidRPr="00B25E57">
        <w:rPr>
          <w:lang w:val="es-ES_tradnl"/>
        </w:rPr>
        <w:t>primas</w:t>
      </w:r>
      <w:r w:rsidR="00A53093" w:rsidRPr="00B25E57">
        <w:rPr>
          <w:rStyle w:val="FootnoteReference"/>
          <w:lang w:val="es-ES_tradnl"/>
        </w:rPr>
        <w:footnoteReference w:id="8"/>
      </w:r>
      <w:r w:rsidR="003A46A1" w:rsidRPr="00B25E57">
        <w:rPr>
          <w:lang w:val="es-ES_tradnl"/>
        </w:rPr>
        <w:t xml:space="preserve"> </w:t>
      </w:r>
      <w:r w:rsidR="00632D4C" w:rsidRPr="00B25E57">
        <w:rPr>
          <w:lang w:val="es-ES_tradnl"/>
        </w:rPr>
        <w:t>(</w:t>
      </w:r>
      <w:r w:rsidR="00FB38C2" w:rsidRPr="00B25E57">
        <w:rPr>
          <w:lang w:val="es-ES_tradnl"/>
        </w:rPr>
        <w:t>tm</w:t>
      </w:r>
      <w:r w:rsidR="00632D4C" w:rsidRPr="00B25E57">
        <w:rPr>
          <w:lang w:val="es-ES_tradnl"/>
        </w:rPr>
        <w:t>/</w:t>
      </w:r>
      <w:r w:rsidR="00FB38C2" w:rsidRPr="00B25E57">
        <w:rPr>
          <w:lang w:val="es-ES_tradnl"/>
        </w:rPr>
        <w:t>tm</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632D4C" w:rsidRPr="00B25E57">
        <w:rPr>
          <w:lang w:val="es-ES_tradnl"/>
        </w:rPr>
        <w:t>HCFC</w:t>
      </w:r>
      <w:r w:rsidR="00FB38C2" w:rsidRPr="00B25E57">
        <w:rPr>
          <w:lang w:val="es-ES_tradnl"/>
        </w:rPr>
        <w:t>-</w:t>
      </w:r>
      <w:r w:rsidR="00632D4C" w:rsidRPr="00B25E57">
        <w:rPr>
          <w:lang w:val="es-ES_tradnl"/>
        </w:rPr>
        <w:t>22</w:t>
      </w:r>
      <w:r w:rsidR="003A46A1" w:rsidRPr="00B25E57">
        <w:rPr>
          <w:lang w:val="es-ES_tradnl"/>
        </w:rPr>
        <w:t xml:space="preserve"> </w:t>
      </w:r>
      <w:r w:rsidR="00F24FA9" w:rsidRPr="00B25E57">
        <w:rPr>
          <w:lang w:val="es-ES_tradnl"/>
        </w:rPr>
        <w:t>producido</w:t>
      </w:r>
      <w:r w:rsidR="00632D4C" w:rsidRPr="00B25E57">
        <w:rPr>
          <w:lang w:val="es-ES_tradnl"/>
        </w:rPr>
        <w:t>)</w:t>
      </w:r>
      <w:r w:rsidR="006142B0">
        <w:rPr>
          <w:lang w:val="es-ES_tradnl"/>
        </w:rPr>
        <w:t xml:space="preserve">. </w:t>
      </w:r>
      <w:r w:rsidR="008635A6">
        <w:rPr>
          <w:lang w:val="es-ES_tradnl"/>
        </w:rPr>
        <w:t xml:space="preserve">A continuación, los </w:t>
      </w:r>
      <w:r w:rsidR="006C6A1A">
        <w:rPr>
          <w:lang w:val="es-ES_tradnl"/>
        </w:rPr>
        <w:t>costos variables</w:t>
      </w:r>
      <w:r w:rsidR="003A46A1" w:rsidRPr="00B25E57">
        <w:rPr>
          <w:lang w:val="es-ES_tradnl"/>
        </w:rPr>
        <w:t xml:space="preserve"> </w:t>
      </w:r>
      <w:r w:rsidR="008635A6">
        <w:rPr>
          <w:lang w:val="es-ES_tradnl"/>
        </w:rPr>
        <w:t>normalizados</w:t>
      </w:r>
      <w:r w:rsidR="006142B0" w:rsidRPr="006142B0">
        <w:rPr>
          <w:lang w:val="es-ES_tradnl"/>
        </w:rPr>
        <w:t xml:space="preserve"> </w:t>
      </w:r>
      <w:r w:rsidR="0052692F">
        <w:rPr>
          <w:lang w:val="es-ES_tradnl"/>
        </w:rPr>
        <w:t xml:space="preserve">se proyectaron </w:t>
      </w:r>
      <w:r w:rsidR="00450F61">
        <w:rPr>
          <w:lang w:val="es-ES_tradnl"/>
        </w:rPr>
        <w:t>según</w:t>
      </w:r>
      <w:r w:rsidR="003A46A1" w:rsidRPr="00B25E57">
        <w:rPr>
          <w:lang w:val="es-ES_tradnl"/>
        </w:rPr>
        <w:t xml:space="preserve"> </w:t>
      </w:r>
      <w:r w:rsidR="008C0E05">
        <w:rPr>
          <w:lang w:val="es-ES_tradnl"/>
        </w:rPr>
        <w:t xml:space="preserve">el volumen </w:t>
      </w:r>
      <w:r w:rsidR="00FB38C2" w:rsidRPr="00B25E57">
        <w:rPr>
          <w:lang w:val="es-ES_tradnl"/>
        </w:rPr>
        <w:t>de</w:t>
      </w:r>
      <w:r w:rsidR="003A46A1" w:rsidRPr="00B25E57">
        <w:rPr>
          <w:lang w:val="es-ES_tradnl"/>
        </w:rPr>
        <w:t xml:space="preserve"> </w:t>
      </w:r>
      <w:r w:rsidR="00FB67BE" w:rsidRPr="00B25E57">
        <w:rPr>
          <w:lang w:val="es-ES_tradnl"/>
        </w:rPr>
        <w:t>HCFC</w:t>
      </w:r>
      <w:r w:rsidR="00FB38C2" w:rsidRPr="00B25E57">
        <w:rPr>
          <w:lang w:val="es-ES_tradnl"/>
        </w:rPr>
        <w:t>-</w:t>
      </w:r>
      <w:r w:rsidR="00FB67BE" w:rsidRPr="00B25E57">
        <w:rPr>
          <w:lang w:val="es-ES_tradnl"/>
        </w:rPr>
        <w:t>22</w:t>
      </w:r>
      <w:r w:rsidR="003A46A1" w:rsidRPr="00B25E57">
        <w:rPr>
          <w:lang w:val="es-ES_tradnl"/>
        </w:rPr>
        <w:t xml:space="preserve"> </w:t>
      </w:r>
      <w:r w:rsidR="00F24FA9" w:rsidRPr="00B25E57">
        <w:rPr>
          <w:lang w:val="es-ES_tradnl"/>
        </w:rPr>
        <w:t>producido</w:t>
      </w:r>
      <w:r w:rsidR="00641E13" w:rsidRPr="00B25E57">
        <w:rPr>
          <w:lang w:val="es-ES_tradnl"/>
        </w:rPr>
        <w:t>.</w:t>
      </w:r>
      <w:r w:rsidR="003A46A1" w:rsidRPr="00B25E57">
        <w:rPr>
          <w:lang w:val="es-ES_tradnl"/>
        </w:rPr>
        <w:t xml:space="preserve"> </w:t>
      </w:r>
      <w:r w:rsidR="00AA6775">
        <w:rPr>
          <w:lang w:val="es-ES_tradnl"/>
        </w:rPr>
        <w:t>La p</w:t>
      </w:r>
      <w:r w:rsidR="004241C5" w:rsidRPr="00B25E57">
        <w:rPr>
          <w:lang w:val="es-ES_tradnl"/>
        </w:rPr>
        <w:t>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641E13" w:rsidRPr="00B25E57">
        <w:rPr>
          <w:lang w:val="es-ES_tradnl"/>
        </w:rPr>
        <w:t>HCFC</w:t>
      </w:r>
      <w:r w:rsidR="00FB38C2" w:rsidRPr="00B25E57">
        <w:rPr>
          <w:lang w:val="es-ES_tradnl"/>
        </w:rPr>
        <w:t>-</w:t>
      </w:r>
      <w:r w:rsidR="00641E13" w:rsidRPr="00B25E57">
        <w:rPr>
          <w:lang w:val="es-ES_tradnl"/>
        </w:rPr>
        <w:t>22</w:t>
      </w:r>
      <w:r w:rsidR="003A46A1" w:rsidRPr="00B25E57">
        <w:rPr>
          <w:lang w:val="es-ES_tradnl"/>
        </w:rPr>
        <w:t xml:space="preserve"> </w:t>
      </w:r>
      <w:r w:rsidR="006746FA">
        <w:rPr>
          <w:lang w:val="es-ES_tradnl"/>
        </w:rPr>
        <w:t xml:space="preserve">genera </w:t>
      </w:r>
      <w:r w:rsidR="00CA6FC7">
        <w:rPr>
          <w:lang w:val="es-ES_tradnl"/>
        </w:rPr>
        <w:t>ácido clorhídrico</w:t>
      </w:r>
      <w:r w:rsidR="003A46A1" w:rsidRPr="00B25E57">
        <w:rPr>
          <w:lang w:val="es-ES_tradnl"/>
        </w:rPr>
        <w:t xml:space="preserve"> </w:t>
      </w:r>
      <w:r w:rsidR="00A53093" w:rsidRPr="00B25E57">
        <w:rPr>
          <w:lang w:val="es-ES_tradnl"/>
        </w:rPr>
        <w:t>(HCl)</w:t>
      </w:r>
      <w:r w:rsidR="003A46A1" w:rsidRPr="00B25E57">
        <w:rPr>
          <w:lang w:val="es-ES_tradnl"/>
        </w:rPr>
        <w:t xml:space="preserve"> </w:t>
      </w:r>
      <w:r w:rsidR="00FB38C2" w:rsidRPr="00B25E57">
        <w:rPr>
          <w:lang w:val="es-ES_tradnl"/>
        </w:rPr>
        <w:t>y</w:t>
      </w:r>
      <w:r w:rsidR="003A46A1" w:rsidRPr="00B25E57">
        <w:rPr>
          <w:lang w:val="es-ES_tradnl"/>
        </w:rPr>
        <w:t xml:space="preserve"> </w:t>
      </w:r>
      <w:r w:rsidR="00695DF5">
        <w:rPr>
          <w:lang w:val="es-ES_tradnl"/>
        </w:rPr>
        <w:t>ácido sulfúrico</w:t>
      </w:r>
      <w:r w:rsidR="00641E13" w:rsidRPr="00B25E57">
        <w:rPr>
          <w:lang w:val="es-ES_tradnl"/>
        </w:rPr>
        <w:t>,</w:t>
      </w:r>
      <w:r w:rsidR="003A46A1" w:rsidRPr="00B25E57">
        <w:rPr>
          <w:lang w:val="es-ES_tradnl"/>
        </w:rPr>
        <w:t xml:space="preserve"> </w:t>
      </w:r>
      <w:r w:rsidR="00295176">
        <w:rPr>
          <w:lang w:val="es-ES_tradnl"/>
        </w:rPr>
        <w:t>los que</w:t>
      </w:r>
      <w:r w:rsidR="003A46A1" w:rsidRPr="00B25E57">
        <w:rPr>
          <w:lang w:val="es-ES_tradnl"/>
        </w:rPr>
        <w:t xml:space="preserve"> </w:t>
      </w:r>
      <w:r w:rsidR="00641E13" w:rsidRPr="00B25E57">
        <w:rPr>
          <w:lang w:val="es-ES_tradnl"/>
        </w:rPr>
        <w:t>FIASA</w:t>
      </w:r>
      <w:r w:rsidR="003A46A1" w:rsidRPr="00B25E57">
        <w:rPr>
          <w:lang w:val="es-ES_tradnl"/>
        </w:rPr>
        <w:t xml:space="preserve"> </w:t>
      </w:r>
      <w:r w:rsidR="00295176">
        <w:rPr>
          <w:lang w:val="es-ES_tradnl"/>
        </w:rPr>
        <w:t>vende</w:t>
      </w:r>
      <w:r w:rsidR="00641E13" w:rsidRPr="00B25E57">
        <w:rPr>
          <w:lang w:val="es-ES_tradnl"/>
        </w:rPr>
        <w:t>;</w:t>
      </w:r>
      <w:r w:rsidR="003A46A1" w:rsidRPr="00B25E57">
        <w:rPr>
          <w:lang w:val="es-ES_tradnl"/>
        </w:rPr>
        <w:t xml:space="preserve"> </w:t>
      </w:r>
      <w:r w:rsidR="00965927">
        <w:rPr>
          <w:lang w:val="es-ES_tradnl"/>
        </w:rPr>
        <w:t xml:space="preserve">los ingresos </w:t>
      </w:r>
      <w:r w:rsidR="003C3BBF">
        <w:rPr>
          <w:lang w:val="es-ES_tradnl"/>
        </w:rPr>
        <w:t xml:space="preserve">por concepto de estas </w:t>
      </w:r>
      <w:r w:rsidR="009739BD">
        <w:rPr>
          <w:lang w:val="es-ES_tradnl"/>
        </w:rPr>
        <w:t>ventas</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A337C4">
        <w:rPr>
          <w:lang w:val="es-ES_tradnl"/>
        </w:rPr>
        <w:t xml:space="preserve">los envases </w:t>
      </w:r>
      <w:r w:rsidR="00641E13" w:rsidRPr="00B25E57">
        <w:rPr>
          <w:lang w:val="es-ES_tradnl"/>
        </w:rPr>
        <w:t>(</w:t>
      </w:r>
      <w:r w:rsidR="00B25E57">
        <w:rPr>
          <w:lang w:val="es-ES_tradnl"/>
        </w:rPr>
        <w:t>cilindros</w:t>
      </w:r>
      <w:r w:rsidR="00614FA1">
        <w:rPr>
          <w:lang w:val="es-ES_tradnl"/>
        </w:rPr>
        <w:t xml:space="preserve"> o </w:t>
      </w:r>
      <w:r w:rsidR="00641E13" w:rsidRPr="00B25E57">
        <w:rPr>
          <w:lang w:val="es-ES_tradnl"/>
        </w:rPr>
        <w:t>iso</w:t>
      </w:r>
      <w:r w:rsidR="008A3316" w:rsidRPr="00B25E57">
        <w:rPr>
          <w:lang w:val="es-ES_tradnl"/>
        </w:rPr>
        <w:t>tanques</w:t>
      </w:r>
      <w:r w:rsidR="00641E13" w:rsidRPr="00B25E57">
        <w:rPr>
          <w:lang w:val="es-ES_tradnl"/>
        </w:rPr>
        <w:t>),</w:t>
      </w:r>
      <w:r w:rsidR="003A46A1" w:rsidRPr="00B25E57">
        <w:rPr>
          <w:lang w:val="es-ES_tradnl"/>
        </w:rPr>
        <w:t xml:space="preserve"> </w:t>
      </w:r>
      <w:r w:rsidR="007B5EDC">
        <w:rPr>
          <w:lang w:val="es-ES_tradnl"/>
        </w:rPr>
        <w:t xml:space="preserve">se calcularon </w:t>
      </w:r>
      <w:r w:rsidR="00F942C6" w:rsidRPr="00B25E57">
        <w:rPr>
          <w:lang w:val="es-ES_tradnl"/>
        </w:rPr>
        <w:t xml:space="preserve">sobre la base de </w:t>
      </w:r>
      <w:r w:rsidR="00591BB1">
        <w:rPr>
          <w:lang w:val="es-ES_tradnl"/>
        </w:rPr>
        <w:t xml:space="preserve">los ingresos </w:t>
      </w:r>
      <w:r w:rsidR="00FB38C2" w:rsidRPr="00B25E57">
        <w:rPr>
          <w:lang w:val="es-ES_tradnl"/>
        </w:rPr>
        <w:t>y</w:t>
      </w:r>
      <w:r w:rsidR="003A46A1" w:rsidRPr="00B25E57">
        <w:rPr>
          <w:lang w:val="es-ES_tradnl"/>
        </w:rPr>
        <w:t xml:space="preserve"> </w:t>
      </w:r>
      <w:r w:rsidR="004241C5" w:rsidRPr="00B25E57">
        <w:rPr>
          <w:lang w:val="es-ES_tradnl"/>
        </w:rPr>
        <w:t>costos</w:t>
      </w:r>
      <w:r w:rsidR="00591BB1">
        <w:rPr>
          <w:lang w:val="es-ES_tradnl"/>
        </w:rPr>
        <w:t xml:space="preserve"> promedio en </w:t>
      </w:r>
      <w:r w:rsidR="00591BB1" w:rsidRPr="00591BB1">
        <w:rPr>
          <w:lang w:val="es-ES_tradnl"/>
        </w:rPr>
        <w:t>2014-2018</w:t>
      </w:r>
      <w:r w:rsidR="00F140FA" w:rsidRPr="00B25E57">
        <w:rPr>
          <w:lang w:val="es-ES_tradnl"/>
        </w:rPr>
        <w:t>.</w:t>
      </w:r>
    </w:p>
    <w:p w14:paraId="6096019C" w14:textId="03AA0E60" w:rsidR="00641E13" w:rsidRPr="00B25E57" w:rsidRDefault="003B60D3" w:rsidP="00F140FA">
      <w:pPr>
        <w:pStyle w:val="Heading1"/>
        <w:rPr>
          <w:lang w:val="es-ES_tradnl"/>
        </w:rPr>
      </w:pPr>
      <w:r>
        <w:rPr>
          <w:lang w:val="es-ES_tradnl"/>
        </w:rPr>
        <w:t>Los g</w:t>
      </w:r>
      <w:r w:rsidR="00A52AB3">
        <w:rPr>
          <w:lang w:val="es-ES_tradnl"/>
        </w:rPr>
        <w:t>astos fijos</w:t>
      </w:r>
      <w:r w:rsidR="003A46A1" w:rsidRPr="00B25E57">
        <w:rPr>
          <w:lang w:val="es-ES_tradnl"/>
        </w:rPr>
        <w:t xml:space="preserve"> </w:t>
      </w:r>
      <w:r w:rsidR="00F140FA" w:rsidRPr="00B25E57">
        <w:rPr>
          <w:lang w:val="es-ES_tradnl"/>
        </w:rPr>
        <w:t>(</w:t>
      </w:r>
      <w:r w:rsidR="00965B3D">
        <w:rPr>
          <w:lang w:val="es-ES_tradnl"/>
        </w:rPr>
        <w:t>personal</w:t>
      </w:r>
      <w:r w:rsidR="00615EDA">
        <w:rPr>
          <w:lang w:val="es-ES_tradnl"/>
        </w:rPr>
        <w:t>,</w:t>
      </w:r>
      <w:r w:rsidR="003A46A1" w:rsidRPr="00B25E57">
        <w:rPr>
          <w:lang w:val="es-ES_tradnl"/>
        </w:rPr>
        <w:t xml:space="preserve"> </w:t>
      </w:r>
      <w:r w:rsidR="006D2193">
        <w:rPr>
          <w:lang w:val="es-ES_tradnl"/>
        </w:rPr>
        <w:t>electricidad</w:t>
      </w:r>
      <w:r w:rsidR="00641E13" w:rsidRPr="00B25E57">
        <w:rPr>
          <w:lang w:val="es-ES_tradnl"/>
        </w:rPr>
        <w:t>,</w:t>
      </w:r>
      <w:r w:rsidR="003A46A1" w:rsidRPr="00B25E57">
        <w:rPr>
          <w:lang w:val="es-ES_tradnl"/>
        </w:rPr>
        <w:t xml:space="preserve"> </w:t>
      </w:r>
      <w:r w:rsidR="00641E13" w:rsidRPr="00B25E57">
        <w:rPr>
          <w:lang w:val="es-ES_tradnl"/>
        </w:rPr>
        <w:t>gas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512EA" w:rsidRPr="00B25E57">
        <w:rPr>
          <w:lang w:val="es-ES_tradnl"/>
        </w:rPr>
        <w:t>agua</w:t>
      </w:r>
      <w:r w:rsidR="00F140FA" w:rsidRPr="00B25E57">
        <w:rPr>
          <w:lang w:val="es-ES_tradnl"/>
        </w:rPr>
        <w:t>,</w:t>
      </w:r>
      <w:r w:rsidR="003A46A1" w:rsidRPr="00B25E57">
        <w:rPr>
          <w:lang w:val="es-ES_tradnl"/>
        </w:rPr>
        <w:t xml:space="preserve"> </w:t>
      </w:r>
      <w:r w:rsidR="00F33C58" w:rsidRPr="00B25E57">
        <w:rPr>
          <w:lang w:val="es-ES_tradnl"/>
        </w:rPr>
        <w:t>mantenimiento</w:t>
      </w:r>
      <w:r w:rsidR="003A46A1" w:rsidRPr="00B25E57">
        <w:rPr>
          <w:lang w:val="es-ES_tradnl"/>
        </w:rPr>
        <w:t xml:space="preserve"> </w:t>
      </w:r>
      <w:r w:rsidR="00F33C58" w:rsidRPr="00B25E57">
        <w:rPr>
          <w:lang w:val="es-ES_tradnl"/>
        </w:rPr>
        <w:t>y</w:t>
      </w:r>
      <w:r w:rsidR="003A46A1" w:rsidRPr="00B25E57">
        <w:rPr>
          <w:lang w:val="es-ES_tradnl"/>
        </w:rPr>
        <w:t xml:space="preserve"> </w:t>
      </w:r>
      <w:r w:rsidR="00193970">
        <w:rPr>
          <w:lang w:val="es-ES_tradnl"/>
        </w:rPr>
        <w:t>costos generales</w:t>
      </w:r>
      <w:r w:rsidR="00F140FA" w:rsidRPr="00B25E57">
        <w:rPr>
          <w:lang w:val="es-ES_tradnl"/>
        </w:rPr>
        <w:t>)</w:t>
      </w:r>
      <w:r w:rsidR="003A46A1" w:rsidRPr="00B25E57">
        <w:rPr>
          <w:lang w:val="es-ES_tradnl"/>
        </w:rPr>
        <w:t xml:space="preserve"> </w:t>
      </w:r>
      <w:r w:rsidR="00AB5572">
        <w:rPr>
          <w:lang w:val="es-ES_tradnl"/>
        </w:rPr>
        <w:t xml:space="preserve">se calcularon </w:t>
      </w:r>
      <w:r w:rsidR="00F942C6" w:rsidRPr="00B25E57">
        <w:rPr>
          <w:lang w:val="es-ES_tradnl"/>
        </w:rPr>
        <w:t xml:space="preserve">sobre la base </w:t>
      </w:r>
      <w:r w:rsidR="000B5092">
        <w:rPr>
          <w:lang w:val="es-ES_tradnl"/>
        </w:rPr>
        <w:t xml:space="preserve">del </w:t>
      </w:r>
      <w:r w:rsidR="000B5092" w:rsidRPr="000B5092">
        <w:rPr>
          <w:lang w:val="es-ES_tradnl"/>
        </w:rPr>
        <w:t xml:space="preserve">promedio </w:t>
      </w:r>
      <w:r w:rsidR="000B5092">
        <w:rPr>
          <w:lang w:val="es-ES_tradnl"/>
        </w:rPr>
        <w:t xml:space="preserve">pagado por FIASA en </w:t>
      </w:r>
      <w:r w:rsidR="00641E13" w:rsidRPr="00B25E57">
        <w:rPr>
          <w:lang w:val="es-ES_tradnl"/>
        </w:rPr>
        <w:t>2014</w:t>
      </w:r>
      <w:r w:rsidR="00FB38C2" w:rsidRPr="00B25E57">
        <w:rPr>
          <w:lang w:val="es-ES_tradnl"/>
        </w:rPr>
        <w:t>-</w:t>
      </w:r>
      <w:r w:rsidR="00641E13" w:rsidRPr="00B25E57">
        <w:rPr>
          <w:lang w:val="es-ES_tradnl"/>
        </w:rPr>
        <w:t>2018.</w:t>
      </w:r>
    </w:p>
    <w:p w14:paraId="75C89A21" w14:textId="5FB1D400" w:rsidR="00641E13" w:rsidRPr="00B25E57" w:rsidRDefault="0005667E" w:rsidP="00641E13">
      <w:pPr>
        <w:pStyle w:val="Heading1"/>
        <w:rPr>
          <w:lang w:val="es-ES_tradnl"/>
        </w:rPr>
      </w:pPr>
      <w:r>
        <w:rPr>
          <w:lang w:val="es-ES_tradnl"/>
        </w:rPr>
        <w:t>Las utilidades netas</w:t>
      </w:r>
      <w:r w:rsidR="003A46A1" w:rsidRPr="00B25E57">
        <w:rPr>
          <w:lang w:val="es-ES_tradnl"/>
        </w:rPr>
        <w:t xml:space="preserve"> </w:t>
      </w:r>
      <w:r w:rsidR="00963F92">
        <w:rPr>
          <w:lang w:val="es-ES_tradnl"/>
        </w:rPr>
        <w:t xml:space="preserve">del </w:t>
      </w:r>
      <w:r w:rsidR="00FB38C2" w:rsidRPr="00B25E57">
        <w:rPr>
          <w:lang w:val="es-ES_tradnl"/>
        </w:rPr>
        <w:t>año</w:t>
      </w:r>
      <w:r w:rsidR="003A46A1" w:rsidRPr="00B25E57">
        <w:rPr>
          <w:lang w:val="es-ES_tradnl"/>
        </w:rPr>
        <w:t xml:space="preserve"> </w:t>
      </w:r>
      <w:r w:rsidR="00963F92">
        <w:rPr>
          <w:lang w:val="es-ES_tradnl"/>
        </w:rPr>
        <w:t xml:space="preserve">se determinaron </w:t>
      </w:r>
      <w:r w:rsidR="00F942C6" w:rsidRPr="00B25E57">
        <w:rPr>
          <w:lang w:val="es-ES_tradnl"/>
        </w:rPr>
        <w:t xml:space="preserve">sobre la base de </w:t>
      </w:r>
      <w:r w:rsidR="00844EAB">
        <w:rPr>
          <w:lang w:val="es-ES_tradnl"/>
        </w:rPr>
        <w:t xml:space="preserve">los </w:t>
      </w:r>
      <w:r w:rsidR="00844EAB" w:rsidRPr="00844EAB">
        <w:rPr>
          <w:lang w:val="es-ES_tradnl"/>
        </w:rPr>
        <w:t xml:space="preserve">supuestos </w:t>
      </w:r>
      <w:r w:rsidR="00844EAB">
        <w:rPr>
          <w:lang w:val="es-ES_tradnl"/>
        </w:rPr>
        <w:t>mencionados</w:t>
      </w:r>
      <w:r w:rsidR="00641E13" w:rsidRPr="00B25E57">
        <w:rPr>
          <w:lang w:val="es-ES_tradnl"/>
        </w:rPr>
        <w:t>,</w:t>
      </w:r>
      <w:r w:rsidR="003A46A1" w:rsidRPr="00B25E57">
        <w:rPr>
          <w:lang w:val="es-ES_tradnl"/>
        </w:rPr>
        <w:t xml:space="preserve"> </w:t>
      </w:r>
      <w:r w:rsidR="00987BED">
        <w:rPr>
          <w:lang w:val="es-ES_tradnl"/>
        </w:rPr>
        <w:t xml:space="preserve">habida </w:t>
      </w:r>
      <w:r w:rsidR="004512EA" w:rsidRPr="00B25E57">
        <w:rPr>
          <w:lang w:val="es-ES_tradnl"/>
        </w:rPr>
        <w:t>cuenta</w:t>
      </w:r>
      <w:r w:rsidR="003A46A1" w:rsidRPr="00B25E57">
        <w:rPr>
          <w:lang w:val="es-ES_tradnl"/>
        </w:rPr>
        <w:t xml:space="preserve"> </w:t>
      </w:r>
      <w:r w:rsidR="00DD2EEF">
        <w:rPr>
          <w:lang w:val="es-ES_tradnl"/>
        </w:rPr>
        <w:t>de las tasas impositivas</w:t>
      </w:r>
      <w:r w:rsidR="003A46A1" w:rsidRPr="00B25E57">
        <w:rPr>
          <w:lang w:val="es-ES_tradnl"/>
        </w:rPr>
        <w:t xml:space="preserve"> </w:t>
      </w:r>
      <w:r w:rsidR="00344561">
        <w:rPr>
          <w:lang w:val="es-ES_tradnl"/>
        </w:rPr>
        <w:t xml:space="preserve">correspondientes </w:t>
      </w:r>
      <w:r w:rsidR="00F33C58" w:rsidRPr="00B25E57">
        <w:rPr>
          <w:lang w:val="es-ES_tradnl"/>
        </w:rPr>
        <w:t>y</w:t>
      </w:r>
      <w:r w:rsidR="003A46A1" w:rsidRPr="00B25E57">
        <w:rPr>
          <w:lang w:val="es-ES_tradnl"/>
        </w:rPr>
        <w:t xml:space="preserve"> </w:t>
      </w:r>
      <w:r w:rsidR="00344561">
        <w:rPr>
          <w:lang w:val="es-ES_tradnl"/>
        </w:rPr>
        <w:t>d</w:t>
      </w:r>
      <w:r w:rsidR="0066304D">
        <w:rPr>
          <w:lang w:val="es-ES_tradnl"/>
        </w:rPr>
        <w:t>el volumen</w:t>
      </w:r>
      <w:r w:rsidR="00797825">
        <w:rPr>
          <w:lang w:val="es-ES_tradnl"/>
        </w:rPr>
        <w:t xml:space="preserve"> de ventas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F33C58" w:rsidRPr="00B25E57">
        <w:rPr>
          <w:lang w:val="es-ES_tradnl"/>
        </w:rPr>
        <w:t>precio</w:t>
      </w:r>
      <w:r w:rsidR="003A46A1" w:rsidRPr="00B25E57">
        <w:rPr>
          <w:lang w:val="es-ES_tradnl"/>
        </w:rPr>
        <w:t xml:space="preserve"> </w:t>
      </w:r>
      <w:r w:rsidR="002144EB">
        <w:rPr>
          <w:lang w:val="es-ES_tradnl"/>
        </w:rPr>
        <w:t xml:space="preserve">del </w:t>
      </w:r>
      <w:r w:rsidR="002144EB" w:rsidRPr="002144EB">
        <w:rPr>
          <w:lang w:val="es-ES_tradnl"/>
        </w:rPr>
        <w:t xml:space="preserve">HCFC-22 </w:t>
      </w:r>
      <w:r w:rsidR="00CB4D43">
        <w:rPr>
          <w:lang w:val="es-ES_tradnl"/>
        </w:rPr>
        <w:t>supuesto</w:t>
      </w:r>
      <w:r w:rsidR="00D63265">
        <w:rPr>
          <w:lang w:val="es-ES_tradnl"/>
        </w:rPr>
        <w:t xml:space="preserve"> para</w:t>
      </w:r>
      <w:r w:rsidR="003A46A1" w:rsidRPr="00B25E57">
        <w:rPr>
          <w:lang w:val="es-ES_tradnl"/>
        </w:rPr>
        <w:t xml:space="preserve"> </w:t>
      </w:r>
      <w:r w:rsidR="00A4343B" w:rsidRPr="00B25E57">
        <w:rPr>
          <w:lang w:val="es-ES_tradnl"/>
        </w:rPr>
        <w:t>cada</w:t>
      </w:r>
      <w:r w:rsidR="003A46A1" w:rsidRPr="00B25E57">
        <w:rPr>
          <w:lang w:val="es-ES_tradnl"/>
        </w:rPr>
        <w:t xml:space="preserve"> </w:t>
      </w:r>
      <w:r w:rsidR="0061462C">
        <w:rPr>
          <w:lang w:val="es-ES_tradnl"/>
        </w:rPr>
        <w:t>escenario</w:t>
      </w:r>
      <w:r w:rsidR="00641E13" w:rsidRPr="00B25E57">
        <w:rPr>
          <w:lang w:val="es-ES_tradnl"/>
        </w:rPr>
        <w:t>.</w:t>
      </w:r>
      <w:r w:rsidR="003A46A1" w:rsidRPr="00B25E57">
        <w:rPr>
          <w:lang w:val="es-ES_tradnl"/>
        </w:rPr>
        <w:t xml:space="preserve"> </w:t>
      </w:r>
      <w:r w:rsidR="00C82FB1">
        <w:rPr>
          <w:lang w:val="es-ES_tradnl"/>
        </w:rPr>
        <w:t>El valor</w:t>
      </w:r>
      <w:r w:rsidR="00F56FE6">
        <w:rPr>
          <w:lang w:val="es-ES_tradnl"/>
        </w:rPr>
        <w:t xml:space="preserve"> actual neto</w:t>
      </w:r>
      <w:r w:rsidR="003A46A1" w:rsidRPr="00B25E57">
        <w:rPr>
          <w:lang w:val="es-ES_tradnl"/>
        </w:rPr>
        <w:t xml:space="preserve"> </w:t>
      </w:r>
      <w:r w:rsidR="00F140FA" w:rsidRPr="00B25E57">
        <w:rPr>
          <w:lang w:val="es-ES_tradnl"/>
        </w:rPr>
        <w:t>(</w:t>
      </w:r>
      <w:r w:rsidR="00F56FE6">
        <w:rPr>
          <w:lang w:val="es-ES_tradnl"/>
        </w:rPr>
        <w:t>VAN</w:t>
      </w:r>
      <w:r w:rsidR="00F140FA" w:rsidRPr="00B25E57">
        <w:rPr>
          <w:lang w:val="es-ES_tradnl"/>
        </w:rPr>
        <w:t>)</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A4343B" w:rsidRPr="00B25E57">
        <w:rPr>
          <w:lang w:val="es-ES_tradnl"/>
        </w:rPr>
        <w:t>cada</w:t>
      </w:r>
      <w:r w:rsidR="003A46A1" w:rsidRPr="00B25E57">
        <w:rPr>
          <w:lang w:val="es-ES_tradnl"/>
        </w:rPr>
        <w:t xml:space="preserve"> </w:t>
      </w:r>
      <w:r w:rsidR="0061462C">
        <w:rPr>
          <w:lang w:val="es-ES_tradnl"/>
        </w:rPr>
        <w:t>escenario</w:t>
      </w:r>
      <w:r w:rsidR="003A46A1" w:rsidRPr="00B25E57">
        <w:rPr>
          <w:lang w:val="es-ES_tradnl"/>
        </w:rPr>
        <w:t xml:space="preserve"> </w:t>
      </w:r>
      <w:r w:rsidR="00CD7B26">
        <w:rPr>
          <w:lang w:val="es-ES_tradnl"/>
        </w:rPr>
        <w:t xml:space="preserve">que muestra </w:t>
      </w:r>
      <w:r w:rsidR="008A3316" w:rsidRPr="00B25E57">
        <w:rPr>
          <w:lang w:val="es-ES_tradnl"/>
        </w:rPr>
        <w:t>el</w:t>
      </w:r>
      <w:r w:rsidR="003A46A1" w:rsidRPr="00B25E57">
        <w:rPr>
          <w:lang w:val="es-ES_tradnl"/>
        </w:rPr>
        <w:t xml:space="preserve"> </w:t>
      </w:r>
      <w:r w:rsidR="008A3316" w:rsidRPr="00B25E57">
        <w:rPr>
          <w:lang w:val="es-ES_tradnl"/>
        </w:rPr>
        <w:t>Cuadro</w:t>
      </w:r>
      <w:r w:rsidR="003A46A1" w:rsidRPr="00B25E57">
        <w:rPr>
          <w:lang w:val="es-ES_tradnl"/>
        </w:rPr>
        <w:t xml:space="preserve"> </w:t>
      </w:r>
      <w:r w:rsidR="00F140FA" w:rsidRPr="00B25E57">
        <w:rPr>
          <w:lang w:val="es-ES_tradnl"/>
        </w:rPr>
        <w:t>3</w:t>
      </w:r>
      <w:r w:rsidR="003A46A1" w:rsidRPr="00B25E57">
        <w:rPr>
          <w:lang w:val="es-ES_tradnl"/>
        </w:rPr>
        <w:t xml:space="preserve"> </w:t>
      </w:r>
      <w:r w:rsidR="004734F6">
        <w:rPr>
          <w:lang w:val="es-ES_tradnl"/>
        </w:rPr>
        <w:t>se determinó</w:t>
      </w:r>
      <w:r w:rsidR="003A46A1" w:rsidRPr="00B25E57">
        <w:rPr>
          <w:lang w:val="es-ES_tradnl"/>
        </w:rPr>
        <w:t xml:space="preserve"> </w:t>
      </w:r>
      <w:r w:rsidR="00670A86">
        <w:rPr>
          <w:lang w:val="es-ES_tradnl"/>
        </w:rPr>
        <w:t>utilizando</w:t>
      </w:r>
      <w:r w:rsidR="00203378">
        <w:rPr>
          <w:lang w:val="es-ES_tradnl"/>
        </w:rPr>
        <w:t xml:space="preserve"> una </w:t>
      </w:r>
      <w:r w:rsidR="00635681">
        <w:rPr>
          <w:lang w:val="es-ES_tradnl"/>
        </w:rPr>
        <w:t>tasa de descuento</w:t>
      </w:r>
      <w:r w:rsidR="00203378" w:rsidRPr="00203378">
        <w:rPr>
          <w:lang w:val="es-ES_tradnl"/>
        </w:rPr>
        <w:t xml:space="preserve"> </w:t>
      </w:r>
      <w:r w:rsidR="00203378">
        <w:rPr>
          <w:lang w:val="es-ES_tradnl"/>
        </w:rPr>
        <w:t xml:space="preserve">del </w:t>
      </w:r>
      <w:r w:rsidR="00641E13" w:rsidRPr="00B25E57">
        <w:rPr>
          <w:lang w:val="es-ES_tradnl"/>
        </w:rPr>
        <w:t>10</w:t>
      </w:r>
      <w:r w:rsidR="00FB38C2" w:rsidRPr="00B25E57">
        <w:rPr>
          <w:lang w:val="es-ES_tradnl"/>
        </w:rPr>
        <w:t>%</w:t>
      </w:r>
      <w:r w:rsidR="00F140FA" w:rsidRPr="00B25E57">
        <w:rPr>
          <w:lang w:val="es-ES_tradnl"/>
        </w:rPr>
        <w:t>,</w:t>
      </w:r>
      <w:r w:rsidR="003A46A1" w:rsidRPr="00B25E57">
        <w:rPr>
          <w:lang w:val="es-ES_tradnl"/>
        </w:rPr>
        <w:t xml:space="preserve"> </w:t>
      </w:r>
      <w:r w:rsidR="00F11A65">
        <w:rPr>
          <w:lang w:val="es-ES_tradnl"/>
        </w:rPr>
        <w:t xml:space="preserve">que es </w:t>
      </w:r>
      <w:r w:rsidR="0058263E">
        <w:rPr>
          <w:lang w:val="es-ES_tradnl"/>
        </w:rPr>
        <w:t xml:space="preserve">el </w:t>
      </w:r>
      <w:r w:rsidR="00CA78C0">
        <w:rPr>
          <w:lang w:val="es-ES_tradnl"/>
        </w:rPr>
        <w:t>costo de capital típico</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F252C5">
        <w:rPr>
          <w:lang w:val="es-ES_tradnl"/>
        </w:rPr>
        <w:t xml:space="preserve">los </w:t>
      </w:r>
      <w:r w:rsidR="004512EA" w:rsidRPr="00B25E57">
        <w:rPr>
          <w:lang w:val="es-ES_tradnl"/>
        </w:rPr>
        <w:t>países</w:t>
      </w:r>
      <w:r w:rsidR="003A46A1" w:rsidRPr="00B25E57">
        <w:rPr>
          <w:lang w:val="es-ES_tradnl"/>
        </w:rPr>
        <w:t xml:space="preserve"> </w:t>
      </w:r>
      <w:r w:rsidR="004512EA" w:rsidRPr="00B25E57">
        <w:rPr>
          <w:lang w:val="es-ES_tradnl"/>
        </w:rPr>
        <w:t>en</w:t>
      </w:r>
      <w:r w:rsidR="003A46A1" w:rsidRPr="00B25E57">
        <w:rPr>
          <w:lang w:val="es-ES_tradnl"/>
        </w:rPr>
        <w:t xml:space="preserve"> </w:t>
      </w:r>
      <w:r w:rsidR="004512EA" w:rsidRPr="00B25E57">
        <w:rPr>
          <w:lang w:val="es-ES_tradnl"/>
        </w:rPr>
        <w:t>desarrollo</w:t>
      </w:r>
      <w:r w:rsidR="00A2315E">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995151">
        <w:rPr>
          <w:lang w:val="es-ES_tradnl"/>
        </w:rPr>
        <w:t xml:space="preserve">considerando </w:t>
      </w:r>
      <w:r w:rsidR="001E0659">
        <w:rPr>
          <w:lang w:val="es-ES_tradnl"/>
        </w:rPr>
        <w:t xml:space="preserve">una </w:t>
      </w:r>
      <w:r w:rsidR="00B7458B">
        <w:rPr>
          <w:lang w:val="es-ES_tradnl"/>
        </w:rPr>
        <w:t>indemnización</w:t>
      </w:r>
      <w:r w:rsidR="003A46A1" w:rsidRPr="00B25E57">
        <w:rPr>
          <w:lang w:val="es-ES_tradnl"/>
        </w:rPr>
        <w:t xml:space="preserve"> </w:t>
      </w:r>
      <w:r w:rsidR="00B7458B">
        <w:rPr>
          <w:lang w:val="es-ES_tradnl"/>
        </w:rPr>
        <w:t xml:space="preserve">por años de servicio al </w:t>
      </w:r>
      <w:r w:rsidR="003A46A1" w:rsidRPr="00B25E57">
        <w:rPr>
          <w:lang w:val="es-ES_tradnl"/>
        </w:rPr>
        <w:t xml:space="preserve">personal </w:t>
      </w:r>
      <w:r w:rsidR="00FB38C2" w:rsidRPr="00B25E57">
        <w:rPr>
          <w:lang w:val="es-ES_tradnl"/>
        </w:rPr>
        <w:t>de</w:t>
      </w:r>
      <w:r w:rsidR="003A46A1" w:rsidRPr="00B25E57">
        <w:rPr>
          <w:lang w:val="es-ES_tradnl"/>
        </w:rPr>
        <w:t xml:space="preserve"> </w:t>
      </w:r>
      <w:r w:rsidR="00FB38C2" w:rsidRPr="00B25E57">
        <w:rPr>
          <w:lang w:val="es-ES_tradnl"/>
        </w:rPr>
        <w:t>1.</w:t>
      </w:r>
      <w:r w:rsidR="00641E13" w:rsidRPr="00B25E57">
        <w:rPr>
          <w:lang w:val="es-ES_tradnl"/>
        </w:rPr>
        <w:t>18</w:t>
      </w:r>
      <w:r w:rsidR="004241C5" w:rsidRPr="00B25E57">
        <w:rPr>
          <w:lang w:val="es-ES_tradnl"/>
        </w:rPr>
        <w:t>9.</w:t>
      </w:r>
      <w:r w:rsidR="00641E13" w:rsidRPr="00B25E57">
        <w:rPr>
          <w:lang w:val="es-ES_tradnl"/>
        </w:rPr>
        <w:t>000</w:t>
      </w:r>
      <w:r w:rsidR="00995151">
        <w:rPr>
          <w:lang w:val="es-ES_tradnl"/>
        </w:rPr>
        <w:t xml:space="preserve"> </w:t>
      </w:r>
      <w:r w:rsidR="00995151" w:rsidRPr="00995151">
        <w:rPr>
          <w:lang w:val="es-ES_tradnl"/>
        </w:rPr>
        <w:t>$EUA</w:t>
      </w:r>
      <w:r w:rsidR="00632D4C" w:rsidRPr="00B25E57">
        <w:rPr>
          <w:lang w:val="es-ES_tradnl"/>
        </w:rPr>
        <w:t>.</w:t>
      </w:r>
    </w:p>
    <w:p w14:paraId="2BCDE9BD" w14:textId="00191AB0" w:rsidR="00641E13" w:rsidRPr="00B25E57" w:rsidRDefault="00FB38C2" w:rsidP="00AD1D61">
      <w:pPr>
        <w:keepNext/>
        <w:keepLines/>
        <w:rPr>
          <w:b/>
          <w:sz w:val="21"/>
          <w:szCs w:val="21"/>
          <w:lang w:val="es-ES_tradnl"/>
        </w:rPr>
      </w:pPr>
      <w:r w:rsidRPr="00B25E57">
        <w:rPr>
          <w:b/>
          <w:sz w:val="21"/>
          <w:szCs w:val="21"/>
          <w:lang w:val="es-ES_tradnl"/>
        </w:rPr>
        <w:lastRenderedPageBreak/>
        <w:t>Cuadro</w:t>
      </w:r>
      <w:r w:rsidR="003A46A1" w:rsidRPr="00B25E57">
        <w:rPr>
          <w:b/>
          <w:sz w:val="21"/>
          <w:szCs w:val="21"/>
          <w:lang w:val="es-ES_tradnl"/>
        </w:rPr>
        <w:t xml:space="preserve"> </w:t>
      </w:r>
      <w:r w:rsidR="00F140FA" w:rsidRPr="00B25E57">
        <w:rPr>
          <w:b/>
          <w:sz w:val="21"/>
          <w:szCs w:val="21"/>
          <w:lang w:val="es-ES_tradnl"/>
        </w:rPr>
        <w:t>3.</w:t>
      </w:r>
      <w:r w:rsidR="003A46A1" w:rsidRPr="00B25E57">
        <w:rPr>
          <w:b/>
          <w:sz w:val="21"/>
          <w:szCs w:val="21"/>
          <w:lang w:val="es-ES_tradnl"/>
        </w:rPr>
        <w:t xml:space="preserve"> </w:t>
      </w:r>
      <w:r w:rsidR="008B024B">
        <w:rPr>
          <w:b/>
          <w:sz w:val="21"/>
          <w:szCs w:val="21"/>
          <w:lang w:val="es-ES_tradnl"/>
        </w:rPr>
        <w:t>VAN del lucro cesante</w:t>
      </w:r>
      <w:r w:rsidR="003A46A1" w:rsidRPr="00B25E57">
        <w:rPr>
          <w:b/>
          <w:sz w:val="21"/>
          <w:szCs w:val="21"/>
          <w:lang w:val="es-ES_tradnl"/>
        </w:rPr>
        <w:t xml:space="preserve"> </w:t>
      </w:r>
      <w:r w:rsidR="008B024B">
        <w:rPr>
          <w:b/>
          <w:sz w:val="21"/>
          <w:szCs w:val="21"/>
          <w:lang w:val="es-ES_tradnl"/>
        </w:rPr>
        <w:t>en 2020-2030</w:t>
      </w:r>
    </w:p>
    <w:tbl>
      <w:tblPr>
        <w:tblStyle w:val="GridTable4-Accent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88"/>
        <w:gridCol w:w="4788"/>
      </w:tblGrid>
      <w:tr w:rsidR="00F140FA" w:rsidRPr="00B25E57" w14:paraId="4E319174" w14:textId="77777777" w:rsidTr="00F14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8CB3FB" w14:textId="2D223476" w:rsidR="00F140FA" w:rsidRPr="00B25E57" w:rsidRDefault="0061462C" w:rsidP="00AD1D61">
            <w:pPr>
              <w:keepNext/>
              <w:keepLines/>
              <w:jc w:val="center"/>
              <w:rPr>
                <w:rFonts w:ascii="Times New Roman" w:hAnsi="Times New Roman"/>
                <w:color w:val="auto"/>
                <w:sz w:val="21"/>
                <w:szCs w:val="21"/>
                <w:lang w:val="es-ES_tradnl"/>
              </w:rPr>
            </w:pPr>
            <w:r>
              <w:rPr>
                <w:rFonts w:ascii="Times New Roman" w:hAnsi="Times New Roman"/>
                <w:color w:val="auto"/>
                <w:sz w:val="21"/>
                <w:szCs w:val="21"/>
                <w:lang w:val="es-ES_tradnl"/>
              </w:rPr>
              <w:t>Escenario</w:t>
            </w:r>
            <w:r w:rsidR="003A46A1" w:rsidRPr="00B25E57">
              <w:rPr>
                <w:rFonts w:ascii="Times New Roman" w:hAnsi="Times New Roman"/>
                <w:color w:val="auto"/>
                <w:sz w:val="21"/>
                <w:szCs w:val="21"/>
                <w:lang w:val="es-ES_tradnl"/>
              </w:rPr>
              <w:t xml:space="preserve"> </w:t>
            </w:r>
            <w:r w:rsidR="00F33C58" w:rsidRPr="00B25E57">
              <w:rPr>
                <w:rFonts w:ascii="Times New Roman" w:hAnsi="Times New Roman"/>
                <w:color w:val="auto"/>
                <w:sz w:val="21"/>
                <w:szCs w:val="21"/>
                <w:lang w:val="es-ES_tradnl"/>
              </w:rPr>
              <w:t>Opción</w:t>
            </w:r>
            <w:r w:rsidR="003A46A1" w:rsidRPr="00B25E57">
              <w:rPr>
                <w:rFonts w:ascii="Times New Roman" w:hAnsi="Times New Roman"/>
                <w:color w:val="auto"/>
                <w:sz w:val="21"/>
                <w:szCs w:val="21"/>
                <w:lang w:val="es-ES_tradnl"/>
              </w:rPr>
              <w:t xml:space="preserve"> </w:t>
            </w:r>
            <w:r w:rsidR="00823A80" w:rsidRPr="00B25E57">
              <w:rPr>
                <w:rFonts w:ascii="Times New Roman" w:hAnsi="Times New Roman"/>
                <w:color w:val="auto"/>
                <w:sz w:val="21"/>
                <w:szCs w:val="21"/>
                <w:lang w:val="es-ES_tradnl"/>
              </w:rPr>
              <w:t>1</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E16020" w14:textId="0A4EAEF8" w:rsidR="00F140FA" w:rsidRPr="00B25E57" w:rsidRDefault="00F56FE6" w:rsidP="00AD1D61">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lang w:val="es-ES_tradnl"/>
              </w:rPr>
            </w:pPr>
            <w:r>
              <w:rPr>
                <w:rFonts w:ascii="Times New Roman" w:hAnsi="Times New Roman"/>
                <w:color w:val="auto"/>
                <w:sz w:val="21"/>
                <w:szCs w:val="21"/>
                <w:lang w:val="es-ES_tradnl"/>
              </w:rPr>
              <w:t>VAN</w:t>
            </w:r>
            <w:r w:rsidR="003A46A1" w:rsidRPr="00B25E57">
              <w:rPr>
                <w:rFonts w:ascii="Times New Roman" w:hAnsi="Times New Roman"/>
                <w:color w:val="auto"/>
                <w:sz w:val="21"/>
                <w:szCs w:val="21"/>
                <w:lang w:val="es-ES_tradnl"/>
              </w:rPr>
              <w:t xml:space="preserve"> </w:t>
            </w:r>
            <w:r w:rsidR="004057BA" w:rsidRPr="00B25E57">
              <w:rPr>
                <w:rFonts w:ascii="Times New Roman" w:hAnsi="Times New Roman"/>
                <w:color w:val="auto"/>
                <w:sz w:val="21"/>
                <w:szCs w:val="21"/>
                <w:lang w:val="es-ES_tradnl"/>
              </w:rPr>
              <w:t>($EUA)</w:t>
            </w:r>
          </w:p>
        </w:tc>
      </w:tr>
      <w:tr w:rsidR="00F140FA" w:rsidRPr="00B25E57" w14:paraId="3230EF5E" w14:textId="77777777" w:rsidTr="00F1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tcBorders>
            <w:shd w:val="clear" w:color="auto" w:fill="FFFFFF" w:themeFill="background1"/>
            <w:noWrap/>
            <w:hideMark/>
          </w:tcPr>
          <w:p w14:paraId="5EA5E335" w14:textId="19FB4877" w:rsidR="00F140FA" w:rsidRPr="00B25E57" w:rsidRDefault="00F140FA" w:rsidP="00AD1D61">
            <w:pPr>
              <w:keepNext/>
              <w:keepLines/>
              <w:jc w:val="center"/>
              <w:rPr>
                <w:rFonts w:ascii="Times New Roman" w:hAnsi="Times New Roman"/>
                <w:b w:val="0"/>
                <w:sz w:val="21"/>
                <w:szCs w:val="21"/>
                <w:lang w:val="es-ES_tradnl"/>
              </w:rPr>
            </w:pPr>
            <w:r w:rsidRPr="00B25E57">
              <w:rPr>
                <w:rFonts w:ascii="Times New Roman" w:hAnsi="Times New Roman"/>
                <w:b w:val="0"/>
                <w:sz w:val="21"/>
                <w:szCs w:val="21"/>
                <w:lang w:val="es-ES_tradnl"/>
              </w:rPr>
              <w:t>A</w:t>
            </w:r>
            <w:r w:rsidR="003A46A1" w:rsidRPr="00B25E57">
              <w:rPr>
                <w:b w:val="0"/>
                <w:sz w:val="21"/>
                <w:szCs w:val="21"/>
                <w:lang w:val="es-ES_tradnl"/>
              </w:rPr>
              <w:t xml:space="preserve"> </w:t>
            </w:r>
            <w:r w:rsidR="00F33C58" w:rsidRPr="00B25E57">
              <w:rPr>
                <w:rFonts w:ascii="Times New Roman" w:hAnsi="Times New Roman"/>
                <w:b w:val="0"/>
                <w:sz w:val="21"/>
                <w:szCs w:val="21"/>
                <w:lang w:val="es-ES_tradnl"/>
              </w:rPr>
              <w:t>Opción</w:t>
            </w:r>
            <w:r w:rsidR="003A46A1" w:rsidRPr="00B25E57">
              <w:rPr>
                <w:rFonts w:ascii="Times New Roman" w:hAnsi="Times New Roman"/>
                <w:b w:val="0"/>
                <w:sz w:val="21"/>
                <w:szCs w:val="21"/>
                <w:lang w:val="es-ES_tradnl"/>
              </w:rPr>
              <w:t xml:space="preserve"> </w:t>
            </w:r>
            <w:r w:rsidR="00DF641D" w:rsidRPr="00B25E57">
              <w:rPr>
                <w:rFonts w:ascii="Times New Roman" w:hAnsi="Times New Roman"/>
                <w:b w:val="0"/>
                <w:sz w:val="21"/>
                <w:szCs w:val="21"/>
                <w:lang w:val="es-ES_tradnl"/>
              </w:rPr>
              <w:t>1</w:t>
            </w:r>
          </w:p>
        </w:tc>
        <w:tc>
          <w:tcPr>
            <w:tcW w:w="2500" w:type="pct"/>
            <w:tcBorders>
              <w:top w:val="single" w:sz="4" w:space="0" w:color="auto"/>
            </w:tcBorders>
            <w:shd w:val="clear" w:color="auto" w:fill="FFFFFF" w:themeFill="background1"/>
          </w:tcPr>
          <w:p w14:paraId="1D0A60D1" w14:textId="52FDFD09" w:rsidR="00F140FA" w:rsidRPr="00B25E57" w:rsidRDefault="00F140FA" w:rsidP="00AD1D61">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u w:val="single"/>
                <w:lang w:val="es-ES_tradnl"/>
              </w:rPr>
            </w:pPr>
            <w:r w:rsidRPr="00B25E57">
              <w:rPr>
                <w:rFonts w:ascii="Times New Roman" w:hAnsi="Times New Roman"/>
                <w:sz w:val="21"/>
                <w:szCs w:val="21"/>
                <w:lang w:val="es-ES_tradnl"/>
              </w:rPr>
              <w:t>5</w:t>
            </w:r>
            <w:r w:rsidR="004241C5" w:rsidRPr="00B25E57">
              <w:rPr>
                <w:rFonts w:ascii="Times New Roman" w:hAnsi="Times New Roman"/>
                <w:sz w:val="21"/>
                <w:szCs w:val="21"/>
                <w:lang w:val="es-ES_tradnl"/>
              </w:rPr>
              <w:t>9.</w:t>
            </w:r>
            <w:r w:rsidRPr="00B25E57">
              <w:rPr>
                <w:rFonts w:ascii="Times New Roman" w:hAnsi="Times New Roman"/>
                <w:sz w:val="21"/>
                <w:szCs w:val="21"/>
                <w:lang w:val="es-ES_tradnl"/>
              </w:rPr>
              <w:t>66</w:t>
            </w:r>
            <w:r w:rsidR="004241C5" w:rsidRPr="00B25E57">
              <w:rPr>
                <w:rFonts w:ascii="Times New Roman" w:hAnsi="Times New Roman"/>
                <w:sz w:val="21"/>
                <w:szCs w:val="21"/>
                <w:lang w:val="es-ES_tradnl"/>
              </w:rPr>
              <w:t>7.</w:t>
            </w:r>
            <w:r w:rsidRPr="00B25E57">
              <w:rPr>
                <w:rFonts w:ascii="Times New Roman" w:hAnsi="Times New Roman"/>
                <w:sz w:val="21"/>
                <w:szCs w:val="21"/>
                <w:lang w:val="es-ES_tradnl"/>
              </w:rPr>
              <w:t>000</w:t>
            </w:r>
          </w:p>
        </w:tc>
      </w:tr>
      <w:tr w:rsidR="00F140FA" w:rsidRPr="00B25E57" w14:paraId="22E4D995" w14:textId="77777777" w:rsidTr="00F140FA">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noWrap/>
            <w:hideMark/>
          </w:tcPr>
          <w:p w14:paraId="1A5BC0E4" w14:textId="630258D9" w:rsidR="00F140FA" w:rsidRPr="00B25E57" w:rsidRDefault="00F140FA" w:rsidP="00AD1D61">
            <w:pPr>
              <w:keepNext/>
              <w:keepLines/>
              <w:jc w:val="center"/>
              <w:rPr>
                <w:rFonts w:ascii="Times New Roman" w:hAnsi="Times New Roman"/>
                <w:b w:val="0"/>
                <w:sz w:val="21"/>
                <w:szCs w:val="21"/>
                <w:lang w:val="es-ES_tradnl"/>
              </w:rPr>
            </w:pPr>
            <w:r w:rsidRPr="00B25E57">
              <w:rPr>
                <w:rFonts w:ascii="Times New Roman" w:hAnsi="Times New Roman"/>
                <w:b w:val="0"/>
                <w:sz w:val="21"/>
                <w:szCs w:val="21"/>
                <w:lang w:val="es-ES_tradnl"/>
              </w:rPr>
              <w:t>B</w:t>
            </w:r>
            <w:r w:rsidR="003A46A1" w:rsidRPr="00B25E57">
              <w:rPr>
                <w:b w:val="0"/>
                <w:sz w:val="21"/>
                <w:szCs w:val="21"/>
                <w:lang w:val="es-ES_tradnl"/>
              </w:rPr>
              <w:t xml:space="preserve"> </w:t>
            </w:r>
            <w:r w:rsidR="00F33C58" w:rsidRPr="00B25E57">
              <w:rPr>
                <w:rFonts w:ascii="Times New Roman" w:hAnsi="Times New Roman"/>
                <w:b w:val="0"/>
                <w:sz w:val="21"/>
                <w:szCs w:val="21"/>
                <w:lang w:val="es-ES_tradnl"/>
              </w:rPr>
              <w:t>Opción</w:t>
            </w:r>
            <w:r w:rsidR="003A46A1" w:rsidRPr="00B25E57">
              <w:rPr>
                <w:rFonts w:ascii="Times New Roman" w:hAnsi="Times New Roman"/>
                <w:b w:val="0"/>
                <w:sz w:val="21"/>
                <w:szCs w:val="21"/>
                <w:lang w:val="es-ES_tradnl"/>
              </w:rPr>
              <w:t xml:space="preserve"> </w:t>
            </w:r>
            <w:r w:rsidR="00DF641D" w:rsidRPr="00B25E57">
              <w:rPr>
                <w:rFonts w:ascii="Times New Roman" w:hAnsi="Times New Roman"/>
                <w:b w:val="0"/>
                <w:sz w:val="21"/>
                <w:szCs w:val="21"/>
                <w:lang w:val="es-ES_tradnl"/>
              </w:rPr>
              <w:t>1</w:t>
            </w:r>
          </w:p>
        </w:tc>
        <w:tc>
          <w:tcPr>
            <w:tcW w:w="2500" w:type="pct"/>
            <w:shd w:val="clear" w:color="auto" w:fill="FFFFFF" w:themeFill="background1"/>
          </w:tcPr>
          <w:p w14:paraId="4D03B934" w14:textId="7BBB076F" w:rsidR="00F140FA" w:rsidRPr="00B25E57" w:rsidRDefault="00F140FA" w:rsidP="00AD1D6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u w:val="single"/>
                <w:lang w:val="es-ES_tradnl"/>
              </w:rPr>
            </w:pPr>
            <w:r w:rsidRPr="00B25E57">
              <w:rPr>
                <w:rFonts w:ascii="Times New Roman" w:hAnsi="Times New Roman"/>
                <w:sz w:val="21"/>
                <w:szCs w:val="21"/>
                <w:lang w:val="es-ES_tradnl"/>
              </w:rPr>
              <w:t>4</w:t>
            </w:r>
            <w:r w:rsidR="004241C5" w:rsidRPr="00B25E57">
              <w:rPr>
                <w:rFonts w:ascii="Times New Roman" w:hAnsi="Times New Roman"/>
                <w:sz w:val="21"/>
                <w:szCs w:val="21"/>
                <w:lang w:val="es-ES_tradnl"/>
              </w:rPr>
              <w:t>6.</w:t>
            </w:r>
            <w:r w:rsidRPr="00B25E57">
              <w:rPr>
                <w:rFonts w:ascii="Times New Roman" w:hAnsi="Times New Roman"/>
                <w:sz w:val="21"/>
                <w:szCs w:val="21"/>
                <w:lang w:val="es-ES_tradnl"/>
              </w:rPr>
              <w:t>29</w:t>
            </w:r>
            <w:r w:rsidR="004241C5" w:rsidRPr="00B25E57">
              <w:rPr>
                <w:rFonts w:ascii="Times New Roman" w:hAnsi="Times New Roman"/>
                <w:sz w:val="21"/>
                <w:szCs w:val="21"/>
                <w:lang w:val="es-ES_tradnl"/>
              </w:rPr>
              <w:t>9.</w:t>
            </w:r>
            <w:r w:rsidRPr="00B25E57">
              <w:rPr>
                <w:rFonts w:ascii="Times New Roman" w:hAnsi="Times New Roman"/>
                <w:sz w:val="21"/>
                <w:szCs w:val="21"/>
                <w:lang w:val="es-ES_tradnl"/>
              </w:rPr>
              <w:t>000</w:t>
            </w:r>
          </w:p>
        </w:tc>
      </w:tr>
      <w:tr w:rsidR="00F140FA" w:rsidRPr="00B25E57" w14:paraId="0147F3DA" w14:textId="77777777" w:rsidTr="00F1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noWrap/>
            <w:hideMark/>
          </w:tcPr>
          <w:p w14:paraId="407BECDD" w14:textId="67E8CF35" w:rsidR="00F140FA" w:rsidRPr="00B25E57" w:rsidRDefault="00F140FA" w:rsidP="00AD1D61">
            <w:pPr>
              <w:keepNext/>
              <w:keepLines/>
              <w:jc w:val="center"/>
              <w:rPr>
                <w:rFonts w:ascii="Times New Roman" w:hAnsi="Times New Roman"/>
                <w:b w:val="0"/>
                <w:sz w:val="21"/>
                <w:szCs w:val="21"/>
                <w:lang w:val="es-ES_tradnl"/>
              </w:rPr>
            </w:pPr>
            <w:r w:rsidRPr="00B25E57">
              <w:rPr>
                <w:rFonts w:ascii="Times New Roman" w:hAnsi="Times New Roman"/>
                <w:b w:val="0"/>
                <w:sz w:val="21"/>
                <w:szCs w:val="21"/>
                <w:lang w:val="es-ES_tradnl"/>
              </w:rPr>
              <w:t>C</w:t>
            </w:r>
            <w:r w:rsidR="003A46A1" w:rsidRPr="00B25E57">
              <w:rPr>
                <w:b w:val="0"/>
                <w:sz w:val="21"/>
                <w:szCs w:val="21"/>
                <w:lang w:val="es-ES_tradnl"/>
              </w:rPr>
              <w:t xml:space="preserve"> </w:t>
            </w:r>
            <w:r w:rsidR="00F33C58" w:rsidRPr="00B25E57">
              <w:rPr>
                <w:rFonts w:ascii="Times New Roman" w:hAnsi="Times New Roman"/>
                <w:b w:val="0"/>
                <w:sz w:val="21"/>
                <w:szCs w:val="21"/>
                <w:lang w:val="es-ES_tradnl"/>
              </w:rPr>
              <w:t>Opción</w:t>
            </w:r>
            <w:r w:rsidR="003A46A1" w:rsidRPr="00B25E57">
              <w:rPr>
                <w:rFonts w:ascii="Times New Roman" w:hAnsi="Times New Roman"/>
                <w:b w:val="0"/>
                <w:sz w:val="21"/>
                <w:szCs w:val="21"/>
                <w:lang w:val="es-ES_tradnl"/>
              </w:rPr>
              <w:t xml:space="preserve"> </w:t>
            </w:r>
            <w:r w:rsidR="00DF641D" w:rsidRPr="00B25E57">
              <w:rPr>
                <w:rFonts w:ascii="Times New Roman" w:hAnsi="Times New Roman"/>
                <w:b w:val="0"/>
                <w:sz w:val="21"/>
                <w:szCs w:val="21"/>
                <w:lang w:val="es-ES_tradnl"/>
              </w:rPr>
              <w:t>1</w:t>
            </w:r>
          </w:p>
        </w:tc>
        <w:tc>
          <w:tcPr>
            <w:tcW w:w="2500" w:type="pct"/>
            <w:shd w:val="clear" w:color="auto" w:fill="FFFFFF" w:themeFill="background1"/>
          </w:tcPr>
          <w:p w14:paraId="6D3ABBEA" w14:textId="2A00EC54" w:rsidR="00F140FA" w:rsidRPr="00B25E57" w:rsidRDefault="00F140FA" w:rsidP="00AD1D61">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u w:val="single"/>
                <w:lang w:val="es-ES_tradnl"/>
              </w:rPr>
            </w:pPr>
            <w:r w:rsidRPr="00B25E57">
              <w:rPr>
                <w:rFonts w:ascii="Times New Roman" w:hAnsi="Times New Roman"/>
                <w:sz w:val="21"/>
                <w:szCs w:val="21"/>
                <w:lang w:val="es-ES_tradnl"/>
              </w:rPr>
              <w:t>1</w:t>
            </w:r>
            <w:r w:rsidR="004241C5" w:rsidRPr="00B25E57">
              <w:rPr>
                <w:rFonts w:ascii="Times New Roman" w:hAnsi="Times New Roman"/>
                <w:sz w:val="21"/>
                <w:szCs w:val="21"/>
                <w:lang w:val="es-ES_tradnl"/>
              </w:rPr>
              <w:t>6.</w:t>
            </w:r>
            <w:r w:rsidRPr="00B25E57">
              <w:rPr>
                <w:rFonts w:ascii="Times New Roman" w:hAnsi="Times New Roman"/>
                <w:sz w:val="21"/>
                <w:szCs w:val="21"/>
                <w:lang w:val="es-ES_tradnl"/>
              </w:rPr>
              <w:t>78</w:t>
            </w:r>
            <w:r w:rsidR="00FB38C2" w:rsidRPr="00B25E57">
              <w:rPr>
                <w:rFonts w:ascii="Times New Roman" w:hAnsi="Times New Roman"/>
                <w:sz w:val="21"/>
                <w:szCs w:val="21"/>
                <w:lang w:val="es-ES_tradnl"/>
              </w:rPr>
              <w:t>0.</w:t>
            </w:r>
            <w:r w:rsidRPr="00B25E57">
              <w:rPr>
                <w:rFonts w:ascii="Times New Roman" w:hAnsi="Times New Roman"/>
                <w:sz w:val="21"/>
                <w:szCs w:val="21"/>
                <w:lang w:val="es-ES_tradnl"/>
              </w:rPr>
              <w:t>000</w:t>
            </w:r>
          </w:p>
        </w:tc>
      </w:tr>
      <w:tr w:rsidR="00F140FA" w:rsidRPr="00B25E57" w14:paraId="0D9E9A72" w14:textId="77777777" w:rsidTr="00F140FA">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noWrap/>
            <w:hideMark/>
          </w:tcPr>
          <w:p w14:paraId="40629EC7" w14:textId="0A7B722F" w:rsidR="00F140FA" w:rsidRPr="00B25E57" w:rsidRDefault="00F140FA" w:rsidP="00AD1D61">
            <w:pPr>
              <w:keepNext/>
              <w:keepLines/>
              <w:jc w:val="center"/>
              <w:rPr>
                <w:rFonts w:ascii="Times New Roman" w:hAnsi="Times New Roman"/>
                <w:b w:val="0"/>
                <w:sz w:val="21"/>
                <w:szCs w:val="21"/>
                <w:lang w:val="es-ES_tradnl"/>
              </w:rPr>
            </w:pPr>
            <w:r w:rsidRPr="00B25E57">
              <w:rPr>
                <w:rFonts w:ascii="Times New Roman" w:hAnsi="Times New Roman"/>
                <w:b w:val="0"/>
                <w:sz w:val="21"/>
                <w:szCs w:val="21"/>
                <w:lang w:val="es-ES_tradnl"/>
              </w:rPr>
              <w:t>D</w:t>
            </w:r>
            <w:r w:rsidR="003A46A1" w:rsidRPr="00B25E57">
              <w:rPr>
                <w:b w:val="0"/>
                <w:sz w:val="21"/>
                <w:szCs w:val="21"/>
                <w:lang w:val="es-ES_tradnl"/>
              </w:rPr>
              <w:t xml:space="preserve"> </w:t>
            </w:r>
            <w:r w:rsidR="00F33C58" w:rsidRPr="00B25E57">
              <w:rPr>
                <w:rFonts w:ascii="Times New Roman" w:hAnsi="Times New Roman"/>
                <w:b w:val="0"/>
                <w:sz w:val="21"/>
                <w:szCs w:val="21"/>
                <w:lang w:val="es-ES_tradnl"/>
              </w:rPr>
              <w:t>Opción</w:t>
            </w:r>
            <w:r w:rsidR="003A46A1" w:rsidRPr="00B25E57">
              <w:rPr>
                <w:rFonts w:ascii="Times New Roman" w:hAnsi="Times New Roman"/>
                <w:b w:val="0"/>
                <w:sz w:val="21"/>
                <w:szCs w:val="21"/>
                <w:lang w:val="es-ES_tradnl"/>
              </w:rPr>
              <w:t xml:space="preserve"> </w:t>
            </w:r>
            <w:r w:rsidR="00DF641D" w:rsidRPr="00B25E57">
              <w:rPr>
                <w:rFonts w:ascii="Times New Roman" w:hAnsi="Times New Roman"/>
                <w:b w:val="0"/>
                <w:sz w:val="21"/>
                <w:szCs w:val="21"/>
                <w:lang w:val="es-ES_tradnl"/>
              </w:rPr>
              <w:t>1</w:t>
            </w:r>
          </w:p>
        </w:tc>
        <w:tc>
          <w:tcPr>
            <w:tcW w:w="2500" w:type="pct"/>
            <w:shd w:val="clear" w:color="auto" w:fill="FFFFFF" w:themeFill="background1"/>
          </w:tcPr>
          <w:p w14:paraId="2272150F" w14:textId="5575BFEA" w:rsidR="00F140FA" w:rsidRPr="00B25E57" w:rsidRDefault="00F140FA" w:rsidP="00AD1D6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u w:val="single"/>
                <w:lang w:val="es-ES_tradnl"/>
              </w:rPr>
            </w:pPr>
            <w:r w:rsidRPr="00B25E57">
              <w:rPr>
                <w:rFonts w:ascii="Times New Roman" w:hAnsi="Times New Roman"/>
                <w:sz w:val="21"/>
                <w:szCs w:val="21"/>
                <w:lang w:val="es-ES_tradnl"/>
              </w:rPr>
              <w:t>1</w:t>
            </w:r>
            <w:r w:rsidR="004241C5" w:rsidRPr="00B25E57">
              <w:rPr>
                <w:rFonts w:ascii="Times New Roman" w:hAnsi="Times New Roman"/>
                <w:sz w:val="21"/>
                <w:szCs w:val="21"/>
                <w:lang w:val="es-ES_tradnl"/>
              </w:rPr>
              <w:t>8.</w:t>
            </w:r>
            <w:r w:rsidRPr="00B25E57">
              <w:rPr>
                <w:rFonts w:ascii="Times New Roman" w:hAnsi="Times New Roman"/>
                <w:sz w:val="21"/>
                <w:szCs w:val="21"/>
                <w:lang w:val="es-ES_tradnl"/>
              </w:rPr>
              <w:t>08</w:t>
            </w:r>
            <w:r w:rsidR="004241C5" w:rsidRPr="00B25E57">
              <w:rPr>
                <w:rFonts w:ascii="Times New Roman" w:hAnsi="Times New Roman"/>
                <w:sz w:val="21"/>
                <w:szCs w:val="21"/>
                <w:lang w:val="es-ES_tradnl"/>
              </w:rPr>
              <w:t>6.</w:t>
            </w:r>
            <w:r w:rsidRPr="00B25E57">
              <w:rPr>
                <w:rFonts w:ascii="Times New Roman" w:hAnsi="Times New Roman"/>
                <w:sz w:val="21"/>
                <w:szCs w:val="21"/>
                <w:lang w:val="es-ES_tradnl"/>
              </w:rPr>
              <w:t>000</w:t>
            </w:r>
          </w:p>
        </w:tc>
      </w:tr>
    </w:tbl>
    <w:p w14:paraId="1897D185" w14:textId="77777777" w:rsidR="00641E13" w:rsidRPr="00B25E57" w:rsidRDefault="00641E13" w:rsidP="00641E13">
      <w:pPr>
        <w:rPr>
          <w:lang w:val="es-ES_tradnl"/>
        </w:rPr>
      </w:pPr>
    </w:p>
    <w:p w14:paraId="134DA772" w14:textId="5D9F12FF" w:rsidR="00E06A90" w:rsidRPr="00B25E57" w:rsidRDefault="00F33C58" w:rsidP="00632D4C">
      <w:pPr>
        <w:pStyle w:val="Heading2"/>
        <w:keepNext/>
        <w:widowControl/>
        <w:numPr>
          <w:ilvl w:val="0"/>
          <w:numId w:val="0"/>
        </w:numPr>
        <w:rPr>
          <w:i/>
          <w:lang w:val="es-ES_tradnl"/>
        </w:rPr>
      </w:pPr>
      <w:r w:rsidRPr="00B25E57">
        <w:rPr>
          <w:i/>
          <w:lang w:val="es-ES_tradnl"/>
        </w:rPr>
        <w:t>Opción</w:t>
      </w:r>
      <w:r w:rsidR="003A46A1" w:rsidRPr="00B25E57">
        <w:rPr>
          <w:i/>
          <w:lang w:val="es-ES_tradnl"/>
        </w:rPr>
        <w:t xml:space="preserve"> </w:t>
      </w:r>
      <w:r w:rsidR="00E06A90" w:rsidRPr="00B25E57">
        <w:rPr>
          <w:i/>
          <w:lang w:val="es-ES_tradnl"/>
        </w:rPr>
        <w:t>2:</w:t>
      </w:r>
      <w:r w:rsidR="003A46A1" w:rsidRPr="00B25E57">
        <w:rPr>
          <w:i/>
          <w:lang w:val="es-ES_tradnl"/>
        </w:rPr>
        <w:t xml:space="preserve"> </w:t>
      </w:r>
      <w:r w:rsidR="007930E9">
        <w:rPr>
          <w:i/>
          <w:lang w:val="es-ES_tradnl"/>
        </w:rPr>
        <w:t xml:space="preserve">Reponer </w:t>
      </w:r>
      <w:r w:rsidR="000150C4">
        <w:rPr>
          <w:i/>
          <w:lang w:val="es-ES_tradnl"/>
        </w:rPr>
        <w:t>en servicio el incinerador</w:t>
      </w:r>
    </w:p>
    <w:p w14:paraId="11811C74" w14:textId="10D34F05" w:rsidR="007B22B4" w:rsidRPr="00B25E57" w:rsidRDefault="00AF11A6" w:rsidP="00C964CE">
      <w:pPr>
        <w:pStyle w:val="Heading1"/>
        <w:rPr>
          <w:lang w:val="es-ES_tradnl"/>
        </w:rPr>
      </w:pPr>
      <w:r>
        <w:rPr>
          <w:lang w:val="es-ES_tradnl"/>
        </w:rPr>
        <w:t>L</w:t>
      </w:r>
      <w:r w:rsidR="00FB38C2" w:rsidRPr="00B25E57">
        <w:rPr>
          <w:lang w:val="es-ES_tradnl"/>
        </w:rPr>
        <w:t>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A10EA9">
        <w:rPr>
          <w:lang w:val="es-ES_tradnl"/>
        </w:rPr>
        <w:t xml:space="preserve">contrató a </w:t>
      </w:r>
      <w:r w:rsidR="009D4E7E" w:rsidRPr="00216433">
        <w:rPr>
          <w:lang w:val="es-ES"/>
        </w:rPr>
        <w:t>SGL</w:t>
      </w:r>
      <w:r w:rsidR="003A46A1" w:rsidRPr="00216433">
        <w:rPr>
          <w:lang w:val="es-ES"/>
        </w:rPr>
        <w:t xml:space="preserve"> </w:t>
      </w:r>
      <w:r w:rsidR="009D4E7E" w:rsidRPr="00216433">
        <w:rPr>
          <w:lang w:val="es-ES"/>
        </w:rPr>
        <w:t>Carbon</w:t>
      </w:r>
      <w:r w:rsidR="009D4E7E" w:rsidRPr="00B25E57">
        <w:rPr>
          <w:lang w:val="es-ES_tradnl"/>
        </w:rPr>
        <w:t>,</w:t>
      </w:r>
      <w:r w:rsidR="003A46A1" w:rsidRPr="00B25E57">
        <w:rPr>
          <w:lang w:val="es-ES_tradnl"/>
        </w:rPr>
        <w:t xml:space="preserve"> </w:t>
      </w:r>
      <w:r w:rsidR="00BC3AD3">
        <w:rPr>
          <w:lang w:val="es-ES_tradnl"/>
        </w:rPr>
        <w:t>fabricante</w:t>
      </w:r>
      <w:r w:rsidR="003A46A1" w:rsidRPr="00B25E57">
        <w:rPr>
          <w:lang w:val="es-ES_tradnl"/>
        </w:rPr>
        <w:t xml:space="preserve"> </w:t>
      </w:r>
      <w:r w:rsidR="004057BA" w:rsidRPr="00B25E57">
        <w:rPr>
          <w:lang w:val="es-ES_tradnl"/>
        </w:rPr>
        <w:t>del</w:t>
      </w:r>
      <w:r w:rsidR="003A46A1" w:rsidRPr="00B25E57">
        <w:rPr>
          <w:lang w:val="es-ES_tradnl"/>
        </w:rPr>
        <w:t xml:space="preserve"> incinerador</w:t>
      </w:r>
      <w:r w:rsidR="009D4E7E" w:rsidRPr="00B25E57">
        <w:rPr>
          <w:lang w:val="es-ES_tradnl"/>
        </w:rPr>
        <w:t>,</w:t>
      </w:r>
      <w:r w:rsidR="003A46A1" w:rsidRPr="00B25E57">
        <w:rPr>
          <w:lang w:val="es-ES_tradnl"/>
        </w:rPr>
        <w:t xml:space="preserve"> </w:t>
      </w:r>
      <w:r w:rsidR="00056588">
        <w:rPr>
          <w:lang w:val="es-ES_tradnl"/>
        </w:rPr>
        <w:t xml:space="preserve">para que </w:t>
      </w:r>
      <w:r w:rsidR="007E4987">
        <w:rPr>
          <w:lang w:val="es-ES_tradnl"/>
        </w:rPr>
        <w:t xml:space="preserve">estimara </w:t>
      </w:r>
      <w:r w:rsidR="007B22B4"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335A3E">
        <w:rPr>
          <w:lang w:val="es-ES_tradnl"/>
        </w:rPr>
        <w:t>de reacondicionar</w:t>
      </w:r>
      <w:r w:rsidR="003A46A1" w:rsidRPr="00B25E57">
        <w:rPr>
          <w:lang w:val="es-ES_tradnl"/>
        </w:rPr>
        <w:t xml:space="preserve"> </w:t>
      </w:r>
      <w:r w:rsidR="00C95B4F">
        <w:rPr>
          <w:lang w:val="es-ES_tradnl"/>
        </w:rPr>
        <w:t>el incinerador</w:t>
      </w:r>
      <w:r w:rsidR="003A46A1" w:rsidRPr="00B25E57">
        <w:rPr>
          <w:lang w:val="es-ES_tradnl"/>
        </w:rPr>
        <w:t xml:space="preserve"> </w:t>
      </w:r>
      <w:r w:rsidR="00361D7B">
        <w:rPr>
          <w:lang w:val="es-ES_tradnl"/>
        </w:rPr>
        <w:t xml:space="preserve">para su puesta </w:t>
      </w:r>
      <w:r w:rsidR="007930E9">
        <w:rPr>
          <w:lang w:val="es-ES_tradnl"/>
        </w:rPr>
        <w:t>en servicio</w:t>
      </w:r>
      <w:r w:rsidR="003A46A1" w:rsidRPr="00B25E57">
        <w:rPr>
          <w:lang w:val="es-ES_tradnl"/>
        </w:rPr>
        <w:t xml:space="preserve"> </w:t>
      </w:r>
      <w:r w:rsidR="00FD21F7">
        <w:rPr>
          <w:lang w:val="es-ES_tradnl"/>
        </w:rPr>
        <w:t xml:space="preserve">en </w:t>
      </w:r>
      <w:r w:rsidR="006A44A9">
        <w:rPr>
          <w:lang w:val="es-ES_tradnl"/>
        </w:rPr>
        <w:t xml:space="preserve">la </w:t>
      </w:r>
      <w:r w:rsidR="00CA02B1">
        <w:rPr>
          <w:lang w:val="es-ES_tradnl"/>
        </w:rPr>
        <w:t xml:space="preserve">destrucción in situ </w:t>
      </w:r>
      <w:r w:rsidR="00FB38C2" w:rsidRPr="00B25E57">
        <w:rPr>
          <w:lang w:val="es-ES_tradnl"/>
        </w:rPr>
        <w:t>de</w:t>
      </w:r>
      <w:r w:rsidR="003A46A1" w:rsidRPr="00B25E57">
        <w:rPr>
          <w:lang w:val="es-ES_tradnl"/>
        </w:rPr>
        <w:t xml:space="preserve"> </w:t>
      </w:r>
      <w:r w:rsidR="00723C5D" w:rsidRPr="00B25E57">
        <w:rPr>
          <w:lang w:val="es-ES_tradnl"/>
        </w:rPr>
        <w:t>HFC</w:t>
      </w:r>
      <w:r w:rsidR="00FB38C2" w:rsidRPr="00B25E57">
        <w:rPr>
          <w:lang w:val="es-ES_tradnl"/>
        </w:rPr>
        <w:t>-</w:t>
      </w:r>
      <w:r w:rsidR="00723C5D" w:rsidRPr="00B25E57">
        <w:rPr>
          <w:lang w:val="es-ES_tradnl"/>
        </w:rPr>
        <w:t>23.</w:t>
      </w:r>
    </w:p>
    <w:p w14:paraId="79189F49" w14:textId="314FF38D" w:rsidR="00FB67BE" w:rsidRPr="00B25E57" w:rsidRDefault="00E31E50" w:rsidP="00AB14F1">
      <w:pPr>
        <w:pStyle w:val="Heading1"/>
        <w:rPr>
          <w:lang w:val="es-ES_tradnl"/>
        </w:rPr>
      </w:pPr>
      <w:r>
        <w:rPr>
          <w:lang w:val="es-ES_tradnl"/>
        </w:rPr>
        <w:t>Tras una visita a terreno</w:t>
      </w:r>
      <w:r w:rsidR="005E0BA0" w:rsidRPr="00B25E57">
        <w:rPr>
          <w:lang w:val="es-ES_tradnl"/>
        </w:rPr>
        <w:t>,</w:t>
      </w:r>
      <w:r w:rsidR="003A46A1" w:rsidRPr="00B25E57">
        <w:rPr>
          <w:lang w:val="es-ES_tradnl"/>
        </w:rPr>
        <w:t xml:space="preserve"> </w:t>
      </w:r>
      <w:r w:rsidR="005E0BA0" w:rsidRPr="00216433">
        <w:rPr>
          <w:lang w:val="es-ES"/>
        </w:rPr>
        <w:t>SGL</w:t>
      </w:r>
      <w:r w:rsidR="003A46A1" w:rsidRPr="00216433">
        <w:rPr>
          <w:lang w:val="es-ES"/>
        </w:rPr>
        <w:t xml:space="preserve"> </w:t>
      </w:r>
      <w:r w:rsidR="005E0BA0" w:rsidRPr="00216433">
        <w:rPr>
          <w:lang w:val="es-ES"/>
        </w:rPr>
        <w:t>Carbon</w:t>
      </w:r>
      <w:r w:rsidR="003A46A1" w:rsidRPr="00B25E57">
        <w:rPr>
          <w:lang w:val="es-ES_tradnl"/>
        </w:rPr>
        <w:t xml:space="preserve"> </w:t>
      </w:r>
      <w:r w:rsidR="0087734B">
        <w:rPr>
          <w:lang w:val="es-ES_tradnl"/>
        </w:rPr>
        <w:t xml:space="preserve">estimó </w:t>
      </w:r>
      <w:r w:rsidR="003036A9">
        <w:rPr>
          <w:lang w:val="es-ES_tradnl"/>
        </w:rPr>
        <w:t xml:space="preserve">necesario </w:t>
      </w:r>
      <w:r w:rsidR="00CC79D3">
        <w:rPr>
          <w:lang w:val="es-ES_tradnl"/>
        </w:rPr>
        <w:t xml:space="preserve">reponer </w:t>
      </w:r>
      <w:r w:rsidR="00A4343B" w:rsidRPr="00B25E57">
        <w:rPr>
          <w:lang w:val="es-ES_tradnl"/>
        </w:rPr>
        <w:t>más</w:t>
      </w:r>
      <w:r w:rsidR="003A46A1" w:rsidRPr="00B25E57">
        <w:rPr>
          <w:lang w:val="es-ES_tradnl"/>
        </w:rPr>
        <w:t xml:space="preserve"> </w:t>
      </w:r>
      <w:r w:rsidR="00A4343B" w:rsidRPr="00B25E57">
        <w:rPr>
          <w:lang w:val="es-ES_tradnl"/>
        </w:rPr>
        <w:t>de</w:t>
      </w:r>
      <w:r w:rsidR="003036A9">
        <w:rPr>
          <w:lang w:val="es-ES_tradnl"/>
        </w:rPr>
        <w:t>l</w:t>
      </w:r>
      <w:r w:rsidR="003A46A1" w:rsidRPr="00B25E57">
        <w:rPr>
          <w:lang w:val="es-ES_tradnl"/>
        </w:rPr>
        <w:t xml:space="preserve"> </w:t>
      </w:r>
      <w:r w:rsidR="009D4E7E" w:rsidRPr="00B25E57">
        <w:rPr>
          <w:lang w:val="es-ES_tradnl"/>
        </w:rPr>
        <w:t>80</w:t>
      </w:r>
      <w:r w:rsidR="00FB38C2" w:rsidRPr="00B25E57">
        <w:rPr>
          <w:lang w:val="es-ES_tradnl"/>
        </w:rPr>
        <w:t>%</w:t>
      </w:r>
      <w:r w:rsidR="003A46A1" w:rsidRPr="00B25E57">
        <w:rPr>
          <w:lang w:val="es-ES_tradnl"/>
        </w:rPr>
        <w:t xml:space="preserve"> </w:t>
      </w:r>
      <w:r w:rsidR="003036A9">
        <w:rPr>
          <w:lang w:val="es-ES_tradnl"/>
        </w:rPr>
        <w:t xml:space="preserve">de los </w:t>
      </w:r>
      <w:r w:rsidR="00565852">
        <w:rPr>
          <w:lang w:val="es-ES_tradnl"/>
        </w:rPr>
        <w:t>componentes del incinerador</w:t>
      </w:r>
      <w:r w:rsidR="005E0BA0" w:rsidRPr="00B25E57">
        <w:rPr>
          <w:lang w:val="es-ES_tradnl"/>
        </w:rPr>
        <w:t>,</w:t>
      </w:r>
      <w:r w:rsidR="003A46A1" w:rsidRPr="00B25E57">
        <w:rPr>
          <w:lang w:val="es-ES_tradnl"/>
        </w:rPr>
        <w:t xml:space="preserve"> </w:t>
      </w:r>
      <w:r w:rsidR="0047433E">
        <w:rPr>
          <w:lang w:val="es-ES_tradnl"/>
        </w:rPr>
        <w:t>entre ellos</w:t>
      </w:r>
      <w:r w:rsidR="003A46A1" w:rsidRPr="00B25E57">
        <w:rPr>
          <w:lang w:val="es-ES_tradnl"/>
        </w:rPr>
        <w:t xml:space="preserve"> </w:t>
      </w:r>
      <w:r w:rsidR="006A3175" w:rsidRPr="006A3175">
        <w:rPr>
          <w:lang w:val="es-ES_tradnl"/>
        </w:rPr>
        <w:t xml:space="preserve">filtro de gases </w:t>
      </w:r>
      <w:r w:rsidR="00EB3173">
        <w:rPr>
          <w:lang w:val="es-ES_tradnl"/>
        </w:rPr>
        <w:t>de salida</w:t>
      </w:r>
      <w:r w:rsidR="00106498">
        <w:rPr>
          <w:lang w:val="es-ES_tradnl"/>
        </w:rPr>
        <w:t>,</w:t>
      </w:r>
      <w:r w:rsidR="003A46A1" w:rsidRPr="00B25E57">
        <w:rPr>
          <w:lang w:val="es-ES_tradnl"/>
        </w:rPr>
        <w:t xml:space="preserve"> </w:t>
      </w:r>
      <w:r w:rsidR="00C45B2F">
        <w:rPr>
          <w:lang w:val="es-ES_tradnl"/>
        </w:rPr>
        <w:t xml:space="preserve">quemador de metales </w:t>
      </w:r>
      <w:r w:rsidR="00F722B7">
        <w:rPr>
          <w:lang w:val="es-ES_tradnl"/>
        </w:rPr>
        <w:t>exóticos</w:t>
      </w:r>
      <w:r w:rsidR="00106498">
        <w:rPr>
          <w:lang w:val="es-ES_tradnl"/>
        </w:rPr>
        <w:t>,</w:t>
      </w:r>
      <w:r w:rsidR="003A46A1" w:rsidRPr="00B25E57">
        <w:rPr>
          <w:rFonts w:cstheme="minorHAnsi"/>
          <w:lang w:val="es-ES_tradnl"/>
        </w:rPr>
        <w:t xml:space="preserve"> </w:t>
      </w:r>
      <w:r w:rsidR="00247694">
        <w:rPr>
          <w:lang w:val="es-ES_tradnl"/>
        </w:rPr>
        <w:t>bombas de reciclaje de ácido fluorhídrico y líquidos</w:t>
      </w:r>
      <w:r w:rsidR="00106498">
        <w:rPr>
          <w:lang w:val="es-ES_tradnl"/>
        </w:rPr>
        <w:t>,</w:t>
      </w:r>
      <w:r w:rsidR="003A46A1" w:rsidRPr="00B25E57">
        <w:rPr>
          <w:lang w:val="es-ES_tradnl"/>
        </w:rPr>
        <w:t xml:space="preserve"> </w:t>
      </w:r>
      <w:r w:rsidR="003F78A9">
        <w:rPr>
          <w:lang w:val="es-ES_tradnl"/>
        </w:rPr>
        <w:t>válvulas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7E4041">
        <w:rPr>
          <w:lang w:val="es-ES_tradnl"/>
        </w:rPr>
        <w:t>accesorios</w:t>
      </w:r>
      <w:r w:rsidR="00106498">
        <w:rPr>
          <w:lang w:val="es-ES_tradnl"/>
        </w:rPr>
        <w:t>,</w:t>
      </w:r>
      <w:r w:rsidR="003A46A1" w:rsidRPr="00B25E57">
        <w:rPr>
          <w:lang w:val="es-ES_tradnl"/>
        </w:rPr>
        <w:t xml:space="preserve"> </w:t>
      </w:r>
      <w:r w:rsidR="00670E2A">
        <w:rPr>
          <w:lang w:val="es-ES_tradnl"/>
        </w:rPr>
        <w:t>instrumentación</w:t>
      </w:r>
      <w:r w:rsidR="009025B9" w:rsidRPr="00B25E57">
        <w:rPr>
          <w:lang w:val="es-ES_tradnl"/>
        </w:rPr>
        <w:t>,</w:t>
      </w:r>
      <w:r w:rsidR="003A46A1" w:rsidRPr="00B25E57">
        <w:rPr>
          <w:lang w:val="es-ES_tradnl"/>
        </w:rPr>
        <w:t xml:space="preserve"> </w:t>
      </w:r>
      <w:r w:rsidR="001424DD">
        <w:rPr>
          <w:lang w:val="es-ES_tradnl"/>
        </w:rPr>
        <w:t>panel</w:t>
      </w:r>
      <w:r w:rsidR="00462763">
        <w:rPr>
          <w:lang w:val="es-ES_tradnl"/>
        </w:rPr>
        <w:t>es</w:t>
      </w:r>
      <w:r w:rsidR="001424DD">
        <w:rPr>
          <w:lang w:val="es-ES_tradnl"/>
        </w:rPr>
        <w:t xml:space="preserve"> de ignición y control</w:t>
      </w:r>
      <w:r w:rsidR="002D334F">
        <w:rPr>
          <w:lang w:val="es-ES_tradnl"/>
        </w:rPr>
        <w:t xml:space="preserve"> y </w:t>
      </w:r>
      <w:r w:rsidR="005C7A3D" w:rsidRPr="005C7A3D">
        <w:rPr>
          <w:lang w:val="es-ES_tradnl"/>
        </w:rPr>
        <w:t>material</w:t>
      </w:r>
      <w:r w:rsidR="005C7A3D">
        <w:rPr>
          <w:lang w:val="es-ES_tradnl"/>
        </w:rPr>
        <w:t xml:space="preserve">es </w:t>
      </w:r>
      <w:r w:rsidR="00FC29EB">
        <w:rPr>
          <w:lang w:val="es-ES_tradnl"/>
        </w:rPr>
        <w:t xml:space="preserve">para </w:t>
      </w:r>
      <w:r w:rsidR="00E026E0">
        <w:rPr>
          <w:lang w:val="es-ES_tradnl"/>
        </w:rPr>
        <w:t xml:space="preserve">arreglo y reacondicionamiento </w:t>
      </w:r>
      <w:r w:rsidR="00A77F13">
        <w:rPr>
          <w:lang w:val="es-ES_tradnl"/>
        </w:rPr>
        <w:t>de tuberías</w:t>
      </w:r>
      <w:r w:rsidR="00106498">
        <w:rPr>
          <w:lang w:val="es-ES_tradnl"/>
        </w:rPr>
        <w:t>,</w:t>
      </w:r>
      <w:r w:rsidR="003A46A1" w:rsidRPr="00B25E57">
        <w:rPr>
          <w:lang w:val="es-ES_tradnl"/>
        </w:rPr>
        <w:t xml:space="preserve"> </w:t>
      </w:r>
      <w:r w:rsidR="002D334F">
        <w:rPr>
          <w:lang w:val="es-ES_tradnl"/>
        </w:rPr>
        <w:t xml:space="preserve">más </w:t>
      </w:r>
      <w:r w:rsidR="00F942C6" w:rsidRPr="00B25E57">
        <w:rPr>
          <w:lang w:val="es-ES_tradnl"/>
        </w:rPr>
        <w:t>repuestos</w:t>
      </w:r>
      <w:r w:rsidR="003A46A1" w:rsidRPr="00B25E57">
        <w:rPr>
          <w:lang w:val="es-ES_tradnl"/>
        </w:rPr>
        <w:t xml:space="preserve"> </w:t>
      </w:r>
      <w:r w:rsidR="001C692F">
        <w:rPr>
          <w:lang w:val="es-ES_tradnl"/>
        </w:rPr>
        <w:t>para</w:t>
      </w:r>
      <w:r w:rsidR="003A46A1" w:rsidRPr="00B25E57">
        <w:rPr>
          <w:lang w:val="es-ES_tradnl"/>
        </w:rPr>
        <w:t xml:space="preserve"> </w:t>
      </w:r>
      <w:r w:rsidR="009025B9" w:rsidRPr="00B25E57">
        <w:rPr>
          <w:lang w:val="es-ES_tradnl"/>
        </w:rPr>
        <w:t>10</w:t>
      </w:r>
      <w:r w:rsidR="003A46A1" w:rsidRPr="00B25E57">
        <w:rPr>
          <w:lang w:val="es-ES_tradnl"/>
        </w:rPr>
        <w:t xml:space="preserve"> </w:t>
      </w:r>
      <w:r w:rsidR="008A3316" w:rsidRPr="00B25E57">
        <w:rPr>
          <w:lang w:val="es-ES_tradnl"/>
        </w:rPr>
        <w:t>años</w:t>
      </w:r>
      <w:r w:rsidR="00AB14F1" w:rsidRPr="00B25E57">
        <w:rPr>
          <w:lang w:val="es-ES_tradnl"/>
        </w:rPr>
        <w:t>.</w:t>
      </w:r>
      <w:r w:rsidR="003A46A1" w:rsidRPr="00B25E57">
        <w:rPr>
          <w:lang w:val="es-ES_tradnl"/>
        </w:rPr>
        <w:t xml:space="preserve"> </w:t>
      </w:r>
      <w:r w:rsidR="00E80EBF">
        <w:rPr>
          <w:lang w:val="es-ES_tradnl"/>
        </w:rPr>
        <w:t xml:space="preserve">Se incluyó </w:t>
      </w:r>
      <w:r w:rsidR="00140B71">
        <w:rPr>
          <w:lang w:val="es-ES_tradnl"/>
        </w:rPr>
        <w:t xml:space="preserve">además un </w:t>
      </w:r>
      <w:r w:rsidR="00EB3173">
        <w:rPr>
          <w:lang w:val="es-ES_tradnl"/>
        </w:rPr>
        <w:t xml:space="preserve">filtro </w:t>
      </w:r>
      <w:r w:rsidR="003F3E81" w:rsidRPr="003F3E81">
        <w:rPr>
          <w:lang w:val="es-ES_tradnl"/>
        </w:rPr>
        <w:t xml:space="preserve">optativo </w:t>
      </w:r>
      <w:r w:rsidR="00EB3173">
        <w:rPr>
          <w:lang w:val="es-ES_tradnl"/>
        </w:rPr>
        <w:t>de gases de salida</w:t>
      </w:r>
      <w:r w:rsidR="00777444">
        <w:rPr>
          <w:lang w:val="es-ES_tradnl"/>
        </w:rPr>
        <w:t xml:space="preserve"> de </w:t>
      </w:r>
      <w:r w:rsidR="003F3E81">
        <w:rPr>
          <w:lang w:val="es-ES_tradnl"/>
        </w:rPr>
        <w:t>politetrafluoroetileno</w:t>
      </w:r>
      <w:r w:rsidR="00FB67BE" w:rsidRPr="00B25E57">
        <w:rPr>
          <w:lang w:val="es-ES_tradnl"/>
        </w:rPr>
        <w:t>,</w:t>
      </w:r>
      <w:r w:rsidR="003A46A1" w:rsidRPr="00B25E57">
        <w:rPr>
          <w:lang w:val="es-ES_tradnl"/>
        </w:rPr>
        <w:t xml:space="preserve"> </w:t>
      </w:r>
      <w:r w:rsidR="00DD13D3">
        <w:rPr>
          <w:lang w:val="es-ES_tradnl"/>
        </w:rPr>
        <w:t>recarga de</w:t>
      </w:r>
      <w:r w:rsidR="003A46A1" w:rsidRPr="00B25E57">
        <w:rPr>
          <w:lang w:val="es-ES_tradnl"/>
        </w:rPr>
        <w:t xml:space="preserve"> </w:t>
      </w:r>
      <w:r w:rsidR="00A073DC">
        <w:rPr>
          <w:lang w:val="es-ES_tradnl"/>
        </w:rPr>
        <w:t>zeolita</w:t>
      </w:r>
      <w:r w:rsidR="003A46A1" w:rsidRPr="00B25E57">
        <w:rPr>
          <w:lang w:val="es-ES_tradnl"/>
        </w:rPr>
        <w:t xml:space="preserve"> </w:t>
      </w:r>
      <w:r w:rsidR="004324D7">
        <w:rPr>
          <w:lang w:val="es-ES_tradnl"/>
        </w:rPr>
        <w:t xml:space="preserve">para el </w:t>
      </w:r>
      <w:r w:rsidR="004324D7" w:rsidRPr="004324D7">
        <w:rPr>
          <w:lang w:val="es-ES_tradnl"/>
        </w:rPr>
        <w:t xml:space="preserve">generador de oxígeno </w:t>
      </w:r>
      <w:r w:rsidR="00010DAA" w:rsidRPr="00B25E57">
        <w:rPr>
          <w:lang w:val="es-ES_tradnl"/>
        </w:rPr>
        <w:t>PSA</w:t>
      </w:r>
      <w:r w:rsidR="004324D7">
        <w:rPr>
          <w:lang w:val="es-ES_tradnl"/>
        </w:rPr>
        <w:t xml:space="preserve"> (</w:t>
      </w:r>
      <w:r w:rsidR="004324D7" w:rsidRPr="004324D7">
        <w:rPr>
          <w:lang w:val="es-ES_tradnl"/>
        </w:rPr>
        <w:t>adsorción por oscilación de presión</w:t>
      </w:r>
      <w:r w:rsidR="00010DAA" w:rsidRPr="00B25E57">
        <w:rPr>
          <w:lang w:val="es-ES_tradnl"/>
        </w:rPr>
        <w:t>)</w:t>
      </w:r>
      <w:r w:rsidR="00FB67BE" w:rsidRPr="00B25E57">
        <w:rPr>
          <w:lang w:val="es-ES_tradnl"/>
        </w:rPr>
        <w:t>,</w:t>
      </w:r>
      <w:r w:rsidR="003A46A1" w:rsidRPr="00B25E57">
        <w:rPr>
          <w:lang w:val="es-ES_tradnl"/>
        </w:rPr>
        <w:t xml:space="preserve"> </w:t>
      </w:r>
      <w:r w:rsidR="005F5247">
        <w:rPr>
          <w:lang w:val="es-ES_tradnl"/>
        </w:rPr>
        <w:t>costo</w:t>
      </w:r>
      <w:r w:rsidR="000B1117">
        <w:rPr>
          <w:lang w:val="es-ES_tradnl"/>
        </w:rPr>
        <w:t xml:space="preserve"> de </w:t>
      </w:r>
      <w:r w:rsidR="005F5247">
        <w:rPr>
          <w:lang w:val="es-ES_tradnl"/>
        </w:rPr>
        <w:t>obras</w:t>
      </w:r>
      <w:r w:rsidR="003A46A1" w:rsidRPr="00B25E57">
        <w:rPr>
          <w:lang w:val="es-ES_tradnl"/>
        </w:rPr>
        <w:t xml:space="preserve"> </w:t>
      </w:r>
      <w:r w:rsidR="007E2302">
        <w:rPr>
          <w:lang w:val="es-ES_tradnl"/>
        </w:rPr>
        <w:t>estimado</w:t>
      </w:r>
      <w:r w:rsidR="000B1117">
        <w:rPr>
          <w:lang w:val="es-ES_tradnl"/>
        </w:rPr>
        <w:t xml:space="preserve"> </w:t>
      </w:r>
      <w:r w:rsidR="00CB3260">
        <w:rPr>
          <w:lang w:val="es-ES_tradnl"/>
        </w:rPr>
        <w:t xml:space="preserve">en </w:t>
      </w:r>
      <w:r w:rsidR="00F942C6" w:rsidRPr="00B25E57">
        <w:rPr>
          <w:lang w:val="es-ES_tradnl"/>
        </w:rPr>
        <w:t xml:space="preserve">base </w:t>
      </w:r>
      <w:r w:rsidR="00CB3260">
        <w:rPr>
          <w:lang w:val="es-ES_tradnl"/>
        </w:rPr>
        <w:t>a</w:t>
      </w:r>
      <w:r w:rsidR="00F942C6" w:rsidRPr="00B25E57">
        <w:rPr>
          <w:lang w:val="es-ES_tradnl"/>
        </w:rPr>
        <w:t xml:space="preserve"> </w:t>
      </w:r>
      <w:r w:rsidR="00E816AE" w:rsidRPr="00E816AE">
        <w:rPr>
          <w:lang w:val="es-ES_tradnl"/>
        </w:rPr>
        <w:t xml:space="preserve">materiales </w:t>
      </w:r>
      <w:r w:rsidR="00E816AE">
        <w:rPr>
          <w:lang w:val="es-ES_tradnl"/>
        </w:rPr>
        <w:t>e</w:t>
      </w:r>
      <w:r w:rsidR="00E816AE" w:rsidRPr="00E816AE">
        <w:rPr>
          <w:lang w:val="es-ES_tradnl"/>
        </w:rPr>
        <w:t>structural</w:t>
      </w:r>
      <w:r w:rsidR="00E816AE">
        <w:rPr>
          <w:lang w:val="es-ES_tradnl"/>
        </w:rPr>
        <w:t>es y</w:t>
      </w:r>
      <w:r w:rsidR="00E816AE" w:rsidRPr="00E816AE">
        <w:rPr>
          <w:lang w:val="es-ES_tradnl"/>
        </w:rPr>
        <w:t xml:space="preserve"> </w:t>
      </w:r>
      <w:r w:rsidR="00E816AE">
        <w:rPr>
          <w:lang w:val="es-ES_tradnl"/>
        </w:rPr>
        <w:t xml:space="preserve">de </w:t>
      </w:r>
      <w:r w:rsidR="004057BA" w:rsidRPr="00B25E57">
        <w:rPr>
          <w:lang w:val="es-ES_tradnl"/>
        </w:rPr>
        <w:t>seguridad</w:t>
      </w:r>
      <w:r w:rsidR="000523E3">
        <w:rPr>
          <w:lang w:val="es-ES_tradnl"/>
        </w:rPr>
        <w:t>,</w:t>
      </w:r>
      <w:r w:rsidR="003A46A1" w:rsidRPr="00B25E57">
        <w:rPr>
          <w:lang w:val="es-ES_tradnl"/>
        </w:rPr>
        <w:t xml:space="preserve"> </w:t>
      </w:r>
      <w:r w:rsidR="007D7382" w:rsidRPr="00B25E57">
        <w:rPr>
          <w:lang w:val="es-ES_tradnl"/>
        </w:rPr>
        <w:t>i</w:t>
      </w:r>
      <w:r w:rsidR="00A4343B" w:rsidRPr="00B25E57">
        <w:rPr>
          <w:lang w:val="es-ES_tradnl"/>
        </w:rPr>
        <w:t>nstalación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95F11">
        <w:rPr>
          <w:lang w:val="es-ES_tradnl"/>
        </w:rPr>
        <w:t>puesta en marcha</w:t>
      </w:r>
      <w:r w:rsidR="003269DF">
        <w:rPr>
          <w:lang w:val="es-ES_tradnl"/>
        </w:rPr>
        <w:t>,</w:t>
      </w:r>
      <w:r w:rsidR="003A46A1" w:rsidRPr="00B25E57">
        <w:rPr>
          <w:lang w:val="es-ES_tradnl"/>
        </w:rPr>
        <w:t xml:space="preserve"> </w:t>
      </w:r>
      <w:r w:rsidR="00077311">
        <w:rPr>
          <w:lang w:val="es-ES_tradnl"/>
        </w:rPr>
        <w:t>flete</w:t>
      </w:r>
      <w:r w:rsidR="003A46A1" w:rsidRPr="00B25E57">
        <w:rPr>
          <w:lang w:val="es-ES_tradnl"/>
        </w:rPr>
        <w:t xml:space="preserve"> </w:t>
      </w:r>
      <w:r w:rsidR="00077311">
        <w:rPr>
          <w:lang w:val="es-ES_tradnl"/>
        </w:rPr>
        <w:t>a</w:t>
      </w:r>
      <w:r w:rsidR="006245A6">
        <w:rPr>
          <w:lang w:val="es-ES_tradnl"/>
        </w:rPr>
        <w:t xml:space="preserve"> </w:t>
      </w:r>
      <w:r w:rsidR="0084434D">
        <w:rPr>
          <w:lang w:val="es-ES_tradnl"/>
        </w:rPr>
        <w:t xml:space="preserve">Buenos Aires, </w:t>
      </w:r>
      <w:r w:rsidR="00CF7A9B">
        <w:rPr>
          <w:lang w:val="es-ES_tradnl"/>
        </w:rPr>
        <w:t xml:space="preserve">desaduanaje </w:t>
      </w:r>
      <w:r w:rsidR="00FB38C2" w:rsidRPr="00B25E57">
        <w:rPr>
          <w:lang w:val="es-ES_tradnl"/>
        </w:rPr>
        <w:t>y</w:t>
      </w:r>
      <w:r w:rsidR="003A46A1" w:rsidRPr="00B25E57">
        <w:rPr>
          <w:lang w:val="es-ES_tradnl"/>
        </w:rPr>
        <w:t xml:space="preserve"> </w:t>
      </w:r>
      <w:r w:rsidR="00A4343B" w:rsidRPr="00B25E57">
        <w:rPr>
          <w:lang w:val="es-ES_tradnl"/>
        </w:rPr>
        <w:t>transporte</w:t>
      </w:r>
      <w:r w:rsidR="003A46A1" w:rsidRPr="00B25E57">
        <w:rPr>
          <w:lang w:val="es-ES_tradnl"/>
        </w:rPr>
        <w:t xml:space="preserve"> </w:t>
      </w:r>
      <w:r w:rsidR="004E181D">
        <w:rPr>
          <w:lang w:val="es-ES_tradnl"/>
        </w:rPr>
        <w:t>a</w:t>
      </w:r>
      <w:r w:rsidR="003A46A1" w:rsidRPr="00B25E57">
        <w:rPr>
          <w:lang w:val="es-ES_tradnl"/>
        </w:rPr>
        <w:t xml:space="preserve"> </w:t>
      </w:r>
      <w:r w:rsidR="00E55DD7">
        <w:rPr>
          <w:lang w:val="es-ES_tradnl"/>
        </w:rPr>
        <w:t>FIASA</w:t>
      </w:r>
      <w:r w:rsidR="003A46A1" w:rsidRPr="00B25E57">
        <w:rPr>
          <w:lang w:val="es-ES_tradnl"/>
        </w:rPr>
        <w:t xml:space="preserve"> </w:t>
      </w:r>
      <w:r w:rsidR="009314AD">
        <w:rPr>
          <w:lang w:val="es-ES_tradnl"/>
        </w:rPr>
        <w:t xml:space="preserve">más </w:t>
      </w:r>
      <w:r w:rsidR="00623A16">
        <w:rPr>
          <w:lang w:val="es-ES_tradnl"/>
        </w:rPr>
        <w:t>imprevistos</w:t>
      </w:r>
      <w:r w:rsidR="00FB67BE" w:rsidRPr="00B25E57">
        <w:rPr>
          <w:lang w:val="es-ES_tradnl"/>
        </w:rPr>
        <w:t>.</w:t>
      </w:r>
    </w:p>
    <w:p w14:paraId="5FDF2035" w14:textId="446BB786" w:rsidR="007B22B4" w:rsidRPr="00B25E57" w:rsidRDefault="00121F6C" w:rsidP="00AB14F1">
      <w:pPr>
        <w:pStyle w:val="Heading1"/>
        <w:rPr>
          <w:lang w:val="es-ES_tradnl"/>
        </w:rPr>
      </w:pPr>
      <w:r w:rsidRPr="00B25E57">
        <w:rPr>
          <w:lang w:val="es-ES_tradnl"/>
        </w:rPr>
        <w:t>L</w:t>
      </w:r>
      <w:r w:rsidR="00FB38C2" w:rsidRPr="00B25E57">
        <w:rPr>
          <w:lang w:val="es-ES_tradnl"/>
        </w:rPr>
        <w:t>a</w:t>
      </w:r>
      <w:r>
        <w:rPr>
          <w:lang w:val="es-ES_tradnl"/>
        </w:rPr>
        <w:t xml:space="preserve"> </w:t>
      </w:r>
      <w:r w:rsidR="00FB38C2" w:rsidRPr="00B25E57">
        <w:rPr>
          <w:lang w:val="es-ES_tradnl"/>
        </w:rPr>
        <w:t>ONUDI</w:t>
      </w:r>
      <w:r w:rsidR="003A46A1" w:rsidRPr="00B25E57">
        <w:rPr>
          <w:lang w:val="es-ES_tradnl"/>
        </w:rPr>
        <w:t xml:space="preserve"> </w:t>
      </w:r>
      <w:r w:rsidR="00691404">
        <w:rPr>
          <w:lang w:val="es-ES_tradnl"/>
        </w:rPr>
        <w:t>también</w:t>
      </w:r>
      <w:r w:rsidR="003A46A1" w:rsidRPr="00B25E57">
        <w:rPr>
          <w:lang w:val="es-ES_tradnl"/>
        </w:rPr>
        <w:t xml:space="preserve"> </w:t>
      </w:r>
      <w:r w:rsidR="00DE5375">
        <w:rPr>
          <w:lang w:val="es-ES_tradnl"/>
        </w:rPr>
        <w:t xml:space="preserve">incluyó </w:t>
      </w:r>
      <w:r w:rsidR="006B2816">
        <w:rPr>
          <w:lang w:val="es-ES_tradnl"/>
        </w:rPr>
        <w:t xml:space="preserve">verificaciones independientes </w:t>
      </w:r>
      <w:r w:rsidR="00B75092" w:rsidRPr="00B25E57">
        <w:rPr>
          <w:lang w:val="es-ES_tradnl"/>
        </w:rPr>
        <w:t>(2</w:t>
      </w:r>
      <w:r w:rsidR="00FB38C2" w:rsidRPr="00B25E57">
        <w:rPr>
          <w:lang w:val="es-ES_tradnl"/>
        </w:rPr>
        <w:t>0.</w:t>
      </w:r>
      <w:r w:rsidR="00B75092" w:rsidRPr="00B25E57">
        <w:rPr>
          <w:lang w:val="es-ES_tradnl"/>
        </w:rPr>
        <w:t>000</w:t>
      </w:r>
      <w:r w:rsidR="00150657">
        <w:rPr>
          <w:lang w:val="es-ES_tradnl"/>
        </w:rPr>
        <w:t xml:space="preserve"> </w:t>
      </w:r>
      <w:r w:rsidR="00150657" w:rsidRPr="00150657">
        <w:rPr>
          <w:lang w:val="es-ES_tradnl"/>
        </w:rPr>
        <w:t>$EUA</w:t>
      </w:r>
      <w:r w:rsidR="00AB317F">
        <w:rPr>
          <w:lang w:val="es-ES_tradnl"/>
        </w:rPr>
        <w:t>/año</w:t>
      </w:r>
      <w:r w:rsidR="00B75092" w:rsidRPr="00B25E57">
        <w:rPr>
          <w:lang w:val="es-ES_tradnl"/>
        </w:rPr>
        <w:t>)</w:t>
      </w:r>
      <w:r w:rsidR="003A46A1" w:rsidRPr="00B25E57">
        <w:rPr>
          <w:lang w:val="es-ES_tradnl"/>
        </w:rPr>
        <w:t xml:space="preserve"> </w:t>
      </w:r>
      <w:r w:rsidR="00E87F64">
        <w:rPr>
          <w:lang w:val="es-ES_tradnl"/>
        </w:rPr>
        <w:t>e</w:t>
      </w:r>
      <w:r w:rsidR="003A46A1" w:rsidRPr="00B25E57">
        <w:rPr>
          <w:lang w:val="es-ES_tradnl"/>
        </w:rPr>
        <w:t xml:space="preserve"> </w:t>
      </w:r>
      <w:r w:rsidR="00006A70">
        <w:rPr>
          <w:lang w:val="es-ES_tradnl"/>
        </w:rPr>
        <w:t>indemnización</w:t>
      </w:r>
      <w:r w:rsidR="003A46A1" w:rsidRPr="00B25E57">
        <w:rPr>
          <w:lang w:val="es-ES_tradnl"/>
        </w:rPr>
        <w:t xml:space="preserve"> </w:t>
      </w:r>
      <w:r w:rsidR="00C65D1E" w:rsidRPr="00C65D1E">
        <w:rPr>
          <w:lang w:val="es-ES_tradnl"/>
        </w:rPr>
        <w:t>en 2030</w:t>
      </w:r>
      <w:r w:rsidR="00C65D1E">
        <w:rPr>
          <w:lang w:val="es-ES_tradnl"/>
        </w:rPr>
        <w:t xml:space="preserve"> </w:t>
      </w:r>
      <w:r w:rsidR="00716DE0">
        <w:rPr>
          <w:lang w:val="es-ES_tradnl"/>
        </w:rPr>
        <w:t xml:space="preserve">por años de servicio </w:t>
      </w:r>
      <w:r w:rsidR="00C65D1E">
        <w:rPr>
          <w:lang w:val="es-ES_tradnl"/>
        </w:rPr>
        <w:t xml:space="preserve">para los </w:t>
      </w:r>
      <w:r w:rsidR="00FB38C2" w:rsidRPr="00B25E57">
        <w:rPr>
          <w:lang w:val="es-ES_tradnl"/>
        </w:rPr>
        <w:t>cuatro</w:t>
      </w:r>
      <w:r w:rsidR="003A46A1" w:rsidRPr="00B25E57">
        <w:rPr>
          <w:lang w:val="es-ES_tradnl"/>
        </w:rPr>
        <w:t xml:space="preserve"> </w:t>
      </w:r>
      <w:r w:rsidR="00720524">
        <w:rPr>
          <w:lang w:val="es-ES_tradnl"/>
        </w:rPr>
        <w:t>operarios</w:t>
      </w:r>
      <w:r w:rsidR="003A46A1" w:rsidRPr="00B25E57">
        <w:rPr>
          <w:lang w:val="es-ES_tradnl"/>
        </w:rPr>
        <w:t xml:space="preserve"> </w:t>
      </w:r>
      <w:r w:rsidR="004057BA" w:rsidRPr="00B25E57">
        <w:rPr>
          <w:lang w:val="es-ES_tradnl"/>
        </w:rPr>
        <w:t>del</w:t>
      </w:r>
      <w:r w:rsidR="003A46A1" w:rsidRPr="00B25E57">
        <w:rPr>
          <w:lang w:val="es-ES_tradnl"/>
        </w:rPr>
        <w:t xml:space="preserve"> incinerador</w:t>
      </w:r>
      <w:r w:rsidR="00AB14F1" w:rsidRPr="00B25E57">
        <w:rPr>
          <w:lang w:val="es-ES_tradnl"/>
        </w:rPr>
        <w:t>.</w:t>
      </w:r>
      <w:r w:rsidR="00B75092" w:rsidRPr="00B25E57">
        <w:rPr>
          <w:rStyle w:val="FootnoteReference"/>
          <w:lang w:val="es-ES_tradnl"/>
        </w:rPr>
        <w:footnoteReference w:id="9"/>
      </w:r>
      <w:r w:rsidR="003A46A1" w:rsidRPr="00B25E57">
        <w:rPr>
          <w:lang w:val="es-ES_tradnl"/>
        </w:rPr>
        <w:t xml:space="preserve"> </w:t>
      </w:r>
      <w:r w:rsidR="00415907">
        <w:rPr>
          <w:lang w:val="es-ES_tradnl"/>
        </w:rPr>
        <w:t xml:space="preserve">El </w:t>
      </w:r>
      <w:r w:rsidR="00972834" w:rsidRPr="00972834">
        <w:rPr>
          <w:lang w:val="es-ES_tradnl"/>
        </w:rPr>
        <w:t xml:space="preserve">Cuadro 4 muestra </w:t>
      </w:r>
      <w:r w:rsidR="00F30766">
        <w:rPr>
          <w:lang w:val="es-ES_tradnl"/>
        </w:rPr>
        <w:t xml:space="preserve">el </w:t>
      </w:r>
      <w:r w:rsidR="00415907">
        <w:rPr>
          <w:lang w:val="es-ES_tradnl"/>
        </w:rPr>
        <w:t xml:space="preserve">costo </w:t>
      </w:r>
      <w:r w:rsidR="007D7382" w:rsidRPr="00B25E57">
        <w:rPr>
          <w:lang w:val="es-ES_tradnl"/>
        </w:rPr>
        <w:t>estimativo</w:t>
      </w:r>
      <w:r w:rsidR="003A46A1" w:rsidRPr="00B25E57">
        <w:rPr>
          <w:lang w:val="es-ES_tradnl"/>
        </w:rPr>
        <w:t xml:space="preserve"> </w:t>
      </w:r>
      <w:r w:rsidR="00A10E1C" w:rsidRPr="00A10E1C">
        <w:rPr>
          <w:lang w:val="es-ES_tradnl"/>
        </w:rPr>
        <w:t xml:space="preserve">total </w:t>
      </w:r>
      <w:r w:rsidR="00415907">
        <w:rPr>
          <w:lang w:val="es-ES_tradnl"/>
        </w:rPr>
        <w:t xml:space="preserve">de </w:t>
      </w:r>
      <w:r w:rsidR="007930E9">
        <w:rPr>
          <w:lang w:val="es-ES_tradnl"/>
        </w:rPr>
        <w:t>reponer en servicio</w:t>
      </w:r>
      <w:r w:rsidR="003A46A1" w:rsidRPr="00B25E57">
        <w:rPr>
          <w:lang w:val="es-ES_tradnl"/>
        </w:rPr>
        <w:t xml:space="preserve"> </w:t>
      </w:r>
      <w:r w:rsidR="00201485">
        <w:rPr>
          <w:lang w:val="es-ES_tradnl"/>
        </w:rPr>
        <w:t xml:space="preserve">el </w:t>
      </w:r>
      <w:r w:rsidR="005D381A">
        <w:rPr>
          <w:lang w:val="es-ES_tradnl"/>
        </w:rPr>
        <w:t>incinerador de HFC-23</w:t>
      </w:r>
      <w:r w:rsidR="005E0BA0" w:rsidRPr="00B25E57">
        <w:rPr>
          <w:lang w:val="es-ES_tradnl"/>
        </w:rPr>
        <w:t>.</w:t>
      </w:r>
    </w:p>
    <w:p w14:paraId="62AE57E7" w14:textId="02A341F4" w:rsidR="009D4E7E" w:rsidRPr="00B25E57" w:rsidRDefault="00FB38C2" w:rsidP="009D4E7E">
      <w:pPr>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AB14F1" w:rsidRPr="00B25E57">
        <w:rPr>
          <w:b/>
          <w:sz w:val="21"/>
          <w:szCs w:val="21"/>
          <w:lang w:val="es-ES_tradnl"/>
        </w:rPr>
        <w:t>4</w:t>
      </w:r>
      <w:r w:rsidR="009D4E7E" w:rsidRPr="00B25E57">
        <w:rPr>
          <w:b/>
          <w:sz w:val="21"/>
          <w:szCs w:val="21"/>
          <w:lang w:val="es-ES_tradnl"/>
        </w:rPr>
        <w:t>.</w:t>
      </w:r>
      <w:r w:rsidR="003A46A1" w:rsidRPr="00B25E57">
        <w:rPr>
          <w:b/>
          <w:sz w:val="21"/>
          <w:szCs w:val="21"/>
          <w:lang w:val="es-ES_tradnl"/>
        </w:rPr>
        <w:t xml:space="preserve"> </w:t>
      </w:r>
      <w:r w:rsidR="008B0480">
        <w:rPr>
          <w:b/>
          <w:sz w:val="21"/>
          <w:szCs w:val="21"/>
          <w:lang w:val="es-ES_tradnl"/>
        </w:rPr>
        <w:t>Costo estimativo</w:t>
      </w:r>
      <w:r w:rsidR="009E58A1">
        <w:rPr>
          <w:b/>
          <w:sz w:val="21"/>
          <w:szCs w:val="21"/>
          <w:lang w:val="es-ES_tradnl"/>
        </w:rPr>
        <w:t xml:space="preserve"> de</w:t>
      </w:r>
      <w:r w:rsidR="003A46A1" w:rsidRPr="00B25E57">
        <w:rPr>
          <w:b/>
          <w:sz w:val="21"/>
          <w:szCs w:val="21"/>
          <w:lang w:val="es-ES_tradnl"/>
        </w:rPr>
        <w:t xml:space="preserve"> </w:t>
      </w:r>
      <w:r w:rsidR="007930E9">
        <w:rPr>
          <w:b/>
          <w:sz w:val="21"/>
          <w:szCs w:val="21"/>
          <w:lang w:val="es-ES_tradnl"/>
        </w:rPr>
        <w:t>reponer en servicio</w:t>
      </w:r>
      <w:r w:rsidR="003A46A1" w:rsidRPr="00B25E57">
        <w:rPr>
          <w:b/>
          <w:sz w:val="21"/>
          <w:szCs w:val="21"/>
          <w:lang w:val="es-ES_tradnl"/>
        </w:rPr>
        <w:t xml:space="preserve"> </w:t>
      </w:r>
      <w:r w:rsidR="00201485">
        <w:rPr>
          <w:b/>
          <w:sz w:val="21"/>
          <w:szCs w:val="21"/>
          <w:lang w:val="es-ES_tradnl"/>
        </w:rPr>
        <w:t xml:space="preserve">el </w:t>
      </w:r>
      <w:r w:rsidR="003A46A1" w:rsidRPr="00B25E57">
        <w:rPr>
          <w:b/>
          <w:sz w:val="21"/>
          <w:szCs w:val="21"/>
          <w:lang w:val="es-ES_tradnl"/>
        </w:rPr>
        <w:t xml:space="preserve">incinerador </w:t>
      </w:r>
      <w:r w:rsidR="0048577C">
        <w:rPr>
          <w:b/>
          <w:sz w:val="21"/>
          <w:szCs w:val="21"/>
          <w:lang w:val="es-ES_tradnl"/>
        </w:rPr>
        <w:t>FIASA</w:t>
      </w:r>
    </w:p>
    <w:tbl>
      <w:tblPr>
        <w:tblW w:w="9355" w:type="dxa"/>
        <w:tblCellMar>
          <w:left w:w="0" w:type="dxa"/>
          <w:right w:w="0" w:type="dxa"/>
        </w:tblCellMar>
        <w:tblLook w:val="04A0" w:firstRow="1" w:lastRow="0" w:firstColumn="1" w:lastColumn="0" w:noHBand="0" w:noVBand="1"/>
      </w:tblPr>
      <w:tblGrid>
        <w:gridCol w:w="5755"/>
        <w:gridCol w:w="3600"/>
      </w:tblGrid>
      <w:tr w:rsidR="00AB14F1" w:rsidRPr="00B25E57" w14:paraId="414F14F6" w14:textId="77777777" w:rsidTr="00DF641D">
        <w:trPr>
          <w:tblHeader/>
        </w:trPr>
        <w:tc>
          <w:tcPr>
            <w:tcW w:w="5755" w:type="dxa"/>
            <w:tcBorders>
              <w:top w:val="single" w:sz="4" w:space="0" w:color="auto"/>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556F1707" w14:textId="15412829" w:rsidR="00AB14F1" w:rsidRPr="00B25E57" w:rsidRDefault="004241C5">
            <w:pPr>
              <w:jc w:val="left"/>
              <w:rPr>
                <w:b/>
                <w:bCs/>
                <w:color w:val="000000"/>
                <w:sz w:val="21"/>
                <w:szCs w:val="21"/>
                <w:lang w:val="es-ES_tradnl"/>
              </w:rPr>
            </w:pPr>
            <w:r w:rsidRPr="00B25E57">
              <w:rPr>
                <w:b/>
                <w:bCs/>
                <w:color w:val="000000"/>
                <w:sz w:val="21"/>
                <w:szCs w:val="21"/>
                <w:lang w:val="es-ES_tradnl"/>
              </w:rPr>
              <w:t>Descripción</w:t>
            </w:r>
          </w:p>
        </w:tc>
        <w:tc>
          <w:tcPr>
            <w:tcW w:w="36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346C7" w14:textId="50B93F67" w:rsidR="00AB14F1" w:rsidRPr="00B25E57" w:rsidRDefault="007B22B4">
            <w:pPr>
              <w:jc w:val="center"/>
              <w:rPr>
                <w:b/>
                <w:bCs/>
                <w:color w:val="000000"/>
                <w:sz w:val="21"/>
                <w:szCs w:val="21"/>
                <w:lang w:val="es-ES_tradnl"/>
              </w:rPr>
            </w:pPr>
            <w:r w:rsidRPr="00B25E57">
              <w:rPr>
                <w:b/>
                <w:bCs/>
                <w:color w:val="000000"/>
                <w:sz w:val="21"/>
                <w:szCs w:val="21"/>
                <w:lang w:val="es-ES_tradnl"/>
              </w:rPr>
              <w:t>Costo</w:t>
            </w:r>
            <w:r w:rsidR="003A46A1" w:rsidRPr="00B25E57">
              <w:rPr>
                <w:b/>
                <w:bCs/>
                <w:color w:val="000000"/>
                <w:sz w:val="21"/>
                <w:szCs w:val="21"/>
                <w:lang w:val="es-ES_tradnl"/>
              </w:rPr>
              <w:t xml:space="preserve"> </w:t>
            </w:r>
            <w:r w:rsidR="004057BA" w:rsidRPr="00B25E57">
              <w:rPr>
                <w:b/>
                <w:bCs/>
                <w:color w:val="000000"/>
                <w:sz w:val="21"/>
                <w:szCs w:val="21"/>
                <w:lang w:val="es-ES_tradnl"/>
              </w:rPr>
              <w:t>($EUA)</w:t>
            </w:r>
          </w:p>
        </w:tc>
      </w:tr>
      <w:tr w:rsidR="00AB14F1" w:rsidRPr="00B25E57" w14:paraId="2797B046"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11E404F3" w14:textId="15147620" w:rsidR="00AB14F1" w:rsidRPr="00B25E57" w:rsidRDefault="007B22B4">
            <w:pPr>
              <w:jc w:val="left"/>
              <w:rPr>
                <w:b/>
                <w:bCs/>
                <w:color w:val="000000"/>
                <w:sz w:val="21"/>
                <w:szCs w:val="21"/>
                <w:lang w:val="es-ES_tradnl"/>
              </w:rPr>
            </w:pPr>
            <w:r w:rsidRPr="00B25E57">
              <w:rPr>
                <w:b/>
                <w:bCs/>
                <w:color w:val="000000"/>
                <w:sz w:val="21"/>
                <w:szCs w:val="21"/>
                <w:lang w:val="es-ES_tradnl"/>
              </w:rPr>
              <w:t>Costo</w:t>
            </w:r>
            <w:r w:rsidR="003A46A1" w:rsidRPr="00B25E57">
              <w:rPr>
                <w:b/>
                <w:bCs/>
                <w:color w:val="000000"/>
                <w:sz w:val="21"/>
                <w:szCs w:val="21"/>
                <w:lang w:val="es-ES_tradnl"/>
              </w:rPr>
              <w:t xml:space="preserve"> </w:t>
            </w:r>
            <w:r w:rsidRPr="00B25E57">
              <w:rPr>
                <w:b/>
                <w:bCs/>
                <w:color w:val="000000"/>
                <w:sz w:val="21"/>
                <w:szCs w:val="21"/>
                <w:lang w:val="es-ES_tradnl"/>
              </w:rPr>
              <w:t>de</w:t>
            </w:r>
            <w:r w:rsidR="003A46A1" w:rsidRPr="00B25E57">
              <w:rPr>
                <w:b/>
                <w:bCs/>
                <w:color w:val="000000"/>
                <w:sz w:val="21"/>
                <w:szCs w:val="21"/>
                <w:lang w:val="es-ES_tradnl"/>
              </w:rPr>
              <w:t xml:space="preserve"> </w:t>
            </w:r>
            <w:r w:rsidRPr="00B25E57">
              <w:rPr>
                <w:b/>
                <w:bCs/>
                <w:color w:val="000000"/>
                <w:sz w:val="21"/>
                <w:szCs w:val="21"/>
                <w:lang w:val="es-ES_tradnl"/>
              </w:rPr>
              <w:t>capital</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EA11C" w14:textId="3F965087" w:rsidR="00AB14F1" w:rsidRPr="00B25E57" w:rsidRDefault="003A46A1">
            <w:pPr>
              <w:rPr>
                <w:b/>
                <w:bCs/>
                <w:color w:val="000000"/>
                <w:sz w:val="21"/>
                <w:szCs w:val="21"/>
                <w:lang w:val="es-ES_tradnl"/>
              </w:rPr>
            </w:pPr>
            <w:r w:rsidRPr="00B25E57">
              <w:rPr>
                <w:b/>
                <w:bCs/>
                <w:color w:val="000000"/>
                <w:sz w:val="21"/>
                <w:szCs w:val="21"/>
                <w:lang w:val="es-ES_tradnl"/>
              </w:rPr>
              <w:t xml:space="preserve"> </w:t>
            </w:r>
          </w:p>
        </w:tc>
      </w:tr>
      <w:tr w:rsidR="00AB14F1" w:rsidRPr="00B25E57" w14:paraId="3F20D4CD"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01524613" w14:textId="1BEAE41B" w:rsidR="00AB14F1" w:rsidRPr="00B25E57" w:rsidRDefault="007406C4">
            <w:pPr>
              <w:rPr>
                <w:color w:val="000000"/>
                <w:sz w:val="21"/>
                <w:szCs w:val="21"/>
                <w:lang w:val="es-ES_tradnl"/>
              </w:rPr>
            </w:pPr>
            <w:r w:rsidRPr="007406C4">
              <w:rPr>
                <w:color w:val="000000"/>
                <w:sz w:val="21"/>
                <w:szCs w:val="21"/>
                <w:lang w:val="es-ES_tradnl"/>
              </w:rPr>
              <w:t xml:space="preserve">SGL: </w:t>
            </w:r>
            <w:r w:rsidR="009D1439">
              <w:rPr>
                <w:color w:val="000000"/>
                <w:sz w:val="21"/>
                <w:szCs w:val="21"/>
                <w:lang w:val="es-ES_tradnl"/>
              </w:rPr>
              <w:t xml:space="preserve">Reacondicionamiento </w:t>
            </w:r>
            <w:r w:rsidR="003B2AF3">
              <w:rPr>
                <w:color w:val="000000"/>
                <w:sz w:val="21"/>
                <w:szCs w:val="21"/>
                <w:lang w:val="es-ES_tradnl"/>
              </w:rPr>
              <w:t>del incinerador</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4C56F5CF" w14:textId="2DD29BAF" w:rsidR="00AB14F1" w:rsidRPr="00B25E57" w:rsidRDefault="00AB14F1" w:rsidP="00AB14F1">
            <w:pPr>
              <w:jc w:val="right"/>
              <w:rPr>
                <w:color w:val="000000"/>
                <w:sz w:val="21"/>
                <w:szCs w:val="21"/>
                <w:lang w:val="es-ES_tradnl"/>
              </w:rPr>
            </w:pPr>
            <w:r w:rsidRPr="00B25E57">
              <w:rPr>
                <w:color w:val="000000"/>
                <w:sz w:val="21"/>
                <w:szCs w:val="21"/>
                <w:lang w:val="es-ES_tradnl"/>
              </w:rPr>
              <w:t>91</w:t>
            </w:r>
            <w:r w:rsidR="004241C5" w:rsidRPr="00B25E57">
              <w:rPr>
                <w:color w:val="000000"/>
                <w:sz w:val="21"/>
                <w:szCs w:val="21"/>
                <w:lang w:val="es-ES_tradnl"/>
              </w:rPr>
              <w:t>6.</w:t>
            </w:r>
            <w:r w:rsidRPr="00B25E57">
              <w:rPr>
                <w:color w:val="000000"/>
                <w:sz w:val="21"/>
                <w:szCs w:val="21"/>
                <w:lang w:val="es-ES_tradnl"/>
              </w:rPr>
              <w:t>959</w:t>
            </w:r>
          </w:p>
        </w:tc>
      </w:tr>
      <w:tr w:rsidR="00AB14F1" w:rsidRPr="00B25E57" w14:paraId="5A75B6A7"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6990902A" w14:textId="4F5F0012" w:rsidR="00AB14F1" w:rsidRPr="00B25E57" w:rsidRDefault="00650D0E" w:rsidP="00B75092">
            <w:pPr>
              <w:rPr>
                <w:color w:val="000000"/>
                <w:sz w:val="21"/>
                <w:szCs w:val="21"/>
                <w:lang w:val="es-ES_tradnl"/>
              </w:rPr>
            </w:pPr>
            <w:r>
              <w:rPr>
                <w:color w:val="000000"/>
                <w:sz w:val="21"/>
                <w:szCs w:val="21"/>
                <w:lang w:val="es-ES_tradnl"/>
              </w:rPr>
              <w:t>Adición de filtro de gases de salida</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69F79756" w14:textId="1FA7DC70" w:rsidR="00AB14F1" w:rsidRPr="00B25E57" w:rsidRDefault="00AB14F1" w:rsidP="00AB14F1">
            <w:pPr>
              <w:jc w:val="right"/>
              <w:rPr>
                <w:color w:val="000000"/>
                <w:sz w:val="21"/>
                <w:szCs w:val="21"/>
                <w:lang w:val="es-ES_tradnl"/>
              </w:rPr>
            </w:pPr>
            <w:r w:rsidRPr="00B25E57">
              <w:rPr>
                <w:color w:val="000000"/>
                <w:sz w:val="21"/>
                <w:szCs w:val="21"/>
                <w:lang w:val="es-ES_tradnl"/>
              </w:rPr>
              <w:t>1</w:t>
            </w:r>
            <w:r w:rsidR="004241C5" w:rsidRPr="00B25E57">
              <w:rPr>
                <w:color w:val="000000"/>
                <w:sz w:val="21"/>
                <w:szCs w:val="21"/>
                <w:lang w:val="es-ES_tradnl"/>
              </w:rPr>
              <w:t>8.</w:t>
            </w:r>
            <w:r w:rsidRPr="00B25E57">
              <w:rPr>
                <w:color w:val="000000"/>
                <w:sz w:val="21"/>
                <w:szCs w:val="21"/>
                <w:lang w:val="es-ES_tradnl"/>
              </w:rPr>
              <w:t>810</w:t>
            </w:r>
          </w:p>
        </w:tc>
      </w:tr>
      <w:tr w:rsidR="00AB14F1" w:rsidRPr="00B25E57" w14:paraId="10386ED1"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70ECFA88" w14:textId="1C70C214" w:rsidR="00AB14F1" w:rsidRPr="00B25E57" w:rsidRDefault="00B31C4E" w:rsidP="00D35FBE">
            <w:pPr>
              <w:rPr>
                <w:color w:val="000000"/>
                <w:sz w:val="21"/>
                <w:szCs w:val="21"/>
                <w:lang w:val="es-ES_tradnl"/>
              </w:rPr>
            </w:pPr>
            <w:r>
              <w:rPr>
                <w:color w:val="000000"/>
                <w:sz w:val="21"/>
                <w:szCs w:val="21"/>
                <w:lang w:val="es-ES_tradnl"/>
              </w:rPr>
              <w:t>Flete a Puerto de Buenos Aires</w:t>
            </w:r>
            <w:r w:rsidR="003A46A1" w:rsidRPr="00B25E57">
              <w:rPr>
                <w:color w:val="000000"/>
                <w:sz w:val="21"/>
                <w:szCs w:val="21"/>
                <w:lang w:val="es-ES_tradnl"/>
              </w:rPr>
              <w:t xml:space="preserve"> </w:t>
            </w:r>
            <w:r w:rsidR="00FB38C2" w:rsidRPr="00B25E57">
              <w:rPr>
                <w:color w:val="000000"/>
                <w:sz w:val="21"/>
                <w:szCs w:val="21"/>
                <w:lang w:val="es-ES_tradnl"/>
              </w:rPr>
              <w:t>y</w:t>
            </w:r>
            <w:r w:rsidR="00D35FBE">
              <w:rPr>
                <w:color w:val="000000"/>
                <w:sz w:val="21"/>
                <w:szCs w:val="21"/>
                <w:lang w:val="es-ES_tradnl"/>
              </w:rPr>
              <w:t xml:space="preserve"> </w:t>
            </w:r>
            <w:r w:rsidR="00AB14F1" w:rsidRPr="00B25E57">
              <w:rPr>
                <w:color w:val="000000"/>
                <w:sz w:val="21"/>
                <w:szCs w:val="21"/>
                <w:lang w:val="es-ES_tradnl"/>
              </w:rPr>
              <w:t>FIASA</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4E5439C1" w14:textId="0903856B" w:rsidR="00AB14F1" w:rsidRPr="00B25E57" w:rsidRDefault="00AB14F1" w:rsidP="00AB14F1">
            <w:pPr>
              <w:jc w:val="right"/>
              <w:rPr>
                <w:color w:val="000000"/>
                <w:sz w:val="21"/>
                <w:szCs w:val="21"/>
                <w:lang w:val="es-ES_tradnl"/>
              </w:rPr>
            </w:pPr>
            <w:r w:rsidRPr="00B25E57">
              <w:rPr>
                <w:color w:val="000000"/>
                <w:sz w:val="21"/>
                <w:szCs w:val="21"/>
                <w:lang w:val="es-ES_tradnl"/>
              </w:rPr>
              <w:t>3</w:t>
            </w:r>
            <w:r w:rsidR="00FB38C2" w:rsidRPr="00B25E57">
              <w:rPr>
                <w:color w:val="000000"/>
                <w:sz w:val="21"/>
                <w:szCs w:val="21"/>
                <w:lang w:val="es-ES_tradnl"/>
              </w:rPr>
              <w:t>0.</w:t>
            </w:r>
            <w:r w:rsidRPr="00B25E57">
              <w:rPr>
                <w:color w:val="000000"/>
                <w:sz w:val="21"/>
                <w:szCs w:val="21"/>
                <w:lang w:val="es-ES_tradnl"/>
              </w:rPr>
              <w:t>000</w:t>
            </w:r>
          </w:p>
        </w:tc>
      </w:tr>
      <w:tr w:rsidR="00AB14F1" w:rsidRPr="00B25E57" w14:paraId="78278184"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60000943" w14:textId="1F28CDB3" w:rsidR="00AB14F1" w:rsidRPr="00B25E57" w:rsidRDefault="005F53F7" w:rsidP="00BB277A">
            <w:pPr>
              <w:rPr>
                <w:color w:val="000000"/>
                <w:sz w:val="21"/>
                <w:szCs w:val="21"/>
                <w:lang w:val="es-ES_tradnl"/>
              </w:rPr>
            </w:pPr>
            <w:r>
              <w:rPr>
                <w:color w:val="000000"/>
                <w:sz w:val="21"/>
                <w:szCs w:val="21"/>
                <w:lang w:val="es-ES_tradnl"/>
              </w:rPr>
              <w:t>SGL: Supervisar instalación</w:t>
            </w:r>
            <w:r w:rsidR="00BB277A">
              <w:rPr>
                <w:color w:val="000000"/>
                <w:sz w:val="21"/>
                <w:szCs w:val="21"/>
                <w:lang w:val="es-ES_tradnl"/>
              </w:rPr>
              <w:t xml:space="preserve"> y </w:t>
            </w:r>
            <w:r w:rsidR="00195F11">
              <w:rPr>
                <w:color w:val="000000"/>
                <w:sz w:val="21"/>
                <w:szCs w:val="21"/>
                <w:lang w:val="es-ES_tradnl"/>
              </w:rPr>
              <w:t>puesta en marcha</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7C703829" w14:textId="3EDBCA73" w:rsidR="00AB14F1" w:rsidRPr="00B25E57" w:rsidRDefault="00AB14F1" w:rsidP="00AB14F1">
            <w:pPr>
              <w:jc w:val="right"/>
              <w:rPr>
                <w:color w:val="000000"/>
                <w:sz w:val="21"/>
                <w:szCs w:val="21"/>
                <w:lang w:val="es-ES_tradnl"/>
              </w:rPr>
            </w:pPr>
            <w:r w:rsidRPr="00B25E57">
              <w:rPr>
                <w:color w:val="000000"/>
                <w:sz w:val="21"/>
                <w:szCs w:val="21"/>
                <w:lang w:val="es-ES_tradnl"/>
              </w:rPr>
              <w:t>7</w:t>
            </w:r>
            <w:r w:rsidR="004241C5" w:rsidRPr="00B25E57">
              <w:rPr>
                <w:color w:val="000000"/>
                <w:sz w:val="21"/>
                <w:szCs w:val="21"/>
                <w:lang w:val="es-ES_tradnl"/>
              </w:rPr>
              <w:t>5.</w:t>
            </w:r>
            <w:r w:rsidRPr="00B25E57">
              <w:rPr>
                <w:color w:val="000000"/>
                <w:sz w:val="21"/>
                <w:szCs w:val="21"/>
                <w:lang w:val="es-ES_tradnl"/>
              </w:rPr>
              <w:t>240</w:t>
            </w:r>
          </w:p>
        </w:tc>
      </w:tr>
      <w:tr w:rsidR="00AB14F1" w:rsidRPr="00B25E57" w14:paraId="6F6F64B3"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1EA09247" w14:textId="1C6F8A43" w:rsidR="00AB14F1" w:rsidRPr="00B25E57" w:rsidRDefault="00483097">
            <w:pPr>
              <w:rPr>
                <w:color w:val="000000"/>
                <w:sz w:val="21"/>
                <w:szCs w:val="21"/>
                <w:lang w:val="es-ES_tradnl"/>
              </w:rPr>
            </w:pPr>
            <w:r>
              <w:rPr>
                <w:color w:val="000000"/>
                <w:sz w:val="21"/>
                <w:szCs w:val="21"/>
                <w:lang w:val="es-ES_tradnl"/>
              </w:rPr>
              <w:t>Obras en FIASA</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111861DF" w14:textId="09532ACE" w:rsidR="00AB14F1" w:rsidRPr="00B25E57" w:rsidRDefault="00AB14F1" w:rsidP="00AB14F1">
            <w:pPr>
              <w:jc w:val="right"/>
              <w:rPr>
                <w:color w:val="000000"/>
                <w:sz w:val="21"/>
                <w:szCs w:val="21"/>
                <w:lang w:val="es-ES_tradnl"/>
              </w:rPr>
            </w:pPr>
            <w:r w:rsidRPr="00B25E57">
              <w:rPr>
                <w:color w:val="000000"/>
                <w:sz w:val="21"/>
                <w:szCs w:val="21"/>
                <w:lang w:val="es-ES_tradnl"/>
              </w:rPr>
              <w:t>10</w:t>
            </w:r>
            <w:r w:rsidR="00FB38C2" w:rsidRPr="00B25E57">
              <w:rPr>
                <w:color w:val="000000"/>
                <w:sz w:val="21"/>
                <w:szCs w:val="21"/>
                <w:lang w:val="es-ES_tradnl"/>
              </w:rPr>
              <w:t>2.</w:t>
            </w:r>
            <w:r w:rsidRPr="00B25E57">
              <w:rPr>
                <w:color w:val="000000"/>
                <w:sz w:val="21"/>
                <w:szCs w:val="21"/>
                <w:lang w:val="es-ES_tradnl"/>
              </w:rPr>
              <w:t>600</w:t>
            </w:r>
          </w:p>
        </w:tc>
      </w:tr>
      <w:tr w:rsidR="00AB14F1" w:rsidRPr="00B25E57" w14:paraId="5C8815DA"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1F772C2D" w14:textId="3876709B" w:rsidR="00AB14F1" w:rsidRPr="00B25E57" w:rsidRDefault="00862A82">
            <w:pPr>
              <w:rPr>
                <w:color w:val="000000"/>
                <w:sz w:val="21"/>
                <w:szCs w:val="21"/>
                <w:lang w:val="es-ES_tradnl"/>
              </w:rPr>
            </w:pPr>
            <w:r w:rsidRPr="00B25E57">
              <w:rPr>
                <w:color w:val="000000"/>
                <w:sz w:val="21"/>
                <w:szCs w:val="21"/>
                <w:lang w:val="es-ES_tradnl"/>
              </w:rPr>
              <w:t>Imprevistos</w:t>
            </w:r>
            <w:r w:rsidR="003A46A1" w:rsidRPr="00B25E57">
              <w:rPr>
                <w:color w:val="000000"/>
                <w:sz w:val="21"/>
                <w:szCs w:val="21"/>
                <w:lang w:val="es-ES_tradnl"/>
              </w:rPr>
              <w:t xml:space="preserve"> </w:t>
            </w:r>
            <w:r w:rsidR="00AB14F1" w:rsidRPr="00B25E57">
              <w:rPr>
                <w:color w:val="000000"/>
                <w:sz w:val="21"/>
                <w:szCs w:val="21"/>
                <w:lang w:val="es-ES_tradnl"/>
              </w:rPr>
              <w:t>(10%)</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39E68BA5" w14:textId="7217F137" w:rsidR="00AB14F1" w:rsidRPr="00B25E57" w:rsidRDefault="00AB14F1" w:rsidP="00AB14F1">
            <w:pPr>
              <w:jc w:val="right"/>
              <w:rPr>
                <w:color w:val="000000"/>
                <w:sz w:val="21"/>
                <w:szCs w:val="21"/>
                <w:lang w:val="es-ES_tradnl"/>
              </w:rPr>
            </w:pPr>
            <w:r w:rsidRPr="00B25E57">
              <w:rPr>
                <w:color w:val="000000"/>
                <w:sz w:val="21"/>
                <w:szCs w:val="21"/>
                <w:lang w:val="es-ES_tradnl"/>
              </w:rPr>
              <w:t>11</w:t>
            </w:r>
            <w:r w:rsidR="00FB38C2" w:rsidRPr="00B25E57">
              <w:rPr>
                <w:color w:val="000000"/>
                <w:sz w:val="21"/>
                <w:szCs w:val="21"/>
                <w:lang w:val="es-ES_tradnl"/>
              </w:rPr>
              <w:t>4.</w:t>
            </w:r>
            <w:r w:rsidRPr="00B25E57">
              <w:rPr>
                <w:color w:val="000000"/>
                <w:sz w:val="21"/>
                <w:szCs w:val="21"/>
                <w:lang w:val="es-ES_tradnl"/>
              </w:rPr>
              <w:t>361</w:t>
            </w:r>
          </w:p>
        </w:tc>
      </w:tr>
      <w:tr w:rsidR="00AB14F1" w:rsidRPr="00B25E57" w14:paraId="5592B1F8"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6BBB2F06" w14:textId="3684DBF1" w:rsidR="00AB14F1" w:rsidRPr="00B25E57" w:rsidRDefault="00A073DC" w:rsidP="000833C7">
            <w:pPr>
              <w:rPr>
                <w:color w:val="000000"/>
                <w:sz w:val="21"/>
                <w:szCs w:val="21"/>
                <w:lang w:val="es-ES_tradnl"/>
              </w:rPr>
            </w:pPr>
            <w:r>
              <w:rPr>
                <w:color w:val="000000"/>
                <w:sz w:val="21"/>
                <w:szCs w:val="21"/>
                <w:lang w:val="es-ES_tradnl"/>
              </w:rPr>
              <w:t>Zeolita</w:t>
            </w:r>
            <w:r w:rsidR="003A46A1" w:rsidRPr="00B25E57">
              <w:rPr>
                <w:color w:val="000000"/>
                <w:sz w:val="21"/>
                <w:szCs w:val="21"/>
                <w:lang w:val="es-ES_tradnl"/>
              </w:rPr>
              <w:t xml:space="preserve"> </w:t>
            </w:r>
            <w:r w:rsidR="000833C7">
              <w:rPr>
                <w:color w:val="000000"/>
                <w:sz w:val="21"/>
                <w:szCs w:val="21"/>
                <w:lang w:val="es-ES_tradnl"/>
              </w:rPr>
              <w:t>para</w:t>
            </w:r>
            <w:r w:rsidR="003A46A1" w:rsidRPr="00B25E57">
              <w:rPr>
                <w:color w:val="000000"/>
                <w:sz w:val="21"/>
                <w:szCs w:val="21"/>
                <w:lang w:val="es-ES_tradnl"/>
              </w:rPr>
              <w:t xml:space="preserve"> </w:t>
            </w:r>
            <w:r w:rsidR="004324D7">
              <w:rPr>
                <w:color w:val="000000"/>
                <w:sz w:val="21"/>
                <w:szCs w:val="21"/>
                <w:lang w:val="es-ES_tradnl"/>
              </w:rPr>
              <w:t>generador de oxígeno</w:t>
            </w:r>
            <w:r w:rsidR="003A46A1" w:rsidRPr="00B25E57">
              <w:rPr>
                <w:color w:val="000000"/>
                <w:sz w:val="21"/>
                <w:szCs w:val="21"/>
                <w:lang w:val="es-ES_tradnl"/>
              </w:rPr>
              <w:t xml:space="preserve"> </w:t>
            </w:r>
            <w:r w:rsidR="00AB14F1" w:rsidRPr="00B25E57">
              <w:rPr>
                <w:color w:val="000000"/>
                <w:sz w:val="21"/>
                <w:szCs w:val="21"/>
                <w:lang w:val="es-ES_tradnl"/>
              </w:rPr>
              <w:t>(</w:t>
            </w:r>
            <w:r w:rsidR="00FB38C2" w:rsidRPr="00B25E57">
              <w:rPr>
                <w:color w:val="000000"/>
                <w:sz w:val="21"/>
                <w:szCs w:val="21"/>
                <w:lang w:val="es-ES_tradnl"/>
              </w:rPr>
              <w:t>1.</w:t>
            </w:r>
            <w:r w:rsidR="00AB14F1" w:rsidRPr="00B25E57">
              <w:rPr>
                <w:color w:val="000000"/>
                <w:sz w:val="21"/>
                <w:szCs w:val="21"/>
                <w:lang w:val="es-ES_tradnl"/>
              </w:rPr>
              <w:t>800</w:t>
            </w:r>
            <w:r w:rsidR="003A46A1" w:rsidRPr="00B25E57">
              <w:rPr>
                <w:color w:val="000000"/>
                <w:sz w:val="21"/>
                <w:szCs w:val="21"/>
                <w:lang w:val="es-ES_tradnl"/>
              </w:rPr>
              <w:t xml:space="preserve"> </w:t>
            </w:r>
            <w:r w:rsidR="00AB14F1" w:rsidRPr="00B25E57">
              <w:rPr>
                <w:color w:val="000000"/>
                <w:sz w:val="21"/>
                <w:szCs w:val="21"/>
                <w:lang w:val="es-ES_tradnl"/>
              </w:rPr>
              <w:t>kg</w:t>
            </w:r>
            <w:r w:rsidR="003A46A1" w:rsidRPr="00B25E57">
              <w:rPr>
                <w:color w:val="000000"/>
                <w:sz w:val="21"/>
                <w:szCs w:val="21"/>
                <w:lang w:val="es-ES_tradnl"/>
              </w:rPr>
              <w:t xml:space="preserve"> </w:t>
            </w:r>
            <w:r w:rsidR="008A7A0A">
              <w:rPr>
                <w:color w:val="000000"/>
                <w:sz w:val="21"/>
                <w:szCs w:val="21"/>
                <w:lang w:val="es-ES_tradnl"/>
              </w:rPr>
              <w:t>a</w:t>
            </w:r>
            <w:r w:rsidR="002733AB">
              <w:rPr>
                <w:color w:val="000000"/>
                <w:sz w:val="21"/>
                <w:szCs w:val="21"/>
                <w:lang w:val="es-ES_tradnl"/>
              </w:rPr>
              <w:t xml:space="preserve"> </w:t>
            </w:r>
            <w:r w:rsidR="002733AB" w:rsidRPr="002733AB">
              <w:rPr>
                <w:color w:val="000000"/>
                <w:sz w:val="21"/>
                <w:szCs w:val="21"/>
                <w:lang w:val="es-ES_tradnl"/>
              </w:rPr>
              <w:t>31</w:t>
            </w:r>
            <w:r w:rsidR="003A46A1" w:rsidRPr="00B25E57">
              <w:rPr>
                <w:color w:val="000000"/>
                <w:sz w:val="21"/>
                <w:szCs w:val="21"/>
                <w:lang w:val="es-ES_tradnl"/>
              </w:rPr>
              <w:t xml:space="preserve"> </w:t>
            </w:r>
            <w:r w:rsidR="00FB38C2" w:rsidRPr="00B25E57">
              <w:rPr>
                <w:color w:val="000000"/>
                <w:sz w:val="21"/>
                <w:szCs w:val="21"/>
                <w:lang w:val="es-ES_tradnl"/>
              </w:rPr>
              <w:t>$EUA</w:t>
            </w:r>
            <w:r w:rsidR="00AB14F1" w:rsidRPr="00B25E57">
              <w:rPr>
                <w:color w:val="000000"/>
                <w:sz w:val="21"/>
                <w:szCs w:val="21"/>
                <w:lang w:val="es-ES_tradnl"/>
              </w:rPr>
              <w:t>/kg)</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0707E96D" w14:textId="420EAC9F" w:rsidR="00AB14F1" w:rsidRPr="00B25E57" w:rsidRDefault="00AB14F1" w:rsidP="00AB14F1">
            <w:pPr>
              <w:jc w:val="right"/>
              <w:rPr>
                <w:color w:val="000000"/>
                <w:sz w:val="21"/>
                <w:szCs w:val="21"/>
                <w:lang w:val="es-ES_tradnl"/>
              </w:rPr>
            </w:pPr>
            <w:r w:rsidRPr="00B25E57">
              <w:rPr>
                <w:color w:val="000000"/>
                <w:sz w:val="21"/>
                <w:szCs w:val="21"/>
                <w:lang w:val="es-ES_tradnl"/>
              </w:rPr>
              <w:t>5</w:t>
            </w:r>
            <w:r w:rsidR="004241C5" w:rsidRPr="00B25E57">
              <w:rPr>
                <w:color w:val="000000"/>
                <w:sz w:val="21"/>
                <w:szCs w:val="21"/>
                <w:lang w:val="es-ES_tradnl"/>
              </w:rPr>
              <w:t>5.</w:t>
            </w:r>
            <w:r w:rsidRPr="00B25E57">
              <w:rPr>
                <w:color w:val="000000"/>
                <w:sz w:val="21"/>
                <w:szCs w:val="21"/>
                <w:lang w:val="es-ES_tradnl"/>
              </w:rPr>
              <w:t>800</w:t>
            </w:r>
          </w:p>
        </w:tc>
      </w:tr>
      <w:tr w:rsidR="00AB14F1" w:rsidRPr="00B25E57" w14:paraId="2332C498"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77C259D9" w14:textId="45F41E4F" w:rsidR="00AB14F1" w:rsidRPr="00B25E57" w:rsidRDefault="002408E4" w:rsidP="001B2371">
            <w:pPr>
              <w:rPr>
                <w:color w:val="000000"/>
                <w:sz w:val="21"/>
                <w:szCs w:val="21"/>
                <w:lang w:val="es-ES_tradnl"/>
              </w:rPr>
            </w:pPr>
            <w:r>
              <w:rPr>
                <w:color w:val="000000"/>
                <w:sz w:val="21"/>
                <w:szCs w:val="21"/>
                <w:lang w:val="es-ES_tradnl"/>
              </w:rPr>
              <w:t>Obras para alojar el tanque criogénico</w:t>
            </w:r>
            <w:r w:rsidR="00B75092" w:rsidRPr="00B25E57">
              <w:rPr>
                <w:color w:val="000000"/>
                <w:sz w:val="21"/>
                <w:szCs w:val="21"/>
                <w:vertAlign w:val="superscript"/>
                <w:lang w:val="es-ES_tradnl"/>
              </w:rPr>
              <w:t>*</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75FDC31A" w14:textId="21E80FAD" w:rsidR="00AB14F1" w:rsidRPr="00B25E57" w:rsidRDefault="00AB14F1" w:rsidP="00AB14F1">
            <w:pPr>
              <w:jc w:val="right"/>
              <w:rPr>
                <w:color w:val="000000"/>
                <w:sz w:val="21"/>
                <w:szCs w:val="21"/>
                <w:lang w:val="es-ES_tradnl"/>
              </w:rPr>
            </w:pPr>
            <w:r w:rsidRPr="00B25E57">
              <w:rPr>
                <w:color w:val="000000"/>
                <w:sz w:val="21"/>
                <w:szCs w:val="21"/>
                <w:lang w:val="es-ES_tradnl"/>
              </w:rPr>
              <w:t>10</w:t>
            </w:r>
            <w:r w:rsidR="00FB38C2" w:rsidRPr="00B25E57">
              <w:rPr>
                <w:color w:val="000000"/>
                <w:sz w:val="21"/>
                <w:szCs w:val="21"/>
                <w:lang w:val="es-ES_tradnl"/>
              </w:rPr>
              <w:t>0.</w:t>
            </w:r>
            <w:r w:rsidRPr="00B25E57">
              <w:rPr>
                <w:color w:val="000000"/>
                <w:sz w:val="21"/>
                <w:szCs w:val="21"/>
                <w:lang w:val="es-ES_tradnl"/>
              </w:rPr>
              <w:t>000</w:t>
            </w:r>
          </w:p>
        </w:tc>
      </w:tr>
      <w:tr w:rsidR="00AB14F1" w:rsidRPr="00B25E57" w14:paraId="3A3E3A3A"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6DACB057" w14:textId="501BAAA6" w:rsidR="00AB14F1" w:rsidRPr="00B25E57" w:rsidRDefault="00E434B2">
            <w:pPr>
              <w:rPr>
                <w:color w:val="000000"/>
                <w:sz w:val="21"/>
                <w:szCs w:val="21"/>
                <w:lang w:val="es-ES_tradnl"/>
              </w:rPr>
            </w:pPr>
            <w:r w:rsidRPr="00B25E57">
              <w:rPr>
                <w:color w:val="000000"/>
                <w:sz w:val="21"/>
                <w:szCs w:val="21"/>
                <w:lang w:val="es-ES_tradnl"/>
              </w:rPr>
              <w:t>Costo</w:t>
            </w:r>
            <w:r w:rsidR="003A46A1" w:rsidRPr="00B25E57">
              <w:rPr>
                <w:color w:val="000000"/>
                <w:sz w:val="21"/>
                <w:szCs w:val="21"/>
                <w:lang w:val="es-ES_tradnl"/>
              </w:rPr>
              <w:t xml:space="preserve"> </w:t>
            </w:r>
            <w:r w:rsidRPr="00B25E57">
              <w:rPr>
                <w:color w:val="000000"/>
                <w:sz w:val="21"/>
                <w:szCs w:val="21"/>
                <w:lang w:val="es-ES_tradnl"/>
              </w:rPr>
              <w:t>total</w:t>
            </w:r>
            <w:r w:rsidR="003A46A1" w:rsidRPr="00B25E57">
              <w:rPr>
                <w:color w:val="000000"/>
                <w:sz w:val="21"/>
                <w:szCs w:val="21"/>
                <w:lang w:val="es-ES_tradnl"/>
              </w:rPr>
              <w:t xml:space="preserve"> </w:t>
            </w:r>
            <w:r w:rsidR="007B22B4" w:rsidRPr="00B25E57">
              <w:rPr>
                <w:color w:val="000000"/>
                <w:sz w:val="21"/>
                <w:szCs w:val="21"/>
                <w:lang w:val="es-ES_tradnl"/>
              </w:rPr>
              <w:t>de</w:t>
            </w:r>
            <w:r w:rsidR="003A46A1" w:rsidRPr="00B25E57">
              <w:rPr>
                <w:color w:val="000000"/>
                <w:sz w:val="21"/>
                <w:szCs w:val="21"/>
                <w:lang w:val="es-ES_tradnl"/>
              </w:rPr>
              <w:t xml:space="preserve"> </w:t>
            </w:r>
            <w:r w:rsidR="007B22B4" w:rsidRPr="00B25E57">
              <w:rPr>
                <w:color w:val="000000"/>
                <w:sz w:val="21"/>
                <w:szCs w:val="21"/>
                <w:lang w:val="es-ES_tradnl"/>
              </w:rPr>
              <w:t>capital</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14F5F17E" w14:textId="13AC1D1F" w:rsidR="00AB14F1" w:rsidRPr="00B25E57" w:rsidRDefault="00FB38C2" w:rsidP="00AB14F1">
            <w:pPr>
              <w:jc w:val="right"/>
              <w:rPr>
                <w:color w:val="000000"/>
                <w:sz w:val="21"/>
                <w:szCs w:val="21"/>
                <w:lang w:val="es-ES_tradnl"/>
              </w:rPr>
            </w:pPr>
            <w:r w:rsidRPr="00B25E57">
              <w:rPr>
                <w:color w:val="000000"/>
                <w:sz w:val="21"/>
                <w:szCs w:val="21"/>
                <w:lang w:val="es-ES_tradnl"/>
              </w:rPr>
              <w:t>1.</w:t>
            </w:r>
            <w:r w:rsidR="00AB14F1" w:rsidRPr="00B25E57">
              <w:rPr>
                <w:color w:val="000000"/>
                <w:sz w:val="21"/>
                <w:szCs w:val="21"/>
                <w:lang w:val="es-ES_tradnl"/>
              </w:rPr>
              <w:t>41</w:t>
            </w:r>
            <w:r w:rsidRPr="00B25E57">
              <w:rPr>
                <w:color w:val="000000"/>
                <w:sz w:val="21"/>
                <w:szCs w:val="21"/>
                <w:lang w:val="es-ES_tradnl"/>
              </w:rPr>
              <w:t>3.</w:t>
            </w:r>
            <w:r w:rsidR="00AB14F1" w:rsidRPr="00B25E57">
              <w:rPr>
                <w:color w:val="000000"/>
                <w:sz w:val="21"/>
                <w:szCs w:val="21"/>
                <w:lang w:val="es-ES_tradnl"/>
              </w:rPr>
              <w:t>770</w:t>
            </w:r>
          </w:p>
        </w:tc>
      </w:tr>
      <w:tr w:rsidR="00AB14F1" w:rsidRPr="00B25E57" w14:paraId="5E4A27BC"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004C998B" w14:textId="3AFEF935" w:rsidR="00AB14F1" w:rsidRPr="00B25E57" w:rsidRDefault="00A4343B">
            <w:pPr>
              <w:rPr>
                <w:b/>
                <w:bCs/>
                <w:color w:val="000000"/>
                <w:sz w:val="21"/>
                <w:szCs w:val="21"/>
                <w:lang w:val="es-ES_tradnl"/>
              </w:rPr>
            </w:pPr>
            <w:r w:rsidRPr="00B25E57">
              <w:rPr>
                <w:b/>
                <w:bCs/>
                <w:color w:val="000000"/>
                <w:sz w:val="21"/>
                <w:szCs w:val="21"/>
                <w:lang w:val="es-ES_tradnl"/>
              </w:rPr>
              <w:t>Otros</w:t>
            </w:r>
            <w:r w:rsidR="003A46A1" w:rsidRPr="00B25E57">
              <w:rPr>
                <w:b/>
                <w:bCs/>
                <w:color w:val="000000"/>
                <w:sz w:val="21"/>
                <w:szCs w:val="21"/>
                <w:lang w:val="es-ES_tradnl"/>
              </w:rPr>
              <w:t xml:space="preserve"> </w:t>
            </w:r>
            <w:r w:rsidR="004241C5" w:rsidRPr="00B25E57">
              <w:rPr>
                <w:b/>
                <w:bCs/>
                <w:color w:val="000000"/>
                <w:sz w:val="21"/>
                <w:szCs w:val="21"/>
                <w:lang w:val="es-ES_tradnl"/>
              </w:rPr>
              <w:t>costos</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15AB0E24" w14:textId="77777777" w:rsidR="00AB14F1" w:rsidRPr="00B25E57" w:rsidRDefault="00AB14F1" w:rsidP="00AB14F1">
            <w:pPr>
              <w:jc w:val="right"/>
              <w:rPr>
                <w:color w:val="000000"/>
                <w:sz w:val="21"/>
                <w:szCs w:val="21"/>
                <w:lang w:val="es-ES_tradnl"/>
              </w:rPr>
            </w:pPr>
          </w:p>
        </w:tc>
      </w:tr>
      <w:tr w:rsidR="00AB14F1" w:rsidRPr="00B25E57" w14:paraId="16271A6D"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5DE34964" w14:textId="35230400" w:rsidR="00AB14F1" w:rsidRPr="00B25E57" w:rsidRDefault="000C24D7">
            <w:pPr>
              <w:rPr>
                <w:color w:val="000000"/>
                <w:sz w:val="21"/>
                <w:szCs w:val="21"/>
                <w:lang w:val="es-ES_tradnl"/>
              </w:rPr>
            </w:pPr>
            <w:r>
              <w:rPr>
                <w:color w:val="000000"/>
                <w:sz w:val="21"/>
                <w:szCs w:val="21"/>
                <w:lang w:val="es-ES_tradnl"/>
              </w:rPr>
              <w:t xml:space="preserve">Indemnización por años de servicio a </w:t>
            </w:r>
            <w:r w:rsidR="00720524">
              <w:rPr>
                <w:color w:val="000000"/>
                <w:sz w:val="21"/>
                <w:szCs w:val="21"/>
                <w:lang w:val="es-ES_tradnl"/>
              </w:rPr>
              <w:t>operarios</w:t>
            </w:r>
            <w:r>
              <w:rPr>
                <w:color w:val="000000"/>
                <w:sz w:val="21"/>
                <w:szCs w:val="21"/>
                <w:lang w:val="es-ES_tradnl"/>
              </w:rPr>
              <w:t xml:space="preserve"> del incinerador</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73837B89" w14:textId="5A920182" w:rsidR="00AB14F1" w:rsidRPr="00B25E57" w:rsidRDefault="00AB14F1" w:rsidP="00AB14F1">
            <w:pPr>
              <w:jc w:val="right"/>
              <w:rPr>
                <w:color w:val="000000"/>
                <w:sz w:val="21"/>
                <w:szCs w:val="21"/>
                <w:lang w:val="es-ES_tradnl"/>
              </w:rPr>
            </w:pPr>
            <w:r w:rsidRPr="00B25E57">
              <w:rPr>
                <w:color w:val="000000"/>
                <w:sz w:val="21"/>
                <w:szCs w:val="21"/>
                <w:lang w:val="es-ES_tradnl"/>
              </w:rPr>
              <w:t>21</w:t>
            </w:r>
            <w:r w:rsidR="00FB38C2" w:rsidRPr="00B25E57">
              <w:rPr>
                <w:color w:val="000000"/>
                <w:sz w:val="21"/>
                <w:szCs w:val="21"/>
                <w:lang w:val="es-ES_tradnl"/>
              </w:rPr>
              <w:t>0.</w:t>
            </w:r>
            <w:r w:rsidRPr="00B25E57">
              <w:rPr>
                <w:color w:val="000000"/>
                <w:sz w:val="21"/>
                <w:szCs w:val="21"/>
                <w:lang w:val="es-ES_tradnl"/>
              </w:rPr>
              <w:t>000</w:t>
            </w:r>
          </w:p>
        </w:tc>
      </w:tr>
      <w:tr w:rsidR="00AB14F1" w:rsidRPr="00B25E57" w14:paraId="57184D24"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752D918D" w14:textId="617C5FA1" w:rsidR="00AB14F1" w:rsidRPr="00B25E57" w:rsidRDefault="007D7382">
            <w:pPr>
              <w:jc w:val="left"/>
              <w:rPr>
                <w:color w:val="000000"/>
                <w:sz w:val="21"/>
                <w:szCs w:val="21"/>
                <w:lang w:val="es-ES_tradnl"/>
              </w:rPr>
            </w:pPr>
            <w:r w:rsidRPr="00B25E57">
              <w:rPr>
                <w:color w:val="000000"/>
                <w:sz w:val="21"/>
                <w:szCs w:val="21"/>
                <w:lang w:val="es-ES_tradnl"/>
              </w:rPr>
              <w:t>Supervisión</w:t>
            </w:r>
            <w:r w:rsidR="003A46A1" w:rsidRPr="00B25E57">
              <w:rPr>
                <w:color w:val="000000"/>
                <w:sz w:val="21"/>
                <w:szCs w:val="21"/>
                <w:lang w:val="es-ES_tradnl"/>
              </w:rPr>
              <w:t xml:space="preserve"> </w:t>
            </w:r>
            <w:r w:rsidR="00FB38C2" w:rsidRPr="00B25E57">
              <w:rPr>
                <w:color w:val="000000"/>
                <w:sz w:val="21"/>
                <w:szCs w:val="21"/>
                <w:lang w:val="es-ES_tradnl"/>
              </w:rPr>
              <w:t>y</w:t>
            </w:r>
            <w:r w:rsidR="003A46A1" w:rsidRPr="00B25E57">
              <w:rPr>
                <w:color w:val="000000"/>
                <w:sz w:val="21"/>
                <w:szCs w:val="21"/>
                <w:lang w:val="es-ES_tradnl"/>
              </w:rPr>
              <w:t xml:space="preserve"> </w:t>
            </w:r>
            <w:r w:rsidR="004057BA" w:rsidRPr="00B25E57">
              <w:rPr>
                <w:color w:val="000000"/>
                <w:sz w:val="21"/>
                <w:szCs w:val="21"/>
                <w:lang w:val="es-ES_tradnl"/>
              </w:rPr>
              <w:t>verificación</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7035B2C6" w14:textId="6AB4B1DC" w:rsidR="00AB14F1" w:rsidRPr="00B25E57" w:rsidRDefault="00AB14F1" w:rsidP="00AB14F1">
            <w:pPr>
              <w:jc w:val="right"/>
              <w:rPr>
                <w:color w:val="000000"/>
                <w:sz w:val="21"/>
                <w:szCs w:val="21"/>
                <w:lang w:val="es-ES_tradnl"/>
              </w:rPr>
            </w:pPr>
            <w:r w:rsidRPr="00B25E57">
              <w:rPr>
                <w:color w:val="000000"/>
                <w:sz w:val="21"/>
                <w:szCs w:val="21"/>
                <w:lang w:val="es-ES_tradnl"/>
              </w:rPr>
              <w:t>20</w:t>
            </w:r>
            <w:r w:rsidR="00FB38C2" w:rsidRPr="00B25E57">
              <w:rPr>
                <w:color w:val="000000"/>
                <w:sz w:val="21"/>
                <w:szCs w:val="21"/>
                <w:lang w:val="es-ES_tradnl"/>
              </w:rPr>
              <w:t>0.</w:t>
            </w:r>
            <w:r w:rsidRPr="00B25E57">
              <w:rPr>
                <w:color w:val="000000"/>
                <w:sz w:val="21"/>
                <w:szCs w:val="21"/>
                <w:lang w:val="es-ES_tradnl"/>
              </w:rPr>
              <w:t>000</w:t>
            </w:r>
          </w:p>
        </w:tc>
      </w:tr>
      <w:tr w:rsidR="00AB14F1" w:rsidRPr="00B25E57" w14:paraId="05784BD4"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5A54379E" w14:textId="5A42AA26" w:rsidR="00AB14F1" w:rsidRPr="00B25E57" w:rsidRDefault="00AB14F1">
            <w:pPr>
              <w:jc w:val="left"/>
              <w:rPr>
                <w:color w:val="000000"/>
                <w:sz w:val="21"/>
                <w:szCs w:val="21"/>
                <w:lang w:val="es-ES_tradnl"/>
              </w:rPr>
            </w:pPr>
            <w:r w:rsidRPr="00B25E57">
              <w:rPr>
                <w:color w:val="000000"/>
                <w:sz w:val="21"/>
                <w:szCs w:val="21"/>
                <w:lang w:val="es-ES_tradnl"/>
              </w:rPr>
              <w:t>Total</w:t>
            </w:r>
            <w:r w:rsidR="003A46A1" w:rsidRPr="00B25E57">
              <w:rPr>
                <w:color w:val="000000"/>
                <w:sz w:val="21"/>
                <w:szCs w:val="21"/>
                <w:lang w:val="es-ES_tradnl"/>
              </w:rPr>
              <w:t xml:space="preserve"> </w:t>
            </w:r>
            <w:r w:rsidR="00A4343B" w:rsidRPr="00B25E57">
              <w:rPr>
                <w:color w:val="000000"/>
                <w:sz w:val="21"/>
                <w:szCs w:val="21"/>
                <w:lang w:val="es-ES_tradnl"/>
              </w:rPr>
              <w:t>otros</w:t>
            </w:r>
            <w:r w:rsidR="003A46A1" w:rsidRPr="00B25E57">
              <w:rPr>
                <w:color w:val="000000"/>
                <w:sz w:val="21"/>
                <w:szCs w:val="21"/>
                <w:lang w:val="es-ES_tradnl"/>
              </w:rPr>
              <w:t xml:space="preserve"> </w:t>
            </w:r>
            <w:r w:rsidR="004241C5" w:rsidRPr="00B25E57">
              <w:rPr>
                <w:color w:val="000000"/>
                <w:sz w:val="21"/>
                <w:szCs w:val="21"/>
                <w:lang w:val="es-ES_tradnl"/>
              </w:rPr>
              <w:t>costos</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6BE6848F" w14:textId="098E4068" w:rsidR="00AB14F1" w:rsidRPr="00B25E57" w:rsidRDefault="00AB14F1" w:rsidP="00AB14F1">
            <w:pPr>
              <w:jc w:val="right"/>
              <w:rPr>
                <w:color w:val="000000"/>
                <w:sz w:val="21"/>
                <w:szCs w:val="21"/>
                <w:lang w:val="es-ES_tradnl"/>
              </w:rPr>
            </w:pPr>
            <w:r w:rsidRPr="00B25E57">
              <w:rPr>
                <w:color w:val="000000"/>
                <w:sz w:val="21"/>
                <w:szCs w:val="21"/>
                <w:lang w:val="es-ES_tradnl"/>
              </w:rPr>
              <w:t>41</w:t>
            </w:r>
            <w:r w:rsidR="00FB38C2" w:rsidRPr="00B25E57">
              <w:rPr>
                <w:color w:val="000000"/>
                <w:sz w:val="21"/>
                <w:szCs w:val="21"/>
                <w:lang w:val="es-ES_tradnl"/>
              </w:rPr>
              <w:t>0.</w:t>
            </w:r>
            <w:r w:rsidRPr="00B25E57">
              <w:rPr>
                <w:color w:val="000000"/>
                <w:sz w:val="21"/>
                <w:szCs w:val="21"/>
                <w:lang w:val="es-ES_tradnl"/>
              </w:rPr>
              <w:t>000</w:t>
            </w:r>
          </w:p>
        </w:tc>
      </w:tr>
      <w:tr w:rsidR="00AB14F1" w:rsidRPr="00B25E57" w14:paraId="4FCBABD4" w14:textId="77777777" w:rsidTr="00AB14F1">
        <w:tc>
          <w:tcPr>
            <w:tcW w:w="5755" w:type="dxa"/>
            <w:tcBorders>
              <w:top w:val="nil"/>
              <w:left w:val="single" w:sz="4" w:space="0" w:color="auto"/>
              <w:bottom w:val="single" w:sz="4" w:space="0" w:color="auto"/>
              <w:right w:val="single" w:sz="4" w:space="0" w:color="auto"/>
            </w:tcBorders>
            <w:shd w:val="clear" w:color="auto" w:fill="auto"/>
            <w:noWrap/>
            <w:tcMar>
              <w:top w:w="0" w:type="dxa"/>
              <w:left w:w="115" w:type="dxa"/>
              <w:bottom w:w="0" w:type="dxa"/>
              <w:right w:w="15" w:type="dxa"/>
            </w:tcMar>
            <w:vAlign w:val="bottom"/>
            <w:hideMark/>
          </w:tcPr>
          <w:p w14:paraId="7301AA73" w14:textId="625E0F22" w:rsidR="00AB14F1" w:rsidRPr="00B25E57" w:rsidRDefault="00EB1DFB">
            <w:pPr>
              <w:jc w:val="left"/>
              <w:rPr>
                <w:b/>
                <w:color w:val="000000"/>
                <w:sz w:val="21"/>
                <w:szCs w:val="21"/>
                <w:lang w:val="es-ES_tradnl"/>
              </w:rPr>
            </w:pPr>
            <w:r>
              <w:rPr>
                <w:b/>
                <w:color w:val="000000"/>
                <w:sz w:val="21"/>
                <w:szCs w:val="21"/>
                <w:lang w:val="es-ES_tradnl"/>
              </w:rPr>
              <w:t>Costos totales</w:t>
            </w:r>
          </w:p>
        </w:tc>
        <w:tc>
          <w:tcPr>
            <w:tcW w:w="3600" w:type="dxa"/>
            <w:tcBorders>
              <w:top w:val="nil"/>
              <w:left w:val="nil"/>
              <w:bottom w:val="single" w:sz="4" w:space="0" w:color="auto"/>
              <w:right w:val="single" w:sz="4" w:space="0" w:color="auto"/>
            </w:tcBorders>
            <w:shd w:val="clear" w:color="auto" w:fill="auto"/>
            <w:noWrap/>
            <w:tcMar>
              <w:top w:w="15" w:type="dxa"/>
              <w:left w:w="15" w:type="dxa"/>
              <w:bottom w:w="0" w:type="dxa"/>
              <w:right w:w="1296" w:type="dxa"/>
            </w:tcMar>
            <w:hideMark/>
          </w:tcPr>
          <w:p w14:paraId="21F504F3" w14:textId="28C75035" w:rsidR="00AB14F1" w:rsidRPr="00B25E57" w:rsidRDefault="00FB38C2" w:rsidP="00AB14F1">
            <w:pPr>
              <w:jc w:val="right"/>
              <w:rPr>
                <w:b/>
                <w:color w:val="000000"/>
                <w:sz w:val="21"/>
                <w:szCs w:val="21"/>
                <w:lang w:val="es-ES_tradnl"/>
              </w:rPr>
            </w:pPr>
            <w:r w:rsidRPr="00B25E57">
              <w:rPr>
                <w:b/>
                <w:color w:val="000000"/>
                <w:sz w:val="21"/>
                <w:szCs w:val="21"/>
                <w:lang w:val="es-ES_tradnl"/>
              </w:rPr>
              <w:t>1.</w:t>
            </w:r>
            <w:r w:rsidR="00AB14F1" w:rsidRPr="00B25E57">
              <w:rPr>
                <w:b/>
                <w:color w:val="000000"/>
                <w:sz w:val="21"/>
                <w:szCs w:val="21"/>
                <w:lang w:val="es-ES_tradnl"/>
              </w:rPr>
              <w:t>82</w:t>
            </w:r>
            <w:r w:rsidRPr="00B25E57">
              <w:rPr>
                <w:b/>
                <w:color w:val="000000"/>
                <w:sz w:val="21"/>
                <w:szCs w:val="21"/>
                <w:lang w:val="es-ES_tradnl"/>
              </w:rPr>
              <w:t>3.</w:t>
            </w:r>
            <w:r w:rsidR="00AB14F1" w:rsidRPr="00B25E57">
              <w:rPr>
                <w:b/>
                <w:color w:val="000000"/>
                <w:sz w:val="21"/>
                <w:szCs w:val="21"/>
                <w:lang w:val="es-ES_tradnl"/>
              </w:rPr>
              <w:t>770</w:t>
            </w:r>
          </w:p>
        </w:tc>
      </w:tr>
    </w:tbl>
    <w:p w14:paraId="538BBDC7" w14:textId="5AB7FD06" w:rsidR="009D4E7E" w:rsidRPr="00B25E57" w:rsidRDefault="009D4E7E" w:rsidP="008504BB">
      <w:pPr>
        <w:rPr>
          <w:sz w:val="20"/>
          <w:szCs w:val="20"/>
          <w:lang w:val="es-ES_tradnl"/>
        </w:rPr>
      </w:pPr>
      <w:r w:rsidRPr="00B25E57">
        <w:rPr>
          <w:sz w:val="20"/>
          <w:szCs w:val="20"/>
          <w:lang w:val="es-ES_tradnl"/>
        </w:rPr>
        <w:t>*</w:t>
      </w:r>
      <w:r w:rsidR="003A46A1" w:rsidRPr="00B25E57">
        <w:rPr>
          <w:sz w:val="20"/>
          <w:szCs w:val="20"/>
          <w:lang w:val="es-ES_tradnl"/>
        </w:rPr>
        <w:t xml:space="preserve"> </w:t>
      </w:r>
      <w:r w:rsidR="003971E7">
        <w:rPr>
          <w:sz w:val="20"/>
          <w:szCs w:val="20"/>
          <w:lang w:val="es-ES_tradnl"/>
        </w:rPr>
        <w:t>C</w:t>
      </w:r>
      <w:r w:rsidR="00FB38C2" w:rsidRPr="00B25E57">
        <w:rPr>
          <w:sz w:val="20"/>
          <w:szCs w:val="20"/>
          <w:lang w:val="es-ES_tradnl"/>
        </w:rPr>
        <w:t>osto</w:t>
      </w:r>
      <w:r w:rsidR="003A46A1" w:rsidRPr="00B25E57">
        <w:rPr>
          <w:sz w:val="20"/>
          <w:szCs w:val="20"/>
          <w:lang w:val="es-ES_tradnl"/>
        </w:rPr>
        <w:t xml:space="preserve"> </w:t>
      </w:r>
      <w:r w:rsidR="002C6EDB">
        <w:rPr>
          <w:sz w:val="20"/>
          <w:szCs w:val="20"/>
          <w:lang w:val="es-ES_tradnl"/>
        </w:rPr>
        <w:t>únicamente</w:t>
      </w:r>
      <w:r w:rsidR="00EF1486">
        <w:rPr>
          <w:sz w:val="20"/>
          <w:szCs w:val="20"/>
          <w:lang w:val="es-ES_tradnl"/>
        </w:rPr>
        <w:t xml:space="preserve"> </w:t>
      </w:r>
      <w:r w:rsidR="003971E7">
        <w:rPr>
          <w:sz w:val="20"/>
          <w:szCs w:val="20"/>
          <w:lang w:val="es-ES_tradnl"/>
        </w:rPr>
        <w:t>referencial</w:t>
      </w:r>
      <w:r w:rsidR="00CC30DA">
        <w:rPr>
          <w:sz w:val="20"/>
          <w:szCs w:val="20"/>
          <w:lang w:val="es-ES_tradnl"/>
        </w:rPr>
        <w:t>,</w:t>
      </w:r>
      <w:r w:rsidR="003971E7">
        <w:rPr>
          <w:sz w:val="20"/>
          <w:szCs w:val="20"/>
          <w:lang w:val="es-ES_tradnl"/>
        </w:rPr>
        <w:t xml:space="preserve"> </w:t>
      </w:r>
      <w:r w:rsidR="002C6EDB">
        <w:rPr>
          <w:sz w:val="20"/>
          <w:szCs w:val="20"/>
          <w:lang w:val="es-ES_tradnl"/>
        </w:rPr>
        <w:t xml:space="preserve">estimado sobre la base del </w:t>
      </w:r>
      <w:r w:rsidR="00F942C6" w:rsidRPr="00B25E57">
        <w:rPr>
          <w:sz w:val="20"/>
          <w:szCs w:val="20"/>
          <w:lang w:val="es-ES_tradnl"/>
        </w:rPr>
        <w:t>alcance</w:t>
      </w:r>
      <w:r w:rsidR="003A46A1" w:rsidRPr="00B25E57">
        <w:rPr>
          <w:sz w:val="20"/>
          <w:szCs w:val="20"/>
          <w:lang w:val="es-ES_tradnl"/>
        </w:rPr>
        <w:t xml:space="preserve"> </w:t>
      </w:r>
      <w:r w:rsidR="002C6EDB">
        <w:rPr>
          <w:sz w:val="20"/>
          <w:szCs w:val="20"/>
          <w:lang w:val="es-ES_tradnl"/>
        </w:rPr>
        <w:t>de las obras</w:t>
      </w:r>
      <w:r w:rsidR="008C0195">
        <w:rPr>
          <w:sz w:val="20"/>
          <w:szCs w:val="20"/>
          <w:lang w:val="es-ES_tradnl"/>
        </w:rPr>
        <w:t>.</w:t>
      </w:r>
    </w:p>
    <w:p w14:paraId="32FC6C5C" w14:textId="77777777" w:rsidR="009D4E7E" w:rsidRPr="00B25E57" w:rsidRDefault="009D4E7E" w:rsidP="008504BB">
      <w:pPr>
        <w:rPr>
          <w:lang w:val="es-ES_tradnl"/>
        </w:rPr>
      </w:pPr>
    </w:p>
    <w:p w14:paraId="18D5E2EF" w14:textId="7A1FDE31" w:rsidR="00EF7627" w:rsidRPr="00B25E57" w:rsidRDefault="004830E0" w:rsidP="003705B7">
      <w:pPr>
        <w:pStyle w:val="Heading1"/>
        <w:rPr>
          <w:lang w:val="es-ES_tradnl"/>
        </w:rPr>
      </w:pPr>
      <w:r>
        <w:rPr>
          <w:lang w:val="es-ES_tradnl"/>
        </w:rPr>
        <w:t xml:space="preserve">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Pr>
          <w:lang w:val="es-ES_tradnl"/>
        </w:rPr>
        <w:t>se calcularon</w:t>
      </w:r>
      <w:r w:rsidR="003A46A1" w:rsidRPr="00B25E57">
        <w:rPr>
          <w:lang w:val="es-ES_tradnl"/>
        </w:rPr>
        <w:t xml:space="preserve"> </w:t>
      </w:r>
      <w:r w:rsidR="00F942C6" w:rsidRPr="00B25E57">
        <w:rPr>
          <w:lang w:val="es-ES_tradnl"/>
        </w:rPr>
        <w:t xml:space="preserve">sobre </w:t>
      </w:r>
      <w:r w:rsidR="00E272AD">
        <w:rPr>
          <w:lang w:val="es-ES_tradnl"/>
        </w:rPr>
        <w:t>lo</w:t>
      </w:r>
      <w:r w:rsidR="004057BA" w:rsidRPr="00B25E57">
        <w:rPr>
          <w:lang w:val="es-ES_tradnl"/>
        </w:rPr>
        <w:t>s</w:t>
      </w:r>
      <w:r w:rsidR="003A46A1" w:rsidRPr="00B25E57">
        <w:rPr>
          <w:lang w:val="es-ES_tradnl"/>
        </w:rPr>
        <w:t xml:space="preserve"> </w:t>
      </w:r>
      <w:r w:rsidR="004057BA" w:rsidRPr="00B25E57">
        <w:rPr>
          <w:lang w:val="es-ES_tradnl"/>
        </w:rPr>
        <w:t>siguientes</w:t>
      </w:r>
      <w:r w:rsidR="003A46A1" w:rsidRPr="00B25E57">
        <w:rPr>
          <w:lang w:val="es-ES_tradnl"/>
        </w:rPr>
        <w:t xml:space="preserve"> </w:t>
      </w:r>
      <w:r>
        <w:rPr>
          <w:lang w:val="es-ES_tradnl"/>
        </w:rPr>
        <w:t>supuestos</w:t>
      </w:r>
      <w:r w:rsidR="00EF7627" w:rsidRPr="00B25E57">
        <w:rPr>
          <w:lang w:val="es-ES_tradnl"/>
        </w:rPr>
        <w:t>:</w:t>
      </w:r>
    </w:p>
    <w:p w14:paraId="6B02ED32" w14:textId="307A8C20" w:rsidR="007B22B4" w:rsidRPr="00B25E57" w:rsidRDefault="00B72EC1" w:rsidP="00A36BA3">
      <w:pPr>
        <w:pStyle w:val="Heading2"/>
        <w:numPr>
          <w:ilvl w:val="1"/>
          <w:numId w:val="32"/>
        </w:numPr>
        <w:ind w:left="1417" w:hanging="708"/>
        <w:rPr>
          <w:lang w:val="es-ES_tradnl"/>
        </w:rPr>
      </w:pPr>
      <w:r>
        <w:rPr>
          <w:lang w:val="es-ES_tradnl"/>
        </w:rPr>
        <w:t xml:space="preserve">Una </w:t>
      </w:r>
      <w:r w:rsidR="004512EA" w:rsidRPr="00B25E57">
        <w:rPr>
          <w:lang w:val="es-ES_tradnl"/>
        </w:rPr>
        <w:t>producción</w:t>
      </w:r>
      <w:r w:rsidR="003A46A1" w:rsidRPr="00B25E57">
        <w:rPr>
          <w:lang w:val="es-ES_tradnl"/>
        </w:rPr>
        <w:t xml:space="preserve"> </w:t>
      </w:r>
      <w:r w:rsidR="004512EA" w:rsidRPr="00B25E57">
        <w:rPr>
          <w:lang w:val="es-ES_tradnl"/>
        </w:rPr>
        <w:t>de</w:t>
      </w:r>
      <w:r w:rsidR="003A46A1" w:rsidRPr="00B25E57">
        <w:rPr>
          <w:lang w:val="es-ES_tradnl"/>
        </w:rPr>
        <w:t xml:space="preserve"> </w:t>
      </w:r>
      <w:r w:rsidR="004512EA" w:rsidRPr="00B25E57">
        <w:rPr>
          <w:lang w:val="es-ES_tradnl"/>
        </w:rPr>
        <w:t>HCFC-22</w:t>
      </w:r>
      <w:r w:rsidR="003A46A1" w:rsidRPr="00B25E57">
        <w:rPr>
          <w:lang w:val="es-ES_tradnl"/>
        </w:rPr>
        <w:t xml:space="preserve"> </w:t>
      </w:r>
      <w:r>
        <w:rPr>
          <w:lang w:val="es-ES_tradnl"/>
        </w:rPr>
        <w:t>d</w:t>
      </w:r>
      <w:r w:rsidR="00EF7627" w:rsidRPr="00B25E57">
        <w:rPr>
          <w:lang w:val="es-ES_tradnl"/>
        </w:rPr>
        <w:t>e</w:t>
      </w:r>
      <w:r w:rsidR="003A46A1" w:rsidRPr="00B25E57">
        <w:rPr>
          <w:lang w:val="es-ES_tradnl"/>
        </w:rPr>
        <w:t xml:space="preserve"> </w:t>
      </w:r>
      <w:r w:rsidR="00FB38C2" w:rsidRPr="00B25E57">
        <w:rPr>
          <w:lang w:val="es-ES_tradnl"/>
        </w:rPr>
        <w:t>2.</w:t>
      </w:r>
      <w:r w:rsidR="00114C6B" w:rsidRPr="00B25E57">
        <w:rPr>
          <w:lang w:val="es-ES_tradnl"/>
        </w:rPr>
        <w:t>000</w:t>
      </w:r>
      <w:r w:rsidR="003A46A1" w:rsidRPr="00B25E57">
        <w:rPr>
          <w:lang w:val="es-ES_tradnl"/>
        </w:rPr>
        <w:t xml:space="preserve"> </w:t>
      </w:r>
      <w:r w:rsidR="00FB38C2" w:rsidRPr="00B25E57">
        <w:rPr>
          <w:lang w:val="es-ES_tradnl"/>
        </w:rPr>
        <w:t>tm</w:t>
      </w:r>
      <w:r w:rsidR="00AB317F">
        <w:rPr>
          <w:lang w:val="es-ES_tradnl"/>
        </w:rPr>
        <w:t>/año</w:t>
      </w:r>
      <w:r w:rsidR="003A46A1" w:rsidRPr="00B25E57">
        <w:rPr>
          <w:lang w:val="es-ES_tradnl"/>
        </w:rPr>
        <w:t xml:space="preserve"> </w:t>
      </w:r>
      <w:r>
        <w:rPr>
          <w:lang w:val="es-ES_tradnl"/>
        </w:rPr>
        <w:t>en</w:t>
      </w:r>
      <w:r w:rsidR="003A46A1" w:rsidRPr="00B25E57">
        <w:rPr>
          <w:lang w:val="es-ES_tradnl"/>
        </w:rPr>
        <w:t xml:space="preserve"> </w:t>
      </w:r>
      <w:r w:rsidR="00114C6B" w:rsidRPr="00B25E57">
        <w:rPr>
          <w:lang w:val="es-ES_tradnl"/>
        </w:rPr>
        <w:t>2020</w:t>
      </w:r>
      <w:r w:rsidR="00FB38C2" w:rsidRPr="00B25E57">
        <w:rPr>
          <w:lang w:val="es-ES_tradnl"/>
        </w:rPr>
        <w:t>-</w:t>
      </w:r>
      <w:r w:rsidR="00114C6B" w:rsidRPr="00B25E57">
        <w:rPr>
          <w:lang w:val="es-ES_tradnl"/>
        </w:rPr>
        <w:t>202</w:t>
      </w:r>
      <w:r w:rsidR="00FB38C2" w:rsidRPr="00B25E57">
        <w:rPr>
          <w:lang w:val="es-ES_tradnl"/>
        </w:rPr>
        <w:t>4</w:t>
      </w:r>
      <w:r w:rsidR="00AB14F1" w:rsidRPr="00B25E57">
        <w:rPr>
          <w:rStyle w:val="FootnoteReference"/>
          <w:lang w:val="es-ES_tradnl"/>
        </w:rPr>
        <w:footnoteReference w:id="10"/>
      </w:r>
      <w:r w:rsidR="003A46A1" w:rsidRPr="00B25E57">
        <w:rPr>
          <w:lang w:val="es-ES_tradnl"/>
        </w:rPr>
        <w:t xml:space="preserve"> </w:t>
      </w:r>
      <w:r w:rsidR="00FB38C2" w:rsidRPr="00B25E57">
        <w:rPr>
          <w:lang w:val="es-ES_tradnl"/>
        </w:rPr>
        <w:t>y</w:t>
      </w:r>
      <w:r w:rsidR="003A46A1" w:rsidRPr="00B25E57">
        <w:rPr>
          <w:lang w:val="es-ES_tradnl"/>
        </w:rPr>
        <w:t xml:space="preserve"> </w:t>
      </w:r>
      <w:r>
        <w:rPr>
          <w:lang w:val="es-ES_tradnl"/>
        </w:rPr>
        <w:t xml:space="preserve">de </w:t>
      </w:r>
      <w:r w:rsidR="00FB38C2" w:rsidRPr="00B25E57">
        <w:rPr>
          <w:lang w:val="es-ES_tradnl"/>
        </w:rPr>
        <w:t>1.</w:t>
      </w:r>
      <w:r w:rsidR="00114C6B" w:rsidRPr="00B25E57">
        <w:rPr>
          <w:lang w:val="es-ES_tradnl"/>
        </w:rPr>
        <w:t>300</w:t>
      </w:r>
      <w:r w:rsidR="003A46A1" w:rsidRPr="00B25E57">
        <w:rPr>
          <w:lang w:val="es-ES_tradnl"/>
        </w:rPr>
        <w:t xml:space="preserve"> </w:t>
      </w:r>
      <w:r w:rsidR="00FB38C2" w:rsidRPr="00B25E57">
        <w:rPr>
          <w:lang w:val="es-ES_tradnl"/>
        </w:rPr>
        <w:t>tm</w:t>
      </w:r>
      <w:r w:rsidR="00AB317F">
        <w:rPr>
          <w:lang w:val="es-ES_tradnl"/>
        </w:rPr>
        <w:t>/año</w:t>
      </w:r>
      <w:r w:rsidR="009C563B" w:rsidRPr="00B25E57">
        <w:rPr>
          <w:rStyle w:val="FootnoteReference"/>
          <w:lang w:val="es-ES_tradnl"/>
        </w:rPr>
        <w:footnoteReference w:id="11"/>
      </w:r>
      <w:r w:rsidR="003A46A1" w:rsidRPr="00B25E57">
        <w:rPr>
          <w:lang w:val="es-ES_tradnl"/>
        </w:rPr>
        <w:t xml:space="preserve"> </w:t>
      </w:r>
      <w:r>
        <w:rPr>
          <w:lang w:val="es-ES_tradnl"/>
        </w:rPr>
        <w:t xml:space="preserve">en </w:t>
      </w:r>
      <w:r w:rsidR="00EF7627" w:rsidRPr="00B25E57">
        <w:rPr>
          <w:lang w:val="es-ES_tradnl"/>
        </w:rPr>
        <w:t>2025</w:t>
      </w:r>
      <w:r w:rsidR="00FB38C2" w:rsidRPr="00B25E57">
        <w:rPr>
          <w:lang w:val="es-ES_tradnl"/>
        </w:rPr>
        <w:t>-</w:t>
      </w:r>
      <w:r w:rsidR="00EF7627" w:rsidRPr="00B25E57">
        <w:rPr>
          <w:lang w:val="es-ES_tradnl"/>
        </w:rPr>
        <w:t>20</w:t>
      </w:r>
      <w:r w:rsidR="00010DAA" w:rsidRPr="00B25E57">
        <w:rPr>
          <w:lang w:val="es-ES_tradnl"/>
        </w:rPr>
        <w:t>2</w:t>
      </w:r>
      <w:r w:rsidR="00F9043E">
        <w:rPr>
          <w:lang w:val="es-ES_tradnl"/>
        </w:rPr>
        <w:t>9,</w:t>
      </w:r>
      <w:r w:rsidR="003A46A1" w:rsidRPr="00B25E57">
        <w:rPr>
          <w:lang w:val="es-ES_tradnl"/>
        </w:rPr>
        <w:t xml:space="preserve"> </w:t>
      </w:r>
      <w:r w:rsidR="003978B6">
        <w:rPr>
          <w:lang w:val="es-ES_tradnl"/>
        </w:rPr>
        <w:t xml:space="preserve">tras lo cual </w:t>
      </w:r>
      <w:r w:rsidR="00292F5E">
        <w:rPr>
          <w:lang w:val="es-ES_tradnl"/>
        </w:rPr>
        <w:t xml:space="preserve">se pondría fin a la </w:t>
      </w:r>
      <w:r w:rsidR="004241C5" w:rsidRPr="00B25E57">
        <w:rPr>
          <w:lang w:val="es-ES_tradnl"/>
        </w:rPr>
        <w:t>producción</w:t>
      </w:r>
      <w:r w:rsidR="00EF7627" w:rsidRPr="00B25E57">
        <w:rPr>
          <w:lang w:val="es-ES_tradnl"/>
        </w:rPr>
        <w:t>;</w:t>
      </w:r>
    </w:p>
    <w:p w14:paraId="390C941F" w14:textId="2B2E3E91" w:rsidR="00EF7627" w:rsidRPr="00B25E57" w:rsidRDefault="006A0E92" w:rsidP="00A36BA3">
      <w:pPr>
        <w:pStyle w:val="Heading2"/>
        <w:numPr>
          <w:ilvl w:val="1"/>
          <w:numId w:val="32"/>
        </w:numPr>
        <w:ind w:left="1417" w:hanging="708"/>
        <w:rPr>
          <w:lang w:val="es-ES_tradnl"/>
        </w:rPr>
      </w:pPr>
      <w:r>
        <w:rPr>
          <w:lang w:val="es-ES_tradnl"/>
        </w:rPr>
        <w:lastRenderedPageBreak/>
        <w:t>Volumen anual</w:t>
      </w:r>
      <w:r w:rsidR="003A46A1" w:rsidRPr="00B25E57">
        <w:rPr>
          <w:lang w:val="es-ES_tradnl"/>
        </w:rPr>
        <w:t xml:space="preserve"> </w:t>
      </w:r>
      <w:r w:rsidR="008C458A">
        <w:rPr>
          <w:lang w:val="es-ES_tradnl"/>
        </w:rPr>
        <w:t xml:space="preserve">de </w:t>
      </w:r>
      <w:r w:rsidR="004512EA" w:rsidRPr="00B25E57">
        <w:rPr>
          <w:lang w:val="es-ES_tradnl"/>
        </w:rPr>
        <w:t>HFC-23</w:t>
      </w:r>
      <w:r w:rsidR="003A46A1" w:rsidRPr="00B25E57">
        <w:rPr>
          <w:lang w:val="es-ES_tradnl"/>
        </w:rPr>
        <w:t xml:space="preserve"> </w:t>
      </w:r>
      <w:r w:rsidR="00517B37">
        <w:rPr>
          <w:lang w:val="es-ES_tradnl"/>
        </w:rPr>
        <w:t>estimado</w:t>
      </w:r>
      <w:r w:rsidR="00A07821">
        <w:rPr>
          <w:lang w:val="es-ES_tradnl"/>
        </w:rPr>
        <w:t xml:space="preserve"> </w:t>
      </w:r>
      <w:r w:rsidR="00FC1218">
        <w:rPr>
          <w:lang w:val="es-ES_tradnl"/>
        </w:rPr>
        <w:t xml:space="preserve">en base a </w:t>
      </w:r>
      <w:r w:rsidR="00607EF4">
        <w:rPr>
          <w:lang w:val="es-ES_tradnl"/>
        </w:rPr>
        <w:t>una</w:t>
      </w:r>
      <w:r w:rsidR="00AD283E">
        <w:rPr>
          <w:lang w:val="es-ES_tradnl"/>
        </w:rPr>
        <w:t xml:space="preserve"> tasa </w:t>
      </w:r>
      <w:r w:rsidR="005F6D5B" w:rsidRPr="005F6D5B">
        <w:rPr>
          <w:lang w:val="es-ES_tradnl"/>
        </w:rPr>
        <w:t xml:space="preserve">histórica </w:t>
      </w:r>
      <w:r w:rsidR="00AD283E">
        <w:rPr>
          <w:lang w:val="es-ES_tradnl"/>
        </w:rPr>
        <w:t>de generación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341CA">
        <w:rPr>
          <w:lang w:val="es-ES_tradnl"/>
        </w:rPr>
        <w:t>3,</w:t>
      </w:r>
      <w:r w:rsidR="0055230E" w:rsidRPr="00B25E57">
        <w:rPr>
          <w:lang w:val="es-ES_tradnl"/>
        </w:rPr>
        <w:t>24</w:t>
      </w:r>
      <w:r w:rsidR="00FB38C2" w:rsidRPr="00B25E57">
        <w:rPr>
          <w:lang w:val="es-ES_tradnl"/>
        </w:rPr>
        <w:t>%</w:t>
      </w:r>
      <w:r w:rsidR="00EF7627" w:rsidRPr="00B25E57">
        <w:rPr>
          <w:lang w:val="es-ES_tradnl"/>
        </w:rPr>
        <w:t>;</w:t>
      </w:r>
    </w:p>
    <w:p w14:paraId="329B49D8" w14:textId="33EF3EA1" w:rsidR="00EF7627" w:rsidRPr="00B25E57" w:rsidRDefault="0051477E" w:rsidP="003A7FFC">
      <w:pPr>
        <w:pStyle w:val="Heading2"/>
        <w:widowControl/>
        <w:numPr>
          <w:ilvl w:val="1"/>
          <w:numId w:val="32"/>
        </w:numPr>
        <w:ind w:left="1417" w:hanging="708"/>
        <w:rPr>
          <w:lang w:val="es-ES_tradnl"/>
        </w:rPr>
      </w:pPr>
      <w:r>
        <w:rPr>
          <w:lang w:val="es-ES_tradnl"/>
        </w:rPr>
        <w:t>El costo del nitrógeno</w:t>
      </w:r>
      <w:r w:rsidR="003A46A1" w:rsidRPr="00B25E57">
        <w:rPr>
          <w:lang w:val="es-ES_tradnl"/>
        </w:rPr>
        <w:t xml:space="preserve"> </w:t>
      </w:r>
      <w:r w:rsidR="00FC07D4">
        <w:rPr>
          <w:lang w:val="es-ES_tradnl"/>
        </w:rPr>
        <w:t>se calculó</w:t>
      </w:r>
      <w:r w:rsidR="00E54982">
        <w:rPr>
          <w:lang w:val="es-ES_tradnl"/>
        </w:rPr>
        <w:t xml:space="preserve"> sobre </w:t>
      </w:r>
      <w:r w:rsidR="00F942C6" w:rsidRPr="00B25E57">
        <w:rPr>
          <w:lang w:val="es-ES_tradnl"/>
        </w:rPr>
        <w:t>un</w:t>
      </w:r>
      <w:r w:rsidR="003A46A1" w:rsidRPr="00B25E57">
        <w:rPr>
          <w:lang w:val="es-ES_tradnl"/>
        </w:rPr>
        <w:t xml:space="preserve"> </w:t>
      </w:r>
      <w:r w:rsidR="00997E57">
        <w:rPr>
          <w:lang w:val="es-ES_tradnl"/>
        </w:rPr>
        <w:t>monto anual contratado</w:t>
      </w:r>
      <w:r w:rsidR="009A0949" w:rsidRPr="00B25E57">
        <w:rPr>
          <w:lang w:val="es-ES_tradnl"/>
        </w:rPr>
        <w:t>;</w:t>
      </w:r>
      <w:r w:rsidR="003A46A1" w:rsidRPr="00B25E57">
        <w:rPr>
          <w:lang w:val="es-ES_tradnl"/>
        </w:rPr>
        <w:t xml:space="preserve"> </w:t>
      </w:r>
      <w:r w:rsidR="00806C47">
        <w:rPr>
          <w:lang w:val="es-ES_tradnl"/>
        </w:rPr>
        <w:t>otras</w:t>
      </w:r>
      <w:r w:rsidR="00CF636F">
        <w:rPr>
          <w:lang w:val="es-ES_tradnl"/>
        </w:rPr>
        <w:t xml:space="preserve"> materias primas</w:t>
      </w:r>
      <w:r w:rsidR="003A46A1" w:rsidRPr="00B25E57">
        <w:rPr>
          <w:lang w:val="es-ES_tradnl"/>
        </w:rPr>
        <w:t xml:space="preserve"> </w:t>
      </w:r>
      <w:r w:rsidR="00415AF6" w:rsidRPr="00B25E57">
        <w:rPr>
          <w:lang w:val="es-ES_tradnl"/>
        </w:rPr>
        <w:t>(</w:t>
      </w:r>
      <w:r w:rsidR="006D2193">
        <w:rPr>
          <w:lang w:val="es-ES_tradnl"/>
        </w:rPr>
        <w:t>gas natural</w:t>
      </w:r>
      <w:r w:rsidR="00415AF6" w:rsidRPr="00B25E57">
        <w:rPr>
          <w:lang w:val="es-ES_tradnl"/>
        </w:rPr>
        <w:t>,</w:t>
      </w:r>
      <w:r w:rsidR="003A46A1" w:rsidRPr="00B25E57">
        <w:rPr>
          <w:lang w:val="es-ES_tradnl"/>
        </w:rPr>
        <w:t xml:space="preserve"> </w:t>
      </w:r>
      <w:r w:rsidR="00DE4569" w:rsidRPr="00DE4569">
        <w:rPr>
          <w:lang w:val="es-ES_tradnl"/>
        </w:rPr>
        <w:t xml:space="preserve">agua </w:t>
      </w:r>
      <w:r w:rsidR="00DE4569">
        <w:rPr>
          <w:lang w:val="es-ES_tradnl"/>
        </w:rPr>
        <w:t>desionizada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15AF6" w:rsidRPr="00B25E57">
        <w:rPr>
          <w:lang w:val="es-ES_tradnl"/>
        </w:rPr>
        <w:t>potable,</w:t>
      </w:r>
      <w:r w:rsidR="003A46A1" w:rsidRPr="00B25E57">
        <w:rPr>
          <w:lang w:val="es-ES_tradnl"/>
        </w:rPr>
        <w:t xml:space="preserve"> </w:t>
      </w:r>
      <w:r w:rsidR="006D2193">
        <w:rPr>
          <w:lang w:val="es-ES_tradnl"/>
        </w:rPr>
        <w:t>electricidad</w:t>
      </w:r>
      <w:r w:rsidR="00AC579A">
        <w:rPr>
          <w:lang w:val="es-ES_tradnl"/>
        </w:rPr>
        <w:t xml:space="preserve">, </w:t>
      </w:r>
      <w:r w:rsidR="00E434B2" w:rsidRPr="00B25E57">
        <w:rPr>
          <w:lang w:val="es-ES_tradnl"/>
        </w:rPr>
        <w:t>oxígeno</w:t>
      </w:r>
      <w:r w:rsidR="00415AF6" w:rsidRPr="00B25E57">
        <w:rPr>
          <w:lang w:val="es-ES_tradnl"/>
        </w:rPr>
        <w:t>)</w:t>
      </w:r>
      <w:r w:rsidR="003A46A1" w:rsidRPr="00B25E57">
        <w:rPr>
          <w:lang w:val="es-ES_tradnl"/>
        </w:rPr>
        <w:t xml:space="preserve"> </w:t>
      </w:r>
      <w:r w:rsidR="00A24B89">
        <w:rPr>
          <w:lang w:val="es-ES_tradnl"/>
        </w:rPr>
        <w:t>se estima</w:t>
      </w:r>
      <w:r w:rsidR="00DE25D8">
        <w:rPr>
          <w:lang w:val="es-ES_tradnl"/>
        </w:rPr>
        <w:t>ron en base a los factores de consumo promedio</w:t>
      </w:r>
      <w:r w:rsidR="003A46A1" w:rsidRPr="00B25E57">
        <w:rPr>
          <w:lang w:val="es-ES_tradnl"/>
        </w:rPr>
        <w:t xml:space="preserve"> </w:t>
      </w:r>
      <w:r w:rsidR="00DE25D8">
        <w:rPr>
          <w:lang w:val="es-ES_tradnl"/>
        </w:rPr>
        <w:t xml:space="preserve">en </w:t>
      </w:r>
      <w:r w:rsidR="00415AF6" w:rsidRPr="00B25E57">
        <w:rPr>
          <w:lang w:val="es-ES_tradnl"/>
        </w:rPr>
        <w:t>2008</w:t>
      </w:r>
      <w:r w:rsidR="00FB38C2" w:rsidRPr="00B25E57">
        <w:rPr>
          <w:lang w:val="es-ES_tradnl"/>
        </w:rPr>
        <w:t>-</w:t>
      </w:r>
      <w:r w:rsidR="00415AF6" w:rsidRPr="00B25E57">
        <w:rPr>
          <w:lang w:val="es-ES_tradnl"/>
        </w:rPr>
        <w:t>201</w:t>
      </w:r>
      <w:r w:rsidR="00502033">
        <w:rPr>
          <w:lang w:val="es-ES_tradnl"/>
        </w:rPr>
        <w:t>2</w:t>
      </w:r>
      <w:r w:rsidR="002F3DFA">
        <w:rPr>
          <w:lang w:val="es-ES_tradnl"/>
        </w:rPr>
        <w:t xml:space="preserve">, época en que </w:t>
      </w:r>
      <w:r w:rsidR="00C95B4F">
        <w:rPr>
          <w:lang w:val="es-ES_tradnl"/>
        </w:rPr>
        <w:t>el incinerador</w:t>
      </w:r>
      <w:r w:rsidR="003A46A1" w:rsidRPr="00B25E57">
        <w:rPr>
          <w:lang w:val="es-ES_tradnl"/>
        </w:rPr>
        <w:t xml:space="preserve"> </w:t>
      </w:r>
      <w:r w:rsidR="002F3DFA">
        <w:rPr>
          <w:lang w:val="es-ES_tradnl"/>
        </w:rPr>
        <w:t xml:space="preserve">funcionó </w:t>
      </w:r>
      <w:r w:rsidR="004D09B2">
        <w:rPr>
          <w:lang w:val="es-ES_tradnl"/>
        </w:rPr>
        <w:t xml:space="preserve">bajo el </w:t>
      </w:r>
      <w:r w:rsidR="007F3B2A">
        <w:rPr>
          <w:lang w:val="es-ES_tradnl"/>
        </w:rPr>
        <w:t>proyecto MDL</w:t>
      </w:r>
      <w:r w:rsidR="00DD3A18">
        <w:rPr>
          <w:lang w:val="es-ES_tradnl"/>
        </w:rPr>
        <w:t xml:space="preserve">, </w:t>
      </w:r>
      <w:r w:rsidR="00F33C58" w:rsidRPr="00B25E57">
        <w:rPr>
          <w:lang w:val="es-ES_tradnl"/>
        </w:rPr>
        <w:t>y</w:t>
      </w:r>
      <w:r w:rsidR="003A46A1" w:rsidRPr="00B25E57">
        <w:rPr>
          <w:lang w:val="es-ES_tradnl"/>
        </w:rPr>
        <w:t xml:space="preserve"> </w:t>
      </w:r>
      <w:r w:rsidR="00DD3A18">
        <w:rPr>
          <w:lang w:val="es-ES_tradnl"/>
        </w:rPr>
        <w:t>el precio en 2018</w:t>
      </w:r>
      <w:r w:rsidR="003A46A1" w:rsidRPr="00B25E57">
        <w:rPr>
          <w:lang w:val="es-ES_tradnl"/>
        </w:rPr>
        <w:t xml:space="preserve"> </w:t>
      </w:r>
      <w:r w:rsidR="00DD3A18">
        <w:rPr>
          <w:lang w:val="es-ES_tradnl"/>
        </w:rPr>
        <w:t xml:space="preserve">de </w:t>
      </w:r>
      <w:r w:rsidR="00A4343B" w:rsidRPr="00B25E57">
        <w:rPr>
          <w:lang w:val="es-ES_tradnl"/>
        </w:rPr>
        <w:t>cada</w:t>
      </w:r>
      <w:r w:rsidR="003A46A1" w:rsidRPr="00B25E57">
        <w:rPr>
          <w:lang w:val="es-ES_tradnl"/>
        </w:rPr>
        <w:t xml:space="preserve"> </w:t>
      </w:r>
      <w:r w:rsidR="004241C5" w:rsidRPr="00B25E57">
        <w:rPr>
          <w:lang w:val="es-ES_tradnl"/>
        </w:rPr>
        <w:t>materia</w:t>
      </w:r>
      <w:r w:rsidR="003A46A1" w:rsidRPr="00B25E57">
        <w:rPr>
          <w:lang w:val="es-ES_tradnl"/>
        </w:rPr>
        <w:t xml:space="preserve"> </w:t>
      </w:r>
      <w:r w:rsidR="004241C5" w:rsidRPr="00B25E57">
        <w:rPr>
          <w:lang w:val="es-ES_tradnl"/>
        </w:rPr>
        <w:t>prima</w:t>
      </w:r>
      <w:r w:rsidR="00EF7627" w:rsidRPr="00B25E57">
        <w:rPr>
          <w:lang w:val="es-ES_tradnl"/>
        </w:rPr>
        <w:t>;</w:t>
      </w:r>
    </w:p>
    <w:p w14:paraId="0A6CC27B" w14:textId="11294572" w:rsidR="00EF7627" w:rsidRPr="00B25E57" w:rsidRDefault="009E7096" w:rsidP="00A36BA3">
      <w:pPr>
        <w:pStyle w:val="Heading2"/>
        <w:numPr>
          <w:ilvl w:val="1"/>
          <w:numId w:val="32"/>
        </w:numPr>
        <w:ind w:left="1417" w:hanging="708"/>
        <w:rPr>
          <w:lang w:val="es-ES_tradnl"/>
        </w:rPr>
      </w:pPr>
      <w:r>
        <w:rPr>
          <w:lang w:val="es-ES_tradnl"/>
        </w:rPr>
        <w:t>Los i</w:t>
      </w:r>
      <w:r w:rsidR="00CF1500">
        <w:rPr>
          <w:lang w:val="es-ES_tradnl"/>
        </w:rPr>
        <w:t>ngresos</w:t>
      </w:r>
      <w:r w:rsidR="003A46A1" w:rsidRPr="00B25E57">
        <w:rPr>
          <w:lang w:val="es-ES_tradnl"/>
        </w:rPr>
        <w:t xml:space="preserve"> </w:t>
      </w:r>
      <w:r w:rsidR="002152F4">
        <w:rPr>
          <w:lang w:val="es-ES_tradnl"/>
        </w:rPr>
        <w:t xml:space="preserve">de </w:t>
      </w:r>
      <w:r w:rsidR="002403B5" w:rsidRPr="002403B5">
        <w:rPr>
          <w:lang w:val="es-ES_tradnl"/>
        </w:rPr>
        <w:t xml:space="preserve">FIASA </w:t>
      </w:r>
      <w:r w:rsidR="002403B5">
        <w:rPr>
          <w:lang w:val="es-ES_tradnl"/>
        </w:rPr>
        <w:t xml:space="preserve">por </w:t>
      </w:r>
      <w:r w:rsidR="00CA7639">
        <w:rPr>
          <w:lang w:val="es-ES_tradnl"/>
        </w:rPr>
        <w:t>la venta</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A03841">
        <w:rPr>
          <w:lang w:val="es-ES_tradnl"/>
        </w:rPr>
        <w:t>ácido fluorhídrico</w:t>
      </w:r>
      <w:r w:rsidR="00E37FA9">
        <w:rPr>
          <w:lang w:val="es-ES_tradnl"/>
        </w:rPr>
        <w:t xml:space="preserve"> al </w:t>
      </w:r>
      <w:r w:rsidR="00E37FA9" w:rsidRPr="00E37FA9">
        <w:rPr>
          <w:lang w:val="es-ES_tradnl"/>
        </w:rPr>
        <w:t>50%</w:t>
      </w:r>
      <w:r w:rsidR="003A46A1" w:rsidRPr="00B25E57">
        <w:rPr>
          <w:lang w:val="es-ES_tradnl"/>
        </w:rPr>
        <w:t xml:space="preserve"> </w:t>
      </w:r>
      <w:r w:rsidR="0055230E" w:rsidRPr="00B25E57">
        <w:rPr>
          <w:lang w:val="es-ES_tradnl"/>
        </w:rPr>
        <w:t>(HF50)</w:t>
      </w:r>
      <w:r w:rsidR="00EF7627" w:rsidRPr="00B25E57">
        <w:rPr>
          <w:rStyle w:val="FootnoteReference"/>
          <w:lang w:val="es-ES_tradnl"/>
        </w:rPr>
        <w:footnoteReference w:id="12"/>
      </w:r>
      <w:r w:rsidR="003A46A1" w:rsidRPr="00B25E57">
        <w:rPr>
          <w:lang w:val="es-ES_tradnl"/>
        </w:rPr>
        <w:t xml:space="preserve"> </w:t>
      </w:r>
      <w:r w:rsidR="00877F57">
        <w:rPr>
          <w:lang w:val="es-ES_tradnl"/>
        </w:rPr>
        <w:t>se estimaron</w:t>
      </w:r>
      <w:r w:rsidR="003A46A1" w:rsidRPr="00B25E57">
        <w:rPr>
          <w:lang w:val="es-ES_tradnl"/>
        </w:rPr>
        <w:t xml:space="preserve"> </w:t>
      </w:r>
      <w:r w:rsidR="00F942C6" w:rsidRPr="00B25E57">
        <w:rPr>
          <w:lang w:val="es-ES_tradnl"/>
        </w:rPr>
        <w:t xml:space="preserve">sobre la base </w:t>
      </w:r>
      <w:r w:rsidR="00C0323E">
        <w:rPr>
          <w:lang w:val="es-ES_tradnl"/>
        </w:rPr>
        <w:t xml:space="preserve">del </w:t>
      </w:r>
      <w:r w:rsidR="00C0323E" w:rsidRPr="00C0323E">
        <w:rPr>
          <w:lang w:val="es-ES_tradnl"/>
        </w:rPr>
        <w:t xml:space="preserve">monto promedio </w:t>
      </w:r>
      <w:r w:rsidR="00F942C6" w:rsidRPr="00B25E57">
        <w:rPr>
          <w:lang w:val="es-ES_tradnl"/>
        </w:rPr>
        <w:t xml:space="preserve">de </w:t>
      </w:r>
      <w:r w:rsidR="0055230E" w:rsidRPr="00B25E57">
        <w:rPr>
          <w:lang w:val="es-ES_tradnl"/>
        </w:rPr>
        <w:t>HF50</w:t>
      </w:r>
      <w:r w:rsidR="003A46A1" w:rsidRPr="00B25E57">
        <w:rPr>
          <w:lang w:val="es-ES_tradnl"/>
        </w:rPr>
        <w:t xml:space="preserve"> </w:t>
      </w:r>
      <w:r w:rsidR="004C5C62">
        <w:rPr>
          <w:lang w:val="es-ES_tradnl"/>
        </w:rPr>
        <w:t>generado</w:t>
      </w:r>
      <w:r w:rsidR="003A46A1" w:rsidRPr="00B25E57">
        <w:rPr>
          <w:lang w:val="es-ES_tradnl"/>
        </w:rPr>
        <w:t xml:space="preserve"> </w:t>
      </w:r>
      <w:r w:rsidR="00215D1B">
        <w:rPr>
          <w:lang w:val="es-ES_tradnl"/>
        </w:rPr>
        <w:t xml:space="preserve">en </w:t>
      </w:r>
      <w:r w:rsidR="00215D1B" w:rsidRPr="00215D1B">
        <w:rPr>
          <w:lang w:val="es-ES_tradnl"/>
        </w:rPr>
        <w:t xml:space="preserve">2008-2012 </w:t>
      </w:r>
      <w:r w:rsidR="004241C5" w:rsidRPr="00B25E57">
        <w:rPr>
          <w:lang w:val="es-ES_tradnl"/>
        </w:rPr>
        <w:t>por</w:t>
      </w:r>
      <w:r w:rsidR="003A46A1" w:rsidRPr="00B25E57">
        <w:rPr>
          <w:lang w:val="es-ES_tradnl"/>
        </w:rPr>
        <w:t xml:space="preserve"> </w:t>
      </w:r>
      <w:r w:rsidR="00FB38C2" w:rsidRPr="00B25E57">
        <w:rPr>
          <w:lang w:val="es-ES_tradnl"/>
        </w:rPr>
        <w:t>tm</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5230E" w:rsidRPr="00B25E57">
        <w:rPr>
          <w:lang w:val="es-ES_tradnl"/>
        </w:rPr>
        <w:t>HFC</w:t>
      </w:r>
      <w:r w:rsidR="00FB38C2" w:rsidRPr="00B25E57">
        <w:rPr>
          <w:lang w:val="es-ES_tradnl"/>
        </w:rPr>
        <w:t>-</w:t>
      </w:r>
      <w:r w:rsidR="0055230E" w:rsidRPr="00B25E57">
        <w:rPr>
          <w:lang w:val="es-ES_tradnl"/>
        </w:rPr>
        <w:t>23</w:t>
      </w:r>
      <w:r w:rsidR="003A46A1" w:rsidRPr="00B25E57">
        <w:rPr>
          <w:lang w:val="es-ES_tradnl"/>
        </w:rPr>
        <w:t xml:space="preserve"> </w:t>
      </w:r>
      <w:r w:rsidR="004C5C62">
        <w:rPr>
          <w:lang w:val="es-ES_tradnl"/>
        </w:rPr>
        <w:t>incinerado</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40E31">
        <w:rPr>
          <w:lang w:val="es-ES_tradnl"/>
        </w:rPr>
        <w:t xml:space="preserve">de </w:t>
      </w:r>
      <w:r w:rsidR="00F942C6" w:rsidRPr="00B25E57">
        <w:rPr>
          <w:lang w:val="es-ES_tradnl"/>
        </w:rPr>
        <w:t>un</w:t>
      </w:r>
      <w:r w:rsidR="003A46A1" w:rsidRPr="00B25E57">
        <w:rPr>
          <w:lang w:val="es-ES_tradnl"/>
        </w:rPr>
        <w:t xml:space="preserve"> </w:t>
      </w:r>
      <w:r w:rsidR="00797825">
        <w:rPr>
          <w:lang w:val="es-ES_tradnl"/>
        </w:rPr>
        <w:t>precio de venta</w:t>
      </w:r>
      <w:r w:rsidR="003A46A1" w:rsidRPr="00B25E57">
        <w:rPr>
          <w:lang w:val="es-ES_tradnl"/>
        </w:rPr>
        <w:t xml:space="preserve"> </w:t>
      </w:r>
      <w:r w:rsidR="009A0D08" w:rsidRPr="009A0D08">
        <w:rPr>
          <w:lang w:val="es-ES_tradnl"/>
        </w:rPr>
        <w:t xml:space="preserve">estimado </w:t>
      </w:r>
      <w:r w:rsidR="00752EA5">
        <w:rPr>
          <w:lang w:val="es-ES_tradnl"/>
        </w:rPr>
        <w:t xml:space="preserve">en </w:t>
      </w:r>
      <w:r w:rsidR="00752EA5" w:rsidRPr="00752EA5">
        <w:rPr>
          <w:lang w:val="es-ES_tradnl"/>
        </w:rPr>
        <w:t xml:space="preserve">2019 </w:t>
      </w:r>
      <w:r w:rsidR="00FB38C2" w:rsidRPr="00B25E57">
        <w:rPr>
          <w:lang w:val="es-ES_tradnl"/>
        </w:rPr>
        <w:t>de</w:t>
      </w:r>
      <w:r w:rsidR="003A46A1" w:rsidRPr="00B25E57">
        <w:rPr>
          <w:lang w:val="es-ES_tradnl"/>
        </w:rPr>
        <w:t xml:space="preserve"> </w:t>
      </w:r>
      <w:r w:rsidR="0055230E" w:rsidRPr="00B25E57">
        <w:rPr>
          <w:lang w:val="es-ES_tradnl"/>
        </w:rPr>
        <w:t>30</w:t>
      </w:r>
      <w:r w:rsidR="00DE18CB">
        <w:rPr>
          <w:lang w:val="es-ES_tradnl"/>
        </w:rPr>
        <w:t xml:space="preserve"> $EUA</w:t>
      </w:r>
      <w:r w:rsidR="0055230E" w:rsidRPr="00B25E57">
        <w:rPr>
          <w:lang w:val="es-ES_tradnl"/>
        </w:rPr>
        <w:t>/</w:t>
      </w:r>
      <w:r w:rsidR="00FB38C2" w:rsidRPr="00B25E57">
        <w:rPr>
          <w:lang w:val="es-ES_tradnl"/>
        </w:rPr>
        <w:t>tm</w:t>
      </w:r>
      <w:r w:rsidR="00EF7627" w:rsidRPr="00B25E57">
        <w:rPr>
          <w:lang w:val="es-ES_tradnl"/>
        </w:rPr>
        <w:t>;</w:t>
      </w:r>
    </w:p>
    <w:p w14:paraId="096DA874" w14:textId="1EFEA2BF" w:rsidR="009A0949" w:rsidRPr="00B25E57" w:rsidRDefault="00AA2DAA" w:rsidP="00A36BA3">
      <w:pPr>
        <w:pStyle w:val="Heading2"/>
        <w:numPr>
          <w:ilvl w:val="1"/>
          <w:numId w:val="32"/>
        </w:numPr>
        <w:ind w:left="1417" w:hanging="708"/>
        <w:rPr>
          <w:lang w:val="es-ES_tradnl"/>
        </w:rPr>
      </w:pPr>
      <w:r>
        <w:rPr>
          <w:lang w:val="es-ES_tradnl"/>
        </w:rPr>
        <w:t xml:space="preserve">Los </w:t>
      </w:r>
      <w:r w:rsidRPr="00AA2DAA">
        <w:rPr>
          <w:lang w:val="es-ES_tradnl"/>
        </w:rPr>
        <w:t xml:space="preserve">costos </w:t>
      </w:r>
      <w:r w:rsidR="0071039F" w:rsidRPr="0071039F">
        <w:rPr>
          <w:lang w:val="es-ES_tradnl"/>
        </w:rPr>
        <w:t xml:space="preserve">de mantenimiento </w:t>
      </w:r>
      <w:r w:rsidR="0071039F">
        <w:rPr>
          <w:lang w:val="es-ES_tradnl"/>
        </w:rPr>
        <w:t xml:space="preserve">y </w:t>
      </w:r>
      <w:r w:rsidRPr="00AA2DAA">
        <w:rPr>
          <w:lang w:val="es-ES_tradnl"/>
        </w:rPr>
        <w:t xml:space="preserve">generales </w:t>
      </w:r>
      <w:r w:rsidR="0071039F">
        <w:rPr>
          <w:lang w:val="es-ES_tradnl"/>
        </w:rPr>
        <w:t xml:space="preserve">se </w:t>
      </w:r>
      <w:r w:rsidR="00D26E0B">
        <w:rPr>
          <w:lang w:val="es-ES_tradnl"/>
        </w:rPr>
        <w:t xml:space="preserve">estimaron al </w:t>
      </w:r>
      <w:r w:rsidR="009A0949" w:rsidRPr="00B25E57">
        <w:rPr>
          <w:lang w:val="es-ES_tradnl"/>
        </w:rPr>
        <w:t>5</w:t>
      </w:r>
      <w:r w:rsidR="00EA0309">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9A0949" w:rsidRPr="00B25E57">
        <w:rPr>
          <w:lang w:val="es-ES_tradnl"/>
        </w:rPr>
        <w:t>0</w:t>
      </w:r>
      <w:r w:rsidR="00E22238" w:rsidRPr="00B25E57">
        <w:rPr>
          <w:lang w:val="es-ES_tradnl"/>
        </w:rPr>
        <w:t>,4%</w:t>
      </w:r>
      <w:r w:rsidR="00F33C11">
        <w:rPr>
          <w:lang w:val="es-ES_tradnl"/>
        </w:rPr>
        <w:t xml:space="preserve"> al año</w:t>
      </w:r>
      <w:r w:rsidR="009A0949" w:rsidRPr="00B25E57">
        <w:rPr>
          <w:lang w:val="es-ES_tradnl"/>
        </w:rPr>
        <w:t>,</w:t>
      </w:r>
      <w:r w:rsidR="003A46A1" w:rsidRPr="00B25E57">
        <w:rPr>
          <w:lang w:val="es-ES_tradnl"/>
        </w:rPr>
        <w:t xml:space="preserve"> </w:t>
      </w:r>
      <w:r w:rsidR="00862A82" w:rsidRPr="00B25E57">
        <w:rPr>
          <w:lang w:val="es-ES_tradnl"/>
        </w:rPr>
        <w:t>respectivamente</w:t>
      </w:r>
      <w:r w:rsidR="0074460D" w:rsidRPr="00B25E57">
        <w:rPr>
          <w:lang w:val="es-ES_tradnl"/>
        </w:rPr>
        <w:t>,</w:t>
      </w:r>
      <w:r w:rsidR="003A46A1" w:rsidRPr="00B25E57">
        <w:rPr>
          <w:lang w:val="es-ES_tradnl"/>
        </w:rPr>
        <w:t xml:space="preserve"> </w:t>
      </w:r>
      <w:r w:rsidR="004057BA" w:rsidRPr="00B25E57">
        <w:rPr>
          <w:lang w:val="es-ES_tradnl"/>
        </w:rPr>
        <w:t>del</w:t>
      </w:r>
      <w:r w:rsidR="003A46A1" w:rsidRPr="00B25E57">
        <w:rPr>
          <w:lang w:val="es-ES_tradnl"/>
        </w:rPr>
        <w:t xml:space="preserve"> </w:t>
      </w:r>
      <w:r w:rsidR="00D26E0B">
        <w:rPr>
          <w:lang w:val="es-ES_tradnl"/>
        </w:rPr>
        <w:t>costo del incinerador</w:t>
      </w:r>
      <w:r w:rsidR="003A46A1" w:rsidRPr="00B25E57">
        <w:rPr>
          <w:lang w:val="es-ES_tradnl"/>
        </w:rPr>
        <w:t xml:space="preserve"> </w:t>
      </w:r>
      <w:r w:rsidR="009A0949" w:rsidRPr="00B25E57">
        <w:rPr>
          <w:lang w:val="es-ES_tradnl"/>
        </w:rPr>
        <w:t>(</w:t>
      </w:r>
      <w:r w:rsidR="00D26E0B">
        <w:rPr>
          <w:lang w:val="es-ES_tradnl"/>
        </w:rPr>
        <w:t xml:space="preserve">unos </w:t>
      </w:r>
      <w:r w:rsidR="009A0949" w:rsidRPr="00B25E57">
        <w:rPr>
          <w:lang w:val="es-ES_tradnl"/>
        </w:rPr>
        <w:t>3</w:t>
      </w:r>
      <w:r w:rsidR="003A46A1" w:rsidRPr="00B25E57">
        <w:rPr>
          <w:lang w:val="es-ES_tradnl"/>
        </w:rPr>
        <w:t xml:space="preserve"> </w:t>
      </w:r>
      <w:r w:rsidR="004057BA" w:rsidRPr="00B25E57">
        <w:rPr>
          <w:lang w:val="es-ES_tradnl"/>
        </w:rPr>
        <w:t>millones</w:t>
      </w:r>
      <w:r w:rsidR="003A46A1" w:rsidRPr="00B25E57">
        <w:rPr>
          <w:lang w:val="es-ES_tradnl"/>
        </w:rPr>
        <w:t xml:space="preserve"> </w:t>
      </w:r>
      <w:r w:rsidR="004057BA" w:rsidRPr="00B25E57">
        <w:rPr>
          <w:lang w:val="es-ES_tradnl"/>
        </w:rPr>
        <w:t>de</w:t>
      </w:r>
      <w:r w:rsidR="00D26E0B">
        <w:rPr>
          <w:lang w:val="es-ES_tradnl"/>
        </w:rPr>
        <w:t xml:space="preserve"> </w:t>
      </w:r>
      <w:r w:rsidR="00D26E0B" w:rsidRPr="00D26E0B">
        <w:rPr>
          <w:lang w:val="es-ES_tradnl"/>
        </w:rPr>
        <w:t>$EUA</w:t>
      </w:r>
      <w:r w:rsidR="009C563B" w:rsidRPr="00B25E57">
        <w:rPr>
          <w:lang w:val="es-ES_tradnl"/>
        </w:rPr>
        <w:t>)</w:t>
      </w:r>
      <w:r w:rsidR="009A0949" w:rsidRPr="00B25E57">
        <w:rPr>
          <w:lang w:val="es-ES_tradnl"/>
        </w:rPr>
        <w:t>;</w:t>
      </w:r>
      <w:r w:rsidR="003A46A1" w:rsidRPr="00B25E57">
        <w:rPr>
          <w:lang w:val="es-ES_tradnl"/>
        </w:rPr>
        <w:t xml:space="preserve"> </w:t>
      </w:r>
      <w:r w:rsidR="00FB38C2" w:rsidRPr="00B25E57">
        <w:rPr>
          <w:lang w:val="es-ES_tradnl"/>
        </w:rPr>
        <w:t>y</w:t>
      </w:r>
    </w:p>
    <w:p w14:paraId="7B0D5F58" w14:textId="10237441" w:rsidR="007B22B4" w:rsidRPr="00B25E57" w:rsidRDefault="008A15C6" w:rsidP="00A36BA3">
      <w:pPr>
        <w:pStyle w:val="Heading2"/>
        <w:numPr>
          <w:ilvl w:val="1"/>
          <w:numId w:val="32"/>
        </w:numPr>
        <w:ind w:left="1417" w:hanging="708"/>
        <w:rPr>
          <w:lang w:val="es-ES_tradnl"/>
        </w:rPr>
      </w:pPr>
      <w:r>
        <w:rPr>
          <w:lang w:val="es-ES_tradnl"/>
        </w:rPr>
        <w:t>Los costos de mano de obra</w:t>
      </w:r>
      <w:r w:rsidR="003A46A1" w:rsidRPr="00B25E57">
        <w:rPr>
          <w:lang w:val="es-ES_tradnl"/>
        </w:rPr>
        <w:t xml:space="preserve"> </w:t>
      </w:r>
      <w:r w:rsidR="00E54982">
        <w:rPr>
          <w:lang w:val="es-ES_tradnl"/>
        </w:rPr>
        <w:t>se calcularon sobre la base de</w:t>
      </w:r>
      <w:r w:rsidR="001417A6">
        <w:rPr>
          <w:lang w:val="es-ES_tradnl"/>
        </w:rPr>
        <w:t>l</w:t>
      </w:r>
      <w:r w:rsidR="00F942C6" w:rsidRPr="00B25E57">
        <w:rPr>
          <w:lang w:val="es-ES_tradnl"/>
        </w:rPr>
        <w:t xml:space="preserve"> </w:t>
      </w:r>
      <w:r w:rsidR="001417A6">
        <w:rPr>
          <w:lang w:val="es-ES_tradnl"/>
        </w:rPr>
        <w:t>sueldo anual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cuatro</w:t>
      </w:r>
      <w:r w:rsidR="003A46A1" w:rsidRPr="00B25E57">
        <w:rPr>
          <w:lang w:val="es-ES_tradnl"/>
        </w:rPr>
        <w:t xml:space="preserve"> </w:t>
      </w:r>
      <w:r w:rsidR="00720524">
        <w:rPr>
          <w:lang w:val="es-ES_tradnl"/>
        </w:rPr>
        <w:t>operarios</w:t>
      </w:r>
      <w:r w:rsidR="003A46A1" w:rsidRPr="00B25E57">
        <w:rPr>
          <w:lang w:val="es-ES_tradnl"/>
        </w:rPr>
        <w:t xml:space="preserve"> </w:t>
      </w:r>
      <w:r w:rsidR="00720524">
        <w:rPr>
          <w:lang w:val="es-ES_tradnl"/>
        </w:rPr>
        <w:t>d</w:t>
      </w:r>
      <w:r w:rsidR="00C95B4F">
        <w:rPr>
          <w:lang w:val="es-ES_tradnl"/>
        </w:rPr>
        <w:t>el incinerador</w:t>
      </w:r>
      <w:r w:rsidR="000530BB" w:rsidRPr="00B25E57">
        <w:rPr>
          <w:lang w:val="es-ES_tradnl"/>
        </w:rPr>
        <w:t>.</w:t>
      </w:r>
    </w:p>
    <w:p w14:paraId="1DE14423" w14:textId="5F6905CB" w:rsidR="00A2393F" w:rsidRPr="00B25E57" w:rsidRDefault="008A3316" w:rsidP="00D21BCE">
      <w:pPr>
        <w:pStyle w:val="Heading1"/>
        <w:rPr>
          <w:lang w:val="es-ES_tradnl"/>
        </w:rPr>
      </w:pPr>
      <w:r w:rsidRPr="00B25E57">
        <w:rPr>
          <w:lang w:val="es-ES_tradnl"/>
        </w:rPr>
        <w:t>Tomando</w:t>
      </w:r>
      <w:r w:rsidR="003A46A1" w:rsidRPr="00B25E57">
        <w:rPr>
          <w:lang w:val="es-ES_tradnl"/>
        </w:rPr>
        <w:t xml:space="preserve"> </w:t>
      </w:r>
      <w:r w:rsidRPr="00B25E57">
        <w:rPr>
          <w:lang w:val="es-ES_tradnl"/>
        </w:rPr>
        <w:t>nota</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que</w:t>
      </w:r>
      <w:r w:rsidR="00003AD9">
        <w:rPr>
          <w:lang w:val="es-ES_tradnl"/>
        </w:rPr>
        <w:t>, según las estimaciones de</w:t>
      </w:r>
      <w:r w:rsidR="003A46A1" w:rsidRPr="00B25E57">
        <w:rPr>
          <w:lang w:val="es-ES_tradnl"/>
        </w:rPr>
        <w:t xml:space="preserve"> </w:t>
      </w:r>
      <w:r w:rsidR="00A36D74" w:rsidRPr="00216433">
        <w:rPr>
          <w:lang w:val="es-ES"/>
        </w:rPr>
        <w:t>SGL</w:t>
      </w:r>
      <w:r w:rsidR="003A46A1" w:rsidRPr="00216433">
        <w:rPr>
          <w:lang w:val="es-ES"/>
        </w:rPr>
        <w:t xml:space="preserve"> </w:t>
      </w:r>
      <w:r w:rsidR="00A36D74" w:rsidRPr="00216433">
        <w:rPr>
          <w:lang w:val="es-ES"/>
        </w:rPr>
        <w:t>Carbon</w:t>
      </w:r>
      <w:r w:rsidR="00003AD9" w:rsidRPr="00216433">
        <w:rPr>
          <w:lang w:val="es-ES"/>
        </w:rPr>
        <w:t>,</w:t>
      </w:r>
      <w:r w:rsidR="003A46A1" w:rsidRPr="00B25E57">
        <w:rPr>
          <w:lang w:val="es-ES_tradnl"/>
        </w:rPr>
        <w:t xml:space="preserve"> </w:t>
      </w:r>
      <w:r w:rsidR="00C95B4F">
        <w:rPr>
          <w:lang w:val="es-ES_tradnl"/>
        </w:rPr>
        <w:t>el incinerador</w:t>
      </w:r>
      <w:r w:rsidR="003A46A1" w:rsidRPr="00B25E57">
        <w:rPr>
          <w:lang w:val="es-ES_tradnl"/>
        </w:rPr>
        <w:t xml:space="preserve"> </w:t>
      </w:r>
      <w:r w:rsidR="00482048">
        <w:rPr>
          <w:lang w:val="es-ES_tradnl"/>
        </w:rPr>
        <w:t xml:space="preserve">podría </w:t>
      </w:r>
      <w:r w:rsidR="002D7221">
        <w:rPr>
          <w:lang w:val="es-ES_tradnl"/>
        </w:rPr>
        <w:t>entrar</w:t>
      </w:r>
      <w:r w:rsidR="00482048">
        <w:rPr>
          <w:lang w:val="es-ES_tradnl"/>
        </w:rPr>
        <w:t xml:space="preserve"> en servicio el</w:t>
      </w:r>
      <w:r w:rsidR="00855D7E">
        <w:rPr>
          <w:lang w:val="es-ES_tradnl"/>
        </w:rPr>
        <w:t xml:space="preserve"> 1º de </w:t>
      </w:r>
      <w:r w:rsidR="00FB38C2" w:rsidRPr="00B25E57">
        <w:rPr>
          <w:lang w:val="es-ES_tradnl"/>
        </w:rPr>
        <w:t>junio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A36D74" w:rsidRPr="00B25E57">
        <w:rPr>
          <w:lang w:val="es-ES_tradnl"/>
        </w:rPr>
        <w:t>202</w:t>
      </w:r>
      <w:r w:rsidR="0050676A">
        <w:rPr>
          <w:lang w:val="es-ES_tradnl"/>
        </w:rPr>
        <w:t>0</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476D7E" w:rsidRPr="00476D7E">
        <w:rPr>
          <w:lang w:val="es-ES_tradnl"/>
        </w:rPr>
        <w:t xml:space="preserve">FIASA </w:t>
      </w:r>
      <w:r w:rsidR="00A42F05">
        <w:rPr>
          <w:lang w:val="es-ES_tradnl"/>
        </w:rPr>
        <w:t xml:space="preserve">necesitaría </w:t>
      </w:r>
      <w:r w:rsidR="00862C56">
        <w:rPr>
          <w:lang w:val="es-ES_tradnl"/>
        </w:rPr>
        <w:t xml:space="preserve">tiempo para </w:t>
      </w:r>
      <w:r w:rsidR="00EA16AA">
        <w:rPr>
          <w:lang w:val="es-ES_tradnl"/>
        </w:rPr>
        <w:t xml:space="preserve">inscribirse en </w:t>
      </w:r>
      <w:r w:rsidR="001C5295">
        <w:rPr>
          <w:lang w:val="es-ES_tradnl"/>
        </w:rPr>
        <w:t xml:space="preserve">el </w:t>
      </w:r>
      <w:r w:rsidR="007369CA">
        <w:rPr>
          <w:lang w:val="es-ES_tradnl"/>
        </w:rPr>
        <w:t>registro de plantas de generación y tratamiento</w:t>
      </w:r>
      <w:r w:rsidR="009A0949" w:rsidRPr="00B25E57">
        <w:rPr>
          <w:lang w:val="es-ES_tradnl"/>
        </w:rPr>
        <w:t>,</w:t>
      </w:r>
      <w:r w:rsidR="003A46A1" w:rsidRPr="00B25E57">
        <w:rPr>
          <w:lang w:val="es-ES_tradnl"/>
        </w:rPr>
        <w:t xml:space="preserve"> </w:t>
      </w:r>
      <w:r w:rsidR="00670C64">
        <w:rPr>
          <w:lang w:val="es-ES_tradnl"/>
        </w:rPr>
        <w:t xml:space="preserve">bajo la </w:t>
      </w:r>
      <w:r w:rsidR="00670C64" w:rsidRPr="00670C64">
        <w:rPr>
          <w:lang w:val="es-ES_tradnl"/>
        </w:rPr>
        <w:t xml:space="preserve">Opción 2 </w:t>
      </w:r>
      <w:r w:rsidR="009E46BC">
        <w:rPr>
          <w:lang w:val="es-ES_tradnl"/>
        </w:rPr>
        <w:t xml:space="preserve">se </w:t>
      </w:r>
      <w:r w:rsidR="00670C64">
        <w:rPr>
          <w:lang w:val="es-ES_tradnl"/>
        </w:rPr>
        <w:t xml:space="preserve">propusieron los </w:t>
      </w:r>
      <w:r w:rsidR="004057BA" w:rsidRPr="00B25E57">
        <w:rPr>
          <w:lang w:val="es-ES_tradnl"/>
        </w:rPr>
        <w:t>siguientes</w:t>
      </w:r>
      <w:r w:rsidR="003A46A1" w:rsidRPr="00B25E57">
        <w:rPr>
          <w:lang w:val="es-ES_tradnl"/>
        </w:rPr>
        <w:t xml:space="preserve"> </w:t>
      </w:r>
      <w:r w:rsidR="00FB38C2" w:rsidRPr="00B25E57">
        <w:rPr>
          <w:lang w:val="es-ES_tradnl"/>
        </w:rPr>
        <w:t>tres</w:t>
      </w:r>
      <w:r w:rsidR="003A46A1" w:rsidRPr="00B25E57">
        <w:rPr>
          <w:lang w:val="es-ES_tradnl"/>
        </w:rPr>
        <w:t xml:space="preserve"> </w:t>
      </w:r>
      <w:r w:rsidR="0061462C">
        <w:rPr>
          <w:lang w:val="es-ES_tradnl"/>
        </w:rPr>
        <w:t>escenario</w:t>
      </w:r>
      <w:r w:rsidR="007B069E" w:rsidRPr="00B25E57">
        <w:rPr>
          <w:lang w:val="es-ES_tradnl"/>
        </w:rPr>
        <w:t>s</w:t>
      </w:r>
      <w:r w:rsidR="00A2393F" w:rsidRPr="00B25E57">
        <w:rPr>
          <w:lang w:val="es-ES_tradnl"/>
        </w:rPr>
        <w:t>:</w:t>
      </w:r>
    </w:p>
    <w:p w14:paraId="65FFB1A7" w14:textId="1A565267" w:rsidR="009A0949" w:rsidRPr="00B25E57" w:rsidRDefault="00FB38C2" w:rsidP="009A0949">
      <w:pPr>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DF641D" w:rsidRPr="00B25E57">
        <w:rPr>
          <w:b/>
          <w:sz w:val="21"/>
          <w:szCs w:val="21"/>
          <w:lang w:val="es-ES_tradnl"/>
        </w:rPr>
        <w:t>5.</w:t>
      </w:r>
      <w:r w:rsidR="003A46A1" w:rsidRPr="00B25E57">
        <w:rPr>
          <w:b/>
          <w:sz w:val="21"/>
          <w:szCs w:val="21"/>
          <w:lang w:val="es-ES_tradnl"/>
        </w:rPr>
        <w:t xml:space="preserve"> </w:t>
      </w:r>
      <w:r w:rsidR="0061462C">
        <w:rPr>
          <w:b/>
          <w:sz w:val="21"/>
          <w:szCs w:val="21"/>
          <w:lang w:val="es-ES_tradnl"/>
        </w:rPr>
        <w:t>Escenario</w:t>
      </w:r>
      <w:r w:rsidR="00DF641D" w:rsidRPr="00B25E57">
        <w:rPr>
          <w:b/>
          <w:sz w:val="21"/>
          <w:szCs w:val="21"/>
          <w:lang w:val="es-ES_tradnl"/>
        </w:rPr>
        <w:t>s</w:t>
      </w:r>
      <w:r w:rsidR="003A46A1" w:rsidRPr="00B25E57">
        <w:rPr>
          <w:b/>
          <w:sz w:val="21"/>
          <w:szCs w:val="21"/>
          <w:lang w:val="es-ES_tradnl"/>
        </w:rPr>
        <w:t xml:space="preserve"> </w:t>
      </w:r>
      <w:r w:rsidR="00B07BCC">
        <w:rPr>
          <w:b/>
          <w:sz w:val="21"/>
          <w:szCs w:val="21"/>
          <w:lang w:val="es-ES_tradnl"/>
        </w:rPr>
        <w:t>para</w:t>
      </w:r>
      <w:r w:rsidR="003A46A1" w:rsidRPr="00B25E57">
        <w:rPr>
          <w:b/>
          <w:sz w:val="21"/>
          <w:szCs w:val="21"/>
          <w:lang w:val="es-ES_tradnl"/>
        </w:rPr>
        <w:t xml:space="preserve"> </w:t>
      </w:r>
      <w:r w:rsidR="00572E2E">
        <w:rPr>
          <w:b/>
          <w:sz w:val="21"/>
          <w:szCs w:val="21"/>
          <w:lang w:val="es-ES_tradnl"/>
        </w:rPr>
        <w:t>el reacondicionamiento</w:t>
      </w:r>
      <w:r w:rsidR="003B2AF3">
        <w:rPr>
          <w:b/>
          <w:sz w:val="21"/>
          <w:szCs w:val="21"/>
          <w:lang w:val="es-ES_tradnl"/>
        </w:rPr>
        <w:t xml:space="preserve"> del </w:t>
      </w:r>
      <w:r w:rsidR="000F7AD8">
        <w:rPr>
          <w:b/>
          <w:sz w:val="21"/>
          <w:szCs w:val="21"/>
          <w:lang w:val="es-ES_tradnl"/>
        </w:rPr>
        <w:t>incinerador de FIASA</w:t>
      </w:r>
    </w:p>
    <w:tbl>
      <w:tblPr>
        <w:tblStyle w:val="TableGrid"/>
        <w:tblW w:w="9493" w:type="dxa"/>
        <w:tblLook w:val="04A0" w:firstRow="1" w:lastRow="0" w:firstColumn="1" w:lastColumn="0" w:noHBand="0" w:noVBand="1"/>
      </w:tblPr>
      <w:tblGrid>
        <w:gridCol w:w="1022"/>
        <w:gridCol w:w="4252"/>
        <w:gridCol w:w="1985"/>
        <w:gridCol w:w="2234"/>
      </w:tblGrid>
      <w:tr w:rsidR="009A0949" w:rsidRPr="00B25E57" w14:paraId="3480C90E" w14:textId="77777777" w:rsidTr="000A100C">
        <w:trPr>
          <w:tblHeader/>
        </w:trPr>
        <w:tc>
          <w:tcPr>
            <w:tcW w:w="1022" w:type="dxa"/>
            <w:tcMar>
              <w:left w:w="29" w:type="dxa"/>
              <w:right w:w="0" w:type="dxa"/>
            </w:tcMar>
          </w:tcPr>
          <w:p w14:paraId="1D4F43B0" w14:textId="138A4BB4" w:rsidR="009A0949" w:rsidRPr="00B25E57" w:rsidRDefault="0061462C" w:rsidP="009454A7">
            <w:pPr>
              <w:spacing w:after="60"/>
              <w:jc w:val="center"/>
              <w:rPr>
                <w:b/>
                <w:sz w:val="20"/>
                <w:szCs w:val="20"/>
                <w:lang w:val="es-ES_tradnl"/>
              </w:rPr>
            </w:pPr>
            <w:r>
              <w:rPr>
                <w:b/>
                <w:sz w:val="20"/>
                <w:szCs w:val="20"/>
                <w:lang w:val="es-ES_tradnl"/>
              </w:rPr>
              <w:t>Escenario</w:t>
            </w:r>
          </w:p>
        </w:tc>
        <w:tc>
          <w:tcPr>
            <w:tcW w:w="4252" w:type="dxa"/>
          </w:tcPr>
          <w:p w14:paraId="04E47F9F" w14:textId="5EAB7A14" w:rsidR="009A0949" w:rsidRPr="00B25E57" w:rsidRDefault="004241C5" w:rsidP="009454A7">
            <w:pPr>
              <w:spacing w:after="60"/>
              <w:jc w:val="center"/>
              <w:rPr>
                <w:b/>
                <w:sz w:val="20"/>
                <w:szCs w:val="20"/>
                <w:lang w:val="es-ES_tradnl"/>
              </w:rPr>
            </w:pPr>
            <w:r w:rsidRPr="00B25E57">
              <w:rPr>
                <w:b/>
                <w:sz w:val="20"/>
                <w:szCs w:val="20"/>
                <w:lang w:val="es-ES_tradnl"/>
              </w:rPr>
              <w:t>Descripción</w:t>
            </w:r>
          </w:p>
        </w:tc>
        <w:tc>
          <w:tcPr>
            <w:tcW w:w="1985" w:type="dxa"/>
          </w:tcPr>
          <w:p w14:paraId="4D00B194" w14:textId="09B97B0E" w:rsidR="009A0949" w:rsidRPr="00B25E57" w:rsidRDefault="00AC421C" w:rsidP="009454A7">
            <w:pPr>
              <w:spacing w:after="60"/>
              <w:jc w:val="center"/>
              <w:rPr>
                <w:b/>
                <w:sz w:val="20"/>
                <w:szCs w:val="20"/>
                <w:lang w:val="es-ES_tradnl"/>
              </w:rPr>
            </w:pPr>
            <w:r>
              <w:rPr>
                <w:b/>
                <w:sz w:val="20"/>
                <w:szCs w:val="20"/>
                <w:lang w:val="es-ES_tradnl"/>
              </w:rPr>
              <w:t>Ventaja</w:t>
            </w:r>
            <w:r w:rsidR="00741DF9">
              <w:rPr>
                <w:b/>
                <w:sz w:val="20"/>
                <w:szCs w:val="20"/>
                <w:lang w:val="es-ES_tradnl"/>
              </w:rPr>
              <w:t>s</w:t>
            </w:r>
          </w:p>
        </w:tc>
        <w:tc>
          <w:tcPr>
            <w:tcW w:w="2234" w:type="dxa"/>
          </w:tcPr>
          <w:p w14:paraId="2EA96B29" w14:textId="2BB2729C" w:rsidR="009A0949" w:rsidRPr="00B25E57" w:rsidRDefault="00AC421C" w:rsidP="009454A7">
            <w:pPr>
              <w:spacing w:after="60"/>
              <w:jc w:val="center"/>
              <w:rPr>
                <w:b/>
                <w:sz w:val="20"/>
                <w:szCs w:val="20"/>
                <w:lang w:val="es-ES_tradnl"/>
              </w:rPr>
            </w:pPr>
            <w:r>
              <w:rPr>
                <w:b/>
                <w:sz w:val="20"/>
                <w:szCs w:val="20"/>
                <w:lang w:val="es-ES_tradnl"/>
              </w:rPr>
              <w:t>Desventaja</w:t>
            </w:r>
            <w:r w:rsidR="00741DF9">
              <w:rPr>
                <w:b/>
                <w:sz w:val="20"/>
                <w:szCs w:val="20"/>
                <w:lang w:val="es-ES_tradnl"/>
              </w:rPr>
              <w:t>s</w:t>
            </w:r>
          </w:p>
        </w:tc>
      </w:tr>
      <w:tr w:rsidR="008D7FBE" w:rsidRPr="00AD1D61" w14:paraId="7F0729DF" w14:textId="77777777" w:rsidTr="000A100C">
        <w:tc>
          <w:tcPr>
            <w:tcW w:w="1022" w:type="dxa"/>
            <w:tcMar>
              <w:left w:w="29" w:type="dxa"/>
              <w:right w:w="0" w:type="dxa"/>
            </w:tcMar>
          </w:tcPr>
          <w:p w14:paraId="4BADEAAA" w14:textId="7EFE0CA7" w:rsidR="008D7FBE" w:rsidRPr="00B25E57" w:rsidRDefault="008D7FBE" w:rsidP="009454A7">
            <w:pPr>
              <w:spacing w:after="60"/>
              <w:jc w:val="left"/>
              <w:rPr>
                <w:sz w:val="20"/>
                <w:szCs w:val="20"/>
                <w:lang w:val="es-ES_tradnl"/>
              </w:rPr>
            </w:pPr>
            <w:r w:rsidRPr="00B25E57">
              <w:rPr>
                <w:sz w:val="20"/>
                <w:szCs w:val="20"/>
                <w:lang w:val="es-ES_tradnl"/>
              </w:rPr>
              <w:t>A</w:t>
            </w:r>
            <w:r w:rsidR="003A46A1" w:rsidRPr="00B25E57">
              <w:rPr>
                <w:lang w:val="es-ES_tradnl"/>
              </w:rPr>
              <w:t xml:space="preserve"> </w:t>
            </w:r>
            <w:r w:rsidR="00F33C58" w:rsidRPr="00B25E57">
              <w:rPr>
                <w:sz w:val="20"/>
                <w:szCs w:val="20"/>
                <w:lang w:val="es-ES_tradnl"/>
              </w:rPr>
              <w:t>Opción</w:t>
            </w:r>
            <w:r w:rsidR="003A46A1" w:rsidRPr="00B25E57">
              <w:rPr>
                <w:sz w:val="20"/>
                <w:szCs w:val="20"/>
                <w:lang w:val="es-ES_tradnl"/>
              </w:rPr>
              <w:t xml:space="preserve"> </w:t>
            </w:r>
            <w:r w:rsidR="00425321" w:rsidRPr="00B25E57">
              <w:rPr>
                <w:sz w:val="20"/>
                <w:szCs w:val="20"/>
                <w:lang w:val="es-ES_tradnl"/>
              </w:rPr>
              <w:t>2</w:t>
            </w:r>
          </w:p>
        </w:tc>
        <w:tc>
          <w:tcPr>
            <w:tcW w:w="4252" w:type="dxa"/>
          </w:tcPr>
          <w:p w14:paraId="6A1047A8" w14:textId="34EA2259" w:rsidR="008D7FBE" w:rsidRPr="00B25E57" w:rsidRDefault="008D7FBE" w:rsidP="000B6EFF">
            <w:pPr>
              <w:spacing w:after="60"/>
              <w:jc w:val="left"/>
              <w:rPr>
                <w:sz w:val="20"/>
                <w:szCs w:val="20"/>
                <w:lang w:val="es-ES_tradnl"/>
              </w:rPr>
            </w:pPr>
            <w:r w:rsidRPr="00B25E57">
              <w:rPr>
                <w:sz w:val="20"/>
                <w:szCs w:val="20"/>
                <w:lang w:val="es-ES_tradnl"/>
              </w:rPr>
              <w:t>FIASA</w:t>
            </w:r>
            <w:r w:rsidR="003A46A1" w:rsidRPr="00B25E57">
              <w:rPr>
                <w:sz w:val="20"/>
                <w:szCs w:val="20"/>
                <w:lang w:val="es-ES_tradnl"/>
              </w:rPr>
              <w:t xml:space="preserve"> </w:t>
            </w:r>
            <w:r w:rsidR="00DE09FF">
              <w:rPr>
                <w:sz w:val="20"/>
                <w:szCs w:val="20"/>
                <w:lang w:val="es-ES_tradnl"/>
              </w:rPr>
              <w:t xml:space="preserve">almacena </w:t>
            </w:r>
            <w:r w:rsidR="00DF4FF4">
              <w:rPr>
                <w:sz w:val="20"/>
                <w:szCs w:val="20"/>
                <w:lang w:val="es-ES_tradnl"/>
              </w:rPr>
              <w:t>el subproducto</w:t>
            </w:r>
            <w:r w:rsidR="003A46A1" w:rsidRPr="00B25E57">
              <w:rPr>
                <w:sz w:val="20"/>
                <w:szCs w:val="20"/>
                <w:lang w:val="es-ES_tradnl"/>
              </w:rPr>
              <w:t xml:space="preserve"> </w:t>
            </w:r>
            <w:r w:rsidR="004512EA" w:rsidRPr="00B25E57">
              <w:rPr>
                <w:sz w:val="20"/>
                <w:szCs w:val="20"/>
                <w:lang w:val="es-ES_tradnl"/>
              </w:rPr>
              <w:t>HFC-23</w:t>
            </w:r>
            <w:r w:rsidR="003A46A1" w:rsidRPr="00B25E57">
              <w:rPr>
                <w:sz w:val="20"/>
                <w:szCs w:val="20"/>
                <w:lang w:val="es-ES_tradnl"/>
              </w:rPr>
              <w:t xml:space="preserve"> </w:t>
            </w:r>
            <w:r w:rsidR="004057BA" w:rsidRPr="00B25E57">
              <w:rPr>
                <w:sz w:val="20"/>
                <w:szCs w:val="20"/>
                <w:lang w:val="es-ES_tradnl"/>
              </w:rPr>
              <w:t>en</w:t>
            </w:r>
            <w:r w:rsidR="003A46A1" w:rsidRPr="00B25E57">
              <w:rPr>
                <w:sz w:val="20"/>
                <w:szCs w:val="20"/>
                <w:lang w:val="es-ES_tradnl"/>
              </w:rPr>
              <w:t xml:space="preserve"> </w:t>
            </w:r>
            <w:r w:rsidR="006A0B9C">
              <w:rPr>
                <w:sz w:val="20"/>
                <w:szCs w:val="20"/>
                <w:lang w:val="es-ES_tradnl"/>
              </w:rPr>
              <w:t>tanque criogénico</w:t>
            </w:r>
            <w:r w:rsidR="003A46A1" w:rsidRPr="00B25E57">
              <w:rPr>
                <w:sz w:val="20"/>
                <w:szCs w:val="20"/>
                <w:lang w:val="es-ES_tradnl"/>
              </w:rPr>
              <w:t xml:space="preserve"> </w:t>
            </w:r>
            <w:r w:rsidR="002336BB" w:rsidRPr="002336BB">
              <w:rPr>
                <w:sz w:val="20"/>
                <w:szCs w:val="20"/>
                <w:lang w:val="es-ES_tradnl"/>
              </w:rPr>
              <w:t xml:space="preserve">in situ </w:t>
            </w:r>
            <w:r w:rsidR="00E06E7D">
              <w:rPr>
                <w:sz w:val="20"/>
                <w:szCs w:val="20"/>
                <w:lang w:val="es-ES_tradnl"/>
              </w:rPr>
              <w:t>a partir del</w:t>
            </w:r>
            <w:r w:rsidR="003A46A1" w:rsidRPr="00B25E57">
              <w:rPr>
                <w:sz w:val="20"/>
                <w:szCs w:val="20"/>
                <w:lang w:val="es-ES_tradnl"/>
              </w:rPr>
              <w:t xml:space="preserve"> </w:t>
            </w:r>
            <w:r w:rsidR="004512EA" w:rsidRPr="00B25E57">
              <w:rPr>
                <w:sz w:val="20"/>
                <w:szCs w:val="20"/>
                <w:lang w:val="es-ES_tradnl"/>
              </w:rPr>
              <w:t>1º</w:t>
            </w:r>
            <w:r w:rsidR="003A46A1" w:rsidRPr="00B25E57">
              <w:rPr>
                <w:sz w:val="20"/>
                <w:szCs w:val="20"/>
                <w:lang w:val="es-ES_tradnl"/>
              </w:rPr>
              <w:t xml:space="preserve"> </w:t>
            </w:r>
            <w:r w:rsidR="004512EA" w:rsidRPr="00B25E57">
              <w:rPr>
                <w:sz w:val="20"/>
                <w:szCs w:val="20"/>
                <w:lang w:val="es-ES_tradnl"/>
              </w:rPr>
              <w:t>de</w:t>
            </w:r>
            <w:r w:rsidR="003A46A1" w:rsidRPr="00B25E57">
              <w:rPr>
                <w:sz w:val="20"/>
                <w:szCs w:val="20"/>
                <w:lang w:val="es-ES_tradnl"/>
              </w:rPr>
              <w:t xml:space="preserve"> </w:t>
            </w:r>
            <w:r w:rsidR="004512EA" w:rsidRPr="00B25E57">
              <w:rPr>
                <w:sz w:val="20"/>
                <w:szCs w:val="20"/>
                <w:lang w:val="es-ES_tradnl"/>
              </w:rPr>
              <w:t>enero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2020</w:t>
            </w:r>
            <w:r w:rsidR="003A46A1" w:rsidRPr="00B25E57">
              <w:rPr>
                <w:sz w:val="20"/>
                <w:szCs w:val="20"/>
                <w:lang w:val="es-ES_tradnl"/>
              </w:rPr>
              <w:t xml:space="preserve"> </w:t>
            </w:r>
            <w:r w:rsidR="000B6EFF">
              <w:rPr>
                <w:sz w:val="20"/>
                <w:szCs w:val="20"/>
                <w:lang w:val="es-ES_tradnl"/>
              </w:rPr>
              <w:t xml:space="preserve">e inicia la </w:t>
            </w:r>
            <w:r w:rsidR="00B25E57">
              <w:rPr>
                <w:sz w:val="20"/>
                <w:szCs w:val="20"/>
                <w:lang w:val="es-ES_tradnl"/>
              </w:rPr>
              <w:t>incineración</w:t>
            </w:r>
            <w:r w:rsidR="003A46A1" w:rsidRPr="00B25E57">
              <w:rPr>
                <w:sz w:val="20"/>
                <w:szCs w:val="20"/>
                <w:lang w:val="es-ES_tradnl"/>
              </w:rPr>
              <w:t xml:space="preserve"> </w:t>
            </w:r>
            <w:r w:rsidR="007B22B4" w:rsidRPr="00B25E57">
              <w:rPr>
                <w:sz w:val="20"/>
                <w:szCs w:val="20"/>
                <w:lang w:val="es-ES_tradnl"/>
              </w:rPr>
              <w:t>en</w:t>
            </w:r>
            <w:r w:rsidR="003A46A1" w:rsidRPr="00B25E57">
              <w:rPr>
                <w:sz w:val="20"/>
                <w:szCs w:val="20"/>
                <w:lang w:val="es-ES_tradnl"/>
              </w:rPr>
              <w:t xml:space="preserve"> </w:t>
            </w:r>
            <w:r w:rsidR="00FB38C2" w:rsidRPr="00B25E57">
              <w:rPr>
                <w:sz w:val="20"/>
                <w:szCs w:val="20"/>
                <w:lang w:val="es-ES_tradnl"/>
              </w:rPr>
              <w:t>junio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2020</w:t>
            </w:r>
          </w:p>
        </w:tc>
        <w:tc>
          <w:tcPr>
            <w:tcW w:w="1985" w:type="dxa"/>
          </w:tcPr>
          <w:p w14:paraId="0D99F850" w14:textId="04D64A81" w:rsidR="008D7FBE" w:rsidRPr="00B25E57" w:rsidRDefault="008D7FBE" w:rsidP="0002753D">
            <w:pPr>
              <w:spacing w:after="60"/>
              <w:jc w:val="left"/>
              <w:rPr>
                <w:sz w:val="20"/>
                <w:szCs w:val="20"/>
                <w:lang w:val="es-ES_tradnl"/>
              </w:rPr>
            </w:pPr>
            <w:r w:rsidRPr="00B25E57">
              <w:rPr>
                <w:sz w:val="20"/>
                <w:szCs w:val="20"/>
                <w:lang w:val="es-ES_tradnl"/>
              </w:rPr>
              <w:t>No</w:t>
            </w:r>
            <w:r w:rsidR="003A46A1" w:rsidRPr="00B25E57">
              <w:rPr>
                <w:sz w:val="20"/>
                <w:szCs w:val="20"/>
                <w:lang w:val="es-ES_tradnl"/>
              </w:rPr>
              <w:t xml:space="preserve"> </w:t>
            </w:r>
            <w:r w:rsidR="0002753D">
              <w:rPr>
                <w:sz w:val="20"/>
                <w:szCs w:val="20"/>
                <w:lang w:val="es-ES_tradnl"/>
              </w:rPr>
              <w:t xml:space="preserve">hace falta modificar las </w:t>
            </w:r>
            <w:r w:rsidR="003A46A1" w:rsidRPr="00B25E57">
              <w:rPr>
                <w:sz w:val="20"/>
                <w:szCs w:val="20"/>
                <w:lang w:val="es-ES_tradnl"/>
              </w:rPr>
              <w:t xml:space="preserve">operaciones </w:t>
            </w:r>
            <w:r w:rsidR="0002753D">
              <w:rPr>
                <w:sz w:val="20"/>
                <w:szCs w:val="20"/>
                <w:lang w:val="es-ES_tradnl"/>
              </w:rPr>
              <w:t xml:space="preserve">de producción de </w:t>
            </w:r>
            <w:r w:rsidR="0002753D" w:rsidRPr="0002753D">
              <w:rPr>
                <w:sz w:val="20"/>
                <w:szCs w:val="20"/>
                <w:lang w:val="es-ES_tradnl"/>
              </w:rPr>
              <w:t>HCFC-22</w:t>
            </w:r>
          </w:p>
        </w:tc>
        <w:tc>
          <w:tcPr>
            <w:tcW w:w="2234" w:type="dxa"/>
          </w:tcPr>
          <w:p w14:paraId="66D7C756" w14:textId="2CBBF08A" w:rsidR="008D7FBE" w:rsidRPr="00B25E57" w:rsidRDefault="008D7FBE" w:rsidP="009454A7">
            <w:pPr>
              <w:spacing w:after="60"/>
              <w:jc w:val="left"/>
              <w:rPr>
                <w:sz w:val="20"/>
                <w:szCs w:val="20"/>
                <w:lang w:val="es-ES_tradnl"/>
              </w:rPr>
            </w:pPr>
            <w:r w:rsidRPr="00B25E57">
              <w:rPr>
                <w:sz w:val="20"/>
                <w:szCs w:val="20"/>
                <w:lang w:val="es-ES_tradnl"/>
              </w:rPr>
              <w:t>FIASA</w:t>
            </w:r>
            <w:r w:rsidR="003A46A1" w:rsidRPr="00B25E57">
              <w:rPr>
                <w:sz w:val="20"/>
                <w:szCs w:val="20"/>
                <w:lang w:val="es-ES_tradnl"/>
              </w:rPr>
              <w:t xml:space="preserve"> </w:t>
            </w:r>
            <w:r w:rsidR="000F237A">
              <w:rPr>
                <w:sz w:val="20"/>
                <w:szCs w:val="20"/>
                <w:lang w:val="es-ES_tradnl"/>
              </w:rPr>
              <w:t xml:space="preserve">tendría que </w:t>
            </w:r>
            <w:r w:rsidR="00EA16AA">
              <w:rPr>
                <w:sz w:val="20"/>
                <w:szCs w:val="20"/>
                <w:lang w:val="es-ES_tradnl"/>
              </w:rPr>
              <w:t xml:space="preserve">inscribirse en el </w:t>
            </w:r>
            <w:r w:rsidR="007369CA">
              <w:rPr>
                <w:sz w:val="20"/>
                <w:szCs w:val="20"/>
                <w:lang w:val="es-ES_tradnl"/>
              </w:rPr>
              <w:t>registro de plantas de generación y tratamiento</w:t>
            </w:r>
            <w:r w:rsidR="00F03F0F">
              <w:rPr>
                <w:sz w:val="20"/>
                <w:szCs w:val="20"/>
                <w:lang w:val="es-ES_tradnl"/>
              </w:rPr>
              <w:t xml:space="preserve"> de residuos peligrosos</w:t>
            </w:r>
          </w:p>
        </w:tc>
      </w:tr>
      <w:tr w:rsidR="009A0949" w:rsidRPr="00AD1D61" w14:paraId="03880B75" w14:textId="77777777" w:rsidTr="000A100C">
        <w:tc>
          <w:tcPr>
            <w:tcW w:w="1022" w:type="dxa"/>
            <w:tcMar>
              <w:left w:w="29" w:type="dxa"/>
              <w:right w:w="0" w:type="dxa"/>
            </w:tcMar>
          </w:tcPr>
          <w:p w14:paraId="50DE44F9" w14:textId="1790A722" w:rsidR="009A0949" w:rsidRPr="00B25E57" w:rsidRDefault="008D7FBE" w:rsidP="009454A7">
            <w:pPr>
              <w:spacing w:after="60"/>
              <w:jc w:val="left"/>
              <w:rPr>
                <w:sz w:val="20"/>
                <w:szCs w:val="20"/>
                <w:lang w:val="es-ES_tradnl"/>
              </w:rPr>
            </w:pPr>
            <w:r w:rsidRPr="00B25E57">
              <w:rPr>
                <w:sz w:val="20"/>
                <w:szCs w:val="20"/>
                <w:lang w:val="es-ES_tradnl"/>
              </w:rPr>
              <w:t>B</w:t>
            </w:r>
            <w:r w:rsidR="003A46A1" w:rsidRPr="00B25E57">
              <w:rPr>
                <w:lang w:val="es-ES_tradnl"/>
              </w:rPr>
              <w:t xml:space="preserve"> </w:t>
            </w:r>
            <w:r w:rsidR="00F33C58" w:rsidRPr="00B25E57">
              <w:rPr>
                <w:sz w:val="20"/>
                <w:szCs w:val="20"/>
                <w:lang w:val="es-ES_tradnl"/>
              </w:rPr>
              <w:t>Opción</w:t>
            </w:r>
            <w:r w:rsidR="003A46A1" w:rsidRPr="00B25E57">
              <w:rPr>
                <w:sz w:val="20"/>
                <w:szCs w:val="20"/>
                <w:lang w:val="es-ES_tradnl"/>
              </w:rPr>
              <w:t xml:space="preserve"> </w:t>
            </w:r>
            <w:r w:rsidR="00425321" w:rsidRPr="00B25E57">
              <w:rPr>
                <w:sz w:val="20"/>
                <w:szCs w:val="20"/>
                <w:lang w:val="es-ES_tradnl"/>
              </w:rPr>
              <w:t>2</w:t>
            </w:r>
          </w:p>
        </w:tc>
        <w:tc>
          <w:tcPr>
            <w:tcW w:w="4252" w:type="dxa"/>
          </w:tcPr>
          <w:p w14:paraId="7A08F31F" w14:textId="4C421A65" w:rsidR="009A0949" w:rsidRPr="00B25E57" w:rsidRDefault="008D2687" w:rsidP="008D0DB3">
            <w:pPr>
              <w:spacing w:after="60"/>
              <w:jc w:val="left"/>
              <w:rPr>
                <w:sz w:val="20"/>
                <w:szCs w:val="20"/>
                <w:lang w:val="es-ES_tradnl"/>
              </w:rPr>
            </w:pPr>
            <w:r w:rsidRPr="00B25E57">
              <w:rPr>
                <w:sz w:val="20"/>
                <w:szCs w:val="20"/>
                <w:lang w:val="es-ES_tradnl"/>
              </w:rPr>
              <w:t>FIASA</w:t>
            </w:r>
            <w:r w:rsidR="003A46A1" w:rsidRPr="00B25E57">
              <w:rPr>
                <w:sz w:val="20"/>
                <w:szCs w:val="20"/>
                <w:lang w:val="es-ES_tradnl"/>
              </w:rPr>
              <w:t xml:space="preserve"> </w:t>
            </w:r>
            <w:r w:rsidR="00113969">
              <w:rPr>
                <w:sz w:val="20"/>
                <w:szCs w:val="20"/>
                <w:lang w:val="es-ES_tradnl"/>
              </w:rPr>
              <w:t>pro</w:t>
            </w:r>
            <w:r w:rsidR="006412B1">
              <w:rPr>
                <w:sz w:val="20"/>
                <w:szCs w:val="20"/>
                <w:lang w:val="es-ES_tradnl"/>
              </w:rPr>
              <w:t>duce</w:t>
            </w:r>
            <w:r w:rsidR="003A46A1" w:rsidRPr="00B25E57">
              <w:rPr>
                <w:sz w:val="20"/>
                <w:szCs w:val="20"/>
                <w:lang w:val="es-ES_tradnl"/>
              </w:rPr>
              <w:t xml:space="preserve"> </w:t>
            </w:r>
            <w:r w:rsidR="00FB38C2" w:rsidRPr="00B25E57">
              <w:rPr>
                <w:sz w:val="20"/>
                <w:szCs w:val="20"/>
                <w:lang w:val="es-ES_tradnl"/>
              </w:rPr>
              <w:t>1.</w:t>
            </w:r>
            <w:r w:rsidRPr="00B25E57">
              <w:rPr>
                <w:sz w:val="20"/>
                <w:szCs w:val="20"/>
                <w:lang w:val="es-ES_tradnl"/>
              </w:rPr>
              <w:t>000</w:t>
            </w:r>
            <w:r w:rsidR="003A46A1" w:rsidRPr="00B25E57">
              <w:rPr>
                <w:sz w:val="20"/>
                <w:szCs w:val="20"/>
                <w:lang w:val="es-ES_tradnl"/>
              </w:rPr>
              <w:t xml:space="preserve"> </w:t>
            </w:r>
            <w:r w:rsidR="00FB38C2" w:rsidRPr="00B25E57">
              <w:rPr>
                <w:sz w:val="20"/>
                <w:szCs w:val="20"/>
                <w:lang w:val="es-ES_tradnl"/>
              </w:rPr>
              <w:t>tm</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HCFC</w:t>
            </w:r>
            <w:r w:rsidR="00FB38C2" w:rsidRPr="00B25E57">
              <w:rPr>
                <w:sz w:val="20"/>
                <w:szCs w:val="20"/>
                <w:lang w:val="es-ES_tradnl"/>
              </w:rPr>
              <w:t>-</w:t>
            </w:r>
            <w:r w:rsidRPr="00B25E57">
              <w:rPr>
                <w:sz w:val="20"/>
                <w:szCs w:val="20"/>
                <w:lang w:val="es-ES_tradnl"/>
              </w:rPr>
              <w:t>22</w:t>
            </w:r>
            <w:r w:rsidR="003A46A1" w:rsidRPr="00B25E57">
              <w:rPr>
                <w:sz w:val="20"/>
                <w:szCs w:val="20"/>
                <w:lang w:val="es-ES_tradnl"/>
              </w:rPr>
              <w:t xml:space="preserve"> </w:t>
            </w:r>
            <w:r w:rsidR="00D84913" w:rsidRPr="00D84913">
              <w:rPr>
                <w:sz w:val="20"/>
                <w:szCs w:val="20"/>
                <w:lang w:val="es-ES_tradnl"/>
              </w:rPr>
              <w:t>adicional</w:t>
            </w:r>
            <w:r w:rsidR="00D84913">
              <w:rPr>
                <w:sz w:val="20"/>
                <w:szCs w:val="20"/>
                <w:lang w:val="es-ES_tradnl"/>
              </w:rPr>
              <w:t>es</w:t>
            </w:r>
            <w:r w:rsidR="00D84913" w:rsidRPr="00D84913">
              <w:rPr>
                <w:sz w:val="20"/>
                <w:szCs w:val="20"/>
                <w:lang w:val="es-ES_tradnl"/>
              </w:rPr>
              <w:t xml:space="preserve"> </w:t>
            </w:r>
            <w:r w:rsidR="004241C5" w:rsidRPr="00B25E57">
              <w:rPr>
                <w:sz w:val="20"/>
                <w:szCs w:val="20"/>
                <w:lang w:val="es-ES_tradnl"/>
              </w:rPr>
              <w:t>en</w:t>
            </w:r>
            <w:r w:rsidR="003A46A1" w:rsidRPr="00B25E57">
              <w:rPr>
                <w:sz w:val="20"/>
                <w:szCs w:val="20"/>
                <w:lang w:val="es-ES_tradnl"/>
              </w:rPr>
              <w:t xml:space="preserve"> </w:t>
            </w:r>
            <w:r w:rsidRPr="00B25E57">
              <w:rPr>
                <w:sz w:val="20"/>
                <w:szCs w:val="20"/>
                <w:lang w:val="es-ES_tradnl"/>
              </w:rPr>
              <w:t>201</w:t>
            </w:r>
            <w:r w:rsidR="001B760B">
              <w:rPr>
                <w:sz w:val="20"/>
                <w:szCs w:val="20"/>
                <w:lang w:val="es-ES_tradnl"/>
              </w:rPr>
              <w:t xml:space="preserve">9, luego </w:t>
            </w:r>
            <w:r w:rsidR="00D84913">
              <w:rPr>
                <w:sz w:val="20"/>
                <w:szCs w:val="20"/>
                <w:lang w:val="es-ES_tradnl"/>
              </w:rPr>
              <w:t xml:space="preserve">cesa la </w:t>
            </w:r>
            <w:r w:rsidR="004241C5" w:rsidRPr="00B25E57">
              <w:rPr>
                <w:sz w:val="20"/>
                <w:szCs w:val="20"/>
                <w:lang w:val="es-ES_tradnl"/>
              </w:rPr>
              <w:t>producción</w:t>
            </w:r>
            <w:r w:rsidR="003A46A1" w:rsidRPr="00B25E57">
              <w:rPr>
                <w:sz w:val="20"/>
                <w:szCs w:val="20"/>
                <w:lang w:val="es-ES_tradnl"/>
              </w:rPr>
              <w:t xml:space="preserve"> </w:t>
            </w:r>
            <w:r w:rsidR="00517D62" w:rsidRPr="00B25E57">
              <w:rPr>
                <w:sz w:val="20"/>
                <w:szCs w:val="20"/>
                <w:lang w:val="es-ES_tradnl"/>
              </w:rPr>
              <w:t>hasta</w:t>
            </w:r>
            <w:r w:rsidR="003A46A1" w:rsidRPr="00B25E57">
              <w:rPr>
                <w:sz w:val="20"/>
                <w:szCs w:val="20"/>
                <w:lang w:val="es-ES_tradnl"/>
              </w:rPr>
              <w:t xml:space="preserve"> </w:t>
            </w:r>
            <w:r w:rsidR="0088757D">
              <w:rPr>
                <w:sz w:val="20"/>
                <w:szCs w:val="20"/>
                <w:lang w:val="es-ES_tradnl"/>
              </w:rPr>
              <w:t>la puesta en marcha d</w:t>
            </w:r>
            <w:r w:rsidR="00C95B4F">
              <w:rPr>
                <w:sz w:val="20"/>
                <w:szCs w:val="20"/>
                <w:lang w:val="es-ES_tradnl"/>
              </w:rPr>
              <w:t>el incinerador</w:t>
            </w:r>
            <w:r w:rsidR="003A46A1" w:rsidRPr="00B25E57">
              <w:rPr>
                <w:sz w:val="20"/>
                <w:szCs w:val="20"/>
                <w:lang w:val="es-ES_tradnl"/>
              </w:rPr>
              <w:t xml:space="preserve"> </w:t>
            </w:r>
            <w:r w:rsidR="007B22B4" w:rsidRPr="00B25E57">
              <w:rPr>
                <w:sz w:val="20"/>
                <w:szCs w:val="20"/>
                <w:lang w:val="es-ES_tradnl"/>
              </w:rPr>
              <w:t>en</w:t>
            </w:r>
            <w:r w:rsidR="003A46A1" w:rsidRPr="00B25E57">
              <w:rPr>
                <w:sz w:val="20"/>
                <w:szCs w:val="20"/>
                <w:lang w:val="es-ES_tradnl"/>
              </w:rPr>
              <w:t xml:space="preserve"> </w:t>
            </w:r>
            <w:r w:rsidR="00FB38C2" w:rsidRPr="00B25E57">
              <w:rPr>
                <w:sz w:val="20"/>
                <w:szCs w:val="20"/>
                <w:lang w:val="es-ES_tradnl"/>
              </w:rPr>
              <w:t>junio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2020.</w:t>
            </w:r>
            <w:r w:rsidR="003A46A1" w:rsidRPr="00B25E57">
              <w:rPr>
                <w:sz w:val="20"/>
                <w:szCs w:val="20"/>
                <w:lang w:val="es-ES_tradnl"/>
              </w:rPr>
              <w:t xml:space="preserve"> </w:t>
            </w:r>
            <w:r w:rsidR="004A709E">
              <w:rPr>
                <w:sz w:val="20"/>
                <w:szCs w:val="20"/>
                <w:lang w:val="es-ES_tradnl"/>
              </w:rPr>
              <w:t>Esto tendría c</w:t>
            </w:r>
            <w:r w:rsidR="00CA7EB4">
              <w:rPr>
                <w:sz w:val="20"/>
                <w:szCs w:val="20"/>
                <w:lang w:val="es-ES_tradnl"/>
              </w:rPr>
              <w:t>ostos extras</w:t>
            </w:r>
            <w:r w:rsidR="003A46A1" w:rsidRPr="00B25E57">
              <w:rPr>
                <w:sz w:val="20"/>
                <w:szCs w:val="20"/>
                <w:lang w:val="es-ES_tradnl"/>
              </w:rPr>
              <w:t xml:space="preserve"> </w:t>
            </w:r>
            <w:r w:rsidR="00DD7FCF" w:rsidRPr="00B25E57">
              <w:rPr>
                <w:sz w:val="20"/>
                <w:szCs w:val="20"/>
                <w:lang w:val="es-ES_tradnl"/>
              </w:rPr>
              <w:t>(</w:t>
            </w:r>
            <w:r w:rsidRPr="00B25E57">
              <w:rPr>
                <w:sz w:val="20"/>
                <w:szCs w:val="20"/>
                <w:lang w:val="es-ES_tradnl"/>
              </w:rPr>
              <w:t>65</w:t>
            </w:r>
            <w:r w:rsidR="00FB38C2" w:rsidRPr="00B25E57">
              <w:rPr>
                <w:sz w:val="20"/>
                <w:szCs w:val="20"/>
                <w:lang w:val="es-ES_tradnl"/>
              </w:rPr>
              <w:t>0.</w:t>
            </w:r>
            <w:r w:rsidRPr="00B25E57">
              <w:rPr>
                <w:sz w:val="20"/>
                <w:szCs w:val="20"/>
                <w:lang w:val="es-ES_tradnl"/>
              </w:rPr>
              <w:t>000</w:t>
            </w:r>
            <w:r w:rsidR="002967C2">
              <w:rPr>
                <w:sz w:val="20"/>
                <w:szCs w:val="20"/>
                <w:lang w:val="es-ES_tradnl"/>
              </w:rPr>
              <w:t xml:space="preserve"> </w:t>
            </w:r>
            <w:r w:rsidR="002967C2" w:rsidRPr="002967C2">
              <w:rPr>
                <w:sz w:val="20"/>
                <w:szCs w:val="20"/>
                <w:lang w:val="es-ES_tradnl"/>
              </w:rPr>
              <w:t>$EUA</w:t>
            </w:r>
            <w:r w:rsidR="00DD7FCF" w:rsidRPr="00B25E57">
              <w:rPr>
                <w:sz w:val="20"/>
                <w:szCs w:val="20"/>
                <w:lang w:val="es-ES_tradnl"/>
              </w:rPr>
              <w:t>)</w:t>
            </w:r>
            <w:r w:rsidR="003A46A1" w:rsidRPr="00B25E57">
              <w:rPr>
                <w:sz w:val="20"/>
                <w:szCs w:val="20"/>
                <w:lang w:val="es-ES_tradnl"/>
              </w:rPr>
              <w:t xml:space="preserve"> </w:t>
            </w:r>
            <w:r w:rsidR="004A709E">
              <w:rPr>
                <w:sz w:val="20"/>
                <w:szCs w:val="20"/>
                <w:lang w:val="es-ES_tradnl"/>
              </w:rPr>
              <w:t xml:space="preserve">por concepto de </w:t>
            </w:r>
            <w:r w:rsidR="00F33C58" w:rsidRPr="00B25E57">
              <w:rPr>
                <w:sz w:val="20"/>
                <w:szCs w:val="20"/>
                <w:lang w:val="es-ES_tradnl"/>
              </w:rPr>
              <w:t>almacenamiento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HCFC</w:t>
            </w:r>
            <w:r w:rsidR="00FB38C2" w:rsidRPr="00B25E57">
              <w:rPr>
                <w:sz w:val="20"/>
                <w:szCs w:val="20"/>
                <w:lang w:val="es-ES_tradnl"/>
              </w:rPr>
              <w:t>-</w:t>
            </w:r>
            <w:r w:rsidRPr="00B25E57">
              <w:rPr>
                <w:sz w:val="20"/>
                <w:szCs w:val="20"/>
                <w:lang w:val="es-ES_tradnl"/>
              </w:rPr>
              <w:t>22</w:t>
            </w:r>
            <w:r w:rsidR="003A46A1" w:rsidRPr="00B25E57">
              <w:rPr>
                <w:sz w:val="20"/>
                <w:szCs w:val="20"/>
                <w:lang w:val="es-ES_tradnl"/>
              </w:rPr>
              <w:t xml:space="preserve"> </w:t>
            </w:r>
            <w:r w:rsidR="004A709E">
              <w:rPr>
                <w:sz w:val="20"/>
                <w:szCs w:val="20"/>
                <w:lang w:val="es-ES_tradnl"/>
              </w:rPr>
              <w:t>in situ</w:t>
            </w:r>
            <w:r w:rsidRPr="00B25E57">
              <w:rPr>
                <w:sz w:val="20"/>
                <w:szCs w:val="20"/>
                <w:lang w:val="es-ES_tradnl"/>
              </w:rPr>
              <w:t>;</w:t>
            </w:r>
            <w:r w:rsidR="003A46A1" w:rsidRPr="00B25E57">
              <w:rPr>
                <w:sz w:val="20"/>
                <w:szCs w:val="20"/>
                <w:lang w:val="es-ES_tradnl"/>
              </w:rPr>
              <w:t xml:space="preserve"> </w:t>
            </w:r>
            <w:r w:rsidR="008D0DB3">
              <w:rPr>
                <w:sz w:val="20"/>
                <w:szCs w:val="20"/>
                <w:lang w:val="es-ES_tradnl"/>
              </w:rPr>
              <w:t>mano de obra</w:t>
            </w:r>
            <w:r w:rsidRPr="00B25E57">
              <w:rPr>
                <w:sz w:val="20"/>
                <w:szCs w:val="20"/>
                <w:lang w:val="es-ES_tradnl"/>
              </w:rPr>
              <w:t>,</w:t>
            </w:r>
            <w:r w:rsidR="003A46A1" w:rsidRPr="00B25E57">
              <w:rPr>
                <w:sz w:val="20"/>
                <w:szCs w:val="20"/>
                <w:lang w:val="es-ES_tradnl"/>
              </w:rPr>
              <w:t xml:space="preserve"> </w:t>
            </w:r>
            <w:r w:rsidR="007B22B4" w:rsidRPr="00B25E57">
              <w:rPr>
                <w:sz w:val="20"/>
                <w:szCs w:val="20"/>
                <w:lang w:val="es-ES_tradnl"/>
              </w:rPr>
              <w:t>costo</w:t>
            </w:r>
            <w:r w:rsidR="008D0DB3">
              <w:rPr>
                <w:sz w:val="20"/>
                <w:szCs w:val="20"/>
                <w:lang w:val="es-ES_tradnl"/>
              </w:rPr>
              <w:t>s</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capital</w:t>
            </w:r>
            <w:r w:rsidR="003A46A1" w:rsidRPr="00B25E57">
              <w:rPr>
                <w:sz w:val="20"/>
                <w:szCs w:val="20"/>
                <w:lang w:val="es-ES_tradnl"/>
              </w:rPr>
              <w:t xml:space="preserve"> </w:t>
            </w:r>
            <w:r w:rsidR="004241C5" w:rsidRPr="00B25E57">
              <w:rPr>
                <w:sz w:val="20"/>
                <w:szCs w:val="20"/>
                <w:lang w:val="es-ES_tradnl"/>
              </w:rPr>
              <w:t>en</w:t>
            </w:r>
            <w:r w:rsidR="003A46A1" w:rsidRPr="00B25E57">
              <w:rPr>
                <w:sz w:val="20"/>
                <w:szCs w:val="20"/>
                <w:lang w:val="es-ES_tradnl"/>
              </w:rPr>
              <w:t xml:space="preserve"> </w:t>
            </w:r>
            <w:r w:rsidRPr="00B25E57">
              <w:rPr>
                <w:sz w:val="20"/>
                <w:szCs w:val="20"/>
                <w:lang w:val="es-ES_tradnl"/>
              </w:rPr>
              <w:t>201</w:t>
            </w:r>
            <w:r w:rsidR="008D0DB3">
              <w:rPr>
                <w:sz w:val="20"/>
                <w:szCs w:val="20"/>
                <w:lang w:val="es-ES_tradnl"/>
              </w:rPr>
              <w:t>9</w:t>
            </w:r>
            <w:r w:rsidR="003A46A1" w:rsidRPr="00B25E57">
              <w:rPr>
                <w:sz w:val="20"/>
                <w:szCs w:val="20"/>
                <w:lang w:val="es-ES_tradnl"/>
              </w:rPr>
              <w:t xml:space="preserve"> </w:t>
            </w:r>
            <w:r w:rsidR="00FB38C2" w:rsidRPr="00B25E57">
              <w:rPr>
                <w:sz w:val="20"/>
                <w:szCs w:val="20"/>
                <w:lang w:val="es-ES_tradnl"/>
              </w:rPr>
              <w:t>y</w:t>
            </w:r>
            <w:r w:rsidR="003A46A1" w:rsidRPr="00B25E57">
              <w:rPr>
                <w:sz w:val="20"/>
                <w:szCs w:val="20"/>
                <w:lang w:val="es-ES_tradnl"/>
              </w:rPr>
              <w:t xml:space="preserve"> </w:t>
            </w:r>
            <w:r w:rsidR="008D0DB3">
              <w:rPr>
                <w:sz w:val="20"/>
                <w:szCs w:val="20"/>
                <w:lang w:val="es-ES_tradnl"/>
              </w:rPr>
              <w:t xml:space="preserve">pérdida de </w:t>
            </w:r>
            <w:r w:rsidR="009739BD">
              <w:rPr>
                <w:sz w:val="20"/>
                <w:szCs w:val="20"/>
                <w:lang w:val="es-ES_tradnl"/>
              </w:rPr>
              <w:t>ventas</w:t>
            </w:r>
            <w:r w:rsidR="003A46A1" w:rsidRPr="00B25E57">
              <w:rPr>
                <w:sz w:val="20"/>
                <w:szCs w:val="20"/>
                <w:lang w:val="es-ES_tradnl"/>
              </w:rPr>
              <w:t xml:space="preserve"> </w:t>
            </w:r>
            <w:r w:rsidR="008D0DB3">
              <w:rPr>
                <w:sz w:val="20"/>
                <w:szCs w:val="20"/>
                <w:lang w:val="es-ES_tradnl"/>
              </w:rPr>
              <w:t xml:space="preserve">de </w:t>
            </w:r>
            <w:r w:rsidR="008D0DB3" w:rsidRPr="008D0DB3">
              <w:rPr>
                <w:sz w:val="20"/>
                <w:szCs w:val="20"/>
                <w:lang w:val="es-ES_tradnl"/>
              </w:rPr>
              <w:t xml:space="preserve">HCl </w:t>
            </w:r>
            <w:r w:rsidR="004241C5" w:rsidRPr="00B25E57">
              <w:rPr>
                <w:sz w:val="20"/>
                <w:szCs w:val="20"/>
                <w:lang w:val="es-ES_tradnl"/>
              </w:rPr>
              <w:t>en</w:t>
            </w:r>
            <w:r w:rsidR="003A46A1" w:rsidRPr="00B25E57">
              <w:rPr>
                <w:sz w:val="20"/>
                <w:szCs w:val="20"/>
                <w:lang w:val="es-ES_tradnl"/>
              </w:rPr>
              <w:t xml:space="preserve"> </w:t>
            </w:r>
            <w:r w:rsidRPr="00B25E57">
              <w:rPr>
                <w:sz w:val="20"/>
                <w:szCs w:val="20"/>
                <w:lang w:val="es-ES_tradnl"/>
              </w:rPr>
              <w:t>2020</w:t>
            </w:r>
          </w:p>
        </w:tc>
        <w:tc>
          <w:tcPr>
            <w:tcW w:w="1985" w:type="dxa"/>
          </w:tcPr>
          <w:p w14:paraId="4463F754" w14:textId="2235D8B7" w:rsidR="009A0949" w:rsidRPr="00B25E57" w:rsidRDefault="00C16476" w:rsidP="00C13EAE">
            <w:pPr>
              <w:spacing w:after="60"/>
              <w:jc w:val="left"/>
              <w:rPr>
                <w:sz w:val="20"/>
                <w:szCs w:val="20"/>
                <w:lang w:val="es-ES_tradnl"/>
              </w:rPr>
            </w:pPr>
            <w:r w:rsidRPr="00B25E57">
              <w:rPr>
                <w:sz w:val="20"/>
                <w:szCs w:val="20"/>
                <w:lang w:val="es-ES_tradnl"/>
              </w:rPr>
              <w:t xml:space="preserve">Seis </w:t>
            </w:r>
            <w:r w:rsidR="00F33C58" w:rsidRPr="00B25E57">
              <w:rPr>
                <w:sz w:val="20"/>
                <w:szCs w:val="20"/>
                <w:lang w:val="es-ES_tradnl"/>
              </w:rPr>
              <w:t>meses</w:t>
            </w:r>
            <w:r w:rsidR="003A46A1" w:rsidRPr="00B25E57">
              <w:rPr>
                <w:sz w:val="20"/>
                <w:szCs w:val="20"/>
                <w:lang w:val="es-ES_tradnl"/>
              </w:rPr>
              <w:t xml:space="preserve"> </w:t>
            </w:r>
            <w:r w:rsidR="00C13EAE">
              <w:rPr>
                <w:sz w:val="20"/>
                <w:szCs w:val="20"/>
                <w:lang w:val="es-ES_tradnl"/>
              </w:rPr>
              <w:t>extras</w:t>
            </w:r>
            <w:r w:rsidRPr="00C16476">
              <w:rPr>
                <w:sz w:val="20"/>
                <w:szCs w:val="20"/>
                <w:lang w:val="es-ES_tradnl"/>
              </w:rPr>
              <w:t xml:space="preserve"> </w:t>
            </w:r>
            <w:r>
              <w:rPr>
                <w:sz w:val="20"/>
                <w:szCs w:val="20"/>
                <w:lang w:val="es-ES_tradnl"/>
              </w:rPr>
              <w:t>para inscribirse como</w:t>
            </w:r>
            <w:r w:rsidR="003A46A1" w:rsidRPr="00B25E57">
              <w:rPr>
                <w:sz w:val="20"/>
                <w:szCs w:val="20"/>
                <w:lang w:val="es-ES_tradnl"/>
              </w:rPr>
              <w:t xml:space="preserve"> </w:t>
            </w:r>
            <w:r w:rsidR="00531BFE">
              <w:rPr>
                <w:sz w:val="20"/>
                <w:szCs w:val="20"/>
                <w:lang w:val="es-ES_tradnl"/>
              </w:rPr>
              <w:t>planta de generación y tratamiento de residuos peligrosos</w:t>
            </w:r>
          </w:p>
        </w:tc>
        <w:tc>
          <w:tcPr>
            <w:tcW w:w="2234" w:type="dxa"/>
          </w:tcPr>
          <w:p w14:paraId="4A143026" w14:textId="6C86FA56" w:rsidR="009A0949" w:rsidRPr="00B25E57" w:rsidRDefault="00B93819" w:rsidP="00E37F51">
            <w:pPr>
              <w:spacing w:after="60"/>
              <w:jc w:val="left"/>
              <w:rPr>
                <w:sz w:val="20"/>
                <w:szCs w:val="20"/>
                <w:lang w:val="es-ES_tradnl"/>
              </w:rPr>
            </w:pPr>
            <w:r>
              <w:rPr>
                <w:sz w:val="20"/>
                <w:szCs w:val="20"/>
                <w:lang w:val="es-ES_tradnl"/>
              </w:rPr>
              <w:t>Costo extra</w:t>
            </w:r>
            <w:r w:rsidR="008D2687" w:rsidRPr="00B25E57">
              <w:rPr>
                <w:sz w:val="20"/>
                <w:szCs w:val="20"/>
                <w:lang w:val="es-ES_tradnl"/>
              </w:rPr>
              <w:t>,</w:t>
            </w:r>
            <w:r w:rsidR="003A46A1" w:rsidRPr="00B25E57">
              <w:rPr>
                <w:sz w:val="20"/>
                <w:szCs w:val="20"/>
                <w:lang w:val="es-ES_tradnl"/>
              </w:rPr>
              <w:t xml:space="preserve"> </w:t>
            </w:r>
            <w:r w:rsidR="004057BA" w:rsidRPr="00B25E57">
              <w:rPr>
                <w:sz w:val="20"/>
                <w:szCs w:val="20"/>
                <w:lang w:val="es-ES_tradnl"/>
              </w:rPr>
              <w:t>posible</w:t>
            </w:r>
            <w:r w:rsidR="003A46A1" w:rsidRPr="00B25E57">
              <w:rPr>
                <w:sz w:val="20"/>
                <w:szCs w:val="20"/>
                <w:lang w:val="es-ES_tradnl"/>
              </w:rPr>
              <w:t xml:space="preserve"> </w:t>
            </w:r>
            <w:r w:rsidR="00133B75">
              <w:rPr>
                <w:sz w:val="20"/>
                <w:szCs w:val="20"/>
                <w:lang w:val="es-ES_tradnl"/>
              </w:rPr>
              <w:t xml:space="preserve">necesidad de </w:t>
            </w:r>
            <w:r w:rsidR="00E37F51">
              <w:rPr>
                <w:sz w:val="20"/>
                <w:szCs w:val="20"/>
                <w:lang w:val="es-ES_tradnl"/>
              </w:rPr>
              <w:t>cuota de producción</w:t>
            </w:r>
            <w:r w:rsidR="00E37F51" w:rsidRPr="00216433">
              <w:rPr>
                <w:lang w:val="es-ES"/>
              </w:rPr>
              <w:t xml:space="preserve"> </w:t>
            </w:r>
            <w:r w:rsidR="00E37F51" w:rsidRPr="00E37F51">
              <w:rPr>
                <w:sz w:val="20"/>
                <w:szCs w:val="20"/>
                <w:lang w:val="es-ES_tradnl"/>
              </w:rPr>
              <w:t>adicional</w:t>
            </w:r>
            <w:r w:rsidR="009454A7" w:rsidRPr="00B25E57">
              <w:rPr>
                <w:sz w:val="20"/>
                <w:szCs w:val="20"/>
                <w:lang w:val="es-ES_tradnl"/>
              </w:rPr>
              <w:t>;</w:t>
            </w:r>
            <w:r w:rsidR="003A46A1" w:rsidRPr="00B25E57">
              <w:rPr>
                <w:sz w:val="20"/>
                <w:szCs w:val="20"/>
                <w:lang w:val="es-ES_tradnl"/>
              </w:rPr>
              <w:t xml:space="preserve"> </w:t>
            </w:r>
            <w:r w:rsidR="00577D38">
              <w:rPr>
                <w:sz w:val="20"/>
                <w:szCs w:val="20"/>
                <w:lang w:val="es-ES_tradnl"/>
              </w:rPr>
              <w:t>emisiones adicionales</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008D2687" w:rsidRPr="00B25E57">
              <w:rPr>
                <w:sz w:val="20"/>
                <w:szCs w:val="20"/>
                <w:lang w:val="es-ES_tradnl"/>
              </w:rPr>
              <w:t>HFC</w:t>
            </w:r>
            <w:r w:rsidR="00FB38C2" w:rsidRPr="00B25E57">
              <w:rPr>
                <w:sz w:val="20"/>
                <w:szCs w:val="20"/>
                <w:lang w:val="es-ES_tradnl"/>
              </w:rPr>
              <w:t>-</w:t>
            </w:r>
            <w:r w:rsidR="008D2687" w:rsidRPr="00B25E57">
              <w:rPr>
                <w:sz w:val="20"/>
                <w:szCs w:val="20"/>
                <w:lang w:val="es-ES_tradnl"/>
              </w:rPr>
              <w:t>23</w:t>
            </w:r>
            <w:r w:rsidR="003A46A1" w:rsidRPr="00B25E57">
              <w:rPr>
                <w:sz w:val="20"/>
                <w:szCs w:val="20"/>
                <w:lang w:val="es-ES_tradnl"/>
              </w:rPr>
              <w:t xml:space="preserve"> </w:t>
            </w:r>
            <w:r w:rsidR="004241C5" w:rsidRPr="00B25E57">
              <w:rPr>
                <w:sz w:val="20"/>
                <w:szCs w:val="20"/>
                <w:lang w:val="es-ES_tradnl"/>
              </w:rPr>
              <w:t>en</w:t>
            </w:r>
            <w:r w:rsidR="003A46A1" w:rsidRPr="00B25E57">
              <w:rPr>
                <w:sz w:val="20"/>
                <w:szCs w:val="20"/>
                <w:lang w:val="es-ES_tradnl"/>
              </w:rPr>
              <w:t xml:space="preserve"> </w:t>
            </w:r>
            <w:r w:rsidR="008D2687" w:rsidRPr="00B25E57">
              <w:rPr>
                <w:sz w:val="20"/>
                <w:szCs w:val="20"/>
                <w:lang w:val="es-ES_tradnl"/>
              </w:rPr>
              <w:t>2019</w:t>
            </w:r>
          </w:p>
        </w:tc>
      </w:tr>
      <w:tr w:rsidR="006D4CE4" w:rsidRPr="00B25E57" w14:paraId="1A7C3E05" w14:textId="77777777" w:rsidTr="000A100C">
        <w:tc>
          <w:tcPr>
            <w:tcW w:w="1022" w:type="dxa"/>
            <w:tcMar>
              <w:left w:w="29" w:type="dxa"/>
              <w:right w:w="0" w:type="dxa"/>
            </w:tcMar>
          </w:tcPr>
          <w:p w14:paraId="152C3F54" w14:textId="7213C33E" w:rsidR="006D4CE4" w:rsidRPr="00B25E57" w:rsidRDefault="006D4CE4" w:rsidP="009454A7">
            <w:pPr>
              <w:spacing w:after="60"/>
              <w:jc w:val="left"/>
              <w:rPr>
                <w:sz w:val="20"/>
                <w:szCs w:val="20"/>
                <w:lang w:val="es-ES_tradnl"/>
              </w:rPr>
            </w:pPr>
            <w:r w:rsidRPr="00B25E57">
              <w:rPr>
                <w:sz w:val="20"/>
                <w:szCs w:val="20"/>
                <w:lang w:val="es-ES_tradnl"/>
              </w:rPr>
              <w:t>C</w:t>
            </w:r>
            <w:r w:rsidR="003A46A1" w:rsidRPr="00B25E57">
              <w:rPr>
                <w:lang w:val="es-ES_tradnl"/>
              </w:rPr>
              <w:t xml:space="preserve"> </w:t>
            </w:r>
            <w:r w:rsidR="00F33C58" w:rsidRPr="00B25E57">
              <w:rPr>
                <w:sz w:val="20"/>
                <w:szCs w:val="20"/>
                <w:lang w:val="es-ES_tradnl"/>
              </w:rPr>
              <w:t>Opción</w:t>
            </w:r>
            <w:r w:rsidR="003A46A1" w:rsidRPr="00B25E57">
              <w:rPr>
                <w:sz w:val="20"/>
                <w:szCs w:val="20"/>
                <w:lang w:val="es-ES_tradnl"/>
              </w:rPr>
              <w:t xml:space="preserve"> </w:t>
            </w:r>
            <w:r w:rsidR="00425321" w:rsidRPr="00B25E57">
              <w:rPr>
                <w:sz w:val="20"/>
                <w:szCs w:val="20"/>
                <w:lang w:val="es-ES_tradnl"/>
              </w:rPr>
              <w:t>2</w:t>
            </w:r>
          </w:p>
        </w:tc>
        <w:tc>
          <w:tcPr>
            <w:tcW w:w="4252" w:type="dxa"/>
          </w:tcPr>
          <w:p w14:paraId="5D86395A" w14:textId="5ECDF0E2" w:rsidR="006D4CE4" w:rsidRPr="00B25E57" w:rsidRDefault="007072C4" w:rsidP="00DF2CD3">
            <w:pPr>
              <w:spacing w:after="60"/>
              <w:jc w:val="left"/>
              <w:rPr>
                <w:sz w:val="20"/>
                <w:szCs w:val="20"/>
                <w:lang w:val="es-ES_tradnl"/>
              </w:rPr>
            </w:pPr>
            <w:r w:rsidRPr="00B25E57">
              <w:rPr>
                <w:sz w:val="20"/>
                <w:szCs w:val="20"/>
                <w:lang w:val="es-ES_tradnl"/>
              </w:rPr>
              <w:t>FIASA</w:t>
            </w:r>
            <w:r w:rsidR="003A46A1" w:rsidRPr="00B25E57">
              <w:rPr>
                <w:sz w:val="20"/>
                <w:szCs w:val="20"/>
                <w:lang w:val="es-ES_tradnl"/>
              </w:rPr>
              <w:t xml:space="preserve"> </w:t>
            </w:r>
            <w:r w:rsidR="0084353D">
              <w:rPr>
                <w:sz w:val="20"/>
                <w:szCs w:val="20"/>
                <w:lang w:val="es-ES_tradnl"/>
              </w:rPr>
              <w:t>cesa la</w:t>
            </w:r>
            <w:r w:rsidR="003A46A1" w:rsidRPr="00B25E57">
              <w:rPr>
                <w:sz w:val="20"/>
                <w:szCs w:val="20"/>
                <w:lang w:val="es-ES_tradnl"/>
              </w:rPr>
              <w:t xml:space="preserve"> </w:t>
            </w:r>
            <w:r w:rsidR="004241C5" w:rsidRPr="00B25E57">
              <w:rPr>
                <w:sz w:val="20"/>
                <w:szCs w:val="20"/>
                <w:lang w:val="es-ES_tradnl"/>
              </w:rPr>
              <w:t>producción</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HCFC</w:t>
            </w:r>
            <w:r w:rsidR="00FB38C2" w:rsidRPr="00B25E57">
              <w:rPr>
                <w:sz w:val="20"/>
                <w:szCs w:val="20"/>
                <w:lang w:val="es-ES_tradnl"/>
              </w:rPr>
              <w:t>-</w:t>
            </w:r>
            <w:r w:rsidR="0074460D" w:rsidRPr="00B25E57">
              <w:rPr>
                <w:sz w:val="20"/>
                <w:szCs w:val="20"/>
                <w:lang w:val="es-ES_tradnl"/>
              </w:rPr>
              <w:t>22</w:t>
            </w:r>
            <w:r w:rsidR="003A46A1" w:rsidRPr="00B25E57">
              <w:rPr>
                <w:sz w:val="20"/>
                <w:szCs w:val="20"/>
                <w:lang w:val="es-ES_tradnl"/>
              </w:rPr>
              <w:t xml:space="preserve"> </w:t>
            </w:r>
            <w:r w:rsidR="0084353D">
              <w:rPr>
                <w:sz w:val="20"/>
                <w:szCs w:val="20"/>
                <w:lang w:val="es-ES_tradnl"/>
              </w:rPr>
              <w:t xml:space="preserve">el </w:t>
            </w:r>
            <w:r w:rsidR="004512EA" w:rsidRPr="00B25E57">
              <w:rPr>
                <w:sz w:val="20"/>
                <w:szCs w:val="20"/>
                <w:lang w:val="es-ES_tradnl"/>
              </w:rPr>
              <w:t>1º</w:t>
            </w:r>
            <w:r w:rsidR="003A46A1" w:rsidRPr="00B25E57">
              <w:rPr>
                <w:sz w:val="20"/>
                <w:szCs w:val="20"/>
                <w:lang w:val="es-ES_tradnl"/>
              </w:rPr>
              <w:t xml:space="preserve"> </w:t>
            </w:r>
            <w:r w:rsidR="004512EA" w:rsidRPr="00B25E57">
              <w:rPr>
                <w:sz w:val="20"/>
                <w:szCs w:val="20"/>
                <w:lang w:val="es-ES_tradnl"/>
              </w:rPr>
              <w:t>de</w:t>
            </w:r>
            <w:r w:rsidR="003A46A1" w:rsidRPr="00B25E57">
              <w:rPr>
                <w:sz w:val="20"/>
                <w:szCs w:val="20"/>
                <w:lang w:val="es-ES_tradnl"/>
              </w:rPr>
              <w:t xml:space="preserve"> </w:t>
            </w:r>
            <w:r w:rsidR="004512EA" w:rsidRPr="00B25E57">
              <w:rPr>
                <w:sz w:val="20"/>
                <w:szCs w:val="20"/>
                <w:lang w:val="es-ES_tradnl"/>
              </w:rPr>
              <w:t>enero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0074460D" w:rsidRPr="00B25E57">
              <w:rPr>
                <w:sz w:val="20"/>
                <w:szCs w:val="20"/>
                <w:lang w:val="es-ES_tradnl"/>
              </w:rPr>
              <w:t>202</w:t>
            </w:r>
            <w:r w:rsidR="00A504DF">
              <w:rPr>
                <w:sz w:val="20"/>
                <w:szCs w:val="20"/>
                <w:lang w:val="es-ES_tradnl"/>
              </w:rPr>
              <w:t>0</w:t>
            </w:r>
            <w:r w:rsidR="003A46A1" w:rsidRPr="00B25E57">
              <w:rPr>
                <w:sz w:val="20"/>
                <w:szCs w:val="20"/>
                <w:lang w:val="es-ES_tradnl"/>
              </w:rPr>
              <w:t xml:space="preserve"> </w:t>
            </w:r>
            <w:r w:rsidR="00A504DF">
              <w:rPr>
                <w:sz w:val="20"/>
                <w:szCs w:val="20"/>
                <w:lang w:val="es-ES_tradnl"/>
              </w:rPr>
              <w:t xml:space="preserve">y se le compensa </w:t>
            </w:r>
            <w:r w:rsidR="00A27F0E" w:rsidRPr="00B25E57">
              <w:rPr>
                <w:sz w:val="20"/>
                <w:szCs w:val="20"/>
                <w:lang w:val="es-ES_tradnl"/>
              </w:rPr>
              <w:t>(</w:t>
            </w:r>
            <w:r w:rsidR="00FB38C2" w:rsidRPr="00B25E57">
              <w:rPr>
                <w:sz w:val="20"/>
                <w:szCs w:val="20"/>
                <w:lang w:val="es-ES_tradnl"/>
              </w:rPr>
              <w:t>2.</w:t>
            </w:r>
            <w:r w:rsidR="00A27F0E" w:rsidRPr="00B25E57">
              <w:rPr>
                <w:sz w:val="20"/>
                <w:szCs w:val="20"/>
                <w:lang w:val="es-ES_tradnl"/>
              </w:rPr>
              <w:t>69</w:t>
            </w:r>
            <w:r w:rsidR="004241C5" w:rsidRPr="00B25E57">
              <w:rPr>
                <w:sz w:val="20"/>
                <w:szCs w:val="20"/>
                <w:lang w:val="es-ES_tradnl"/>
              </w:rPr>
              <w:t>8.</w:t>
            </w:r>
            <w:r w:rsidR="00A27F0E" w:rsidRPr="00B25E57">
              <w:rPr>
                <w:sz w:val="20"/>
                <w:szCs w:val="20"/>
                <w:lang w:val="es-ES_tradnl"/>
              </w:rPr>
              <w:t>000</w:t>
            </w:r>
            <w:r w:rsidR="00911C5C">
              <w:rPr>
                <w:sz w:val="20"/>
                <w:szCs w:val="20"/>
                <w:lang w:val="es-ES_tradnl"/>
              </w:rPr>
              <w:t xml:space="preserve"> </w:t>
            </w:r>
            <w:r w:rsidR="00911C5C" w:rsidRPr="00911C5C">
              <w:rPr>
                <w:sz w:val="20"/>
                <w:szCs w:val="20"/>
                <w:lang w:val="es-ES_tradnl"/>
              </w:rPr>
              <w:t>$EUA</w:t>
            </w:r>
            <w:r w:rsidR="00A27F0E" w:rsidRPr="00B25E57">
              <w:rPr>
                <w:sz w:val="20"/>
                <w:szCs w:val="20"/>
                <w:lang w:val="es-ES_tradnl"/>
              </w:rPr>
              <w:t>)</w:t>
            </w:r>
            <w:r w:rsidR="003A46A1" w:rsidRPr="00B25E57">
              <w:rPr>
                <w:sz w:val="20"/>
                <w:szCs w:val="20"/>
                <w:lang w:val="es-ES_tradnl"/>
              </w:rPr>
              <w:t xml:space="preserve"> </w:t>
            </w:r>
            <w:r w:rsidR="00FE1596" w:rsidRPr="00FE1596">
              <w:rPr>
                <w:sz w:val="20"/>
                <w:szCs w:val="20"/>
                <w:lang w:val="es-ES_tradnl"/>
              </w:rPr>
              <w:t xml:space="preserve">por la pérdida </w:t>
            </w:r>
            <w:r w:rsidR="00543297">
              <w:rPr>
                <w:sz w:val="20"/>
                <w:szCs w:val="20"/>
                <w:lang w:val="es-ES_tradnl"/>
              </w:rPr>
              <w:t>de</w:t>
            </w:r>
            <w:r w:rsidR="00A92DE3">
              <w:rPr>
                <w:sz w:val="20"/>
                <w:szCs w:val="20"/>
                <w:lang w:val="es-ES_tradnl"/>
              </w:rPr>
              <w:t xml:space="preserve"> </w:t>
            </w:r>
            <w:r w:rsidR="00FB38C2" w:rsidRPr="00B25E57">
              <w:rPr>
                <w:sz w:val="20"/>
                <w:szCs w:val="20"/>
                <w:lang w:val="es-ES_tradnl"/>
              </w:rPr>
              <w:t>1.</w:t>
            </w:r>
            <w:r w:rsidRPr="00B25E57">
              <w:rPr>
                <w:sz w:val="20"/>
                <w:szCs w:val="20"/>
                <w:lang w:val="es-ES_tradnl"/>
              </w:rPr>
              <w:t>000</w:t>
            </w:r>
            <w:r w:rsidR="003A46A1" w:rsidRPr="00B25E57">
              <w:rPr>
                <w:sz w:val="20"/>
                <w:szCs w:val="20"/>
                <w:lang w:val="es-ES_tradnl"/>
              </w:rPr>
              <w:t xml:space="preserve"> </w:t>
            </w:r>
            <w:r w:rsidR="00FB38C2" w:rsidRPr="00B25E57">
              <w:rPr>
                <w:sz w:val="20"/>
                <w:szCs w:val="20"/>
                <w:lang w:val="es-ES_tradnl"/>
              </w:rPr>
              <w:t>tm</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HCFC</w:t>
            </w:r>
            <w:r w:rsidR="00FB38C2" w:rsidRPr="00B25E57">
              <w:rPr>
                <w:sz w:val="20"/>
                <w:szCs w:val="20"/>
                <w:lang w:val="es-ES_tradnl"/>
              </w:rPr>
              <w:t>-</w:t>
            </w:r>
            <w:r w:rsidRPr="00B25E57">
              <w:rPr>
                <w:sz w:val="20"/>
                <w:szCs w:val="20"/>
                <w:lang w:val="es-ES_tradnl"/>
              </w:rPr>
              <w:t>22</w:t>
            </w:r>
            <w:r w:rsidR="003A46A1" w:rsidRPr="00B25E57">
              <w:rPr>
                <w:sz w:val="20"/>
                <w:szCs w:val="20"/>
                <w:lang w:val="es-ES_tradnl"/>
              </w:rPr>
              <w:t xml:space="preserve"> </w:t>
            </w:r>
            <w:r w:rsidR="00FB38C2" w:rsidRPr="00B25E57">
              <w:rPr>
                <w:sz w:val="20"/>
                <w:szCs w:val="20"/>
                <w:lang w:val="es-ES_tradnl"/>
              </w:rPr>
              <w:t>y</w:t>
            </w:r>
            <w:r w:rsidR="003A46A1" w:rsidRPr="00B25E57">
              <w:rPr>
                <w:sz w:val="20"/>
                <w:szCs w:val="20"/>
                <w:lang w:val="es-ES_tradnl"/>
              </w:rPr>
              <w:t xml:space="preserve"> </w:t>
            </w:r>
            <w:r w:rsidR="001133DA" w:rsidRPr="001133DA">
              <w:rPr>
                <w:sz w:val="20"/>
                <w:szCs w:val="20"/>
                <w:lang w:val="es-ES_tradnl"/>
              </w:rPr>
              <w:t>de ventas</w:t>
            </w:r>
            <w:r w:rsidR="00AD3A4B">
              <w:rPr>
                <w:sz w:val="20"/>
                <w:szCs w:val="20"/>
                <w:lang w:val="es-ES_tradnl"/>
              </w:rPr>
              <w:t xml:space="preserve"> de</w:t>
            </w:r>
            <w:r w:rsidR="00AD3A4B" w:rsidRPr="00216433">
              <w:rPr>
                <w:lang w:val="es-ES"/>
              </w:rPr>
              <w:t xml:space="preserve"> </w:t>
            </w:r>
            <w:r w:rsidR="00AD3A4B" w:rsidRPr="00AD3A4B">
              <w:rPr>
                <w:sz w:val="20"/>
                <w:szCs w:val="20"/>
                <w:lang w:val="es-ES_tradnl"/>
              </w:rPr>
              <w:t>HCl</w:t>
            </w:r>
            <w:r w:rsidR="003A46A1" w:rsidRPr="00B25E57">
              <w:rPr>
                <w:sz w:val="20"/>
                <w:szCs w:val="20"/>
                <w:lang w:val="es-ES_tradnl"/>
              </w:rPr>
              <w:t xml:space="preserve"> </w:t>
            </w:r>
            <w:r w:rsidR="00A27F0E" w:rsidRPr="00B25E57">
              <w:rPr>
                <w:sz w:val="20"/>
                <w:szCs w:val="20"/>
                <w:lang w:val="es-ES_tradnl"/>
              </w:rPr>
              <w:t>(26</w:t>
            </w:r>
            <w:r w:rsidR="004241C5" w:rsidRPr="00B25E57">
              <w:rPr>
                <w:sz w:val="20"/>
                <w:szCs w:val="20"/>
                <w:lang w:val="es-ES_tradnl"/>
              </w:rPr>
              <w:t>6.</w:t>
            </w:r>
            <w:r w:rsidR="00A27F0E" w:rsidRPr="00B25E57">
              <w:rPr>
                <w:sz w:val="20"/>
                <w:szCs w:val="20"/>
                <w:lang w:val="es-ES_tradnl"/>
              </w:rPr>
              <w:t>000</w:t>
            </w:r>
            <w:r w:rsidR="00911C5C">
              <w:rPr>
                <w:sz w:val="20"/>
                <w:szCs w:val="20"/>
                <w:lang w:val="es-ES_tradnl"/>
              </w:rPr>
              <w:t xml:space="preserve"> </w:t>
            </w:r>
            <w:r w:rsidR="00911C5C" w:rsidRPr="00911C5C">
              <w:rPr>
                <w:sz w:val="20"/>
                <w:szCs w:val="20"/>
                <w:lang w:val="es-ES_tradnl"/>
              </w:rPr>
              <w:t>$EUA</w:t>
            </w:r>
            <w:r w:rsidR="00A27F0E" w:rsidRPr="00B25E57">
              <w:rPr>
                <w:sz w:val="20"/>
                <w:szCs w:val="20"/>
                <w:lang w:val="es-ES_tradnl"/>
              </w:rPr>
              <w:t>)</w:t>
            </w:r>
            <w:r w:rsidR="003A46A1" w:rsidRPr="00B25E57">
              <w:rPr>
                <w:sz w:val="20"/>
                <w:szCs w:val="20"/>
                <w:lang w:val="es-ES_tradnl"/>
              </w:rPr>
              <w:t xml:space="preserve"> </w:t>
            </w:r>
            <w:r w:rsidR="00517D62" w:rsidRPr="00B25E57">
              <w:rPr>
                <w:sz w:val="20"/>
                <w:szCs w:val="20"/>
                <w:lang w:val="es-ES_tradnl"/>
              </w:rPr>
              <w:t>hasta</w:t>
            </w:r>
            <w:r w:rsidR="003A46A1" w:rsidRPr="00B25E57">
              <w:rPr>
                <w:sz w:val="20"/>
                <w:szCs w:val="20"/>
                <w:lang w:val="es-ES_tradnl"/>
              </w:rPr>
              <w:t xml:space="preserve"> </w:t>
            </w:r>
            <w:r w:rsidR="002D0DED">
              <w:rPr>
                <w:sz w:val="20"/>
                <w:szCs w:val="20"/>
                <w:lang w:val="es-ES_tradnl"/>
              </w:rPr>
              <w:t xml:space="preserve">que </w:t>
            </w:r>
            <w:r w:rsidR="00C95B4F">
              <w:rPr>
                <w:sz w:val="20"/>
                <w:szCs w:val="20"/>
                <w:lang w:val="es-ES_tradnl"/>
              </w:rPr>
              <w:t>el incinerador</w:t>
            </w:r>
            <w:r w:rsidR="003A46A1" w:rsidRPr="00B25E57">
              <w:rPr>
                <w:sz w:val="20"/>
                <w:szCs w:val="20"/>
                <w:lang w:val="es-ES_tradnl"/>
              </w:rPr>
              <w:t xml:space="preserve"> </w:t>
            </w:r>
            <w:r w:rsidR="002D0DED">
              <w:rPr>
                <w:sz w:val="20"/>
                <w:szCs w:val="20"/>
                <w:lang w:val="es-ES_tradnl"/>
              </w:rPr>
              <w:t xml:space="preserve">se ponga en marcha </w:t>
            </w:r>
            <w:r w:rsidR="007B22B4" w:rsidRPr="00B25E57">
              <w:rPr>
                <w:sz w:val="20"/>
                <w:szCs w:val="20"/>
                <w:lang w:val="es-ES_tradnl"/>
              </w:rPr>
              <w:t>en</w:t>
            </w:r>
            <w:r w:rsidR="003A46A1" w:rsidRPr="00B25E57">
              <w:rPr>
                <w:sz w:val="20"/>
                <w:szCs w:val="20"/>
                <w:lang w:val="es-ES_tradnl"/>
              </w:rPr>
              <w:t xml:space="preserve"> </w:t>
            </w:r>
            <w:r w:rsidR="00FB38C2" w:rsidRPr="00B25E57">
              <w:rPr>
                <w:sz w:val="20"/>
                <w:szCs w:val="20"/>
                <w:lang w:val="es-ES_tradnl"/>
              </w:rPr>
              <w:t>junio</w:t>
            </w:r>
            <w:r w:rsidR="003A46A1" w:rsidRPr="00B25E57">
              <w:rPr>
                <w:sz w:val="20"/>
                <w:szCs w:val="20"/>
                <w:lang w:val="es-ES_tradnl"/>
              </w:rPr>
              <w:t xml:space="preserve"> </w:t>
            </w:r>
            <w:r w:rsidR="00FB38C2" w:rsidRPr="00B25E57">
              <w:rPr>
                <w:sz w:val="20"/>
                <w:szCs w:val="20"/>
                <w:lang w:val="es-ES_tradnl"/>
              </w:rPr>
              <w:t>de</w:t>
            </w:r>
            <w:r w:rsidR="003A46A1" w:rsidRPr="00B25E57">
              <w:rPr>
                <w:sz w:val="20"/>
                <w:szCs w:val="20"/>
                <w:lang w:val="es-ES_tradnl"/>
              </w:rPr>
              <w:t xml:space="preserve"> </w:t>
            </w:r>
            <w:r w:rsidRPr="00B25E57">
              <w:rPr>
                <w:sz w:val="20"/>
                <w:szCs w:val="20"/>
                <w:lang w:val="es-ES_tradnl"/>
              </w:rPr>
              <w:t>2020</w:t>
            </w:r>
            <w:r w:rsidR="003A46A1" w:rsidRPr="00B25E57">
              <w:rPr>
                <w:sz w:val="20"/>
                <w:szCs w:val="20"/>
                <w:lang w:val="es-ES_tradnl"/>
              </w:rPr>
              <w:t xml:space="preserve"> </w:t>
            </w:r>
            <w:r w:rsidR="00FB38C2" w:rsidRPr="00B25E57">
              <w:rPr>
                <w:sz w:val="20"/>
                <w:szCs w:val="20"/>
                <w:lang w:val="es-ES_tradnl"/>
              </w:rPr>
              <w:t>y</w:t>
            </w:r>
            <w:r w:rsidR="003A46A1" w:rsidRPr="00B25E57">
              <w:rPr>
                <w:sz w:val="20"/>
                <w:szCs w:val="20"/>
                <w:lang w:val="es-ES_tradnl"/>
              </w:rPr>
              <w:t xml:space="preserve"> </w:t>
            </w:r>
            <w:r w:rsidR="00DF2CD3">
              <w:rPr>
                <w:sz w:val="20"/>
                <w:szCs w:val="20"/>
                <w:lang w:val="es-ES_tradnl"/>
              </w:rPr>
              <w:t>se</w:t>
            </w:r>
            <w:r w:rsidR="003A46A1" w:rsidRPr="00B25E57">
              <w:rPr>
                <w:sz w:val="20"/>
                <w:szCs w:val="20"/>
                <w:lang w:val="es-ES_tradnl"/>
              </w:rPr>
              <w:t xml:space="preserve"> </w:t>
            </w:r>
            <w:r w:rsidR="00015ABA">
              <w:rPr>
                <w:sz w:val="20"/>
                <w:szCs w:val="20"/>
                <w:lang w:val="es-ES_tradnl"/>
              </w:rPr>
              <w:t xml:space="preserve">reanude la </w:t>
            </w:r>
            <w:r w:rsidR="004241C5" w:rsidRPr="00B25E57">
              <w:rPr>
                <w:sz w:val="20"/>
                <w:szCs w:val="20"/>
                <w:lang w:val="es-ES_tradnl"/>
              </w:rPr>
              <w:t>producción</w:t>
            </w:r>
          </w:p>
        </w:tc>
        <w:tc>
          <w:tcPr>
            <w:tcW w:w="1985" w:type="dxa"/>
          </w:tcPr>
          <w:p w14:paraId="0153289C" w14:textId="1C929BF7" w:rsidR="006D4CE4" w:rsidRPr="00B25E57" w:rsidRDefault="00CE3F16" w:rsidP="009454A7">
            <w:pPr>
              <w:spacing w:after="60"/>
              <w:jc w:val="left"/>
              <w:rPr>
                <w:sz w:val="20"/>
                <w:szCs w:val="20"/>
                <w:lang w:val="es-ES_tradnl"/>
              </w:rPr>
            </w:pPr>
            <w:r w:rsidRPr="00CE3F16">
              <w:rPr>
                <w:sz w:val="20"/>
                <w:szCs w:val="20"/>
                <w:lang w:val="es-ES_tradnl"/>
              </w:rPr>
              <w:t xml:space="preserve">Seis meses </w:t>
            </w:r>
            <w:r w:rsidR="00C13EAE">
              <w:rPr>
                <w:sz w:val="20"/>
                <w:szCs w:val="20"/>
                <w:lang w:val="es-ES_tradnl"/>
              </w:rPr>
              <w:t>extras</w:t>
            </w:r>
            <w:r w:rsidRPr="00CE3F16">
              <w:rPr>
                <w:sz w:val="20"/>
                <w:szCs w:val="20"/>
                <w:lang w:val="es-ES_tradnl"/>
              </w:rPr>
              <w:t xml:space="preserve"> para inscribirse como </w:t>
            </w:r>
            <w:r w:rsidR="00531BFE">
              <w:rPr>
                <w:sz w:val="20"/>
                <w:szCs w:val="20"/>
                <w:lang w:val="es-ES_tradnl"/>
              </w:rPr>
              <w:t>planta de generación y tratamiento de residuos peligrosos</w:t>
            </w:r>
          </w:p>
        </w:tc>
        <w:tc>
          <w:tcPr>
            <w:tcW w:w="2234" w:type="dxa"/>
          </w:tcPr>
          <w:p w14:paraId="6E49A643" w14:textId="7C83DB57" w:rsidR="006D4CE4" w:rsidRPr="00B25E57" w:rsidRDefault="00CA7EB4" w:rsidP="009454A7">
            <w:pPr>
              <w:spacing w:after="60"/>
              <w:jc w:val="left"/>
              <w:rPr>
                <w:sz w:val="20"/>
                <w:szCs w:val="20"/>
                <w:lang w:val="es-ES_tradnl"/>
              </w:rPr>
            </w:pPr>
            <w:r>
              <w:rPr>
                <w:sz w:val="20"/>
                <w:szCs w:val="20"/>
                <w:lang w:val="es-ES_tradnl"/>
              </w:rPr>
              <w:t>Costos extras</w:t>
            </w:r>
          </w:p>
        </w:tc>
      </w:tr>
    </w:tbl>
    <w:p w14:paraId="2B641791" w14:textId="77777777" w:rsidR="009A0949" w:rsidRPr="00B25E57" w:rsidRDefault="009A0949" w:rsidP="009A0949">
      <w:pPr>
        <w:rPr>
          <w:lang w:val="es-ES_tradnl"/>
        </w:rPr>
      </w:pPr>
    </w:p>
    <w:p w14:paraId="39E8CFAC" w14:textId="412CC7EF" w:rsidR="0074460D" w:rsidRPr="00B25E57" w:rsidRDefault="004C065D" w:rsidP="007A19F1">
      <w:pPr>
        <w:pStyle w:val="Heading1"/>
        <w:keepNext/>
        <w:rPr>
          <w:lang w:val="es-ES_tradnl"/>
        </w:rPr>
      </w:pPr>
      <w:r>
        <w:rPr>
          <w:lang w:val="es-ES_tradnl"/>
        </w:rPr>
        <w:lastRenderedPageBreak/>
        <w:t>E</w:t>
      </w:r>
      <w:r w:rsidR="00071E83">
        <w:rPr>
          <w:lang w:val="es-ES_tradnl"/>
        </w:rPr>
        <w:t xml:space="preserve">n </w:t>
      </w:r>
      <w:r w:rsidR="00071E83" w:rsidRPr="00071E83">
        <w:rPr>
          <w:lang w:val="es-ES_tradnl"/>
        </w:rPr>
        <w:t xml:space="preserve">base </w:t>
      </w:r>
      <w:r w:rsidR="00071E83">
        <w:rPr>
          <w:lang w:val="es-ES_tradnl"/>
        </w:rPr>
        <w:t xml:space="preserve">a lo </w:t>
      </w:r>
      <w:r w:rsidR="00071E83" w:rsidRPr="00071E83">
        <w:rPr>
          <w:lang w:val="es-ES_tradnl"/>
        </w:rPr>
        <w:t>anterior</w:t>
      </w:r>
      <w:r w:rsidR="00071E83">
        <w:rPr>
          <w:lang w:val="es-ES_tradnl"/>
        </w:rPr>
        <w:t>, e</w:t>
      </w:r>
      <w:r>
        <w:rPr>
          <w:lang w:val="es-ES_tradnl"/>
        </w:rPr>
        <w:t xml:space="preserve">l </w:t>
      </w:r>
      <w:r w:rsidRPr="004C065D">
        <w:rPr>
          <w:lang w:val="es-ES_tradnl"/>
        </w:rPr>
        <w:t>Cuadro 6</w:t>
      </w:r>
      <w:r>
        <w:rPr>
          <w:lang w:val="es-ES_tradnl"/>
        </w:rPr>
        <w:t xml:space="preserve"> resume</w:t>
      </w:r>
      <w:r w:rsidR="003A46A1" w:rsidRPr="00B25E57">
        <w:rPr>
          <w:lang w:val="es-ES_tradnl"/>
        </w:rPr>
        <w:t xml:space="preserve"> </w:t>
      </w:r>
      <w:r w:rsidR="00862A82" w:rsidRPr="00B25E57">
        <w:rPr>
          <w:lang w:val="es-ES_tradnl"/>
        </w:rPr>
        <w:t>los</w:t>
      </w:r>
      <w:r w:rsidR="003A46A1" w:rsidRPr="00B25E57">
        <w:rPr>
          <w:lang w:val="es-ES_tradnl"/>
        </w:rPr>
        <w:t xml:space="preserve"> </w:t>
      </w:r>
      <w:r w:rsidR="00862A82" w:rsidRPr="00B25E57">
        <w:rPr>
          <w:lang w:val="es-ES_tradnl"/>
        </w:rPr>
        <w:t>costos</w:t>
      </w:r>
      <w:r w:rsidR="003A46A1" w:rsidRPr="00B25E57">
        <w:rPr>
          <w:lang w:val="es-ES_tradnl"/>
        </w:rPr>
        <w:t xml:space="preserve"> </w:t>
      </w:r>
      <w:r>
        <w:rPr>
          <w:lang w:val="es-ES_tradnl"/>
        </w:rPr>
        <w:t xml:space="preserve">de </w:t>
      </w:r>
      <w:r w:rsidR="003B2AF3">
        <w:rPr>
          <w:lang w:val="es-ES_tradnl"/>
        </w:rPr>
        <w:t>reacondicionar</w:t>
      </w:r>
      <w:r w:rsidR="003A46A1" w:rsidRPr="00B25E57">
        <w:rPr>
          <w:lang w:val="es-ES_tradnl"/>
        </w:rPr>
        <w:t xml:space="preserve"> </w:t>
      </w:r>
      <w:r w:rsidR="00FB38C2" w:rsidRPr="00B25E57">
        <w:rPr>
          <w:lang w:val="es-ES_tradnl"/>
        </w:rPr>
        <w:t>y</w:t>
      </w:r>
      <w:r w:rsidR="003A46A1" w:rsidRPr="00B25E57">
        <w:rPr>
          <w:lang w:val="es-ES_tradnl"/>
        </w:rPr>
        <w:t xml:space="preserve"> </w:t>
      </w:r>
      <w:r>
        <w:rPr>
          <w:lang w:val="es-ES_tradnl"/>
        </w:rPr>
        <w:t>operar</w:t>
      </w:r>
      <w:r w:rsidR="003A46A1" w:rsidRPr="00B25E57">
        <w:rPr>
          <w:lang w:val="es-ES_tradnl"/>
        </w:rPr>
        <w:t xml:space="preserve"> </w:t>
      </w:r>
      <w:r w:rsidR="00C95B4F">
        <w:rPr>
          <w:lang w:val="es-ES_tradnl"/>
        </w:rPr>
        <w:t>el incinerador</w:t>
      </w:r>
      <w:r w:rsidR="0074460D" w:rsidRPr="00B25E57">
        <w:rPr>
          <w:lang w:val="es-ES_tradnl"/>
        </w:rPr>
        <w:t>:</w:t>
      </w:r>
    </w:p>
    <w:p w14:paraId="3373C397" w14:textId="2EEC4C88" w:rsidR="003A54D4" w:rsidRPr="00B25E57" w:rsidRDefault="00FB38C2" w:rsidP="00AD1D61">
      <w:pPr>
        <w:keepNext/>
        <w:keepLines/>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3A54D4" w:rsidRPr="00B25E57">
        <w:rPr>
          <w:b/>
          <w:sz w:val="21"/>
          <w:szCs w:val="21"/>
          <w:lang w:val="es-ES_tradnl"/>
        </w:rPr>
        <w:t>6.</w:t>
      </w:r>
      <w:r w:rsidR="003A46A1" w:rsidRPr="00B25E57">
        <w:rPr>
          <w:b/>
          <w:sz w:val="21"/>
          <w:szCs w:val="21"/>
          <w:lang w:val="es-ES_tradnl"/>
        </w:rPr>
        <w:t xml:space="preserve"> </w:t>
      </w:r>
      <w:r w:rsidR="007B22B4" w:rsidRPr="00B25E57">
        <w:rPr>
          <w:b/>
          <w:sz w:val="21"/>
          <w:szCs w:val="21"/>
          <w:lang w:val="es-ES_tradnl"/>
        </w:rPr>
        <w:t>Costo</w:t>
      </w:r>
      <w:r w:rsidR="003A46A1" w:rsidRPr="00B25E57">
        <w:rPr>
          <w:b/>
          <w:sz w:val="21"/>
          <w:szCs w:val="21"/>
          <w:lang w:val="es-ES_tradnl"/>
        </w:rPr>
        <w:t xml:space="preserve"> </w:t>
      </w:r>
      <w:r w:rsidR="002912BF">
        <w:rPr>
          <w:b/>
          <w:sz w:val="21"/>
          <w:szCs w:val="21"/>
          <w:lang w:val="es-ES_tradnl"/>
        </w:rPr>
        <w:t>de</w:t>
      </w:r>
      <w:r w:rsidR="003A46A1" w:rsidRPr="00B25E57">
        <w:rPr>
          <w:b/>
          <w:sz w:val="21"/>
          <w:szCs w:val="21"/>
          <w:lang w:val="es-ES_tradnl"/>
        </w:rPr>
        <w:t xml:space="preserve"> </w:t>
      </w:r>
      <w:r w:rsidRPr="00B25E57">
        <w:rPr>
          <w:b/>
          <w:sz w:val="21"/>
          <w:szCs w:val="21"/>
          <w:lang w:val="es-ES_tradnl"/>
        </w:rPr>
        <w:t>tres</w:t>
      </w:r>
      <w:r w:rsidR="003A46A1" w:rsidRPr="00B25E57">
        <w:rPr>
          <w:b/>
          <w:sz w:val="21"/>
          <w:szCs w:val="21"/>
          <w:lang w:val="es-ES_tradnl"/>
        </w:rPr>
        <w:t xml:space="preserve"> </w:t>
      </w:r>
      <w:r w:rsidR="0061462C">
        <w:rPr>
          <w:b/>
          <w:sz w:val="21"/>
          <w:szCs w:val="21"/>
          <w:lang w:val="es-ES_tradnl"/>
        </w:rPr>
        <w:t>escenario</w:t>
      </w:r>
      <w:r w:rsidR="003A54D4" w:rsidRPr="00B25E57">
        <w:rPr>
          <w:b/>
          <w:sz w:val="21"/>
          <w:szCs w:val="21"/>
          <w:lang w:val="es-ES_tradnl"/>
        </w:rPr>
        <w:t>s</w:t>
      </w:r>
      <w:r w:rsidR="003A46A1" w:rsidRPr="00B25E57">
        <w:rPr>
          <w:b/>
          <w:sz w:val="21"/>
          <w:szCs w:val="21"/>
          <w:lang w:val="es-ES_tradnl"/>
        </w:rPr>
        <w:t xml:space="preserve"> </w:t>
      </w:r>
      <w:r w:rsidR="00335A3E">
        <w:rPr>
          <w:b/>
          <w:sz w:val="21"/>
          <w:szCs w:val="21"/>
          <w:lang w:val="es-ES_tradnl"/>
        </w:rPr>
        <w:t>de reacondicionar</w:t>
      </w:r>
      <w:r w:rsidR="003A46A1" w:rsidRPr="00B25E57">
        <w:rPr>
          <w:b/>
          <w:sz w:val="21"/>
          <w:szCs w:val="21"/>
          <w:lang w:val="es-ES_tradnl"/>
        </w:rPr>
        <w:t xml:space="preserve"> </w:t>
      </w:r>
      <w:r w:rsidRPr="00B25E57">
        <w:rPr>
          <w:b/>
          <w:sz w:val="21"/>
          <w:szCs w:val="21"/>
          <w:lang w:val="es-ES_tradnl"/>
        </w:rPr>
        <w:t>y</w:t>
      </w:r>
      <w:r w:rsidR="003A46A1" w:rsidRPr="00B25E57">
        <w:rPr>
          <w:b/>
          <w:sz w:val="21"/>
          <w:szCs w:val="21"/>
          <w:lang w:val="es-ES_tradnl"/>
        </w:rPr>
        <w:t xml:space="preserve"> </w:t>
      </w:r>
      <w:r w:rsidR="004C065D">
        <w:rPr>
          <w:b/>
          <w:sz w:val="21"/>
          <w:szCs w:val="21"/>
          <w:lang w:val="es-ES_tradnl"/>
        </w:rPr>
        <w:t>operar</w:t>
      </w:r>
      <w:r w:rsidR="003A46A1" w:rsidRPr="00B25E57">
        <w:rPr>
          <w:b/>
          <w:sz w:val="21"/>
          <w:szCs w:val="21"/>
          <w:lang w:val="es-ES_tradnl"/>
        </w:rPr>
        <w:t xml:space="preserve"> </w:t>
      </w:r>
      <w:r w:rsidR="00C95B4F">
        <w:rPr>
          <w:b/>
          <w:sz w:val="21"/>
          <w:szCs w:val="21"/>
          <w:lang w:val="es-ES_tradnl"/>
        </w:rPr>
        <w:t>el incinerador</w:t>
      </w:r>
    </w:p>
    <w:tbl>
      <w:tblPr>
        <w:tblW w:w="9606" w:type="dxa"/>
        <w:tblLayout w:type="fixed"/>
        <w:tblLook w:val="04A0" w:firstRow="1" w:lastRow="0" w:firstColumn="1" w:lastColumn="0" w:noHBand="0" w:noVBand="1"/>
      </w:tblPr>
      <w:tblGrid>
        <w:gridCol w:w="4361"/>
        <w:gridCol w:w="1359"/>
        <w:gridCol w:w="1765"/>
        <w:gridCol w:w="2121"/>
      </w:tblGrid>
      <w:tr w:rsidR="003A54D4" w:rsidRPr="00B25E57" w14:paraId="315869B7" w14:textId="77777777" w:rsidTr="00BA7F82">
        <w:trPr>
          <w:cantSplit/>
          <w:tblHeader/>
        </w:trPr>
        <w:tc>
          <w:tcPr>
            <w:tcW w:w="4361" w:type="dxa"/>
            <w:vMerge w:val="restart"/>
            <w:tcBorders>
              <w:top w:val="single" w:sz="4" w:space="0" w:color="auto"/>
              <w:left w:val="single" w:sz="4" w:space="0" w:color="auto"/>
              <w:right w:val="single" w:sz="4" w:space="0" w:color="auto"/>
            </w:tcBorders>
            <w:shd w:val="clear" w:color="auto" w:fill="auto"/>
            <w:noWrap/>
            <w:vAlign w:val="center"/>
            <w:hideMark/>
          </w:tcPr>
          <w:p w14:paraId="7B2343FB" w14:textId="025CA152" w:rsidR="003A54D4" w:rsidRPr="00B25E57" w:rsidRDefault="0015652E" w:rsidP="00AD1D61">
            <w:pPr>
              <w:keepNext/>
              <w:keepLines/>
              <w:rPr>
                <w:b/>
                <w:bCs/>
                <w:color w:val="000000"/>
                <w:sz w:val="21"/>
                <w:szCs w:val="21"/>
                <w:lang w:val="es-ES_tradnl" w:eastAsia="en-CA"/>
              </w:rPr>
            </w:pPr>
            <w:r>
              <w:rPr>
                <w:b/>
                <w:bCs/>
                <w:color w:val="000000"/>
                <w:sz w:val="21"/>
                <w:szCs w:val="21"/>
                <w:lang w:val="es-ES_tradnl" w:eastAsia="en-CA"/>
              </w:rPr>
              <w:t>Descripción</w:t>
            </w:r>
            <w:r w:rsidR="003A46A1" w:rsidRPr="00B25E57">
              <w:rPr>
                <w:color w:val="000000"/>
                <w:sz w:val="21"/>
                <w:szCs w:val="21"/>
                <w:lang w:val="es-ES_tradnl" w:eastAsia="en-CA"/>
              </w:rPr>
              <w:t xml:space="preserve"> </w:t>
            </w:r>
          </w:p>
        </w:tc>
        <w:tc>
          <w:tcPr>
            <w:tcW w:w="5245" w:type="dxa"/>
            <w:gridSpan w:val="3"/>
            <w:tcBorders>
              <w:top w:val="single" w:sz="4" w:space="0" w:color="auto"/>
              <w:left w:val="nil"/>
              <w:bottom w:val="single" w:sz="4" w:space="0" w:color="auto"/>
              <w:right w:val="single" w:sz="4" w:space="0" w:color="auto"/>
            </w:tcBorders>
            <w:shd w:val="clear" w:color="auto" w:fill="auto"/>
            <w:noWrap/>
            <w:hideMark/>
          </w:tcPr>
          <w:p w14:paraId="12F3E301" w14:textId="6AE13B21" w:rsidR="003A54D4" w:rsidRPr="00B25E57" w:rsidRDefault="004241C5" w:rsidP="00AD1D61">
            <w:pPr>
              <w:keepNext/>
              <w:keepLines/>
              <w:jc w:val="center"/>
              <w:rPr>
                <w:b/>
                <w:bCs/>
                <w:color w:val="000000"/>
                <w:sz w:val="21"/>
                <w:szCs w:val="21"/>
                <w:lang w:val="es-ES_tradnl" w:eastAsia="en-CA"/>
              </w:rPr>
            </w:pPr>
            <w:r w:rsidRPr="00B25E57">
              <w:rPr>
                <w:b/>
                <w:bCs/>
                <w:color w:val="000000"/>
                <w:sz w:val="21"/>
                <w:szCs w:val="21"/>
                <w:lang w:val="es-ES_tradnl" w:eastAsia="en-CA"/>
              </w:rPr>
              <w:t>Costos</w:t>
            </w:r>
            <w:r w:rsidR="003A46A1" w:rsidRPr="00B25E57">
              <w:rPr>
                <w:b/>
                <w:bCs/>
                <w:color w:val="000000"/>
                <w:sz w:val="21"/>
                <w:szCs w:val="21"/>
                <w:lang w:val="es-ES_tradnl" w:eastAsia="en-CA"/>
              </w:rPr>
              <w:t xml:space="preserve"> </w:t>
            </w:r>
            <w:r w:rsidR="004057BA" w:rsidRPr="00B25E57">
              <w:rPr>
                <w:b/>
                <w:bCs/>
                <w:color w:val="000000"/>
                <w:sz w:val="21"/>
                <w:szCs w:val="21"/>
                <w:lang w:val="es-ES_tradnl" w:eastAsia="en-CA"/>
              </w:rPr>
              <w:t>($EUA)</w:t>
            </w:r>
          </w:p>
        </w:tc>
      </w:tr>
      <w:tr w:rsidR="003A54D4" w:rsidRPr="00B25E57" w14:paraId="553D74FC" w14:textId="77777777" w:rsidTr="00BA7F82">
        <w:trPr>
          <w:cantSplit/>
          <w:tblHeader/>
        </w:trPr>
        <w:tc>
          <w:tcPr>
            <w:tcW w:w="4361" w:type="dxa"/>
            <w:vMerge/>
            <w:tcBorders>
              <w:left w:val="single" w:sz="4" w:space="0" w:color="auto"/>
              <w:bottom w:val="single" w:sz="4" w:space="0" w:color="auto"/>
              <w:right w:val="single" w:sz="4" w:space="0" w:color="auto"/>
            </w:tcBorders>
            <w:shd w:val="clear" w:color="auto" w:fill="auto"/>
            <w:noWrap/>
            <w:vAlign w:val="center"/>
            <w:hideMark/>
          </w:tcPr>
          <w:p w14:paraId="27DC6ED8" w14:textId="77777777" w:rsidR="003A54D4" w:rsidRPr="00B25E57" w:rsidRDefault="003A54D4" w:rsidP="00AD1D61">
            <w:pPr>
              <w:keepNext/>
              <w:keepLines/>
              <w:rPr>
                <w:color w:val="000000"/>
                <w:sz w:val="21"/>
                <w:szCs w:val="21"/>
                <w:lang w:val="es-ES_tradnl" w:eastAsia="en-CA"/>
              </w:rPr>
            </w:pPr>
          </w:p>
        </w:tc>
        <w:tc>
          <w:tcPr>
            <w:tcW w:w="1359" w:type="dxa"/>
            <w:tcBorders>
              <w:top w:val="nil"/>
              <w:left w:val="nil"/>
              <w:bottom w:val="single" w:sz="4" w:space="0" w:color="auto"/>
              <w:right w:val="single" w:sz="4" w:space="0" w:color="auto"/>
            </w:tcBorders>
            <w:shd w:val="clear" w:color="auto" w:fill="auto"/>
            <w:noWrap/>
            <w:hideMark/>
          </w:tcPr>
          <w:p w14:paraId="4E951462" w14:textId="3F1CE696" w:rsidR="003A54D4" w:rsidRPr="00B25E57" w:rsidRDefault="0061462C" w:rsidP="00AD1D61">
            <w:pPr>
              <w:keepNext/>
              <w:keepLines/>
              <w:jc w:val="center"/>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A</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2</w:t>
            </w:r>
          </w:p>
        </w:tc>
        <w:tc>
          <w:tcPr>
            <w:tcW w:w="1765" w:type="dxa"/>
            <w:tcBorders>
              <w:top w:val="nil"/>
              <w:left w:val="nil"/>
              <w:bottom w:val="single" w:sz="4" w:space="0" w:color="auto"/>
              <w:right w:val="single" w:sz="4" w:space="0" w:color="auto"/>
            </w:tcBorders>
            <w:shd w:val="clear" w:color="auto" w:fill="auto"/>
            <w:noWrap/>
            <w:hideMark/>
          </w:tcPr>
          <w:p w14:paraId="483BCB1E" w14:textId="333EC48B" w:rsidR="003A54D4" w:rsidRPr="00B25E57" w:rsidRDefault="0061462C" w:rsidP="00AD1D61">
            <w:pPr>
              <w:keepNext/>
              <w:keepLines/>
              <w:jc w:val="center"/>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B</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2</w:t>
            </w:r>
          </w:p>
        </w:tc>
        <w:tc>
          <w:tcPr>
            <w:tcW w:w="2121" w:type="dxa"/>
            <w:tcBorders>
              <w:top w:val="nil"/>
              <w:left w:val="nil"/>
              <w:bottom w:val="single" w:sz="4" w:space="0" w:color="auto"/>
              <w:right w:val="single" w:sz="4" w:space="0" w:color="auto"/>
            </w:tcBorders>
            <w:shd w:val="clear" w:color="auto" w:fill="auto"/>
            <w:noWrap/>
            <w:hideMark/>
          </w:tcPr>
          <w:p w14:paraId="38EC1DBC" w14:textId="432EC58C" w:rsidR="003A54D4" w:rsidRPr="00B25E57" w:rsidRDefault="0061462C" w:rsidP="00AD1D61">
            <w:pPr>
              <w:keepNext/>
              <w:keepLines/>
              <w:jc w:val="center"/>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C</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3A54D4" w:rsidRPr="00B25E57">
              <w:rPr>
                <w:b/>
                <w:bCs/>
                <w:color w:val="000000"/>
                <w:sz w:val="21"/>
                <w:szCs w:val="21"/>
                <w:lang w:val="es-ES_tradnl" w:eastAsia="en-CA"/>
              </w:rPr>
              <w:t>2</w:t>
            </w:r>
          </w:p>
        </w:tc>
      </w:tr>
      <w:tr w:rsidR="003A54D4" w:rsidRPr="00B25E57" w14:paraId="75D7F60E"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31BDD086" w14:textId="4990F0B6" w:rsidR="003A54D4" w:rsidRPr="00B25E57" w:rsidRDefault="003B2AF3" w:rsidP="00AD1D61">
            <w:pPr>
              <w:keepNext/>
              <w:keepLines/>
              <w:jc w:val="left"/>
              <w:rPr>
                <w:color w:val="000000"/>
                <w:sz w:val="21"/>
                <w:szCs w:val="21"/>
                <w:lang w:val="es-ES_tradnl" w:eastAsia="en-CA"/>
              </w:rPr>
            </w:pPr>
            <w:r>
              <w:rPr>
                <w:color w:val="000000"/>
                <w:sz w:val="21"/>
                <w:szCs w:val="21"/>
                <w:lang w:val="es-ES_tradnl" w:eastAsia="en-CA"/>
              </w:rPr>
              <w:t>Reacondicionamiento del incinerador</w:t>
            </w:r>
            <w:r w:rsidR="003A46A1" w:rsidRPr="00B25E57">
              <w:rPr>
                <w:color w:val="000000"/>
                <w:sz w:val="21"/>
                <w:szCs w:val="21"/>
                <w:lang w:val="es-ES_tradnl" w:eastAsia="en-CA"/>
              </w:rPr>
              <w:t xml:space="preserve"> </w:t>
            </w:r>
            <w:r w:rsidR="003A54D4" w:rsidRPr="00B25E57">
              <w:rPr>
                <w:color w:val="000000"/>
                <w:sz w:val="21"/>
                <w:szCs w:val="21"/>
                <w:lang w:val="es-ES_tradnl" w:eastAsia="en-CA"/>
              </w:rPr>
              <w:t>(</w:t>
            </w:r>
            <w:r w:rsidR="00FB38C2" w:rsidRPr="00B25E57">
              <w:rPr>
                <w:color w:val="000000"/>
                <w:sz w:val="21"/>
                <w:szCs w:val="21"/>
                <w:lang w:val="es-ES_tradnl" w:eastAsia="en-CA"/>
              </w:rPr>
              <w:t>Cuadro</w:t>
            </w:r>
            <w:r w:rsidR="003A46A1" w:rsidRPr="00B25E57">
              <w:rPr>
                <w:color w:val="000000"/>
                <w:sz w:val="21"/>
                <w:szCs w:val="21"/>
                <w:lang w:val="es-ES_tradnl" w:eastAsia="en-CA"/>
              </w:rPr>
              <w:t xml:space="preserve"> </w:t>
            </w:r>
            <w:r w:rsidR="003A54D4" w:rsidRPr="00B25E57">
              <w:rPr>
                <w:color w:val="000000"/>
                <w:sz w:val="21"/>
                <w:szCs w:val="21"/>
                <w:lang w:val="es-ES_tradnl" w:eastAsia="en-CA"/>
              </w:rPr>
              <w:t>4)</w:t>
            </w:r>
          </w:p>
        </w:tc>
        <w:tc>
          <w:tcPr>
            <w:tcW w:w="1359" w:type="dxa"/>
            <w:tcBorders>
              <w:top w:val="nil"/>
              <w:left w:val="nil"/>
              <w:bottom w:val="single" w:sz="4" w:space="0" w:color="auto"/>
              <w:right w:val="single" w:sz="4" w:space="0" w:color="auto"/>
            </w:tcBorders>
            <w:shd w:val="clear" w:color="auto" w:fill="auto"/>
            <w:noWrap/>
            <w:hideMark/>
          </w:tcPr>
          <w:p w14:paraId="59F56A83" w14:textId="096807D1"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82</w:t>
            </w:r>
            <w:r w:rsidRPr="00B25E57">
              <w:rPr>
                <w:color w:val="000000"/>
                <w:sz w:val="21"/>
                <w:szCs w:val="21"/>
                <w:lang w:val="es-ES_tradnl" w:eastAsia="en-CA"/>
              </w:rPr>
              <w:t>4.</w:t>
            </w:r>
            <w:r w:rsidR="003A54D4" w:rsidRPr="00B25E57">
              <w:rPr>
                <w:color w:val="000000"/>
                <w:sz w:val="21"/>
                <w:szCs w:val="21"/>
                <w:lang w:val="es-ES_tradnl" w:eastAsia="en-CA"/>
              </w:rPr>
              <w:t>000</w:t>
            </w:r>
          </w:p>
        </w:tc>
        <w:tc>
          <w:tcPr>
            <w:tcW w:w="1765" w:type="dxa"/>
            <w:tcBorders>
              <w:top w:val="nil"/>
              <w:left w:val="nil"/>
              <w:bottom w:val="single" w:sz="4" w:space="0" w:color="auto"/>
              <w:right w:val="single" w:sz="4" w:space="0" w:color="auto"/>
            </w:tcBorders>
            <w:shd w:val="clear" w:color="auto" w:fill="auto"/>
            <w:noWrap/>
            <w:hideMark/>
          </w:tcPr>
          <w:p w14:paraId="37040885" w14:textId="6BECEE5F"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82</w:t>
            </w:r>
            <w:r w:rsidRPr="00B25E57">
              <w:rPr>
                <w:color w:val="000000"/>
                <w:sz w:val="21"/>
                <w:szCs w:val="21"/>
                <w:lang w:val="es-ES_tradnl" w:eastAsia="en-CA"/>
              </w:rPr>
              <w:t>4.</w:t>
            </w:r>
            <w:r w:rsidR="003A54D4"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30C7A37E" w14:textId="382AF9D1"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82</w:t>
            </w:r>
            <w:r w:rsidRPr="00B25E57">
              <w:rPr>
                <w:color w:val="000000"/>
                <w:sz w:val="21"/>
                <w:szCs w:val="21"/>
                <w:lang w:val="es-ES_tradnl" w:eastAsia="en-CA"/>
              </w:rPr>
              <w:t>4.</w:t>
            </w:r>
            <w:r w:rsidR="003A54D4" w:rsidRPr="00B25E57">
              <w:rPr>
                <w:color w:val="000000"/>
                <w:sz w:val="21"/>
                <w:szCs w:val="21"/>
                <w:lang w:val="es-ES_tradnl" w:eastAsia="en-CA"/>
              </w:rPr>
              <w:t>000</w:t>
            </w:r>
          </w:p>
        </w:tc>
      </w:tr>
      <w:tr w:rsidR="003A54D4" w:rsidRPr="00B25E57" w14:paraId="40CF4BF1"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9077CC1" w14:textId="6F2AC8FB" w:rsidR="003A54D4" w:rsidRPr="00B25E57" w:rsidRDefault="00394B38" w:rsidP="00AD1D61">
            <w:pPr>
              <w:keepNext/>
              <w:keepLines/>
              <w:jc w:val="left"/>
              <w:rPr>
                <w:color w:val="000000"/>
                <w:sz w:val="21"/>
                <w:szCs w:val="21"/>
                <w:lang w:val="es-ES_tradnl" w:eastAsia="en-CA"/>
              </w:rPr>
            </w:pPr>
            <w:r>
              <w:rPr>
                <w:color w:val="000000"/>
                <w:sz w:val="21"/>
                <w:szCs w:val="21"/>
                <w:lang w:val="es-ES_tradnl" w:eastAsia="en-CA"/>
              </w:rPr>
              <w:t xml:space="preserve">Alquiler </w:t>
            </w:r>
            <w:r w:rsidR="00FA7956" w:rsidRPr="00FA7956">
              <w:rPr>
                <w:color w:val="000000"/>
                <w:sz w:val="21"/>
                <w:szCs w:val="21"/>
                <w:lang w:val="es-ES_tradnl" w:eastAsia="en-CA"/>
              </w:rPr>
              <w:t xml:space="preserve">50 isotanques </w:t>
            </w:r>
            <w:r w:rsidR="00EC3B3C">
              <w:rPr>
                <w:color w:val="000000"/>
                <w:sz w:val="21"/>
                <w:szCs w:val="21"/>
                <w:lang w:val="es-ES_tradnl" w:eastAsia="en-CA"/>
              </w:rPr>
              <w:t>para</w:t>
            </w:r>
            <w:r>
              <w:rPr>
                <w:color w:val="000000"/>
                <w:sz w:val="21"/>
                <w:szCs w:val="21"/>
                <w:lang w:val="es-ES_tradnl" w:eastAsia="en-CA"/>
              </w:rPr>
              <w:t xml:space="preserve"> almacena</w:t>
            </w:r>
            <w:r w:rsidR="00030DEF">
              <w:rPr>
                <w:color w:val="000000"/>
                <w:sz w:val="21"/>
                <w:szCs w:val="21"/>
                <w:lang w:val="es-ES_tradnl" w:eastAsia="en-CA"/>
              </w:rPr>
              <w:t>r</w:t>
            </w:r>
            <w:r>
              <w:rPr>
                <w:color w:val="000000"/>
                <w:sz w:val="21"/>
                <w:szCs w:val="21"/>
                <w:lang w:val="es-ES_tradnl" w:eastAsia="en-CA"/>
              </w:rPr>
              <w:t xml:space="preserve"> HCFC-22</w:t>
            </w:r>
          </w:p>
        </w:tc>
        <w:tc>
          <w:tcPr>
            <w:tcW w:w="1359" w:type="dxa"/>
            <w:tcBorders>
              <w:top w:val="nil"/>
              <w:left w:val="nil"/>
              <w:bottom w:val="single" w:sz="4" w:space="0" w:color="auto"/>
              <w:right w:val="single" w:sz="4" w:space="0" w:color="auto"/>
            </w:tcBorders>
            <w:shd w:val="clear" w:color="auto" w:fill="auto"/>
            <w:noWrap/>
            <w:hideMark/>
          </w:tcPr>
          <w:p w14:paraId="2F49FA1D" w14:textId="1022DDB5"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1765" w:type="dxa"/>
            <w:tcBorders>
              <w:top w:val="nil"/>
              <w:left w:val="nil"/>
              <w:bottom w:val="single" w:sz="4" w:space="0" w:color="auto"/>
              <w:right w:val="single" w:sz="4" w:space="0" w:color="auto"/>
            </w:tcBorders>
            <w:shd w:val="clear" w:color="auto" w:fill="auto"/>
            <w:noWrap/>
            <w:hideMark/>
          </w:tcPr>
          <w:p w14:paraId="440D0A12" w14:textId="6E9796C5" w:rsidR="003A54D4" w:rsidRPr="00B25E57" w:rsidRDefault="003A54D4" w:rsidP="00AD1D61">
            <w:pPr>
              <w:keepNext/>
              <w:keepLines/>
              <w:jc w:val="right"/>
              <w:rPr>
                <w:color w:val="000000"/>
                <w:sz w:val="21"/>
                <w:szCs w:val="21"/>
                <w:lang w:val="es-ES_tradnl" w:eastAsia="en-CA"/>
              </w:rPr>
            </w:pPr>
            <w:r w:rsidRPr="00B25E57">
              <w:rPr>
                <w:color w:val="000000"/>
                <w:sz w:val="21"/>
                <w:szCs w:val="21"/>
                <w:lang w:val="es-ES_tradnl" w:eastAsia="en-CA"/>
              </w:rPr>
              <w:t>22</w:t>
            </w:r>
            <w:r w:rsidR="004241C5" w:rsidRPr="00B25E57">
              <w:rPr>
                <w:color w:val="000000"/>
                <w:sz w:val="21"/>
                <w:szCs w:val="21"/>
                <w:lang w:val="es-ES_tradnl" w:eastAsia="en-CA"/>
              </w:rPr>
              <w:t>5.</w:t>
            </w:r>
            <w:r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43481EB8" w14:textId="30B7CEF5"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r>
      <w:tr w:rsidR="003A54D4" w:rsidRPr="00B25E57" w14:paraId="3A48E954"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6BA120E2" w14:textId="4D2C2952" w:rsidR="003A54D4" w:rsidRPr="00B25E57" w:rsidRDefault="00682A41" w:rsidP="00AD1D61">
            <w:pPr>
              <w:keepNext/>
              <w:keepLines/>
              <w:jc w:val="left"/>
              <w:rPr>
                <w:color w:val="000000"/>
                <w:sz w:val="21"/>
                <w:szCs w:val="21"/>
                <w:lang w:val="es-ES_tradnl" w:eastAsia="en-CA"/>
              </w:rPr>
            </w:pPr>
            <w:r>
              <w:rPr>
                <w:color w:val="000000"/>
                <w:sz w:val="21"/>
                <w:szCs w:val="21"/>
                <w:lang w:val="es-ES_tradnl" w:eastAsia="en-CA"/>
              </w:rPr>
              <w:t>Mayor capital de trabajo</w:t>
            </w:r>
          </w:p>
        </w:tc>
        <w:tc>
          <w:tcPr>
            <w:tcW w:w="1359" w:type="dxa"/>
            <w:tcBorders>
              <w:top w:val="nil"/>
              <w:left w:val="nil"/>
              <w:bottom w:val="single" w:sz="4" w:space="0" w:color="auto"/>
              <w:right w:val="single" w:sz="4" w:space="0" w:color="auto"/>
            </w:tcBorders>
            <w:shd w:val="clear" w:color="auto" w:fill="auto"/>
            <w:noWrap/>
            <w:hideMark/>
          </w:tcPr>
          <w:p w14:paraId="1F77711E" w14:textId="78ED4C91"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1765" w:type="dxa"/>
            <w:tcBorders>
              <w:top w:val="nil"/>
              <w:left w:val="nil"/>
              <w:bottom w:val="single" w:sz="4" w:space="0" w:color="auto"/>
              <w:right w:val="single" w:sz="4" w:space="0" w:color="auto"/>
            </w:tcBorders>
            <w:shd w:val="clear" w:color="auto" w:fill="auto"/>
            <w:noWrap/>
            <w:hideMark/>
          </w:tcPr>
          <w:p w14:paraId="443B5ED8" w14:textId="4173C06C" w:rsidR="003A54D4" w:rsidRPr="00B25E57" w:rsidRDefault="003A54D4" w:rsidP="00AD1D61">
            <w:pPr>
              <w:keepNext/>
              <w:keepLines/>
              <w:jc w:val="right"/>
              <w:rPr>
                <w:color w:val="000000"/>
                <w:sz w:val="21"/>
                <w:szCs w:val="21"/>
                <w:lang w:val="es-ES_tradnl" w:eastAsia="en-CA"/>
              </w:rPr>
            </w:pPr>
            <w:r w:rsidRPr="00B25E57">
              <w:rPr>
                <w:color w:val="000000"/>
                <w:sz w:val="21"/>
                <w:szCs w:val="21"/>
                <w:lang w:val="es-ES_tradnl" w:eastAsia="en-CA"/>
              </w:rPr>
              <w:t>9</w:t>
            </w:r>
            <w:r w:rsidR="004241C5" w:rsidRPr="00B25E57">
              <w:rPr>
                <w:color w:val="000000"/>
                <w:sz w:val="21"/>
                <w:szCs w:val="21"/>
                <w:lang w:val="es-ES_tradnl" w:eastAsia="en-CA"/>
              </w:rPr>
              <w:t>9.</w:t>
            </w:r>
            <w:r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34B2613B" w14:textId="7342852C"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r>
      <w:tr w:rsidR="003A54D4" w:rsidRPr="00B25E57" w14:paraId="7112B3FB"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1A2C0DA4" w14:textId="6E8CFCAC" w:rsidR="003A54D4" w:rsidRPr="00B25E57" w:rsidRDefault="007B22B4" w:rsidP="00AD1D61">
            <w:pPr>
              <w:keepNext/>
              <w:keepLines/>
              <w:jc w:val="left"/>
              <w:rPr>
                <w:color w:val="000000"/>
                <w:sz w:val="21"/>
                <w:szCs w:val="21"/>
                <w:lang w:val="es-ES_tradnl" w:eastAsia="en-CA"/>
              </w:rPr>
            </w:pPr>
            <w:r w:rsidRPr="00B25E57">
              <w:rPr>
                <w:color w:val="000000"/>
                <w:sz w:val="21"/>
                <w:szCs w:val="21"/>
                <w:lang w:val="es-ES_tradnl" w:eastAsia="en-CA"/>
              </w:rPr>
              <w:t>Costo</w:t>
            </w:r>
            <w:r w:rsidR="003A46A1" w:rsidRPr="00B25E57">
              <w:rPr>
                <w:color w:val="000000"/>
                <w:sz w:val="21"/>
                <w:szCs w:val="21"/>
                <w:lang w:val="es-ES_tradnl" w:eastAsia="en-CA"/>
              </w:rPr>
              <w:t xml:space="preserve"> </w:t>
            </w:r>
            <w:r w:rsidR="00FB38C2" w:rsidRPr="00B25E57">
              <w:rPr>
                <w:color w:val="000000"/>
                <w:sz w:val="21"/>
                <w:szCs w:val="21"/>
                <w:lang w:val="es-ES_tradnl" w:eastAsia="en-CA"/>
              </w:rPr>
              <w:t>de</w:t>
            </w:r>
            <w:r w:rsidR="003A46A1" w:rsidRPr="00B25E57">
              <w:rPr>
                <w:color w:val="000000"/>
                <w:sz w:val="21"/>
                <w:szCs w:val="21"/>
                <w:lang w:val="es-ES_tradnl" w:eastAsia="en-CA"/>
              </w:rPr>
              <w:t xml:space="preserve"> </w:t>
            </w:r>
            <w:r w:rsidR="00AF3270">
              <w:rPr>
                <w:color w:val="000000"/>
                <w:sz w:val="21"/>
                <w:szCs w:val="21"/>
                <w:lang w:val="es-ES_tradnl" w:eastAsia="en-CA"/>
              </w:rPr>
              <w:t>mano de obra adicional</w:t>
            </w:r>
          </w:p>
        </w:tc>
        <w:tc>
          <w:tcPr>
            <w:tcW w:w="1359" w:type="dxa"/>
            <w:tcBorders>
              <w:top w:val="nil"/>
              <w:left w:val="nil"/>
              <w:bottom w:val="single" w:sz="4" w:space="0" w:color="auto"/>
              <w:right w:val="single" w:sz="4" w:space="0" w:color="auto"/>
            </w:tcBorders>
            <w:shd w:val="clear" w:color="auto" w:fill="auto"/>
            <w:noWrap/>
            <w:hideMark/>
          </w:tcPr>
          <w:p w14:paraId="2714030E" w14:textId="2FE5CB7E"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1765" w:type="dxa"/>
            <w:tcBorders>
              <w:top w:val="nil"/>
              <w:left w:val="nil"/>
              <w:bottom w:val="single" w:sz="4" w:space="0" w:color="auto"/>
              <w:right w:val="single" w:sz="4" w:space="0" w:color="auto"/>
            </w:tcBorders>
            <w:shd w:val="clear" w:color="auto" w:fill="auto"/>
            <w:noWrap/>
            <w:hideMark/>
          </w:tcPr>
          <w:p w14:paraId="45C5E596" w14:textId="6AD01A1C" w:rsidR="003A54D4" w:rsidRPr="00B25E57" w:rsidRDefault="003A54D4" w:rsidP="00AD1D61">
            <w:pPr>
              <w:keepNext/>
              <w:keepLines/>
              <w:jc w:val="right"/>
              <w:rPr>
                <w:color w:val="000000"/>
                <w:sz w:val="21"/>
                <w:szCs w:val="21"/>
                <w:lang w:val="es-ES_tradnl" w:eastAsia="en-CA"/>
              </w:rPr>
            </w:pPr>
            <w:r w:rsidRPr="00B25E57">
              <w:rPr>
                <w:color w:val="000000"/>
                <w:sz w:val="21"/>
                <w:szCs w:val="21"/>
                <w:lang w:val="es-ES_tradnl" w:eastAsia="en-CA"/>
              </w:rPr>
              <w:t>6</w:t>
            </w:r>
            <w:r w:rsidR="00FB38C2" w:rsidRPr="00B25E57">
              <w:rPr>
                <w:color w:val="000000"/>
                <w:sz w:val="21"/>
                <w:szCs w:val="21"/>
                <w:lang w:val="es-ES_tradnl" w:eastAsia="en-CA"/>
              </w:rPr>
              <w:t>0.</w:t>
            </w:r>
            <w:r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5405797E" w14:textId="62EF483F"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r>
      <w:tr w:rsidR="003A54D4" w:rsidRPr="00B25E57" w14:paraId="589F3F3C"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58FA2E2" w14:textId="364E5649" w:rsidR="003A54D4" w:rsidRPr="00B25E57" w:rsidRDefault="00AF3270" w:rsidP="00AD1D61">
            <w:pPr>
              <w:keepNext/>
              <w:keepLines/>
              <w:jc w:val="left"/>
              <w:rPr>
                <w:color w:val="000000"/>
                <w:sz w:val="21"/>
                <w:szCs w:val="21"/>
                <w:lang w:val="es-ES_tradnl" w:eastAsia="en-CA"/>
              </w:rPr>
            </w:pPr>
            <w:r>
              <w:rPr>
                <w:color w:val="000000"/>
                <w:sz w:val="21"/>
                <w:szCs w:val="21"/>
                <w:lang w:val="es-ES_tradnl" w:eastAsia="en-CA"/>
              </w:rPr>
              <w:t>Pérdida de ventas de HCl</w:t>
            </w:r>
          </w:p>
        </w:tc>
        <w:tc>
          <w:tcPr>
            <w:tcW w:w="1359" w:type="dxa"/>
            <w:tcBorders>
              <w:top w:val="nil"/>
              <w:left w:val="nil"/>
              <w:bottom w:val="single" w:sz="4" w:space="0" w:color="auto"/>
              <w:right w:val="single" w:sz="4" w:space="0" w:color="auto"/>
            </w:tcBorders>
            <w:shd w:val="clear" w:color="auto" w:fill="auto"/>
            <w:noWrap/>
            <w:hideMark/>
          </w:tcPr>
          <w:p w14:paraId="2268BE4D" w14:textId="54B73C85"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1765" w:type="dxa"/>
            <w:tcBorders>
              <w:top w:val="nil"/>
              <w:left w:val="nil"/>
              <w:bottom w:val="single" w:sz="4" w:space="0" w:color="auto"/>
              <w:right w:val="single" w:sz="4" w:space="0" w:color="auto"/>
            </w:tcBorders>
            <w:shd w:val="clear" w:color="auto" w:fill="auto"/>
            <w:noWrap/>
            <w:hideMark/>
          </w:tcPr>
          <w:p w14:paraId="27594FBD" w14:textId="7EC05A6E" w:rsidR="003A54D4" w:rsidRPr="00B25E57" w:rsidRDefault="003A54D4" w:rsidP="00AD1D61">
            <w:pPr>
              <w:keepNext/>
              <w:keepLines/>
              <w:jc w:val="right"/>
              <w:rPr>
                <w:color w:val="000000"/>
                <w:sz w:val="21"/>
                <w:szCs w:val="21"/>
                <w:lang w:val="es-ES_tradnl" w:eastAsia="en-CA"/>
              </w:rPr>
            </w:pPr>
            <w:r w:rsidRPr="00B25E57">
              <w:rPr>
                <w:color w:val="000000"/>
                <w:sz w:val="21"/>
                <w:szCs w:val="21"/>
                <w:lang w:val="es-ES_tradnl" w:eastAsia="en-CA"/>
              </w:rPr>
              <w:t>26</w:t>
            </w:r>
            <w:r w:rsidR="004241C5" w:rsidRPr="00B25E57">
              <w:rPr>
                <w:color w:val="000000"/>
                <w:sz w:val="21"/>
                <w:szCs w:val="21"/>
                <w:lang w:val="es-ES_tradnl" w:eastAsia="en-CA"/>
              </w:rPr>
              <w:t>6.</w:t>
            </w:r>
            <w:r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2854CF3E" w14:textId="62F578DC" w:rsidR="003A54D4" w:rsidRPr="00B25E57" w:rsidRDefault="003A54D4" w:rsidP="00AD1D61">
            <w:pPr>
              <w:keepNext/>
              <w:keepLines/>
              <w:jc w:val="right"/>
              <w:rPr>
                <w:color w:val="000000"/>
                <w:sz w:val="21"/>
                <w:szCs w:val="21"/>
                <w:lang w:val="es-ES_tradnl" w:eastAsia="en-CA"/>
              </w:rPr>
            </w:pPr>
            <w:r w:rsidRPr="00B25E57">
              <w:rPr>
                <w:color w:val="000000"/>
                <w:sz w:val="21"/>
                <w:szCs w:val="21"/>
                <w:lang w:val="es-ES_tradnl" w:eastAsia="en-CA"/>
              </w:rPr>
              <w:t>26</w:t>
            </w:r>
            <w:r w:rsidR="00FB38C2" w:rsidRPr="00B25E57">
              <w:rPr>
                <w:color w:val="000000"/>
                <w:sz w:val="21"/>
                <w:szCs w:val="21"/>
                <w:lang w:val="es-ES_tradnl" w:eastAsia="en-CA"/>
              </w:rPr>
              <w:t>0.</w:t>
            </w:r>
            <w:r w:rsidRPr="00B25E57">
              <w:rPr>
                <w:color w:val="000000"/>
                <w:sz w:val="21"/>
                <w:szCs w:val="21"/>
                <w:lang w:val="es-ES_tradnl" w:eastAsia="en-CA"/>
              </w:rPr>
              <w:t>000</w:t>
            </w:r>
          </w:p>
        </w:tc>
      </w:tr>
      <w:tr w:rsidR="003A54D4" w:rsidRPr="00B25E57" w14:paraId="48E4641E"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049C619" w14:textId="56B80718" w:rsidR="003A54D4" w:rsidRPr="00B25E57" w:rsidRDefault="00473541" w:rsidP="00AD1D61">
            <w:pPr>
              <w:keepNext/>
              <w:keepLines/>
              <w:jc w:val="left"/>
              <w:rPr>
                <w:color w:val="000000"/>
                <w:sz w:val="21"/>
                <w:szCs w:val="21"/>
                <w:lang w:val="es-ES_tradnl" w:eastAsia="en-CA"/>
              </w:rPr>
            </w:pPr>
            <w:r>
              <w:rPr>
                <w:color w:val="000000"/>
                <w:sz w:val="21"/>
                <w:szCs w:val="21"/>
                <w:lang w:val="es-ES_tradnl" w:eastAsia="en-CA"/>
              </w:rPr>
              <w:t>Compensación</w:t>
            </w:r>
            <w:r w:rsidR="003A46A1" w:rsidRPr="00B25E57">
              <w:rPr>
                <w:color w:val="000000"/>
                <w:sz w:val="21"/>
                <w:szCs w:val="21"/>
                <w:lang w:val="es-ES_tradnl" w:eastAsia="en-CA"/>
              </w:rPr>
              <w:t xml:space="preserve"> </w:t>
            </w:r>
            <w:r w:rsidR="009150AA">
              <w:rPr>
                <w:color w:val="000000"/>
                <w:sz w:val="21"/>
                <w:szCs w:val="21"/>
                <w:lang w:val="es-ES_tradnl" w:eastAsia="en-CA"/>
              </w:rPr>
              <w:t xml:space="preserve">por ventas de </w:t>
            </w:r>
            <w:r w:rsidR="00FB38C2" w:rsidRPr="00B25E57">
              <w:rPr>
                <w:color w:val="000000"/>
                <w:sz w:val="21"/>
                <w:szCs w:val="21"/>
                <w:lang w:val="es-ES_tradnl" w:eastAsia="en-CA"/>
              </w:rPr>
              <w:t>1.</w:t>
            </w:r>
            <w:r w:rsidR="003A54D4" w:rsidRPr="00B25E57">
              <w:rPr>
                <w:color w:val="000000"/>
                <w:sz w:val="21"/>
                <w:szCs w:val="21"/>
                <w:lang w:val="es-ES_tradnl" w:eastAsia="en-CA"/>
              </w:rPr>
              <w:t>000</w:t>
            </w:r>
            <w:r w:rsidR="003A46A1" w:rsidRPr="00B25E57">
              <w:rPr>
                <w:color w:val="000000"/>
                <w:sz w:val="21"/>
                <w:szCs w:val="21"/>
                <w:lang w:val="es-ES_tradnl" w:eastAsia="en-CA"/>
              </w:rPr>
              <w:t xml:space="preserve"> </w:t>
            </w:r>
            <w:r w:rsidR="00FB38C2" w:rsidRPr="00B25E57">
              <w:rPr>
                <w:color w:val="000000"/>
                <w:sz w:val="21"/>
                <w:szCs w:val="21"/>
                <w:lang w:val="es-ES_tradnl" w:eastAsia="en-CA"/>
              </w:rPr>
              <w:t>tm</w:t>
            </w:r>
            <w:r w:rsidR="003A46A1" w:rsidRPr="00B25E57">
              <w:rPr>
                <w:color w:val="000000"/>
                <w:sz w:val="21"/>
                <w:szCs w:val="21"/>
                <w:lang w:val="es-ES_tradnl" w:eastAsia="en-CA"/>
              </w:rPr>
              <w:t xml:space="preserve"> </w:t>
            </w:r>
            <w:r w:rsidR="003A54D4" w:rsidRPr="00B25E57">
              <w:rPr>
                <w:color w:val="000000"/>
                <w:sz w:val="21"/>
                <w:szCs w:val="21"/>
                <w:lang w:val="es-ES_tradnl" w:eastAsia="en-CA"/>
              </w:rPr>
              <w:t>HCFC</w:t>
            </w:r>
            <w:r w:rsidR="00FB38C2" w:rsidRPr="00B25E57">
              <w:rPr>
                <w:color w:val="000000"/>
                <w:sz w:val="21"/>
                <w:szCs w:val="21"/>
                <w:lang w:val="es-ES_tradnl" w:eastAsia="en-CA"/>
              </w:rPr>
              <w:t>-</w:t>
            </w:r>
            <w:r w:rsidR="003A54D4" w:rsidRPr="00B25E57">
              <w:rPr>
                <w:color w:val="000000"/>
                <w:sz w:val="21"/>
                <w:szCs w:val="21"/>
                <w:lang w:val="es-ES_tradnl" w:eastAsia="en-CA"/>
              </w:rPr>
              <w:t>22</w:t>
            </w:r>
          </w:p>
        </w:tc>
        <w:tc>
          <w:tcPr>
            <w:tcW w:w="1359" w:type="dxa"/>
            <w:tcBorders>
              <w:top w:val="nil"/>
              <w:left w:val="nil"/>
              <w:bottom w:val="single" w:sz="4" w:space="0" w:color="auto"/>
              <w:right w:val="single" w:sz="4" w:space="0" w:color="auto"/>
            </w:tcBorders>
            <w:shd w:val="clear" w:color="auto" w:fill="auto"/>
            <w:noWrap/>
            <w:hideMark/>
          </w:tcPr>
          <w:p w14:paraId="59419D19" w14:textId="79E684D2"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1765" w:type="dxa"/>
            <w:tcBorders>
              <w:top w:val="nil"/>
              <w:left w:val="nil"/>
              <w:bottom w:val="single" w:sz="4" w:space="0" w:color="auto"/>
              <w:right w:val="single" w:sz="4" w:space="0" w:color="auto"/>
            </w:tcBorders>
            <w:shd w:val="clear" w:color="auto" w:fill="auto"/>
            <w:noWrap/>
            <w:hideMark/>
          </w:tcPr>
          <w:p w14:paraId="4534B733" w14:textId="74C29884"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w:t>
            </w:r>
          </w:p>
        </w:tc>
        <w:tc>
          <w:tcPr>
            <w:tcW w:w="2121" w:type="dxa"/>
            <w:tcBorders>
              <w:top w:val="nil"/>
              <w:left w:val="nil"/>
              <w:bottom w:val="single" w:sz="4" w:space="0" w:color="auto"/>
              <w:right w:val="single" w:sz="4" w:space="0" w:color="auto"/>
            </w:tcBorders>
            <w:shd w:val="clear" w:color="auto" w:fill="auto"/>
            <w:noWrap/>
            <w:hideMark/>
          </w:tcPr>
          <w:p w14:paraId="126507AE" w14:textId="686B4041"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2.</w:t>
            </w:r>
            <w:r w:rsidR="003A54D4" w:rsidRPr="00B25E57">
              <w:rPr>
                <w:color w:val="000000"/>
                <w:sz w:val="21"/>
                <w:szCs w:val="21"/>
                <w:lang w:val="es-ES_tradnl" w:eastAsia="en-CA"/>
              </w:rPr>
              <w:t>69</w:t>
            </w:r>
            <w:r w:rsidR="004241C5" w:rsidRPr="00B25E57">
              <w:rPr>
                <w:color w:val="000000"/>
                <w:sz w:val="21"/>
                <w:szCs w:val="21"/>
                <w:lang w:val="es-ES_tradnl" w:eastAsia="en-CA"/>
              </w:rPr>
              <w:t>8.</w:t>
            </w:r>
            <w:r w:rsidR="003A54D4" w:rsidRPr="00B25E57">
              <w:rPr>
                <w:color w:val="000000"/>
                <w:sz w:val="21"/>
                <w:szCs w:val="21"/>
                <w:lang w:val="es-ES_tradnl" w:eastAsia="en-CA"/>
              </w:rPr>
              <w:t>000</w:t>
            </w:r>
          </w:p>
        </w:tc>
      </w:tr>
      <w:tr w:rsidR="003A54D4" w:rsidRPr="00B25E57" w14:paraId="3AE669B0"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CE1BECB" w14:textId="7EB570A8" w:rsidR="003A54D4" w:rsidRPr="00B25E57" w:rsidRDefault="00FB38C2" w:rsidP="00AD1D61">
            <w:pPr>
              <w:keepNext/>
              <w:keepLines/>
              <w:jc w:val="left"/>
              <w:rPr>
                <w:color w:val="000000"/>
                <w:sz w:val="21"/>
                <w:szCs w:val="21"/>
                <w:lang w:val="es-ES_tradnl" w:eastAsia="en-CA"/>
              </w:rPr>
            </w:pPr>
            <w:r w:rsidRPr="00B25E57">
              <w:rPr>
                <w:color w:val="000000"/>
                <w:sz w:val="21"/>
                <w:szCs w:val="21"/>
                <w:lang w:val="es-ES_tradnl" w:eastAsia="en-CA"/>
              </w:rPr>
              <w:t>Sobrecostos</w:t>
            </w:r>
            <w:r w:rsidR="003A46A1" w:rsidRPr="00B25E57">
              <w:rPr>
                <w:color w:val="000000"/>
                <w:sz w:val="21"/>
                <w:szCs w:val="21"/>
                <w:lang w:val="es-ES_tradnl" w:eastAsia="en-CA"/>
              </w:rPr>
              <w:t xml:space="preserve"> </w:t>
            </w:r>
            <w:r w:rsidRPr="00B25E57">
              <w:rPr>
                <w:color w:val="000000"/>
                <w:sz w:val="21"/>
                <w:szCs w:val="21"/>
                <w:lang w:val="es-ES_tradnl" w:eastAsia="en-CA"/>
              </w:rPr>
              <w:t>de</w:t>
            </w:r>
            <w:r w:rsidR="003A46A1" w:rsidRPr="00B25E57">
              <w:rPr>
                <w:color w:val="000000"/>
                <w:sz w:val="21"/>
                <w:szCs w:val="21"/>
                <w:lang w:val="es-ES_tradnl" w:eastAsia="en-CA"/>
              </w:rPr>
              <w:t xml:space="preserve"> </w:t>
            </w:r>
            <w:r w:rsidRPr="00B25E57">
              <w:rPr>
                <w:color w:val="000000"/>
                <w:sz w:val="21"/>
                <w:szCs w:val="21"/>
                <w:lang w:val="es-ES_tradnl" w:eastAsia="en-CA"/>
              </w:rPr>
              <w:t>operación</w:t>
            </w:r>
          </w:p>
        </w:tc>
        <w:tc>
          <w:tcPr>
            <w:tcW w:w="1359" w:type="dxa"/>
            <w:tcBorders>
              <w:top w:val="nil"/>
              <w:left w:val="nil"/>
              <w:bottom w:val="single" w:sz="4" w:space="0" w:color="auto"/>
              <w:right w:val="single" w:sz="4" w:space="0" w:color="auto"/>
            </w:tcBorders>
            <w:shd w:val="clear" w:color="auto" w:fill="auto"/>
            <w:noWrap/>
            <w:hideMark/>
          </w:tcPr>
          <w:p w14:paraId="7B616129" w14:textId="5A51E991"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92</w:t>
            </w:r>
            <w:r w:rsidR="004241C5" w:rsidRPr="00B25E57">
              <w:rPr>
                <w:color w:val="000000"/>
                <w:sz w:val="21"/>
                <w:szCs w:val="21"/>
                <w:lang w:val="es-ES_tradnl" w:eastAsia="en-CA"/>
              </w:rPr>
              <w:t>9.</w:t>
            </w:r>
            <w:r w:rsidR="003A54D4" w:rsidRPr="00B25E57">
              <w:rPr>
                <w:color w:val="000000"/>
                <w:sz w:val="21"/>
                <w:szCs w:val="21"/>
                <w:lang w:val="es-ES_tradnl" w:eastAsia="en-CA"/>
              </w:rPr>
              <w:t>000</w:t>
            </w:r>
          </w:p>
        </w:tc>
        <w:tc>
          <w:tcPr>
            <w:tcW w:w="1765" w:type="dxa"/>
            <w:tcBorders>
              <w:top w:val="nil"/>
              <w:left w:val="nil"/>
              <w:bottom w:val="single" w:sz="4" w:space="0" w:color="auto"/>
              <w:right w:val="single" w:sz="4" w:space="0" w:color="auto"/>
            </w:tcBorders>
            <w:shd w:val="clear" w:color="auto" w:fill="auto"/>
            <w:noWrap/>
            <w:hideMark/>
          </w:tcPr>
          <w:p w14:paraId="61D965FE" w14:textId="21E85F5D"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90</w:t>
            </w:r>
            <w:r w:rsidRPr="00B25E57">
              <w:rPr>
                <w:color w:val="000000"/>
                <w:sz w:val="21"/>
                <w:szCs w:val="21"/>
                <w:lang w:val="es-ES_tradnl" w:eastAsia="en-CA"/>
              </w:rPr>
              <w:t>4.</w:t>
            </w:r>
            <w:r w:rsidR="003A54D4" w:rsidRPr="00B25E57">
              <w:rPr>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6C2AA41A" w14:textId="76A868B7" w:rsidR="003A54D4"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1.</w:t>
            </w:r>
            <w:r w:rsidR="003A54D4" w:rsidRPr="00B25E57">
              <w:rPr>
                <w:color w:val="000000"/>
                <w:sz w:val="21"/>
                <w:szCs w:val="21"/>
                <w:lang w:val="es-ES_tradnl" w:eastAsia="en-CA"/>
              </w:rPr>
              <w:t>90</w:t>
            </w:r>
            <w:r w:rsidRPr="00B25E57">
              <w:rPr>
                <w:color w:val="000000"/>
                <w:sz w:val="21"/>
                <w:szCs w:val="21"/>
                <w:lang w:val="es-ES_tradnl" w:eastAsia="en-CA"/>
              </w:rPr>
              <w:t>4.</w:t>
            </w:r>
            <w:r w:rsidR="003A54D4" w:rsidRPr="00B25E57">
              <w:rPr>
                <w:color w:val="000000"/>
                <w:sz w:val="21"/>
                <w:szCs w:val="21"/>
                <w:lang w:val="es-ES_tradnl" w:eastAsia="en-CA"/>
              </w:rPr>
              <w:t>000</w:t>
            </w:r>
          </w:p>
        </w:tc>
      </w:tr>
      <w:tr w:rsidR="003A54D4" w:rsidRPr="00B25E57" w14:paraId="4B135F39" w14:textId="77777777" w:rsidTr="00BA7F82">
        <w:trPr>
          <w:cantSplit/>
          <w:tblHead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347162AC" w14:textId="77777777" w:rsidR="003A54D4" w:rsidRPr="00B25E57" w:rsidRDefault="003A54D4" w:rsidP="00AD1D61">
            <w:pPr>
              <w:keepNext/>
              <w:keepLines/>
              <w:jc w:val="left"/>
              <w:rPr>
                <w:b/>
                <w:color w:val="000000"/>
                <w:sz w:val="21"/>
                <w:szCs w:val="21"/>
                <w:lang w:val="es-ES_tradnl" w:eastAsia="en-CA"/>
              </w:rPr>
            </w:pPr>
            <w:r w:rsidRPr="00B25E57">
              <w:rPr>
                <w:b/>
                <w:color w:val="000000"/>
                <w:sz w:val="21"/>
                <w:szCs w:val="21"/>
                <w:lang w:val="es-ES_tradnl" w:eastAsia="en-CA"/>
              </w:rPr>
              <w:t>Total</w:t>
            </w:r>
          </w:p>
        </w:tc>
        <w:tc>
          <w:tcPr>
            <w:tcW w:w="1359" w:type="dxa"/>
            <w:tcBorders>
              <w:top w:val="nil"/>
              <w:left w:val="nil"/>
              <w:bottom w:val="single" w:sz="4" w:space="0" w:color="auto"/>
              <w:right w:val="single" w:sz="4" w:space="0" w:color="auto"/>
            </w:tcBorders>
            <w:shd w:val="clear" w:color="auto" w:fill="auto"/>
            <w:noWrap/>
            <w:hideMark/>
          </w:tcPr>
          <w:p w14:paraId="7CE3433D" w14:textId="457ABA33" w:rsidR="003A54D4" w:rsidRPr="00B25E57" w:rsidRDefault="00FB38C2" w:rsidP="00AD1D61">
            <w:pPr>
              <w:keepNext/>
              <w:keepLines/>
              <w:jc w:val="right"/>
              <w:rPr>
                <w:b/>
                <w:color w:val="000000"/>
                <w:sz w:val="21"/>
                <w:szCs w:val="21"/>
                <w:lang w:val="es-ES_tradnl" w:eastAsia="en-CA"/>
              </w:rPr>
            </w:pPr>
            <w:r w:rsidRPr="00B25E57">
              <w:rPr>
                <w:b/>
                <w:color w:val="000000"/>
                <w:sz w:val="21"/>
                <w:szCs w:val="21"/>
                <w:lang w:val="es-ES_tradnl" w:eastAsia="en-CA"/>
              </w:rPr>
              <w:t>3.</w:t>
            </w:r>
            <w:r w:rsidR="003A54D4" w:rsidRPr="00B25E57">
              <w:rPr>
                <w:b/>
                <w:color w:val="000000"/>
                <w:sz w:val="21"/>
                <w:szCs w:val="21"/>
                <w:lang w:val="es-ES_tradnl" w:eastAsia="en-CA"/>
              </w:rPr>
              <w:t>75</w:t>
            </w:r>
            <w:r w:rsidRPr="00B25E57">
              <w:rPr>
                <w:b/>
                <w:color w:val="000000"/>
                <w:sz w:val="21"/>
                <w:szCs w:val="21"/>
                <w:lang w:val="es-ES_tradnl" w:eastAsia="en-CA"/>
              </w:rPr>
              <w:t>3.</w:t>
            </w:r>
            <w:r w:rsidR="003A54D4" w:rsidRPr="00B25E57">
              <w:rPr>
                <w:b/>
                <w:color w:val="000000"/>
                <w:sz w:val="21"/>
                <w:szCs w:val="21"/>
                <w:lang w:val="es-ES_tradnl" w:eastAsia="en-CA"/>
              </w:rPr>
              <w:t>000</w:t>
            </w:r>
          </w:p>
        </w:tc>
        <w:tc>
          <w:tcPr>
            <w:tcW w:w="1765" w:type="dxa"/>
            <w:tcBorders>
              <w:top w:val="nil"/>
              <w:left w:val="nil"/>
              <w:bottom w:val="single" w:sz="4" w:space="0" w:color="auto"/>
              <w:right w:val="single" w:sz="4" w:space="0" w:color="auto"/>
            </w:tcBorders>
            <w:shd w:val="clear" w:color="auto" w:fill="auto"/>
            <w:noWrap/>
            <w:hideMark/>
          </w:tcPr>
          <w:p w14:paraId="3597646F" w14:textId="38ECFAE6" w:rsidR="003A54D4" w:rsidRPr="00B25E57" w:rsidRDefault="00FB38C2" w:rsidP="00AD1D61">
            <w:pPr>
              <w:keepNext/>
              <w:keepLines/>
              <w:jc w:val="right"/>
              <w:rPr>
                <w:b/>
                <w:color w:val="000000"/>
                <w:sz w:val="21"/>
                <w:szCs w:val="21"/>
                <w:lang w:val="es-ES_tradnl" w:eastAsia="en-CA"/>
              </w:rPr>
            </w:pPr>
            <w:r w:rsidRPr="00B25E57">
              <w:rPr>
                <w:b/>
                <w:color w:val="000000"/>
                <w:sz w:val="21"/>
                <w:szCs w:val="21"/>
                <w:lang w:val="es-ES_tradnl" w:eastAsia="en-CA"/>
              </w:rPr>
              <w:t>4.</w:t>
            </w:r>
            <w:r w:rsidR="003A54D4" w:rsidRPr="00B25E57">
              <w:rPr>
                <w:b/>
                <w:color w:val="000000"/>
                <w:sz w:val="21"/>
                <w:szCs w:val="21"/>
                <w:lang w:val="es-ES_tradnl" w:eastAsia="en-CA"/>
              </w:rPr>
              <w:t>37</w:t>
            </w:r>
            <w:r w:rsidR="004241C5" w:rsidRPr="00B25E57">
              <w:rPr>
                <w:b/>
                <w:color w:val="000000"/>
                <w:sz w:val="21"/>
                <w:szCs w:val="21"/>
                <w:lang w:val="es-ES_tradnl" w:eastAsia="en-CA"/>
              </w:rPr>
              <w:t>8.</w:t>
            </w:r>
            <w:r w:rsidR="003A54D4" w:rsidRPr="00B25E57">
              <w:rPr>
                <w:b/>
                <w:color w:val="000000"/>
                <w:sz w:val="21"/>
                <w:szCs w:val="21"/>
                <w:lang w:val="es-ES_tradnl" w:eastAsia="en-CA"/>
              </w:rPr>
              <w:t>000</w:t>
            </w:r>
          </w:p>
        </w:tc>
        <w:tc>
          <w:tcPr>
            <w:tcW w:w="2121" w:type="dxa"/>
            <w:tcBorders>
              <w:top w:val="nil"/>
              <w:left w:val="nil"/>
              <w:bottom w:val="single" w:sz="4" w:space="0" w:color="auto"/>
              <w:right w:val="single" w:sz="4" w:space="0" w:color="auto"/>
            </w:tcBorders>
            <w:shd w:val="clear" w:color="auto" w:fill="auto"/>
            <w:noWrap/>
            <w:hideMark/>
          </w:tcPr>
          <w:p w14:paraId="0BF4D81C" w14:textId="1B266138" w:rsidR="003A54D4" w:rsidRPr="00B25E57" w:rsidRDefault="004241C5" w:rsidP="00AD1D61">
            <w:pPr>
              <w:keepNext/>
              <w:keepLines/>
              <w:jc w:val="right"/>
              <w:rPr>
                <w:b/>
                <w:color w:val="000000"/>
                <w:sz w:val="21"/>
                <w:szCs w:val="21"/>
                <w:lang w:val="es-ES_tradnl" w:eastAsia="en-CA"/>
              </w:rPr>
            </w:pPr>
            <w:r w:rsidRPr="00B25E57">
              <w:rPr>
                <w:b/>
                <w:color w:val="000000"/>
                <w:sz w:val="21"/>
                <w:szCs w:val="21"/>
                <w:lang w:val="es-ES_tradnl" w:eastAsia="en-CA"/>
              </w:rPr>
              <w:t>6.</w:t>
            </w:r>
            <w:r w:rsidR="003A54D4" w:rsidRPr="00B25E57">
              <w:rPr>
                <w:b/>
                <w:color w:val="000000"/>
                <w:sz w:val="21"/>
                <w:szCs w:val="21"/>
                <w:lang w:val="es-ES_tradnl" w:eastAsia="en-CA"/>
              </w:rPr>
              <w:t>68</w:t>
            </w:r>
            <w:r w:rsidRPr="00B25E57">
              <w:rPr>
                <w:b/>
                <w:color w:val="000000"/>
                <w:sz w:val="21"/>
                <w:szCs w:val="21"/>
                <w:lang w:val="es-ES_tradnl" w:eastAsia="en-CA"/>
              </w:rPr>
              <w:t>6.</w:t>
            </w:r>
            <w:r w:rsidR="003A54D4" w:rsidRPr="00B25E57">
              <w:rPr>
                <w:b/>
                <w:color w:val="000000"/>
                <w:sz w:val="21"/>
                <w:szCs w:val="21"/>
                <w:lang w:val="es-ES_tradnl" w:eastAsia="en-CA"/>
              </w:rPr>
              <w:t>000</w:t>
            </w:r>
          </w:p>
        </w:tc>
      </w:tr>
    </w:tbl>
    <w:p w14:paraId="4138D843" w14:textId="77777777" w:rsidR="003A54D4" w:rsidRPr="00B25E57" w:rsidRDefault="003A54D4" w:rsidP="003A54D4">
      <w:pPr>
        <w:rPr>
          <w:lang w:val="es-ES_tradnl"/>
        </w:rPr>
      </w:pPr>
    </w:p>
    <w:p w14:paraId="33371DDE" w14:textId="2F5AF8B6" w:rsidR="007B22B4" w:rsidRPr="00B25E57" w:rsidRDefault="007930E9" w:rsidP="00B605F9">
      <w:pPr>
        <w:pStyle w:val="Heading1"/>
        <w:rPr>
          <w:lang w:val="es-ES_tradnl"/>
        </w:rPr>
      </w:pPr>
      <w:r w:rsidRPr="00B25E57">
        <w:rPr>
          <w:lang w:val="es-ES_tradnl"/>
        </w:rPr>
        <w:t>L</w:t>
      </w:r>
      <w:r w:rsidR="00FB38C2" w:rsidRPr="00B25E57">
        <w:rPr>
          <w:lang w:val="es-ES_tradnl"/>
        </w:rPr>
        <w:t>a</w:t>
      </w:r>
      <w:r>
        <w:rPr>
          <w:lang w:val="es-ES_tradnl"/>
        </w:rPr>
        <w:t xml:space="preserve"> </w:t>
      </w:r>
      <w:r w:rsidR="00FB38C2" w:rsidRPr="00B25E57">
        <w:rPr>
          <w:lang w:val="es-ES_tradnl"/>
        </w:rPr>
        <w:t>ONUDI</w:t>
      </w:r>
      <w:r w:rsidR="003A46A1" w:rsidRPr="00B25E57">
        <w:rPr>
          <w:lang w:val="es-ES_tradnl"/>
        </w:rPr>
        <w:t xml:space="preserve"> </w:t>
      </w:r>
      <w:r w:rsidR="00D812A4">
        <w:rPr>
          <w:lang w:val="es-ES_tradnl"/>
        </w:rPr>
        <w:t>estimó que</w:t>
      </w:r>
      <w:r w:rsidR="003A46A1" w:rsidRPr="00B25E57">
        <w:rPr>
          <w:lang w:val="es-ES_tradnl"/>
        </w:rPr>
        <w:t xml:space="preserve"> </w:t>
      </w:r>
      <w:r w:rsidR="004057BA" w:rsidRPr="00B25E57">
        <w:rPr>
          <w:lang w:val="es-ES_tradnl"/>
        </w:rPr>
        <w:t>el</w:t>
      </w:r>
      <w:r w:rsidR="003A46A1" w:rsidRPr="00B25E57">
        <w:rPr>
          <w:lang w:val="es-ES_tradnl"/>
        </w:rPr>
        <w:t xml:space="preserve"> </w:t>
      </w:r>
      <w:r w:rsidR="004057BA" w:rsidRPr="00B25E57">
        <w:rPr>
          <w:lang w:val="es-ES_tradnl"/>
        </w:rPr>
        <w:t>costo</w:t>
      </w:r>
      <w:r w:rsidR="003A46A1" w:rsidRPr="00B25E57">
        <w:rPr>
          <w:lang w:val="es-ES_tradnl"/>
        </w:rPr>
        <w:t xml:space="preserve"> </w:t>
      </w:r>
      <w:r w:rsidR="004057BA" w:rsidRPr="00B25E57">
        <w:rPr>
          <w:lang w:val="es-ES_tradnl"/>
        </w:rPr>
        <w:t>total</w:t>
      </w:r>
      <w:r w:rsidR="003A46A1" w:rsidRPr="00B25E57">
        <w:rPr>
          <w:lang w:val="es-ES_tradnl"/>
        </w:rPr>
        <w:t xml:space="preserve"> </w:t>
      </w:r>
      <w:r>
        <w:rPr>
          <w:lang w:val="es-ES_tradnl"/>
        </w:rPr>
        <w:t xml:space="preserve">de reponer </w:t>
      </w:r>
      <w:r w:rsidR="00C95B4F">
        <w:rPr>
          <w:lang w:val="es-ES_tradnl"/>
        </w:rPr>
        <w:t>el incinerador</w:t>
      </w:r>
      <w:r w:rsidR="003A46A1" w:rsidRPr="00B25E57">
        <w:rPr>
          <w:lang w:val="es-ES_tradnl"/>
        </w:rPr>
        <w:t xml:space="preserve"> </w:t>
      </w:r>
      <w:r w:rsidRPr="007930E9">
        <w:rPr>
          <w:lang w:val="es-ES_tradnl"/>
        </w:rPr>
        <w:t xml:space="preserve">en servicio </w:t>
      </w:r>
      <w:r w:rsidR="002E4FBB">
        <w:rPr>
          <w:lang w:val="es-ES_tradnl"/>
        </w:rPr>
        <w:t xml:space="preserve">debiese </w:t>
      </w:r>
      <w:r w:rsidR="00691404">
        <w:rPr>
          <w:lang w:val="es-ES_tradnl"/>
        </w:rPr>
        <w:t>también</w:t>
      </w:r>
      <w:r w:rsidR="003A46A1" w:rsidRPr="00B25E57">
        <w:rPr>
          <w:lang w:val="es-ES_tradnl"/>
        </w:rPr>
        <w:t xml:space="preserve"> </w:t>
      </w:r>
      <w:r w:rsidR="002E4FBB">
        <w:rPr>
          <w:lang w:val="es-ES_tradnl"/>
        </w:rPr>
        <w:t>incluir</w:t>
      </w:r>
      <w:r w:rsidR="003A46A1" w:rsidRPr="00B25E57">
        <w:rPr>
          <w:lang w:val="es-ES_tradnl"/>
        </w:rPr>
        <w:t xml:space="preserve"> </w:t>
      </w:r>
      <w:r w:rsidR="002E4FBB">
        <w:rPr>
          <w:lang w:val="es-ES_tradnl"/>
        </w:rPr>
        <w:t xml:space="preserve">el </w:t>
      </w:r>
      <w:r w:rsidR="008B024B">
        <w:rPr>
          <w:lang w:val="es-ES_tradnl"/>
        </w:rPr>
        <w:t>lucro cesante</w:t>
      </w:r>
      <w:r w:rsidR="003A46A1" w:rsidRPr="00B25E57">
        <w:rPr>
          <w:lang w:val="es-ES_tradnl"/>
        </w:rPr>
        <w:t xml:space="preserve"> </w:t>
      </w:r>
      <w:r w:rsidR="00F0115C">
        <w:rPr>
          <w:lang w:val="es-ES_tradnl"/>
        </w:rPr>
        <w:t xml:space="preserve">causado por </w:t>
      </w:r>
      <w:r w:rsidR="004241C5" w:rsidRPr="00B25E57">
        <w:rPr>
          <w:lang w:val="es-ES_tradnl"/>
        </w:rPr>
        <w:t>la</w:t>
      </w:r>
      <w:r w:rsidR="003A46A1" w:rsidRPr="00B25E57">
        <w:rPr>
          <w:lang w:val="es-ES_tradnl"/>
        </w:rPr>
        <w:t xml:space="preserve"> </w:t>
      </w:r>
      <w:r w:rsidR="00F0115C">
        <w:rPr>
          <w:lang w:val="es-ES_tradnl"/>
        </w:rPr>
        <w:t xml:space="preserve">menor </w:t>
      </w:r>
      <w:r w:rsidR="004241C5" w:rsidRPr="00B25E57">
        <w:rPr>
          <w:lang w:val="es-ES_tradnl"/>
        </w:rPr>
        <w:t>producción</w:t>
      </w:r>
      <w:r w:rsidR="003A46A1" w:rsidRPr="00B25E57">
        <w:rPr>
          <w:lang w:val="es-ES_tradnl"/>
        </w:rPr>
        <w:t xml:space="preserve"> </w:t>
      </w:r>
      <w:r w:rsidR="003729FA">
        <w:rPr>
          <w:lang w:val="es-ES_tradnl"/>
        </w:rPr>
        <w:t xml:space="preserve">que exige </w:t>
      </w:r>
      <w:r w:rsidR="00FB38C2" w:rsidRPr="00B25E57">
        <w:rPr>
          <w:lang w:val="es-ES_tradnl"/>
        </w:rPr>
        <w:t>el</w:t>
      </w:r>
      <w:r w:rsidR="003A46A1" w:rsidRPr="00B25E57">
        <w:rPr>
          <w:lang w:val="es-ES_tradnl"/>
        </w:rPr>
        <w:t xml:space="preserve"> </w:t>
      </w:r>
      <w:r w:rsidR="00FB38C2" w:rsidRPr="00B25E57">
        <w:rPr>
          <w:lang w:val="es-ES_tradnl"/>
        </w:rPr>
        <w:t>Protocolo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Montreal</w:t>
      </w:r>
      <w:r w:rsidR="003A46A1" w:rsidRPr="00B25E57">
        <w:rPr>
          <w:lang w:val="es-ES_tradnl"/>
        </w:rPr>
        <w:t xml:space="preserve"> </w:t>
      </w:r>
      <w:r w:rsidR="003729FA">
        <w:rPr>
          <w:lang w:val="es-ES_tradnl"/>
        </w:rPr>
        <w:t xml:space="preserve">para el período </w:t>
      </w:r>
      <w:r w:rsidR="00A27F0E" w:rsidRPr="00B25E57">
        <w:rPr>
          <w:lang w:val="es-ES_tradnl"/>
        </w:rPr>
        <w:t>2025</w:t>
      </w:r>
      <w:r w:rsidR="00FB38C2" w:rsidRPr="00B25E57">
        <w:rPr>
          <w:lang w:val="es-ES_tradnl"/>
        </w:rPr>
        <w:t>-</w:t>
      </w:r>
      <w:r w:rsidR="00A27F0E" w:rsidRPr="00B25E57">
        <w:rPr>
          <w:lang w:val="es-ES_tradnl"/>
        </w:rPr>
        <w:t>2029.</w:t>
      </w:r>
      <w:r w:rsidR="003A46A1" w:rsidRPr="00B25E57">
        <w:rPr>
          <w:lang w:val="es-ES_tradnl"/>
        </w:rPr>
        <w:t xml:space="preserve"> </w:t>
      </w:r>
      <w:r w:rsidR="000559D5">
        <w:rPr>
          <w:lang w:val="es-ES_tradnl"/>
        </w:rPr>
        <w:t xml:space="preserve">Estas pérdidas se estiman </w:t>
      </w:r>
      <w:r w:rsidR="00F942C6" w:rsidRPr="00B25E57">
        <w:rPr>
          <w:lang w:val="es-ES_tradnl"/>
        </w:rPr>
        <w:t xml:space="preserve">sobre la base de </w:t>
      </w:r>
      <w:r w:rsidR="00147277" w:rsidRPr="00B25E57">
        <w:rPr>
          <w:lang w:val="es-ES_tradnl"/>
        </w:rPr>
        <w:t>la</w:t>
      </w:r>
      <w:r w:rsidR="003A46A1" w:rsidRPr="00B25E57">
        <w:rPr>
          <w:lang w:val="es-ES_tradnl"/>
        </w:rPr>
        <w:t xml:space="preserve"> </w:t>
      </w:r>
      <w:r w:rsidR="00147277" w:rsidRPr="00B25E57">
        <w:rPr>
          <w:lang w:val="es-ES_tradnl"/>
        </w:rPr>
        <w:t>metodología</w:t>
      </w:r>
      <w:r w:rsidR="003A46A1" w:rsidRPr="00B25E57">
        <w:rPr>
          <w:lang w:val="es-ES_tradnl"/>
        </w:rPr>
        <w:t xml:space="preserve"> </w:t>
      </w:r>
      <w:r w:rsidR="000559D5">
        <w:rPr>
          <w:lang w:val="es-ES_tradnl"/>
        </w:rPr>
        <w:t>utilizada</w:t>
      </w:r>
      <w:r w:rsidR="00DD07B5" w:rsidRPr="00B25E57">
        <w:rPr>
          <w:lang w:val="es-ES_tradnl"/>
        </w:rPr>
        <w:t>,</w:t>
      </w:r>
      <w:r w:rsidR="003A46A1" w:rsidRPr="00B25E57">
        <w:rPr>
          <w:lang w:val="es-ES_tradnl"/>
        </w:rPr>
        <w:t xml:space="preserve"> </w:t>
      </w:r>
      <w:r w:rsidR="00217BE6">
        <w:rPr>
          <w:lang w:val="es-ES_tradnl"/>
        </w:rPr>
        <w:t>de los cuatro</w:t>
      </w:r>
      <w:r w:rsidR="003A46A1" w:rsidRPr="00B25E57">
        <w:rPr>
          <w:lang w:val="es-ES_tradnl"/>
        </w:rPr>
        <w:t xml:space="preserve"> </w:t>
      </w:r>
      <w:r w:rsidR="0061462C">
        <w:rPr>
          <w:lang w:val="es-ES_tradnl"/>
        </w:rPr>
        <w:t>escenario</w:t>
      </w:r>
      <w:r w:rsidR="00FD3878" w:rsidRPr="00B25E57">
        <w:rPr>
          <w:lang w:val="es-ES_tradnl"/>
        </w:rPr>
        <w:t>s</w:t>
      </w:r>
      <w:r w:rsidR="003A46A1" w:rsidRPr="00B25E57">
        <w:rPr>
          <w:lang w:val="es-ES_tradnl"/>
        </w:rPr>
        <w:t xml:space="preserve"> </w:t>
      </w:r>
      <w:r w:rsidR="00217BE6">
        <w:rPr>
          <w:lang w:val="es-ES_tradnl"/>
        </w:rPr>
        <w:t xml:space="preserve">de </w:t>
      </w:r>
      <w:r w:rsidR="004512EA" w:rsidRPr="00B25E57">
        <w:rPr>
          <w:lang w:val="es-ES_tradnl"/>
        </w:rPr>
        <w:t>cierre</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7B22B4" w:rsidRPr="00B25E57">
        <w:rPr>
          <w:lang w:val="es-ES_tradnl"/>
        </w:rPr>
        <w:t>planta</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producción</w:t>
      </w:r>
      <w:r w:rsidR="003A46A1" w:rsidRPr="00B25E57">
        <w:rPr>
          <w:lang w:val="es-ES_tradnl"/>
        </w:rPr>
        <w:t xml:space="preserve"> </w:t>
      </w:r>
      <w:r w:rsidR="00207150" w:rsidRPr="00B25E57">
        <w:rPr>
          <w:lang w:val="es-ES_tradnl"/>
        </w:rPr>
        <w:t>(</w:t>
      </w:r>
      <w:r w:rsidR="00F33C58" w:rsidRPr="00B25E57">
        <w:rPr>
          <w:lang w:val="es-ES_tradnl"/>
        </w:rPr>
        <w:t>Opción</w:t>
      </w:r>
      <w:r w:rsidR="003A46A1" w:rsidRPr="00B25E57">
        <w:rPr>
          <w:lang w:val="es-ES_tradnl"/>
        </w:rPr>
        <w:t xml:space="preserve"> </w:t>
      </w:r>
      <w:r w:rsidR="002145C8" w:rsidRPr="00B25E57">
        <w:rPr>
          <w:lang w:val="es-ES_tradnl"/>
        </w:rPr>
        <w:t>1)</w:t>
      </w:r>
      <w:r w:rsidR="003A46A1" w:rsidRPr="00B25E57">
        <w:rPr>
          <w:lang w:val="es-ES_tradnl"/>
        </w:rPr>
        <w:t xml:space="preserve"> </w:t>
      </w:r>
      <w:r w:rsidR="00F33C58" w:rsidRPr="00B25E57">
        <w:rPr>
          <w:lang w:val="es-ES_tradnl"/>
        </w:rPr>
        <w:t>y</w:t>
      </w:r>
      <w:r w:rsidR="003A46A1" w:rsidRPr="00B25E57">
        <w:rPr>
          <w:lang w:val="es-ES_tradnl"/>
        </w:rPr>
        <w:t xml:space="preserve"> </w:t>
      </w:r>
      <w:r w:rsidR="00D51F55">
        <w:rPr>
          <w:lang w:val="es-ES_tradnl"/>
        </w:rPr>
        <w:t xml:space="preserve">de </w:t>
      </w:r>
      <w:r w:rsidR="00307FE5">
        <w:rPr>
          <w:lang w:val="es-ES_tradnl"/>
        </w:rPr>
        <w:t>una tasa de descuento del 10%</w:t>
      </w:r>
      <w:r w:rsidR="003A46A1" w:rsidRPr="00B25E57">
        <w:rPr>
          <w:lang w:val="es-ES_tradnl"/>
        </w:rPr>
        <w:t xml:space="preserve"> </w:t>
      </w:r>
      <w:r w:rsidR="008F203B">
        <w:rPr>
          <w:lang w:val="es-ES_tradnl"/>
        </w:rPr>
        <w:t xml:space="preserve">aplicada </w:t>
      </w:r>
      <w:r w:rsidR="00463B77">
        <w:rPr>
          <w:lang w:val="es-ES_tradnl"/>
        </w:rPr>
        <w:t>par</w:t>
      </w:r>
      <w:r w:rsidR="00CC60EA">
        <w:rPr>
          <w:lang w:val="es-ES_tradnl"/>
        </w:rPr>
        <w:t>a determinar el VAN</w:t>
      </w:r>
      <w:r w:rsidR="003A46A1" w:rsidRPr="00B25E57">
        <w:rPr>
          <w:lang w:val="es-ES_tradnl"/>
        </w:rPr>
        <w:t xml:space="preserve"> </w:t>
      </w:r>
      <w:r w:rsidR="00FB38C2" w:rsidRPr="00B25E57">
        <w:rPr>
          <w:lang w:val="es-ES_tradnl"/>
        </w:rPr>
        <w:t>de</w:t>
      </w:r>
      <w:r w:rsidR="00825BB8">
        <w:rPr>
          <w:lang w:val="es-ES_tradnl"/>
        </w:rPr>
        <w:t>l</w:t>
      </w:r>
      <w:r w:rsidR="003A46A1" w:rsidRPr="00B25E57">
        <w:rPr>
          <w:lang w:val="es-ES_tradnl"/>
        </w:rPr>
        <w:t xml:space="preserve"> </w:t>
      </w:r>
      <w:r w:rsidR="008B024B">
        <w:rPr>
          <w:lang w:val="es-ES_tradnl"/>
        </w:rPr>
        <w:t>lucro cesante</w:t>
      </w:r>
      <w:r w:rsidR="003A46A1" w:rsidRPr="00B25E57">
        <w:rPr>
          <w:lang w:val="es-ES_tradnl"/>
        </w:rPr>
        <w:t xml:space="preserve"> </w:t>
      </w:r>
      <w:r w:rsidR="0097673C">
        <w:rPr>
          <w:lang w:val="es-ES_tradnl"/>
        </w:rPr>
        <w:t xml:space="preserve">causado </w:t>
      </w:r>
      <w:r w:rsidR="00CC60EA">
        <w:rPr>
          <w:lang w:val="es-ES_tradnl"/>
        </w:rPr>
        <w:t xml:space="preserve">por la </w:t>
      </w:r>
      <w:r w:rsidR="00CC60EA" w:rsidRPr="00CC60EA">
        <w:rPr>
          <w:lang w:val="es-ES_tradnl"/>
        </w:rPr>
        <w:t xml:space="preserve">menor producción </w:t>
      </w:r>
      <w:r w:rsidR="00CC60EA">
        <w:rPr>
          <w:lang w:val="es-ES_tradnl"/>
        </w:rPr>
        <w:t xml:space="preserve">en </w:t>
      </w:r>
      <w:r w:rsidR="00207150" w:rsidRPr="00B25E57">
        <w:rPr>
          <w:lang w:val="es-ES_tradnl"/>
        </w:rPr>
        <w:t>2025</w:t>
      </w:r>
      <w:r w:rsidR="00FB38C2" w:rsidRPr="00B25E57">
        <w:rPr>
          <w:lang w:val="es-ES_tradnl"/>
        </w:rPr>
        <w:t>-</w:t>
      </w:r>
      <w:r w:rsidR="00AF3C12" w:rsidRPr="00B25E57">
        <w:rPr>
          <w:lang w:val="es-ES_tradnl"/>
        </w:rPr>
        <w:t>2029.</w:t>
      </w:r>
      <w:r w:rsidR="003A46A1" w:rsidRPr="00B25E57">
        <w:rPr>
          <w:lang w:val="es-ES_tradnl"/>
        </w:rPr>
        <w:t xml:space="preserve"> </w:t>
      </w:r>
      <w:r w:rsidR="001B5A33">
        <w:rPr>
          <w:lang w:val="es-ES_tradnl"/>
        </w:rPr>
        <w:t xml:space="preserve">El </w:t>
      </w:r>
      <w:r w:rsidR="00E67096" w:rsidRPr="00E67096">
        <w:rPr>
          <w:lang w:val="es-ES_tradnl"/>
        </w:rPr>
        <w:t xml:space="preserve">Cuadro 7 muestra </w:t>
      </w:r>
      <w:r w:rsidR="00E67096">
        <w:rPr>
          <w:lang w:val="es-ES_tradnl"/>
        </w:rPr>
        <w:t xml:space="preserve">el </w:t>
      </w:r>
      <w:r w:rsidR="001B5A33">
        <w:rPr>
          <w:lang w:val="es-ES_tradnl"/>
        </w:rPr>
        <w:t>lucro</w:t>
      </w:r>
      <w:r w:rsidR="008B024B">
        <w:rPr>
          <w:lang w:val="es-ES_tradnl"/>
        </w:rPr>
        <w:t xml:space="preserve"> cesante</w:t>
      </w:r>
      <w:r w:rsidR="003A46A1" w:rsidRPr="00B25E57">
        <w:rPr>
          <w:lang w:val="es-ES_tradnl"/>
        </w:rPr>
        <w:t xml:space="preserve"> </w:t>
      </w:r>
      <w:r w:rsidR="001B5A33">
        <w:rPr>
          <w:lang w:val="es-ES_tradnl"/>
        </w:rPr>
        <w:t>solicita</w:t>
      </w:r>
      <w:r w:rsidR="0078041F">
        <w:rPr>
          <w:lang w:val="es-ES_tradnl"/>
        </w:rPr>
        <w:t>do</w:t>
      </w:r>
      <w:r w:rsidR="0027037E">
        <w:rPr>
          <w:lang w:val="es-ES_tradnl"/>
        </w:rPr>
        <w:t xml:space="preserve"> como parte</w:t>
      </w:r>
      <w:r w:rsidR="003A46A1" w:rsidRPr="00B25E57">
        <w:rPr>
          <w:lang w:val="es-ES_tradnl"/>
        </w:rPr>
        <w:t xml:space="preserve"> </w:t>
      </w:r>
      <w:r w:rsidR="007B22B4" w:rsidRPr="00B25E57">
        <w:rPr>
          <w:lang w:val="es-ES_tradnl"/>
        </w:rPr>
        <w:t>del</w:t>
      </w:r>
      <w:r w:rsidR="003A46A1" w:rsidRPr="00B25E57">
        <w:rPr>
          <w:lang w:val="es-ES_tradnl"/>
        </w:rPr>
        <w:t xml:space="preserve"> </w:t>
      </w:r>
      <w:r w:rsidR="004241C5" w:rsidRPr="00B25E57">
        <w:rPr>
          <w:lang w:val="es-ES_tradnl"/>
        </w:rPr>
        <w:t>financiamiento</w:t>
      </w:r>
      <w:r w:rsidR="003A46A1" w:rsidRPr="00B25E57">
        <w:rPr>
          <w:lang w:val="es-ES_tradnl"/>
        </w:rPr>
        <w:t xml:space="preserve"> </w:t>
      </w:r>
      <w:r w:rsidR="0027037E">
        <w:rPr>
          <w:lang w:val="es-ES_tradnl"/>
        </w:rPr>
        <w:t>de los tres</w:t>
      </w:r>
      <w:r w:rsidR="003A46A1" w:rsidRPr="00B25E57">
        <w:rPr>
          <w:lang w:val="es-ES_tradnl"/>
        </w:rPr>
        <w:t xml:space="preserve"> </w:t>
      </w:r>
      <w:r w:rsidR="0061462C">
        <w:rPr>
          <w:lang w:val="es-ES_tradnl"/>
        </w:rPr>
        <w:t>escenario</w:t>
      </w:r>
      <w:r w:rsidR="002145C8" w:rsidRPr="00B25E57">
        <w:rPr>
          <w:lang w:val="es-ES_tradnl"/>
        </w:rPr>
        <w:t>s</w:t>
      </w:r>
      <w:r w:rsidR="003A46A1" w:rsidRPr="00B25E57">
        <w:rPr>
          <w:lang w:val="es-ES_tradnl"/>
        </w:rPr>
        <w:t xml:space="preserve"> </w:t>
      </w:r>
      <w:r w:rsidR="00BE6252">
        <w:rPr>
          <w:lang w:val="es-ES_tradnl"/>
        </w:rPr>
        <w:t xml:space="preserve">de la </w:t>
      </w:r>
      <w:r w:rsidR="00F33C58" w:rsidRPr="00B25E57">
        <w:rPr>
          <w:lang w:val="es-ES_tradnl"/>
        </w:rPr>
        <w:t>Opción</w:t>
      </w:r>
      <w:r w:rsidR="003A46A1" w:rsidRPr="00B25E57">
        <w:rPr>
          <w:lang w:val="es-ES_tradnl"/>
        </w:rPr>
        <w:t xml:space="preserve"> </w:t>
      </w:r>
      <w:r w:rsidR="002145C8" w:rsidRPr="00B25E57">
        <w:rPr>
          <w:lang w:val="es-ES_tradnl"/>
        </w:rPr>
        <w:t>2</w:t>
      </w:r>
      <w:r w:rsidR="00AF3C12" w:rsidRPr="00B25E57">
        <w:rPr>
          <w:lang w:val="es-ES_tradnl"/>
        </w:rPr>
        <w:t>.</w:t>
      </w:r>
    </w:p>
    <w:p w14:paraId="2BCC541A" w14:textId="630D9AB3" w:rsidR="00436C92" w:rsidRPr="00B25E57" w:rsidRDefault="00FB38C2" w:rsidP="008504BB">
      <w:pPr>
        <w:keepNext/>
        <w:keepLines/>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436C92" w:rsidRPr="00B25E57">
        <w:rPr>
          <w:b/>
          <w:sz w:val="21"/>
          <w:szCs w:val="21"/>
          <w:lang w:val="es-ES_tradnl"/>
        </w:rPr>
        <w:t>7</w:t>
      </w:r>
      <w:r w:rsidR="00C94735" w:rsidRPr="00B25E57">
        <w:rPr>
          <w:b/>
          <w:sz w:val="21"/>
          <w:szCs w:val="21"/>
          <w:lang w:val="es-ES_tradnl"/>
        </w:rPr>
        <w:t>.</w:t>
      </w:r>
      <w:r w:rsidR="003A46A1" w:rsidRPr="00B25E57">
        <w:rPr>
          <w:b/>
          <w:sz w:val="21"/>
          <w:szCs w:val="21"/>
          <w:lang w:val="es-ES_tradnl"/>
        </w:rPr>
        <w:t xml:space="preserve"> </w:t>
      </w:r>
      <w:r w:rsidR="004241C5" w:rsidRPr="00B25E57">
        <w:rPr>
          <w:b/>
          <w:sz w:val="21"/>
          <w:szCs w:val="21"/>
          <w:lang w:val="es-ES_tradnl"/>
        </w:rPr>
        <w:t>Costo</w:t>
      </w:r>
      <w:r w:rsidR="003A46A1" w:rsidRPr="00B25E57">
        <w:rPr>
          <w:b/>
          <w:sz w:val="21"/>
          <w:szCs w:val="21"/>
          <w:lang w:val="es-ES_tradnl"/>
        </w:rPr>
        <w:t xml:space="preserve"> </w:t>
      </w:r>
      <w:r w:rsidR="004241C5" w:rsidRPr="00B25E57">
        <w:rPr>
          <w:b/>
          <w:sz w:val="21"/>
          <w:szCs w:val="21"/>
          <w:lang w:val="es-ES_tradnl"/>
        </w:rPr>
        <w:t>total</w:t>
      </w:r>
      <w:r w:rsidR="003A46A1" w:rsidRPr="00B25E57">
        <w:rPr>
          <w:b/>
          <w:sz w:val="21"/>
          <w:szCs w:val="21"/>
          <w:lang w:val="es-ES_tradnl"/>
        </w:rPr>
        <w:t xml:space="preserve"> </w:t>
      </w:r>
      <w:r w:rsidR="00335A3E">
        <w:rPr>
          <w:b/>
          <w:sz w:val="21"/>
          <w:szCs w:val="21"/>
          <w:lang w:val="es-ES_tradnl"/>
        </w:rPr>
        <w:t>de reacondicionar</w:t>
      </w:r>
      <w:r w:rsidR="003A46A1" w:rsidRPr="00B25E57">
        <w:rPr>
          <w:b/>
          <w:sz w:val="21"/>
          <w:szCs w:val="21"/>
          <w:lang w:val="es-ES_tradnl"/>
        </w:rPr>
        <w:t xml:space="preserve"> </w:t>
      </w:r>
      <w:r w:rsidRPr="00B25E57">
        <w:rPr>
          <w:b/>
          <w:sz w:val="21"/>
          <w:szCs w:val="21"/>
          <w:lang w:val="es-ES_tradnl"/>
        </w:rPr>
        <w:t>y</w:t>
      </w:r>
      <w:r w:rsidR="003A46A1" w:rsidRPr="00B25E57">
        <w:rPr>
          <w:b/>
          <w:sz w:val="21"/>
          <w:szCs w:val="21"/>
          <w:lang w:val="es-ES_tradnl"/>
        </w:rPr>
        <w:t xml:space="preserve"> </w:t>
      </w:r>
      <w:r w:rsidR="004C065D">
        <w:rPr>
          <w:b/>
          <w:sz w:val="21"/>
          <w:szCs w:val="21"/>
          <w:lang w:val="es-ES_tradnl"/>
        </w:rPr>
        <w:t>operar</w:t>
      </w:r>
      <w:r w:rsidR="003A46A1" w:rsidRPr="00B25E57">
        <w:rPr>
          <w:b/>
          <w:sz w:val="21"/>
          <w:szCs w:val="21"/>
          <w:lang w:val="es-ES_tradnl"/>
        </w:rPr>
        <w:t xml:space="preserve"> </w:t>
      </w:r>
      <w:r w:rsidR="00C95B4F">
        <w:rPr>
          <w:b/>
          <w:sz w:val="21"/>
          <w:szCs w:val="21"/>
          <w:lang w:val="es-ES_tradnl"/>
        </w:rPr>
        <w:t>el incinerador</w:t>
      </w:r>
      <w:r w:rsidR="00D47EA4" w:rsidRPr="00B25E57">
        <w:rPr>
          <w:b/>
          <w:sz w:val="21"/>
          <w:szCs w:val="21"/>
          <w:lang w:val="es-ES_tradnl"/>
        </w:rPr>
        <w:t>,</w:t>
      </w:r>
      <w:r w:rsidR="003A46A1" w:rsidRPr="00B25E57">
        <w:rPr>
          <w:b/>
          <w:sz w:val="21"/>
          <w:szCs w:val="21"/>
          <w:lang w:val="es-ES_tradnl"/>
        </w:rPr>
        <w:t xml:space="preserve"> </w:t>
      </w:r>
      <w:r w:rsidR="004057BA" w:rsidRPr="00B25E57">
        <w:rPr>
          <w:b/>
          <w:sz w:val="21"/>
          <w:szCs w:val="21"/>
          <w:lang w:val="es-ES_tradnl"/>
        </w:rPr>
        <w:t>incluyendo</w:t>
      </w:r>
      <w:r w:rsidR="003A46A1" w:rsidRPr="00B25E57">
        <w:rPr>
          <w:b/>
          <w:sz w:val="21"/>
          <w:szCs w:val="21"/>
          <w:lang w:val="es-ES_tradnl"/>
        </w:rPr>
        <w:t xml:space="preserve"> </w:t>
      </w:r>
      <w:r w:rsidR="008B024B">
        <w:rPr>
          <w:b/>
          <w:sz w:val="21"/>
          <w:szCs w:val="21"/>
          <w:lang w:val="es-ES_tradnl"/>
        </w:rPr>
        <w:t>lucro cesante</w:t>
      </w:r>
      <w:r w:rsidR="003A46A1" w:rsidRPr="00B25E57">
        <w:rPr>
          <w:b/>
          <w:sz w:val="21"/>
          <w:szCs w:val="21"/>
          <w:lang w:val="es-ES_tradnl"/>
        </w:rPr>
        <w:t xml:space="preserve"> </w:t>
      </w:r>
      <w:r w:rsidR="004057BA" w:rsidRPr="00B25E57">
        <w:rPr>
          <w:b/>
          <w:sz w:val="21"/>
          <w:szCs w:val="21"/>
          <w:lang w:val="es-ES_tradnl"/>
        </w:rPr>
        <w:t>($EUA)</w:t>
      </w:r>
    </w:p>
    <w:tbl>
      <w:tblPr>
        <w:tblW w:w="9606" w:type="dxa"/>
        <w:tblLayout w:type="fixed"/>
        <w:tblLook w:val="04A0" w:firstRow="1" w:lastRow="0" w:firstColumn="1" w:lastColumn="0" w:noHBand="0" w:noVBand="1"/>
      </w:tblPr>
      <w:tblGrid>
        <w:gridCol w:w="2943"/>
        <w:gridCol w:w="1394"/>
        <w:gridCol w:w="1643"/>
        <w:gridCol w:w="1642"/>
        <w:gridCol w:w="1984"/>
      </w:tblGrid>
      <w:tr w:rsidR="00436C92" w:rsidRPr="00B25E57" w14:paraId="44BFD0B3" w14:textId="77777777" w:rsidTr="00BA7F82">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37F8" w14:textId="420145B5" w:rsidR="00436C92" w:rsidRPr="00B25E57" w:rsidRDefault="004241C5" w:rsidP="00E36EBE">
            <w:pPr>
              <w:jc w:val="left"/>
              <w:rPr>
                <w:b/>
                <w:bCs/>
                <w:color w:val="000000"/>
                <w:sz w:val="21"/>
                <w:szCs w:val="21"/>
                <w:lang w:val="es-ES_tradnl" w:eastAsia="en-CA"/>
              </w:rPr>
            </w:pPr>
            <w:r w:rsidRPr="00B25E57">
              <w:rPr>
                <w:b/>
                <w:bCs/>
                <w:color w:val="000000"/>
                <w:sz w:val="21"/>
                <w:szCs w:val="21"/>
                <w:lang w:val="es-ES_tradnl" w:eastAsia="en-CA"/>
              </w:rPr>
              <w:t>Descripción</w:t>
            </w:r>
          </w:p>
        </w:tc>
        <w:tc>
          <w:tcPr>
            <w:tcW w:w="66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470CB8" w14:textId="0F553779" w:rsidR="00436C92" w:rsidRPr="00B25E57" w:rsidRDefault="0061462C" w:rsidP="00DB1B6D">
            <w:pPr>
              <w:jc w:val="center"/>
              <w:rPr>
                <w:b/>
                <w:bCs/>
                <w:color w:val="000000"/>
                <w:sz w:val="21"/>
                <w:szCs w:val="21"/>
                <w:lang w:val="es-ES_tradnl" w:eastAsia="en-CA"/>
              </w:rPr>
            </w:pPr>
            <w:r>
              <w:rPr>
                <w:b/>
                <w:bCs/>
                <w:color w:val="000000"/>
                <w:sz w:val="21"/>
                <w:szCs w:val="21"/>
                <w:lang w:val="es-ES_tradnl" w:eastAsia="en-CA"/>
              </w:rPr>
              <w:t>Escenario</w:t>
            </w:r>
            <w:r w:rsidR="00436C92" w:rsidRPr="00B25E57">
              <w:rPr>
                <w:b/>
                <w:bCs/>
                <w:color w:val="000000"/>
                <w:sz w:val="21"/>
                <w:szCs w:val="21"/>
                <w:lang w:val="es-ES_tradnl" w:eastAsia="en-CA"/>
              </w:rPr>
              <w:t>s</w:t>
            </w:r>
            <w:r w:rsidR="003A46A1" w:rsidRPr="00B25E57">
              <w:rPr>
                <w:b/>
                <w:bCs/>
                <w:color w:val="000000"/>
                <w:sz w:val="21"/>
                <w:szCs w:val="21"/>
                <w:lang w:val="es-ES_tradnl" w:eastAsia="en-CA"/>
              </w:rPr>
              <w:t xml:space="preserve"> </w:t>
            </w:r>
            <w:r w:rsidR="00DB1B6D">
              <w:rPr>
                <w:b/>
                <w:bCs/>
                <w:color w:val="000000"/>
                <w:sz w:val="21"/>
                <w:szCs w:val="21"/>
                <w:lang w:val="es-ES_tradnl" w:eastAsia="en-CA"/>
              </w:rPr>
              <w:t>de</w:t>
            </w:r>
            <w:r w:rsidR="003A46A1" w:rsidRPr="00B25E57">
              <w:rPr>
                <w:b/>
                <w:bCs/>
                <w:color w:val="000000"/>
                <w:sz w:val="21"/>
                <w:szCs w:val="21"/>
                <w:lang w:val="es-ES_tradnl" w:eastAsia="en-CA"/>
              </w:rPr>
              <w:t xml:space="preserve"> </w:t>
            </w:r>
            <w:r w:rsidR="004512EA" w:rsidRPr="00B25E57">
              <w:rPr>
                <w:b/>
                <w:bCs/>
                <w:color w:val="000000"/>
                <w:sz w:val="21"/>
                <w:szCs w:val="21"/>
                <w:lang w:val="es-ES_tradnl" w:eastAsia="en-CA"/>
              </w:rPr>
              <w:t>cierre</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w:t>
            </w:r>
            <w:r w:rsidR="00FB38C2" w:rsidRPr="00B25E57">
              <w:rPr>
                <w:b/>
                <w:bCs/>
                <w:color w:val="000000"/>
                <w:sz w:val="21"/>
                <w:szCs w:val="21"/>
                <w:lang w:val="es-ES_tradnl" w:eastAsia="en-CA"/>
              </w:rPr>
              <w:t>Cuadro</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2)</w:t>
            </w:r>
          </w:p>
        </w:tc>
      </w:tr>
      <w:tr w:rsidR="00436C92" w:rsidRPr="00B25E57" w14:paraId="5E38E19A"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DB64569" w14:textId="77777777" w:rsidR="00436C92" w:rsidRPr="00B25E57" w:rsidRDefault="00436C92" w:rsidP="00E36EBE">
            <w:pPr>
              <w:jc w:val="left"/>
              <w:rPr>
                <w:b/>
                <w:bCs/>
                <w:color w:val="000000"/>
                <w:sz w:val="21"/>
                <w:szCs w:val="21"/>
                <w:lang w:val="es-ES_tradnl" w:eastAsia="en-CA"/>
              </w:rPr>
            </w:pPr>
          </w:p>
        </w:tc>
        <w:tc>
          <w:tcPr>
            <w:tcW w:w="1394" w:type="dxa"/>
            <w:tcBorders>
              <w:top w:val="nil"/>
              <w:left w:val="nil"/>
              <w:bottom w:val="single" w:sz="4" w:space="0" w:color="auto"/>
              <w:right w:val="single" w:sz="4" w:space="0" w:color="auto"/>
            </w:tcBorders>
            <w:shd w:val="clear" w:color="auto" w:fill="auto"/>
            <w:noWrap/>
            <w:vAlign w:val="bottom"/>
            <w:hideMark/>
          </w:tcPr>
          <w:p w14:paraId="24919394" w14:textId="5008E107" w:rsidR="00436C92" w:rsidRPr="00B25E57" w:rsidRDefault="00436C92" w:rsidP="00DD07B5">
            <w:pPr>
              <w:jc w:val="center"/>
              <w:rPr>
                <w:b/>
                <w:bCs/>
                <w:color w:val="000000"/>
                <w:sz w:val="21"/>
                <w:szCs w:val="21"/>
                <w:lang w:val="es-ES_tradnl" w:eastAsia="en-CA"/>
              </w:rPr>
            </w:pPr>
            <w:r w:rsidRPr="00B25E57">
              <w:rPr>
                <w:b/>
                <w:bCs/>
                <w:color w:val="000000"/>
                <w:sz w:val="21"/>
                <w:szCs w:val="21"/>
                <w:lang w:val="es-ES_tradnl" w:eastAsia="en-CA"/>
              </w:rPr>
              <w:t>A</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Pr="00B25E57">
              <w:rPr>
                <w:b/>
                <w:bCs/>
                <w:color w:val="000000"/>
                <w:sz w:val="21"/>
                <w:szCs w:val="21"/>
                <w:lang w:val="es-ES_tradnl" w:eastAsia="en-CA"/>
              </w:rPr>
              <w:t>1</w:t>
            </w:r>
          </w:p>
        </w:tc>
        <w:tc>
          <w:tcPr>
            <w:tcW w:w="1643" w:type="dxa"/>
            <w:tcBorders>
              <w:top w:val="nil"/>
              <w:left w:val="nil"/>
              <w:bottom w:val="single" w:sz="4" w:space="0" w:color="auto"/>
              <w:right w:val="single" w:sz="4" w:space="0" w:color="auto"/>
            </w:tcBorders>
            <w:shd w:val="clear" w:color="auto" w:fill="auto"/>
            <w:noWrap/>
            <w:vAlign w:val="bottom"/>
            <w:hideMark/>
          </w:tcPr>
          <w:p w14:paraId="7FD764B6" w14:textId="52DB14E2" w:rsidR="00436C92" w:rsidRPr="00B25E57" w:rsidRDefault="00436C92" w:rsidP="00DD07B5">
            <w:pPr>
              <w:jc w:val="center"/>
              <w:rPr>
                <w:b/>
                <w:bCs/>
                <w:color w:val="000000"/>
                <w:sz w:val="21"/>
                <w:szCs w:val="21"/>
                <w:lang w:val="es-ES_tradnl" w:eastAsia="en-CA"/>
              </w:rPr>
            </w:pPr>
            <w:r w:rsidRPr="00B25E57">
              <w:rPr>
                <w:b/>
                <w:bCs/>
                <w:color w:val="000000"/>
                <w:sz w:val="21"/>
                <w:szCs w:val="21"/>
                <w:lang w:val="es-ES_tradnl" w:eastAsia="en-CA"/>
              </w:rPr>
              <w:t>B</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Pr="00B25E57">
              <w:rPr>
                <w:b/>
                <w:bCs/>
                <w:color w:val="000000"/>
                <w:sz w:val="21"/>
                <w:szCs w:val="21"/>
                <w:lang w:val="es-ES_tradnl" w:eastAsia="en-CA"/>
              </w:rPr>
              <w:t>1</w:t>
            </w:r>
          </w:p>
        </w:tc>
        <w:tc>
          <w:tcPr>
            <w:tcW w:w="1642" w:type="dxa"/>
            <w:tcBorders>
              <w:top w:val="nil"/>
              <w:left w:val="nil"/>
              <w:bottom w:val="single" w:sz="4" w:space="0" w:color="auto"/>
              <w:right w:val="single" w:sz="4" w:space="0" w:color="auto"/>
            </w:tcBorders>
            <w:shd w:val="clear" w:color="auto" w:fill="auto"/>
            <w:noWrap/>
            <w:vAlign w:val="bottom"/>
            <w:hideMark/>
          </w:tcPr>
          <w:p w14:paraId="053F930E" w14:textId="4E9F9B11" w:rsidR="00436C92" w:rsidRPr="00B25E57" w:rsidRDefault="00436C92" w:rsidP="00DD07B5">
            <w:pPr>
              <w:jc w:val="center"/>
              <w:rPr>
                <w:b/>
                <w:bCs/>
                <w:color w:val="000000"/>
                <w:sz w:val="21"/>
                <w:szCs w:val="21"/>
                <w:lang w:val="es-ES_tradnl" w:eastAsia="en-CA"/>
              </w:rPr>
            </w:pPr>
            <w:r w:rsidRPr="00B25E57">
              <w:rPr>
                <w:b/>
                <w:bCs/>
                <w:color w:val="000000"/>
                <w:sz w:val="21"/>
                <w:szCs w:val="21"/>
                <w:lang w:val="es-ES_tradnl" w:eastAsia="en-CA"/>
              </w:rPr>
              <w:t>C</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Pr="00B25E57">
              <w:rPr>
                <w:b/>
                <w:bCs/>
                <w:color w:val="000000"/>
                <w:sz w:val="21"/>
                <w:szCs w:val="21"/>
                <w:lang w:val="es-ES_tradnl" w:eastAsia="en-CA"/>
              </w:rPr>
              <w:t>1</w:t>
            </w:r>
          </w:p>
        </w:tc>
        <w:tc>
          <w:tcPr>
            <w:tcW w:w="1984" w:type="dxa"/>
            <w:tcBorders>
              <w:top w:val="nil"/>
              <w:left w:val="nil"/>
              <w:bottom w:val="single" w:sz="4" w:space="0" w:color="auto"/>
              <w:right w:val="single" w:sz="4" w:space="0" w:color="auto"/>
            </w:tcBorders>
            <w:shd w:val="clear" w:color="auto" w:fill="auto"/>
            <w:noWrap/>
            <w:vAlign w:val="bottom"/>
            <w:hideMark/>
          </w:tcPr>
          <w:p w14:paraId="72F93A27" w14:textId="7B3D64C9" w:rsidR="00436C92" w:rsidRPr="00B25E57" w:rsidRDefault="00436C92" w:rsidP="00DD07B5">
            <w:pPr>
              <w:jc w:val="center"/>
              <w:rPr>
                <w:b/>
                <w:bCs/>
                <w:color w:val="000000"/>
                <w:sz w:val="21"/>
                <w:szCs w:val="21"/>
                <w:lang w:val="es-ES_tradnl" w:eastAsia="en-CA"/>
              </w:rPr>
            </w:pPr>
            <w:r w:rsidRPr="00B25E57">
              <w:rPr>
                <w:b/>
                <w:bCs/>
                <w:color w:val="000000"/>
                <w:sz w:val="21"/>
                <w:szCs w:val="21"/>
                <w:lang w:val="es-ES_tradnl" w:eastAsia="en-CA"/>
              </w:rPr>
              <w:t>D</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Pr="00B25E57">
              <w:rPr>
                <w:b/>
                <w:bCs/>
                <w:color w:val="000000"/>
                <w:sz w:val="21"/>
                <w:szCs w:val="21"/>
                <w:lang w:val="es-ES_tradnl" w:eastAsia="en-CA"/>
              </w:rPr>
              <w:t>1</w:t>
            </w:r>
          </w:p>
        </w:tc>
      </w:tr>
      <w:tr w:rsidR="000C404A" w:rsidRPr="00B25E57" w14:paraId="657ACF43"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tcPr>
          <w:p w14:paraId="4733BF77" w14:textId="0F356475" w:rsidR="000C404A" w:rsidRPr="00B25E57" w:rsidRDefault="0061462C" w:rsidP="00E36EBE">
            <w:pPr>
              <w:jc w:val="left"/>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0C404A" w:rsidRPr="00B25E57">
              <w:rPr>
                <w:b/>
                <w:bCs/>
                <w:color w:val="000000"/>
                <w:sz w:val="21"/>
                <w:szCs w:val="21"/>
                <w:lang w:val="es-ES_tradnl" w:eastAsia="en-CA"/>
              </w:rPr>
              <w:t>A</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0C404A" w:rsidRPr="00B25E57">
              <w:rPr>
                <w:b/>
                <w:bCs/>
                <w:color w:val="000000"/>
                <w:sz w:val="21"/>
                <w:szCs w:val="21"/>
                <w:lang w:val="es-ES_tradnl" w:eastAsia="en-CA"/>
              </w:rPr>
              <w:t>2</w:t>
            </w:r>
          </w:p>
        </w:tc>
        <w:tc>
          <w:tcPr>
            <w:tcW w:w="1394" w:type="dxa"/>
            <w:tcBorders>
              <w:top w:val="nil"/>
              <w:left w:val="nil"/>
              <w:bottom w:val="single" w:sz="4" w:space="0" w:color="auto"/>
              <w:right w:val="single" w:sz="4" w:space="0" w:color="auto"/>
            </w:tcBorders>
            <w:shd w:val="clear" w:color="auto" w:fill="auto"/>
            <w:noWrap/>
            <w:vAlign w:val="bottom"/>
          </w:tcPr>
          <w:p w14:paraId="27450F00" w14:textId="77777777" w:rsidR="000C404A" w:rsidRPr="00B25E57" w:rsidRDefault="000C404A" w:rsidP="00DD07B5">
            <w:pPr>
              <w:jc w:val="center"/>
              <w:rPr>
                <w:b/>
                <w:bCs/>
                <w:color w:val="000000"/>
                <w:sz w:val="21"/>
                <w:szCs w:val="21"/>
                <w:lang w:val="es-ES_tradnl" w:eastAsia="en-CA"/>
              </w:rPr>
            </w:pPr>
          </w:p>
        </w:tc>
        <w:tc>
          <w:tcPr>
            <w:tcW w:w="1643" w:type="dxa"/>
            <w:tcBorders>
              <w:top w:val="nil"/>
              <w:left w:val="nil"/>
              <w:bottom w:val="single" w:sz="4" w:space="0" w:color="auto"/>
              <w:right w:val="single" w:sz="4" w:space="0" w:color="auto"/>
            </w:tcBorders>
            <w:shd w:val="clear" w:color="auto" w:fill="auto"/>
            <w:noWrap/>
            <w:vAlign w:val="bottom"/>
          </w:tcPr>
          <w:p w14:paraId="1F5D3384" w14:textId="77777777" w:rsidR="000C404A" w:rsidRPr="00B25E57" w:rsidRDefault="000C404A" w:rsidP="00DD07B5">
            <w:pPr>
              <w:jc w:val="center"/>
              <w:rPr>
                <w:b/>
                <w:bCs/>
                <w:color w:val="000000"/>
                <w:sz w:val="21"/>
                <w:szCs w:val="21"/>
                <w:lang w:val="es-ES_tradnl" w:eastAsia="en-CA"/>
              </w:rPr>
            </w:pPr>
          </w:p>
        </w:tc>
        <w:tc>
          <w:tcPr>
            <w:tcW w:w="1642" w:type="dxa"/>
            <w:tcBorders>
              <w:top w:val="nil"/>
              <w:left w:val="nil"/>
              <w:bottom w:val="single" w:sz="4" w:space="0" w:color="auto"/>
              <w:right w:val="single" w:sz="4" w:space="0" w:color="auto"/>
            </w:tcBorders>
            <w:shd w:val="clear" w:color="auto" w:fill="auto"/>
            <w:noWrap/>
            <w:vAlign w:val="bottom"/>
          </w:tcPr>
          <w:p w14:paraId="558E117D" w14:textId="77777777" w:rsidR="000C404A" w:rsidRPr="00B25E57" w:rsidRDefault="000C404A" w:rsidP="00DD07B5">
            <w:pPr>
              <w:jc w:val="center"/>
              <w:rPr>
                <w:b/>
                <w:bCs/>
                <w:color w:val="000000"/>
                <w:sz w:val="21"/>
                <w:szCs w:val="21"/>
                <w:lang w:val="es-ES_tradnl" w:eastAsia="en-CA"/>
              </w:rPr>
            </w:pPr>
          </w:p>
        </w:tc>
        <w:tc>
          <w:tcPr>
            <w:tcW w:w="1984" w:type="dxa"/>
            <w:tcBorders>
              <w:top w:val="nil"/>
              <w:left w:val="nil"/>
              <w:bottom w:val="single" w:sz="4" w:space="0" w:color="auto"/>
              <w:right w:val="single" w:sz="4" w:space="0" w:color="auto"/>
            </w:tcBorders>
            <w:shd w:val="clear" w:color="auto" w:fill="auto"/>
            <w:noWrap/>
            <w:vAlign w:val="bottom"/>
          </w:tcPr>
          <w:p w14:paraId="4641CDA3" w14:textId="77777777" w:rsidR="000C404A" w:rsidRPr="00B25E57" w:rsidRDefault="000C404A" w:rsidP="00DD07B5">
            <w:pPr>
              <w:jc w:val="center"/>
              <w:rPr>
                <w:b/>
                <w:bCs/>
                <w:color w:val="000000"/>
                <w:sz w:val="21"/>
                <w:szCs w:val="21"/>
                <w:lang w:val="es-ES_tradnl" w:eastAsia="en-CA"/>
              </w:rPr>
            </w:pPr>
          </w:p>
        </w:tc>
      </w:tr>
      <w:tr w:rsidR="00436C92" w:rsidRPr="00B25E57" w14:paraId="5995890B"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336E3081" w14:textId="2ACAAD28" w:rsidR="00436C92" w:rsidRPr="00B25E57" w:rsidRDefault="00052F8B" w:rsidP="00E36EBE">
            <w:pPr>
              <w:jc w:val="left"/>
              <w:rPr>
                <w:color w:val="000000"/>
                <w:sz w:val="21"/>
                <w:szCs w:val="21"/>
                <w:lang w:val="es-ES_tradnl" w:eastAsia="en-CA"/>
              </w:rPr>
            </w:pPr>
            <w:r>
              <w:rPr>
                <w:color w:val="000000"/>
                <w:sz w:val="21"/>
                <w:szCs w:val="21"/>
                <w:lang w:val="es-ES_tradnl" w:eastAsia="en-CA"/>
              </w:rPr>
              <w:t>Costos de incineración</w:t>
            </w:r>
          </w:p>
        </w:tc>
        <w:tc>
          <w:tcPr>
            <w:tcW w:w="1394" w:type="dxa"/>
            <w:tcBorders>
              <w:top w:val="nil"/>
              <w:left w:val="nil"/>
              <w:bottom w:val="single" w:sz="4" w:space="0" w:color="auto"/>
              <w:right w:val="single" w:sz="4" w:space="0" w:color="auto"/>
            </w:tcBorders>
            <w:shd w:val="clear" w:color="auto" w:fill="auto"/>
            <w:noWrap/>
            <w:hideMark/>
          </w:tcPr>
          <w:p w14:paraId="2547A5AC" w14:textId="28A8A2D2"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3.</w:t>
            </w:r>
            <w:r w:rsidR="00436C92" w:rsidRPr="00B25E57">
              <w:rPr>
                <w:color w:val="000000"/>
                <w:sz w:val="21"/>
                <w:szCs w:val="21"/>
                <w:lang w:val="es-ES_tradnl" w:eastAsia="en-CA"/>
              </w:rPr>
              <w:t>75</w:t>
            </w:r>
            <w:r w:rsidRPr="00B25E57">
              <w:rPr>
                <w:color w:val="000000"/>
                <w:sz w:val="21"/>
                <w:szCs w:val="21"/>
                <w:lang w:val="es-ES_tradnl" w:eastAsia="en-CA"/>
              </w:rPr>
              <w:t>3.</w:t>
            </w:r>
            <w:r w:rsidR="00436C92"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48AB8509" w14:textId="05A1A857"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3.</w:t>
            </w:r>
            <w:r w:rsidR="00436C92" w:rsidRPr="00B25E57">
              <w:rPr>
                <w:color w:val="000000"/>
                <w:sz w:val="21"/>
                <w:szCs w:val="21"/>
                <w:lang w:val="es-ES_tradnl" w:eastAsia="en-CA"/>
              </w:rPr>
              <w:t>75</w:t>
            </w:r>
            <w:r w:rsidRPr="00B25E57">
              <w:rPr>
                <w:color w:val="000000"/>
                <w:sz w:val="21"/>
                <w:szCs w:val="21"/>
                <w:lang w:val="es-ES_tradnl" w:eastAsia="en-CA"/>
              </w:rPr>
              <w:t>3.</w:t>
            </w:r>
            <w:r w:rsidR="00436C92"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771B8408" w14:textId="58C5A31C"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3.</w:t>
            </w:r>
            <w:r w:rsidR="00436C92" w:rsidRPr="00B25E57">
              <w:rPr>
                <w:color w:val="000000"/>
                <w:sz w:val="21"/>
                <w:szCs w:val="21"/>
                <w:lang w:val="es-ES_tradnl" w:eastAsia="en-CA"/>
              </w:rPr>
              <w:t>75</w:t>
            </w:r>
            <w:r w:rsidRPr="00B25E57">
              <w:rPr>
                <w:color w:val="000000"/>
                <w:sz w:val="21"/>
                <w:szCs w:val="21"/>
                <w:lang w:val="es-ES_tradnl" w:eastAsia="en-CA"/>
              </w:rPr>
              <w:t>3.</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75A517F8" w14:textId="3D49C3F3"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3.</w:t>
            </w:r>
            <w:r w:rsidR="00436C92" w:rsidRPr="00B25E57">
              <w:rPr>
                <w:color w:val="000000"/>
                <w:sz w:val="21"/>
                <w:szCs w:val="21"/>
                <w:lang w:val="es-ES_tradnl" w:eastAsia="en-CA"/>
              </w:rPr>
              <w:t>75</w:t>
            </w:r>
            <w:r w:rsidRPr="00B25E57">
              <w:rPr>
                <w:color w:val="000000"/>
                <w:sz w:val="21"/>
                <w:szCs w:val="21"/>
                <w:lang w:val="es-ES_tradnl" w:eastAsia="en-CA"/>
              </w:rPr>
              <w:t>3.</w:t>
            </w:r>
            <w:r w:rsidR="00436C92" w:rsidRPr="00B25E57">
              <w:rPr>
                <w:color w:val="000000"/>
                <w:sz w:val="21"/>
                <w:szCs w:val="21"/>
                <w:lang w:val="es-ES_tradnl" w:eastAsia="en-CA"/>
              </w:rPr>
              <w:t>000</w:t>
            </w:r>
          </w:p>
        </w:tc>
      </w:tr>
      <w:tr w:rsidR="00436C92" w:rsidRPr="00B25E57" w14:paraId="0AAA974D"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58B73FE3" w14:textId="0D3C024B" w:rsidR="00436C92" w:rsidRPr="00B25E57" w:rsidRDefault="00F56FE6" w:rsidP="00E36EBE">
            <w:pPr>
              <w:jc w:val="left"/>
              <w:rPr>
                <w:color w:val="000000"/>
                <w:sz w:val="21"/>
                <w:szCs w:val="21"/>
                <w:lang w:val="es-ES_tradnl" w:eastAsia="en-CA"/>
              </w:rPr>
            </w:pPr>
            <w:r>
              <w:rPr>
                <w:color w:val="000000"/>
                <w:sz w:val="21"/>
                <w:szCs w:val="21"/>
                <w:lang w:val="es-ES_tradnl" w:eastAsia="en-CA"/>
              </w:rPr>
              <w:t>VAN</w:t>
            </w:r>
            <w:r w:rsidR="003A46A1" w:rsidRPr="00B25E57">
              <w:rPr>
                <w:color w:val="000000"/>
                <w:sz w:val="21"/>
                <w:szCs w:val="21"/>
                <w:lang w:val="es-ES_tradnl" w:eastAsia="en-CA"/>
              </w:rPr>
              <w:t xml:space="preserve"> </w:t>
            </w:r>
            <w:r w:rsidR="00E36EBE">
              <w:rPr>
                <w:color w:val="000000"/>
                <w:sz w:val="21"/>
                <w:szCs w:val="21"/>
                <w:lang w:val="es-ES_tradnl" w:eastAsia="en-CA"/>
              </w:rPr>
              <w:t>lucro cesante</w:t>
            </w:r>
            <w:r w:rsidR="003A46A1" w:rsidRPr="00B25E57">
              <w:rPr>
                <w:color w:val="000000"/>
                <w:sz w:val="21"/>
                <w:szCs w:val="21"/>
                <w:lang w:val="es-ES_tradnl" w:eastAsia="en-CA"/>
              </w:rPr>
              <w:t xml:space="preserve"> </w:t>
            </w:r>
            <w:r w:rsidR="00EF4C68" w:rsidRPr="00B25E57">
              <w:rPr>
                <w:color w:val="000000"/>
                <w:sz w:val="21"/>
                <w:szCs w:val="21"/>
                <w:lang w:val="es-ES_tradnl" w:eastAsia="en-CA"/>
              </w:rPr>
              <w:t>(2025</w:t>
            </w:r>
            <w:r w:rsidR="00FB38C2" w:rsidRPr="00B25E57">
              <w:rPr>
                <w:color w:val="000000"/>
                <w:sz w:val="21"/>
                <w:szCs w:val="21"/>
                <w:lang w:val="es-ES_tradnl" w:eastAsia="en-CA"/>
              </w:rPr>
              <w:t>-</w:t>
            </w:r>
            <w:r w:rsidR="00EF4C68" w:rsidRPr="00B25E57">
              <w:rPr>
                <w:color w:val="000000"/>
                <w:sz w:val="21"/>
                <w:szCs w:val="21"/>
                <w:lang w:val="es-ES_tradnl" w:eastAsia="en-CA"/>
              </w:rPr>
              <w:t>2029)</w:t>
            </w:r>
          </w:p>
        </w:tc>
        <w:tc>
          <w:tcPr>
            <w:tcW w:w="1394" w:type="dxa"/>
            <w:tcBorders>
              <w:top w:val="nil"/>
              <w:left w:val="nil"/>
              <w:bottom w:val="single" w:sz="4" w:space="0" w:color="auto"/>
              <w:right w:val="single" w:sz="4" w:space="0" w:color="auto"/>
            </w:tcBorders>
            <w:shd w:val="clear" w:color="auto" w:fill="auto"/>
            <w:noWrap/>
            <w:hideMark/>
          </w:tcPr>
          <w:p w14:paraId="091ADFF4" w14:textId="5653083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w:t>
            </w:r>
            <w:r w:rsidR="004241C5" w:rsidRPr="00B25E57">
              <w:rPr>
                <w:color w:val="000000"/>
                <w:sz w:val="21"/>
                <w:szCs w:val="21"/>
                <w:lang w:val="es-ES_tradnl" w:eastAsia="en-CA"/>
              </w:rPr>
              <w:t>9.</w:t>
            </w:r>
            <w:r w:rsidRPr="00B25E57">
              <w:rPr>
                <w:color w:val="000000"/>
                <w:sz w:val="21"/>
                <w:szCs w:val="21"/>
                <w:lang w:val="es-ES_tradnl" w:eastAsia="en-CA"/>
              </w:rPr>
              <w:t>07</w:t>
            </w:r>
            <w:r w:rsidR="00FB38C2" w:rsidRPr="00B25E57">
              <w:rPr>
                <w:color w:val="000000"/>
                <w:sz w:val="21"/>
                <w:szCs w:val="21"/>
                <w:lang w:val="es-ES_tradnl" w:eastAsia="en-CA"/>
              </w:rPr>
              <w:t>3.</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670E4A1D" w14:textId="1A62696A"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4241C5" w:rsidRPr="00B25E57">
              <w:rPr>
                <w:color w:val="000000"/>
                <w:sz w:val="21"/>
                <w:szCs w:val="21"/>
                <w:lang w:val="es-ES_tradnl" w:eastAsia="en-CA"/>
              </w:rPr>
              <w:t>5.</w:t>
            </w:r>
            <w:r w:rsidRPr="00B25E57">
              <w:rPr>
                <w:color w:val="000000"/>
                <w:sz w:val="21"/>
                <w:szCs w:val="21"/>
                <w:lang w:val="es-ES_tradnl" w:eastAsia="en-CA"/>
              </w:rPr>
              <w:t>65</w:t>
            </w:r>
            <w:r w:rsidR="004241C5" w:rsidRPr="00B25E57">
              <w:rPr>
                <w:color w:val="000000"/>
                <w:sz w:val="21"/>
                <w:szCs w:val="21"/>
                <w:lang w:val="es-ES_tradnl" w:eastAsia="en-CA"/>
              </w:rPr>
              <w:t>5.</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2A3E1666" w14:textId="39A79AB6"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7.</w:t>
            </w:r>
            <w:r w:rsidR="00436C92" w:rsidRPr="00B25E57">
              <w:rPr>
                <w:color w:val="000000"/>
                <w:sz w:val="21"/>
                <w:szCs w:val="21"/>
                <w:lang w:val="es-ES_tradnl" w:eastAsia="en-CA"/>
              </w:rPr>
              <w:t>11</w:t>
            </w:r>
            <w:r w:rsidRPr="00B25E57">
              <w:rPr>
                <w:color w:val="000000"/>
                <w:sz w:val="21"/>
                <w:szCs w:val="21"/>
                <w:lang w:val="es-ES_tradnl" w:eastAsia="en-CA"/>
              </w:rPr>
              <w:t>5.</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2AEE150F" w14:textId="1FD48767"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9.</w:t>
            </w:r>
            <w:r w:rsidR="00436C92" w:rsidRPr="00B25E57">
              <w:rPr>
                <w:color w:val="000000"/>
                <w:sz w:val="21"/>
                <w:szCs w:val="21"/>
                <w:lang w:val="es-ES_tradnl" w:eastAsia="en-CA"/>
              </w:rPr>
              <w:t>26</w:t>
            </w:r>
            <w:r w:rsidR="00FB38C2" w:rsidRPr="00B25E57">
              <w:rPr>
                <w:color w:val="000000"/>
                <w:sz w:val="21"/>
                <w:szCs w:val="21"/>
                <w:lang w:val="es-ES_tradnl" w:eastAsia="en-CA"/>
              </w:rPr>
              <w:t>2.</w:t>
            </w:r>
            <w:r w:rsidR="00436C92" w:rsidRPr="00B25E57">
              <w:rPr>
                <w:color w:val="000000"/>
                <w:sz w:val="21"/>
                <w:szCs w:val="21"/>
                <w:lang w:val="es-ES_tradnl" w:eastAsia="en-CA"/>
              </w:rPr>
              <w:t>000</w:t>
            </w:r>
          </w:p>
        </w:tc>
      </w:tr>
      <w:tr w:rsidR="00436C92" w:rsidRPr="00B25E57" w14:paraId="2772D158"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D7B16F3" w14:textId="77777777" w:rsidR="00436C92" w:rsidRPr="00B25E57" w:rsidRDefault="00436C92" w:rsidP="00E36EBE">
            <w:pPr>
              <w:jc w:val="left"/>
              <w:rPr>
                <w:color w:val="000000"/>
                <w:sz w:val="21"/>
                <w:szCs w:val="21"/>
                <w:lang w:val="es-ES_tradnl" w:eastAsia="en-CA"/>
              </w:rPr>
            </w:pPr>
            <w:r w:rsidRPr="00B25E57">
              <w:rPr>
                <w:color w:val="000000"/>
                <w:sz w:val="21"/>
                <w:szCs w:val="21"/>
                <w:lang w:val="es-ES_tradnl" w:eastAsia="en-CA"/>
              </w:rPr>
              <w:t>Total</w:t>
            </w:r>
          </w:p>
        </w:tc>
        <w:tc>
          <w:tcPr>
            <w:tcW w:w="1394" w:type="dxa"/>
            <w:tcBorders>
              <w:top w:val="nil"/>
              <w:left w:val="nil"/>
              <w:bottom w:val="single" w:sz="4" w:space="0" w:color="auto"/>
              <w:right w:val="single" w:sz="4" w:space="0" w:color="auto"/>
            </w:tcBorders>
            <w:shd w:val="clear" w:color="auto" w:fill="auto"/>
            <w:noWrap/>
            <w:hideMark/>
          </w:tcPr>
          <w:p w14:paraId="062C480A" w14:textId="189FF23B"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3</w:t>
            </w:r>
            <w:r w:rsidR="00FB38C2" w:rsidRPr="00B25E57">
              <w:rPr>
                <w:color w:val="000000"/>
                <w:sz w:val="21"/>
                <w:szCs w:val="21"/>
                <w:lang w:val="es-ES_tradnl" w:eastAsia="en-CA"/>
              </w:rPr>
              <w:t>2.</w:t>
            </w:r>
            <w:r w:rsidRPr="00B25E57">
              <w:rPr>
                <w:color w:val="000000"/>
                <w:sz w:val="21"/>
                <w:szCs w:val="21"/>
                <w:lang w:val="es-ES_tradnl" w:eastAsia="en-CA"/>
              </w:rPr>
              <w:t>82</w:t>
            </w:r>
            <w:r w:rsidR="004241C5" w:rsidRPr="00B25E57">
              <w:rPr>
                <w:color w:val="000000"/>
                <w:sz w:val="21"/>
                <w:szCs w:val="21"/>
                <w:lang w:val="es-ES_tradnl" w:eastAsia="en-CA"/>
              </w:rPr>
              <w:t>6.</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6BD4605A" w14:textId="421BC36C"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4241C5" w:rsidRPr="00B25E57">
              <w:rPr>
                <w:color w:val="000000"/>
                <w:sz w:val="21"/>
                <w:szCs w:val="21"/>
                <w:lang w:val="es-ES_tradnl" w:eastAsia="en-CA"/>
              </w:rPr>
              <w:t>9.</w:t>
            </w:r>
            <w:r w:rsidRPr="00B25E57">
              <w:rPr>
                <w:color w:val="000000"/>
                <w:sz w:val="21"/>
                <w:szCs w:val="21"/>
                <w:lang w:val="es-ES_tradnl" w:eastAsia="en-CA"/>
              </w:rPr>
              <w:t>40</w:t>
            </w:r>
            <w:r w:rsidR="004241C5" w:rsidRPr="00B25E57">
              <w:rPr>
                <w:color w:val="000000"/>
                <w:sz w:val="21"/>
                <w:szCs w:val="21"/>
                <w:lang w:val="es-ES_tradnl" w:eastAsia="en-CA"/>
              </w:rPr>
              <w:t>8.</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4D8149CA" w14:textId="115A9ABB"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FB38C2" w:rsidRPr="00B25E57">
              <w:rPr>
                <w:color w:val="000000"/>
                <w:sz w:val="21"/>
                <w:szCs w:val="21"/>
                <w:lang w:val="es-ES_tradnl" w:eastAsia="en-CA"/>
              </w:rPr>
              <w:t>0.</w:t>
            </w:r>
            <w:r w:rsidRPr="00B25E57">
              <w:rPr>
                <w:color w:val="000000"/>
                <w:sz w:val="21"/>
                <w:szCs w:val="21"/>
                <w:lang w:val="es-ES_tradnl" w:eastAsia="en-CA"/>
              </w:rPr>
              <w:t>86</w:t>
            </w:r>
            <w:r w:rsidR="004241C5" w:rsidRPr="00B25E57">
              <w:rPr>
                <w:color w:val="000000"/>
                <w:sz w:val="21"/>
                <w:szCs w:val="21"/>
                <w:lang w:val="es-ES_tradnl" w:eastAsia="en-CA"/>
              </w:rPr>
              <w:t>8.</w:t>
            </w:r>
            <w:r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73F8B634" w14:textId="2C226F14"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FB38C2" w:rsidRPr="00B25E57">
              <w:rPr>
                <w:color w:val="000000"/>
                <w:sz w:val="21"/>
                <w:szCs w:val="21"/>
                <w:lang w:val="es-ES_tradnl" w:eastAsia="en-CA"/>
              </w:rPr>
              <w:t>3.</w:t>
            </w:r>
            <w:r w:rsidRPr="00B25E57">
              <w:rPr>
                <w:color w:val="000000"/>
                <w:sz w:val="21"/>
                <w:szCs w:val="21"/>
                <w:lang w:val="es-ES_tradnl" w:eastAsia="en-CA"/>
              </w:rPr>
              <w:t>01</w:t>
            </w:r>
            <w:r w:rsidR="004241C5" w:rsidRPr="00B25E57">
              <w:rPr>
                <w:color w:val="000000"/>
                <w:sz w:val="21"/>
                <w:szCs w:val="21"/>
                <w:lang w:val="es-ES_tradnl" w:eastAsia="en-CA"/>
              </w:rPr>
              <w:t>5.</w:t>
            </w:r>
            <w:r w:rsidRPr="00B25E57">
              <w:rPr>
                <w:color w:val="000000"/>
                <w:sz w:val="21"/>
                <w:szCs w:val="21"/>
                <w:lang w:val="es-ES_tradnl" w:eastAsia="en-CA"/>
              </w:rPr>
              <w:t>000</w:t>
            </w:r>
          </w:p>
        </w:tc>
      </w:tr>
      <w:tr w:rsidR="00436C92" w:rsidRPr="00B25E57" w14:paraId="39E0EABC"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7AD5D889" w14:textId="066AAAA8" w:rsidR="00436C92" w:rsidRPr="00B25E57" w:rsidRDefault="007B22B4" w:rsidP="00E36EBE">
            <w:pPr>
              <w:jc w:val="left"/>
              <w:rPr>
                <w:color w:val="000000"/>
                <w:sz w:val="21"/>
                <w:szCs w:val="21"/>
                <w:lang w:val="es-ES_tradnl" w:eastAsia="en-CA"/>
              </w:rPr>
            </w:pPr>
            <w:r w:rsidRPr="00B25E57">
              <w:rPr>
                <w:color w:val="000000"/>
                <w:sz w:val="21"/>
                <w:szCs w:val="21"/>
                <w:lang w:val="es-ES_tradnl" w:eastAsia="en-CA"/>
              </w:rPr>
              <w:t>Relación</w:t>
            </w:r>
            <w:r w:rsidR="003A46A1" w:rsidRPr="00B25E57">
              <w:rPr>
                <w:color w:val="000000"/>
                <w:sz w:val="21"/>
                <w:szCs w:val="21"/>
                <w:lang w:val="es-ES_tradnl" w:eastAsia="en-CA"/>
              </w:rPr>
              <w:t xml:space="preserve"> </w:t>
            </w:r>
            <w:r w:rsidRPr="00B25E57">
              <w:rPr>
                <w:color w:val="000000"/>
                <w:sz w:val="21"/>
                <w:szCs w:val="21"/>
                <w:lang w:val="es-ES_tradnl" w:eastAsia="en-CA"/>
              </w:rPr>
              <w:t>costo-beneficio</w:t>
            </w:r>
            <w:r w:rsidR="002E6AD2" w:rsidRPr="00B25E57">
              <w:rPr>
                <w:color w:val="000000"/>
                <w:sz w:val="21"/>
                <w:szCs w:val="21"/>
                <w:vertAlign w:val="superscript"/>
                <w:lang w:val="es-ES_tradnl" w:eastAsia="en-CA"/>
              </w:rPr>
              <w:t>*</w:t>
            </w:r>
          </w:p>
        </w:tc>
        <w:tc>
          <w:tcPr>
            <w:tcW w:w="1394" w:type="dxa"/>
            <w:tcBorders>
              <w:top w:val="nil"/>
              <w:left w:val="nil"/>
              <w:bottom w:val="single" w:sz="4" w:space="0" w:color="auto"/>
              <w:right w:val="single" w:sz="4" w:space="0" w:color="auto"/>
            </w:tcBorders>
            <w:shd w:val="clear" w:color="auto" w:fill="auto"/>
            <w:noWrap/>
            <w:hideMark/>
          </w:tcPr>
          <w:p w14:paraId="78E0E91E"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61.40</w:t>
            </w:r>
          </w:p>
        </w:tc>
        <w:tc>
          <w:tcPr>
            <w:tcW w:w="1643" w:type="dxa"/>
            <w:tcBorders>
              <w:top w:val="nil"/>
              <w:left w:val="nil"/>
              <w:bottom w:val="single" w:sz="4" w:space="0" w:color="auto"/>
              <w:right w:val="single" w:sz="4" w:space="0" w:color="auto"/>
            </w:tcBorders>
            <w:shd w:val="clear" w:color="auto" w:fill="auto"/>
            <w:noWrap/>
            <w:hideMark/>
          </w:tcPr>
          <w:p w14:paraId="675C0CB9"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36.30</w:t>
            </w:r>
          </w:p>
        </w:tc>
        <w:tc>
          <w:tcPr>
            <w:tcW w:w="1642" w:type="dxa"/>
            <w:tcBorders>
              <w:top w:val="nil"/>
              <w:left w:val="nil"/>
              <w:bottom w:val="single" w:sz="4" w:space="0" w:color="auto"/>
              <w:right w:val="single" w:sz="4" w:space="0" w:color="auto"/>
            </w:tcBorders>
            <w:shd w:val="clear" w:color="auto" w:fill="auto"/>
            <w:noWrap/>
            <w:hideMark/>
          </w:tcPr>
          <w:p w14:paraId="5160F38A"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20.33</w:t>
            </w:r>
          </w:p>
        </w:tc>
        <w:tc>
          <w:tcPr>
            <w:tcW w:w="1984" w:type="dxa"/>
            <w:tcBorders>
              <w:top w:val="nil"/>
              <w:left w:val="nil"/>
              <w:bottom w:val="single" w:sz="4" w:space="0" w:color="auto"/>
              <w:right w:val="single" w:sz="4" w:space="0" w:color="auto"/>
            </w:tcBorders>
            <w:shd w:val="clear" w:color="auto" w:fill="auto"/>
            <w:noWrap/>
            <w:hideMark/>
          </w:tcPr>
          <w:p w14:paraId="0F6BE946"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24.35</w:t>
            </w:r>
          </w:p>
        </w:tc>
      </w:tr>
      <w:tr w:rsidR="00436C92" w:rsidRPr="00B25E57" w14:paraId="2AA516D8"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49A1301" w14:textId="68CC4C12" w:rsidR="00436C92" w:rsidRPr="00B25E57" w:rsidRDefault="0061462C" w:rsidP="00E36EBE">
            <w:pPr>
              <w:jc w:val="left"/>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B</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2</w:t>
            </w:r>
            <w:r w:rsidR="003A46A1" w:rsidRPr="00B25E57">
              <w:rPr>
                <w:b/>
                <w:bCs/>
                <w:color w:val="000000"/>
                <w:sz w:val="21"/>
                <w:szCs w:val="21"/>
                <w:lang w:val="es-ES_tradnl" w:eastAsia="en-CA"/>
              </w:rPr>
              <w:t xml:space="preserve"> </w:t>
            </w:r>
          </w:p>
        </w:tc>
        <w:tc>
          <w:tcPr>
            <w:tcW w:w="1394" w:type="dxa"/>
            <w:tcBorders>
              <w:top w:val="nil"/>
              <w:left w:val="nil"/>
              <w:bottom w:val="single" w:sz="4" w:space="0" w:color="auto"/>
              <w:right w:val="single" w:sz="4" w:space="0" w:color="auto"/>
            </w:tcBorders>
            <w:shd w:val="clear" w:color="auto" w:fill="auto"/>
            <w:noWrap/>
            <w:hideMark/>
          </w:tcPr>
          <w:p w14:paraId="25D7C5A3" w14:textId="77777777" w:rsidR="00436C92" w:rsidRPr="00B25E57" w:rsidRDefault="00436C92" w:rsidP="00DD07B5">
            <w:pPr>
              <w:jc w:val="right"/>
              <w:rPr>
                <w:color w:val="000000"/>
                <w:sz w:val="21"/>
                <w:szCs w:val="21"/>
                <w:lang w:val="es-ES_tradnl" w:eastAsia="en-CA"/>
              </w:rPr>
            </w:pPr>
          </w:p>
        </w:tc>
        <w:tc>
          <w:tcPr>
            <w:tcW w:w="1643" w:type="dxa"/>
            <w:tcBorders>
              <w:top w:val="nil"/>
              <w:left w:val="nil"/>
              <w:bottom w:val="single" w:sz="4" w:space="0" w:color="auto"/>
              <w:right w:val="single" w:sz="4" w:space="0" w:color="auto"/>
            </w:tcBorders>
            <w:shd w:val="clear" w:color="auto" w:fill="auto"/>
            <w:noWrap/>
            <w:hideMark/>
          </w:tcPr>
          <w:p w14:paraId="61C5C180" w14:textId="77777777" w:rsidR="00436C92" w:rsidRPr="00B25E57" w:rsidRDefault="00436C92" w:rsidP="00DD07B5">
            <w:pPr>
              <w:jc w:val="right"/>
              <w:rPr>
                <w:color w:val="000000"/>
                <w:sz w:val="21"/>
                <w:szCs w:val="21"/>
                <w:lang w:val="es-ES_tradnl" w:eastAsia="en-CA"/>
              </w:rPr>
            </w:pPr>
          </w:p>
        </w:tc>
        <w:tc>
          <w:tcPr>
            <w:tcW w:w="1642" w:type="dxa"/>
            <w:tcBorders>
              <w:top w:val="nil"/>
              <w:left w:val="nil"/>
              <w:bottom w:val="single" w:sz="4" w:space="0" w:color="auto"/>
              <w:right w:val="single" w:sz="4" w:space="0" w:color="auto"/>
            </w:tcBorders>
            <w:shd w:val="clear" w:color="auto" w:fill="auto"/>
            <w:noWrap/>
            <w:hideMark/>
          </w:tcPr>
          <w:p w14:paraId="7A9D29AE" w14:textId="77777777" w:rsidR="00436C92" w:rsidRPr="00B25E57" w:rsidRDefault="00436C92" w:rsidP="00DD07B5">
            <w:pPr>
              <w:jc w:val="right"/>
              <w:rPr>
                <w:color w:val="000000"/>
                <w:sz w:val="21"/>
                <w:szCs w:val="21"/>
                <w:lang w:val="es-ES_tradnl" w:eastAsia="en-CA"/>
              </w:rPr>
            </w:pPr>
          </w:p>
        </w:tc>
        <w:tc>
          <w:tcPr>
            <w:tcW w:w="1984" w:type="dxa"/>
            <w:tcBorders>
              <w:top w:val="nil"/>
              <w:left w:val="nil"/>
              <w:bottom w:val="single" w:sz="4" w:space="0" w:color="auto"/>
              <w:right w:val="single" w:sz="4" w:space="0" w:color="auto"/>
            </w:tcBorders>
            <w:shd w:val="clear" w:color="auto" w:fill="auto"/>
            <w:noWrap/>
            <w:hideMark/>
          </w:tcPr>
          <w:p w14:paraId="7A5504C6" w14:textId="77777777" w:rsidR="00436C92" w:rsidRPr="00B25E57" w:rsidRDefault="00436C92" w:rsidP="00DD07B5">
            <w:pPr>
              <w:jc w:val="right"/>
              <w:rPr>
                <w:color w:val="000000"/>
                <w:sz w:val="21"/>
                <w:szCs w:val="21"/>
                <w:lang w:val="es-ES_tradnl" w:eastAsia="en-CA"/>
              </w:rPr>
            </w:pPr>
          </w:p>
        </w:tc>
      </w:tr>
      <w:tr w:rsidR="00436C92" w:rsidRPr="00B25E57" w14:paraId="62586535"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A6A1A23" w14:textId="4AFB0AC8" w:rsidR="00436C92" w:rsidRPr="00B25E57" w:rsidRDefault="007733F2" w:rsidP="009257D2">
            <w:pPr>
              <w:jc w:val="left"/>
              <w:rPr>
                <w:color w:val="000000"/>
                <w:sz w:val="21"/>
                <w:szCs w:val="21"/>
                <w:lang w:val="es-ES_tradnl" w:eastAsia="en-CA"/>
              </w:rPr>
            </w:pPr>
            <w:r>
              <w:rPr>
                <w:color w:val="000000"/>
                <w:sz w:val="21"/>
                <w:szCs w:val="21"/>
                <w:lang w:val="es-ES_tradnl" w:eastAsia="en-CA"/>
              </w:rPr>
              <w:t>Costo</w:t>
            </w:r>
            <w:r w:rsidR="003A46A1" w:rsidRPr="00B25E57">
              <w:rPr>
                <w:color w:val="000000"/>
                <w:sz w:val="21"/>
                <w:szCs w:val="21"/>
                <w:lang w:val="es-ES_tradnl" w:eastAsia="en-CA"/>
              </w:rPr>
              <w:t xml:space="preserve"> incinerador </w:t>
            </w:r>
            <w:r w:rsidR="00436C92" w:rsidRPr="00B25E57">
              <w:rPr>
                <w:color w:val="000000"/>
                <w:sz w:val="21"/>
                <w:szCs w:val="21"/>
                <w:lang w:val="es-ES_tradnl" w:eastAsia="en-CA"/>
              </w:rPr>
              <w:t>(</w:t>
            </w:r>
            <w:r w:rsidR="009257D2">
              <w:rPr>
                <w:color w:val="000000"/>
                <w:sz w:val="21"/>
                <w:szCs w:val="21"/>
                <w:lang w:val="es-ES_tradnl" w:eastAsia="en-CA"/>
              </w:rPr>
              <w:t>1</w:t>
            </w:r>
            <w:r w:rsidR="005D10E7">
              <w:rPr>
                <w:color w:val="000000"/>
                <w:sz w:val="21"/>
                <w:szCs w:val="21"/>
                <w:lang w:val="es-ES_tradnl" w:eastAsia="en-CA"/>
              </w:rPr>
              <w:t xml:space="preserve"> sola vez</w:t>
            </w:r>
            <w:r w:rsidR="00436C92" w:rsidRPr="00B25E57">
              <w:rPr>
                <w:color w:val="000000"/>
                <w:sz w:val="21"/>
                <w:szCs w:val="21"/>
                <w:lang w:val="es-ES_tradnl" w:eastAsia="en-CA"/>
              </w:rPr>
              <w:t>)</w:t>
            </w:r>
          </w:p>
        </w:tc>
        <w:tc>
          <w:tcPr>
            <w:tcW w:w="1394" w:type="dxa"/>
            <w:tcBorders>
              <w:top w:val="nil"/>
              <w:left w:val="nil"/>
              <w:bottom w:val="single" w:sz="4" w:space="0" w:color="auto"/>
              <w:right w:val="single" w:sz="4" w:space="0" w:color="auto"/>
            </w:tcBorders>
            <w:shd w:val="clear" w:color="auto" w:fill="auto"/>
            <w:noWrap/>
            <w:hideMark/>
          </w:tcPr>
          <w:p w14:paraId="737976FF" w14:textId="71014C7B"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4.</w:t>
            </w:r>
            <w:r w:rsidR="00436C92" w:rsidRPr="00B25E57">
              <w:rPr>
                <w:color w:val="000000"/>
                <w:sz w:val="21"/>
                <w:szCs w:val="21"/>
                <w:lang w:val="es-ES_tradnl" w:eastAsia="en-CA"/>
              </w:rPr>
              <w:t>37</w:t>
            </w:r>
            <w:r w:rsidR="004241C5" w:rsidRPr="00B25E57">
              <w:rPr>
                <w:color w:val="000000"/>
                <w:sz w:val="21"/>
                <w:szCs w:val="21"/>
                <w:lang w:val="es-ES_tradnl" w:eastAsia="en-CA"/>
              </w:rPr>
              <w:t>8.</w:t>
            </w:r>
            <w:r w:rsidR="00436C92"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15D6FD04" w14:textId="03D1EF6C"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4.</w:t>
            </w:r>
            <w:r w:rsidR="00436C92" w:rsidRPr="00B25E57">
              <w:rPr>
                <w:color w:val="000000"/>
                <w:sz w:val="21"/>
                <w:szCs w:val="21"/>
                <w:lang w:val="es-ES_tradnl" w:eastAsia="en-CA"/>
              </w:rPr>
              <w:t>37</w:t>
            </w:r>
            <w:r w:rsidR="004241C5" w:rsidRPr="00B25E57">
              <w:rPr>
                <w:color w:val="000000"/>
                <w:sz w:val="21"/>
                <w:szCs w:val="21"/>
                <w:lang w:val="es-ES_tradnl" w:eastAsia="en-CA"/>
              </w:rPr>
              <w:t>8.</w:t>
            </w:r>
            <w:r w:rsidR="00436C92"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73B536FA" w14:textId="0BB381B7"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4.</w:t>
            </w:r>
            <w:r w:rsidR="00436C92" w:rsidRPr="00B25E57">
              <w:rPr>
                <w:color w:val="000000"/>
                <w:sz w:val="21"/>
                <w:szCs w:val="21"/>
                <w:lang w:val="es-ES_tradnl" w:eastAsia="en-CA"/>
              </w:rPr>
              <w:t>37</w:t>
            </w:r>
            <w:r w:rsidR="004241C5" w:rsidRPr="00B25E57">
              <w:rPr>
                <w:color w:val="000000"/>
                <w:sz w:val="21"/>
                <w:szCs w:val="21"/>
                <w:lang w:val="es-ES_tradnl" w:eastAsia="en-CA"/>
              </w:rPr>
              <w:t>8.</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0A0AFB53" w14:textId="64D95A29" w:rsidR="00436C92" w:rsidRPr="00B25E57" w:rsidRDefault="00FB38C2" w:rsidP="00DD07B5">
            <w:pPr>
              <w:jc w:val="right"/>
              <w:rPr>
                <w:color w:val="000000"/>
                <w:sz w:val="21"/>
                <w:szCs w:val="21"/>
                <w:lang w:val="es-ES_tradnl" w:eastAsia="en-CA"/>
              </w:rPr>
            </w:pPr>
            <w:r w:rsidRPr="00B25E57">
              <w:rPr>
                <w:color w:val="000000"/>
                <w:sz w:val="21"/>
                <w:szCs w:val="21"/>
                <w:lang w:val="es-ES_tradnl" w:eastAsia="en-CA"/>
              </w:rPr>
              <w:t>4.</w:t>
            </w:r>
            <w:r w:rsidR="00436C92" w:rsidRPr="00B25E57">
              <w:rPr>
                <w:color w:val="000000"/>
                <w:sz w:val="21"/>
                <w:szCs w:val="21"/>
                <w:lang w:val="es-ES_tradnl" w:eastAsia="en-CA"/>
              </w:rPr>
              <w:t>37</w:t>
            </w:r>
            <w:r w:rsidR="004241C5" w:rsidRPr="00B25E57">
              <w:rPr>
                <w:color w:val="000000"/>
                <w:sz w:val="21"/>
                <w:szCs w:val="21"/>
                <w:lang w:val="es-ES_tradnl" w:eastAsia="en-CA"/>
              </w:rPr>
              <w:t>8.</w:t>
            </w:r>
            <w:r w:rsidR="00436C92" w:rsidRPr="00B25E57">
              <w:rPr>
                <w:color w:val="000000"/>
                <w:sz w:val="21"/>
                <w:szCs w:val="21"/>
                <w:lang w:val="es-ES_tradnl" w:eastAsia="en-CA"/>
              </w:rPr>
              <w:t>000</w:t>
            </w:r>
          </w:p>
        </w:tc>
      </w:tr>
      <w:tr w:rsidR="00436C92" w:rsidRPr="00B25E57" w14:paraId="02A1607B"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742F9C16" w14:textId="2F89C306" w:rsidR="00436C92" w:rsidRPr="00B25E57" w:rsidRDefault="00F56FE6" w:rsidP="00E36EBE">
            <w:pPr>
              <w:jc w:val="left"/>
              <w:rPr>
                <w:color w:val="000000"/>
                <w:sz w:val="21"/>
                <w:szCs w:val="21"/>
                <w:lang w:val="es-ES_tradnl" w:eastAsia="en-CA"/>
              </w:rPr>
            </w:pPr>
            <w:r>
              <w:rPr>
                <w:color w:val="000000"/>
                <w:sz w:val="21"/>
                <w:szCs w:val="21"/>
                <w:lang w:val="es-ES_tradnl" w:eastAsia="en-CA"/>
              </w:rPr>
              <w:t>VAN</w:t>
            </w:r>
            <w:r w:rsidR="003A46A1" w:rsidRPr="00B25E57">
              <w:rPr>
                <w:color w:val="000000"/>
                <w:sz w:val="21"/>
                <w:szCs w:val="21"/>
                <w:lang w:val="es-ES_tradnl" w:eastAsia="en-CA"/>
              </w:rPr>
              <w:t xml:space="preserve"> </w:t>
            </w:r>
            <w:r w:rsidR="00E36EBE">
              <w:rPr>
                <w:color w:val="000000"/>
                <w:sz w:val="21"/>
                <w:szCs w:val="21"/>
                <w:lang w:val="es-ES_tradnl" w:eastAsia="en-CA"/>
              </w:rPr>
              <w:t>lucro cesante</w:t>
            </w:r>
            <w:r w:rsidR="003A46A1" w:rsidRPr="00B25E57">
              <w:rPr>
                <w:color w:val="000000"/>
                <w:sz w:val="21"/>
                <w:szCs w:val="21"/>
                <w:lang w:val="es-ES_tradnl" w:eastAsia="en-CA"/>
              </w:rPr>
              <w:t xml:space="preserve"> </w:t>
            </w:r>
            <w:r w:rsidR="00EF4C68" w:rsidRPr="00B25E57">
              <w:rPr>
                <w:color w:val="000000"/>
                <w:sz w:val="21"/>
                <w:szCs w:val="21"/>
                <w:lang w:val="es-ES_tradnl" w:eastAsia="en-CA"/>
              </w:rPr>
              <w:t>(2025</w:t>
            </w:r>
            <w:r w:rsidR="00FB38C2" w:rsidRPr="00B25E57">
              <w:rPr>
                <w:color w:val="000000"/>
                <w:sz w:val="21"/>
                <w:szCs w:val="21"/>
                <w:lang w:val="es-ES_tradnl" w:eastAsia="en-CA"/>
              </w:rPr>
              <w:t>-</w:t>
            </w:r>
            <w:r w:rsidR="00EF4C68" w:rsidRPr="00B25E57">
              <w:rPr>
                <w:color w:val="000000"/>
                <w:sz w:val="21"/>
                <w:szCs w:val="21"/>
                <w:lang w:val="es-ES_tradnl" w:eastAsia="en-CA"/>
              </w:rPr>
              <w:t>2029)</w:t>
            </w:r>
          </w:p>
        </w:tc>
        <w:tc>
          <w:tcPr>
            <w:tcW w:w="1394" w:type="dxa"/>
            <w:tcBorders>
              <w:top w:val="nil"/>
              <w:left w:val="nil"/>
              <w:bottom w:val="single" w:sz="4" w:space="0" w:color="auto"/>
              <w:right w:val="single" w:sz="4" w:space="0" w:color="auto"/>
            </w:tcBorders>
            <w:shd w:val="clear" w:color="auto" w:fill="auto"/>
            <w:noWrap/>
            <w:hideMark/>
          </w:tcPr>
          <w:p w14:paraId="6183DF2B" w14:textId="25E63F66"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w:t>
            </w:r>
            <w:r w:rsidR="004241C5" w:rsidRPr="00B25E57">
              <w:rPr>
                <w:color w:val="000000"/>
                <w:sz w:val="21"/>
                <w:szCs w:val="21"/>
                <w:lang w:val="es-ES_tradnl" w:eastAsia="en-CA"/>
              </w:rPr>
              <w:t>9.</w:t>
            </w:r>
            <w:r w:rsidRPr="00B25E57">
              <w:rPr>
                <w:color w:val="000000"/>
                <w:sz w:val="21"/>
                <w:szCs w:val="21"/>
                <w:lang w:val="es-ES_tradnl" w:eastAsia="en-CA"/>
              </w:rPr>
              <w:t>07</w:t>
            </w:r>
            <w:r w:rsidR="00FB38C2" w:rsidRPr="00B25E57">
              <w:rPr>
                <w:color w:val="000000"/>
                <w:sz w:val="21"/>
                <w:szCs w:val="21"/>
                <w:lang w:val="es-ES_tradnl" w:eastAsia="en-CA"/>
              </w:rPr>
              <w:t>3.</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1B15531C" w14:textId="6502CC62"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4241C5" w:rsidRPr="00B25E57">
              <w:rPr>
                <w:color w:val="000000"/>
                <w:sz w:val="21"/>
                <w:szCs w:val="21"/>
                <w:lang w:val="es-ES_tradnl" w:eastAsia="en-CA"/>
              </w:rPr>
              <w:t>5.</w:t>
            </w:r>
            <w:r w:rsidRPr="00B25E57">
              <w:rPr>
                <w:color w:val="000000"/>
                <w:sz w:val="21"/>
                <w:szCs w:val="21"/>
                <w:lang w:val="es-ES_tradnl" w:eastAsia="en-CA"/>
              </w:rPr>
              <w:t>65</w:t>
            </w:r>
            <w:r w:rsidR="004241C5" w:rsidRPr="00B25E57">
              <w:rPr>
                <w:color w:val="000000"/>
                <w:sz w:val="21"/>
                <w:szCs w:val="21"/>
                <w:lang w:val="es-ES_tradnl" w:eastAsia="en-CA"/>
              </w:rPr>
              <w:t>5.</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1C220E86" w14:textId="528C4DFD"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7.</w:t>
            </w:r>
            <w:r w:rsidR="00436C92" w:rsidRPr="00B25E57">
              <w:rPr>
                <w:color w:val="000000"/>
                <w:sz w:val="21"/>
                <w:szCs w:val="21"/>
                <w:lang w:val="es-ES_tradnl" w:eastAsia="en-CA"/>
              </w:rPr>
              <w:t>11</w:t>
            </w:r>
            <w:r w:rsidRPr="00B25E57">
              <w:rPr>
                <w:color w:val="000000"/>
                <w:sz w:val="21"/>
                <w:szCs w:val="21"/>
                <w:lang w:val="es-ES_tradnl" w:eastAsia="en-CA"/>
              </w:rPr>
              <w:t>5.</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6193EABE" w14:textId="5C9F0353"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9.</w:t>
            </w:r>
            <w:r w:rsidR="00436C92" w:rsidRPr="00B25E57">
              <w:rPr>
                <w:color w:val="000000"/>
                <w:sz w:val="21"/>
                <w:szCs w:val="21"/>
                <w:lang w:val="es-ES_tradnl" w:eastAsia="en-CA"/>
              </w:rPr>
              <w:t>26</w:t>
            </w:r>
            <w:r w:rsidR="00FB38C2" w:rsidRPr="00B25E57">
              <w:rPr>
                <w:color w:val="000000"/>
                <w:sz w:val="21"/>
                <w:szCs w:val="21"/>
                <w:lang w:val="es-ES_tradnl" w:eastAsia="en-CA"/>
              </w:rPr>
              <w:t>2.</w:t>
            </w:r>
            <w:r w:rsidR="00436C92" w:rsidRPr="00B25E57">
              <w:rPr>
                <w:color w:val="000000"/>
                <w:sz w:val="21"/>
                <w:szCs w:val="21"/>
                <w:lang w:val="es-ES_tradnl" w:eastAsia="en-CA"/>
              </w:rPr>
              <w:t>000</w:t>
            </w:r>
          </w:p>
        </w:tc>
      </w:tr>
      <w:tr w:rsidR="00436C92" w:rsidRPr="00B25E57" w14:paraId="35A97649"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3FEFFEA" w14:textId="77777777" w:rsidR="00436C92" w:rsidRPr="00B25E57" w:rsidRDefault="00436C92" w:rsidP="00E36EBE">
            <w:pPr>
              <w:jc w:val="left"/>
              <w:rPr>
                <w:color w:val="000000"/>
                <w:sz w:val="21"/>
                <w:szCs w:val="21"/>
                <w:lang w:val="es-ES_tradnl" w:eastAsia="en-CA"/>
              </w:rPr>
            </w:pPr>
            <w:r w:rsidRPr="00B25E57">
              <w:rPr>
                <w:color w:val="000000"/>
                <w:sz w:val="21"/>
                <w:szCs w:val="21"/>
                <w:lang w:val="es-ES_tradnl" w:eastAsia="en-CA"/>
              </w:rPr>
              <w:t>Total</w:t>
            </w:r>
          </w:p>
        </w:tc>
        <w:tc>
          <w:tcPr>
            <w:tcW w:w="1394" w:type="dxa"/>
            <w:tcBorders>
              <w:top w:val="nil"/>
              <w:left w:val="nil"/>
              <w:bottom w:val="single" w:sz="4" w:space="0" w:color="auto"/>
              <w:right w:val="single" w:sz="4" w:space="0" w:color="auto"/>
            </w:tcBorders>
            <w:shd w:val="clear" w:color="auto" w:fill="auto"/>
            <w:noWrap/>
            <w:hideMark/>
          </w:tcPr>
          <w:p w14:paraId="68AC7472" w14:textId="4B889DB5"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3</w:t>
            </w:r>
            <w:r w:rsidR="00FB38C2" w:rsidRPr="00B25E57">
              <w:rPr>
                <w:color w:val="000000"/>
                <w:sz w:val="21"/>
                <w:szCs w:val="21"/>
                <w:lang w:val="es-ES_tradnl" w:eastAsia="en-CA"/>
              </w:rPr>
              <w:t>3.</w:t>
            </w:r>
            <w:r w:rsidRPr="00B25E57">
              <w:rPr>
                <w:color w:val="000000"/>
                <w:sz w:val="21"/>
                <w:szCs w:val="21"/>
                <w:lang w:val="es-ES_tradnl" w:eastAsia="en-CA"/>
              </w:rPr>
              <w:t>45</w:t>
            </w:r>
            <w:r w:rsidR="00FB38C2" w:rsidRPr="00B25E57">
              <w:rPr>
                <w:color w:val="000000"/>
                <w:sz w:val="21"/>
                <w:szCs w:val="21"/>
                <w:lang w:val="es-ES_tradnl" w:eastAsia="en-CA"/>
              </w:rPr>
              <w:t>1.</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3AFC3257" w14:textId="334FE3F6"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w:t>
            </w:r>
            <w:r w:rsidR="00FB38C2" w:rsidRPr="00B25E57">
              <w:rPr>
                <w:color w:val="000000"/>
                <w:sz w:val="21"/>
                <w:szCs w:val="21"/>
                <w:lang w:val="es-ES_tradnl" w:eastAsia="en-CA"/>
              </w:rPr>
              <w:t>0.</w:t>
            </w:r>
            <w:r w:rsidRPr="00B25E57">
              <w:rPr>
                <w:color w:val="000000"/>
                <w:sz w:val="21"/>
                <w:szCs w:val="21"/>
                <w:lang w:val="es-ES_tradnl" w:eastAsia="en-CA"/>
              </w:rPr>
              <w:t>03</w:t>
            </w:r>
            <w:r w:rsidR="00FB38C2" w:rsidRPr="00B25E57">
              <w:rPr>
                <w:color w:val="000000"/>
                <w:sz w:val="21"/>
                <w:szCs w:val="21"/>
                <w:lang w:val="es-ES_tradnl" w:eastAsia="en-CA"/>
              </w:rPr>
              <w:t>3.</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7824049A" w14:textId="7F95ADCD"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FB38C2" w:rsidRPr="00B25E57">
              <w:rPr>
                <w:color w:val="000000"/>
                <w:sz w:val="21"/>
                <w:szCs w:val="21"/>
                <w:lang w:val="es-ES_tradnl" w:eastAsia="en-CA"/>
              </w:rPr>
              <w:t>1.</w:t>
            </w:r>
            <w:r w:rsidRPr="00B25E57">
              <w:rPr>
                <w:color w:val="000000"/>
                <w:sz w:val="21"/>
                <w:szCs w:val="21"/>
                <w:lang w:val="es-ES_tradnl" w:eastAsia="en-CA"/>
              </w:rPr>
              <w:t>49</w:t>
            </w:r>
            <w:r w:rsidR="00FB38C2" w:rsidRPr="00B25E57">
              <w:rPr>
                <w:color w:val="000000"/>
                <w:sz w:val="21"/>
                <w:szCs w:val="21"/>
                <w:lang w:val="es-ES_tradnl" w:eastAsia="en-CA"/>
              </w:rPr>
              <w:t>3.</w:t>
            </w:r>
            <w:r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18D16F59" w14:textId="36267C26"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FB38C2" w:rsidRPr="00B25E57">
              <w:rPr>
                <w:color w:val="000000"/>
                <w:sz w:val="21"/>
                <w:szCs w:val="21"/>
                <w:lang w:val="es-ES_tradnl" w:eastAsia="en-CA"/>
              </w:rPr>
              <w:t>3.</w:t>
            </w:r>
            <w:r w:rsidRPr="00B25E57">
              <w:rPr>
                <w:color w:val="000000"/>
                <w:sz w:val="21"/>
                <w:szCs w:val="21"/>
                <w:lang w:val="es-ES_tradnl" w:eastAsia="en-CA"/>
              </w:rPr>
              <w:t>64</w:t>
            </w:r>
            <w:r w:rsidR="00FB38C2" w:rsidRPr="00B25E57">
              <w:rPr>
                <w:color w:val="000000"/>
                <w:sz w:val="21"/>
                <w:szCs w:val="21"/>
                <w:lang w:val="es-ES_tradnl" w:eastAsia="en-CA"/>
              </w:rPr>
              <w:t>0.</w:t>
            </w:r>
            <w:r w:rsidRPr="00B25E57">
              <w:rPr>
                <w:color w:val="000000"/>
                <w:sz w:val="21"/>
                <w:szCs w:val="21"/>
                <w:lang w:val="es-ES_tradnl" w:eastAsia="en-CA"/>
              </w:rPr>
              <w:t>000</w:t>
            </w:r>
          </w:p>
        </w:tc>
      </w:tr>
      <w:tr w:rsidR="00436C92" w:rsidRPr="00B25E57" w14:paraId="27DF7CFA"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12B96E7" w14:textId="7D9CED05" w:rsidR="00436C92" w:rsidRPr="00B25E57" w:rsidRDefault="007B22B4" w:rsidP="00E36EBE">
            <w:pPr>
              <w:jc w:val="left"/>
              <w:rPr>
                <w:color w:val="000000"/>
                <w:sz w:val="21"/>
                <w:szCs w:val="21"/>
                <w:lang w:val="es-ES_tradnl" w:eastAsia="en-CA"/>
              </w:rPr>
            </w:pPr>
            <w:r w:rsidRPr="00B25E57">
              <w:rPr>
                <w:color w:val="000000"/>
                <w:sz w:val="21"/>
                <w:szCs w:val="21"/>
                <w:lang w:val="es-ES_tradnl" w:eastAsia="en-CA"/>
              </w:rPr>
              <w:t>Relación</w:t>
            </w:r>
            <w:r w:rsidR="003A46A1" w:rsidRPr="00B25E57">
              <w:rPr>
                <w:color w:val="000000"/>
                <w:sz w:val="21"/>
                <w:szCs w:val="21"/>
                <w:lang w:val="es-ES_tradnl" w:eastAsia="en-CA"/>
              </w:rPr>
              <w:t xml:space="preserve"> </w:t>
            </w:r>
            <w:r w:rsidRPr="00B25E57">
              <w:rPr>
                <w:color w:val="000000"/>
                <w:sz w:val="21"/>
                <w:szCs w:val="21"/>
                <w:lang w:val="es-ES_tradnl" w:eastAsia="en-CA"/>
              </w:rPr>
              <w:t>costo-beneficio</w:t>
            </w:r>
            <w:r w:rsidR="002E6AD2" w:rsidRPr="00B25E57">
              <w:rPr>
                <w:color w:val="000000"/>
                <w:sz w:val="21"/>
                <w:szCs w:val="21"/>
                <w:vertAlign w:val="superscript"/>
                <w:lang w:val="es-ES_tradnl" w:eastAsia="en-CA"/>
              </w:rPr>
              <w:t>*</w:t>
            </w:r>
          </w:p>
        </w:tc>
        <w:tc>
          <w:tcPr>
            <w:tcW w:w="1394" w:type="dxa"/>
            <w:tcBorders>
              <w:top w:val="nil"/>
              <w:left w:val="nil"/>
              <w:bottom w:val="single" w:sz="4" w:space="0" w:color="auto"/>
              <w:right w:val="single" w:sz="4" w:space="0" w:color="auto"/>
            </w:tcBorders>
            <w:shd w:val="clear" w:color="auto" w:fill="auto"/>
            <w:noWrap/>
            <w:hideMark/>
          </w:tcPr>
          <w:p w14:paraId="4048E13A"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62.57</w:t>
            </w:r>
          </w:p>
        </w:tc>
        <w:tc>
          <w:tcPr>
            <w:tcW w:w="1643" w:type="dxa"/>
            <w:tcBorders>
              <w:top w:val="nil"/>
              <w:left w:val="nil"/>
              <w:bottom w:val="single" w:sz="4" w:space="0" w:color="auto"/>
              <w:right w:val="single" w:sz="4" w:space="0" w:color="auto"/>
            </w:tcBorders>
            <w:shd w:val="clear" w:color="auto" w:fill="auto"/>
            <w:noWrap/>
            <w:hideMark/>
          </w:tcPr>
          <w:p w14:paraId="46F54895"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37.47</w:t>
            </w:r>
          </w:p>
        </w:tc>
        <w:tc>
          <w:tcPr>
            <w:tcW w:w="1642" w:type="dxa"/>
            <w:tcBorders>
              <w:top w:val="nil"/>
              <w:left w:val="nil"/>
              <w:bottom w:val="single" w:sz="4" w:space="0" w:color="auto"/>
              <w:right w:val="single" w:sz="4" w:space="0" w:color="auto"/>
            </w:tcBorders>
            <w:shd w:val="clear" w:color="auto" w:fill="auto"/>
            <w:noWrap/>
            <w:hideMark/>
          </w:tcPr>
          <w:p w14:paraId="4AEE6627"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21.50</w:t>
            </w:r>
          </w:p>
        </w:tc>
        <w:tc>
          <w:tcPr>
            <w:tcW w:w="1984" w:type="dxa"/>
            <w:tcBorders>
              <w:top w:val="nil"/>
              <w:left w:val="nil"/>
              <w:bottom w:val="single" w:sz="4" w:space="0" w:color="auto"/>
              <w:right w:val="single" w:sz="4" w:space="0" w:color="auto"/>
            </w:tcBorders>
            <w:shd w:val="clear" w:color="auto" w:fill="auto"/>
            <w:noWrap/>
            <w:hideMark/>
          </w:tcPr>
          <w:p w14:paraId="36D1C0D5"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25.51</w:t>
            </w:r>
          </w:p>
        </w:tc>
      </w:tr>
      <w:tr w:rsidR="00436C92" w:rsidRPr="00B25E57" w14:paraId="2011F9BA"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3CA553E" w14:textId="11C7637D" w:rsidR="00436C92" w:rsidRPr="00B25E57" w:rsidRDefault="0061462C" w:rsidP="00E36EBE">
            <w:pPr>
              <w:jc w:val="left"/>
              <w:rPr>
                <w:b/>
                <w:bCs/>
                <w:color w:val="000000"/>
                <w:sz w:val="21"/>
                <w:szCs w:val="21"/>
                <w:lang w:val="es-ES_tradnl" w:eastAsia="en-CA"/>
              </w:rPr>
            </w:pPr>
            <w:r>
              <w:rPr>
                <w:b/>
                <w:bCs/>
                <w:color w:val="000000"/>
                <w:sz w:val="21"/>
                <w:szCs w:val="21"/>
                <w:lang w:val="es-ES_tradnl" w:eastAsia="en-CA"/>
              </w:rPr>
              <w:t>Escenario</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C</w:t>
            </w:r>
            <w:r w:rsidR="003A46A1" w:rsidRPr="00B25E57">
              <w:rPr>
                <w:b/>
                <w:bCs/>
                <w:color w:val="000000"/>
                <w:sz w:val="21"/>
                <w:szCs w:val="21"/>
                <w:lang w:val="es-ES_tradnl" w:eastAsia="en-CA"/>
              </w:rPr>
              <w:t xml:space="preserve"> </w:t>
            </w:r>
            <w:r w:rsidR="00F33C58" w:rsidRPr="00B25E57">
              <w:rPr>
                <w:b/>
                <w:bCs/>
                <w:color w:val="000000"/>
                <w:sz w:val="21"/>
                <w:szCs w:val="21"/>
                <w:lang w:val="es-ES_tradnl" w:eastAsia="en-CA"/>
              </w:rPr>
              <w:t>Opción</w:t>
            </w:r>
            <w:r w:rsidR="003A46A1" w:rsidRPr="00B25E57">
              <w:rPr>
                <w:b/>
                <w:bCs/>
                <w:color w:val="000000"/>
                <w:sz w:val="21"/>
                <w:szCs w:val="21"/>
                <w:lang w:val="es-ES_tradnl" w:eastAsia="en-CA"/>
              </w:rPr>
              <w:t xml:space="preserve"> </w:t>
            </w:r>
            <w:r w:rsidR="00436C92" w:rsidRPr="00B25E57">
              <w:rPr>
                <w:b/>
                <w:bCs/>
                <w:color w:val="000000"/>
                <w:sz w:val="21"/>
                <w:szCs w:val="21"/>
                <w:lang w:val="es-ES_tradnl" w:eastAsia="en-CA"/>
              </w:rPr>
              <w:t>2</w:t>
            </w:r>
            <w:r w:rsidR="003A46A1" w:rsidRPr="00B25E57">
              <w:rPr>
                <w:b/>
                <w:bCs/>
                <w:color w:val="000000"/>
                <w:sz w:val="21"/>
                <w:szCs w:val="21"/>
                <w:lang w:val="es-ES_tradnl" w:eastAsia="en-CA"/>
              </w:rPr>
              <w:t xml:space="preserve"> </w:t>
            </w:r>
          </w:p>
        </w:tc>
        <w:tc>
          <w:tcPr>
            <w:tcW w:w="1394" w:type="dxa"/>
            <w:tcBorders>
              <w:top w:val="nil"/>
              <w:left w:val="nil"/>
              <w:bottom w:val="single" w:sz="4" w:space="0" w:color="auto"/>
              <w:right w:val="single" w:sz="4" w:space="0" w:color="auto"/>
            </w:tcBorders>
            <w:shd w:val="clear" w:color="auto" w:fill="auto"/>
            <w:noWrap/>
            <w:hideMark/>
          </w:tcPr>
          <w:p w14:paraId="4434FDDF" w14:textId="77777777" w:rsidR="00436C92" w:rsidRPr="00B25E57" w:rsidRDefault="00436C92" w:rsidP="00DD07B5">
            <w:pPr>
              <w:jc w:val="right"/>
              <w:rPr>
                <w:color w:val="000000"/>
                <w:sz w:val="21"/>
                <w:szCs w:val="21"/>
                <w:lang w:val="es-ES_tradnl" w:eastAsia="en-CA"/>
              </w:rPr>
            </w:pPr>
          </w:p>
        </w:tc>
        <w:tc>
          <w:tcPr>
            <w:tcW w:w="1643" w:type="dxa"/>
            <w:tcBorders>
              <w:top w:val="nil"/>
              <w:left w:val="nil"/>
              <w:bottom w:val="single" w:sz="4" w:space="0" w:color="auto"/>
              <w:right w:val="single" w:sz="4" w:space="0" w:color="auto"/>
            </w:tcBorders>
            <w:shd w:val="clear" w:color="auto" w:fill="auto"/>
            <w:noWrap/>
            <w:hideMark/>
          </w:tcPr>
          <w:p w14:paraId="3FFC1F64" w14:textId="77777777" w:rsidR="00436C92" w:rsidRPr="00B25E57" w:rsidRDefault="00436C92" w:rsidP="00DD07B5">
            <w:pPr>
              <w:jc w:val="right"/>
              <w:rPr>
                <w:color w:val="000000"/>
                <w:sz w:val="21"/>
                <w:szCs w:val="21"/>
                <w:lang w:val="es-ES_tradnl" w:eastAsia="en-CA"/>
              </w:rPr>
            </w:pPr>
          </w:p>
        </w:tc>
        <w:tc>
          <w:tcPr>
            <w:tcW w:w="1642" w:type="dxa"/>
            <w:tcBorders>
              <w:top w:val="nil"/>
              <w:left w:val="nil"/>
              <w:bottom w:val="single" w:sz="4" w:space="0" w:color="auto"/>
              <w:right w:val="single" w:sz="4" w:space="0" w:color="auto"/>
            </w:tcBorders>
            <w:shd w:val="clear" w:color="auto" w:fill="auto"/>
            <w:noWrap/>
            <w:hideMark/>
          </w:tcPr>
          <w:p w14:paraId="464D0ED4" w14:textId="77777777" w:rsidR="00436C92" w:rsidRPr="00B25E57" w:rsidRDefault="00436C92" w:rsidP="00DD07B5">
            <w:pPr>
              <w:jc w:val="right"/>
              <w:rPr>
                <w:color w:val="000000"/>
                <w:sz w:val="21"/>
                <w:szCs w:val="21"/>
                <w:lang w:val="es-ES_tradnl" w:eastAsia="en-CA"/>
              </w:rPr>
            </w:pPr>
          </w:p>
        </w:tc>
        <w:tc>
          <w:tcPr>
            <w:tcW w:w="1984" w:type="dxa"/>
            <w:tcBorders>
              <w:top w:val="nil"/>
              <w:left w:val="nil"/>
              <w:bottom w:val="single" w:sz="4" w:space="0" w:color="auto"/>
              <w:right w:val="single" w:sz="4" w:space="0" w:color="auto"/>
            </w:tcBorders>
            <w:shd w:val="clear" w:color="auto" w:fill="auto"/>
            <w:noWrap/>
            <w:hideMark/>
          </w:tcPr>
          <w:p w14:paraId="153EAA25" w14:textId="77777777" w:rsidR="00436C92" w:rsidRPr="00B25E57" w:rsidRDefault="00436C92" w:rsidP="00DD07B5">
            <w:pPr>
              <w:jc w:val="right"/>
              <w:rPr>
                <w:color w:val="000000"/>
                <w:sz w:val="21"/>
                <w:szCs w:val="21"/>
                <w:lang w:val="es-ES_tradnl" w:eastAsia="en-CA"/>
              </w:rPr>
            </w:pPr>
          </w:p>
        </w:tc>
      </w:tr>
      <w:tr w:rsidR="00436C92" w:rsidRPr="00B25E57" w14:paraId="07EF5093"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6CA61575" w14:textId="188BB478" w:rsidR="00436C92" w:rsidRPr="00B25E57" w:rsidRDefault="00D70BCF" w:rsidP="00E36EBE">
            <w:pPr>
              <w:jc w:val="left"/>
              <w:rPr>
                <w:color w:val="000000"/>
                <w:sz w:val="21"/>
                <w:szCs w:val="21"/>
                <w:lang w:val="es-ES_tradnl" w:eastAsia="en-CA"/>
              </w:rPr>
            </w:pPr>
            <w:r w:rsidRPr="00D70BCF">
              <w:rPr>
                <w:color w:val="000000"/>
                <w:sz w:val="21"/>
                <w:szCs w:val="21"/>
                <w:lang w:val="es-ES_tradnl" w:eastAsia="en-CA"/>
              </w:rPr>
              <w:t>Costo incinerador (1 sola vez)</w:t>
            </w:r>
          </w:p>
        </w:tc>
        <w:tc>
          <w:tcPr>
            <w:tcW w:w="1394" w:type="dxa"/>
            <w:tcBorders>
              <w:top w:val="nil"/>
              <w:left w:val="nil"/>
              <w:bottom w:val="single" w:sz="4" w:space="0" w:color="auto"/>
              <w:right w:val="single" w:sz="4" w:space="0" w:color="auto"/>
            </w:tcBorders>
            <w:shd w:val="clear" w:color="auto" w:fill="auto"/>
            <w:noWrap/>
            <w:hideMark/>
          </w:tcPr>
          <w:p w14:paraId="3A920EE2" w14:textId="557E1381"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6.</w:t>
            </w:r>
            <w:r w:rsidR="00436C92" w:rsidRPr="00B25E57">
              <w:rPr>
                <w:color w:val="000000"/>
                <w:sz w:val="21"/>
                <w:szCs w:val="21"/>
                <w:lang w:val="es-ES_tradnl" w:eastAsia="en-CA"/>
              </w:rPr>
              <w:t>68</w:t>
            </w:r>
            <w:r w:rsidRPr="00B25E57">
              <w:rPr>
                <w:color w:val="000000"/>
                <w:sz w:val="21"/>
                <w:szCs w:val="21"/>
                <w:lang w:val="es-ES_tradnl" w:eastAsia="en-CA"/>
              </w:rPr>
              <w:t>6.</w:t>
            </w:r>
            <w:r w:rsidR="00436C92"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1051C4CD" w14:textId="1C911387"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6.</w:t>
            </w:r>
            <w:r w:rsidR="00436C92" w:rsidRPr="00B25E57">
              <w:rPr>
                <w:color w:val="000000"/>
                <w:sz w:val="21"/>
                <w:szCs w:val="21"/>
                <w:lang w:val="es-ES_tradnl" w:eastAsia="en-CA"/>
              </w:rPr>
              <w:t>68</w:t>
            </w:r>
            <w:r w:rsidRPr="00B25E57">
              <w:rPr>
                <w:color w:val="000000"/>
                <w:sz w:val="21"/>
                <w:szCs w:val="21"/>
                <w:lang w:val="es-ES_tradnl" w:eastAsia="en-CA"/>
              </w:rPr>
              <w:t>6.</w:t>
            </w:r>
            <w:r w:rsidR="00436C92"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2BF7B800" w14:textId="58406BA4"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6.</w:t>
            </w:r>
            <w:r w:rsidR="00436C92" w:rsidRPr="00B25E57">
              <w:rPr>
                <w:color w:val="000000"/>
                <w:sz w:val="21"/>
                <w:szCs w:val="21"/>
                <w:lang w:val="es-ES_tradnl" w:eastAsia="en-CA"/>
              </w:rPr>
              <w:t>68</w:t>
            </w:r>
            <w:r w:rsidRPr="00B25E57">
              <w:rPr>
                <w:color w:val="000000"/>
                <w:sz w:val="21"/>
                <w:szCs w:val="21"/>
                <w:lang w:val="es-ES_tradnl" w:eastAsia="en-CA"/>
              </w:rPr>
              <w:t>6.</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595AB56F" w14:textId="5465B487"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6.</w:t>
            </w:r>
            <w:r w:rsidR="00436C92" w:rsidRPr="00B25E57">
              <w:rPr>
                <w:color w:val="000000"/>
                <w:sz w:val="21"/>
                <w:szCs w:val="21"/>
                <w:lang w:val="es-ES_tradnl" w:eastAsia="en-CA"/>
              </w:rPr>
              <w:t>68</w:t>
            </w:r>
            <w:r w:rsidRPr="00B25E57">
              <w:rPr>
                <w:color w:val="000000"/>
                <w:sz w:val="21"/>
                <w:szCs w:val="21"/>
                <w:lang w:val="es-ES_tradnl" w:eastAsia="en-CA"/>
              </w:rPr>
              <w:t>6.</w:t>
            </w:r>
            <w:r w:rsidR="00436C92" w:rsidRPr="00B25E57">
              <w:rPr>
                <w:color w:val="000000"/>
                <w:sz w:val="21"/>
                <w:szCs w:val="21"/>
                <w:lang w:val="es-ES_tradnl" w:eastAsia="en-CA"/>
              </w:rPr>
              <w:t>000</w:t>
            </w:r>
          </w:p>
        </w:tc>
      </w:tr>
      <w:tr w:rsidR="00436C92" w:rsidRPr="00B25E57" w14:paraId="572385C9"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2F2C470" w14:textId="7C54A784" w:rsidR="00436C92" w:rsidRPr="00B25E57" w:rsidRDefault="00F56FE6" w:rsidP="00E36EBE">
            <w:pPr>
              <w:jc w:val="left"/>
              <w:rPr>
                <w:color w:val="000000"/>
                <w:sz w:val="21"/>
                <w:szCs w:val="21"/>
                <w:lang w:val="es-ES_tradnl" w:eastAsia="en-CA"/>
              </w:rPr>
            </w:pPr>
            <w:r>
              <w:rPr>
                <w:color w:val="000000"/>
                <w:sz w:val="21"/>
                <w:szCs w:val="21"/>
                <w:lang w:val="es-ES_tradnl" w:eastAsia="en-CA"/>
              </w:rPr>
              <w:t>VAN</w:t>
            </w:r>
            <w:r w:rsidR="003A46A1" w:rsidRPr="00B25E57">
              <w:rPr>
                <w:color w:val="000000"/>
                <w:sz w:val="21"/>
                <w:szCs w:val="21"/>
                <w:lang w:val="es-ES_tradnl" w:eastAsia="en-CA"/>
              </w:rPr>
              <w:t xml:space="preserve"> </w:t>
            </w:r>
            <w:r w:rsidR="00E36EBE">
              <w:rPr>
                <w:color w:val="000000"/>
                <w:sz w:val="21"/>
                <w:szCs w:val="21"/>
                <w:lang w:val="es-ES_tradnl" w:eastAsia="en-CA"/>
              </w:rPr>
              <w:t>lucro cesante</w:t>
            </w:r>
            <w:r w:rsidR="003A46A1" w:rsidRPr="00B25E57">
              <w:rPr>
                <w:color w:val="000000"/>
                <w:sz w:val="21"/>
                <w:szCs w:val="21"/>
                <w:lang w:val="es-ES_tradnl" w:eastAsia="en-CA"/>
              </w:rPr>
              <w:t xml:space="preserve"> </w:t>
            </w:r>
            <w:r w:rsidR="00EF4C68" w:rsidRPr="00B25E57">
              <w:rPr>
                <w:color w:val="000000"/>
                <w:sz w:val="21"/>
                <w:szCs w:val="21"/>
                <w:lang w:val="es-ES_tradnl" w:eastAsia="en-CA"/>
              </w:rPr>
              <w:t>(2025</w:t>
            </w:r>
            <w:r w:rsidR="00FB38C2" w:rsidRPr="00B25E57">
              <w:rPr>
                <w:color w:val="000000"/>
                <w:sz w:val="21"/>
                <w:szCs w:val="21"/>
                <w:lang w:val="es-ES_tradnl" w:eastAsia="en-CA"/>
              </w:rPr>
              <w:t>-</w:t>
            </w:r>
            <w:r w:rsidR="00EF4C68" w:rsidRPr="00B25E57">
              <w:rPr>
                <w:color w:val="000000"/>
                <w:sz w:val="21"/>
                <w:szCs w:val="21"/>
                <w:lang w:val="es-ES_tradnl" w:eastAsia="en-CA"/>
              </w:rPr>
              <w:t>2029)</w:t>
            </w:r>
          </w:p>
        </w:tc>
        <w:tc>
          <w:tcPr>
            <w:tcW w:w="1394" w:type="dxa"/>
            <w:tcBorders>
              <w:top w:val="nil"/>
              <w:left w:val="nil"/>
              <w:bottom w:val="single" w:sz="4" w:space="0" w:color="auto"/>
              <w:right w:val="single" w:sz="4" w:space="0" w:color="auto"/>
            </w:tcBorders>
            <w:shd w:val="clear" w:color="auto" w:fill="auto"/>
            <w:noWrap/>
            <w:hideMark/>
          </w:tcPr>
          <w:p w14:paraId="3666B688" w14:textId="11A746A9"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w:t>
            </w:r>
            <w:r w:rsidR="004241C5" w:rsidRPr="00B25E57">
              <w:rPr>
                <w:color w:val="000000"/>
                <w:sz w:val="21"/>
                <w:szCs w:val="21"/>
                <w:lang w:val="es-ES_tradnl" w:eastAsia="en-CA"/>
              </w:rPr>
              <w:t>9.</w:t>
            </w:r>
            <w:r w:rsidRPr="00B25E57">
              <w:rPr>
                <w:color w:val="000000"/>
                <w:sz w:val="21"/>
                <w:szCs w:val="21"/>
                <w:lang w:val="es-ES_tradnl" w:eastAsia="en-CA"/>
              </w:rPr>
              <w:t>07</w:t>
            </w:r>
            <w:r w:rsidR="00FB38C2" w:rsidRPr="00B25E57">
              <w:rPr>
                <w:color w:val="000000"/>
                <w:sz w:val="21"/>
                <w:szCs w:val="21"/>
                <w:lang w:val="es-ES_tradnl" w:eastAsia="en-CA"/>
              </w:rPr>
              <w:t>3.</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1D7561F1" w14:textId="51100584"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4241C5" w:rsidRPr="00B25E57">
              <w:rPr>
                <w:color w:val="000000"/>
                <w:sz w:val="21"/>
                <w:szCs w:val="21"/>
                <w:lang w:val="es-ES_tradnl" w:eastAsia="en-CA"/>
              </w:rPr>
              <w:t>5.</w:t>
            </w:r>
            <w:r w:rsidRPr="00B25E57">
              <w:rPr>
                <w:color w:val="000000"/>
                <w:sz w:val="21"/>
                <w:szCs w:val="21"/>
                <w:lang w:val="es-ES_tradnl" w:eastAsia="en-CA"/>
              </w:rPr>
              <w:t>65</w:t>
            </w:r>
            <w:r w:rsidR="004241C5" w:rsidRPr="00B25E57">
              <w:rPr>
                <w:color w:val="000000"/>
                <w:sz w:val="21"/>
                <w:szCs w:val="21"/>
                <w:lang w:val="es-ES_tradnl" w:eastAsia="en-CA"/>
              </w:rPr>
              <w:t>5.</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3B3B1F8F" w14:textId="5EA1D701"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7.</w:t>
            </w:r>
            <w:r w:rsidR="00436C92" w:rsidRPr="00B25E57">
              <w:rPr>
                <w:color w:val="000000"/>
                <w:sz w:val="21"/>
                <w:szCs w:val="21"/>
                <w:lang w:val="es-ES_tradnl" w:eastAsia="en-CA"/>
              </w:rPr>
              <w:t>11</w:t>
            </w:r>
            <w:r w:rsidRPr="00B25E57">
              <w:rPr>
                <w:color w:val="000000"/>
                <w:sz w:val="21"/>
                <w:szCs w:val="21"/>
                <w:lang w:val="es-ES_tradnl" w:eastAsia="en-CA"/>
              </w:rPr>
              <w:t>5.</w:t>
            </w:r>
            <w:r w:rsidR="00436C92"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663695F3" w14:textId="33C0AB59" w:rsidR="00436C92" w:rsidRPr="00B25E57" w:rsidRDefault="004241C5" w:rsidP="00DD07B5">
            <w:pPr>
              <w:jc w:val="right"/>
              <w:rPr>
                <w:color w:val="000000"/>
                <w:sz w:val="21"/>
                <w:szCs w:val="21"/>
                <w:lang w:val="es-ES_tradnl" w:eastAsia="en-CA"/>
              </w:rPr>
            </w:pPr>
            <w:r w:rsidRPr="00B25E57">
              <w:rPr>
                <w:color w:val="000000"/>
                <w:sz w:val="21"/>
                <w:szCs w:val="21"/>
                <w:lang w:val="es-ES_tradnl" w:eastAsia="en-CA"/>
              </w:rPr>
              <w:t>9.</w:t>
            </w:r>
            <w:r w:rsidR="00436C92" w:rsidRPr="00B25E57">
              <w:rPr>
                <w:color w:val="000000"/>
                <w:sz w:val="21"/>
                <w:szCs w:val="21"/>
                <w:lang w:val="es-ES_tradnl" w:eastAsia="en-CA"/>
              </w:rPr>
              <w:t>26</w:t>
            </w:r>
            <w:r w:rsidR="00FB38C2" w:rsidRPr="00B25E57">
              <w:rPr>
                <w:color w:val="000000"/>
                <w:sz w:val="21"/>
                <w:szCs w:val="21"/>
                <w:lang w:val="es-ES_tradnl" w:eastAsia="en-CA"/>
              </w:rPr>
              <w:t>2.</w:t>
            </w:r>
            <w:r w:rsidR="00436C92" w:rsidRPr="00B25E57">
              <w:rPr>
                <w:color w:val="000000"/>
                <w:sz w:val="21"/>
                <w:szCs w:val="21"/>
                <w:lang w:val="es-ES_tradnl" w:eastAsia="en-CA"/>
              </w:rPr>
              <w:t>000</w:t>
            </w:r>
          </w:p>
        </w:tc>
      </w:tr>
      <w:tr w:rsidR="00436C92" w:rsidRPr="00B25E57" w14:paraId="005D8B86"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8D04930" w14:textId="77777777" w:rsidR="00436C92" w:rsidRPr="00B25E57" w:rsidRDefault="00436C92" w:rsidP="00E36EBE">
            <w:pPr>
              <w:jc w:val="left"/>
              <w:rPr>
                <w:color w:val="000000"/>
                <w:sz w:val="21"/>
                <w:szCs w:val="21"/>
                <w:lang w:val="es-ES_tradnl" w:eastAsia="en-CA"/>
              </w:rPr>
            </w:pPr>
            <w:r w:rsidRPr="00B25E57">
              <w:rPr>
                <w:color w:val="000000"/>
                <w:sz w:val="21"/>
                <w:szCs w:val="21"/>
                <w:lang w:val="es-ES_tradnl" w:eastAsia="en-CA"/>
              </w:rPr>
              <w:t>Total</w:t>
            </w:r>
          </w:p>
        </w:tc>
        <w:tc>
          <w:tcPr>
            <w:tcW w:w="1394" w:type="dxa"/>
            <w:tcBorders>
              <w:top w:val="nil"/>
              <w:left w:val="nil"/>
              <w:bottom w:val="single" w:sz="4" w:space="0" w:color="auto"/>
              <w:right w:val="single" w:sz="4" w:space="0" w:color="auto"/>
            </w:tcBorders>
            <w:shd w:val="clear" w:color="auto" w:fill="auto"/>
            <w:noWrap/>
            <w:hideMark/>
          </w:tcPr>
          <w:p w14:paraId="39946FC2" w14:textId="48006D69"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3</w:t>
            </w:r>
            <w:r w:rsidR="004241C5" w:rsidRPr="00B25E57">
              <w:rPr>
                <w:color w:val="000000"/>
                <w:sz w:val="21"/>
                <w:szCs w:val="21"/>
                <w:lang w:val="es-ES_tradnl" w:eastAsia="en-CA"/>
              </w:rPr>
              <w:t>5.</w:t>
            </w:r>
            <w:r w:rsidRPr="00B25E57">
              <w:rPr>
                <w:color w:val="000000"/>
                <w:sz w:val="21"/>
                <w:szCs w:val="21"/>
                <w:lang w:val="es-ES_tradnl" w:eastAsia="en-CA"/>
              </w:rPr>
              <w:t>75</w:t>
            </w:r>
            <w:r w:rsidR="004241C5" w:rsidRPr="00B25E57">
              <w:rPr>
                <w:color w:val="000000"/>
                <w:sz w:val="21"/>
                <w:szCs w:val="21"/>
                <w:lang w:val="es-ES_tradnl" w:eastAsia="en-CA"/>
              </w:rPr>
              <w:t>9.</w:t>
            </w:r>
            <w:r w:rsidRPr="00B25E57">
              <w:rPr>
                <w:color w:val="000000"/>
                <w:sz w:val="21"/>
                <w:szCs w:val="21"/>
                <w:lang w:val="es-ES_tradnl" w:eastAsia="en-CA"/>
              </w:rPr>
              <w:t>000</w:t>
            </w:r>
          </w:p>
        </w:tc>
        <w:tc>
          <w:tcPr>
            <w:tcW w:w="1643" w:type="dxa"/>
            <w:tcBorders>
              <w:top w:val="nil"/>
              <w:left w:val="nil"/>
              <w:bottom w:val="single" w:sz="4" w:space="0" w:color="auto"/>
              <w:right w:val="single" w:sz="4" w:space="0" w:color="auto"/>
            </w:tcBorders>
            <w:shd w:val="clear" w:color="auto" w:fill="auto"/>
            <w:noWrap/>
            <w:hideMark/>
          </w:tcPr>
          <w:p w14:paraId="0E903D98" w14:textId="1742832B"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w:t>
            </w:r>
            <w:r w:rsidR="00FB38C2" w:rsidRPr="00B25E57">
              <w:rPr>
                <w:color w:val="000000"/>
                <w:sz w:val="21"/>
                <w:szCs w:val="21"/>
                <w:lang w:val="es-ES_tradnl" w:eastAsia="en-CA"/>
              </w:rPr>
              <w:t>2.</w:t>
            </w:r>
            <w:r w:rsidRPr="00B25E57">
              <w:rPr>
                <w:color w:val="000000"/>
                <w:sz w:val="21"/>
                <w:szCs w:val="21"/>
                <w:lang w:val="es-ES_tradnl" w:eastAsia="en-CA"/>
              </w:rPr>
              <w:t>34</w:t>
            </w:r>
            <w:r w:rsidR="00FB38C2" w:rsidRPr="00B25E57">
              <w:rPr>
                <w:color w:val="000000"/>
                <w:sz w:val="21"/>
                <w:szCs w:val="21"/>
                <w:lang w:val="es-ES_tradnl" w:eastAsia="en-CA"/>
              </w:rPr>
              <w:t>1.</w:t>
            </w:r>
            <w:r w:rsidRPr="00B25E57">
              <w:rPr>
                <w:color w:val="000000"/>
                <w:sz w:val="21"/>
                <w:szCs w:val="21"/>
                <w:lang w:val="es-ES_tradnl" w:eastAsia="en-CA"/>
              </w:rPr>
              <w:t>000</w:t>
            </w:r>
          </w:p>
        </w:tc>
        <w:tc>
          <w:tcPr>
            <w:tcW w:w="1642" w:type="dxa"/>
            <w:tcBorders>
              <w:top w:val="nil"/>
              <w:left w:val="nil"/>
              <w:bottom w:val="single" w:sz="4" w:space="0" w:color="auto"/>
              <w:right w:val="single" w:sz="4" w:space="0" w:color="auto"/>
            </w:tcBorders>
            <w:shd w:val="clear" w:color="auto" w:fill="auto"/>
            <w:noWrap/>
            <w:hideMark/>
          </w:tcPr>
          <w:p w14:paraId="4E97BB12" w14:textId="59BB2161"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FB38C2" w:rsidRPr="00B25E57">
              <w:rPr>
                <w:color w:val="000000"/>
                <w:sz w:val="21"/>
                <w:szCs w:val="21"/>
                <w:lang w:val="es-ES_tradnl" w:eastAsia="en-CA"/>
              </w:rPr>
              <w:t>3.</w:t>
            </w:r>
            <w:r w:rsidRPr="00B25E57">
              <w:rPr>
                <w:color w:val="000000"/>
                <w:sz w:val="21"/>
                <w:szCs w:val="21"/>
                <w:lang w:val="es-ES_tradnl" w:eastAsia="en-CA"/>
              </w:rPr>
              <w:t>80</w:t>
            </w:r>
            <w:r w:rsidR="00FB38C2" w:rsidRPr="00B25E57">
              <w:rPr>
                <w:color w:val="000000"/>
                <w:sz w:val="21"/>
                <w:szCs w:val="21"/>
                <w:lang w:val="es-ES_tradnl" w:eastAsia="en-CA"/>
              </w:rPr>
              <w:t>1.</w:t>
            </w:r>
            <w:r w:rsidRPr="00B25E57">
              <w:rPr>
                <w:color w:val="000000"/>
                <w:sz w:val="21"/>
                <w:szCs w:val="21"/>
                <w:lang w:val="es-ES_tradnl" w:eastAsia="en-CA"/>
              </w:rPr>
              <w:t>000</w:t>
            </w:r>
          </w:p>
        </w:tc>
        <w:tc>
          <w:tcPr>
            <w:tcW w:w="1984" w:type="dxa"/>
            <w:tcBorders>
              <w:top w:val="nil"/>
              <w:left w:val="nil"/>
              <w:bottom w:val="single" w:sz="4" w:space="0" w:color="auto"/>
              <w:right w:val="single" w:sz="4" w:space="0" w:color="auto"/>
            </w:tcBorders>
            <w:shd w:val="clear" w:color="auto" w:fill="auto"/>
            <w:noWrap/>
            <w:hideMark/>
          </w:tcPr>
          <w:p w14:paraId="2DF08CFD" w14:textId="146BD96B"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1</w:t>
            </w:r>
            <w:r w:rsidR="004241C5" w:rsidRPr="00B25E57">
              <w:rPr>
                <w:color w:val="000000"/>
                <w:sz w:val="21"/>
                <w:szCs w:val="21"/>
                <w:lang w:val="es-ES_tradnl" w:eastAsia="en-CA"/>
              </w:rPr>
              <w:t>5.</w:t>
            </w:r>
            <w:r w:rsidRPr="00B25E57">
              <w:rPr>
                <w:color w:val="000000"/>
                <w:sz w:val="21"/>
                <w:szCs w:val="21"/>
                <w:lang w:val="es-ES_tradnl" w:eastAsia="en-CA"/>
              </w:rPr>
              <w:t>94</w:t>
            </w:r>
            <w:r w:rsidR="004241C5" w:rsidRPr="00B25E57">
              <w:rPr>
                <w:color w:val="000000"/>
                <w:sz w:val="21"/>
                <w:szCs w:val="21"/>
                <w:lang w:val="es-ES_tradnl" w:eastAsia="en-CA"/>
              </w:rPr>
              <w:t>8.</w:t>
            </w:r>
            <w:r w:rsidRPr="00B25E57">
              <w:rPr>
                <w:color w:val="000000"/>
                <w:sz w:val="21"/>
                <w:szCs w:val="21"/>
                <w:lang w:val="es-ES_tradnl" w:eastAsia="en-CA"/>
              </w:rPr>
              <w:t>000</w:t>
            </w:r>
          </w:p>
        </w:tc>
      </w:tr>
      <w:tr w:rsidR="00436C92" w:rsidRPr="00B25E57" w14:paraId="6EDD1F39" w14:textId="77777777" w:rsidTr="00BA7F82">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FBE3D58" w14:textId="74024690" w:rsidR="00436C92" w:rsidRPr="00B25E57" w:rsidRDefault="007B22B4" w:rsidP="00E36EBE">
            <w:pPr>
              <w:jc w:val="left"/>
              <w:rPr>
                <w:color w:val="000000"/>
                <w:sz w:val="21"/>
                <w:szCs w:val="21"/>
                <w:lang w:val="es-ES_tradnl" w:eastAsia="en-CA"/>
              </w:rPr>
            </w:pPr>
            <w:r w:rsidRPr="00B25E57">
              <w:rPr>
                <w:color w:val="000000"/>
                <w:sz w:val="21"/>
                <w:szCs w:val="21"/>
                <w:lang w:val="es-ES_tradnl" w:eastAsia="en-CA"/>
              </w:rPr>
              <w:t>Relación</w:t>
            </w:r>
            <w:r w:rsidR="003A46A1" w:rsidRPr="00B25E57">
              <w:rPr>
                <w:color w:val="000000"/>
                <w:sz w:val="21"/>
                <w:szCs w:val="21"/>
                <w:lang w:val="es-ES_tradnl" w:eastAsia="en-CA"/>
              </w:rPr>
              <w:t xml:space="preserve"> </w:t>
            </w:r>
            <w:r w:rsidRPr="00B25E57">
              <w:rPr>
                <w:color w:val="000000"/>
                <w:sz w:val="21"/>
                <w:szCs w:val="21"/>
                <w:lang w:val="es-ES_tradnl" w:eastAsia="en-CA"/>
              </w:rPr>
              <w:t>costo-beneficio</w:t>
            </w:r>
            <w:r w:rsidR="002E6AD2" w:rsidRPr="00B25E57">
              <w:rPr>
                <w:color w:val="000000"/>
                <w:sz w:val="21"/>
                <w:szCs w:val="21"/>
                <w:vertAlign w:val="superscript"/>
                <w:lang w:val="es-ES_tradnl" w:eastAsia="en-CA"/>
              </w:rPr>
              <w:t>*</w:t>
            </w:r>
          </w:p>
        </w:tc>
        <w:tc>
          <w:tcPr>
            <w:tcW w:w="1394" w:type="dxa"/>
            <w:tcBorders>
              <w:top w:val="nil"/>
              <w:left w:val="nil"/>
              <w:bottom w:val="single" w:sz="4" w:space="0" w:color="auto"/>
              <w:right w:val="single" w:sz="4" w:space="0" w:color="auto"/>
            </w:tcBorders>
            <w:shd w:val="clear" w:color="auto" w:fill="auto"/>
            <w:noWrap/>
            <w:hideMark/>
          </w:tcPr>
          <w:p w14:paraId="60440C25"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66.90</w:t>
            </w:r>
          </w:p>
        </w:tc>
        <w:tc>
          <w:tcPr>
            <w:tcW w:w="1643" w:type="dxa"/>
            <w:tcBorders>
              <w:top w:val="nil"/>
              <w:left w:val="nil"/>
              <w:bottom w:val="single" w:sz="4" w:space="0" w:color="auto"/>
              <w:right w:val="single" w:sz="4" w:space="0" w:color="auto"/>
            </w:tcBorders>
            <w:shd w:val="clear" w:color="auto" w:fill="auto"/>
            <w:noWrap/>
            <w:hideMark/>
          </w:tcPr>
          <w:p w14:paraId="2D92D1FE"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41.80</w:t>
            </w:r>
          </w:p>
        </w:tc>
        <w:tc>
          <w:tcPr>
            <w:tcW w:w="1642" w:type="dxa"/>
            <w:tcBorders>
              <w:top w:val="nil"/>
              <w:left w:val="nil"/>
              <w:bottom w:val="single" w:sz="4" w:space="0" w:color="auto"/>
              <w:right w:val="single" w:sz="4" w:space="0" w:color="auto"/>
            </w:tcBorders>
            <w:shd w:val="clear" w:color="auto" w:fill="auto"/>
            <w:noWrap/>
            <w:hideMark/>
          </w:tcPr>
          <w:p w14:paraId="748EBBFC"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25.83</w:t>
            </w:r>
          </w:p>
        </w:tc>
        <w:tc>
          <w:tcPr>
            <w:tcW w:w="1984" w:type="dxa"/>
            <w:tcBorders>
              <w:top w:val="nil"/>
              <w:left w:val="nil"/>
              <w:bottom w:val="single" w:sz="4" w:space="0" w:color="auto"/>
              <w:right w:val="single" w:sz="4" w:space="0" w:color="auto"/>
            </w:tcBorders>
            <w:shd w:val="clear" w:color="auto" w:fill="auto"/>
            <w:noWrap/>
            <w:hideMark/>
          </w:tcPr>
          <w:p w14:paraId="22CEB406" w14:textId="77777777" w:rsidR="00436C92" w:rsidRPr="00B25E57" w:rsidRDefault="00436C92" w:rsidP="00DD07B5">
            <w:pPr>
              <w:jc w:val="right"/>
              <w:rPr>
                <w:color w:val="000000"/>
                <w:sz w:val="21"/>
                <w:szCs w:val="21"/>
                <w:lang w:val="es-ES_tradnl" w:eastAsia="en-CA"/>
              </w:rPr>
            </w:pPr>
            <w:r w:rsidRPr="00B25E57">
              <w:rPr>
                <w:color w:val="000000"/>
                <w:sz w:val="21"/>
                <w:szCs w:val="21"/>
                <w:lang w:val="es-ES_tradnl" w:eastAsia="en-CA"/>
              </w:rPr>
              <w:t>29.84</w:t>
            </w:r>
          </w:p>
        </w:tc>
      </w:tr>
    </w:tbl>
    <w:p w14:paraId="3403ADC4" w14:textId="022B33C2" w:rsidR="00C94735" w:rsidRPr="00B25E57" w:rsidRDefault="00D0585A" w:rsidP="00C94735">
      <w:pPr>
        <w:rPr>
          <w:sz w:val="20"/>
          <w:szCs w:val="20"/>
          <w:lang w:val="es-ES_tradnl"/>
        </w:rPr>
      </w:pPr>
      <w:r w:rsidRPr="00B25E57">
        <w:rPr>
          <w:sz w:val="20"/>
          <w:szCs w:val="20"/>
          <w:lang w:val="es-ES_tradnl"/>
        </w:rPr>
        <w:t>*</w:t>
      </w:r>
      <w:r w:rsidR="003A46A1" w:rsidRPr="00B25E57">
        <w:rPr>
          <w:sz w:val="20"/>
          <w:szCs w:val="20"/>
          <w:lang w:val="es-ES_tradnl"/>
        </w:rPr>
        <w:t xml:space="preserve"> </w:t>
      </w:r>
      <w:r w:rsidR="00F74F13">
        <w:rPr>
          <w:sz w:val="20"/>
          <w:szCs w:val="20"/>
          <w:lang w:val="es-ES_tradnl"/>
        </w:rPr>
        <w:t>$EUA/kg de HFC-23 destruido</w:t>
      </w:r>
      <w:r w:rsidR="005B0BD4">
        <w:rPr>
          <w:sz w:val="20"/>
          <w:szCs w:val="20"/>
          <w:lang w:val="es-ES_tradnl"/>
        </w:rPr>
        <w:t>.</w:t>
      </w:r>
    </w:p>
    <w:p w14:paraId="0C2E0CF3" w14:textId="77777777" w:rsidR="00D0585A" w:rsidRPr="00B25E57" w:rsidRDefault="00D0585A" w:rsidP="00C94735">
      <w:pPr>
        <w:rPr>
          <w:lang w:val="es-ES_tradnl"/>
        </w:rPr>
      </w:pPr>
    </w:p>
    <w:p w14:paraId="5DB38A76" w14:textId="2C62D6F6" w:rsidR="00FA2AE0" w:rsidRPr="00B25E57" w:rsidRDefault="00F33C58" w:rsidP="00FA2AE0">
      <w:pPr>
        <w:rPr>
          <w:i/>
          <w:lang w:val="es-ES_tradnl"/>
        </w:rPr>
      </w:pPr>
      <w:r w:rsidRPr="00B25E57">
        <w:rPr>
          <w:i/>
          <w:lang w:val="es-ES_tradnl"/>
        </w:rPr>
        <w:t>Opción</w:t>
      </w:r>
      <w:r w:rsidR="003A46A1" w:rsidRPr="00B25E57">
        <w:rPr>
          <w:i/>
          <w:lang w:val="es-ES_tradnl"/>
        </w:rPr>
        <w:t xml:space="preserve"> </w:t>
      </w:r>
      <w:r w:rsidR="00B63C0C" w:rsidRPr="00B25E57">
        <w:rPr>
          <w:i/>
          <w:lang w:val="es-ES_tradnl"/>
        </w:rPr>
        <w:t>3:</w:t>
      </w:r>
      <w:r w:rsidR="003A46A1" w:rsidRPr="00B25E57">
        <w:rPr>
          <w:i/>
          <w:lang w:val="es-ES_tradnl"/>
        </w:rPr>
        <w:t xml:space="preserve"> </w:t>
      </w:r>
      <w:r w:rsidR="00C91884">
        <w:rPr>
          <w:i/>
          <w:lang w:val="es-ES_tradnl"/>
        </w:rPr>
        <w:t xml:space="preserve">Destrucción </w:t>
      </w:r>
      <w:r w:rsidR="00B654D8">
        <w:rPr>
          <w:i/>
          <w:lang w:val="es-ES_tradnl"/>
        </w:rPr>
        <w:t>ex situ</w:t>
      </w:r>
      <w:r w:rsidR="003A46A1" w:rsidRPr="00B25E57">
        <w:rPr>
          <w:i/>
          <w:lang w:val="es-ES_tradnl"/>
        </w:rPr>
        <w:t xml:space="preserve"> </w:t>
      </w:r>
      <w:r w:rsidR="00FB38C2" w:rsidRPr="00B25E57">
        <w:rPr>
          <w:i/>
          <w:lang w:val="es-ES_tradnl"/>
        </w:rPr>
        <w:t>de</w:t>
      </w:r>
      <w:r w:rsidR="00B6344F">
        <w:rPr>
          <w:i/>
          <w:lang w:val="es-ES_tradnl"/>
        </w:rPr>
        <w:t>l subproducto HCFC-23</w:t>
      </w:r>
    </w:p>
    <w:p w14:paraId="4BD3B5F2" w14:textId="77777777" w:rsidR="00B63C0C" w:rsidRPr="00B25E57" w:rsidRDefault="00B63C0C" w:rsidP="00FA2AE0">
      <w:pPr>
        <w:rPr>
          <w:lang w:val="es-ES_tradnl"/>
        </w:rPr>
      </w:pPr>
    </w:p>
    <w:p w14:paraId="5E2B4AC3" w14:textId="2D327DB2" w:rsidR="007B22B4" w:rsidRPr="00B25E57" w:rsidRDefault="00F74F13" w:rsidP="00665672">
      <w:pPr>
        <w:pStyle w:val="Heading1"/>
        <w:rPr>
          <w:lang w:val="es-ES_tradnl"/>
        </w:rPr>
      </w:pPr>
      <w:r>
        <w:rPr>
          <w:lang w:val="es-ES_tradnl"/>
        </w:rPr>
        <w:t>Para la opción de destrucción ex situ</w:t>
      </w:r>
      <w:r w:rsidR="00D34877"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4A73D4">
        <w:rPr>
          <w:lang w:val="es-ES_tradnl"/>
        </w:rPr>
        <w:t>ONUDI consideró</w:t>
      </w:r>
      <w:r w:rsidR="003A46A1" w:rsidRPr="00B25E57">
        <w:rPr>
          <w:lang w:val="es-ES_tradnl"/>
        </w:rPr>
        <w:t xml:space="preserve"> </w:t>
      </w:r>
      <w:r w:rsidR="004A73D4">
        <w:rPr>
          <w:lang w:val="es-ES_tradnl"/>
        </w:rPr>
        <w:t xml:space="preserve">posibles </w:t>
      </w:r>
      <w:r w:rsidR="004B0594">
        <w:rPr>
          <w:lang w:val="es-ES_tradnl"/>
        </w:rPr>
        <w:t xml:space="preserve">alternativas </w:t>
      </w:r>
      <w:r w:rsidR="004241C5" w:rsidRPr="00B25E57">
        <w:rPr>
          <w:lang w:val="es-ES_tradnl"/>
        </w:rPr>
        <w:t>en</w:t>
      </w:r>
      <w:r w:rsidR="003A46A1" w:rsidRPr="00B25E57">
        <w:rPr>
          <w:lang w:val="es-ES_tradnl"/>
        </w:rPr>
        <w:t xml:space="preserve"> </w:t>
      </w:r>
      <w:r w:rsidR="008013CC">
        <w:rPr>
          <w:lang w:val="es-ES_tradnl"/>
        </w:rPr>
        <w:t xml:space="preserve">Argentina, en especial </w:t>
      </w:r>
      <w:r w:rsidR="00D04DC2" w:rsidRPr="00B25E57">
        <w:rPr>
          <w:lang w:val="es-ES_tradnl"/>
        </w:rPr>
        <w:t>la</w:t>
      </w:r>
      <w:r w:rsidR="003A46A1" w:rsidRPr="00B25E57">
        <w:rPr>
          <w:lang w:val="es-ES_tradnl"/>
        </w:rPr>
        <w:t xml:space="preserve"> </w:t>
      </w:r>
      <w:r w:rsidR="00D04DC2" w:rsidRPr="00B25E57">
        <w:rPr>
          <w:lang w:val="es-ES_tradnl"/>
        </w:rPr>
        <w:t>empresa</w:t>
      </w:r>
      <w:r w:rsidR="003A46A1" w:rsidRPr="00B25E57">
        <w:rPr>
          <w:lang w:val="es-ES_tradnl"/>
        </w:rPr>
        <w:t xml:space="preserve"> </w:t>
      </w:r>
      <w:r w:rsidR="00D34877" w:rsidRPr="00B25E57">
        <w:rPr>
          <w:lang w:val="es-ES_tradnl"/>
        </w:rPr>
        <w:t>Cementos</w:t>
      </w:r>
      <w:r w:rsidR="003A46A1" w:rsidRPr="00B25E57">
        <w:rPr>
          <w:lang w:val="es-ES_tradnl"/>
        </w:rPr>
        <w:t xml:space="preserve"> </w:t>
      </w:r>
      <w:r w:rsidR="00D34877" w:rsidRPr="00B25E57">
        <w:rPr>
          <w:lang w:val="es-ES_tradnl"/>
        </w:rPr>
        <w:t>Avellaneda</w:t>
      </w:r>
      <w:r w:rsidR="008A286F" w:rsidRPr="00B25E57">
        <w:rPr>
          <w:lang w:val="es-ES_tradnl"/>
        </w:rPr>
        <w:t>,</w:t>
      </w:r>
      <w:r w:rsidR="008A286F" w:rsidRPr="00B25E57">
        <w:rPr>
          <w:rStyle w:val="FootnoteReference"/>
          <w:lang w:val="es-ES_tradnl"/>
        </w:rPr>
        <w:footnoteReference w:id="13"/>
      </w:r>
      <w:r w:rsidR="003A46A1" w:rsidRPr="00B25E57">
        <w:rPr>
          <w:lang w:val="es-ES_tradnl"/>
        </w:rPr>
        <w:t xml:space="preserve"> </w:t>
      </w:r>
      <w:r w:rsidR="00AD141D">
        <w:rPr>
          <w:lang w:val="es-ES_tradnl"/>
        </w:rPr>
        <w:t xml:space="preserve">cercana a </w:t>
      </w:r>
      <w:r w:rsidR="00D35FBE">
        <w:rPr>
          <w:lang w:val="es-ES_tradnl"/>
        </w:rPr>
        <w:t>FIASA</w:t>
      </w:r>
      <w:r w:rsidR="008A286F" w:rsidRPr="00B25E57">
        <w:rPr>
          <w:lang w:val="es-ES_tradnl"/>
        </w:rPr>
        <w:t>,</w:t>
      </w:r>
      <w:r w:rsidR="003A46A1" w:rsidRPr="00B25E57">
        <w:rPr>
          <w:lang w:val="es-ES_tradnl"/>
        </w:rPr>
        <w:t xml:space="preserve"> </w:t>
      </w:r>
      <w:r w:rsidR="00641947">
        <w:rPr>
          <w:lang w:val="es-ES_tradnl"/>
        </w:rPr>
        <w:t xml:space="preserve">la que </w:t>
      </w:r>
      <w:r w:rsidR="003E29DE">
        <w:rPr>
          <w:lang w:val="es-ES_tradnl"/>
        </w:rPr>
        <w:t>cuenta con</w:t>
      </w:r>
      <w:r w:rsidR="00AD141D">
        <w:rPr>
          <w:lang w:val="es-ES_tradnl"/>
        </w:rPr>
        <w:t xml:space="preserve"> un </w:t>
      </w:r>
      <w:r w:rsidR="00B25E57">
        <w:rPr>
          <w:lang w:val="es-ES_tradnl"/>
        </w:rPr>
        <w:t>horno de cemento</w:t>
      </w:r>
      <w:r w:rsidR="00641947">
        <w:rPr>
          <w:lang w:val="es-ES_tradnl"/>
        </w:rPr>
        <w:t>.</w:t>
      </w:r>
      <w:r w:rsidR="003A46A1" w:rsidRPr="00B25E57">
        <w:rPr>
          <w:lang w:val="es-ES_tradnl"/>
        </w:rPr>
        <w:t xml:space="preserve"> </w:t>
      </w:r>
      <w:r w:rsidR="00641947">
        <w:rPr>
          <w:lang w:val="es-ES_tradnl"/>
        </w:rPr>
        <w:t xml:space="preserve">Este método, sin embargo, </w:t>
      </w:r>
      <w:r w:rsidR="00BD6FBE">
        <w:rPr>
          <w:lang w:val="es-ES_tradnl"/>
        </w:rPr>
        <w:t>no forma parte de las tecnologías</w:t>
      </w:r>
      <w:r w:rsidR="003A46A1" w:rsidRPr="00B25E57">
        <w:rPr>
          <w:lang w:val="es-ES_tradnl"/>
        </w:rPr>
        <w:t xml:space="preserve"> de </w:t>
      </w:r>
      <w:r w:rsidR="00012A6B">
        <w:rPr>
          <w:lang w:val="es-ES_tradnl"/>
        </w:rPr>
        <w:t>destrucción</w:t>
      </w:r>
      <w:r w:rsidR="003A46A1" w:rsidRPr="00B25E57">
        <w:rPr>
          <w:lang w:val="es-ES_tradnl"/>
        </w:rPr>
        <w:t xml:space="preserve"> </w:t>
      </w:r>
      <w:r w:rsidR="006E4D46">
        <w:rPr>
          <w:lang w:val="es-ES_tradnl"/>
        </w:rPr>
        <w:t>de</w:t>
      </w:r>
      <w:r w:rsidR="003A46A1" w:rsidRPr="00B25E57">
        <w:rPr>
          <w:lang w:val="es-ES_tradnl"/>
        </w:rPr>
        <w:t xml:space="preserve"> </w:t>
      </w:r>
      <w:r w:rsidR="00F43149" w:rsidRPr="00B25E57">
        <w:rPr>
          <w:lang w:val="es-ES_tradnl"/>
        </w:rPr>
        <w:t>HFC</w:t>
      </w:r>
      <w:r w:rsidR="00FB38C2" w:rsidRPr="00B25E57">
        <w:rPr>
          <w:lang w:val="es-ES_tradnl"/>
        </w:rPr>
        <w:t>-</w:t>
      </w:r>
      <w:r w:rsidR="00F43149" w:rsidRPr="00B25E57">
        <w:rPr>
          <w:lang w:val="es-ES_tradnl"/>
        </w:rPr>
        <w:t>23</w:t>
      </w:r>
      <w:r w:rsidR="003A46A1" w:rsidRPr="00B25E57">
        <w:rPr>
          <w:lang w:val="es-ES_tradnl"/>
        </w:rPr>
        <w:t xml:space="preserve"> </w:t>
      </w:r>
      <w:r w:rsidR="00BD6FBE">
        <w:rPr>
          <w:lang w:val="es-ES_tradnl"/>
        </w:rPr>
        <w:t>aprobadas</w:t>
      </w:r>
      <w:r w:rsidR="003A46A1" w:rsidRPr="00B25E57">
        <w:rPr>
          <w:lang w:val="es-ES_tradnl"/>
        </w:rPr>
        <w:t xml:space="preserve"> </w:t>
      </w:r>
      <w:r w:rsidR="00F942C6" w:rsidRPr="00B25E57">
        <w:rPr>
          <w:lang w:val="es-ES_tradnl"/>
        </w:rPr>
        <w:t>por</w:t>
      </w:r>
      <w:r w:rsidR="003A46A1" w:rsidRPr="00B25E57">
        <w:rPr>
          <w:lang w:val="es-ES_tradnl"/>
        </w:rPr>
        <w:t xml:space="preserve"> </w:t>
      </w:r>
      <w:r w:rsidR="00A4343B" w:rsidRPr="00B25E57">
        <w:rPr>
          <w:lang w:val="es-ES_tradnl"/>
        </w:rPr>
        <w:t>las</w:t>
      </w:r>
      <w:r w:rsidR="003A46A1" w:rsidRPr="00B25E57">
        <w:rPr>
          <w:lang w:val="es-ES_tradnl"/>
        </w:rPr>
        <w:t xml:space="preserve"> </w:t>
      </w:r>
      <w:r w:rsidR="00A4343B" w:rsidRPr="00B25E57">
        <w:rPr>
          <w:lang w:val="es-ES_tradnl"/>
        </w:rPr>
        <w:t>Partes</w:t>
      </w:r>
      <w:r w:rsidR="003A46A1" w:rsidRPr="00B25E57">
        <w:rPr>
          <w:lang w:val="es-ES_tradnl"/>
        </w:rPr>
        <w:t xml:space="preserve"> </w:t>
      </w:r>
      <w:r w:rsidR="00A4343B" w:rsidRPr="00B25E57">
        <w:rPr>
          <w:lang w:val="es-ES_tradnl"/>
        </w:rPr>
        <w:t>del</w:t>
      </w:r>
      <w:r w:rsidR="003A46A1" w:rsidRPr="00B25E57">
        <w:rPr>
          <w:lang w:val="es-ES_tradnl"/>
        </w:rPr>
        <w:t xml:space="preserve"> </w:t>
      </w:r>
      <w:r w:rsidR="00A4343B" w:rsidRPr="00B25E57">
        <w:rPr>
          <w:lang w:val="es-ES_tradnl"/>
        </w:rPr>
        <w:t>Protocolo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Montreal</w:t>
      </w:r>
      <w:r w:rsidR="00F43149" w:rsidRPr="00B25E57">
        <w:rPr>
          <w:lang w:val="es-ES_tradnl"/>
        </w:rPr>
        <w:t>.</w:t>
      </w:r>
    </w:p>
    <w:p w14:paraId="534A6DED" w14:textId="7905B422" w:rsidR="007B22B4" w:rsidRPr="00B25E57" w:rsidRDefault="00CC6463" w:rsidP="00665672">
      <w:pPr>
        <w:pStyle w:val="Heading1"/>
        <w:rPr>
          <w:lang w:val="es-ES_tradnl"/>
        </w:rPr>
      </w:pPr>
      <w:r>
        <w:rPr>
          <w:lang w:val="es-ES_tradnl"/>
        </w:rPr>
        <w:t xml:space="preserve">Tras no encontrarse </w:t>
      </w:r>
      <w:r w:rsidRPr="00CC6463">
        <w:rPr>
          <w:lang w:val="es-ES_tradnl"/>
        </w:rPr>
        <w:t xml:space="preserve">en </w:t>
      </w:r>
      <w:r w:rsidR="00303F5F">
        <w:rPr>
          <w:lang w:val="es-ES_tradnl"/>
        </w:rPr>
        <w:t>el país</w:t>
      </w:r>
      <w:r w:rsidRPr="00CC6463">
        <w:rPr>
          <w:lang w:val="es-ES_tradnl"/>
        </w:rPr>
        <w:t xml:space="preserve"> </w:t>
      </w:r>
      <w:r w:rsidR="00107256">
        <w:rPr>
          <w:lang w:val="es-ES_tradnl"/>
        </w:rPr>
        <w:t xml:space="preserve">plantas </w:t>
      </w:r>
      <w:r w:rsidR="003E29DE">
        <w:rPr>
          <w:lang w:val="es-ES_tradnl"/>
        </w:rPr>
        <w:t>de destrucción aprobadas</w:t>
      </w:r>
      <w:r w:rsidR="003A46A1" w:rsidRPr="00B25E57">
        <w:rPr>
          <w:lang w:val="es-ES_tradnl"/>
        </w:rPr>
        <w:t xml:space="preserve"> </w:t>
      </w:r>
      <w:r w:rsidR="00F43149" w:rsidRPr="00B25E57">
        <w:rPr>
          <w:lang w:val="es-ES_tradnl"/>
        </w:rPr>
        <w:t>(</w:t>
      </w:r>
      <w:r w:rsidR="00B20DBA">
        <w:rPr>
          <w:lang w:val="es-ES_tradnl"/>
        </w:rPr>
        <w:t xml:space="preserve">p. ej., </w:t>
      </w:r>
      <w:r w:rsidR="0003705A">
        <w:rPr>
          <w:lang w:val="es-ES_tradnl"/>
        </w:rPr>
        <w:t xml:space="preserve">de </w:t>
      </w:r>
      <w:r w:rsidR="00B25E57">
        <w:rPr>
          <w:lang w:val="es-ES_tradnl"/>
        </w:rPr>
        <w:t>horno rotativo</w:t>
      </w:r>
      <w:r w:rsidR="00F43149" w:rsidRPr="00B25E57">
        <w:rPr>
          <w:lang w:val="es-ES_tradnl"/>
        </w:rPr>
        <w:t>),</w:t>
      </w:r>
      <w:r w:rsidR="003A46A1" w:rsidRPr="00B25E57">
        <w:rPr>
          <w:lang w:val="es-ES_tradnl"/>
        </w:rPr>
        <w:t xml:space="preserve"> </w:t>
      </w:r>
      <w:r w:rsidR="0003705A">
        <w:rPr>
          <w:lang w:val="es-ES_tradnl"/>
        </w:rPr>
        <w:t xml:space="preserve">se </w:t>
      </w:r>
      <w:r w:rsidR="005364EC">
        <w:rPr>
          <w:lang w:val="es-ES_tradnl"/>
        </w:rPr>
        <w:t xml:space="preserve">propuso </w:t>
      </w:r>
      <w:r w:rsidR="00B25E57">
        <w:rPr>
          <w:lang w:val="es-ES_tradnl"/>
        </w:rPr>
        <w:t>exportar</w:t>
      </w:r>
      <w:r w:rsidR="003A46A1" w:rsidRPr="00B25E57">
        <w:rPr>
          <w:lang w:val="es-ES_tradnl"/>
        </w:rPr>
        <w:t xml:space="preserve"> </w:t>
      </w:r>
      <w:r w:rsidR="00DF4FF4">
        <w:rPr>
          <w:lang w:val="es-ES_tradnl"/>
        </w:rPr>
        <w:t xml:space="preserve">el </w:t>
      </w:r>
      <w:r w:rsidR="004512EA" w:rsidRPr="00B25E57">
        <w:rPr>
          <w:lang w:val="es-ES_tradnl"/>
        </w:rPr>
        <w:t>HFC-23</w:t>
      </w:r>
      <w:r w:rsidR="003A46A1" w:rsidRPr="00B25E57">
        <w:rPr>
          <w:lang w:val="es-ES_tradnl"/>
        </w:rPr>
        <w:t xml:space="preserve"> </w:t>
      </w:r>
      <w:r w:rsidR="001559D1">
        <w:rPr>
          <w:lang w:val="es-ES_tradnl"/>
        </w:rPr>
        <w:t xml:space="preserve">a </w:t>
      </w:r>
      <w:r w:rsidR="001559D1" w:rsidRPr="001559D1">
        <w:rPr>
          <w:lang w:val="es-ES_tradnl"/>
        </w:rPr>
        <w:t xml:space="preserve">Europa </w:t>
      </w:r>
      <w:r w:rsidR="00DF4FF4">
        <w:rPr>
          <w:lang w:val="es-ES_tradnl"/>
        </w:rPr>
        <w:t xml:space="preserve">para </w:t>
      </w:r>
      <w:r w:rsidR="00F942F0">
        <w:rPr>
          <w:lang w:val="es-ES_tradnl"/>
        </w:rPr>
        <w:t xml:space="preserve">su </w:t>
      </w:r>
      <w:r w:rsidR="00DF4FF4">
        <w:rPr>
          <w:lang w:val="es-ES_tradnl"/>
        </w:rPr>
        <w:t>destrucción</w:t>
      </w:r>
      <w:r w:rsidR="003A46A1" w:rsidRPr="00B25E57">
        <w:rPr>
          <w:lang w:val="es-ES_tradnl"/>
        </w:rPr>
        <w:t xml:space="preserve"> </w:t>
      </w:r>
      <w:r w:rsidR="001629F5">
        <w:rPr>
          <w:lang w:val="es-ES_tradnl"/>
        </w:rPr>
        <w:t xml:space="preserve">en un </w:t>
      </w:r>
      <w:r w:rsidR="00B25E57">
        <w:rPr>
          <w:lang w:val="es-ES_tradnl"/>
        </w:rPr>
        <w:t>horno rotativo</w:t>
      </w:r>
      <w:r w:rsidR="007A0A23" w:rsidRPr="00B25E57">
        <w:rPr>
          <w:lang w:val="es-ES_tradnl"/>
        </w:rPr>
        <w:t>.</w:t>
      </w:r>
      <w:r w:rsidR="003A46A1" w:rsidRPr="00B25E57">
        <w:rPr>
          <w:lang w:val="es-ES_tradnl"/>
        </w:rPr>
        <w:t xml:space="preserve"> </w:t>
      </w:r>
      <w:r w:rsidR="00D60DCB">
        <w:rPr>
          <w:lang w:val="es-ES_tradnl"/>
        </w:rPr>
        <w:t xml:space="preserve">Esto </w:t>
      </w:r>
      <w:r w:rsidR="00231118">
        <w:rPr>
          <w:lang w:val="es-ES_tradnl"/>
        </w:rPr>
        <w:t xml:space="preserve">requeriría </w:t>
      </w:r>
      <w:r w:rsidR="00166EF4">
        <w:rPr>
          <w:lang w:val="es-ES_tradnl"/>
        </w:rPr>
        <w:t xml:space="preserve">adquirir </w:t>
      </w:r>
      <w:r w:rsidR="00FB38C2" w:rsidRPr="00B25E57">
        <w:rPr>
          <w:lang w:val="es-ES_tradnl"/>
        </w:rPr>
        <w:lastRenderedPageBreak/>
        <w:t>dos</w:t>
      </w:r>
      <w:r w:rsidR="003A46A1" w:rsidRPr="00B25E57">
        <w:rPr>
          <w:lang w:val="es-ES_tradnl"/>
        </w:rPr>
        <w:t xml:space="preserve"> </w:t>
      </w:r>
      <w:r w:rsidR="00F968AC" w:rsidRPr="00F968AC">
        <w:rPr>
          <w:lang w:val="es-ES_tradnl"/>
        </w:rPr>
        <w:t xml:space="preserve">isotanques </w:t>
      </w:r>
      <w:r w:rsidR="00F968AC">
        <w:rPr>
          <w:lang w:val="es-ES_tradnl"/>
        </w:rPr>
        <w:t xml:space="preserve">de </w:t>
      </w:r>
      <w:r w:rsidR="001C534E" w:rsidRPr="00B25E57">
        <w:rPr>
          <w:lang w:val="es-ES_tradnl"/>
        </w:rPr>
        <w:t>9</w:t>
      </w:r>
      <w:r w:rsidR="003A46A1" w:rsidRPr="00B25E57">
        <w:rPr>
          <w:lang w:val="es-ES_tradnl"/>
        </w:rPr>
        <w:t xml:space="preserve"> </w:t>
      </w:r>
      <w:r w:rsidR="00F968AC">
        <w:rPr>
          <w:lang w:val="es-ES_tradnl"/>
        </w:rPr>
        <w:t xml:space="preserve">tm de </w:t>
      </w:r>
      <w:r w:rsidR="004057BA" w:rsidRPr="00B25E57">
        <w:rPr>
          <w:lang w:val="es-ES_tradnl"/>
        </w:rPr>
        <w:t>capacidad</w:t>
      </w:r>
      <w:r w:rsidR="003A46A1" w:rsidRPr="00B25E57">
        <w:rPr>
          <w:lang w:val="es-ES_tradnl"/>
        </w:rPr>
        <w:t xml:space="preserve"> </w:t>
      </w:r>
      <w:r w:rsidR="007B2DF1">
        <w:rPr>
          <w:lang w:val="es-ES_tradnl"/>
        </w:rPr>
        <w:t>(</w:t>
      </w:r>
      <w:r w:rsidR="007A0A23" w:rsidRPr="00B25E57">
        <w:rPr>
          <w:lang w:val="es-ES_tradnl"/>
        </w:rPr>
        <w:t>25</w:t>
      </w:r>
      <w:r w:rsidR="00FB38C2" w:rsidRPr="00B25E57">
        <w:rPr>
          <w:lang w:val="es-ES_tradnl"/>
        </w:rPr>
        <w:t>0.</w:t>
      </w:r>
      <w:r w:rsidR="007A0A23" w:rsidRPr="00B25E57">
        <w:rPr>
          <w:lang w:val="es-ES_tradnl"/>
        </w:rPr>
        <w:t>000</w:t>
      </w:r>
      <w:r w:rsidR="00FB38C2" w:rsidRPr="00B25E57">
        <w:rPr>
          <w:lang w:val="es-ES_tradnl"/>
        </w:rPr>
        <w:t>-</w:t>
      </w:r>
      <w:r w:rsidR="007A0A23" w:rsidRPr="00B25E57">
        <w:rPr>
          <w:lang w:val="es-ES_tradnl"/>
        </w:rPr>
        <w:t>30</w:t>
      </w:r>
      <w:r w:rsidR="00FB38C2" w:rsidRPr="00B25E57">
        <w:rPr>
          <w:lang w:val="es-ES_tradnl"/>
        </w:rPr>
        <w:t>0.</w:t>
      </w:r>
      <w:r w:rsidR="007A0A23" w:rsidRPr="00B25E57">
        <w:rPr>
          <w:lang w:val="es-ES_tradnl"/>
        </w:rPr>
        <w:t>000</w:t>
      </w:r>
      <w:r w:rsidR="007B2DF1">
        <w:rPr>
          <w:lang w:val="es-ES_tradnl"/>
        </w:rPr>
        <w:t xml:space="preserve"> </w:t>
      </w:r>
      <w:r w:rsidR="007B2DF1" w:rsidRPr="007B2DF1">
        <w:rPr>
          <w:lang w:val="es-ES_tradnl"/>
        </w:rPr>
        <w:t>$EUA</w:t>
      </w:r>
      <w:r w:rsidR="008518C7">
        <w:rPr>
          <w:lang w:val="es-ES_tradnl"/>
        </w:rPr>
        <w:t xml:space="preserve"> c/u</w:t>
      </w:r>
      <w:r w:rsidR="007A0A23" w:rsidRPr="00B25E57">
        <w:rPr>
          <w:lang w:val="es-ES_tradnl"/>
        </w:rPr>
        <w:t>)</w:t>
      </w:r>
      <w:r w:rsidR="003A46A1" w:rsidRPr="00B25E57">
        <w:rPr>
          <w:lang w:val="es-ES_tradnl"/>
        </w:rPr>
        <w:t xml:space="preserve"> </w:t>
      </w:r>
      <w:r w:rsidR="00E916D9">
        <w:rPr>
          <w:lang w:val="es-ES_tradnl"/>
        </w:rPr>
        <w:t>(</w:t>
      </w:r>
      <w:r w:rsidR="001C534E" w:rsidRPr="00B25E57">
        <w:rPr>
          <w:lang w:val="es-ES_tradnl"/>
        </w:rPr>
        <w:t>no</w:t>
      </w:r>
      <w:r w:rsidR="003A46A1" w:rsidRPr="00B25E57">
        <w:rPr>
          <w:lang w:val="es-ES_tradnl"/>
        </w:rPr>
        <w:t xml:space="preserve"> </w:t>
      </w:r>
      <w:r w:rsidR="00E32ADE">
        <w:rPr>
          <w:lang w:val="es-ES_tradnl"/>
        </w:rPr>
        <w:t xml:space="preserve">se encontraron </w:t>
      </w:r>
      <w:r w:rsidR="004241C5" w:rsidRPr="00B25E57">
        <w:rPr>
          <w:lang w:val="es-ES_tradnl"/>
        </w:rPr>
        <w:t>empresa</w:t>
      </w:r>
      <w:r w:rsidR="00E32ADE">
        <w:rPr>
          <w:lang w:val="es-ES_tradnl"/>
        </w:rPr>
        <w:t>s</w:t>
      </w:r>
      <w:r w:rsidR="003A46A1" w:rsidRPr="00B25E57">
        <w:rPr>
          <w:lang w:val="es-ES_tradnl"/>
        </w:rPr>
        <w:t xml:space="preserve"> </w:t>
      </w:r>
      <w:r w:rsidR="00933730">
        <w:rPr>
          <w:lang w:val="es-ES_tradnl"/>
        </w:rPr>
        <w:t>dispuesta a alquilarlos</w:t>
      </w:r>
      <w:r w:rsidR="00026B6E">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006A86">
        <w:rPr>
          <w:lang w:val="es-ES_tradnl"/>
        </w:rPr>
        <w:t xml:space="preserve">un </w:t>
      </w:r>
      <w:r w:rsidR="00F33C58" w:rsidRPr="00B25E57">
        <w:rPr>
          <w:lang w:val="es-ES_tradnl"/>
        </w:rPr>
        <w:t>compresor</w:t>
      </w:r>
      <w:r w:rsidR="003A46A1" w:rsidRPr="00B25E57">
        <w:rPr>
          <w:lang w:val="es-ES_tradnl"/>
        </w:rPr>
        <w:t xml:space="preserve"> </w:t>
      </w:r>
      <w:r w:rsidR="007A0A23" w:rsidRPr="00B25E57">
        <w:rPr>
          <w:lang w:val="es-ES_tradnl"/>
        </w:rPr>
        <w:t>(2</w:t>
      </w:r>
      <w:r w:rsidR="00FB38C2" w:rsidRPr="00B25E57">
        <w:rPr>
          <w:lang w:val="es-ES_tradnl"/>
        </w:rPr>
        <w:t>0.</w:t>
      </w:r>
      <w:r w:rsidR="007A0A23" w:rsidRPr="00B25E57">
        <w:rPr>
          <w:lang w:val="es-ES_tradnl"/>
        </w:rPr>
        <w:t>000</w:t>
      </w:r>
      <w:r w:rsidR="00E516A3">
        <w:rPr>
          <w:lang w:val="es-ES_tradnl"/>
        </w:rPr>
        <w:t xml:space="preserve"> </w:t>
      </w:r>
      <w:r w:rsidR="00E516A3" w:rsidRPr="00E516A3">
        <w:rPr>
          <w:lang w:val="es-ES_tradnl"/>
        </w:rPr>
        <w:t>$EUA</w:t>
      </w:r>
      <w:r w:rsidR="007A0A23" w:rsidRPr="00B25E57">
        <w:rPr>
          <w:lang w:val="es-ES_tradnl"/>
        </w:rPr>
        <w:t>)</w:t>
      </w:r>
      <w:r w:rsidR="003A46A1" w:rsidRPr="00B25E57">
        <w:rPr>
          <w:lang w:val="es-ES_tradnl"/>
        </w:rPr>
        <w:t xml:space="preserve"> </w:t>
      </w:r>
      <w:r w:rsidR="00A95E5A">
        <w:rPr>
          <w:lang w:val="es-ES_tradnl"/>
        </w:rPr>
        <w:t xml:space="preserve">para </w:t>
      </w:r>
      <w:r w:rsidR="001C2F8B">
        <w:rPr>
          <w:lang w:val="es-ES_tradnl"/>
        </w:rPr>
        <w:t xml:space="preserve">trasegar </w:t>
      </w:r>
      <w:r w:rsidR="00201485">
        <w:rPr>
          <w:lang w:val="es-ES_tradnl"/>
        </w:rPr>
        <w:t>el HFC</w:t>
      </w:r>
      <w:r w:rsidR="00FB38C2" w:rsidRPr="00B25E57">
        <w:rPr>
          <w:lang w:val="es-ES_tradnl"/>
        </w:rPr>
        <w:t>-</w:t>
      </w:r>
      <w:r w:rsidR="007A0A23" w:rsidRPr="00B25E57">
        <w:rPr>
          <w:lang w:val="es-ES_tradnl"/>
        </w:rPr>
        <w:t>23</w:t>
      </w:r>
      <w:r w:rsidR="003A46A1" w:rsidRPr="00B25E57">
        <w:rPr>
          <w:lang w:val="es-ES_tradnl"/>
        </w:rPr>
        <w:t xml:space="preserve"> </w:t>
      </w:r>
      <w:r w:rsidR="004B4EF9">
        <w:rPr>
          <w:lang w:val="es-ES_tradnl"/>
        </w:rPr>
        <w:t>desde el</w:t>
      </w:r>
      <w:r w:rsidR="00071FF0">
        <w:rPr>
          <w:lang w:val="es-ES_tradnl"/>
        </w:rPr>
        <w:t xml:space="preserve"> </w:t>
      </w:r>
      <w:r w:rsidR="006A0B9C">
        <w:rPr>
          <w:lang w:val="es-ES_tradnl"/>
        </w:rPr>
        <w:t>tanque criogénico</w:t>
      </w:r>
      <w:r w:rsidR="007A0A23" w:rsidRPr="00B25E57">
        <w:rPr>
          <w:lang w:val="es-ES_tradnl"/>
        </w:rPr>
        <w:t>.</w:t>
      </w:r>
    </w:p>
    <w:p w14:paraId="557EBB17" w14:textId="3824D255" w:rsidR="007B22B4" w:rsidRPr="00B25E57" w:rsidRDefault="00FF574B" w:rsidP="00641E13">
      <w:pPr>
        <w:pStyle w:val="Heading1"/>
        <w:rPr>
          <w:lang w:val="es-ES_tradnl"/>
        </w:rPr>
      </w:pPr>
      <w:r w:rsidRPr="00B25E57">
        <w:rPr>
          <w:lang w:val="es-ES_tradnl"/>
        </w:rPr>
        <w:t>L</w:t>
      </w:r>
      <w:r w:rsidR="00FB38C2" w:rsidRPr="00B25E57">
        <w:rPr>
          <w:lang w:val="es-ES_tradnl"/>
        </w:rPr>
        <w:t>a</w:t>
      </w:r>
      <w:r>
        <w:rPr>
          <w:lang w:val="es-ES_tradnl"/>
        </w:rPr>
        <w:t xml:space="preserve"> </w:t>
      </w:r>
      <w:r w:rsidR="00FB38C2" w:rsidRPr="00B25E57">
        <w:rPr>
          <w:lang w:val="es-ES_tradnl"/>
        </w:rPr>
        <w:t>ONUDI</w:t>
      </w:r>
      <w:r w:rsidR="003A46A1" w:rsidRPr="00B25E57">
        <w:rPr>
          <w:lang w:val="es-ES_tradnl"/>
        </w:rPr>
        <w:t xml:space="preserve"> </w:t>
      </w:r>
      <w:r w:rsidR="00877436">
        <w:rPr>
          <w:lang w:val="es-ES_tradnl"/>
        </w:rPr>
        <w:t xml:space="preserve">recibió </w:t>
      </w:r>
      <w:r w:rsidR="00FB38C2" w:rsidRPr="00B25E57">
        <w:rPr>
          <w:lang w:val="es-ES_tradnl"/>
        </w:rPr>
        <w:t>dos</w:t>
      </w:r>
      <w:r w:rsidR="003A46A1" w:rsidRPr="00B25E57">
        <w:rPr>
          <w:lang w:val="es-ES_tradnl"/>
        </w:rPr>
        <w:t xml:space="preserve"> </w:t>
      </w:r>
      <w:r w:rsidR="00877436">
        <w:rPr>
          <w:lang w:val="es-ES_tradnl"/>
        </w:rPr>
        <w:t>presupuestos de</w:t>
      </w:r>
      <w:r w:rsidR="003A46A1" w:rsidRPr="00B25E57">
        <w:rPr>
          <w:lang w:val="es-ES_tradnl"/>
        </w:rPr>
        <w:t xml:space="preserve"> </w:t>
      </w:r>
      <w:r w:rsidR="00877436">
        <w:rPr>
          <w:lang w:val="es-ES_tradnl"/>
        </w:rPr>
        <w:t xml:space="preserve">plantas europeas </w:t>
      </w:r>
      <w:r w:rsidR="00D66809">
        <w:rPr>
          <w:lang w:val="es-ES_tradnl"/>
        </w:rPr>
        <w:t xml:space="preserve">autorizadas </w:t>
      </w:r>
      <w:r w:rsidR="00877436">
        <w:rPr>
          <w:lang w:val="es-ES_tradnl"/>
        </w:rPr>
        <w:t>con horno rotativo</w:t>
      </w:r>
      <w:r w:rsidR="004F151F" w:rsidRPr="00B25E57">
        <w:rPr>
          <w:lang w:val="es-ES_tradnl"/>
        </w:rPr>
        <w:t>;</w:t>
      </w:r>
      <w:r w:rsidR="003A46A1" w:rsidRPr="00B25E57">
        <w:rPr>
          <w:lang w:val="es-ES_tradnl"/>
        </w:rPr>
        <w:t xml:space="preserve"> </w:t>
      </w:r>
      <w:r w:rsidR="00EA2889">
        <w:rPr>
          <w:lang w:val="es-ES_tradnl"/>
        </w:rPr>
        <w:t xml:space="preserve">el más bajo </w:t>
      </w:r>
      <w:r w:rsidR="002113F4">
        <w:rPr>
          <w:lang w:val="es-ES_tradnl"/>
        </w:rPr>
        <w:t>de</w:t>
      </w:r>
      <w:r w:rsidR="00DD31CC">
        <w:rPr>
          <w:lang w:val="es-ES_tradnl"/>
        </w:rPr>
        <w:t>sde</w:t>
      </w:r>
      <w:r w:rsidR="002113F4">
        <w:rPr>
          <w:lang w:val="es-ES_tradnl"/>
        </w:rPr>
        <w:t xml:space="preserve"> </w:t>
      </w:r>
      <w:r w:rsidR="00011FC7">
        <w:rPr>
          <w:lang w:val="es-ES_tradnl"/>
        </w:rPr>
        <w:t xml:space="preserve">Dinamarca, </w:t>
      </w:r>
      <w:r w:rsidR="001623CA">
        <w:rPr>
          <w:lang w:val="es-ES_tradnl"/>
        </w:rPr>
        <w:t>a</w:t>
      </w:r>
      <w:r w:rsidR="00011FC7">
        <w:rPr>
          <w:lang w:val="es-ES_tradnl"/>
        </w:rPr>
        <w:t xml:space="preserve"> un precio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F151F" w:rsidRPr="00B25E57">
        <w:rPr>
          <w:lang w:val="es-ES_tradnl"/>
        </w:rPr>
        <w:t>4.90</w:t>
      </w:r>
      <w:r w:rsidR="00B775F9">
        <w:rPr>
          <w:lang w:val="es-ES_tradnl"/>
        </w:rPr>
        <w:t xml:space="preserve"> €</w:t>
      </w:r>
      <w:r w:rsidR="004F151F" w:rsidRPr="00B25E57">
        <w:rPr>
          <w:lang w:val="es-ES_tradnl"/>
        </w:rPr>
        <w:t>/kg</w:t>
      </w:r>
      <w:r w:rsidR="003A46A1" w:rsidRPr="00B25E57">
        <w:rPr>
          <w:lang w:val="es-ES_tradnl"/>
        </w:rPr>
        <w:t xml:space="preserve"> </w:t>
      </w:r>
      <w:r w:rsidR="004F151F" w:rsidRPr="00B25E57">
        <w:rPr>
          <w:lang w:val="es-ES_tradnl"/>
        </w:rPr>
        <w:t>(5.59</w:t>
      </w:r>
      <w:r w:rsidR="00B775F9">
        <w:rPr>
          <w:lang w:val="es-ES_tradnl"/>
        </w:rPr>
        <w:t xml:space="preserve"> </w:t>
      </w:r>
      <w:r w:rsidR="00B775F9" w:rsidRPr="00B775F9">
        <w:rPr>
          <w:lang w:val="es-ES_tradnl"/>
        </w:rPr>
        <w:t>$EUA</w:t>
      </w:r>
      <w:r w:rsidR="004F151F" w:rsidRPr="00B25E57">
        <w:rPr>
          <w:lang w:val="es-ES_tradnl"/>
        </w:rPr>
        <w:t>/kg).</w:t>
      </w:r>
      <w:r w:rsidR="003A46A1" w:rsidRPr="00B25E57">
        <w:rPr>
          <w:lang w:val="es-ES_tradnl"/>
        </w:rPr>
        <w:t xml:space="preserve"> </w:t>
      </w:r>
      <w:r w:rsidR="00441F33">
        <w:rPr>
          <w:lang w:val="es-ES_tradnl"/>
        </w:rPr>
        <w:t>E</w:t>
      </w:r>
      <w:r w:rsidR="00AA3827">
        <w:rPr>
          <w:lang w:val="es-ES_tradnl"/>
        </w:rPr>
        <w:t>l</w:t>
      </w:r>
      <w:r w:rsidR="00441F33">
        <w:rPr>
          <w:lang w:val="es-ES_tradnl"/>
        </w:rPr>
        <w:t xml:space="preserve"> </w:t>
      </w:r>
      <w:r w:rsidR="0053640D">
        <w:rPr>
          <w:lang w:val="es-ES_tradnl"/>
        </w:rPr>
        <w:t xml:space="preserve">flete </w:t>
      </w:r>
      <w:r w:rsidR="005466AA">
        <w:rPr>
          <w:lang w:val="es-ES_tradnl"/>
        </w:rPr>
        <w:t xml:space="preserve">ida y vuelta </w:t>
      </w:r>
      <w:r w:rsidR="004057BA" w:rsidRPr="00B25E57">
        <w:rPr>
          <w:lang w:val="es-ES_tradnl"/>
        </w:rPr>
        <w:t>se</w:t>
      </w:r>
      <w:r w:rsidR="003A46A1" w:rsidRPr="00B25E57">
        <w:rPr>
          <w:lang w:val="es-ES_tradnl"/>
        </w:rPr>
        <w:t xml:space="preserve"> </w:t>
      </w:r>
      <w:r w:rsidR="004057BA" w:rsidRPr="00B25E57">
        <w:rPr>
          <w:lang w:val="es-ES_tradnl"/>
        </w:rPr>
        <w:t>estimó</w:t>
      </w:r>
      <w:r w:rsidR="003A46A1" w:rsidRPr="00B25E57">
        <w:rPr>
          <w:lang w:val="es-ES_tradnl"/>
        </w:rPr>
        <w:t xml:space="preserve"> </w:t>
      </w:r>
      <w:r w:rsidR="004057BA" w:rsidRPr="00B25E57">
        <w:rPr>
          <w:lang w:val="es-ES_tradnl"/>
        </w:rPr>
        <w:t>en</w:t>
      </w:r>
      <w:r w:rsidR="003A46A1" w:rsidRPr="00B25E57">
        <w:rPr>
          <w:lang w:val="es-ES_tradnl"/>
        </w:rPr>
        <w:t xml:space="preserve"> </w:t>
      </w:r>
      <w:r w:rsidR="004F151F" w:rsidRPr="00B25E57">
        <w:rPr>
          <w:lang w:val="es-ES_tradnl"/>
        </w:rPr>
        <w:t>1</w:t>
      </w:r>
      <w:r w:rsidR="004241C5" w:rsidRPr="00B25E57">
        <w:rPr>
          <w:lang w:val="es-ES_tradnl"/>
        </w:rPr>
        <w:t>7.</w:t>
      </w:r>
      <w:r w:rsidR="004F151F" w:rsidRPr="00B25E57">
        <w:rPr>
          <w:lang w:val="es-ES_tradnl"/>
        </w:rPr>
        <w:t>000</w:t>
      </w:r>
      <w:r w:rsidR="00602024">
        <w:rPr>
          <w:lang w:val="es-ES_tradnl"/>
        </w:rPr>
        <w:t xml:space="preserve"> $EUA</w:t>
      </w:r>
      <w:r w:rsidR="004F151F" w:rsidRPr="00B25E57">
        <w:rPr>
          <w:lang w:val="es-ES_tradnl"/>
        </w:rPr>
        <w:t>/</w:t>
      </w:r>
      <w:r w:rsidR="0077214F">
        <w:rPr>
          <w:lang w:val="es-ES_tradnl"/>
        </w:rPr>
        <w:t>tanque</w:t>
      </w:r>
      <w:r w:rsidR="004F151F" w:rsidRPr="00B25E57">
        <w:rPr>
          <w:lang w:val="es-ES_tradnl"/>
        </w:rPr>
        <w:t>.</w:t>
      </w:r>
      <w:r w:rsidR="003A46A1" w:rsidRPr="00B25E57">
        <w:rPr>
          <w:lang w:val="es-ES_tradnl"/>
        </w:rPr>
        <w:t xml:space="preserve"> </w:t>
      </w:r>
      <w:r w:rsidR="00C23417">
        <w:rPr>
          <w:lang w:val="es-ES_tradnl"/>
        </w:rPr>
        <w:t xml:space="preserve">Dado que la ley </w:t>
      </w:r>
      <w:r w:rsidR="00D824B8">
        <w:rPr>
          <w:lang w:val="es-ES_tradnl"/>
        </w:rPr>
        <w:t>argentina prohíbe importar</w:t>
      </w:r>
      <w:r w:rsidR="00C23417">
        <w:rPr>
          <w:lang w:val="es-ES_tradnl"/>
        </w:rPr>
        <w:t xml:space="preserve"> </w:t>
      </w:r>
      <w:r w:rsidR="008A3316" w:rsidRPr="00B25E57">
        <w:rPr>
          <w:lang w:val="es-ES_tradnl"/>
        </w:rPr>
        <w:t>tanques</w:t>
      </w:r>
      <w:r w:rsidR="003A46A1" w:rsidRPr="00B25E57">
        <w:rPr>
          <w:lang w:val="es-ES_tradnl"/>
        </w:rPr>
        <w:t xml:space="preserve"> </w:t>
      </w:r>
      <w:r w:rsidR="002A7ECB">
        <w:rPr>
          <w:lang w:val="es-ES_tradnl"/>
        </w:rPr>
        <w:t xml:space="preserve">usados para </w:t>
      </w:r>
      <w:r w:rsidR="002A7ECB" w:rsidRPr="002A7ECB">
        <w:rPr>
          <w:lang w:val="es-ES_tradnl"/>
        </w:rPr>
        <w:t>residuos peligrosos</w:t>
      </w:r>
      <w:r w:rsidR="001C534E" w:rsidRPr="00B25E57">
        <w:rPr>
          <w:lang w:val="es-ES_tradnl"/>
        </w:rPr>
        <w:t>,</w:t>
      </w:r>
      <w:r w:rsidR="003A46A1" w:rsidRPr="00B25E57">
        <w:rPr>
          <w:lang w:val="es-ES_tradnl"/>
        </w:rPr>
        <w:t xml:space="preserve"> </w:t>
      </w:r>
      <w:r w:rsidR="002F2B44">
        <w:rPr>
          <w:lang w:val="es-ES_tradnl"/>
        </w:rPr>
        <w:t xml:space="preserve">para </w:t>
      </w:r>
      <w:r w:rsidR="002F2B44" w:rsidRPr="002F2B44">
        <w:rPr>
          <w:lang w:val="es-ES_tradnl"/>
        </w:rPr>
        <w:t xml:space="preserve">cada embarque </w:t>
      </w:r>
      <w:r w:rsidR="00AA6A9B">
        <w:rPr>
          <w:lang w:val="es-ES_tradnl"/>
        </w:rPr>
        <w:t xml:space="preserve">se requeriría </w:t>
      </w:r>
      <w:r w:rsidR="00700FCE">
        <w:rPr>
          <w:lang w:val="es-ES_tradnl"/>
        </w:rPr>
        <w:t>un</w:t>
      </w:r>
      <w:r w:rsidR="00AA6A9B">
        <w:rPr>
          <w:lang w:val="es-ES_tradnl"/>
        </w:rPr>
        <w:t xml:space="preserve"> </w:t>
      </w:r>
      <w:r w:rsidR="00B73238">
        <w:rPr>
          <w:lang w:val="es-ES_tradnl"/>
        </w:rPr>
        <w:t>isotanque</w:t>
      </w:r>
      <w:r w:rsidR="003A46A1" w:rsidRPr="00B25E57">
        <w:rPr>
          <w:lang w:val="es-ES_tradnl"/>
        </w:rPr>
        <w:t xml:space="preserve"> </w:t>
      </w:r>
      <w:r w:rsidR="00D23D5E">
        <w:rPr>
          <w:lang w:val="es-ES_tradnl"/>
        </w:rPr>
        <w:t>nuevo</w:t>
      </w:r>
      <w:r w:rsidR="00881E1A">
        <w:rPr>
          <w:lang w:val="es-ES_tradnl"/>
        </w:rPr>
        <w:t>,</w:t>
      </w:r>
      <w:r w:rsidR="00700FCE">
        <w:rPr>
          <w:lang w:val="es-ES_tradnl"/>
        </w:rPr>
        <w:t xml:space="preserve"> a un costo </w:t>
      </w:r>
      <w:r w:rsidR="00E434B2" w:rsidRPr="00B25E57">
        <w:rPr>
          <w:lang w:val="es-ES_tradnl"/>
        </w:rPr>
        <w:t>total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1C534E" w:rsidRPr="00B25E57">
        <w:rPr>
          <w:lang w:val="es-ES_tradnl"/>
        </w:rPr>
        <w:t>17.4</w:t>
      </w:r>
      <w:r w:rsidR="003A46A1" w:rsidRPr="00B25E57">
        <w:rPr>
          <w:lang w:val="es-ES_tradnl"/>
        </w:rPr>
        <w:t xml:space="preserve"> </w:t>
      </w:r>
      <w:r w:rsidR="004057BA" w:rsidRPr="00B25E57">
        <w:rPr>
          <w:lang w:val="es-ES_tradnl"/>
        </w:rPr>
        <w:t>millones</w:t>
      </w:r>
      <w:r w:rsidR="003A46A1" w:rsidRPr="00B25E57">
        <w:rPr>
          <w:lang w:val="es-ES_tradnl"/>
        </w:rPr>
        <w:t xml:space="preserve"> </w:t>
      </w:r>
      <w:r w:rsidR="004057BA" w:rsidRPr="00B25E57">
        <w:rPr>
          <w:lang w:val="es-ES_tradnl"/>
        </w:rPr>
        <w:t>de</w:t>
      </w:r>
      <w:r w:rsidR="00973C4D">
        <w:rPr>
          <w:lang w:val="es-ES_tradnl"/>
        </w:rPr>
        <w:t xml:space="preserve"> </w:t>
      </w:r>
      <w:r w:rsidR="00973C4D" w:rsidRPr="00973C4D">
        <w:rPr>
          <w:lang w:val="es-ES_tradnl"/>
        </w:rPr>
        <w:t>$EUA</w:t>
      </w:r>
      <w:r w:rsidR="004F151F" w:rsidRPr="00B25E57">
        <w:rPr>
          <w:lang w:val="es-ES_tradnl"/>
        </w:rPr>
        <w:t>.</w:t>
      </w:r>
    </w:p>
    <w:p w14:paraId="121110BE" w14:textId="484262C4" w:rsidR="007B22B4" w:rsidRPr="00B25E57" w:rsidRDefault="004D3912" w:rsidP="008A286F">
      <w:pPr>
        <w:pStyle w:val="Heading1"/>
        <w:rPr>
          <w:lang w:val="es-ES_tradnl"/>
        </w:rPr>
      </w:pPr>
      <w:r>
        <w:rPr>
          <w:lang w:val="es-ES_tradnl"/>
        </w:rPr>
        <w:t>Para fines de referencia</w:t>
      </w:r>
      <w:r w:rsidR="008A286F"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652D52">
        <w:rPr>
          <w:lang w:val="es-ES_tradnl"/>
        </w:rPr>
        <w:t>presentó</w:t>
      </w:r>
      <w:r w:rsidR="003A46A1" w:rsidRPr="00B25E57">
        <w:rPr>
          <w:lang w:val="es-ES_tradnl"/>
        </w:rPr>
        <w:t xml:space="preserve"> </w:t>
      </w:r>
      <w:r w:rsidR="00862A82" w:rsidRPr="00B25E57">
        <w:rPr>
          <w:lang w:val="es-ES_tradnl"/>
        </w:rPr>
        <w:t>los</w:t>
      </w:r>
      <w:r w:rsidR="003A46A1" w:rsidRPr="00B25E57">
        <w:rPr>
          <w:lang w:val="es-ES_tradnl"/>
        </w:rPr>
        <w:t xml:space="preserve"> </w:t>
      </w:r>
      <w:r w:rsidR="00862A82" w:rsidRPr="00B25E57">
        <w:rPr>
          <w:lang w:val="es-ES_tradnl"/>
        </w:rPr>
        <w:t>costos</w:t>
      </w:r>
      <w:r w:rsidR="003A46A1" w:rsidRPr="00B25E57">
        <w:rPr>
          <w:lang w:val="es-ES_tradnl"/>
        </w:rPr>
        <w:t xml:space="preserve"> </w:t>
      </w:r>
      <w:r w:rsidR="007A023D">
        <w:rPr>
          <w:lang w:val="es-ES_tradnl"/>
        </w:rPr>
        <w:t xml:space="preserve">que tendría la </w:t>
      </w:r>
      <w:r w:rsidR="00C91884">
        <w:rPr>
          <w:lang w:val="es-ES_tradnl"/>
        </w:rPr>
        <w:t xml:space="preserve">destrucción </w:t>
      </w:r>
      <w:r w:rsidR="00B654D8">
        <w:rPr>
          <w:lang w:val="es-ES_tradnl"/>
        </w:rPr>
        <w:t>ex situ</w:t>
      </w:r>
      <w:r w:rsidR="003A46A1" w:rsidRPr="00B25E57">
        <w:rPr>
          <w:lang w:val="es-ES_tradnl"/>
        </w:rPr>
        <w:t xml:space="preserve"> </w:t>
      </w:r>
      <w:r w:rsidR="00723FE7">
        <w:rPr>
          <w:lang w:val="es-ES_tradnl"/>
        </w:rPr>
        <w:t xml:space="preserve">de </w:t>
      </w:r>
      <w:r w:rsidR="001C78A2">
        <w:rPr>
          <w:lang w:val="es-ES_tradnl"/>
        </w:rPr>
        <w:t xml:space="preserve">ser </w:t>
      </w:r>
      <w:r w:rsidR="00505DCD">
        <w:rPr>
          <w:lang w:val="es-ES_tradnl"/>
        </w:rPr>
        <w:t>factible</w:t>
      </w:r>
      <w:r w:rsidR="00691404">
        <w:rPr>
          <w:lang w:val="es-ES_tradnl"/>
        </w:rPr>
        <w:t xml:space="preserve"> </w:t>
      </w:r>
      <w:r w:rsidR="00557A42">
        <w:rPr>
          <w:lang w:val="es-ES_tradnl"/>
        </w:rPr>
        <w:t xml:space="preserve">retornar </w:t>
      </w:r>
      <w:r w:rsidR="00C835E1">
        <w:rPr>
          <w:lang w:val="es-ES_tradnl"/>
        </w:rPr>
        <w:t xml:space="preserve">los </w:t>
      </w:r>
      <w:r w:rsidR="00B73238">
        <w:rPr>
          <w:lang w:val="es-ES_tradnl"/>
        </w:rPr>
        <w:t>isotanque</w:t>
      </w:r>
      <w:r w:rsidR="00C835E1">
        <w:rPr>
          <w:lang w:val="es-ES_tradnl"/>
        </w:rPr>
        <w:t>s</w:t>
      </w:r>
      <w:r w:rsidR="003A46A1" w:rsidRPr="00B25E57">
        <w:rPr>
          <w:lang w:val="es-ES_tradnl"/>
        </w:rPr>
        <w:t xml:space="preserve"> </w:t>
      </w:r>
      <w:r w:rsidR="00C835E1">
        <w:rPr>
          <w:lang w:val="es-ES_tradnl"/>
        </w:rPr>
        <w:t xml:space="preserve">usados a la </w:t>
      </w:r>
      <w:r w:rsidR="008A286F" w:rsidRPr="00B25E57">
        <w:rPr>
          <w:lang w:val="es-ES_tradnl"/>
        </w:rPr>
        <w:t>Argentina:</w:t>
      </w:r>
      <w:r w:rsidR="003A46A1" w:rsidRPr="00B25E57">
        <w:rPr>
          <w:lang w:val="es-ES_tradnl"/>
        </w:rPr>
        <w:t xml:space="preserve"> </w:t>
      </w:r>
      <w:r w:rsidR="00FB38C2" w:rsidRPr="00B25E57">
        <w:rPr>
          <w:lang w:val="es-ES_tradnl"/>
        </w:rPr>
        <w:t>dos</w:t>
      </w:r>
      <w:r w:rsidR="003A46A1" w:rsidRPr="00B25E57">
        <w:rPr>
          <w:lang w:val="es-ES_tradnl"/>
        </w:rPr>
        <w:t xml:space="preserve"> </w:t>
      </w:r>
      <w:r w:rsidR="008A286F" w:rsidRPr="00B25E57">
        <w:rPr>
          <w:lang w:val="es-ES_tradnl"/>
        </w:rPr>
        <w:t>iso</w:t>
      </w:r>
      <w:r w:rsidR="008A3316" w:rsidRPr="00B25E57">
        <w:rPr>
          <w:lang w:val="es-ES_tradnl"/>
        </w:rPr>
        <w:t>tanques</w:t>
      </w:r>
      <w:r w:rsidR="003A46A1" w:rsidRPr="00B25E57">
        <w:rPr>
          <w:lang w:val="es-ES_tradnl"/>
        </w:rPr>
        <w:t xml:space="preserve"> </w:t>
      </w:r>
      <w:r w:rsidR="008A286F" w:rsidRPr="00B25E57">
        <w:rPr>
          <w:lang w:val="es-ES_tradnl"/>
        </w:rPr>
        <w:t>(60</w:t>
      </w:r>
      <w:r w:rsidR="00FB38C2" w:rsidRPr="00B25E57">
        <w:rPr>
          <w:lang w:val="es-ES_tradnl"/>
        </w:rPr>
        <w:t>0.</w:t>
      </w:r>
      <w:r w:rsidR="008A286F" w:rsidRPr="00B25E57">
        <w:rPr>
          <w:lang w:val="es-ES_tradnl"/>
        </w:rPr>
        <w:t>000</w:t>
      </w:r>
      <w:r w:rsidR="00D400E6">
        <w:rPr>
          <w:lang w:val="es-ES_tradnl"/>
        </w:rPr>
        <w:t xml:space="preserve"> </w:t>
      </w:r>
      <w:r w:rsidR="00D400E6" w:rsidRPr="00D400E6">
        <w:rPr>
          <w:lang w:val="es-ES_tradnl"/>
        </w:rPr>
        <w:t>$EUA</w:t>
      </w:r>
      <w:r w:rsidR="008A286F" w:rsidRPr="00B25E57">
        <w:rPr>
          <w:lang w:val="es-ES_tradnl"/>
        </w:rPr>
        <w:t>);</w:t>
      </w:r>
      <w:r w:rsidR="003A46A1" w:rsidRPr="00B25E57">
        <w:rPr>
          <w:lang w:val="es-ES_tradnl"/>
        </w:rPr>
        <w:t xml:space="preserve"> </w:t>
      </w:r>
      <w:r w:rsidR="00F33C58" w:rsidRPr="00B25E57">
        <w:rPr>
          <w:lang w:val="es-ES_tradnl"/>
        </w:rPr>
        <w:t>compresor</w:t>
      </w:r>
      <w:r w:rsidR="003A46A1" w:rsidRPr="00B25E57">
        <w:rPr>
          <w:lang w:val="es-ES_tradnl"/>
        </w:rPr>
        <w:t xml:space="preserve"> </w:t>
      </w:r>
      <w:r w:rsidR="008A286F" w:rsidRPr="00B25E57">
        <w:rPr>
          <w:lang w:val="es-ES_tradnl"/>
        </w:rPr>
        <w:t>(</w:t>
      </w:r>
      <w:r w:rsidR="004F6559">
        <w:rPr>
          <w:lang w:val="es-ES_tradnl"/>
        </w:rPr>
        <w:t>20.000 $EUA</w:t>
      </w:r>
      <w:r w:rsidR="008A286F" w:rsidRPr="00B25E57">
        <w:rPr>
          <w:lang w:val="es-ES_tradnl"/>
        </w:rPr>
        <w:t>);</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286F" w:rsidRPr="00B25E57">
        <w:rPr>
          <w:lang w:val="es-ES_tradnl"/>
        </w:rPr>
        <w:t>HCFC</w:t>
      </w:r>
      <w:r w:rsidR="00FB38C2" w:rsidRPr="00B25E57">
        <w:rPr>
          <w:lang w:val="es-ES_tradnl"/>
        </w:rPr>
        <w:t>-</w:t>
      </w:r>
      <w:r w:rsidR="008A286F" w:rsidRPr="00B25E57">
        <w:rPr>
          <w:lang w:val="es-ES_tradnl"/>
        </w:rPr>
        <w:t>22</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41CE9">
        <w:rPr>
          <w:lang w:val="es-ES_tradnl"/>
        </w:rPr>
        <w:t>generación</w:t>
      </w:r>
      <w:r w:rsidR="003A46A1" w:rsidRPr="00B25E57">
        <w:rPr>
          <w:lang w:val="es-ES_tradnl"/>
        </w:rPr>
        <w:t xml:space="preserve"> </w:t>
      </w:r>
      <w:r w:rsidR="00B6344F">
        <w:rPr>
          <w:lang w:val="es-ES_tradnl"/>
        </w:rPr>
        <w:t>del subproducto</w:t>
      </w:r>
      <w:r w:rsidR="003A46A1" w:rsidRPr="00B25E57">
        <w:rPr>
          <w:lang w:val="es-ES_tradnl"/>
        </w:rPr>
        <w:t xml:space="preserve"> </w:t>
      </w:r>
      <w:r w:rsidR="004512EA" w:rsidRPr="00B25E57">
        <w:rPr>
          <w:lang w:val="es-ES_tradnl"/>
        </w:rPr>
        <w:t>HFC-23</w:t>
      </w:r>
      <w:r w:rsidR="003A46A1" w:rsidRPr="00B25E57">
        <w:rPr>
          <w:lang w:val="es-ES_tradnl"/>
        </w:rPr>
        <w:t xml:space="preserve"> </w:t>
      </w:r>
      <w:r w:rsidR="00690B31">
        <w:rPr>
          <w:lang w:val="es-ES_tradnl"/>
        </w:rPr>
        <w:t xml:space="preserve">bajo la </w:t>
      </w:r>
      <w:r w:rsidR="00F33C58" w:rsidRPr="00B25E57">
        <w:rPr>
          <w:lang w:val="es-ES_tradnl"/>
        </w:rPr>
        <w:t>Opción</w:t>
      </w:r>
      <w:r w:rsidR="003A46A1" w:rsidRPr="00B25E57">
        <w:rPr>
          <w:lang w:val="es-ES_tradnl"/>
        </w:rPr>
        <w:t xml:space="preserve"> </w:t>
      </w:r>
      <w:r w:rsidR="00FB38C2" w:rsidRPr="00B25E57">
        <w:rPr>
          <w:lang w:val="es-ES_tradnl"/>
        </w:rPr>
        <w:t>2</w:t>
      </w:r>
      <w:r w:rsidR="00A879EB">
        <w:rPr>
          <w:lang w:val="es-ES_tradnl"/>
        </w:rPr>
        <w:t>,</w:t>
      </w:r>
      <w:r w:rsidR="008A286F" w:rsidRPr="00B25E57">
        <w:rPr>
          <w:rStyle w:val="FootnoteReference"/>
          <w:lang w:val="es-ES_tradnl"/>
        </w:rPr>
        <w:footnoteReference w:id="14"/>
      </w:r>
      <w:r w:rsidR="003A46A1" w:rsidRPr="00B25E57">
        <w:rPr>
          <w:lang w:val="es-ES_tradnl"/>
        </w:rPr>
        <w:t xml:space="preserve"> </w:t>
      </w:r>
      <w:r w:rsidR="008569FE">
        <w:rPr>
          <w:lang w:val="es-ES_tradnl"/>
        </w:rPr>
        <w:t xml:space="preserve">todo </w:t>
      </w:r>
      <w:r w:rsidR="00690616">
        <w:rPr>
          <w:lang w:val="es-ES_tradnl"/>
        </w:rPr>
        <w:t xml:space="preserve">lo </w:t>
      </w:r>
      <w:r w:rsidR="008569FE">
        <w:rPr>
          <w:lang w:val="es-ES_tradnl"/>
        </w:rPr>
        <w:t xml:space="preserve">cual </w:t>
      </w:r>
      <w:r w:rsidR="00690616">
        <w:rPr>
          <w:lang w:val="es-ES_tradnl"/>
        </w:rPr>
        <w:t xml:space="preserve">arrojaría </w:t>
      </w:r>
      <w:r w:rsidR="008A286F" w:rsidRPr="00B25E57">
        <w:rPr>
          <w:lang w:val="es-ES_tradnl"/>
        </w:rPr>
        <w:t>30</w:t>
      </w:r>
      <w:r w:rsidR="003A46A1" w:rsidRPr="00B25E57">
        <w:rPr>
          <w:lang w:val="es-ES_tradnl"/>
        </w:rPr>
        <w:t xml:space="preserve"> </w:t>
      </w:r>
      <w:r w:rsidR="00B25E57">
        <w:rPr>
          <w:lang w:val="es-ES_tradnl"/>
        </w:rPr>
        <w:t>embarque</w:t>
      </w:r>
      <w:r w:rsidR="008A286F" w:rsidRPr="00B25E57">
        <w:rPr>
          <w:lang w:val="es-ES_tradnl"/>
        </w:rPr>
        <w:t>s</w:t>
      </w:r>
      <w:r w:rsidR="003A46A1" w:rsidRPr="00B25E57">
        <w:rPr>
          <w:lang w:val="es-ES_tradnl"/>
        </w:rPr>
        <w:t xml:space="preserve"> </w:t>
      </w:r>
      <w:r w:rsidR="00B54889">
        <w:rPr>
          <w:lang w:val="es-ES_tradnl"/>
        </w:rPr>
        <w:t>de</w:t>
      </w:r>
      <w:r w:rsidR="003A46A1" w:rsidRPr="00B25E57">
        <w:rPr>
          <w:lang w:val="es-ES_tradnl"/>
        </w:rPr>
        <w:t xml:space="preserve"> </w:t>
      </w:r>
      <w:r w:rsidR="00FB38C2" w:rsidRPr="00B25E57">
        <w:rPr>
          <w:lang w:val="es-ES_tradnl"/>
        </w:rPr>
        <w:t>dos</w:t>
      </w:r>
      <w:r w:rsidR="003A46A1" w:rsidRPr="00B25E57">
        <w:rPr>
          <w:lang w:val="es-ES_tradnl"/>
        </w:rPr>
        <w:t xml:space="preserve"> </w:t>
      </w:r>
      <w:r w:rsidR="003D5E0B">
        <w:rPr>
          <w:lang w:val="es-ES_tradnl"/>
        </w:rPr>
        <w:t>portatanques</w:t>
      </w:r>
      <w:r w:rsidR="003A46A1" w:rsidRPr="00B25E57">
        <w:rPr>
          <w:lang w:val="es-ES_tradnl"/>
        </w:rPr>
        <w:t xml:space="preserve"> </w:t>
      </w:r>
      <w:r w:rsidR="008A286F" w:rsidRPr="00B25E57">
        <w:rPr>
          <w:lang w:val="es-ES_tradnl"/>
        </w:rPr>
        <w:t>(13</w:t>
      </w:r>
      <w:r w:rsidR="004241C5" w:rsidRPr="00B25E57">
        <w:rPr>
          <w:lang w:val="es-ES_tradnl"/>
        </w:rPr>
        <w:t>5.</w:t>
      </w:r>
      <w:r w:rsidR="008A286F" w:rsidRPr="00B25E57">
        <w:rPr>
          <w:lang w:val="es-ES_tradnl"/>
        </w:rPr>
        <w:t>000</w:t>
      </w:r>
      <w:r w:rsidR="003F33E4">
        <w:rPr>
          <w:lang w:val="es-ES_tradnl"/>
        </w:rPr>
        <w:t xml:space="preserve"> </w:t>
      </w:r>
      <w:r w:rsidR="003F33E4" w:rsidRPr="003F33E4">
        <w:rPr>
          <w:lang w:val="es-ES_tradnl"/>
        </w:rPr>
        <w:t>$EUA</w:t>
      </w:r>
      <w:r w:rsidR="008A286F" w:rsidRPr="00B25E57">
        <w:rPr>
          <w:lang w:val="es-ES_tradnl"/>
        </w:rPr>
        <w:t>)</w:t>
      </w:r>
      <w:r w:rsidR="003A46A1" w:rsidRPr="00B25E57">
        <w:rPr>
          <w:lang w:val="es-ES_tradnl"/>
        </w:rPr>
        <w:t xml:space="preserve"> </w:t>
      </w:r>
      <w:r w:rsidR="007D7382" w:rsidRPr="00B25E57">
        <w:rPr>
          <w:lang w:val="es-ES_tradnl"/>
        </w:rPr>
        <w:t>e</w:t>
      </w:r>
      <w:r w:rsidR="003A46A1" w:rsidRPr="00B25E57">
        <w:rPr>
          <w:lang w:val="es-ES_tradnl"/>
        </w:rPr>
        <w:t xml:space="preserve"> </w:t>
      </w:r>
      <w:r w:rsidR="00B25E57">
        <w:rPr>
          <w:lang w:val="es-ES_tradnl"/>
        </w:rPr>
        <w:t>incineración</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E22238" w:rsidRPr="00B25E57">
        <w:rPr>
          <w:lang w:val="es-ES_tradnl"/>
        </w:rPr>
        <w:t>Dinamarca</w:t>
      </w:r>
      <w:r w:rsidR="003A46A1" w:rsidRPr="00B25E57">
        <w:rPr>
          <w:lang w:val="es-ES_tradnl"/>
        </w:rPr>
        <w:t xml:space="preserve"> </w:t>
      </w:r>
      <w:r w:rsidR="008A286F" w:rsidRPr="00B25E57">
        <w:rPr>
          <w:lang w:val="es-ES_tradnl"/>
        </w:rPr>
        <w:t>(10</w:t>
      </w:r>
      <w:r w:rsidR="00FB38C2" w:rsidRPr="00B25E57">
        <w:rPr>
          <w:lang w:val="es-ES_tradnl"/>
        </w:rPr>
        <w:t>0.</w:t>
      </w:r>
      <w:r w:rsidR="008A286F" w:rsidRPr="00B25E57">
        <w:rPr>
          <w:lang w:val="es-ES_tradnl"/>
        </w:rPr>
        <w:t>620</w:t>
      </w:r>
      <w:r w:rsidR="008B6747">
        <w:rPr>
          <w:lang w:val="es-ES_tradnl"/>
        </w:rPr>
        <w:t xml:space="preserve"> </w:t>
      </w:r>
      <w:r w:rsidR="008B6747" w:rsidRPr="008B6747">
        <w:rPr>
          <w:lang w:val="es-ES_tradnl"/>
        </w:rPr>
        <w:t>$EUA</w:t>
      </w:r>
      <w:r w:rsidR="008A286F" w:rsidRPr="00B25E57">
        <w:rPr>
          <w:lang w:val="es-ES_tradnl"/>
        </w:rPr>
        <w:t>);</w:t>
      </w:r>
      <w:r w:rsidR="003A46A1" w:rsidRPr="00B25E57">
        <w:rPr>
          <w:lang w:val="es-ES_tradnl"/>
        </w:rPr>
        <w:t xml:space="preserve"> </w:t>
      </w:r>
      <w:r w:rsidR="009F0A6B">
        <w:rPr>
          <w:lang w:val="es-ES_tradnl"/>
        </w:rPr>
        <w:t>permisos</w:t>
      </w:r>
      <w:r w:rsidR="003A46A1" w:rsidRPr="00B25E57">
        <w:rPr>
          <w:lang w:val="es-ES_tradnl"/>
        </w:rPr>
        <w:t xml:space="preserve"> </w:t>
      </w:r>
      <w:r w:rsidR="00B2488D">
        <w:rPr>
          <w:lang w:val="es-ES_tradnl"/>
        </w:rPr>
        <w:t>ambiental</w:t>
      </w:r>
      <w:r w:rsidR="00B75090">
        <w:rPr>
          <w:lang w:val="es-ES_tradnl"/>
        </w:rPr>
        <w:t>es</w:t>
      </w:r>
      <w:r w:rsidR="003A46A1" w:rsidRPr="00B25E57">
        <w:rPr>
          <w:lang w:val="es-ES_tradnl"/>
        </w:rPr>
        <w:t xml:space="preserve"> </w:t>
      </w:r>
      <w:r w:rsidR="008A286F" w:rsidRPr="00B25E57">
        <w:rPr>
          <w:lang w:val="es-ES_tradnl"/>
        </w:rPr>
        <w:t>(</w:t>
      </w:r>
      <w:r w:rsidR="00FB38C2" w:rsidRPr="00B25E57">
        <w:rPr>
          <w:lang w:val="es-ES_tradnl"/>
        </w:rPr>
        <w:t>3.</w:t>
      </w:r>
      <w:r w:rsidR="008A286F" w:rsidRPr="00B25E57">
        <w:rPr>
          <w:lang w:val="es-ES_tradnl"/>
        </w:rPr>
        <w:t>000</w:t>
      </w:r>
      <w:r w:rsidR="00F063BE">
        <w:rPr>
          <w:lang w:val="es-ES_tradnl"/>
        </w:rPr>
        <w:t xml:space="preserve"> </w:t>
      </w:r>
      <w:r w:rsidR="00F063BE" w:rsidRPr="00F063BE">
        <w:rPr>
          <w:lang w:val="es-ES_tradnl"/>
        </w:rPr>
        <w:t>$EUA</w:t>
      </w:r>
      <w:r w:rsidR="00AB317F">
        <w:rPr>
          <w:lang w:val="es-ES_tradnl"/>
        </w:rPr>
        <w:t>/año</w:t>
      </w:r>
      <w:r w:rsidR="00B2488D">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7D7382" w:rsidRPr="00B25E57">
        <w:rPr>
          <w:lang w:val="es-ES_tradnl"/>
        </w:rPr>
        <w:t>supervisión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057BA" w:rsidRPr="00B25E57">
        <w:rPr>
          <w:lang w:val="es-ES_tradnl"/>
        </w:rPr>
        <w:t>verificación</w:t>
      </w:r>
      <w:r w:rsidR="003A46A1" w:rsidRPr="00B25E57">
        <w:rPr>
          <w:lang w:val="es-ES_tradnl"/>
        </w:rPr>
        <w:t xml:space="preserve"> </w:t>
      </w:r>
      <w:r w:rsidR="008A286F" w:rsidRPr="00B25E57">
        <w:rPr>
          <w:lang w:val="es-ES_tradnl"/>
        </w:rPr>
        <w:t>(</w:t>
      </w:r>
      <w:r w:rsidR="00EA77F8">
        <w:rPr>
          <w:lang w:val="es-ES_tradnl"/>
        </w:rPr>
        <w:t>8.400 $EUA/año</w:t>
      </w:r>
      <w:r w:rsidR="008A286F" w:rsidRPr="00B25E57">
        <w:rPr>
          <w:lang w:val="es-ES_tradnl"/>
        </w:rPr>
        <w:t>),</w:t>
      </w:r>
      <w:r w:rsidR="003A46A1" w:rsidRPr="00B25E57">
        <w:rPr>
          <w:lang w:val="es-ES_tradnl"/>
        </w:rPr>
        <w:t xml:space="preserve"> </w:t>
      </w:r>
      <w:r w:rsidR="00EA77F8">
        <w:rPr>
          <w:lang w:val="es-ES_tradnl"/>
        </w:rPr>
        <w:t xml:space="preserve">lo que arrojaría un </w:t>
      </w:r>
      <w:r w:rsidR="00E434B2" w:rsidRPr="00B25E57">
        <w:rPr>
          <w:lang w:val="es-ES_tradnl"/>
        </w:rPr>
        <w:t>costo</w:t>
      </w:r>
      <w:r w:rsidR="003A46A1" w:rsidRPr="00B25E57">
        <w:rPr>
          <w:lang w:val="es-ES_tradnl"/>
        </w:rPr>
        <w:t xml:space="preserve"> </w:t>
      </w:r>
      <w:r w:rsidR="00E434B2" w:rsidRPr="00B25E57">
        <w:rPr>
          <w:lang w:val="es-ES_tradnl"/>
        </w:rPr>
        <w:t>total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4.</w:t>
      </w:r>
      <w:r w:rsidR="008A286F" w:rsidRPr="00B25E57">
        <w:rPr>
          <w:lang w:val="es-ES_tradnl"/>
        </w:rPr>
        <w:t>77</w:t>
      </w:r>
      <w:r w:rsidR="00FB38C2" w:rsidRPr="00B25E57">
        <w:rPr>
          <w:lang w:val="es-ES_tradnl"/>
        </w:rPr>
        <w:t>0.</w:t>
      </w:r>
      <w:r w:rsidR="008A286F" w:rsidRPr="00B25E57">
        <w:rPr>
          <w:lang w:val="es-ES_tradnl"/>
        </w:rPr>
        <w:t>000</w:t>
      </w:r>
      <w:r w:rsidR="003A46A1" w:rsidRPr="00B25E57">
        <w:rPr>
          <w:lang w:val="es-ES_tradnl"/>
        </w:rPr>
        <w:t xml:space="preserve"> </w:t>
      </w:r>
      <w:r w:rsidR="00A95726" w:rsidRPr="00A95726">
        <w:rPr>
          <w:lang w:val="es-ES_tradnl"/>
        </w:rPr>
        <w:t xml:space="preserve">$EUA </w:t>
      </w:r>
      <w:r w:rsidR="008A286F" w:rsidRPr="00B25E57">
        <w:rPr>
          <w:lang w:val="es-ES_tradnl"/>
        </w:rPr>
        <w:t>(8.92</w:t>
      </w:r>
      <w:r w:rsidR="00A95726">
        <w:rPr>
          <w:lang w:val="es-ES_tradnl"/>
        </w:rPr>
        <w:t xml:space="preserve"> </w:t>
      </w:r>
      <w:r w:rsidR="00A95726" w:rsidRPr="00A95726">
        <w:rPr>
          <w:lang w:val="es-ES_tradnl"/>
        </w:rPr>
        <w:t>$EUA</w:t>
      </w:r>
      <w:r w:rsidR="008A286F" w:rsidRPr="00B25E57">
        <w:rPr>
          <w:lang w:val="es-ES_tradnl"/>
        </w:rPr>
        <w:t>/kg</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286F" w:rsidRPr="00B25E57">
        <w:rPr>
          <w:lang w:val="es-ES_tradnl"/>
        </w:rPr>
        <w:t>HFC</w:t>
      </w:r>
      <w:r w:rsidR="00FB38C2" w:rsidRPr="00B25E57">
        <w:rPr>
          <w:lang w:val="es-ES_tradnl"/>
        </w:rPr>
        <w:t>-</w:t>
      </w:r>
      <w:r w:rsidR="008A286F" w:rsidRPr="00B25E57">
        <w:rPr>
          <w:lang w:val="es-ES_tradnl"/>
        </w:rPr>
        <w:t>23</w:t>
      </w:r>
      <w:r w:rsidR="003A46A1" w:rsidRPr="00B25E57">
        <w:rPr>
          <w:lang w:val="es-ES_tradnl"/>
        </w:rPr>
        <w:t xml:space="preserve"> </w:t>
      </w:r>
      <w:r w:rsidR="006E7AA2">
        <w:rPr>
          <w:lang w:val="es-ES_tradnl"/>
        </w:rPr>
        <w:t>destruido</w:t>
      </w:r>
      <w:r w:rsidR="008A286F" w:rsidRPr="00B25E57">
        <w:rPr>
          <w:lang w:val="es-ES_tradnl"/>
        </w:rPr>
        <w:t>).</w:t>
      </w:r>
      <w:r w:rsidR="003A46A1" w:rsidRPr="00B25E57">
        <w:rPr>
          <w:lang w:val="es-ES_tradnl"/>
        </w:rPr>
        <w:t xml:space="preserve"> </w:t>
      </w:r>
      <w:r w:rsidR="003D17AD">
        <w:rPr>
          <w:lang w:val="es-ES_tradnl"/>
        </w:rPr>
        <w:t xml:space="preserve">Al presentar </w:t>
      </w:r>
      <w:r w:rsidR="00E14181">
        <w:rPr>
          <w:lang w:val="es-ES_tradnl"/>
        </w:rPr>
        <w:t>esta opción</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412D10">
        <w:rPr>
          <w:lang w:val="es-ES_tradnl"/>
        </w:rPr>
        <w:t xml:space="preserve">hizo hincapié en </w:t>
      </w:r>
      <w:r w:rsidR="00786979">
        <w:rPr>
          <w:lang w:val="es-ES_tradnl"/>
        </w:rPr>
        <w:t xml:space="preserve">que </w:t>
      </w:r>
      <w:r w:rsidR="008B17BA">
        <w:rPr>
          <w:lang w:val="es-ES_tradnl"/>
        </w:rPr>
        <w:t xml:space="preserve">la </w:t>
      </w:r>
      <w:r w:rsidR="00F33C58" w:rsidRPr="00B25E57">
        <w:rPr>
          <w:lang w:val="es-ES_tradnl"/>
        </w:rPr>
        <w:t>importación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B17BA">
        <w:rPr>
          <w:lang w:val="es-ES_tradnl"/>
        </w:rPr>
        <w:t>isotanques usados</w:t>
      </w:r>
      <w:r w:rsidR="003A46A1" w:rsidRPr="00B25E57">
        <w:rPr>
          <w:lang w:val="es-ES_tradnl"/>
        </w:rPr>
        <w:t xml:space="preserve"> </w:t>
      </w:r>
      <w:r w:rsidR="008B17BA">
        <w:rPr>
          <w:lang w:val="es-ES_tradnl"/>
        </w:rPr>
        <w:t>a</w:t>
      </w:r>
      <w:r w:rsidR="007B22B4" w:rsidRPr="00B25E57">
        <w:rPr>
          <w:lang w:val="es-ES_tradnl"/>
        </w:rPr>
        <w:t>l</w:t>
      </w:r>
      <w:r w:rsidR="003A46A1" w:rsidRPr="00B25E57">
        <w:rPr>
          <w:lang w:val="es-ES_tradnl"/>
        </w:rPr>
        <w:t xml:space="preserve"> </w:t>
      </w:r>
      <w:r w:rsidR="007B22B4" w:rsidRPr="00B25E57">
        <w:rPr>
          <w:lang w:val="es-ES_tradnl"/>
        </w:rPr>
        <w:t>país</w:t>
      </w:r>
      <w:r w:rsidR="002A51DF">
        <w:rPr>
          <w:lang w:val="es-ES_tradnl"/>
        </w:rPr>
        <w:t xml:space="preserve"> no está permitida</w:t>
      </w:r>
      <w:r w:rsidR="008A286F" w:rsidRPr="00B25E57">
        <w:rPr>
          <w:lang w:val="es-ES_tradnl"/>
        </w:rPr>
        <w:t>;</w:t>
      </w:r>
      <w:r w:rsidR="003A46A1" w:rsidRPr="00B25E57">
        <w:rPr>
          <w:lang w:val="es-ES_tradnl"/>
        </w:rPr>
        <w:t xml:space="preserve"> </w:t>
      </w:r>
      <w:r w:rsidR="003861DF">
        <w:rPr>
          <w:lang w:val="es-ES_tradnl"/>
        </w:rPr>
        <w:t>que la</w:t>
      </w:r>
      <w:r w:rsidR="003A46A1" w:rsidRPr="00B25E57">
        <w:rPr>
          <w:lang w:val="es-ES_tradnl"/>
        </w:rPr>
        <w:t xml:space="preserve"> </w:t>
      </w:r>
      <w:r w:rsidR="003861DF">
        <w:rPr>
          <w:lang w:val="es-ES_tradnl"/>
        </w:rPr>
        <w:t>adquisición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B51921">
        <w:rPr>
          <w:lang w:val="es-ES_tradnl"/>
        </w:rPr>
        <w:t xml:space="preserve">isotanques nuevos para cada </w:t>
      </w:r>
      <w:r w:rsidR="00B25E57">
        <w:rPr>
          <w:lang w:val="es-ES_tradnl"/>
        </w:rPr>
        <w:t>embarque</w:t>
      </w:r>
      <w:r w:rsidR="003A46A1" w:rsidRPr="00B25E57">
        <w:rPr>
          <w:lang w:val="es-ES_tradnl"/>
        </w:rPr>
        <w:t xml:space="preserve"> </w:t>
      </w:r>
      <w:r w:rsidR="00B51921">
        <w:rPr>
          <w:lang w:val="es-ES_tradnl"/>
        </w:rPr>
        <w:t>agregaría</w:t>
      </w:r>
      <w:r w:rsidR="003A46A1" w:rsidRPr="00B25E57">
        <w:rPr>
          <w:lang w:val="es-ES_tradnl"/>
        </w:rPr>
        <w:t xml:space="preserve"> </w:t>
      </w:r>
      <w:r w:rsidR="008A286F" w:rsidRPr="00B25E57">
        <w:rPr>
          <w:lang w:val="es-ES_tradnl"/>
        </w:rPr>
        <w:t>17.4</w:t>
      </w:r>
      <w:r w:rsidR="003A46A1" w:rsidRPr="00B25E57">
        <w:rPr>
          <w:lang w:val="es-ES_tradnl"/>
        </w:rPr>
        <w:t xml:space="preserve"> </w:t>
      </w:r>
      <w:r w:rsidR="004057BA" w:rsidRPr="00B25E57">
        <w:rPr>
          <w:lang w:val="es-ES_tradnl"/>
        </w:rPr>
        <w:t>millones</w:t>
      </w:r>
      <w:r w:rsidR="003A46A1" w:rsidRPr="00B25E57">
        <w:rPr>
          <w:lang w:val="es-ES_tradnl"/>
        </w:rPr>
        <w:t xml:space="preserve"> </w:t>
      </w:r>
      <w:r w:rsidR="00BE0D1F">
        <w:rPr>
          <w:lang w:val="es-ES_tradnl"/>
        </w:rPr>
        <w:t xml:space="preserve">de </w:t>
      </w:r>
      <w:r w:rsidR="00BE0D1F" w:rsidRPr="00BE0D1F">
        <w:rPr>
          <w:lang w:val="es-ES_tradnl"/>
        </w:rPr>
        <w:t xml:space="preserve">$EUA </w:t>
      </w:r>
      <w:r w:rsidR="00F33C58" w:rsidRPr="00B25E57">
        <w:rPr>
          <w:lang w:val="es-ES_tradnl"/>
        </w:rPr>
        <w:t>al</w:t>
      </w:r>
      <w:r w:rsidR="003A46A1" w:rsidRPr="00B25E57">
        <w:rPr>
          <w:lang w:val="es-ES_tradnl"/>
        </w:rPr>
        <w:t xml:space="preserve"> </w:t>
      </w:r>
      <w:r w:rsidR="004057BA" w:rsidRPr="00B25E57">
        <w:rPr>
          <w:lang w:val="es-ES_tradnl"/>
        </w:rPr>
        <w:t>costo</w:t>
      </w:r>
      <w:r w:rsidR="003A46A1" w:rsidRPr="00B25E57">
        <w:rPr>
          <w:lang w:val="es-ES_tradnl"/>
        </w:rPr>
        <w:t xml:space="preserve"> </w:t>
      </w:r>
      <w:r w:rsidR="004057BA" w:rsidRPr="00B25E57">
        <w:rPr>
          <w:lang w:val="es-ES_tradnl"/>
        </w:rPr>
        <w:t>total</w:t>
      </w:r>
      <w:r w:rsidR="00CF1C2D">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CF1C2D">
        <w:rPr>
          <w:lang w:val="es-ES_tradnl"/>
        </w:rPr>
        <w:t xml:space="preserve">que </w:t>
      </w:r>
      <w:r w:rsidR="00F24FA9" w:rsidRPr="00B25E57">
        <w:rPr>
          <w:lang w:val="es-ES_tradnl"/>
        </w:rPr>
        <w:t>por</w:t>
      </w:r>
      <w:r w:rsidR="003A46A1" w:rsidRPr="00B25E57">
        <w:rPr>
          <w:lang w:val="es-ES_tradnl"/>
        </w:rPr>
        <w:t xml:space="preserve"> </w:t>
      </w:r>
      <w:r w:rsidR="00F24FA9" w:rsidRPr="00B25E57">
        <w:rPr>
          <w:lang w:val="es-ES_tradnl"/>
        </w:rPr>
        <w:t>consiguiente</w:t>
      </w:r>
      <w:r w:rsidR="008A286F" w:rsidRPr="00B25E57">
        <w:rPr>
          <w:lang w:val="es-ES_tradnl"/>
        </w:rPr>
        <w:t>,</w:t>
      </w:r>
      <w:r w:rsidR="003A46A1" w:rsidRPr="00B25E57">
        <w:rPr>
          <w:lang w:val="es-ES_tradnl"/>
        </w:rPr>
        <w:t xml:space="preserve"> </w:t>
      </w:r>
      <w:r w:rsidR="00C21696">
        <w:rPr>
          <w:lang w:val="es-ES_tradnl"/>
        </w:rPr>
        <w:t xml:space="preserve">sugería </w:t>
      </w:r>
      <w:r w:rsidR="007D056B">
        <w:rPr>
          <w:lang w:val="es-ES_tradnl"/>
        </w:rPr>
        <w:t xml:space="preserve">no </w:t>
      </w:r>
      <w:r w:rsidR="00FA09CE">
        <w:rPr>
          <w:lang w:val="es-ES_tradnl"/>
        </w:rPr>
        <w:t xml:space="preserve">seguir considerando </w:t>
      </w:r>
      <w:r w:rsidR="007D056B">
        <w:rPr>
          <w:lang w:val="es-ES_tradnl"/>
        </w:rPr>
        <w:t>esta opción</w:t>
      </w:r>
      <w:r w:rsidR="008A286F" w:rsidRPr="00B25E57">
        <w:rPr>
          <w:lang w:val="es-ES_tradnl"/>
        </w:rPr>
        <w:t>.</w:t>
      </w:r>
    </w:p>
    <w:p w14:paraId="699F1E89" w14:textId="1BA7B9A2" w:rsidR="00680480" w:rsidRPr="00B25E57" w:rsidRDefault="00147277" w:rsidP="00680480">
      <w:pPr>
        <w:rPr>
          <w:u w:val="single"/>
          <w:lang w:val="es-ES_tradnl"/>
        </w:rPr>
      </w:pPr>
      <w:r w:rsidRPr="00B25E57">
        <w:rPr>
          <w:u w:val="single"/>
          <w:lang w:val="es-ES_tradnl"/>
        </w:rPr>
        <w:t>Auditoría</w:t>
      </w:r>
      <w:r w:rsidR="003A46A1" w:rsidRPr="00B25E57">
        <w:rPr>
          <w:u w:val="single"/>
          <w:lang w:val="es-ES_tradnl"/>
        </w:rPr>
        <w:t xml:space="preserve"> </w:t>
      </w:r>
      <w:r w:rsidRPr="00B25E57">
        <w:rPr>
          <w:u w:val="single"/>
          <w:lang w:val="es-ES_tradnl"/>
        </w:rPr>
        <w:t>técnica</w:t>
      </w:r>
    </w:p>
    <w:p w14:paraId="18635B18" w14:textId="77777777" w:rsidR="00680480" w:rsidRPr="00B25E57" w:rsidRDefault="00680480" w:rsidP="00680480">
      <w:pPr>
        <w:rPr>
          <w:lang w:val="es-ES_tradnl"/>
        </w:rPr>
      </w:pPr>
    </w:p>
    <w:p w14:paraId="4F70798C" w14:textId="74F49E01" w:rsidR="007B22B4" w:rsidRPr="00B25E57" w:rsidRDefault="004A411A" w:rsidP="0086055E">
      <w:pPr>
        <w:pStyle w:val="Heading1"/>
        <w:rPr>
          <w:lang w:val="es-ES_tradnl"/>
        </w:rPr>
      </w:pPr>
      <w:r>
        <w:rPr>
          <w:lang w:val="es-ES_tradnl" w:eastAsia="zh-CN"/>
        </w:rPr>
        <w:t xml:space="preserve">Para </w:t>
      </w:r>
      <w:r w:rsidR="00CC114A">
        <w:rPr>
          <w:lang w:val="es-ES_tradnl" w:eastAsia="zh-CN"/>
        </w:rPr>
        <w:t xml:space="preserve">estimar </w:t>
      </w:r>
      <w:r w:rsidR="00862A82" w:rsidRPr="00B25E57">
        <w:rPr>
          <w:lang w:val="es-ES_tradnl" w:eastAsia="zh-CN"/>
        </w:rPr>
        <w:t>los</w:t>
      </w:r>
      <w:r w:rsidR="003A46A1" w:rsidRPr="00B25E57">
        <w:rPr>
          <w:lang w:val="es-ES_tradnl" w:eastAsia="zh-CN"/>
        </w:rPr>
        <w:t xml:space="preserve"> </w:t>
      </w:r>
      <w:r w:rsidR="00862A82" w:rsidRPr="00B25E57">
        <w:rPr>
          <w:lang w:val="es-ES_tradnl" w:eastAsia="zh-CN"/>
        </w:rPr>
        <w:t>costos</w:t>
      </w:r>
      <w:r w:rsidR="003A46A1" w:rsidRPr="00B25E57">
        <w:rPr>
          <w:lang w:val="es-ES_tradnl" w:eastAsia="zh-CN"/>
        </w:rPr>
        <w:t xml:space="preserve"> </w:t>
      </w:r>
      <w:r w:rsidR="00FB38C2" w:rsidRPr="00B25E57">
        <w:rPr>
          <w:lang w:val="es-ES_tradnl" w:eastAsia="zh-CN"/>
        </w:rPr>
        <w:t>de</w:t>
      </w:r>
      <w:r w:rsidR="003A46A1" w:rsidRPr="00B25E57">
        <w:rPr>
          <w:lang w:val="es-ES_tradnl" w:eastAsia="zh-CN"/>
        </w:rPr>
        <w:t xml:space="preserve"> </w:t>
      </w:r>
      <w:r w:rsidR="004512EA" w:rsidRPr="00B25E57">
        <w:rPr>
          <w:lang w:val="es-ES_tradnl" w:eastAsia="zh-CN"/>
        </w:rPr>
        <w:t>cierre</w:t>
      </w:r>
      <w:r w:rsidR="003A46A1" w:rsidRPr="00B25E57">
        <w:rPr>
          <w:lang w:val="es-ES_tradnl" w:eastAsia="zh-CN"/>
        </w:rPr>
        <w:t xml:space="preserve"> </w:t>
      </w:r>
      <w:r w:rsidR="006A4410">
        <w:rPr>
          <w:lang w:val="es-ES_tradnl" w:eastAsia="zh-CN"/>
        </w:rPr>
        <w:t>el consultor</w:t>
      </w:r>
      <w:r w:rsidR="003A46A1" w:rsidRPr="00B25E57">
        <w:rPr>
          <w:lang w:val="es-ES_tradnl" w:eastAsia="zh-CN"/>
        </w:rPr>
        <w:t xml:space="preserve"> independiente </w:t>
      </w:r>
      <w:r w:rsidR="005C6924">
        <w:rPr>
          <w:lang w:val="es-ES_tradnl" w:eastAsia="zh-CN"/>
        </w:rPr>
        <w:t xml:space="preserve">utilizó la misma </w:t>
      </w:r>
      <w:r w:rsidR="004512EA" w:rsidRPr="00B25E57">
        <w:rPr>
          <w:lang w:val="es-ES_tradnl" w:eastAsia="zh-CN"/>
        </w:rPr>
        <w:t>metodología</w:t>
      </w:r>
      <w:r w:rsidR="003A46A1" w:rsidRPr="00B25E57">
        <w:rPr>
          <w:lang w:val="es-ES_tradnl" w:eastAsia="zh-CN"/>
        </w:rPr>
        <w:t xml:space="preserve"> </w:t>
      </w:r>
      <w:r w:rsidR="00620235">
        <w:rPr>
          <w:lang w:val="es-ES_tradnl" w:eastAsia="zh-CN"/>
        </w:rPr>
        <w:t>que</w:t>
      </w:r>
      <w:r w:rsidR="004F248B">
        <w:rPr>
          <w:lang w:val="es-ES_tradnl" w:eastAsia="zh-CN"/>
        </w:rPr>
        <w:t xml:space="preserve"> </w:t>
      </w:r>
      <w:r w:rsidR="007E153B">
        <w:rPr>
          <w:lang w:val="es-ES_tradnl" w:eastAsia="zh-CN"/>
        </w:rPr>
        <w:t xml:space="preserve">en </w:t>
      </w:r>
      <w:r w:rsidR="00147277" w:rsidRPr="00B25E57">
        <w:rPr>
          <w:lang w:val="es-ES_tradnl" w:eastAsia="zh-CN"/>
        </w:rPr>
        <w:t>auditoría</w:t>
      </w:r>
      <w:r w:rsidR="007E153B">
        <w:rPr>
          <w:lang w:val="es-ES_tradnl" w:eastAsia="zh-CN"/>
        </w:rPr>
        <w:t>s</w:t>
      </w:r>
      <w:r w:rsidR="003A46A1" w:rsidRPr="00B25E57">
        <w:rPr>
          <w:lang w:val="es-ES_tradnl" w:eastAsia="zh-CN"/>
        </w:rPr>
        <w:t xml:space="preserve"> </w:t>
      </w:r>
      <w:r w:rsidR="00147277" w:rsidRPr="00B25E57">
        <w:rPr>
          <w:lang w:val="es-ES_tradnl" w:eastAsia="zh-CN"/>
        </w:rPr>
        <w:t>técnica</w:t>
      </w:r>
      <w:r w:rsidR="0013692A" w:rsidRPr="00B25E57">
        <w:rPr>
          <w:lang w:val="es-ES_tradnl" w:eastAsia="zh-CN"/>
        </w:rPr>
        <w:t>s</w:t>
      </w:r>
      <w:r w:rsidR="003A46A1" w:rsidRPr="00B25E57">
        <w:rPr>
          <w:lang w:val="es-ES_tradnl" w:eastAsia="zh-CN"/>
        </w:rPr>
        <w:t xml:space="preserve"> </w:t>
      </w:r>
      <w:r w:rsidR="002F4BC9">
        <w:rPr>
          <w:lang w:val="es-ES_tradnl" w:eastAsia="zh-CN"/>
        </w:rPr>
        <w:t>realizadas anteriormente</w:t>
      </w:r>
      <w:r w:rsidR="007E153B">
        <w:rPr>
          <w:lang w:val="es-ES_tradnl" w:eastAsia="zh-CN"/>
        </w:rPr>
        <w:t xml:space="preserve"> </w:t>
      </w:r>
      <w:r w:rsidR="001A704E">
        <w:rPr>
          <w:lang w:val="es-ES_tradnl" w:eastAsia="zh-CN"/>
        </w:rPr>
        <w:t>en el sector producción de CFC y HCFC</w:t>
      </w:r>
      <w:r w:rsidR="0013692A" w:rsidRPr="00B25E57">
        <w:rPr>
          <w:lang w:val="es-ES_tradnl" w:eastAsia="zh-CN"/>
        </w:rPr>
        <w:t>,</w:t>
      </w:r>
      <w:r w:rsidR="003A46A1" w:rsidRPr="00B25E57">
        <w:rPr>
          <w:lang w:val="es-ES_tradnl" w:eastAsia="zh-CN"/>
        </w:rPr>
        <w:t xml:space="preserve"> </w:t>
      </w:r>
      <w:r w:rsidR="007A1DC8">
        <w:rPr>
          <w:lang w:val="es-ES_tradnl" w:eastAsia="zh-CN"/>
        </w:rPr>
        <w:t xml:space="preserve">la </w:t>
      </w:r>
      <w:r w:rsidR="00DC5A04">
        <w:rPr>
          <w:lang w:val="es-ES_tradnl" w:eastAsia="zh-CN"/>
        </w:rPr>
        <w:t xml:space="preserve">que </w:t>
      </w:r>
      <w:r w:rsidR="0060169D">
        <w:rPr>
          <w:lang w:val="es-ES_tradnl" w:eastAsia="zh-CN"/>
        </w:rPr>
        <w:t xml:space="preserve">empieza </w:t>
      </w:r>
      <w:r w:rsidR="00DC5A04">
        <w:rPr>
          <w:lang w:val="es-ES_tradnl" w:eastAsia="zh-CN"/>
        </w:rPr>
        <w:t xml:space="preserve">por recopilar </w:t>
      </w:r>
      <w:r w:rsidR="00E101E6">
        <w:rPr>
          <w:lang w:val="es-ES_tradnl" w:eastAsia="zh-CN"/>
        </w:rPr>
        <w:t>antecedentes</w:t>
      </w:r>
      <w:r w:rsidR="00040641">
        <w:rPr>
          <w:lang w:val="es-ES_tradnl" w:eastAsia="zh-CN"/>
        </w:rPr>
        <w:t xml:space="preserve"> sobre </w:t>
      </w:r>
      <w:r w:rsidR="006C49DC">
        <w:rPr>
          <w:lang w:val="es-ES_tradnl" w:eastAsia="zh-CN"/>
        </w:rPr>
        <w:t xml:space="preserve">los </w:t>
      </w:r>
      <w:r w:rsidR="004057BA" w:rsidRPr="00B25E57">
        <w:rPr>
          <w:szCs w:val="26"/>
          <w:lang w:val="es-ES_tradnl" w:eastAsia="zh-CN"/>
        </w:rPr>
        <w:t>siguientes</w:t>
      </w:r>
      <w:r w:rsidR="003A46A1" w:rsidRPr="00B25E57">
        <w:rPr>
          <w:szCs w:val="26"/>
          <w:lang w:val="es-ES_tradnl" w:eastAsia="zh-CN"/>
        </w:rPr>
        <w:t xml:space="preserve"> </w:t>
      </w:r>
      <w:r w:rsidR="006C49DC">
        <w:rPr>
          <w:szCs w:val="26"/>
          <w:lang w:val="es-ES_tradnl" w:eastAsia="zh-CN"/>
        </w:rPr>
        <w:t>elementos de costo</w:t>
      </w:r>
      <w:r w:rsidR="00735C89" w:rsidRPr="00216433">
        <w:rPr>
          <w:lang w:val="es-ES"/>
        </w:rPr>
        <w:t xml:space="preserve"> de </w:t>
      </w:r>
      <w:r w:rsidR="00735C89" w:rsidRPr="00735C89">
        <w:rPr>
          <w:szCs w:val="26"/>
          <w:lang w:val="es-ES_tradnl" w:eastAsia="zh-CN"/>
        </w:rPr>
        <w:t>la planta</w:t>
      </w:r>
      <w:r w:rsidR="005D5714">
        <w:rPr>
          <w:szCs w:val="26"/>
          <w:lang w:val="es-ES_tradnl" w:eastAsia="zh-CN"/>
        </w:rPr>
        <w:t xml:space="preserve"> en cuestión</w:t>
      </w:r>
      <w:r w:rsidR="00B80DCB" w:rsidRPr="00B25E57">
        <w:rPr>
          <w:szCs w:val="26"/>
          <w:lang w:val="es-ES_tradnl" w:eastAsia="zh-CN"/>
        </w:rPr>
        <w:t>:</w:t>
      </w:r>
      <w:r w:rsidR="003A46A1" w:rsidRPr="00B25E57">
        <w:rPr>
          <w:szCs w:val="26"/>
          <w:lang w:val="es-ES_tradnl" w:eastAsia="zh-CN"/>
        </w:rPr>
        <w:t xml:space="preserve"> </w:t>
      </w:r>
      <w:r w:rsidR="00CF4D33">
        <w:rPr>
          <w:szCs w:val="26"/>
          <w:lang w:val="es-ES_tradnl" w:eastAsia="zh-CN"/>
        </w:rPr>
        <w:t xml:space="preserve">muestra </w:t>
      </w:r>
      <w:r w:rsidR="00CF4D33" w:rsidRPr="00CF4D33">
        <w:rPr>
          <w:szCs w:val="26"/>
          <w:lang w:val="es-ES_tradnl" w:eastAsia="zh-CN"/>
        </w:rPr>
        <w:t xml:space="preserve">representativa </w:t>
      </w:r>
      <w:r w:rsidR="00CF4D33">
        <w:rPr>
          <w:szCs w:val="26"/>
          <w:lang w:val="es-ES_tradnl" w:eastAsia="zh-CN"/>
        </w:rPr>
        <w:t xml:space="preserve">de la </w:t>
      </w:r>
      <w:r w:rsidR="00A52AB3">
        <w:rPr>
          <w:szCs w:val="20"/>
          <w:lang w:val="es-ES_tradnl"/>
        </w:rPr>
        <w:t>capacidad de producción</w:t>
      </w:r>
      <w:r w:rsidR="0013692A" w:rsidRPr="00B25E57">
        <w:rPr>
          <w:szCs w:val="20"/>
          <w:lang w:val="es-ES_tradnl"/>
        </w:rPr>
        <w:t>;</w:t>
      </w:r>
      <w:r w:rsidR="003A46A1" w:rsidRPr="00B25E57">
        <w:rPr>
          <w:szCs w:val="20"/>
          <w:lang w:val="es-ES_tradnl"/>
        </w:rPr>
        <w:t xml:space="preserve"> </w:t>
      </w:r>
      <w:r w:rsidR="00FC788C">
        <w:rPr>
          <w:szCs w:val="20"/>
          <w:lang w:val="es-ES_tradnl"/>
        </w:rPr>
        <w:t>inversión de capital</w:t>
      </w:r>
      <w:r w:rsidR="00FC788C" w:rsidRPr="00FC788C">
        <w:rPr>
          <w:szCs w:val="20"/>
          <w:lang w:val="es-ES_tradnl"/>
        </w:rPr>
        <w:t xml:space="preserve"> </w:t>
      </w:r>
      <w:r w:rsidR="00FC788C">
        <w:rPr>
          <w:szCs w:val="20"/>
          <w:lang w:val="es-ES_tradnl"/>
        </w:rPr>
        <w:t>estimada</w:t>
      </w:r>
      <w:r w:rsidR="0013692A" w:rsidRPr="00B25E57">
        <w:rPr>
          <w:szCs w:val="20"/>
          <w:lang w:val="es-ES_tradnl"/>
        </w:rPr>
        <w:t>;</w:t>
      </w:r>
      <w:r w:rsidR="003A46A1" w:rsidRPr="00B25E57">
        <w:rPr>
          <w:szCs w:val="20"/>
          <w:lang w:val="es-ES_tradnl"/>
        </w:rPr>
        <w:t xml:space="preserve"> </w:t>
      </w:r>
      <w:r w:rsidR="00FC788C">
        <w:rPr>
          <w:szCs w:val="20"/>
          <w:lang w:val="es-ES_tradnl"/>
        </w:rPr>
        <w:t>costo de los insumos</w:t>
      </w:r>
      <w:r w:rsidR="0013692A" w:rsidRPr="00B25E57">
        <w:rPr>
          <w:szCs w:val="20"/>
          <w:lang w:val="es-ES_tradnl"/>
        </w:rPr>
        <w:t>;</w:t>
      </w:r>
      <w:r w:rsidR="003A46A1" w:rsidRPr="00B25E57">
        <w:rPr>
          <w:szCs w:val="20"/>
          <w:lang w:val="es-ES_tradnl"/>
        </w:rPr>
        <w:t xml:space="preserve"> </w:t>
      </w:r>
      <w:r w:rsidR="00D954DF">
        <w:rPr>
          <w:szCs w:val="20"/>
          <w:lang w:val="es-ES_tradnl"/>
        </w:rPr>
        <w:t xml:space="preserve">costo </w:t>
      </w:r>
      <w:r w:rsidR="006525A3">
        <w:rPr>
          <w:szCs w:val="20"/>
          <w:lang w:val="es-ES_tradnl"/>
        </w:rPr>
        <w:t>de la energía y servicios básicos</w:t>
      </w:r>
      <w:r w:rsidR="0013692A" w:rsidRPr="00B25E57">
        <w:rPr>
          <w:szCs w:val="20"/>
          <w:lang w:val="es-ES_tradnl"/>
        </w:rPr>
        <w:t>;</w:t>
      </w:r>
      <w:r w:rsidR="003A46A1" w:rsidRPr="00B25E57">
        <w:rPr>
          <w:szCs w:val="20"/>
          <w:lang w:val="es-ES_tradnl"/>
        </w:rPr>
        <w:t xml:space="preserve"> </w:t>
      </w:r>
      <w:r w:rsidR="004E6663">
        <w:rPr>
          <w:szCs w:val="20"/>
          <w:lang w:val="es-ES_tradnl"/>
        </w:rPr>
        <w:t xml:space="preserve">créditos </w:t>
      </w:r>
      <w:r w:rsidR="003446D7" w:rsidRPr="003446D7">
        <w:rPr>
          <w:szCs w:val="20"/>
          <w:lang w:val="es-ES_tradnl"/>
        </w:rPr>
        <w:t>de carbono</w:t>
      </w:r>
      <w:r w:rsidR="003446D7">
        <w:rPr>
          <w:szCs w:val="20"/>
          <w:lang w:val="es-ES_tradnl"/>
        </w:rPr>
        <w:t xml:space="preserve"> </w:t>
      </w:r>
      <w:r w:rsidR="00F65A69">
        <w:rPr>
          <w:szCs w:val="20"/>
          <w:lang w:val="es-ES_tradnl"/>
        </w:rPr>
        <w:t xml:space="preserve">obtenidos </w:t>
      </w:r>
      <w:r w:rsidR="003D235C">
        <w:rPr>
          <w:szCs w:val="20"/>
          <w:lang w:val="es-ES_tradnl"/>
        </w:rPr>
        <w:t xml:space="preserve">por </w:t>
      </w:r>
      <w:r w:rsidR="004E6663">
        <w:rPr>
          <w:szCs w:val="20"/>
          <w:lang w:val="es-ES_tradnl"/>
        </w:rPr>
        <w:t>subproducto</w:t>
      </w:r>
      <w:r w:rsidR="0013692A" w:rsidRPr="00B25E57">
        <w:rPr>
          <w:szCs w:val="20"/>
          <w:lang w:val="es-ES_tradnl"/>
        </w:rPr>
        <w:t>;</w:t>
      </w:r>
      <w:r w:rsidR="003A46A1" w:rsidRPr="00B25E57">
        <w:rPr>
          <w:szCs w:val="20"/>
          <w:lang w:val="es-ES_tradnl"/>
        </w:rPr>
        <w:t xml:space="preserve"> </w:t>
      </w:r>
      <w:r w:rsidR="004512EA" w:rsidRPr="00B25E57">
        <w:rPr>
          <w:szCs w:val="20"/>
          <w:lang w:val="es-ES_tradnl"/>
        </w:rPr>
        <w:t>costos</w:t>
      </w:r>
      <w:r w:rsidR="003A46A1" w:rsidRPr="00B25E57">
        <w:rPr>
          <w:szCs w:val="20"/>
          <w:lang w:val="es-ES_tradnl"/>
        </w:rPr>
        <w:t xml:space="preserve"> </w:t>
      </w:r>
      <w:r w:rsidR="004512EA" w:rsidRPr="00B25E57">
        <w:rPr>
          <w:szCs w:val="20"/>
          <w:lang w:val="es-ES_tradnl"/>
        </w:rPr>
        <w:t>de</w:t>
      </w:r>
      <w:r w:rsidR="003A46A1" w:rsidRPr="00B25E57">
        <w:rPr>
          <w:szCs w:val="20"/>
          <w:lang w:val="es-ES_tradnl"/>
        </w:rPr>
        <w:t xml:space="preserve"> </w:t>
      </w:r>
      <w:r w:rsidR="004512EA" w:rsidRPr="00B25E57">
        <w:rPr>
          <w:szCs w:val="20"/>
          <w:lang w:val="es-ES_tradnl"/>
        </w:rPr>
        <w:t>operación</w:t>
      </w:r>
      <w:r w:rsidR="0013692A" w:rsidRPr="00B25E57">
        <w:rPr>
          <w:szCs w:val="20"/>
          <w:lang w:val="es-ES_tradnl"/>
        </w:rPr>
        <w:t>;</w:t>
      </w:r>
      <w:r w:rsidR="003A46A1" w:rsidRPr="00B25E57">
        <w:rPr>
          <w:szCs w:val="20"/>
          <w:lang w:val="es-ES_tradnl"/>
        </w:rPr>
        <w:t xml:space="preserve"> </w:t>
      </w:r>
      <w:r w:rsidR="0076673D" w:rsidRPr="0076673D">
        <w:rPr>
          <w:szCs w:val="20"/>
          <w:lang w:val="es-ES_tradnl"/>
        </w:rPr>
        <w:t>costo</w:t>
      </w:r>
      <w:r w:rsidR="000641D8">
        <w:rPr>
          <w:szCs w:val="20"/>
          <w:lang w:val="es-ES_tradnl"/>
        </w:rPr>
        <w:t>s</w:t>
      </w:r>
      <w:r w:rsidR="0076673D" w:rsidRPr="0076673D">
        <w:rPr>
          <w:szCs w:val="20"/>
          <w:lang w:val="es-ES_tradnl"/>
        </w:rPr>
        <w:t xml:space="preserve"> de </w:t>
      </w:r>
      <w:r w:rsidR="00D1724F" w:rsidRPr="00D1724F">
        <w:rPr>
          <w:szCs w:val="20"/>
          <w:lang w:val="es-ES_tradnl"/>
        </w:rPr>
        <w:t xml:space="preserve">materiales </w:t>
      </w:r>
      <w:r w:rsidR="00D1724F">
        <w:rPr>
          <w:szCs w:val="20"/>
          <w:lang w:val="es-ES_tradnl"/>
        </w:rPr>
        <w:t xml:space="preserve">y </w:t>
      </w:r>
      <w:r w:rsidR="0076673D">
        <w:rPr>
          <w:szCs w:val="20"/>
          <w:lang w:val="es-ES_tradnl"/>
        </w:rPr>
        <w:t xml:space="preserve">personal </w:t>
      </w:r>
      <w:r w:rsidR="0076673D" w:rsidRPr="0076673D">
        <w:rPr>
          <w:szCs w:val="20"/>
          <w:lang w:val="es-ES_tradnl"/>
        </w:rPr>
        <w:t>de mantenimiento</w:t>
      </w:r>
      <w:r w:rsidR="00C41D06">
        <w:rPr>
          <w:szCs w:val="20"/>
          <w:lang w:val="es-ES_tradnl"/>
        </w:rPr>
        <w:t>,</w:t>
      </w:r>
      <w:r w:rsidR="003A46A1" w:rsidRPr="00B25E57">
        <w:rPr>
          <w:szCs w:val="20"/>
          <w:lang w:val="es-ES_tradnl"/>
        </w:rPr>
        <w:t xml:space="preserve"> </w:t>
      </w:r>
      <w:r w:rsidR="00FB38C2" w:rsidRPr="00B25E57">
        <w:rPr>
          <w:szCs w:val="20"/>
          <w:lang w:val="es-ES_tradnl"/>
        </w:rPr>
        <w:t>y</w:t>
      </w:r>
      <w:r w:rsidR="003A46A1" w:rsidRPr="00B25E57">
        <w:rPr>
          <w:szCs w:val="20"/>
          <w:lang w:val="es-ES_tradnl"/>
        </w:rPr>
        <w:t xml:space="preserve"> </w:t>
      </w:r>
      <w:r w:rsidR="004C66DA" w:rsidRPr="004C66DA">
        <w:rPr>
          <w:szCs w:val="20"/>
          <w:lang w:val="es-ES_tradnl"/>
        </w:rPr>
        <w:t>costos generales e indirectos</w:t>
      </w:r>
      <w:r w:rsidR="0013692A" w:rsidRPr="00B25E57">
        <w:rPr>
          <w:szCs w:val="20"/>
          <w:lang w:val="es-ES_tradnl"/>
        </w:rPr>
        <w:t>.</w:t>
      </w:r>
      <w:r w:rsidR="003A46A1" w:rsidRPr="00B25E57">
        <w:rPr>
          <w:szCs w:val="20"/>
          <w:lang w:val="es-ES_tradnl"/>
        </w:rPr>
        <w:t xml:space="preserve"> </w:t>
      </w:r>
      <w:r w:rsidR="00D83C9E">
        <w:rPr>
          <w:szCs w:val="20"/>
          <w:lang w:val="es-ES_tradnl"/>
        </w:rPr>
        <w:t>La contribución</w:t>
      </w:r>
      <w:r w:rsidR="003A46A1" w:rsidRPr="00B25E57">
        <w:rPr>
          <w:szCs w:val="20"/>
          <w:lang w:val="es-ES_tradnl"/>
        </w:rPr>
        <w:t xml:space="preserve"> </w:t>
      </w:r>
      <w:r w:rsidR="00FB38C2" w:rsidRPr="00B25E57">
        <w:rPr>
          <w:szCs w:val="20"/>
          <w:lang w:val="es-ES_tradnl"/>
        </w:rPr>
        <w:t>de</w:t>
      </w:r>
      <w:r w:rsidR="003A46A1" w:rsidRPr="00B25E57">
        <w:rPr>
          <w:szCs w:val="20"/>
          <w:lang w:val="es-ES_tradnl"/>
        </w:rPr>
        <w:t xml:space="preserve"> </w:t>
      </w:r>
      <w:r w:rsidR="00A4343B" w:rsidRPr="00B25E57">
        <w:rPr>
          <w:szCs w:val="20"/>
          <w:lang w:val="es-ES_tradnl"/>
        </w:rPr>
        <w:t>cada</w:t>
      </w:r>
      <w:r w:rsidR="003A46A1" w:rsidRPr="00B25E57">
        <w:rPr>
          <w:szCs w:val="20"/>
          <w:lang w:val="es-ES_tradnl"/>
        </w:rPr>
        <w:t xml:space="preserve"> </w:t>
      </w:r>
      <w:r w:rsidR="00D83C9E">
        <w:rPr>
          <w:szCs w:val="20"/>
          <w:lang w:val="es-ES_tradnl"/>
        </w:rPr>
        <w:t>elemento</w:t>
      </w:r>
      <w:r w:rsidR="003A46A1" w:rsidRPr="00B25E57">
        <w:rPr>
          <w:szCs w:val="20"/>
          <w:lang w:val="es-ES_tradnl"/>
        </w:rPr>
        <w:t xml:space="preserve"> </w:t>
      </w:r>
      <w:r w:rsidR="004241C5" w:rsidRPr="00B25E57">
        <w:rPr>
          <w:szCs w:val="20"/>
          <w:lang w:val="es-ES_tradnl"/>
        </w:rPr>
        <w:t>por</w:t>
      </w:r>
      <w:r w:rsidR="003A46A1" w:rsidRPr="00B25E57">
        <w:rPr>
          <w:szCs w:val="20"/>
          <w:lang w:val="es-ES_tradnl"/>
        </w:rPr>
        <w:t xml:space="preserve"> </w:t>
      </w:r>
      <w:r w:rsidR="00FB38C2" w:rsidRPr="00B25E57">
        <w:rPr>
          <w:szCs w:val="20"/>
          <w:lang w:val="es-ES_tradnl"/>
        </w:rPr>
        <w:t>tm</w:t>
      </w:r>
      <w:r w:rsidR="003A46A1" w:rsidRPr="00B25E57">
        <w:rPr>
          <w:szCs w:val="20"/>
          <w:lang w:val="es-ES_tradnl"/>
        </w:rPr>
        <w:t xml:space="preserve"> </w:t>
      </w:r>
      <w:r w:rsidR="00FB38C2" w:rsidRPr="00B25E57">
        <w:rPr>
          <w:szCs w:val="20"/>
          <w:lang w:val="es-ES_tradnl"/>
        </w:rPr>
        <w:t>de</w:t>
      </w:r>
      <w:r w:rsidR="003A46A1" w:rsidRPr="00B25E57">
        <w:rPr>
          <w:szCs w:val="20"/>
          <w:lang w:val="es-ES_tradnl"/>
        </w:rPr>
        <w:t xml:space="preserve"> </w:t>
      </w:r>
      <w:r w:rsidR="0013692A" w:rsidRPr="00B25E57">
        <w:rPr>
          <w:szCs w:val="20"/>
          <w:lang w:val="es-ES_tradnl"/>
        </w:rPr>
        <w:t>HCFC</w:t>
      </w:r>
      <w:r w:rsidR="00FB38C2" w:rsidRPr="00B25E57">
        <w:rPr>
          <w:szCs w:val="20"/>
          <w:lang w:val="es-ES_tradnl"/>
        </w:rPr>
        <w:t>-</w:t>
      </w:r>
      <w:r w:rsidR="0013692A" w:rsidRPr="00B25E57">
        <w:rPr>
          <w:szCs w:val="20"/>
          <w:lang w:val="es-ES_tradnl"/>
        </w:rPr>
        <w:t>22</w:t>
      </w:r>
      <w:r w:rsidR="003A46A1" w:rsidRPr="00B25E57">
        <w:rPr>
          <w:szCs w:val="20"/>
          <w:lang w:val="es-ES_tradnl"/>
        </w:rPr>
        <w:t xml:space="preserve"> </w:t>
      </w:r>
      <w:r w:rsidR="00F24FA9" w:rsidRPr="00B25E57">
        <w:rPr>
          <w:szCs w:val="20"/>
          <w:lang w:val="es-ES_tradnl"/>
        </w:rPr>
        <w:t>producido</w:t>
      </w:r>
      <w:r w:rsidR="003A46A1" w:rsidRPr="00B25E57">
        <w:rPr>
          <w:szCs w:val="20"/>
          <w:lang w:val="es-ES_tradnl"/>
        </w:rPr>
        <w:t xml:space="preserve"> </w:t>
      </w:r>
      <w:r w:rsidR="002A671A">
        <w:rPr>
          <w:szCs w:val="20"/>
          <w:lang w:val="es-ES_tradnl"/>
        </w:rPr>
        <w:t xml:space="preserve">permite </w:t>
      </w:r>
      <w:r w:rsidR="0040762F">
        <w:rPr>
          <w:szCs w:val="20"/>
          <w:lang w:val="es-ES_tradnl"/>
        </w:rPr>
        <w:t>determinar</w:t>
      </w:r>
      <w:r w:rsidR="003A46A1" w:rsidRPr="00B25E57">
        <w:rPr>
          <w:szCs w:val="20"/>
          <w:lang w:val="es-ES_tradnl"/>
        </w:rPr>
        <w:t xml:space="preserve"> </w:t>
      </w:r>
      <w:r w:rsidR="007340D2">
        <w:rPr>
          <w:szCs w:val="20"/>
          <w:lang w:val="es-ES_tradnl"/>
        </w:rPr>
        <w:t xml:space="preserve">el </w:t>
      </w:r>
      <w:r w:rsidR="007340D2" w:rsidRPr="007340D2">
        <w:rPr>
          <w:szCs w:val="20"/>
          <w:lang w:val="es-ES_tradnl"/>
        </w:rPr>
        <w:t>margen de rentabilidad marginal</w:t>
      </w:r>
      <w:r w:rsidR="0013692A" w:rsidRPr="00B25E57">
        <w:rPr>
          <w:szCs w:val="20"/>
          <w:lang w:val="es-ES_tradnl"/>
        </w:rPr>
        <w:t>,</w:t>
      </w:r>
      <w:r w:rsidR="003A46A1" w:rsidRPr="00B25E57">
        <w:rPr>
          <w:szCs w:val="20"/>
          <w:lang w:val="es-ES_tradnl"/>
        </w:rPr>
        <w:t xml:space="preserve"> </w:t>
      </w:r>
      <w:r w:rsidR="00541B74">
        <w:rPr>
          <w:szCs w:val="20"/>
          <w:lang w:val="es-ES_tradnl"/>
        </w:rPr>
        <w:t xml:space="preserve">habida cuenta de </w:t>
      </w:r>
      <w:r w:rsidR="00A551D3">
        <w:rPr>
          <w:szCs w:val="20"/>
          <w:lang w:val="es-ES_tradnl"/>
        </w:rPr>
        <w:t>la capacidad utilizada</w:t>
      </w:r>
      <w:r w:rsidR="003A46A1" w:rsidRPr="00B25E57">
        <w:rPr>
          <w:szCs w:val="20"/>
          <w:lang w:val="es-ES_tradnl"/>
        </w:rPr>
        <w:t xml:space="preserve"> </w:t>
      </w:r>
      <w:r w:rsidR="00F33C58" w:rsidRPr="00B25E57">
        <w:rPr>
          <w:szCs w:val="20"/>
          <w:lang w:val="es-ES_tradnl"/>
        </w:rPr>
        <w:t>y</w:t>
      </w:r>
      <w:r w:rsidR="003A46A1" w:rsidRPr="00B25E57">
        <w:rPr>
          <w:szCs w:val="20"/>
          <w:lang w:val="es-ES_tradnl"/>
        </w:rPr>
        <w:t xml:space="preserve"> </w:t>
      </w:r>
      <w:r w:rsidR="0068483E">
        <w:rPr>
          <w:szCs w:val="20"/>
          <w:lang w:val="es-ES_tradnl"/>
        </w:rPr>
        <w:t xml:space="preserve">de </w:t>
      </w:r>
      <w:r w:rsidR="00012B13">
        <w:rPr>
          <w:szCs w:val="20"/>
          <w:lang w:val="es-ES_tradnl"/>
        </w:rPr>
        <w:t>la tasa impositiva</w:t>
      </w:r>
      <w:r w:rsidR="00012B13" w:rsidRPr="00216433">
        <w:rPr>
          <w:lang w:val="es-ES"/>
        </w:rPr>
        <w:t xml:space="preserve"> </w:t>
      </w:r>
      <w:r w:rsidR="00785619">
        <w:rPr>
          <w:szCs w:val="20"/>
          <w:lang w:val="es-ES_tradnl"/>
        </w:rPr>
        <w:t>correspondiente</w:t>
      </w:r>
      <w:r w:rsidR="0013692A" w:rsidRPr="00B25E57">
        <w:rPr>
          <w:szCs w:val="20"/>
          <w:lang w:val="es-ES_tradnl"/>
        </w:rPr>
        <w:t>.</w:t>
      </w:r>
      <w:r w:rsidR="003A46A1" w:rsidRPr="00B25E57">
        <w:rPr>
          <w:szCs w:val="20"/>
          <w:lang w:val="es-ES_tradnl"/>
        </w:rPr>
        <w:t xml:space="preserve"> </w:t>
      </w:r>
      <w:r w:rsidR="003B5A05">
        <w:rPr>
          <w:szCs w:val="20"/>
          <w:lang w:val="es-ES_tradnl"/>
        </w:rPr>
        <w:t xml:space="preserve">Para </w:t>
      </w:r>
      <w:r w:rsidR="003B5A05" w:rsidRPr="003B5A05">
        <w:rPr>
          <w:szCs w:val="20"/>
          <w:lang w:val="es-ES_tradnl"/>
        </w:rPr>
        <w:t>determinar el lucro cesante</w:t>
      </w:r>
      <w:r w:rsidR="003B5A05">
        <w:rPr>
          <w:szCs w:val="20"/>
          <w:lang w:val="es-ES_tradnl"/>
        </w:rPr>
        <w:t xml:space="preserve">, </w:t>
      </w:r>
      <w:r w:rsidR="003B5A05">
        <w:rPr>
          <w:lang w:val="es-ES_tradnl"/>
        </w:rPr>
        <w:t>e</w:t>
      </w:r>
      <w:r w:rsidR="006A4410">
        <w:rPr>
          <w:lang w:val="es-ES_tradnl"/>
        </w:rPr>
        <w:t>l consultor</w:t>
      </w:r>
      <w:r w:rsidR="003A46A1" w:rsidRPr="00B25E57">
        <w:rPr>
          <w:lang w:val="es-ES_tradnl"/>
        </w:rPr>
        <w:t xml:space="preserve"> independiente </w:t>
      </w:r>
      <w:r w:rsidR="00B87134">
        <w:rPr>
          <w:lang w:val="es-ES_tradnl"/>
        </w:rPr>
        <w:t>consideró a continuación los indicadores macroeconómicos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B22D61">
        <w:rPr>
          <w:lang w:val="es-ES_tradnl"/>
        </w:rPr>
        <w:t xml:space="preserve">la vida útil restante </w:t>
      </w:r>
      <w:r w:rsidR="000A5709">
        <w:rPr>
          <w:lang w:val="es-ES_tradnl"/>
        </w:rPr>
        <w:t xml:space="preserve">estimada </w:t>
      </w:r>
      <w:r w:rsidR="00B22D61">
        <w:rPr>
          <w:lang w:val="es-ES_tradnl"/>
        </w:rPr>
        <w:t>de la planta</w:t>
      </w:r>
      <w:r w:rsidR="005A7DB6" w:rsidRPr="00B25E57">
        <w:rPr>
          <w:lang w:val="es-ES_tradnl"/>
        </w:rPr>
        <w:t>.</w:t>
      </w:r>
    </w:p>
    <w:p w14:paraId="2E8A474D" w14:textId="540BD454" w:rsidR="007B22B4" w:rsidRPr="00B25E57" w:rsidRDefault="00AD25F7" w:rsidP="00C94735">
      <w:pPr>
        <w:pStyle w:val="Heading1"/>
        <w:rPr>
          <w:lang w:val="es-ES_tradnl"/>
        </w:rPr>
      </w:pPr>
      <w:r>
        <w:rPr>
          <w:lang w:val="es-ES_tradnl"/>
        </w:rPr>
        <w:t xml:space="preserve">Para </w:t>
      </w:r>
      <w:r w:rsidRPr="00AD25F7">
        <w:rPr>
          <w:lang w:val="es-ES_tradnl"/>
        </w:rPr>
        <w:t xml:space="preserve">determinar el VAN del lucro cesante </w:t>
      </w:r>
      <w:r>
        <w:rPr>
          <w:lang w:val="es-ES_tradnl"/>
        </w:rPr>
        <w:t xml:space="preserve">se </w:t>
      </w:r>
      <w:r w:rsidR="00176DD2">
        <w:rPr>
          <w:lang w:val="es-ES_tradnl"/>
        </w:rPr>
        <w:t>debe</w:t>
      </w:r>
      <w:r>
        <w:rPr>
          <w:lang w:val="es-ES_tradnl"/>
        </w:rPr>
        <w:t xml:space="preserve"> </w:t>
      </w:r>
      <w:r w:rsidR="00782EAB">
        <w:rPr>
          <w:lang w:val="es-ES_tradnl"/>
        </w:rPr>
        <w:t xml:space="preserve">aplicar una </w:t>
      </w:r>
      <w:r w:rsidR="00635681">
        <w:rPr>
          <w:lang w:val="es-ES_tradnl"/>
        </w:rPr>
        <w:t>tasa de descuento</w:t>
      </w:r>
      <w:r w:rsidR="000C5F47" w:rsidRPr="00B25E57">
        <w:rPr>
          <w:lang w:val="es-ES_tradnl"/>
        </w:rPr>
        <w:t>.</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B25E57">
        <w:rPr>
          <w:lang w:val="es-ES_tradnl"/>
        </w:rPr>
        <w:t>la mayoría de los casos</w:t>
      </w:r>
      <w:r w:rsidR="000C5F47" w:rsidRPr="00B25E57">
        <w:rPr>
          <w:lang w:val="es-ES_tradnl"/>
        </w:rPr>
        <w:t>,</w:t>
      </w:r>
      <w:r w:rsidR="003A46A1" w:rsidRPr="00B25E57">
        <w:rPr>
          <w:lang w:val="es-ES_tradnl"/>
        </w:rPr>
        <w:t xml:space="preserve"> </w:t>
      </w:r>
      <w:r w:rsidR="00283EE9">
        <w:rPr>
          <w:lang w:val="es-ES_tradnl"/>
        </w:rPr>
        <w:t xml:space="preserve">la tasa </w:t>
      </w:r>
      <w:r w:rsidR="00493179">
        <w:rPr>
          <w:lang w:val="es-ES_tradnl"/>
        </w:rPr>
        <w:t xml:space="preserve">bancaria </w:t>
      </w:r>
      <w:r w:rsidR="00283EE9">
        <w:rPr>
          <w:lang w:val="es-ES_tradnl"/>
        </w:rPr>
        <w:t>de interés referencial</w:t>
      </w:r>
      <w:r w:rsidR="003A46A1" w:rsidRPr="00B25E57">
        <w:rPr>
          <w:lang w:val="es-ES_tradnl"/>
        </w:rPr>
        <w:t xml:space="preserve"> </w:t>
      </w:r>
      <w:r w:rsidR="001A4393">
        <w:rPr>
          <w:lang w:val="es-ES_tradnl"/>
        </w:rPr>
        <w:t xml:space="preserve">es </w:t>
      </w:r>
      <w:r w:rsidR="00182584">
        <w:rPr>
          <w:lang w:val="es-ES_tradnl"/>
        </w:rPr>
        <w:t xml:space="preserve">un equivalente </w:t>
      </w:r>
      <w:r w:rsidR="007B376F">
        <w:rPr>
          <w:lang w:val="es-ES_tradnl"/>
        </w:rPr>
        <w:t>razonable</w:t>
      </w:r>
      <w:r w:rsidR="000C5F47"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0C5F47" w:rsidRPr="00B25E57">
        <w:rPr>
          <w:lang w:val="es-ES_tradnl"/>
        </w:rPr>
        <w:t>,</w:t>
      </w:r>
      <w:r w:rsidR="003A46A1" w:rsidRPr="00B25E57">
        <w:rPr>
          <w:lang w:val="es-ES_tradnl"/>
        </w:rPr>
        <w:t xml:space="preserve"> </w:t>
      </w:r>
      <w:r w:rsidR="00150FE7">
        <w:rPr>
          <w:lang w:val="es-ES_tradnl"/>
        </w:rPr>
        <w:t xml:space="preserve">en </w:t>
      </w:r>
      <w:r w:rsidR="000C5F47" w:rsidRPr="00B25E57">
        <w:rPr>
          <w:lang w:val="es-ES_tradnl"/>
        </w:rPr>
        <w:t>2016</w:t>
      </w:r>
      <w:r w:rsidR="00FB38C2" w:rsidRPr="00B25E57">
        <w:rPr>
          <w:lang w:val="es-ES_tradnl"/>
        </w:rPr>
        <w:t>-</w:t>
      </w:r>
      <w:r w:rsidR="000C5F47" w:rsidRPr="00B25E57">
        <w:rPr>
          <w:lang w:val="es-ES_tradnl"/>
        </w:rPr>
        <w:t>2018</w:t>
      </w:r>
      <w:r w:rsidR="003A46A1" w:rsidRPr="00B25E57">
        <w:rPr>
          <w:lang w:val="es-ES_tradnl"/>
        </w:rPr>
        <w:t xml:space="preserve"> </w:t>
      </w:r>
      <w:r w:rsidR="0030486E">
        <w:rPr>
          <w:lang w:val="es-ES_tradnl"/>
        </w:rPr>
        <w:t xml:space="preserve">la </w:t>
      </w:r>
      <w:r w:rsidR="00283EE9">
        <w:rPr>
          <w:lang w:val="es-ES_tradnl"/>
        </w:rPr>
        <w:t>tasa de interés referencial</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0C5F47" w:rsidRPr="00B25E57">
        <w:rPr>
          <w:lang w:val="es-ES_tradnl"/>
        </w:rPr>
        <w:t>Argentina</w:t>
      </w:r>
      <w:r w:rsidR="003A46A1" w:rsidRPr="00B25E57">
        <w:rPr>
          <w:lang w:val="es-ES_tradnl"/>
        </w:rPr>
        <w:t xml:space="preserve"> </w:t>
      </w:r>
      <w:r w:rsidR="00F72903">
        <w:rPr>
          <w:lang w:val="es-ES_tradnl"/>
        </w:rPr>
        <w:t xml:space="preserve">fluctuó </w:t>
      </w:r>
      <w:r w:rsidR="00472885">
        <w:rPr>
          <w:lang w:val="es-ES_tradnl"/>
        </w:rPr>
        <w:t xml:space="preserve">entre </w:t>
      </w:r>
      <w:r w:rsidR="00305785">
        <w:rPr>
          <w:lang w:val="es-ES_tradnl"/>
        </w:rPr>
        <w:t>19,</w:t>
      </w:r>
      <w:r w:rsidR="000C5F47" w:rsidRPr="00B25E57">
        <w:rPr>
          <w:lang w:val="es-ES_tradnl"/>
        </w:rPr>
        <w:t>9</w:t>
      </w:r>
      <w:r w:rsidR="00472885">
        <w:rPr>
          <w:lang w:val="es-ES_tradnl"/>
        </w:rPr>
        <w:t>%</w:t>
      </w:r>
      <w:r w:rsidR="003A46A1" w:rsidRPr="00B25E57">
        <w:rPr>
          <w:lang w:val="es-ES_tradnl"/>
        </w:rPr>
        <w:t xml:space="preserve"> </w:t>
      </w:r>
      <w:r w:rsidR="00472885">
        <w:rPr>
          <w:lang w:val="es-ES_tradnl"/>
        </w:rPr>
        <w:t>y</w:t>
      </w:r>
      <w:r w:rsidR="003A46A1" w:rsidRPr="00B25E57">
        <w:rPr>
          <w:lang w:val="es-ES_tradnl"/>
        </w:rPr>
        <w:t xml:space="preserve"> </w:t>
      </w:r>
      <w:r w:rsidR="000C5F47" w:rsidRPr="00B25E57">
        <w:rPr>
          <w:lang w:val="es-ES_tradnl"/>
        </w:rPr>
        <w:t>35</w:t>
      </w:r>
      <w:r w:rsidR="00E22238" w:rsidRPr="00B25E57">
        <w:rPr>
          <w:lang w:val="es-ES_tradnl"/>
        </w:rPr>
        <w:t>,5%</w:t>
      </w:r>
      <w:r w:rsidR="000C5F47" w:rsidRPr="00B25E57">
        <w:rPr>
          <w:lang w:val="es-ES_tradnl"/>
        </w:rPr>
        <w:t>,</w:t>
      </w:r>
      <w:r w:rsidR="003A46A1" w:rsidRPr="00B25E57">
        <w:rPr>
          <w:lang w:val="es-ES_tradnl"/>
        </w:rPr>
        <w:t xml:space="preserve"> </w:t>
      </w:r>
      <w:r w:rsidR="004241C5" w:rsidRPr="00B25E57">
        <w:rPr>
          <w:lang w:val="es-ES_tradnl"/>
        </w:rPr>
        <w:t>con</w:t>
      </w:r>
      <w:r w:rsidR="003A46A1" w:rsidRPr="00B25E57">
        <w:rPr>
          <w:lang w:val="es-ES_tradnl"/>
        </w:rPr>
        <w:t xml:space="preserve"> </w:t>
      </w:r>
      <w:r w:rsidR="00F942C6" w:rsidRPr="00B25E57">
        <w:rPr>
          <w:lang w:val="es-ES_tradnl"/>
        </w:rPr>
        <w:t>un</w:t>
      </w:r>
      <w:r w:rsidR="003A46A1" w:rsidRPr="00B25E57">
        <w:rPr>
          <w:lang w:val="es-ES_tradnl"/>
        </w:rPr>
        <w:t xml:space="preserve"> </w:t>
      </w:r>
      <w:r w:rsidR="00862A82" w:rsidRPr="00B25E57">
        <w:rPr>
          <w:lang w:val="es-ES_tradnl"/>
        </w:rPr>
        <w:t>promedio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0C5F47" w:rsidRPr="00B25E57">
        <w:rPr>
          <w:lang w:val="es-ES_tradnl"/>
        </w:rPr>
        <w:t>26</w:t>
      </w:r>
      <w:r w:rsidR="00E22238" w:rsidRPr="00B25E57">
        <w:rPr>
          <w:lang w:val="es-ES_tradnl"/>
        </w:rPr>
        <w:t>,2%</w:t>
      </w:r>
      <w:r w:rsidR="000C5F47" w:rsidRPr="00B25E57">
        <w:rPr>
          <w:lang w:val="es-ES_tradnl"/>
        </w:rPr>
        <w:t>.</w:t>
      </w:r>
      <w:r w:rsidR="003A46A1" w:rsidRPr="00B25E57">
        <w:rPr>
          <w:lang w:val="es-ES_tradnl"/>
        </w:rPr>
        <w:t xml:space="preserve"> </w:t>
      </w:r>
      <w:r w:rsidR="0041530E">
        <w:rPr>
          <w:lang w:val="es-ES_tradnl"/>
        </w:rPr>
        <w:t xml:space="preserve">Una </w:t>
      </w:r>
      <w:r w:rsidR="00635681">
        <w:rPr>
          <w:lang w:val="es-ES_tradnl"/>
        </w:rPr>
        <w:t>tasa de descuento</w:t>
      </w:r>
      <w:r w:rsidR="003A46A1" w:rsidRPr="00B25E57">
        <w:rPr>
          <w:lang w:val="es-ES_tradnl"/>
        </w:rPr>
        <w:t xml:space="preserve"> </w:t>
      </w:r>
      <w:r w:rsidR="0041530E">
        <w:rPr>
          <w:lang w:val="es-ES_tradnl"/>
        </w:rPr>
        <w:t xml:space="preserve">así </w:t>
      </w:r>
      <w:r w:rsidR="005F00F7">
        <w:rPr>
          <w:lang w:val="es-ES_tradnl"/>
        </w:rPr>
        <w:t>serí</w:t>
      </w:r>
      <w:r w:rsidR="007B48A4">
        <w:rPr>
          <w:lang w:val="es-ES_tradnl"/>
        </w:rPr>
        <w:t xml:space="preserve">a </w:t>
      </w:r>
      <w:r w:rsidR="00A46348">
        <w:rPr>
          <w:lang w:val="es-ES_tradnl"/>
        </w:rPr>
        <w:t xml:space="preserve">demasiado </w:t>
      </w:r>
      <w:r w:rsidR="005F00F7">
        <w:rPr>
          <w:lang w:val="es-ES_tradnl"/>
        </w:rPr>
        <w:t>elevada</w:t>
      </w:r>
      <w:r w:rsidR="00D407B8">
        <w:rPr>
          <w:lang w:val="es-ES_tradnl"/>
        </w:rPr>
        <w:t xml:space="preserve"> </w:t>
      </w:r>
      <w:r w:rsidR="00A46348">
        <w:rPr>
          <w:lang w:val="es-ES_tradnl"/>
        </w:rPr>
        <w:t xml:space="preserve">para </w:t>
      </w:r>
      <w:r w:rsidR="00A86360">
        <w:rPr>
          <w:lang w:val="es-ES_tradnl"/>
        </w:rPr>
        <w:t>fines d</w:t>
      </w:r>
      <w:r w:rsidR="00B55413">
        <w:rPr>
          <w:lang w:val="es-ES_tradnl"/>
        </w:rPr>
        <w:t xml:space="preserve">el </w:t>
      </w:r>
      <w:r w:rsidR="00F33C58" w:rsidRPr="00B25E57">
        <w:rPr>
          <w:lang w:val="es-ES_tradnl"/>
        </w:rPr>
        <w:t>cierre</w:t>
      </w:r>
      <w:r w:rsidR="003A46A1" w:rsidRPr="00B25E57">
        <w:rPr>
          <w:lang w:val="es-ES_tradnl"/>
        </w:rPr>
        <w:t xml:space="preserve"> </w:t>
      </w:r>
      <w:r w:rsidR="00F33C58" w:rsidRPr="00B25E57">
        <w:rPr>
          <w:lang w:val="es-ES_tradnl"/>
        </w:rPr>
        <w:t>de</w:t>
      </w:r>
      <w:r w:rsidR="003A46A1" w:rsidRPr="00B25E57">
        <w:rPr>
          <w:lang w:val="es-ES_tradnl"/>
        </w:rPr>
        <w:t xml:space="preserve"> </w:t>
      </w:r>
      <w:r w:rsidR="00B55413">
        <w:rPr>
          <w:lang w:val="es-ES_tradnl"/>
        </w:rPr>
        <w:t>la planta</w:t>
      </w:r>
      <w:r w:rsidR="00A86360">
        <w:rPr>
          <w:lang w:val="es-ES_tradnl"/>
        </w:rPr>
        <w:t xml:space="preserve">, por lo que </w:t>
      </w:r>
      <w:r w:rsidR="006A4410">
        <w:rPr>
          <w:lang w:val="es-ES_tradnl"/>
        </w:rPr>
        <w:t>el consultor</w:t>
      </w:r>
      <w:r w:rsidR="003A46A1" w:rsidRPr="00B25E57">
        <w:rPr>
          <w:lang w:val="es-ES_tradnl"/>
        </w:rPr>
        <w:t xml:space="preserve"> independiente </w:t>
      </w:r>
      <w:r w:rsidR="00C37A29">
        <w:rPr>
          <w:lang w:val="es-ES_tradnl"/>
        </w:rPr>
        <w:t xml:space="preserve">estimó </w:t>
      </w:r>
      <w:r w:rsidR="00FA4FBD" w:rsidRPr="00FA4FBD">
        <w:rPr>
          <w:lang w:val="es-ES_tradnl"/>
        </w:rPr>
        <w:t xml:space="preserve">más </w:t>
      </w:r>
      <w:r w:rsidR="005B5577">
        <w:rPr>
          <w:lang w:val="es-ES_tradnl"/>
        </w:rPr>
        <w:t>objetivo</w:t>
      </w:r>
      <w:r w:rsidR="00FA4FBD" w:rsidRPr="00FA4FBD">
        <w:rPr>
          <w:lang w:val="es-ES_tradnl"/>
        </w:rPr>
        <w:t xml:space="preserve"> </w:t>
      </w:r>
      <w:r w:rsidR="00926478">
        <w:rPr>
          <w:lang w:val="es-ES_tradnl"/>
        </w:rPr>
        <w:t xml:space="preserve">usar </w:t>
      </w:r>
      <w:r w:rsidR="00C37A29">
        <w:rPr>
          <w:lang w:val="es-ES_tradnl"/>
        </w:rPr>
        <w:t>el método</w:t>
      </w:r>
      <w:r w:rsidR="00814391">
        <w:rPr>
          <w:lang w:val="es-ES_tradnl"/>
        </w:rPr>
        <w:t xml:space="preserve"> </w:t>
      </w:r>
      <w:r w:rsidR="00C37A29">
        <w:rPr>
          <w:lang w:val="es-ES_tradnl"/>
        </w:rPr>
        <w:t>de</w:t>
      </w:r>
      <w:r w:rsidR="00ED5822">
        <w:rPr>
          <w:lang w:val="es-ES_tradnl"/>
        </w:rPr>
        <w:t>l</w:t>
      </w:r>
      <w:r w:rsidR="00C37A29">
        <w:rPr>
          <w:lang w:val="es-ES_tradnl"/>
        </w:rPr>
        <w:t xml:space="preserve"> </w:t>
      </w:r>
      <w:r w:rsidR="00102137">
        <w:rPr>
          <w:lang w:val="es-ES_tradnl"/>
        </w:rPr>
        <w:t>promedio ponderado del costo de capital</w:t>
      </w:r>
      <w:r w:rsidR="000C5F47" w:rsidRPr="00B25E57">
        <w:rPr>
          <w:lang w:val="es-ES_tradnl"/>
        </w:rPr>
        <w:t>,</w:t>
      </w:r>
      <w:r w:rsidR="003A46A1" w:rsidRPr="00B25E57">
        <w:rPr>
          <w:lang w:val="es-ES_tradnl"/>
        </w:rPr>
        <w:t xml:space="preserve"> </w:t>
      </w:r>
      <w:r w:rsidR="008C7FBD">
        <w:rPr>
          <w:lang w:val="es-ES_tradnl"/>
        </w:rPr>
        <w:t xml:space="preserve">lo que arrojó una </w:t>
      </w:r>
      <w:r w:rsidR="00635681">
        <w:rPr>
          <w:lang w:val="es-ES_tradnl"/>
        </w:rPr>
        <w:t>tasa de descuento</w:t>
      </w:r>
      <w:r w:rsidR="003A46A1" w:rsidRPr="00B25E57">
        <w:rPr>
          <w:lang w:val="es-ES_tradnl"/>
        </w:rPr>
        <w:t xml:space="preserve"> </w:t>
      </w:r>
      <w:r w:rsidR="00FB38C2" w:rsidRPr="00B25E57">
        <w:rPr>
          <w:lang w:val="es-ES_tradnl"/>
        </w:rPr>
        <w:t>de</w:t>
      </w:r>
      <w:r w:rsidR="008C7FBD">
        <w:rPr>
          <w:lang w:val="es-ES_tradnl"/>
        </w:rPr>
        <w:t>l</w:t>
      </w:r>
      <w:r w:rsidR="003A46A1" w:rsidRPr="00B25E57">
        <w:rPr>
          <w:lang w:val="es-ES_tradnl"/>
        </w:rPr>
        <w:t xml:space="preserve"> </w:t>
      </w:r>
      <w:r w:rsidR="000C5F47" w:rsidRPr="00B25E57">
        <w:rPr>
          <w:lang w:val="es-ES_tradnl"/>
        </w:rPr>
        <w:t>17</w:t>
      </w:r>
      <w:r w:rsidR="00E22238" w:rsidRPr="00B25E57">
        <w:rPr>
          <w:lang w:val="es-ES_tradnl"/>
        </w:rPr>
        <w:t>,7%</w:t>
      </w:r>
      <w:r w:rsidR="000C5F47" w:rsidRPr="00B25E57">
        <w:rPr>
          <w:lang w:val="es-ES_tradnl"/>
        </w:rPr>
        <w:t>.</w:t>
      </w:r>
    </w:p>
    <w:p w14:paraId="0F24F65F" w14:textId="5902231A" w:rsidR="00D47CE2" w:rsidRPr="00B25E57" w:rsidRDefault="0065677A" w:rsidP="00D47CE2">
      <w:pPr>
        <w:pStyle w:val="Heading1"/>
        <w:rPr>
          <w:lang w:val="es-ES_tradnl" w:eastAsia="zh-CN"/>
        </w:rPr>
      </w:pPr>
      <w:r>
        <w:rPr>
          <w:lang w:val="es-ES_tradnl" w:eastAsia="zh-CN"/>
        </w:rPr>
        <w:t xml:space="preserve">Para </w:t>
      </w:r>
      <w:r w:rsidR="0040762F">
        <w:rPr>
          <w:lang w:val="es-ES_tradnl" w:eastAsia="zh-CN"/>
        </w:rPr>
        <w:t>determinar</w:t>
      </w:r>
      <w:r w:rsidR="003A46A1" w:rsidRPr="00B25E57">
        <w:rPr>
          <w:lang w:val="es-ES_tradnl" w:eastAsia="zh-CN"/>
        </w:rPr>
        <w:t xml:space="preserve"> </w:t>
      </w:r>
      <w:r w:rsidR="00B20B05">
        <w:rPr>
          <w:lang w:val="es-ES_tradnl" w:eastAsia="zh-CN"/>
        </w:rPr>
        <w:t xml:space="preserve">la </w:t>
      </w:r>
      <w:r w:rsidR="00473541">
        <w:rPr>
          <w:lang w:val="es-ES_tradnl" w:eastAsia="zh-CN"/>
        </w:rPr>
        <w:t>compensación</w:t>
      </w:r>
      <w:r w:rsidR="003A46A1" w:rsidRPr="00B25E57">
        <w:rPr>
          <w:lang w:val="es-ES_tradnl" w:eastAsia="zh-CN"/>
        </w:rPr>
        <w:t xml:space="preserve"> </w:t>
      </w:r>
      <w:r>
        <w:rPr>
          <w:lang w:val="es-ES_tradnl" w:eastAsia="zh-CN"/>
        </w:rPr>
        <w:t xml:space="preserve">por </w:t>
      </w:r>
      <w:r w:rsidR="004512EA" w:rsidRPr="00B25E57">
        <w:rPr>
          <w:lang w:val="es-ES_tradnl" w:eastAsia="zh-CN"/>
        </w:rPr>
        <w:t>cierre</w:t>
      </w:r>
      <w:r w:rsidR="00D47CE2" w:rsidRPr="00B25E57">
        <w:rPr>
          <w:lang w:val="es-ES_tradnl" w:eastAsia="zh-CN"/>
        </w:rPr>
        <w:t>,</w:t>
      </w:r>
      <w:r w:rsidR="003A46A1" w:rsidRPr="00B25E57">
        <w:rPr>
          <w:lang w:val="es-ES_tradnl" w:eastAsia="zh-CN"/>
        </w:rPr>
        <w:t xml:space="preserve"> </w:t>
      </w:r>
      <w:r w:rsidR="006A4410">
        <w:rPr>
          <w:lang w:val="es-ES_tradnl" w:eastAsia="zh-CN"/>
        </w:rPr>
        <w:t>el consultor</w:t>
      </w:r>
      <w:r w:rsidR="003A46A1" w:rsidRPr="00B25E57">
        <w:rPr>
          <w:lang w:val="es-ES_tradnl" w:eastAsia="zh-CN"/>
        </w:rPr>
        <w:t xml:space="preserve"> independiente </w:t>
      </w:r>
      <w:r w:rsidR="00876A28">
        <w:rPr>
          <w:lang w:val="es-ES_tradnl" w:eastAsia="zh-CN"/>
        </w:rPr>
        <w:t xml:space="preserve">utilizó la </w:t>
      </w:r>
      <w:r w:rsidR="004512EA" w:rsidRPr="00B25E57">
        <w:rPr>
          <w:lang w:val="es-ES_tradnl" w:eastAsia="zh-CN"/>
        </w:rPr>
        <w:t>metodología</w:t>
      </w:r>
      <w:r w:rsidR="003A46A1" w:rsidRPr="00B25E57">
        <w:rPr>
          <w:lang w:val="es-ES_tradnl" w:eastAsia="zh-CN"/>
        </w:rPr>
        <w:t xml:space="preserve"> </w:t>
      </w:r>
      <w:r w:rsidR="00AC6408" w:rsidRPr="00AC6408">
        <w:rPr>
          <w:lang w:val="es-ES_tradnl" w:eastAsia="zh-CN"/>
        </w:rPr>
        <w:t xml:space="preserve">habitual </w:t>
      </w:r>
      <w:r w:rsidR="001E5B6C">
        <w:rPr>
          <w:lang w:val="es-ES_tradnl" w:eastAsia="zh-CN"/>
        </w:rPr>
        <w:t xml:space="preserve">que se ha usado </w:t>
      </w:r>
      <w:r w:rsidR="004241C5" w:rsidRPr="00B25E57">
        <w:rPr>
          <w:lang w:val="es-ES_tradnl" w:eastAsia="zh-CN"/>
        </w:rPr>
        <w:t>en</w:t>
      </w:r>
      <w:r w:rsidR="003A46A1" w:rsidRPr="00B25E57">
        <w:rPr>
          <w:lang w:val="es-ES_tradnl" w:eastAsia="zh-CN"/>
        </w:rPr>
        <w:t xml:space="preserve"> </w:t>
      </w:r>
      <w:r w:rsidR="00A4343B" w:rsidRPr="00B25E57">
        <w:rPr>
          <w:lang w:val="es-ES_tradnl" w:eastAsia="zh-CN"/>
        </w:rPr>
        <w:t>otros</w:t>
      </w:r>
      <w:r w:rsidR="003A46A1" w:rsidRPr="00B25E57">
        <w:rPr>
          <w:lang w:val="es-ES_tradnl" w:eastAsia="zh-CN"/>
        </w:rPr>
        <w:t xml:space="preserve"> </w:t>
      </w:r>
      <w:r w:rsidR="007B22B4" w:rsidRPr="00B25E57">
        <w:rPr>
          <w:lang w:val="es-ES_tradnl" w:eastAsia="zh-CN"/>
        </w:rPr>
        <w:t>países</w:t>
      </w:r>
      <w:r w:rsidR="00D47CE2" w:rsidRPr="00B25E57">
        <w:rPr>
          <w:lang w:val="es-ES_tradnl" w:eastAsia="zh-CN"/>
        </w:rPr>
        <w:t>:</w:t>
      </w:r>
      <w:r w:rsidR="003A46A1" w:rsidRPr="00B25E57">
        <w:rPr>
          <w:lang w:val="es-ES_tradnl" w:eastAsia="zh-CN"/>
        </w:rPr>
        <w:t xml:space="preserve"> </w:t>
      </w:r>
      <w:r w:rsidR="00C32A08">
        <w:rPr>
          <w:lang w:val="es-ES_tradnl" w:eastAsia="zh-CN"/>
        </w:rPr>
        <w:t xml:space="preserve">la </w:t>
      </w:r>
      <w:r w:rsidR="00473541">
        <w:rPr>
          <w:lang w:val="es-ES_tradnl" w:eastAsia="zh-CN"/>
        </w:rPr>
        <w:t>compensación</w:t>
      </w:r>
      <w:r w:rsidR="003A46A1" w:rsidRPr="00B25E57">
        <w:rPr>
          <w:lang w:val="es-ES_tradnl" w:eastAsia="zh-CN"/>
        </w:rPr>
        <w:t xml:space="preserve"> </w:t>
      </w:r>
      <w:r w:rsidR="00B37E63">
        <w:rPr>
          <w:lang w:val="es-ES_tradnl" w:eastAsia="zh-CN"/>
        </w:rPr>
        <w:t xml:space="preserve">es a los </w:t>
      </w:r>
      <w:r w:rsidR="00F428E6">
        <w:rPr>
          <w:lang w:val="es-ES_tradnl" w:eastAsia="zh-CN"/>
        </w:rPr>
        <w:t>trabajadores</w:t>
      </w:r>
      <w:r w:rsidR="00D47CE2" w:rsidRPr="00B25E57">
        <w:rPr>
          <w:lang w:val="es-ES_tradnl" w:eastAsia="zh-CN"/>
        </w:rPr>
        <w:t>,</w:t>
      </w:r>
      <w:r w:rsidR="003A46A1" w:rsidRPr="00B25E57">
        <w:rPr>
          <w:lang w:val="es-ES_tradnl" w:eastAsia="zh-CN"/>
        </w:rPr>
        <w:t xml:space="preserve"> </w:t>
      </w:r>
      <w:r w:rsidR="0004285D">
        <w:rPr>
          <w:lang w:val="es-ES_tradnl" w:eastAsia="zh-CN"/>
        </w:rPr>
        <w:t>con arreglo a la normativa</w:t>
      </w:r>
      <w:r w:rsidR="003A46A1" w:rsidRPr="00B25E57">
        <w:rPr>
          <w:lang w:val="es-ES_tradnl" w:eastAsia="zh-CN"/>
        </w:rPr>
        <w:t xml:space="preserve"> </w:t>
      </w:r>
      <w:r w:rsidR="004057BA" w:rsidRPr="00B25E57">
        <w:rPr>
          <w:lang w:val="es-ES_tradnl" w:eastAsia="zh-CN"/>
        </w:rPr>
        <w:t>legal</w:t>
      </w:r>
      <w:r w:rsidR="003A46A1" w:rsidRPr="00B25E57">
        <w:rPr>
          <w:lang w:val="es-ES_tradnl" w:eastAsia="zh-CN"/>
        </w:rPr>
        <w:t xml:space="preserve"> </w:t>
      </w:r>
      <w:r w:rsidR="004057BA" w:rsidRPr="00B25E57">
        <w:rPr>
          <w:lang w:val="es-ES_tradnl" w:eastAsia="zh-CN"/>
        </w:rPr>
        <w:t>y</w:t>
      </w:r>
      <w:r w:rsidR="003A46A1" w:rsidRPr="00B25E57">
        <w:rPr>
          <w:lang w:val="es-ES_tradnl" w:eastAsia="zh-CN"/>
        </w:rPr>
        <w:t xml:space="preserve"> </w:t>
      </w:r>
      <w:r w:rsidR="004057BA" w:rsidRPr="00B25E57">
        <w:rPr>
          <w:lang w:val="es-ES_tradnl" w:eastAsia="zh-CN"/>
        </w:rPr>
        <w:t>reglamentaria</w:t>
      </w:r>
      <w:r w:rsidR="003A46A1" w:rsidRPr="00B25E57">
        <w:rPr>
          <w:lang w:val="es-ES_tradnl" w:eastAsia="zh-CN"/>
        </w:rPr>
        <w:t xml:space="preserve"> </w:t>
      </w:r>
      <w:r w:rsidR="0004285D">
        <w:rPr>
          <w:lang w:val="es-ES_tradnl" w:eastAsia="zh-CN"/>
        </w:rPr>
        <w:t xml:space="preserve">del </w:t>
      </w:r>
      <w:r w:rsidR="007B22B4" w:rsidRPr="00B25E57">
        <w:rPr>
          <w:lang w:val="es-ES_tradnl" w:eastAsia="zh-CN"/>
        </w:rPr>
        <w:t>país</w:t>
      </w:r>
      <w:r w:rsidR="00450FC3">
        <w:rPr>
          <w:lang w:val="es-ES_tradnl" w:eastAsia="zh-CN"/>
        </w:rPr>
        <w:t xml:space="preserve">; </w:t>
      </w:r>
      <w:r w:rsidR="00CC60EA">
        <w:rPr>
          <w:lang w:val="es-ES_tradnl" w:eastAsia="zh-CN"/>
        </w:rPr>
        <w:t>el VAN</w:t>
      </w:r>
      <w:r w:rsidR="003A46A1" w:rsidRPr="00B25E57">
        <w:rPr>
          <w:lang w:val="es-ES_tradnl" w:eastAsia="zh-CN"/>
        </w:rPr>
        <w:t xml:space="preserve"> </w:t>
      </w:r>
      <w:r w:rsidR="00FB38C2" w:rsidRPr="00B25E57">
        <w:rPr>
          <w:lang w:val="es-ES_tradnl" w:eastAsia="zh-CN"/>
        </w:rPr>
        <w:t>de</w:t>
      </w:r>
      <w:r w:rsidR="00C15DF9">
        <w:rPr>
          <w:lang w:val="es-ES_tradnl" w:eastAsia="zh-CN"/>
        </w:rPr>
        <w:t>l</w:t>
      </w:r>
      <w:r w:rsidR="003A46A1" w:rsidRPr="00B25E57">
        <w:rPr>
          <w:lang w:val="es-ES_tradnl" w:eastAsia="zh-CN"/>
        </w:rPr>
        <w:t xml:space="preserve"> </w:t>
      </w:r>
      <w:r w:rsidR="00C15DF9">
        <w:rPr>
          <w:lang w:val="es-ES_tradnl" w:eastAsia="zh-CN"/>
        </w:rPr>
        <w:t>futuro</w:t>
      </w:r>
      <w:r w:rsidR="003A46A1" w:rsidRPr="00B25E57">
        <w:rPr>
          <w:lang w:val="es-ES_tradnl" w:eastAsia="zh-CN"/>
        </w:rPr>
        <w:t xml:space="preserve"> </w:t>
      </w:r>
      <w:r w:rsidR="008B024B">
        <w:rPr>
          <w:lang w:val="es-ES_tradnl" w:eastAsia="zh-CN"/>
        </w:rPr>
        <w:t>lucro cesante</w:t>
      </w:r>
      <w:r w:rsidR="003A46A1" w:rsidRPr="00B25E57">
        <w:rPr>
          <w:lang w:val="es-ES_tradnl" w:eastAsia="zh-CN"/>
        </w:rPr>
        <w:t xml:space="preserve"> </w:t>
      </w:r>
      <w:r w:rsidR="00450FC3">
        <w:rPr>
          <w:lang w:val="es-ES_tradnl" w:eastAsia="zh-CN"/>
        </w:rPr>
        <w:t xml:space="preserve">se basa </w:t>
      </w:r>
      <w:r w:rsidR="00F70F23">
        <w:rPr>
          <w:lang w:val="es-ES_tradnl" w:eastAsia="zh-CN"/>
        </w:rPr>
        <w:t xml:space="preserve">en </w:t>
      </w:r>
      <w:r w:rsidR="00B25E57">
        <w:rPr>
          <w:lang w:val="es-ES_tradnl" w:eastAsia="zh-CN"/>
        </w:rPr>
        <w:t xml:space="preserve">el </w:t>
      </w:r>
      <w:r w:rsidR="000408F3">
        <w:rPr>
          <w:lang w:val="es-ES_tradnl" w:eastAsia="zh-CN"/>
        </w:rPr>
        <w:t>margen de costo</w:t>
      </w:r>
      <w:r w:rsidR="00CA561F">
        <w:rPr>
          <w:lang w:val="es-ES_tradnl" w:eastAsia="zh-CN"/>
        </w:rPr>
        <w:t>s</w:t>
      </w:r>
      <w:r w:rsidR="000408F3">
        <w:rPr>
          <w:lang w:val="es-ES_tradnl" w:eastAsia="zh-CN"/>
        </w:rPr>
        <w:t xml:space="preserve"> de producción</w:t>
      </w:r>
      <w:r w:rsidR="003A46A1" w:rsidRPr="00B25E57">
        <w:rPr>
          <w:lang w:val="es-ES_tradnl" w:eastAsia="zh-CN"/>
        </w:rPr>
        <w:t xml:space="preserve"> </w:t>
      </w:r>
      <w:r w:rsidR="00936233" w:rsidRPr="00936233">
        <w:rPr>
          <w:lang w:val="es-ES_tradnl" w:eastAsia="zh-CN"/>
        </w:rPr>
        <w:t xml:space="preserve">promedio </w:t>
      </w:r>
      <w:r w:rsidR="00CF1B3C">
        <w:rPr>
          <w:lang w:val="es-ES_tradnl" w:eastAsia="zh-CN"/>
        </w:rPr>
        <w:t xml:space="preserve">para </w:t>
      </w:r>
      <w:r w:rsidR="0027037E">
        <w:rPr>
          <w:lang w:val="es-ES_tradnl" w:eastAsia="zh-CN"/>
        </w:rPr>
        <w:t>los tres</w:t>
      </w:r>
      <w:r w:rsidR="003A46A1" w:rsidRPr="00B25E57">
        <w:rPr>
          <w:lang w:val="es-ES_tradnl" w:eastAsia="zh-CN"/>
        </w:rPr>
        <w:t xml:space="preserve"> </w:t>
      </w:r>
      <w:r w:rsidR="008A3316" w:rsidRPr="00B25E57">
        <w:rPr>
          <w:lang w:val="es-ES_tradnl" w:eastAsia="zh-CN"/>
        </w:rPr>
        <w:t>años</w:t>
      </w:r>
      <w:r w:rsidR="003A46A1" w:rsidRPr="00B25E57">
        <w:rPr>
          <w:lang w:val="es-ES_tradnl" w:eastAsia="zh-CN"/>
        </w:rPr>
        <w:t xml:space="preserve"> </w:t>
      </w:r>
      <w:r w:rsidR="00315F57">
        <w:rPr>
          <w:lang w:val="es-ES_tradnl" w:eastAsia="zh-CN"/>
        </w:rPr>
        <w:t>anteriores al</w:t>
      </w:r>
      <w:r w:rsidR="003A46A1" w:rsidRPr="00B25E57">
        <w:rPr>
          <w:lang w:val="es-ES_tradnl" w:eastAsia="zh-CN"/>
        </w:rPr>
        <w:t xml:space="preserve"> </w:t>
      </w:r>
      <w:r w:rsidR="004512EA" w:rsidRPr="00B25E57">
        <w:rPr>
          <w:lang w:val="es-ES_tradnl" w:eastAsia="zh-CN"/>
        </w:rPr>
        <w:t>proyecto</w:t>
      </w:r>
      <w:r w:rsidR="003A46A1" w:rsidRPr="00B25E57">
        <w:rPr>
          <w:lang w:val="es-ES_tradnl" w:eastAsia="zh-CN"/>
        </w:rPr>
        <w:t xml:space="preserve"> </w:t>
      </w:r>
      <w:r w:rsidR="00FB38C2" w:rsidRPr="00B25E57">
        <w:rPr>
          <w:lang w:val="es-ES_tradnl" w:eastAsia="zh-CN"/>
        </w:rPr>
        <w:t>y</w:t>
      </w:r>
      <w:r w:rsidR="003A46A1" w:rsidRPr="00B25E57">
        <w:rPr>
          <w:lang w:val="es-ES_tradnl" w:eastAsia="zh-CN"/>
        </w:rPr>
        <w:t xml:space="preserve"> </w:t>
      </w:r>
      <w:r w:rsidR="00C24A97">
        <w:rPr>
          <w:lang w:val="es-ES_tradnl" w:eastAsia="zh-CN"/>
        </w:rPr>
        <w:t xml:space="preserve">en </w:t>
      </w:r>
      <w:r w:rsidR="000F3A94">
        <w:rPr>
          <w:lang w:val="es-ES_tradnl" w:eastAsia="zh-CN"/>
        </w:rPr>
        <w:t xml:space="preserve">la </w:t>
      </w:r>
      <w:r w:rsidR="004241C5" w:rsidRPr="00B25E57">
        <w:rPr>
          <w:lang w:val="es-ES_tradnl" w:eastAsia="zh-CN"/>
        </w:rPr>
        <w:t>producción</w:t>
      </w:r>
      <w:r w:rsidR="000F3A94" w:rsidRPr="00216433">
        <w:rPr>
          <w:lang w:val="es-ES"/>
        </w:rPr>
        <w:t xml:space="preserve"> </w:t>
      </w:r>
      <w:r w:rsidR="000F3A94">
        <w:rPr>
          <w:lang w:val="es-ES_tradnl" w:eastAsia="zh-CN"/>
        </w:rPr>
        <w:t>futura proyectada</w:t>
      </w:r>
      <w:r w:rsidR="00D47CE2" w:rsidRPr="00B25E57">
        <w:rPr>
          <w:lang w:val="es-ES_tradnl" w:eastAsia="zh-CN"/>
        </w:rPr>
        <w:t>.</w:t>
      </w:r>
    </w:p>
    <w:p w14:paraId="180C4500" w14:textId="40383672" w:rsidR="00680480" w:rsidRPr="00B25E57" w:rsidRDefault="003A46A1" w:rsidP="00663A04">
      <w:pPr>
        <w:pStyle w:val="Heading1"/>
        <w:keepNext/>
        <w:numPr>
          <w:ilvl w:val="0"/>
          <w:numId w:val="0"/>
        </w:numPr>
        <w:rPr>
          <w:i/>
          <w:lang w:val="es-ES_tradnl"/>
        </w:rPr>
      </w:pPr>
      <w:r w:rsidRPr="00B25E57">
        <w:rPr>
          <w:i/>
          <w:lang w:val="es-ES_tradnl"/>
        </w:rPr>
        <w:t>Conclusiones</w:t>
      </w:r>
    </w:p>
    <w:p w14:paraId="29BFC41A" w14:textId="70015D6E" w:rsidR="0057191D" w:rsidRPr="00B25E57" w:rsidRDefault="008C7F0C" w:rsidP="00C94735">
      <w:pPr>
        <w:pStyle w:val="Heading1"/>
        <w:spacing w:before="120"/>
        <w:rPr>
          <w:lang w:val="es-ES_tradnl"/>
        </w:rPr>
      </w:pPr>
      <w:r>
        <w:rPr>
          <w:lang w:val="es-ES_tradnl" w:eastAsia="zh-CN"/>
        </w:rPr>
        <w:t>La planta de HCFC-22 de FIASA</w:t>
      </w:r>
      <w:r w:rsidR="003A46A1" w:rsidRPr="00B25E57">
        <w:rPr>
          <w:lang w:val="es-ES_tradnl" w:eastAsia="zh-CN"/>
        </w:rPr>
        <w:t xml:space="preserve"> </w:t>
      </w:r>
      <w:r w:rsidR="0072782C">
        <w:rPr>
          <w:lang w:val="es-ES_tradnl" w:eastAsia="zh-CN"/>
        </w:rPr>
        <w:t>es anticuada</w:t>
      </w:r>
      <w:r w:rsidR="00D331C9" w:rsidRPr="00B25E57">
        <w:rPr>
          <w:lang w:val="es-ES_tradnl" w:eastAsia="zh-CN"/>
        </w:rPr>
        <w:t>,</w:t>
      </w:r>
      <w:r w:rsidR="003A46A1" w:rsidRPr="00B25E57">
        <w:rPr>
          <w:lang w:val="es-ES_tradnl" w:eastAsia="zh-CN"/>
        </w:rPr>
        <w:t xml:space="preserve"> </w:t>
      </w:r>
      <w:r w:rsidR="00F80EB2">
        <w:rPr>
          <w:lang w:val="es-ES_tradnl" w:eastAsia="zh-CN"/>
        </w:rPr>
        <w:t>está</w:t>
      </w:r>
      <w:r w:rsidR="00901C2E">
        <w:rPr>
          <w:lang w:val="es-ES_tradnl" w:eastAsia="zh-CN"/>
        </w:rPr>
        <w:t xml:space="preserve"> </w:t>
      </w:r>
      <w:r w:rsidR="00901C2E" w:rsidRPr="00901C2E">
        <w:rPr>
          <w:lang w:val="es-ES_tradnl" w:eastAsia="zh-CN"/>
        </w:rPr>
        <w:t xml:space="preserve">totalmente </w:t>
      </w:r>
      <w:r w:rsidR="00901C2E">
        <w:rPr>
          <w:lang w:val="es-ES_tradnl" w:eastAsia="zh-CN"/>
        </w:rPr>
        <w:t xml:space="preserve">depreciada </w:t>
      </w:r>
      <w:r w:rsidR="00F33C58" w:rsidRPr="00B25E57">
        <w:rPr>
          <w:lang w:val="es-ES_tradnl" w:eastAsia="zh-CN"/>
        </w:rPr>
        <w:t>y</w:t>
      </w:r>
      <w:r w:rsidR="003A46A1" w:rsidRPr="00B25E57">
        <w:rPr>
          <w:lang w:val="es-ES_tradnl" w:eastAsia="zh-CN"/>
        </w:rPr>
        <w:t xml:space="preserve"> </w:t>
      </w:r>
      <w:r w:rsidR="000D4461">
        <w:rPr>
          <w:lang w:val="es-ES_tradnl" w:eastAsia="zh-CN"/>
        </w:rPr>
        <w:t xml:space="preserve">tiene baja </w:t>
      </w:r>
      <w:r w:rsidR="00A52AB3">
        <w:rPr>
          <w:lang w:val="es-ES_tradnl" w:eastAsia="zh-CN"/>
        </w:rPr>
        <w:t>capacidad de producción</w:t>
      </w:r>
      <w:r w:rsidR="003A46A1" w:rsidRPr="00B25E57">
        <w:rPr>
          <w:lang w:val="es-ES_tradnl" w:eastAsia="zh-CN"/>
        </w:rPr>
        <w:t xml:space="preserve"> </w:t>
      </w:r>
      <w:r w:rsidR="00292198">
        <w:rPr>
          <w:lang w:val="es-ES_tradnl" w:eastAsia="zh-CN"/>
        </w:rPr>
        <w:t>para</w:t>
      </w:r>
      <w:r w:rsidR="00B60E46">
        <w:rPr>
          <w:lang w:val="es-ES_tradnl" w:eastAsia="zh-CN"/>
        </w:rPr>
        <w:t xml:space="preserve"> </w:t>
      </w:r>
      <w:r w:rsidR="00587DE5">
        <w:rPr>
          <w:lang w:val="es-ES_tradnl" w:eastAsia="zh-CN"/>
        </w:rPr>
        <w:t xml:space="preserve">la norma </w:t>
      </w:r>
      <w:r w:rsidR="00F938A0">
        <w:rPr>
          <w:lang w:val="es-ES_tradnl" w:eastAsia="zh-CN"/>
        </w:rPr>
        <w:t>internacional</w:t>
      </w:r>
      <w:r w:rsidR="00D331C9" w:rsidRPr="00B25E57">
        <w:rPr>
          <w:lang w:val="es-ES_tradnl" w:eastAsia="zh-CN"/>
        </w:rPr>
        <w:t>.</w:t>
      </w:r>
      <w:r w:rsidR="003A46A1" w:rsidRPr="00B25E57">
        <w:rPr>
          <w:lang w:val="es-ES_tradnl" w:eastAsia="zh-CN"/>
        </w:rPr>
        <w:t xml:space="preserve"> </w:t>
      </w:r>
      <w:r w:rsidR="00113969">
        <w:rPr>
          <w:lang w:val="es-ES_tradnl" w:eastAsia="zh-CN"/>
        </w:rPr>
        <w:t xml:space="preserve">En </w:t>
      </w:r>
      <w:r w:rsidR="00113969" w:rsidRPr="00113969">
        <w:rPr>
          <w:lang w:val="es-ES_tradnl" w:eastAsia="zh-CN"/>
        </w:rPr>
        <w:t>2016-2018</w:t>
      </w:r>
      <w:r w:rsidR="00113969">
        <w:rPr>
          <w:lang w:val="es-ES_tradnl" w:eastAsia="zh-CN"/>
        </w:rPr>
        <w:t xml:space="preserve">, </w:t>
      </w:r>
      <w:r w:rsidR="003C6573">
        <w:rPr>
          <w:lang w:val="es-ES_tradnl" w:eastAsia="zh-CN"/>
        </w:rPr>
        <w:t>el</w:t>
      </w:r>
      <w:r w:rsidR="003A46A1" w:rsidRPr="00B25E57">
        <w:rPr>
          <w:lang w:val="es-ES_tradnl" w:eastAsia="zh-CN"/>
        </w:rPr>
        <w:t xml:space="preserve"> </w:t>
      </w:r>
      <w:r w:rsidR="00113969">
        <w:rPr>
          <w:lang w:val="es-ES_tradnl" w:eastAsia="zh-CN"/>
        </w:rPr>
        <w:t>costo promedio de producción</w:t>
      </w:r>
      <w:r w:rsidR="003A46A1" w:rsidRPr="00B25E57">
        <w:rPr>
          <w:lang w:val="es-ES_tradnl" w:eastAsia="zh-CN"/>
        </w:rPr>
        <w:t xml:space="preserve"> </w:t>
      </w:r>
      <w:r w:rsidR="002D6567" w:rsidRPr="00B25E57">
        <w:rPr>
          <w:lang w:val="es-ES_tradnl" w:eastAsia="zh-CN"/>
        </w:rPr>
        <w:t>(</w:t>
      </w:r>
      <w:r w:rsidR="00113969">
        <w:rPr>
          <w:lang w:val="es-ES_tradnl" w:eastAsia="zh-CN"/>
        </w:rPr>
        <w:t xml:space="preserve">el </w:t>
      </w:r>
      <w:r w:rsidR="007B22B4" w:rsidRPr="00B25E57">
        <w:rPr>
          <w:lang w:val="es-ES_tradnl" w:eastAsia="zh-CN"/>
        </w:rPr>
        <w:t>costo</w:t>
      </w:r>
      <w:r w:rsidR="003A46A1" w:rsidRPr="00B25E57">
        <w:rPr>
          <w:lang w:val="es-ES_tradnl" w:eastAsia="zh-CN"/>
        </w:rPr>
        <w:t xml:space="preserve"> </w:t>
      </w:r>
      <w:r w:rsidR="00113969">
        <w:rPr>
          <w:lang w:val="es-ES_tradnl" w:eastAsia="zh-CN"/>
        </w:rPr>
        <w:t xml:space="preserve">para </w:t>
      </w:r>
      <w:r w:rsidR="0092509D" w:rsidRPr="00B25E57">
        <w:rPr>
          <w:lang w:val="es-ES_tradnl" w:eastAsia="zh-CN"/>
        </w:rPr>
        <w:t>FIASA</w:t>
      </w:r>
      <w:r w:rsidR="003A46A1" w:rsidRPr="00B25E57">
        <w:rPr>
          <w:lang w:val="es-ES_tradnl" w:eastAsia="zh-CN"/>
        </w:rPr>
        <w:t xml:space="preserve"> </w:t>
      </w:r>
      <w:r w:rsidR="00113969">
        <w:rPr>
          <w:lang w:val="es-ES_tradnl" w:eastAsia="zh-CN"/>
        </w:rPr>
        <w:t>de producir</w:t>
      </w:r>
      <w:r w:rsidR="003A46A1" w:rsidRPr="00B25E57">
        <w:rPr>
          <w:lang w:val="es-ES_tradnl" w:eastAsia="zh-CN"/>
        </w:rPr>
        <w:t xml:space="preserve"> </w:t>
      </w:r>
      <w:r w:rsidR="002D6567" w:rsidRPr="00B25E57">
        <w:rPr>
          <w:lang w:val="es-ES_tradnl" w:eastAsia="zh-CN"/>
        </w:rPr>
        <w:t>1</w:t>
      </w:r>
      <w:r w:rsidR="003A46A1" w:rsidRPr="00B25E57">
        <w:rPr>
          <w:lang w:val="es-ES_tradnl" w:eastAsia="zh-CN"/>
        </w:rPr>
        <w:t xml:space="preserve"> </w:t>
      </w:r>
      <w:r w:rsidR="002D6567" w:rsidRPr="00B25E57">
        <w:rPr>
          <w:lang w:val="es-ES_tradnl" w:eastAsia="zh-CN"/>
        </w:rPr>
        <w:t>kg</w:t>
      </w:r>
      <w:r w:rsidR="003A46A1" w:rsidRPr="00B25E57">
        <w:rPr>
          <w:lang w:val="es-ES_tradnl" w:eastAsia="zh-CN"/>
        </w:rPr>
        <w:t xml:space="preserve"> </w:t>
      </w:r>
      <w:r w:rsidR="00FB38C2" w:rsidRPr="00B25E57">
        <w:rPr>
          <w:lang w:val="es-ES_tradnl" w:eastAsia="zh-CN"/>
        </w:rPr>
        <w:t>de</w:t>
      </w:r>
      <w:r w:rsidR="003A46A1" w:rsidRPr="00B25E57">
        <w:rPr>
          <w:lang w:val="es-ES_tradnl" w:eastAsia="zh-CN"/>
        </w:rPr>
        <w:t xml:space="preserve"> </w:t>
      </w:r>
      <w:r w:rsidR="002D6567" w:rsidRPr="00B25E57">
        <w:rPr>
          <w:lang w:val="es-ES_tradnl" w:eastAsia="zh-CN"/>
        </w:rPr>
        <w:t>HCFC</w:t>
      </w:r>
      <w:r w:rsidR="00FB38C2" w:rsidRPr="00B25E57">
        <w:rPr>
          <w:lang w:val="es-ES_tradnl" w:eastAsia="zh-CN"/>
        </w:rPr>
        <w:t>-</w:t>
      </w:r>
      <w:r w:rsidR="002D6567" w:rsidRPr="00B25E57">
        <w:rPr>
          <w:lang w:val="es-ES_tradnl" w:eastAsia="zh-CN"/>
        </w:rPr>
        <w:t>22)</w:t>
      </w:r>
      <w:r w:rsidR="003A46A1" w:rsidRPr="00B25E57">
        <w:rPr>
          <w:lang w:val="es-ES_tradnl" w:eastAsia="zh-CN"/>
        </w:rPr>
        <w:t xml:space="preserve"> </w:t>
      </w:r>
      <w:r w:rsidR="008642E9">
        <w:rPr>
          <w:lang w:val="es-ES_tradnl" w:eastAsia="zh-CN"/>
        </w:rPr>
        <w:t xml:space="preserve">era </w:t>
      </w:r>
      <w:r w:rsidR="006834ED">
        <w:rPr>
          <w:lang w:val="es-ES_tradnl" w:eastAsia="zh-CN"/>
        </w:rPr>
        <w:t xml:space="preserve">prácticamente </w:t>
      </w:r>
      <w:r w:rsidR="008642E9">
        <w:rPr>
          <w:lang w:val="es-ES_tradnl" w:eastAsia="zh-CN"/>
        </w:rPr>
        <w:t>el doble d</w:t>
      </w:r>
      <w:r w:rsidR="003E68E0">
        <w:rPr>
          <w:lang w:val="es-ES_tradnl" w:eastAsia="zh-CN"/>
        </w:rPr>
        <w:t xml:space="preserve">el </w:t>
      </w:r>
      <w:r w:rsidR="004512EA" w:rsidRPr="00B25E57">
        <w:rPr>
          <w:lang w:val="es-ES_tradnl" w:eastAsia="zh-CN"/>
        </w:rPr>
        <w:t>precio</w:t>
      </w:r>
      <w:r w:rsidR="003A46A1" w:rsidRPr="00B25E57">
        <w:rPr>
          <w:lang w:val="es-ES_tradnl" w:eastAsia="zh-CN"/>
        </w:rPr>
        <w:t xml:space="preserve"> </w:t>
      </w:r>
      <w:r w:rsidR="00EF7E57">
        <w:rPr>
          <w:lang w:val="es-ES_tradnl" w:eastAsia="zh-CN"/>
        </w:rPr>
        <w:t>internacional</w:t>
      </w:r>
      <w:r w:rsidR="00DD07B5" w:rsidRPr="00B25E57">
        <w:rPr>
          <w:lang w:val="es-ES_tradnl" w:eastAsia="zh-CN"/>
        </w:rPr>
        <w:t>;</w:t>
      </w:r>
      <w:r w:rsidR="003A46A1" w:rsidRPr="00B25E57">
        <w:rPr>
          <w:lang w:val="es-ES_tradnl" w:eastAsia="zh-CN"/>
        </w:rPr>
        <w:t xml:space="preserve"> </w:t>
      </w:r>
      <w:r w:rsidR="0090261D">
        <w:rPr>
          <w:lang w:val="es-ES_tradnl" w:eastAsia="zh-CN"/>
        </w:rPr>
        <w:t xml:space="preserve">la </w:t>
      </w:r>
      <w:r w:rsidR="004241C5" w:rsidRPr="00B25E57">
        <w:rPr>
          <w:lang w:val="es-ES_tradnl" w:eastAsia="zh-CN"/>
        </w:rPr>
        <w:t>producción</w:t>
      </w:r>
      <w:r w:rsidR="003A46A1" w:rsidRPr="00B25E57">
        <w:rPr>
          <w:lang w:val="es-ES_tradnl" w:eastAsia="zh-CN"/>
        </w:rPr>
        <w:t xml:space="preserve"> </w:t>
      </w:r>
      <w:r w:rsidR="009F7F9A">
        <w:rPr>
          <w:lang w:val="es-ES_tradnl" w:eastAsia="zh-CN"/>
        </w:rPr>
        <w:t>ha caído de</w:t>
      </w:r>
      <w:r w:rsidR="00E67785">
        <w:rPr>
          <w:lang w:val="es-ES_tradnl" w:eastAsia="zh-CN"/>
        </w:rPr>
        <w:t>sde</w:t>
      </w:r>
      <w:r w:rsidR="009F7F9A">
        <w:rPr>
          <w:lang w:val="es-ES_tradnl" w:eastAsia="zh-CN"/>
        </w:rPr>
        <w:t xml:space="preserve"> </w:t>
      </w:r>
      <w:r w:rsidR="00FB38C2" w:rsidRPr="00B25E57">
        <w:rPr>
          <w:lang w:val="es-ES_tradnl" w:eastAsia="zh-CN"/>
        </w:rPr>
        <w:t>1.</w:t>
      </w:r>
      <w:r w:rsidR="00D331C9" w:rsidRPr="00B25E57">
        <w:rPr>
          <w:lang w:val="es-ES_tradnl" w:eastAsia="zh-CN"/>
        </w:rPr>
        <w:t>823</w:t>
      </w:r>
      <w:r w:rsidR="003A46A1" w:rsidRPr="00B25E57">
        <w:rPr>
          <w:lang w:val="es-ES_tradnl" w:eastAsia="zh-CN"/>
        </w:rPr>
        <w:t xml:space="preserve"> </w:t>
      </w:r>
      <w:r w:rsidR="00FB38C2" w:rsidRPr="00B25E57">
        <w:rPr>
          <w:lang w:val="es-ES_tradnl" w:eastAsia="zh-CN"/>
        </w:rPr>
        <w:t>tm</w:t>
      </w:r>
      <w:r w:rsidR="003A46A1" w:rsidRPr="00B25E57">
        <w:rPr>
          <w:lang w:val="es-ES_tradnl" w:eastAsia="zh-CN"/>
        </w:rPr>
        <w:t xml:space="preserve"> </w:t>
      </w:r>
      <w:r w:rsidR="004241C5" w:rsidRPr="00B25E57">
        <w:rPr>
          <w:lang w:val="es-ES_tradnl" w:eastAsia="zh-CN"/>
        </w:rPr>
        <w:t>en</w:t>
      </w:r>
      <w:r w:rsidR="003A46A1" w:rsidRPr="00B25E57">
        <w:rPr>
          <w:lang w:val="es-ES_tradnl" w:eastAsia="zh-CN"/>
        </w:rPr>
        <w:t xml:space="preserve"> </w:t>
      </w:r>
      <w:r w:rsidR="003D6C2B" w:rsidRPr="00B25E57">
        <w:rPr>
          <w:lang w:val="es-ES_tradnl" w:eastAsia="zh-CN"/>
        </w:rPr>
        <w:t>2017</w:t>
      </w:r>
      <w:r w:rsidR="003A46A1" w:rsidRPr="00B25E57">
        <w:rPr>
          <w:lang w:val="es-ES_tradnl" w:eastAsia="zh-CN"/>
        </w:rPr>
        <w:t xml:space="preserve"> </w:t>
      </w:r>
      <w:r w:rsidR="00DF64AA">
        <w:rPr>
          <w:lang w:val="es-ES_tradnl" w:eastAsia="zh-CN"/>
        </w:rPr>
        <w:t>a</w:t>
      </w:r>
      <w:r w:rsidR="003A46A1" w:rsidRPr="00B25E57">
        <w:rPr>
          <w:lang w:val="es-ES_tradnl" w:eastAsia="zh-CN"/>
        </w:rPr>
        <w:t xml:space="preserve"> </w:t>
      </w:r>
      <w:r w:rsidR="00FB38C2" w:rsidRPr="00B25E57">
        <w:rPr>
          <w:lang w:val="es-ES_tradnl" w:eastAsia="zh-CN"/>
        </w:rPr>
        <w:t>1.</w:t>
      </w:r>
      <w:r w:rsidR="003D6C2B" w:rsidRPr="00B25E57">
        <w:rPr>
          <w:lang w:val="es-ES_tradnl" w:eastAsia="zh-CN"/>
        </w:rPr>
        <w:t>192</w:t>
      </w:r>
      <w:r w:rsidR="003A46A1" w:rsidRPr="00B25E57">
        <w:rPr>
          <w:lang w:val="es-ES_tradnl" w:eastAsia="zh-CN"/>
        </w:rPr>
        <w:t xml:space="preserve"> </w:t>
      </w:r>
      <w:r w:rsidR="00FB38C2" w:rsidRPr="00B25E57">
        <w:rPr>
          <w:lang w:val="es-ES_tradnl" w:eastAsia="zh-CN"/>
        </w:rPr>
        <w:t>tm</w:t>
      </w:r>
      <w:r w:rsidR="003A46A1" w:rsidRPr="00B25E57">
        <w:rPr>
          <w:lang w:val="es-ES_tradnl" w:eastAsia="zh-CN"/>
        </w:rPr>
        <w:t xml:space="preserve"> </w:t>
      </w:r>
      <w:r w:rsidR="004241C5" w:rsidRPr="00B25E57">
        <w:rPr>
          <w:lang w:val="es-ES_tradnl" w:eastAsia="zh-CN"/>
        </w:rPr>
        <w:t>en</w:t>
      </w:r>
      <w:r w:rsidR="003A46A1" w:rsidRPr="00B25E57">
        <w:rPr>
          <w:lang w:val="es-ES_tradnl" w:eastAsia="zh-CN"/>
        </w:rPr>
        <w:t xml:space="preserve"> </w:t>
      </w:r>
      <w:r w:rsidR="003D6C2B" w:rsidRPr="00B25E57">
        <w:rPr>
          <w:lang w:val="es-ES_tradnl" w:eastAsia="zh-CN"/>
        </w:rPr>
        <w:t>201</w:t>
      </w:r>
      <w:r w:rsidR="003304FB">
        <w:rPr>
          <w:lang w:val="es-ES_tradnl" w:eastAsia="zh-CN"/>
        </w:rPr>
        <w:t>8</w:t>
      </w:r>
      <w:r w:rsidR="001A34A2">
        <w:rPr>
          <w:lang w:val="es-ES_tradnl" w:eastAsia="zh-CN"/>
        </w:rPr>
        <w:t xml:space="preserve">, tendencia que </w:t>
      </w:r>
      <w:r w:rsidR="00A5773B">
        <w:rPr>
          <w:lang w:val="es-ES_tradnl" w:eastAsia="zh-CN"/>
        </w:rPr>
        <w:t xml:space="preserve">debiera continuar por los </w:t>
      </w:r>
      <w:r w:rsidR="0091502F">
        <w:rPr>
          <w:lang w:val="es-ES_tradnl" w:eastAsia="zh-CN"/>
        </w:rPr>
        <w:t xml:space="preserve">próximos </w:t>
      </w:r>
      <w:r w:rsidR="00FB38C2" w:rsidRPr="00B25E57">
        <w:rPr>
          <w:lang w:val="es-ES_tradnl" w:eastAsia="zh-CN"/>
        </w:rPr>
        <w:t>cinco</w:t>
      </w:r>
      <w:r w:rsidR="003A46A1" w:rsidRPr="00B25E57">
        <w:rPr>
          <w:lang w:val="es-ES_tradnl" w:eastAsia="zh-CN"/>
        </w:rPr>
        <w:t xml:space="preserve"> </w:t>
      </w:r>
      <w:r w:rsidR="008A3316" w:rsidRPr="00B25E57">
        <w:rPr>
          <w:lang w:val="es-ES_tradnl" w:eastAsia="zh-CN"/>
        </w:rPr>
        <w:t>años</w:t>
      </w:r>
      <w:r w:rsidR="00D331C9" w:rsidRPr="00B25E57">
        <w:rPr>
          <w:lang w:val="es-ES_tradnl" w:eastAsia="zh-CN"/>
        </w:rPr>
        <w:t>.</w:t>
      </w:r>
      <w:r w:rsidR="00676777">
        <w:rPr>
          <w:lang w:val="es-ES_tradnl" w:eastAsia="zh-CN"/>
        </w:rPr>
        <w:t xml:space="preserve"> La </w:t>
      </w:r>
      <w:r w:rsidR="00102137">
        <w:rPr>
          <w:lang w:val="es-ES_tradnl" w:eastAsia="zh-CN"/>
        </w:rPr>
        <w:t>planta</w:t>
      </w:r>
      <w:r w:rsidR="003A46A1" w:rsidRPr="00B25E57">
        <w:rPr>
          <w:lang w:val="es-ES_tradnl" w:eastAsia="zh-CN"/>
        </w:rPr>
        <w:t xml:space="preserve"> </w:t>
      </w:r>
      <w:r w:rsidR="00A32215">
        <w:rPr>
          <w:lang w:val="es-ES_tradnl" w:eastAsia="zh-CN"/>
        </w:rPr>
        <w:t>se mantiene rentable</w:t>
      </w:r>
      <w:r w:rsidR="003A46A1" w:rsidRPr="00B25E57">
        <w:rPr>
          <w:lang w:val="es-ES_tradnl" w:eastAsia="zh-CN"/>
        </w:rPr>
        <w:t xml:space="preserve"> </w:t>
      </w:r>
      <w:r w:rsidR="00AB1583">
        <w:rPr>
          <w:lang w:val="es-ES_tradnl" w:eastAsia="zh-CN"/>
        </w:rPr>
        <w:t>básica</w:t>
      </w:r>
      <w:r w:rsidR="00A4343B" w:rsidRPr="00B25E57">
        <w:rPr>
          <w:lang w:val="es-ES_tradnl" w:eastAsia="zh-CN"/>
        </w:rPr>
        <w:t>mente</w:t>
      </w:r>
      <w:r w:rsidR="003A46A1" w:rsidRPr="00B25E57">
        <w:rPr>
          <w:lang w:val="es-ES_tradnl" w:eastAsia="zh-CN"/>
        </w:rPr>
        <w:t xml:space="preserve"> </w:t>
      </w:r>
      <w:r w:rsidR="00691404">
        <w:rPr>
          <w:lang w:val="es-ES_tradnl" w:eastAsia="zh-CN"/>
        </w:rPr>
        <w:t>porque</w:t>
      </w:r>
      <w:r w:rsidR="003A46A1" w:rsidRPr="00B25E57">
        <w:rPr>
          <w:lang w:val="es-ES_tradnl" w:eastAsia="zh-CN"/>
        </w:rPr>
        <w:t xml:space="preserve"> </w:t>
      </w:r>
      <w:r w:rsidR="00A32215">
        <w:rPr>
          <w:lang w:val="es-ES_tradnl" w:eastAsia="zh-CN"/>
        </w:rPr>
        <w:t>opera</w:t>
      </w:r>
      <w:r w:rsidR="003A46A1" w:rsidRPr="00B25E57">
        <w:rPr>
          <w:lang w:val="es-ES_tradnl" w:eastAsia="zh-CN"/>
        </w:rPr>
        <w:t xml:space="preserve"> </w:t>
      </w:r>
      <w:r w:rsidR="004241C5" w:rsidRPr="00B25E57">
        <w:rPr>
          <w:lang w:val="es-ES_tradnl" w:eastAsia="zh-CN"/>
        </w:rPr>
        <w:t>en</w:t>
      </w:r>
      <w:r w:rsidR="003A46A1" w:rsidRPr="00B25E57">
        <w:rPr>
          <w:lang w:val="es-ES_tradnl" w:eastAsia="zh-CN"/>
        </w:rPr>
        <w:t xml:space="preserve"> </w:t>
      </w:r>
      <w:r w:rsidR="00F942C6" w:rsidRPr="00B25E57">
        <w:rPr>
          <w:lang w:val="es-ES_tradnl" w:eastAsia="zh-CN"/>
        </w:rPr>
        <w:t>un</w:t>
      </w:r>
      <w:r w:rsidR="003A46A1" w:rsidRPr="00B25E57">
        <w:rPr>
          <w:lang w:val="es-ES_tradnl" w:eastAsia="zh-CN"/>
        </w:rPr>
        <w:t xml:space="preserve"> </w:t>
      </w:r>
      <w:r w:rsidR="004057BA" w:rsidRPr="00B25E57">
        <w:rPr>
          <w:lang w:val="es-ES_tradnl" w:eastAsia="zh-CN"/>
        </w:rPr>
        <w:t>mercado</w:t>
      </w:r>
      <w:r w:rsidR="00CB5D0B">
        <w:rPr>
          <w:lang w:val="es-ES_tradnl" w:eastAsia="zh-CN"/>
        </w:rPr>
        <w:t xml:space="preserve"> </w:t>
      </w:r>
      <w:r w:rsidR="00A74C21">
        <w:rPr>
          <w:lang w:val="es-ES_tradnl" w:eastAsia="zh-CN"/>
        </w:rPr>
        <w:t>insular</w:t>
      </w:r>
      <w:r w:rsidR="003D6C2B" w:rsidRPr="00B25E57">
        <w:rPr>
          <w:lang w:val="es-ES_tradnl" w:eastAsia="zh-CN"/>
        </w:rPr>
        <w:t>,</w:t>
      </w:r>
      <w:r w:rsidR="003A46A1" w:rsidRPr="00B25E57">
        <w:rPr>
          <w:lang w:val="es-ES_tradnl" w:eastAsia="zh-CN"/>
        </w:rPr>
        <w:t xml:space="preserve"> </w:t>
      </w:r>
      <w:r w:rsidR="007417FA">
        <w:rPr>
          <w:lang w:val="es-ES_tradnl" w:eastAsia="zh-CN"/>
        </w:rPr>
        <w:t xml:space="preserve">lo que le </w:t>
      </w:r>
      <w:r w:rsidR="007417FA">
        <w:rPr>
          <w:lang w:val="es-ES_tradnl" w:eastAsia="zh-CN"/>
        </w:rPr>
        <w:lastRenderedPageBreak/>
        <w:t xml:space="preserve">permite </w:t>
      </w:r>
      <w:r w:rsidR="007417FA" w:rsidRPr="007417FA">
        <w:rPr>
          <w:lang w:val="es-ES_tradnl" w:eastAsia="zh-CN"/>
        </w:rPr>
        <w:t>imponer</w:t>
      </w:r>
      <w:r w:rsidR="00011FC7">
        <w:rPr>
          <w:lang w:val="es-ES_tradnl" w:eastAsia="zh-CN"/>
        </w:rPr>
        <w:t xml:space="preserve"> un precio</w:t>
      </w:r>
      <w:r w:rsidR="003A46A1" w:rsidRPr="00B25E57">
        <w:rPr>
          <w:lang w:val="es-ES_tradnl" w:eastAsia="zh-CN"/>
        </w:rPr>
        <w:t xml:space="preserve"> </w:t>
      </w:r>
      <w:r w:rsidR="00075D92">
        <w:rPr>
          <w:lang w:val="es-ES_tradnl" w:eastAsia="zh-CN"/>
        </w:rPr>
        <w:t xml:space="preserve">que es </w:t>
      </w:r>
      <w:r w:rsidR="007A6657">
        <w:rPr>
          <w:lang w:val="es-ES_tradnl" w:eastAsia="zh-CN"/>
        </w:rPr>
        <w:t>2,</w:t>
      </w:r>
      <w:r w:rsidR="00207150" w:rsidRPr="00B25E57">
        <w:rPr>
          <w:lang w:val="es-ES_tradnl" w:eastAsia="zh-CN"/>
        </w:rPr>
        <w:t>8</w:t>
      </w:r>
      <w:r w:rsidR="003A46A1" w:rsidRPr="00B25E57">
        <w:rPr>
          <w:lang w:val="es-ES_tradnl" w:eastAsia="zh-CN"/>
        </w:rPr>
        <w:t xml:space="preserve"> </w:t>
      </w:r>
      <w:r w:rsidR="007A6657">
        <w:rPr>
          <w:lang w:val="es-ES_tradnl" w:eastAsia="zh-CN"/>
        </w:rPr>
        <w:t>veces el precio internacional</w:t>
      </w:r>
      <w:r w:rsidR="0092509D" w:rsidRPr="00B25E57">
        <w:rPr>
          <w:lang w:val="es-ES_tradnl" w:eastAsia="zh-CN"/>
        </w:rPr>
        <w:t>.</w:t>
      </w:r>
      <w:r w:rsidR="003A46A1" w:rsidRPr="00B25E57">
        <w:rPr>
          <w:lang w:val="es-ES_tradnl" w:eastAsia="zh-CN"/>
        </w:rPr>
        <w:t xml:space="preserve"> </w:t>
      </w:r>
      <w:r w:rsidR="004512EA" w:rsidRPr="00B25E57">
        <w:rPr>
          <w:lang w:val="es-ES_tradnl" w:eastAsia="zh-CN"/>
        </w:rPr>
        <w:t>El</w:t>
      </w:r>
      <w:r w:rsidR="003A46A1" w:rsidRPr="00B25E57">
        <w:rPr>
          <w:lang w:val="es-ES_tradnl" w:eastAsia="zh-CN"/>
        </w:rPr>
        <w:t xml:space="preserve"> </w:t>
      </w:r>
      <w:r w:rsidR="004512EA" w:rsidRPr="00B25E57">
        <w:rPr>
          <w:lang w:val="es-ES_tradnl" w:eastAsia="zh-CN"/>
        </w:rPr>
        <w:t>precio</w:t>
      </w:r>
      <w:r w:rsidR="003A46A1" w:rsidRPr="00B25E57">
        <w:rPr>
          <w:lang w:val="es-ES_tradnl" w:eastAsia="zh-CN"/>
        </w:rPr>
        <w:t xml:space="preserve"> </w:t>
      </w:r>
      <w:r w:rsidR="006A4E68">
        <w:rPr>
          <w:lang w:val="es-ES_tradnl" w:eastAsia="zh-CN"/>
        </w:rPr>
        <w:t xml:space="preserve">que </w:t>
      </w:r>
      <w:r w:rsidR="0092509D" w:rsidRPr="00B25E57">
        <w:rPr>
          <w:lang w:val="es-ES_tradnl" w:eastAsia="zh-CN"/>
        </w:rPr>
        <w:t>FIASA</w:t>
      </w:r>
      <w:r w:rsidR="003A46A1" w:rsidRPr="00B25E57">
        <w:rPr>
          <w:lang w:val="es-ES_tradnl" w:eastAsia="zh-CN"/>
        </w:rPr>
        <w:t xml:space="preserve"> </w:t>
      </w:r>
      <w:r w:rsidR="00D96B60">
        <w:rPr>
          <w:lang w:val="es-ES_tradnl" w:eastAsia="zh-CN"/>
        </w:rPr>
        <w:t xml:space="preserve">puede </w:t>
      </w:r>
      <w:r w:rsidR="00A76353">
        <w:rPr>
          <w:lang w:val="es-ES_tradnl" w:eastAsia="zh-CN"/>
        </w:rPr>
        <w:t>cobrar</w:t>
      </w:r>
      <w:r w:rsidR="007403AF">
        <w:rPr>
          <w:lang w:val="es-ES_tradnl" w:eastAsia="zh-CN"/>
        </w:rPr>
        <w:t xml:space="preserve"> </w:t>
      </w:r>
      <w:r w:rsidR="004241C5" w:rsidRPr="00B25E57">
        <w:rPr>
          <w:lang w:val="es-ES_tradnl" w:eastAsia="zh-CN"/>
        </w:rPr>
        <w:t>en</w:t>
      </w:r>
      <w:r w:rsidR="003A46A1" w:rsidRPr="00B25E57">
        <w:rPr>
          <w:lang w:val="es-ES_tradnl" w:eastAsia="zh-CN"/>
        </w:rPr>
        <w:t xml:space="preserve"> </w:t>
      </w:r>
      <w:r w:rsidR="0092509D" w:rsidRPr="00B25E57">
        <w:rPr>
          <w:lang w:val="es-ES_tradnl" w:eastAsia="zh-CN"/>
        </w:rPr>
        <w:t>Argentina</w:t>
      </w:r>
      <w:r w:rsidR="003A46A1" w:rsidRPr="00B25E57">
        <w:rPr>
          <w:lang w:val="es-ES_tradnl" w:eastAsia="zh-CN"/>
        </w:rPr>
        <w:t xml:space="preserve"> </w:t>
      </w:r>
      <w:r w:rsidR="00F942C6" w:rsidRPr="00B25E57">
        <w:rPr>
          <w:lang w:val="es-ES_tradnl" w:eastAsia="zh-CN"/>
        </w:rPr>
        <w:t>ha</w:t>
      </w:r>
      <w:r w:rsidR="003A46A1" w:rsidRPr="00B25E57">
        <w:rPr>
          <w:lang w:val="es-ES_tradnl" w:eastAsia="zh-CN"/>
        </w:rPr>
        <w:t xml:space="preserve"> </w:t>
      </w:r>
      <w:r w:rsidR="00001B08">
        <w:rPr>
          <w:lang w:val="es-ES_tradnl" w:eastAsia="zh-CN"/>
        </w:rPr>
        <w:t>bajado ligeramente</w:t>
      </w:r>
      <w:r w:rsidR="003A46A1" w:rsidRPr="00B25E57">
        <w:rPr>
          <w:lang w:val="es-ES_tradnl" w:eastAsia="zh-CN"/>
        </w:rPr>
        <w:t xml:space="preserve"> </w:t>
      </w:r>
      <w:r w:rsidR="00B25E57">
        <w:rPr>
          <w:lang w:val="es-ES_tradnl" w:eastAsia="zh-CN"/>
        </w:rPr>
        <w:t>desde</w:t>
      </w:r>
      <w:r w:rsidR="003A46A1" w:rsidRPr="00B25E57">
        <w:rPr>
          <w:lang w:val="es-ES_tradnl" w:eastAsia="zh-CN"/>
        </w:rPr>
        <w:t xml:space="preserve"> </w:t>
      </w:r>
      <w:r w:rsidR="0092509D" w:rsidRPr="00B25E57">
        <w:rPr>
          <w:lang w:val="es-ES_tradnl" w:eastAsia="zh-CN"/>
        </w:rPr>
        <w:t>2016.</w:t>
      </w:r>
      <w:r w:rsidR="003A46A1" w:rsidRPr="00B25E57">
        <w:rPr>
          <w:lang w:val="es-ES_tradnl" w:eastAsia="zh-CN"/>
        </w:rPr>
        <w:t xml:space="preserve"> </w:t>
      </w:r>
      <w:r w:rsidR="00655197">
        <w:rPr>
          <w:lang w:val="es-ES_tradnl" w:eastAsia="zh-CN"/>
        </w:rPr>
        <w:t xml:space="preserve">Suponiendo </w:t>
      </w:r>
      <w:r w:rsidR="000F459A">
        <w:rPr>
          <w:lang w:val="es-ES_tradnl" w:eastAsia="zh-CN"/>
        </w:rPr>
        <w:t xml:space="preserve">que </w:t>
      </w:r>
      <w:r w:rsidR="004512EA" w:rsidRPr="00B25E57">
        <w:rPr>
          <w:lang w:val="es-ES_tradnl" w:eastAsia="zh-CN"/>
        </w:rPr>
        <w:t>el</w:t>
      </w:r>
      <w:r w:rsidR="003A46A1" w:rsidRPr="00B25E57">
        <w:rPr>
          <w:lang w:val="es-ES_tradnl" w:eastAsia="zh-CN"/>
        </w:rPr>
        <w:t xml:space="preserve"> </w:t>
      </w:r>
      <w:r w:rsidR="004512EA" w:rsidRPr="00B25E57">
        <w:rPr>
          <w:lang w:val="es-ES_tradnl" w:eastAsia="zh-CN"/>
        </w:rPr>
        <w:t>precio</w:t>
      </w:r>
      <w:r w:rsidR="003A46A1" w:rsidRPr="00B25E57">
        <w:rPr>
          <w:lang w:val="es-ES_tradnl" w:eastAsia="zh-CN"/>
        </w:rPr>
        <w:t xml:space="preserve"> </w:t>
      </w:r>
      <w:r w:rsidR="00FE2696">
        <w:rPr>
          <w:lang w:val="es-ES_tradnl" w:eastAsia="zh-CN"/>
        </w:rPr>
        <w:t xml:space="preserve">al que </w:t>
      </w:r>
      <w:r w:rsidR="0092509D" w:rsidRPr="00B25E57">
        <w:rPr>
          <w:lang w:val="es-ES_tradnl" w:eastAsia="zh-CN"/>
        </w:rPr>
        <w:t>FIASA</w:t>
      </w:r>
      <w:r w:rsidR="003A46A1" w:rsidRPr="00B25E57">
        <w:rPr>
          <w:lang w:val="es-ES_tradnl" w:eastAsia="zh-CN"/>
        </w:rPr>
        <w:t xml:space="preserve"> </w:t>
      </w:r>
      <w:r w:rsidR="00FB128F">
        <w:rPr>
          <w:lang w:val="es-ES_tradnl" w:eastAsia="zh-CN"/>
        </w:rPr>
        <w:t xml:space="preserve">puede vender el </w:t>
      </w:r>
      <w:r w:rsidR="0092509D" w:rsidRPr="00B25E57">
        <w:rPr>
          <w:lang w:val="es-ES_tradnl" w:eastAsia="zh-CN"/>
        </w:rPr>
        <w:t>HCFC</w:t>
      </w:r>
      <w:r w:rsidR="00FB38C2" w:rsidRPr="00B25E57">
        <w:rPr>
          <w:lang w:val="es-ES_tradnl" w:eastAsia="zh-CN"/>
        </w:rPr>
        <w:t>-</w:t>
      </w:r>
      <w:r w:rsidR="0092509D" w:rsidRPr="00B25E57">
        <w:rPr>
          <w:lang w:val="es-ES_tradnl" w:eastAsia="zh-CN"/>
        </w:rPr>
        <w:t>22</w:t>
      </w:r>
      <w:r w:rsidR="003A46A1" w:rsidRPr="00B25E57">
        <w:rPr>
          <w:lang w:val="es-ES_tradnl" w:eastAsia="zh-CN"/>
        </w:rPr>
        <w:t xml:space="preserve"> </w:t>
      </w:r>
      <w:r w:rsidR="00DA3F63">
        <w:rPr>
          <w:lang w:val="es-ES_tradnl" w:eastAsia="zh-CN"/>
        </w:rPr>
        <w:t xml:space="preserve">no siga bajando respecto </w:t>
      </w:r>
      <w:r w:rsidR="00097D1D">
        <w:rPr>
          <w:lang w:val="es-ES_tradnl" w:eastAsia="zh-CN"/>
        </w:rPr>
        <w:t xml:space="preserve">del nivel </w:t>
      </w:r>
      <w:r w:rsidR="00DA3F63">
        <w:rPr>
          <w:lang w:val="es-ES_tradnl" w:eastAsia="zh-CN"/>
        </w:rPr>
        <w:t>de</w:t>
      </w:r>
      <w:r w:rsidR="005C7937">
        <w:rPr>
          <w:lang w:val="es-ES_tradnl" w:eastAsia="zh-CN"/>
        </w:rPr>
        <w:t>l año</w:t>
      </w:r>
      <w:r w:rsidR="00DA3F63">
        <w:rPr>
          <w:lang w:val="es-ES_tradnl" w:eastAsia="zh-CN"/>
        </w:rPr>
        <w:t xml:space="preserve"> </w:t>
      </w:r>
      <w:r w:rsidR="00DD3A18">
        <w:rPr>
          <w:lang w:val="es-ES_tradnl" w:eastAsia="zh-CN"/>
        </w:rPr>
        <w:t>2018</w:t>
      </w:r>
      <w:r w:rsidR="0092509D" w:rsidRPr="00B25E57">
        <w:rPr>
          <w:lang w:val="es-ES_tradnl" w:eastAsia="zh-CN"/>
        </w:rPr>
        <w:t>,</w:t>
      </w:r>
      <w:r w:rsidR="003A46A1" w:rsidRPr="00B25E57">
        <w:rPr>
          <w:lang w:val="es-ES_tradnl" w:eastAsia="zh-CN"/>
        </w:rPr>
        <w:t xml:space="preserve"> </w:t>
      </w:r>
      <w:r w:rsidR="00DA3F63">
        <w:rPr>
          <w:lang w:val="es-ES_tradnl" w:eastAsia="zh-CN"/>
        </w:rPr>
        <w:t>a la planta</w:t>
      </w:r>
      <w:r w:rsidR="003A46A1" w:rsidRPr="00B25E57">
        <w:rPr>
          <w:lang w:val="es-ES_tradnl" w:eastAsia="zh-CN"/>
        </w:rPr>
        <w:t xml:space="preserve"> </w:t>
      </w:r>
      <w:r w:rsidR="00DA3F63">
        <w:rPr>
          <w:lang w:val="es-ES_tradnl" w:eastAsia="zh-CN"/>
        </w:rPr>
        <w:t xml:space="preserve">le quedaría una </w:t>
      </w:r>
      <w:r w:rsidR="00DA3F63" w:rsidRPr="00DA3F63">
        <w:rPr>
          <w:lang w:val="es-ES_tradnl" w:eastAsia="zh-CN"/>
        </w:rPr>
        <w:t xml:space="preserve">vida útil </w:t>
      </w:r>
      <w:r w:rsidR="00DA3F63">
        <w:rPr>
          <w:lang w:val="es-ES_tradnl" w:eastAsia="zh-CN"/>
        </w:rPr>
        <w:t xml:space="preserve">de unos </w:t>
      </w:r>
      <w:r w:rsidR="00FB38C2" w:rsidRPr="00B25E57">
        <w:rPr>
          <w:lang w:val="es-ES_tradnl" w:eastAsia="zh-CN"/>
        </w:rPr>
        <w:t>cuatro</w:t>
      </w:r>
      <w:r w:rsidR="003A46A1" w:rsidRPr="00B25E57">
        <w:rPr>
          <w:lang w:val="es-ES_tradnl" w:eastAsia="zh-CN"/>
        </w:rPr>
        <w:t xml:space="preserve"> </w:t>
      </w:r>
      <w:r w:rsidR="008A3316" w:rsidRPr="00B25E57">
        <w:rPr>
          <w:lang w:val="es-ES_tradnl" w:eastAsia="zh-CN"/>
        </w:rPr>
        <w:t>años</w:t>
      </w:r>
      <w:r w:rsidR="00507F2B">
        <w:rPr>
          <w:lang w:val="es-ES_tradnl" w:eastAsia="zh-CN"/>
        </w:rPr>
        <w:t>,</w:t>
      </w:r>
      <w:r w:rsidR="00FD140E">
        <w:rPr>
          <w:lang w:val="es-ES_tradnl" w:eastAsia="zh-CN"/>
        </w:rPr>
        <w:t xml:space="preserve"> o </w:t>
      </w:r>
      <w:r w:rsidR="00C91FDB">
        <w:rPr>
          <w:lang w:val="es-ES_tradnl" w:eastAsia="zh-CN"/>
        </w:rPr>
        <w:t xml:space="preserve">incluso </w:t>
      </w:r>
      <w:r w:rsidR="00507F2B">
        <w:rPr>
          <w:lang w:val="es-ES_tradnl" w:eastAsia="zh-CN"/>
        </w:rPr>
        <w:t xml:space="preserve">menos </w:t>
      </w:r>
      <w:r w:rsidR="00F942C6" w:rsidRPr="00B25E57">
        <w:rPr>
          <w:lang w:val="es-ES_tradnl" w:eastAsia="zh-CN"/>
        </w:rPr>
        <w:t>si</w:t>
      </w:r>
      <w:r w:rsidR="003A46A1" w:rsidRPr="00B25E57">
        <w:rPr>
          <w:lang w:val="es-ES_tradnl" w:eastAsia="zh-CN"/>
        </w:rPr>
        <w:t xml:space="preserve"> </w:t>
      </w:r>
      <w:r w:rsidR="00C02615">
        <w:rPr>
          <w:lang w:val="es-ES_tradnl" w:eastAsia="zh-CN"/>
        </w:rPr>
        <w:t>el</w:t>
      </w:r>
      <w:r w:rsidR="00E2056F">
        <w:rPr>
          <w:lang w:val="es-ES_tradnl" w:eastAsia="zh-CN"/>
        </w:rPr>
        <w:t xml:space="preserve"> </w:t>
      </w:r>
      <w:r w:rsidR="00F33C58" w:rsidRPr="00B25E57">
        <w:rPr>
          <w:lang w:val="es-ES_tradnl" w:eastAsia="zh-CN"/>
        </w:rPr>
        <w:t>precio</w:t>
      </w:r>
      <w:r w:rsidR="003A46A1" w:rsidRPr="00B25E57">
        <w:rPr>
          <w:lang w:val="es-ES_tradnl" w:eastAsia="zh-CN"/>
        </w:rPr>
        <w:t xml:space="preserve"> </w:t>
      </w:r>
      <w:r w:rsidR="009F67F6">
        <w:rPr>
          <w:lang w:val="es-ES_tradnl" w:eastAsia="zh-CN"/>
        </w:rPr>
        <w:t>nacional</w:t>
      </w:r>
      <w:r w:rsidR="00FA7A1B">
        <w:rPr>
          <w:lang w:val="es-ES_tradnl" w:eastAsia="zh-CN"/>
        </w:rPr>
        <w:t xml:space="preserve"> </w:t>
      </w:r>
      <w:r w:rsidR="009F67F6">
        <w:rPr>
          <w:lang w:val="es-ES_tradnl" w:eastAsia="zh-CN"/>
        </w:rPr>
        <w:t xml:space="preserve">sigue </w:t>
      </w:r>
      <w:r w:rsidR="004746DE">
        <w:rPr>
          <w:lang w:val="es-ES_tradnl" w:eastAsia="zh-CN"/>
        </w:rPr>
        <w:t>bajando</w:t>
      </w:r>
      <w:r w:rsidR="00D331C9" w:rsidRPr="00B25E57">
        <w:rPr>
          <w:lang w:val="es-ES_tradnl" w:eastAsia="zh-CN"/>
        </w:rPr>
        <w:t>.</w:t>
      </w:r>
    </w:p>
    <w:p w14:paraId="3CD2EEA4" w14:textId="40BA1EFF" w:rsidR="00037589" w:rsidRPr="00B25E57" w:rsidRDefault="007D293F" w:rsidP="00D47CE2">
      <w:pPr>
        <w:pStyle w:val="Heading1"/>
        <w:rPr>
          <w:lang w:val="es-ES_tradnl" w:eastAsia="zh-CN"/>
        </w:rPr>
      </w:pPr>
      <w:r>
        <w:rPr>
          <w:lang w:val="es-ES_tradnl" w:eastAsia="zh-CN"/>
        </w:rPr>
        <w:t>Conforme a la ley argentina</w:t>
      </w:r>
      <w:r w:rsidR="00037589" w:rsidRPr="00B25E57">
        <w:rPr>
          <w:lang w:val="es-ES_tradnl" w:eastAsia="zh-CN"/>
        </w:rPr>
        <w:t>,</w:t>
      </w:r>
      <w:r w:rsidR="003A46A1" w:rsidRPr="00B25E57">
        <w:rPr>
          <w:lang w:val="es-ES_tradnl" w:eastAsia="zh-CN"/>
        </w:rPr>
        <w:t xml:space="preserve"> </w:t>
      </w:r>
      <w:r w:rsidR="00D07EF3">
        <w:rPr>
          <w:lang w:val="es-ES_tradnl" w:eastAsia="zh-CN"/>
        </w:rPr>
        <w:t xml:space="preserve">un trabajador cesado </w:t>
      </w:r>
      <w:r w:rsidR="007F60F9">
        <w:rPr>
          <w:lang w:val="es-ES_tradnl" w:eastAsia="zh-CN"/>
        </w:rPr>
        <w:t>recibe indemnización por años de servicio</w:t>
      </w:r>
      <w:r w:rsidR="00037589" w:rsidRPr="00B25E57">
        <w:rPr>
          <w:lang w:val="es-ES_tradnl" w:eastAsia="zh-CN"/>
        </w:rPr>
        <w:t>.</w:t>
      </w:r>
      <w:r w:rsidR="003A46A1" w:rsidRPr="00B25E57">
        <w:rPr>
          <w:lang w:val="es-ES_tradnl" w:eastAsia="zh-CN"/>
        </w:rPr>
        <w:t xml:space="preserve"> </w:t>
      </w:r>
      <w:r w:rsidR="00F942C6" w:rsidRPr="00B25E57">
        <w:rPr>
          <w:lang w:val="es-ES_tradnl" w:eastAsia="zh-CN"/>
        </w:rPr>
        <w:t xml:space="preserve">Sobre la base de </w:t>
      </w:r>
      <w:r w:rsidR="003A46A1" w:rsidRPr="00B25E57">
        <w:rPr>
          <w:lang w:val="es-ES_tradnl" w:eastAsia="zh-CN"/>
        </w:rPr>
        <w:t xml:space="preserve">los años </w:t>
      </w:r>
      <w:r w:rsidR="00FB38C2" w:rsidRPr="00B25E57">
        <w:rPr>
          <w:lang w:val="es-ES_tradnl" w:eastAsia="zh-CN"/>
        </w:rPr>
        <w:t>de</w:t>
      </w:r>
      <w:r w:rsidR="003A46A1" w:rsidRPr="00B25E57">
        <w:rPr>
          <w:lang w:val="es-ES_tradnl" w:eastAsia="zh-CN"/>
        </w:rPr>
        <w:t xml:space="preserve"> </w:t>
      </w:r>
      <w:r w:rsidR="00711223">
        <w:rPr>
          <w:lang w:val="es-ES_tradnl" w:eastAsia="zh-CN"/>
        </w:rPr>
        <w:t>servicio</w:t>
      </w:r>
      <w:r w:rsidR="003A46A1" w:rsidRPr="00B25E57">
        <w:rPr>
          <w:lang w:val="es-ES_tradnl" w:eastAsia="zh-CN"/>
        </w:rPr>
        <w:t xml:space="preserve"> </w:t>
      </w:r>
      <w:r w:rsidR="00FB38C2" w:rsidRPr="00B25E57">
        <w:rPr>
          <w:lang w:val="es-ES_tradnl" w:eastAsia="zh-CN"/>
        </w:rPr>
        <w:t>y</w:t>
      </w:r>
      <w:r w:rsidR="003A46A1" w:rsidRPr="00B25E57">
        <w:rPr>
          <w:lang w:val="es-ES_tradnl" w:eastAsia="zh-CN"/>
        </w:rPr>
        <w:t xml:space="preserve"> </w:t>
      </w:r>
      <w:r w:rsidR="00F546DB">
        <w:rPr>
          <w:lang w:val="es-ES_tradnl" w:eastAsia="zh-CN"/>
        </w:rPr>
        <w:t xml:space="preserve">nivel salarial del personal de FIASA, </w:t>
      </w:r>
      <w:r w:rsidR="00F33C58" w:rsidRPr="00B25E57">
        <w:rPr>
          <w:lang w:val="es-ES_tradnl" w:eastAsia="zh-CN"/>
        </w:rPr>
        <w:t>y</w:t>
      </w:r>
      <w:r w:rsidR="003A46A1" w:rsidRPr="00B25E57">
        <w:rPr>
          <w:lang w:val="es-ES_tradnl" w:eastAsia="zh-CN"/>
        </w:rPr>
        <w:t xml:space="preserve"> </w:t>
      </w:r>
      <w:r w:rsidR="00F546DB">
        <w:rPr>
          <w:lang w:val="es-ES_tradnl" w:eastAsia="zh-CN"/>
        </w:rPr>
        <w:t>suponiendo</w:t>
      </w:r>
      <w:r w:rsidR="003A46A1" w:rsidRPr="00B25E57">
        <w:rPr>
          <w:lang w:val="es-ES_tradnl" w:eastAsia="zh-CN"/>
        </w:rPr>
        <w:t xml:space="preserve"> </w:t>
      </w:r>
      <w:r w:rsidR="00F546DB">
        <w:rPr>
          <w:lang w:val="es-ES_tradnl" w:eastAsia="zh-CN"/>
        </w:rPr>
        <w:t xml:space="preserve">que la </w:t>
      </w:r>
      <w:r w:rsidR="004241C5" w:rsidRPr="00B25E57">
        <w:rPr>
          <w:lang w:val="es-ES_tradnl" w:eastAsia="zh-CN"/>
        </w:rPr>
        <w:t>línea</w:t>
      </w:r>
      <w:r w:rsidR="003A46A1" w:rsidRPr="00B25E57">
        <w:rPr>
          <w:lang w:val="es-ES_tradnl" w:eastAsia="zh-CN"/>
        </w:rPr>
        <w:t xml:space="preserve"> </w:t>
      </w:r>
      <w:r w:rsidR="004241C5" w:rsidRPr="00B25E57">
        <w:rPr>
          <w:lang w:val="es-ES_tradnl" w:eastAsia="zh-CN"/>
        </w:rPr>
        <w:t>de</w:t>
      </w:r>
      <w:r w:rsidR="003A46A1" w:rsidRPr="00B25E57">
        <w:rPr>
          <w:lang w:val="es-ES_tradnl" w:eastAsia="zh-CN"/>
        </w:rPr>
        <w:t xml:space="preserve"> </w:t>
      </w:r>
      <w:r w:rsidR="004241C5" w:rsidRPr="00B25E57">
        <w:rPr>
          <w:lang w:val="es-ES_tradnl" w:eastAsia="zh-CN"/>
        </w:rPr>
        <w:t>producción</w:t>
      </w:r>
      <w:r w:rsidR="003A46A1" w:rsidRPr="00B25E57">
        <w:rPr>
          <w:lang w:val="es-ES_tradnl" w:eastAsia="zh-CN"/>
        </w:rPr>
        <w:t xml:space="preserve"> </w:t>
      </w:r>
      <w:r w:rsidR="00F546DB">
        <w:rPr>
          <w:lang w:val="es-ES_tradnl" w:eastAsia="zh-CN"/>
        </w:rPr>
        <w:t xml:space="preserve">de </w:t>
      </w:r>
      <w:r w:rsidR="00F546DB" w:rsidRPr="00F546DB">
        <w:rPr>
          <w:lang w:val="es-ES_tradnl" w:eastAsia="zh-CN"/>
        </w:rPr>
        <w:t xml:space="preserve">HCFC-22 </w:t>
      </w:r>
      <w:r w:rsidR="00F546DB">
        <w:rPr>
          <w:lang w:val="es-ES_tradnl" w:eastAsia="zh-CN"/>
        </w:rPr>
        <w:t xml:space="preserve">se cierre el </w:t>
      </w:r>
      <w:r w:rsidR="004512EA" w:rsidRPr="00B25E57">
        <w:rPr>
          <w:lang w:val="es-ES_tradnl" w:eastAsia="zh-CN"/>
        </w:rPr>
        <w:t>1º</w:t>
      </w:r>
      <w:r w:rsidR="003A46A1" w:rsidRPr="00B25E57">
        <w:rPr>
          <w:lang w:val="es-ES_tradnl" w:eastAsia="zh-CN"/>
        </w:rPr>
        <w:t xml:space="preserve"> </w:t>
      </w:r>
      <w:r w:rsidR="004512EA" w:rsidRPr="00B25E57">
        <w:rPr>
          <w:lang w:val="es-ES_tradnl" w:eastAsia="zh-CN"/>
        </w:rPr>
        <w:t>de</w:t>
      </w:r>
      <w:r w:rsidR="003A46A1" w:rsidRPr="00B25E57">
        <w:rPr>
          <w:lang w:val="es-ES_tradnl" w:eastAsia="zh-CN"/>
        </w:rPr>
        <w:t xml:space="preserve"> </w:t>
      </w:r>
      <w:r w:rsidR="004512EA" w:rsidRPr="00B25E57">
        <w:rPr>
          <w:lang w:val="es-ES_tradnl" w:eastAsia="zh-CN"/>
        </w:rPr>
        <w:t>enero</w:t>
      </w:r>
      <w:r w:rsidR="003A46A1" w:rsidRPr="00B25E57">
        <w:rPr>
          <w:lang w:val="es-ES_tradnl" w:eastAsia="zh-CN"/>
        </w:rPr>
        <w:t xml:space="preserve"> </w:t>
      </w:r>
      <w:r w:rsidR="00FB38C2" w:rsidRPr="00B25E57">
        <w:rPr>
          <w:lang w:val="es-ES_tradnl" w:eastAsia="zh-CN"/>
        </w:rPr>
        <w:t>de</w:t>
      </w:r>
      <w:r w:rsidR="003A46A1" w:rsidRPr="00B25E57">
        <w:rPr>
          <w:lang w:val="es-ES_tradnl" w:eastAsia="zh-CN"/>
        </w:rPr>
        <w:t xml:space="preserve"> </w:t>
      </w:r>
      <w:r w:rsidR="00037589" w:rsidRPr="00B25E57">
        <w:rPr>
          <w:lang w:val="es-ES_tradnl" w:eastAsia="zh-CN"/>
        </w:rPr>
        <w:t>202</w:t>
      </w:r>
      <w:r w:rsidR="007E0A81">
        <w:rPr>
          <w:lang w:val="es-ES_tradnl" w:eastAsia="zh-CN"/>
        </w:rPr>
        <w:t>0,</w:t>
      </w:r>
      <w:r w:rsidR="003A46A1" w:rsidRPr="00B25E57">
        <w:rPr>
          <w:lang w:val="es-ES_tradnl" w:eastAsia="zh-CN"/>
        </w:rPr>
        <w:t xml:space="preserve"> </w:t>
      </w:r>
      <w:r w:rsidR="007E0A81">
        <w:rPr>
          <w:lang w:val="es-ES_tradnl" w:eastAsia="zh-CN"/>
        </w:rPr>
        <w:t xml:space="preserve">la </w:t>
      </w:r>
      <w:r w:rsidR="00A326C9" w:rsidRPr="00A326C9">
        <w:rPr>
          <w:lang w:val="es-ES_tradnl" w:eastAsia="zh-CN"/>
        </w:rPr>
        <w:t xml:space="preserve">indemnización </w:t>
      </w:r>
      <w:r w:rsidR="00E62684">
        <w:rPr>
          <w:lang w:val="es-ES_tradnl" w:eastAsia="zh-CN"/>
        </w:rPr>
        <w:t xml:space="preserve">a pagar a los </w:t>
      </w:r>
      <w:r w:rsidR="00F428E6">
        <w:rPr>
          <w:lang w:val="es-ES_tradnl" w:eastAsia="zh-CN"/>
        </w:rPr>
        <w:t>trabajadores</w:t>
      </w:r>
      <w:r w:rsidR="003A46A1" w:rsidRPr="00B25E57">
        <w:rPr>
          <w:lang w:val="es-ES_tradnl" w:eastAsia="zh-CN"/>
        </w:rPr>
        <w:t xml:space="preserve"> </w:t>
      </w:r>
      <w:r w:rsidR="00545181">
        <w:rPr>
          <w:lang w:val="es-ES_tradnl" w:eastAsia="zh-CN"/>
        </w:rPr>
        <w:t>serí</w:t>
      </w:r>
      <w:r w:rsidR="00E62684">
        <w:rPr>
          <w:lang w:val="es-ES_tradnl" w:eastAsia="zh-CN"/>
        </w:rPr>
        <w:t xml:space="preserve">a de </w:t>
      </w:r>
      <w:r w:rsidR="00FB38C2" w:rsidRPr="00B25E57">
        <w:rPr>
          <w:lang w:val="es-ES_tradnl" w:eastAsia="zh-CN"/>
        </w:rPr>
        <w:t>1.</w:t>
      </w:r>
      <w:r w:rsidR="00037589" w:rsidRPr="00B25E57">
        <w:rPr>
          <w:lang w:val="es-ES_tradnl" w:eastAsia="zh-CN"/>
        </w:rPr>
        <w:t>18</w:t>
      </w:r>
      <w:r w:rsidR="004241C5" w:rsidRPr="00B25E57">
        <w:rPr>
          <w:lang w:val="es-ES_tradnl" w:eastAsia="zh-CN"/>
        </w:rPr>
        <w:t>9.</w:t>
      </w:r>
      <w:r w:rsidR="00037589" w:rsidRPr="00B25E57">
        <w:rPr>
          <w:lang w:val="es-ES_tradnl" w:eastAsia="zh-CN"/>
        </w:rPr>
        <w:t>083</w:t>
      </w:r>
      <w:r w:rsidR="00D412CF">
        <w:rPr>
          <w:lang w:val="es-ES_tradnl" w:eastAsia="zh-CN"/>
        </w:rPr>
        <w:t xml:space="preserve"> </w:t>
      </w:r>
      <w:r w:rsidR="00D412CF" w:rsidRPr="00D412CF">
        <w:rPr>
          <w:lang w:val="es-ES_tradnl" w:eastAsia="zh-CN"/>
        </w:rPr>
        <w:t>$EUA</w:t>
      </w:r>
      <w:r w:rsidR="00037589" w:rsidRPr="00B25E57">
        <w:rPr>
          <w:lang w:val="es-ES_tradnl" w:eastAsia="zh-CN"/>
        </w:rPr>
        <w:t>.</w:t>
      </w:r>
    </w:p>
    <w:p w14:paraId="0319D137" w14:textId="105FC210" w:rsidR="001C0AE3" w:rsidRPr="00B25E57" w:rsidRDefault="0036026C" w:rsidP="00665672">
      <w:pPr>
        <w:pStyle w:val="Heading1"/>
        <w:rPr>
          <w:lang w:val="es-ES_tradnl" w:eastAsia="zh-CN"/>
        </w:rPr>
      </w:pPr>
      <w:r>
        <w:rPr>
          <w:lang w:val="es-ES_tradnl" w:eastAsia="zh-CN"/>
        </w:rPr>
        <w:t xml:space="preserve">Después </w:t>
      </w:r>
      <w:r w:rsidRPr="0036026C">
        <w:rPr>
          <w:lang w:val="es-ES_tradnl" w:eastAsia="zh-CN"/>
        </w:rPr>
        <w:t>de impuestos y lucro cesante</w:t>
      </w:r>
      <w:r>
        <w:rPr>
          <w:lang w:val="es-ES_tradnl" w:eastAsia="zh-CN"/>
        </w:rPr>
        <w:t>, e</w:t>
      </w:r>
      <w:r w:rsidR="00CC60EA">
        <w:rPr>
          <w:lang w:val="es-ES_tradnl" w:eastAsia="zh-CN"/>
        </w:rPr>
        <w:t>l VAN</w:t>
      </w:r>
      <w:r w:rsidR="003A46A1" w:rsidRPr="00B25E57">
        <w:rPr>
          <w:lang w:val="es-ES_tradnl" w:eastAsia="zh-CN"/>
        </w:rPr>
        <w:t xml:space="preserve"> </w:t>
      </w:r>
      <w:r w:rsidR="00FB38C2" w:rsidRPr="00B25E57">
        <w:rPr>
          <w:lang w:val="es-ES_tradnl" w:eastAsia="zh-CN"/>
        </w:rPr>
        <w:t>de</w:t>
      </w:r>
      <w:r w:rsidR="003A46A1" w:rsidRPr="00B25E57">
        <w:rPr>
          <w:lang w:val="es-ES_tradnl" w:eastAsia="zh-CN"/>
        </w:rPr>
        <w:t xml:space="preserve"> </w:t>
      </w:r>
      <w:r w:rsidR="00D47CE2" w:rsidRPr="00B25E57">
        <w:rPr>
          <w:lang w:val="es-ES_tradnl" w:eastAsia="zh-CN"/>
        </w:rPr>
        <w:t>FIASA</w:t>
      </w:r>
      <w:r w:rsidR="003A46A1" w:rsidRPr="00B25E57">
        <w:rPr>
          <w:lang w:val="es-ES_tradnl" w:eastAsia="zh-CN"/>
        </w:rPr>
        <w:t xml:space="preserve"> </w:t>
      </w:r>
      <w:r w:rsidR="00976F5B">
        <w:rPr>
          <w:lang w:val="es-ES_tradnl" w:eastAsia="zh-CN"/>
        </w:rPr>
        <w:t xml:space="preserve">en </w:t>
      </w:r>
      <w:r w:rsidR="00D47CE2" w:rsidRPr="00B25E57">
        <w:rPr>
          <w:lang w:val="es-ES_tradnl" w:eastAsia="zh-CN"/>
        </w:rPr>
        <w:t>2020</w:t>
      </w:r>
      <w:r w:rsidR="00FB38C2" w:rsidRPr="00B25E57">
        <w:rPr>
          <w:lang w:val="es-ES_tradnl" w:eastAsia="zh-CN"/>
        </w:rPr>
        <w:t>-</w:t>
      </w:r>
      <w:r w:rsidR="00D47CE2" w:rsidRPr="00B25E57">
        <w:rPr>
          <w:lang w:val="es-ES_tradnl" w:eastAsia="zh-CN"/>
        </w:rPr>
        <w:t>2023</w:t>
      </w:r>
      <w:r w:rsidR="003A46A1" w:rsidRPr="00B25E57">
        <w:rPr>
          <w:lang w:val="es-ES_tradnl" w:eastAsia="zh-CN"/>
        </w:rPr>
        <w:t xml:space="preserve"> </w:t>
      </w:r>
      <w:r w:rsidR="00B241ED">
        <w:rPr>
          <w:lang w:val="es-ES_tradnl" w:eastAsia="zh-CN"/>
        </w:rPr>
        <w:t>e</w:t>
      </w:r>
      <w:r w:rsidR="00037589" w:rsidRPr="00B25E57">
        <w:rPr>
          <w:lang w:val="es-ES_tradnl" w:eastAsia="zh-CN"/>
        </w:rPr>
        <w:t>s</w:t>
      </w:r>
      <w:r w:rsidR="003A46A1" w:rsidRPr="00B25E57">
        <w:rPr>
          <w:lang w:val="es-ES_tradnl" w:eastAsia="zh-CN"/>
        </w:rPr>
        <w:t xml:space="preserve"> </w:t>
      </w:r>
      <w:r w:rsidR="00B241ED">
        <w:rPr>
          <w:lang w:val="es-ES_tradnl" w:eastAsia="zh-CN"/>
        </w:rPr>
        <w:t xml:space="preserve">de </w:t>
      </w:r>
      <w:r w:rsidR="00FB38C2" w:rsidRPr="00B25E57">
        <w:rPr>
          <w:lang w:val="es-ES_tradnl" w:eastAsia="zh-CN"/>
        </w:rPr>
        <w:t>3.</w:t>
      </w:r>
      <w:r w:rsidR="00037589" w:rsidRPr="00B25E57">
        <w:rPr>
          <w:lang w:val="es-ES_tradnl" w:eastAsia="zh-CN"/>
        </w:rPr>
        <w:t>86</w:t>
      </w:r>
      <w:r w:rsidR="004241C5" w:rsidRPr="00B25E57">
        <w:rPr>
          <w:lang w:val="es-ES_tradnl" w:eastAsia="zh-CN"/>
        </w:rPr>
        <w:t>7.</w:t>
      </w:r>
      <w:r w:rsidR="00037589" w:rsidRPr="00B25E57">
        <w:rPr>
          <w:lang w:val="es-ES_tradnl" w:eastAsia="zh-CN"/>
        </w:rPr>
        <w:t>270</w:t>
      </w:r>
      <w:r w:rsidR="007E0A81">
        <w:rPr>
          <w:lang w:val="es-ES_tradnl" w:eastAsia="zh-CN"/>
        </w:rPr>
        <w:t xml:space="preserve"> </w:t>
      </w:r>
      <w:r w:rsidR="007E0A81" w:rsidRPr="007E0A81">
        <w:rPr>
          <w:lang w:val="es-ES_tradnl" w:eastAsia="zh-CN"/>
        </w:rPr>
        <w:t>$EUA</w:t>
      </w:r>
      <w:r w:rsidR="00037589" w:rsidRPr="00B25E57">
        <w:rPr>
          <w:lang w:val="es-ES_tradnl" w:eastAsia="zh-CN"/>
        </w:rPr>
        <w:t>.</w:t>
      </w:r>
      <w:r w:rsidR="003A46A1" w:rsidRPr="00B25E57">
        <w:rPr>
          <w:lang w:val="es-ES_tradnl" w:eastAsia="zh-CN"/>
        </w:rPr>
        <w:t xml:space="preserve"> </w:t>
      </w:r>
      <w:r w:rsidR="00403BF1">
        <w:rPr>
          <w:lang w:val="es-ES_tradnl" w:eastAsia="zh-CN"/>
        </w:rPr>
        <w:t xml:space="preserve">Por </w:t>
      </w:r>
      <w:r w:rsidR="00403BF1" w:rsidRPr="00403BF1">
        <w:rPr>
          <w:lang w:val="es-ES_tradnl" w:eastAsia="zh-CN"/>
        </w:rPr>
        <w:t>consiguiente</w:t>
      </w:r>
      <w:r w:rsidR="00403BF1">
        <w:rPr>
          <w:lang w:val="es-ES_tradnl" w:eastAsia="zh-CN"/>
        </w:rPr>
        <w:t>, el monto total</w:t>
      </w:r>
      <w:r w:rsidR="003A46A1" w:rsidRPr="00B25E57">
        <w:rPr>
          <w:lang w:val="es-ES_tradnl" w:eastAsia="zh-CN"/>
        </w:rPr>
        <w:t xml:space="preserve"> </w:t>
      </w:r>
      <w:r w:rsidR="00403BF1">
        <w:rPr>
          <w:lang w:val="es-ES_tradnl" w:eastAsia="zh-CN"/>
        </w:rPr>
        <w:t xml:space="preserve">de la </w:t>
      </w:r>
      <w:r w:rsidR="00403BF1" w:rsidRPr="00403BF1">
        <w:rPr>
          <w:lang w:val="es-ES_tradnl" w:eastAsia="zh-CN"/>
        </w:rPr>
        <w:t xml:space="preserve">compensación </w:t>
      </w:r>
      <w:r w:rsidR="00403BF1">
        <w:rPr>
          <w:lang w:val="es-ES_tradnl" w:eastAsia="zh-CN"/>
        </w:rPr>
        <w:t xml:space="preserve">a pagar por el </w:t>
      </w:r>
      <w:r w:rsidR="00DF556D">
        <w:rPr>
          <w:lang w:val="es-ES_tradnl" w:eastAsia="zh-CN"/>
        </w:rPr>
        <w:t xml:space="preserve">cierre </w:t>
      </w:r>
      <w:r w:rsidR="00403BF1">
        <w:rPr>
          <w:lang w:val="es-ES_tradnl" w:eastAsia="zh-CN"/>
        </w:rPr>
        <w:t xml:space="preserve">ascendería a </w:t>
      </w:r>
      <w:r w:rsidR="004241C5" w:rsidRPr="00B25E57">
        <w:rPr>
          <w:lang w:val="es-ES_tradnl" w:eastAsia="zh-CN"/>
        </w:rPr>
        <w:t>5.</w:t>
      </w:r>
      <w:r w:rsidR="00037589" w:rsidRPr="00B25E57">
        <w:rPr>
          <w:lang w:val="es-ES_tradnl" w:eastAsia="zh-CN"/>
        </w:rPr>
        <w:t>05</w:t>
      </w:r>
      <w:r w:rsidR="004241C5" w:rsidRPr="00B25E57">
        <w:rPr>
          <w:lang w:val="es-ES_tradnl" w:eastAsia="zh-CN"/>
        </w:rPr>
        <w:t>6.</w:t>
      </w:r>
      <w:r w:rsidR="00037589" w:rsidRPr="00B25E57">
        <w:rPr>
          <w:lang w:val="es-ES_tradnl" w:eastAsia="zh-CN"/>
        </w:rPr>
        <w:t>353</w:t>
      </w:r>
      <w:r w:rsidR="00EF6EAC">
        <w:rPr>
          <w:lang w:val="es-ES_tradnl" w:eastAsia="zh-CN"/>
        </w:rPr>
        <w:t xml:space="preserve"> </w:t>
      </w:r>
      <w:r w:rsidR="00EF6EAC" w:rsidRPr="00EF6EAC">
        <w:rPr>
          <w:lang w:val="es-ES_tradnl" w:eastAsia="zh-CN"/>
        </w:rPr>
        <w:t>$EUA</w:t>
      </w:r>
      <w:r w:rsidR="00037589" w:rsidRPr="00B25E57">
        <w:rPr>
          <w:lang w:val="es-ES_tradnl" w:eastAsia="zh-CN"/>
        </w:rPr>
        <w:t>.</w:t>
      </w:r>
    </w:p>
    <w:p w14:paraId="107BD0F9" w14:textId="69DD0680" w:rsidR="00345E62" w:rsidRPr="00B25E57" w:rsidRDefault="00FB38C2" w:rsidP="00AD1D61">
      <w:pPr>
        <w:rPr>
          <w:b/>
          <w:lang w:val="es-ES_tradnl"/>
        </w:rPr>
      </w:pPr>
      <w:r w:rsidRPr="00B25E57">
        <w:rPr>
          <w:b/>
          <w:lang w:val="es-ES_tradnl"/>
        </w:rPr>
        <w:lastRenderedPageBreak/>
        <w:t>Observaciones</w:t>
      </w:r>
      <w:r w:rsidR="003A46A1" w:rsidRPr="00B25E57">
        <w:rPr>
          <w:b/>
          <w:lang w:val="es-ES_tradnl"/>
        </w:rPr>
        <w:t xml:space="preserve"> </w:t>
      </w:r>
      <w:r w:rsidRPr="00B25E57">
        <w:rPr>
          <w:b/>
          <w:lang w:val="es-ES_tradnl"/>
        </w:rPr>
        <w:t>de</w:t>
      </w:r>
      <w:r w:rsidR="003A46A1" w:rsidRPr="00B25E57">
        <w:rPr>
          <w:b/>
          <w:lang w:val="es-ES_tradnl"/>
        </w:rPr>
        <w:t xml:space="preserve"> </w:t>
      </w:r>
      <w:r w:rsidRPr="00B25E57">
        <w:rPr>
          <w:b/>
          <w:lang w:val="es-ES_tradnl"/>
        </w:rPr>
        <w:t>la</w:t>
      </w:r>
      <w:r w:rsidR="003A46A1" w:rsidRPr="00B25E57">
        <w:rPr>
          <w:b/>
          <w:lang w:val="es-ES_tradnl"/>
        </w:rPr>
        <w:t xml:space="preserve"> </w:t>
      </w:r>
      <w:r w:rsidRPr="00B25E57">
        <w:rPr>
          <w:b/>
          <w:lang w:val="es-ES_tradnl"/>
        </w:rPr>
        <w:t>Secretaría</w:t>
      </w:r>
    </w:p>
    <w:p w14:paraId="790C9774" w14:textId="77777777" w:rsidR="00345E62" w:rsidRPr="00B25E57" w:rsidRDefault="00345E62" w:rsidP="00AD1D61">
      <w:pPr>
        <w:rPr>
          <w:lang w:val="es-ES_tradnl"/>
        </w:rPr>
      </w:pPr>
    </w:p>
    <w:p w14:paraId="28585A09" w14:textId="6B640EC9" w:rsidR="007B22B4" w:rsidRPr="00B25E57" w:rsidRDefault="00F33C58" w:rsidP="00AD1D61">
      <w:pPr>
        <w:rPr>
          <w:u w:val="single"/>
          <w:lang w:val="es-ES_tradnl"/>
        </w:rPr>
      </w:pPr>
      <w:r w:rsidRPr="00B25E57">
        <w:rPr>
          <w:u w:val="single"/>
          <w:lang w:val="es-ES_tradnl"/>
        </w:rPr>
        <w:t>Opción</w:t>
      </w:r>
      <w:r w:rsidR="003A46A1" w:rsidRPr="00B25E57">
        <w:rPr>
          <w:u w:val="single"/>
          <w:lang w:val="es-ES_tradnl"/>
        </w:rPr>
        <w:t xml:space="preserve"> </w:t>
      </w:r>
      <w:r w:rsidR="00345E62" w:rsidRPr="00B25E57">
        <w:rPr>
          <w:u w:val="single"/>
          <w:lang w:val="es-ES_tradnl"/>
        </w:rPr>
        <w:t>1:</w:t>
      </w:r>
      <w:r w:rsidR="003A46A1" w:rsidRPr="00B25E57">
        <w:rPr>
          <w:u w:val="single"/>
          <w:lang w:val="es-ES_tradnl"/>
        </w:rPr>
        <w:t xml:space="preserve"> </w:t>
      </w:r>
      <w:r w:rsidR="003C755C">
        <w:rPr>
          <w:u w:val="single"/>
          <w:lang w:val="es-ES_tradnl"/>
        </w:rPr>
        <w:t>Cese de la producción de HCFC-22</w:t>
      </w:r>
    </w:p>
    <w:p w14:paraId="769D0FAE" w14:textId="09DE1856" w:rsidR="00345E62" w:rsidRPr="00B25E57" w:rsidRDefault="00345E62" w:rsidP="00AD1D61">
      <w:pPr>
        <w:rPr>
          <w:lang w:val="es-ES_tradnl"/>
        </w:rPr>
      </w:pPr>
    </w:p>
    <w:p w14:paraId="026F8D50" w14:textId="75ABAE01" w:rsidR="00345E62" w:rsidRPr="00B25E57" w:rsidRDefault="004241C5" w:rsidP="00AD1D61">
      <w:pPr>
        <w:pStyle w:val="Heading1"/>
        <w:rPr>
          <w:lang w:val="es-ES_tradnl"/>
        </w:rPr>
      </w:pPr>
      <w:r w:rsidRPr="00B25E57">
        <w:rPr>
          <w:lang w:val="es-ES_tradnl"/>
        </w:rPr>
        <w:t>La</w:t>
      </w:r>
      <w:r w:rsidR="003A46A1" w:rsidRPr="00B25E57">
        <w:rPr>
          <w:lang w:val="es-ES_tradnl"/>
        </w:rPr>
        <w:t xml:space="preserve"> </w:t>
      </w:r>
      <w:r w:rsidR="007D7382" w:rsidRPr="00B25E57">
        <w:rPr>
          <w:lang w:val="es-ES_tradnl"/>
        </w:rPr>
        <w:t>Secretaría</w:t>
      </w:r>
      <w:r w:rsidR="003A46A1" w:rsidRPr="00B25E57">
        <w:rPr>
          <w:lang w:val="es-ES_tradnl"/>
        </w:rPr>
        <w:t xml:space="preserve"> </w:t>
      </w:r>
      <w:r w:rsidR="007D7382" w:rsidRPr="00B25E57">
        <w:rPr>
          <w:lang w:val="es-ES_tradnl"/>
        </w:rPr>
        <w:t>tomó</w:t>
      </w:r>
      <w:r w:rsidR="003A46A1" w:rsidRPr="00B25E57">
        <w:rPr>
          <w:lang w:val="es-ES_tradnl"/>
        </w:rPr>
        <w:t xml:space="preserve"> </w:t>
      </w:r>
      <w:r w:rsidR="007D7382" w:rsidRPr="00B25E57">
        <w:rPr>
          <w:lang w:val="es-ES_tradnl"/>
        </w:rPr>
        <w:t>nota</w:t>
      </w:r>
      <w:r w:rsidR="003A46A1" w:rsidRPr="00B25E57">
        <w:rPr>
          <w:lang w:val="es-ES_tradnl"/>
        </w:rPr>
        <w:t xml:space="preserve"> </w:t>
      </w:r>
      <w:r w:rsidR="007D7382" w:rsidRPr="00B25E57">
        <w:rPr>
          <w:lang w:val="es-ES_tradnl"/>
        </w:rPr>
        <w:t>de</w:t>
      </w:r>
      <w:r w:rsidR="003A46A1" w:rsidRPr="00B25E57">
        <w:rPr>
          <w:lang w:val="es-ES_tradnl"/>
        </w:rPr>
        <w:t xml:space="preserve"> </w:t>
      </w:r>
      <w:r w:rsidR="00CC6CDA">
        <w:rPr>
          <w:lang w:val="es-ES_tradnl"/>
        </w:rPr>
        <w:t>lo</w:t>
      </w:r>
      <w:r w:rsidR="003A46A1" w:rsidRPr="00B25E57">
        <w:rPr>
          <w:lang w:val="es-ES_tradnl"/>
        </w:rPr>
        <w:t xml:space="preserve"> </w:t>
      </w:r>
      <w:r w:rsidR="00CC6CDA">
        <w:rPr>
          <w:lang w:val="es-ES_tradnl"/>
        </w:rPr>
        <w:t>siguiente</w:t>
      </w:r>
      <w:r w:rsidR="00345E62" w:rsidRPr="00B25E57">
        <w:rPr>
          <w:lang w:val="es-ES_tradnl"/>
        </w:rPr>
        <w:t>:</w:t>
      </w:r>
    </w:p>
    <w:p w14:paraId="0C8CD65C" w14:textId="13A26AC2" w:rsidR="00345E62" w:rsidRPr="00B25E57" w:rsidRDefault="00FB2DA5" w:rsidP="00AD1D61">
      <w:pPr>
        <w:pStyle w:val="Heading2"/>
        <w:numPr>
          <w:ilvl w:val="1"/>
          <w:numId w:val="33"/>
        </w:numPr>
        <w:ind w:left="1417" w:hanging="708"/>
        <w:rPr>
          <w:lang w:val="es-ES_tradnl"/>
        </w:rPr>
      </w:pPr>
      <w:r>
        <w:rPr>
          <w:lang w:val="es-ES_tradnl"/>
        </w:rPr>
        <w:t xml:space="preserve">Desde el </w:t>
      </w:r>
      <w:r w:rsidR="00AA5D76">
        <w:rPr>
          <w:lang w:val="es-ES_tradnl"/>
        </w:rPr>
        <w:t>año</w:t>
      </w:r>
      <w:r w:rsidR="003A46A1" w:rsidRPr="00B25E57">
        <w:rPr>
          <w:lang w:val="es-ES_tradnl"/>
        </w:rPr>
        <w:t xml:space="preserve"> </w:t>
      </w:r>
      <w:r w:rsidR="00345E62" w:rsidRPr="00B25E57">
        <w:rPr>
          <w:lang w:val="es-ES_tradnl"/>
        </w:rPr>
        <w:t>201</w:t>
      </w:r>
      <w:r w:rsidR="00444EDA">
        <w:rPr>
          <w:lang w:val="es-ES_tradnl"/>
        </w:rPr>
        <w:t>3</w:t>
      </w:r>
      <w:r w:rsidR="003A46A1" w:rsidRPr="00B25E57">
        <w:rPr>
          <w:lang w:val="es-ES_tradnl"/>
        </w:rPr>
        <w:t xml:space="preserve"> </w:t>
      </w:r>
      <w:r w:rsidR="00345E62" w:rsidRPr="00B25E57">
        <w:rPr>
          <w:lang w:val="es-ES_tradnl"/>
        </w:rPr>
        <w:t>FIASA</w:t>
      </w:r>
      <w:r w:rsidR="003A46A1" w:rsidRPr="00B25E57">
        <w:rPr>
          <w:lang w:val="es-ES_tradnl"/>
        </w:rPr>
        <w:t xml:space="preserve"> </w:t>
      </w:r>
      <w:r w:rsidR="00A00051">
        <w:rPr>
          <w:lang w:val="es-ES_tradnl"/>
        </w:rPr>
        <w:t>viene uti</w:t>
      </w:r>
      <w:r w:rsidR="00E317C9">
        <w:rPr>
          <w:lang w:val="es-ES_tradnl"/>
        </w:rPr>
        <w:t xml:space="preserve">lizando </w:t>
      </w:r>
      <w:r w:rsidR="00A00051">
        <w:rPr>
          <w:lang w:val="es-ES_tradnl"/>
        </w:rPr>
        <w:t xml:space="preserve">menos del </w:t>
      </w:r>
      <w:r w:rsidR="00345E62" w:rsidRPr="00B25E57">
        <w:rPr>
          <w:lang w:val="es-ES_tradnl"/>
        </w:rPr>
        <w:t>50</w:t>
      </w:r>
      <w:r w:rsidR="00FB38C2" w:rsidRPr="00B25E57">
        <w:rPr>
          <w:lang w:val="es-ES_tradnl"/>
        </w:rPr>
        <w:t>%</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942C6" w:rsidRPr="00B25E57">
        <w:rPr>
          <w:lang w:val="es-ES_tradnl"/>
        </w:rPr>
        <w:t>su</w:t>
      </w:r>
      <w:r w:rsidR="003A46A1" w:rsidRPr="00B25E57">
        <w:rPr>
          <w:lang w:val="es-ES_tradnl"/>
        </w:rPr>
        <w:t xml:space="preserve"> </w:t>
      </w:r>
      <w:r w:rsidR="00A52AB3">
        <w:rPr>
          <w:lang w:val="es-ES_tradnl"/>
        </w:rPr>
        <w:t>capacidad de producción</w:t>
      </w:r>
      <w:r w:rsidR="00345E62" w:rsidRPr="00B25E57">
        <w:rPr>
          <w:lang w:val="es-ES_tradnl"/>
        </w:rPr>
        <w:t>;</w:t>
      </w:r>
      <w:r w:rsidR="003A46A1" w:rsidRPr="00B25E57">
        <w:rPr>
          <w:lang w:val="es-ES_tradnl"/>
        </w:rPr>
        <w:t xml:space="preserve"> </w:t>
      </w:r>
      <w:r w:rsidR="002B489D">
        <w:rPr>
          <w:lang w:val="es-ES_tradnl"/>
        </w:rPr>
        <w:t xml:space="preserve">la cifra </w:t>
      </w:r>
      <w:r w:rsidR="004241C5" w:rsidRPr="00B25E57">
        <w:rPr>
          <w:lang w:val="es-ES_tradnl"/>
        </w:rPr>
        <w:t>en</w:t>
      </w:r>
      <w:r w:rsidR="003A46A1" w:rsidRPr="00B25E57">
        <w:rPr>
          <w:lang w:val="es-ES_tradnl"/>
        </w:rPr>
        <w:t xml:space="preserve"> </w:t>
      </w:r>
      <w:r w:rsidR="00345E62" w:rsidRPr="00B25E57">
        <w:rPr>
          <w:lang w:val="es-ES_tradnl"/>
        </w:rPr>
        <w:t>201</w:t>
      </w:r>
      <w:r w:rsidR="00307AAE">
        <w:rPr>
          <w:lang w:val="es-ES_tradnl"/>
        </w:rPr>
        <w:t>8</w:t>
      </w:r>
      <w:r w:rsidR="003A46A1" w:rsidRPr="00B25E57">
        <w:rPr>
          <w:lang w:val="es-ES_tradnl"/>
        </w:rPr>
        <w:t xml:space="preserve"> </w:t>
      </w:r>
      <w:r w:rsidR="00F234F3">
        <w:rPr>
          <w:lang w:val="es-ES_tradnl"/>
        </w:rPr>
        <w:t xml:space="preserve">fue </w:t>
      </w:r>
      <w:r w:rsidR="002E65F9">
        <w:rPr>
          <w:lang w:val="es-ES_tradnl"/>
        </w:rPr>
        <w:t xml:space="preserve">incluso menor al </w:t>
      </w:r>
      <w:r w:rsidR="00345E62" w:rsidRPr="00B25E57">
        <w:rPr>
          <w:lang w:val="es-ES_tradnl"/>
        </w:rPr>
        <w:t>24</w:t>
      </w:r>
      <w:r w:rsidR="00FB38C2" w:rsidRPr="00B25E57">
        <w:rPr>
          <w:lang w:val="es-ES_tradnl"/>
        </w:rPr>
        <w:t>%</w:t>
      </w:r>
      <w:r w:rsidR="00345E62" w:rsidRPr="00B25E57">
        <w:rPr>
          <w:lang w:val="es-ES_tradnl"/>
        </w:rPr>
        <w:t>;</w:t>
      </w:r>
    </w:p>
    <w:p w14:paraId="120845EB" w14:textId="3444555C" w:rsidR="00345E62" w:rsidRPr="00B25E57" w:rsidRDefault="00B9546A" w:rsidP="00AD1D61">
      <w:pPr>
        <w:pStyle w:val="Heading2"/>
        <w:numPr>
          <w:ilvl w:val="1"/>
          <w:numId w:val="33"/>
        </w:numPr>
        <w:ind w:left="1417" w:hanging="708"/>
        <w:rPr>
          <w:lang w:val="es-ES_tradnl"/>
        </w:rPr>
      </w:pPr>
      <w:r>
        <w:rPr>
          <w:lang w:val="es-ES_tradnl"/>
        </w:rPr>
        <w:t xml:space="preserve">Desde el </w:t>
      </w:r>
      <w:r w:rsidR="000B2E5E">
        <w:rPr>
          <w:lang w:val="es-ES_tradnl"/>
        </w:rPr>
        <w:t>año</w:t>
      </w:r>
      <w:r w:rsidR="000B2E5E" w:rsidRPr="00B25E57">
        <w:rPr>
          <w:lang w:val="es-ES_tradnl"/>
        </w:rPr>
        <w:t xml:space="preserve"> 201</w:t>
      </w:r>
      <w:r w:rsidR="000B2E5E">
        <w:rPr>
          <w:lang w:val="es-ES_tradnl"/>
        </w:rPr>
        <w:t>3</w:t>
      </w:r>
      <w:r w:rsidR="000B2E5E" w:rsidRPr="00B25E57">
        <w:rPr>
          <w:lang w:val="es-ES_tradnl"/>
        </w:rPr>
        <w:t xml:space="preserve"> FIASA </w:t>
      </w:r>
      <w:r w:rsidR="000B2E5E">
        <w:rPr>
          <w:lang w:val="es-ES_tradnl"/>
        </w:rPr>
        <w:t>viene utilizando menos del</w:t>
      </w:r>
      <w:r w:rsidR="003A46A1" w:rsidRPr="00B25E57">
        <w:rPr>
          <w:lang w:val="es-ES_tradnl"/>
        </w:rPr>
        <w:t xml:space="preserve"> </w:t>
      </w:r>
      <w:r w:rsidR="00345E62" w:rsidRPr="00B25E57">
        <w:rPr>
          <w:lang w:val="es-ES_tradnl"/>
        </w:rPr>
        <w:t>67</w:t>
      </w:r>
      <w:r w:rsidR="00FB38C2" w:rsidRPr="00B25E57">
        <w:rPr>
          <w:lang w:val="es-ES_tradnl"/>
        </w:rPr>
        <w:t>%</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942C6" w:rsidRPr="00B25E57">
        <w:rPr>
          <w:lang w:val="es-ES_tradnl"/>
        </w:rPr>
        <w:t>su</w:t>
      </w:r>
      <w:r w:rsidR="003A46A1" w:rsidRPr="00B25E57">
        <w:rPr>
          <w:lang w:val="es-ES_tradnl"/>
        </w:rPr>
        <w:t xml:space="preserve"> </w:t>
      </w:r>
      <w:r w:rsidR="00E37F51">
        <w:rPr>
          <w:lang w:val="es-ES_tradnl"/>
        </w:rPr>
        <w:t>cuota de producción</w:t>
      </w:r>
      <w:r w:rsidR="00345E62" w:rsidRPr="00B25E57">
        <w:rPr>
          <w:lang w:val="es-ES_tradnl"/>
        </w:rPr>
        <w:t>;</w:t>
      </w:r>
      <w:r w:rsidR="003A46A1" w:rsidRPr="00B25E57">
        <w:rPr>
          <w:lang w:val="es-ES_tradnl"/>
        </w:rPr>
        <w:t xml:space="preserve"> </w:t>
      </w:r>
      <w:r w:rsidR="00F80931">
        <w:rPr>
          <w:lang w:val="es-ES_tradnl"/>
        </w:rPr>
        <w:t xml:space="preserve">la cifra </w:t>
      </w:r>
      <w:r w:rsidR="004241C5" w:rsidRPr="00B25E57">
        <w:rPr>
          <w:lang w:val="es-ES_tradnl"/>
        </w:rPr>
        <w:t>en</w:t>
      </w:r>
      <w:r w:rsidR="003A46A1" w:rsidRPr="00B25E57">
        <w:rPr>
          <w:lang w:val="es-ES_tradnl"/>
        </w:rPr>
        <w:t xml:space="preserve"> </w:t>
      </w:r>
      <w:r w:rsidR="00345E62" w:rsidRPr="00B25E57">
        <w:rPr>
          <w:lang w:val="es-ES_tradnl"/>
        </w:rPr>
        <w:t>201</w:t>
      </w:r>
      <w:r w:rsidR="00F80931">
        <w:rPr>
          <w:lang w:val="es-ES_tradnl"/>
        </w:rPr>
        <w:t xml:space="preserve">8 fue cercana al </w:t>
      </w:r>
      <w:r w:rsidR="00345E62" w:rsidRPr="00B25E57">
        <w:rPr>
          <w:lang w:val="es-ES_tradnl"/>
        </w:rPr>
        <w:t>32</w:t>
      </w:r>
      <w:r w:rsidR="00FB38C2" w:rsidRPr="00B25E57">
        <w:rPr>
          <w:lang w:val="es-ES_tradnl"/>
        </w:rPr>
        <w:t>%</w:t>
      </w:r>
      <w:r w:rsidR="00345E62" w:rsidRPr="00B25E57">
        <w:rPr>
          <w:lang w:val="es-ES_tradnl"/>
        </w:rPr>
        <w:t>;</w:t>
      </w:r>
    </w:p>
    <w:p w14:paraId="626EFF35" w14:textId="1703504C" w:rsidR="00345E62" w:rsidRPr="00B25E57" w:rsidRDefault="004241C5" w:rsidP="00AD1D61">
      <w:pPr>
        <w:pStyle w:val="Heading2"/>
        <w:numPr>
          <w:ilvl w:val="1"/>
          <w:numId w:val="33"/>
        </w:numPr>
        <w:ind w:left="1417" w:hanging="708"/>
        <w:rPr>
          <w:lang w:val="es-ES_tradnl"/>
        </w:rPr>
      </w:pPr>
      <w:r w:rsidRPr="00B25E57">
        <w:rPr>
          <w:lang w:val="es-ES_tradnl"/>
        </w:rPr>
        <w:t>En</w:t>
      </w:r>
      <w:r w:rsidR="003A46A1" w:rsidRPr="00B25E57">
        <w:rPr>
          <w:lang w:val="es-ES_tradnl"/>
        </w:rPr>
        <w:t xml:space="preserve"> </w:t>
      </w:r>
      <w:r w:rsidR="00345E62" w:rsidRPr="00B25E57">
        <w:rPr>
          <w:lang w:val="es-ES_tradnl"/>
        </w:rPr>
        <w:t>201</w:t>
      </w:r>
      <w:r w:rsidR="00930E52">
        <w:rPr>
          <w:lang w:val="es-ES_tradnl"/>
        </w:rPr>
        <w:t>4,</w:t>
      </w:r>
      <w:r w:rsidR="003A46A1" w:rsidRPr="00B25E57">
        <w:rPr>
          <w:lang w:val="es-ES_tradnl"/>
        </w:rPr>
        <w:t xml:space="preserve"> </w:t>
      </w:r>
      <w:r w:rsidR="00930E52">
        <w:rPr>
          <w:lang w:val="es-ES_tradnl"/>
        </w:rPr>
        <w:t>la línea de producción de HCFC-22</w:t>
      </w:r>
      <w:r w:rsidR="003A46A1" w:rsidRPr="00B25E57">
        <w:rPr>
          <w:lang w:val="es-ES_tradnl"/>
        </w:rPr>
        <w:t xml:space="preserve"> </w:t>
      </w:r>
      <w:r w:rsidR="00930E52">
        <w:rPr>
          <w:lang w:val="es-ES_tradnl"/>
        </w:rPr>
        <w:t>operó</w:t>
      </w:r>
      <w:r w:rsidR="003A46A1" w:rsidRPr="00B25E57">
        <w:rPr>
          <w:lang w:val="es-ES_tradnl"/>
        </w:rPr>
        <w:t xml:space="preserve"> </w:t>
      </w:r>
      <w:r w:rsidR="00345E62" w:rsidRPr="00B25E57">
        <w:rPr>
          <w:lang w:val="es-ES_tradnl"/>
        </w:rPr>
        <w:t>283</w:t>
      </w:r>
      <w:r w:rsidR="003A46A1" w:rsidRPr="00B25E57">
        <w:rPr>
          <w:lang w:val="es-ES_tradnl"/>
        </w:rPr>
        <w:t xml:space="preserve"> </w:t>
      </w:r>
      <w:r w:rsidR="008A3316" w:rsidRPr="00B25E57">
        <w:rPr>
          <w:lang w:val="es-ES_tradnl"/>
        </w:rPr>
        <w:t>días</w:t>
      </w:r>
      <w:r w:rsidR="003A46A1" w:rsidRPr="00B25E57">
        <w:rPr>
          <w:lang w:val="es-ES_tradnl"/>
        </w:rPr>
        <w:t xml:space="preserve"> </w:t>
      </w:r>
      <w:r w:rsidR="002B68DB">
        <w:rPr>
          <w:lang w:val="es-ES_tradnl"/>
        </w:rPr>
        <w:t xml:space="preserve">al </w:t>
      </w:r>
      <w:r w:rsidR="00FB38C2" w:rsidRPr="00B25E57">
        <w:rPr>
          <w:lang w:val="es-ES_tradnl"/>
        </w:rPr>
        <w:t>año</w:t>
      </w:r>
      <w:r w:rsidR="00345E62" w:rsidRPr="00B25E57">
        <w:rPr>
          <w:lang w:val="es-ES_tradnl"/>
        </w:rPr>
        <w:t>;</w:t>
      </w:r>
      <w:r w:rsidR="003A46A1" w:rsidRPr="00B25E57">
        <w:rPr>
          <w:lang w:val="es-ES_tradnl"/>
        </w:rPr>
        <w:t xml:space="preserve"> </w:t>
      </w:r>
      <w:r w:rsidRPr="00B25E57">
        <w:rPr>
          <w:lang w:val="es-ES_tradnl"/>
        </w:rPr>
        <w:t>en</w:t>
      </w:r>
      <w:r w:rsidR="003A46A1" w:rsidRPr="00B25E57">
        <w:rPr>
          <w:lang w:val="es-ES_tradnl"/>
        </w:rPr>
        <w:t xml:space="preserve"> </w:t>
      </w:r>
      <w:r w:rsidR="00345E62" w:rsidRPr="00B25E57">
        <w:rPr>
          <w:lang w:val="es-ES_tradnl"/>
        </w:rPr>
        <w:t>201</w:t>
      </w:r>
      <w:r w:rsidR="0032235C">
        <w:rPr>
          <w:lang w:val="es-ES_tradnl"/>
        </w:rPr>
        <w:t>8</w:t>
      </w:r>
      <w:r w:rsidR="003A46A1" w:rsidRPr="00B25E57">
        <w:rPr>
          <w:lang w:val="es-ES_tradnl"/>
        </w:rPr>
        <w:t xml:space="preserve"> </w:t>
      </w:r>
      <w:r w:rsidR="001176FC" w:rsidRPr="001176FC">
        <w:rPr>
          <w:lang w:val="es-ES_tradnl"/>
        </w:rPr>
        <w:t>operó</w:t>
      </w:r>
      <w:r w:rsidR="0032235C">
        <w:rPr>
          <w:lang w:val="es-ES_tradnl"/>
        </w:rPr>
        <w:t xml:space="preserve"> </w:t>
      </w:r>
      <w:r w:rsidR="00345E62" w:rsidRPr="00B25E57">
        <w:rPr>
          <w:lang w:val="es-ES_tradnl"/>
        </w:rPr>
        <w:t>150</w:t>
      </w:r>
      <w:r w:rsidR="00BA7F82">
        <w:rPr>
          <w:lang w:val="es-ES_tradnl"/>
        </w:rPr>
        <w:t> </w:t>
      </w:r>
      <w:r w:rsidR="008A3316" w:rsidRPr="00B25E57">
        <w:rPr>
          <w:lang w:val="es-ES_tradnl"/>
        </w:rPr>
        <w:t>días</w:t>
      </w:r>
      <w:r w:rsidR="00345E62" w:rsidRPr="00B25E57">
        <w:rPr>
          <w:lang w:val="es-ES_tradnl"/>
        </w:rPr>
        <w:t>.</w:t>
      </w:r>
      <w:r w:rsidR="003A46A1" w:rsidRPr="00B25E57">
        <w:rPr>
          <w:lang w:val="es-ES_tradnl"/>
        </w:rPr>
        <w:t xml:space="preserve"> </w:t>
      </w:r>
      <w:r w:rsidR="00170929">
        <w:rPr>
          <w:lang w:val="es-ES_tradnl"/>
        </w:rPr>
        <w:t>Para todos los efectos, los</w:t>
      </w:r>
      <w:r w:rsidR="00A52AB3">
        <w:rPr>
          <w:lang w:val="es-ES_tradnl"/>
        </w:rPr>
        <w:t xml:space="preserve"> gastos fijos</w:t>
      </w:r>
      <w:r w:rsidR="00960FDB">
        <w:rPr>
          <w:lang w:val="es-ES_tradnl"/>
        </w:rPr>
        <w:t xml:space="preserve">, </w:t>
      </w:r>
      <w:r w:rsidR="00C87DCE">
        <w:rPr>
          <w:lang w:val="es-ES_tradnl"/>
        </w:rPr>
        <w:t>como la mano de obra</w:t>
      </w:r>
      <w:r w:rsidR="00960FDB">
        <w:rPr>
          <w:lang w:val="es-ES_tradnl"/>
        </w:rPr>
        <w:t>,</w:t>
      </w:r>
      <w:r w:rsidR="00C87DCE">
        <w:rPr>
          <w:lang w:val="es-ES_tradnl"/>
        </w:rPr>
        <w:t xml:space="preserve"> </w:t>
      </w:r>
      <w:r w:rsidR="006108C7">
        <w:rPr>
          <w:lang w:val="es-ES_tradnl"/>
        </w:rPr>
        <w:t xml:space="preserve">son </w:t>
      </w:r>
      <w:r w:rsidR="00E22238" w:rsidRPr="00B25E57">
        <w:rPr>
          <w:lang w:val="es-ES_tradnl"/>
        </w:rPr>
        <w:t>independiente</w:t>
      </w:r>
      <w:r w:rsidR="006108C7">
        <w:rPr>
          <w:lang w:val="es-ES_tradnl"/>
        </w:rPr>
        <w:t>s</w:t>
      </w:r>
      <w:r w:rsidR="003A46A1" w:rsidRPr="00B25E57">
        <w:rPr>
          <w:lang w:val="es-ES_tradnl"/>
        </w:rPr>
        <w:t xml:space="preserve"> </w:t>
      </w:r>
      <w:r w:rsidR="004057BA" w:rsidRPr="00B25E57">
        <w:rPr>
          <w:lang w:val="es-ES_tradnl"/>
        </w:rPr>
        <w:t>del</w:t>
      </w:r>
      <w:r w:rsidR="003A46A1" w:rsidRPr="00B25E57">
        <w:rPr>
          <w:lang w:val="es-ES_tradnl"/>
        </w:rPr>
        <w:t xml:space="preserve"> </w:t>
      </w:r>
      <w:r w:rsidRPr="00B25E57">
        <w:rPr>
          <w:lang w:val="es-ES_tradnl"/>
        </w:rPr>
        <w:t>número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3316" w:rsidRPr="00B25E57">
        <w:rPr>
          <w:lang w:val="es-ES_tradnl"/>
        </w:rPr>
        <w:t>días</w:t>
      </w:r>
      <w:r w:rsidR="003A46A1" w:rsidRPr="00B25E57">
        <w:rPr>
          <w:lang w:val="es-ES_tradnl"/>
        </w:rPr>
        <w:t xml:space="preserve"> </w:t>
      </w:r>
      <w:r w:rsidR="00FB38C2" w:rsidRPr="00B25E57">
        <w:rPr>
          <w:lang w:val="es-ES_tradnl"/>
        </w:rPr>
        <w:t>de</w:t>
      </w:r>
      <w:r w:rsidR="003A46A1" w:rsidRPr="00B25E57">
        <w:rPr>
          <w:lang w:val="es-ES_tradnl"/>
        </w:rPr>
        <w:t xml:space="preserve"> </w:t>
      </w:r>
      <w:r w:rsidRPr="00B25E57">
        <w:rPr>
          <w:lang w:val="es-ES_tradnl"/>
        </w:rPr>
        <w:t>operación</w:t>
      </w:r>
      <w:r w:rsidR="003A46A1" w:rsidRPr="00B25E57">
        <w:rPr>
          <w:lang w:val="es-ES_tradnl"/>
        </w:rPr>
        <w:t xml:space="preserve"> </w:t>
      </w:r>
      <w:r w:rsidR="00FB38C2" w:rsidRPr="00B25E57">
        <w:rPr>
          <w:lang w:val="es-ES_tradnl"/>
        </w:rPr>
        <w:t>y</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D5A48">
        <w:rPr>
          <w:lang w:val="es-ES_tradnl"/>
        </w:rPr>
        <w:t xml:space="preserve">la </w:t>
      </w:r>
      <w:r w:rsidR="00A551D3">
        <w:rPr>
          <w:lang w:val="es-ES_tradnl"/>
        </w:rPr>
        <w:t>capacidad utilizada</w:t>
      </w:r>
      <w:r w:rsidR="00345E62" w:rsidRPr="00B25E57">
        <w:rPr>
          <w:lang w:val="es-ES_tradnl"/>
        </w:rPr>
        <w:t>.</w:t>
      </w:r>
      <w:r w:rsidR="003A46A1" w:rsidRPr="00B25E57">
        <w:rPr>
          <w:lang w:val="es-ES_tradnl"/>
        </w:rPr>
        <w:t xml:space="preserve"> </w:t>
      </w:r>
      <w:r w:rsidR="001951D5">
        <w:rPr>
          <w:lang w:val="es-ES_tradnl"/>
        </w:rPr>
        <w:t>A modo de referencia</w:t>
      </w:r>
      <w:r w:rsidR="00345E62" w:rsidRPr="00B25E57">
        <w:rPr>
          <w:lang w:val="es-ES_tradnl"/>
        </w:rPr>
        <w:t>,</w:t>
      </w:r>
      <w:r w:rsidR="003A46A1" w:rsidRPr="00B25E57">
        <w:rPr>
          <w:lang w:val="es-ES_tradnl"/>
        </w:rPr>
        <w:t xml:space="preserve"> </w:t>
      </w:r>
      <w:r w:rsidR="00D44ACF" w:rsidRPr="00D44ACF">
        <w:rPr>
          <w:lang w:val="es-ES_tradnl"/>
        </w:rPr>
        <w:t>en otros países del artículo 5</w:t>
      </w:r>
      <w:r w:rsidR="00D44ACF">
        <w:rPr>
          <w:lang w:val="es-ES_tradnl"/>
        </w:rPr>
        <w:t xml:space="preserve"> hay </w:t>
      </w:r>
      <w:r w:rsidR="001951D5">
        <w:rPr>
          <w:lang w:val="es-ES_tradnl"/>
        </w:rPr>
        <w:t>líneas de HCFC-22</w:t>
      </w:r>
      <w:r w:rsidR="003A46A1" w:rsidRPr="00B25E57">
        <w:rPr>
          <w:lang w:val="es-ES_tradnl"/>
        </w:rPr>
        <w:t xml:space="preserve"> </w:t>
      </w:r>
      <w:r w:rsidR="00D44ACF">
        <w:rPr>
          <w:lang w:val="es-ES_tradnl"/>
        </w:rPr>
        <w:t xml:space="preserve">que operan </w:t>
      </w:r>
      <w:r w:rsidR="00A4343B" w:rsidRPr="00B25E57">
        <w:rPr>
          <w:lang w:val="es-ES_tradnl"/>
        </w:rPr>
        <w:t>más</w:t>
      </w:r>
      <w:r w:rsidR="003A46A1" w:rsidRPr="00B25E57">
        <w:rPr>
          <w:lang w:val="es-ES_tradnl"/>
        </w:rPr>
        <w:t xml:space="preserve"> </w:t>
      </w:r>
      <w:r w:rsidR="00A4343B" w:rsidRPr="00B25E57">
        <w:rPr>
          <w:lang w:val="es-ES_tradnl"/>
        </w:rPr>
        <w:t>de</w:t>
      </w:r>
      <w:r w:rsidR="003A46A1" w:rsidRPr="00B25E57">
        <w:rPr>
          <w:lang w:val="es-ES_tradnl"/>
        </w:rPr>
        <w:t xml:space="preserve"> </w:t>
      </w:r>
      <w:r w:rsidR="00345E62" w:rsidRPr="00B25E57">
        <w:rPr>
          <w:lang w:val="es-ES_tradnl"/>
        </w:rPr>
        <w:t>340</w:t>
      </w:r>
      <w:r w:rsidR="003A46A1" w:rsidRPr="00B25E57">
        <w:rPr>
          <w:lang w:val="es-ES_tradnl"/>
        </w:rPr>
        <w:t xml:space="preserve"> </w:t>
      </w:r>
      <w:r w:rsidR="00F65269">
        <w:rPr>
          <w:lang w:val="es-ES_tradnl"/>
        </w:rPr>
        <w:t>días al año</w:t>
      </w:r>
      <w:r w:rsidR="003A46A1" w:rsidRPr="00B25E57">
        <w:rPr>
          <w:lang w:val="es-ES_tradnl"/>
        </w:rPr>
        <w:t xml:space="preserve"> </w:t>
      </w:r>
      <w:r w:rsidR="00F65269">
        <w:rPr>
          <w:lang w:val="es-ES_tradnl"/>
        </w:rPr>
        <w:t xml:space="preserve">al </w:t>
      </w:r>
      <w:r w:rsidR="00345E62" w:rsidRPr="00B25E57">
        <w:rPr>
          <w:lang w:val="es-ES_tradnl"/>
        </w:rPr>
        <w:t>100</w:t>
      </w:r>
      <w:r w:rsidR="00FB38C2" w:rsidRPr="00B25E57">
        <w:rPr>
          <w:lang w:val="es-ES_tradnl"/>
        </w:rPr>
        <w:t>%</w:t>
      </w:r>
      <w:r w:rsidR="003A46A1" w:rsidRPr="00B25E57">
        <w:rPr>
          <w:lang w:val="es-ES_tradnl"/>
        </w:rPr>
        <w:t xml:space="preserve"> </w:t>
      </w:r>
      <w:r w:rsidR="002F0A0C">
        <w:rPr>
          <w:lang w:val="es-ES_tradnl"/>
        </w:rPr>
        <w:t xml:space="preserve">de </w:t>
      </w:r>
      <w:r w:rsidR="004057BA" w:rsidRPr="00B25E57">
        <w:rPr>
          <w:lang w:val="es-ES_tradnl"/>
        </w:rPr>
        <w:t>capacidad</w:t>
      </w:r>
      <w:r w:rsidR="004515AE">
        <w:rPr>
          <w:lang w:val="es-ES_tradnl"/>
        </w:rPr>
        <w:t xml:space="preserve"> e </w:t>
      </w:r>
      <w:r w:rsidR="004515AE" w:rsidRPr="004515AE">
        <w:rPr>
          <w:lang w:val="es-ES_tradnl"/>
        </w:rPr>
        <w:t>incluso más</w:t>
      </w:r>
      <w:r w:rsidR="00345E62" w:rsidRPr="00B25E57">
        <w:rPr>
          <w:lang w:val="es-ES_tradnl"/>
        </w:rPr>
        <w:t>;</w:t>
      </w:r>
    </w:p>
    <w:p w14:paraId="1418A8D6" w14:textId="1DBC2A07" w:rsidR="007B22B4" w:rsidRPr="00B25E57" w:rsidRDefault="009B233D" w:rsidP="00AD1D61">
      <w:pPr>
        <w:pStyle w:val="Heading2"/>
        <w:numPr>
          <w:ilvl w:val="1"/>
          <w:numId w:val="33"/>
        </w:numPr>
        <w:ind w:left="1417" w:hanging="708"/>
        <w:rPr>
          <w:lang w:val="es-ES_tradnl"/>
        </w:rPr>
      </w:pPr>
      <w:r>
        <w:rPr>
          <w:lang w:val="es-ES_tradnl"/>
        </w:rPr>
        <w:t xml:space="preserve">Dado </w:t>
      </w:r>
      <w:r w:rsidRPr="009B233D">
        <w:rPr>
          <w:lang w:val="es-ES_tradnl"/>
        </w:rPr>
        <w:t>que los gastos fijos se mantendrán constantes</w:t>
      </w:r>
      <w:r>
        <w:rPr>
          <w:lang w:val="es-ES_tradnl"/>
        </w:rPr>
        <w:t>, l</w:t>
      </w:r>
      <w:r w:rsidR="00EB3BE6">
        <w:rPr>
          <w:lang w:val="es-ES_tradnl"/>
        </w:rPr>
        <w:t xml:space="preserve">os </w:t>
      </w:r>
      <w:r w:rsidR="00D943B9">
        <w:rPr>
          <w:lang w:val="es-ES_tradnl"/>
        </w:rPr>
        <w:t>costo</w:t>
      </w:r>
      <w:r w:rsidR="00EB3BE6">
        <w:rPr>
          <w:lang w:val="es-ES_tradnl"/>
        </w:rPr>
        <w:t>s</w:t>
      </w:r>
      <w:r w:rsidR="00D943B9">
        <w:rPr>
          <w:lang w:val="es-ES_tradnl"/>
        </w:rPr>
        <w:t xml:space="preserve"> marginal</w:t>
      </w:r>
      <w:r w:rsidR="00EB3BE6">
        <w:rPr>
          <w:lang w:val="es-ES_tradnl"/>
        </w:rPr>
        <w:t>es</w:t>
      </w:r>
      <w:r w:rsidR="00D943B9">
        <w:rPr>
          <w:lang w:val="es-ES_tradnl"/>
        </w:rPr>
        <w:t xml:space="preserve"> de producción</w:t>
      </w:r>
      <w:r w:rsidR="003A46A1" w:rsidRPr="00B25E57">
        <w:rPr>
          <w:lang w:val="es-ES_tradnl"/>
        </w:rPr>
        <w:t xml:space="preserve"> </w:t>
      </w:r>
      <w:r w:rsidR="00EB3BE6">
        <w:rPr>
          <w:lang w:val="es-ES_tradnl"/>
        </w:rPr>
        <w:t xml:space="preserve">de FIASA </w:t>
      </w:r>
      <w:r w:rsidR="004270BA">
        <w:rPr>
          <w:lang w:val="es-ES_tradnl"/>
        </w:rPr>
        <w:t xml:space="preserve">seguirán </w:t>
      </w:r>
      <w:r w:rsidR="00C7151D">
        <w:rPr>
          <w:lang w:val="es-ES_tradnl"/>
        </w:rPr>
        <w:t xml:space="preserve">incrementándose </w:t>
      </w:r>
      <w:r w:rsidR="00E237A8">
        <w:rPr>
          <w:lang w:val="es-ES_tradnl"/>
        </w:rPr>
        <w:t xml:space="preserve">a medida que </w:t>
      </w:r>
      <w:r w:rsidR="00E52D41">
        <w:rPr>
          <w:lang w:val="es-ES_tradnl"/>
        </w:rPr>
        <w:t>baje</w:t>
      </w:r>
      <w:r>
        <w:rPr>
          <w:lang w:val="es-ES_tradnl"/>
        </w:rPr>
        <w:t xml:space="preserve"> la </w:t>
      </w:r>
      <w:r w:rsidR="004241C5" w:rsidRPr="00B25E57">
        <w:rPr>
          <w:lang w:val="es-ES_tradnl"/>
        </w:rPr>
        <w:t>producción</w:t>
      </w:r>
      <w:r w:rsidR="00345E62" w:rsidRPr="00B25E57">
        <w:rPr>
          <w:lang w:val="es-ES_tradnl"/>
        </w:rPr>
        <w:t>;</w:t>
      </w:r>
    </w:p>
    <w:p w14:paraId="73F7A3A2" w14:textId="0B010698" w:rsidR="007B22B4" w:rsidRPr="00B25E57" w:rsidRDefault="008B0DFD" w:rsidP="00AD1D61">
      <w:pPr>
        <w:pStyle w:val="Heading2"/>
        <w:numPr>
          <w:ilvl w:val="1"/>
          <w:numId w:val="33"/>
        </w:numPr>
        <w:ind w:left="1417" w:hanging="708"/>
        <w:rPr>
          <w:lang w:val="es-ES_tradnl"/>
        </w:rPr>
      </w:pPr>
      <w:r>
        <w:rPr>
          <w:lang w:val="es-ES_tradnl"/>
        </w:rPr>
        <w:t xml:space="preserve">El precio </w:t>
      </w:r>
      <w:r w:rsidR="000F2A93">
        <w:rPr>
          <w:lang w:val="es-ES_tradnl"/>
        </w:rPr>
        <w:t xml:space="preserve">que cobra </w:t>
      </w:r>
      <w:r w:rsidR="00345E62" w:rsidRPr="00B25E57">
        <w:rPr>
          <w:lang w:val="es-ES_tradnl"/>
        </w:rPr>
        <w:t>FIASA</w:t>
      </w:r>
      <w:r w:rsidR="003A46A1" w:rsidRPr="00B25E57">
        <w:rPr>
          <w:lang w:val="es-ES_tradnl"/>
        </w:rPr>
        <w:t xml:space="preserve"> </w:t>
      </w:r>
      <w:r w:rsidR="000F2A93">
        <w:rPr>
          <w:lang w:val="es-ES_tradnl"/>
        </w:rPr>
        <w:t xml:space="preserve">por el </w:t>
      </w:r>
      <w:r w:rsidR="00345E62"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B56E3F">
        <w:rPr>
          <w:lang w:val="es-ES_tradnl"/>
        </w:rPr>
        <w:t xml:space="preserve">se encuentra </w:t>
      </w:r>
      <w:r w:rsidR="00217C90">
        <w:rPr>
          <w:lang w:val="es-ES_tradnl"/>
        </w:rPr>
        <w:t xml:space="preserve">muy </w:t>
      </w:r>
      <w:r w:rsidR="00B56E3F">
        <w:rPr>
          <w:lang w:val="es-ES_tradnl"/>
        </w:rPr>
        <w:t xml:space="preserve">por encima </w:t>
      </w:r>
      <w:r w:rsidR="00715E12">
        <w:rPr>
          <w:lang w:val="es-ES_tradnl"/>
        </w:rPr>
        <w:t xml:space="preserve">del </w:t>
      </w:r>
      <w:r w:rsidR="00E43A2E">
        <w:rPr>
          <w:lang w:val="es-ES_tradnl"/>
        </w:rPr>
        <w:t>precio</w:t>
      </w:r>
      <w:r w:rsidR="009113D3">
        <w:rPr>
          <w:lang w:val="es-ES_tradnl"/>
        </w:rPr>
        <w:t xml:space="preserve"> de mercado internacional</w:t>
      </w:r>
      <w:r w:rsidR="00345E62" w:rsidRPr="00B25E57">
        <w:rPr>
          <w:lang w:val="es-ES_tradnl"/>
        </w:rPr>
        <w:t>.</w:t>
      </w:r>
      <w:r w:rsidR="003A46A1" w:rsidRPr="00B25E57">
        <w:rPr>
          <w:lang w:val="es-ES_tradnl"/>
        </w:rPr>
        <w:t xml:space="preserve"> </w:t>
      </w:r>
      <w:r w:rsidR="005227E5">
        <w:rPr>
          <w:lang w:val="es-ES_tradnl"/>
        </w:rPr>
        <w:t>Prácticamente</w:t>
      </w:r>
      <w:r w:rsidR="00384457">
        <w:rPr>
          <w:lang w:val="es-ES_tradnl"/>
        </w:rPr>
        <w:t xml:space="preserve"> </w:t>
      </w:r>
      <w:r w:rsidR="005227E5">
        <w:rPr>
          <w:lang w:val="es-ES_tradnl"/>
        </w:rPr>
        <w:t xml:space="preserve">triplica </w:t>
      </w:r>
      <w:r w:rsidR="00FE17B9">
        <w:rPr>
          <w:lang w:val="es-ES_tradnl"/>
        </w:rPr>
        <w:t xml:space="preserve">el precio </w:t>
      </w:r>
      <w:r w:rsidR="002C605B">
        <w:rPr>
          <w:lang w:val="es-ES_tradnl"/>
        </w:rPr>
        <w:t xml:space="preserve">del producto importado desde </w:t>
      </w:r>
      <w:r w:rsidR="004512EA" w:rsidRPr="00B25E57">
        <w:rPr>
          <w:lang w:val="es-ES_tradnl"/>
        </w:rPr>
        <w:t>Brasil</w:t>
      </w:r>
      <w:r w:rsidR="003A46A1" w:rsidRPr="00B25E57">
        <w:rPr>
          <w:lang w:val="es-ES_tradnl"/>
        </w:rPr>
        <w:t xml:space="preserve"> </w:t>
      </w:r>
      <w:r w:rsidR="00FB38C2" w:rsidRPr="00B25E57">
        <w:rPr>
          <w:lang w:val="es-ES_tradnl"/>
        </w:rPr>
        <w:t>y</w:t>
      </w:r>
      <w:r w:rsidR="00EB121F" w:rsidRPr="00B25E57">
        <w:rPr>
          <w:lang w:val="es-ES_tradnl"/>
        </w:rPr>
        <w:t>,</w:t>
      </w:r>
      <w:r w:rsidR="003A46A1" w:rsidRPr="00B25E57">
        <w:rPr>
          <w:lang w:val="es-ES_tradnl"/>
        </w:rPr>
        <w:t xml:space="preserve"> </w:t>
      </w:r>
      <w:r w:rsidR="00335FBB">
        <w:rPr>
          <w:lang w:val="es-ES_tradnl"/>
        </w:rPr>
        <w:t xml:space="preserve">como señala </w:t>
      </w:r>
      <w:r w:rsidR="006A4410">
        <w:rPr>
          <w:lang w:val="es-ES_tradnl"/>
        </w:rPr>
        <w:t>el consultor</w:t>
      </w:r>
      <w:r w:rsidR="003A46A1" w:rsidRPr="00B25E57">
        <w:rPr>
          <w:lang w:val="es-ES_tradnl"/>
        </w:rPr>
        <w:t xml:space="preserve"> independiente</w:t>
      </w:r>
      <w:r w:rsidR="00EB121F" w:rsidRPr="00B25E57">
        <w:rPr>
          <w:lang w:val="es-ES_tradnl"/>
        </w:rPr>
        <w:t>,</w:t>
      </w:r>
      <w:r w:rsidR="003A46A1" w:rsidRPr="00B25E57">
        <w:rPr>
          <w:lang w:val="es-ES_tradnl"/>
        </w:rPr>
        <w:t xml:space="preserve"> </w:t>
      </w:r>
      <w:r w:rsidR="008305F7">
        <w:rPr>
          <w:lang w:val="es-ES_tradnl"/>
        </w:rPr>
        <w:t xml:space="preserve">es </w:t>
      </w:r>
      <w:r w:rsidR="00E80440">
        <w:rPr>
          <w:lang w:val="es-ES_tradnl"/>
        </w:rPr>
        <w:t>2,</w:t>
      </w:r>
      <w:r w:rsidR="00EB121F" w:rsidRPr="00B25E57">
        <w:rPr>
          <w:lang w:val="es-ES_tradnl"/>
        </w:rPr>
        <w:t>8</w:t>
      </w:r>
      <w:r w:rsidR="003A46A1" w:rsidRPr="00B25E57">
        <w:rPr>
          <w:lang w:val="es-ES_tradnl"/>
        </w:rPr>
        <w:t xml:space="preserve"> </w:t>
      </w:r>
      <w:r w:rsidR="00EB095A">
        <w:rPr>
          <w:lang w:val="es-ES_tradnl"/>
        </w:rPr>
        <w:t>veces</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512EA" w:rsidRPr="00B25E57">
        <w:rPr>
          <w:lang w:val="es-ES_tradnl"/>
        </w:rPr>
        <w:t>precio</w:t>
      </w:r>
      <w:r w:rsidR="003A46A1" w:rsidRPr="00B25E57">
        <w:rPr>
          <w:lang w:val="es-ES_tradnl"/>
        </w:rPr>
        <w:t xml:space="preserve"> </w:t>
      </w:r>
      <w:r w:rsidR="004F44B1">
        <w:rPr>
          <w:lang w:val="es-ES_tradnl"/>
        </w:rPr>
        <w:t xml:space="preserve">puesto </w:t>
      </w:r>
      <w:r w:rsidR="00EB095A">
        <w:rPr>
          <w:lang w:val="es-ES_tradnl"/>
        </w:rPr>
        <w:t>en los puertos de entrada de Estados Unidos</w:t>
      </w:r>
      <w:r w:rsidR="00345E62" w:rsidRPr="00B25E57">
        <w:rPr>
          <w:lang w:val="es-ES_tradnl"/>
        </w:rPr>
        <w:t>;</w:t>
      </w:r>
    </w:p>
    <w:p w14:paraId="7B3D8F9C" w14:textId="77700323" w:rsidR="007B22B4" w:rsidRPr="00B25E57" w:rsidRDefault="004058A0" w:rsidP="00AD1D61">
      <w:pPr>
        <w:pStyle w:val="Heading2"/>
        <w:numPr>
          <w:ilvl w:val="1"/>
          <w:numId w:val="33"/>
        </w:numPr>
        <w:ind w:left="1417" w:hanging="708"/>
        <w:rPr>
          <w:lang w:val="es-ES_tradnl"/>
        </w:rPr>
      </w:pPr>
      <w:r>
        <w:rPr>
          <w:lang w:val="es-ES_tradnl"/>
        </w:rPr>
        <w:t xml:space="preserve">La demanda </w:t>
      </w:r>
      <w:r w:rsidR="00DE3EEF">
        <w:rPr>
          <w:lang w:val="es-ES_tradnl"/>
        </w:rPr>
        <w:t>por</w:t>
      </w:r>
      <w:r>
        <w:rPr>
          <w:lang w:val="es-ES_tradnl"/>
        </w:rPr>
        <w:t xml:space="preserve"> </w:t>
      </w:r>
      <w:r w:rsidR="00F33C58"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5A608B">
        <w:rPr>
          <w:lang w:val="es-ES_tradnl"/>
        </w:rPr>
        <w:t xml:space="preserve">sigue </w:t>
      </w:r>
      <w:r w:rsidR="006724ED">
        <w:rPr>
          <w:lang w:val="es-ES_tradnl"/>
        </w:rPr>
        <w:t xml:space="preserve">retrocediendo </w:t>
      </w:r>
      <w:r w:rsidR="00437ADA">
        <w:rPr>
          <w:lang w:val="es-ES_tradnl"/>
        </w:rPr>
        <w:t xml:space="preserve">a medida que se ejecuta </w:t>
      </w:r>
      <w:r w:rsidR="003A46A1" w:rsidRPr="00B25E57">
        <w:rPr>
          <w:lang w:val="es-ES_tradnl"/>
        </w:rPr>
        <w:t xml:space="preserve">la </w:t>
      </w:r>
      <w:r w:rsidR="008A3316" w:rsidRPr="00B25E57">
        <w:rPr>
          <w:lang w:val="es-ES_tradnl"/>
        </w:rPr>
        <w:t>etapa</w:t>
      </w:r>
      <w:r w:rsidR="003A46A1" w:rsidRPr="00B25E57">
        <w:rPr>
          <w:lang w:val="es-ES_tradnl"/>
        </w:rPr>
        <w:t xml:space="preserve"> </w:t>
      </w:r>
      <w:r w:rsidR="008A3316" w:rsidRPr="00B25E57">
        <w:rPr>
          <w:lang w:val="es-ES_tradnl"/>
        </w:rPr>
        <w:t>I</w:t>
      </w:r>
      <w:r w:rsidR="00345E62" w:rsidRPr="00B25E57">
        <w:rPr>
          <w:lang w:val="es-ES_tradnl"/>
        </w:rPr>
        <w:t>I</w:t>
      </w:r>
      <w:r w:rsidR="003A46A1" w:rsidRPr="00B25E57">
        <w:rPr>
          <w:lang w:val="es-ES_tradnl"/>
        </w:rPr>
        <w:t xml:space="preserve"> </w:t>
      </w:r>
      <w:r w:rsidR="007B22B4" w:rsidRPr="00B25E57">
        <w:rPr>
          <w:lang w:val="es-ES_tradnl"/>
        </w:rPr>
        <w:t>del</w:t>
      </w:r>
      <w:r w:rsidR="003A46A1" w:rsidRPr="00B25E57">
        <w:rPr>
          <w:lang w:val="es-ES_tradnl"/>
        </w:rPr>
        <w:t xml:space="preserve"> </w:t>
      </w:r>
      <w:r w:rsidR="004057BA" w:rsidRPr="00B25E57">
        <w:rPr>
          <w:lang w:val="es-ES_tradnl"/>
        </w:rPr>
        <w:t>plan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gestión</w:t>
      </w:r>
      <w:r w:rsidR="003A46A1" w:rsidRPr="00B25E57">
        <w:rPr>
          <w:lang w:val="es-ES_tradnl"/>
        </w:rPr>
        <w:t xml:space="preserve"> </w:t>
      </w:r>
      <w:r w:rsidR="00FB38C2" w:rsidRPr="00B25E57">
        <w:rPr>
          <w:lang w:val="es-ES_tradnl"/>
        </w:rPr>
        <w:t>para</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eliminación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HCFC</w:t>
      </w:r>
      <w:r w:rsidR="003A46A1" w:rsidRPr="00B25E57">
        <w:rPr>
          <w:lang w:val="es-ES_tradnl"/>
        </w:rPr>
        <w:t xml:space="preserve"> </w:t>
      </w:r>
      <w:r w:rsidR="00FB38C2" w:rsidRPr="00B25E57">
        <w:rPr>
          <w:lang w:val="es-ES_tradnl"/>
        </w:rPr>
        <w:t>(PGEH)</w:t>
      </w:r>
      <w:r w:rsidR="003A46A1" w:rsidRPr="00B25E57">
        <w:rPr>
          <w:lang w:val="es-ES_tradnl"/>
        </w:rPr>
        <w:t xml:space="preserve"> </w:t>
      </w:r>
      <w:r w:rsidR="00480AC5">
        <w:rPr>
          <w:lang w:val="es-ES_tradnl"/>
        </w:rPr>
        <w:t xml:space="preserve">y que </w:t>
      </w:r>
      <w:r w:rsidR="002559D7">
        <w:rPr>
          <w:lang w:val="es-ES_tradnl"/>
        </w:rPr>
        <w:t>los fabricantes nacionales</w:t>
      </w:r>
      <w:r w:rsidR="007746D1">
        <w:rPr>
          <w:lang w:val="es-ES_tradnl"/>
        </w:rPr>
        <w:t xml:space="preserve"> de climatizadores </w:t>
      </w:r>
      <w:r w:rsidR="00480AC5">
        <w:rPr>
          <w:lang w:val="es-ES_tradnl"/>
        </w:rPr>
        <w:t xml:space="preserve">se convierten </w:t>
      </w:r>
      <w:r w:rsidR="007746D1">
        <w:rPr>
          <w:lang w:val="es-ES_tradnl"/>
        </w:rPr>
        <w:t>a</w:t>
      </w:r>
      <w:r w:rsidR="003A46A1" w:rsidRPr="00B25E57">
        <w:rPr>
          <w:lang w:val="es-ES_tradnl"/>
        </w:rPr>
        <w:t xml:space="preserve"> </w:t>
      </w:r>
      <w:r w:rsidR="00345E62" w:rsidRPr="00B25E57">
        <w:rPr>
          <w:lang w:val="es-ES_tradnl"/>
        </w:rPr>
        <w:t>R</w:t>
      </w:r>
      <w:r w:rsidR="00FB38C2" w:rsidRPr="00B25E57">
        <w:rPr>
          <w:lang w:val="es-ES_tradnl"/>
        </w:rPr>
        <w:t>-</w:t>
      </w:r>
      <w:r w:rsidR="00345E62" w:rsidRPr="00B25E57">
        <w:rPr>
          <w:lang w:val="es-ES_tradnl"/>
        </w:rPr>
        <w:t>410A;</w:t>
      </w:r>
      <w:r w:rsidR="00345E62" w:rsidRPr="00B25E57">
        <w:rPr>
          <w:rStyle w:val="FootnoteReference"/>
          <w:lang w:val="es-ES_tradnl"/>
        </w:rPr>
        <w:footnoteReference w:id="15"/>
      </w:r>
    </w:p>
    <w:p w14:paraId="469C4F9F" w14:textId="17BC8CF0" w:rsidR="00345E62" w:rsidRPr="00B25E57" w:rsidRDefault="00D80178" w:rsidP="00AD1D61">
      <w:pPr>
        <w:pStyle w:val="Heading2"/>
        <w:numPr>
          <w:ilvl w:val="1"/>
          <w:numId w:val="33"/>
        </w:numPr>
        <w:ind w:left="1417" w:hanging="708"/>
        <w:rPr>
          <w:lang w:val="es-ES_tradnl"/>
        </w:rPr>
      </w:pPr>
      <w:r>
        <w:rPr>
          <w:lang w:val="es-ES_tradnl"/>
        </w:rPr>
        <w:t>E</w:t>
      </w:r>
      <w:r w:rsidR="00FB06EF">
        <w:rPr>
          <w:lang w:val="es-ES_tradnl"/>
        </w:rPr>
        <w:t xml:space="preserve">n </w:t>
      </w:r>
      <w:r w:rsidR="00FB06EF" w:rsidRPr="00FB06EF">
        <w:rPr>
          <w:lang w:val="es-ES_tradnl"/>
        </w:rPr>
        <w:t>2018</w:t>
      </w:r>
      <w:r w:rsidR="00FB06EF">
        <w:rPr>
          <w:lang w:val="es-ES_tradnl"/>
        </w:rPr>
        <w:t xml:space="preserve"> e</w:t>
      </w:r>
      <w:r>
        <w:rPr>
          <w:lang w:val="es-ES_tradnl"/>
        </w:rPr>
        <w:t xml:space="preserve">l </w:t>
      </w:r>
      <w:r w:rsidRPr="00D80178">
        <w:rPr>
          <w:lang w:val="es-ES_tradnl"/>
        </w:rPr>
        <w:t>consumo</w:t>
      </w:r>
      <w:r w:rsidR="003A46A1" w:rsidRPr="00B25E57">
        <w:rPr>
          <w:lang w:val="es-ES_tradnl"/>
        </w:rPr>
        <w:t xml:space="preserve"> </w:t>
      </w:r>
      <w:r w:rsidR="00E42165">
        <w:rPr>
          <w:lang w:val="es-ES_tradnl"/>
        </w:rPr>
        <w:t xml:space="preserve">nacional </w:t>
      </w:r>
      <w:r w:rsidR="00FB38C2" w:rsidRPr="00B25E57">
        <w:rPr>
          <w:lang w:val="es-ES_tradnl"/>
        </w:rPr>
        <w:t>de</w:t>
      </w:r>
      <w:r w:rsidR="003A46A1" w:rsidRPr="00B25E57">
        <w:rPr>
          <w:lang w:val="es-ES_tradnl"/>
        </w:rPr>
        <w:t xml:space="preserve"> </w:t>
      </w:r>
      <w:r w:rsidR="004057BA" w:rsidRPr="00B25E57">
        <w:rPr>
          <w:lang w:val="es-ES_tradnl"/>
        </w:rPr>
        <w:t>HCFC</w:t>
      </w:r>
      <w:r w:rsidR="003A46A1" w:rsidRPr="00B25E57">
        <w:rPr>
          <w:lang w:val="es-ES_tradnl"/>
        </w:rPr>
        <w:t xml:space="preserve"> </w:t>
      </w:r>
      <w:r w:rsidR="006879C9">
        <w:rPr>
          <w:lang w:val="es-ES_tradnl"/>
        </w:rPr>
        <w:t xml:space="preserve">cayó en </w:t>
      </w:r>
      <w:r w:rsidR="00B20DB4">
        <w:rPr>
          <w:lang w:val="es-ES_tradnl"/>
        </w:rPr>
        <w:t xml:space="preserve">un </w:t>
      </w:r>
      <w:r w:rsidR="00345E62" w:rsidRPr="00B25E57">
        <w:rPr>
          <w:lang w:val="es-ES_tradnl"/>
        </w:rPr>
        <w:t>26</w:t>
      </w:r>
      <w:r w:rsidR="00FB38C2" w:rsidRPr="00B25E57">
        <w:rPr>
          <w:lang w:val="es-ES_tradnl"/>
        </w:rPr>
        <w:t>%</w:t>
      </w:r>
      <w:r w:rsidR="003A46A1" w:rsidRPr="00B25E57">
        <w:rPr>
          <w:lang w:val="es-ES_tradnl"/>
        </w:rPr>
        <w:t xml:space="preserve"> </w:t>
      </w:r>
      <w:r w:rsidR="006879C9">
        <w:rPr>
          <w:lang w:val="es-ES_tradnl"/>
        </w:rPr>
        <w:t xml:space="preserve">respecto del </w:t>
      </w:r>
      <w:r w:rsidR="00E94383">
        <w:rPr>
          <w:lang w:val="es-ES_tradnl"/>
        </w:rPr>
        <w:t>2017</w:t>
      </w:r>
      <w:r w:rsidR="00345E62" w:rsidRPr="00B25E57">
        <w:rPr>
          <w:lang w:val="es-ES_tradnl"/>
        </w:rPr>
        <w:t>.</w:t>
      </w:r>
      <w:r w:rsidR="003A46A1" w:rsidRPr="00B25E57">
        <w:rPr>
          <w:lang w:val="es-ES_tradnl"/>
        </w:rPr>
        <w:t xml:space="preserve"> </w:t>
      </w:r>
      <w:r w:rsidR="00DD5072">
        <w:rPr>
          <w:lang w:val="es-ES_tradnl"/>
        </w:rPr>
        <w:t xml:space="preserve">El </w:t>
      </w:r>
      <w:r w:rsidR="00DD5072" w:rsidRPr="00DD5072">
        <w:rPr>
          <w:lang w:val="es-ES_tradnl"/>
        </w:rPr>
        <w:t xml:space="preserve">98% de la baja </w:t>
      </w:r>
      <w:r w:rsidR="00DD5072">
        <w:rPr>
          <w:lang w:val="es-ES_tradnl"/>
        </w:rPr>
        <w:t xml:space="preserve">estuvo </w:t>
      </w:r>
      <w:r w:rsidR="00B74BF3">
        <w:rPr>
          <w:lang w:val="es-ES_tradnl"/>
        </w:rPr>
        <w:t>constituido</w:t>
      </w:r>
      <w:r w:rsidR="00DD5072">
        <w:rPr>
          <w:lang w:val="es-ES_tradnl"/>
        </w:rPr>
        <w:t xml:space="preserve"> por la </w:t>
      </w:r>
      <w:r w:rsidR="0081262F">
        <w:rPr>
          <w:lang w:val="es-ES_tradnl"/>
        </w:rPr>
        <w:t xml:space="preserve">menor </w:t>
      </w:r>
      <w:r w:rsidR="004241C5" w:rsidRPr="00B25E57">
        <w:rPr>
          <w:lang w:val="es-ES_tradnl"/>
        </w:rPr>
        <w:t>producción</w:t>
      </w:r>
      <w:r w:rsidR="003A46A1" w:rsidRPr="00B25E57">
        <w:rPr>
          <w:lang w:val="es-ES_tradnl"/>
        </w:rPr>
        <w:t xml:space="preserve"> </w:t>
      </w:r>
      <w:r w:rsidR="0081262F">
        <w:rPr>
          <w:lang w:val="es-ES_tradnl"/>
        </w:rPr>
        <w:t xml:space="preserve">de </w:t>
      </w:r>
      <w:r w:rsidR="0048577C">
        <w:rPr>
          <w:lang w:val="es-ES_tradnl"/>
        </w:rPr>
        <w:t>FIASA</w:t>
      </w:r>
      <w:r w:rsidR="00345E62" w:rsidRPr="00B25E57">
        <w:rPr>
          <w:lang w:val="es-ES_tradnl"/>
        </w:rPr>
        <w:t>;</w:t>
      </w:r>
      <w:r w:rsidR="003A46A1" w:rsidRPr="00B25E57">
        <w:rPr>
          <w:lang w:val="es-ES_tradnl"/>
        </w:rPr>
        <w:t xml:space="preserve"> </w:t>
      </w:r>
      <w:r w:rsidR="00FB38C2" w:rsidRPr="00B25E57">
        <w:rPr>
          <w:lang w:val="es-ES_tradnl"/>
        </w:rPr>
        <w:t>y</w:t>
      </w:r>
    </w:p>
    <w:p w14:paraId="75A76624" w14:textId="449037DE" w:rsidR="00345E62" w:rsidRPr="00B25E57" w:rsidRDefault="00F942C6" w:rsidP="00AD1D61">
      <w:pPr>
        <w:pStyle w:val="Heading2"/>
        <w:numPr>
          <w:ilvl w:val="1"/>
          <w:numId w:val="33"/>
        </w:numPr>
        <w:ind w:left="1417" w:hanging="708"/>
        <w:rPr>
          <w:lang w:val="es-ES_tradnl"/>
        </w:rPr>
      </w:pPr>
      <w:r w:rsidRPr="00B25E57">
        <w:rPr>
          <w:lang w:val="es-ES_tradnl"/>
        </w:rPr>
        <w:t>Sobre la base</w:t>
      </w:r>
      <w:r w:rsidR="00351770">
        <w:rPr>
          <w:lang w:val="es-ES_tradnl"/>
        </w:rPr>
        <w:t xml:space="preserve"> del </w:t>
      </w:r>
      <w:r w:rsidR="00E43A2E">
        <w:rPr>
          <w:lang w:val="es-ES_tradnl"/>
        </w:rPr>
        <w:t>precio</w:t>
      </w:r>
      <w:r w:rsidR="009113D3">
        <w:rPr>
          <w:lang w:val="es-ES_tradnl"/>
        </w:rPr>
        <w:t xml:space="preserve"> de mercado internacional</w:t>
      </w:r>
      <w:r w:rsidR="003A46A1" w:rsidRPr="00B25E57">
        <w:rPr>
          <w:lang w:val="es-ES_tradnl"/>
        </w:rPr>
        <w:t xml:space="preserve"> </w:t>
      </w:r>
      <w:r w:rsidR="00FB38C2" w:rsidRPr="00B25E57">
        <w:rPr>
          <w:lang w:val="es-ES_tradnl"/>
        </w:rPr>
        <w:t>de</w:t>
      </w:r>
      <w:r w:rsidR="0019582F">
        <w:rPr>
          <w:lang w:val="es-ES_tradnl"/>
        </w:rPr>
        <w:t>l</w:t>
      </w:r>
      <w:r w:rsidR="003A46A1" w:rsidRPr="00B25E57">
        <w:rPr>
          <w:lang w:val="es-ES_tradnl"/>
        </w:rPr>
        <w:t xml:space="preserve"> </w:t>
      </w:r>
      <w:r w:rsidR="00345E62"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FB38C2" w:rsidRPr="00B25E57">
        <w:rPr>
          <w:lang w:val="es-ES_tradnl"/>
        </w:rPr>
        <w:t>y</w:t>
      </w:r>
      <w:r w:rsidR="003A46A1" w:rsidRPr="00B25E57">
        <w:rPr>
          <w:lang w:val="es-ES_tradnl"/>
        </w:rPr>
        <w:t xml:space="preserve"> </w:t>
      </w:r>
      <w:r w:rsidR="0020468A">
        <w:rPr>
          <w:lang w:val="es-ES_tradnl"/>
        </w:rPr>
        <w:t>del</w:t>
      </w:r>
      <w:r w:rsidR="003A46A1" w:rsidRPr="00B25E57">
        <w:rPr>
          <w:lang w:val="es-ES_tradnl"/>
        </w:rPr>
        <w:t xml:space="preserve"> </w:t>
      </w:r>
      <w:r w:rsidR="00D943B9">
        <w:rPr>
          <w:lang w:val="es-ES_tradnl"/>
        </w:rPr>
        <w:t>costo marginal de producción</w:t>
      </w:r>
      <w:r w:rsidR="003A46A1" w:rsidRPr="00B25E57">
        <w:rPr>
          <w:lang w:val="es-ES_tradnl"/>
        </w:rPr>
        <w:t xml:space="preserve"> </w:t>
      </w:r>
      <w:r w:rsidR="00F24FA9" w:rsidRPr="00B25E57">
        <w:rPr>
          <w:lang w:val="es-ES_tradnl"/>
        </w:rPr>
        <w:t>calculado</w:t>
      </w:r>
      <w:r w:rsidR="003A46A1" w:rsidRPr="00B25E57">
        <w:rPr>
          <w:lang w:val="es-ES_tradnl"/>
        </w:rPr>
        <w:t xml:space="preserve"> </w:t>
      </w:r>
      <w:r w:rsidR="005C616D">
        <w:rPr>
          <w:lang w:val="es-ES_tradnl"/>
        </w:rPr>
        <w:t xml:space="preserve">por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64D5D">
        <w:rPr>
          <w:lang w:val="es-ES_tradnl"/>
        </w:rPr>
        <w:t>la auditoría técnica</w:t>
      </w:r>
      <w:r w:rsidR="005C616D">
        <w:rPr>
          <w:lang w:val="es-ES_tradnl"/>
        </w:rPr>
        <w:t xml:space="preserve"> independiente</w:t>
      </w:r>
      <w:r w:rsidR="00345E62" w:rsidRPr="00B25E57">
        <w:rPr>
          <w:lang w:val="es-ES_tradnl"/>
        </w:rPr>
        <w:t>,</w:t>
      </w:r>
      <w:r w:rsidR="003A46A1" w:rsidRPr="00B25E57">
        <w:rPr>
          <w:lang w:val="es-ES_tradnl"/>
        </w:rPr>
        <w:t xml:space="preserve"> </w:t>
      </w:r>
      <w:r w:rsidR="00086EEF">
        <w:rPr>
          <w:lang w:val="es-ES_tradnl"/>
        </w:rPr>
        <w:t xml:space="preserve">a los actuales </w:t>
      </w:r>
      <w:r w:rsidR="00F10ED7">
        <w:rPr>
          <w:lang w:val="es-ES_tradnl"/>
        </w:rPr>
        <w:t>niveles de producción</w:t>
      </w:r>
      <w:r w:rsidR="00F761D1">
        <w:rPr>
          <w:lang w:val="es-ES_tradnl"/>
        </w:rPr>
        <w:t xml:space="preserve">, </w:t>
      </w:r>
      <w:r w:rsidR="00D83DAE">
        <w:rPr>
          <w:lang w:val="es-ES_tradnl"/>
        </w:rPr>
        <w:t xml:space="preserve">para </w:t>
      </w:r>
      <w:r w:rsidR="00345E62" w:rsidRPr="00B25E57">
        <w:rPr>
          <w:lang w:val="es-ES_tradnl"/>
        </w:rPr>
        <w:t>FIASA</w:t>
      </w:r>
      <w:r w:rsidR="003A46A1" w:rsidRPr="00B25E57">
        <w:rPr>
          <w:lang w:val="es-ES_tradnl"/>
        </w:rPr>
        <w:t xml:space="preserve"> </w:t>
      </w:r>
      <w:r w:rsidR="004A2C0E">
        <w:rPr>
          <w:lang w:val="es-ES_tradnl"/>
        </w:rPr>
        <w:t xml:space="preserve">sería más rentable </w:t>
      </w:r>
      <w:r w:rsidR="00D83DAE">
        <w:rPr>
          <w:lang w:val="es-ES_tradnl"/>
        </w:rPr>
        <w:t>importar</w:t>
      </w:r>
      <w:r w:rsidR="004E7DCB">
        <w:rPr>
          <w:lang w:val="es-ES_tradnl"/>
        </w:rPr>
        <w:t xml:space="preserve"> </w:t>
      </w:r>
      <w:r w:rsidR="00345E62"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4E7DCB">
        <w:rPr>
          <w:lang w:val="es-ES_tradnl"/>
        </w:rPr>
        <w:t xml:space="preserve">que </w:t>
      </w:r>
      <w:r w:rsidR="00D83DAE">
        <w:rPr>
          <w:lang w:val="es-ES_tradnl"/>
        </w:rPr>
        <w:t>producirlo</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Pr="00B25E57">
        <w:rPr>
          <w:lang w:val="es-ES_tradnl"/>
        </w:rPr>
        <w:t>según</w:t>
      </w:r>
      <w:r w:rsidR="003A46A1" w:rsidRPr="00B25E57">
        <w:rPr>
          <w:lang w:val="es-ES_tradnl"/>
        </w:rPr>
        <w:t xml:space="preserve"> </w:t>
      </w:r>
      <w:r w:rsidR="0050297B">
        <w:rPr>
          <w:lang w:val="es-ES_tradnl"/>
        </w:rPr>
        <w:t>e</w:t>
      </w:r>
      <w:r w:rsidR="00F33C58" w:rsidRPr="00B25E57">
        <w:rPr>
          <w:lang w:val="es-ES_tradnl"/>
        </w:rPr>
        <w:t>l</w:t>
      </w:r>
      <w:r w:rsidR="003A46A1" w:rsidRPr="00B25E57">
        <w:rPr>
          <w:lang w:val="es-ES_tradnl"/>
        </w:rPr>
        <w:t xml:space="preserve"> </w:t>
      </w:r>
      <w:r w:rsidR="00A9712C">
        <w:rPr>
          <w:lang w:val="es-ES_tradnl"/>
        </w:rPr>
        <w:t>Gobierno</w:t>
      </w:r>
      <w:r w:rsidR="00345E62" w:rsidRPr="00B25E57">
        <w:rPr>
          <w:lang w:val="es-ES_tradnl"/>
        </w:rPr>
        <w:t>,</w:t>
      </w:r>
      <w:r w:rsidR="003A46A1" w:rsidRPr="00B25E57">
        <w:rPr>
          <w:lang w:val="es-ES_tradnl"/>
        </w:rPr>
        <w:t xml:space="preserve"> </w:t>
      </w:r>
      <w:r w:rsidR="00F46C98">
        <w:rPr>
          <w:lang w:val="es-ES_tradnl"/>
        </w:rPr>
        <w:t xml:space="preserve">las </w:t>
      </w:r>
      <w:r w:rsidR="004241C5" w:rsidRPr="00B25E57">
        <w:rPr>
          <w:lang w:val="es-ES_tradnl"/>
        </w:rPr>
        <w:t>empresa</w:t>
      </w:r>
      <w:r w:rsidR="00F46C98">
        <w:rPr>
          <w:lang w:val="es-ES_tradnl"/>
        </w:rPr>
        <w:t>s</w:t>
      </w:r>
      <w:r w:rsidR="003A46A1" w:rsidRPr="00B25E57">
        <w:rPr>
          <w:lang w:val="es-ES_tradnl"/>
        </w:rPr>
        <w:t xml:space="preserve"> </w:t>
      </w:r>
      <w:r w:rsidR="00530624">
        <w:rPr>
          <w:lang w:val="es-ES_tradnl"/>
        </w:rPr>
        <w:t>no puede</w:t>
      </w:r>
      <w:r w:rsidR="00F46C98">
        <w:rPr>
          <w:lang w:val="es-ES_tradnl"/>
        </w:rPr>
        <w:t>n</w:t>
      </w:r>
      <w:r w:rsidR="00530624">
        <w:rPr>
          <w:lang w:val="es-ES_tradnl"/>
        </w:rPr>
        <w:t xml:space="preserve"> </w:t>
      </w:r>
      <w:r w:rsidR="006E59E8" w:rsidRPr="006E59E8">
        <w:rPr>
          <w:lang w:val="es-ES_tradnl"/>
        </w:rPr>
        <w:t>permutar</w:t>
      </w:r>
      <w:r w:rsidR="00125C06">
        <w:rPr>
          <w:lang w:val="es-ES_tradnl"/>
        </w:rPr>
        <w:t xml:space="preserve"> </w:t>
      </w:r>
      <w:r w:rsidR="00A119F8" w:rsidRPr="00A119F8">
        <w:rPr>
          <w:lang w:val="es-ES_tradnl"/>
        </w:rPr>
        <w:t xml:space="preserve">cuotas </w:t>
      </w:r>
      <w:r w:rsidR="00A119F8">
        <w:rPr>
          <w:lang w:val="es-ES_tradnl"/>
        </w:rPr>
        <w:t xml:space="preserve">de </w:t>
      </w:r>
      <w:r w:rsidR="004241C5" w:rsidRPr="00B25E57">
        <w:rPr>
          <w:lang w:val="es-ES_tradnl"/>
        </w:rPr>
        <w:t>producción</w:t>
      </w:r>
      <w:r w:rsidRPr="00B25E57">
        <w:rPr>
          <w:lang w:val="es-ES_tradnl"/>
        </w:rPr>
        <w:t xml:space="preserve"> </w:t>
      </w:r>
      <w:r w:rsidR="00A119F8">
        <w:rPr>
          <w:lang w:val="es-ES_tradnl"/>
        </w:rPr>
        <w:t xml:space="preserve">por </w:t>
      </w:r>
      <w:r w:rsidR="00E434B2" w:rsidRPr="00B25E57">
        <w:rPr>
          <w:lang w:val="es-ES_tradnl"/>
        </w:rPr>
        <w:t>cuotas</w:t>
      </w:r>
      <w:r w:rsidR="003A46A1" w:rsidRPr="00B25E57">
        <w:rPr>
          <w:lang w:val="es-ES_tradnl"/>
        </w:rPr>
        <w:t xml:space="preserve"> </w:t>
      </w:r>
      <w:r w:rsidR="00E434B2" w:rsidRPr="00B25E57">
        <w:rPr>
          <w:lang w:val="es-ES_tradnl"/>
        </w:rPr>
        <w:t>de</w:t>
      </w:r>
      <w:r w:rsidR="003A46A1" w:rsidRPr="00B25E57">
        <w:rPr>
          <w:lang w:val="es-ES_tradnl"/>
        </w:rPr>
        <w:t xml:space="preserve"> </w:t>
      </w:r>
      <w:r w:rsidR="00E434B2" w:rsidRPr="00B25E57">
        <w:rPr>
          <w:lang w:val="es-ES_tradnl"/>
        </w:rPr>
        <w:t>importación</w:t>
      </w:r>
      <w:r w:rsidR="00345E62" w:rsidRPr="00B25E57">
        <w:rPr>
          <w:lang w:val="es-ES_tradnl"/>
        </w:rPr>
        <w:t>,</w:t>
      </w:r>
      <w:r w:rsidR="003A46A1" w:rsidRPr="00B25E57">
        <w:rPr>
          <w:lang w:val="es-ES_tradnl"/>
        </w:rPr>
        <w:t xml:space="preserve"> </w:t>
      </w:r>
      <w:r w:rsidR="00F24FA9" w:rsidRPr="00B25E57">
        <w:rPr>
          <w:lang w:val="es-ES_tradnl"/>
        </w:rPr>
        <w:t>por</w:t>
      </w:r>
      <w:r w:rsidR="003A46A1" w:rsidRPr="00B25E57">
        <w:rPr>
          <w:lang w:val="es-ES_tradnl"/>
        </w:rPr>
        <w:t xml:space="preserve"> </w:t>
      </w:r>
      <w:r w:rsidR="007E092D">
        <w:rPr>
          <w:lang w:val="es-ES_tradnl"/>
        </w:rPr>
        <w:t xml:space="preserve">lo que </w:t>
      </w:r>
      <w:r w:rsidR="00A60088">
        <w:rPr>
          <w:lang w:val="es-ES_tradnl"/>
        </w:rPr>
        <w:t xml:space="preserve">FIASA </w:t>
      </w:r>
      <w:r w:rsidR="001567FE">
        <w:rPr>
          <w:lang w:val="es-ES_tradnl"/>
        </w:rPr>
        <w:t xml:space="preserve">no tiene acceso a </w:t>
      </w:r>
      <w:r w:rsidR="00E14181">
        <w:rPr>
          <w:lang w:val="es-ES_tradnl"/>
        </w:rPr>
        <w:t>esta opción</w:t>
      </w:r>
      <w:r w:rsidR="00345E62" w:rsidRPr="00B25E57">
        <w:rPr>
          <w:lang w:val="es-ES_tradnl"/>
        </w:rPr>
        <w:t>.</w:t>
      </w:r>
    </w:p>
    <w:p w14:paraId="32067C0C" w14:textId="6EF9FDC7" w:rsidR="00345E62" w:rsidRPr="00B25E57" w:rsidRDefault="00F014FB" w:rsidP="00E46B2F">
      <w:pPr>
        <w:pStyle w:val="Heading1"/>
        <w:spacing w:after="360"/>
        <w:rPr>
          <w:lang w:val="es-ES_tradnl"/>
        </w:rPr>
      </w:pPr>
      <w:r>
        <w:rPr>
          <w:lang w:val="es-ES_tradnl"/>
        </w:rPr>
        <w:t xml:space="preserve">En </w:t>
      </w:r>
      <w:r w:rsidRPr="00F014FB">
        <w:rPr>
          <w:lang w:val="es-ES_tradnl"/>
        </w:rPr>
        <w:t xml:space="preserve">consonancia </w:t>
      </w:r>
      <w:r w:rsidR="00952DB0">
        <w:rPr>
          <w:lang w:val="es-ES_tradnl"/>
        </w:rPr>
        <w:t xml:space="preserve">con </w:t>
      </w:r>
      <w:r w:rsidR="00A4343B" w:rsidRPr="00B25E57">
        <w:rPr>
          <w:lang w:val="es-ES_tradnl"/>
        </w:rPr>
        <w:t>la</w:t>
      </w:r>
      <w:r w:rsidR="003A46A1" w:rsidRPr="00B25E57">
        <w:rPr>
          <w:lang w:val="es-ES_tradnl"/>
        </w:rPr>
        <w:t xml:space="preserve"> </w:t>
      </w:r>
      <w:r w:rsidR="00A4343B" w:rsidRPr="00B25E57">
        <w:rPr>
          <w:lang w:val="es-ES_tradnl"/>
        </w:rPr>
        <w:t>evaluación</w:t>
      </w:r>
      <w:r w:rsidR="003A46A1" w:rsidRPr="00B25E57">
        <w:rPr>
          <w:lang w:val="es-ES_tradnl"/>
        </w:rPr>
        <w:t xml:space="preserve"> </w:t>
      </w:r>
      <w:r w:rsidR="008F0BE8">
        <w:rPr>
          <w:lang w:val="es-ES_tradnl"/>
        </w:rPr>
        <w:t>de</w:t>
      </w:r>
      <w:r w:rsidR="007F6D91">
        <w:rPr>
          <w:lang w:val="es-ES_tradnl"/>
        </w:rPr>
        <w:t xml:space="preserve"> </w:t>
      </w:r>
      <w:r w:rsidR="00075D7A">
        <w:rPr>
          <w:lang w:val="es-ES_tradnl"/>
        </w:rPr>
        <w:t>la auditoría</w:t>
      </w:r>
      <w:r w:rsidR="00A9712C">
        <w:rPr>
          <w:lang w:val="es-ES_tradnl"/>
        </w:rPr>
        <w:t xml:space="preserve"> técnica independiente</w:t>
      </w:r>
      <w:r w:rsidR="00345E62" w:rsidRPr="00B25E57">
        <w:rPr>
          <w:lang w:val="es-ES_tradnl"/>
        </w:rPr>
        <w:t>,</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D812A4">
        <w:rPr>
          <w:lang w:val="es-ES_tradnl"/>
        </w:rPr>
        <w:t>estimó que</w:t>
      </w:r>
      <w:r w:rsidR="003A46A1" w:rsidRPr="00B25E57">
        <w:rPr>
          <w:lang w:val="es-ES_tradnl"/>
        </w:rPr>
        <w:t xml:space="preserve"> </w:t>
      </w:r>
      <w:r w:rsidR="006619B2">
        <w:rPr>
          <w:lang w:val="es-ES_tradnl"/>
        </w:rPr>
        <w:t>a</w:t>
      </w:r>
      <w:r w:rsidR="00B25E57">
        <w:rPr>
          <w:lang w:val="es-ES_tradnl"/>
        </w:rPr>
        <w:t>l 1º de enero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2024</w:t>
      </w:r>
      <w:r w:rsidR="008614F7" w:rsidRPr="00216433">
        <w:rPr>
          <w:lang w:val="es-ES"/>
        </w:rPr>
        <w:t xml:space="preserve"> FIASA </w:t>
      </w:r>
      <w:r w:rsidR="008614F7" w:rsidRPr="008614F7">
        <w:rPr>
          <w:lang w:val="es-ES_tradnl"/>
        </w:rPr>
        <w:t>habrá dejado de producir</w:t>
      </w:r>
      <w:r w:rsidR="00345E62" w:rsidRPr="00B25E57">
        <w:rPr>
          <w:lang w:val="es-ES_tradnl"/>
        </w:rPr>
        <w:t>.</w:t>
      </w:r>
      <w:r w:rsidR="003A46A1" w:rsidRPr="00B25E57">
        <w:rPr>
          <w:lang w:val="es-ES_tradnl"/>
        </w:rPr>
        <w:t xml:space="preserve"> </w:t>
      </w:r>
      <w:r w:rsidR="00BB2E34">
        <w:rPr>
          <w:lang w:val="es-ES_tradnl"/>
        </w:rPr>
        <w:t xml:space="preserve">En lugar de utilizar la </w:t>
      </w:r>
      <w:r w:rsidR="006900FE">
        <w:rPr>
          <w:lang w:val="es-ES_tradnl"/>
        </w:rPr>
        <w:t>tasa de interés referencial promedio</w:t>
      </w:r>
      <w:r w:rsidR="003A46A1" w:rsidRPr="00B25E57">
        <w:rPr>
          <w:lang w:val="es-ES_tradnl"/>
        </w:rPr>
        <w:t xml:space="preserve"> </w:t>
      </w:r>
      <w:r w:rsidR="006900FE">
        <w:rPr>
          <w:lang w:val="es-ES_tradnl"/>
        </w:rPr>
        <w:t xml:space="preserve">para </w:t>
      </w:r>
      <w:r w:rsidR="006900FE" w:rsidRPr="006900FE">
        <w:rPr>
          <w:lang w:val="es-ES_tradnl"/>
        </w:rPr>
        <w:t xml:space="preserve">2016-2018 </w:t>
      </w:r>
      <w:r w:rsidR="00345E62" w:rsidRPr="00B25E57">
        <w:rPr>
          <w:lang w:val="es-ES_tradnl"/>
        </w:rPr>
        <w:t>(26</w:t>
      </w:r>
      <w:r w:rsidR="00E22238" w:rsidRPr="00B25E57">
        <w:rPr>
          <w:lang w:val="es-ES_tradnl"/>
        </w:rPr>
        <w:t>,2%</w:t>
      </w:r>
      <w:r w:rsidR="00345E62" w:rsidRPr="00B25E57">
        <w:rPr>
          <w:lang w:val="es-ES_tradnl"/>
        </w:rPr>
        <w:t>),</w:t>
      </w:r>
      <w:r w:rsidR="003A46A1" w:rsidRPr="00B25E57">
        <w:rPr>
          <w:lang w:val="es-ES_tradnl"/>
        </w:rPr>
        <w:t xml:space="preserve"> </w:t>
      </w:r>
      <w:r w:rsidR="0080445C">
        <w:rPr>
          <w:lang w:val="es-ES_tradnl"/>
        </w:rPr>
        <w:t xml:space="preserve">como </w:t>
      </w:r>
      <w:r w:rsidR="004241C5" w:rsidRPr="00B25E57">
        <w:rPr>
          <w:lang w:val="es-ES_tradnl"/>
        </w:rPr>
        <w:t>en</w:t>
      </w:r>
      <w:r w:rsidR="003A46A1" w:rsidRPr="00B25E57">
        <w:rPr>
          <w:lang w:val="es-ES_tradnl"/>
        </w:rPr>
        <w:t xml:space="preserve"> </w:t>
      </w:r>
      <w:r w:rsidR="00A4343B" w:rsidRPr="00B25E57">
        <w:rPr>
          <w:lang w:val="es-ES_tradnl"/>
        </w:rPr>
        <w:t>otros</w:t>
      </w:r>
      <w:r w:rsidR="003A46A1" w:rsidRPr="00B25E57">
        <w:rPr>
          <w:lang w:val="es-ES_tradnl"/>
        </w:rPr>
        <w:t xml:space="preserve"> </w:t>
      </w:r>
      <w:r w:rsidR="00B7714E">
        <w:rPr>
          <w:lang w:val="es-ES_tradnl"/>
        </w:rPr>
        <w:t>proyectos de cierre d</w:t>
      </w:r>
      <w:r w:rsidR="006E3831">
        <w:rPr>
          <w:lang w:val="es-ES_tradnl"/>
        </w:rPr>
        <w:t>el sector producción</w:t>
      </w:r>
      <w:r w:rsidR="00345E62" w:rsidRPr="00B25E57">
        <w:rPr>
          <w:lang w:val="es-ES_tradnl"/>
        </w:rPr>
        <w:t>,</w:t>
      </w:r>
      <w:r w:rsidR="003A46A1" w:rsidRPr="00B25E57">
        <w:rPr>
          <w:lang w:val="es-ES_tradnl"/>
        </w:rPr>
        <w:t xml:space="preserve"> </w:t>
      </w:r>
      <w:r w:rsidR="00A2248F">
        <w:rPr>
          <w:lang w:val="es-ES_tradnl"/>
        </w:rPr>
        <w:t xml:space="preserve">y </w:t>
      </w:r>
      <w:r w:rsidR="00247BC5" w:rsidRPr="00247BC5">
        <w:rPr>
          <w:lang w:val="es-ES_tradnl"/>
        </w:rPr>
        <w:t>conforme a lo sugerido por el consultor independiente</w:t>
      </w:r>
      <w:r w:rsidR="00A2248F">
        <w:rPr>
          <w:lang w:val="es-ES_tradnl"/>
        </w:rPr>
        <w:t>,</w:t>
      </w:r>
      <w:r w:rsidR="00247BC5" w:rsidRPr="00247BC5">
        <w:rPr>
          <w:lang w:val="es-ES_tradnl"/>
        </w:rPr>
        <w:t xml:space="preserve"> </w:t>
      </w:r>
      <w:r w:rsidR="00502271" w:rsidRPr="00502271">
        <w:rPr>
          <w:lang w:val="es-ES_tradnl"/>
        </w:rPr>
        <w:t xml:space="preserve">para determinar el VAN de las opciones de control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4A6F41">
        <w:rPr>
          <w:lang w:val="es-ES_tradnl"/>
        </w:rPr>
        <w:t xml:space="preserve">consideró más </w:t>
      </w:r>
      <w:r w:rsidR="004A6F41" w:rsidRPr="004A6F41">
        <w:rPr>
          <w:lang w:val="es-ES_tradnl"/>
        </w:rPr>
        <w:t>objetivo</w:t>
      </w:r>
      <w:r w:rsidR="003A46A1" w:rsidRPr="00B25E57">
        <w:rPr>
          <w:lang w:val="es-ES_tradnl"/>
        </w:rPr>
        <w:t xml:space="preserve"> </w:t>
      </w:r>
      <w:r w:rsidR="00B719A7" w:rsidRPr="00B719A7">
        <w:rPr>
          <w:lang w:val="es-ES_tradnl"/>
        </w:rPr>
        <w:t xml:space="preserve">aplicar </w:t>
      </w:r>
      <w:r w:rsidR="00B44350">
        <w:rPr>
          <w:lang w:val="es-ES_tradnl"/>
        </w:rPr>
        <w:t>como</w:t>
      </w:r>
      <w:r w:rsidR="00A53DB4">
        <w:rPr>
          <w:lang w:val="es-ES_tradnl"/>
        </w:rPr>
        <w:t xml:space="preserve"> </w:t>
      </w:r>
      <w:r w:rsidR="00A53DB4" w:rsidRPr="00A53DB4">
        <w:rPr>
          <w:lang w:val="es-ES_tradnl"/>
        </w:rPr>
        <w:t xml:space="preserve">tasa de descuento </w:t>
      </w:r>
      <w:r w:rsidR="00A53DB4">
        <w:rPr>
          <w:lang w:val="es-ES_tradnl"/>
        </w:rPr>
        <w:t xml:space="preserve">el </w:t>
      </w:r>
      <w:r w:rsidR="00102137">
        <w:rPr>
          <w:lang w:val="es-ES_tradnl"/>
        </w:rPr>
        <w:t>promedio ponderado del costo de capital</w:t>
      </w:r>
      <w:r w:rsidR="003A46A1" w:rsidRPr="00B25E57">
        <w:rPr>
          <w:lang w:val="es-ES_tradnl"/>
        </w:rPr>
        <w:t xml:space="preserve"> </w:t>
      </w:r>
      <w:r w:rsidR="00345E62" w:rsidRPr="00B25E57">
        <w:rPr>
          <w:lang w:val="es-ES_tradnl"/>
        </w:rPr>
        <w:t>(17</w:t>
      </w:r>
      <w:r w:rsidR="00E22238" w:rsidRPr="00B25E57">
        <w:rPr>
          <w:lang w:val="es-ES_tradnl"/>
        </w:rPr>
        <w:t>,7%</w:t>
      </w:r>
      <w:r w:rsidR="00345E62" w:rsidRPr="00B25E57">
        <w:rPr>
          <w:lang w:val="es-ES_tradnl"/>
        </w:rPr>
        <w:t>)</w:t>
      </w:r>
      <w:r w:rsidR="00502106">
        <w:rPr>
          <w:lang w:val="es-ES_tradnl"/>
        </w:rPr>
        <w:t>, y e</w:t>
      </w:r>
      <w:r w:rsidR="004241C5" w:rsidRPr="00B25E57">
        <w:rPr>
          <w:lang w:val="es-ES_tradnl"/>
        </w:rPr>
        <w:t>n</w:t>
      </w:r>
      <w:r w:rsidR="003A46A1" w:rsidRPr="00B25E57">
        <w:rPr>
          <w:lang w:val="es-ES_tradnl"/>
        </w:rPr>
        <w:t xml:space="preserve"> </w:t>
      </w:r>
      <w:r w:rsidR="004241C5" w:rsidRPr="00B25E57">
        <w:rPr>
          <w:lang w:val="es-ES_tradnl"/>
        </w:rPr>
        <w:t>consecuencia,</w:t>
      </w:r>
      <w:r w:rsidR="003A46A1" w:rsidRPr="00B25E57">
        <w:rPr>
          <w:lang w:val="es-ES_tradnl"/>
        </w:rPr>
        <w:t xml:space="preserve"> </w:t>
      </w:r>
      <w:r w:rsidR="00E434B2" w:rsidRPr="00B25E57">
        <w:rPr>
          <w:lang w:val="es-ES_tradnl"/>
        </w:rPr>
        <w:t>propuso</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512EA" w:rsidRPr="00B25E57">
        <w:rPr>
          <w:lang w:val="es-ES_tradnl"/>
        </w:rPr>
        <w:t>cierre</w:t>
      </w:r>
      <w:r w:rsidR="003A46A1" w:rsidRPr="00B25E57">
        <w:rPr>
          <w:lang w:val="es-ES_tradnl"/>
        </w:rPr>
        <w:t xml:space="preserve"> </w:t>
      </w:r>
      <w:r w:rsidR="00AA7226">
        <w:rPr>
          <w:lang w:val="es-ES_tradnl"/>
        </w:rPr>
        <w:t>determinado</w:t>
      </w:r>
      <w:r w:rsidR="003A46A1" w:rsidRPr="00B25E57">
        <w:rPr>
          <w:lang w:val="es-ES_tradnl"/>
        </w:rPr>
        <w:t xml:space="preserve"> </w:t>
      </w:r>
      <w:r w:rsidR="00F942C6" w:rsidRPr="00B25E57">
        <w:rPr>
          <w:lang w:val="es-ES_tradnl"/>
        </w:rPr>
        <w:t>por</w:t>
      </w:r>
      <w:r w:rsidR="003A46A1" w:rsidRPr="00B25E57">
        <w:rPr>
          <w:lang w:val="es-ES_tradnl"/>
        </w:rPr>
        <w:t xml:space="preserve"> </w:t>
      </w:r>
      <w:r w:rsidR="006A4410">
        <w:rPr>
          <w:lang w:val="es-ES_tradnl"/>
        </w:rPr>
        <w:t>el consultor</w:t>
      </w:r>
      <w:r w:rsidR="003A46A1" w:rsidRPr="00B25E57">
        <w:rPr>
          <w:lang w:val="es-ES_tradnl"/>
        </w:rPr>
        <w:t xml:space="preserve"> independiente </w:t>
      </w:r>
      <w:r w:rsidR="00345E62" w:rsidRPr="00B25E57">
        <w:rPr>
          <w:lang w:val="es-ES_tradnl"/>
        </w:rPr>
        <w:t>(</w:t>
      </w:r>
      <w:r w:rsidR="004241C5" w:rsidRPr="00B25E57">
        <w:rPr>
          <w:lang w:val="es-ES_tradnl"/>
        </w:rPr>
        <w:t>5.</w:t>
      </w:r>
      <w:r w:rsidR="00345E62" w:rsidRPr="00B25E57">
        <w:rPr>
          <w:lang w:val="es-ES_tradnl"/>
        </w:rPr>
        <w:t>05</w:t>
      </w:r>
      <w:r w:rsidR="004241C5" w:rsidRPr="00B25E57">
        <w:rPr>
          <w:lang w:val="es-ES_tradnl"/>
        </w:rPr>
        <w:t>6.</w:t>
      </w:r>
      <w:r w:rsidR="00345E62" w:rsidRPr="00B25E57">
        <w:rPr>
          <w:lang w:val="es-ES_tradnl"/>
        </w:rPr>
        <w:t>353</w:t>
      </w:r>
      <w:r w:rsidR="00532BA1">
        <w:rPr>
          <w:lang w:val="es-ES_tradnl"/>
        </w:rPr>
        <w:t xml:space="preserve"> </w:t>
      </w:r>
      <w:r w:rsidR="00532BA1" w:rsidRPr="00532BA1">
        <w:rPr>
          <w:lang w:val="es-ES_tradnl"/>
        </w:rPr>
        <w:t>$EUA</w:t>
      </w:r>
      <w:r w:rsidR="00345E62" w:rsidRPr="00B25E57">
        <w:rPr>
          <w:lang w:val="es-ES_tradnl"/>
        </w:rPr>
        <w:t>).</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6D7713">
        <w:rPr>
          <w:lang w:val="es-ES_tradnl"/>
        </w:rPr>
        <w:t xml:space="preserve">no </w:t>
      </w:r>
      <w:r w:rsidR="00CE1982">
        <w:rPr>
          <w:lang w:val="es-ES_tradnl"/>
        </w:rPr>
        <w:t xml:space="preserve">estuvo de acuerdo </w:t>
      </w:r>
      <w:r w:rsidR="004241C5" w:rsidRPr="00B25E57">
        <w:rPr>
          <w:lang w:val="es-ES_tradnl"/>
        </w:rPr>
        <w:t>con</w:t>
      </w:r>
      <w:r w:rsidR="003A46A1" w:rsidRPr="00B25E57">
        <w:rPr>
          <w:lang w:val="es-ES_tradnl"/>
        </w:rPr>
        <w:t xml:space="preserve"> </w:t>
      </w:r>
      <w:r w:rsidR="00A4343B" w:rsidRPr="00B25E57">
        <w:rPr>
          <w:lang w:val="es-ES_tradnl"/>
        </w:rPr>
        <w:t>la</w:t>
      </w:r>
      <w:r w:rsidR="003A46A1" w:rsidRPr="00B25E57">
        <w:rPr>
          <w:lang w:val="es-ES_tradnl"/>
        </w:rPr>
        <w:t xml:space="preserve"> </w:t>
      </w:r>
      <w:r w:rsidR="00A4343B" w:rsidRPr="00B25E57">
        <w:rPr>
          <w:lang w:val="es-ES_tradnl"/>
        </w:rPr>
        <w:t>evaluación</w:t>
      </w:r>
      <w:r w:rsidR="003A46A1" w:rsidRPr="00B25E57">
        <w:rPr>
          <w:lang w:val="es-ES_tradnl"/>
        </w:rPr>
        <w:t xml:space="preserve"> </w:t>
      </w:r>
      <w:r w:rsidR="0050448B">
        <w:rPr>
          <w:lang w:val="es-ES_tradnl"/>
        </w:rPr>
        <w:t xml:space="preserve">de que </w:t>
      </w:r>
      <w:r w:rsidR="0048577C">
        <w:rPr>
          <w:lang w:val="es-ES_tradnl"/>
        </w:rPr>
        <w:t>FIASA</w:t>
      </w:r>
      <w:r w:rsidR="003A46A1" w:rsidRPr="00B25E57">
        <w:rPr>
          <w:lang w:val="es-ES_tradnl"/>
        </w:rPr>
        <w:t xml:space="preserve"> </w:t>
      </w:r>
      <w:r w:rsidR="006E2417">
        <w:rPr>
          <w:lang w:val="es-ES_tradnl"/>
        </w:rPr>
        <w:t>dejaría de operar</w:t>
      </w:r>
      <w:r w:rsidR="00693C7C">
        <w:rPr>
          <w:lang w:val="es-ES_tradnl"/>
        </w:rPr>
        <w:t xml:space="preserve"> en </w:t>
      </w:r>
      <w:r w:rsidR="004241C5" w:rsidRPr="00B25E57">
        <w:rPr>
          <w:lang w:val="es-ES_tradnl"/>
        </w:rPr>
        <w:t>202</w:t>
      </w:r>
      <w:r w:rsidR="00261C3A">
        <w:rPr>
          <w:lang w:val="es-ES_tradnl"/>
        </w:rPr>
        <w:t>4</w:t>
      </w:r>
      <w:r w:rsidR="00447E42">
        <w:rPr>
          <w:lang w:val="es-ES_tradnl"/>
        </w:rPr>
        <w:t xml:space="preserve">, como tampoco </w:t>
      </w:r>
      <w:r w:rsidR="00261C3A">
        <w:rPr>
          <w:lang w:val="es-ES_tradnl"/>
        </w:rPr>
        <w:t xml:space="preserve">con </w:t>
      </w:r>
      <w:r w:rsidR="00935C7F">
        <w:rPr>
          <w:lang w:val="es-ES_tradnl"/>
        </w:rPr>
        <w:t>aplicar</w:t>
      </w:r>
      <w:r w:rsidR="00922ABA">
        <w:rPr>
          <w:lang w:val="es-ES_tradnl"/>
        </w:rPr>
        <w:t xml:space="preserve"> una </w:t>
      </w:r>
      <w:r w:rsidR="00635681">
        <w:rPr>
          <w:lang w:val="es-ES_tradnl"/>
        </w:rPr>
        <w:t>tasa de descuento</w:t>
      </w:r>
      <w:r w:rsidR="003A46A1" w:rsidRPr="00B25E57">
        <w:rPr>
          <w:lang w:val="es-ES_tradnl"/>
        </w:rPr>
        <w:t xml:space="preserve"> </w:t>
      </w:r>
      <w:r w:rsidR="00FB38C2" w:rsidRPr="00B25E57">
        <w:rPr>
          <w:lang w:val="es-ES_tradnl"/>
        </w:rPr>
        <w:t>de</w:t>
      </w:r>
      <w:r w:rsidR="008D0FC8">
        <w:rPr>
          <w:lang w:val="es-ES_tradnl"/>
        </w:rPr>
        <w:t>l</w:t>
      </w:r>
      <w:r w:rsidR="003A46A1" w:rsidRPr="00B25E57">
        <w:rPr>
          <w:lang w:val="es-ES_tradnl"/>
        </w:rPr>
        <w:t xml:space="preserve"> </w:t>
      </w:r>
      <w:r w:rsidR="00345E62" w:rsidRPr="00B25E57">
        <w:rPr>
          <w:lang w:val="es-ES_tradnl"/>
        </w:rPr>
        <w:t>17</w:t>
      </w:r>
      <w:r w:rsidR="00E22238" w:rsidRPr="00B25E57">
        <w:rPr>
          <w:lang w:val="es-ES_tradnl"/>
        </w:rPr>
        <w:t>,7%</w:t>
      </w:r>
      <w:r w:rsidR="003A46A1" w:rsidRPr="00B25E57">
        <w:rPr>
          <w:lang w:val="es-ES_tradnl"/>
        </w:rPr>
        <w:t xml:space="preserve"> </w:t>
      </w:r>
      <w:r w:rsidR="00E25678">
        <w:rPr>
          <w:lang w:val="es-ES_tradnl"/>
        </w:rPr>
        <w:t xml:space="preserve">ni con </w:t>
      </w:r>
      <w:r w:rsidR="00841EFC">
        <w:rPr>
          <w:lang w:val="es-ES_tradnl"/>
        </w:rPr>
        <w:t xml:space="preserve">el </w:t>
      </w:r>
      <w:r w:rsidR="004241C5" w:rsidRPr="00B25E57">
        <w:rPr>
          <w:lang w:val="es-ES_tradnl"/>
        </w:rPr>
        <w:t>nivel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73541">
        <w:rPr>
          <w:lang w:val="es-ES_tradnl"/>
        </w:rPr>
        <w:t>compensación</w:t>
      </w:r>
      <w:r w:rsidR="00841EFC" w:rsidRPr="00216433">
        <w:rPr>
          <w:lang w:val="es-ES"/>
        </w:rPr>
        <w:t xml:space="preserve"> </w:t>
      </w:r>
      <w:r w:rsidR="00841EFC" w:rsidRPr="00841EFC">
        <w:rPr>
          <w:lang w:val="es-ES_tradnl"/>
        </w:rPr>
        <w:t>propuesto</w:t>
      </w:r>
      <w:r w:rsidR="00345E62" w:rsidRPr="00B25E57">
        <w:rPr>
          <w:lang w:val="es-ES_tradnl"/>
        </w:rPr>
        <w:t>.</w:t>
      </w:r>
      <w:r w:rsidR="003A46A1" w:rsidRPr="00B25E57">
        <w:rPr>
          <w:lang w:val="es-ES_tradnl"/>
        </w:rPr>
        <w:t xml:space="preserve"> </w:t>
      </w:r>
      <w:r w:rsidR="002430D0">
        <w:rPr>
          <w:lang w:val="es-ES_tradnl"/>
        </w:rPr>
        <w:t xml:space="preserve">Como se </w:t>
      </w:r>
      <w:r w:rsidR="00696128">
        <w:rPr>
          <w:lang w:val="es-ES_tradnl"/>
        </w:rPr>
        <w:t xml:space="preserve">explica en mayor detalle </w:t>
      </w:r>
      <w:r w:rsidR="00DA1531">
        <w:rPr>
          <w:lang w:val="es-ES_tradnl"/>
        </w:rPr>
        <w:t xml:space="preserve">en </w:t>
      </w:r>
      <w:r w:rsidR="00696128">
        <w:rPr>
          <w:lang w:val="es-ES_tradnl"/>
        </w:rPr>
        <w:t xml:space="preserve">la </w:t>
      </w:r>
      <w:r w:rsidR="00A4343B" w:rsidRPr="00B25E57">
        <w:rPr>
          <w:lang w:val="es-ES_tradnl"/>
        </w:rPr>
        <w:t>sección</w:t>
      </w:r>
      <w:r w:rsidR="003A46A1" w:rsidRPr="00B25E57">
        <w:rPr>
          <w:lang w:val="es-ES_tradnl"/>
        </w:rPr>
        <w:t xml:space="preserve"> </w:t>
      </w:r>
      <w:r w:rsidR="0030332B">
        <w:rPr>
          <w:lang w:val="es-ES_tradnl"/>
        </w:rPr>
        <w:t xml:space="preserve">sobre </w:t>
      </w:r>
      <w:r w:rsidR="00D66C06" w:rsidRPr="00D66C06">
        <w:rPr>
          <w:lang w:val="es-ES_tradnl"/>
        </w:rPr>
        <w:t xml:space="preserve">políticas de control de </w:t>
      </w:r>
      <w:r w:rsidR="00D66C06">
        <w:rPr>
          <w:lang w:val="es-ES_tradnl"/>
        </w:rPr>
        <w:t xml:space="preserve">las </w:t>
      </w:r>
      <w:r w:rsidR="00D66C06" w:rsidRPr="00D66C06">
        <w:rPr>
          <w:lang w:val="es-ES_tradnl"/>
        </w:rPr>
        <w:t>emisiones del subproducto HFC-23</w:t>
      </w:r>
      <w:r w:rsidR="00345E62" w:rsidRPr="00B25E57">
        <w:rPr>
          <w:lang w:val="es-ES_tradnl"/>
        </w:rPr>
        <w:t>,</w:t>
      </w:r>
      <w:r w:rsidR="003A46A1" w:rsidRPr="00B25E57">
        <w:rPr>
          <w:lang w:val="es-ES_tradnl"/>
        </w:rPr>
        <w:t xml:space="preserve"> </w:t>
      </w:r>
      <w:r w:rsidR="00DA4FBA" w:rsidRPr="00DA4FBA">
        <w:rPr>
          <w:lang w:val="es-ES_tradnl"/>
        </w:rPr>
        <w:t xml:space="preserve">a los fines de determinar los sobrecostos admisibles del proyecto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5C3C81">
        <w:rPr>
          <w:lang w:val="es-ES_tradnl"/>
        </w:rPr>
        <w:t xml:space="preserve">considera </w:t>
      </w:r>
      <w:r w:rsidR="002D554C">
        <w:rPr>
          <w:lang w:val="es-ES_tradnl"/>
        </w:rPr>
        <w:t>necesaria</w:t>
      </w:r>
      <w:r w:rsidR="00A057CC">
        <w:rPr>
          <w:lang w:val="es-ES_tradnl"/>
        </w:rPr>
        <w:t xml:space="preserve"> </w:t>
      </w:r>
      <w:r w:rsidR="00464D44">
        <w:rPr>
          <w:lang w:val="es-ES_tradnl"/>
        </w:rPr>
        <w:t xml:space="preserve">la </w:t>
      </w:r>
      <w:r w:rsidR="00464D44" w:rsidRPr="00464D44">
        <w:rPr>
          <w:lang w:val="es-ES_tradnl"/>
        </w:rPr>
        <w:t xml:space="preserve">orientación </w:t>
      </w:r>
      <w:r w:rsidR="00464D44">
        <w:rPr>
          <w:lang w:val="es-ES_tradnl"/>
        </w:rPr>
        <w:t>d</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345E62" w:rsidRPr="00B25E57">
        <w:rPr>
          <w:lang w:val="es-ES_tradnl"/>
        </w:rPr>
        <w:t>.</w:t>
      </w:r>
    </w:p>
    <w:p w14:paraId="3DD1B3B3" w14:textId="002454E1" w:rsidR="00345E62" w:rsidRPr="00B25E57" w:rsidRDefault="00F33C58" w:rsidP="00345E62">
      <w:pPr>
        <w:rPr>
          <w:u w:val="single"/>
          <w:lang w:val="es-ES_tradnl"/>
        </w:rPr>
      </w:pPr>
      <w:r w:rsidRPr="00B25E57">
        <w:rPr>
          <w:u w:val="single"/>
          <w:lang w:val="es-ES_tradnl"/>
        </w:rPr>
        <w:lastRenderedPageBreak/>
        <w:t>Opción</w:t>
      </w:r>
      <w:r w:rsidR="003A46A1" w:rsidRPr="00B25E57">
        <w:rPr>
          <w:u w:val="single"/>
          <w:lang w:val="es-ES_tradnl"/>
        </w:rPr>
        <w:t xml:space="preserve"> </w:t>
      </w:r>
      <w:r w:rsidR="0086582D" w:rsidRPr="00B25E57">
        <w:rPr>
          <w:u w:val="single"/>
          <w:lang w:val="es-ES_tradnl"/>
        </w:rPr>
        <w:t>2:</w:t>
      </w:r>
      <w:r w:rsidR="003A46A1" w:rsidRPr="00B25E57">
        <w:rPr>
          <w:u w:val="single"/>
          <w:lang w:val="es-ES_tradnl"/>
        </w:rPr>
        <w:t xml:space="preserve"> </w:t>
      </w:r>
      <w:r w:rsidR="007930E9">
        <w:rPr>
          <w:u w:val="single"/>
          <w:lang w:val="es-ES_tradnl"/>
        </w:rPr>
        <w:t>Reponer en servicio</w:t>
      </w:r>
      <w:r w:rsidR="003A46A1" w:rsidRPr="00B25E57">
        <w:rPr>
          <w:u w:val="single"/>
          <w:lang w:val="es-ES_tradnl"/>
        </w:rPr>
        <w:t xml:space="preserve"> </w:t>
      </w:r>
      <w:r w:rsidR="00C95B4F">
        <w:rPr>
          <w:u w:val="single"/>
          <w:lang w:val="es-ES_tradnl"/>
        </w:rPr>
        <w:t>el incinerador</w:t>
      </w:r>
    </w:p>
    <w:p w14:paraId="30E79D9D" w14:textId="77777777" w:rsidR="00345E62" w:rsidRPr="003206C5" w:rsidRDefault="00345E62" w:rsidP="00345E62">
      <w:pPr>
        <w:rPr>
          <w:lang w:val="es-ES_tradnl"/>
        </w:rPr>
      </w:pPr>
    </w:p>
    <w:p w14:paraId="430C5B74" w14:textId="475B61CF" w:rsidR="007B22B4" w:rsidRPr="00B25E57" w:rsidRDefault="00212CA9" w:rsidP="00345E62">
      <w:pPr>
        <w:pStyle w:val="Heading1"/>
        <w:rPr>
          <w:lang w:val="es-ES_tradnl"/>
        </w:rPr>
      </w:pPr>
      <w:r>
        <w:rPr>
          <w:lang w:val="es-ES_tradnl"/>
        </w:rPr>
        <w:t xml:space="preserve">Mientras </w:t>
      </w:r>
      <w:r w:rsidR="00086632">
        <w:rPr>
          <w:lang w:val="es-ES_tradnl"/>
        </w:rPr>
        <w:t xml:space="preserve">generaba </w:t>
      </w:r>
      <w:r w:rsidR="00143C47">
        <w:rPr>
          <w:lang w:val="es-ES_tradnl"/>
        </w:rPr>
        <w:t xml:space="preserve">créditos </w:t>
      </w:r>
      <w:r w:rsidR="00700169" w:rsidRPr="00700169">
        <w:rPr>
          <w:lang w:val="es-ES_tradnl"/>
        </w:rPr>
        <w:t>de carbono</w:t>
      </w:r>
      <w:r w:rsidR="00584AE9">
        <w:rPr>
          <w:lang w:val="es-ES_tradnl"/>
        </w:rPr>
        <w:t xml:space="preserve"> </w:t>
      </w:r>
      <w:r w:rsidR="00997B30">
        <w:rPr>
          <w:lang w:val="es-ES_tradnl"/>
        </w:rPr>
        <w:t xml:space="preserve">en virtud del </w:t>
      </w:r>
      <w:r w:rsidR="00DD3A18">
        <w:rPr>
          <w:lang w:val="es-ES_tradnl"/>
        </w:rPr>
        <w:t>proyecto</w:t>
      </w:r>
      <w:r w:rsidR="007F3B2A">
        <w:rPr>
          <w:lang w:val="es-ES_tradnl"/>
        </w:rPr>
        <w:t xml:space="preserve"> MDL</w:t>
      </w:r>
      <w:r w:rsidR="00345E62" w:rsidRPr="00B25E57">
        <w:rPr>
          <w:lang w:val="es-ES_tradnl"/>
        </w:rPr>
        <w:t>,</w:t>
      </w:r>
      <w:r w:rsidR="00345E62" w:rsidRPr="00B25E57">
        <w:rPr>
          <w:rStyle w:val="FootnoteReference"/>
          <w:lang w:val="es-ES_tradnl"/>
        </w:rPr>
        <w:footnoteReference w:id="16"/>
      </w:r>
      <w:r w:rsidR="003A46A1" w:rsidRPr="00B25E57">
        <w:rPr>
          <w:lang w:val="es-ES_tradnl"/>
        </w:rPr>
        <w:t xml:space="preserve"> </w:t>
      </w:r>
      <w:r w:rsidR="00345E62" w:rsidRPr="00B25E57">
        <w:rPr>
          <w:lang w:val="es-ES_tradnl"/>
        </w:rPr>
        <w:t>FIASA</w:t>
      </w:r>
      <w:r w:rsidR="003A46A1" w:rsidRPr="00B25E57">
        <w:rPr>
          <w:lang w:val="es-ES_tradnl"/>
        </w:rPr>
        <w:t xml:space="preserve"> </w:t>
      </w:r>
      <w:r w:rsidR="006A2431">
        <w:rPr>
          <w:lang w:val="es-ES_tradnl"/>
        </w:rPr>
        <w:t>utilizó el tanque</w:t>
      </w:r>
      <w:r w:rsidR="006A0B9C">
        <w:rPr>
          <w:lang w:val="es-ES_tradnl"/>
        </w:rPr>
        <w:t xml:space="preserve"> criogénico</w:t>
      </w:r>
      <w:r w:rsidR="003A46A1" w:rsidRPr="00B25E57">
        <w:rPr>
          <w:lang w:val="es-ES_tradnl"/>
        </w:rPr>
        <w:t xml:space="preserve"> </w:t>
      </w:r>
      <w:r w:rsidR="00EB5A35">
        <w:rPr>
          <w:lang w:val="es-ES_tradnl"/>
        </w:rPr>
        <w:t xml:space="preserve">como </w:t>
      </w:r>
      <w:r w:rsidR="005F3CFB" w:rsidRPr="005F3CFB">
        <w:rPr>
          <w:lang w:val="es-ES_tradnl"/>
        </w:rPr>
        <w:t xml:space="preserve">regulador </w:t>
      </w:r>
      <w:r w:rsidR="006E3431">
        <w:rPr>
          <w:lang w:val="es-ES_tradnl"/>
        </w:rPr>
        <w:t xml:space="preserve">de </w:t>
      </w:r>
      <w:r w:rsidR="005D0CDB">
        <w:rPr>
          <w:lang w:val="es-ES_tradnl"/>
        </w:rPr>
        <w:t xml:space="preserve">la estabilidad </w:t>
      </w:r>
      <w:r w:rsidR="00840362">
        <w:rPr>
          <w:lang w:val="es-ES_tradnl"/>
        </w:rPr>
        <w:t>operativa</w:t>
      </w:r>
      <w:r w:rsidR="003A46A1" w:rsidRPr="00B25E57">
        <w:rPr>
          <w:lang w:val="es-ES_tradnl"/>
        </w:rPr>
        <w:t xml:space="preserve"> </w:t>
      </w:r>
      <w:r w:rsidR="00FB38C2" w:rsidRPr="00B25E57">
        <w:rPr>
          <w:lang w:val="es-ES_tradnl"/>
        </w:rPr>
        <w:t>de</w:t>
      </w:r>
      <w:r w:rsidR="006A2431">
        <w:rPr>
          <w:lang w:val="es-ES_tradnl"/>
        </w:rPr>
        <w:t>l</w:t>
      </w:r>
      <w:r w:rsidR="003A46A1" w:rsidRPr="00B25E57">
        <w:rPr>
          <w:lang w:val="es-ES_tradnl"/>
        </w:rPr>
        <w:t xml:space="preserve"> incinerador </w:t>
      </w:r>
      <w:r w:rsidR="00F33C58" w:rsidRPr="00B25E57">
        <w:rPr>
          <w:lang w:val="es-ES_tradnl"/>
        </w:rPr>
        <w:t>y</w:t>
      </w:r>
      <w:r w:rsidR="003A46A1" w:rsidRPr="00B25E57">
        <w:rPr>
          <w:lang w:val="es-ES_tradnl"/>
        </w:rPr>
        <w:t xml:space="preserve"> </w:t>
      </w:r>
      <w:r w:rsidR="00AC5B51">
        <w:rPr>
          <w:lang w:val="es-ES_tradnl"/>
        </w:rPr>
        <w:t xml:space="preserve">como depósito </w:t>
      </w:r>
      <w:r w:rsidR="00F33C58" w:rsidRPr="00B25E57">
        <w:rPr>
          <w:lang w:val="es-ES_tradnl"/>
        </w:rPr>
        <w:t>cuando</w:t>
      </w:r>
      <w:r w:rsidR="003A46A1" w:rsidRPr="00B25E57">
        <w:rPr>
          <w:lang w:val="es-ES_tradnl"/>
        </w:rPr>
        <w:t xml:space="preserve"> </w:t>
      </w:r>
      <w:r w:rsidR="002B348D">
        <w:rPr>
          <w:lang w:val="es-ES_tradnl"/>
        </w:rPr>
        <w:t xml:space="preserve">éste </w:t>
      </w:r>
      <w:r w:rsidR="00907BA9">
        <w:rPr>
          <w:lang w:val="es-ES_tradnl"/>
        </w:rPr>
        <w:t xml:space="preserve">estaba </w:t>
      </w:r>
      <w:r w:rsidR="00F95AE8">
        <w:rPr>
          <w:lang w:val="es-ES_tradnl"/>
        </w:rPr>
        <w:t>detenido</w:t>
      </w:r>
      <w:r w:rsidR="00862A82" w:rsidRPr="00B25E57">
        <w:rPr>
          <w:lang w:val="es-ES_tradnl"/>
        </w:rPr>
        <w:t>.</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ONUDI</w:t>
      </w:r>
      <w:r w:rsidR="003A46A1" w:rsidRPr="00B25E57">
        <w:rPr>
          <w:lang w:val="es-ES_tradnl"/>
        </w:rPr>
        <w:t xml:space="preserve"> </w:t>
      </w:r>
      <w:r w:rsidR="004057BA" w:rsidRPr="00B25E57">
        <w:rPr>
          <w:lang w:val="es-ES_tradnl"/>
        </w:rPr>
        <w:t>aclaró</w:t>
      </w:r>
      <w:r w:rsidR="003A46A1" w:rsidRPr="00B25E57">
        <w:rPr>
          <w:lang w:val="es-ES_tradnl"/>
        </w:rPr>
        <w:t xml:space="preserve"> </w:t>
      </w:r>
      <w:r w:rsidR="004057BA" w:rsidRPr="00B25E57">
        <w:rPr>
          <w:lang w:val="es-ES_tradnl"/>
        </w:rPr>
        <w:t>que</w:t>
      </w:r>
      <w:r w:rsidR="003A46A1" w:rsidRPr="00B25E57">
        <w:rPr>
          <w:lang w:val="es-ES_tradnl"/>
        </w:rPr>
        <w:t xml:space="preserve"> </w:t>
      </w:r>
      <w:r w:rsidR="00345E62" w:rsidRPr="00B25E57">
        <w:rPr>
          <w:lang w:val="es-ES_tradnl"/>
        </w:rPr>
        <w:t>FIASA</w:t>
      </w:r>
      <w:r w:rsidR="003A46A1" w:rsidRPr="00B25E57">
        <w:rPr>
          <w:lang w:val="es-ES_tradnl"/>
        </w:rPr>
        <w:t xml:space="preserve"> </w:t>
      </w:r>
      <w:r w:rsidR="005B4274">
        <w:rPr>
          <w:lang w:val="es-ES_tradnl"/>
        </w:rPr>
        <w:t xml:space="preserve">se inscribió </w:t>
      </w:r>
      <w:r w:rsidR="004241C5" w:rsidRPr="00B25E57">
        <w:rPr>
          <w:lang w:val="es-ES_tradnl"/>
        </w:rPr>
        <w:t>en</w:t>
      </w:r>
      <w:r w:rsidR="003A46A1" w:rsidRPr="00B25E57">
        <w:rPr>
          <w:lang w:val="es-ES_tradnl"/>
        </w:rPr>
        <w:t xml:space="preserve"> </w:t>
      </w:r>
      <w:r w:rsidR="00345E62" w:rsidRPr="00B25E57">
        <w:rPr>
          <w:lang w:val="es-ES_tradnl"/>
        </w:rPr>
        <w:t>2004</w:t>
      </w:r>
      <w:r w:rsidR="004E63CB" w:rsidRPr="00216433">
        <w:rPr>
          <w:lang w:val="es-ES"/>
        </w:rPr>
        <w:t xml:space="preserve"> </w:t>
      </w:r>
      <w:r w:rsidR="004E63CB" w:rsidRPr="004E63CB">
        <w:rPr>
          <w:lang w:val="es-ES_tradnl"/>
        </w:rPr>
        <w:t xml:space="preserve">como </w:t>
      </w:r>
      <w:r w:rsidR="00531BFE">
        <w:rPr>
          <w:lang w:val="es-ES_tradnl"/>
        </w:rPr>
        <w:t>planta de generación y tratamiento de residuos peligrosos</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00715405">
        <w:rPr>
          <w:lang w:val="es-ES_tradnl"/>
        </w:rPr>
        <w:t xml:space="preserve">de </w:t>
      </w:r>
      <w:r w:rsidR="003206C5">
        <w:rPr>
          <w:lang w:val="es-ES_tradnl"/>
        </w:rPr>
        <w:t>repone</w:t>
      </w:r>
      <w:r w:rsidR="00715405">
        <w:rPr>
          <w:lang w:val="es-ES_tradnl"/>
        </w:rPr>
        <w:t>r</w:t>
      </w:r>
      <w:r w:rsidR="0064622F">
        <w:rPr>
          <w:lang w:val="es-ES_tradnl"/>
        </w:rPr>
        <w:t xml:space="preserve"> en servicio el incinerador, </w:t>
      </w:r>
      <w:r w:rsidR="003206C5">
        <w:rPr>
          <w:lang w:val="es-ES_tradnl"/>
        </w:rPr>
        <w:t>tendría volver a inscribirse</w:t>
      </w:r>
      <w:r w:rsidR="00345E62" w:rsidRPr="00B25E57">
        <w:rPr>
          <w:lang w:val="es-ES_tradnl"/>
        </w:rPr>
        <w:t>.</w:t>
      </w:r>
      <w:r w:rsidR="003A46A1" w:rsidRPr="00B25E57">
        <w:rPr>
          <w:lang w:val="es-ES_tradnl"/>
        </w:rPr>
        <w:t xml:space="preserve"> </w:t>
      </w:r>
      <w:r w:rsidR="00C31A7F">
        <w:rPr>
          <w:lang w:val="es-ES_tradnl"/>
        </w:rPr>
        <w:t xml:space="preserve">Considerando </w:t>
      </w:r>
      <w:r w:rsidR="00133F76">
        <w:rPr>
          <w:lang w:val="es-ES_tradnl"/>
        </w:rPr>
        <w:t xml:space="preserve">que la empresa </w:t>
      </w:r>
      <w:r w:rsidR="00630F3E">
        <w:rPr>
          <w:lang w:val="es-ES_tradnl"/>
        </w:rPr>
        <w:t xml:space="preserve">previamente </w:t>
      </w:r>
      <w:r w:rsidR="00FF3566">
        <w:rPr>
          <w:lang w:val="es-ES_tradnl"/>
        </w:rPr>
        <w:t xml:space="preserve">no tuvo problemas </w:t>
      </w:r>
      <w:r w:rsidR="005E6846">
        <w:rPr>
          <w:lang w:val="es-ES_tradnl"/>
        </w:rPr>
        <w:t xml:space="preserve">para inscribirse </w:t>
      </w:r>
      <w:r w:rsidR="00ED51C9">
        <w:rPr>
          <w:lang w:val="es-ES_tradnl"/>
        </w:rPr>
        <w:t xml:space="preserve">en </w:t>
      </w:r>
      <w:r w:rsidR="005B73CB">
        <w:rPr>
          <w:lang w:val="es-ES_tradnl"/>
        </w:rPr>
        <w:t xml:space="preserve">el </w:t>
      </w:r>
      <w:r w:rsidR="00ED51C9">
        <w:rPr>
          <w:lang w:val="es-ES_tradnl"/>
        </w:rPr>
        <w:t xml:space="preserve">registro,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D7728C">
        <w:rPr>
          <w:lang w:val="es-ES_tradnl"/>
        </w:rPr>
        <w:t xml:space="preserve">no </w:t>
      </w:r>
      <w:r w:rsidR="006D2E3A">
        <w:rPr>
          <w:lang w:val="es-ES_tradnl"/>
        </w:rPr>
        <w:t>siguió</w:t>
      </w:r>
      <w:r w:rsidR="00D7728C">
        <w:rPr>
          <w:lang w:val="es-ES_tradnl"/>
        </w:rPr>
        <w:t xml:space="preserve"> </w:t>
      </w:r>
      <w:r w:rsidR="003E12E9">
        <w:rPr>
          <w:lang w:val="es-ES_tradnl"/>
        </w:rPr>
        <w:t>considerando los e</w:t>
      </w:r>
      <w:r w:rsidR="0061462C">
        <w:rPr>
          <w:lang w:val="es-ES_tradnl"/>
        </w:rPr>
        <w:t>scenario</w:t>
      </w:r>
      <w:r w:rsidR="00345E62" w:rsidRPr="00B25E57">
        <w:rPr>
          <w:lang w:val="es-ES_tradnl"/>
        </w:rPr>
        <w:t>s</w:t>
      </w:r>
      <w:r w:rsidR="003A46A1" w:rsidRPr="00B25E57">
        <w:rPr>
          <w:lang w:val="es-ES_tradnl"/>
        </w:rPr>
        <w:t xml:space="preserve"> </w:t>
      </w:r>
      <w:r w:rsidR="00345E62" w:rsidRPr="00B25E57">
        <w:rPr>
          <w:lang w:val="es-ES_tradnl"/>
        </w:rPr>
        <w:t>B</w:t>
      </w:r>
      <w:r w:rsidR="003A46A1" w:rsidRPr="00B25E57">
        <w:rPr>
          <w:lang w:val="es-ES_tradnl"/>
        </w:rPr>
        <w:t xml:space="preserve"> </w:t>
      </w:r>
      <w:r w:rsidR="00FB38C2" w:rsidRPr="00B25E57">
        <w:rPr>
          <w:lang w:val="es-ES_tradnl"/>
        </w:rPr>
        <w:t>y</w:t>
      </w:r>
      <w:r w:rsidR="003A46A1" w:rsidRPr="00B25E57">
        <w:rPr>
          <w:lang w:val="es-ES_tradnl"/>
        </w:rPr>
        <w:t xml:space="preserve"> </w:t>
      </w:r>
      <w:r w:rsidR="00345E62" w:rsidRPr="00B25E57">
        <w:rPr>
          <w:lang w:val="es-ES_tradnl"/>
        </w:rPr>
        <w:t>C</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2C1AC3">
        <w:rPr>
          <w:lang w:val="es-ES_tradnl"/>
        </w:rPr>
        <w:t xml:space="preserve">la </w:t>
      </w:r>
      <w:r w:rsidR="00F33C58" w:rsidRPr="00B25E57">
        <w:rPr>
          <w:lang w:val="es-ES_tradnl"/>
        </w:rPr>
        <w:t>Opción</w:t>
      </w:r>
      <w:r w:rsidR="003A46A1" w:rsidRPr="00B25E57">
        <w:rPr>
          <w:lang w:val="es-ES_tradnl"/>
        </w:rPr>
        <w:t xml:space="preserve"> </w:t>
      </w:r>
      <w:r w:rsidR="00345E62" w:rsidRPr="00B25E57">
        <w:rPr>
          <w:lang w:val="es-ES_tradnl"/>
        </w:rPr>
        <w:t>2.</w:t>
      </w:r>
    </w:p>
    <w:p w14:paraId="18514DB3" w14:textId="0D44DE94" w:rsidR="007B22B4" w:rsidRPr="00B25E57" w:rsidRDefault="008A3316" w:rsidP="00E46B2F">
      <w:pPr>
        <w:pStyle w:val="Heading1"/>
        <w:spacing w:after="360"/>
        <w:rPr>
          <w:rFonts w:cstheme="minorHAnsi"/>
          <w:lang w:val="es-ES_tradnl"/>
        </w:rPr>
      </w:pPr>
      <w:r w:rsidRPr="00B25E57">
        <w:rPr>
          <w:lang w:val="es-ES_tradnl"/>
        </w:rPr>
        <w:t>En</w:t>
      </w:r>
      <w:r w:rsidR="003A46A1" w:rsidRPr="00B25E57">
        <w:rPr>
          <w:lang w:val="es-ES_tradnl"/>
        </w:rPr>
        <w:t xml:space="preserve"> </w:t>
      </w:r>
      <w:r w:rsidRPr="00B25E57">
        <w:rPr>
          <w:lang w:val="es-ES_tradnl"/>
        </w:rPr>
        <w:t>cuanto</w:t>
      </w:r>
      <w:r w:rsidR="003A46A1" w:rsidRPr="00B25E57">
        <w:rPr>
          <w:lang w:val="es-ES_tradnl"/>
        </w:rPr>
        <w:t xml:space="preserve"> </w:t>
      </w:r>
      <w:r w:rsidRPr="00B25E57">
        <w:rPr>
          <w:lang w:val="es-ES_tradnl"/>
        </w:rPr>
        <w:t>a</w:t>
      </w:r>
      <w:r w:rsidR="003A46A1" w:rsidRPr="00B25E57">
        <w:rPr>
          <w:lang w:val="es-ES_tradnl"/>
        </w:rPr>
        <w:t xml:space="preserve"> </w:t>
      </w:r>
      <w:r w:rsidR="00F24FA9" w:rsidRPr="00B25E57">
        <w:rPr>
          <w:lang w:val="es-ES_tradnl"/>
        </w:rPr>
        <w:t>la</w:t>
      </w:r>
      <w:r w:rsidR="003A46A1" w:rsidRPr="00B25E57">
        <w:rPr>
          <w:lang w:val="es-ES_tradnl"/>
        </w:rPr>
        <w:t xml:space="preserve"> </w:t>
      </w:r>
      <w:r w:rsidR="00F24FA9" w:rsidRPr="00B25E57">
        <w:rPr>
          <w:lang w:val="es-ES_tradnl"/>
        </w:rPr>
        <w:t>necesidad</w:t>
      </w:r>
      <w:r w:rsidR="003A46A1" w:rsidRPr="00B25E57">
        <w:rPr>
          <w:lang w:val="es-ES_tradnl"/>
        </w:rPr>
        <w:t xml:space="preserve"> </w:t>
      </w:r>
      <w:r w:rsidR="00F24FA9" w:rsidRPr="00B25E57">
        <w:rPr>
          <w:lang w:val="es-ES_tradnl"/>
        </w:rPr>
        <w:t>de</w:t>
      </w:r>
      <w:r w:rsidR="003A46A1" w:rsidRPr="00B25E57">
        <w:rPr>
          <w:lang w:val="es-ES_tradnl"/>
        </w:rPr>
        <w:t xml:space="preserve"> </w:t>
      </w:r>
      <w:r w:rsidR="00733AB1">
        <w:rPr>
          <w:rFonts w:cstheme="minorHAnsi"/>
          <w:lang w:val="es-ES_tradnl"/>
        </w:rPr>
        <w:t>construir</w:t>
      </w:r>
      <w:r w:rsidR="003A46A1" w:rsidRPr="00B25E57">
        <w:rPr>
          <w:rFonts w:cstheme="minorHAnsi"/>
          <w:lang w:val="es-ES_tradnl"/>
        </w:rPr>
        <w:t xml:space="preserve"> </w:t>
      </w:r>
      <w:r w:rsidR="00733AB1">
        <w:rPr>
          <w:rFonts w:cstheme="minorHAnsi"/>
          <w:lang w:val="es-ES_tradnl"/>
        </w:rPr>
        <w:t xml:space="preserve">un </w:t>
      </w:r>
      <w:r w:rsidR="00631552">
        <w:rPr>
          <w:rFonts w:cstheme="minorHAnsi"/>
          <w:lang w:val="es-ES_tradnl"/>
        </w:rPr>
        <w:t>cierro</w:t>
      </w:r>
      <w:r w:rsidR="00733AB1">
        <w:rPr>
          <w:rFonts w:cstheme="minorHAnsi"/>
          <w:lang w:val="es-ES_tradnl"/>
        </w:rPr>
        <w:t xml:space="preserve"> para </w:t>
      </w:r>
      <w:r w:rsidR="006A2431">
        <w:rPr>
          <w:rFonts w:cstheme="minorHAnsi"/>
          <w:lang w:val="es-ES_tradnl"/>
        </w:rPr>
        <w:t>el tanque</w:t>
      </w:r>
      <w:r w:rsidR="006A0B9C">
        <w:rPr>
          <w:rFonts w:cstheme="minorHAnsi"/>
          <w:lang w:val="es-ES_tradnl"/>
        </w:rPr>
        <w:t xml:space="preserve"> criogénico</w:t>
      </w:r>
      <w:r w:rsidR="00345E62" w:rsidRPr="00B25E57">
        <w:rPr>
          <w:rFonts w:cstheme="minorHAnsi"/>
          <w:lang w:val="es-ES_tradnl"/>
        </w:rPr>
        <w:t>,</w:t>
      </w:r>
      <w:r w:rsidR="003A46A1" w:rsidRPr="00B25E57">
        <w:rPr>
          <w:rFonts w:cstheme="minorHAnsi"/>
          <w:lang w:val="es-ES_tradnl"/>
        </w:rPr>
        <w:t xml:space="preserve"> </w:t>
      </w:r>
      <w:r w:rsidR="0076655E">
        <w:rPr>
          <w:rFonts w:cstheme="minorHAnsi"/>
          <w:lang w:val="es-ES_tradnl"/>
        </w:rPr>
        <w:t xml:space="preserve">a un costo </w:t>
      </w:r>
      <w:r w:rsidR="003A46A1" w:rsidRPr="00B25E57">
        <w:rPr>
          <w:rFonts w:cstheme="minorHAnsi"/>
          <w:lang w:val="es-ES_tradnl"/>
        </w:rPr>
        <w:t xml:space="preserve">estimado </w:t>
      </w:r>
      <w:r w:rsidR="0076655E">
        <w:rPr>
          <w:rFonts w:cstheme="minorHAnsi"/>
          <w:lang w:val="es-ES_tradnl"/>
        </w:rPr>
        <w:t xml:space="preserve">en 100.000 </w:t>
      </w:r>
      <w:r w:rsidR="0076655E" w:rsidRPr="0076655E">
        <w:rPr>
          <w:rFonts w:cstheme="minorHAnsi"/>
          <w:lang w:val="es-ES_tradnl"/>
        </w:rPr>
        <w:t>$EUA</w:t>
      </w:r>
      <w:r w:rsidR="00D24247">
        <w:rPr>
          <w:rFonts w:cstheme="minorHAnsi"/>
          <w:lang w:val="es-ES_tradnl"/>
        </w:rPr>
        <w:t xml:space="preserve">, lo que no fue necesario </w:t>
      </w:r>
      <w:r w:rsidR="00F33C58" w:rsidRPr="00B25E57">
        <w:rPr>
          <w:rFonts w:cstheme="minorHAnsi"/>
          <w:lang w:val="es-ES_tradnl"/>
        </w:rPr>
        <w:t>cuando</w:t>
      </w:r>
      <w:r w:rsidR="003A46A1" w:rsidRPr="00B25E57">
        <w:rPr>
          <w:rFonts w:cstheme="minorHAnsi"/>
          <w:lang w:val="es-ES_tradnl"/>
        </w:rPr>
        <w:t xml:space="preserve"> </w:t>
      </w:r>
      <w:r w:rsidR="00345E62" w:rsidRPr="00B25E57">
        <w:rPr>
          <w:rFonts w:cstheme="minorHAnsi"/>
          <w:lang w:val="es-ES_tradnl"/>
        </w:rPr>
        <w:t>FIASA</w:t>
      </w:r>
      <w:r w:rsidR="003A46A1" w:rsidRPr="00B25E57">
        <w:rPr>
          <w:rFonts w:cstheme="minorHAnsi"/>
          <w:lang w:val="es-ES_tradnl"/>
        </w:rPr>
        <w:t xml:space="preserve"> </w:t>
      </w:r>
      <w:r w:rsidR="006F6A2B">
        <w:rPr>
          <w:rFonts w:cstheme="minorHAnsi"/>
          <w:lang w:val="es-ES_tradnl"/>
        </w:rPr>
        <w:t xml:space="preserve">generaba </w:t>
      </w:r>
      <w:r w:rsidR="00B6700A">
        <w:rPr>
          <w:rFonts w:cstheme="minorHAnsi"/>
          <w:lang w:val="es-ES_tradnl"/>
        </w:rPr>
        <w:t>créditos de carbono</w:t>
      </w:r>
      <w:r w:rsidR="003A46A1" w:rsidRPr="00B25E57">
        <w:rPr>
          <w:rFonts w:cstheme="minorHAnsi"/>
          <w:lang w:val="es-ES_tradnl"/>
        </w:rPr>
        <w:t xml:space="preserve"> </w:t>
      </w:r>
      <w:r w:rsidR="00242D0C">
        <w:rPr>
          <w:rFonts w:cstheme="minorHAnsi"/>
          <w:lang w:val="es-ES_tradnl"/>
        </w:rPr>
        <w:t>en</w:t>
      </w:r>
      <w:r w:rsidR="0098097A">
        <w:rPr>
          <w:rFonts w:cstheme="minorHAnsi"/>
          <w:lang w:val="es-ES_tradnl"/>
        </w:rPr>
        <w:t xml:space="preserve"> </w:t>
      </w:r>
      <w:r w:rsidR="00DD3A18">
        <w:rPr>
          <w:rFonts w:cstheme="minorHAnsi"/>
          <w:lang w:val="es-ES_tradnl"/>
        </w:rPr>
        <w:t>el proyecto</w:t>
      </w:r>
      <w:r w:rsidR="007F3B2A">
        <w:rPr>
          <w:rFonts w:cstheme="minorHAnsi"/>
          <w:lang w:val="es-ES_tradnl"/>
        </w:rPr>
        <w:t xml:space="preserve"> MDL</w:t>
      </w:r>
      <w:r w:rsidR="00345E62" w:rsidRPr="00B25E57">
        <w:rPr>
          <w:rFonts w:cstheme="minorHAnsi"/>
          <w:lang w:val="es-ES_tradnl"/>
        </w:rPr>
        <w:t>,</w:t>
      </w:r>
      <w:r w:rsidR="003A46A1" w:rsidRPr="00B25E57">
        <w:rPr>
          <w:rFonts w:cstheme="minorHAnsi"/>
          <w:lang w:val="es-ES_tradnl"/>
        </w:rPr>
        <w:t xml:space="preserve"> </w:t>
      </w:r>
      <w:r w:rsidR="00FB38C2" w:rsidRPr="00B25E57">
        <w:rPr>
          <w:rFonts w:cstheme="minorHAnsi"/>
          <w:lang w:val="es-ES_tradnl"/>
        </w:rPr>
        <w:t>la</w:t>
      </w:r>
      <w:r w:rsidR="003A46A1" w:rsidRPr="00B25E57">
        <w:rPr>
          <w:rFonts w:cstheme="minorHAnsi"/>
          <w:lang w:val="es-ES_tradnl"/>
        </w:rPr>
        <w:t xml:space="preserve"> </w:t>
      </w:r>
      <w:r w:rsidR="00FB38C2" w:rsidRPr="00B25E57">
        <w:rPr>
          <w:rFonts w:cstheme="minorHAnsi"/>
          <w:lang w:val="es-ES_tradnl"/>
        </w:rPr>
        <w:t>ONUDI</w:t>
      </w:r>
      <w:r w:rsidR="003A46A1" w:rsidRPr="00B25E57">
        <w:rPr>
          <w:rFonts w:cstheme="minorHAnsi"/>
          <w:lang w:val="es-ES_tradnl"/>
        </w:rPr>
        <w:t xml:space="preserve"> </w:t>
      </w:r>
      <w:r w:rsidR="004057BA" w:rsidRPr="00B25E57">
        <w:rPr>
          <w:rFonts w:cstheme="minorHAnsi"/>
          <w:lang w:val="es-ES_tradnl"/>
        </w:rPr>
        <w:t>aclaró</w:t>
      </w:r>
      <w:r w:rsidR="003A46A1" w:rsidRPr="00B25E57">
        <w:rPr>
          <w:rFonts w:cstheme="minorHAnsi"/>
          <w:lang w:val="es-ES_tradnl"/>
        </w:rPr>
        <w:t xml:space="preserve"> </w:t>
      </w:r>
      <w:r w:rsidR="004057BA" w:rsidRPr="00B25E57">
        <w:rPr>
          <w:rFonts w:cstheme="minorHAnsi"/>
          <w:lang w:val="es-ES_tradnl"/>
        </w:rPr>
        <w:t>que</w:t>
      </w:r>
      <w:r w:rsidR="003A46A1" w:rsidRPr="00B25E57">
        <w:rPr>
          <w:rFonts w:cstheme="minorHAnsi"/>
          <w:lang w:val="es-ES_tradnl"/>
        </w:rPr>
        <w:t xml:space="preserve"> </w:t>
      </w:r>
      <w:r w:rsidR="000A73FF" w:rsidRPr="000A73FF">
        <w:rPr>
          <w:rFonts w:cstheme="minorHAnsi"/>
          <w:lang w:val="es-ES_tradnl"/>
        </w:rPr>
        <w:t>el Decreto 2092</w:t>
      </w:r>
      <w:r w:rsidR="000A73FF">
        <w:rPr>
          <w:rFonts w:cstheme="minorHAnsi"/>
          <w:lang w:val="es-ES_tradnl"/>
        </w:rPr>
        <w:t xml:space="preserve"> se dictó en 2006,</w:t>
      </w:r>
      <w:r w:rsidR="003A46A1" w:rsidRPr="00B25E57">
        <w:rPr>
          <w:rFonts w:cstheme="minorHAnsi"/>
          <w:lang w:val="es-ES_tradnl"/>
        </w:rPr>
        <w:t xml:space="preserve"> </w:t>
      </w:r>
      <w:r w:rsidR="004057BA" w:rsidRPr="00B25E57">
        <w:rPr>
          <w:rFonts w:cstheme="minorHAnsi"/>
          <w:lang w:val="es-ES_tradnl"/>
        </w:rPr>
        <w:t>después</w:t>
      </w:r>
      <w:r w:rsidR="003A46A1" w:rsidRPr="00B25E57">
        <w:rPr>
          <w:rFonts w:cstheme="minorHAnsi"/>
          <w:lang w:val="es-ES_tradnl"/>
        </w:rPr>
        <w:t xml:space="preserve"> </w:t>
      </w:r>
      <w:r w:rsidR="0041417F">
        <w:rPr>
          <w:rFonts w:cstheme="minorHAnsi"/>
          <w:lang w:val="es-ES_tradnl"/>
        </w:rPr>
        <w:t xml:space="preserve">de que FIASA se inscribiera como </w:t>
      </w:r>
      <w:r w:rsidR="00531BFE">
        <w:rPr>
          <w:rFonts w:cstheme="minorHAnsi"/>
          <w:lang w:val="es-ES_tradnl"/>
        </w:rPr>
        <w:t>planta de generación y tratamiento de residuos peligrosos</w:t>
      </w:r>
      <w:r w:rsidR="00ED0D88">
        <w:rPr>
          <w:rFonts w:cstheme="minorHAnsi"/>
          <w:lang w:val="es-ES_tradnl"/>
        </w:rPr>
        <w:t>,</w:t>
      </w:r>
      <w:r w:rsidR="003A46A1" w:rsidRPr="00B25E57">
        <w:rPr>
          <w:rFonts w:cstheme="minorHAnsi"/>
          <w:lang w:val="es-ES_tradnl"/>
        </w:rPr>
        <w:t xml:space="preserve"> </w:t>
      </w:r>
      <w:r w:rsidR="00C80018">
        <w:rPr>
          <w:rFonts w:cstheme="minorHAnsi"/>
          <w:lang w:val="es-ES_tradnl"/>
        </w:rPr>
        <w:t xml:space="preserve">y hoy </w:t>
      </w:r>
      <w:r w:rsidR="007365CB">
        <w:rPr>
          <w:rFonts w:cstheme="minorHAnsi"/>
          <w:lang w:val="es-ES_tradnl"/>
        </w:rPr>
        <w:t xml:space="preserve">se requería </w:t>
      </w:r>
      <w:r w:rsidR="00833708">
        <w:rPr>
          <w:rFonts w:cstheme="minorHAnsi"/>
          <w:lang w:val="es-ES_tradnl"/>
        </w:rPr>
        <w:t xml:space="preserve">un </w:t>
      </w:r>
      <w:r w:rsidR="00F47515" w:rsidRPr="00F47515">
        <w:rPr>
          <w:rFonts w:cstheme="minorHAnsi"/>
          <w:lang w:val="es-ES_tradnl"/>
        </w:rPr>
        <w:t xml:space="preserve">recinto </w:t>
      </w:r>
      <w:r w:rsidR="00E0417F">
        <w:rPr>
          <w:rFonts w:cstheme="minorHAnsi"/>
          <w:lang w:val="es-ES_tradnl"/>
        </w:rPr>
        <w:t xml:space="preserve">que albergue </w:t>
      </w:r>
      <w:r w:rsidR="00F47515" w:rsidRPr="00F47515">
        <w:rPr>
          <w:rFonts w:cstheme="minorHAnsi"/>
          <w:lang w:val="es-ES_tradnl"/>
        </w:rPr>
        <w:t>el tanque</w:t>
      </w:r>
      <w:r w:rsidR="00345E62" w:rsidRPr="00B25E57">
        <w:rPr>
          <w:rFonts w:cstheme="minorHAnsi"/>
          <w:lang w:val="es-ES_tradnl"/>
        </w:rPr>
        <w:t>.</w:t>
      </w:r>
      <w:r w:rsidR="003A46A1" w:rsidRPr="00B25E57">
        <w:rPr>
          <w:rFonts w:cstheme="minorHAnsi"/>
          <w:lang w:val="es-ES_tradnl"/>
        </w:rPr>
        <w:t xml:space="preserve"> </w:t>
      </w:r>
      <w:r w:rsidR="004057BA" w:rsidRPr="00B25E57">
        <w:rPr>
          <w:rFonts w:cstheme="minorHAnsi"/>
          <w:lang w:val="es-ES_tradnl"/>
        </w:rPr>
        <w:t>Sin</w:t>
      </w:r>
      <w:r w:rsidR="003A46A1" w:rsidRPr="00B25E57">
        <w:rPr>
          <w:rFonts w:cstheme="minorHAnsi"/>
          <w:lang w:val="es-ES_tradnl"/>
        </w:rPr>
        <w:t xml:space="preserve"> </w:t>
      </w:r>
      <w:r w:rsidR="004057BA" w:rsidRPr="00B25E57">
        <w:rPr>
          <w:rFonts w:cstheme="minorHAnsi"/>
          <w:lang w:val="es-ES_tradnl"/>
        </w:rPr>
        <w:t>embargo</w:t>
      </w:r>
      <w:r w:rsidR="00345E62" w:rsidRPr="00B25E57">
        <w:rPr>
          <w:rFonts w:cstheme="minorHAnsi"/>
          <w:lang w:val="es-ES_tradnl"/>
        </w:rPr>
        <w:t>,</w:t>
      </w:r>
      <w:r w:rsidR="003A46A1" w:rsidRPr="00B25E57">
        <w:rPr>
          <w:rFonts w:cstheme="minorHAnsi"/>
          <w:lang w:val="es-ES_tradnl"/>
        </w:rPr>
        <w:t xml:space="preserve"> </w:t>
      </w:r>
      <w:r w:rsidR="00FB38C2" w:rsidRPr="00B25E57">
        <w:rPr>
          <w:rFonts w:cstheme="minorHAnsi"/>
          <w:lang w:val="es-ES_tradnl"/>
        </w:rPr>
        <w:t>la</w:t>
      </w:r>
      <w:r w:rsidR="003A46A1" w:rsidRPr="00B25E57">
        <w:rPr>
          <w:rFonts w:cstheme="minorHAnsi"/>
          <w:lang w:val="es-ES_tradnl"/>
        </w:rPr>
        <w:t xml:space="preserve"> </w:t>
      </w:r>
      <w:r w:rsidR="00FB38C2" w:rsidRPr="00B25E57">
        <w:rPr>
          <w:rFonts w:cstheme="minorHAnsi"/>
          <w:lang w:val="es-ES_tradnl"/>
        </w:rPr>
        <w:t>Secretaría</w:t>
      </w:r>
      <w:r w:rsidR="003A46A1" w:rsidRPr="00B25E57">
        <w:rPr>
          <w:rFonts w:cstheme="minorHAnsi"/>
          <w:lang w:val="es-ES_tradnl"/>
        </w:rPr>
        <w:t xml:space="preserve"> </w:t>
      </w:r>
      <w:r w:rsidR="00CD6616">
        <w:rPr>
          <w:rFonts w:cstheme="minorHAnsi"/>
          <w:lang w:val="es-ES_tradnl"/>
        </w:rPr>
        <w:t>tomó</w:t>
      </w:r>
      <w:r w:rsidR="003A46A1" w:rsidRPr="00B25E57">
        <w:rPr>
          <w:rFonts w:cstheme="minorHAnsi"/>
          <w:lang w:val="es-ES_tradnl"/>
        </w:rPr>
        <w:t xml:space="preserve"> </w:t>
      </w:r>
      <w:r w:rsidR="00FB38C2" w:rsidRPr="00B25E57">
        <w:rPr>
          <w:rFonts w:cstheme="minorHAnsi"/>
          <w:lang w:val="es-ES_tradnl"/>
        </w:rPr>
        <w:t>nota</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FB38C2" w:rsidRPr="00B25E57">
        <w:rPr>
          <w:rFonts w:cstheme="minorHAnsi"/>
          <w:lang w:val="es-ES_tradnl"/>
        </w:rPr>
        <w:t>que</w:t>
      </w:r>
      <w:r w:rsidR="003A46A1" w:rsidRPr="00B25E57">
        <w:rPr>
          <w:rFonts w:cstheme="minorHAnsi"/>
          <w:lang w:val="es-ES_tradnl"/>
        </w:rPr>
        <w:t xml:space="preserve"> </w:t>
      </w:r>
      <w:r w:rsidR="00345E62" w:rsidRPr="00B25E57">
        <w:rPr>
          <w:rFonts w:cstheme="minorHAnsi"/>
          <w:lang w:val="es-ES_tradnl"/>
        </w:rPr>
        <w:t>FIASA</w:t>
      </w:r>
      <w:r w:rsidR="003A46A1" w:rsidRPr="00B25E57">
        <w:rPr>
          <w:rFonts w:cstheme="minorHAnsi"/>
          <w:lang w:val="es-ES_tradnl"/>
        </w:rPr>
        <w:t xml:space="preserve"> </w:t>
      </w:r>
      <w:r w:rsidR="00800813">
        <w:rPr>
          <w:rFonts w:cstheme="minorHAnsi"/>
          <w:lang w:val="es-ES_tradnl"/>
        </w:rPr>
        <w:t xml:space="preserve">sólo </w:t>
      </w:r>
      <w:r w:rsidR="007D624E">
        <w:rPr>
          <w:rFonts w:cstheme="minorHAnsi"/>
          <w:lang w:val="es-ES_tradnl"/>
        </w:rPr>
        <w:t xml:space="preserve">generó </w:t>
      </w:r>
      <w:r w:rsidR="00B6700A">
        <w:rPr>
          <w:rFonts w:cstheme="minorHAnsi"/>
          <w:lang w:val="es-ES_tradnl"/>
        </w:rPr>
        <w:t>créditos de carbono</w:t>
      </w:r>
      <w:r w:rsidR="003A46A1" w:rsidRPr="00B25E57">
        <w:rPr>
          <w:rFonts w:cstheme="minorHAnsi"/>
          <w:lang w:val="es-ES_tradnl"/>
        </w:rPr>
        <w:t xml:space="preserve"> </w:t>
      </w:r>
      <w:r w:rsidR="004057BA" w:rsidRPr="00B25E57">
        <w:rPr>
          <w:rFonts w:cstheme="minorHAnsi"/>
          <w:lang w:val="es-ES_tradnl"/>
        </w:rPr>
        <w:t>después</w:t>
      </w:r>
      <w:r w:rsidR="003A46A1" w:rsidRPr="00B25E57">
        <w:rPr>
          <w:rFonts w:cstheme="minorHAnsi"/>
          <w:lang w:val="es-ES_tradnl"/>
        </w:rPr>
        <w:t xml:space="preserve"> </w:t>
      </w:r>
      <w:r w:rsidR="00931239">
        <w:rPr>
          <w:rFonts w:cstheme="minorHAnsi"/>
          <w:lang w:val="es-ES_tradnl"/>
        </w:rPr>
        <w:t xml:space="preserve">de la dictación del </w:t>
      </w:r>
      <w:r w:rsidR="00A749DA">
        <w:rPr>
          <w:rFonts w:cstheme="minorHAnsi"/>
          <w:lang w:val="es-ES_tradnl"/>
        </w:rPr>
        <w:t xml:space="preserve">Decreto </w:t>
      </w:r>
      <w:r w:rsidR="00562CBD">
        <w:rPr>
          <w:rFonts w:cstheme="minorHAnsi"/>
          <w:lang w:val="es-ES_tradnl"/>
        </w:rPr>
        <w:t>2092; más</w:t>
      </w:r>
      <w:r w:rsidR="003F2204">
        <w:rPr>
          <w:rFonts w:cstheme="minorHAnsi"/>
          <w:lang w:val="es-ES_tradnl"/>
        </w:rPr>
        <w:t xml:space="preserve"> aún</w:t>
      </w:r>
      <w:r w:rsidR="00345E62" w:rsidRPr="00B25E57">
        <w:rPr>
          <w:rFonts w:cstheme="minorHAnsi"/>
          <w:lang w:val="es-ES_tradnl"/>
        </w:rPr>
        <w:t>,</w:t>
      </w:r>
      <w:r w:rsidR="003A46A1" w:rsidRPr="00B25E57">
        <w:rPr>
          <w:rFonts w:cstheme="minorHAnsi"/>
          <w:lang w:val="es-ES_tradnl"/>
        </w:rPr>
        <w:t xml:space="preserve"> </w:t>
      </w:r>
      <w:r w:rsidR="00547897">
        <w:rPr>
          <w:rFonts w:cstheme="minorHAnsi"/>
          <w:lang w:val="es-ES_tradnl"/>
        </w:rPr>
        <w:t xml:space="preserve">las plantas </w:t>
      </w:r>
      <w:r w:rsidR="00B16941" w:rsidRPr="00B16941">
        <w:rPr>
          <w:rFonts w:cstheme="minorHAnsi"/>
          <w:lang w:val="es-ES_tradnl"/>
        </w:rPr>
        <w:t>de generación y tratamiento</w:t>
      </w:r>
      <w:r w:rsidR="00547897">
        <w:rPr>
          <w:rFonts w:cstheme="minorHAnsi"/>
          <w:lang w:val="es-ES_tradnl"/>
        </w:rPr>
        <w:t xml:space="preserve"> de residuos peligrosos</w:t>
      </w:r>
      <w:r w:rsidR="00F37247" w:rsidRPr="00F37247">
        <w:rPr>
          <w:rFonts w:cstheme="minorHAnsi"/>
          <w:lang w:val="es-ES_tradnl"/>
        </w:rPr>
        <w:t xml:space="preserve"> </w:t>
      </w:r>
      <w:r w:rsidR="00460719">
        <w:rPr>
          <w:rFonts w:cstheme="minorHAnsi"/>
          <w:lang w:val="es-ES_tradnl"/>
        </w:rPr>
        <w:t>debe</w:t>
      </w:r>
      <w:r w:rsidR="00075C28">
        <w:rPr>
          <w:rFonts w:cstheme="minorHAnsi"/>
          <w:lang w:val="es-ES_tradnl"/>
        </w:rPr>
        <w:t>n</w:t>
      </w:r>
      <w:r w:rsidR="00460719">
        <w:rPr>
          <w:rFonts w:cstheme="minorHAnsi"/>
          <w:lang w:val="es-ES_tradnl"/>
        </w:rPr>
        <w:t xml:space="preserve"> pag</w:t>
      </w:r>
      <w:r w:rsidR="0008573C">
        <w:rPr>
          <w:rFonts w:cstheme="minorHAnsi"/>
          <w:lang w:val="es-ES_tradnl"/>
        </w:rPr>
        <w:t xml:space="preserve">ar </w:t>
      </w:r>
      <w:r w:rsidR="004F62D9">
        <w:rPr>
          <w:rFonts w:cstheme="minorHAnsi"/>
          <w:lang w:val="es-ES_tradnl"/>
        </w:rPr>
        <w:t xml:space="preserve">una cuota anual </w:t>
      </w:r>
      <w:r w:rsidR="00865264">
        <w:rPr>
          <w:rFonts w:cstheme="minorHAnsi"/>
          <w:lang w:val="es-ES_tradnl"/>
        </w:rPr>
        <w:t xml:space="preserve">y no queda claro </w:t>
      </w:r>
      <w:r w:rsidR="00F942C6" w:rsidRPr="00B25E57">
        <w:rPr>
          <w:rFonts w:cstheme="minorHAnsi"/>
          <w:lang w:val="es-ES_tradnl"/>
        </w:rPr>
        <w:t>si</w:t>
      </w:r>
      <w:r w:rsidR="003A46A1" w:rsidRPr="00B25E57">
        <w:rPr>
          <w:rFonts w:cstheme="minorHAnsi"/>
          <w:lang w:val="es-ES_tradnl"/>
        </w:rPr>
        <w:t xml:space="preserve"> </w:t>
      </w:r>
      <w:r w:rsidR="00345E62" w:rsidRPr="00B25E57">
        <w:rPr>
          <w:rFonts w:cstheme="minorHAnsi"/>
          <w:lang w:val="es-ES_tradnl"/>
        </w:rPr>
        <w:t>FIASA</w:t>
      </w:r>
      <w:r w:rsidR="003A46A1" w:rsidRPr="00B25E57">
        <w:rPr>
          <w:rFonts w:cstheme="minorHAnsi"/>
          <w:lang w:val="es-ES_tradnl"/>
        </w:rPr>
        <w:t xml:space="preserve"> </w:t>
      </w:r>
      <w:r w:rsidR="005A3C4A">
        <w:rPr>
          <w:rFonts w:cstheme="minorHAnsi"/>
          <w:lang w:val="es-ES_tradnl"/>
        </w:rPr>
        <w:t xml:space="preserve">lo hizo </w:t>
      </w:r>
      <w:r w:rsidR="004057BA" w:rsidRPr="00B25E57">
        <w:rPr>
          <w:rFonts w:cstheme="minorHAnsi"/>
          <w:lang w:val="es-ES_tradnl"/>
        </w:rPr>
        <w:t>después</w:t>
      </w:r>
      <w:r w:rsidR="003A46A1" w:rsidRPr="00B25E57">
        <w:rPr>
          <w:rFonts w:cstheme="minorHAnsi"/>
          <w:lang w:val="es-ES_tradnl"/>
        </w:rPr>
        <w:t xml:space="preserve"> </w:t>
      </w:r>
      <w:r w:rsidR="005A3C4A">
        <w:rPr>
          <w:rFonts w:cstheme="minorHAnsi"/>
          <w:lang w:val="es-ES_tradnl"/>
        </w:rPr>
        <w:t xml:space="preserve">de </w:t>
      </w:r>
      <w:r w:rsidR="00171D7C">
        <w:rPr>
          <w:rFonts w:cstheme="minorHAnsi"/>
          <w:lang w:val="es-ES_tradnl"/>
        </w:rPr>
        <w:t xml:space="preserve">inscribirse </w:t>
      </w:r>
      <w:r w:rsidR="004241C5" w:rsidRPr="00B25E57">
        <w:rPr>
          <w:rFonts w:cstheme="minorHAnsi"/>
          <w:lang w:val="es-ES_tradnl"/>
        </w:rPr>
        <w:t>en</w:t>
      </w:r>
      <w:r w:rsidR="003A46A1" w:rsidRPr="00B25E57">
        <w:rPr>
          <w:rFonts w:cstheme="minorHAnsi"/>
          <w:lang w:val="es-ES_tradnl"/>
        </w:rPr>
        <w:t xml:space="preserve"> </w:t>
      </w:r>
      <w:r w:rsidR="00345E62" w:rsidRPr="00B25E57">
        <w:rPr>
          <w:rFonts w:cstheme="minorHAnsi"/>
          <w:lang w:val="es-ES_tradnl"/>
        </w:rPr>
        <w:t>2004.</w:t>
      </w:r>
    </w:p>
    <w:p w14:paraId="66BAED49" w14:textId="43C33600" w:rsidR="007B22B4" w:rsidRPr="00B25E57" w:rsidRDefault="004241C5" w:rsidP="00E46B2F">
      <w:pPr>
        <w:pStyle w:val="Heading1"/>
        <w:spacing w:after="360"/>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862A82" w:rsidRPr="00B25E57">
        <w:rPr>
          <w:lang w:val="es-ES_tradnl"/>
        </w:rPr>
        <w:t>tomó</w:t>
      </w:r>
      <w:r w:rsidR="003A46A1" w:rsidRPr="00B25E57">
        <w:rPr>
          <w:lang w:val="es-ES_tradnl"/>
        </w:rPr>
        <w:t xml:space="preserve"> </w:t>
      </w:r>
      <w:r w:rsidR="00862A82" w:rsidRPr="00B25E57">
        <w:rPr>
          <w:lang w:val="es-ES_tradnl"/>
        </w:rPr>
        <w:t>nota</w:t>
      </w:r>
      <w:r w:rsidR="003A46A1" w:rsidRPr="00B25E57">
        <w:rPr>
          <w:lang w:val="es-ES_tradnl"/>
        </w:rPr>
        <w:t xml:space="preserve"> </w:t>
      </w:r>
      <w:r w:rsidR="00862A82" w:rsidRPr="00B25E57">
        <w:rPr>
          <w:lang w:val="es-ES_tradnl"/>
        </w:rPr>
        <w:t>con</w:t>
      </w:r>
      <w:r w:rsidR="003A46A1" w:rsidRPr="00B25E57">
        <w:rPr>
          <w:lang w:val="es-ES_tradnl"/>
        </w:rPr>
        <w:t xml:space="preserve"> </w:t>
      </w:r>
      <w:r w:rsidR="00862A82" w:rsidRPr="00B25E57">
        <w:rPr>
          <w:lang w:val="es-ES_tradnl"/>
        </w:rPr>
        <w:t>beneplácito</w:t>
      </w:r>
      <w:r w:rsidR="003A46A1" w:rsidRPr="00B25E57">
        <w:rPr>
          <w:lang w:val="es-ES_tradnl"/>
        </w:rPr>
        <w:t xml:space="preserve"> </w:t>
      </w:r>
      <w:r w:rsidR="00E6416A">
        <w:rPr>
          <w:lang w:val="es-ES_tradnl"/>
        </w:rPr>
        <w:t xml:space="preserve">de las </w:t>
      </w:r>
      <w:r w:rsidR="00F33C58" w:rsidRPr="00B25E57">
        <w:rPr>
          <w:lang w:val="es-ES_tradnl"/>
        </w:rPr>
        <w:t>opciones</w:t>
      </w:r>
      <w:r w:rsidR="003A46A1" w:rsidRPr="00B25E57">
        <w:rPr>
          <w:lang w:val="es-ES_tradnl"/>
        </w:rPr>
        <w:t xml:space="preserve"> </w:t>
      </w:r>
      <w:r w:rsidR="00E6416A">
        <w:rPr>
          <w:lang w:val="es-ES_tradnl"/>
        </w:rPr>
        <w:t>presentadas</w:t>
      </w:r>
      <w:r w:rsidR="003A46A1" w:rsidRPr="00B25E57">
        <w:rPr>
          <w:lang w:val="es-ES_tradnl"/>
        </w:rPr>
        <w:t xml:space="preserve"> </w:t>
      </w:r>
      <w:r w:rsidR="00F942C6"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F33C58" w:rsidRPr="00B25E57">
        <w:rPr>
          <w:lang w:val="es-ES_tradnl"/>
        </w:rPr>
        <w:t>y</w:t>
      </w:r>
      <w:r w:rsidR="003A46A1" w:rsidRPr="00B25E57">
        <w:rPr>
          <w:lang w:val="es-ES_tradnl"/>
        </w:rPr>
        <w:t xml:space="preserve"> </w:t>
      </w:r>
      <w:r w:rsidR="0045360F">
        <w:rPr>
          <w:lang w:val="es-ES_tradnl"/>
        </w:rPr>
        <w:t>de los</w:t>
      </w:r>
      <w:r w:rsidR="00CF5C06">
        <w:rPr>
          <w:lang w:val="es-ES_tradnl"/>
        </w:rPr>
        <w:t xml:space="preserve"> </w:t>
      </w:r>
      <w:r w:rsidR="00F942C6" w:rsidRPr="00B25E57">
        <w:rPr>
          <w:lang w:val="es-ES_tradnl"/>
        </w:rPr>
        <w:t>múltiples</w:t>
      </w:r>
      <w:r w:rsidR="003A46A1" w:rsidRPr="00B25E57">
        <w:rPr>
          <w:lang w:val="es-ES_tradnl"/>
        </w:rPr>
        <w:t xml:space="preserve"> </w:t>
      </w:r>
      <w:r w:rsidR="0061462C">
        <w:rPr>
          <w:lang w:val="es-ES_tradnl"/>
        </w:rPr>
        <w:t>escenario</w:t>
      </w:r>
      <w:r w:rsidR="00345E62" w:rsidRPr="00B25E57">
        <w:rPr>
          <w:lang w:val="es-ES_tradnl"/>
        </w:rPr>
        <w:t>s</w:t>
      </w:r>
      <w:r w:rsidR="003A46A1" w:rsidRPr="00B25E57">
        <w:rPr>
          <w:lang w:val="es-ES_tradnl"/>
        </w:rPr>
        <w:t xml:space="preserve"> </w:t>
      </w:r>
      <w:r w:rsidR="00A64C5B">
        <w:rPr>
          <w:lang w:val="es-ES_tradnl"/>
        </w:rPr>
        <w:t>considerados para</w:t>
      </w:r>
      <w:r w:rsidR="003A46A1" w:rsidRPr="00B25E57">
        <w:rPr>
          <w:lang w:val="es-ES_tradnl"/>
        </w:rPr>
        <w:t xml:space="preserve"> </w:t>
      </w:r>
      <w:r w:rsidR="00A4343B" w:rsidRPr="00B25E57">
        <w:rPr>
          <w:lang w:val="es-ES_tradnl"/>
        </w:rPr>
        <w:t>cada</w:t>
      </w:r>
      <w:r w:rsidR="003A46A1" w:rsidRPr="00B25E57">
        <w:rPr>
          <w:lang w:val="es-ES_tradnl"/>
        </w:rPr>
        <w:t xml:space="preserve"> </w:t>
      </w:r>
      <w:r w:rsidR="00F33C58" w:rsidRPr="00B25E57">
        <w:rPr>
          <w:lang w:val="es-ES_tradnl"/>
        </w:rPr>
        <w:t>opción</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00942BEE">
        <w:rPr>
          <w:lang w:val="es-ES_tradnl"/>
        </w:rPr>
        <w:t xml:space="preserve">faltaron </w:t>
      </w:r>
      <w:r w:rsidR="00691404">
        <w:rPr>
          <w:lang w:val="es-ES_tradnl"/>
        </w:rPr>
        <w:t>algunos</w:t>
      </w:r>
      <w:r w:rsidR="003A46A1" w:rsidRPr="00B25E57">
        <w:rPr>
          <w:lang w:val="es-ES_tradnl"/>
        </w:rPr>
        <w:t xml:space="preserve"> </w:t>
      </w:r>
      <w:r w:rsidR="00A4343B" w:rsidRPr="00B25E57">
        <w:rPr>
          <w:lang w:val="es-ES_tradnl"/>
        </w:rPr>
        <w:t>elementos</w:t>
      </w:r>
      <w:r w:rsidR="003A46A1" w:rsidRPr="00B25E57">
        <w:rPr>
          <w:lang w:val="es-ES_tradnl"/>
        </w:rPr>
        <w:t xml:space="preserve"> </w:t>
      </w:r>
      <w:r w:rsidRPr="00B25E57">
        <w:rPr>
          <w:lang w:val="es-ES_tradnl"/>
        </w:rPr>
        <w:t>solicitado</w:t>
      </w:r>
      <w:r w:rsidR="007D3734">
        <w:rPr>
          <w:lang w:val="es-ES_tradnl"/>
        </w:rPr>
        <w:t>s</w:t>
      </w:r>
      <w:r w:rsidR="003A46A1" w:rsidRPr="00B25E57">
        <w:rPr>
          <w:lang w:val="es-ES_tradnl"/>
        </w:rPr>
        <w:t xml:space="preserve"> </w:t>
      </w:r>
      <w:r w:rsidR="004512EA" w:rsidRPr="00B25E57">
        <w:rPr>
          <w:lang w:val="es-ES_tradnl"/>
        </w:rPr>
        <w:t>por</w:t>
      </w:r>
      <w:r w:rsidR="003A46A1" w:rsidRPr="00B25E57">
        <w:rPr>
          <w:lang w:val="es-ES_tradnl"/>
        </w:rPr>
        <w:t xml:space="preserve"> </w:t>
      </w:r>
      <w:r w:rsidR="004512EA"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FB38C2" w:rsidRPr="00B25E57">
        <w:rPr>
          <w:lang w:val="es-ES_tradnl"/>
        </w:rPr>
        <w:t>Ejecutivo</w:t>
      </w:r>
      <w:r w:rsidR="00114B0E">
        <w:rPr>
          <w:lang w:val="es-ES_tradnl"/>
        </w:rPr>
        <w:t>, e</w:t>
      </w:r>
      <w:r w:rsidRPr="00B25E57">
        <w:rPr>
          <w:lang w:val="es-ES_tradnl"/>
        </w:rPr>
        <w:t>n</w:t>
      </w:r>
      <w:r w:rsidR="003A46A1" w:rsidRPr="00B25E57">
        <w:rPr>
          <w:lang w:val="es-ES_tradnl"/>
        </w:rPr>
        <w:t xml:space="preserve"> </w:t>
      </w:r>
      <w:r w:rsidR="00114B0E">
        <w:rPr>
          <w:lang w:val="es-ES_tradnl"/>
        </w:rPr>
        <w:t>particular</w:t>
      </w:r>
      <w:r w:rsidR="003A46A1" w:rsidRPr="00B25E57">
        <w:rPr>
          <w:lang w:val="es-ES_tradnl"/>
        </w:rPr>
        <w:t xml:space="preserve"> </w:t>
      </w:r>
      <w:r w:rsidR="00FB38C2" w:rsidRPr="00B25E57">
        <w:rPr>
          <w:lang w:val="es-ES_tradnl"/>
        </w:rPr>
        <w:t>tres</w:t>
      </w:r>
      <w:r w:rsidR="003A46A1" w:rsidRPr="00B25E57">
        <w:rPr>
          <w:lang w:val="es-ES_tradnl"/>
        </w:rPr>
        <w:t xml:space="preserve"> </w:t>
      </w:r>
      <w:r w:rsidR="00864615" w:rsidRPr="00864615">
        <w:rPr>
          <w:lang w:val="es-ES_tradnl"/>
        </w:rPr>
        <w:t xml:space="preserve">presupuestos </w:t>
      </w:r>
      <w:r w:rsidR="00E5401E">
        <w:rPr>
          <w:lang w:val="es-ES_tradnl"/>
        </w:rPr>
        <w:t>independientes</w:t>
      </w:r>
      <w:r w:rsidR="003A46A1" w:rsidRPr="00B25E57">
        <w:rPr>
          <w:lang w:val="es-ES_tradnl"/>
        </w:rPr>
        <w:t xml:space="preserve"> </w:t>
      </w:r>
      <w:r w:rsidR="00147277" w:rsidRPr="00B25E57">
        <w:rPr>
          <w:lang w:val="es-ES_tradnl"/>
        </w:rPr>
        <w:t>de</w:t>
      </w:r>
      <w:r w:rsidR="00A44CFF">
        <w:rPr>
          <w:lang w:val="es-ES_tradnl"/>
        </w:rPr>
        <w:t>l</w:t>
      </w:r>
      <w:r w:rsidR="003A46A1" w:rsidRPr="00B25E57">
        <w:rPr>
          <w:lang w:val="es-ES_tradnl"/>
        </w:rPr>
        <w:t xml:space="preserve"> </w:t>
      </w:r>
      <w:r w:rsidR="00A44CFF">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930E9">
        <w:rPr>
          <w:lang w:val="es-ES_tradnl"/>
        </w:rPr>
        <w:t>reponer en servicio</w:t>
      </w:r>
      <w:r w:rsidR="003A46A1" w:rsidRPr="00B25E57">
        <w:rPr>
          <w:lang w:val="es-ES_tradnl"/>
        </w:rPr>
        <w:t xml:space="preserve"> </w:t>
      </w:r>
      <w:r w:rsidR="009A342B">
        <w:rPr>
          <w:lang w:val="es-ES_tradnl"/>
        </w:rPr>
        <w:t xml:space="preserve">el </w:t>
      </w:r>
      <w:r w:rsidR="003A46A1" w:rsidRPr="00B25E57">
        <w:rPr>
          <w:lang w:val="es-ES_tradnl"/>
        </w:rPr>
        <w:t xml:space="preserve">incinerador </w:t>
      </w:r>
      <w:r w:rsidR="00345E62" w:rsidRPr="00B25E57">
        <w:rPr>
          <w:lang w:val="es-ES_tradnl"/>
        </w:rPr>
        <w:t>(</w:t>
      </w:r>
      <w:r w:rsidRPr="00B25E57">
        <w:rPr>
          <w:lang w:val="es-ES_tradnl"/>
        </w:rPr>
        <w:t>decisión</w:t>
      </w:r>
      <w:r w:rsidR="003A46A1" w:rsidRPr="00B25E57">
        <w:rPr>
          <w:lang w:val="es-ES_tradnl"/>
        </w:rPr>
        <w:t xml:space="preserve"> </w:t>
      </w:r>
      <w:r w:rsidR="00345E62" w:rsidRPr="00B25E57">
        <w:rPr>
          <w:lang w:val="es-ES_tradnl"/>
        </w:rPr>
        <w:t>82/85(c)(i))</w:t>
      </w:r>
      <w:r w:rsidR="00862A82" w:rsidRPr="00B25E57">
        <w:rPr>
          <w:lang w:val="es-ES_tradnl"/>
        </w:rPr>
        <w:t>.</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ONUDI</w:t>
      </w:r>
      <w:r w:rsidR="003A46A1" w:rsidRPr="00B25E57">
        <w:rPr>
          <w:lang w:val="es-ES_tradnl"/>
        </w:rPr>
        <w:t xml:space="preserve"> </w:t>
      </w:r>
      <w:r w:rsidR="00375D86">
        <w:rPr>
          <w:lang w:val="es-ES_tradnl"/>
        </w:rPr>
        <w:t>determinó que existían</w:t>
      </w:r>
      <w:r w:rsidR="006C28B1">
        <w:rPr>
          <w:lang w:val="es-ES_tradnl"/>
        </w:rPr>
        <w:t xml:space="preserve"> otras</w:t>
      </w:r>
      <w:r w:rsidR="003A46A1" w:rsidRPr="00B25E57">
        <w:rPr>
          <w:lang w:val="es-ES_tradnl"/>
        </w:rPr>
        <w:t xml:space="preserve"> </w:t>
      </w:r>
      <w:r w:rsidR="006C28B1">
        <w:rPr>
          <w:lang w:val="es-ES_tradnl"/>
        </w:rPr>
        <w:t xml:space="preserve">dos </w:t>
      </w:r>
      <w:r w:rsidRPr="00B25E57">
        <w:rPr>
          <w:lang w:val="es-ES_tradnl"/>
        </w:rPr>
        <w:t>empresa</w:t>
      </w:r>
      <w:r w:rsidR="00345E62" w:rsidRPr="00B25E57">
        <w:rPr>
          <w:lang w:val="es-ES_tradnl"/>
        </w:rPr>
        <w:t>s</w:t>
      </w:r>
      <w:r w:rsidR="003A46A1" w:rsidRPr="00B25E57">
        <w:rPr>
          <w:lang w:val="es-ES_tradnl"/>
        </w:rPr>
        <w:t xml:space="preserve"> </w:t>
      </w:r>
      <w:r w:rsidR="00BE675C">
        <w:rPr>
          <w:lang w:val="es-ES_tradnl"/>
        </w:rPr>
        <w:t xml:space="preserve">que </w:t>
      </w:r>
      <w:r w:rsidR="00734F44">
        <w:rPr>
          <w:lang w:val="es-ES_tradnl"/>
        </w:rPr>
        <w:t xml:space="preserve">suministran </w:t>
      </w:r>
      <w:r w:rsidR="00116827" w:rsidRPr="00116827">
        <w:rPr>
          <w:lang w:val="es-ES_tradnl"/>
        </w:rPr>
        <w:t xml:space="preserve">tecnología </w:t>
      </w:r>
      <w:r w:rsidR="00C11DE8">
        <w:rPr>
          <w:lang w:val="es-ES_tradnl"/>
        </w:rPr>
        <w:t xml:space="preserve">de </w:t>
      </w:r>
      <w:r w:rsidR="00116827">
        <w:rPr>
          <w:lang w:val="es-ES_tradnl"/>
        </w:rPr>
        <w:t>incineración de HFC-23</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0092384B">
        <w:rPr>
          <w:lang w:val="es-ES_tradnl"/>
        </w:rPr>
        <w:t xml:space="preserve">dado que </w:t>
      </w:r>
      <w:r w:rsidR="00604B0B">
        <w:rPr>
          <w:lang w:val="es-ES_tradnl"/>
        </w:rPr>
        <w:t>el incinerador de FIASA</w:t>
      </w:r>
      <w:r w:rsidR="003A46A1" w:rsidRPr="00B25E57">
        <w:rPr>
          <w:lang w:val="es-ES_tradnl"/>
        </w:rPr>
        <w:t xml:space="preserve"> </w:t>
      </w:r>
      <w:r w:rsidR="00E60B86">
        <w:rPr>
          <w:lang w:val="es-ES_tradnl"/>
        </w:rPr>
        <w:t xml:space="preserve">utiliza </w:t>
      </w:r>
      <w:r w:rsidRPr="00B25E57">
        <w:rPr>
          <w:lang w:val="es-ES_tradnl"/>
        </w:rPr>
        <w:t>tecnología</w:t>
      </w:r>
      <w:r w:rsidR="003A46A1" w:rsidRPr="00B25E57">
        <w:rPr>
          <w:lang w:val="es-ES_tradnl"/>
        </w:rPr>
        <w:t xml:space="preserve"> </w:t>
      </w:r>
      <w:r w:rsidR="00FB38C2" w:rsidRPr="00B25E57">
        <w:rPr>
          <w:lang w:val="es-ES_tradnl"/>
        </w:rPr>
        <w:t>y</w:t>
      </w:r>
      <w:r w:rsidR="003A46A1" w:rsidRPr="00B25E57">
        <w:rPr>
          <w:lang w:val="es-ES_tradnl"/>
        </w:rPr>
        <w:t xml:space="preserve"> </w:t>
      </w:r>
      <w:r w:rsidRPr="00B25E57">
        <w:rPr>
          <w:lang w:val="es-ES_tradnl"/>
        </w:rPr>
        <w:t>equipos</w:t>
      </w:r>
      <w:r w:rsidR="003A46A1" w:rsidRPr="00B25E57">
        <w:rPr>
          <w:lang w:val="es-ES_tradnl"/>
        </w:rPr>
        <w:t xml:space="preserve"> </w:t>
      </w:r>
      <w:r w:rsidR="0092384B">
        <w:rPr>
          <w:lang w:val="es-ES_tradnl"/>
        </w:rPr>
        <w:t xml:space="preserve">patentados, </w:t>
      </w:r>
      <w:r w:rsidR="003D4C7F">
        <w:rPr>
          <w:lang w:val="es-ES_tradnl"/>
        </w:rPr>
        <w:t>un tercero no habría</w:t>
      </w:r>
      <w:r w:rsidR="005C1641">
        <w:rPr>
          <w:lang w:val="es-ES_tradnl"/>
        </w:rPr>
        <w:t xml:space="preserve"> estado en condiciones de entregar </w:t>
      </w:r>
      <w:r w:rsidR="008841A5">
        <w:rPr>
          <w:lang w:val="es-ES_tradnl"/>
        </w:rPr>
        <w:t xml:space="preserve">las necesarias </w:t>
      </w:r>
      <w:r w:rsidR="008135B0">
        <w:rPr>
          <w:lang w:val="es-ES_tradnl"/>
        </w:rPr>
        <w:t xml:space="preserve">garantías </w:t>
      </w:r>
      <w:r w:rsidR="0010581D">
        <w:rPr>
          <w:lang w:val="es-ES_tradnl"/>
        </w:rPr>
        <w:t xml:space="preserve">tecnológicas </w:t>
      </w:r>
      <w:r w:rsidR="00FB38C2" w:rsidRPr="00B25E57">
        <w:rPr>
          <w:lang w:val="es-ES_tradnl"/>
        </w:rPr>
        <w:t>y</w:t>
      </w:r>
      <w:r w:rsidR="003A46A1" w:rsidRPr="00B25E57">
        <w:rPr>
          <w:lang w:val="es-ES_tradnl"/>
        </w:rPr>
        <w:t xml:space="preserve"> </w:t>
      </w:r>
      <w:r w:rsidR="004A6DA1">
        <w:rPr>
          <w:lang w:val="es-ES_tradnl"/>
        </w:rPr>
        <w:t xml:space="preserve">de </w:t>
      </w:r>
      <w:r w:rsidR="004057BA" w:rsidRPr="00B25E57">
        <w:rPr>
          <w:lang w:val="es-ES_tradnl"/>
        </w:rPr>
        <w:t>seguridad</w:t>
      </w:r>
      <w:r w:rsidR="003A46A1" w:rsidRPr="00B25E57">
        <w:rPr>
          <w:lang w:val="es-ES_tradnl"/>
        </w:rPr>
        <w:t xml:space="preserve"> </w:t>
      </w:r>
      <w:r w:rsidR="004A6DA1">
        <w:rPr>
          <w:lang w:val="es-ES_tradnl"/>
        </w:rPr>
        <w:t xml:space="preserve">operativa para el </w:t>
      </w:r>
      <w:r w:rsidR="003B2AF3">
        <w:rPr>
          <w:lang w:val="es-ES_tradnl"/>
        </w:rPr>
        <w:t>reacondicionamiento del incinerador</w:t>
      </w:r>
      <w:r w:rsidR="00345E62" w:rsidRPr="00B25E57">
        <w:rPr>
          <w:lang w:val="es-ES_tradnl"/>
        </w:rPr>
        <w:t>.</w:t>
      </w:r>
      <w:r w:rsidR="003A46A1" w:rsidRPr="00B25E57">
        <w:rPr>
          <w:lang w:val="es-ES_tradnl"/>
        </w:rPr>
        <w:t xml:space="preserve"> </w:t>
      </w:r>
      <w:r w:rsidR="007A17BF">
        <w:rPr>
          <w:lang w:val="es-ES_tradnl"/>
        </w:rPr>
        <w:t xml:space="preserve">Los presupuestos que tales </w:t>
      </w:r>
      <w:r w:rsidRPr="00B25E57">
        <w:rPr>
          <w:lang w:val="es-ES_tradnl"/>
        </w:rPr>
        <w:t>empresa</w:t>
      </w:r>
      <w:r w:rsidR="00345E62" w:rsidRPr="00B25E57">
        <w:rPr>
          <w:lang w:val="es-ES_tradnl"/>
        </w:rPr>
        <w:t>s</w:t>
      </w:r>
      <w:r w:rsidR="003A46A1" w:rsidRPr="00B25E57">
        <w:rPr>
          <w:lang w:val="es-ES_tradnl"/>
        </w:rPr>
        <w:t xml:space="preserve"> </w:t>
      </w:r>
      <w:r w:rsidR="00F725DE">
        <w:rPr>
          <w:lang w:val="es-ES_tradnl"/>
        </w:rPr>
        <w:t>pudieran haber presentado</w:t>
      </w:r>
      <w:r w:rsidR="007E4CAE">
        <w:rPr>
          <w:lang w:val="es-ES_tradnl"/>
        </w:rPr>
        <w:t xml:space="preserve">, por lo tanto, </w:t>
      </w:r>
      <w:r w:rsidR="00DD5542" w:rsidRPr="00DD5542">
        <w:rPr>
          <w:lang w:val="es-ES_tradnl"/>
        </w:rPr>
        <w:t xml:space="preserve">habrían </w:t>
      </w:r>
      <w:r w:rsidR="001E3868">
        <w:rPr>
          <w:lang w:val="es-ES_tradnl"/>
        </w:rPr>
        <w:t xml:space="preserve">representado </w:t>
      </w:r>
      <w:r w:rsidR="0005543A">
        <w:rPr>
          <w:lang w:val="es-ES_tradnl"/>
        </w:rPr>
        <w:t xml:space="preserve">licitar </w:t>
      </w:r>
      <w:r w:rsidR="000F4D07">
        <w:rPr>
          <w:lang w:val="es-ES_tradnl"/>
        </w:rPr>
        <w:t xml:space="preserve">un </w:t>
      </w:r>
      <w:r w:rsidR="003A46A1" w:rsidRPr="00B25E57">
        <w:rPr>
          <w:lang w:val="es-ES_tradnl"/>
        </w:rPr>
        <w:t>incinerador</w:t>
      </w:r>
      <w:r w:rsidR="000F4D07">
        <w:rPr>
          <w:lang w:val="es-ES_tradnl"/>
        </w:rPr>
        <w:t xml:space="preserve"> </w:t>
      </w:r>
      <w:r w:rsidR="00EF1A0A">
        <w:rPr>
          <w:lang w:val="es-ES_tradnl"/>
        </w:rPr>
        <w:t>completamente</w:t>
      </w:r>
      <w:r w:rsidR="000F4D07">
        <w:rPr>
          <w:lang w:val="es-ES_tradnl"/>
        </w:rPr>
        <w:t xml:space="preserve"> nuevo</w:t>
      </w:r>
      <w:r w:rsidR="00345E62" w:rsidRPr="00B25E57">
        <w:rPr>
          <w:lang w:val="es-ES_tradnl"/>
        </w:rPr>
        <w:t>,</w:t>
      </w:r>
      <w:r w:rsidR="003A46A1" w:rsidRPr="00B25E57">
        <w:rPr>
          <w:lang w:val="es-ES_tradnl"/>
        </w:rPr>
        <w:t xml:space="preserve"> </w:t>
      </w:r>
      <w:r w:rsidR="00D94231">
        <w:rPr>
          <w:lang w:val="es-ES_tradnl"/>
        </w:rPr>
        <w:t xml:space="preserve">a un costo </w:t>
      </w:r>
      <w:r w:rsidR="000A2D1C">
        <w:rPr>
          <w:lang w:val="es-ES_tradnl"/>
        </w:rPr>
        <w:t xml:space="preserve">que excedería </w:t>
      </w:r>
      <w:r w:rsidR="004B4A95">
        <w:rPr>
          <w:lang w:val="es-ES_tradnl"/>
        </w:rPr>
        <w:t xml:space="preserve">la opción de </w:t>
      </w:r>
      <w:r w:rsidR="00572E2E">
        <w:rPr>
          <w:lang w:val="es-ES_tradnl"/>
        </w:rPr>
        <w:t>reacondicionamiento</w:t>
      </w:r>
      <w:r w:rsidR="00345E62" w:rsidRPr="00B25E57">
        <w:rPr>
          <w:lang w:val="es-ES_tradnl"/>
        </w:rPr>
        <w:t>.</w:t>
      </w:r>
    </w:p>
    <w:p w14:paraId="7810823D" w14:textId="46606A5D" w:rsidR="007B22B4" w:rsidRPr="00B25E57" w:rsidRDefault="004241C5" w:rsidP="00E46B2F">
      <w:pPr>
        <w:pStyle w:val="Heading1"/>
        <w:spacing w:after="360"/>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5C3C81">
        <w:rPr>
          <w:lang w:val="es-ES_tradnl"/>
        </w:rPr>
        <w:t>considera que</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53500E">
        <w:rPr>
          <w:lang w:val="es-ES_tradnl"/>
        </w:rPr>
        <w:t xml:space="preserve">hizo lo posible </w:t>
      </w:r>
      <w:r w:rsidR="008B2B77">
        <w:rPr>
          <w:lang w:val="es-ES_tradnl"/>
        </w:rPr>
        <w:t xml:space="preserve">por </w:t>
      </w:r>
      <w:r w:rsidR="00D251AF">
        <w:rPr>
          <w:lang w:val="es-ES_tradnl"/>
        </w:rPr>
        <w:t xml:space="preserve">obtener </w:t>
      </w:r>
      <w:r w:rsidR="00D9757D">
        <w:rPr>
          <w:lang w:val="es-ES_tradnl"/>
        </w:rPr>
        <w:t xml:space="preserve">otros </w:t>
      </w:r>
      <w:r w:rsidR="00C02733">
        <w:rPr>
          <w:lang w:val="es-ES_tradnl"/>
        </w:rPr>
        <w:t>presupuestos</w:t>
      </w:r>
      <w:r w:rsidR="00E5401E">
        <w:rPr>
          <w:lang w:val="es-ES_tradnl"/>
        </w:rPr>
        <w:t xml:space="preserve"> independientes</w:t>
      </w:r>
      <w:r w:rsidR="00345E62" w:rsidRPr="00B25E57">
        <w:rPr>
          <w:lang w:val="es-ES_tradnl"/>
        </w:rPr>
        <w:t>;</w:t>
      </w:r>
      <w:r w:rsidR="003A46A1" w:rsidRPr="00B25E57">
        <w:rPr>
          <w:lang w:val="es-ES_tradnl"/>
        </w:rPr>
        <w:t xml:space="preserve"> </w:t>
      </w:r>
      <w:r w:rsidR="00C02733">
        <w:rPr>
          <w:lang w:val="es-ES_tradnl"/>
        </w:rPr>
        <w:t>que el</w:t>
      </w:r>
      <w:r w:rsidR="00C02733" w:rsidRPr="00216433">
        <w:rPr>
          <w:lang w:val="es-ES"/>
        </w:rPr>
        <w:t xml:space="preserve"> </w:t>
      </w:r>
      <w:r w:rsidR="00C02733">
        <w:rPr>
          <w:lang w:val="es-ES_tradnl"/>
        </w:rPr>
        <w:t xml:space="preserve">presupuesto </w:t>
      </w:r>
      <w:r w:rsidR="00C25185">
        <w:rPr>
          <w:lang w:val="es-ES_tradnl"/>
        </w:rPr>
        <w:t>entregado e</w:t>
      </w:r>
      <w:r w:rsidR="00345E62" w:rsidRPr="00B25E57">
        <w:rPr>
          <w:lang w:val="es-ES_tradnl"/>
        </w:rPr>
        <w:t>s</w:t>
      </w:r>
      <w:r w:rsidR="003A46A1" w:rsidRPr="00B25E57">
        <w:rPr>
          <w:lang w:val="es-ES_tradnl"/>
        </w:rPr>
        <w:t xml:space="preserve"> </w:t>
      </w:r>
      <w:r w:rsidR="008570E6">
        <w:rPr>
          <w:lang w:val="es-ES_tradnl"/>
        </w:rPr>
        <w:t>sólido</w:t>
      </w:r>
      <w:r w:rsidR="00263932">
        <w:rPr>
          <w:lang w:val="es-ES_tradnl"/>
        </w:rPr>
        <w:t xml:space="preserve"> y está </w:t>
      </w:r>
      <w:r w:rsidR="00263932" w:rsidRPr="00263932">
        <w:rPr>
          <w:lang w:val="es-ES_tradnl"/>
        </w:rPr>
        <w:t>debidamente documentado</w:t>
      </w:r>
      <w:r w:rsidR="00E37247">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EC2DA0">
        <w:rPr>
          <w:lang w:val="es-ES_tradnl"/>
        </w:rPr>
        <w:t xml:space="preserve">que </w:t>
      </w:r>
      <w:r w:rsidR="009F3614">
        <w:rPr>
          <w:lang w:val="es-ES_tradnl"/>
        </w:rPr>
        <w:t xml:space="preserve">expresa </w:t>
      </w:r>
      <w:r w:rsidR="004512EA" w:rsidRPr="00B25E57">
        <w:rPr>
          <w:lang w:val="es-ES_tradnl"/>
        </w:rPr>
        <w:t>la</w:t>
      </w:r>
      <w:r w:rsidR="003A46A1" w:rsidRPr="00B25E57">
        <w:rPr>
          <w:lang w:val="es-ES_tradnl"/>
        </w:rPr>
        <w:t xml:space="preserve"> </w:t>
      </w:r>
      <w:r w:rsidR="004512EA" w:rsidRPr="00B25E57">
        <w:rPr>
          <w:lang w:val="es-ES_tradnl"/>
        </w:rPr>
        <w:t>necesidad</w:t>
      </w:r>
      <w:r w:rsidR="003A46A1" w:rsidRPr="00B25E57">
        <w:rPr>
          <w:lang w:val="es-ES_tradnl"/>
        </w:rPr>
        <w:t xml:space="preserve"> </w:t>
      </w:r>
      <w:r w:rsidR="004512EA" w:rsidRPr="00B25E57">
        <w:rPr>
          <w:lang w:val="es-ES_tradnl"/>
        </w:rPr>
        <w:t>de</w:t>
      </w:r>
      <w:r w:rsidR="003A46A1" w:rsidRPr="00B25E57">
        <w:rPr>
          <w:lang w:val="es-ES_tradnl"/>
        </w:rPr>
        <w:t xml:space="preserve"> </w:t>
      </w:r>
      <w:r w:rsidR="00D63CE9">
        <w:rPr>
          <w:lang w:val="es-ES_tradnl"/>
        </w:rPr>
        <w:t xml:space="preserve">contar con </w:t>
      </w:r>
      <w:r w:rsidR="00D63CE9" w:rsidRPr="00D63CE9">
        <w:rPr>
          <w:lang w:val="es-ES_tradnl"/>
        </w:rPr>
        <w:t>las garantías tecnológicas y de seguridad operativa</w:t>
      </w:r>
      <w:r w:rsidR="00313191" w:rsidRPr="00216433">
        <w:rPr>
          <w:lang w:val="es-ES"/>
        </w:rPr>
        <w:t xml:space="preserve"> </w:t>
      </w:r>
      <w:r w:rsidR="00313191" w:rsidRPr="00313191">
        <w:rPr>
          <w:lang w:val="es-ES_tradnl"/>
        </w:rPr>
        <w:t>necesarias</w:t>
      </w:r>
      <w:r w:rsidR="00345E62" w:rsidRPr="00B25E57">
        <w:rPr>
          <w:lang w:val="es-ES_tradnl"/>
        </w:rPr>
        <w:t>.</w:t>
      </w:r>
      <w:r w:rsidR="003A46A1" w:rsidRPr="00B25E57">
        <w:rPr>
          <w:lang w:val="es-ES_tradnl"/>
        </w:rPr>
        <w:t xml:space="preserve"> </w:t>
      </w:r>
      <w:r w:rsidR="003577E9">
        <w:rPr>
          <w:lang w:val="es-ES_tradnl"/>
        </w:rPr>
        <w:t xml:space="preserve">Recordando que en </w:t>
      </w:r>
      <w:r w:rsidR="003A46A1" w:rsidRPr="00B25E57">
        <w:rPr>
          <w:lang w:val="es-ES_tradnl"/>
        </w:rPr>
        <w:t>la 82</w:t>
      </w:r>
      <w:r w:rsidR="00F942C6" w:rsidRPr="00B25E57">
        <w:rPr>
          <w:lang w:val="es-ES_tradnl"/>
        </w:rPr>
        <w:t>ª reunión</w:t>
      </w:r>
      <w:r w:rsidR="00345E62" w:rsidRPr="00B25E57">
        <w:rPr>
          <w:rStyle w:val="FootnoteReference"/>
          <w:lang w:val="es-ES_tradnl"/>
        </w:rPr>
        <w:footnoteReference w:id="17"/>
      </w:r>
      <w:r w:rsidR="003A46A1" w:rsidRPr="00B25E57">
        <w:rPr>
          <w:lang w:val="es-ES_tradnl"/>
        </w:rPr>
        <w:t xml:space="preserve"> </w:t>
      </w:r>
      <w:r w:rsidR="00345E62" w:rsidRPr="00B25E57">
        <w:rPr>
          <w:lang w:val="es-ES_tradnl"/>
        </w:rPr>
        <w:t>FIASA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6A4410">
        <w:rPr>
          <w:lang w:val="es-ES_tradnl"/>
        </w:rPr>
        <w:t>el consultor</w:t>
      </w:r>
      <w:r w:rsidR="003A46A1" w:rsidRPr="00B25E57">
        <w:rPr>
          <w:lang w:val="es-ES_tradnl"/>
        </w:rPr>
        <w:t xml:space="preserve"> independiente </w:t>
      </w:r>
      <w:r w:rsidR="002935EB">
        <w:rPr>
          <w:lang w:val="es-ES_tradnl"/>
        </w:rPr>
        <w:t xml:space="preserve">habían </w:t>
      </w:r>
      <w:r w:rsidR="003A46A1" w:rsidRPr="00B25E57">
        <w:rPr>
          <w:lang w:val="es-ES_tradnl"/>
        </w:rPr>
        <w:t xml:space="preserve">estimado </w:t>
      </w:r>
      <w:r w:rsidR="00862A82" w:rsidRPr="00B25E57">
        <w:rPr>
          <w:lang w:val="es-ES_tradnl"/>
        </w:rPr>
        <w:t>los</w:t>
      </w:r>
      <w:r w:rsidR="003A46A1" w:rsidRPr="00B25E57">
        <w:rPr>
          <w:lang w:val="es-ES_tradnl"/>
        </w:rPr>
        <w:t xml:space="preserve"> </w:t>
      </w:r>
      <w:r w:rsidR="00862A82" w:rsidRPr="00B25E57">
        <w:rPr>
          <w:lang w:val="es-ES_tradnl"/>
        </w:rPr>
        <w:t>costos</w:t>
      </w:r>
      <w:r w:rsidR="003A46A1" w:rsidRPr="00B25E57">
        <w:rPr>
          <w:lang w:val="es-ES_tradnl"/>
        </w:rPr>
        <w:t xml:space="preserve"> </w:t>
      </w:r>
      <w:r w:rsidR="00335A3E">
        <w:rPr>
          <w:lang w:val="es-ES_tradnl"/>
        </w:rPr>
        <w:t>de reacondicionar</w:t>
      </w:r>
      <w:r w:rsidR="003A46A1" w:rsidRPr="00B25E57">
        <w:rPr>
          <w:lang w:val="es-ES_tradnl"/>
        </w:rPr>
        <w:t xml:space="preserve"> </w:t>
      </w:r>
      <w:r w:rsidR="00C95B4F">
        <w:rPr>
          <w:lang w:val="es-ES_tradnl"/>
        </w:rPr>
        <w:t>el incinerador</w:t>
      </w:r>
      <w:r w:rsidR="003A46A1" w:rsidRPr="00B25E57">
        <w:rPr>
          <w:lang w:val="es-ES_tradnl"/>
        </w:rPr>
        <w:t xml:space="preserve"> </w:t>
      </w:r>
      <w:r w:rsidR="001C387E">
        <w:rPr>
          <w:lang w:val="es-ES_tradnl"/>
        </w:rPr>
        <w:t>en</w:t>
      </w:r>
      <w:r w:rsidR="003A46A1" w:rsidRPr="00B25E57">
        <w:rPr>
          <w:lang w:val="es-ES_tradnl"/>
        </w:rPr>
        <w:t xml:space="preserve"> </w:t>
      </w:r>
      <w:r w:rsidR="00345E62" w:rsidRPr="00B25E57">
        <w:rPr>
          <w:lang w:val="es-ES_tradnl"/>
        </w:rPr>
        <w:t>89</w:t>
      </w:r>
      <w:r w:rsidRPr="00B25E57">
        <w:rPr>
          <w:lang w:val="es-ES_tradnl"/>
        </w:rPr>
        <w:t>7.</w:t>
      </w:r>
      <w:r w:rsidR="00345E62" w:rsidRPr="00B25E57">
        <w:rPr>
          <w:lang w:val="es-ES_tradnl"/>
        </w:rPr>
        <w:t>84</w:t>
      </w:r>
      <w:r w:rsidR="00FB38C2" w:rsidRPr="00B25E57">
        <w:rPr>
          <w:lang w:val="es-ES_tradnl"/>
        </w:rPr>
        <w:t>0</w:t>
      </w:r>
      <w:r w:rsidR="001C387E">
        <w:rPr>
          <w:lang w:val="es-ES_tradnl"/>
        </w:rPr>
        <w:t xml:space="preserve"> </w:t>
      </w:r>
      <w:r w:rsidR="001C387E" w:rsidRPr="001C387E">
        <w:rPr>
          <w:lang w:val="es-ES_tradnl"/>
        </w:rPr>
        <w:t>$EUA</w:t>
      </w:r>
      <w:r w:rsidR="001C387E">
        <w:rPr>
          <w:lang w:val="es-ES_tradnl"/>
        </w:rPr>
        <w:t>,</w:t>
      </w:r>
      <w:r w:rsidR="003A46A1" w:rsidRPr="00B25E57">
        <w:rPr>
          <w:lang w:val="es-ES_tradnl"/>
        </w:rPr>
        <w:t xml:space="preserve"> </w:t>
      </w:r>
      <w:r w:rsidRPr="00B25E57">
        <w:rPr>
          <w:lang w:val="es-ES_tradnl"/>
        </w:rPr>
        <w:t>la</w:t>
      </w:r>
      <w:r w:rsidR="003A46A1" w:rsidRPr="00B25E57">
        <w:rPr>
          <w:lang w:val="es-ES_tradnl"/>
        </w:rPr>
        <w:t xml:space="preserve"> </w:t>
      </w:r>
      <w:r w:rsidR="00054B7F">
        <w:rPr>
          <w:lang w:val="es-ES_tradnl"/>
        </w:rPr>
        <w:t>Secretaría consideró</w:t>
      </w:r>
      <w:r w:rsidR="003A46A1" w:rsidRPr="00B25E57">
        <w:rPr>
          <w:lang w:val="es-ES_tradnl"/>
        </w:rPr>
        <w:t xml:space="preserve"> </w:t>
      </w:r>
      <w:r w:rsidR="00FC0DBA">
        <w:rPr>
          <w:lang w:val="es-ES_tradnl"/>
        </w:rPr>
        <w:t xml:space="preserve">hacer </w:t>
      </w:r>
      <w:r w:rsidR="00054B7F">
        <w:rPr>
          <w:lang w:val="es-ES_tradnl"/>
        </w:rPr>
        <w:t xml:space="preserve">los </w:t>
      </w:r>
      <w:r w:rsidR="004057BA" w:rsidRPr="00B25E57">
        <w:rPr>
          <w:lang w:val="es-ES_tradnl"/>
        </w:rPr>
        <w:t>siguientes</w:t>
      </w:r>
      <w:r w:rsidR="003A46A1" w:rsidRPr="00B25E57">
        <w:rPr>
          <w:lang w:val="es-ES_tradnl"/>
        </w:rPr>
        <w:t xml:space="preserve"> </w:t>
      </w:r>
      <w:r w:rsidR="007B22B4" w:rsidRPr="00B25E57">
        <w:rPr>
          <w:lang w:val="es-ES_tradnl"/>
        </w:rPr>
        <w:t>ajustes</w:t>
      </w:r>
      <w:r w:rsidR="003A46A1" w:rsidRPr="00B25E57">
        <w:rPr>
          <w:lang w:val="es-ES_tradnl"/>
        </w:rPr>
        <w:t xml:space="preserve"> </w:t>
      </w:r>
      <w:r w:rsidR="00EB1E2D">
        <w:rPr>
          <w:lang w:val="es-ES_tradnl"/>
        </w:rPr>
        <w:t xml:space="preserve">menores </w:t>
      </w:r>
      <w:r w:rsidR="00E22238" w:rsidRPr="00B25E57">
        <w:rPr>
          <w:lang w:val="es-ES_tradnl"/>
        </w:rPr>
        <w:t>a</w:t>
      </w:r>
      <w:r w:rsidR="003A46A1" w:rsidRPr="00B25E57">
        <w:rPr>
          <w:lang w:val="es-ES_tradnl"/>
        </w:rPr>
        <w:t xml:space="preserve"> </w:t>
      </w:r>
      <w:r w:rsidR="00E22238" w:rsidRPr="00B25E57">
        <w:rPr>
          <w:lang w:val="es-ES_tradnl"/>
        </w:rPr>
        <w:t>la</w:t>
      </w:r>
      <w:r w:rsidR="003A46A1" w:rsidRPr="00B25E57">
        <w:rPr>
          <w:lang w:val="es-ES_tradnl"/>
        </w:rPr>
        <w:t xml:space="preserve"> </w:t>
      </w:r>
      <w:r w:rsidR="00F33C58" w:rsidRPr="00B25E57">
        <w:rPr>
          <w:lang w:val="es-ES_tradnl"/>
        </w:rPr>
        <w:t>propuesta</w:t>
      </w:r>
      <w:r w:rsidR="00345E62" w:rsidRPr="00B25E57">
        <w:rPr>
          <w:lang w:val="es-ES_tradnl"/>
        </w:rPr>
        <w:t>:</w:t>
      </w:r>
    </w:p>
    <w:p w14:paraId="6C34E250" w14:textId="5CF4D38A" w:rsidR="00345E62" w:rsidRPr="00B25E57" w:rsidRDefault="00691404" w:rsidP="00067A02">
      <w:pPr>
        <w:pStyle w:val="Heading2"/>
        <w:numPr>
          <w:ilvl w:val="1"/>
          <w:numId w:val="34"/>
        </w:numPr>
        <w:ind w:left="1417" w:hanging="708"/>
        <w:rPr>
          <w:lang w:val="es-ES_tradnl"/>
        </w:rPr>
      </w:pPr>
      <w:r>
        <w:rPr>
          <w:lang w:val="es-ES_tradnl"/>
        </w:rPr>
        <w:t>Algunos</w:t>
      </w:r>
      <w:r w:rsidR="003A46A1" w:rsidRPr="00B25E57">
        <w:rPr>
          <w:lang w:val="es-ES_tradnl"/>
        </w:rPr>
        <w:t xml:space="preserve"> </w:t>
      </w:r>
      <w:r w:rsidR="004241C5" w:rsidRPr="00B25E57">
        <w:rPr>
          <w:lang w:val="es-ES_tradnl"/>
        </w:rPr>
        <w:t>equipos</w:t>
      </w:r>
      <w:r w:rsidR="003A46A1" w:rsidRPr="00B25E57">
        <w:rPr>
          <w:lang w:val="es-ES_tradnl"/>
        </w:rPr>
        <w:t xml:space="preserve"> </w:t>
      </w:r>
      <w:r w:rsidR="001B75E7">
        <w:rPr>
          <w:lang w:val="es-ES_tradnl"/>
        </w:rPr>
        <w:t xml:space="preserve">señalados </w:t>
      </w:r>
      <w:r w:rsidR="004241C5" w:rsidRPr="00B25E57">
        <w:rPr>
          <w:lang w:val="es-ES_tradnl"/>
        </w:rPr>
        <w:t>en</w:t>
      </w:r>
      <w:r w:rsidR="003A46A1" w:rsidRPr="00B25E57">
        <w:rPr>
          <w:lang w:val="es-ES_tradnl"/>
        </w:rPr>
        <w:t xml:space="preserve"> </w:t>
      </w:r>
      <w:r w:rsidR="00572E2E">
        <w:rPr>
          <w:lang w:val="es-ES_tradnl"/>
        </w:rPr>
        <w:t xml:space="preserve">el </w:t>
      </w:r>
      <w:r w:rsidR="008E770A">
        <w:rPr>
          <w:lang w:val="es-ES_tradnl"/>
        </w:rPr>
        <w:t xml:space="preserve">presupuesto de </w:t>
      </w:r>
      <w:r w:rsidR="00572E2E">
        <w:rPr>
          <w:lang w:val="es-ES_tradnl"/>
        </w:rPr>
        <w:t>reacondicionamiento</w:t>
      </w:r>
      <w:r w:rsidR="003A46A1" w:rsidRPr="00B25E57">
        <w:rPr>
          <w:lang w:val="es-ES_tradnl"/>
        </w:rPr>
        <w:t xml:space="preserve"> </w:t>
      </w:r>
      <w:r w:rsidR="00345E62" w:rsidRPr="00B25E57">
        <w:rPr>
          <w:lang w:val="es-ES_tradnl"/>
        </w:rPr>
        <w:t>(</w:t>
      </w:r>
      <w:r w:rsidR="00247694">
        <w:rPr>
          <w:lang w:val="es-ES_tradnl"/>
        </w:rPr>
        <w:t>bomba</w:t>
      </w:r>
      <w:r w:rsidR="00531715">
        <w:rPr>
          <w:lang w:val="es-ES_tradnl"/>
        </w:rPr>
        <w:t>s</w:t>
      </w:r>
      <w:r w:rsidR="00247694">
        <w:rPr>
          <w:lang w:val="es-ES_tradnl"/>
        </w:rPr>
        <w:t xml:space="preserve"> de reciclaje</w:t>
      </w:r>
      <w:r w:rsidR="003A46A1" w:rsidRPr="00B25E57">
        <w:rPr>
          <w:lang w:val="es-ES_tradnl"/>
        </w:rPr>
        <w:t xml:space="preserve"> </w:t>
      </w:r>
      <w:r w:rsidR="000B1F7E">
        <w:rPr>
          <w:lang w:val="es-ES_tradnl"/>
        </w:rPr>
        <w:t>líquido</w:t>
      </w:r>
      <w:r w:rsidR="00531715">
        <w:rPr>
          <w:lang w:val="es-ES_tradnl"/>
        </w:rPr>
        <w:t xml:space="preserve"> y </w:t>
      </w:r>
      <w:r w:rsidR="00531715" w:rsidRPr="00531715">
        <w:rPr>
          <w:lang w:val="es-ES_tradnl"/>
        </w:rPr>
        <w:t>de ácido fluorhídrico</w:t>
      </w:r>
      <w:r w:rsidR="00345E62" w:rsidRPr="00B25E57">
        <w:rPr>
          <w:lang w:val="es-ES_tradnl"/>
        </w:rPr>
        <w:t>,</w:t>
      </w:r>
      <w:r w:rsidR="003A46A1" w:rsidRPr="00B25E57">
        <w:rPr>
          <w:lang w:val="es-ES_tradnl"/>
        </w:rPr>
        <w:t xml:space="preserve"> </w:t>
      </w:r>
      <w:r w:rsidR="003F78A9">
        <w:rPr>
          <w:lang w:val="es-ES_tradnl"/>
        </w:rPr>
        <w:t>válvulas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7E4041">
        <w:rPr>
          <w:lang w:val="es-ES_tradnl"/>
        </w:rPr>
        <w:t>accesorios</w:t>
      </w:r>
      <w:r w:rsidR="003A46A1" w:rsidRPr="00B25E57">
        <w:rPr>
          <w:lang w:val="es-ES_tradnl"/>
        </w:rPr>
        <w:t xml:space="preserve"> </w:t>
      </w:r>
      <w:r w:rsidR="00514C2B" w:rsidRPr="00514C2B">
        <w:rPr>
          <w:lang w:val="es-ES_tradnl"/>
        </w:rPr>
        <w:t>manuales</w:t>
      </w:r>
      <w:r w:rsidR="00B644E4">
        <w:rPr>
          <w:lang w:val="es-ES_tradnl"/>
        </w:rPr>
        <w:t xml:space="preserve">, </w:t>
      </w:r>
      <w:r w:rsidR="00B36353" w:rsidRPr="00B36353">
        <w:rPr>
          <w:lang w:val="es-ES_tradnl"/>
        </w:rPr>
        <w:t>materiales para arreglo y reacondicionamiento de tuberías</w:t>
      </w:r>
      <w:r w:rsidR="00345E62" w:rsidRPr="00B25E57">
        <w:rPr>
          <w:lang w:val="es-ES_tradnl"/>
        </w:rPr>
        <w:t>)</w:t>
      </w:r>
      <w:r w:rsidR="003A46A1" w:rsidRPr="00B25E57">
        <w:rPr>
          <w:lang w:val="es-ES_tradnl"/>
        </w:rPr>
        <w:t xml:space="preserve"> </w:t>
      </w:r>
      <w:r w:rsidR="00B75725">
        <w:rPr>
          <w:lang w:val="es-ES_tradnl"/>
        </w:rPr>
        <w:t xml:space="preserve">se pueden </w:t>
      </w:r>
      <w:r w:rsidR="00323D3B">
        <w:rPr>
          <w:lang w:val="es-ES_tradnl"/>
        </w:rPr>
        <w:t xml:space="preserve">adquirir </w:t>
      </w:r>
      <w:r w:rsidR="00D6765F">
        <w:rPr>
          <w:lang w:val="es-ES_tradnl"/>
        </w:rPr>
        <w:t xml:space="preserve">en el país </w:t>
      </w:r>
      <w:r w:rsidR="00345E62" w:rsidRPr="00B25E57">
        <w:rPr>
          <w:lang w:val="es-ES_tradnl"/>
        </w:rPr>
        <w:t>a</w:t>
      </w:r>
      <w:r w:rsidR="003A46A1" w:rsidRPr="00B25E57">
        <w:rPr>
          <w:lang w:val="es-ES_tradnl"/>
        </w:rPr>
        <w:t xml:space="preserve"> </w:t>
      </w:r>
      <w:r w:rsidR="00D6765F">
        <w:rPr>
          <w:lang w:val="es-ES_tradnl"/>
        </w:rPr>
        <w:t xml:space="preserve">menor </w:t>
      </w:r>
      <w:r w:rsidR="007B22B4" w:rsidRPr="00B25E57">
        <w:rPr>
          <w:lang w:val="es-ES_tradnl"/>
        </w:rPr>
        <w:t>costo</w:t>
      </w:r>
      <w:r w:rsidR="00345E62" w:rsidRPr="00B25E57">
        <w:rPr>
          <w:lang w:val="es-ES_tradnl"/>
        </w:rPr>
        <w:t>.</w:t>
      </w:r>
      <w:r w:rsidR="003A46A1" w:rsidRPr="00B25E57">
        <w:rPr>
          <w:lang w:val="es-ES_tradnl"/>
        </w:rPr>
        <w:t xml:space="preserve"> </w:t>
      </w:r>
      <w:r w:rsidR="004241C5" w:rsidRPr="00B25E57">
        <w:rPr>
          <w:lang w:val="es-ES_tradnl"/>
        </w:rPr>
        <w:t>Además,</w:t>
      </w:r>
      <w:r w:rsidR="003A46A1" w:rsidRPr="00B25E57">
        <w:rPr>
          <w:lang w:val="es-ES_tradnl"/>
        </w:rPr>
        <w:t xml:space="preserve"> </w:t>
      </w:r>
      <w:r w:rsidR="00150286">
        <w:rPr>
          <w:lang w:val="es-ES_tradnl"/>
        </w:rPr>
        <w:t>se necesita</w:t>
      </w:r>
      <w:r w:rsidR="0070381B">
        <w:rPr>
          <w:lang w:val="es-ES_tradnl"/>
        </w:rPr>
        <w:t xml:space="preserve">n </w:t>
      </w:r>
      <w:r w:rsidR="00F942C6" w:rsidRPr="00B25E57">
        <w:rPr>
          <w:lang w:val="es-ES_tradnl"/>
        </w:rPr>
        <w:t>repuestos</w:t>
      </w:r>
      <w:r w:rsidR="003A46A1" w:rsidRPr="00B25E57">
        <w:rPr>
          <w:lang w:val="es-ES_tradnl"/>
        </w:rPr>
        <w:t xml:space="preserve"> </w:t>
      </w:r>
      <w:r w:rsidR="0070381B">
        <w:rPr>
          <w:lang w:val="es-ES_tradnl"/>
        </w:rPr>
        <w:t xml:space="preserve">únicamente para </w:t>
      </w:r>
      <w:r w:rsidR="00FB38C2" w:rsidRPr="00B25E57">
        <w:rPr>
          <w:lang w:val="es-ES_tradnl"/>
        </w:rPr>
        <w:t>cuatro</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827630">
        <w:rPr>
          <w:lang w:val="es-ES_tradnl"/>
        </w:rPr>
        <w:t>en lugar de diez</w:t>
      </w:r>
      <w:r w:rsidR="00345E62" w:rsidRPr="00B25E57">
        <w:rPr>
          <w:lang w:val="es-ES_tradnl"/>
        </w:rPr>
        <w:t>.</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4241C5" w:rsidRPr="00B25E57">
        <w:rPr>
          <w:lang w:val="es-ES_tradnl"/>
        </w:rPr>
        <w:t>consecuencia,</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DA6946">
        <w:rPr>
          <w:lang w:val="es-ES_tradnl"/>
        </w:rPr>
        <w:t xml:space="preserve"> estimó</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4C4D65">
        <w:rPr>
          <w:lang w:val="es-ES_tradnl"/>
        </w:rPr>
        <w:t>en el</w:t>
      </w:r>
      <w:r w:rsidR="00DA6946">
        <w:rPr>
          <w:lang w:val="es-ES_tradnl"/>
        </w:rPr>
        <w:t xml:space="preserve"> </w:t>
      </w:r>
      <w:r w:rsidR="00345E62" w:rsidRPr="00B25E57">
        <w:rPr>
          <w:lang w:val="es-ES_tradnl"/>
        </w:rPr>
        <w:t>95</w:t>
      </w:r>
      <w:r w:rsidR="00FB38C2" w:rsidRPr="00B25E57">
        <w:rPr>
          <w:lang w:val="es-ES_tradnl"/>
        </w:rPr>
        <w:t>%</w:t>
      </w:r>
      <w:r w:rsidR="003A46A1" w:rsidRPr="00B25E57">
        <w:rPr>
          <w:lang w:val="es-ES_tradnl"/>
        </w:rPr>
        <w:t xml:space="preserve"> </w:t>
      </w:r>
      <w:r w:rsidR="006051A8">
        <w:rPr>
          <w:lang w:val="es-ES_tradnl"/>
        </w:rPr>
        <w:t xml:space="preserve">de lo </w:t>
      </w:r>
      <w:r w:rsidR="00DA6946">
        <w:rPr>
          <w:lang w:val="es-ES_tradnl"/>
        </w:rPr>
        <w:t>presentado</w:t>
      </w:r>
      <w:r w:rsidR="003A46A1" w:rsidRPr="00B25E57">
        <w:rPr>
          <w:lang w:val="es-ES_tradnl"/>
        </w:rPr>
        <w:t xml:space="preserve"> </w:t>
      </w:r>
      <w:r w:rsidR="00345E62" w:rsidRPr="00B25E57">
        <w:rPr>
          <w:lang w:val="es-ES_tradnl"/>
        </w:rPr>
        <w:t>(87</w:t>
      </w:r>
      <w:r w:rsidR="00FB38C2" w:rsidRPr="00B25E57">
        <w:rPr>
          <w:lang w:val="es-ES_tradnl"/>
        </w:rPr>
        <w:t>1.</w:t>
      </w:r>
      <w:r w:rsidR="00345E62" w:rsidRPr="00B25E57">
        <w:rPr>
          <w:lang w:val="es-ES_tradnl"/>
        </w:rPr>
        <w:t>111</w:t>
      </w:r>
      <w:r w:rsidR="00ED602F">
        <w:rPr>
          <w:lang w:val="es-ES_tradnl"/>
        </w:rPr>
        <w:t xml:space="preserve"> </w:t>
      </w:r>
      <w:r w:rsidR="00ED602F" w:rsidRPr="00ED602F">
        <w:rPr>
          <w:lang w:val="es-ES_tradnl"/>
        </w:rPr>
        <w:t>$EUA</w:t>
      </w:r>
      <w:r w:rsidR="00345E62" w:rsidRPr="00B25E57">
        <w:rPr>
          <w:lang w:val="es-ES_tradnl"/>
        </w:rPr>
        <w:t>);</w:t>
      </w:r>
    </w:p>
    <w:p w14:paraId="43DB0B0D" w14:textId="76219224" w:rsidR="00345E62" w:rsidRPr="00B25E57" w:rsidRDefault="00B20557" w:rsidP="00067A02">
      <w:pPr>
        <w:pStyle w:val="Heading2"/>
        <w:numPr>
          <w:ilvl w:val="1"/>
          <w:numId w:val="34"/>
        </w:numPr>
        <w:ind w:left="1417" w:hanging="708"/>
        <w:rPr>
          <w:lang w:val="es-ES_tradnl"/>
        </w:rPr>
      </w:pPr>
      <w:r>
        <w:rPr>
          <w:lang w:val="es-ES_tradnl"/>
        </w:rPr>
        <w:t>La i</w:t>
      </w:r>
      <w:r w:rsidR="00A4343B" w:rsidRPr="00B25E57">
        <w:rPr>
          <w:lang w:val="es-ES_tradnl"/>
        </w:rPr>
        <w:t>nstalación</w:t>
      </w:r>
      <w:r w:rsidR="00345E62" w:rsidRPr="00B25E57">
        <w:rPr>
          <w:lang w:val="es-ES_tradnl"/>
        </w:rPr>
        <w:t>,</w:t>
      </w:r>
      <w:r w:rsidR="003A46A1" w:rsidRPr="00B25E57">
        <w:rPr>
          <w:lang w:val="es-ES_tradnl"/>
        </w:rPr>
        <w:t xml:space="preserve"> </w:t>
      </w:r>
      <w:r w:rsidR="00195F11">
        <w:rPr>
          <w:lang w:val="es-ES_tradnl"/>
        </w:rPr>
        <w:t>puesta en marcha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5A7587" w:rsidRPr="005A7587">
        <w:rPr>
          <w:lang w:val="es-ES_tradnl"/>
        </w:rPr>
        <w:t>entrada en operación</w:t>
      </w:r>
      <w:r w:rsidR="003A46A1" w:rsidRPr="00B25E57">
        <w:rPr>
          <w:lang w:val="es-ES_tradnl"/>
        </w:rPr>
        <w:t xml:space="preserve"> </w:t>
      </w:r>
      <w:r w:rsidR="00A4343B" w:rsidRPr="00B25E57">
        <w:rPr>
          <w:lang w:val="es-ES_tradnl"/>
        </w:rPr>
        <w:t>incluye</w:t>
      </w:r>
      <w:r w:rsidR="003A46A1" w:rsidRPr="00B25E57">
        <w:rPr>
          <w:lang w:val="es-ES_tradnl"/>
        </w:rPr>
        <w:t xml:space="preserve"> </w:t>
      </w:r>
      <w:r w:rsidR="00FB38C2" w:rsidRPr="00B25E57">
        <w:rPr>
          <w:lang w:val="es-ES_tradnl"/>
        </w:rPr>
        <w:t>dos</w:t>
      </w:r>
      <w:r w:rsidR="003A46A1" w:rsidRPr="00B25E57">
        <w:rPr>
          <w:lang w:val="es-ES_tradnl"/>
        </w:rPr>
        <w:t xml:space="preserve"> </w:t>
      </w:r>
      <w:r w:rsidR="00F33C58" w:rsidRPr="00B25E57">
        <w:rPr>
          <w:lang w:val="es-ES_tradnl"/>
        </w:rPr>
        <w:t>semanas</w:t>
      </w:r>
      <w:r w:rsidR="003A46A1" w:rsidRPr="00B25E57">
        <w:rPr>
          <w:lang w:val="es-ES_tradnl"/>
        </w:rPr>
        <w:t xml:space="preserve"> </w:t>
      </w:r>
      <w:r w:rsidR="004057BA" w:rsidRPr="00B25E57">
        <w:rPr>
          <w:lang w:val="es-ES_tradnl"/>
        </w:rPr>
        <w:t>en</w:t>
      </w:r>
      <w:r w:rsidR="003A46A1" w:rsidRPr="00B25E57">
        <w:rPr>
          <w:lang w:val="es-ES_tradnl"/>
        </w:rPr>
        <w:t xml:space="preserve"> </w:t>
      </w:r>
      <w:r w:rsidR="004057BA" w:rsidRPr="00B25E57">
        <w:rPr>
          <w:lang w:val="es-ES_tradnl"/>
        </w:rPr>
        <w:t>terreno</w:t>
      </w:r>
      <w:r w:rsidR="003A46A1" w:rsidRPr="00B25E57">
        <w:rPr>
          <w:lang w:val="es-ES_tradnl"/>
        </w:rPr>
        <w:t xml:space="preserve"> </w:t>
      </w:r>
      <w:r w:rsidR="00D87823">
        <w:rPr>
          <w:lang w:val="es-ES_tradnl"/>
        </w:rPr>
        <w:t xml:space="preserve">para un </w:t>
      </w:r>
      <w:r w:rsidR="00B21025" w:rsidRPr="00B21025">
        <w:rPr>
          <w:lang w:val="es-ES_tradnl"/>
        </w:rPr>
        <w:t xml:space="preserve">supervisor </w:t>
      </w:r>
      <w:r w:rsidR="005D02C3" w:rsidRPr="005D02C3">
        <w:rPr>
          <w:lang w:val="es-ES_tradnl"/>
        </w:rPr>
        <w:t>mecánico</w:t>
      </w:r>
      <w:r w:rsidR="005C60A4">
        <w:rPr>
          <w:lang w:val="es-ES_tradnl"/>
        </w:rPr>
        <w:t xml:space="preserve"> </w:t>
      </w:r>
      <w:r w:rsidR="00FB38C2" w:rsidRPr="00B25E57">
        <w:rPr>
          <w:lang w:val="es-ES_tradnl"/>
        </w:rPr>
        <w:t>y</w:t>
      </w:r>
      <w:r w:rsidR="003A46A1" w:rsidRPr="00B25E57">
        <w:rPr>
          <w:lang w:val="es-ES_tradnl"/>
        </w:rPr>
        <w:t xml:space="preserve"> </w:t>
      </w:r>
      <w:r w:rsidR="000F0A33">
        <w:rPr>
          <w:lang w:val="es-ES_tradnl"/>
        </w:rPr>
        <w:t xml:space="preserve">un </w:t>
      </w:r>
      <w:r w:rsidR="000A702A" w:rsidRPr="000A702A">
        <w:rPr>
          <w:lang w:val="es-ES_tradnl"/>
        </w:rPr>
        <w:t xml:space="preserve">supervisor </w:t>
      </w:r>
      <w:r w:rsidR="000A702A">
        <w:rPr>
          <w:lang w:val="es-ES_tradnl"/>
        </w:rPr>
        <w:t xml:space="preserve">de ingeniería </w:t>
      </w:r>
      <w:r w:rsidR="009C7CD6">
        <w:rPr>
          <w:lang w:val="es-ES_tradnl"/>
        </w:rPr>
        <w:t xml:space="preserve">de </w:t>
      </w:r>
      <w:r w:rsidR="009C7CD6" w:rsidRPr="009C7CD6">
        <w:rPr>
          <w:lang w:val="es-ES_tradnl"/>
        </w:rPr>
        <w:t>SGL</w:t>
      </w:r>
      <w:r w:rsidR="00345E62" w:rsidRPr="00B25E57">
        <w:rPr>
          <w:lang w:val="es-ES_tradnl"/>
        </w:rPr>
        <w:t>.</w:t>
      </w:r>
      <w:r w:rsidR="003A46A1" w:rsidRPr="00B25E57">
        <w:rPr>
          <w:lang w:val="es-ES_tradnl"/>
        </w:rPr>
        <w:t xml:space="preserve"> </w:t>
      </w:r>
      <w:r w:rsidR="007C797C">
        <w:rPr>
          <w:lang w:val="es-ES_tradnl"/>
        </w:rPr>
        <w:t xml:space="preserve">Considerando la </w:t>
      </w:r>
      <w:r w:rsidR="009134A8">
        <w:rPr>
          <w:lang w:val="es-ES_tradnl"/>
        </w:rPr>
        <w:t xml:space="preserve">drástica </w:t>
      </w:r>
      <w:r w:rsidR="004241C5" w:rsidRPr="00B25E57">
        <w:rPr>
          <w:lang w:val="es-ES_tradnl"/>
        </w:rPr>
        <w:t>diferencia</w:t>
      </w:r>
      <w:r w:rsidR="003A46A1" w:rsidRPr="00B25E57">
        <w:rPr>
          <w:lang w:val="es-ES_tradnl"/>
        </w:rPr>
        <w:t xml:space="preserve"> </w:t>
      </w:r>
      <w:r w:rsidR="004241C5" w:rsidRPr="00B25E57">
        <w:rPr>
          <w:lang w:val="es-ES_tradnl"/>
        </w:rPr>
        <w:t>entre</w:t>
      </w:r>
      <w:r w:rsidR="003A46A1" w:rsidRPr="00B25E57">
        <w:rPr>
          <w:lang w:val="es-ES_tradnl"/>
        </w:rPr>
        <w:t xml:space="preserve"> </w:t>
      </w:r>
      <w:r w:rsidR="00A02971">
        <w:rPr>
          <w:lang w:val="es-ES_tradnl"/>
        </w:rPr>
        <w:t>la tarifa diaria propuesta</w:t>
      </w:r>
      <w:r w:rsidR="003A46A1" w:rsidRPr="00B25E57">
        <w:rPr>
          <w:lang w:val="es-ES_tradnl"/>
        </w:rPr>
        <w:t xml:space="preserve"> </w:t>
      </w:r>
      <w:r w:rsidR="00F33C58" w:rsidRPr="00B25E57">
        <w:rPr>
          <w:lang w:val="es-ES_tradnl"/>
        </w:rPr>
        <w:t>y</w:t>
      </w:r>
      <w:r w:rsidR="003A46A1" w:rsidRPr="00B25E57">
        <w:rPr>
          <w:lang w:val="es-ES_tradnl"/>
        </w:rPr>
        <w:t xml:space="preserve"> </w:t>
      </w:r>
      <w:r w:rsidR="00A02971">
        <w:rPr>
          <w:lang w:val="es-ES_tradnl"/>
        </w:rPr>
        <w:t xml:space="preserve">lo </w:t>
      </w:r>
      <w:r w:rsidR="00F33C58" w:rsidRPr="00B25E57">
        <w:rPr>
          <w:lang w:val="es-ES_tradnl"/>
        </w:rPr>
        <w:t>que</w:t>
      </w:r>
      <w:r w:rsidR="003A46A1" w:rsidRPr="00B25E57">
        <w:rPr>
          <w:lang w:val="es-ES_tradnl"/>
        </w:rPr>
        <w:t xml:space="preserve"> </w:t>
      </w:r>
      <w:r w:rsidR="00F04D64">
        <w:rPr>
          <w:lang w:val="es-ES_tradnl"/>
        </w:rPr>
        <w:t xml:space="preserve">permiten las reglas de </w:t>
      </w:r>
      <w:r w:rsidR="00D04DC2" w:rsidRPr="00B25E57">
        <w:rPr>
          <w:lang w:val="es-ES_tradnl"/>
        </w:rPr>
        <w:t>Naciones</w:t>
      </w:r>
      <w:r w:rsidR="003A46A1" w:rsidRPr="00B25E57">
        <w:rPr>
          <w:lang w:val="es-ES_tradnl"/>
        </w:rPr>
        <w:t xml:space="preserve"> </w:t>
      </w:r>
      <w:r w:rsidR="00D04DC2" w:rsidRPr="00B25E57">
        <w:rPr>
          <w:lang w:val="es-ES_tradnl"/>
        </w:rPr>
        <w:t>Unidas</w:t>
      </w:r>
      <w:r w:rsidR="003A46A1" w:rsidRPr="00B25E57">
        <w:rPr>
          <w:lang w:val="es-ES_tradnl"/>
        </w:rPr>
        <w:t xml:space="preserve"> </w:t>
      </w:r>
      <w:r w:rsidR="00345E62" w:rsidRPr="00B25E57">
        <w:rPr>
          <w:lang w:val="es-ES_tradnl"/>
        </w:rPr>
        <w:t>(</w:t>
      </w:r>
      <w:r w:rsidR="004057BA" w:rsidRPr="00B25E57">
        <w:rPr>
          <w:lang w:val="es-ES_tradnl"/>
        </w:rPr>
        <w:t>cerca</w:t>
      </w:r>
      <w:r w:rsidR="003A46A1" w:rsidRPr="00B25E57">
        <w:rPr>
          <w:lang w:val="es-ES_tradnl"/>
        </w:rPr>
        <w:t xml:space="preserve"> </w:t>
      </w:r>
      <w:r w:rsidR="004057BA" w:rsidRPr="00B25E57">
        <w:rPr>
          <w:lang w:val="es-ES_tradnl"/>
        </w:rPr>
        <w:t>de</w:t>
      </w:r>
      <w:r w:rsidR="003A46A1" w:rsidRPr="00B25E57">
        <w:rPr>
          <w:lang w:val="es-ES_tradnl"/>
        </w:rPr>
        <w:t xml:space="preserve"> </w:t>
      </w:r>
      <w:r w:rsidR="00FB38C2" w:rsidRPr="00B25E57">
        <w:rPr>
          <w:lang w:val="es-ES_tradnl"/>
        </w:rPr>
        <w:t>tres</w:t>
      </w:r>
      <w:r w:rsidR="003A46A1" w:rsidRPr="00B25E57">
        <w:rPr>
          <w:lang w:val="es-ES_tradnl"/>
        </w:rPr>
        <w:t xml:space="preserve"> </w:t>
      </w:r>
      <w:r w:rsidR="003D370A">
        <w:rPr>
          <w:lang w:val="es-ES_tradnl"/>
        </w:rPr>
        <w:t xml:space="preserve">veces </w:t>
      </w:r>
      <w:r w:rsidR="00691404">
        <w:rPr>
          <w:lang w:val="es-ES_tradnl"/>
        </w:rPr>
        <w:t>mayor</w:t>
      </w:r>
      <w:r w:rsidR="00345E62" w:rsidRPr="00B25E57">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3E6FDD">
        <w:rPr>
          <w:lang w:val="es-ES_tradnl"/>
        </w:rPr>
        <w:t xml:space="preserve">además </w:t>
      </w:r>
      <w:r w:rsidR="004F753A">
        <w:rPr>
          <w:lang w:val="es-ES_tradnl"/>
        </w:rPr>
        <w:t xml:space="preserve">se </w:t>
      </w:r>
      <w:r w:rsidR="005A6A36">
        <w:rPr>
          <w:lang w:val="es-ES_tradnl"/>
        </w:rPr>
        <w:t xml:space="preserve">piden </w:t>
      </w:r>
      <w:r w:rsidR="00347F16">
        <w:rPr>
          <w:lang w:val="es-ES_tradnl"/>
        </w:rPr>
        <w:t xml:space="preserve">pasajes </w:t>
      </w:r>
      <w:r w:rsidR="00264E70">
        <w:rPr>
          <w:lang w:val="es-ES_tradnl"/>
        </w:rPr>
        <w:t xml:space="preserve">en </w:t>
      </w:r>
      <w:r w:rsidR="005B7A0C">
        <w:rPr>
          <w:lang w:val="es-ES_tradnl"/>
        </w:rPr>
        <w:t>clase ejecutiva</w:t>
      </w:r>
      <w:r w:rsidR="00345E62" w:rsidRPr="00B25E57">
        <w:rPr>
          <w:lang w:val="es-ES_tradnl"/>
        </w:rPr>
        <w:t>,</w:t>
      </w:r>
      <w:r w:rsidR="003A46A1" w:rsidRPr="00B25E57">
        <w:rPr>
          <w:lang w:val="es-ES_tradnl"/>
        </w:rPr>
        <w:t xml:space="preserve"> </w:t>
      </w:r>
      <w:r w:rsidR="00E20804">
        <w:rPr>
          <w:lang w:val="es-ES_tradnl"/>
        </w:rPr>
        <w:t>estos costos</w:t>
      </w:r>
      <w:r w:rsidR="003A46A1" w:rsidRPr="00B25E57">
        <w:rPr>
          <w:lang w:val="es-ES_tradnl"/>
        </w:rPr>
        <w:t xml:space="preserve"> </w:t>
      </w:r>
      <w:r w:rsidR="00E20804">
        <w:rPr>
          <w:lang w:val="es-ES_tradnl"/>
        </w:rPr>
        <w:t xml:space="preserve">se ajustaron en un </w:t>
      </w:r>
      <w:r w:rsidR="00345E62" w:rsidRPr="00B25E57">
        <w:rPr>
          <w:lang w:val="es-ES_tradnl"/>
        </w:rPr>
        <w:t>14</w:t>
      </w:r>
      <w:r w:rsidR="00FB38C2" w:rsidRPr="00B25E57">
        <w:rPr>
          <w:lang w:val="es-ES_tradnl"/>
        </w:rPr>
        <w:t>%</w:t>
      </w:r>
      <w:r w:rsidR="00345E62" w:rsidRPr="00B25E57">
        <w:rPr>
          <w:lang w:val="es-ES_tradnl"/>
        </w:rPr>
        <w:t>;</w:t>
      </w:r>
    </w:p>
    <w:p w14:paraId="2EC423A7" w14:textId="3D24D3F2" w:rsidR="007B22B4" w:rsidRPr="00B25E57" w:rsidRDefault="000254ED" w:rsidP="00AE4820">
      <w:pPr>
        <w:pStyle w:val="Heading2"/>
        <w:keepNext/>
        <w:keepLines/>
        <w:widowControl/>
        <w:numPr>
          <w:ilvl w:val="1"/>
          <w:numId w:val="34"/>
        </w:numPr>
        <w:ind w:left="1418" w:hanging="709"/>
        <w:rPr>
          <w:lang w:val="es-ES_tradnl"/>
        </w:rPr>
      </w:pPr>
      <w:r>
        <w:rPr>
          <w:lang w:val="es-ES_tradnl"/>
        </w:rPr>
        <w:lastRenderedPageBreak/>
        <w:t xml:space="preserve">Para </w:t>
      </w:r>
      <w:r w:rsidR="00542E93">
        <w:rPr>
          <w:lang w:val="es-ES_tradnl"/>
        </w:rPr>
        <w:t xml:space="preserve">el </w:t>
      </w:r>
      <w:r w:rsidR="004324D7">
        <w:rPr>
          <w:lang w:val="es-ES_tradnl"/>
        </w:rPr>
        <w:t>generador de oxígeno</w:t>
      </w:r>
      <w:r w:rsidR="003A46A1" w:rsidRPr="00B25E57">
        <w:rPr>
          <w:lang w:val="es-ES_tradnl"/>
        </w:rPr>
        <w:t xml:space="preserve"> </w:t>
      </w:r>
      <w:r w:rsidR="00542E93" w:rsidRPr="00542E93">
        <w:rPr>
          <w:lang w:val="es-ES_tradnl"/>
        </w:rPr>
        <w:t xml:space="preserve">PSA </w:t>
      </w:r>
      <w:r w:rsidR="0073190A">
        <w:rPr>
          <w:lang w:val="es-ES_tradnl"/>
        </w:rPr>
        <w:t xml:space="preserve">se puede </w:t>
      </w:r>
      <w:r>
        <w:rPr>
          <w:lang w:val="es-ES_tradnl"/>
        </w:rPr>
        <w:t xml:space="preserve">comprar </w:t>
      </w:r>
      <w:r w:rsidRPr="000254ED">
        <w:rPr>
          <w:lang w:val="es-ES_tradnl"/>
        </w:rPr>
        <w:t xml:space="preserve">zeolita </w:t>
      </w:r>
      <w:r>
        <w:rPr>
          <w:lang w:val="es-ES_tradnl"/>
        </w:rPr>
        <w:t xml:space="preserve">u </w:t>
      </w:r>
      <w:r w:rsidR="00E434B2" w:rsidRPr="00B25E57">
        <w:rPr>
          <w:lang w:val="es-ES_tradnl"/>
        </w:rPr>
        <w:t>oxígeno</w:t>
      </w:r>
      <w:r w:rsidR="00345E62" w:rsidRPr="00B25E57">
        <w:rPr>
          <w:lang w:val="es-ES_tradnl"/>
        </w:rPr>
        <w:t>,</w:t>
      </w:r>
      <w:r w:rsidR="003A46A1" w:rsidRPr="00B25E57">
        <w:rPr>
          <w:lang w:val="es-ES_tradnl"/>
        </w:rPr>
        <w:t xml:space="preserve"> </w:t>
      </w:r>
      <w:r w:rsidR="006140E6">
        <w:rPr>
          <w:lang w:val="es-ES_tradnl"/>
        </w:rPr>
        <w:t xml:space="preserve">pero </w:t>
      </w:r>
      <w:r w:rsidR="00610331">
        <w:rPr>
          <w:lang w:val="es-ES_tradnl"/>
        </w:rPr>
        <w:t xml:space="preserve">no son </w:t>
      </w:r>
      <w:r w:rsidR="00C67F40">
        <w:rPr>
          <w:lang w:val="es-ES_tradnl"/>
        </w:rPr>
        <w:t>necesario</w:t>
      </w:r>
      <w:r w:rsidR="00610331">
        <w:rPr>
          <w:lang w:val="es-ES_tradnl"/>
        </w:rPr>
        <w:t>s ambos</w:t>
      </w:r>
      <w:r w:rsidR="00345E62" w:rsidRPr="00B25E57">
        <w:rPr>
          <w:lang w:val="es-ES_tradnl"/>
        </w:rPr>
        <w:t>.</w:t>
      </w:r>
      <w:r w:rsidR="003A46A1" w:rsidRPr="00B25E57">
        <w:rPr>
          <w:lang w:val="es-ES_tradnl"/>
        </w:rPr>
        <w:t xml:space="preserve"> </w:t>
      </w:r>
      <w:r w:rsidR="002A340A">
        <w:rPr>
          <w:lang w:val="es-ES_tradnl"/>
        </w:rPr>
        <w:t xml:space="preserve">Dado que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FB38C2" w:rsidRPr="00B25E57">
        <w:rPr>
          <w:lang w:val="es-ES_tradnl"/>
        </w:rPr>
        <w:t>de</w:t>
      </w:r>
      <w:r w:rsidR="00784839">
        <w:rPr>
          <w:lang w:val="es-ES_tradnl"/>
        </w:rPr>
        <w:t>l</w:t>
      </w:r>
      <w:r w:rsidR="003A46A1" w:rsidRPr="00B25E57">
        <w:rPr>
          <w:lang w:val="es-ES_tradnl"/>
        </w:rPr>
        <w:t xml:space="preserve"> </w:t>
      </w:r>
      <w:r w:rsidR="00E434B2" w:rsidRPr="00B25E57">
        <w:rPr>
          <w:lang w:val="es-ES_tradnl"/>
        </w:rPr>
        <w:t>oxígeno</w:t>
      </w:r>
      <w:r w:rsidR="003A46A1" w:rsidRPr="00B25E57">
        <w:rPr>
          <w:lang w:val="es-ES_tradnl"/>
        </w:rPr>
        <w:t xml:space="preserve"> </w:t>
      </w:r>
      <w:r w:rsidR="00784839">
        <w:rPr>
          <w:lang w:val="es-ES_tradnl"/>
        </w:rPr>
        <w:t>está</w:t>
      </w:r>
      <w:r w:rsidR="00A2382F">
        <w:rPr>
          <w:lang w:val="es-ES_tradnl"/>
        </w:rPr>
        <w:t xml:space="preserve"> c</w:t>
      </w:r>
      <w:r w:rsidR="00784839">
        <w:rPr>
          <w:lang w:val="es-ES_tradnl"/>
        </w:rPr>
        <w:t xml:space="preserve">onsiderado </w:t>
      </w:r>
      <w:r w:rsidR="004241C5" w:rsidRPr="00B25E57">
        <w:rPr>
          <w:lang w:val="es-ES_tradnl"/>
        </w:rPr>
        <w:t>en</w:t>
      </w:r>
      <w:r w:rsidR="003A46A1" w:rsidRPr="00B25E57">
        <w:rPr>
          <w:lang w:val="es-ES_tradnl"/>
        </w:rPr>
        <w:t xml:space="preserve"> </w:t>
      </w:r>
      <w:r w:rsidR="00E1516B">
        <w:rPr>
          <w:lang w:val="es-ES_tradnl"/>
        </w:rPr>
        <w:t xml:space="preserve">el </w:t>
      </w:r>
      <w:r w:rsidR="004512EA" w:rsidRPr="00B25E57">
        <w:rPr>
          <w:lang w:val="es-ES_tradnl"/>
        </w:rPr>
        <w:t>cálculo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E1516B">
        <w:rPr>
          <w:lang w:val="es-ES_tradnl"/>
        </w:rPr>
        <w:t xml:space="preserve"> hecho por </w:t>
      </w:r>
      <w:r w:rsidR="00E1516B" w:rsidRPr="00E1516B">
        <w:rPr>
          <w:lang w:val="es-ES_tradnl"/>
        </w:rPr>
        <w:t>la Secretaría</w:t>
      </w:r>
      <w:r w:rsidR="00345E62" w:rsidRPr="00B25E57">
        <w:rPr>
          <w:lang w:val="es-ES_tradnl"/>
        </w:rPr>
        <w:t>,</w:t>
      </w:r>
      <w:r w:rsidR="003A46A1" w:rsidRPr="00B25E57">
        <w:rPr>
          <w:lang w:val="es-ES_tradnl"/>
        </w:rPr>
        <w:t xml:space="preserve"> </w:t>
      </w:r>
      <w:r w:rsidR="00345E62" w:rsidRPr="00B25E57">
        <w:rPr>
          <w:lang w:val="es-ES_tradnl"/>
        </w:rPr>
        <w:t>1.8</w:t>
      </w:r>
      <w:r w:rsidR="003A46A1" w:rsidRPr="00B25E57">
        <w:rPr>
          <w:lang w:val="es-ES_tradnl"/>
        </w:rPr>
        <w:t xml:space="preserve"> </w:t>
      </w:r>
      <w:r w:rsidR="00FB38C2" w:rsidRPr="00B25E57">
        <w:rPr>
          <w:lang w:val="es-ES_tradnl"/>
        </w:rPr>
        <w:t>tm</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A073DC">
        <w:rPr>
          <w:lang w:val="es-ES_tradnl"/>
        </w:rPr>
        <w:t>zeolita</w:t>
      </w:r>
      <w:r w:rsidR="003A46A1" w:rsidRPr="00B25E57">
        <w:rPr>
          <w:lang w:val="es-ES_tradnl"/>
        </w:rPr>
        <w:t xml:space="preserve"> </w:t>
      </w:r>
      <w:r w:rsidR="00492BB0">
        <w:rPr>
          <w:lang w:val="es-ES_tradnl"/>
        </w:rPr>
        <w:t xml:space="preserve">no </w:t>
      </w:r>
      <w:r w:rsidR="00F269DE">
        <w:rPr>
          <w:lang w:val="es-ES_tradnl"/>
        </w:rPr>
        <w:t xml:space="preserve">constituye </w:t>
      </w:r>
      <w:r w:rsidR="0082195B">
        <w:rPr>
          <w:lang w:val="es-ES_tradnl"/>
        </w:rPr>
        <w:t>sobrecosto</w:t>
      </w:r>
      <w:r w:rsidR="00345E62" w:rsidRPr="00B25E57">
        <w:rPr>
          <w:lang w:val="es-ES_tradnl"/>
        </w:rPr>
        <w:t>;</w:t>
      </w:r>
    </w:p>
    <w:p w14:paraId="55ED9916" w14:textId="01BE7538" w:rsidR="00345E62" w:rsidRPr="00B25E57" w:rsidRDefault="003C3209" w:rsidP="00067A02">
      <w:pPr>
        <w:pStyle w:val="Heading2"/>
        <w:numPr>
          <w:ilvl w:val="1"/>
          <w:numId w:val="34"/>
        </w:numPr>
        <w:ind w:left="1417" w:hanging="708"/>
        <w:rPr>
          <w:lang w:val="es-ES_tradnl"/>
        </w:rPr>
      </w:pPr>
      <w:r>
        <w:rPr>
          <w:lang w:val="es-ES_tradnl"/>
        </w:rPr>
        <w:t>El</w:t>
      </w:r>
      <w:r w:rsidR="003A46A1" w:rsidRPr="00B25E57">
        <w:rPr>
          <w:lang w:val="es-ES_tradnl"/>
        </w:rPr>
        <w:t xml:space="preserve"> </w:t>
      </w:r>
      <w:r w:rsidR="00EB3173">
        <w:rPr>
          <w:lang w:val="es-ES_tradnl"/>
        </w:rPr>
        <w:t xml:space="preserve">filtro </w:t>
      </w:r>
      <w:r>
        <w:rPr>
          <w:lang w:val="es-ES_tradnl"/>
        </w:rPr>
        <w:t xml:space="preserve">optativo </w:t>
      </w:r>
      <w:r w:rsidR="00EB3173">
        <w:rPr>
          <w:lang w:val="es-ES_tradnl"/>
        </w:rPr>
        <w:t>de gases de salida</w:t>
      </w:r>
      <w:r w:rsidR="003A46A1" w:rsidRPr="00B25E57">
        <w:rPr>
          <w:lang w:val="es-ES_tradnl"/>
        </w:rPr>
        <w:t xml:space="preserve"> </w:t>
      </w:r>
      <w:r w:rsidR="004A3DD4">
        <w:rPr>
          <w:lang w:val="es-ES_tradnl"/>
        </w:rPr>
        <w:t xml:space="preserve">de </w:t>
      </w:r>
      <w:r w:rsidR="004A3DD4" w:rsidRPr="004A3DD4">
        <w:rPr>
          <w:lang w:val="es-ES_tradnl"/>
        </w:rPr>
        <w:t xml:space="preserve">politetrafluoroetileno </w:t>
      </w:r>
      <w:r w:rsidR="006123F8">
        <w:rPr>
          <w:lang w:val="es-ES_tradnl"/>
        </w:rPr>
        <w:t>tampoco</w:t>
      </w:r>
      <w:r w:rsidR="003A46A1" w:rsidRPr="00B25E57">
        <w:rPr>
          <w:lang w:val="es-ES_tradnl"/>
        </w:rPr>
        <w:t xml:space="preserve"> </w:t>
      </w:r>
      <w:r w:rsidR="00F269DE" w:rsidRPr="00F269DE">
        <w:rPr>
          <w:lang w:val="es-ES_tradnl"/>
        </w:rPr>
        <w:t xml:space="preserve">constituye </w:t>
      </w:r>
      <w:r w:rsidR="00F1417A" w:rsidRPr="00F1417A">
        <w:rPr>
          <w:lang w:val="es-ES_tradnl"/>
        </w:rPr>
        <w:t>sobrecosto</w:t>
      </w:r>
      <w:r w:rsidR="002879A1">
        <w:rPr>
          <w:lang w:val="es-ES_tradnl"/>
        </w:rPr>
        <w:t xml:space="preserve">, dado que el presupuesto de </w:t>
      </w:r>
      <w:r w:rsidR="00572E2E">
        <w:rPr>
          <w:lang w:val="es-ES_tradnl"/>
        </w:rPr>
        <w:t>reacondicionamiento</w:t>
      </w:r>
      <w:r w:rsidR="003A46A1" w:rsidRPr="00B25E57">
        <w:rPr>
          <w:lang w:val="es-ES_tradnl"/>
        </w:rPr>
        <w:t xml:space="preserve"> </w:t>
      </w:r>
      <w:r w:rsidR="00A4343B" w:rsidRPr="00B25E57">
        <w:rPr>
          <w:lang w:val="es-ES_tradnl"/>
        </w:rPr>
        <w:t>incluye</w:t>
      </w:r>
      <w:r w:rsidR="003A46A1" w:rsidRPr="00B25E57">
        <w:rPr>
          <w:lang w:val="es-ES_tradnl"/>
        </w:rPr>
        <w:t xml:space="preserve"> </w:t>
      </w:r>
      <w:r w:rsidR="001C7099">
        <w:rPr>
          <w:lang w:val="es-ES_tradnl"/>
        </w:rPr>
        <w:t xml:space="preserve">un </w:t>
      </w:r>
      <w:r w:rsidR="00EB3173">
        <w:rPr>
          <w:lang w:val="es-ES_tradnl"/>
        </w:rPr>
        <w:t>filtro de gases de salida</w:t>
      </w:r>
      <w:r w:rsidR="001C7099">
        <w:rPr>
          <w:lang w:val="es-ES_tradnl"/>
        </w:rPr>
        <w:t xml:space="preserve"> (con </w:t>
      </w:r>
      <w:r w:rsidR="00276701">
        <w:rPr>
          <w:lang w:val="es-ES_tradnl"/>
        </w:rPr>
        <w:t>revestimiento</w:t>
      </w:r>
      <w:r w:rsidR="001C7099">
        <w:rPr>
          <w:lang w:val="es-ES_tradnl"/>
        </w:rPr>
        <w:t xml:space="preserve"> de caucho)</w:t>
      </w:r>
      <w:r w:rsidR="00345E62" w:rsidRPr="00B25E57">
        <w:rPr>
          <w:lang w:val="es-ES_tradnl"/>
        </w:rPr>
        <w:t>;</w:t>
      </w:r>
    </w:p>
    <w:p w14:paraId="1716BEE1" w14:textId="1DEC4ACB" w:rsidR="00345E62" w:rsidRPr="00B25E57" w:rsidRDefault="00A35DBD" w:rsidP="00067A02">
      <w:pPr>
        <w:pStyle w:val="Heading2"/>
        <w:numPr>
          <w:ilvl w:val="1"/>
          <w:numId w:val="34"/>
        </w:numPr>
        <w:ind w:left="1417" w:hanging="708"/>
        <w:rPr>
          <w:lang w:val="es-ES_tradnl"/>
        </w:rPr>
      </w:pPr>
      <w:r>
        <w:rPr>
          <w:lang w:val="es-ES_tradnl"/>
        </w:rPr>
        <w:t xml:space="preserve">Se reducen </w:t>
      </w:r>
      <w:r w:rsidR="003B0442">
        <w:rPr>
          <w:lang w:val="es-ES_tradnl"/>
        </w:rPr>
        <w:t xml:space="preserve">los </w:t>
      </w:r>
      <w:r w:rsidR="00FC477A">
        <w:rPr>
          <w:lang w:val="es-ES_tradnl"/>
        </w:rPr>
        <w:t>ga</w:t>
      </w:r>
      <w:r w:rsidR="000B1117">
        <w:rPr>
          <w:lang w:val="es-ES_tradnl"/>
        </w:rPr>
        <w:t xml:space="preserve">stos </w:t>
      </w:r>
      <w:r w:rsidR="003B0442" w:rsidRPr="003B0442">
        <w:rPr>
          <w:lang w:val="es-ES_tradnl"/>
        </w:rPr>
        <w:t>adicional</w:t>
      </w:r>
      <w:r w:rsidR="003B0442">
        <w:rPr>
          <w:lang w:val="es-ES_tradnl"/>
        </w:rPr>
        <w:t>es</w:t>
      </w:r>
      <w:r w:rsidR="003B0442" w:rsidRPr="003B0442">
        <w:rPr>
          <w:lang w:val="es-ES_tradnl"/>
        </w:rPr>
        <w:t xml:space="preserve"> </w:t>
      </w:r>
      <w:r w:rsidR="000B1117">
        <w:rPr>
          <w:lang w:val="es-ES_tradnl"/>
        </w:rPr>
        <w:t>de construcción</w:t>
      </w:r>
      <w:r w:rsidR="003A46A1" w:rsidRPr="00B25E57">
        <w:rPr>
          <w:lang w:val="es-ES_tradnl"/>
        </w:rPr>
        <w:t xml:space="preserve"> </w:t>
      </w:r>
      <w:r w:rsidR="003B0442">
        <w:rPr>
          <w:lang w:val="es-ES_tradnl"/>
        </w:rPr>
        <w:t xml:space="preserve">de </w:t>
      </w:r>
      <w:r w:rsidR="003B0442" w:rsidRPr="003B0442">
        <w:rPr>
          <w:lang w:val="es-ES_tradnl"/>
        </w:rPr>
        <w:t xml:space="preserve">FIASA </w:t>
      </w:r>
      <w:r w:rsidR="00FB38C2" w:rsidRPr="00B25E57">
        <w:rPr>
          <w:lang w:val="es-ES_tradnl"/>
        </w:rPr>
        <w:t>y</w:t>
      </w:r>
      <w:r w:rsidR="003A46A1" w:rsidRPr="00B25E57">
        <w:rPr>
          <w:lang w:val="es-ES_tradnl"/>
        </w:rPr>
        <w:t xml:space="preserve"> </w:t>
      </w:r>
      <w:r w:rsidR="001F6642">
        <w:rPr>
          <w:lang w:val="es-ES_tradnl"/>
        </w:rPr>
        <w:t xml:space="preserve">el </w:t>
      </w:r>
      <w:r w:rsidR="007B22B4" w:rsidRPr="00B25E57">
        <w:rPr>
          <w:lang w:val="es-ES_tradnl"/>
        </w:rPr>
        <w:t>costo</w:t>
      </w:r>
      <w:r w:rsidR="003A46A1" w:rsidRPr="00B25E57">
        <w:rPr>
          <w:lang w:val="es-ES_tradnl"/>
        </w:rPr>
        <w:t xml:space="preserve"> </w:t>
      </w:r>
      <w:r w:rsidR="001F6642">
        <w:rPr>
          <w:lang w:val="es-ES_tradnl"/>
        </w:rPr>
        <w:t xml:space="preserve">de construir </w:t>
      </w:r>
      <w:r w:rsidR="00F942C6" w:rsidRPr="00B25E57">
        <w:rPr>
          <w:lang w:val="es-ES_tradnl"/>
        </w:rPr>
        <w:t>un</w:t>
      </w:r>
      <w:r w:rsidR="003A46A1" w:rsidRPr="00B25E57">
        <w:rPr>
          <w:lang w:val="es-ES_tradnl"/>
        </w:rPr>
        <w:t xml:space="preserve"> </w:t>
      </w:r>
      <w:r w:rsidR="00B0519D">
        <w:rPr>
          <w:lang w:val="es-ES_tradnl"/>
        </w:rPr>
        <w:t>cierro</w:t>
      </w:r>
      <w:r w:rsidR="001F6642">
        <w:rPr>
          <w:lang w:val="es-ES_tradnl"/>
        </w:rPr>
        <w:t xml:space="preserve"> </w:t>
      </w:r>
      <w:r w:rsidR="00A550E9">
        <w:rPr>
          <w:lang w:val="es-ES_tradnl"/>
        </w:rPr>
        <w:t xml:space="preserve">para </w:t>
      </w:r>
      <w:r w:rsidR="006A2431">
        <w:rPr>
          <w:lang w:val="es-ES_tradnl"/>
        </w:rPr>
        <w:t>el tanque</w:t>
      </w:r>
      <w:r w:rsidR="006A0B9C">
        <w:rPr>
          <w:lang w:val="es-ES_tradnl"/>
        </w:rPr>
        <w:t xml:space="preserve"> criogénico</w:t>
      </w:r>
      <w:r w:rsidR="003A46A1" w:rsidRPr="00B25E57">
        <w:rPr>
          <w:lang w:val="es-ES_tradnl"/>
        </w:rPr>
        <w:t xml:space="preserve"> </w:t>
      </w:r>
      <w:r w:rsidR="001C4D58">
        <w:rPr>
          <w:lang w:val="es-ES_tradnl"/>
        </w:rPr>
        <w:t>a</w:t>
      </w:r>
      <w:r w:rsidR="003A46A1" w:rsidRPr="00B25E57">
        <w:rPr>
          <w:lang w:val="es-ES_tradnl"/>
        </w:rPr>
        <w:t xml:space="preserve"> </w:t>
      </w:r>
      <w:r w:rsidR="00345E62" w:rsidRPr="00B25E57">
        <w:rPr>
          <w:lang w:val="es-ES_tradnl"/>
        </w:rPr>
        <w:t>5</w:t>
      </w:r>
      <w:r w:rsidR="00FB38C2" w:rsidRPr="00B25E57">
        <w:rPr>
          <w:lang w:val="es-ES_tradnl"/>
        </w:rPr>
        <w:t>1.</w:t>
      </w:r>
      <w:r w:rsidR="00345E62" w:rsidRPr="00B25E57">
        <w:rPr>
          <w:lang w:val="es-ES_tradnl"/>
        </w:rPr>
        <w:t>300</w:t>
      </w:r>
      <w:r w:rsidR="003A46A1" w:rsidRPr="00B25E57">
        <w:rPr>
          <w:lang w:val="es-ES_tradnl"/>
        </w:rPr>
        <w:t xml:space="preserve"> </w:t>
      </w:r>
      <w:r w:rsidR="00C9574E" w:rsidRPr="00C9574E">
        <w:rPr>
          <w:lang w:val="es-ES_tradnl"/>
        </w:rPr>
        <w:t xml:space="preserve">$EUA </w:t>
      </w:r>
      <w:r w:rsidR="00FB38C2" w:rsidRPr="00B25E57">
        <w:rPr>
          <w:lang w:val="es-ES_tradnl"/>
        </w:rPr>
        <w:t>y</w:t>
      </w:r>
      <w:r w:rsidR="003A46A1" w:rsidRPr="00B25E57">
        <w:rPr>
          <w:lang w:val="es-ES_tradnl"/>
        </w:rPr>
        <w:t xml:space="preserve"> </w:t>
      </w:r>
      <w:r w:rsidR="00345E62" w:rsidRPr="00B25E57">
        <w:rPr>
          <w:lang w:val="es-ES_tradnl"/>
        </w:rPr>
        <w:t>5</w:t>
      </w:r>
      <w:r w:rsidR="00FB38C2" w:rsidRPr="00B25E57">
        <w:rPr>
          <w:lang w:val="es-ES_tradnl"/>
        </w:rPr>
        <w:t>0.</w:t>
      </w:r>
      <w:r w:rsidR="00345E62" w:rsidRPr="00B25E57">
        <w:rPr>
          <w:lang w:val="es-ES_tradnl"/>
        </w:rPr>
        <w:t>00</w:t>
      </w:r>
      <w:r w:rsidR="00FB38C2" w:rsidRPr="00B25E57">
        <w:rPr>
          <w:lang w:val="es-ES_tradnl"/>
        </w:rPr>
        <w:t>0</w:t>
      </w:r>
      <w:r w:rsidR="00C9574E">
        <w:rPr>
          <w:lang w:val="es-ES_tradnl"/>
        </w:rPr>
        <w:t xml:space="preserve"> </w:t>
      </w:r>
      <w:r w:rsidR="00C9574E" w:rsidRPr="00C9574E">
        <w:rPr>
          <w:lang w:val="es-ES_tradnl"/>
        </w:rPr>
        <w:t>$EUA</w:t>
      </w:r>
      <w:r w:rsidR="00C9574E">
        <w:rPr>
          <w:lang w:val="es-ES_tradnl"/>
        </w:rPr>
        <w:t>,</w:t>
      </w:r>
      <w:r w:rsidR="003A46A1" w:rsidRPr="00B25E57">
        <w:rPr>
          <w:lang w:val="es-ES_tradnl"/>
        </w:rPr>
        <w:t xml:space="preserve"> </w:t>
      </w:r>
      <w:r w:rsidR="00862A82" w:rsidRPr="00B25E57">
        <w:rPr>
          <w:lang w:val="es-ES_tradnl"/>
        </w:rPr>
        <w:t>respectivamente</w:t>
      </w:r>
      <w:r w:rsidR="00345E62" w:rsidRPr="00B25E57">
        <w:rPr>
          <w:lang w:val="es-ES_tradnl"/>
        </w:rPr>
        <w:t>;</w:t>
      </w:r>
      <w:r w:rsidR="003A46A1" w:rsidRPr="00B25E57">
        <w:rPr>
          <w:lang w:val="es-ES_tradnl"/>
        </w:rPr>
        <w:t xml:space="preserve"> </w:t>
      </w:r>
      <w:r w:rsidR="00FB38C2" w:rsidRPr="00B25E57">
        <w:rPr>
          <w:lang w:val="es-ES_tradnl"/>
        </w:rPr>
        <w:t>y</w:t>
      </w:r>
    </w:p>
    <w:p w14:paraId="5EA58811" w14:textId="72A0C38E" w:rsidR="00345E62" w:rsidRPr="00B25E57" w:rsidRDefault="006425AC" w:rsidP="00067A02">
      <w:pPr>
        <w:pStyle w:val="Heading2"/>
        <w:numPr>
          <w:ilvl w:val="1"/>
          <w:numId w:val="34"/>
        </w:numPr>
        <w:ind w:left="1417" w:hanging="708"/>
        <w:rPr>
          <w:lang w:val="es-ES_tradnl"/>
        </w:rPr>
      </w:pPr>
      <w:r>
        <w:rPr>
          <w:lang w:val="es-ES_tradnl"/>
        </w:rPr>
        <w:t>I</w:t>
      </w:r>
      <w:r w:rsidR="00902F03">
        <w:rPr>
          <w:lang w:val="es-ES_tradnl"/>
        </w:rPr>
        <w:t>nscripción</w:t>
      </w:r>
      <w:r w:rsidR="0041417F">
        <w:rPr>
          <w:lang w:val="es-ES_tradnl"/>
        </w:rPr>
        <w:t xml:space="preserve"> </w:t>
      </w:r>
      <w:r w:rsidR="00BF6F06">
        <w:rPr>
          <w:lang w:val="es-ES_tradnl"/>
        </w:rPr>
        <w:t xml:space="preserve">por una vez </w:t>
      </w:r>
      <w:r w:rsidR="0041417F">
        <w:rPr>
          <w:lang w:val="es-ES_tradnl"/>
        </w:rPr>
        <w:t xml:space="preserve">como </w:t>
      </w:r>
      <w:r w:rsidR="00531BFE">
        <w:rPr>
          <w:lang w:val="es-ES_tradnl"/>
        </w:rPr>
        <w:t>planta de generación y tratamiento de residuos peligrosos</w:t>
      </w:r>
      <w:r>
        <w:rPr>
          <w:lang w:val="es-ES_tradnl"/>
        </w:rPr>
        <w:t>,</w:t>
      </w:r>
      <w:r w:rsidR="003A46A1" w:rsidRPr="00B25E57">
        <w:rPr>
          <w:lang w:val="es-ES_tradnl"/>
        </w:rPr>
        <w:t xml:space="preserve"> </w:t>
      </w:r>
      <w:r w:rsidR="00F942C6" w:rsidRPr="00B25E57">
        <w:rPr>
          <w:lang w:val="es-ES_tradnl"/>
        </w:rPr>
        <w:t>sobre la base de</w:t>
      </w:r>
      <w:r w:rsidR="00C177E3">
        <w:rPr>
          <w:lang w:val="es-ES_tradnl"/>
        </w:rPr>
        <w:t>l</w:t>
      </w:r>
      <w:r w:rsidR="00F942C6" w:rsidRPr="00B25E57">
        <w:rPr>
          <w:lang w:val="es-ES_tradnl"/>
        </w:rPr>
        <w:t xml:space="preserve"> </w:t>
      </w:r>
      <w:r w:rsidR="00C177E3">
        <w:rPr>
          <w:lang w:val="es-ES_tradnl"/>
        </w:rPr>
        <w:t>costo</w:t>
      </w:r>
      <w:r w:rsidR="003A46A1" w:rsidRPr="00B25E57">
        <w:rPr>
          <w:lang w:val="es-ES_tradnl"/>
        </w:rPr>
        <w:t xml:space="preserve"> </w:t>
      </w:r>
      <w:r w:rsidR="00517D62" w:rsidRPr="00B25E57">
        <w:rPr>
          <w:lang w:val="es-ES_tradnl"/>
        </w:rPr>
        <w:t>señalado</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1E2E76">
        <w:rPr>
          <w:lang w:val="es-ES_tradnl"/>
        </w:rPr>
        <w:t>el</w:t>
      </w:r>
      <w:r w:rsidR="003A46A1" w:rsidRPr="00B25E57">
        <w:rPr>
          <w:lang w:val="es-ES_tradnl"/>
        </w:rPr>
        <w:t xml:space="preserve"> </w:t>
      </w:r>
      <w:r w:rsidR="0001497C">
        <w:rPr>
          <w:lang w:val="es-ES_tradnl"/>
        </w:rPr>
        <w:t>análisis jurídico</w:t>
      </w:r>
      <w:r w:rsidR="003A46A1" w:rsidRPr="00B25E57">
        <w:rPr>
          <w:lang w:val="es-ES_tradnl"/>
        </w:rPr>
        <w:t xml:space="preserve"> </w:t>
      </w:r>
      <w:r w:rsidR="00C85B1B" w:rsidRPr="00C85B1B">
        <w:rPr>
          <w:lang w:val="es-ES_tradnl"/>
        </w:rPr>
        <w:t>(</w:t>
      </w:r>
      <w:r w:rsidR="00C177E3" w:rsidRPr="00C177E3">
        <w:rPr>
          <w:lang w:val="es-ES_tradnl"/>
        </w:rPr>
        <w:t xml:space="preserve">235 </w:t>
      </w:r>
      <w:r w:rsidR="00C85B1B" w:rsidRPr="00C85B1B">
        <w:rPr>
          <w:lang w:val="es-ES_tradnl"/>
        </w:rPr>
        <w:t>$EUA</w:t>
      </w:r>
      <w:r w:rsidR="00345E62" w:rsidRPr="00B25E57">
        <w:rPr>
          <w:lang w:val="es-ES_tradnl"/>
        </w:rPr>
        <w:t>).</w:t>
      </w:r>
    </w:p>
    <w:p w14:paraId="0F61D536" w14:textId="5C78893A" w:rsidR="00345E62" w:rsidRPr="00B25E57" w:rsidRDefault="004F1488" w:rsidP="00345E62">
      <w:pPr>
        <w:pStyle w:val="Heading1"/>
        <w:rPr>
          <w:lang w:val="es-ES_tradnl"/>
        </w:rPr>
      </w:pPr>
      <w:r>
        <w:rPr>
          <w:lang w:val="es-ES_tradnl"/>
        </w:rPr>
        <w:t xml:space="preserve">El </w:t>
      </w:r>
      <w:r w:rsidRPr="004F1488">
        <w:rPr>
          <w:lang w:val="es-ES_tradnl"/>
        </w:rPr>
        <w:t>Cuadro 8</w:t>
      </w:r>
      <w:r w:rsidR="00B766D9">
        <w:rPr>
          <w:lang w:val="es-ES_tradnl"/>
        </w:rPr>
        <w:t xml:space="preserve"> </w:t>
      </w:r>
      <w:r w:rsidR="00767E5F">
        <w:rPr>
          <w:lang w:val="es-ES_tradnl"/>
        </w:rPr>
        <w:t>resume la revisión de</w:t>
      </w:r>
      <w:r w:rsidR="00B766D9">
        <w:rPr>
          <w:lang w:val="es-ES_tradnl"/>
        </w:rPr>
        <w:t xml:space="preserve"> </w:t>
      </w:r>
      <w:r w:rsidR="00AA23DB">
        <w:rPr>
          <w:lang w:val="es-ES_tradnl"/>
        </w:rPr>
        <w:t xml:space="preserve">los </w:t>
      </w:r>
      <w:r w:rsidR="00FB38C2" w:rsidRPr="00B25E57">
        <w:rPr>
          <w:lang w:val="es-ES_tradnl"/>
        </w:rPr>
        <w:t>sobrecostos</w:t>
      </w:r>
      <w:r w:rsidR="003A46A1" w:rsidRPr="00B25E57">
        <w:rPr>
          <w:lang w:val="es-ES_tradnl"/>
        </w:rPr>
        <w:t xml:space="preserve"> </w:t>
      </w:r>
      <w:r w:rsidR="00AA23DB">
        <w:rPr>
          <w:lang w:val="es-ES_tradnl"/>
        </w:rPr>
        <w:t xml:space="preserve">de </w:t>
      </w:r>
      <w:r w:rsidR="003B2AF3">
        <w:rPr>
          <w:lang w:val="es-ES_tradnl"/>
        </w:rPr>
        <w:t>reacondicionar</w:t>
      </w:r>
      <w:r w:rsidR="003A46A1" w:rsidRPr="00B25E57">
        <w:rPr>
          <w:lang w:val="es-ES_tradnl"/>
        </w:rPr>
        <w:t xml:space="preserve"> </w:t>
      </w:r>
      <w:r w:rsidR="00C95B4F">
        <w:rPr>
          <w:lang w:val="es-ES_tradnl"/>
        </w:rPr>
        <w:t>el incinerador</w:t>
      </w:r>
      <w:r w:rsidR="00302004" w:rsidRPr="00B25E57">
        <w:rPr>
          <w:lang w:val="es-ES_tradnl"/>
        </w:rPr>
        <w:t>.</w:t>
      </w:r>
    </w:p>
    <w:p w14:paraId="373D34B6" w14:textId="33BB8C8C" w:rsidR="00345E62" w:rsidRPr="00B25E57" w:rsidRDefault="00FB38C2" w:rsidP="00345E62">
      <w:pPr>
        <w:rPr>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FB2311" w:rsidRPr="00B25E57">
        <w:rPr>
          <w:b/>
          <w:sz w:val="21"/>
          <w:szCs w:val="21"/>
          <w:lang w:val="es-ES_tradnl"/>
        </w:rPr>
        <w:t>8</w:t>
      </w:r>
      <w:r w:rsidR="00345E62" w:rsidRPr="00B25E57">
        <w:rPr>
          <w:b/>
          <w:sz w:val="21"/>
          <w:szCs w:val="21"/>
          <w:lang w:val="es-ES_tradnl"/>
        </w:rPr>
        <w:t>.</w:t>
      </w:r>
      <w:r w:rsidR="003A46A1" w:rsidRPr="00B25E57">
        <w:rPr>
          <w:b/>
          <w:sz w:val="21"/>
          <w:szCs w:val="21"/>
          <w:lang w:val="es-ES_tradnl"/>
        </w:rPr>
        <w:t xml:space="preserve"> </w:t>
      </w:r>
      <w:r w:rsidRPr="00B25E57">
        <w:rPr>
          <w:b/>
          <w:sz w:val="21"/>
          <w:szCs w:val="21"/>
          <w:lang w:val="es-ES_tradnl"/>
        </w:rPr>
        <w:t>Sobrecostos</w:t>
      </w:r>
      <w:r w:rsidR="003A46A1" w:rsidRPr="00B25E57">
        <w:rPr>
          <w:b/>
          <w:sz w:val="21"/>
          <w:szCs w:val="21"/>
          <w:lang w:val="es-ES_tradnl"/>
        </w:rPr>
        <w:t xml:space="preserve"> </w:t>
      </w:r>
      <w:r w:rsidRPr="00B25E57">
        <w:rPr>
          <w:b/>
          <w:sz w:val="21"/>
          <w:szCs w:val="21"/>
          <w:lang w:val="es-ES_tradnl"/>
        </w:rPr>
        <w:t>de</w:t>
      </w:r>
      <w:r w:rsidR="003A46A1" w:rsidRPr="00B25E57">
        <w:rPr>
          <w:b/>
          <w:sz w:val="21"/>
          <w:szCs w:val="21"/>
          <w:lang w:val="es-ES_tradnl"/>
        </w:rPr>
        <w:t xml:space="preserve"> </w:t>
      </w:r>
      <w:r w:rsidRPr="00B25E57">
        <w:rPr>
          <w:b/>
          <w:sz w:val="21"/>
          <w:szCs w:val="21"/>
          <w:lang w:val="es-ES_tradnl"/>
        </w:rPr>
        <w:t>capital</w:t>
      </w:r>
      <w:r w:rsidR="003A46A1" w:rsidRPr="00B25E57">
        <w:rPr>
          <w:b/>
          <w:sz w:val="21"/>
          <w:szCs w:val="21"/>
          <w:lang w:val="es-ES_tradnl"/>
        </w:rPr>
        <w:t xml:space="preserve"> </w:t>
      </w:r>
      <w:r w:rsidR="00822F27">
        <w:rPr>
          <w:b/>
          <w:sz w:val="21"/>
          <w:szCs w:val="21"/>
          <w:lang w:val="es-ES_tradnl"/>
        </w:rPr>
        <w:t>para</w:t>
      </w:r>
      <w:r w:rsidR="003A46A1" w:rsidRPr="00B25E57">
        <w:rPr>
          <w:b/>
          <w:sz w:val="21"/>
          <w:szCs w:val="21"/>
          <w:lang w:val="es-ES_tradnl"/>
        </w:rPr>
        <w:t xml:space="preserve"> </w:t>
      </w:r>
      <w:r w:rsidR="00572E2E">
        <w:rPr>
          <w:b/>
          <w:sz w:val="21"/>
          <w:szCs w:val="21"/>
          <w:lang w:val="es-ES_tradnl"/>
        </w:rPr>
        <w:t>reacondicionamiento</w:t>
      </w:r>
      <w:r w:rsidR="003B2AF3">
        <w:rPr>
          <w:b/>
          <w:sz w:val="21"/>
          <w:szCs w:val="21"/>
          <w:lang w:val="es-ES_tradnl"/>
        </w:rPr>
        <w:t xml:space="preserve"> del incinerador</w:t>
      </w:r>
    </w:p>
    <w:tbl>
      <w:tblPr>
        <w:tblW w:w="5059" w:type="pct"/>
        <w:tblInd w:w="-110" w:type="dxa"/>
        <w:tblLayout w:type="fixed"/>
        <w:tblCellMar>
          <w:left w:w="0" w:type="dxa"/>
          <w:right w:w="0" w:type="dxa"/>
        </w:tblCellMar>
        <w:tblLook w:val="04A0" w:firstRow="1" w:lastRow="0" w:firstColumn="1" w:lastColumn="0" w:noHBand="0" w:noVBand="1"/>
      </w:tblPr>
      <w:tblGrid>
        <w:gridCol w:w="5645"/>
        <w:gridCol w:w="1701"/>
        <w:gridCol w:w="2135"/>
      </w:tblGrid>
      <w:tr w:rsidR="001021C8" w:rsidRPr="00B25E57" w14:paraId="1F43B5BA" w14:textId="77777777" w:rsidTr="001021C8">
        <w:trPr>
          <w:tblHeader/>
        </w:trPr>
        <w:tc>
          <w:tcPr>
            <w:tcW w:w="2977" w:type="pct"/>
            <w:tcBorders>
              <w:top w:val="single" w:sz="4" w:space="0" w:color="auto"/>
              <w:left w:val="single" w:sz="4" w:space="0" w:color="auto"/>
              <w:bottom w:val="single" w:sz="4" w:space="0" w:color="auto"/>
              <w:right w:val="single" w:sz="4" w:space="0" w:color="auto"/>
            </w:tcBorders>
            <w:vAlign w:val="bottom"/>
          </w:tcPr>
          <w:p w14:paraId="1DA64B24" w14:textId="1DAA8D09" w:rsidR="004B3083" w:rsidRPr="00B25E57" w:rsidRDefault="004B3083" w:rsidP="003B2BCA">
            <w:pPr>
              <w:jc w:val="center"/>
              <w:rPr>
                <w:b/>
                <w:bCs/>
                <w:color w:val="000000"/>
                <w:sz w:val="20"/>
                <w:szCs w:val="20"/>
                <w:lang w:val="es-ES_tradnl"/>
              </w:rPr>
            </w:pPr>
            <w:r w:rsidRPr="00B25E57">
              <w:rPr>
                <w:b/>
                <w:bCs/>
                <w:color w:val="000000"/>
                <w:sz w:val="21"/>
                <w:szCs w:val="21"/>
                <w:lang w:val="es-ES_tradnl"/>
              </w:rPr>
              <w:t>Descripción</w:t>
            </w:r>
          </w:p>
        </w:tc>
        <w:tc>
          <w:tcPr>
            <w:tcW w:w="897" w:type="pct"/>
            <w:tcBorders>
              <w:top w:val="single" w:sz="4" w:space="0" w:color="auto"/>
              <w:left w:val="nil"/>
              <w:bottom w:val="single" w:sz="4" w:space="0" w:color="auto"/>
              <w:right w:val="single" w:sz="4" w:space="0" w:color="auto"/>
            </w:tcBorders>
          </w:tcPr>
          <w:p w14:paraId="45F37525" w14:textId="2B848F91" w:rsidR="004B3083" w:rsidRPr="00B25E57" w:rsidRDefault="004B3083" w:rsidP="003B2BCA">
            <w:pPr>
              <w:jc w:val="center"/>
              <w:rPr>
                <w:b/>
                <w:sz w:val="20"/>
                <w:szCs w:val="20"/>
                <w:lang w:val="es-ES_tradnl"/>
              </w:rPr>
            </w:pPr>
            <w:r>
              <w:rPr>
                <w:b/>
                <w:sz w:val="20"/>
                <w:szCs w:val="20"/>
                <w:lang w:val="es-ES_tradnl"/>
              </w:rPr>
              <w:t>Propuesto</w:t>
            </w:r>
            <w:r w:rsidRPr="00B25E57">
              <w:rPr>
                <w:b/>
                <w:sz w:val="20"/>
                <w:szCs w:val="20"/>
                <w:lang w:val="es-ES_tradnl"/>
              </w:rPr>
              <w:t xml:space="preserve"> ($EUA)</w:t>
            </w:r>
          </w:p>
        </w:tc>
        <w:tc>
          <w:tcPr>
            <w:tcW w:w="1126" w:type="pct"/>
            <w:tcBorders>
              <w:top w:val="single" w:sz="4" w:space="0" w:color="auto"/>
              <w:left w:val="single" w:sz="4" w:space="0" w:color="auto"/>
              <w:bottom w:val="single" w:sz="4" w:space="0" w:color="auto"/>
              <w:right w:val="single" w:sz="4" w:space="0" w:color="auto"/>
            </w:tcBorders>
          </w:tcPr>
          <w:p w14:paraId="27E1DF64" w14:textId="1BD2C2FC" w:rsidR="004B3083" w:rsidRPr="00B25E57" w:rsidRDefault="004B3083" w:rsidP="003B2BCA">
            <w:pPr>
              <w:jc w:val="center"/>
              <w:rPr>
                <w:b/>
                <w:bCs/>
                <w:color w:val="000000"/>
                <w:sz w:val="20"/>
                <w:szCs w:val="20"/>
                <w:lang w:val="es-ES_tradnl"/>
              </w:rPr>
            </w:pPr>
            <w:r w:rsidRPr="00B25E57">
              <w:rPr>
                <w:b/>
                <w:bCs/>
                <w:color w:val="000000"/>
                <w:sz w:val="20"/>
                <w:szCs w:val="20"/>
                <w:lang w:val="es-ES_tradnl"/>
              </w:rPr>
              <w:t>Secretaría ($EUA)</w:t>
            </w:r>
          </w:p>
        </w:tc>
      </w:tr>
      <w:tr w:rsidR="001021C8" w:rsidRPr="00B25E57" w14:paraId="76CAFA44" w14:textId="77777777" w:rsidTr="001021C8">
        <w:tc>
          <w:tcPr>
            <w:tcW w:w="2977" w:type="pct"/>
            <w:tcBorders>
              <w:top w:val="nil"/>
              <w:left w:val="single" w:sz="4" w:space="0" w:color="auto"/>
              <w:bottom w:val="single" w:sz="4" w:space="0" w:color="auto"/>
              <w:right w:val="single" w:sz="4" w:space="0" w:color="auto"/>
            </w:tcBorders>
            <w:vAlign w:val="bottom"/>
          </w:tcPr>
          <w:p w14:paraId="22237509" w14:textId="32F146DF" w:rsidR="004B3083" w:rsidRPr="00B25E57" w:rsidRDefault="004B3083" w:rsidP="003B2BCA">
            <w:pPr>
              <w:jc w:val="left"/>
              <w:rPr>
                <w:b/>
                <w:bCs/>
                <w:color w:val="000000"/>
                <w:sz w:val="20"/>
                <w:szCs w:val="20"/>
                <w:lang w:val="es-ES_tradnl"/>
              </w:rPr>
            </w:pPr>
            <w:r w:rsidRPr="00B25E57">
              <w:rPr>
                <w:b/>
                <w:bCs/>
                <w:color w:val="000000"/>
                <w:sz w:val="21"/>
                <w:szCs w:val="21"/>
                <w:lang w:val="es-ES_tradnl"/>
              </w:rPr>
              <w:t>Costo de capital</w:t>
            </w:r>
          </w:p>
        </w:tc>
        <w:tc>
          <w:tcPr>
            <w:tcW w:w="897" w:type="pct"/>
            <w:tcBorders>
              <w:top w:val="single" w:sz="4" w:space="0" w:color="auto"/>
              <w:left w:val="nil"/>
              <w:bottom w:val="single" w:sz="4" w:space="0" w:color="auto"/>
              <w:right w:val="single" w:sz="4" w:space="0" w:color="auto"/>
            </w:tcBorders>
          </w:tcPr>
          <w:p w14:paraId="176A285B" w14:textId="77777777" w:rsidR="004B3083" w:rsidRPr="00B25E57" w:rsidRDefault="004B3083" w:rsidP="003B2BCA">
            <w:pPr>
              <w:jc w:val="right"/>
              <w:rPr>
                <w:sz w:val="20"/>
                <w:szCs w:val="20"/>
                <w:lang w:val="es-ES_tradnl"/>
              </w:rPr>
            </w:pPr>
          </w:p>
        </w:tc>
        <w:tc>
          <w:tcPr>
            <w:tcW w:w="1126" w:type="pct"/>
            <w:tcBorders>
              <w:top w:val="nil"/>
              <w:left w:val="single" w:sz="4" w:space="0" w:color="auto"/>
              <w:bottom w:val="single" w:sz="4" w:space="0" w:color="auto"/>
              <w:right w:val="single" w:sz="4" w:space="0" w:color="auto"/>
            </w:tcBorders>
          </w:tcPr>
          <w:p w14:paraId="5E9AE188" w14:textId="77777777" w:rsidR="004B3083" w:rsidRPr="00B25E57" w:rsidRDefault="004B3083" w:rsidP="003B2BCA">
            <w:pPr>
              <w:rPr>
                <w:b/>
                <w:bCs/>
                <w:color w:val="000000"/>
                <w:sz w:val="20"/>
                <w:szCs w:val="20"/>
                <w:lang w:val="es-ES_tradnl"/>
              </w:rPr>
            </w:pPr>
          </w:p>
        </w:tc>
      </w:tr>
      <w:tr w:rsidR="001021C8" w:rsidRPr="00B25E57" w14:paraId="768773FB" w14:textId="77777777" w:rsidTr="001021C8">
        <w:tc>
          <w:tcPr>
            <w:tcW w:w="2977" w:type="pct"/>
            <w:tcBorders>
              <w:top w:val="nil"/>
              <w:left w:val="single" w:sz="4" w:space="0" w:color="auto"/>
              <w:bottom w:val="single" w:sz="4" w:space="0" w:color="auto"/>
              <w:right w:val="single" w:sz="4" w:space="0" w:color="auto"/>
            </w:tcBorders>
            <w:vAlign w:val="bottom"/>
          </w:tcPr>
          <w:p w14:paraId="4EE70028" w14:textId="6D38A01E" w:rsidR="004B3083" w:rsidRPr="00B25E57" w:rsidRDefault="004B3083" w:rsidP="003B2BCA">
            <w:pPr>
              <w:jc w:val="left"/>
              <w:rPr>
                <w:color w:val="000000"/>
                <w:sz w:val="20"/>
                <w:szCs w:val="20"/>
                <w:lang w:val="es-ES_tradnl"/>
              </w:rPr>
            </w:pPr>
            <w:r w:rsidRPr="007406C4">
              <w:rPr>
                <w:color w:val="000000"/>
                <w:sz w:val="21"/>
                <w:szCs w:val="21"/>
                <w:lang w:val="es-ES_tradnl"/>
              </w:rPr>
              <w:t xml:space="preserve">SGL: </w:t>
            </w:r>
            <w:r>
              <w:rPr>
                <w:color w:val="000000"/>
                <w:sz w:val="21"/>
                <w:szCs w:val="21"/>
                <w:lang w:val="es-ES_tradnl"/>
              </w:rPr>
              <w:t>Reacondicionamiento del incinerador</w:t>
            </w:r>
          </w:p>
        </w:tc>
        <w:tc>
          <w:tcPr>
            <w:tcW w:w="897" w:type="pct"/>
            <w:tcBorders>
              <w:top w:val="single" w:sz="4" w:space="0" w:color="auto"/>
              <w:left w:val="nil"/>
              <w:bottom w:val="single" w:sz="4" w:space="0" w:color="auto"/>
              <w:right w:val="single" w:sz="4" w:space="0" w:color="auto"/>
            </w:tcBorders>
            <w:tcMar>
              <w:right w:w="360" w:type="dxa"/>
            </w:tcMar>
          </w:tcPr>
          <w:p w14:paraId="07E62477" w14:textId="14D51243" w:rsidR="004B3083" w:rsidRPr="00B25E57" w:rsidRDefault="004B3083" w:rsidP="00737973">
            <w:pPr>
              <w:jc w:val="right"/>
              <w:rPr>
                <w:sz w:val="20"/>
                <w:szCs w:val="20"/>
                <w:lang w:val="es-ES_tradnl"/>
              </w:rPr>
            </w:pPr>
            <w:r w:rsidRPr="00B25E57">
              <w:rPr>
                <w:sz w:val="20"/>
                <w:szCs w:val="20"/>
                <w:lang w:val="es-ES_tradnl"/>
              </w:rPr>
              <w:t>916.959</w:t>
            </w:r>
          </w:p>
        </w:tc>
        <w:tc>
          <w:tcPr>
            <w:tcW w:w="1126" w:type="pct"/>
            <w:tcBorders>
              <w:top w:val="nil"/>
              <w:left w:val="single" w:sz="4" w:space="0" w:color="auto"/>
              <w:bottom w:val="single" w:sz="4" w:space="0" w:color="auto"/>
              <w:right w:val="single" w:sz="4" w:space="0" w:color="auto"/>
            </w:tcBorders>
            <w:tcMar>
              <w:right w:w="360" w:type="dxa"/>
            </w:tcMar>
          </w:tcPr>
          <w:p w14:paraId="2311A22E" w14:textId="5272CF04" w:rsidR="004B3083" w:rsidRPr="00B25E57" w:rsidRDefault="004B3083" w:rsidP="00737973">
            <w:pPr>
              <w:jc w:val="right"/>
              <w:rPr>
                <w:color w:val="000000"/>
                <w:sz w:val="20"/>
                <w:szCs w:val="20"/>
                <w:lang w:val="es-ES_tradnl"/>
              </w:rPr>
            </w:pPr>
            <w:r w:rsidRPr="00B25E57">
              <w:rPr>
                <w:color w:val="000000"/>
                <w:sz w:val="20"/>
                <w:szCs w:val="20"/>
                <w:lang w:val="es-ES_tradnl"/>
              </w:rPr>
              <w:t>871.111</w:t>
            </w:r>
          </w:p>
        </w:tc>
      </w:tr>
      <w:tr w:rsidR="001021C8" w:rsidRPr="00B25E57" w14:paraId="3D7ADC86" w14:textId="77777777" w:rsidTr="001021C8">
        <w:tc>
          <w:tcPr>
            <w:tcW w:w="2977" w:type="pct"/>
            <w:tcBorders>
              <w:top w:val="nil"/>
              <w:left w:val="single" w:sz="4" w:space="0" w:color="auto"/>
              <w:bottom w:val="single" w:sz="4" w:space="0" w:color="auto"/>
              <w:right w:val="single" w:sz="4" w:space="0" w:color="auto"/>
            </w:tcBorders>
            <w:vAlign w:val="bottom"/>
          </w:tcPr>
          <w:p w14:paraId="3C70BA07" w14:textId="30638733" w:rsidR="004B3083" w:rsidRDefault="004B3083" w:rsidP="003B2BCA">
            <w:pPr>
              <w:jc w:val="left"/>
              <w:rPr>
                <w:color w:val="000000"/>
                <w:sz w:val="20"/>
                <w:szCs w:val="20"/>
                <w:lang w:val="es-ES_tradnl"/>
              </w:rPr>
            </w:pPr>
            <w:r>
              <w:rPr>
                <w:color w:val="000000"/>
                <w:sz w:val="21"/>
                <w:szCs w:val="21"/>
                <w:lang w:val="es-ES_tradnl"/>
              </w:rPr>
              <w:t>Adición de filtro de gases de salida</w:t>
            </w:r>
          </w:p>
        </w:tc>
        <w:tc>
          <w:tcPr>
            <w:tcW w:w="897" w:type="pct"/>
            <w:tcBorders>
              <w:top w:val="single" w:sz="4" w:space="0" w:color="auto"/>
              <w:left w:val="nil"/>
              <w:bottom w:val="single" w:sz="4" w:space="0" w:color="auto"/>
              <w:right w:val="single" w:sz="4" w:space="0" w:color="auto"/>
            </w:tcBorders>
            <w:tcMar>
              <w:right w:w="360" w:type="dxa"/>
            </w:tcMar>
          </w:tcPr>
          <w:p w14:paraId="5DE49216" w14:textId="7BD6DB0D" w:rsidR="004B3083" w:rsidRPr="00B25E57" w:rsidRDefault="004B3083" w:rsidP="00737973">
            <w:pPr>
              <w:jc w:val="right"/>
              <w:rPr>
                <w:sz w:val="20"/>
                <w:szCs w:val="20"/>
                <w:lang w:val="es-ES_tradnl"/>
              </w:rPr>
            </w:pPr>
            <w:r w:rsidRPr="00B25E57">
              <w:rPr>
                <w:sz w:val="20"/>
                <w:szCs w:val="20"/>
                <w:lang w:val="es-ES_tradnl"/>
              </w:rPr>
              <w:t>18.810</w:t>
            </w:r>
          </w:p>
        </w:tc>
        <w:tc>
          <w:tcPr>
            <w:tcW w:w="1126" w:type="pct"/>
            <w:tcBorders>
              <w:top w:val="nil"/>
              <w:left w:val="single" w:sz="4" w:space="0" w:color="auto"/>
              <w:bottom w:val="single" w:sz="4" w:space="0" w:color="auto"/>
              <w:right w:val="single" w:sz="4" w:space="0" w:color="auto"/>
            </w:tcBorders>
            <w:tcMar>
              <w:right w:w="360" w:type="dxa"/>
            </w:tcMar>
          </w:tcPr>
          <w:p w14:paraId="24C53B26" w14:textId="77777777" w:rsidR="004B3083" w:rsidRPr="00B25E57" w:rsidRDefault="004B3083" w:rsidP="00737973">
            <w:pPr>
              <w:jc w:val="right"/>
              <w:rPr>
                <w:color w:val="000000"/>
                <w:sz w:val="20"/>
                <w:szCs w:val="20"/>
                <w:lang w:val="es-ES_tradnl"/>
              </w:rPr>
            </w:pPr>
            <w:r w:rsidRPr="00B25E57">
              <w:rPr>
                <w:color w:val="000000"/>
                <w:sz w:val="20"/>
                <w:szCs w:val="20"/>
                <w:lang w:val="es-ES_tradnl"/>
              </w:rPr>
              <w:t>0</w:t>
            </w:r>
          </w:p>
        </w:tc>
      </w:tr>
      <w:tr w:rsidR="001021C8" w:rsidRPr="00B25E57" w14:paraId="03212039" w14:textId="77777777" w:rsidTr="001021C8">
        <w:tc>
          <w:tcPr>
            <w:tcW w:w="2977" w:type="pct"/>
            <w:tcBorders>
              <w:top w:val="nil"/>
              <w:left w:val="single" w:sz="4" w:space="0" w:color="auto"/>
              <w:bottom w:val="single" w:sz="4" w:space="0" w:color="auto"/>
              <w:right w:val="single" w:sz="4" w:space="0" w:color="auto"/>
            </w:tcBorders>
            <w:vAlign w:val="bottom"/>
          </w:tcPr>
          <w:p w14:paraId="727F2083" w14:textId="1AF36E2F" w:rsidR="004B3083" w:rsidRPr="00B25E57" w:rsidRDefault="00B31C4E" w:rsidP="003B2BCA">
            <w:pPr>
              <w:jc w:val="left"/>
              <w:rPr>
                <w:color w:val="000000"/>
                <w:sz w:val="20"/>
                <w:szCs w:val="20"/>
                <w:lang w:val="es-ES_tradnl"/>
              </w:rPr>
            </w:pPr>
            <w:r>
              <w:rPr>
                <w:color w:val="000000"/>
                <w:sz w:val="21"/>
                <w:szCs w:val="21"/>
                <w:lang w:val="es-ES_tradnl"/>
              </w:rPr>
              <w:t>Flete a Puerto de Buenos Aires</w:t>
            </w:r>
            <w:r w:rsidR="004B3083" w:rsidRPr="00B25E57">
              <w:rPr>
                <w:color w:val="000000"/>
                <w:sz w:val="21"/>
                <w:szCs w:val="21"/>
                <w:lang w:val="es-ES_tradnl"/>
              </w:rPr>
              <w:t xml:space="preserve"> y</w:t>
            </w:r>
            <w:r w:rsidR="004B3083">
              <w:rPr>
                <w:color w:val="000000"/>
                <w:sz w:val="21"/>
                <w:szCs w:val="21"/>
                <w:lang w:val="es-ES_tradnl"/>
              </w:rPr>
              <w:t xml:space="preserve"> </w:t>
            </w:r>
            <w:r w:rsidR="004B3083" w:rsidRPr="00B25E57">
              <w:rPr>
                <w:color w:val="000000"/>
                <w:sz w:val="21"/>
                <w:szCs w:val="21"/>
                <w:lang w:val="es-ES_tradnl"/>
              </w:rPr>
              <w:t>FIASA</w:t>
            </w:r>
          </w:p>
        </w:tc>
        <w:tc>
          <w:tcPr>
            <w:tcW w:w="897" w:type="pct"/>
            <w:tcBorders>
              <w:top w:val="single" w:sz="4" w:space="0" w:color="auto"/>
              <w:left w:val="nil"/>
              <w:bottom w:val="single" w:sz="4" w:space="0" w:color="auto"/>
              <w:right w:val="single" w:sz="4" w:space="0" w:color="auto"/>
            </w:tcBorders>
            <w:tcMar>
              <w:right w:w="360" w:type="dxa"/>
            </w:tcMar>
          </w:tcPr>
          <w:p w14:paraId="75F7E160" w14:textId="4465F6C3" w:rsidR="004B3083" w:rsidRPr="00B25E57" w:rsidRDefault="004B3083" w:rsidP="00737973">
            <w:pPr>
              <w:jc w:val="right"/>
              <w:rPr>
                <w:sz w:val="20"/>
                <w:szCs w:val="20"/>
                <w:lang w:val="es-ES_tradnl"/>
              </w:rPr>
            </w:pPr>
            <w:r w:rsidRPr="00B25E57">
              <w:rPr>
                <w:sz w:val="20"/>
                <w:szCs w:val="20"/>
                <w:lang w:val="es-ES_tradnl"/>
              </w:rPr>
              <w:t>30.000</w:t>
            </w:r>
          </w:p>
        </w:tc>
        <w:tc>
          <w:tcPr>
            <w:tcW w:w="1126" w:type="pct"/>
            <w:tcBorders>
              <w:top w:val="nil"/>
              <w:left w:val="single" w:sz="4" w:space="0" w:color="auto"/>
              <w:bottom w:val="single" w:sz="4" w:space="0" w:color="auto"/>
              <w:right w:val="single" w:sz="4" w:space="0" w:color="auto"/>
            </w:tcBorders>
            <w:tcMar>
              <w:right w:w="360" w:type="dxa"/>
            </w:tcMar>
          </w:tcPr>
          <w:p w14:paraId="418E1750" w14:textId="3B1E2806" w:rsidR="004B3083" w:rsidRPr="00B25E57" w:rsidRDefault="004B3083" w:rsidP="00737973">
            <w:pPr>
              <w:jc w:val="right"/>
              <w:rPr>
                <w:color w:val="000000"/>
                <w:sz w:val="20"/>
                <w:szCs w:val="20"/>
                <w:lang w:val="es-ES_tradnl"/>
              </w:rPr>
            </w:pPr>
            <w:r w:rsidRPr="00B25E57">
              <w:rPr>
                <w:color w:val="000000"/>
                <w:sz w:val="20"/>
                <w:szCs w:val="20"/>
                <w:lang w:val="es-ES_tradnl"/>
              </w:rPr>
              <w:t>30.000</w:t>
            </w:r>
          </w:p>
        </w:tc>
      </w:tr>
      <w:tr w:rsidR="001021C8" w:rsidRPr="00B25E57" w14:paraId="490DEA80" w14:textId="77777777" w:rsidTr="001021C8">
        <w:tc>
          <w:tcPr>
            <w:tcW w:w="2977" w:type="pct"/>
            <w:tcBorders>
              <w:top w:val="nil"/>
              <w:left w:val="single" w:sz="4" w:space="0" w:color="auto"/>
              <w:bottom w:val="single" w:sz="4" w:space="0" w:color="auto"/>
              <w:right w:val="single" w:sz="4" w:space="0" w:color="auto"/>
            </w:tcBorders>
            <w:vAlign w:val="bottom"/>
          </w:tcPr>
          <w:p w14:paraId="6E619A3B" w14:textId="63709F1D" w:rsidR="004B3083" w:rsidRPr="00B25E57" w:rsidRDefault="005F53F7" w:rsidP="003B2BCA">
            <w:pPr>
              <w:jc w:val="left"/>
              <w:rPr>
                <w:color w:val="000000"/>
                <w:sz w:val="20"/>
                <w:szCs w:val="20"/>
                <w:lang w:val="es-ES_tradnl"/>
              </w:rPr>
            </w:pPr>
            <w:r>
              <w:rPr>
                <w:color w:val="000000"/>
                <w:sz w:val="21"/>
                <w:szCs w:val="21"/>
                <w:lang w:val="es-ES_tradnl"/>
              </w:rPr>
              <w:t>SGL: Supervisar instalación</w:t>
            </w:r>
            <w:r w:rsidR="004B3083">
              <w:rPr>
                <w:color w:val="000000"/>
                <w:sz w:val="21"/>
                <w:szCs w:val="21"/>
                <w:lang w:val="es-ES_tradnl"/>
              </w:rPr>
              <w:t xml:space="preserve"> y puesta en marcha</w:t>
            </w:r>
          </w:p>
        </w:tc>
        <w:tc>
          <w:tcPr>
            <w:tcW w:w="897" w:type="pct"/>
            <w:tcBorders>
              <w:top w:val="single" w:sz="4" w:space="0" w:color="auto"/>
              <w:left w:val="nil"/>
              <w:bottom w:val="single" w:sz="4" w:space="0" w:color="auto"/>
              <w:right w:val="single" w:sz="4" w:space="0" w:color="auto"/>
            </w:tcBorders>
            <w:tcMar>
              <w:right w:w="360" w:type="dxa"/>
            </w:tcMar>
          </w:tcPr>
          <w:p w14:paraId="622BA80D" w14:textId="06FD03A2" w:rsidR="004B3083" w:rsidRPr="00B25E57" w:rsidRDefault="004B3083" w:rsidP="00737973">
            <w:pPr>
              <w:jc w:val="right"/>
              <w:rPr>
                <w:sz w:val="20"/>
                <w:szCs w:val="20"/>
                <w:lang w:val="es-ES_tradnl"/>
              </w:rPr>
            </w:pPr>
            <w:r w:rsidRPr="00B25E57">
              <w:rPr>
                <w:sz w:val="20"/>
                <w:szCs w:val="20"/>
                <w:lang w:val="es-ES_tradnl"/>
              </w:rPr>
              <w:t>75.240</w:t>
            </w:r>
          </w:p>
        </w:tc>
        <w:tc>
          <w:tcPr>
            <w:tcW w:w="1126" w:type="pct"/>
            <w:tcBorders>
              <w:top w:val="nil"/>
              <w:left w:val="single" w:sz="4" w:space="0" w:color="auto"/>
              <w:bottom w:val="single" w:sz="4" w:space="0" w:color="auto"/>
              <w:right w:val="single" w:sz="4" w:space="0" w:color="auto"/>
            </w:tcBorders>
            <w:tcMar>
              <w:right w:w="360" w:type="dxa"/>
            </w:tcMar>
          </w:tcPr>
          <w:p w14:paraId="3FDAD443" w14:textId="2766C927" w:rsidR="004B3083" w:rsidRPr="00B25E57" w:rsidRDefault="004B3083" w:rsidP="00737973">
            <w:pPr>
              <w:jc w:val="right"/>
              <w:rPr>
                <w:color w:val="000000"/>
                <w:sz w:val="20"/>
                <w:szCs w:val="20"/>
                <w:lang w:val="es-ES_tradnl"/>
              </w:rPr>
            </w:pPr>
            <w:r w:rsidRPr="00B25E57">
              <w:rPr>
                <w:color w:val="000000"/>
                <w:sz w:val="20"/>
                <w:szCs w:val="20"/>
                <w:lang w:val="es-ES_tradnl"/>
              </w:rPr>
              <w:t>64.467</w:t>
            </w:r>
          </w:p>
        </w:tc>
      </w:tr>
      <w:tr w:rsidR="001021C8" w:rsidRPr="00B25E57" w14:paraId="175372C5" w14:textId="77777777" w:rsidTr="001021C8">
        <w:tc>
          <w:tcPr>
            <w:tcW w:w="2977" w:type="pct"/>
            <w:tcBorders>
              <w:top w:val="nil"/>
              <w:left w:val="single" w:sz="4" w:space="0" w:color="auto"/>
              <w:bottom w:val="single" w:sz="4" w:space="0" w:color="auto"/>
              <w:right w:val="single" w:sz="4" w:space="0" w:color="auto"/>
            </w:tcBorders>
            <w:vAlign w:val="bottom"/>
          </w:tcPr>
          <w:p w14:paraId="4F1026DC" w14:textId="74F22698" w:rsidR="004B3083" w:rsidRPr="00B25E57" w:rsidRDefault="00483097" w:rsidP="003B2BCA">
            <w:pPr>
              <w:jc w:val="left"/>
              <w:rPr>
                <w:color w:val="000000"/>
                <w:sz w:val="20"/>
                <w:szCs w:val="20"/>
                <w:lang w:val="es-ES_tradnl"/>
              </w:rPr>
            </w:pPr>
            <w:r>
              <w:rPr>
                <w:color w:val="000000"/>
                <w:sz w:val="21"/>
                <w:szCs w:val="21"/>
                <w:lang w:val="es-ES_tradnl"/>
              </w:rPr>
              <w:t>Obras en FIASA</w:t>
            </w:r>
          </w:p>
        </w:tc>
        <w:tc>
          <w:tcPr>
            <w:tcW w:w="897" w:type="pct"/>
            <w:tcBorders>
              <w:top w:val="single" w:sz="4" w:space="0" w:color="auto"/>
              <w:left w:val="nil"/>
              <w:bottom w:val="single" w:sz="4" w:space="0" w:color="auto"/>
              <w:right w:val="single" w:sz="4" w:space="0" w:color="auto"/>
            </w:tcBorders>
            <w:tcMar>
              <w:right w:w="360" w:type="dxa"/>
            </w:tcMar>
          </w:tcPr>
          <w:p w14:paraId="7102A199" w14:textId="6198027C" w:rsidR="004B3083" w:rsidRPr="00B25E57" w:rsidRDefault="004B3083" w:rsidP="00737973">
            <w:pPr>
              <w:jc w:val="right"/>
              <w:rPr>
                <w:sz w:val="20"/>
                <w:szCs w:val="20"/>
                <w:lang w:val="es-ES_tradnl"/>
              </w:rPr>
            </w:pPr>
            <w:r w:rsidRPr="00B25E57">
              <w:rPr>
                <w:sz w:val="20"/>
                <w:szCs w:val="20"/>
                <w:lang w:val="es-ES_tradnl"/>
              </w:rPr>
              <w:t>102.600</w:t>
            </w:r>
          </w:p>
        </w:tc>
        <w:tc>
          <w:tcPr>
            <w:tcW w:w="1126" w:type="pct"/>
            <w:tcBorders>
              <w:top w:val="nil"/>
              <w:left w:val="single" w:sz="4" w:space="0" w:color="auto"/>
              <w:bottom w:val="single" w:sz="4" w:space="0" w:color="auto"/>
              <w:right w:val="single" w:sz="4" w:space="0" w:color="auto"/>
            </w:tcBorders>
            <w:tcMar>
              <w:right w:w="360" w:type="dxa"/>
            </w:tcMar>
          </w:tcPr>
          <w:p w14:paraId="0CFE6ACA" w14:textId="61E6F02B" w:rsidR="004B3083" w:rsidRPr="00B25E57" w:rsidRDefault="004B3083" w:rsidP="00737973">
            <w:pPr>
              <w:jc w:val="right"/>
              <w:rPr>
                <w:color w:val="000000"/>
                <w:sz w:val="20"/>
                <w:szCs w:val="20"/>
                <w:lang w:val="es-ES_tradnl"/>
              </w:rPr>
            </w:pPr>
            <w:r w:rsidRPr="00B25E57">
              <w:rPr>
                <w:color w:val="000000"/>
                <w:sz w:val="20"/>
                <w:szCs w:val="20"/>
                <w:lang w:val="es-ES_tradnl"/>
              </w:rPr>
              <w:t>51.300</w:t>
            </w:r>
          </w:p>
        </w:tc>
      </w:tr>
      <w:tr w:rsidR="001021C8" w:rsidRPr="00B25E57" w14:paraId="5F922453" w14:textId="77777777" w:rsidTr="001021C8">
        <w:tc>
          <w:tcPr>
            <w:tcW w:w="2977" w:type="pct"/>
            <w:tcBorders>
              <w:top w:val="nil"/>
              <w:left w:val="single" w:sz="4" w:space="0" w:color="auto"/>
              <w:bottom w:val="single" w:sz="4" w:space="0" w:color="auto"/>
              <w:right w:val="single" w:sz="4" w:space="0" w:color="auto"/>
            </w:tcBorders>
            <w:vAlign w:val="bottom"/>
          </w:tcPr>
          <w:p w14:paraId="24344F1F" w14:textId="548609F5" w:rsidR="004B3083" w:rsidRPr="00B25E57" w:rsidRDefault="004B3083" w:rsidP="003B2BCA">
            <w:pPr>
              <w:jc w:val="left"/>
              <w:rPr>
                <w:color w:val="000000"/>
                <w:sz w:val="20"/>
                <w:szCs w:val="20"/>
                <w:lang w:val="es-ES_tradnl"/>
              </w:rPr>
            </w:pPr>
            <w:r w:rsidRPr="00B25E57">
              <w:rPr>
                <w:color w:val="000000"/>
                <w:sz w:val="21"/>
                <w:szCs w:val="21"/>
                <w:lang w:val="es-ES_tradnl"/>
              </w:rPr>
              <w:t>Imprevistos (10%)</w:t>
            </w:r>
          </w:p>
        </w:tc>
        <w:tc>
          <w:tcPr>
            <w:tcW w:w="897" w:type="pct"/>
            <w:tcBorders>
              <w:top w:val="single" w:sz="4" w:space="0" w:color="auto"/>
              <w:left w:val="nil"/>
              <w:bottom w:val="single" w:sz="4" w:space="0" w:color="auto"/>
              <w:right w:val="single" w:sz="4" w:space="0" w:color="auto"/>
            </w:tcBorders>
            <w:tcMar>
              <w:right w:w="360" w:type="dxa"/>
            </w:tcMar>
          </w:tcPr>
          <w:p w14:paraId="3883C36B" w14:textId="005F7946" w:rsidR="004B3083" w:rsidRPr="00B25E57" w:rsidRDefault="004B3083" w:rsidP="00737973">
            <w:pPr>
              <w:jc w:val="right"/>
              <w:rPr>
                <w:sz w:val="20"/>
                <w:szCs w:val="20"/>
                <w:lang w:val="es-ES_tradnl"/>
              </w:rPr>
            </w:pPr>
            <w:r w:rsidRPr="00B25E57">
              <w:rPr>
                <w:sz w:val="20"/>
                <w:szCs w:val="20"/>
                <w:lang w:val="es-ES_tradnl"/>
              </w:rPr>
              <w:t>114.361</w:t>
            </w:r>
          </w:p>
        </w:tc>
        <w:tc>
          <w:tcPr>
            <w:tcW w:w="1126" w:type="pct"/>
            <w:tcBorders>
              <w:top w:val="nil"/>
              <w:left w:val="single" w:sz="4" w:space="0" w:color="auto"/>
              <w:bottom w:val="single" w:sz="4" w:space="0" w:color="auto"/>
              <w:right w:val="single" w:sz="4" w:space="0" w:color="auto"/>
            </w:tcBorders>
            <w:tcMar>
              <w:right w:w="360" w:type="dxa"/>
            </w:tcMar>
          </w:tcPr>
          <w:p w14:paraId="31ECAC13" w14:textId="407C7939" w:rsidR="004B3083" w:rsidRPr="00B25E57" w:rsidRDefault="004B3083" w:rsidP="00737973">
            <w:pPr>
              <w:jc w:val="right"/>
              <w:rPr>
                <w:color w:val="000000"/>
                <w:sz w:val="20"/>
                <w:szCs w:val="20"/>
                <w:lang w:val="es-ES_tradnl"/>
              </w:rPr>
            </w:pPr>
            <w:r w:rsidRPr="00B25E57">
              <w:rPr>
                <w:color w:val="000000"/>
                <w:sz w:val="20"/>
                <w:szCs w:val="20"/>
                <w:lang w:val="es-ES_tradnl"/>
              </w:rPr>
              <w:t>101.688</w:t>
            </w:r>
          </w:p>
        </w:tc>
      </w:tr>
      <w:tr w:rsidR="001021C8" w:rsidRPr="00B25E57" w14:paraId="64E5F986" w14:textId="77777777" w:rsidTr="001021C8">
        <w:tc>
          <w:tcPr>
            <w:tcW w:w="2977" w:type="pct"/>
            <w:tcBorders>
              <w:top w:val="nil"/>
              <w:left w:val="single" w:sz="4" w:space="0" w:color="auto"/>
              <w:bottom w:val="single" w:sz="4" w:space="0" w:color="auto"/>
              <w:right w:val="single" w:sz="4" w:space="0" w:color="auto"/>
            </w:tcBorders>
            <w:vAlign w:val="bottom"/>
          </w:tcPr>
          <w:p w14:paraId="04325210" w14:textId="43027655" w:rsidR="004B3083" w:rsidRDefault="004B3083" w:rsidP="003B2BCA">
            <w:pPr>
              <w:jc w:val="left"/>
              <w:rPr>
                <w:color w:val="000000"/>
                <w:sz w:val="20"/>
                <w:szCs w:val="20"/>
                <w:lang w:val="es-ES_tradnl"/>
              </w:rPr>
            </w:pPr>
            <w:r>
              <w:rPr>
                <w:color w:val="000000"/>
                <w:sz w:val="21"/>
                <w:szCs w:val="21"/>
                <w:lang w:val="es-ES_tradnl"/>
              </w:rPr>
              <w:t>Zeolita</w:t>
            </w:r>
            <w:r w:rsidRPr="00B25E57">
              <w:rPr>
                <w:color w:val="000000"/>
                <w:sz w:val="21"/>
                <w:szCs w:val="21"/>
                <w:lang w:val="es-ES_tradnl"/>
              </w:rPr>
              <w:t xml:space="preserve"> </w:t>
            </w:r>
            <w:r>
              <w:rPr>
                <w:color w:val="000000"/>
                <w:sz w:val="21"/>
                <w:szCs w:val="21"/>
                <w:lang w:val="es-ES_tradnl"/>
              </w:rPr>
              <w:t>para</w:t>
            </w:r>
            <w:r w:rsidRPr="00B25E57">
              <w:rPr>
                <w:color w:val="000000"/>
                <w:sz w:val="21"/>
                <w:szCs w:val="21"/>
                <w:lang w:val="es-ES_tradnl"/>
              </w:rPr>
              <w:t xml:space="preserve"> </w:t>
            </w:r>
            <w:r>
              <w:rPr>
                <w:color w:val="000000"/>
                <w:sz w:val="21"/>
                <w:szCs w:val="21"/>
                <w:lang w:val="es-ES_tradnl"/>
              </w:rPr>
              <w:t>generador de oxígeno</w:t>
            </w:r>
          </w:p>
        </w:tc>
        <w:tc>
          <w:tcPr>
            <w:tcW w:w="897" w:type="pct"/>
            <w:tcBorders>
              <w:top w:val="single" w:sz="4" w:space="0" w:color="auto"/>
              <w:left w:val="nil"/>
              <w:bottom w:val="single" w:sz="4" w:space="0" w:color="auto"/>
              <w:right w:val="single" w:sz="4" w:space="0" w:color="auto"/>
            </w:tcBorders>
            <w:tcMar>
              <w:right w:w="360" w:type="dxa"/>
            </w:tcMar>
          </w:tcPr>
          <w:p w14:paraId="01A40741" w14:textId="792F38EF" w:rsidR="004B3083" w:rsidRPr="00B25E57" w:rsidRDefault="004B3083" w:rsidP="00737973">
            <w:pPr>
              <w:jc w:val="right"/>
              <w:rPr>
                <w:sz w:val="20"/>
                <w:szCs w:val="20"/>
                <w:lang w:val="es-ES_tradnl"/>
              </w:rPr>
            </w:pPr>
            <w:r w:rsidRPr="00B25E57">
              <w:rPr>
                <w:sz w:val="20"/>
                <w:szCs w:val="20"/>
                <w:lang w:val="es-ES_tradnl"/>
              </w:rPr>
              <w:t>55.800</w:t>
            </w:r>
          </w:p>
        </w:tc>
        <w:tc>
          <w:tcPr>
            <w:tcW w:w="1126" w:type="pct"/>
            <w:tcBorders>
              <w:top w:val="nil"/>
              <w:left w:val="single" w:sz="4" w:space="0" w:color="auto"/>
              <w:bottom w:val="single" w:sz="4" w:space="0" w:color="auto"/>
              <w:right w:val="single" w:sz="4" w:space="0" w:color="auto"/>
            </w:tcBorders>
            <w:tcMar>
              <w:right w:w="360" w:type="dxa"/>
            </w:tcMar>
          </w:tcPr>
          <w:p w14:paraId="0CB70921" w14:textId="77777777" w:rsidR="004B3083" w:rsidRPr="00B25E57" w:rsidRDefault="004B3083" w:rsidP="00737973">
            <w:pPr>
              <w:pStyle w:val="ListParagraph"/>
              <w:ind w:left="0"/>
              <w:jc w:val="right"/>
              <w:rPr>
                <w:color w:val="000000"/>
                <w:sz w:val="20"/>
                <w:szCs w:val="20"/>
                <w:lang w:val="es-ES_tradnl"/>
              </w:rPr>
            </w:pPr>
            <w:r w:rsidRPr="00B25E57">
              <w:rPr>
                <w:color w:val="000000"/>
                <w:sz w:val="20"/>
                <w:szCs w:val="20"/>
                <w:lang w:val="es-ES_tradnl"/>
              </w:rPr>
              <w:t>0</w:t>
            </w:r>
          </w:p>
        </w:tc>
      </w:tr>
      <w:tr w:rsidR="001021C8" w:rsidRPr="00B25E57" w14:paraId="596D0016" w14:textId="77777777" w:rsidTr="001021C8">
        <w:tc>
          <w:tcPr>
            <w:tcW w:w="2977" w:type="pct"/>
            <w:tcBorders>
              <w:top w:val="nil"/>
              <w:left w:val="single" w:sz="4" w:space="0" w:color="auto"/>
              <w:bottom w:val="single" w:sz="4" w:space="0" w:color="auto"/>
              <w:right w:val="single" w:sz="4" w:space="0" w:color="auto"/>
            </w:tcBorders>
            <w:vAlign w:val="bottom"/>
          </w:tcPr>
          <w:p w14:paraId="4DAF7B8C" w14:textId="2479D1E1" w:rsidR="004B3083" w:rsidRPr="00B25E57" w:rsidRDefault="002408E4" w:rsidP="003B2BCA">
            <w:pPr>
              <w:jc w:val="left"/>
              <w:rPr>
                <w:color w:val="000000"/>
                <w:sz w:val="20"/>
                <w:szCs w:val="20"/>
                <w:lang w:val="es-ES_tradnl"/>
              </w:rPr>
            </w:pPr>
            <w:r>
              <w:rPr>
                <w:color w:val="000000"/>
                <w:sz w:val="21"/>
                <w:szCs w:val="21"/>
                <w:lang w:val="es-ES_tradnl"/>
              </w:rPr>
              <w:t>Obras para alojar el tanque criogénico</w:t>
            </w:r>
          </w:p>
        </w:tc>
        <w:tc>
          <w:tcPr>
            <w:tcW w:w="897" w:type="pct"/>
            <w:tcBorders>
              <w:top w:val="single" w:sz="4" w:space="0" w:color="auto"/>
              <w:left w:val="nil"/>
              <w:bottom w:val="single" w:sz="4" w:space="0" w:color="auto"/>
              <w:right w:val="single" w:sz="4" w:space="0" w:color="auto"/>
            </w:tcBorders>
            <w:tcMar>
              <w:right w:w="360" w:type="dxa"/>
            </w:tcMar>
          </w:tcPr>
          <w:p w14:paraId="253EDF85" w14:textId="7F1B00FC" w:rsidR="004B3083" w:rsidRPr="00B25E57" w:rsidRDefault="004B3083" w:rsidP="00737973">
            <w:pPr>
              <w:jc w:val="right"/>
              <w:rPr>
                <w:sz w:val="20"/>
                <w:szCs w:val="20"/>
                <w:lang w:val="es-ES_tradnl"/>
              </w:rPr>
            </w:pPr>
            <w:r w:rsidRPr="00B25E57">
              <w:rPr>
                <w:sz w:val="20"/>
                <w:szCs w:val="20"/>
                <w:lang w:val="es-ES_tradnl"/>
              </w:rPr>
              <w:t>100.000</w:t>
            </w:r>
          </w:p>
        </w:tc>
        <w:tc>
          <w:tcPr>
            <w:tcW w:w="1126" w:type="pct"/>
            <w:tcBorders>
              <w:top w:val="nil"/>
              <w:left w:val="single" w:sz="4" w:space="0" w:color="auto"/>
              <w:bottom w:val="single" w:sz="4" w:space="0" w:color="auto"/>
              <w:right w:val="single" w:sz="4" w:space="0" w:color="auto"/>
            </w:tcBorders>
            <w:tcMar>
              <w:right w:w="360" w:type="dxa"/>
            </w:tcMar>
          </w:tcPr>
          <w:p w14:paraId="7811AED4" w14:textId="42016003" w:rsidR="004B3083" w:rsidRPr="00B25E57" w:rsidRDefault="004B3083" w:rsidP="00737973">
            <w:pPr>
              <w:jc w:val="right"/>
              <w:rPr>
                <w:color w:val="000000"/>
                <w:sz w:val="20"/>
                <w:szCs w:val="20"/>
                <w:lang w:val="es-ES_tradnl"/>
              </w:rPr>
            </w:pPr>
            <w:r w:rsidRPr="00B25E57">
              <w:rPr>
                <w:color w:val="000000"/>
                <w:sz w:val="20"/>
                <w:szCs w:val="20"/>
                <w:lang w:val="es-ES_tradnl"/>
              </w:rPr>
              <w:t>50.000</w:t>
            </w:r>
          </w:p>
        </w:tc>
      </w:tr>
      <w:tr w:rsidR="001021C8" w:rsidRPr="00B25E57" w14:paraId="6D379E66" w14:textId="77777777" w:rsidTr="001021C8">
        <w:tc>
          <w:tcPr>
            <w:tcW w:w="2977" w:type="pct"/>
            <w:tcBorders>
              <w:top w:val="nil"/>
              <w:left w:val="single" w:sz="4" w:space="0" w:color="auto"/>
              <w:bottom w:val="single" w:sz="4" w:space="0" w:color="auto"/>
              <w:right w:val="single" w:sz="4" w:space="0" w:color="auto"/>
            </w:tcBorders>
            <w:vAlign w:val="bottom"/>
          </w:tcPr>
          <w:p w14:paraId="4B893255" w14:textId="4BEE74CE" w:rsidR="004B3083" w:rsidRPr="00B25E57" w:rsidRDefault="004B3083" w:rsidP="003B2BCA">
            <w:pPr>
              <w:jc w:val="left"/>
              <w:rPr>
                <w:color w:val="000000"/>
                <w:sz w:val="20"/>
                <w:szCs w:val="20"/>
                <w:lang w:val="es-ES_tradnl"/>
              </w:rPr>
            </w:pPr>
            <w:r w:rsidRPr="00B25E57">
              <w:rPr>
                <w:color w:val="000000"/>
                <w:sz w:val="21"/>
                <w:szCs w:val="21"/>
                <w:lang w:val="es-ES_tradnl"/>
              </w:rPr>
              <w:t>Costo total de capital</w:t>
            </w:r>
          </w:p>
        </w:tc>
        <w:tc>
          <w:tcPr>
            <w:tcW w:w="897" w:type="pct"/>
            <w:tcBorders>
              <w:top w:val="single" w:sz="4" w:space="0" w:color="auto"/>
              <w:left w:val="nil"/>
              <w:bottom w:val="single" w:sz="4" w:space="0" w:color="auto"/>
              <w:right w:val="single" w:sz="4" w:space="0" w:color="auto"/>
            </w:tcBorders>
            <w:tcMar>
              <w:right w:w="360" w:type="dxa"/>
            </w:tcMar>
          </w:tcPr>
          <w:p w14:paraId="088706BD" w14:textId="1013862C" w:rsidR="004B3083" w:rsidRPr="00B25E57" w:rsidRDefault="004B3083" w:rsidP="00737973">
            <w:pPr>
              <w:jc w:val="right"/>
              <w:rPr>
                <w:sz w:val="20"/>
                <w:szCs w:val="20"/>
                <w:lang w:val="es-ES_tradnl"/>
              </w:rPr>
            </w:pPr>
            <w:r w:rsidRPr="00B25E57">
              <w:rPr>
                <w:sz w:val="20"/>
                <w:szCs w:val="20"/>
                <w:lang w:val="es-ES_tradnl"/>
              </w:rPr>
              <w:t>1.413.770</w:t>
            </w:r>
          </w:p>
        </w:tc>
        <w:tc>
          <w:tcPr>
            <w:tcW w:w="1126" w:type="pct"/>
            <w:tcBorders>
              <w:top w:val="nil"/>
              <w:left w:val="single" w:sz="4" w:space="0" w:color="auto"/>
              <w:bottom w:val="single" w:sz="4" w:space="0" w:color="auto"/>
              <w:right w:val="single" w:sz="4" w:space="0" w:color="auto"/>
            </w:tcBorders>
            <w:tcMar>
              <w:right w:w="360" w:type="dxa"/>
            </w:tcMar>
          </w:tcPr>
          <w:p w14:paraId="3F1A40E0" w14:textId="65C34BAC" w:rsidR="004B3083" w:rsidRPr="00B25E57" w:rsidRDefault="004B3083" w:rsidP="00737973">
            <w:pPr>
              <w:jc w:val="right"/>
              <w:rPr>
                <w:color w:val="000000"/>
                <w:sz w:val="20"/>
                <w:szCs w:val="20"/>
                <w:lang w:val="es-ES_tradnl"/>
              </w:rPr>
            </w:pPr>
            <w:r w:rsidRPr="00B25E57">
              <w:rPr>
                <w:color w:val="000000"/>
                <w:sz w:val="20"/>
                <w:szCs w:val="20"/>
                <w:lang w:val="es-ES_tradnl"/>
              </w:rPr>
              <w:t>1.168.566</w:t>
            </w:r>
          </w:p>
        </w:tc>
      </w:tr>
      <w:tr w:rsidR="001021C8" w:rsidRPr="00B25E57" w14:paraId="5BE0C564" w14:textId="77777777" w:rsidTr="001021C8">
        <w:tc>
          <w:tcPr>
            <w:tcW w:w="2977" w:type="pct"/>
            <w:tcBorders>
              <w:top w:val="nil"/>
              <w:left w:val="single" w:sz="4" w:space="0" w:color="auto"/>
              <w:bottom w:val="single" w:sz="4" w:space="0" w:color="auto"/>
              <w:right w:val="single" w:sz="4" w:space="0" w:color="auto"/>
            </w:tcBorders>
            <w:vAlign w:val="bottom"/>
          </w:tcPr>
          <w:p w14:paraId="2520D29D" w14:textId="1603F016" w:rsidR="004B3083" w:rsidRPr="00B25E57" w:rsidRDefault="004B3083" w:rsidP="003B2BCA">
            <w:pPr>
              <w:jc w:val="left"/>
              <w:rPr>
                <w:b/>
                <w:bCs/>
                <w:color w:val="000000"/>
                <w:sz w:val="20"/>
                <w:szCs w:val="20"/>
                <w:lang w:val="es-ES_tradnl"/>
              </w:rPr>
            </w:pPr>
            <w:r w:rsidRPr="00B25E57">
              <w:rPr>
                <w:b/>
                <w:bCs/>
                <w:color w:val="000000"/>
                <w:sz w:val="21"/>
                <w:szCs w:val="21"/>
                <w:lang w:val="es-ES_tradnl"/>
              </w:rPr>
              <w:t>Otros costos</w:t>
            </w:r>
          </w:p>
        </w:tc>
        <w:tc>
          <w:tcPr>
            <w:tcW w:w="897" w:type="pct"/>
            <w:tcBorders>
              <w:top w:val="single" w:sz="4" w:space="0" w:color="auto"/>
              <w:left w:val="nil"/>
              <w:bottom w:val="single" w:sz="4" w:space="0" w:color="auto"/>
              <w:right w:val="single" w:sz="4" w:space="0" w:color="auto"/>
            </w:tcBorders>
            <w:tcMar>
              <w:right w:w="360" w:type="dxa"/>
            </w:tcMar>
          </w:tcPr>
          <w:p w14:paraId="57F1DAD4" w14:textId="77777777" w:rsidR="004B3083" w:rsidRPr="00B25E57" w:rsidRDefault="004B3083" w:rsidP="00737973">
            <w:pPr>
              <w:jc w:val="right"/>
              <w:rPr>
                <w:sz w:val="20"/>
                <w:szCs w:val="20"/>
                <w:lang w:val="es-ES_tradnl"/>
              </w:rPr>
            </w:pPr>
          </w:p>
        </w:tc>
        <w:tc>
          <w:tcPr>
            <w:tcW w:w="1126" w:type="pct"/>
            <w:tcBorders>
              <w:top w:val="nil"/>
              <w:left w:val="single" w:sz="4" w:space="0" w:color="auto"/>
              <w:bottom w:val="single" w:sz="4" w:space="0" w:color="auto"/>
              <w:right w:val="single" w:sz="4" w:space="0" w:color="auto"/>
            </w:tcBorders>
            <w:tcMar>
              <w:right w:w="360" w:type="dxa"/>
            </w:tcMar>
          </w:tcPr>
          <w:p w14:paraId="7464D8DE" w14:textId="77777777" w:rsidR="004B3083" w:rsidRPr="00B25E57" w:rsidRDefault="004B3083" w:rsidP="00737973">
            <w:pPr>
              <w:jc w:val="right"/>
              <w:rPr>
                <w:color w:val="000000"/>
                <w:sz w:val="20"/>
                <w:szCs w:val="20"/>
                <w:lang w:val="es-ES_tradnl"/>
              </w:rPr>
            </w:pPr>
          </w:p>
        </w:tc>
      </w:tr>
      <w:tr w:rsidR="001021C8" w:rsidRPr="00B25E57" w14:paraId="7DF66AF0" w14:textId="77777777" w:rsidTr="001021C8">
        <w:tc>
          <w:tcPr>
            <w:tcW w:w="2977" w:type="pct"/>
            <w:tcBorders>
              <w:top w:val="nil"/>
              <w:left w:val="single" w:sz="4" w:space="0" w:color="auto"/>
              <w:bottom w:val="single" w:sz="4" w:space="0" w:color="auto"/>
              <w:right w:val="single" w:sz="4" w:space="0" w:color="auto"/>
            </w:tcBorders>
            <w:vAlign w:val="bottom"/>
          </w:tcPr>
          <w:p w14:paraId="6BB69917" w14:textId="301E2907" w:rsidR="004B3083" w:rsidRDefault="004B3083" w:rsidP="003B2BCA">
            <w:pPr>
              <w:jc w:val="left"/>
              <w:rPr>
                <w:color w:val="000000"/>
                <w:sz w:val="20"/>
                <w:szCs w:val="20"/>
                <w:lang w:val="es-ES_tradnl"/>
              </w:rPr>
            </w:pPr>
            <w:r>
              <w:rPr>
                <w:color w:val="000000"/>
                <w:sz w:val="21"/>
                <w:szCs w:val="21"/>
                <w:lang w:val="es-ES_tradnl"/>
              </w:rPr>
              <w:t>Indemnización por años de servicio a operarios del incinerador</w:t>
            </w:r>
          </w:p>
        </w:tc>
        <w:tc>
          <w:tcPr>
            <w:tcW w:w="897" w:type="pct"/>
            <w:tcBorders>
              <w:top w:val="single" w:sz="4" w:space="0" w:color="auto"/>
              <w:left w:val="nil"/>
              <w:bottom w:val="single" w:sz="4" w:space="0" w:color="auto"/>
              <w:right w:val="single" w:sz="4" w:space="0" w:color="auto"/>
            </w:tcBorders>
            <w:tcMar>
              <w:right w:w="360" w:type="dxa"/>
            </w:tcMar>
          </w:tcPr>
          <w:p w14:paraId="28B9CD72" w14:textId="600D8EF3" w:rsidR="004B3083" w:rsidRPr="00B25E57" w:rsidRDefault="004B3083" w:rsidP="00737973">
            <w:pPr>
              <w:jc w:val="right"/>
              <w:rPr>
                <w:sz w:val="20"/>
                <w:szCs w:val="20"/>
                <w:lang w:val="es-ES_tradnl"/>
              </w:rPr>
            </w:pPr>
            <w:r w:rsidRPr="00B25E57">
              <w:rPr>
                <w:sz w:val="20"/>
                <w:szCs w:val="20"/>
                <w:lang w:val="es-ES_tradnl"/>
              </w:rPr>
              <w:t>210.000</w:t>
            </w:r>
          </w:p>
        </w:tc>
        <w:tc>
          <w:tcPr>
            <w:tcW w:w="1126" w:type="pct"/>
            <w:tcBorders>
              <w:top w:val="nil"/>
              <w:left w:val="single" w:sz="4" w:space="0" w:color="auto"/>
              <w:bottom w:val="single" w:sz="4" w:space="0" w:color="auto"/>
              <w:right w:val="single" w:sz="4" w:space="0" w:color="auto"/>
            </w:tcBorders>
            <w:tcMar>
              <w:right w:w="360" w:type="dxa"/>
            </w:tcMar>
          </w:tcPr>
          <w:p w14:paraId="7B0B5CDC" w14:textId="77777777" w:rsidR="004B3083" w:rsidRPr="00B25E57" w:rsidRDefault="004B3083" w:rsidP="00737973">
            <w:pPr>
              <w:pStyle w:val="ListParagraph"/>
              <w:ind w:left="0"/>
              <w:jc w:val="right"/>
              <w:rPr>
                <w:color w:val="000000"/>
                <w:sz w:val="20"/>
                <w:szCs w:val="20"/>
                <w:lang w:val="es-ES_tradnl"/>
              </w:rPr>
            </w:pPr>
            <w:r w:rsidRPr="00B25E57">
              <w:rPr>
                <w:color w:val="000000"/>
                <w:sz w:val="20"/>
                <w:szCs w:val="20"/>
                <w:lang w:val="es-ES_tradnl"/>
              </w:rPr>
              <w:t>0</w:t>
            </w:r>
          </w:p>
        </w:tc>
      </w:tr>
      <w:tr w:rsidR="001021C8" w:rsidRPr="00B25E57" w14:paraId="7CD36591" w14:textId="77777777" w:rsidTr="001021C8">
        <w:tc>
          <w:tcPr>
            <w:tcW w:w="2977" w:type="pct"/>
            <w:tcBorders>
              <w:top w:val="nil"/>
              <w:left w:val="single" w:sz="4" w:space="0" w:color="auto"/>
              <w:bottom w:val="single" w:sz="4" w:space="0" w:color="auto"/>
              <w:right w:val="single" w:sz="4" w:space="0" w:color="auto"/>
            </w:tcBorders>
            <w:vAlign w:val="bottom"/>
          </w:tcPr>
          <w:p w14:paraId="6749E27D" w14:textId="1018AB64" w:rsidR="004B3083" w:rsidRPr="00B25E57" w:rsidRDefault="004B3083" w:rsidP="003B2BCA">
            <w:pPr>
              <w:jc w:val="left"/>
              <w:rPr>
                <w:color w:val="000000"/>
                <w:sz w:val="20"/>
                <w:szCs w:val="20"/>
                <w:lang w:val="es-ES_tradnl"/>
              </w:rPr>
            </w:pPr>
            <w:r w:rsidRPr="00B25E57">
              <w:rPr>
                <w:color w:val="000000"/>
                <w:sz w:val="21"/>
                <w:szCs w:val="21"/>
                <w:lang w:val="es-ES_tradnl"/>
              </w:rPr>
              <w:t>Supervisión y verificación</w:t>
            </w:r>
          </w:p>
        </w:tc>
        <w:tc>
          <w:tcPr>
            <w:tcW w:w="897" w:type="pct"/>
            <w:tcBorders>
              <w:top w:val="single" w:sz="4" w:space="0" w:color="auto"/>
              <w:left w:val="nil"/>
              <w:bottom w:val="single" w:sz="4" w:space="0" w:color="auto"/>
              <w:right w:val="single" w:sz="4" w:space="0" w:color="auto"/>
            </w:tcBorders>
            <w:tcMar>
              <w:right w:w="360" w:type="dxa"/>
            </w:tcMar>
          </w:tcPr>
          <w:p w14:paraId="2B222DDE" w14:textId="2C9D4AA6" w:rsidR="004B3083" w:rsidRPr="00B25E57" w:rsidRDefault="004B3083" w:rsidP="00737973">
            <w:pPr>
              <w:jc w:val="right"/>
              <w:rPr>
                <w:sz w:val="20"/>
                <w:szCs w:val="20"/>
                <w:lang w:val="es-ES_tradnl"/>
              </w:rPr>
            </w:pPr>
            <w:r w:rsidRPr="00B25E57">
              <w:rPr>
                <w:sz w:val="20"/>
                <w:szCs w:val="20"/>
                <w:lang w:val="es-ES_tradnl"/>
              </w:rPr>
              <w:t>200.000</w:t>
            </w:r>
          </w:p>
        </w:tc>
        <w:tc>
          <w:tcPr>
            <w:tcW w:w="1126" w:type="pct"/>
            <w:tcBorders>
              <w:top w:val="nil"/>
              <w:left w:val="single" w:sz="4" w:space="0" w:color="auto"/>
              <w:bottom w:val="single" w:sz="4" w:space="0" w:color="auto"/>
              <w:right w:val="single" w:sz="4" w:space="0" w:color="auto"/>
            </w:tcBorders>
            <w:tcMar>
              <w:right w:w="360" w:type="dxa"/>
            </w:tcMar>
          </w:tcPr>
          <w:p w14:paraId="59466667" w14:textId="77777777" w:rsidR="004B3083" w:rsidRPr="00B25E57" w:rsidRDefault="004B3083" w:rsidP="00737973">
            <w:pPr>
              <w:pStyle w:val="ListParagraph"/>
              <w:ind w:left="0"/>
              <w:jc w:val="right"/>
              <w:rPr>
                <w:color w:val="000000"/>
                <w:sz w:val="20"/>
                <w:szCs w:val="20"/>
                <w:lang w:val="es-ES_tradnl"/>
              </w:rPr>
            </w:pPr>
            <w:r w:rsidRPr="00B25E57">
              <w:rPr>
                <w:color w:val="000000"/>
                <w:sz w:val="20"/>
                <w:szCs w:val="20"/>
                <w:lang w:val="es-ES_tradnl"/>
              </w:rPr>
              <w:t>0</w:t>
            </w:r>
          </w:p>
        </w:tc>
      </w:tr>
      <w:tr w:rsidR="00D87524" w:rsidRPr="00B25E57" w14:paraId="5F9C4EAA" w14:textId="77777777" w:rsidTr="001021C8">
        <w:tc>
          <w:tcPr>
            <w:tcW w:w="2977" w:type="pct"/>
            <w:tcBorders>
              <w:top w:val="nil"/>
              <w:left w:val="single" w:sz="4" w:space="0" w:color="auto"/>
              <w:bottom w:val="single" w:sz="4" w:space="0" w:color="auto"/>
              <w:right w:val="single" w:sz="4" w:space="0" w:color="auto"/>
            </w:tcBorders>
            <w:vAlign w:val="bottom"/>
          </w:tcPr>
          <w:p w14:paraId="5E5852B8" w14:textId="7E52A193" w:rsidR="00D87524" w:rsidRPr="00B25E57" w:rsidRDefault="00EE6A14" w:rsidP="00180FCF">
            <w:pPr>
              <w:jc w:val="left"/>
              <w:rPr>
                <w:color w:val="000000"/>
                <w:sz w:val="21"/>
                <w:szCs w:val="21"/>
                <w:lang w:val="es-ES_tradnl"/>
              </w:rPr>
            </w:pPr>
            <w:r w:rsidRPr="00EE6A14">
              <w:rPr>
                <w:color w:val="000000"/>
                <w:sz w:val="21"/>
                <w:szCs w:val="21"/>
                <w:lang w:val="es-ES_tradnl"/>
              </w:rPr>
              <w:t xml:space="preserve">Inscripción como </w:t>
            </w:r>
            <w:r w:rsidR="00FE4657">
              <w:rPr>
                <w:color w:val="000000"/>
                <w:sz w:val="21"/>
                <w:szCs w:val="21"/>
                <w:lang w:val="es-ES_tradnl"/>
              </w:rPr>
              <w:t>planta de generación y tratamiento</w:t>
            </w:r>
          </w:p>
        </w:tc>
        <w:tc>
          <w:tcPr>
            <w:tcW w:w="897" w:type="pct"/>
            <w:tcBorders>
              <w:top w:val="single" w:sz="4" w:space="0" w:color="auto"/>
              <w:left w:val="nil"/>
              <w:bottom w:val="single" w:sz="4" w:space="0" w:color="auto"/>
              <w:right w:val="single" w:sz="4" w:space="0" w:color="auto"/>
            </w:tcBorders>
            <w:tcMar>
              <w:right w:w="360" w:type="dxa"/>
            </w:tcMar>
          </w:tcPr>
          <w:p w14:paraId="7D6A56AC" w14:textId="77777777" w:rsidR="00D87524" w:rsidRPr="00B25E57" w:rsidRDefault="00D87524" w:rsidP="00737973">
            <w:pPr>
              <w:jc w:val="right"/>
              <w:rPr>
                <w:sz w:val="20"/>
                <w:szCs w:val="20"/>
                <w:lang w:val="es-ES_tradnl"/>
              </w:rPr>
            </w:pPr>
          </w:p>
        </w:tc>
        <w:tc>
          <w:tcPr>
            <w:tcW w:w="1126" w:type="pct"/>
            <w:tcBorders>
              <w:top w:val="nil"/>
              <w:left w:val="single" w:sz="4" w:space="0" w:color="auto"/>
              <w:bottom w:val="single" w:sz="4" w:space="0" w:color="auto"/>
              <w:right w:val="single" w:sz="4" w:space="0" w:color="auto"/>
            </w:tcBorders>
            <w:tcMar>
              <w:right w:w="360" w:type="dxa"/>
            </w:tcMar>
          </w:tcPr>
          <w:p w14:paraId="738C1205" w14:textId="757351BF" w:rsidR="00D87524" w:rsidRPr="00B25E57" w:rsidRDefault="00A81EDD" w:rsidP="00737973">
            <w:pPr>
              <w:jc w:val="right"/>
              <w:rPr>
                <w:color w:val="000000"/>
                <w:sz w:val="20"/>
                <w:szCs w:val="20"/>
                <w:lang w:val="es-ES_tradnl"/>
              </w:rPr>
            </w:pPr>
            <w:r w:rsidRPr="00A81EDD">
              <w:rPr>
                <w:color w:val="000000"/>
                <w:sz w:val="20"/>
                <w:szCs w:val="20"/>
                <w:lang w:val="es-ES_tradnl"/>
              </w:rPr>
              <w:t>235</w:t>
            </w:r>
          </w:p>
        </w:tc>
      </w:tr>
      <w:tr w:rsidR="001021C8" w:rsidRPr="00B25E57" w14:paraId="2A8132F3" w14:textId="77777777" w:rsidTr="001021C8">
        <w:tc>
          <w:tcPr>
            <w:tcW w:w="2977" w:type="pct"/>
            <w:tcBorders>
              <w:top w:val="nil"/>
              <w:left w:val="single" w:sz="4" w:space="0" w:color="auto"/>
              <w:bottom w:val="single" w:sz="4" w:space="0" w:color="auto"/>
              <w:right w:val="single" w:sz="4" w:space="0" w:color="auto"/>
            </w:tcBorders>
            <w:vAlign w:val="bottom"/>
          </w:tcPr>
          <w:p w14:paraId="6DEADDF9" w14:textId="1D73D77F" w:rsidR="004B3083" w:rsidRDefault="004B3083" w:rsidP="003B2BCA">
            <w:pPr>
              <w:jc w:val="left"/>
              <w:rPr>
                <w:color w:val="000000"/>
                <w:sz w:val="20"/>
                <w:szCs w:val="20"/>
                <w:lang w:val="es-ES_tradnl"/>
              </w:rPr>
            </w:pPr>
            <w:r w:rsidRPr="00B25E57">
              <w:rPr>
                <w:color w:val="000000"/>
                <w:sz w:val="21"/>
                <w:szCs w:val="21"/>
                <w:lang w:val="es-ES_tradnl"/>
              </w:rPr>
              <w:t>Total otros costos</w:t>
            </w:r>
          </w:p>
        </w:tc>
        <w:tc>
          <w:tcPr>
            <w:tcW w:w="897" w:type="pct"/>
            <w:tcBorders>
              <w:top w:val="single" w:sz="4" w:space="0" w:color="auto"/>
              <w:left w:val="nil"/>
              <w:bottom w:val="single" w:sz="4" w:space="0" w:color="auto"/>
              <w:right w:val="single" w:sz="4" w:space="0" w:color="auto"/>
            </w:tcBorders>
            <w:tcMar>
              <w:right w:w="360" w:type="dxa"/>
            </w:tcMar>
          </w:tcPr>
          <w:p w14:paraId="09F6CAE4" w14:textId="46FF382F" w:rsidR="004B3083" w:rsidRPr="00B25E57" w:rsidRDefault="003321FB" w:rsidP="00737973">
            <w:pPr>
              <w:jc w:val="right"/>
              <w:rPr>
                <w:sz w:val="20"/>
                <w:szCs w:val="20"/>
                <w:lang w:val="es-ES_tradnl"/>
              </w:rPr>
            </w:pPr>
            <w:r w:rsidRPr="003321FB">
              <w:rPr>
                <w:sz w:val="20"/>
                <w:szCs w:val="20"/>
                <w:lang w:val="es-ES_tradnl"/>
              </w:rPr>
              <w:t>410.000</w:t>
            </w:r>
          </w:p>
        </w:tc>
        <w:tc>
          <w:tcPr>
            <w:tcW w:w="1126" w:type="pct"/>
            <w:tcBorders>
              <w:top w:val="nil"/>
              <w:left w:val="single" w:sz="4" w:space="0" w:color="auto"/>
              <w:bottom w:val="single" w:sz="4" w:space="0" w:color="auto"/>
              <w:right w:val="single" w:sz="4" w:space="0" w:color="auto"/>
            </w:tcBorders>
            <w:tcMar>
              <w:right w:w="360" w:type="dxa"/>
            </w:tcMar>
          </w:tcPr>
          <w:p w14:paraId="5BD2367D" w14:textId="39332B6B" w:rsidR="004B3083" w:rsidRPr="00B25E57" w:rsidRDefault="00D50F57" w:rsidP="00737973">
            <w:pPr>
              <w:jc w:val="right"/>
              <w:rPr>
                <w:color w:val="000000"/>
                <w:sz w:val="20"/>
                <w:szCs w:val="20"/>
                <w:lang w:val="es-ES_tradnl"/>
              </w:rPr>
            </w:pPr>
            <w:r w:rsidRPr="00D50F57">
              <w:rPr>
                <w:color w:val="000000"/>
                <w:sz w:val="20"/>
                <w:szCs w:val="20"/>
                <w:lang w:val="es-ES_tradnl"/>
              </w:rPr>
              <w:t>235</w:t>
            </w:r>
          </w:p>
        </w:tc>
      </w:tr>
      <w:tr w:rsidR="006F19F3" w:rsidRPr="00B25E57" w14:paraId="3CEA8879" w14:textId="77777777" w:rsidTr="001021C8">
        <w:tc>
          <w:tcPr>
            <w:tcW w:w="2977" w:type="pct"/>
            <w:tcBorders>
              <w:top w:val="nil"/>
              <w:left w:val="single" w:sz="4" w:space="0" w:color="auto"/>
              <w:bottom w:val="single" w:sz="4" w:space="0" w:color="auto"/>
              <w:right w:val="single" w:sz="4" w:space="0" w:color="auto"/>
            </w:tcBorders>
            <w:vAlign w:val="bottom"/>
          </w:tcPr>
          <w:p w14:paraId="072EB8FB" w14:textId="001EF783" w:rsidR="006F19F3" w:rsidRPr="00B25E57" w:rsidRDefault="006F19F3" w:rsidP="003B2BCA">
            <w:pPr>
              <w:jc w:val="left"/>
              <w:rPr>
                <w:color w:val="000000"/>
                <w:sz w:val="20"/>
                <w:szCs w:val="20"/>
                <w:lang w:val="es-ES_tradnl"/>
              </w:rPr>
            </w:pPr>
            <w:r>
              <w:rPr>
                <w:b/>
                <w:color w:val="000000"/>
                <w:sz w:val="21"/>
                <w:szCs w:val="21"/>
                <w:lang w:val="es-ES_tradnl"/>
              </w:rPr>
              <w:t>Costos totales</w:t>
            </w:r>
          </w:p>
        </w:tc>
        <w:tc>
          <w:tcPr>
            <w:tcW w:w="897" w:type="pct"/>
            <w:tcBorders>
              <w:top w:val="single" w:sz="4" w:space="0" w:color="auto"/>
              <w:left w:val="nil"/>
              <w:bottom w:val="single" w:sz="4" w:space="0" w:color="auto"/>
              <w:right w:val="single" w:sz="4" w:space="0" w:color="auto"/>
            </w:tcBorders>
            <w:tcMar>
              <w:right w:w="360" w:type="dxa"/>
            </w:tcMar>
          </w:tcPr>
          <w:p w14:paraId="5BC2628F" w14:textId="3D0D73AD" w:rsidR="006F19F3" w:rsidRPr="00B25E57" w:rsidRDefault="006F19F3" w:rsidP="00737973">
            <w:pPr>
              <w:jc w:val="right"/>
              <w:rPr>
                <w:sz w:val="20"/>
                <w:szCs w:val="20"/>
                <w:lang w:val="es-ES_tradnl"/>
              </w:rPr>
            </w:pPr>
            <w:r w:rsidRPr="00B25E57">
              <w:rPr>
                <w:b/>
                <w:sz w:val="20"/>
                <w:szCs w:val="20"/>
                <w:lang w:val="es-ES_tradnl"/>
              </w:rPr>
              <w:t>1.823.770</w:t>
            </w:r>
          </w:p>
        </w:tc>
        <w:tc>
          <w:tcPr>
            <w:tcW w:w="1126" w:type="pct"/>
            <w:tcBorders>
              <w:top w:val="nil"/>
              <w:left w:val="single" w:sz="4" w:space="0" w:color="auto"/>
              <w:bottom w:val="single" w:sz="4" w:space="0" w:color="auto"/>
              <w:right w:val="single" w:sz="4" w:space="0" w:color="auto"/>
            </w:tcBorders>
            <w:tcMar>
              <w:right w:w="360" w:type="dxa"/>
            </w:tcMar>
          </w:tcPr>
          <w:p w14:paraId="4B4BFB0A" w14:textId="00AA00D8" w:rsidR="006F19F3" w:rsidRPr="00B25E57" w:rsidRDefault="006F19F3" w:rsidP="00737973">
            <w:pPr>
              <w:jc w:val="right"/>
              <w:rPr>
                <w:color w:val="000000"/>
                <w:sz w:val="20"/>
                <w:szCs w:val="20"/>
                <w:lang w:val="es-ES_tradnl"/>
              </w:rPr>
            </w:pPr>
            <w:r w:rsidRPr="00B25E57">
              <w:rPr>
                <w:b/>
                <w:color w:val="000000"/>
                <w:sz w:val="20"/>
                <w:szCs w:val="20"/>
                <w:lang w:val="es-ES_tradnl"/>
              </w:rPr>
              <w:t>1.168.801</w:t>
            </w:r>
          </w:p>
        </w:tc>
      </w:tr>
    </w:tbl>
    <w:p w14:paraId="79F336E2" w14:textId="77777777" w:rsidR="00267B57" w:rsidRPr="00B25E57" w:rsidRDefault="00267B57" w:rsidP="00345E62">
      <w:pPr>
        <w:rPr>
          <w:lang w:val="es-ES_tradnl"/>
        </w:rPr>
      </w:pPr>
    </w:p>
    <w:p w14:paraId="028D7424" w14:textId="47BB936F" w:rsidR="00345E62" w:rsidRPr="00B25E57" w:rsidRDefault="00FB38C2" w:rsidP="00345E62">
      <w:pPr>
        <w:pStyle w:val="Heading1"/>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Pr="00B25E57">
        <w:rPr>
          <w:lang w:val="es-ES_tradnl"/>
        </w:rPr>
        <w:t>tomó</w:t>
      </w:r>
      <w:r w:rsidR="003A46A1" w:rsidRPr="00B25E57">
        <w:rPr>
          <w:lang w:val="es-ES_tradnl"/>
        </w:rPr>
        <w:t xml:space="preserve"> </w:t>
      </w:r>
      <w:r w:rsidRPr="00B25E57">
        <w:rPr>
          <w:lang w:val="es-ES_tradnl"/>
        </w:rPr>
        <w:t>nota</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que</w:t>
      </w:r>
      <w:r w:rsidR="003A46A1" w:rsidRPr="00B25E57">
        <w:rPr>
          <w:lang w:val="es-ES_tradnl"/>
        </w:rPr>
        <w:t xml:space="preserve"> </w:t>
      </w:r>
      <w:r w:rsidR="00985779">
        <w:rPr>
          <w:lang w:val="es-ES_tradnl"/>
        </w:rPr>
        <w:t xml:space="preserve">en </w:t>
      </w:r>
      <w:r w:rsidR="00F942C6" w:rsidRPr="00B25E57">
        <w:rPr>
          <w:lang w:val="es-ES_tradnl"/>
        </w:rPr>
        <w:t>cada</w:t>
      </w:r>
      <w:r w:rsidR="003A46A1" w:rsidRPr="00B25E57">
        <w:rPr>
          <w:lang w:val="es-ES_tradnl"/>
        </w:rPr>
        <w:t xml:space="preserve"> </w:t>
      </w:r>
      <w:r w:rsidRPr="00B25E57">
        <w:rPr>
          <w:lang w:val="es-ES_tradnl"/>
        </w:rPr>
        <w:t>año</w:t>
      </w:r>
      <w:r w:rsidR="003A46A1" w:rsidRPr="00B25E57">
        <w:rPr>
          <w:lang w:val="es-ES_tradnl"/>
        </w:rPr>
        <w:t xml:space="preserve"> </w:t>
      </w:r>
      <w:r w:rsidR="00985779">
        <w:rPr>
          <w:lang w:val="es-ES_tradnl"/>
        </w:rPr>
        <w:t xml:space="preserve">para </w:t>
      </w:r>
      <w:r w:rsidR="004661AB">
        <w:rPr>
          <w:lang w:val="es-ES_tradnl"/>
        </w:rPr>
        <w:t>el que</w:t>
      </w:r>
      <w:r w:rsidR="00985779">
        <w:rPr>
          <w:lang w:val="es-ES_tradnl"/>
        </w:rPr>
        <w:t xml:space="preserve"> </w:t>
      </w:r>
      <w:r w:rsidR="00C107EB">
        <w:rPr>
          <w:lang w:val="es-ES_tradnl"/>
        </w:rPr>
        <w:t xml:space="preserve">existen </w:t>
      </w:r>
      <w:r w:rsidR="00E22238" w:rsidRPr="00B25E57">
        <w:rPr>
          <w:lang w:val="es-ES_tradnl"/>
        </w:rPr>
        <w:t>datos</w:t>
      </w:r>
      <w:r w:rsidR="003A46A1" w:rsidRPr="00B25E57">
        <w:rPr>
          <w:lang w:val="es-ES_tradnl"/>
        </w:rPr>
        <w:t xml:space="preserve"> </w:t>
      </w:r>
      <w:r w:rsidR="00345E62" w:rsidRPr="00B25E57">
        <w:rPr>
          <w:lang w:val="es-ES_tradnl"/>
        </w:rPr>
        <w:t>(2008</w:t>
      </w:r>
      <w:r w:rsidRPr="00B25E57">
        <w:rPr>
          <w:lang w:val="es-ES_tradnl"/>
        </w:rPr>
        <w:t>-</w:t>
      </w:r>
      <w:r w:rsidR="00345E62" w:rsidRPr="00B25E57">
        <w:rPr>
          <w:lang w:val="es-ES_tradnl"/>
        </w:rPr>
        <w:t>2013),</w:t>
      </w:r>
      <w:r w:rsidR="003A46A1" w:rsidRPr="00B25E57">
        <w:rPr>
          <w:lang w:val="es-ES_tradnl"/>
        </w:rPr>
        <w:t xml:space="preserve"> </w:t>
      </w:r>
      <w:r w:rsidR="003E5C40">
        <w:rPr>
          <w:lang w:val="es-ES_tradnl"/>
        </w:rPr>
        <w:t xml:space="preserve">los </w:t>
      </w:r>
      <w:r w:rsidR="00CF1500">
        <w:rPr>
          <w:lang w:val="es-ES_tradnl"/>
        </w:rPr>
        <w:t>ingresos</w:t>
      </w:r>
      <w:r w:rsidR="003A46A1" w:rsidRPr="00B25E57">
        <w:rPr>
          <w:lang w:val="es-ES_tradnl"/>
        </w:rPr>
        <w:t xml:space="preserve"> </w:t>
      </w:r>
      <w:r w:rsidR="00C03D8B">
        <w:rPr>
          <w:lang w:val="es-ES_tradnl"/>
        </w:rPr>
        <w:t xml:space="preserve">por </w:t>
      </w:r>
      <w:r w:rsidR="00CA7639">
        <w:rPr>
          <w:lang w:val="es-ES_tradnl"/>
        </w:rPr>
        <w:t>venta</w:t>
      </w:r>
      <w:r w:rsidR="006B6E8A">
        <w:rPr>
          <w:lang w:val="es-ES_tradnl"/>
        </w:rPr>
        <w:t>s</w:t>
      </w:r>
      <w:r w:rsidR="003A46A1" w:rsidRPr="00B25E57">
        <w:rPr>
          <w:lang w:val="es-ES_tradnl"/>
        </w:rPr>
        <w:t xml:space="preserve"> </w:t>
      </w:r>
      <w:r w:rsidRPr="00B25E57">
        <w:rPr>
          <w:lang w:val="es-ES_tradnl"/>
        </w:rPr>
        <w:t>de</w:t>
      </w:r>
      <w:r w:rsidR="003A46A1" w:rsidRPr="00B25E57">
        <w:rPr>
          <w:lang w:val="es-ES_tradnl"/>
        </w:rPr>
        <w:t xml:space="preserve"> </w:t>
      </w:r>
      <w:r w:rsidR="00345E62" w:rsidRPr="00B25E57">
        <w:rPr>
          <w:lang w:val="es-ES_tradnl"/>
        </w:rPr>
        <w:t>HF50</w:t>
      </w:r>
      <w:r w:rsidR="003A46A1" w:rsidRPr="00B25E57">
        <w:rPr>
          <w:lang w:val="es-ES_tradnl"/>
        </w:rPr>
        <w:t xml:space="preserve"> </w:t>
      </w:r>
      <w:r w:rsidR="00F97D2B">
        <w:rPr>
          <w:lang w:val="es-ES_tradnl"/>
        </w:rPr>
        <w:t xml:space="preserve">fueron mayores a </w:t>
      </w:r>
      <w:r w:rsidR="00734C65">
        <w:rPr>
          <w:lang w:val="es-ES_tradnl"/>
        </w:rPr>
        <w:t xml:space="preserve">los </w:t>
      </w:r>
      <w:r w:rsidRPr="00B25E57">
        <w:rPr>
          <w:lang w:val="es-ES_tradnl"/>
        </w:rPr>
        <w:t>costo</w:t>
      </w:r>
      <w:r w:rsidR="00734C65">
        <w:rPr>
          <w:lang w:val="es-ES_tradnl"/>
        </w:rPr>
        <w:t>s</w:t>
      </w:r>
      <w:r w:rsidR="003A46A1" w:rsidRPr="00B25E57">
        <w:rPr>
          <w:lang w:val="es-ES_tradnl"/>
        </w:rPr>
        <w:t xml:space="preserve"> </w:t>
      </w:r>
      <w:r w:rsidRPr="00B25E57">
        <w:rPr>
          <w:lang w:val="es-ES_tradnl"/>
        </w:rPr>
        <w:t>de</w:t>
      </w:r>
      <w:r w:rsidR="00394E3B">
        <w:rPr>
          <w:lang w:val="es-ES_tradnl"/>
        </w:rPr>
        <w:t>l</w:t>
      </w:r>
      <w:r w:rsidR="003A46A1" w:rsidRPr="00B25E57">
        <w:rPr>
          <w:lang w:val="es-ES_tradnl"/>
        </w:rPr>
        <w:t xml:space="preserve"> </w:t>
      </w:r>
      <w:r w:rsidR="006D2193">
        <w:rPr>
          <w:lang w:val="es-ES_tradnl"/>
        </w:rPr>
        <w:t>gas natural</w:t>
      </w:r>
      <w:r w:rsidR="00345E62" w:rsidRPr="00B25E57">
        <w:rPr>
          <w:lang w:val="es-ES_tradnl"/>
        </w:rPr>
        <w:t>,</w:t>
      </w:r>
      <w:r w:rsidR="003A46A1" w:rsidRPr="00B25E57">
        <w:rPr>
          <w:lang w:val="es-ES_tradnl"/>
        </w:rPr>
        <w:t xml:space="preserve"> </w:t>
      </w:r>
      <w:r w:rsidR="006D2193">
        <w:rPr>
          <w:lang w:val="es-ES_tradnl"/>
        </w:rPr>
        <w:t>electricidad</w:t>
      </w:r>
      <w:r w:rsidR="00345E62" w:rsidRPr="00B25E57">
        <w:rPr>
          <w:lang w:val="es-ES_tradnl"/>
        </w:rPr>
        <w:t>,</w:t>
      </w:r>
      <w:r w:rsidR="003A46A1" w:rsidRPr="00B25E57">
        <w:rPr>
          <w:lang w:val="es-ES_tradnl"/>
        </w:rPr>
        <w:t xml:space="preserve"> </w:t>
      </w:r>
      <w:r w:rsidR="004512EA" w:rsidRPr="00B25E57">
        <w:rPr>
          <w:lang w:val="es-ES_tradnl"/>
        </w:rPr>
        <w:t>agua</w:t>
      </w:r>
      <w:r w:rsidR="003A46A1" w:rsidRPr="00B25E57">
        <w:rPr>
          <w:lang w:val="es-ES_tradnl"/>
        </w:rPr>
        <w:t xml:space="preserve"> </w:t>
      </w:r>
      <w:r w:rsidRPr="00B25E57">
        <w:rPr>
          <w:lang w:val="es-ES_tradnl"/>
        </w:rPr>
        <w:t>y</w:t>
      </w:r>
      <w:r w:rsidR="003A46A1" w:rsidRPr="00B25E57">
        <w:rPr>
          <w:lang w:val="es-ES_tradnl"/>
        </w:rPr>
        <w:t xml:space="preserve"> </w:t>
      </w:r>
      <w:r w:rsidR="00E434B2" w:rsidRPr="00B25E57">
        <w:rPr>
          <w:lang w:val="es-ES_tradnl"/>
        </w:rPr>
        <w:t>oxígeno</w:t>
      </w:r>
      <w:r w:rsidR="003A46A1" w:rsidRPr="00B25E57">
        <w:rPr>
          <w:lang w:val="es-ES_tradnl"/>
        </w:rPr>
        <w:t xml:space="preserve"> </w:t>
      </w:r>
      <w:r w:rsidR="00F919C9">
        <w:rPr>
          <w:lang w:val="es-ES_tradnl"/>
        </w:rPr>
        <w:t>necesarios</w:t>
      </w:r>
      <w:r w:rsidR="00394E3B">
        <w:rPr>
          <w:lang w:val="es-ES_tradnl"/>
        </w:rPr>
        <w:t xml:space="preserve"> </w:t>
      </w:r>
      <w:r w:rsidR="003C24A6">
        <w:rPr>
          <w:lang w:val="es-ES_tradnl"/>
        </w:rPr>
        <w:t xml:space="preserve">para </w:t>
      </w:r>
      <w:r w:rsidR="004C065D">
        <w:rPr>
          <w:lang w:val="es-ES_tradnl"/>
        </w:rPr>
        <w:t>operar</w:t>
      </w:r>
      <w:r w:rsidR="003A46A1" w:rsidRPr="00B25E57">
        <w:rPr>
          <w:lang w:val="es-ES_tradnl"/>
        </w:rPr>
        <w:t xml:space="preserve"> </w:t>
      </w:r>
      <w:r w:rsidR="00C95B4F">
        <w:rPr>
          <w:lang w:val="es-ES_tradnl"/>
        </w:rPr>
        <w:t>el incinerador</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00345E62" w:rsidRPr="00B25E57">
        <w:rPr>
          <w:lang w:val="es-ES_tradnl"/>
        </w:rPr>
        <w:t>FIASA</w:t>
      </w:r>
      <w:r w:rsidR="003A46A1" w:rsidRPr="00B25E57">
        <w:rPr>
          <w:lang w:val="es-ES_tradnl"/>
        </w:rPr>
        <w:t xml:space="preserve"> </w:t>
      </w:r>
      <w:r w:rsidR="0001747B">
        <w:rPr>
          <w:lang w:val="es-ES_tradnl"/>
        </w:rPr>
        <w:t xml:space="preserve">presentó </w:t>
      </w:r>
      <w:r w:rsidR="004241C5" w:rsidRPr="00B25E57">
        <w:rPr>
          <w:lang w:val="es-ES_tradnl"/>
        </w:rPr>
        <w:t>documentación</w:t>
      </w:r>
      <w:r w:rsidR="003A46A1" w:rsidRPr="00B25E57">
        <w:rPr>
          <w:lang w:val="es-ES_tradnl"/>
        </w:rPr>
        <w:t xml:space="preserve"> </w:t>
      </w:r>
      <w:r w:rsidR="005C6760">
        <w:rPr>
          <w:lang w:val="es-ES_tradnl"/>
        </w:rPr>
        <w:t xml:space="preserve">que muestra </w:t>
      </w:r>
      <w:r w:rsidR="00547C57">
        <w:rPr>
          <w:lang w:val="es-ES_tradnl"/>
        </w:rPr>
        <w:t xml:space="preserve">una reducción de casi 20 veces </w:t>
      </w:r>
      <w:r w:rsidR="007E7E5A">
        <w:rPr>
          <w:lang w:val="es-ES_tradnl"/>
        </w:rPr>
        <w:t xml:space="preserve">en </w:t>
      </w:r>
      <w:r w:rsidR="002C4227">
        <w:rPr>
          <w:lang w:val="es-ES_tradnl"/>
        </w:rPr>
        <w:t xml:space="preserve">el precio </w:t>
      </w:r>
      <w:r w:rsidR="004C0806">
        <w:rPr>
          <w:lang w:val="es-ES_tradnl"/>
        </w:rPr>
        <w:t xml:space="preserve">del </w:t>
      </w:r>
      <w:r w:rsidR="004C0806" w:rsidRPr="004C0806">
        <w:rPr>
          <w:lang w:val="es-ES_tradnl"/>
        </w:rPr>
        <w:t>HF50</w:t>
      </w:r>
      <w:r w:rsidR="004C0806">
        <w:rPr>
          <w:lang w:val="es-ES_tradnl"/>
        </w:rPr>
        <w:t xml:space="preserve"> </w:t>
      </w:r>
      <w:r w:rsidR="00AD232D">
        <w:rPr>
          <w:lang w:val="es-ES_tradnl"/>
        </w:rPr>
        <w:t>en 2019</w:t>
      </w:r>
      <w:r w:rsidR="00345E62" w:rsidRPr="00B25E57">
        <w:rPr>
          <w:lang w:val="es-ES_tradnl"/>
        </w:rPr>
        <w:t>.</w:t>
      </w:r>
      <w:r w:rsidR="003A46A1" w:rsidRPr="00B25E57">
        <w:rPr>
          <w:lang w:val="es-ES_tradnl"/>
        </w:rPr>
        <w:t xml:space="preserve"> </w:t>
      </w:r>
      <w:r w:rsidR="004E4A96">
        <w:rPr>
          <w:lang w:val="es-ES_tradnl"/>
        </w:rPr>
        <w:t xml:space="preserve">Aunque </w:t>
      </w:r>
      <w:r w:rsidR="0050393F">
        <w:rPr>
          <w:lang w:val="es-ES_tradnl"/>
        </w:rPr>
        <w:t xml:space="preserve">puede </w:t>
      </w:r>
      <w:r w:rsidR="004E4A96">
        <w:rPr>
          <w:lang w:val="es-ES_tradnl"/>
        </w:rPr>
        <w:t xml:space="preserve">que </w:t>
      </w:r>
      <w:r w:rsidR="008C3E60">
        <w:rPr>
          <w:lang w:val="es-ES_tradnl"/>
        </w:rPr>
        <w:t xml:space="preserve">a futuro </w:t>
      </w:r>
      <w:r w:rsidR="004512EA" w:rsidRPr="00B25E57">
        <w:rPr>
          <w:lang w:val="es-ES_tradnl"/>
        </w:rPr>
        <w:t>el</w:t>
      </w:r>
      <w:r w:rsidR="003A46A1" w:rsidRPr="00B25E57">
        <w:rPr>
          <w:lang w:val="es-ES_tradnl"/>
        </w:rPr>
        <w:t xml:space="preserve"> </w:t>
      </w:r>
      <w:r w:rsidR="004512EA" w:rsidRPr="00B25E57">
        <w:rPr>
          <w:lang w:val="es-ES_tradnl"/>
        </w:rPr>
        <w:t>precio</w:t>
      </w:r>
      <w:r w:rsidR="003A46A1" w:rsidRPr="00B25E57">
        <w:rPr>
          <w:lang w:val="es-ES_tradnl"/>
        </w:rPr>
        <w:t xml:space="preserve"> </w:t>
      </w:r>
      <w:r w:rsidRPr="00B25E57">
        <w:rPr>
          <w:lang w:val="es-ES_tradnl"/>
        </w:rPr>
        <w:t>de</w:t>
      </w:r>
      <w:r w:rsidR="004E4A96">
        <w:rPr>
          <w:lang w:val="es-ES_tradnl"/>
        </w:rPr>
        <w:t>l</w:t>
      </w:r>
      <w:r w:rsidR="003A46A1" w:rsidRPr="00B25E57">
        <w:rPr>
          <w:lang w:val="es-ES_tradnl"/>
        </w:rPr>
        <w:t xml:space="preserve"> </w:t>
      </w:r>
      <w:r w:rsidR="00345E62" w:rsidRPr="00B25E57">
        <w:rPr>
          <w:lang w:val="es-ES_tradnl"/>
        </w:rPr>
        <w:t>HF50</w:t>
      </w:r>
      <w:r w:rsidR="003A46A1" w:rsidRPr="00B25E57">
        <w:rPr>
          <w:lang w:val="es-ES_tradnl"/>
        </w:rPr>
        <w:t xml:space="preserve"> </w:t>
      </w:r>
      <w:r w:rsidR="004E4A96">
        <w:rPr>
          <w:lang w:val="es-ES_tradnl"/>
        </w:rPr>
        <w:t>se recupere</w:t>
      </w:r>
      <w:r w:rsidR="003A46A1" w:rsidRPr="00B25E57">
        <w:rPr>
          <w:lang w:val="es-ES_tradnl"/>
        </w:rPr>
        <w:t xml:space="preserve"> </w:t>
      </w:r>
      <w:r w:rsidR="004225C6">
        <w:rPr>
          <w:lang w:val="es-ES_tradnl"/>
        </w:rPr>
        <w:t xml:space="preserve">y vuelva a </w:t>
      </w:r>
      <w:r w:rsidR="00750BEB">
        <w:rPr>
          <w:lang w:val="es-ES_tradnl"/>
        </w:rPr>
        <w:t xml:space="preserve">generar </w:t>
      </w:r>
      <w:r w:rsidR="004225C6">
        <w:rPr>
          <w:lang w:val="es-ES_tradnl"/>
        </w:rPr>
        <w:t>ahorro</w:t>
      </w:r>
      <w:r w:rsidR="00BE7280">
        <w:rPr>
          <w:lang w:val="es-ES_tradnl"/>
        </w:rPr>
        <w:t>s</w:t>
      </w:r>
      <w:r w:rsidR="00345E62" w:rsidRPr="00B25E57">
        <w:rPr>
          <w:lang w:val="es-ES_tradnl"/>
        </w:rPr>
        <w:t>,</w:t>
      </w:r>
      <w:r w:rsidR="003A46A1" w:rsidRPr="00B25E57">
        <w:rPr>
          <w:lang w:val="es-ES_tradnl"/>
        </w:rPr>
        <w:t xml:space="preserve"> </w:t>
      </w:r>
      <w:r w:rsidR="00FD072E">
        <w:rPr>
          <w:lang w:val="es-ES_tradnl"/>
        </w:rPr>
        <w:t xml:space="preserve">los </w:t>
      </w:r>
      <w:r w:rsidRPr="00B25E57">
        <w:rPr>
          <w:lang w:val="es-ES_tradnl"/>
        </w:rPr>
        <w:t>sobrecostos</w:t>
      </w:r>
      <w:r w:rsidR="003A46A1" w:rsidRPr="00B25E57">
        <w:rPr>
          <w:lang w:val="es-ES_tradnl"/>
        </w:rPr>
        <w:t xml:space="preserve"> </w:t>
      </w:r>
      <w:r w:rsidR="00FD072E">
        <w:rPr>
          <w:lang w:val="es-ES_tradnl"/>
        </w:rPr>
        <w:t xml:space="preserve">se determinan </w:t>
      </w:r>
      <w:r w:rsidR="00867FA8">
        <w:rPr>
          <w:lang w:val="es-ES_tradnl"/>
        </w:rPr>
        <w:t xml:space="preserve">en </w:t>
      </w:r>
      <w:r w:rsidR="00F942C6" w:rsidRPr="00B25E57">
        <w:rPr>
          <w:lang w:val="es-ES_tradnl"/>
        </w:rPr>
        <w:t xml:space="preserve">base </w:t>
      </w:r>
      <w:r w:rsidR="00867FA8">
        <w:rPr>
          <w:lang w:val="es-ES_tradnl"/>
        </w:rPr>
        <w:t>a</w:t>
      </w:r>
      <w:r w:rsidR="00F942C6" w:rsidRPr="00B25E57">
        <w:rPr>
          <w:lang w:val="es-ES_tradnl"/>
        </w:rPr>
        <w:t xml:space="preserve"> </w:t>
      </w:r>
      <w:r w:rsidR="00DC13C8">
        <w:rPr>
          <w:lang w:val="es-ES_tradnl"/>
        </w:rPr>
        <w:t xml:space="preserve">los </w:t>
      </w:r>
      <w:r w:rsidR="00961885">
        <w:rPr>
          <w:lang w:val="es-ES_tradnl"/>
        </w:rPr>
        <w:t xml:space="preserve">datos </w:t>
      </w:r>
      <w:r w:rsidR="00DC13C8">
        <w:rPr>
          <w:lang w:val="es-ES_tradnl"/>
        </w:rPr>
        <w:t xml:space="preserve">más recientes </w:t>
      </w:r>
      <w:r w:rsidR="00094AE0">
        <w:rPr>
          <w:lang w:val="es-ES_tradnl"/>
        </w:rPr>
        <w:t xml:space="preserve">y no sobre </w:t>
      </w:r>
      <w:r w:rsidR="008950F4">
        <w:rPr>
          <w:lang w:val="es-ES_tradnl"/>
        </w:rPr>
        <w:t>un pronóstico de precios futuros</w:t>
      </w:r>
      <w:r w:rsidR="00345E62"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2F1B89">
        <w:rPr>
          <w:lang w:val="es-ES_tradnl"/>
        </w:rPr>
        <w:t xml:space="preserve">tomar nota de que </w:t>
      </w:r>
      <w:r w:rsidR="004241C5" w:rsidRPr="00B25E57">
        <w:rPr>
          <w:lang w:val="es-ES_tradnl"/>
        </w:rPr>
        <w:t>en</w:t>
      </w:r>
      <w:r w:rsidR="003A46A1" w:rsidRPr="00B25E57">
        <w:rPr>
          <w:lang w:val="es-ES_tradnl"/>
        </w:rPr>
        <w:t xml:space="preserve"> </w:t>
      </w:r>
      <w:r w:rsidR="00A4343B" w:rsidRPr="00B25E57">
        <w:rPr>
          <w:lang w:val="es-ES_tradnl"/>
        </w:rPr>
        <w:t>otros</w:t>
      </w:r>
      <w:r w:rsidR="003A46A1" w:rsidRPr="00B25E57">
        <w:rPr>
          <w:lang w:val="es-ES_tradnl"/>
        </w:rPr>
        <w:t xml:space="preserve"> </w:t>
      </w:r>
      <w:r w:rsidR="00D04DC2" w:rsidRPr="00B25E57">
        <w:rPr>
          <w:lang w:val="es-ES_tradnl"/>
        </w:rPr>
        <w:t>países</w:t>
      </w:r>
      <w:r w:rsidR="003A46A1" w:rsidRPr="00B25E57">
        <w:rPr>
          <w:lang w:val="es-ES_tradnl"/>
        </w:rPr>
        <w:t xml:space="preserve"> </w:t>
      </w:r>
      <w:r w:rsidR="00D04DC2" w:rsidRPr="00B25E57">
        <w:rPr>
          <w:lang w:val="es-ES_tradnl"/>
        </w:rPr>
        <w:t>del</w:t>
      </w:r>
      <w:r w:rsidR="003A46A1" w:rsidRPr="00B25E57">
        <w:rPr>
          <w:lang w:val="es-ES_tradnl"/>
        </w:rPr>
        <w:t xml:space="preserve"> </w:t>
      </w:r>
      <w:r w:rsidR="00D04DC2" w:rsidRPr="00B25E57">
        <w:rPr>
          <w:lang w:val="es-ES_tradnl"/>
        </w:rPr>
        <w:t>artículo</w:t>
      </w:r>
      <w:r w:rsidR="003A46A1" w:rsidRPr="00B25E57">
        <w:rPr>
          <w:lang w:val="es-ES_tradnl"/>
        </w:rPr>
        <w:t xml:space="preserve"> </w:t>
      </w:r>
      <w:r w:rsidR="00D04DC2" w:rsidRPr="00B25E57">
        <w:rPr>
          <w:lang w:val="es-ES_tradnl"/>
        </w:rPr>
        <w:t>5</w:t>
      </w:r>
      <w:r w:rsidR="003A46A1" w:rsidRPr="00B25E57">
        <w:rPr>
          <w:lang w:val="es-ES_tradnl"/>
        </w:rPr>
        <w:t xml:space="preserve"> </w:t>
      </w:r>
      <w:r w:rsidR="00363976" w:rsidRPr="00363976">
        <w:rPr>
          <w:lang w:val="es-ES_tradnl"/>
        </w:rPr>
        <w:t xml:space="preserve">la venta de ácido fluorhídrico </w:t>
      </w:r>
      <w:r w:rsidR="009830CD" w:rsidRPr="009830CD">
        <w:rPr>
          <w:lang w:val="es-ES_tradnl"/>
        </w:rPr>
        <w:t xml:space="preserve">puede reducir considerablemente </w:t>
      </w:r>
      <w:r w:rsidR="00862A82" w:rsidRPr="00B25E57">
        <w:rPr>
          <w:lang w:val="es-ES_tradnl"/>
        </w:rPr>
        <w:t>los</w:t>
      </w:r>
      <w:r w:rsidR="003A46A1" w:rsidRPr="00B25E57">
        <w:rPr>
          <w:lang w:val="es-ES_tradnl"/>
        </w:rPr>
        <w:t xml:space="preserve"> </w:t>
      </w:r>
      <w:r w:rsidR="00862A82" w:rsidRPr="00B25E57">
        <w:rPr>
          <w:lang w:val="es-ES_tradnl"/>
        </w:rPr>
        <w:t>costos</w:t>
      </w:r>
      <w:r w:rsidR="003A46A1" w:rsidRPr="00B25E57">
        <w:rPr>
          <w:lang w:val="es-ES_tradnl"/>
        </w:rPr>
        <w:t xml:space="preserve"> </w:t>
      </w:r>
      <w:r w:rsidR="00483645">
        <w:rPr>
          <w:lang w:val="es-ES_tradnl"/>
        </w:rPr>
        <w:t xml:space="preserve">de </w:t>
      </w:r>
      <w:r w:rsidR="004C065D">
        <w:rPr>
          <w:lang w:val="es-ES_tradnl"/>
        </w:rPr>
        <w:t>operar</w:t>
      </w:r>
      <w:r w:rsidR="003A46A1" w:rsidRPr="00B25E57">
        <w:rPr>
          <w:lang w:val="es-ES_tradnl"/>
        </w:rPr>
        <w:t xml:space="preserve"> </w:t>
      </w:r>
      <w:r w:rsidR="00F942C6" w:rsidRPr="00B25E57">
        <w:rPr>
          <w:lang w:val="es-ES_tradnl"/>
        </w:rPr>
        <w:t>un</w:t>
      </w:r>
      <w:r w:rsidR="003A46A1" w:rsidRPr="00B25E57">
        <w:rPr>
          <w:lang w:val="es-ES_tradnl"/>
        </w:rPr>
        <w:t xml:space="preserve"> incinerador</w:t>
      </w:r>
      <w:r w:rsidR="00345E62" w:rsidRPr="00B25E57">
        <w:rPr>
          <w:lang w:val="es-ES_tradnl"/>
        </w:rPr>
        <w:t>.</w:t>
      </w:r>
    </w:p>
    <w:p w14:paraId="39AB8B64" w14:textId="62678A57" w:rsidR="007B22B4" w:rsidRPr="00B25E57" w:rsidRDefault="004241C5" w:rsidP="00345E62">
      <w:pPr>
        <w:pStyle w:val="Heading1"/>
        <w:rPr>
          <w:lang w:val="es-ES_tradnl"/>
        </w:rPr>
      </w:pPr>
      <w:r w:rsidRPr="00B25E57">
        <w:rPr>
          <w:lang w:val="es-ES_tradnl"/>
        </w:rPr>
        <w:t>La</w:t>
      </w:r>
      <w:r w:rsidR="003A46A1" w:rsidRPr="00B25E57">
        <w:rPr>
          <w:lang w:val="es-ES_tradnl"/>
        </w:rPr>
        <w:t xml:space="preserve"> </w:t>
      </w:r>
      <w:r w:rsidR="004057BA" w:rsidRPr="00B25E57">
        <w:rPr>
          <w:lang w:val="es-ES_tradnl"/>
        </w:rPr>
        <w:t>evaluación</w:t>
      </w:r>
      <w:r w:rsidR="003A46A1" w:rsidRPr="00B25E57">
        <w:rPr>
          <w:lang w:val="es-ES_tradnl"/>
        </w:rPr>
        <w:t xml:space="preserve"> </w:t>
      </w:r>
      <w:r w:rsidR="00E434B2" w:rsidRPr="00B25E57">
        <w:rPr>
          <w:lang w:val="es-ES_tradnl"/>
        </w:rPr>
        <w:t>de</w:t>
      </w:r>
      <w:r w:rsidR="003A46A1" w:rsidRPr="00B25E57">
        <w:rPr>
          <w:lang w:val="es-ES_tradnl"/>
        </w:rPr>
        <w:t xml:space="preserve"> </w:t>
      </w:r>
      <w:r w:rsidR="00E434B2" w:rsidRPr="00B25E57">
        <w:rPr>
          <w:lang w:val="es-ES_tradnl"/>
        </w:rPr>
        <w:t>los</w:t>
      </w:r>
      <w:r w:rsidR="003A46A1" w:rsidRPr="00B25E57">
        <w:rPr>
          <w:lang w:val="es-ES_tradnl"/>
        </w:rPr>
        <w:t xml:space="preserve"> </w:t>
      </w:r>
      <w:r w:rsidR="00E434B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sidR="00FC2EC8">
        <w:rPr>
          <w:lang w:val="es-ES_tradnl"/>
        </w:rPr>
        <w:t xml:space="preserve">hecha por la </w:t>
      </w:r>
      <w:r w:rsidR="00FC2EC8" w:rsidRPr="00FC2EC8">
        <w:rPr>
          <w:lang w:val="es-ES_tradnl"/>
        </w:rPr>
        <w:t xml:space="preserve">Secretaría </w:t>
      </w:r>
      <w:r w:rsidR="00FC2EC8">
        <w:rPr>
          <w:lang w:val="es-ES_tradnl"/>
        </w:rPr>
        <w:t xml:space="preserve">se basó </w:t>
      </w:r>
      <w:r w:rsidR="00E373F0">
        <w:rPr>
          <w:lang w:val="es-ES_tradnl"/>
        </w:rPr>
        <w:t>e</w:t>
      </w:r>
      <w:r w:rsidR="00345E62" w:rsidRPr="00B25E57">
        <w:rPr>
          <w:lang w:val="es-ES_tradnl"/>
        </w:rPr>
        <w:t>n</w:t>
      </w:r>
      <w:r w:rsidR="003A46A1" w:rsidRPr="00B25E57">
        <w:rPr>
          <w:lang w:val="es-ES_tradnl"/>
        </w:rPr>
        <w:t xml:space="preserve"> </w:t>
      </w:r>
      <w:r w:rsidR="00E373F0">
        <w:rPr>
          <w:lang w:val="es-ES_tradnl"/>
        </w:rPr>
        <w:t>lo siguiente</w:t>
      </w:r>
      <w:r w:rsidR="00345E62" w:rsidRPr="00B25E57">
        <w:rPr>
          <w:lang w:val="es-ES_tradnl"/>
        </w:rPr>
        <w:t>:</w:t>
      </w:r>
    </w:p>
    <w:p w14:paraId="1BED65C8" w14:textId="1ED59EB2" w:rsidR="00345E62" w:rsidRPr="00B25E57" w:rsidRDefault="003D6B3B" w:rsidP="00117768">
      <w:pPr>
        <w:pStyle w:val="Heading2"/>
        <w:numPr>
          <w:ilvl w:val="1"/>
          <w:numId w:val="35"/>
        </w:numPr>
        <w:ind w:left="1417" w:hanging="708"/>
        <w:rPr>
          <w:rFonts w:cstheme="minorHAnsi"/>
          <w:lang w:val="es-ES_tradnl"/>
        </w:rPr>
      </w:pPr>
      <w:r w:rsidRPr="00B25E57">
        <w:rPr>
          <w:rFonts w:cstheme="minorHAnsi"/>
          <w:lang w:val="es-ES_tradnl"/>
        </w:rPr>
        <w:t>L</w:t>
      </w:r>
      <w:r w:rsidR="00FB38C2" w:rsidRPr="00B25E57">
        <w:rPr>
          <w:rFonts w:cstheme="minorHAnsi"/>
          <w:lang w:val="es-ES_tradnl"/>
        </w:rPr>
        <w:t>a</w:t>
      </w:r>
      <w:r>
        <w:rPr>
          <w:rFonts w:cstheme="minorHAnsi"/>
          <w:lang w:val="es-ES_tradnl"/>
        </w:rPr>
        <w:t xml:space="preserve"> </w:t>
      </w:r>
      <w:r w:rsidR="00FB38C2" w:rsidRPr="00B25E57">
        <w:rPr>
          <w:rFonts w:cstheme="minorHAnsi"/>
          <w:lang w:val="es-ES_tradnl"/>
        </w:rPr>
        <w:t>ONUDI</w:t>
      </w:r>
      <w:r w:rsidR="003A46A1" w:rsidRPr="00B25E57">
        <w:rPr>
          <w:rFonts w:cstheme="minorHAnsi"/>
          <w:lang w:val="es-ES_tradnl"/>
        </w:rPr>
        <w:t xml:space="preserve"> </w:t>
      </w:r>
      <w:r w:rsidR="005737F3">
        <w:rPr>
          <w:rFonts w:cstheme="minorHAnsi"/>
          <w:lang w:val="es-ES_tradnl"/>
        </w:rPr>
        <w:t xml:space="preserve">evaluó </w:t>
      </w:r>
      <w:r w:rsidR="00F82D57">
        <w:rPr>
          <w:rFonts w:cstheme="minorHAnsi"/>
          <w:lang w:val="es-ES_tradnl"/>
        </w:rPr>
        <w:t xml:space="preserve">los </w:t>
      </w:r>
      <w:r w:rsidR="00FB38C2" w:rsidRPr="00B25E57">
        <w:rPr>
          <w:rFonts w:cstheme="minorHAnsi"/>
          <w:lang w:val="es-ES_tradnl"/>
        </w:rPr>
        <w:t>sobrecostos</w:t>
      </w:r>
      <w:r w:rsidR="003A46A1" w:rsidRPr="00B25E57">
        <w:rPr>
          <w:rFonts w:cstheme="minorHAnsi"/>
          <w:lang w:val="es-ES_tradnl"/>
        </w:rPr>
        <w:t xml:space="preserve"> </w:t>
      </w:r>
      <w:r w:rsidR="00A47945">
        <w:rPr>
          <w:rFonts w:cstheme="minorHAnsi"/>
          <w:lang w:val="es-ES_tradnl"/>
        </w:rPr>
        <w:t xml:space="preserve">en base a </w:t>
      </w:r>
      <w:r w:rsidR="005737F3">
        <w:rPr>
          <w:rFonts w:cstheme="minorHAnsi"/>
          <w:lang w:val="es-ES_tradnl"/>
        </w:rPr>
        <w:t xml:space="preserve">una </w:t>
      </w:r>
      <w:r w:rsidR="00053975">
        <w:rPr>
          <w:rFonts w:cstheme="minorHAnsi"/>
          <w:lang w:val="es-ES_tradnl"/>
        </w:rPr>
        <w:t>producción anual</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FB38C2" w:rsidRPr="00B25E57">
        <w:rPr>
          <w:rFonts w:cstheme="minorHAnsi"/>
          <w:lang w:val="es-ES_tradnl"/>
        </w:rPr>
        <w:t>2.</w:t>
      </w:r>
      <w:r w:rsidR="00345E62" w:rsidRPr="00B25E57">
        <w:rPr>
          <w:rFonts w:cstheme="minorHAnsi"/>
          <w:lang w:val="es-ES_tradnl"/>
        </w:rPr>
        <w:t>000</w:t>
      </w:r>
      <w:r w:rsidR="003A46A1" w:rsidRPr="00B25E57">
        <w:rPr>
          <w:rFonts w:cstheme="minorHAnsi"/>
          <w:lang w:val="es-ES_tradnl"/>
        </w:rPr>
        <w:t xml:space="preserve"> </w:t>
      </w:r>
      <w:r w:rsidR="00FB38C2" w:rsidRPr="00B25E57">
        <w:rPr>
          <w:rFonts w:cstheme="minorHAnsi"/>
          <w:lang w:val="es-ES_tradnl"/>
        </w:rPr>
        <w:t>tm</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345E62" w:rsidRPr="00B25E57">
        <w:rPr>
          <w:rFonts w:cstheme="minorHAnsi"/>
          <w:lang w:val="es-ES_tradnl"/>
        </w:rPr>
        <w:t>HCFC</w:t>
      </w:r>
      <w:r w:rsidR="00BA7F82">
        <w:rPr>
          <w:rFonts w:cstheme="minorHAnsi"/>
          <w:lang w:val="es-ES_tradnl"/>
        </w:rPr>
        <w:noBreakHyphen/>
      </w:r>
      <w:r w:rsidR="00345E62" w:rsidRPr="00B25E57">
        <w:rPr>
          <w:rFonts w:cstheme="minorHAnsi"/>
          <w:lang w:val="es-ES_tradnl"/>
        </w:rPr>
        <w:t>22</w:t>
      </w:r>
      <w:r w:rsidR="003A46A1" w:rsidRPr="00B25E57">
        <w:rPr>
          <w:rFonts w:cstheme="minorHAnsi"/>
          <w:lang w:val="es-ES_tradnl"/>
        </w:rPr>
        <w:t xml:space="preserve"> </w:t>
      </w:r>
      <w:r w:rsidR="00A63629">
        <w:rPr>
          <w:rFonts w:cstheme="minorHAnsi"/>
          <w:lang w:val="es-ES_tradnl"/>
        </w:rPr>
        <w:t xml:space="preserve">en el período </w:t>
      </w:r>
      <w:r w:rsidR="00345E62" w:rsidRPr="00B25E57">
        <w:rPr>
          <w:rFonts w:cstheme="minorHAnsi"/>
          <w:lang w:val="es-ES_tradnl"/>
        </w:rPr>
        <w:t>2020</w:t>
      </w:r>
      <w:r w:rsidR="00FB38C2" w:rsidRPr="00B25E57">
        <w:rPr>
          <w:rFonts w:cstheme="minorHAnsi"/>
          <w:lang w:val="es-ES_tradnl"/>
        </w:rPr>
        <w:t>-</w:t>
      </w:r>
      <w:r w:rsidR="00345E62" w:rsidRPr="00B25E57">
        <w:rPr>
          <w:rFonts w:cstheme="minorHAnsi"/>
          <w:lang w:val="es-ES_tradnl"/>
        </w:rPr>
        <w:t>2024.</w:t>
      </w:r>
      <w:r w:rsidR="003A46A1" w:rsidRPr="00B25E57">
        <w:rPr>
          <w:rFonts w:cstheme="minorHAnsi"/>
          <w:lang w:val="es-ES_tradnl"/>
        </w:rPr>
        <w:t xml:space="preserve"> </w:t>
      </w:r>
      <w:r w:rsidR="008B1A9D">
        <w:rPr>
          <w:rFonts w:cstheme="minorHAnsi"/>
          <w:lang w:val="es-ES_tradnl"/>
        </w:rPr>
        <w:t xml:space="preserve">Habida cuenta </w:t>
      </w:r>
      <w:r w:rsidR="002D79E5">
        <w:rPr>
          <w:rFonts w:cstheme="minorHAnsi"/>
          <w:lang w:val="es-ES_tradnl"/>
        </w:rPr>
        <w:t xml:space="preserve">de las </w:t>
      </w:r>
      <w:r w:rsidR="002D79E5" w:rsidRPr="002D79E5">
        <w:rPr>
          <w:rFonts w:cstheme="minorHAnsi"/>
          <w:lang w:val="es-ES_tradnl"/>
        </w:rPr>
        <w:t xml:space="preserve">tendencias </w:t>
      </w:r>
      <w:r w:rsidR="002D79E5">
        <w:rPr>
          <w:rFonts w:cstheme="minorHAnsi"/>
          <w:lang w:val="es-ES_tradnl"/>
        </w:rPr>
        <w:t xml:space="preserve">de </w:t>
      </w:r>
      <w:r w:rsidR="004241C5" w:rsidRPr="00B25E57">
        <w:rPr>
          <w:rFonts w:cstheme="minorHAnsi"/>
          <w:lang w:val="es-ES_tradnl"/>
        </w:rPr>
        <w:t>consumo</w:t>
      </w:r>
      <w:r w:rsidR="003A46A1" w:rsidRPr="00B25E57">
        <w:rPr>
          <w:rFonts w:cstheme="minorHAnsi"/>
          <w:lang w:val="es-ES_tradnl"/>
        </w:rPr>
        <w:t xml:space="preserve"> </w:t>
      </w:r>
      <w:r w:rsidR="00FB38C2" w:rsidRPr="00B25E57">
        <w:rPr>
          <w:rFonts w:cstheme="minorHAnsi"/>
          <w:lang w:val="es-ES_tradnl"/>
        </w:rPr>
        <w:t>y</w:t>
      </w:r>
      <w:r w:rsidR="003A46A1" w:rsidRPr="00B25E57">
        <w:rPr>
          <w:rFonts w:cstheme="minorHAnsi"/>
          <w:lang w:val="es-ES_tradnl"/>
        </w:rPr>
        <w:t xml:space="preserve"> </w:t>
      </w:r>
      <w:r w:rsidR="004241C5" w:rsidRPr="00B25E57">
        <w:rPr>
          <w:rFonts w:cstheme="minorHAnsi"/>
          <w:lang w:val="es-ES_tradnl"/>
        </w:rPr>
        <w:t>producción</w:t>
      </w:r>
      <w:r w:rsidR="003A46A1" w:rsidRPr="00B25E57">
        <w:rPr>
          <w:rFonts w:cstheme="minorHAnsi"/>
          <w:lang w:val="es-ES_tradnl"/>
        </w:rPr>
        <w:t xml:space="preserve"> </w:t>
      </w:r>
      <w:r w:rsidR="004241C5" w:rsidRPr="00B25E57">
        <w:rPr>
          <w:rFonts w:cstheme="minorHAnsi"/>
          <w:lang w:val="es-ES_tradnl"/>
        </w:rPr>
        <w:t>en</w:t>
      </w:r>
      <w:r w:rsidR="003A46A1" w:rsidRPr="00B25E57">
        <w:rPr>
          <w:rFonts w:cstheme="minorHAnsi"/>
          <w:lang w:val="es-ES_tradnl"/>
        </w:rPr>
        <w:t xml:space="preserve"> </w:t>
      </w:r>
      <w:r w:rsidR="00C64193">
        <w:rPr>
          <w:rFonts w:cstheme="minorHAnsi"/>
          <w:lang w:val="es-ES_tradnl"/>
        </w:rPr>
        <w:t xml:space="preserve">la </w:t>
      </w:r>
      <w:r w:rsidR="00345E62" w:rsidRPr="00B25E57">
        <w:rPr>
          <w:rFonts w:cstheme="minorHAnsi"/>
          <w:lang w:val="es-ES_tradnl"/>
        </w:rPr>
        <w:t>Argentina</w:t>
      </w:r>
      <w:r w:rsidR="003A46A1" w:rsidRPr="00B25E57">
        <w:rPr>
          <w:rFonts w:cstheme="minorHAnsi"/>
          <w:lang w:val="es-ES_tradnl"/>
        </w:rPr>
        <w:t xml:space="preserve"> </w:t>
      </w:r>
      <w:r w:rsidR="00345E62" w:rsidRPr="00B25E57">
        <w:rPr>
          <w:rFonts w:cstheme="minorHAnsi"/>
          <w:lang w:val="es-ES_tradnl"/>
        </w:rPr>
        <w:t>(</w:t>
      </w:r>
      <w:r w:rsidR="00374900">
        <w:rPr>
          <w:rFonts w:cstheme="minorHAnsi"/>
          <w:lang w:val="es-ES_tradnl"/>
        </w:rPr>
        <w:t xml:space="preserve">véase </w:t>
      </w:r>
      <w:r w:rsidR="004241C5" w:rsidRPr="00B25E57">
        <w:rPr>
          <w:rFonts w:cstheme="minorHAnsi"/>
          <w:lang w:val="es-ES_tradnl"/>
        </w:rPr>
        <w:t>el</w:t>
      </w:r>
      <w:r w:rsidR="003A46A1" w:rsidRPr="00B25E57">
        <w:rPr>
          <w:rFonts w:cstheme="minorHAnsi"/>
          <w:lang w:val="es-ES_tradnl"/>
        </w:rPr>
        <w:t xml:space="preserve"> </w:t>
      </w:r>
      <w:r w:rsidR="004241C5" w:rsidRPr="00B25E57">
        <w:rPr>
          <w:rFonts w:cstheme="minorHAnsi"/>
          <w:lang w:val="es-ES_tradnl"/>
        </w:rPr>
        <w:t>Cuadro</w:t>
      </w:r>
      <w:r w:rsidR="003A46A1" w:rsidRPr="00B25E57">
        <w:rPr>
          <w:rFonts w:cstheme="minorHAnsi"/>
          <w:lang w:val="es-ES_tradnl"/>
        </w:rPr>
        <w:t xml:space="preserve"> </w:t>
      </w:r>
      <w:r w:rsidR="00665672" w:rsidRPr="00B25E57">
        <w:rPr>
          <w:rFonts w:cstheme="minorHAnsi"/>
          <w:lang w:val="es-ES_tradnl"/>
        </w:rPr>
        <w:t>1</w:t>
      </w:r>
      <w:r w:rsidR="00345E62" w:rsidRPr="00B25E57">
        <w:rPr>
          <w:rFonts w:cstheme="minorHAnsi"/>
          <w:lang w:val="es-ES_tradnl"/>
        </w:rPr>
        <w:t>),</w:t>
      </w:r>
      <w:r w:rsidR="003A46A1" w:rsidRPr="00B25E57">
        <w:rPr>
          <w:rFonts w:cstheme="minorHAnsi"/>
          <w:lang w:val="es-ES_tradnl"/>
        </w:rPr>
        <w:t xml:space="preserve"> </w:t>
      </w:r>
      <w:r w:rsidR="007A56C7">
        <w:rPr>
          <w:rFonts w:cstheme="minorHAnsi"/>
          <w:lang w:val="es-ES_tradnl"/>
        </w:rPr>
        <w:t xml:space="preserve">pronosticar </w:t>
      </w:r>
      <w:r w:rsidR="0036234F">
        <w:rPr>
          <w:rFonts w:cstheme="minorHAnsi"/>
          <w:lang w:val="es-ES_tradnl"/>
        </w:rPr>
        <w:t xml:space="preserve">una </w:t>
      </w:r>
      <w:r w:rsidR="004241C5" w:rsidRPr="00B25E57">
        <w:rPr>
          <w:rFonts w:cstheme="minorHAnsi"/>
          <w:lang w:val="es-ES_tradnl"/>
        </w:rPr>
        <w:t>producción</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FB38C2" w:rsidRPr="00B25E57">
        <w:rPr>
          <w:rFonts w:cstheme="minorHAnsi"/>
          <w:lang w:val="es-ES_tradnl"/>
        </w:rPr>
        <w:t>2.</w:t>
      </w:r>
      <w:r w:rsidR="00345E62" w:rsidRPr="00B25E57">
        <w:rPr>
          <w:rFonts w:cstheme="minorHAnsi"/>
          <w:lang w:val="es-ES_tradnl"/>
        </w:rPr>
        <w:t>000</w:t>
      </w:r>
      <w:r w:rsidR="003A46A1" w:rsidRPr="00B25E57">
        <w:rPr>
          <w:rFonts w:cstheme="minorHAnsi"/>
          <w:lang w:val="es-ES_tradnl"/>
        </w:rPr>
        <w:t xml:space="preserve"> </w:t>
      </w:r>
      <w:r w:rsidR="00FB38C2" w:rsidRPr="00B25E57">
        <w:rPr>
          <w:rFonts w:cstheme="minorHAnsi"/>
          <w:lang w:val="es-ES_tradnl"/>
        </w:rPr>
        <w:t>tm</w:t>
      </w:r>
      <w:r w:rsidR="003A46A1" w:rsidRPr="00B25E57">
        <w:rPr>
          <w:rFonts w:cstheme="minorHAnsi"/>
          <w:lang w:val="es-ES_tradnl"/>
        </w:rPr>
        <w:t xml:space="preserve"> </w:t>
      </w:r>
      <w:r w:rsidR="0036234F">
        <w:rPr>
          <w:rFonts w:cstheme="minorHAnsi"/>
          <w:lang w:val="es-ES_tradnl"/>
        </w:rPr>
        <w:t xml:space="preserve">resulta </w:t>
      </w:r>
      <w:r w:rsidR="00FB566A">
        <w:rPr>
          <w:rFonts w:cstheme="minorHAnsi"/>
          <w:lang w:val="es-ES_tradnl"/>
        </w:rPr>
        <w:t>algo</w:t>
      </w:r>
      <w:r w:rsidR="00A675E3">
        <w:rPr>
          <w:rFonts w:cstheme="minorHAnsi"/>
          <w:lang w:val="es-ES_tradnl"/>
        </w:rPr>
        <w:t xml:space="preserve"> elevado</w:t>
      </w:r>
      <w:r w:rsidR="00345E62" w:rsidRPr="00B25E57">
        <w:rPr>
          <w:rFonts w:cstheme="minorHAnsi"/>
          <w:lang w:val="es-ES_tradnl"/>
        </w:rPr>
        <w:t>.</w:t>
      </w:r>
      <w:r w:rsidR="003A46A1" w:rsidRPr="00B25E57">
        <w:rPr>
          <w:rFonts w:cstheme="minorHAnsi"/>
          <w:lang w:val="es-ES_tradnl"/>
        </w:rPr>
        <w:t xml:space="preserve"> </w:t>
      </w:r>
      <w:r w:rsidR="005F6503">
        <w:rPr>
          <w:rFonts w:cstheme="minorHAnsi"/>
          <w:lang w:val="es-ES_tradnl"/>
        </w:rPr>
        <w:t>Con arreglo a</w:t>
      </w:r>
      <w:r w:rsidR="003A46A1" w:rsidRPr="00B25E57">
        <w:rPr>
          <w:rFonts w:cstheme="minorHAnsi"/>
          <w:lang w:val="es-ES_tradnl"/>
        </w:rPr>
        <w:t xml:space="preserve"> </w:t>
      </w:r>
      <w:r w:rsidR="00A4343B" w:rsidRPr="00B25E57">
        <w:rPr>
          <w:rFonts w:cstheme="minorHAnsi"/>
          <w:lang w:val="es-ES_tradnl"/>
        </w:rPr>
        <w:t>la</w:t>
      </w:r>
      <w:r w:rsidR="003A46A1" w:rsidRPr="00B25E57">
        <w:rPr>
          <w:rFonts w:cstheme="minorHAnsi"/>
          <w:lang w:val="es-ES_tradnl"/>
        </w:rPr>
        <w:t xml:space="preserve"> </w:t>
      </w:r>
      <w:r w:rsidR="00A4343B" w:rsidRPr="00B25E57">
        <w:rPr>
          <w:rFonts w:cstheme="minorHAnsi"/>
          <w:lang w:val="es-ES_tradnl"/>
        </w:rPr>
        <w:t>decisión</w:t>
      </w:r>
      <w:r w:rsidR="003A46A1" w:rsidRPr="00B25E57">
        <w:rPr>
          <w:rFonts w:cstheme="minorHAnsi"/>
          <w:lang w:val="es-ES_tradnl"/>
        </w:rPr>
        <w:t xml:space="preserve"> </w:t>
      </w:r>
      <w:r w:rsidR="00DB2D22">
        <w:rPr>
          <w:rFonts w:cstheme="minorHAnsi"/>
          <w:lang w:val="es-ES_tradnl"/>
        </w:rPr>
        <w:t>d</w:t>
      </w:r>
      <w:r w:rsidR="004512EA" w:rsidRPr="00B25E57">
        <w:rPr>
          <w:rFonts w:cstheme="minorHAnsi"/>
          <w:lang w:val="es-ES_tradnl"/>
        </w:rPr>
        <w:t>el</w:t>
      </w:r>
      <w:r w:rsidR="003A46A1" w:rsidRPr="00B25E57">
        <w:rPr>
          <w:rFonts w:cstheme="minorHAnsi"/>
          <w:lang w:val="es-ES_tradnl"/>
        </w:rPr>
        <w:t xml:space="preserve"> </w:t>
      </w:r>
      <w:r w:rsidR="004512EA" w:rsidRPr="00B25E57">
        <w:rPr>
          <w:rFonts w:cstheme="minorHAnsi"/>
          <w:lang w:val="es-ES_tradnl"/>
        </w:rPr>
        <w:t>párrafo</w:t>
      </w:r>
      <w:r w:rsidR="003A46A1" w:rsidRPr="00B25E57">
        <w:rPr>
          <w:rFonts w:cstheme="minorHAnsi"/>
          <w:lang w:val="es-ES_tradnl"/>
        </w:rPr>
        <w:t xml:space="preserve"> </w:t>
      </w:r>
      <w:r w:rsidR="00345E62" w:rsidRPr="00B25E57">
        <w:rPr>
          <w:rFonts w:cstheme="minorHAnsi"/>
          <w:lang w:val="es-ES_tradnl"/>
        </w:rPr>
        <w:t>32(b)</w:t>
      </w:r>
      <w:r w:rsidR="003A46A1" w:rsidRPr="00B25E57">
        <w:rPr>
          <w:rFonts w:cstheme="minorHAnsi"/>
          <w:lang w:val="es-ES_tradnl"/>
        </w:rPr>
        <w:t xml:space="preserve"> </w:t>
      </w:r>
      <w:r w:rsidR="00F33C58" w:rsidRPr="00B25E57">
        <w:rPr>
          <w:rFonts w:cstheme="minorHAnsi"/>
          <w:lang w:val="es-ES_tradnl"/>
        </w:rPr>
        <w:t>del</w:t>
      </w:r>
      <w:r w:rsidR="003A46A1" w:rsidRPr="00B25E57">
        <w:rPr>
          <w:rFonts w:cstheme="minorHAnsi"/>
          <w:lang w:val="es-ES_tradnl"/>
        </w:rPr>
        <w:t xml:space="preserve"> </w:t>
      </w:r>
      <w:r w:rsidR="00F33C58" w:rsidRPr="00B25E57">
        <w:rPr>
          <w:rFonts w:cstheme="minorHAnsi"/>
          <w:lang w:val="es-ES_tradnl"/>
        </w:rPr>
        <w:t>documento</w:t>
      </w:r>
      <w:r w:rsidR="003A46A1" w:rsidRPr="00B25E57">
        <w:rPr>
          <w:rFonts w:cstheme="minorHAnsi"/>
          <w:lang w:val="es-ES_tradnl"/>
        </w:rPr>
        <w:t xml:space="preserve"> </w:t>
      </w:r>
      <w:r w:rsidR="00862A82" w:rsidRPr="00B25E57">
        <w:rPr>
          <w:rFonts w:cstheme="minorHAnsi"/>
          <w:lang w:val="es-ES_tradnl"/>
        </w:rPr>
        <w:t>UNEP/OzL.Pro</w:t>
      </w:r>
      <w:r w:rsidR="00345E62" w:rsidRPr="00B25E57">
        <w:rPr>
          <w:rFonts w:cstheme="minorHAnsi"/>
          <w:lang w:val="es-ES_tradnl"/>
        </w:rPr>
        <w:t>/ExCom/16/2</w:t>
      </w:r>
      <w:r w:rsidR="004D08AD">
        <w:rPr>
          <w:rFonts w:cstheme="minorHAnsi"/>
          <w:lang w:val="es-ES_tradnl"/>
        </w:rPr>
        <w:t xml:space="preserve">0, </w:t>
      </w:r>
      <w:r w:rsidR="004241C5" w:rsidRPr="00B25E57">
        <w:rPr>
          <w:rFonts w:cstheme="minorHAnsi"/>
          <w:lang w:val="es-ES_tradnl"/>
        </w:rPr>
        <w:t>la</w:t>
      </w:r>
      <w:r w:rsidR="003A46A1" w:rsidRPr="00B25E57">
        <w:rPr>
          <w:rFonts w:cstheme="minorHAnsi"/>
          <w:lang w:val="es-ES_tradnl"/>
        </w:rPr>
        <w:t xml:space="preserve"> </w:t>
      </w:r>
      <w:r w:rsidR="004241C5" w:rsidRPr="00B25E57">
        <w:rPr>
          <w:rFonts w:cstheme="minorHAnsi"/>
          <w:lang w:val="es-ES_tradnl"/>
        </w:rPr>
        <w:t>Secretaría</w:t>
      </w:r>
      <w:r w:rsidR="003A46A1" w:rsidRPr="00B25E57">
        <w:rPr>
          <w:rFonts w:cstheme="minorHAnsi"/>
          <w:lang w:val="es-ES_tradnl"/>
        </w:rPr>
        <w:t xml:space="preserve"> </w:t>
      </w:r>
      <w:r w:rsidR="002533D9">
        <w:rPr>
          <w:rFonts w:cstheme="minorHAnsi"/>
          <w:lang w:val="es-ES_tradnl"/>
        </w:rPr>
        <w:t>estima</w:t>
      </w:r>
      <w:r w:rsidR="003A46A1" w:rsidRPr="00B25E57">
        <w:rPr>
          <w:rFonts w:cstheme="minorHAnsi"/>
          <w:lang w:val="es-ES_tradnl"/>
        </w:rPr>
        <w:t xml:space="preserve"> </w:t>
      </w:r>
      <w:r w:rsidR="00732B72">
        <w:rPr>
          <w:rFonts w:cstheme="minorHAnsi"/>
          <w:lang w:val="es-ES_tradnl"/>
        </w:rPr>
        <w:t xml:space="preserve">que </w:t>
      </w:r>
      <w:r w:rsidR="00147277" w:rsidRPr="00B25E57">
        <w:rPr>
          <w:rFonts w:cstheme="minorHAnsi"/>
          <w:lang w:val="es-ES_tradnl"/>
        </w:rPr>
        <w:t>el</w:t>
      </w:r>
      <w:r w:rsidR="003A46A1" w:rsidRPr="00B25E57">
        <w:rPr>
          <w:rFonts w:cstheme="minorHAnsi"/>
          <w:lang w:val="es-ES_tradnl"/>
        </w:rPr>
        <w:t xml:space="preserve"> </w:t>
      </w:r>
      <w:r w:rsidR="00147277" w:rsidRPr="00B25E57">
        <w:rPr>
          <w:rFonts w:cstheme="minorHAnsi"/>
          <w:lang w:val="es-ES_tradnl"/>
        </w:rPr>
        <w:t>promedio</w:t>
      </w:r>
      <w:r w:rsidR="003A46A1" w:rsidRPr="00B25E57">
        <w:rPr>
          <w:rFonts w:cstheme="minorHAnsi"/>
          <w:lang w:val="es-ES_tradnl"/>
        </w:rPr>
        <w:t xml:space="preserve"> </w:t>
      </w:r>
      <w:r w:rsidR="00732B72">
        <w:rPr>
          <w:rFonts w:cstheme="minorHAnsi"/>
          <w:lang w:val="es-ES_tradnl"/>
        </w:rPr>
        <w:t xml:space="preserve">de los </w:t>
      </w:r>
      <w:r w:rsidR="00FB38C2" w:rsidRPr="00B25E57">
        <w:rPr>
          <w:rFonts w:cstheme="minorHAnsi"/>
          <w:lang w:val="es-ES_tradnl"/>
        </w:rPr>
        <w:t>tres</w:t>
      </w:r>
      <w:r w:rsidR="003A46A1" w:rsidRPr="00B25E57">
        <w:rPr>
          <w:rFonts w:cstheme="minorHAnsi"/>
          <w:lang w:val="es-ES_tradnl"/>
        </w:rPr>
        <w:t xml:space="preserve"> </w:t>
      </w:r>
      <w:r w:rsidR="008A3316" w:rsidRPr="00B25E57">
        <w:rPr>
          <w:rFonts w:cstheme="minorHAnsi"/>
          <w:lang w:val="es-ES_tradnl"/>
        </w:rPr>
        <w:t>años</w:t>
      </w:r>
      <w:r w:rsidR="003A46A1" w:rsidRPr="00B25E57">
        <w:rPr>
          <w:rFonts w:cstheme="minorHAnsi"/>
          <w:lang w:val="es-ES_tradnl"/>
        </w:rPr>
        <w:t xml:space="preserve"> </w:t>
      </w:r>
      <w:r w:rsidR="00BC1160">
        <w:rPr>
          <w:rFonts w:cstheme="minorHAnsi"/>
          <w:lang w:val="es-ES_tradnl"/>
        </w:rPr>
        <w:t xml:space="preserve">anteriores a la </w:t>
      </w:r>
      <w:r w:rsidR="00F942C6" w:rsidRPr="00B25E57">
        <w:rPr>
          <w:rFonts w:cstheme="minorHAnsi"/>
          <w:lang w:val="es-ES_tradnl"/>
        </w:rPr>
        <w:t>preparación de</w:t>
      </w:r>
      <w:r w:rsidR="00E251B3">
        <w:rPr>
          <w:rFonts w:cstheme="minorHAnsi"/>
          <w:lang w:val="es-ES_tradnl"/>
        </w:rPr>
        <w:t>l proyecto</w:t>
      </w:r>
      <w:r w:rsidR="003A46A1" w:rsidRPr="00B25E57">
        <w:rPr>
          <w:rFonts w:cstheme="minorHAnsi"/>
          <w:lang w:val="es-ES_tradnl"/>
        </w:rPr>
        <w:t xml:space="preserve"> </w:t>
      </w:r>
      <w:r w:rsidR="00345E62" w:rsidRPr="00B25E57">
        <w:rPr>
          <w:rFonts w:cstheme="minorHAnsi"/>
          <w:lang w:val="es-ES_tradnl"/>
        </w:rPr>
        <w:t>(</w:t>
      </w:r>
      <w:r w:rsidR="00FB38C2" w:rsidRPr="00B25E57">
        <w:rPr>
          <w:rFonts w:cstheme="minorHAnsi"/>
          <w:lang w:val="es-ES_tradnl"/>
        </w:rPr>
        <w:t>1.</w:t>
      </w:r>
      <w:r w:rsidR="00345E62" w:rsidRPr="00B25E57">
        <w:rPr>
          <w:rFonts w:cstheme="minorHAnsi"/>
          <w:lang w:val="es-ES_tradnl"/>
        </w:rPr>
        <w:t>586</w:t>
      </w:r>
      <w:r w:rsidR="003A46A1" w:rsidRPr="00B25E57">
        <w:rPr>
          <w:rFonts w:cstheme="minorHAnsi"/>
          <w:lang w:val="es-ES_tradnl"/>
        </w:rPr>
        <w:t xml:space="preserve"> </w:t>
      </w:r>
      <w:r w:rsidR="00FB38C2" w:rsidRPr="00B25E57">
        <w:rPr>
          <w:rFonts w:cstheme="minorHAnsi"/>
          <w:lang w:val="es-ES_tradnl"/>
        </w:rPr>
        <w:t>tm</w:t>
      </w:r>
      <w:r w:rsidR="00AB317F">
        <w:rPr>
          <w:rFonts w:cstheme="minorHAnsi"/>
          <w:lang w:val="es-ES_tradnl"/>
        </w:rPr>
        <w:t>/año</w:t>
      </w:r>
      <w:r w:rsidR="00345E62" w:rsidRPr="00B25E57">
        <w:rPr>
          <w:rFonts w:cstheme="minorHAnsi"/>
          <w:lang w:val="es-ES_tradnl"/>
        </w:rPr>
        <w:t>)</w:t>
      </w:r>
      <w:r w:rsidR="003A46A1" w:rsidRPr="00B25E57">
        <w:rPr>
          <w:rFonts w:cstheme="minorHAnsi"/>
          <w:lang w:val="es-ES_tradnl"/>
        </w:rPr>
        <w:t xml:space="preserve"> </w:t>
      </w:r>
      <w:r w:rsidR="00A411DB">
        <w:rPr>
          <w:rFonts w:cstheme="minorHAnsi"/>
          <w:lang w:val="es-ES_tradnl"/>
        </w:rPr>
        <w:t xml:space="preserve">constituye una base adecuada </w:t>
      </w:r>
      <w:r w:rsidR="004057BA" w:rsidRPr="00B25E57">
        <w:rPr>
          <w:rFonts w:cstheme="minorHAnsi"/>
          <w:lang w:val="es-ES_tradnl"/>
        </w:rPr>
        <w:t>para</w:t>
      </w:r>
      <w:r w:rsidR="003A46A1" w:rsidRPr="00B25E57">
        <w:rPr>
          <w:rFonts w:cstheme="minorHAnsi"/>
          <w:lang w:val="es-ES_tradnl"/>
        </w:rPr>
        <w:t xml:space="preserve"> </w:t>
      </w:r>
      <w:r w:rsidR="007A3CDA">
        <w:rPr>
          <w:rFonts w:cstheme="minorHAnsi"/>
          <w:lang w:val="es-ES_tradnl"/>
        </w:rPr>
        <w:t xml:space="preserve">estimar </w:t>
      </w:r>
      <w:r w:rsidR="004057BA" w:rsidRPr="00B25E57">
        <w:rPr>
          <w:rFonts w:cstheme="minorHAnsi"/>
          <w:lang w:val="es-ES_tradnl"/>
        </w:rPr>
        <w:t>el</w:t>
      </w:r>
      <w:r w:rsidR="003A46A1" w:rsidRPr="00B25E57">
        <w:rPr>
          <w:rFonts w:cstheme="minorHAnsi"/>
          <w:lang w:val="es-ES_tradnl"/>
        </w:rPr>
        <w:t xml:space="preserve"> </w:t>
      </w:r>
      <w:r w:rsidR="004241C5" w:rsidRPr="00B25E57">
        <w:rPr>
          <w:rFonts w:cstheme="minorHAnsi"/>
          <w:lang w:val="es-ES_tradnl"/>
        </w:rPr>
        <w:t>nivel</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4241C5" w:rsidRPr="00B25E57">
        <w:rPr>
          <w:rFonts w:cstheme="minorHAnsi"/>
          <w:lang w:val="es-ES_tradnl"/>
        </w:rPr>
        <w:t>producción</w:t>
      </w:r>
      <w:r w:rsidR="003A46A1" w:rsidRPr="00B25E57">
        <w:rPr>
          <w:rFonts w:cstheme="minorHAnsi"/>
          <w:lang w:val="es-ES_tradnl"/>
        </w:rPr>
        <w:t xml:space="preserve"> </w:t>
      </w:r>
      <w:r w:rsidR="00A411DB">
        <w:rPr>
          <w:rFonts w:cstheme="minorHAnsi"/>
          <w:lang w:val="es-ES_tradnl"/>
        </w:rPr>
        <w:t xml:space="preserve">para el período </w:t>
      </w:r>
      <w:r w:rsidR="00345E62" w:rsidRPr="00B25E57">
        <w:rPr>
          <w:rFonts w:cstheme="minorHAnsi"/>
          <w:lang w:val="es-ES_tradnl"/>
        </w:rPr>
        <w:t>2020</w:t>
      </w:r>
      <w:r w:rsidR="00FB38C2" w:rsidRPr="00B25E57">
        <w:rPr>
          <w:rFonts w:cstheme="minorHAnsi"/>
          <w:lang w:val="es-ES_tradnl"/>
        </w:rPr>
        <w:t>-</w:t>
      </w:r>
      <w:r w:rsidR="00345E62" w:rsidRPr="00B25E57">
        <w:rPr>
          <w:rFonts w:cstheme="minorHAnsi"/>
          <w:lang w:val="es-ES_tradnl"/>
        </w:rPr>
        <w:t>2023.</w:t>
      </w:r>
      <w:r w:rsidR="003A46A1" w:rsidRPr="00B25E57">
        <w:rPr>
          <w:rFonts w:cstheme="minorHAnsi"/>
          <w:lang w:val="es-ES_tradnl"/>
        </w:rPr>
        <w:t xml:space="preserve"> </w:t>
      </w:r>
      <w:r w:rsidR="000B6859">
        <w:rPr>
          <w:rFonts w:cstheme="minorHAnsi"/>
          <w:lang w:val="es-ES_tradnl"/>
        </w:rPr>
        <w:t xml:space="preserve">En concordancia </w:t>
      </w:r>
      <w:r w:rsidR="00C423D5" w:rsidRPr="00C423D5">
        <w:rPr>
          <w:rFonts w:cstheme="minorHAnsi"/>
          <w:lang w:val="es-ES_tradnl"/>
        </w:rPr>
        <w:t xml:space="preserve">con </w:t>
      </w:r>
      <w:r w:rsidR="006C69F2">
        <w:rPr>
          <w:rFonts w:cstheme="minorHAnsi"/>
          <w:lang w:val="es-ES_tradnl"/>
        </w:rPr>
        <w:t xml:space="preserve">la </w:t>
      </w:r>
      <w:r w:rsidR="00C423D5" w:rsidRPr="00C423D5">
        <w:rPr>
          <w:rFonts w:cstheme="minorHAnsi"/>
          <w:lang w:val="es-ES_tradnl"/>
        </w:rPr>
        <w:lastRenderedPageBreak/>
        <w:t>auditoría técnica</w:t>
      </w:r>
      <w:r w:rsidR="00C423D5">
        <w:rPr>
          <w:rFonts w:cstheme="minorHAnsi"/>
          <w:lang w:val="es-ES_tradnl"/>
        </w:rPr>
        <w:t>, se estima que la p</w:t>
      </w:r>
      <w:r w:rsidR="004241C5" w:rsidRPr="00B25E57">
        <w:rPr>
          <w:rFonts w:cstheme="minorHAnsi"/>
          <w:lang w:val="es-ES_tradnl"/>
        </w:rPr>
        <w:t>roducción</w:t>
      </w:r>
      <w:r w:rsidR="00A92821">
        <w:rPr>
          <w:rFonts w:cstheme="minorHAnsi"/>
          <w:lang w:val="es-ES_tradnl"/>
        </w:rPr>
        <w:t xml:space="preserve"> llegará a su fin</w:t>
      </w:r>
      <w:r w:rsidR="00CF7DBC">
        <w:rPr>
          <w:rFonts w:cstheme="minorHAnsi"/>
          <w:lang w:val="es-ES_tradnl"/>
        </w:rPr>
        <w:t xml:space="preserve"> el </w:t>
      </w:r>
      <w:r w:rsidR="004512EA" w:rsidRPr="00B25E57">
        <w:rPr>
          <w:rFonts w:cstheme="minorHAnsi"/>
          <w:lang w:val="es-ES_tradnl"/>
        </w:rPr>
        <w:t>1º</w:t>
      </w:r>
      <w:r w:rsidR="003A46A1" w:rsidRPr="00B25E57">
        <w:rPr>
          <w:rFonts w:cstheme="minorHAnsi"/>
          <w:lang w:val="es-ES_tradnl"/>
        </w:rPr>
        <w:t xml:space="preserve"> </w:t>
      </w:r>
      <w:r w:rsidR="004512EA" w:rsidRPr="00B25E57">
        <w:rPr>
          <w:rFonts w:cstheme="minorHAnsi"/>
          <w:lang w:val="es-ES_tradnl"/>
        </w:rPr>
        <w:t>de</w:t>
      </w:r>
      <w:r w:rsidR="003A46A1" w:rsidRPr="00B25E57">
        <w:rPr>
          <w:rFonts w:cstheme="minorHAnsi"/>
          <w:lang w:val="es-ES_tradnl"/>
        </w:rPr>
        <w:t xml:space="preserve"> </w:t>
      </w:r>
      <w:r w:rsidR="004512EA" w:rsidRPr="00B25E57">
        <w:rPr>
          <w:rFonts w:cstheme="minorHAnsi"/>
          <w:lang w:val="es-ES_tradnl"/>
        </w:rPr>
        <w:t>enero</w:t>
      </w:r>
      <w:r w:rsidR="003A46A1" w:rsidRPr="00B25E57">
        <w:rPr>
          <w:rFonts w:cstheme="minorHAnsi"/>
          <w:lang w:val="es-ES_tradnl"/>
        </w:rPr>
        <w:t xml:space="preserve"> </w:t>
      </w:r>
      <w:r w:rsidR="00FB38C2" w:rsidRPr="00B25E57">
        <w:rPr>
          <w:rFonts w:cstheme="minorHAnsi"/>
          <w:lang w:val="es-ES_tradnl"/>
        </w:rPr>
        <w:t>de</w:t>
      </w:r>
      <w:r w:rsidR="003A46A1" w:rsidRPr="00B25E57">
        <w:rPr>
          <w:rFonts w:cstheme="minorHAnsi"/>
          <w:lang w:val="es-ES_tradnl"/>
        </w:rPr>
        <w:t xml:space="preserve"> </w:t>
      </w:r>
      <w:r w:rsidR="00345E62" w:rsidRPr="00B25E57">
        <w:rPr>
          <w:rFonts w:cstheme="minorHAnsi"/>
          <w:lang w:val="es-ES_tradnl"/>
        </w:rPr>
        <w:t>202</w:t>
      </w:r>
      <w:r w:rsidR="00C423D5">
        <w:rPr>
          <w:rFonts w:cstheme="minorHAnsi"/>
          <w:lang w:val="es-ES_tradnl"/>
        </w:rPr>
        <w:t>4</w:t>
      </w:r>
      <w:r w:rsidR="00345E62" w:rsidRPr="00B25E57">
        <w:rPr>
          <w:rFonts w:cstheme="minorHAnsi"/>
          <w:lang w:val="es-ES_tradnl"/>
        </w:rPr>
        <w:t>;</w:t>
      </w:r>
    </w:p>
    <w:p w14:paraId="7D665DCB" w14:textId="107B8D63" w:rsidR="00345E62" w:rsidRPr="00B25E57" w:rsidRDefault="00C456E6" w:rsidP="00C1238D">
      <w:pPr>
        <w:pStyle w:val="Heading2"/>
        <w:keepNext/>
        <w:keepLines/>
        <w:widowControl/>
        <w:numPr>
          <w:ilvl w:val="1"/>
          <w:numId w:val="35"/>
        </w:numPr>
        <w:ind w:left="1418" w:hanging="709"/>
        <w:rPr>
          <w:lang w:val="es-ES_tradnl"/>
        </w:rPr>
      </w:pPr>
      <w:r>
        <w:rPr>
          <w:lang w:val="es-ES_tradnl"/>
        </w:rPr>
        <w:t>Coincidente</w:t>
      </w:r>
      <w:r w:rsidR="003A46A1" w:rsidRPr="00B25E57">
        <w:rPr>
          <w:lang w:val="es-ES_tradnl"/>
        </w:rPr>
        <w:t xml:space="preserve"> </w:t>
      </w:r>
      <w:r w:rsidR="004241C5" w:rsidRPr="00B25E57">
        <w:rPr>
          <w:lang w:val="es-ES_tradnl"/>
        </w:rPr>
        <w:t>con</w:t>
      </w:r>
      <w:r w:rsidR="003A46A1" w:rsidRPr="00B25E57">
        <w:rPr>
          <w:lang w:val="es-ES_tradnl"/>
        </w:rPr>
        <w:t xml:space="preserve"> </w:t>
      </w:r>
      <w:r w:rsidR="00C322C0">
        <w:rPr>
          <w:lang w:val="es-ES_tradnl"/>
        </w:rPr>
        <w:t xml:space="preserve">la </w:t>
      </w:r>
      <w:r w:rsidR="00862A82" w:rsidRPr="00B25E57">
        <w:rPr>
          <w:lang w:val="es-ES_tradnl"/>
        </w:rPr>
        <w:t>propuesta</w:t>
      </w:r>
      <w:r w:rsidR="00C322C0" w:rsidRPr="00216433">
        <w:rPr>
          <w:lang w:val="es-ES"/>
        </w:rPr>
        <w:t xml:space="preserve"> </w:t>
      </w:r>
      <w:r w:rsidR="00C322C0" w:rsidRPr="00C322C0">
        <w:rPr>
          <w:lang w:val="es-ES_tradnl"/>
        </w:rPr>
        <w:t>de la ONUDI</w:t>
      </w:r>
      <w:r w:rsidR="00345E62" w:rsidRPr="00B25E57">
        <w:rPr>
          <w:lang w:val="es-ES_tradnl"/>
        </w:rPr>
        <w:t>,</w:t>
      </w:r>
      <w:r w:rsidR="003A46A1" w:rsidRPr="00B25E57">
        <w:rPr>
          <w:lang w:val="es-ES_tradnl"/>
        </w:rPr>
        <w:t xml:space="preserve"> </w:t>
      </w:r>
      <w:r>
        <w:rPr>
          <w:lang w:val="es-ES_tradnl"/>
        </w:rPr>
        <w:t>un</w:t>
      </w:r>
      <w:r w:rsidR="00345E62" w:rsidRPr="00B25E57">
        <w:rPr>
          <w:lang w:val="es-ES_tradnl"/>
        </w:rPr>
        <w:t>a</w:t>
      </w:r>
      <w:r w:rsidR="003A46A1" w:rsidRPr="00B25E57">
        <w:rPr>
          <w:lang w:val="es-ES_tradnl"/>
        </w:rPr>
        <w:t xml:space="preserve"> </w:t>
      </w:r>
      <w:r>
        <w:rPr>
          <w:lang w:val="es-ES_tradnl"/>
        </w:rPr>
        <w:t>tasa de generación del subproducto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3</w:t>
      </w:r>
      <w:r w:rsidR="00903F8F">
        <w:rPr>
          <w:lang w:val="es-ES_tradnl"/>
        </w:rPr>
        <w:t>,</w:t>
      </w:r>
      <w:r w:rsidR="00345E62" w:rsidRPr="00B25E57">
        <w:rPr>
          <w:lang w:val="es-ES_tradnl"/>
        </w:rPr>
        <w:t>24</w:t>
      </w:r>
      <w:r w:rsidR="00FB38C2" w:rsidRPr="00B25E57">
        <w:rPr>
          <w:lang w:val="es-ES_tradnl"/>
        </w:rPr>
        <w:t>%</w:t>
      </w:r>
      <w:r w:rsidR="00345E62" w:rsidRPr="00B25E57">
        <w:rPr>
          <w:lang w:val="es-ES_tradnl"/>
        </w:rPr>
        <w:t>,</w:t>
      </w:r>
      <w:r w:rsidR="003A46A1" w:rsidRPr="00B25E57">
        <w:rPr>
          <w:lang w:val="es-ES_tradnl"/>
        </w:rPr>
        <w:t xml:space="preserve"> </w:t>
      </w:r>
      <w:r w:rsidR="00796228">
        <w:rPr>
          <w:lang w:val="es-ES_tradnl"/>
        </w:rPr>
        <w:t xml:space="preserve">equivalente a </w:t>
      </w:r>
      <w:r w:rsidR="00F942C6" w:rsidRPr="00B25E57">
        <w:rPr>
          <w:lang w:val="es-ES_tradnl"/>
        </w:rPr>
        <w:t>un</w:t>
      </w:r>
      <w:r w:rsidR="00482621">
        <w:rPr>
          <w:lang w:val="es-ES_tradnl"/>
        </w:rPr>
        <w:t>a</w:t>
      </w:r>
      <w:r w:rsidR="00482621" w:rsidRPr="00216433">
        <w:rPr>
          <w:lang w:val="es-ES"/>
        </w:rPr>
        <w:t xml:space="preserve"> </w:t>
      </w:r>
      <w:r w:rsidR="00482621" w:rsidRPr="00482621">
        <w:rPr>
          <w:lang w:val="es-ES_tradnl"/>
        </w:rPr>
        <w:t>generación</w:t>
      </w:r>
      <w:r w:rsidR="003A46A1" w:rsidRPr="00B25E57">
        <w:rPr>
          <w:lang w:val="es-ES_tradnl"/>
        </w:rPr>
        <w:t xml:space="preserve"> anual </w:t>
      </w:r>
      <w:r w:rsidR="00482621">
        <w:rPr>
          <w:lang w:val="es-ES_tradnl"/>
        </w:rPr>
        <w:t xml:space="preserve">de </w:t>
      </w:r>
      <w:r w:rsidR="004512EA" w:rsidRPr="00B25E57">
        <w:rPr>
          <w:lang w:val="es-ES_tradnl"/>
        </w:rPr>
        <w:t>HFC-23</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903F8F">
        <w:rPr>
          <w:lang w:val="es-ES_tradnl"/>
        </w:rPr>
        <w:t>51,</w:t>
      </w:r>
      <w:r w:rsidR="00345E62" w:rsidRPr="00B25E57">
        <w:rPr>
          <w:lang w:val="es-ES_tradnl"/>
        </w:rPr>
        <w:t>4</w:t>
      </w:r>
      <w:r w:rsidR="003A46A1" w:rsidRPr="00B25E57">
        <w:rPr>
          <w:lang w:val="es-ES_tradnl"/>
        </w:rPr>
        <w:t xml:space="preserve"> </w:t>
      </w:r>
      <w:r w:rsidR="00FB38C2" w:rsidRPr="00B25E57">
        <w:rPr>
          <w:lang w:val="es-ES_tradnl"/>
        </w:rPr>
        <w:t>tm</w:t>
      </w:r>
      <w:r w:rsidR="00345E62" w:rsidRPr="00B25E57">
        <w:rPr>
          <w:lang w:val="es-ES_tradnl"/>
        </w:rPr>
        <w:t>;</w:t>
      </w:r>
    </w:p>
    <w:p w14:paraId="379F4BAA" w14:textId="7F3358A5" w:rsidR="007B22B4" w:rsidRPr="002B588F" w:rsidRDefault="00D63926" w:rsidP="00117768">
      <w:pPr>
        <w:pStyle w:val="Heading2"/>
        <w:numPr>
          <w:ilvl w:val="1"/>
          <w:numId w:val="35"/>
        </w:numPr>
        <w:ind w:left="1417" w:hanging="708"/>
        <w:rPr>
          <w:lang w:val="es-ES_tradnl"/>
        </w:rPr>
      </w:pPr>
      <w:r>
        <w:rPr>
          <w:lang w:val="es-ES_tradnl"/>
        </w:rPr>
        <w:t xml:space="preserve">Conforme al </w:t>
      </w:r>
      <w:r w:rsidR="00595167" w:rsidRPr="002B588F">
        <w:rPr>
          <w:lang w:val="es-ES_tradnl"/>
        </w:rPr>
        <w:t>volumen</w:t>
      </w:r>
      <w:r w:rsidR="00F942C6" w:rsidRPr="002B588F">
        <w:rPr>
          <w:lang w:val="es-ES_tradnl"/>
        </w:rPr>
        <w:t xml:space="preserve"> </w:t>
      </w:r>
      <w:r w:rsidR="009D1882" w:rsidRPr="002B588F">
        <w:rPr>
          <w:lang w:val="es-ES_tradnl"/>
        </w:rPr>
        <w:t>anual</w:t>
      </w:r>
      <w:r w:rsidR="003A46A1" w:rsidRPr="002B588F">
        <w:rPr>
          <w:lang w:val="es-ES_tradnl"/>
        </w:rPr>
        <w:t xml:space="preserve"> </w:t>
      </w:r>
      <w:r w:rsidR="00DF28BF" w:rsidRPr="002B588F">
        <w:rPr>
          <w:lang w:val="es-ES_tradnl"/>
        </w:rPr>
        <w:t>de</w:t>
      </w:r>
      <w:r w:rsidR="00B6344F" w:rsidRPr="002B588F">
        <w:rPr>
          <w:lang w:val="es-ES_tradnl"/>
        </w:rPr>
        <w:t xml:space="preserve"> </w:t>
      </w:r>
      <w:r w:rsidR="004512EA" w:rsidRPr="002B588F">
        <w:rPr>
          <w:lang w:val="es-ES_tradnl"/>
        </w:rPr>
        <w:t>HFC-23</w:t>
      </w:r>
      <w:r w:rsidR="003A46A1" w:rsidRPr="002B588F">
        <w:rPr>
          <w:lang w:val="es-ES_tradnl"/>
        </w:rPr>
        <w:t xml:space="preserve"> </w:t>
      </w:r>
      <w:r w:rsidR="004C5C62" w:rsidRPr="002B588F">
        <w:rPr>
          <w:lang w:val="es-ES_tradnl"/>
        </w:rPr>
        <w:t>generado</w:t>
      </w:r>
      <w:r w:rsidR="003A46A1" w:rsidRPr="002B588F">
        <w:rPr>
          <w:lang w:val="es-ES_tradnl"/>
        </w:rPr>
        <w:t xml:space="preserve"> </w:t>
      </w:r>
      <w:r w:rsidR="00FB38C2" w:rsidRPr="002B588F">
        <w:rPr>
          <w:lang w:val="es-ES_tradnl"/>
        </w:rPr>
        <w:t>y</w:t>
      </w:r>
      <w:r w:rsidR="003A46A1" w:rsidRPr="002B588F">
        <w:rPr>
          <w:lang w:val="es-ES_tradnl"/>
        </w:rPr>
        <w:t xml:space="preserve"> </w:t>
      </w:r>
      <w:r w:rsidR="002B588F">
        <w:rPr>
          <w:lang w:val="es-ES_tradnl"/>
        </w:rPr>
        <w:t xml:space="preserve">de </w:t>
      </w:r>
      <w:r w:rsidR="004057BA" w:rsidRPr="002B588F">
        <w:rPr>
          <w:lang w:val="es-ES_tradnl"/>
        </w:rPr>
        <w:t>la</w:t>
      </w:r>
      <w:r w:rsidR="003A46A1" w:rsidRPr="002B588F">
        <w:rPr>
          <w:lang w:val="es-ES_tradnl"/>
        </w:rPr>
        <w:t xml:space="preserve"> </w:t>
      </w:r>
      <w:r w:rsidR="004057BA" w:rsidRPr="002B588F">
        <w:rPr>
          <w:lang w:val="es-ES_tradnl"/>
        </w:rPr>
        <w:t>capacidad</w:t>
      </w:r>
      <w:r w:rsidR="003A46A1" w:rsidRPr="002B588F">
        <w:rPr>
          <w:lang w:val="es-ES_tradnl"/>
        </w:rPr>
        <w:t xml:space="preserve"> </w:t>
      </w:r>
      <w:r w:rsidR="004057BA" w:rsidRPr="002B588F">
        <w:rPr>
          <w:lang w:val="es-ES_tradnl"/>
        </w:rPr>
        <w:t>del</w:t>
      </w:r>
      <w:r w:rsidR="003A46A1" w:rsidRPr="002B588F">
        <w:rPr>
          <w:lang w:val="es-ES_tradnl"/>
        </w:rPr>
        <w:t xml:space="preserve"> incinerador </w:t>
      </w:r>
      <w:r w:rsidR="00345E62" w:rsidRPr="002B588F">
        <w:rPr>
          <w:lang w:val="es-ES_tradnl"/>
        </w:rPr>
        <w:t>(613</w:t>
      </w:r>
      <w:r w:rsidR="00BA7F82">
        <w:rPr>
          <w:lang w:val="es-ES_tradnl"/>
        </w:rPr>
        <w:t> </w:t>
      </w:r>
      <w:r w:rsidR="00FB38C2" w:rsidRPr="002B588F">
        <w:rPr>
          <w:lang w:val="es-ES_tradnl"/>
        </w:rPr>
        <w:t>tm</w:t>
      </w:r>
      <w:r w:rsidR="00AB317F" w:rsidRPr="002B588F">
        <w:rPr>
          <w:lang w:val="es-ES_tradnl"/>
        </w:rPr>
        <w:t>/año</w:t>
      </w:r>
      <w:r w:rsidR="00345E62" w:rsidRPr="002B588F">
        <w:rPr>
          <w:lang w:val="es-ES_tradnl"/>
        </w:rPr>
        <w:t>),</w:t>
      </w:r>
      <w:r w:rsidR="003A46A1" w:rsidRPr="002B588F">
        <w:rPr>
          <w:lang w:val="es-ES_tradnl"/>
        </w:rPr>
        <w:t xml:space="preserve"> </w:t>
      </w:r>
      <w:r w:rsidR="00C571C5">
        <w:rPr>
          <w:lang w:val="es-ES_tradnl"/>
        </w:rPr>
        <w:t xml:space="preserve">éste </w:t>
      </w:r>
      <w:r w:rsidR="00683221" w:rsidRPr="002B588F">
        <w:rPr>
          <w:lang w:val="es-ES_tradnl"/>
        </w:rPr>
        <w:t>necesitaría operar</w:t>
      </w:r>
      <w:r w:rsidR="003A46A1" w:rsidRPr="002B588F">
        <w:rPr>
          <w:lang w:val="es-ES_tradnl"/>
        </w:rPr>
        <w:t xml:space="preserve"> </w:t>
      </w:r>
      <w:r w:rsidR="00345E62" w:rsidRPr="002B588F">
        <w:rPr>
          <w:lang w:val="es-ES_tradnl"/>
        </w:rPr>
        <w:t>31</w:t>
      </w:r>
      <w:r w:rsidR="003A46A1" w:rsidRPr="002B588F">
        <w:rPr>
          <w:lang w:val="es-ES_tradnl"/>
        </w:rPr>
        <w:t xml:space="preserve"> </w:t>
      </w:r>
      <w:r w:rsidR="00903F8F" w:rsidRPr="002B588F">
        <w:rPr>
          <w:lang w:val="es-ES_tradnl"/>
        </w:rPr>
        <w:t>días al año</w:t>
      </w:r>
      <w:r w:rsidR="00345E62" w:rsidRPr="002B588F">
        <w:rPr>
          <w:lang w:val="es-ES_tradnl"/>
        </w:rPr>
        <w:t>.</w:t>
      </w:r>
      <w:r w:rsidR="003A46A1" w:rsidRPr="002B588F">
        <w:rPr>
          <w:lang w:val="es-ES_tradnl"/>
        </w:rPr>
        <w:t xml:space="preserve"> </w:t>
      </w:r>
      <w:r w:rsidR="004241C5" w:rsidRPr="002B588F">
        <w:rPr>
          <w:lang w:val="es-ES_tradnl"/>
        </w:rPr>
        <w:t>En</w:t>
      </w:r>
      <w:r w:rsidR="003A46A1" w:rsidRPr="002B588F">
        <w:rPr>
          <w:lang w:val="es-ES_tradnl"/>
        </w:rPr>
        <w:t xml:space="preserve"> </w:t>
      </w:r>
      <w:r w:rsidR="004241C5" w:rsidRPr="002B588F">
        <w:rPr>
          <w:lang w:val="es-ES_tradnl"/>
        </w:rPr>
        <w:t>consecuencia,</w:t>
      </w:r>
      <w:r w:rsidR="003A46A1" w:rsidRPr="002B588F">
        <w:rPr>
          <w:lang w:val="es-ES_tradnl"/>
        </w:rPr>
        <w:t xml:space="preserve"> </w:t>
      </w:r>
      <w:r w:rsidR="00AE659C" w:rsidRPr="002B588F">
        <w:rPr>
          <w:lang w:val="es-ES_tradnl"/>
        </w:rPr>
        <w:t>los gastos fijos total</w:t>
      </w:r>
      <w:r w:rsidR="004924C8" w:rsidRPr="002B588F">
        <w:rPr>
          <w:lang w:val="es-ES_tradnl"/>
        </w:rPr>
        <w:t>es</w:t>
      </w:r>
      <w:r w:rsidR="00AE659C" w:rsidRPr="002B588F">
        <w:rPr>
          <w:lang w:val="es-ES_tradnl"/>
        </w:rPr>
        <w:t xml:space="preserve"> de incineración</w:t>
      </w:r>
      <w:r w:rsidR="003A46A1" w:rsidRPr="002B588F">
        <w:rPr>
          <w:lang w:val="es-ES_tradnl"/>
        </w:rPr>
        <w:t xml:space="preserve"> </w:t>
      </w:r>
      <w:r w:rsidR="00345E62" w:rsidRPr="002B588F">
        <w:rPr>
          <w:lang w:val="es-ES_tradnl"/>
        </w:rPr>
        <w:t>(</w:t>
      </w:r>
      <w:r w:rsidR="00903F8F" w:rsidRPr="002B588F">
        <w:rPr>
          <w:lang w:val="es-ES_tradnl"/>
        </w:rPr>
        <w:t>operarios</w:t>
      </w:r>
      <w:r w:rsidR="00345E62" w:rsidRPr="002B588F">
        <w:rPr>
          <w:lang w:val="es-ES_tradnl"/>
        </w:rPr>
        <w:t>,</w:t>
      </w:r>
      <w:r w:rsidR="003A46A1" w:rsidRPr="002B588F">
        <w:rPr>
          <w:lang w:val="es-ES_tradnl"/>
        </w:rPr>
        <w:t xml:space="preserve"> </w:t>
      </w:r>
      <w:r w:rsidR="00E434B2" w:rsidRPr="002B588F">
        <w:rPr>
          <w:lang w:val="es-ES_tradnl"/>
        </w:rPr>
        <w:t>nitrógeno</w:t>
      </w:r>
      <w:r w:rsidR="00345E62" w:rsidRPr="002B588F">
        <w:rPr>
          <w:lang w:val="es-ES_tradnl"/>
        </w:rPr>
        <w:t>,</w:t>
      </w:r>
      <w:r w:rsidR="003A46A1" w:rsidRPr="002B588F">
        <w:rPr>
          <w:lang w:val="es-ES_tradnl"/>
        </w:rPr>
        <w:t xml:space="preserve"> </w:t>
      </w:r>
      <w:r w:rsidR="00F33C58" w:rsidRPr="002B588F">
        <w:rPr>
          <w:lang w:val="es-ES_tradnl"/>
        </w:rPr>
        <w:t>mantenimiento</w:t>
      </w:r>
      <w:r w:rsidR="0081177E">
        <w:rPr>
          <w:lang w:val="es-ES_tradnl"/>
        </w:rPr>
        <w:t xml:space="preserve"> y </w:t>
      </w:r>
      <w:r w:rsidR="00193970" w:rsidRPr="002B588F">
        <w:rPr>
          <w:lang w:val="es-ES_tradnl"/>
        </w:rPr>
        <w:t>costos generales</w:t>
      </w:r>
      <w:r w:rsidR="00345E62" w:rsidRPr="002B588F">
        <w:rPr>
          <w:lang w:val="es-ES_tradnl"/>
        </w:rPr>
        <w:t>)</w:t>
      </w:r>
      <w:r w:rsidR="003A46A1" w:rsidRPr="002B588F">
        <w:rPr>
          <w:lang w:val="es-ES_tradnl"/>
        </w:rPr>
        <w:t xml:space="preserve"> </w:t>
      </w:r>
      <w:r w:rsidR="000559D5" w:rsidRPr="002B588F">
        <w:rPr>
          <w:lang w:val="es-ES_tradnl"/>
        </w:rPr>
        <w:t>se estiman</w:t>
      </w:r>
      <w:r w:rsidR="003A46A1" w:rsidRPr="002B588F">
        <w:rPr>
          <w:lang w:val="es-ES_tradnl"/>
        </w:rPr>
        <w:t xml:space="preserve"> </w:t>
      </w:r>
      <w:r w:rsidR="00CD7725" w:rsidRPr="002B588F">
        <w:rPr>
          <w:lang w:val="es-ES_tradnl"/>
        </w:rPr>
        <w:t>en</w:t>
      </w:r>
      <w:r w:rsidR="003A46A1" w:rsidRPr="002B588F">
        <w:rPr>
          <w:lang w:val="es-ES_tradnl"/>
        </w:rPr>
        <w:t xml:space="preserve"> </w:t>
      </w:r>
      <w:r w:rsidR="00FB38C2" w:rsidRPr="002B588F">
        <w:rPr>
          <w:lang w:val="es-ES_tradnl"/>
        </w:rPr>
        <w:t>dos</w:t>
      </w:r>
      <w:r w:rsidR="003A46A1" w:rsidRPr="002B588F">
        <w:rPr>
          <w:lang w:val="es-ES_tradnl"/>
        </w:rPr>
        <w:t xml:space="preserve"> </w:t>
      </w:r>
      <w:r w:rsidR="00F33C58" w:rsidRPr="002B588F">
        <w:rPr>
          <w:lang w:val="es-ES_tradnl"/>
        </w:rPr>
        <w:t>meses</w:t>
      </w:r>
      <w:r w:rsidR="003A46A1" w:rsidRPr="002B588F">
        <w:rPr>
          <w:lang w:val="es-ES_tradnl"/>
        </w:rPr>
        <w:t xml:space="preserve"> </w:t>
      </w:r>
      <w:r w:rsidR="00840665" w:rsidRPr="002B588F">
        <w:rPr>
          <w:lang w:val="es-ES_tradnl"/>
        </w:rPr>
        <w:t>de</w:t>
      </w:r>
      <w:r w:rsidR="005C5618" w:rsidRPr="002B588F">
        <w:rPr>
          <w:lang w:val="es-ES_tradnl"/>
        </w:rPr>
        <w:t>l</w:t>
      </w:r>
      <w:r w:rsidR="00840665" w:rsidRPr="002B588F">
        <w:rPr>
          <w:lang w:val="es-ES_tradnl"/>
        </w:rPr>
        <w:t xml:space="preserve"> </w:t>
      </w:r>
      <w:r w:rsidR="004D4FFD" w:rsidRPr="002B588F">
        <w:rPr>
          <w:lang w:val="es-ES_tradnl"/>
        </w:rPr>
        <w:t>costo anual</w:t>
      </w:r>
      <w:r w:rsidR="003A46A1" w:rsidRPr="002B588F">
        <w:rPr>
          <w:lang w:val="es-ES_tradnl"/>
        </w:rPr>
        <w:t xml:space="preserve"> propuesto </w:t>
      </w:r>
      <w:r w:rsidR="00F942C6" w:rsidRPr="002B588F">
        <w:rPr>
          <w:lang w:val="es-ES_tradnl"/>
        </w:rPr>
        <w:t>por</w:t>
      </w:r>
      <w:r w:rsidR="003A46A1" w:rsidRPr="002B588F">
        <w:rPr>
          <w:lang w:val="es-ES_tradnl"/>
        </w:rPr>
        <w:t xml:space="preserve"> </w:t>
      </w:r>
      <w:r w:rsidR="00FB38C2" w:rsidRPr="002B588F">
        <w:rPr>
          <w:lang w:val="es-ES_tradnl"/>
        </w:rPr>
        <w:t>la</w:t>
      </w:r>
      <w:r w:rsidR="003A46A1" w:rsidRPr="002B588F">
        <w:rPr>
          <w:lang w:val="es-ES_tradnl"/>
        </w:rPr>
        <w:t xml:space="preserve"> </w:t>
      </w:r>
      <w:r w:rsidR="00FB38C2" w:rsidRPr="002B588F">
        <w:rPr>
          <w:lang w:val="es-ES_tradnl"/>
        </w:rPr>
        <w:t>ONUDI</w:t>
      </w:r>
      <w:r w:rsidR="00345E62" w:rsidRPr="002B588F">
        <w:rPr>
          <w:lang w:val="es-ES_tradnl"/>
        </w:rPr>
        <w:t>;</w:t>
      </w:r>
    </w:p>
    <w:p w14:paraId="57050E5E" w14:textId="4BE24455" w:rsidR="00345E62" w:rsidRPr="00B25E57" w:rsidRDefault="00BE35D6" w:rsidP="00117768">
      <w:pPr>
        <w:pStyle w:val="Heading2"/>
        <w:numPr>
          <w:ilvl w:val="1"/>
          <w:numId w:val="35"/>
        </w:numPr>
        <w:ind w:left="1417" w:hanging="708"/>
        <w:rPr>
          <w:lang w:val="es-ES_tradnl"/>
        </w:rPr>
      </w:pPr>
      <w:r>
        <w:rPr>
          <w:lang w:val="es-ES_tradnl"/>
        </w:rPr>
        <w:t>El costo de las</w:t>
      </w:r>
      <w:r w:rsidR="003A46A1" w:rsidRPr="00B25E57">
        <w:rPr>
          <w:lang w:val="es-ES_tradnl"/>
        </w:rPr>
        <w:t xml:space="preserve"> </w:t>
      </w:r>
      <w:r w:rsidR="004241C5" w:rsidRPr="00B25E57">
        <w:rPr>
          <w:lang w:val="es-ES_tradnl"/>
        </w:rPr>
        <w:t>materias</w:t>
      </w:r>
      <w:r w:rsidR="003A46A1" w:rsidRPr="00B25E57">
        <w:rPr>
          <w:lang w:val="es-ES_tradnl"/>
        </w:rPr>
        <w:t xml:space="preserve"> </w:t>
      </w:r>
      <w:r w:rsidR="004241C5" w:rsidRPr="00B25E57">
        <w:rPr>
          <w:lang w:val="es-ES_tradnl"/>
        </w:rPr>
        <w:t>primas</w:t>
      </w:r>
      <w:r w:rsidR="003A46A1" w:rsidRPr="00B25E57">
        <w:rPr>
          <w:lang w:val="es-ES_tradnl"/>
        </w:rPr>
        <w:t xml:space="preserve"> </w:t>
      </w:r>
      <w:r w:rsidR="00FB38C2" w:rsidRPr="00B25E57">
        <w:rPr>
          <w:lang w:val="es-ES_tradnl"/>
        </w:rPr>
        <w:t>y</w:t>
      </w:r>
      <w:r w:rsidR="003A46A1" w:rsidRPr="00B25E57">
        <w:rPr>
          <w:lang w:val="es-ES_tradnl"/>
        </w:rPr>
        <w:t xml:space="preserve"> </w:t>
      </w:r>
      <w:r>
        <w:rPr>
          <w:lang w:val="es-ES_tradnl"/>
        </w:rPr>
        <w:t>servicios básicos se calculó de la siguiente forma</w:t>
      </w:r>
      <w:r w:rsidR="00345E62" w:rsidRPr="00B25E57">
        <w:rPr>
          <w:lang w:val="es-ES_tradnl"/>
        </w:rPr>
        <w:t>:</w:t>
      </w:r>
      <w:r w:rsidR="003A46A1" w:rsidRPr="00B25E57">
        <w:rPr>
          <w:lang w:val="es-ES_tradnl"/>
        </w:rPr>
        <w:t xml:space="preserve"> </w:t>
      </w:r>
      <w:r w:rsidR="007C191B">
        <w:rPr>
          <w:lang w:val="es-ES_tradnl"/>
        </w:rPr>
        <w:t xml:space="preserve">para </w:t>
      </w:r>
      <w:r w:rsidR="006D2193">
        <w:rPr>
          <w:lang w:val="es-ES_tradnl"/>
        </w:rPr>
        <w:t>gas natural</w:t>
      </w:r>
      <w:r w:rsidR="00345E62" w:rsidRPr="00B25E57">
        <w:rPr>
          <w:lang w:val="es-ES_tradnl"/>
        </w:rPr>
        <w:t>,</w:t>
      </w:r>
      <w:r w:rsidR="003A46A1" w:rsidRPr="00B25E57">
        <w:rPr>
          <w:lang w:val="es-ES_tradnl"/>
        </w:rPr>
        <w:t xml:space="preserve"> </w:t>
      </w:r>
      <w:r w:rsidR="006D2193">
        <w:rPr>
          <w:lang w:val="es-ES_tradnl"/>
        </w:rPr>
        <w:t>electricidad</w:t>
      </w:r>
      <w:r w:rsidR="003A46A1" w:rsidRPr="00B25E57">
        <w:rPr>
          <w:lang w:val="es-ES_tradnl"/>
        </w:rPr>
        <w:t xml:space="preserve"> </w:t>
      </w:r>
      <w:r w:rsidR="00FB38C2" w:rsidRPr="00B25E57">
        <w:rPr>
          <w:lang w:val="es-ES_tradnl"/>
        </w:rPr>
        <w:t>y</w:t>
      </w:r>
      <w:r w:rsidR="003A46A1" w:rsidRPr="00B25E57">
        <w:rPr>
          <w:lang w:val="es-ES_tradnl"/>
        </w:rPr>
        <w:t xml:space="preserve"> </w:t>
      </w:r>
      <w:r w:rsidR="00345E62" w:rsidRPr="00B25E57">
        <w:rPr>
          <w:lang w:val="es-ES_tradnl"/>
        </w:rPr>
        <w:t>HF5</w:t>
      </w:r>
      <w:r w:rsidR="003C51E0">
        <w:rPr>
          <w:lang w:val="es-ES_tradnl"/>
        </w:rPr>
        <w:t xml:space="preserve">0, </w:t>
      </w:r>
      <w:r w:rsidR="004241C5" w:rsidRPr="00B25E57">
        <w:rPr>
          <w:lang w:val="es-ES_tradnl"/>
        </w:rPr>
        <w:t>consumo</w:t>
      </w:r>
      <w:r w:rsidR="003A46A1" w:rsidRPr="00B25E57">
        <w:rPr>
          <w:lang w:val="es-ES_tradnl"/>
        </w:rPr>
        <w:t xml:space="preserve"> </w:t>
      </w:r>
      <w:r w:rsidR="001D58D1">
        <w:rPr>
          <w:lang w:val="es-ES_tradnl"/>
        </w:rPr>
        <w:t>normalizado</w:t>
      </w:r>
      <w:r w:rsidR="001D58D1" w:rsidRPr="001D58D1">
        <w:rPr>
          <w:lang w:val="es-ES_tradnl"/>
        </w:rPr>
        <w:t xml:space="preserve"> </w:t>
      </w:r>
      <w:r w:rsidR="00281C43">
        <w:rPr>
          <w:lang w:val="es-ES_tradnl"/>
        </w:rPr>
        <w:t xml:space="preserve">según </w:t>
      </w:r>
      <w:r w:rsidR="00C82FB1">
        <w:rPr>
          <w:lang w:val="es-ES_tradnl"/>
        </w:rPr>
        <w:t>valor</w:t>
      </w:r>
      <w:r w:rsidR="00F942C6" w:rsidRPr="00B25E57">
        <w:rPr>
          <w:lang w:val="es-ES_tradnl"/>
        </w:rPr>
        <w:t>es</w:t>
      </w:r>
      <w:r w:rsidR="003A46A1" w:rsidRPr="00B25E57">
        <w:rPr>
          <w:lang w:val="es-ES_tradnl"/>
        </w:rPr>
        <w:t xml:space="preserve"> </w:t>
      </w:r>
      <w:r w:rsidR="002430B8">
        <w:rPr>
          <w:lang w:val="es-ES_tradnl"/>
        </w:rPr>
        <w:t xml:space="preserve">indicados en los </w:t>
      </w:r>
      <w:r w:rsidR="004057BA" w:rsidRPr="00B25E57">
        <w:rPr>
          <w:lang w:val="es-ES_tradnl"/>
        </w:rPr>
        <w:t>informes</w:t>
      </w:r>
      <w:r w:rsidR="003A46A1" w:rsidRPr="00B25E57">
        <w:rPr>
          <w:lang w:val="es-ES_tradnl"/>
        </w:rPr>
        <w:t xml:space="preserve"> </w:t>
      </w:r>
      <w:r w:rsidR="002430B8">
        <w:rPr>
          <w:lang w:val="es-ES_tradnl"/>
        </w:rPr>
        <w:t xml:space="preserve">auditados </w:t>
      </w:r>
      <w:r w:rsidR="004C59B4">
        <w:rPr>
          <w:lang w:val="es-ES_tradnl"/>
        </w:rPr>
        <w:t xml:space="preserve">emanados del </w:t>
      </w:r>
      <w:r w:rsidR="00DD3A18">
        <w:rPr>
          <w:lang w:val="es-ES_tradnl"/>
        </w:rPr>
        <w:t>proyecto</w:t>
      </w:r>
      <w:r w:rsidR="007F3B2A">
        <w:rPr>
          <w:lang w:val="es-ES_tradnl"/>
        </w:rPr>
        <w:t xml:space="preserve"> MDL</w:t>
      </w:r>
      <w:r w:rsidR="00BD063C">
        <w:rPr>
          <w:lang w:val="es-ES_tradnl"/>
        </w:rPr>
        <w:t>;</w:t>
      </w:r>
      <w:r w:rsidR="00345E62" w:rsidRPr="00B25E57">
        <w:rPr>
          <w:rStyle w:val="FootnoteReference"/>
          <w:lang w:val="es-ES_tradnl"/>
        </w:rPr>
        <w:footnoteReference w:id="18"/>
      </w:r>
      <w:r w:rsidR="003A46A1" w:rsidRPr="00B25E57">
        <w:rPr>
          <w:lang w:val="es-ES_tradnl"/>
        </w:rPr>
        <w:t xml:space="preserve"> </w:t>
      </w:r>
      <w:r w:rsidR="00221B43">
        <w:rPr>
          <w:lang w:val="es-ES_tradnl"/>
        </w:rPr>
        <w:t xml:space="preserve">para </w:t>
      </w:r>
      <w:r w:rsidR="00E23D3C">
        <w:rPr>
          <w:lang w:val="es-ES_tradnl"/>
        </w:rPr>
        <w:t xml:space="preserve">materias primas, </w:t>
      </w:r>
      <w:r w:rsidR="00DD3A18">
        <w:rPr>
          <w:lang w:val="es-ES_tradnl"/>
        </w:rPr>
        <w:t>precio</w:t>
      </w:r>
      <w:r w:rsidR="00E66188">
        <w:rPr>
          <w:lang w:val="es-ES_tradnl"/>
        </w:rPr>
        <w:t>s</w:t>
      </w:r>
      <w:r w:rsidR="00DD3A18">
        <w:rPr>
          <w:lang w:val="es-ES_tradnl"/>
        </w:rPr>
        <w:t xml:space="preserve"> </w:t>
      </w:r>
      <w:r w:rsidR="00D20AE7">
        <w:rPr>
          <w:lang w:val="es-ES_tradnl"/>
        </w:rPr>
        <w:t>del año</w:t>
      </w:r>
      <w:r w:rsidR="001F63D4">
        <w:rPr>
          <w:lang w:val="es-ES_tradnl"/>
        </w:rPr>
        <w:t xml:space="preserve"> </w:t>
      </w:r>
      <w:r w:rsidR="00DD3A18">
        <w:rPr>
          <w:lang w:val="es-ES_tradnl"/>
        </w:rPr>
        <w:t>2018</w:t>
      </w:r>
      <w:r w:rsidR="003A46A1" w:rsidRPr="00B25E57">
        <w:rPr>
          <w:lang w:val="es-ES_tradnl"/>
        </w:rPr>
        <w:t xml:space="preserve"> </w:t>
      </w:r>
      <w:r w:rsidR="006A2342">
        <w:rPr>
          <w:lang w:val="es-ES_tradnl"/>
        </w:rPr>
        <w:t>informados</w:t>
      </w:r>
      <w:r w:rsidR="00E66188">
        <w:rPr>
          <w:lang w:val="es-ES_tradnl"/>
        </w:rPr>
        <w:t xml:space="preserve"> por </w:t>
      </w:r>
      <w:r w:rsidR="00FB38C2" w:rsidRPr="00B25E57">
        <w:rPr>
          <w:lang w:val="es-ES_tradnl"/>
        </w:rPr>
        <w:t>la</w:t>
      </w:r>
      <w:r w:rsidR="003A46A1" w:rsidRPr="00B25E57">
        <w:rPr>
          <w:lang w:val="es-ES_tradnl"/>
        </w:rPr>
        <w:t xml:space="preserve"> </w:t>
      </w:r>
      <w:r w:rsidR="00FB38C2" w:rsidRPr="00B25E57">
        <w:rPr>
          <w:lang w:val="es-ES_tradnl"/>
        </w:rPr>
        <w:t>ONUDI</w:t>
      </w:r>
      <w:r w:rsidR="00345E62" w:rsidRPr="00B25E57">
        <w:rPr>
          <w:lang w:val="es-ES_tradnl"/>
        </w:rPr>
        <w:t>;</w:t>
      </w:r>
      <w:r w:rsidR="003A46A1" w:rsidRPr="00B25E57">
        <w:rPr>
          <w:lang w:val="es-ES_tradnl"/>
        </w:rPr>
        <w:t xml:space="preserve"> </w:t>
      </w:r>
      <w:r w:rsidR="008B11F6">
        <w:rPr>
          <w:lang w:val="es-ES_tradnl"/>
        </w:rPr>
        <w:t xml:space="preserve">para agua y oxígeno, </w:t>
      </w:r>
      <w:r w:rsidR="004241C5" w:rsidRPr="00B25E57">
        <w:rPr>
          <w:lang w:val="es-ES_tradnl"/>
        </w:rPr>
        <w:t>consumo</w:t>
      </w:r>
      <w:r w:rsidR="003A46A1" w:rsidRPr="00B25E57">
        <w:rPr>
          <w:lang w:val="es-ES_tradnl"/>
        </w:rPr>
        <w:t xml:space="preserve"> </w:t>
      </w:r>
      <w:r w:rsidR="00205FEF" w:rsidRPr="00205FEF">
        <w:rPr>
          <w:lang w:val="es-ES_tradnl"/>
        </w:rPr>
        <w:t xml:space="preserve">normalizado </w:t>
      </w:r>
      <w:r w:rsidR="00FB38C2" w:rsidRPr="00B25E57">
        <w:rPr>
          <w:lang w:val="es-ES_tradnl"/>
        </w:rPr>
        <w:t>y</w:t>
      </w:r>
      <w:r w:rsidR="003A46A1" w:rsidRPr="00B25E57">
        <w:rPr>
          <w:lang w:val="es-ES_tradnl"/>
        </w:rPr>
        <w:t xml:space="preserve"> </w:t>
      </w:r>
      <w:r w:rsidR="00154E68" w:rsidRPr="00154E68">
        <w:rPr>
          <w:lang w:val="es-ES_tradnl"/>
        </w:rPr>
        <w:t xml:space="preserve">precios del año 2018 </w:t>
      </w:r>
      <w:r w:rsidR="001C79DE" w:rsidRPr="001C79DE">
        <w:rPr>
          <w:lang w:val="es-ES_tradnl"/>
        </w:rPr>
        <w:t xml:space="preserve">informados </w:t>
      </w:r>
      <w:r w:rsidR="00154E68">
        <w:rPr>
          <w:lang w:val="es-ES_tradnl"/>
        </w:rPr>
        <w:t xml:space="preserve">por </w:t>
      </w:r>
      <w:r w:rsidR="00FB38C2" w:rsidRPr="00B25E57">
        <w:rPr>
          <w:lang w:val="es-ES_tradnl"/>
        </w:rPr>
        <w:t>la</w:t>
      </w:r>
      <w:r w:rsidR="003A46A1" w:rsidRPr="00B25E57">
        <w:rPr>
          <w:lang w:val="es-ES_tradnl"/>
        </w:rPr>
        <w:t xml:space="preserve"> </w:t>
      </w:r>
      <w:r w:rsidR="00FB38C2" w:rsidRPr="00B25E57">
        <w:rPr>
          <w:lang w:val="es-ES_tradnl"/>
        </w:rPr>
        <w:t>ONUDI</w:t>
      </w:r>
      <w:r w:rsidR="00345E62" w:rsidRPr="00B25E57">
        <w:rPr>
          <w:lang w:val="es-ES_tradnl"/>
        </w:rPr>
        <w:t>;</w:t>
      </w:r>
    </w:p>
    <w:p w14:paraId="7805223B" w14:textId="1ADB3704" w:rsidR="00345E62" w:rsidRPr="00B25E57" w:rsidRDefault="00E8212B" w:rsidP="00117768">
      <w:pPr>
        <w:pStyle w:val="Heading2"/>
        <w:numPr>
          <w:ilvl w:val="1"/>
          <w:numId w:val="35"/>
        </w:numPr>
        <w:ind w:left="1417" w:hanging="708"/>
        <w:rPr>
          <w:lang w:val="es-ES_tradnl"/>
        </w:rPr>
      </w:pPr>
      <w:r>
        <w:rPr>
          <w:lang w:val="es-ES_tradnl"/>
        </w:rPr>
        <w:t>S</w:t>
      </w:r>
      <w:r w:rsidR="00E06323">
        <w:rPr>
          <w:lang w:val="es-ES_tradnl"/>
        </w:rPr>
        <w:t>upervisión estatal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E6610">
        <w:rPr>
          <w:lang w:val="es-ES_tradnl"/>
        </w:rPr>
        <w:t xml:space="preserve">la </w:t>
      </w:r>
      <w:r w:rsidR="003A46A1" w:rsidRPr="00B25E57">
        <w:rPr>
          <w:lang w:val="es-ES_tradnl"/>
        </w:rPr>
        <w:t xml:space="preserve">destrucción de HFC-23 </w:t>
      </w:r>
      <w:r>
        <w:rPr>
          <w:lang w:val="es-ES_tradnl"/>
        </w:rPr>
        <w:t xml:space="preserve">a </w:t>
      </w:r>
      <w:r w:rsidR="00D375D7">
        <w:rPr>
          <w:lang w:val="es-ES_tradnl"/>
        </w:rPr>
        <w:t xml:space="preserve">razón </w:t>
      </w:r>
      <w:r w:rsidR="009B5CBB">
        <w:rPr>
          <w:lang w:val="es-ES_tradnl"/>
        </w:rPr>
        <w:t>de</w:t>
      </w:r>
      <w:r w:rsidR="003A46A1" w:rsidRPr="00B25E57">
        <w:rPr>
          <w:lang w:val="es-ES_tradnl"/>
        </w:rPr>
        <w:t xml:space="preserve"> </w:t>
      </w:r>
      <w:r w:rsidR="00FB38C2" w:rsidRPr="00B25E57">
        <w:rPr>
          <w:lang w:val="es-ES_tradnl"/>
        </w:rPr>
        <w:t>4.</w:t>
      </w:r>
      <w:r w:rsidR="00345E62" w:rsidRPr="00B25E57">
        <w:rPr>
          <w:lang w:val="es-ES_tradnl"/>
        </w:rPr>
        <w:t>167</w:t>
      </w:r>
      <w:r w:rsidR="00D70A65">
        <w:rPr>
          <w:lang w:val="es-ES_tradnl"/>
        </w:rPr>
        <w:t xml:space="preserve"> </w:t>
      </w:r>
      <w:r w:rsidR="00D70A65" w:rsidRPr="00D70A65">
        <w:rPr>
          <w:lang w:val="es-ES_tradnl"/>
        </w:rPr>
        <w:t>$EUA</w:t>
      </w:r>
      <w:r w:rsidR="00AB317F">
        <w:rPr>
          <w:lang w:val="es-ES_tradnl"/>
        </w:rPr>
        <w:t>/año</w:t>
      </w:r>
      <w:r w:rsidR="00345E62" w:rsidRPr="00B25E57">
        <w:rPr>
          <w:rStyle w:val="FootnoteReference"/>
          <w:lang w:val="es-ES_tradnl"/>
        </w:rPr>
        <w:footnoteReference w:id="19"/>
      </w:r>
      <w:r w:rsidR="003A46A1" w:rsidRPr="00B25E57">
        <w:rPr>
          <w:lang w:val="es-ES_tradnl"/>
        </w:rPr>
        <w:t xml:space="preserve"> </w:t>
      </w:r>
      <w:r w:rsidR="00AB4707">
        <w:rPr>
          <w:lang w:val="es-ES_tradnl"/>
        </w:rPr>
        <w:t>para</w:t>
      </w:r>
      <w:r w:rsidR="003A46A1" w:rsidRPr="00B25E57">
        <w:rPr>
          <w:lang w:val="es-ES_tradnl"/>
        </w:rPr>
        <w:t xml:space="preserve"> </w:t>
      </w:r>
      <w:r w:rsidR="00345E62" w:rsidRPr="00B25E57">
        <w:rPr>
          <w:lang w:val="es-ES_tradnl"/>
        </w:rPr>
        <w:t>2020</w:t>
      </w:r>
      <w:r w:rsidR="00BA7F82">
        <w:rPr>
          <w:lang w:val="es-ES_tradnl"/>
        </w:rPr>
        <w:noBreakHyphen/>
      </w:r>
      <w:r w:rsidR="00345E62" w:rsidRPr="00B25E57">
        <w:rPr>
          <w:lang w:val="es-ES_tradnl"/>
        </w:rPr>
        <w:t>202</w:t>
      </w:r>
      <w:r w:rsidR="00323E05">
        <w:rPr>
          <w:lang w:val="es-ES_tradnl"/>
        </w:rPr>
        <w:t>2,</w:t>
      </w:r>
      <w:r w:rsidR="003A46A1" w:rsidRPr="00B25E57">
        <w:rPr>
          <w:lang w:val="es-ES_tradnl"/>
        </w:rPr>
        <w:t xml:space="preserve"> </w:t>
      </w:r>
      <w:r w:rsidR="00C23980">
        <w:rPr>
          <w:lang w:val="es-ES_tradnl"/>
        </w:rPr>
        <w:t xml:space="preserve">cuando termina </w:t>
      </w:r>
      <w:r w:rsidR="00E22238" w:rsidRPr="00B25E57">
        <w:rPr>
          <w:lang w:val="es-ES_tradnl"/>
        </w:rPr>
        <w:t>la</w:t>
      </w:r>
      <w:r w:rsidR="003A46A1" w:rsidRPr="00B25E57">
        <w:rPr>
          <w:lang w:val="es-ES_tradnl"/>
        </w:rPr>
        <w:t xml:space="preserve"> </w:t>
      </w:r>
      <w:r w:rsidR="008A3316" w:rsidRPr="00B25E57">
        <w:rPr>
          <w:lang w:val="es-ES_tradnl"/>
        </w:rPr>
        <w:t>etapa</w:t>
      </w:r>
      <w:r w:rsidR="003A46A1" w:rsidRPr="00B25E57">
        <w:rPr>
          <w:lang w:val="es-ES_tradnl"/>
        </w:rPr>
        <w:t xml:space="preserve"> </w:t>
      </w:r>
      <w:r w:rsidR="008A3316" w:rsidRPr="00B25E57">
        <w:rPr>
          <w:lang w:val="es-ES_tradnl"/>
        </w:rPr>
        <w:t>I</w:t>
      </w:r>
      <w:r w:rsidR="00345E62" w:rsidRPr="00B25E57">
        <w:rPr>
          <w:lang w:val="es-ES_tradnl"/>
        </w:rPr>
        <w:t>I</w:t>
      </w:r>
      <w:r w:rsidR="003A46A1" w:rsidRPr="00B25E57">
        <w:rPr>
          <w:lang w:val="es-ES_tradnl"/>
        </w:rPr>
        <w:t xml:space="preserve"> </w:t>
      </w:r>
      <w:r w:rsidR="00FB38C2" w:rsidRPr="00B25E57">
        <w:rPr>
          <w:lang w:val="es-ES_tradnl"/>
        </w:rPr>
        <w:t>del</w:t>
      </w:r>
      <w:r w:rsidR="003A46A1" w:rsidRPr="00B25E57">
        <w:rPr>
          <w:lang w:val="es-ES_tradnl"/>
        </w:rPr>
        <w:t xml:space="preserve"> </w:t>
      </w:r>
      <w:r w:rsidR="00FB38C2" w:rsidRPr="00B25E57">
        <w:rPr>
          <w:lang w:val="es-ES_tradnl"/>
        </w:rPr>
        <w:t>PGEH</w:t>
      </w:r>
      <w:r w:rsidR="00561806">
        <w:rPr>
          <w:lang w:val="es-ES_tradnl"/>
        </w:rPr>
        <w:t xml:space="preserve">, </w:t>
      </w:r>
      <w:r w:rsidR="00F33C58" w:rsidRPr="00B25E57">
        <w:rPr>
          <w:lang w:val="es-ES_tradnl"/>
        </w:rPr>
        <w:t>y</w:t>
      </w:r>
      <w:r w:rsidR="003A46A1" w:rsidRPr="00B25E57">
        <w:rPr>
          <w:lang w:val="es-ES_tradnl"/>
        </w:rPr>
        <w:t xml:space="preserve"> </w:t>
      </w:r>
      <w:r w:rsidR="006E4C7D">
        <w:rPr>
          <w:lang w:val="es-ES_tradnl"/>
        </w:rPr>
        <w:t xml:space="preserve">de </w:t>
      </w:r>
      <w:r w:rsidR="00345E62" w:rsidRPr="00B25E57">
        <w:rPr>
          <w:lang w:val="es-ES_tradnl"/>
        </w:rPr>
        <w:t>1</w:t>
      </w:r>
      <w:r w:rsidR="00FB38C2" w:rsidRPr="00B25E57">
        <w:rPr>
          <w:lang w:val="es-ES_tradnl"/>
        </w:rPr>
        <w:t>0.</w:t>
      </w:r>
      <w:r w:rsidR="00345E62" w:rsidRPr="00B25E57">
        <w:rPr>
          <w:lang w:val="es-ES_tradnl"/>
        </w:rPr>
        <w:t>000</w:t>
      </w:r>
      <w:r w:rsidR="003A46A1" w:rsidRPr="00B25E57">
        <w:rPr>
          <w:lang w:val="es-ES_tradnl"/>
        </w:rPr>
        <w:t xml:space="preserve"> </w:t>
      </w:r>
      <w:r w:rsidR="000F41BE" w:rsidRPr="000F41BE">
        <w:rPr>
          <w:lang w:val="es-ES_tradnl"/>
        </w:rPr>
        <w:t xml:space="preserve">$EUA </w:t>
      </w:r>
      <w:r w:rsidR="00AE53F2">
        <w:rPr>
          <w:lang w:val="es-ES_tradnl"/>
        </w:rPr>
        <w:t>para</w:t>
      </w:r>
      <w:r w:rsidR="005608CC">
        <w:rPr>
          <w:lang w:val="es-ES_tradnl"/>
        </w:rPr>
        <w:t xml:space="preserve"> el</w:t>
      </w:r>
      <w:r w:rsidR="003A46A1" w:rsidRPr="00B25E57">
        <w:rPr>
          <w:lang w:val="es-ES_tradnl"/>
        </w:rPr>
        <w:t xml:space="preserve"> </w:t>
      </w:r>
      <w:r w:rsidR="00373469">
        <w:rPr>
          <w:lang w:val="es-ES_tradnl"/>
        </w:rPr>
        <w:t xml:space="preserve">año </w:t>
      </w:r>
      <w:r w:rsidR="00345E62" w:rsidRPr="00B25E57">
        <w:rPr>
          <w:lang w:val="es-ES_tradnl"/>
        </w:rPr>
        <w:t>2023;</w:t>
      </w:r>
      <w:r w:rsidR="003A46A1" w:rsidRPr="00B25E57">
        <w:rPr>
          <w:lang w:val="es-ES_tradnl"/>
        </w:rPr>
        <w:t xml:space="preserve"> </w:t>
      </w:r>
      <w:r w:rsidR="00FB38C2" w:rsidRPr="00B25E57">
        <w:rPr>
          <w:lang w:val="es-ES_tradnl"/>
        </w:rPr>
        <w:t>y</w:t>
      </w:r>
    </w:p>
    <w:p w14:paraId="77FF3BD3" w14:textId="13C7EC22" w:rsidR="00345E62" w:rsidRPr="00B25E57" w:rsidRDefault="004F62D9" w:rsidP="00117768">
      <w:pPr>
        <w:pStyle w:val="Heading2"/>
        <w:numPr>
          <w:ilvl w:val="1"/>
          <w:numId w:val="35"/>
        </w:numPr>
        <w:ind w:left="1417" w:hanging="708"/>
        <w:rPr>
          <w:lang w:val="es-ES_tradnl"/>
        </w:rPr>
      </w:pPr>
      <w:r>
        <w:rPr>
          <w:lang w:val="es-ES_tradnl"/>
        </w:rPr>
        <w:t>Cuota de inscripción anual</w:t>
      </w:r>
      <w:r w:rsidR="0041417F">
        <w:rPr>
          <w:lang w:val="es-ES_tradnl"/>
        </w:rPr>
        <w:t xml:space="preserve"> como </w:t>
      </w:r>
      <w:r w:rsidR="00531BFE">
        <w:rPr>
          <w:lang w:val="es-ES_tradnl"/>
        </w:rPr>
        <w:t>planta de generación y tratamiento de residuos peligrosos</w:t>
      </w:r>
      <w:r w:rsidR="00180D2A">
        <w:rPr>
          <w:lang w:val="es-ES_tradnl"/>
        </w:rPr>
        <w:t xml:space="preserve">: </w:t>
      </w:r>
      <w:r w:rsidR="00D71887">
        <w:rPr>
          <w:lang w:val="es-ES_tradnl"/>
        </w:rPr>
        <w:t>según lo indica</w:t>
      </w:r>
      <w:r w:rsidR="001F2834">
        <w:rPr>
          <w:lang w:val="es-ES_tradnl"/>
        </w:rPr>
        <w:t>do</w:t>
      </w:r>
      <w:r w:rsidR="00D71887">
        <w:rPr>
          <w:lang w:val="es-ES_tradnl"/>
        </w:rPr>
        <w:t xml:space="preserve"> en el análisis</w:t>
      </w:r>
      <w:r w:rsidR="0001497C">
        <w:rPr>
          <w:lang w:val="es-ES_tradnl"/>
        </w:rPr>
        <w:t xml:space="preserve"> jurídico</w:t>
      </w:r>
      <w:r w:rsidR="003A46A1" w:rsidRPr="00B25E57">
        <w:rPr>
          <w:lang w:val="es-ES_tradnl"/>
        </w:rPr>
        <w:t xml:space="preserve"> </w:t>
      </w:r>
      <w:r w:rsidR="00345E62" w:rsidRPr="00B25E57">
        <w:rPr>
          <w:lang w:val="es-ES_tradnl"/>
        </w:rPr>
        <w:t>(</w:t>
      </w:r>
      <w:r w:rsidR="00FB38C2" w:rsidRPr="00B25E57">
        <w:rPr>
          <w:lang w:val="es-ES_tradnl"/>
        </w:rPr>
        <w:t>3.</w:t>
      </w:r>
      <w:r w:rsidR="00345E62" w:rsidRPr="00B25E57">
        <w:rPr>
          <w:lang w:val="es-ES_tradnl"/>
        </w:rPr>
        <w:t>960</w:t>
      </w:r>
      <w:r w:rsidR="00654045">
        <w:rPr>
          <w:lang w:val="es-ES_tradnl"/>
        </w:rPr>
        <w:t xml:space="preserve"> </w:t>
      </w:r>
      <w:r w:rsidR="00654045" w:rsidRPr="00654045">
        <w:rPr>
          <w:lang w:val="es-ES_tradnl"/>
        </w:rPr>
        <w:t>$EUA</w:t>
      </w:r>
      <w:r w:rsidR="00AB317F">
        <w:rPr>
          <w:lang w:val="es-ES_tradnl"/>
        </w:rPr>
        <w:t>/año</w:t>
      </w:r>
      <w:r w:rsidR="00345E62" w:rsidRPr="00B25E57">
        <w:rPr>
          <w:lang w:val="es-ES_tradnl"/>
        </w:rPr>
        <w:t>).</w:t>
      </w:r>
    </w:p>
    <w:p w14:paraId="15A6FA60" w14:textId="5B5F2ABF" w:rsidR="00345E62" w:rsidRPr="00B25E57" w:rsidRDefault="00FE40F6" w:rsidP="00345E62">
      <w:pPr>
        <w:pStyle w:val="Heading1"/>
        <w:rPr>
          <w:lang w:val="es-ES_tradnl"/>
        </w:rPr>
      </w:pPr>
      <w:r>
        <w:rPr>
          <w:lang w:val="es-ES_tradnl"/>
        </w:rPr>
        <w:t xml:space="preserve">El </w:t>
      </w:r>
      <w:r w:rsidRPr="00FE40F6">
        <w:rPr>
          <w:lang w:val="es-ES_tradnl"/>
        </w:rPr>
        <w:t>Cuadro 9</w:t>
      </w:r>
      <w:r>
        <w:rPr>
          <w:lang w:val="es-ES_tradnl"/>
        </w:rPr>
        <w:t xml:space="preserve"> muestra 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Pr>
          <w:lang w:val="es-ES_tradnl"/>
        </w:rPr>
        <w:t>actualizados</w:t>
      </w:r>
      <w:r w:rsidR="00345E62" w:rsidRPr="00B25E57">
        <w:rPr>
          <w:lang w:val="es-ES_tradnl"/>
        </w:rPr>
        <w:t>.</w:t>
      </w:r>
    </w:p>
    <w:p w14:paraId="41DFFDEE" w14:textId="57DDDA8B" w:rsidR="00345E62" w:rsidRPr="00B25E57" w:rsidRDefault="00FB38C2" w:rsidP="00345E62">
      <w:pPr>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AF7332" w:rsidRPr="00B25E57">
        <w:rPr>
          <w:b/>
          <w:sz w:val="21"/>
          <w:szCs w:val="21"/>
          <w:lang w:val="es-ES_tradnl"/>
        </w:rPr>
        <w:t>9</w:t>
      </w:r>
      <w:r w:rsidR="00345E62" w:rsidRPr="00B25E57">
        <w:rPr>
          <w:b/>
          <w:sz w:val="21"/>
          <w:szCs w:val="21"/>
          <w:lang w:val="es-ES_tradnl"/>
        </w:rPr>
        <w:t>.</w:t>
      </w:r>
      <w:r w:rsidR="003A46A1" w:rsidRPr="00B25E57">
        <w:rPr>
          <w:b/>
          <w:sz w:val="21"/>
          <w:szCs w:val="21"/>
          <w:lang w:val="es-ES_tradnl"/>
        </w:rPr>
        <w:t xml:space="preserve"> </w:t>
      </w:r>
      <w:r w:rsidR="004241C5" w:rsidRPr="00B25E57">
        <w:rPr>
          <w:b/>
          <w:sz w:val="21"/>
          <w:szCs w:val="21"/>
          <w:lang w:val="es-ES_tradnl"/>
        </w:rPr>
        <w:t>Costos</w:t>
      </w:r>
      <w:r w:rsidR="003A46A1" w:rsidRPr="00B25E57">
        <w:rPr>
          <w:b/>
          <w:sz w:val="21"/>
          <w:szCs w:val="21"/>
          <w:lang w:val="es-ES_tradnl"/>
        </w:rPr>
        <w:t xml:space="preserve"> </w:t>
      </w:r>
      <w:r w:rsidR="00B35376">
        <w:rPr>
          <w:b/>
          <w:sz w:val="21"/>
          <w:szCs w:val="21"/>
          <w:lang w:val="es-ES_tradnl"/>
        </w:rPr>
        <w:t>de</w:t>
      </w:r>
      <w:r w:rsidR="003A46A1" w:rsidRPr="00B25E57">
        <w:rPr>
          <w:b/>
          <w:sz w:val="21"/>
          <w:szCs w:val="21"/>
          <w:lang w:val="es-ES_tradnl"/>
        </w:rPr>
        <w:t xml:space="preserve"> </w:t>
      </w:r>
      <w:r w:rsidR="004C065D">
        <w:rPr>
          <w:b/>
          <w:sz w:val="21"/>
          <w:szCs w:val="21"/>
          <w:lang w:val="es-ES_tradnl"/>
        </w:rPr>
        <w:t>operar</w:t>
      </w:r>
      <w:r w:rsidR="003A46A1" w:rsidRPr="00B25E57">
        <w:rPr>
          <w:b/>
          <w:sz w:val="21"/>
          <w:szCs w:val="21"/>
          <w:lang w:val="es-ES_tradnl"/>
        </w:rPr>
        <w:t xml:space="preserve"> </w:t>
      </w:r>
      <w:r w:rsidR="00B35376">
        <w:rPr>
          <w:b/>
          <w:sz w:val="21"/>
          <w:szCs w:val="21"/>
          <w:lang w:val="es-ES_tradnl"/>
        </w:rPr>
        <w:t>el incinerador reacondicionado</w:t>
      </w:r>
      <w:r w:rsidR="003A46A1" w:rsidRPr="00B25E57">
        <w:rPr>
          <w:b/>
          <w:sz w:val="21"/>
          <w:szCs w:val="21"/>
          <w:lang w:val="es-ES_tradnl"/>
        </w:rPr>
        <w:t xml:space="preserve"> </w:t>
      </w:r>
      <w:r w:rsidR="004057BA" w:rsidRPr="00B25E57">
        <w:rPr>
          <w:b/>
          <w:sz w:val="21"/>
          <w:szCs w:val="21"/>
          <w:lang w:val="es-ES_tradnl"/>
        </w:rPr>
        <w:t>($EUA)</w:t>
      </w:r>
    </w:p>
    <w:tbl>
      <w:tblPr>
        <w:tblW w:w="5000" w:type="pct"/>
        <w:tblLook w:val="04A0" w:firstRow="1" w:lastRow="0" w:firstColumn="1" w:lastColumn="0" w:noHBand="0" w:noVBand="1"/>
      </w:tblPr>
      <w:tblGrid>
        <w:gridCol w:w="3377"/>
        <w:gridCol w:w="1550"/>
        <w:gridCol w:w="1551"/>
        <w:gridCol w:w="1549"/>
        <w:gridCol w:w="1549"/>
      </w:tblGrid>
      <w:tr w:rsidR="00345E62" w:rsidRPr="00B25E57" w14:paraId="6D96E563" w14:textId="77777777" w:rsidTr="00345E62">
        <w:trPr>
          <w:trHeight w:val="41"/>
        </w:trPr>
        <w:tc>
          <w:tcPr>
            <w:tcW w:w="1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711F" w14:textId="65BF2EFB" w:rsidR="00345E62" w:rsidRPr="00B25E57" w:rsidRDefault="004241C5" w:rsidP="008D0C2A">
            <w:pPr>
              <w:jc w:val="left"/>
              <w:rPr>
                <w:b/>
                <w:color w:val="000000"/>
                <w:sz w:val="21"/>
                <w:szCs w:val="21"/>
                <w:lang w:val="es-ES_tradnl" w:eastAsia="en-CA"/>
              </w:rPr>
            </w:pPr>
            <w:r w:rsidRPr="00B25E57">
              <w:rPr>
                <w:b/>
                <w:color w:val="000000"/>
                <w:sz w:val="21"/>
                <w:szCs w:val="21"/>
                <w:lang w:val="es-ES_tradnl" w:eastAsia="en-CA"/>
              </w:rPr>
              <w:t>Descripción</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14:paraId="09898E0D" w14:textId="77777777" w:rsidR="00345E62" w:rsidRPr="00B25E57" w:rsidRDefault="00345E62" w:rsidP="00665672">
            <w:pPr>
              <w:jc w:val="center"/>
              <w:rPr>
                <w:b/>
                <w:color w:val="000000"/>
                <w:sz w:val="21"/>
                <w:szCs w:val="21"/>
                <w:lang w:val="es-ES_tradnl" w:eastAsia="en-CA"/>
              </w:rPr>
            </w:pPr>
            <w:r w:rsidRPr="00B25E57">
              <w:rPr>
                <w:b/>
                <w:color w:val="000000"/>
                <w:sz w:val="21"/>
                <w:szCs w:val="21"/>
                <w:lang w:val="es-ES_tradnl" w:eastAsia="en-CA"/>
              </w:rPr>
              <w:t>2020</w:t>
            </w:r>
          </w:p>
        </w:tc>
        <w:tc>
          <w:tcPr>
            <w:tcW w:w="810" w:type="pct"/>
            <w:tcBorders>
              <w:top w:val="single" w:sz="4" w:space="0" w:color="auto"/>
              <w:left w:val="nil"/>
              <w:bottom w:val="single" w:sz="4" w:space="0" w:color="auto"/>
              <w:right w:val="single" w:sz="4" w:space="0" w:color="auto"/>
            </w:tcBorders>
            <w:shd w:val="clear" w:color="auto" w:fill="auto"/>
            <w:noWrap/>
            <w:vAlign w:val="bottom"/>
            <w:hideMark/>
          </w:tcPr>
          <w:p w14:paraId="7D1B4FC0" w14:textId="77777777" w:rsidR="00345E62" w:rsidRPr="00B25E57" w:rsidRDefault="00345E62" w:rsidP="00665672">
            <w:pPr>
              <w:jc w:val="center"/>
              <w:rPr>
                <w:b/>
                <w:color w:val="000000"/>
                <w:sz w:val="21"/>
                <w:szCs w:val="21"/>
                <w:lang w:val="es-ES_tradnl" w:eastAsia="en-CA"/>
              </w:rPr>
            </w:pPr>
            <w:r w:rsidRPr="00B25E57">
              <w:rPr>
                <w:b/>
                <w:color w:val="000000"/>
                <w:sz w:val="21"/>
                <w:szCs w:val="21"/>
                <w:lang w:val="es-ES_tradnl" w:eastAsia="en-CA"/>
              </w:rPr>
              <w:t>2021</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14:paraId="1BCF8073" w14:textId="77777777" w:rsidR="00345E62" w:rsidRPr="00B25E57" w:rsidRDefault="00345E62" w:rsidP="00665672">
            <w:pPr>
              <w:jc w:val="center"/>
              <w:rPr>
                <w:b/>
                <w:color w:val="000000"/>
                <w:sz w:val="21"/>
                <w:szCs w:val="21"/>
                <w:lang w:val="es-ES_tradnl" w:eastAsia="en-CA"/>
              </w:rPr>
            </w:pPr>
            <w:r w:rsidRPr="00B25E57">
              <w:rPr>
                <w:b/>
                <w:color w:val="000000"/>
                <w:sz w:val="21"/>
                <w:szCs w:val="21"/>
                <w:lang w:val="es-ES_tradnl" w:eastAsia="en-CA"/>
              </w:rPr>
              <w:t>2022</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14:paraId="027F6D75" w14:textId="77777777" w:rsidR="00345E62" w:rsidRPr="00B25E57" w:rsidRDefault="00345E62" w:rsidP="00665672">
            <w:pPr>
              <w:jc w:val="center"/>
              <w:rPr>
                <w:b/>
                <w:color w:val="000000"/>
                <w:sz w:val="21"/>
                <w:szCs w:val="21"/>
                <w:lang w:val="es-ES_tradnl" w:eastAsia="en-CA"/>
              </w:rPr>
            </w:pPr>
            <w:r w:rsidRPr="00B25E57">
              <w:rPr>
                <w:b/>
                <w:color w:val="000000"/>
                <w:sz w:val="21"/>
                <w:szCs w:val="21"/>
                <w:lang w:val="es-ES_tradnl" w:eastAsia="en-CA"/>
              </w:rPr>
              <w:t>2023</w:t>
            </w:r>
          </w:p>
        </w:tc>
      </w:tr>
      <w:tr w:rsidR="00345E62" w:rsidRPr="00B25E57" w14:paraId="54A64CBC" w14:textId="77777777" w:rsidTr="008D0C2A">
        <w:trPr>
          <w:trHeight w:val="41"/>
        </w:trPr>
        <w:tc>
          <w:tcPr>
            <w:tcW w:w="1763" w:type="pct"/>
            <w:tcBorders>
              <w:top w:val="nil"/>
              <w:left w:val="single" w:sz="4" w:space="0" w:color="auto"/>
              <w:bottom w:val="single" w:sz="4" w:space="0" w:color="auto"/>
              <w:right w:val="single" w:sz="4" w:space="0" w:color="auto"/>
            </w:tcBorders>
            <w:shd w:val="clear" w:color="auto" w:fill="auto"/>
            <w:vAlign w:val="center"/>
            <w:hideMark/>
          </w:tcPr>
          <w:p w14:paraId="50EAF689" w14:textId="08B4F7B0" w:rsidR="00345E62" w:rsidRPr="00B25E57" w:rsidRDefault="006C6A1A" w:rsidP="00665672">
            <w:pPr>
              <w:jc w:val="left"/>
              <w:rPr>
                <w:color w:val="000000"/>
                <w:sz w:val="21"/>
                <w:szCs w:val="21"/>
                <w:lang w:val="es-ES_tradnl" w:eastAsia="en-CA"/>
              </w:rPr>
            </w:pPr>
            <w:r>
              <w:rPr>
                <w:color w:val="000000"/>
                <w:sz w:val="21"/>
                <w:szCs w:val="21"/>
                <w:lang w:val="es-ES_tradnl" w:eastAsia="en-CA"/>
              </w:rPr>
              <w:t>Costos variables</w:t>
            </w:r>
            <w:r w:rsidR="00345E62" w:rsidRPr="00B25E57">
              <w:rPr>
                <w:color w:val="000000"/>
                <w:sz w:val="21"/>
                <w:szCs w:val="21"/>
                <w:vertAlign w:val="superscript"/>
                <w:lang w:val="es-ES_tradnl" w:eastAsia="en-CA"/>
              </w:rPr>
              <w:t>*</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6100C201" w14:textId="6948B7A6" w:rsidR="00345E62" w:rsidRPr="00B25E57" w:rsidRDefault="00345E62" w:rsidP="008D0C2A">
            <w:pPr>
              <w:jc w:val="right"/>
              <w:rPr>
                <w:sz w:val="21"/>
                <w:szCs w:val="21"/>
                <w:lang w:val="es-ES_tradnl" w:eastAsia="en-CA"/>
              </w:rPr>
            </w:pPr>
            <w:r w:rsidRPr="00B25E57">
              <w:rPr>
                <w:sz w:val="21"/>
                <w:szCs w:val="21"/>
                <w:lang w:val="es-ES_tradnl" w:eastAsia="en-CA"/>
              </w:rPr>
              <w:t>6</w:t>
            </w:r>
            <w:r w:rsidR="004241C5" w:rsidRPr="00B25E57">
              <w:rPr>
                <w:sz w:val="21"/>
                <w:szCs w:val="21"/>
                <w:lang w:val="es-ES_tradnl" w:eastAsia="en-CA"/>
              </w:rPr>
              <w:t>6.</w:t>
            </w:r>
            <w:r w:rsidRPr="00B25E57">
              <w:rPr>
                <w:sz w:val="21"/>
                <w:szCs w:val="21"/>
                <w:lang w:val="es-ES_tradnl" w:eastAsia="en-CA"/>
              </w:rPr>
              <w:t>840</w:t>
            </w:r>
          </w:p>
        </w:tc>
        <w:tc>
          <w:tcPr>
            <w:tcW w:w="810" w:type="pct"/>
            <w:tcBorders>
              <w:top w:val="nil"/>
              <w:left w:val="nil"/>
              <w:bottom w:val="single" w:sz="4" w:space="0" w:color="auto"/>
              <w:right w:val="single" w:sz="4" w:space="0" w:color="auto"/>
            </w:tcBorders>
            <w:shd w:val="clear" w:color="auto" w:fill="auto"/>
            <w:noWrap/>
            <w:tcMar>
              <w:left w:w="115" w:type="dxa"/>
              <w:right w:w="216" w:type="dxa"/>
            </w:tcMar>
            <w:hideMark/>
          </w:tcPr>
          <w:p w14:paraId="751F9134" w14:textId="7680FC7C" w:rsidR="00345E62" w:rsidRPr="00B25E57" w:rsidRDefault="00345E62" w:rsidP="008D0C2A">
            <w:pPr>
              <w:jc w:val="right"/>
              <w:rPr>
                <w:sz w:val="21"/>
                <w:szCs w:val="21"/>
                <w:lang w:val="es-ES_tradnl" w:eastAsia="en-CA"/>
              </w:rPr>
            </w:pPr>
            <w:r w:rsidRPr="00B25E57">
              <w:rPr>
                <w:sz w:val="21"/>
                <w:szCs w:val="21"/>
                <w:lang w:val="es-ES_tradnl" w:eastAsia="en-CA"/>
              </w:rPr>
              <w:t>6</w:t>
            </w:r>
            <w:r w:rsidR="004241C5" w:rsidRPr="00B25E57">
              <w:rPr>
                <w:sz w:val="21"/>
                <w:szCs w:val="21"/>
                <w:lang w:val="es-ES_tradnl" w:eastAsia="en-CA"/>
              </w:rPr>
              <w:t>6.</w:t>
            </w:r>
            <w:r w:rsidRPr="00B25E57">
              <w:rPr>
                <w:sz w:val="21"/>
                <w:szCs w:val="21"/>
                <w:lang w:val="es-ES_tradnl" w:eastAsia="en-CA"/>
              </w:rPr>
              <w:t>840</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571266DC" w14:textId="6F55A21D" w:rsidR="00345E62" w:rsidRPr="00B25E57" w:rsidRDefault="00345E62" w:rsidP="008D0C2A">
            <w:pPr>
              <w:jc w:val="right"/>
              <w:rPr>
                <w:sz w:val="21"/>
                <w:szCs w:val="21"/>
                <w:lang w:val="es-ES_tradnl" w:eastAsia="en-CA"/>
              </w:rPr>
            </w:pPr>
            <w:r w:rsidRPr="00B25E57">
              <w:rPr>
                <w:sz w:val="21"/>
                <w:szCs w:val="21"/>
                <w:lang w:val="es-ES_tradnl" w:eastAsia="en-CA"/>
              </w:rPr>
              <w:t>6</w:t>
            </w:r>
            <w:r w:rsidR="004241C5" w:rsidRPr="00B25E57">
              <w:rPr>
                <w:sz w:val="21"/>
                <w:szCs w:val="21"/>
                <w:lang w:val="es-ES_tradnl" w:eastAsia="en-CA"/>
              </w:rPr>
              <w:t>6.</w:t>
            </w:r>
            <w:r w:rsidRPr="00B25E57">
              <w:rPr>
                <w:sz w:val="21"/>
                <w:szCs w:val="21"/>
                <w:lang w:val="es-ES_tradnl" w:eastAsia="en-CA"/>
              </w:rPr>
              <w:t>840</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7800E035" w14:textId="040EB1D4" w:rsidR="00345E62" w:rsidRPr="00B25E57" w:rsidRDefault="00345E62" w:rsidP="008D0C2A">
            <w:pPr>
              <w:jc w:val="right"/>
              <w:rPr>
                <w:sz w:val="21"/>
                <w:szCs w:val="21"/>
                <w:lang w:val="es-ES_tradnl" w:eastAsia="en-CA"/>
              </w:rPr>
            </w:pPr>
            <w:r w:rsidRPr="00B25E57">
              <w:rPr>
                <w:sz w:val="21"/>
                <w:szCs w:val="21"/>
                <w:lang w:val="es-ES_tradnl" w:eastAsia="en-CA"/>
              </w:rPr>
              <w:t>6</w:t>
            </w:r>
            <w:r w:rsidR="004241C5" w:rsidRPr="00B25E57">
              <w:rPr>
                <w:sz w:val="21"/>
                <w:szCs w:val="21"/>
                <w:lang w:val="es-ES_tradnl" w:eastAsia="en-CA"/>
              </w:rPr>
              <w:t>6.</w:t>
            </w:r>
            <w:r w:rsidRPr="00B25E57">
              <w:rPr>
                <w:sz w:val="21"/>
                <w:szCs w:val="21"/>
                <w:lang w:val="es-ES_tradnl" w:eastAsia="en-CA"/>
              </w:rPr>
              <w:t>840</w:t>
            </w:r>
          </w:p>
        </w:tc>
      </w:tr>
      <w:tr w:rsidR="00345E62" w:rsidRPr="00B25E57" w14:paraId="59603B3C" w14:textId="77777777" w:rsidTr="008D0C2A">
        <w:trPr>
          <w:trHeight w:val="41"/>
        </w:trPr>
        <w:tc>
          <w:tcPr>
            <w:tcW w:w="1763" w:type="pct"/>
            <w:tcBorders>
              <w:top w:val="nil"/>
              <w:left w:val="single" w:sz="4" w:space="0" w:color="auto"/>
              <w:bottom w:val="single" w:sz="4" w:space="0" w:color="auto"/>
              <w:right w:val="single" w:sz="4" w:space="0" w:color="auto"/>
            </w:tcBorders>
            <w:shd w:val="clear" w:color="auto" w:fill="auto"/>
            <w:noWrap/>
            <w:vAlign w:val="bottom"/>
            <w:hideMark/>
          </w:tcPr>
          <w:p w14:paraId="0ADAAF54" w14:textId="4F7EF799" w:rsidR="00345E62" w:rsidRPr="00B25E57" w:rsidRDefault="00E06323" w:rsidP="00665672">
            <w:pPr>
              <w:jc w:val="left"/>
              <w:rPr>
                <w:color w:val="000000"/>
                <w:sz w:val="21"/>
                <w:szCs w:val="21"/>
                <w:lang w:val="es-ES_tradnl" w:eastAsia="en-CA"/>
              </w:rPr>
            </w:pPr>
            <w:r>
              <w:rPr>
                <w:color w:val="000000"/>
                <w:sz w:val="21"/>
                <w:szCs w:val="21"/>
                <w:lang w:val="es-ES_tradnl" w:eastAsia="en-CA"/>
              </w:rPr>
              <w:t>Supervisión estatal</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0284D3A1" w14:textId="50EFA26C" w:rsidR="00345E62" w:rsidRPr="00B25E57" w:rsidRDefault="00FB38C2" w:rsidP="008D0C2A">
            <w:pPr>
              <w:jc w:val="right"/>
              <w:rPr>
                <w:sz w:val="21"/>
                <w:szCs w:val="21"/>
                <w:lang w:val="es-ES_tradnl" w:eastAsia="en-CA"/>
              </w:rPr>
            </w:pPr>
            <w:r w:rsidRPr="00B25E57">
              <w:rPr>
                <w:sz w:val="21"/>
                <w:szCs w:val="21"/>
                <w:lang w:val="es-ES_tradnl" w:eastAsia="en-CA"/>
              </w:rPr>
              <w:t>4.</w:t>
            </w:r>
            <w:r w:rsidR="00345E62" w:rsidRPr="00B25E57">
              <w:rPr>
                <w:sz w:val="21"/>
                <w:szCs w:val="21"/>
                <w:lang w:val="es-ES_tradnl" w:eastAsia="en-CA"/>
              </w:rPr>
              <w:t>167</w:t>
            </w:r>
          </w:p>
        </w:tc>
        <w:tc>
          <w:tcPr>
            <w:tcW w:w="810" w:type="pct"/>
            <w:tcBorders>
              <w:top w:val="nil"/>
              <w:left w:val="nil"/>
              <w:bottom w:val="single" w:sz="4" w:space="0" w:color="auto"/>
              <w:right w:val="single" w:sz="4" w:space="0" w:color="auto"/>
            </w:tcBorders>
            <w:shd w:val="clear" w:color="auto" w:fill="auto"/>
            <w:noWrap/>
            <w:tcMar>
              <w:left w:w="115" w:type="dxa"/>
              <w:right w:w="216" w:type="dxa"/>
            </w:tcMar>
            <w:hideMark/>
          </w:tcPr>
          <w:p w14:paraId="3CB77E1D" w14:textId="1C07DB2B" w:rsidR="00345E62" w:rsidRPr="00B25E57" w:rsidRDefault="00FB38C2" w:rsidP="008D0C2A">
            <w:pPr>
              <w:jc w:val="right"/>
              <w:rPr>
                <w:sz w:val="21"/>
                <w:szCs w:val="21"/>
                <w:lang w:val="es-ES_tradnl" w:eastAsia="en-CA"/>
              </w:rPr>
            </w:pPr>
            <w:r w:rsidRPr="00B25E57">
              <w:rPr>
                <w:sz w:val="21"/>
                <w:szCs w:val="21"/>
                <w:lang w:val="es-ES_tradnl" w:eastAsia="en-CA"/>
              </w:rPr>
              <w:t>4.</w:t>
            </w:r>
            <w:r w:rsidR="00345E62" w:rsidRPr="00B25E57">
              <w:rPr>
                <w:sz w:val="21"/>
                <w:szCs w:val="21"/>
                <w:lang w:val="es-ES_tradnl" w:eastAsia="en-CA"/>
              </w:rPr>
              <w:t>167</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666DE1F9" w14:textId="7CD88F31" w:rsidR="00345E62" w:rsidRPr="00B25E57" w:rsidRDefault="00FB38C2" w:rsidP="008D0C2A">
            <w:pPr>
              <w:jc w:val="right"/>
              <w:rPr>
                <w:sz w:val="21"/>
                <w:szCs w:val="21"/>
                <w:lang w:val="es-ES_tradnl" w:eastAsia="en-CA"/>
              </w:rPr>
            </w:pPr>
            <w:r w:rsidRPr="00B25E57">
              <w:rPr>
                <w:sz w:val="21"/>
                <w:szCs w:val="21"/>
                <w:lang w:val="es-ES_tradnl" w:eastAsia="en-CA"/>
              </w:rPr>
              <w:t>4.</w:t>
            </w:r>
            <w:r w:rsidR="00345E62" w:rsidRPr="00B25E57">
              <w:rPr>
                <w:sz w:val="21"/>
                <w:szCs w:val="21"/>
                <w:lang w:val="es-ES_tradnl" w:eastAsia="en-CA"/>
              </w:rPr>
              <w:t>167</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2082EA38" w14:textId="7B9F4B63" w:rsidR="00345E62" w:rsidRPr="00B25E57" w:rsidRDefault="00345E62" w:rsidP="008D0C2A">
            <w:pPr>
              <w:jc w:val="right"/>
              <w:rPr>
                <w:sz w:val="21"/>
                <w:szCs w:val="21"/>
                <w:lang w:val="es-ES_tradnl" w:eastAsia="en-CA"/>
              </w:rPr>
            </w:pPr>
            <w:r w:rsidRPr="00B25E57">
              <w:rPr>
                <w:sz w:val="21"/>
                <w:szCs w:val="21"/>
                <w:lang w:val="es-ES_tradnl" w:eastAsia="en-CA"/>
              </w:rPr>
              <w:t>1</w:t>
            </w:r>
            <w:r w:rsidR="00FB38C2" w:rsidRPr="00B25E57">
              <w:rPr>
                <w:sz w:val="21"/>
                <w:szCs w:val="21"/>
                <w:lang w:val="es-ES_tradnl" w:eastAsia="en-CA"/>
              </w:rPr>
              <w:t>0.</w:t>
            </w:r>
            <w:r w:rsidRPr="00B25E57">
              <w:rPr>
                <w:sz w:val="21"/>
                <w:szCs w:val="21"/>
                <w:lang w:val="es-ES_tradnl" w:eastAsia="en-CA"/>
              </w:rPr>
              <w:t>000</w:t>
            </w:r>
          </w:p>
        </w:tc>
      </w:tr>
      <w:tr w:rsidR="00345E62" w:rsidRPr="00B25E57" w14:paraId="07FDC66D" w14:textId="77777777" w:rsidTr="008D0C2A">
        <w:trPr>
          <w:trHeight w:val="41"/>
        </w:trPr>
        <w:tc>
          <w:tcPr>
            <w:tcW w:w="1763" w:type="pct"/>
            <w:tcBorders>
              <w:top w:val="nil"/>
              <w:left w:val="single" w:sz="4" w:space="0" w:color="auto"/>
              <w:bottom w:val="single" w:sz="4" w:space="0" w:color="auto"/>
              <w:right w:val="single" w:sz="4" w:space="0" w:color="auto"/>
            </w:tcBorders>
            <w:shd w:val="clear" w:color="auto" w:fill="auto"/>
            <w:noWrap/>
            <w:vAlign w:val="bottom"/>
            <w:hideMark/>
          </w:tcPr>
          <w:p w14:paraId="5BCD6548" w14:textId="4AA33A0F" w:rsidR="00345E62" w:rsidRPr="00B25E57" w:rsidRDefault="004F62D9" w:rsidP="00AD0CB5">
            <w:pPr>
              <w:jc w:val="left"/>
              <w:rPr>
                <w:color w:val="000000"/>
                <w:sz w:val="21"/>
                <w:szCs w:val="21"/>
                <w:lang w:val="es-ES_tradnl" w:eastAsia="en-CA"/>
              </w:rPr>
            </w:pPr>
            <w:r>
              <w:rPr>
                <w:color w:val="000000"/>
                <w:sz w:val="21"/>
                <w:szCs w:val="21"/>
                <w:lang w:val="es-ES_tradnl" w:eastAsia="en-CA"/>
              </w:rPr>
              <w:t>Cuota de inscripción anual</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71B357FD" w14:textId="77E03552" w:rsidR="00345E62" w:rsidRPr="00B25E57" w:rsidRDefault="00FB38C2" w:rsidP="008D0C2A">
            <w:pPr>
              <w:jc w:val="right"/>
              <w:rPr>
                <w:sz w:val="21"/>
                <w:szCs w:val="21"/>
                <w:lang w:val="es-ES_tradnl" w:eastAsia="en-CA"/>
              </w:rPr>
            </w:pPr>
            <w:r w:rsidRPr="00B25E57">
              <w:rPr>
                <w:sz w:val="21"/>
                <w:szCs w:val="21"/>
                <w:lang w:val="es-ES_tradnl" w:eastAsia="en-CA"/>
              </w:rPr>
              <w:t>3.</w:t>
            </w:r>
            <w:r w:rsidR="00345E62" w:rsidRPr="00B25E57">
              <w:rPr>
                <w:sz w:val="21"/>
                <w:szCs w:val="21"/>
                <w:lang w:val="es-ES_tradnl" w:eastAsia="en-CA"/>
              </w:rPr>
              <w:t>960</w:t>
            </w:r>
          </w:p>
        </w:tc>
        <w:tc>
          <w:tcPr>
            <w:tcW w:w="810" w:type="pct"/>
            <w:tcBorders>
              <w:top w:val="nil"/>
              <w:left w:val="nil"/>
              <w:bottom w:val="single" w:sz="4" w:space="0" w:color="auto"/>
              <w:right w:val="single" w:sz="4" w:space="0" w:color="auto"/>
            </w:tcBorders>
            <w:shd w:val="clear" w:color="auto" w:fill="auto"/>
            <w:noWrap/>
            <w:tcMar>
              <w:left w:w="115" w:type="dxa"/>
              <w:right w:w="216" w:type="dxa"/>
            </w:tcMar>
            <w:hideMark/>
          </w:tcPr>
          <w:p w14:paraId="08438724" w14:textId="62359F9F" w:rsidR="00345E62" w:rsidRPr="00B25E57" w:rsidRDefault="00FB38C2" w:rsidP="008D0C2A">
            <w:pPr>
              <w:jc w:val="right"/>
              <w:rPr>
                <w:sz w:val="21"/>
                <w:szCs w:val="21"/>
                <w:lang w:val="es-ES_tradnl" w:eastAsia="en-CA"/>
              </w:rPr>
            </w:pPr>
            <w:r w:rsidRPr="00B25E57">
              <w:rPr>
                <w:sz w:val="21"/>
                <w:szCs w:val="21"/>
                <w:lang w:val="es-ES_tradnl" w:eastAsia="en-CA"/>
              </w:rPr>
              <w:t>3.</w:t>
            </w:r>
            <w:r w:rsidR="00345E62" w:rsidRPr="00B25E57">
              <w:rPr>
                <w:sz w:val="21"/>
                <w:szCs w:val="21"/>
                <w:lang w:val="es-ES_tradnl" w:eastAsia="en-CA"/>
              </w:rPr>
              <w:t>960</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21A417DE" w14:textId="3E8FFF60" w:rsidR="00345E62" w:rsidRPr="00B25E57" w:rsidRDefault="00FB38C2" w:rsidP="008D0C2A">
            <w:pPr>
              <w:jc w:val="right"/>
              <w:rPr>
                <w:sz w:val="21"/>
                <w:szCs w:val="21"/>
                <w:lang w:val="es-ES_tradnl" w:eastAsia="en-CA"/>
              </w:rPr>
            </w:pPr>
            <w:r w:rsidRPr="00B25E57">
              <w:rPr>
                <w:sz w:val="21"/>
                <w:szCs w:val="21"/>
                <w:lang w:val="es-ES_tradnl" w:eastAsia="en-CA"/>
              </w:rPr>
              <w:t>3.</w:t>
            </w:r>
            <w:r w:rsidR="00345E62" w:rsidRPr="00B25E57">
              <w:rPr>
                <w:sz w:val="21"/>
                <w:szCs w:val="21"/>
                <w:lang w:val="es-ES_tradnl" w:eastAsia="en-CA"/>
              </w:rPr>
              <w:t>960</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2F34646F" w14:textId="2B78A17C" w:rsidR="00345E62" w:rsidRPr="00B25E57" w:rsidRDefault="00FB38C2" w:rsidP="008D0C2A">
            <w:pPr>
              <w:jc w:val="right"/>
              <w:rPr>
                <w:sz w:val="21"/>
                <w:szCs w:val="21"/>
                <w:lang w:val="es-ES_tradnl" w:eastAsia="en-CA"/>
              </w:rPr>
            </w:pPr>
            <w:r w:rsidRPr="00B25E57">
              <w:rPr>
                <w:sz w:val="21"/>
                <w:szCs w:val="21"/>
                <w:lang w:val="es-ES_tradnl" w:eastAsia="en-CA"/>
              </w:rPr>
              <w:t>3.</w:t>
            </w:r>
            <w:r w:rsidR="00345E62" w:rsidRPr="00B25E57">
              <w:rPr>
                <w:sz w:val="21"/>
                <w:szCs w:val="21"/>
                <w:lang w:val="es-ES_tradnl" w:eastAsia="en-CA"/>
              </w:rPr>
              <w:t>960</w:t>
            </w:r>
          </w:p>
        </w:tc>
      </w:tr>
      <w:tr w:rsidR="00345E62" w:rsidRPr="00B25E57" w14:paraId="4A06E844" w14:textId="77777777" w:rsidTr="008D0C2A">
        <w:trPr>
          <w:trHeight w:val="41"/>
        </w:trPr>
        <w:tc>
          <w:tcPr>
            <w:tcW w:w="1763" w:type="pct"/>
            <w:tcBorders>
              <w:top w:val="nil"/>
              <w:left w:val="single" w:sz="4" w:space="0" w:color="auto"/>
              <w:bottom w:val="single" w:sz="4" w:space="0" w:color="auto"/>
              <w:right w:val="single" w:sz="4" w:space="0" w:color="auto"/>
            </w:tcBorders>
            <w:shd w:val="clear" w:color="auto" w:fill="auto"/>
            <w:noWrap/>
            <w:vAlign w:val="bottom"/>
            <w:hideMark/>
          </w:tcPr>
          <w:p w14:paraId="2DB1FDBE" w14:textId="5F6CB61C" w:rsidR="00345E62" w:rsidRPr="00B25E57" w:rsidRDefault="00EE2925" w:rsidP="00665672">
            <w:pPr>
              <w:jc w:val="left"/>
              <w:rPr>
                <w:b/>
                <w:color w:val="000000"/>
                <w:sz w:val="21"/>
                <w:szCs w:val="21"/>
                <w:lang w:val="es-ES_tradnl" w:eastAsia="en-CA"/>
              </w:rPr>
            </w:pPr>
            <w:r w:rsidRPr="00B25E57">
              <w:rPr>
                <w:b/>
                <w:color w:val="000000"/>
                <w:sz w:val="21"/>
                <w:szCs w:val="21"/>
                <w:lang w:val="es-ES_tradnl" w:eastAsia="en-CA"/>
              </w:rPr>
              <w:t>S</w:t>
            </w:r>
            <w:r w:rsidR="00FB38C2" w:rsidRPr="00B25E57">
              <w:rPr>
                <w:b/>
                <w:color w:val="000000"/>
                <w:sz w:val="21"/>
                <w:szCs w:val="21"/>
                <w:lang w:val="es-ES_tradnl" w:eastAsia="en-CA"/>
              </w:rPr>
              <w:t>obrecostos</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de</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operación</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20603A11" w14:textId="0B7EA0C2" w:rsidR="00345E62" w:rsidRPr="00B25E57" w:rsidRDefault="00345E62" w:rsidP="008D0C2A">
            <w:pPr>
              <w:jc w:val="right"/>
              <w:rPr>
                <w:b/>
                <w:sz w:val="21"/>
                <w:szCs w:val="21"/>
                <w:lang w:val="es-ES_tradnl" w:eastAsia="en-CA"/>
              </w:rPr>
            </w:pPr>
            <w:r w:rsidRPr="00B25E57">
              <w:rPr>
                <w:b/>
                <w:sz w:val="21"/>
                <w:szCs w:val="21"/>
                <w:lang w:val="es-ES_tradnl" w:eastAsia="en-CA"/>
              </w:rPr>
              <w:t>7</w:t>
            </w:r>
            <w:r w:rsidR="00FB38C2" w:rsidRPr="00B25E57">
              <w:rPr>
                <w:b/>
                <w:sz w:val="21"/>
                <w:szCs w:val="21"/>
                <w:lang w:val="es-ES_tradnl" w:eastAsia="en-CA"/>
              </w:rPr>
              <w:t>4.</w:t>
            </w:r>
            <w:r w:rsidRPr="00B25E57">
              <w:rPr>
                <w:b/>
                <w:sz w:val="21"/>
                <w:szCs w:val="21"/>
                <w:lang w:val="es-ES_tradnl" w:eastAsia="en-CA"/>
              </w:rPr>
              <w:t>967</w:t>
            </w:r>
          </w:p>
        </w:tc>
        <w:tc>
          <w:tcPr>
            <w:tcW w:w="810" w:type="pct"/>
            <w:tcBorders>
              <w:top w:val="nil"/>
              <w:left w:val="nil"/>
              <w:bottom w:val="single" w:sz="4" w:space="0" w:color="auto"/>
              <w:right w:val="single" w:sz="4" w:space="0" w:color="auto"/>
            </w:tcBorders>
            <w:shd w:val="clear" w:color="auto" w:fill="auto"/>
            <w:noWrap/>
            <w:tcMar>
              <w:left w:w="115" w:type="dxa"/>
              <w:right w:w="216" w:type="dxa"/>
            </w:tcMar>
            <w:hideMark/>
          </w:tcPr>
          <w:p w14:paraId="26A06210" w14:textId="0DC60339" w:rsidR="00345E62" w:rsidRPr="00B25E57" w:rsidRDefault="00345E62" w:rsidP="008D0C2A">
            <w:pPr>
              <w:jc w:val="right"/>
              <w:rPr>
                <w:b/>
                <w:sz w:val="21"/>
                <w:szCs w:val="21"/>
                <w:lang w:val="es-ES_tradnl" w:eastAsia="en-CA"/>
              </w:rPr>
            </w:pPr>
            <w:r w:rsidRPr="00B25E57">
              <w:rPr>
                <w:b/>
                <w:sz w:val="21"/>
                <w:szCs w:val="21"/>
                <w:lang w:val="es-ES_tradnl" w:eastAsia="en-CA"/>
              </w:rPr>
              <w:t>7</w:t>
            </w:r>
            <w:r w:rsidR="00FB38C2" w:rsidRPr="00B25E57">
              <w:rPr>
                <w:b/>
                <w:sz w:val="21"/>
                <w:szCs w:val="21"/>
                <w:lang w:val="es-ES_tradnl" w:eastAsia="en-CA"/>
              </w:rPr>
              <w:t>4.</w:t>
            </w:r>
            <w:r w:rsidRPr="00B25E57">
              <w:rPr>
                <w:b/>
                <w:sz w:val="21"/>
                <w:szCs w:val="21"/>
                <w:lang w:val="es-ES_tradnl" w:eastAsia="en-CA"/>
              </w:rPr>
              <w:t>967</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71DEC904" w14:textId="57D6D06D" w:rsidR="00345E62" w:rsidRPr="00B25E57" w:rsidRDefault="00345E62" w:rsidP="008D0C2A">
            <w:pPr>
              <w:jc w:val="right"/>
              <w:rPr>
                <w:b/>
                <w:sz w:val="21"/>
                <w:szCs w:val="21"/>
                <w:lang w:val="es-ES_tradnl" w:eastAsia="en-CA"/>
              </w:rPr>
            </w:pPr>
            <w:r w:rsidRPr="00B25E57">
              <w:rPr>
                <w:b/>
                <w:sz w:val="21"/>
                <w:szCs w:val="21"/>
                <w:lang w:val="es-ES_tradnl" w:eastAsia="en-CA"/>
              </w:rPr>
              <w:t>7</w:t>
            </w:r>
            <w:r w:rsidR="00FB38C2" w:rsidRPr="00B25E57">
              <w:rPr>
                <w:b/>
                <w:sz w:val="21"/>
                <w:szCs w:val="21"/>
                <w:lang w:val="es-ES_tradnl" w:eastAsia="en-CA"/>
              </w:rPr>
              <w:t>4.</w:t>
            </w:r>
            <w:r w:rsidRPr="00B25E57">
              <w:rPr>
                <w:b/>
                <w:sz w:val="21"/>
                <w:szCs w:val="21"/>
                <w:lang w:val="es-ES_tradnl" w:eastAsia="en-CA"/>
              </w:rPr>
              <w:t>967</w:t>
            </w:r>
          </w:p>
        </w:tc>
        <w:tc>
          <w:tcPr>
            <w:tcW w:w="809" w:type="pct"/>
            <w:tcBorders>
              <w:top w:val="nil"/>
              <w:left w:val="nil"/>
              <w:bottom w:val="single" w:sz="4" w:space="0" w:color="auto"/>
              <w:right w:val="single" w:sz="4" w:space="0" w:color="auto"/>
            </w:tcBorders>
            <w:shd w:val="clear" w:color="auto" w:fill="auto"/>
            <w:noWrap/>
            <w:tcMar>
              <w:left w:w="115" w:type="dxa"/>
              <w:right w:w="216" w:type="dxa"/>
            </w:tcMar>
            <w:hideMark/>
          </w:tcPr>
          <w:p w14:paraId="0AD28A0E" w14:textId="33E0D5C1" w:rsidR="00345E62" w:rsidRPr="00B25E57" w:rsidRDefault="00345E62" w:rsidP="008D0C2A">
            <w:pPr>
              <w:jc w:val="right"/>
              <w:rPr>
                <w:b/>
                <w:sz w:val="21"/>
                <w:szCs w:val="21"/>
                <w:lang w:val="es-ES_tradnl" w:eastAsia="en-CA"/>
              </w:rPr>
            </w:pPr>
            <w:r w:rsidRPr="00B25E57">
              <w:rPr>
                <w:b/>
                <w:sz w:val="21"/>
                <w:szCs w:val="21"/>
                <w:lang w:val="es-ES_tradnl" w:eastAsia="en-CA"/>
              </w:rPr>
              <w:t>8</w:t>
            </w:r>
            <w:r w:rsidR="00FB38C2" w:rsidRPr="00B25E57">
              <w:rPr>
                <w:b/>
                <w:sz w:val="21"/>
                <w:szCs w:val="21"/>
                <w:lang w:val="es-ES_tradnl" w:eastAsia="en-CA"/>
              </w:rPr>
              <w:t>0.</w:t>
            </w:r>
            <w:r w:rsidRPr="00B25E57">
              <w:rPr>
                <w:b/>
                <w:sz w:val="21"/>
                <w:szCs w:val="21"/>
                <w:lang w:val="es-ES_tradnl" w:eastAsia="en-CA"/>
              </w:rPr>
              <w:t>800</w:t>
            </w:r>
          </w:p>
        </w:tc>
      </w:tr>
    </w:tbl>
    <w:p w14:paraId="060966DA" w14:textId="190D0F4C" w:rsidR="00345E62" w:rsidRPr="00B25E57" w:rsidRDefault="00345E62" w:rsidP="00345E62">
      <w:pPr>
        <w:rPr>
          <w:sz w:val="19"/>
          <w:szCs w:val="19"/>
          <w:lang w:val="es-ES_tradnl"/>
        </w:rPr>
      </w:pPr>
      <w:r w:rsidRPr="00B25E57">
        <w:rPr>
          <w:sz w:val="19"/>
          <w:szCs w:val="19"/>
          <w:lang w:val="es-ES_tradnl"/>
        </w:rPr>
        <w:t>*</w:t>
      </w:r>
      <w:r w:rsidR="003A46A1" w:rsidRPr="00B25E57">
        <w:rPr>
          <w:sz w:val="19"/>
          <w:szCs w:val="19"/>
          <w:lang w:val="es-ES_tradnl"/>
        </w:rPr>
        <w:t xml:space="preserve"> </w:t>
      </w:r>
      <w:r w:rsidR="00EB0AE8">
        <w:rPr>
          <w:sz w:val="19"/>
          <w:szCs w:val="19"/>
          <w:lang w:val="es-ES_tradnl"/>
        </w:rPr>
        <w:t>Incluye</w:t>
      </w:r>
      <w:r w:rsidR="00EB0AE8" w:rsidRPr="00B25E57">
        <w:rPr>
          <w:sz w:val="19"/>
          <w:szCs w:val="19"/>
          <w:lang w:val="es-ES_tradnl"/>
        </w:rPr>
        <w:t xml:space="preserve"> </w:t>
      </w:r>
      <w:r w:rsidR="006D2193">
        <w:rPr>
          <w:sz w:val="19"/>
          <w:szCs w:val="19"/>
          <w:lang w:val="es-ES_tradnl"/>
        </w:rPr>
        <w:t>gas natural</w:t>
      </w:r>
      <w:r w:rsidRPr="00B25E57">
        <w:rPr>
          <w:sz w:val="19"/>
          <w:szCs w:val="19"/>
          <w:lang w:val="es-ES_tradnl"/>
        </w:rPr>
        <w:t>,</w:t>
      </w:r>
      <w:r w:rsidR="003A46A1" w:rsidRPr="00B25E57">
        <w:rPr>
          <w:sz w:val="19"/>
          <w:szCs w:val="19"/>
          <w:lang w:val="es-ES_tradnl"/>
        </w:rPr>
        <w:t xml:space="preserve"> </w:t>
      </w:r>
      <w:r w:rsidR="004512EA" w:rsidRPr="00B25E57">
        <w:rPr>
          <w:sz w:val="19"/>
          <w:szCs w:val="19"/>
          <w:lang w:val="es-ES_tradnl"/>
        </w:rPr>
        <w:t>agua</w:t>
      </w:r>
      <w:r w:rsidRPr="00B25E57">
        <w:rPr>
          <w:sz w:val="19"/>
          <w:szCs w:val="19"/>
          <w:lang w:val="es-ES_tradnl"/>
        </w:rPr>
        <w:t>,</w:t>
      </w:r>
      <w:r w:rsidR="003A46A1" w:rsidRPr="00B25E57">
        <w:rPr>
          <w:sz w:val="19"/>
          <w:szCs w:val="19"/>
          <w:lang w:val="es-ES_tradnl"/>
        </w:rPr>
        <w:t xml:space="preserve"> </w:t>
      </w:r>
      <w:r w:rsidR="006D2193">
        <w:rPr>
          <w:sz w:val="19"/>
          <w:szCs w:val="19"/>
          <w:lang w:val="es-ES_tradnl"/>
        </w:rPr>
        <w:t>electricidad</w:t>
      </w:r>
      <w:r w:rsidRPr="00B25E57">
        <w:rPr>
          <w:sz w:val="19"/>
          <w:szCs w:val="19"/>
          <w:lang w:val="es-ES_tradnl"/>
        </w:rPr>
        <w:t>,</w:t>
      </w:r>
      <w:r w:rsidR="003A46A1" w:rsidRPr="00B25E57">
        <w:rPr>
          <w:sz w:val="19"/>
          <w:szCs w:val="19"/>
          <w:lang w:val="es-ES_tradnl"/>
        </w:rPr>
        <w:t xml:space="preserve"> </w:t>
      </w:r>
      <w:r w:rsidR="00E434B2" w:rsidRPr="00B25E57">
        <w:rPr>
          <w:sz w:val="19"/>
          <w:szCs w:val="19"/>
          <w:lang w:val="es-ES_tradnl"/>
        </w:rPr>
        <w:t>oxígeno</w:t>
      </w:r>
      <w:r w:rsidRPr="00B25E57">
        <w:rPr>
          <w:sz w:val="19"/>
          <w:szCs w:val="19"/>
          <w:lang w:val="es-ES_tradnl"/>
        </w:rPr>
        <w:t>,</w:t>
      </w:r>
      <w:r w:rsidR="003A46A1" w:rsidRPr="00B25E57">
        <w:rPr>
          <w:sz w:val="19"/>
          <w:szCs w:val="19"/>
          <w:lang w:val="es-ES_tradnl"/>
        </w:rPr>
        <w:t xml:space="preserve"> </w:t>
      </w:r>
      <w:r w:rsidR="00965B3D">
        <w:rPr>
          <w:sz w:val="19"/>
          <w:szCs w:val="19"/>
          <w:lang w:val="es-ES_tradnl"/>
        </w:rPr>
        <w:t>personal</w:t>
      </w:r>
      <w:r w:rsidRPr="00B25E57">
        <w:rPr>
          <w:sz w:val="19"/>
          <w:szCs w:val="19"/>
          <w:lang w:val="es-ES_tradnl"/>
        </w:rPr>
        <w:t>,</w:t>
      </w:r>
      <w:r w:rsidR="003A46A1" w:rsidRPr="00B25E57">
        <w:rPr>
          <w:sz w:val="19"/>
          <w:szCs w:val="19"/>
          <w:lang w:val="es-ES_tradnl"/>
        </w:rPr>
        <w:t xml:space="preserve"> </w:t>
      </w:r>
      <w:r w:rsidR="00E434B2" w:rsidRPr="00B25E57">
        <w:rPr>
          <w:sz w:val="19"/>
          <w:szCs w:val="19"/>
          <w:lang w:val="es-ES_tradnl"/>
        </w:rPr>
        <w:t>nitrógeno</w:t>
      </w:r>
      <w:r w:rsidRPr="00B25E57">
        <w:rPr>
          <w:sz w:val="19"/>
          <w:szCs w:val="19"/>
          <w:lang w:val="es-ES_tradnl"/>
        </w:rPr>
        <w:t>,</w:t>
      </w:r>
      <w:r w:rsidR="003A46A1" w:rsidRPr="00B25E57">
        <w:rPr>
          <w:sz w:val="19"/>
          <w:szCs w:val="19"/>
          <w:lang w:val="es-ES_tradnl"/>
        </w:rPr>
        <w:t xml:space="preserve"> </w:t>
      </w:r>
      <w:r w:rsidR="00F33C58" w:rsidRPr="00B25E57">
        <w:rPr>
          <w:sz w:val="19"/>
          <w:szCs w:val="19"/>
          <w:lang w:val="es-ES_tradnl"/>
        </w:rPr>
        <w:t>mantenimiento</w:t>
      </w:r>
      <w:r w:rsidRPr="00B25E57">
        <w:rPr>
          <w:sz w:val="19"/>
          <w:szCs w:val="19"/>
          <w:lang w:val="es-ES_tradnl"/>
        </w:rPr>
        <w:t>,</w:t>
      </w:r>
      <w:r w:rsidR="003A46A1" w:rsidRPr="00B25E57">
        <w:rPr>
          <w:sz w:val="19"/>
          <w:szCs w:val="19"/>
          <w:lang w:val="es-ES_tradnl"/>
        </w:rPr>
        <w:t xml:space="preserve"> </w:t>
      </w:r>
      <w:r w:rsidR="00193970">
        <w:rPr>
          <w:sz w:val="19"/>
          <w:szCs w:val="19"/>
          <w:lang w:val="es-ES_tradnl"/>
        </w:rPr>
        <w:t>costos generales</w:t>
      </w:r>
      <w:r w:rsidR="009966AF">
        <w:rPr>
          <w:sz w:val="19"/>
          <w:szCs w:val="19"/>
          <w:lang w:val="es-ES_tradnl"/>
        </w:rPr>
        <w:t xml:space="preserve"> de la planta</w:t>
      </w:r>
      <w:r w:rsidR="003A46A1" w:rsidRPr="00B25E57">
        <w:rPr>
          <w:sz w:val="19"/>
          <w:szCs w:val="19"/>
          <w:lang w:val="es-ES_tradnl"/>
        </w:rPr>
        <w:t xml:space="preserve"> </w:t>
      </w:r>
      <w:r w:rsidR="00106B0B">
        <w:rPr>
          <w:sz w:val="19"/>
          <w:szCs w:val="19"/>
          <w:lang w:val="es-ES_tradnl"/>
        </w:rPr>
        <w:t>e</w:t>
      </w:r>
      <w:r w:rsidR="003A46A1" w:rsidRPr="00B25E57">
        <w:rPr>
          <w:sz w:val="19"/>
          <w:szCs w:val="19"/>
          <w:lang w:val="es-ES_tradnl"/>
        </w:rPr>
        <w:t xml:space="preserve"> </w:t>
      </w:r>
      <w:r w:rsidR="00CF1500">
        <w:rPr>
          <w:sz w:val="19"/>
          <w:szCs w:val="19"/>
          <w:lang w:val="es-ES_tradnl"/>
        </w:rPr>
        <w:t>ingresos</w:t>
      </w:r>
      <w:r w:rsidR="003A46A1" w:rsidRPr="00B25E57">
        <w:rPr>
          <w:sz w:val="19"/>
          <w:szCs w:val="19"/>
          <w:lang w:val="es-ES_tradnl"/>
        </w:rPr>
        <w:t xml:space="preserve"> </w:t>
      </w:r>
      <w:r w:rsidR="00265CAB">
        <w:rPr>
          <w:sz w:val="19"/>
          <w:szCs w:val="19"/>
          <w:lang w:val="es-ES_tradnl"/>
        </w:rPr>
        <w:t xml:space="preserve">por </w:t>
      </w:r>
      <w:r w:rsidR="00CA7639">
        <w:rPr>
          <w:sz w:val="19"/>
          <w:szCs w:val="19"/>
          <w:lang w:val="es-ES_tradnl"/>
        </w:rPr>
        <w:t>venta</w:t>
      </w:r>
      <w:r w:rsidR="003A46A1" w:rsidRPr="00B25E57">
        <w:rPr>
          <w:sz w:val="19"/>
          <w:szCs w:val="19"/>
          <w:lang w:val="es-ES_tradnl"/>
        </w:rPr>
        <w:t xml:space="preserve"> </w:t>
      </w:r>
      <w:r w:rsidR="00FB38C2" w:rsidRPr="00B25E57">
        <w:rPr>
          <w:sz w:val="19"/>
          <w:szCs w:val="19"/>
          <w:lang w:val="es-ES_tradnl"/>
        </w:rPr>
        <w:t>de</w:t>
      </w:r>
      <w:r w:rsidR="003A46A1" w:rsidRPr="00B25E57">
        <w:rPr>
          <w:sz w:val="19"/>
          <w:szCs w:val="19"/>
          <w:lang w:val="es-ES_tradnl"/>
        </w:rPr>
        <w:t xml:space="preserve"> </w:t>
      </w:r>
      <w:r w:rsidR="00A03841">
        <w:rPr>
          <w:sz w:val="19"/>
          <w:szCs w:val="19"/>
          <w:lang w:val="es-ES_tradnl"/>
        </w:rPr>
        <w:t>ácido fluorhídrico</w:t>
      </w:r>
      <w:r w:rsidR="00674107">
        <w:rPr>
          <w:sz w:val="19"/>
          <w:szCs w:val="19"/>
          <w:lang w:val="es-ES_tradnl"/>
        </w:rPr>
        <w:t xml:space="preserve"> al </w:t>
      </w:r>
      <w:r w:rsidR="00674107" w:rsidRPr="00674107">
        <w:rPr>
          <w:sz w:val="19"/>
          <w:szCs w:val="19"/>
          <w:lang w:val="es-ES_tradnl"/>
        </w:rPr>
        <w:t>50%</w:t>
      </w:r>
      <w:r w:rsidRPr="00B25E57">
        <w:rPr>
          <w:sz w:val="19"/>
          <w:szCs w:val="19"/>
          <w:lang w:val="es-ES_tradnl"/>
        </w:rPr>
        <w:t>.</w:t>
      </w:r>
    </w:p>
    <w:p w14:paraId="31BB6D1F" w14:textId="77777777" w:rsidR="00345E62" w:rsidRPr="00B25E57" w:rsidRDefault="00345E62" w:rsidP="00345E62">
      <w:pPr>
        <w:rPr>
          <w:lang w:val="es-ES_tradnl"/>
        </w:rPr>
      </w:pPr>
    </w:p>
    <w:p w14:paraId="6476A1E1" w14:textId="0B3EF860" w:rsidR="007B22B4" w:rsidRPr="00B25E57" w:rsidRDefault="00E8297D" w:rsidP="00345E62">
      <w:pPr>
        <w:pStyle w:val="Heading1"/>
        <w:rPr>
          <w:lang w:val="es-ES_tradnl"/>
        </w:rPr>
      </w:pPr>
      <w:r w:rsidRPr="00B25E57">
        <w:rPr>
          <w:lang w:val="es-ES_tradnl"/>
        </w:rPr>
        <w:t>L</w:t>
      </w:r>
      <w:r w:rsidR="00FB38C2" w:rsidRPr="00B25E57">
        <w:rPr>
          <w:lang w:val="es-ES_tradnl"/>
        </w:rPr>
        <w:t>a</w:t>
      </w:r>
      <w:r>
        <w:rPr>
          <w:lang w:val="es-ES_tradnl"/>
        </w:rPr>
        <w:t xml:space="preserve"> </w:t>
      </w:r>
      <w:r w:rsidR="000D1006" w:rsidRPr="000D1006">
        <w:rPr>
          <w:lang w:val="es-ES_tradnl"/>
        </w:rPr>
        <w:t xml:space="preserve">evaluación de </w:t>
      </w:r>
      <w:r w:rsidR="00273327" w:rsidRPr="00273327">
        <w:rPr>
          <w:lang w:val="es-ES_tradnl"/>
        </w:rPr>
        <w:t xml:space="preserve">la ONUDI </w:t>
      </w:r>
      <w:r w:rsidR="00273327">
        <w:rPr>
          <w:lang w:val="es-ES_tradnl"/>
        </w:rPr>
        <w:t xml:space="preserve">en cuanto a </w:t>
      </w:r>
      <w:r w:rsidR="000D1006" w:rsidRPr="000D1006">
        <w:rPr>
          <w:lang w:val="es-ES_tradnl"/>
        </w:rPr>
        <w:t xml:space="preserve">los costos de reacondicionar el incinerador </w:t>
      </w:r>
      <w:r w:rsidR="000D1006">
        <w:rPr>
          <w:lang w:val="es-ES_tradnl"/>
        </w:rPr>
        <w:t xml:space="preserve">considera </w:t>
      </w:r>
      <w:r w:rsidR="001B5A33">
        <w:rPr>
          <w:lang w:val="es-ES_tradnl"/>
        </w:rPr>
        <w:t>el lucro</w:t>
      </w:r>
      <w:r w:rsidR="008B024B">
        <w:rPr>
          <w:lang w:val="es-ES_tradnl"/>
        </w:rPr>
        <w:t xml:space="preserve"> cesante</w:t>
      </w:r>
      <w:r w:rsidR="003A46A1" w:rsidRPr="00B25E57">
        <w:rPr>
          <w:lang w:val="es-ES_tradnl"/>
        </w:rPr>
        <w:t xml:space="preserve"> </w:t>
      </w:r>
      <w:r w:rsidR="009F662C">
        <w:rPr>
          <w:lang w:val="es-ES_tradnl"/>
        </w:rPr>
        <w:t>asociado</w:t>
      </w:r>
      <w:r w:rsidR="00B25E57">
        <w:rPr>
          <w:lang w:val="es-ES_tradnl"/>
        </w:rPr>
        <w:t xml:space="preserve"> a</w:t>
      </w:r>
      <w:r w:rsidR="003A46A1" w:rsidRPr="00B25E57">
        <w:rPr>
          <w:lang w:val="es-ES_tradnl"/>
        </w:rPr>
        <w:t xml:space="preserve"> </w:t>
      </w:r>
      <w:r w:rsidR="00E81A84">
        <w:rPr>
          <w:lang w:val="es-ES_tradnl"/>
        </w:rPr>
        <w:t>las medidas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control</w:t>
      </w:r>
      <w:r w:rsidR="003A46A1" w:rsidRPr="00B25E57">
        <w:rPr>
          <w:lang w:val="es-ES_tradnl"/>
        </w:rPr>
        <w:t xml:space="preserve"> </w:t>
      </w:r>
      <w:r w:rsidR="007202D3">
        <w:rPr>
          <w:lang w:val="es-ES_tradnl"/>
        </w:rPr>
        <w:t xml:space="preserve">para </w:t>
      </w:r>
      <w:r w:rsidR="00E81A84" w:rsidRPr="00E81A84">
        <w:rPr>
          <w:lang w:val="es-ES_tradnl"/>
        </w:rPr>
        <w:t>2025 y 2030</w:t>
      </w:r>
      <w:r w:rsidR="00345E62" w:rsidRPr="00B25E57">
        <w:rPr>
          <w:lang w:val="es-ES_tradnl"/>
        </w:rPr>
        <w:t>.</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022553">
        <w:rPr>
          <w:lang w:val="es-ES_tradnl"/>
        </w:rPr>
        <w:t xml:space="preserve">no incluyó </w:t>
      </w:r>
      <w:r w:rsidR="00E20804">
        <w:rPr>
          <w:lang w:val="es-ES_tradnl"/>
        </w:rPr>
        <w:t>estos costos</w:t>
      </w:r>
      <w:r w:rsidR="00345E62" w:rsidRPr="00B25E57">
        <w:rPr>
          <w:lang w:val="es-ES_tradnl"/>
        </w:rPr>
        <w:t>,</w:t>
      </w:r>
      <w:r w:rsidR="003A46A1" w:rsidRPr="00B25E57">
        <w:rPr>
          <w:lang w:val="es-ES_tradnl"/>
        </w:rPr>
        <w:t xml:space="preserve"> </w:t>
      </w:r>
      <w:r w:rsidR="00686657">
        <w:rPr>
          <w:lang w:val="es-ES_tradnl"/>
        </w:rPr>
        <w:t xml:space="preserve">como tampoco </w:t>
      </w:r>
      <w:r w:rsidR="00877436">
        <w:rPr>
          <w:lang w:val="es-ES_tradnl"/>
        </w:rPr>
        <w:t xml:space="preserve">para la </w:t>
      </w:r>
      <w:r w:rsidR="00F416D8">
        <w:rPr>
          <w:lang w:val="es-ES_tradnl"/>
        </w:rPr>
        <w:t xml:space="preserve">alternativa </w:t>
      </w:r>
      <w:r w:rsidR="00FB38C2" w:rsidRPr="00B25E57">
        <w:rPr>
          <w:lang w:val="es-ES_tradnl"/>
        </w:rPr>
        <w:t>de</w:t>
      </w:r>
      <w:r w:rsidR="003A46A1" w:rsidRPr="00B25E57">
        <w:rPr>
          <w:lang w:val="es-ES_tradnl"/>
        </w:rPr>
        <w:t xml:space="preserve"> </w:t>
      </w:r>
      <w:r w:rsidR="00C91884">
        <w:rPr>
          <w:lang w:val="es-ES_tradnl"/>
        </w:rPr>
        <w:t xml:space="preserve">destrucción </w:t>
      </w:r>
      <w:r w:rsidR="00B654D8">
        <w:rPr>
          <w:lang w:val="es-ES_tradnl"/>
        </w:rPr>
        <w:t>ex situ</w:t>
      </w:r>
      <w:r w:rsidR="003A46A1" w:rsidRPr="00B25E57">
        <w:rPr>
          <w:lang w:val="es-ES_tradnl"/>
        </w:rPr>
        <w:t xml:space="preserve"> </w:t>
      </w:r>
      <w:r w:rsidR="00345E62" w:rsidRPr="00B25E57">
        <w:rPr>
          <w:lang w:val="es-ES_tradnl"/>
        </w:rPr>
        <w:t>(</w:t>
      </w:r>
      <w:r w:rsidR="00B24756">
        <w:rPr>
          <w:lang w:val="es-ES_tradnl"/>
        </w:rPr>
        <w:t>descrita más adelante</w:t>
      </w:r>
      <w:r w:rsidR="00345E62" w:rsidRPr="00B25E57">
        <w:rPr>
          <w:lang w:val="es-ES_tradnl"/>
        </w:rPr>
        <w:t>),</w:t>
      </w:r>
      <w:r w:rsidR="003A46A1" w:rsidRPr="00B25E57">
        <w:rPr>
          <w:lang w:val="es-ES_tradnl"/>
        </w:rPr>
        <w:t xml:space="preserve"> </w:t>
      </w:r>
      <w:r w:rsidR="00066E96">
        <w:rPr>
          <w:lang w:val="es-ES_tradnl"/>
        </w:rPr>
        <w:t xml:space="preserve">dado que </w:t>
      </w:r>
      <w:r w:rsidR="00D10463">
        <w:rPr>
          <w:lang w:val="es-ES_tradnl"/>
        </w:rPr>
        <w:t>en la actualidad</w:t>
      </w:r>
      <w:r w:rsidR="00951BAD" w:rsidRPr="00951BAD">
        <w:rPr>
          <w:lang w:val="es-ES_tradnl"/>
        </w:rPr>
        <w:t xml:space="preserve"> </w:t>
      </w:r>
      <w:r w:rsidR="00765511">
        <w:rPr>
          <w:lang w:val="es-ES_tradnl"/>
        </w:rPr>
        <w:t xml:space="preserve">el </w:t>
      </w:r>
      <w:r w:rsidR="008B024B">
        <w:rPr>
          <w:lang w:val="es-ES_tradnl"/>
        </w:rPr>
        <w:t>lucro cesante</w:t>
      </w:r>
      <w:r w:rsidR="003A46A1" w:rsidRPr="00B25E57">
        <w:rPr>
          <w:lang w:val="es-ES_tradnl"/>
        </w:rPr>
        <w:t xml:space="preserve"> </w:t>
      </w:r>
      <w:r w:rsidR="00515C8E">
        <w:rPr>
          <w:lang w:val="es-ES_tradnl"/>
        </w:rPr>
        <w:t xml:space="preserve">no es </w:t>
      </w:r>
      <w:r w:rsidR="004241C5" w:rsidRPr="00B25E57">
        <w:rPr>
          <w:lang w:val="es-ES_tradnl"/>
        </w:rPr>
        <w:t>admisible</w:t>
      </w:r>
      <w:r w:rsidR="003A46A1" w:rsidRPr="00B25E57">
        <w:rPr>
          <w:lang w:val="es-ES_tradnl"/>
        </w:rPr>
        <w:t xml:space="preserve"> </w:t>
      </w:r>
      <w:r w:rsidR="00054212">
        <w:rPr>
          <w:lang w:val="es-ES_tradnl"/>
        </w:rPr>
        <w:t xml:space="preserve">para </w:t>
      </w:r>
      <w:r w:rsidR="00E02E17">
        <w:rPr>
          <w:lang w:val="es-ES_tradnl"/>
        </w:rPr>
        <w:t>plantas duales de producción de HCFC-22</w:t>
      </w:r>
      <w:r w:rsidR="00345E62" w:rsidRPr="00B25E57">
        <w:rPr>
          <w:lang w:val="es-ES_tradnl"/>
        </w:rPr>
        <w:t>.</w:t>
      </w:r>
    </w:p>
    <w:p w14:paraId="47325744" w14:textId="2525BAD3" w:rsidR="006744A0" w:rsidRPr="00B25E57" w:rsidRDefault="000F1006" w:rsidP="00345E62">
      <w:pPr>
        <w:pStyle w:val="Heading1"/>
        <w:rPr>
          <w:lang w:val="es-ES_tradnl"/>
        </w:rPr>
      </w:pPr>
      <w:r>
        <w:rPr>
          <w:lang w:val="es-ES_tradnl"/>
        </w:rPr>
        <w:t>Los m</w:t>
      </w:r>
      <w:r w:rsidR="00F33C58" w:rsidRPr="00B25E57">
        <w:rPr>
          <w:lang w:val="es-ES_tradnl"/>
        </w:rPr>
        <w:t>iembros</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2E2769">
        <w:rPr>
          <w:lang w:val="es-ES_tradnl"/>
        </w:rPr>
        <w:t xml:space="preserve">han expresado </w:t>
      </w:r>
      <w:r w:rsidR="000F629C">
        <w:rPr>
          <w:lang w:val="es-ES_tradnl"/>
        </w:rPr>
        <w:t xml:space="preserve">distintos puntos de vista sobre </w:t>
      </w:r>
      <w:r w:rsidR="007F6BCE">
        <w:rPr>
          <w:lang w:val="es-ES_tradnl"/>
        </w:rPr>
        <w:t xml:space="preserve">el </w:t>
      </w:r>
      <w:r w:rsidR="00992F24">
        <w:rPr>
          <w:lang w:val="es-ES_tradnl"/>
        </w:rPr>
        <w:t>laps</w:t>
      </w:r>
      <w:r w:rsidR="009A445E">
        <w:rPr>
          <w:lang w:val="es-ES_tradnl"/>
        </w:rPr>
        <w:t>o</w:t>
      </w:r>
      <w:r w:rsidR="00992F24">
        <w:rPr>
          <w:lang w:val="es-ES_tradnl"/>
        </w:rPr>
        <w:t xml:space="preserve"> </w:t>
      </w:r>
      <w:r w:rsidR="007F6BCE">
        <w:rPr>
          <w:lang w:val="es-ES_tradnl"/>
        </w:rPr>
        <w:t xml:space="preserve">de tiempo </w:t>
      </w:r>
      <w:r w:rsidR="001C5DD2">
        <w:rPr>
          <w:lang w:val="es-ES_tradnl"/>
        </w:rPr>
        <w:t xml:space="preserve">durante el cual </w:t>
      </w:r>
      <w:r w:rsidR="00C05D13">
        <w:rPr>
          <w:lang w:val="es-ES_tradnl"/>
        </w:rPr>
        <w:t>se debiese financiar el funcionamiento de</w:t>
      </w:r>
      <w:r w:rsidR="003A46A1" w:rsidRPr="00B25E57">
        <w:rPr>
          <w:lang w:val="es-ES_tradnl"/>
        </w:rPr>
        <w:t xml:space="preserve"> </w:t>
      </w:r>
      <w:r w:rsidR="00F942C6" w:rsidRPr="00B25E57">
        <w:rPr>
          <w:lang w:val="es-ES_tradnl"/>
        </w:rPr>
        <w:t>un</w:t>
      </w:r>
      <w:r w:rsidR="003A46A1" w:rsidRPr="00B25E57">
        <w:rPr>
          <w:lang w:val="es-ES_tradnl"/>
        </w:rPr>
        <w:t xml:space="preserve"> </w:t>
      </w:r>
      <w:r w:rsidR="005D381A">
        <w:rPr>
          <w:lang w:val="es-ES_tradnl"/>
        </w:rPr>
        <w:t>incinerador de HFC-23</w:t>
      </w:r>
      <w:r w:rsidR="00345E62" w:rsidRPr="00B25E57">
        <w:rPr>
          <w:lang w:val="es-ES_tradnl"/>
        </w:rPr>
        <w:t>.</w:t>
      </w:r>
      <w:r w:rsidR="003A46A1" w:rsidRPr="00B25E57">
        <w:rPr>
          <w:lang w:val="es-ES_tradnl"/>
        </w:rPr>
        <w:t xml:space="preserve"> </w:t>
      </w:r>
      <w:r w:rsidR="00A85F99">
        <w:rPr>
          <w:lang w:val="es-ES_tradnl"/>
        </w:rPr>
        <w:t xml:space="preserve">Como </w:t>
      </w:r>
      <w:r w:rsidR="002D0270">
        <w:rPr>
          <w:lang w:val="es-ES_tradnl"/>
        </w:rPr>
        <w:t>señala</w:t>
      </w:r>
      <w:r w:rsidR="00A85F99">
        <w:rPr>
          <w:lang w:val="es-ES_tradnl"/>
        </w:rPr>
        <w:t xml:space="preserve"> </w:t>
      </w:r>
      <w:r w:rsidR="00EC18F0">
        <w:rPr>
          <w:lang w:val="es-ES_tradnl"/>
        </w:rPr>
        <w:t xml:space="preserve">la </w:t>
      </w:r>
      <w:r w:rsidR="00F33C58" w:rsidRPr="00B25E57">
        <w:rPr>
          <w:lang w:val="es-ES_tradnl"/>
        </w:rPr>
        <w:t>Parte</w:t>
      </w:r>
      <w:r w:rsidR="003A46A1" w:rsidRPr="00B25E57">
        <w:rPr>
          <w:lang w:val="es-ES_tradnl"/>
        </w:rPr>
        <w:t xml:space="preserve"> </w:t>
      </w:r>
      <w:r w:rsidR="00345E62" w:rsidRPr="00B25E57">
        <w:rPr>
          <w:lang w:val="es-ES_tradnl"/>
        </w:rPr>
        <w:t>II</w:t>
      </w:r>
      <w:r w:rsidR="003A46A1" w:rsidRPr="00B25E57">
        <w:rPr>
          <w:lang w:val="es-ES_tradnl"/>
        </w:rPr>
        <w:t xml:space="preserve"> </w:t>
      </w:r>
      <w:r w:rsidR="004057BA" w:rsidRPr="00B25E57">
        <w:rPr>
          <w:lang w:val="es-ES_tradnl"/>
        </w:rPr>
        <w:t>del</w:t>
      </w:r>
      <w:r w:rsidR="003A46A1" w:rsidRPr="00B25E57">
        <w:rPr>
          <w:lang w:val="es-ES_tradnl"/>
        </w:rPr>
        <w:t xml:space="preserve"> </w:t>
      </w:r>
      <w:r w:rsidR="00345E62" w:rsidRPr="00B25E57">
        <w:rPr>
          <w:lang w:val="es-ES_tradnl"/>
        </w:rPr>
        <w:t>present</w:t>
      </w:r>
      <w:r w:rsidR="001165DB">
        <w:rPr>
          <w:lang w:val="es-ES_tradnl"/>
        </w:rPr>
        <w:t>e</w:t>
      </w:r>
      <w:r w:rsidR="003A46A1" w:rsidRPr="00B25E57">
        <w:rPr>
          <w:lang w:val="es-ES_tradnl"/>
        </w:rPr>
        <w:t xml:space="preserve"> </w:t>
      </w:r>
      <w:r w:rsidR="007B22B4" w:rsidRPr="00B25E57">
        <w:rPr>
          <w:lang w:val="es-ES_tradnl"/>
        </w:rPr>
        <w:t>documento</w:t>
      </w:r>
      <w:r w:rsidR="003A46A1" w:rsidRPr="00B25E57">
        <w:rPr>
          <w:lang w:val="es-ES_tradnl"/>
        </w:rPr>
        <w:t xml:space="preserve"> </w:t>
      </w:r>
      <w:r w:rsidR="00714738">
        <w:rPr>
          <w:lang w:val="es-ES_tradnl"/>
        </w:rPr>
        <w:t>(</w:t>
      </w:r>
      <w:r w:rsidR="006A0662" w:rsidRPr="001165DB">
        <w:rPr>
          <w:lang w:val="es-ES_tradnl"/>
        </w:rPr>
        <w:t>Políticas</w:t>
      </w:r>
      <w:r w:rsidR="001165DB" w:rsidRPr="001165DB">
        <w:rPr>
          <w:lang w:val="es-ES_tradnl"/>
        </w:rPr>
        <w:t xml:space="preserve"> de control de emisiones del subproducto HFC-23</w:t>
      </w:r>
      <w:r w:rsidR="006A0662">
        <w:rPr>
          <w:lang w:val="es-ES_tradnl"/>
        </w:rPr>
        <w:t>)</w:t>
      </w:r>
      <w:r w:rsidR="00345E62"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D04DC2" w:rsidRPr="00B25E57">
        <w:rPr>
          <w:lang w:val="es-ES_tradnl"/>
        </w:rPr>
        <w:t>estimar</w:t>
      </w:r>
      <w:r w:rsidR="003A46A1" w:rsidRPr="00B25E57">
        <w:rPr>
          <w:lang w:val="es-ES_tradnl"/>
        </w:rPr>
        <w:t xml:space="preserve"> </w:t>
      </w:r>
      <w:r w:rsidR="00D04DC2" w:rsidRPr="00B25E57">
        <w:rPr>
          <w:lang w:val="es-ES_tradnl"/>
        </w:rPr>
        <w:t>oportuno</w:t>
      </w:r>
      <w:r w:rsidR="003A46A1" w:rsidRPr="00B25E57">
        <w:rPr>
          <w:lang w:val="es-ES_tradnl"/>
        </w:rPr>
        <w:t xml:space="preserve"> </w:t>
      </w:r>
      <w:r w:rsidR="00C61F77">
        <w:rPr>
          <w:lang w:val="es-ES_tradnl"/>
        </w:rPr>
        <w:t xml:space="preserve">entregar </w:t>
      </w:r>
      <w:r w:rsidR="00691404">
        <w:rPr>
          <w:lang w:val="es-ES_tradnl"/>
        </w:rPr>
        <w:t>orientación</w:t>
      </w:r>
      <w:r w:rsidR="003A46A1" w:rsidRPr="00B25E57">
        <w:rPr>
          <w:lang w:val="es-ES_tradnl"/>
        </w:rPr>
        <w:t xml:space="preserve"> </w:t>
      </w:r>
      <w:r w:rsidR="00BE3DB7">
        <w:rPr>
          <w:lang w:val="es-ES_tradnl"/>
        </w:rPr>
        <w:t>al respecto</w:t>
      </w:r>
      <w:r w:rsidR="00345E62" w:rsidRPr="00B25E57">
        <w:rPr>
          <w:lang w:val="es-ES_tradnl"/>
        </w:rPr>
        <w:t>.</w:t>
      </w:r>
      <w:r w:rsidR="003A46A1" w:rsidRPr="00B25E57">
        <w:rPr>
          <w:lang w:val="es-ES_tradnl"/>
        </w:rPr>
        <w:t xml:space="preserve"> </w:t>
      </w:r>
      <w:r w:rsidR="00700E1C">
        <w:rPr>
          <w:lang w:val="es-ES_tradnl"/>
        </w:rPr>
        <w:t xml:space="preserve">Como </w:t>
      </w:r>
      <w:r w:rsidR="001951D5">
        <w:rPr>
          <w:lang w:val="es-ES_tradnl"/>
        </w:rPr>
        <w:t>referencia</w:t>
      </w:r>
      <w:r w:rsidR="00345E62" w:rsidRPr="00B25E57">
        <w:rPr>
          <w:lang w:val="es-ES_tradnl"/>
        </w:rPr>
        <w:t>,</w:t>
      </w:r>
      <w:r w:rsidR="003A46A1" w:rsidRPr="00B25E57">
        <w:rPr>
          <w:lang w:val="es-ES_tradnl"/>
        </w:rPr>
        <w:t xml:space="preserve"> </w:t>
      </w:r>
      <w:r w:rsidR="00210CD7">
        <w:rPr>
          <w:lang w:val="es-ES_tradnl"/>
        </w:rPr>
        <w:t xml:space="preserve">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sidR="00210CD7">
        <w:rPr>
          <w:lang w:val="es-ES_tradnl"/>
        </w:rPr>
        <w:t xml:space="preserve">de </w:t>
      </w:r>
      <w:r w:rsidR="00210CD7" w:rsidRPr="00210CD7">
        <w:rPr>
          <w:lang w:val="es-ES_tradnl"/>
        </w:rPr>
        <w:t xml:space="preserve">cuatro años </w:t>
      </w:r>
      <w:r w:rsidR="001B7B4A">
        <w:rPr>
          <w:lang w:val="es-ES_tradnl"/>
        </w:rPr>
        <w:t xml:space="preserve">equivaldrían a </w:t>
      </w:r>
      <w:r w:rsidR="00FB38C2" w:rsidRPr="00B25E57">
        <w:rPr>
          <w:lang w:val="es-ES_tradnl"/>
        </w:rPr>
        <w:t>1.</w:t>
      </w:r>
      <w:r w:rsidR="00345E62" w:rsidRPr="00B25E57">
        <w:rPr>
          <w:lang w:val="es-ES_tradnl"/>
        </w:rPr>
        <w:t>47</w:t>
      </w:r>
      <w:r w:rsidR="00FB38C2" w:rsidRPr="00B25E57">
        <w:rPr>
          <w:lang w:val="es-ES_tradnl"/>
        </w:rPr>
        <w:t>4.</w:t>
      </w:r>
      <w:r w:rsidR="00345E62" w:rsidRPr="00B25E57">
        <w:rPr>
          <w:lang w:val="es-ES_tradnl"/>
        </w:rPr>
        <w:t>50</w:t>
      </w:r>
      <w:r w:rsidR="00FB38C2" w:rsidRPr="00B25E57">
        <w:rPr>
          <w:lang w:val="es-ES_tradnl"/>
        </w:rPr>
        <w:t>1</w:t>
      </w:r>
      <w:r w:rsidR="007455D6">
        <w:rPr>
          <w:lang w:val="es-ES_tradnl"/>
        </w:rPr>
        <w:t xml:space="preserve"> </w:t>
      </w:r>
      <w:r w:rsidR="007455D6" w:rsidRPr="007455D6">
        <w:rPr>
          <w:lang w:val="es-ES_tradnl"/>
        </w:rPr>
        <w:t>$EUA</w:t>
      </w:r>
      <w:r w:rsidR="005A33E8">
        <w:rPr>
          <w:lang w:val="es-ES_tradnl"/>
        </w:rPr>
        <w:t>,</w:t>
      </w:r>
      <w:r w:rsidR="003A46A1" w:rsidRPr="00B25E57">
        <w:rPr>
          <w:lang w:val="es-ES_tradnl"/>
        </w:rPr>
        <w:t xml:space="preserve"> </w:t>
      </w:r>
      <w:r w:rsidR="00CD6068">
        <w:rPr>
          <w:lang w:val="es-ES_tradnl"/>
        </w:rPr>
        <w:t>en</w:t>
      </w:r>
      <w:r w:rsidR="003A46A1" w:rsidRPr="00B25E57">
        <w:rPr>
          <w:lang w:val="es-ES_tradnl"/>
        </w:rPr>
        <w:t xml:space="preserve"> </w:t>
      </w:r>
      <w:r w:rsidR="002A2C56">
        <w:rPr>
          <w:lang w:val="es-ES_tradnl"/>
        </w:rPr>
        <w:t>los tramos anuales</w:t>
      </w:r>
      <w:r w:rsidR="003A46A1" w:rsidRPr="00B25E57">
        <w:rPr>
          <w:lang w:val="es-ES_tradnl"/>
        </w:rPr>
        <w:t xml:space="preserve"> </w:t>
      </w:r>
      <w:r w:rsidR="002A2C56">
        <w:rPr>
          <w:lang w:val="es-ES_tradnl"/>
        </w:rPr>
        <w:t xml:space="preserve">que se </w:t>
      </w:r>
      <w:r w:rsidR="00F301C2">
        <w:rPr>
          <w:lang w:val="es-ES_tradnl"/>
        </w:rPr>
        <w:t>indica</w:t>
      </w:r>
      <w:r w:rsidR="002A2C56">
        <w:rPr>
          <w:lang w:val="es-ES_tradnl"/>
        </w:rPr>
        <w:t xml:space="preserve"> </w:t>
      </w:r>
      <w:r w:rsidR="008A3316" w:rsidRPr="00B25E57">
        <w:rPr>
          <w:lang w:val="es-ES_tradnl"/>
        </w:rPr>
        <w:t>en</w:t>
      </w:r>
      <w:r w:rsidR="003A46A1" w:rsidRPr="00B25E57">
        <w:rPr>
          <w:lang w:val="es-ES_tradnl"/>
        </w:rPr>
        <w:t xml:space="preserve"> </w:t>
      </w:r>
      <w:r w:rsidR="008A3316" w:rsidRPr="00B25E57">
        <w:rPr>
          <w:lang w:val="es-ES_tradnl"/>
        </w:rPr>
        <w:t>el</w:t>
      </w:r>
      <w:r w:rsidR="003A46A1" w:rsidRPr="00B25E57">
        <w:rPr>
          <w:lang w:val="es-ES_tradnl"/>
        </w:rPr>
        <w:t xml:space="preserve"> </w:t>
      </w:r>
      <w:r w:rsidR="008A3316" w:rsidRPr="00B25E57">
        <w:rPr>
          <w:lang w:val="es-ES_tradnl"/>
        </w:rPr>
        <w:t>Cuadro</w:t>
      </w:r>
      <w:r w:rsidR="003A46A1" w:rsidRPr="00B25E57">
        <w:rPr>
          <w:lang w:val="es-ES_tradnl"/>
        </w:rPr>
        <w:t xml:space="preserve"> </w:t>
      </w:r>
      <w:r w:rsidR="00BB51FF" w:rsidRPr="00B25E57">
        <w:rPr>
          <w:lang w:val="es-ES_tradnl"/>
        </w:rPr>
        <w:t>10</w:t>
      </w:r>
      <w:r w:rsidR="009949F2">
        <w:rPr>
          <w:lang w:val="es-ES_tradnl"/>
        </w:rPr>
        <w:t>.</w:t>
      </w:r>
    </w:p>
    <w:p w14:paraId="714A9C40" w14:textId="644D352C" w:rsidR="00345E62" w:rsidRPr="00B25E57" w:rsidRDefault="00FB38C2" w:rsidP="00C40535">
      <w:pPr>
        <w:keepNext/>
        <w:ind w:left="-142"/>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BB51FF" w:rsidRPr="00B25E57">
        <w:rPr>
          <w:b/>
          <w:sz w:val="21"/>
          <w:szCs w:val="21"/>
          <w:lang w:val="es-ES_tradnl"/>
        </w:rPr>
        <w:t>10</w:t>
      </w:r>
      <w:r w:rsidR="00345E62" w:rsidRPr="00B25E57">
        <w:rPr>
          <w:b/>
          <w:sz w:val="21"/>
          <w:szCs w:val="21"/>
          <w:lang w:val="es-ES_tradnl"/>
        </w:rPr>
        <w:t>.</w:t>
      </w:r>
      <w:r w:rsidR="003A46A1" w:rsidRPr="00B25E57">
        <w:rPr>
          <w:b/>
          <w:sz w:val="21"/>
          <w:szCs w:val="21"/>
          <w:lang w:val="es-ES_tradnl"/>
        </w:rPr>
        <w:t xml:space="preserve"> </w:t>
      </w:r>
      <w:r w:rsidRPr="00B25E57">
        <w:rPr>
          <w:b/>
          <w:sz w:val="21"/>
          <w:szCs w:val="21"/>
          <w:lang w:val="es-ES_tradnl"/>
        </w:rPr>
        <w:t>Financiamiento</w:t>
      </w:r>
      <w:r w:rsidR="003A46A1" w:rsidRPr="00B25E57">
        <w:rPr>
          <w:b/>
          <w:sz w:val="21"/>
          <w:szCs w:val="21"/>
          <w:lang w:val="es-ES_tradnl"/>
        </w:rPr>
        <w:t xml:space="preserve"> </w:t>
      </w:r>
      <w:r w:rsidR="002F3628">
        <w:rPr>
          <w:b/>
          <w:sz w:val="21"/>
          <w:szCs w:val="21"/>
          <w:lang w:val="es-ES_tradnl"/>
        </w:rPr>
        <w:t>para</w:t>
      </w:r>
      <w:r w:rsidR="00335A3E">
        <w:rPr>
          <w:b/>
          <w:sz w:val="21"/>
          <w:szCs w:val="21"/>
          <w:lang w:val="es-ES_tradnl"/>
        </w:rPr>
        <w:t xml:space="preserve"> reacondicionar</w:t>
      </w:r>
      <w:r w:rsidR="003A46A1" w:rsidRPr="00B25E57">
        <w:rPr>
          <w:b/>
          <w:sz w:val="21"/>
          <w:szCs w:val="21"/>
          <w:lang w:val="es-ES_tradnl"/>
        </w:rPr>
        <w:t xml:space="preserve"> </w:t>
      </w:r>
      <w:r w:rsidRPr="00B25E57">
        <w:rPr>
          <w:b/>
          <w:sz w:val="21"/>
          <w:szCs w:val="21"/>
          <w:lang w:val="es-ES_tradnl"/>
        </w:rPr>
        <w:t>y</w:t>
      </w:r>
      <w:r w:rsidR="003A46A1" w:rsidRPr="00B25E57">
        <w:rPr>
          <w:b/>
          <w:sz w:val="21"/>
          <w:szCs w:val="21"/>
          <w:lang w:val="es-ES_tradnl"/>
        </w:rPr>
        <w:t xml:space="preserve"> </w:t>
      </w:r>
      <w:r w:rsidR="004C065D">
        <w:rPr>
          <w:b/>
          <w:sz w:val="21"/>
          <w:szCs w:val="21"/>
          <w:lang w:val="es-ES_tradnl"/>
        </w:rPr>
        <w:t>operar</w:t>
      </w:r>
      <w:r w:rsidR="003A46A1" w:rsidRPr="00B25E57">
        <w:rPr>
          <w:b/>
          <w:sz w:val="21"/>
          <w:szCs w:val="21"/>
          <w:lang w:val="es-ES_tradnl"/>
        </w:rPr>
        <w:t xml:space="preserve"> </w:t>
      </w:r>
      <w:r w:rsidR="008A05AA">
        <w:rPr>
          <w:b/>
          <w:sz w:val="21"/>
          <w:szCs w:val="21"/>
          <w:lang w:val="es-ES_tradnl"/>
        </w:rPr>
        <w:t xml:space="preserve">el </w:t>
      </w:r>
      <w:r w:rsidR="00C95B4F">
        <w:rPr>
          <w:b/>
          <w:sz w:val="21"/>
          <w:szCs w:val="21"/>
          <w:lang w:val="es-ES_tradnl"/>
        </w:rPr>
        <w:t>incinerador</w:t>
      </w:r>
      <w:r w:rsidR="0018461F">
        <w:rPr>
          <w:b/>
          <w:sz w:val="21"/>
          <w:szCs w:val="21"/>
          <w:lang w:val="es-ES_tradnl"/>
        </w:rPr>
        <w:t xml:space="preserve">, </w:t>
      </w:r>
      <w:r w:rsidR="001772B2">
        <w:rPr>
          <w:b/>
          <w:sz w:val="21"/>
          <w:szCs w:val="21"/>
          <w:lang w:val="es-ES_tradnl"/>
        </w:rPr>
        <w:t>asumiendo</w:t>
      </w:r>
      <w:r w:rsidR="003A46A1" w:rsidRPr="00B25E57">
        <w:rPr>
          <w:b/>
          <w:sz w:val="21"/>
          <w:szCs w:val="21"/>
          <w:lang w:val="es-ES_tradnl"/>
        </w:rPr>
        <w:t xml:space="preserve"> </w:t>
      </w:r>
      <w:r w:rsidR="001772B2">
        <w:rPr>
          <w:b/>
          <w:sz w:val="21"/>
          <w:szCs w:val="21"/>
          <w:lang w:val="es-ES_tradnl"/>
        </w:rPr>
        <w:t>4</w:t>
      </w:r>
      <w:r w:rsidR="007A0978" w:rsidRPr="007A0978">
        <w:rPr>
          <w:b/>
          <w:sz w:val="21"/>
          <w:szCs w:val="21"/>
          <w:lang w:val="es-ES_tradnl"/>
        </w:rPr>
        <w:t xml:space="preserve"> años </w:t>
      </w:r>
      <w:r w:rsidR="007A0978">
        <w:rPr>
          <w:b/>
          <w:sz w:val="21"/>
          <w:szCs w:val="21"/>
          <w:lang w:val="es-ES_tradnl"/>
        </w:rPr>
        <w:t xml:space="preserve">de </w:t>
      </w:r>
      <w:r w:rsidRPr="00B25E57">
        <w:rPr>
          <w:b/>
          <w:sz w:val="21"/>
          <w:szCs w:val="21"/>
          <w:lang w:val="es-ES_tradnl"/>
        </w:rPr>
        <w:t>sobrecostos</w:t>
      </w:r>
    </w:p>
    <w:tbl>
      <w:tblPr>
        <w:tblW w:w="5000" w:type="pct"/>
        <w:tblLook w:val="04A0" w:firstRow="1" w:lastRow="0" w:firstColumn="1" w:lastColumn="0" w:noHBand="0" w:noVBand="1"/>
      </w:tblPr>
      <w:tblGrid>
        <w:gridCol w:w="2914"/>
        <w:gridCol w:w="1304"/>
        <w:gridCol w:w="981"/>
        <w:gridCol w:w="981"/>
        <w:gridCol w:w="1046"/>
        <w:gridCol w:w="1046"/>
        <w:gridCol w:w="1304"/>
      </w:tblGrid>
      <w:tr w:rsidR="00345E62" w:rsidRPr="00B25E57" w14:paraId="35275A39" w14:textId="77777777" w:rsidTr="002E2D06">
        <w:trPr>
          <w:trHeight w:val="179"/>
        </w:trPr>
        <w:tc>
          <w:tcPr>
            <w:tcW w:w="1521" w:type="pct"/>
            <w:tcBorders>
              <w:top w:val="single" w:sz="4" w:space="0" w:color="auto"/>
              <w:left w:val="single" w:sz="4" w:space="0" w:color="auto"/>
              <w:bottom w:val="single" w:sz="4" w:space="0" w:color="auto"/>
              <w:right w:val="single" w:sz="4" w:space="0" w:color="auto"/>
            </w:tcBorders>
            <w:shd w:val="clear" w:color="auto" w:fill="auto"/>
            <w:noWrap/>
            <w:hideMark/>
          </w:tcPr>
          <w:p w14:paraId="56592734" w14:textId="35D6ED79" w:rsidR="00345E62" w:rsidRPr="00B25E57" w:rsidRDefault="00FB38C2" w:rsidP="008E4B29">
            <w:pPr>
              <w:keepNext/>
              <w:jc w:val="left"/>
              <w:rPr>
                <w:b/>
                <w:color w:val="000000"/>
                <w:sz w:val="21"/>
                <w:szCs w:val="21"/>
                <w:lang w:val="es-ES_tradnl" w:eastAsia="en-CA"/>
              </w:rPr>
            </w:pPr>
            <w:r w:rsidRPr="00B25E57">
              <w:rPr>
                <w:b/>
                <w:color w:val="000000"/>
                <w:sz w:val="21"/>
                <w:szCs w:val="21"/>
                <w:lang w:val="es-ES_tradnl" w:eastAsia="en-CA"/>
              </w:rPr>
              <w:t>Año</w:t>
            </w:r>
          </w:p>
        </w:tc>
        <w:tc>
          <w:tcPr>
            <w:tcW w:w="681" w:type="pct"/>
            <w:tcBorders>
              <w:top w:val="single" w:sz="4" w:space="0" w:color="auto"/>
              <w:left w:val="nil"/>
              <w:bottom w:val="single" w:sz="4" w:space="0" w:color="auto"/>
              <w:right w:val="single" w:sz="4" w:space="0" w:color="auto"/>
            </w:tcBorders>
            <w:shd w:val="clear" w:color="auto" w:fill="auto"/>
            <w:noWrap/>
          </w:tcPr>
          <w:p w14:paraId="3541DBB8"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2019</w:t>
            </w:r>
          </w:p>
        </w:tc>
        <w:tc>
          <w:tcPr>
            <w:tcW w:w="512" w:type="pct"/>
            <w:tcBorders>
              <w:top w:val="single" w:sz="4" w:space="0" w:color="auto"/>
              <w:left w:val="nil"/>
              <w:bottom w:val="single" w:sz="4" w:space="0" w:color="auto"/>
              <w:right w:val="single" w:sz="4" w:space="0" w:color="auto"/>
            </w:tcBorders>
            <w:shd w:val="clear" w:color="auto" w:fill="auto"/>
            <w:noWrap/>
          </w:tcPr>
          <w:p w14:paraId="3A96F5EA"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2020</w:t>
            </w:r>
          </w:p>
        </w:tc>
        <w:tc>
          <w:tcPr>
            <w:tcW w:w="512" w:type="pct"/>
            <w:tcBorders>
              <w:top w:val="single" w:sz="4" w:space="0" w:color="auto"/>
              <w:left w:val="nil"/>
              <w:bottom w:val="single" w:sz="4" w:space="0" w:color="auto"/>
              <w:right w:val="single" w:sz="4" w:space="0" w:color="auto"/>
            </w:tcBorders>
            <w:shd w:val="clear" w:color="auto" w:fill="auto"/>
            <w:noWrap/>
          </w:tcPr>
          <w:p w14:paraId="4C64E434"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2021</w:t>
            </w:r>
          </w:p>
        </w:tc>
        <w:tc>
          <w:tcPr>
            <w:tcW w:w="546" w:type="pct"/>
            <w:tcBorders>
              <w:top w:val="single" w:sz="4" w:space="0" w:color="auto"/>
              <w:left w:val="nil"/>
              <w:bottom w:val="single" w:sz="4" w:space="0" w:color="auto"/>
              <w:right w:val="single" w:sz="4" w:space="0" w:color="auto"/>
            </w:tcBorders>
            <w:shd w:val="clear" w:color="auto" w:fill="auto"/>
            <w:noWrap/>
          </w:tcPr>
          <w:p w14:paraId="559382B2"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2022</w:t>
            </w:r>
          </w:p>
        </w:tc>
        <w:tc>
          <w:tcPr>
            <w:tcW w:w="546" w:type="pct"/>
            <w:tcBorders>
              <w:top w:val="single" w:sz="4" w:space="0" w:color="auto"/>
              <w:left w:val="nil"/>
              <w:bottom w:val="single" w:sz="4" w:space="0" w:color="auto"/>
              <w:right w:val="single" w:sz="4" w:space="0" w:color="auto"/>
            </w:tcBorders>
          </w:tcPr>
          <w:p w14:paraId="1709BE68"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2023</w:t>
            </w:r>
          </w:p>
        </w:tc>
        <w:tc>
          <w:tcPr>
            <w:tcW w:w="681" w:type="pct"/>
            <w:tcBorders>
              <w:top w:val="single" w:sz="4" w:space="0" w:color="auto"/>
              <w:left w:val="single" w:sz="4" w:space="0" w:color="auto"/>
              <w:bottom w:val="single" w:sz="4" w:space="0" w:color="auto"/>
              <w:right w:val="single" w:sz="4" w:space="0" w:color="auto"/>
            </w:tcBorders>
          </w:tcPr>
          <w:p w14:paraId="6BDA6A27" w14:textId="77777777" w:rsidR="00345E62" w:rsidRPr="00B25E57" w:rsidRDefault="00345E62" w:rsidP="008E4B29">
            <w:pPr>
              <w:keepNext/>
              <w:jc w:val="center"/>
              <w:rPr>
                <w:b/>
                <w:color w:val="000000"/>
                <w:sz w:val="21"/>
                <w:szCs w:val="21"/>
                <w:lang w:val="es-ES_tradnl" w:eastAsia="en-CA"/>
              </w:rPr>
            </w:pPr>
            <w:r w:rsidRPr="00B25E57">
              <w:rPr>
                <w:b/>
                <w:color w:val="000000"/>
                <w:sz w:val="21"/>
                <w:szCs w:val="21"/>
                <w:lang w:val="es-ES_tradnl" w:eastAsia="en-CA"/>
              </w:rPr>
              <w:t>Total</w:t>
            </w:r>
          </w:p>
        </w:tc>
      </w:tr>
      <w:tr w:rsidR="00345E62" w:rsidRPr="00B25E57" w14:paraId="1D0603A6" w14:textId="77777777" w:rsidTr="002E2D06">
        <w:trPr>
          <w:trHeight w:val="215"/>
        </w:trPr>
        <w:tc>
          <w:tcPr>
            <w:tcW w:w="1521" w:type="pct"/>
            <w:tcBorders>
              <w:top w:val="nil"/>
              <w:left w:val="single" w:sz="4" w:space="0" w:color="auto"/>
              <w:bottom w:val="single" w:sz="4" w:space="0" w:color="auto"/>
              <w:right w:val="single" w:sz="4" w:space="0" w:color="auto"/>
            </w:tcBorders>
            <w:shd w:val="clear" w:color="auto" w:fill="auto"/>
            <w:hideMark/>
          </w:tcPr>
          <w:p w14:paraId="41BD0084" w14:textId="146E75F7" w:rsidR="00345E62" w:rsidRPr="00B25E57" w:rsidRDefault="00FB38C2" w:rsidP="00665672">
            <w:pPr>
              <w:jc w:val="left"/>
              <w:rPr>
                <w:b/>
                <w:color w:val="000000"/>
                <w:sz w:val="21"/>
                <w:szCs w:val="21"/>
                <w:lang w:val="es-ES_tradnl" w:eastAsia="en-CA"/>
              </w:rPr>
            </w:pPr>
            <w:r w:rsidRPr="00B25E57">
              <w:rPr>
                <w:b/>
                <w:color w:val="000000"/>
                <w:sz w:val="21"/>
                <w:szCs w:val="21"/>
                <w:lang w:val="es-ES_tradnl" w:eastAsia="en-CA"/>
              </w:rPr>
              <w:t>Financiamiento</w:t>
            </w:r>
            <w:r w:rsidR="003A46A1" w:rsidRPr="00B25E57">
              <w:rPr>
                <w:b/>
                <w:color w:val="000000"/>
                <w:sz w:val="21"/>
                <w:szCs w:val="21"/>
                <w:lang w:val="es-ES_tradnl" w:eastAsia="en-CA"/>
              </w:rPr>
              <w:t xml:space="preserve"> </w:t>
            </w:r>
            <w:r w:rsidR="004057BA" w:rsidRPr="00B25E57">
              <w:rPr>
                <w:b/>
                <w:color w:val="000000"/>
                <w:sz w:val="21"/>
                <w:szCs w:val="21"/>
                <w:lang w:val="es-ES_tradnl" w:eastAsia="en-CA"/>
              </w:rPr>
              <w:t>($EUA)</w:t>
            </w:r>
            <w:r w:rsidR="003A46A1" w:rsidRPr="00B25E57">
              <w:rPr>
                <w:b/>
                <w:color w:val="000000"/>
                <w:sz w:val="21"/>
                <w:szCs w:val="21"/>
                <w:lang w:val="es-ES_tradnl" w:eastAsia="en-CA"/>
              </w:rPr>
              <w:t xml:space="preserve"> </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14:paraId="0AC9B08E" w14:textId="5CD542F3" w:rsidR="00345E62" w:rsidRPr="00B25E57" w:rsidRDefault="00FB38C2" w:rsidP="00665672">
            <w:pPr>
              <w:jc w:val="right"/>
              <w:rPr>
                <w:color w:val="000000"/>
                <w:sz w:val="21"/>
                <w:szCs w:val="21"/>
                <w:lang w:val="es-ES_tradnl"/>
              </w:rPr>
            </w:pPr>
            <w:r w:rsidRPr="00B25E57">
              <w:rPr>
                <w:color w:val="000000"/>
                <w:sz w:val="21"/>
                <w:szCs w:val="21"/>
                <w:lang w:val="es-ES_tradnl"/>
              </w:rPr>
              <w:t>1.</w:t>
            </w:r>
            <w:r w:rsidR="00345E62" w:rsidRPr="00B25E57">
              <w:rPr>
                <w:color w:val="000000"/>
                <w:sz w:val="21"/>
                <w:szCs w:val="21"/>
                <w:lang w:val="es-ES_tradnl"/>
              </w:rPr>
              <w:t>16</w:t>
            </w:r>
            <w:r w:rsidR="004241C5" w:rsidRPr="00B25E57">
              <w:rPr>
                <w:color w:val="000000"/>
                <w:sz w:val="21"/>
                <w:szCs w:val="21"/>
                <w:lang w:val="es-ES_tradnl"/>
              </w:rPr>
              <w:t>8.</w:t>
            </w:r>
            <w:r w:rsidR="00345E62" w:rsidRPr="00B25E57">
              <w:rPr>
                <w:color w:val="000000"/>
                <w:sz w:val="21"/>
                <w:szCs w:val="21"/>
                <w:lang w:val="es-ES_tradnl"/>
              </w:rPr>
              <w:t>801</w:t>
            </w:r>
          </w:p>
        </w:tc>
        <w:tc>
          <w:tcPr>
            <w:tcW w:w="512" w:type="pct"/>
            <w:tcBorders>
              <w:top w:val="single" w:sz="4" w:space="0" w:color="auto"/>
              <w:left w:val="nil"/>
              <w:bottom w:val="single" w:sz="4" w:space="0" w:color="auto"/>
              <w:right w:val="single" w:sz="4" w:space="0" w:color="auto"/>
            </w:tcBorders>
            <w:shd w:val="clear" w:color="auto" w:fill="auto"/>
            <w:noWrap/>
            <w:hideMark/>
          </w:tcPr>
          <w:p w14:paraId="768700F0" w14:textId="3FDC15C1" w:rsidR="00345E62" w:rsidRPr="00B25E57" w:rsidRDefault="00345E62" w:rsidP="00665672">
            <w:pPr>
              <w:jc w:val="right"/>
              <w:rPr>
                <w:color w:val="000000"/>
                <w:sz w:val="21"/>
                <w:szCs w:val="21"/>
                <w:lang w:val="es-ES_tradnl"/>
              </w:rPr>
            </w:pPr>
            <w:r w:rsidRPr="00B25E57">
              <w:rPr>
                <w:color w:val="000000"/>
                <w:sz w:val="21"/>
                <w:szCs w:val="21"/>
                <w:lang w:val="es-ES_tradnl"/>
              </w:rPr>
              <w:t>7</w:t>
            </w:r>
            <w:r w:rsidR="00FB38C2" w:rsidRPr="00B25E57">
              <w:rPr>
                <w:color w:val="000000"/>
                <w:sz w:val="21"/>
                <w:szCs w:val="21"/>
                <w:lang w:val="es-ES_tradnl"/>
              </w:rPr>
              <w:t>4.</w:t>
            </w:r>
            <w:r w:rsidRPr="00B25E57">
              <w:rPr>
                <w:color w:val="000000"/>
                <w:sz w:val="21"/>
                <w:szCs w:val="21"/>
                <w:lang w:val="es-ES_tradnl"/>
              </w:rPr>
              <w:t>967</w:t>
            </w:r>
            <w:r w:rsidR="003A46A1" w:rsidRPr="00B25E57">
              <w:rPr>
                <w:color w:val="000000"/>
                <w:sz w:val="21"/>
                <w:szCs w:val="21"/>
                <w:lang w:val="es-ES_tradnl"/>
              </w:rPr>
              <w:t xml:space="preserve"> </w:t>
            </w:r>
          </w:p>
        </w:tc>
        <w:tc>
          <w:tcPr>
            <w:tcW w:w="512" w:type="pct"/>
            <w:tcBorders>
              <w:top w:val="single" w:sz="4" w:space="0" w:color="auto"/>
              <w:left w:val="nil"/>
              <w:bottom w:val="single" w:sz="4" w:space="0" w:color="auto"/>
              <w:right w:val="single" w:sz="4" w:space="0" w:color="auto"/>
            </w:tcBorders>
            <w:shd w:val="clear" w:color="auto" w:fill="auto"/>
            <w:noWrap/>
            <w:hideMark/>
          </w:tcPr>
          <w:p w14:paraId="343BF0B9" w14:textId="7529047C" w:rsidR="00345E62" w:rsidRPr="00B25E57" w:rsidRDefault="00345E62" w:rsidP="00665672">
            <w:pPr>
              <w:jc w:val="right"/>
              <w:rPr>
                <w:color w:val="000000"/>
                <w:sz w:val="21"/>
                <w:szCs w:val="21"/>
                <w:lang w:val="es-ES_tradnl"/>
              </w:rPr>
            </w:pPr>
            <w:r w:rsidRPr="00B25E57">
              <w:rPr>
                <w:color w:val="000000"/>
                <w:sz w:val="21"/>
                <w:szCs w:val="21"/>
                <w:lang w:val="es-ES_tradnl"/>
              </w:rPr>
              <w:t>7</w:t>
            </w:r>
            <w:r w:rsidR="00FB38C2" w:rsidRPr="00B25E57">
              <w:rPr>
                <w:color w:val="000000"/>
                <w:sz w:val="21"/>
                <w:szCs w:val="21"/>
                <w:lang w:val="es-ES_tradnl"/>
              </w:rPr>
              <w:t>4.</w:t>
            </w:r>
            <w:r w:rsidRPr="00B25E57">
              <w:rPr>
                <w:color w:val="000000"/>
                <w:sz w:val="21"/>
                <w:szCs w:val="21"/>
                <w:lang w:val="es-ES_tradnl"/>
              </w:rPr>
              <w:t>967</w:t>
            </w:r>
            <w:r w:rsidR="003A46A1" w:rsidRPr="00B25E57">
              <w:rPr>
                <w:color w:val="000000"/>
                <w:sz w:val="21"/>
                <w:szCs w:val="21"/>
                <w:lang w:val="es-ES_tradnl"/>
              </w:rPr>
              <w:t xml:space="preserve"> </w:t>
            </w:r>
          </w:p>
        </w:tc>
        <w:tc>
          <w:tcPr>
            <w:tcW w:w="546" w:type="pct"/>
            <w:tcBorders>
              <w:top w:val="single" w:sz="4" w:space="0" w:color="auto"/>
              <w:left w:val="nil"/>
              <w:bottom w:val="single" w:sz="4" w:space="0" w:color="auto"/>
              <w:right w:val="single" w:sz="4" w:space="0" w:color="auto"/>
            </w:tcBorders>
            <w:shd w:val="clear" w:color="auto" w:fill="auto"/>
            <w:noWrap/>
            <w:hideMark/>
          </w:tcPr>
          <w:p w14:paraId="7A8EB4A8" w14:textId="7D5BB9C9" w:rsidR="00345E62" w:rsidRPr="00B25E57" w:rsidRDefault="003A46A1" w:rsidP="00665672">
            <w:pPr>
              <w:jc w:val="right"/>
              <w:rPr>
                <w:color w:val="000000"/>
                <w:sz w:val="21"/>
                <w:szCs w:val="21"/>
                <w:lang w:val="es-ES_tradnl"/>
              </w:rPr>
            </w:pPr>
            <w:r w:rsidRPr="00B25E57">
              <w:rPr>
                <w:color w:val="000000"/>
                <w:sz w:val="21"/>
                <w:szCs w:val="21"/>
                <w:lang w:val="es-ES_tradnl"/>
              </w:rPr>
              <w:t xml:space="preserve"> </w:t>
            </w:r>
            <w:r w:rsidR="00345E62" w:rsidRPr="00B25E57">
              <w:rPr>
                <w:color w:val="000000"/>
                <w:sz w:val="21"/>
                <w:szCs w:val="21"/>
                <w:lang w:val="es-ES_tradnl"/>
              </w:rPr>
              <w:t>7</w:t>
            </w:r>
            <w:r w:rsidR="00FB38C2" w:rsidRPr="00B25E57">
              <w:rPr>
                <w:color w:val="000000"/>
                <w:sz w:val="21"/>
                <w:szCs w:val="21"/>
                <w:lang w:val="es-ES_tradnl"/>
              </w:rPr>
              <w:t>4.</w:t>
            </w:r>
            <w:r w:rsidR="00345E62" w:rsidRPr="00B25E57">
              <w:rPr>
                <w:color w:val="000000"/>
                <w:sz w:val="21"/>
                <w:szCs w:val="21"/>
                <w:lang w:val="es-ES_tradnl"/>
              </w:rPr>
              <w:t>967</w:t>
            </w:r>
            <w:r w:rsidRPr="00B25E57">
              <w:rPr>
                <w:color w:val="000000"/>
                <w:sz w:val="21"/>
                <w:szCs w:val="21"/>
                <w:lang w:val="es-ES_tradnl"/>
              </w:rPr>
              <w:t xml:space="preserve"> </w:t>
            </w:r>
          </w:p>
        </w:tc>
        <w:tc>
          <w:tcPr>
            <w:tcW w:w="546" w:type="pct"/>
            <w:tcBorders>
              <w:top w:val="single" w:sz="4" w:space="0" w:color="auto"/>
              <w:left w:val="nil"/>
              <w:bottom w:val="single" w:sz="4" w:space="0" w:color="auto"/>
              <w:right w:val="single" w:sz="4" w:space="0" w:color="auto"/>
            </w:tcBorders>
            <w:shd w:val="clear" w:color="auto" w:fill="auto"/>
          </w:tcPr>
          <w:p w14:paraId="4FB58DDC" w14:textId="53FFF9A7" w:rsidR="00345E62" w:rsidRPr="00B25E57" w:rsidRDefault="003A46A1" w:rsidP="00665672">
            <w:pPr>
              <w:jc w:val="right"/>
              <w:rPr>
                <w:color w:val="000000"/>
                <w:sz w:val="21"/>
                <w:szCs w:val="21"/>
                <w:lang w:val="es-ES_tradnl"/>
              </w:rPr>
            </w:pPr>
            <w:r w:rsidRPr="00B25E57">
              <w:rPr>
                <w:color w:val="000000"/>
                <w:sz w:val="21"/>
                <w:szCs w:val="21"/>
                <w:lang w:val="es-ES_tradnl"/>
              </w:rPr>
              <w:t xml:space="preserve"> </w:t>
            </w:r>
            <w:r w:rsidR="00345E62" w:rsidRPr="00B25E57">
              <w:rPr>
                <w:color w:val="000000"/>
                <w:sz w:val="21"/>
                <w:szCs w:val="21"/>
                <w:lang w:val="es-ES_tradnl"/>
              </w:rPr>
              <w:t>8</w:t>
            </w:r>
            <w:r w:rsidR="00FB38C2" w:rsidRPr="00B25E57">
              <w:rPr>
                <w:color w:val="000000"/>
                <w:sz w:val="21"/>
                <w:szCs w:val="21"/>
                <w:lang w:val="es-ES_tradnl"/>
              </w:rPr>
              <w:t>0.</w:t>
            </w:r>
            <w:r w:rsidR="00345E62" w:rsidRPr="00B25E57">
              <w:rPr>
                <w:color w:val="000000"/>
                <w:sz w:val="21"/>
                <w:szCs w:val="21"/>
                <w:lang w:val="es-ES_tradnl"/>
              </w:rPr>
              <w:t>800</w:t>
            </w:r>
            <w:r w:rsidRPr="00B25E57">
              <w:rPr>
                <w:color w:val="000000"/>
                <w:sz w:val="21"/>
                <w:szCs w:val="21"/>
                <w:lang w:val="es-ES_tradnl"/>
              </w:rPr>
              <w:t xml:space="preserve"> </w:t>
            </w:r>
          </w:p>
        </w:tc>
        <w:tc>
          <w:tcPr>
            <w:tcW w:w="681" w:type="pct"/>
            <w:tcBorders>
              <w:top w:val="nil"/>
              <w:left w:val="single" w:sz="4" w:space="0" w:color="auto"/>
              <w:bottom w:val="single" w:sz="4" w:space="0" w:color="auto"/>
              <w:right w:val="single" w:sz="4" w:space="0" w:color="auto"/>
            </w:tcBorders>
          </w:tcPr>
          <w:p w14:paraId="03102271" w14:textId="65BA04B3" w:rsidR="00345E62" w:rsidRPr="00B25E57" w:rsidRDefault="00FB38C2" w:rsidP="00665672">
            <w:pPr>
              <w:jc w:val="right"/>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47</w:t>
            </w:r>
            <w:r w:rsidRPr="00B25E57">
              <w:rPr>
                <w:color w:val="000000"/>
                <w:sz w:val="21"/>
                <w:szCs w:val="21"/>
                <w:lang w:val="es-ES_tradnl" w:eastAsia="en-CA"/>
              </w:rPr>
              <w:t>4.</w:t>
            </w:r>
            <w:r w:rsidR="00345E62" w:rsidRPr="00B25E57">
              <w:rPr>
                <w:color w:val="000000"/>
                <w:sz w:val="21"/>
                <w:szCs w:val="21"/>
                <w:lang w:val="es-ES_tradnl" w:eastAsia="en-CA"/>
              </w:rPr>
              <w:t>501</w:t>
            </w:r>
          </w:p>
        </w:tc>
      </w:tr>
    </w:tbl>
    <w:p w14:paraId="0AC6AC6F" w14:textId="77777777" w:rsidR="00345E62" w:rsidRPr="00B25E57" w:rsidRDefault="00345E62" w:rsidP="00345E62">
      <w:pPr>
        <w:rPr>
          <w:lang w:val="es-ES_tradnl"/>
        </w:rPr>
      </w:pPr>
    </w:p>
    <w:p w14:paraId="02D1E07D" w14:textId="5EB14B24" w:rsidR="00345E62" w:rsidRPr="00B25E57" w:rsidRDefault="00C87DEC" w:rsidP="00345E62">
      <w:pPr>
        <w:pStyle w:val="Heading1"/>
        <w:rPr>
          <w:lang w:val="es-ES_tradnl"/>
        </w:rPr>
      </w:pPr>
      <w:r>
        <w:rPr>
          <w:lang w:val="es-ES_tradnl"/>
        </w:rPr>
        <w:t>Los m</w:t>
      </w:r>
      <w:r w:rsidR="00F33C58" w:rsidRPr="00B25E57">
        <w:rPr>
          <w:lang w:val="es-ES_tradnl"/>
        </w:rPr>
        <w:t>iembros</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DE0B36">
        <w:rPr>
          <w:lang w:val="es-ES_tradnl"/>
        </w:rPr>
        <w:t xml:space="preserve">se han </w:t>
      </w:r>
      <w:r w:rsidR="00A02C8F">
        <w:rPr>
          <w:lang w:val="es-ES_tradnl"/>
        </w:rPr>
        <w:t xml:space="preserve">manifestado abiertos a </w:t>
      </w:r>
      <w:r w:rsidR="001F13AA">
        <w:rPr>
          <w:lang w:val="es-ES_tradnl"/>
        </w:rPr>
        <w:t>otorgar</w:t>
      </w:r>
      <w:r w:rsidR="001534E9">
        <w:rPr>
          <w:lang w:val="es-ES_tradnl"/>
        </w:rPr>
        <w:t xml:space="preserve"> </w:t>
      </w:r>
      <w:r w:rsidR="001534E9" w:rsidRPr="001534E9">
        <w:rPr>
          <w:lang w:val="es-ES_tradnl"/>
        </w:rPr>
        <w:t xml:space="preserve">flexibilidad </w:t>
      </w:r>
      <w:r w:rsidR="006E559D" w:rsidRPr="006E559D">
        <w:rPr>
          <w:lang w:val="es-ES_tradnl"/>
        </w:rPr>
        <w:t xml:space="preserve">a la Argentina </w:t>
      </w:r>
      <w:r w:rsidR="00D412D4">
        <w:rPr>
          <w:lang w:val="es-ES_tradnl"/>
        </w:rPr>
        <w:t xml:space="preserve">para </w:t>
      </w:r>
      <w:r w:rsidR="00BE1A63">
        <w:rPr>
          <w:lang w:val="es-ES_tradnl"/>
        </w:rPr>
        <w:t xml:space="preserve">decidir el </w:t>
      </w:r>
      <w:r w:rsidR="004512EA" w:rsidRPr="00B25E57">
        <w:rPr>
          <w:lang w:val="es-ES_tradnl"/>
        </w:rPr>
        <w:t>cierre</w:t>
      </w:r>
      <w:r w:rsidR="003A46A1" w:rsidRPr="00B25E57">
        <w:rPr>
          <w:lang w:val="es-ES_tradnl"/>
        </w:rPr>
        <w:t xml:space="preserve"> </w:t>
      </w:r>
      <w:r w:rsidR="00BE1A63">
        <w:rPr>
          <w:lang w:val="es-ES_tradnl"/>
        </w:rPr>
        <w:t xml:space="preserve">de </w:t>
      </w:r>
      <w:r w:rsidR="000B724F">
        <w:rPr>
          <w:lang w:val="es-ES_tradnl"/>
        </w:rPr>
        <w:t xml:space="preserve">la </w:t>
      </w:r>
      <w:r w:rsidR="00BE1A63">
        <w:rPr>
          <w:lang w:val="es-ES_tradnl"/>
        </w:rPr>
        <w:t xml:space="preserve">planta </w:t>
      </w:r>
      <w:r w:rsidR="00660D76">
        <w:rPr>
          <w:lang w:val="es-ES_tradnl"/>
        </w:rPr>
        <w:t xml:space="preserve">como </w:t>
      </w:r>
      <w:r w:rsidR="00F05A92">
        <w:rPr>
          <w:lang w:val="es-ES_tradnl"/>
        </w:rPr>
        <w:t xml:space="preserve">método </w:t>
      </w:r>
      <w:r w:rsidR="004D1BE9">
        <w:rPr>
          <w:lang w:val="es-ES_tradnl"/>
        </w:rPr>
        <w:t xml:space="preserve">de </w:t>
      </w:r>
      <w:r w:rsidR="00781BE0">
        <w:rPr>
          <w:lang w:val="es-ES_tradnl"/>
        </w:rPr>
        <w:t>dar cumplimiento</w:t>
      </w:r>
      <w:r w:rsidR="004D1BE9">
        <w:rPr>
          <w:lang w:val="es-ES_tradnl"/>
        </w:rPr>
        <w:t xml:space="preserve"> </w:t>
      </w:r>
      <w:r w:rsidR="00781BE0">
        <w:rPr>
          <w:lang w:val="es-ES_tradnl"/>
        </w:rPr>
        <w:t xml:space="preserve">a </w:t>
      </w:r>
      <w:r w:rsidR="000E39C8">
        <w:rPr>
          <w:lang w:val="es-ES_tradnl"/>
        </w:rPr>
        <w:t xml:space="preserve">las </w:t>
      </w:r>
      <w:r w:rsidR="000E39C8" w:rsidRPr="000E39C8">
        <w:rPr>
          <w:lang w:val="es-ES_tradnl"/>
        </w:rPr>
        <w:t xml:space="preserve">obligaciones </w:t>
      </w:r>
      <w:r w:rsidR="000E39C8">
        <w:rPr>
          <w:lang w:val="es-ES_tradnl"/>
        </w:rPr>
        <w:t xml:space="preserve">sobre </w:t>
      </w:r>
      <w:r w:rsidR="00DF4FF4">
        <w:rPr>
          <w:lang w:val="es-ES_tradnl"/>
        </w:rPr>
        <w:t xml:space="preserve">el </w:t>
      </w:r>
      <w:r w:rsidR="004512EA" w:rsidRPr="00B25E57">
        <w:rPr>
          <w:lang w:val="es-ES_tradnl"/>
        </w:rPr>
        <w:t>HFC-23</w:t>
      </w:r>
      <w:r w:rsidR="003A46A1" w:rsidRPr="00B25E57">
        <w:rPr>
          <w:lang w:val="es-ES_tradnl"/>
        </w:rPr>
        <w:t xml:space="preserve"> </w:t>
      </w:r>
      <w:r w:rsidR="00E67D45" w:rsidRPr="00E67D45">
        <w:rPr>
          <w:lang w:val="es-ES_tradnl"/>
        </w:rPr>
        <w:t xml:space="preserve">adquiridas </w:t>
      </w:r>
      <w:r w:rsidR="00CC57E5">
        <w:rPr>
          <w:lang w:val="es-ES_tradnl"/>
        </w:rPr>
        <w:t>en virtud de la Enmienda</w:t>
      </w:r>
      <w:r w:rsidR="003A46A1" w:rsidRPr="00B25E57">
        <w:rPr>
          <w:lang w:val="es-ES_tradnl"/>
        </w:rPr>
        <w:t xml:space="preserve"> de Kigali</w:t>
      </w:r>
      <w:r w:rsidR="00345E62" w:rsidRPr="00B25E57">
        <w:rPr>
          <w:lang w:val="es-ES_tradnl"/>
        </w:rPr>
        <w:t>,</w:t>
      </w:r>
      <w:r w:rsidR="003A46A1" w:rsidRPr="00B25E57">
        <w:rPr>
          <w:lang w:val="es-ES_tradnl"/>
        </w:rPr>
        <w:t xml:space="preserve"> </w:t>
      </w:r>
      <w:r w:rsidR="007B22B4" w:rsidRPr="00B25E57">
        <w:rPr>
          <w:lang w:val="es-ES_tradnl"/>
        </w:rPr>
        <w:t>en</w:t>
      </w:r>
      <w:r w:rsidR="003A46A1" w:rsidRPr="00B25E57">
        <w:rPr>
          <w:lang w:val="es-ES_tradnl"/>
        </w:rPr>
        <w:t xml:space="preserve"> </w:t>
      </w:r>
      <w:r w:rsidR="007B22B4" w:rsidRPr="00B25E57">
        <w:rPr>
          <w:lang w:val="es-ES_tradnl"/>
        </w:rPr>
        <w:t>el</w:t>
      </w:r>
      <w:r w:rsidR="003A46A1" w:rsidRPr="00B25E57">
        <w:rPr>
          <w:lang w:val="es-ES_tradnl"/>
        </w:rPr>
        <w:t xml:space="preserve"> </w:t>
      </w:r>
      <w:r w:rsidR="007B22B4" w:rsidRPr="00B25E57">
        <w:rPr>
          <w:lang w:val="es-ES_tradnl"/>
        </w:rPr>
        <w:t>entendido</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que</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862A82" w:rsidRPr="00B25E57">
        <w:rPr>
          <w:lang w:val="es-ES_tradnl"/>
        </w:rPr>
        <w:t>nivel</w:t>
      </w:r>
      <w:r w:rsidR="003A46A1" w:rsidRPr="00B25E57">
        <w:rPr>
          <w:lang w:val="es-ES_tradnl"/>
        </w:rPr>
        <w:t xml:space="preserve"> </w:t>
      </w:r>
      <w:r w:rsidR="00862A82" w:rsidRPr="00B25E57">
        <w:rPr>
          <w:lang w:val="es-ES_tradnl"/>
        </w:rPr>
        <w:t>de</w:t>
      </w:r>
      <w:r w:rsidR="003A46A1" w:rsidRPr="00B25E57">
        <w:rPr>
          <w:lang w:val="es-ES_tradnl"/>
        </w:rPr>
        <w:t xml:space="preserve"> </w:t>
      </w:r>
      <w:r w:rsidR="00862A82" w:rsidRPr="00B25E57">
        <w:rPr>
          <w:lang w:val="es-ES_tradnl"/>
        </w:rPr>
        <w:t>financiamiento</w:t>
      </w:r>
      <w:r w:rsidR="003A46A1" w:rsidRPr="00B25E57">
        <w:rPr>
          <w:lang w:val="es-ES_tradnl"/>
        </w:rPr>
        <w:t xml:space="preserve"> </w:t>
      </w:r>
      <w:r w:rsidR="00ED794F">
        <w:rPr>
          <w:lang w:val="es-ES_tradnl"/>
        </w:rPr>
        <w:lastRenderedPageBreak/>
        <w:t>se</w:t>
      </w:r>
      <w:r w:rsidR="00545181">
        <w:rPr>
          <w:lang w:val="es-ES_tradnl"/>
        </w:rPr>
        <w:t xml:space="preserve"> </w:t>
      </w:r>
      <w:r w:rsidR="00ED794F">
        <w:rPr>
          <w:lang w:val="es-ES_tradnl"/>
        </w:rPr>
        <w:t>determinaría</w:t>
      </w:r>
      <w:r w:rsidR="003A46A1" w:rsidRPr="00B25E57">
        <w:rPr>
          <w:lang w:val="es-ES_tradnl"/>
        </w:rPr>
        <w:t xml:space="preserve"> </w:t>
      </w:r>
      <w:r w:rsidR="00F942C6" w:rsidRPr="00B25E57">
        <w:rPr>
          <w:lang w:val="es-ES_tradnl"/>
        </w:rPr>
        <w:t xml:space="preserve">sobre la base </w:t>
      </w:r>
      <w:r w:rsidR="00C6622B">
        <w:rPr>
          <w:lang w:val="es-ES_tradnl"/>
        </w:rPr>
        <w:t xml:space="preserve">de la </w:t>
      </w:r>
      <w:r w:rsidR="0064483E">
        <w:rPr>
          <w:lang w:val="es-ES_tradnl"/>
        </w:rPr>
        <w:t xml:space="preserve">opción </w:t>
      </w:r>
      <w:r w:rsidR="00442A63">
        <w:rPr>
          <w:lang w:val="es-ES_tradnl"/>
        </w:rPr>
        <w:t xml:space="preserve">que </w:t>
      </w:r>
      <w:r w:rsidR="008110FF">
        <w:rPr>
          <w:lang w:val="es-ES_tradnl"/>
        </w:rPr>
        <w:t xml:space="preserve">resultase </w:t>
      </w:r>
      <w:r w:rsidR="004512EA" w:rsidRPr="00B25E57">
        <w:rPr>
          <w:lang w:val="es-ES_tradnl"/>
        </w:rPr>
        <w:t>más</w:t>
      </w:r>
      <w:r w:rsidR="003A46A1" w:rsidRPr="00B25E57">
        <w:rPr>
          <w:lang w:val="es-ES_tradnl"/>
        </w:rPr>
        <w:t xml:space="preserve"> </w:t>
      </w:r>
      <w:r w:rsidR="004512EA" w:rsidRPr="00B25E57">
        <w:rPr>
          <w:lang w:val="es-ES_tradnl"/>
        </w:rPr>
        <w:t>económica</w:t>
      </w:r>
      <w:r w:rsidR="00345E62" w:rsidRPr="00B25E57">
        <w:rPr>
          <w:lang w:val="es-ES_tradnl"/>
        </w:rPr>
        <w:t>.</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4241C5" w:rsidRPr="00B25E57">
        <w:rPr>
          <w:lang w:val="es-ES_tradnl"/>
        </w:rPr>
        <w:t>consecuencia,</w:t>
      </w:r>
      <w:r w:rsidR="003A46A1" w:rsidRPr="00B25E57">
        <w:rPr>
          <w:lang w:val="es-ES_tradnl"/>
        </w:rPr>
        <w:t xml:space="preserve"> </w:t>
      </w:r>
      <w:r w:rsidR="00F24FA9" w:rsidRPr="00B25E57">
        <w:rPr>
          <w:lang w:val="es-ES_tradnl"/>
        </w:rPr>
        <w:t>como</w:t>
      </w:r>
      <w:r w:rsidR="003A46A1" w:rsidRPr="00B25E57">
        <w:rPr>
          <w:lang w:val="es-ES_tradnl"/>
        </w:rPr>
        <w:t xml:space="preserve"> </w:t>
      </w:r>
      <w:r w:rsidR="00F24FA9" w:rsidRPr="00B25E57">
        <w:rPr>
          <w:lang w:val="es-ES_tradnl"/>
        </w:rPr>
        <w:t>alternativa</w:t>
      </w:r>
      <w:r w:rsidR="003A46A1" w:rsidRPr="00B25E57">
        <w:rPr>
          <w:lang w:val="es-ES_tradnl"/>
        </w:rPr>
        <w:t xml:space="preserve"> </w:t>
      </w:r>
      <w:r w:rsidR="00F24FA9" w:rsidRPr="00B25E57">
        <w:rPr>
          <w:lang w:val="es-ES_tradnl"/>
        </w:rPr>
        <w:t>a</w:t>
      </w:r>
      <w:r w:rsidR="003A46A1" w:rsidRPr="00B25E57">
        <w:rPr>
          <w:lang w:val="es-ES_tradnl"/>
        </w:rPr>
        <w:t xml:space="preserve"> </w:t>
      </w:r>
      <w:r w:rsidR="00EE4A8D">
        <w:rPr>
          <w:lang w:val="es-ES_tradnl"/>
        </w:rPr>
        <w:t>un</w:t>
      </w:r>
      <w:r w:rsidR="003A46A1" w:rsidRPr="00B25E57">
        <w:rPr>
          <w:lang w:val="es-ES_tradnl"/>
        </w:rPr>
        <w:t xml:space="preserve"> </w:t>
      </w:r>
      <w:r w:rsidR="002B7BC7">
        <w:rPr>
          <w:lang w:val="es-ES_tradnl"/>
        </w:rPr>
        <w:t>acuerdo plurianual</w:t>
      </w:r>
      <w:r w:rsidR="003A46A1" w:rsidRPr="00B25E57">
        <w:rPr>
          <w:lang w:val="es-ES_tradnl"/>
        </w:rPr>
        <w:t xml:space="preserve"> </w:t>
      </w:r>
      <w:r w:rsidR="004241C5" w:rsidRPr="00B25E57">
        <w:rPr>
          <w:lang w:val="es-ES_tradnl"/>
        </w:rPr>
        <w:t>con</w:t>
      </w:r>
      <w:r w:rsidR="003A46A1" w:rsidRPr="00B25E57">
        <w:rPr>
          <w:lang w:val="es-ES_tradnl"/>
        </w:rPr>
        <w:t xml:space="preserve"> </w:t>
      </w:r>
      <w:r w:rsidR="00F942C6" w:rsidRPr="00B25E57">
        <w:rPr>
          <w:lang w:val="es-ES_tradnl"/>
        </w:rPr>
        <w:t>múltiples</w:t>
      </w:r>
      <w:r w:rsidR="003A46A1" w:rsidRPr="00B25E57">
        <w:rPr>
          <w:lang w:val="es-ES_tradnl"/>
        </w:rPr>
        <w:t xml:space="preserve"> </w:t>
      </w:r>
      <w:r w:rsidR="00FB38C2" w:rsidRPr="00B25E57">
        <w:rPr>
          <w:lang w:val="es-ES_tradnl"/>
        </w:rPr>
        <w:t>tramo</w:t>
      </w:r>
      <w:r w:rsidR="00345E62" w:rsidRPr="00B25E57">
        <w:rPr>
          <w:lang w:val="es-ES_tradnl"/>
        </w:rPr>
        <w:t>s,</w:t>
      </w:r>
      <w:r w:rsidR="003A46A1" w:rsidRPr="00B25E57">
        <w:rPr>
          <w:lang w:val="es-ES_tradnl"/>
        </w:rPr>
        <w:t xml:space="preserve"> </w:t>
      </w:r>
      <w:r w:rsidR="004B0917">
        <w:rPr>
          <w:lang w:val="es-ES_tradnl"/>
        </w:rPr>
        <w:t>se podría considerar un</w:t>
      </w:r>
      <w:r w:rsidR="003A46A1" w:rsidRPr="00B25E57">
        <w:rPr>
          <w:lang w:val="es-ES_tradnl"/>
        </w:rPr>
        <w:t xml:space="preserve"> </w:t>
      </w:r>
      <w:r w:rsidR="00AC1CFE" w:rsidRPr="00AC1CFE">
        <w:rPr>
          <w:lang w:val="es-ES_tradnl"/>
        </w:rPr>
        <w:t xml:space="preserve">único </w:t>
      </w:r>
      <w:r w:rsidR="008A3316" w:rsidRPr="00B25E57">
        <w:rPr>
          <w:lang w:val="es-ES_tradnl"/>
        </w:rPr>
        <w:t>tramo</w:t>
      </w:r>
      <w:r w:rsidR="003A46A1" w:rsidRPr="00B25E57">
        <w:rPr>
          <w:lang w:val="es-ES_tradnl"/>
        </w:rPr>
        <w:t xml:space="preserve"> </w:t>
      </w:r>
      <w:r w:rsidR="008A3316" w:rsidRPr="00B25E57">
        <w:rPr>
          <w:lang w:val="es-ES_tradnl"/>
        </w:rPr>
        <w:t>de</w:t>
      </w:r>
      <w:r w:rsidR="003A46A1" w:rsidRPr="00B25E57">
        <w:rPr>
          <w:lang w:val="es-ES_tradnl"/>
        </w:rPr>
        <w:t xml:space="preserve"> </w:t>
      </w:r>
      <w:r w:rsidR="008A3316" w:rsidRPr="00B25E57">
        <w:rPr>
          <w:lang w:val="es-ES_tradnl"/>
        </w:rPr>
        <w:t>financiamiento</w:t>
      </w:r>
      <w:r w:rsidR="003A46A1" w:rsidRPr="00B25E57">
        <w:rPr>
          <w:lang w:val="es-ES_tradnl"/>
        </w:rPr>
        <w:t xml:space="preserve"> </w:t>
      </w:r>
      <w:r w:rsidR="00345E62" w:rsidRPr="00B25E57">
        <w:rPr>
          <w:lang w:val="es-ES_tradnl"/>
        </w:rPr>
        <w:t>(</w:t>
      </w:r>
      <w:r w:rsidR="005A7B24">
        <w:rPr>
          <w:lang w:val="es-ES_tradnl"/>
        </w:rPr>
        <w:t>equivalente</w:t>
      </w:r>
      <w:r w:rsidR="003A46A1" w:rsidRPr="00B25E57">
        <w:rPr>
          <w:lang w:val="es-ES_tradnl"/>
        </w:rPr>
        <w:t xml:space="preserve"> </w:t>
      </w:r>
      <w:r w:rsidR="00345E62" w:rsidRPr="00B25E57">
        <w:rPr>
          <w:lang w:val="es-ES_tradnl"/>
        </w:rPr>
        <w:t>a</w:t>
      </w:r>
      <w:r w:rsidR="003A46A1" w:rsidRPr="00B25E57">
        <w:rPr>
          <w:lang w:val="es-ES_tradnl"/>
        </w:rPr>
        <w:t xml:space="preserve"> </w:t>
      </w:r>
      <w:r w:rsidR="00EE4A8D">
        <w:rPr>
          <w:lang w:val="es-ES_tradnl"/>
        </w:rPr>
        <w:t xml:space="preserve">un pago </w:t>
      </w:r>
      <w:r w:rsidR="0054592C">
        <w:rPr>
          <w:lang w:val="es-ES_tradnl"/>
        </w:rPr>
        <w:t>a suma alzada</w:t>
      </w:r>
      <w:r w:rsidR="00345E62" w:rsidRPr="00B25E57">
        <w:rPr>
          <w:lang w:val="es-ES_tradnl"/>
        </w:rPr>
        <w:t>),</w:t>
      </w:r>
      <w:r w:rsidR="003A46A1" w:rsidRPr="00B25E57">
        <w:rPr>
          <w:lang w:val="es-ES_tradnl"/>
        </w:rPr>
        <w:t xml:space="preserve"> </w:t>
      </w:r>
      <w:r w:rsidR="007B22B4" w:rsidRPr="00B25E57">
        <w:rPr>
          <w:lang w:val="es-ES_tradnl"/>
        </w:rPr>
        <w:t>en</w:t>
      </w:r>
      <w:r w:rsidR="003A46A1" w:rsidRPr="00B25E57">
        <w:rPr>
          <w:lang w:val="es-ES_tradnl"/>
        </w:rPr>
        <w:t xml:space="preserve"> </w:t>
      </w:r>
      <w:r w:rsidR="007B22B4" w:rsidRPr="00B25E57">
        <w:rPr>
          <w:lang w:val="es-ES_tradnl"/>
        </w:rPr>
        <w:t>el</w:t>
      </w:r>
      <w:r w:rsidR="003A46A1" w:rsidRPr="00B25E57">
        <w:rPr>
          <w:lang w:val="es-ES_tradnl"/>
        </w:rPr>
        <w:t xml:space="preserve"> </w:t>
      </w:r>
      <w:r w:rsidR="007B22B4" w:rsidRPr="00B25E57">
        <w:rPr>
          <w:lang w:val="es-ES_tradnl"/>
        </w:rPr>
        <w:t>entendido</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que</w:t>
      </w:r>
      <w:r w:rsidR="003A46A1" w:rsidRPr="00B25E57">
        <w:rPr>
          <w:lang w:val="es-ES_tradnl"/>
        </w:rPr>
        <w:t xml:space="preserve"> </w:t>
      </w:r>
      <w:r w:rsidR="004D78BD">
        <w:rPr>
          <w:lang w:val="es-ES_tradnl"/>
        </w:rPr>
        <w:t>la línea</w:t>
      </w:r>
      <w:r w:rsidR="00930E52">
        <w:rPr>
          <w:lang w:val="es-ES_tradnl"/>
        </w:rPr>
        <w:t xml:space="preserve"> de producción de HCFC-22</w:t>
      </w:r>
      <w:r w:rsidR="003A46A1" w:rsidRPr="00B25E57">
        <w:rPr>
          <w:lang w:val="es-ES_tradnl"/>
        </w:rPr>
        <w:t xml:space="preserve"> </w:t>
      </w:r>
      <w:r w:rsidR="00A22AE5">
        <w:rPr>
          <w:lang w:val="es-ES_tradnl"/>
        </w:rPr>
        <w:t xml:space="preserve">dejaría </w:t>
      </w:r>
      <w:r w:rsidR="00990C9E">
        <w:rPr>
          <w:lang w:val="es-ES_tradnl"/>
        </w:rPr>
        <w:t xml:space="preserve">de operar </w:t>
      </w:r>
      <w:r w:rsidR="00576AAA">
        <w:rPr>
          <w:lang w:val="es-ES_tradnl"/>
        </w:rPr>
        <w:t>a</w:t>
      </w:r>
      <w:r w:rsidR="00B25E57">
        <w:rPr>
          <w:lang w:val="es-ES_tradnl"/>
        </w:rPr>
        <w:t>l 1º de enero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2020</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866BD">
        <w:rPr>
          <w:lang w:val="es-ES_tradnl"/>
        </w:rPr>
        <w:t xml:space="preserve">luego </w:t>
      </w:r>
      <w:r w:rsidR="00545181">
        <w:rPr>
          <w:lang w:val="es-ES_tradnl"/>
        </w:rPr>
        <w:t xml:space="preserve">sería </w:t>
      </w:r>
      <w:r w:rsidR="008A5C8C">
        <w:rPr>
          <w:lang w:val="es-ES_tradnl"/>
        </w:rPr>
        <w:t>desman</w:t>
      </w:r>
      <w:r w:rsidR="004866BD">
        <w:rPr>
          <w:lang w:val="es-ES_tradnl"/>
        </w:rPr>
        <w:t>telada</w:t>
      </w:r>
      <w:r w:rsidR="00345E62" w:rsidRPr="00B25E57">
        <w:rPr>
          <w:lang w:val="es-ES_tradnl"/>
        </w:rPr>
        <w:t>,</w:t>
      </w:r>
      <w:r w:rsidR="003A46A1" w:rsidRPr="00B25E57">
        <w:rPr>
          <w:lang w:val="es-ES_tradnl"/>
        </w:rPr>
        <w:t xml:space="preserve"> </w:t>
      </w:r>
      <w:r w:rsidR="008F0153">
        <w:rPr>
          <w:lang w:val="es-ES_tradnl"/>
        </w:rPr>
        <w:t xml:space="preserve">que los </w:t>
      </w:r>
      <w:r w:rsidR="004241C5" w:rsidRPr="00B25E57">
        <w:rPr>
          <w:lang w:val="es-ES_tradnl"/>
        </w:rPr>
        <w:t>equipos</w:t>
      </w:r>
      <w:r w:rsidR="003A46A1" w:rsidRPr="00B25E57">
        <w:rPr>
          <w:lang w:val="es-ES_tradnl"/>
        </w:rPr>
        <w:t xml:space="preserve"> </w:t>
      </w:r>
      <w:r w:rsidR="008F0153" w:rsidRPr="008F0153">
        <w:rPr>
          <w:lang w:val="es-ES_tradnl"/>
        </w:rPr>
        <w:t xml:space="preserve">principales </w:t>
      </w:r>
      <w:r w:rsidR="00545181">
        <w:rPr>
          <w:lang w:val="es-ES_tradnl"/>
        </w:rPr>
        <w:t>sería</w:t>
      </w:r>
      <w:r w:rsidR="00753E4A">
        <w:rPr>
          <w:lang w:val="es-ES_tradnl"/>
        </w:rPr>
        <w:t>n</w:t>
      </w:r>
      <w:r w:rsidR="00545181">
        <w:rPr>
          <w:lang w:val="es-ES_tradnl"/>
        </w:rPr>
        <w:t xml:space="preserve"> </w:t>
      </w:r>
      <w:r w:rsidR="006E7AA2">
        <w:rPr>
          <w:lang w:val="es-ES_tradnl"/>
        </w:rPr>
        <w:t>destruido</w:t>
      </w:r>
      <w:r w:rsidR="00753E4A">
        <w:rPr>
          <w:lang w:val="es-ES_tradnl"/>
        </w:rPr>
        <w:t>s</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D13063">
        <w:rPr>
          <w:lang w:val="es-ES_tradnl"/>
        </w:rPr>
        <w:t xml:space="preserve">todo ello </w:t>
      </w:r>
      <w:r w:rsidR="00545181">
        <w:rPr>
          <w:lang w:val="es-ES_tradnl"/>
        </w:rPr>
        <w:t xml:space="preserve">sería </w:t>
      </w:r>
      <w:r w:rsidR="008A5C8C">
        <w:rPr>
          <w:lang w:val="es-ES_tradnl"/>
        </w:rPr>
        <w:t>documentado</w:t>
      </w:r>
      <w:r w:rsidR="003A46A1" w:rsidRPr="00B25E57">
        <w:rPr>
          <w:lang w:val="es-ES_tradnl"/>
        </w:rPr>
        <w:t xml:space="preserve"> </w:t>
      </w:r>
      <w:r w:rsidR="004F186A">
        <w:rPr>
          <w:lang w:val="es-ES_tradnl"/>
        </w:rPr>
        <w:t xml:space="preserve">según </w:t>
      </w:r>
      <w:r w:rsidR="00F33C58" w:rsidRPr="00B25E57">
        <w:rPr>
          <w:lang w:val="es-ES_tradnl"/>
        </w:rPr>
        <w:t>las</w:t>
      </w:r>
      <w:r w:rsidR="003A46A1" w:rsidRPr="00B25E57">
        <w:rPr>
          <w:lang w:val="es-ES_tradnl"/>
        </w:rPr>
        <w:t xml:space="preserve"> </w:t>
      </w:r>
      <w:r w:rsidR="00F33C58" w:rsidRPr="00B25E57">
        <w:rPr>
          <w:lang w:val="es-ES_tradnl"/>
        </w:rPr>
        <w:t>pautas</w:t>
      </w:r>
      <w:r w:rsidR="003A46A1" w:rsidRPr="00B25E57">
        <w:rPr>
          <w:lang w:val="es-ES_tradnl"/>
        </w:rPr>
        <w:t xml:space="preserve"> </w:t>
      </w:r>
      <w:r w:rsidR="003C2D90">
        <w:rPr>
          <w:lang w:val="es-ES_tradnl"/>
        </w:rPr>
        <w:t xml:space="preserve">de </w:t>
      </w:r>
      <w:r w:rsidR="004057BA" w:rsidRPr="00B25E57">
        <w:rPr>
          <w:lang w:val="es-ES_tradnl"/>
        </w:rPr>
        <w:t>verificación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42CB8">
        <w:rPr>
          <w:lang w:val="es-ES_tradnl"/>
        </w:rPr>
        <w:t>la p</w:t>
      </w:r>
      <w:r w:rsidR="00F942C6" w:rsidRPr="00B25E57">
        <w:rPr>
          <w:lang w:val="es-ES_tradnl"/>
        </w:rPr>
        <w:t>roducción de SAO</w:t>
      </w:r>
      <w:r w:rsidR="00345E62" w:rsidRPr="00B25E57">
        <w:rPr>
          <w:lang w:val="es-ES_tradnl"/>
        </w:rPr>
        <w:t>.</w:t>
      </w:r>
      <w:r w:rsidR="003A46A1" w:rsidRPr="00B25E57">
        <w:rPr>
          <w:lang w:val="es-ES_tradnl"/>
        </w:rPr>
        <w:t xml:space="preserve"> </w:t>
      </w:r>
      <w:r w:rsidR="007E7BE8">
        <w:rPr>
          <w:lang w:val="es-ES_tradnl"/>
        </w:rPr>
        <w:t xml:space="preserve">Según </w:t>
      </w:r>
      <w:r w:rsidR="007E7BE8" w:rsidRPr="007E7BE8">
        <w:rPr>
          <w:lang w:val="es-ES_tradnl"/>
        </w:rPr>
        <w:t>se muestra en el Cuadro 11</w:t>
      </w:r>
      <w:r w:rsidR="007E7BE8">
        <w:rPr>
          <w:lang w:val="es-ES_tradnl"/>
        </w:rPr>
        <w:t>, l</w:t>
      </w:r>
      <w:r w:rsidR="00FC7022">
        <w:rPr>
          <w:lang w:val="es-ES_tradnl"/>
        </w:rPr>
        <w:t>a</w:t>
      </w:r>
      <w:r w:rsidR="00BE4116">
        <w:rPr>
          <w:lang w:val="es-ES_tradnl"/>
        </w:rPr>
        <w:t xml:space="preserve"> </w:t>
      </w:r>
      <w:r w:rsidR="0054592C">
        <w:rPr>
          <w:lang w:val="es-ES_tradnl"/>
        </w:rPr>
        <w:t>suma alzada</w:t>
      </w:r>
      <w:r w:rsidR="003A46A1" w:rsidRPr="00B25E57">
        <w:rPr>
          <w:lang w:val="es-ES_tradnl"/>
        </w:rPr>
        <w:t xml:space="preserve"> </w:t>
      </w:r>
      <w:r w:rsidR="00696E06">
        <w:rPr>
          <w:lang w:val="es-ES_tradnl"/>
        </w:rPr>
        <w:t xml:space="preserve">a pagar </w:t>
      </w:r>
      <w:r w:rsidR="00BE4116">
        <w:rPr>
          <w:lang w:val="es-ES_tradnl"/>
        </w:rPr>
        <w:t xml:space="preserve">se determinaría </w:t>
      </w:r>
      <w:r w:rsidR="00F942C6" w:rsidRPr="00B25E57">
        <w:rPr>
          <w:lang w:val="es-ES_tradnl"/>
        </w:rPr>
        <w:t>sobre la base</w:t>
      </w:r>
      <w:r w:rsidR="00351770">
        <w:rPr>
          <w:lang w:val="es-ES_tradnl"/>
        </w:rPr>
        <w:t xml:space="preserve"> del </w:t>
      </w:r>
      <w:r w:rsidR="00CC60EA">
        <w:rPr>
          <w:lang w:val="es-ES_tradnl"/>
        </w:rPr>
        <w:t>VAN</w:t>
      </w:r>
      <w:r w:rsidR="003A46A1" w:rsidRPr="00B25E57">
        <w:rPr>
          <w:lang w:val="es-ES_tradnl"/>
        </w:rPr>
        <w:t xml:space="preserve"> </w:t>
      </w:r>
      <w:r w:rsidR="006B36B9">
        <w:rPr>
          <w:lang w:val="es-ES_tradnl"/>
        </w:rPr>
        <w:t xml:space="preserve">de los </w:t>
      </w:r>
      <w:r w:rsidR="00FB38C2" w:rsidRPr="00B25E57">
        <w:rPr>
          <w:lang w:val="es-ES_tradnl"/>
        </w:rPr>
        <w:t>tramo</w:t>
      </w:r>
      <w:r w:rsidR="00345E62" w:rsidRPr="00B25E57">
        <w:rPr>
          <w:lang w:val="es-ES_tradnl"/>
        </w:rPr>
        <w:t>s</w:t>
      </w:r>
      <w:r w:rsidR="00C02827">
        <w:rPr>
          <w:lang w:val="es-ES_tradnl"/>
        </w:rPr>
        <w:t xml:space="preserve"> </w:t>
      </w:r>
      <w:r w:rsidR="003F0A5B">
        <w:rPr>
          <w:lang w:val="es-ES_tradnl"/>
        </w:rPr>
        <w:t xml:space="preserve">mencionados, </w:t>
      </w:r>
      <w:r w:rsidR="007D7382" w:rsidRPr="00B25E57">
        <w:rPr>
          <w:lang w:val="es-ES_tradnl"/>
        </w:rPr>
        <w:t>dependiendo</w:t>
      </w:r>
      <w:r w:rsidR="003A46A1" w:rsidRPr="00B25E57">
        <w:rPr>
          <w:lang w:val="es-ES_tradnl"/>
        </w:rPr>
        <w:t xml:space="preserve"> </w:t>
      </w:r>
      <w:r w:rsidR="007D7382" w:rsidRPr="00B25E57">
        <w:rPr>
          <w:lang w:val="es-ES_tradnl"/>
        </w:rPr>
        <w:t>del</w:t>
      </w:r>
      <w:r w:rsidR="003A46A1" w:rsidRPr="00B25E57">
        <w:rPr>
          <w:lang w:val="es-ES_tradnl"/>
        </w:rPr>
        <w:t xml:space="preserve"> </w:t>
      </w:r>
      <w:r w:rsidR="00F24FA9" w:rsidRPr="00B25E57">
        <w:rPr>
          <w:lang w:val="es-ES_tradnl"/>
        </w:rPr>
        <w:t>número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8B30BD">
        <w:rPr>
          <w:lang w:val="es-ES_tradnl"/>
        </w:rPr>
        <w:t>que determine</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487308" w:rsidRPr="00B25E57">
        <w:rPr>
          <w:lang w:val="es-ES_tradnl"/>
        </w:rPr>
        <w:t>.</w:t>
      </w:r>
    </w:p>
    <w:p w14:paraId="489DDDCC" w14:textId="4F5E3EE8" w:rsidR="00345E62" w:rsidRPr="00B25E57" w:rsidRDefault="00FB38C2" w:rsidP="00345E62">
      <w:pPr>
        <w:rPr>
          <w:b/>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6744A0" w:rsidRPr="00B25E57">
        <w:rPr>
          <w:b/>
          <w:sz w:val="21"/>
          <w:szCs w:val="21"/>
          <w:lang w:val="es-ES_tradnl"/>
        </w:rPr>
        <w:t>11</w:t>
      </w:r>
      <w:r w:rsidR="00345E62" w:rsidRPr="00B25E57">
        <w:rPr>
          <w:b/>
          <w:sz w:val="21"/>
          <w:szCs w:val="21"/>
          <w:lang w:val="es-ES_tradnl"/>
        </w:rPr>
        <w:t>.</w:t>
      </w:r>
      <w:r w:rsidR="003A46A1" w:rsidRPr="00B25E57">
        <w:rPr>
          <w:b/>
          <w:sz w:val="21"/>
          <w:szCs w:val="21"/>
          <w:lang w:val="es-ES_tradnl"/>
        </w:rPr>
        <w:t xml:space="preserve"> </w:t>
      </w:r>
      <w:r w:rsidR="00436ADA" w:rsidRPr="00436ADA">
        <w:rPr>
          <w:b/>
          <w:sz w:val="21"/>
          <w:szCs w:val="21"/>
          <w:lang w:val="es-ES_tradnl"/>
        </w:rPr>
        <w:t>Pago</w:t>
      </w:r>
      <w:r w:rsidR="00B36957">
        <w:rPr>
          <w:b/>
          <w:sz w:val="21"/>
          <w:szCs w:val="21"/>
          <w:lang w:val="es-ES_tradnl"/>
        </w:rPr>
        <w:t xml:space="preserve"> de </w:t>
      </w:r>
      <w:r w:rsidR="0054592C">
        <w:rPr>
          <w:b/>
          <w:sz w:val="21"/>
          <w:szCs w:val="21"/>
          <w:lang w:val="es-ES_tradnl"/>
        </w:rPr>
        <w:t>suma alzada</w:t>
      </w:r>
      <w:r w:rsidR="003A46A1" w:rsidRPr="00B25E57">
        <w:rPr>
          <w:b/>
          <w:sz w:val="21"/>
          <w:szCs w:val="21"/>
          <w:lang w:val="es-ES_tradnl"/>
        </w:rPr>
        <w:t xml:space="preserve"> </w:t>
      </w:r>
      <w:r w:rsidR="00BC215F">
        <w:rPr>
          <w:b/>
          <w:sz w:val="21"/>
          <w:szCs w:val="21"/>
          <w:lang w:val="es-ES_tradnl"/>
        </w:rPr>
        <w:t>para</w:t>
      </w:r>
      <w:r w:rsidR="00335A3E">
        <w:rPr>
          <w:b/>
          <w:sz w:val="21"/>
          <w:szCs w:val="21"/>
          <w:lang w:val="es-ES_tradnl"/>
        </w:rPr>
        <w:t xml:space="preserve"> reacondicionar</w:t>
      </w:r>
      <w:r w:rsidR="003A46A1" w:rsidRPr="00B25E57">
        <w:rPr>
          <w:b/>
          <w:sz w:val="21"/>
          <w:szCs w:val="21"/>
          <w:lang w:val="es-ES_tradnl"/>
        </w:rPr>
        <w:t xml:space="preserve"> </w:t>
      </w:r>
      <w:r w:rsidRPr="00B25E57">
        <w:rPr>
          <w:b/>
          <w:sz w:val="21"/>
          <w:szCs w:val="21"/>
          <w:lang w:val="es-ES_tradnl"/>
        </w:rPr>
        <w:t>y</w:t>
      </w:r>
      <w:r w:rsidR="003A46A1" w:rsidRPr="00B25E57">
        <w:rPr>
          <w:b/>
          <w:sz w:val="21"/>
          <w:szCs w:val="21"/>
          <w:lang w:val="es-ES_tradnl"/>
        </w:rPr>
        <w:t xml:space="preserve"> </w:t>
      </w:r>
      <w:r w:rsidR="004C065D">
        <w:rPr>
          <w:b/>
          <w:sz w:val="21"/>
          <w:szCs w:val="21"/>
          <w:lang w:val="es-ES_tradnl"/>
        </w:rPr>
        <w:t>operar</w:t>
      </w:r>
      <w:r w:rsidR="003A46A1" w:rsidRPr="00B25E57">
        <w:rPr>
          <w:b/>
          <w:sz w:val="21"/>
          <w:szCs w:val="21"/>
          <w:lang w:val="es-ES_tradnl"/>
        </w:rPr>
        <w:t xml:space="preserve"> </w:t>
      </w:r>
      <w:r w:rsidR="00C95B4F">
        <w:rPr>
          <w:b/>
          <w:sz w:val="21"/>
          <w:szCs w:val="21"/>
          <w:lang w:val="es-ES_tradnl"/>
        </w:rPr>
        <w:t>el incinerador</w:t>
      </w:r>
      <w:r w:rsidR="009D5A8D">
        <w:rPr>
          <w:b/>
          <w:sz w:val="21"/>
          <w:szCs w:val="21"/>
          <w:lang w:val="es-ES_tradnl"/>
        </w:rPr>
        <w:t xml:space="preserve">, </w:t>
      </w:r>
      <w:r w:rsidR="00F56FE6">
        <w:rPr>
          <w:b/>
          <w:sz w:val="21"/>
          <w:szCs w:val="21"/>
          <w:lang w:val="es-ES_tradnl"/>
        </w:rPr>
        <w:t>como función</w:t>
      </w:r>
      <w:r w:rsidR="003A46A1" w:rsidRPr="00B25E57">
        <w:rPr>
          <w:b/>
          <w:sz w:val="21"/>
          <w:szCs w:val="21"/>
          <w:lang w:val="es-ES_tradnl"/>
        </w:rPr>
        <w:t xml:space="preserve"> </w:t>
      </w:r>
      <w:r w:rsidR="006F4BBE">
        <w:rPr>
          <w:b/>
          <w:sz w:val="21"/>
          <w:szCs w:val="21"/>
          <w:lang w:val="es-ES_tradnl"/>
        </w:rPr>
        <w:t>de los</w:t>
      </w:r>
      <w:r w:rsidR="003A46A1" w:rsidRPr="00B25E57">
        <w:rPr>
          <w:b/>
          <w:sz w:val="21"/>
          <w:szCs w:val="21"/>
          <w:lang w:val="es-ES_tradnl"/>
        </w:rPr>
        <w:t xml:space="preserve"> </w:t>
      </w:r>
      <w:r w:rsidR="008A3316" w:rsidRPr="00B25E57">
        <w:rPr>
          <w:b/>
          <w:sz w:val="21"/>
          <w:szCs w:val="21"/>
          <w:lang w:val="es-ES_tradnl"/>
        </w:rPr>
        <w:t>años</w:t>
      </w:r>
      <w:r w:rsidR="003A46A1" w:rsidRPr="00B25E57">
        <w:rPr>
          <w:b/>
          <w:sz w:val="21"/>
          <w:szCs w:val="21"/>
          <w:lang w:val="es-ES_tradnl"/>
        </w:rPr>
        <w:t xml:space="preserve"> </w:t>
      </w:r>
      <w:r w:rsidRPr="00B25E57">
        <w:rPr>
          <w:b/>
          <w:sz w:val="21"/>
          <w:szCs w:val="21"/>
          <w:lang w:val="es-ES_tradnl"/>
        </w:rPr>
        <w:t>de</w:t>
      </w:r>
      <w:r w:rsidR="003A46A1" w:rsidRPr="00B25E57">
        <w:rPr>
          <w:b/>
          <w:sz w:val="21"/>
          <w:szCs w:val="21"/>
          <w:lang w:val="es-ES_tradnl"/>
        </w:rPr>
        <w:t xml:space="preserve"> </w:t>
      </w:r>
      <w:r w:rsidRPr="00B25E57">
        <w:rPr>
          <w:b/>
          <w:sz w:val="21"/>
          <w:szCs w:val="21"/>
          <w:lang w:val="es-ES_tradnl"/>
        </w:rPr>
        <w:t>sobrecostos</w:t>
      </w:r>
      <w:r w:rsidR="003A46A1" w:rsidRPr="00B25E57">
        <w:rPr>
          <w:b/>
          <w:sz w:val="21"/>
          <w:szCs w:val="21"/>
          <w:lang w:val="es-ES_tradnl"/>
        </w:rPr>
        <w:t xml:space="preserve"> </w:t>
      </w:r>
      <w:r w:rsidRPr="00B25E57">
        <w:rPr>
          <w:b/>
          <w:sz w:val="21"/>
          <w:szCs w:val="21"/>
          <w:lang w:val="es-ES_tradnl"/>
        </w:rPr>
        <w:t>de</w:t>
      </w:r>
      <w:r w:rsidR="003A46A1" w:rsidRPr="00B25E57">
        <w:rPr>
          <w:b/>
          <w:sz w:val="21"/>
          <w:szCs w:val="21"/>
          <w:lang w:val="es-ES_tradnl"/>
        </w:rPr>
        <w:t xml:space="preserve"> </w:t>
      </w:r>
      <w:r w:rsidRPr="00B25E57">
        <w:rPr>
          <w:b/>
          <w:sz w:val="21"/>
          <w:szCs w:val="21"/>
          <w:lang w:val="es-ES_tradnl"/>
        </w:rPr>
        <w:t>operación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345E62" w:rsidRPr="00B25E57" w14:paraId="47C16EC2" w14:textId="77777777" w:rsidTr="008E4B29">
        <w:trPr>
          <w:trHeight w:val="41"/>
        </w:trPr>
        <w:tc>
          <w:tcPr>
            <w:tcW w:w="1816" w:type="pct"/>
            <w:shd w:val="clear" w:color="auto" w:fill="auto"/>
            <w:noWrap/>
            <w:vAlign w:val="bottom"/>
            <w:hideMark/>
          </w:tcPr>
          <w:p w14:paraId="6B52B267" w14:textId="1048B9FC" w:rsidR="00345E62" w:rsidRPr="00B25E57" w:rsidRDefault="00774074" w:rsidP="00665672">
            <w:pPr>
              <w:jc w:val="center"/>
              <w:rPr>
                <w:b/>
                <w:color w:val="000000"/>
                <w:sz w:val="21"/>
                <w:szCs w:val="21"/>
                <w:lang w:val="es-ES_tradnl" w:eastAsia="en-CA"/>
              </w:rPr>
            </w:pPr>
            <w:r>
              <w:rPr>
                <w:b/>
                <w:color w:val="000000"/>
                <w:sz w:val="21"/>
                <w:szCs w:val="21"/>
                <w:lang w:val="es-ES_tradnl" w:eastAsia="en-CA"/>
              </w:rPr>
              <w:t>A</w:t>
            </w:r>
            <w:r w:rsidR="008A3316" w:rsidRPr="00B25E57">
              <w:rPr>
                <w:b/>
                <w:color w:val="000000"/>
                <w:sz w:val="21"/>
                <w:szCs w:val="21"/>
                <w:lang w:val="es-ES_tradnl" w:eastAsia="en-CA"/>
              </w:rPr>
              <w:t>ños</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de</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sobrecostos</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de</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operación</w:t>
            </w:r>
          </w:p>
        </w:tc>
        <w:tc>
          <w:tcPr>
            <w:tcW w:w="3184" w:type="pct"/>
            <w:shd w:val="clear" w:color="auto" w:fill="auto"/>
            <w:noWrap/>
            <w:vAlign w:val="bottom"/>
            <w:hideMark/>
          </w:tcPr>
          <w:p w14:paraId="5E92FB59" w14:textId="5C6B7C5A" w:rsidR="00345E62" w:rsidRPr="00B25E57" w:rsidRDefault="00F56FE6" w:rsidP="00665672">
            <w:pPr>
              <w:jc w:val="center"/>
              <w:rPr>
                <w:b/>
                <w:color w:val="000000"/>
                <w:sz w:val="21"/>
                <w:szCs w:val="21"/>
                <w:lang w:val="es-ES_tradnl" w:eastAsia="en-CA"/>
              </w:rPr>
            </w:pPr>
            <w:r>
              <w:rPr>
                <w:b/>
                <w:color w:val="000000"/>
                <w:sz w:val="21"/>
                <w:szCs w:val="21"/>
                <w:lang w:val="es-ES_tradnl" w:eastAsia="en-CA"/>
              </w:rPr>
              <w:t>VAN</w:t>
            </w:r>
            <w:r w:rsidR="003A46A1" w:rsidRPr="00B25E57">
              <w:rPr>
                <w:b/>
                <w:color w:val="000000"/>
                <w:sz w:val="21"/>
                <w:szCs w:val="21"/>
                <w:lang w:val="es-ES_tradnl" w:eastAsia="en-CA"/>
              </w:rPr>
              <w:t xml:space="preserve"> </w:t>
            </w:r>
            <w:r w:rsidR="004057BA" w:rsidRPr="00B25E57">
              <w:rPr>
                <w:b/>
                <w:color w:val="000000"/>
                <w:sz w:val="21"/>
                <w:szCs w:val="21"/>
                <w:lang w:val="es-ES_tradnl" w:eastAsia="en-CA"/>
              </w:rPr>
              <w:t>($EUA)</w:t>
            </w:r>
          </w:p>
        </w:tc>
      </w:tr>
      <w:tr w:rsidR="00345E62" w:rsidRPr="00B25E57" w14:paraId="7E93A1A2" w14:textId="77777777" w:rsidTr="008E4B29">
        <w:trPr>
          <w:trHeight w:val="41"/>
        </w:trPr>
        <w:tc>
          <w:tcPr>
            <w:tcW w:w="1816" w:type="pct"/>
            <w:shd w:val="clear" w:color="auto" w:fill="auto"/>
            <w:noWrap/>
            <w:vAlign w:val="bottom"/>
            <w:hideMark/>
          </w:tcPr>
          <w:p w14:paraId="62C2D1C1" w14:textId="77777777" w:rsidR="00345E62" w:rsidRPr="00B25E57" w:rsidRDefault="00345E62" w:rsidP="00665672">
            <w:pPr>
              <w:jc w:val="center"/>
              <w:rPr>
                <w:color w:val="000000"/>
                <w:sz w:val="21"/>
                <w:szCs w:val="21"/>
                <w:lang w:val="es-ES_tradnl" w:eastAsia="en-CA"/>
              </w:rPr>
            </w:pPr>
            <w:r w:rsidRPr="00B25E57">
              <w:rPr>
                <w:color w:val="000000"/>
                <w:sz w:val="21"/>
                <w:szCs w:val="21"/>
                <w:lang w:val="es-ES_tradnl" w:eastAsia="en-CA"/>
              </w:rPr>
              <w:t>1</w:t>
            </w:r>
          </w:p>
        </w:tc>
        <w:tc>
          <w:tcPr>
            <w:tcW w:w="3184" w:type="pct"/>
            <w:shd w:val="clear" w:color="auto" w:fill="auto"/>
            <w:noWrap/>
            <w:vAlign w:val="bottom"/>
            <w:hideMark/>
          </w:tcPr>
          <w:p w14:paraId="66F5CBAD" w14:textId="534DD758" w:rsidR="00345E62" w:rsidRPr="00B25E57" w:rsidRDefault="00FB38C2" w:rsidP="00665672">
            <w:pPr>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22</w:t>
            </w:r>
            <w:r w:rsidRPr="00B25E57">
              <w:rPr>
                <w:color w:val="000000"/>
                <w:sz w:val="21"/>
                <w:szCs w:val="21"/>
                <w:lang w:val="es-ES_tradnl" w:eastAsia="en-CA"/>
              </w:rPr>
              <w:t>2.</w:t>
            </w:r>
            <w:r w:rsidR="00345E62" w:rsidRPr="00B25E57">
              <w:rPr>
                <w:color w:val="000000"/>
                <w:sz w:val="21"/>
                <w:szCs w:val="21"/>
                <w:lang w:val="es-ES_tradnl" w:eastAsia="en-CA"/>
              </w:rPr>
              <w:t>907</w:t>
            </w:r>
          </w:p>
        </w:tc>
      </w:tr>
      <w:tr w:rsidR="00345E62" w:rsidRPr="00B25E57" w14:paraId="4DC4138A" w14:textId="77777777" w:rsidTr="008E4B29">
        <w:trPr>
          <w:trHeight w:val="41"/>
        </w:trPr>
        <w:tc>
          <w:tcPr>
            <w:tcW w:w="1816" w:type="pct"/>
            <w:shd w:val="clear" w:color="auto" w:fill="auto"/>
            <w:noWrap/>
            <w:vAlign w:val="bottom"/>
            <w:hideMark/>
          </w:tcPr>
          <w:p w14:paraId="00ACB260" w14:textId="77777777" w:rsidR="00345E62" w:rsidRPr="00B25E57" w:rsidRDefault="00345E62" w:rsidP="00665672">
            <w:pPr>
              <w:jc w:val="center"/>
              <w:rPr>
                <w:color w:val="000000"/>
                <w:sz w:val="21"/>
                <w:szCs w:val="21"/>
                <w:lang w:val="es-ES_tradnl" w:eastAsia="en-CA"/>
              </w:rPr>
            </w:pPr>
            <w:r w:rsidRPr="00B25E57">
              <w:rPr>
                <w:color w:val="000000"/>
                <w:sz w:val="21"/>
                <w:szCs w:val="21"/>
                <w:lang w:val="es-ES_tradnl" w:eastAsia="en-CA"/>
              </w:rPr>
              <w:t>2</w:t>
            </w:r>
          </w:p>
        </w:tc>
        <w:tc>
          <w:tcPr>
            <w:tcW w:w="3184" w:type="pct"/>
            <w:shd w:val="clear" w:color="auto" w:fill="auto"/>
            <w:noWrap/>
            <w:vAlign w:val="bottom"/>
            <w:hideMark/>
          </w:tcPr>
          <w:p w14:paraId="7C43BD5A" w14:textId="60424AAC" w:rsidR="00345E62" w:rsidRPr="00B25E57" w:rsidRDefault="00FB38C2" w:rsidP="00665672">
            <w:pPr>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26</w:t>
            </w:r>
            <w:r w:rsidR="004241C5" w:rsidRPr="00B25E57">
              <w:rPr>
                <w:color w:val="000000"/>
                <w:sz w:val="21"/>
                <w:szCs w:val="21"/>
                <w:lang w:val="es-ES_tradnl" w:eastAsia="en-CA"/>
              </w:rPr>
              <w:t>8.</w:t>
            </w:r>
            <w:r w:rsidR="00345E62" w:rsidRPr="00B25E57">
              <w:rPr>
                <w:color w:val="000000"/>
                <w:sz w:val="21"/>
                <w:szCs w:val="21"/>
                <w:lang w:val="es-ES_tradnl" w:eastAsia="en-CA"/>
              </w:rPr>
              <w:t>872</w:t>
            </w:r>
          </w:p>
        </w:tc>
      </w:tr>
      <w:tr w:rsidR="00345E62" w:rsidRPr="00B25E57" w14:paraId="4B829ABA" w14:textId="77777777" w:rsidTr="008E4B29">
        <w:trPr>
          <w:trHeight w:val="41"/>
        </w:trPr>
        <w:tc>
          <w:tcPr>
            <w:tcW w:w="1816" w:type="pct"/>
            <w:shd w:val="clear" w:color="auto" w:fill="auto"/>
            <w:noWrap/>
            <w:vAlign w:val="bottom"/>
            <w:hideMark/>
          </w:tcPr>
          <w:p w14:paraId="762E8573" w14:textId="77777777" w:rsidR="00345E62" w:rsidRPr="00B25E57" w:rsidRDefault="00345E62" w:rsidP="00665672">
            <w:pPr>
              <w:jc w:val="center"/>
              <w:rPr>
                <w:color w:val="000000"/>
                <w:sz w:val="21"/>
                <w:szCs w:val="21"/>
                <w:lang w:val="es-ES_tradnl" w:eastAsia="en-CA"/>
              </w:rPr>
            </w:pPr>
            <w:r w:rsidRPr="00B25E57">
              <w:rPr>
                <w:color w:val="000000"/>
                <w:sz w:val="21"/>
                <w:szCs w:val="21"/>
                <w:lang w:val="es-ES_tradnl" w:eastAsia="en-CA"/>
              </w:rPr>
              <w:t>3</w:t>
            </w:r>
          </w:p>
        </w:tc>
        <w:tc>
          <w:tcPr>
            <w:tcW w:w="3184" w:type="pct"/>
            <w:shd w:val="clear" w:color="auto" w:fill="auto"/>
            <w:noWrap/>
            <w:vAlign w:val="bottom"/>
            <w:hideMark/>
          </w:tcPr>
          <w:p w14:paraId="71C27154" w14:textId="4F72CC31" w:rsidR="00345E62" w:rsidRPr="00B25E57" w:rsidRDefault="00FB38C2" w:rsidP="00665672">
            <w:pPr>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30</w:t>
            </w:r>
            <w:r w:rsidR="004241C5" w:rsidRPr="00B25E57">
              <w:rPr>
                <w:color w:val="000000"/>
                <w:sz w:val="21"/>
                <w:szCs w:val="21"/>
                <w:lang w:val="es-ES_tradnl" w:eastAsia="en-CA"/>
              </w:rPr>
              <w:t>7.</w:t>
            </w:r>
            <w:r w:rsidR="00345E62" w:rsidRPr="00B25E57">
              <w:rPr>
                <w:color w:val="000000"/>
                <w:sz w:val="21"/>
                <w:szCs w:val="21"/>
                <w:lang w:val="es-ES_tradnl" w:eastAsia="en-CA"/>
              </w:rPr>
              <w:t>921</w:t>
            </w:r>
          </w:p>
        </w:tc>
      </w:tr>
      <w:tr w:rsidR="00345E62" w:rsidRPr="00B25E57" w14:paraId="52CAFFE7" w14:textId="77777777" w:rsidTr="008E4B29">
        <w:trPr>
          <w:trHeight w:val="62"/>
        </w:trPr>
        <w:tc>
          <w:tcPr>
            <w:tcW w:w="1816" w:type="pct"/>
            <w:shd w:val="clear" w:color="auto" w:fill="auto"/>
            <w:noWrap/>
            <w:vAlign w:val="bottom"/>
            <w:hideMark/>
          </w:tcPr>
          <w:p w14:paraId="6C76AB1B" w14:textId="77777777" w:rsidR="00345E62" w:rsidRPr="00B25E57" w:rsidRDefault="00345E62" w:rsidP="00665672">
            <w:pPr>
              <w:jc w:val="center"/>
              <w:rPr>
                <w:color w:val="000000"/>
                <w:sz w:val="21"/>
                <w:szCs w:val="21"/>
                <w:lang w:val="es-ES_tradnl" w:eastAsia="en-CA"/>
              </w:rPr>
            </w:pPr>
            <w:r w:rsidRPr="00B25E57">
              <w:rPr>
                <w:color w:val="000000"/>
                <w:sz w:val="21"/>
                <w:szCs w:val="21"/>
                <w:lang w:val="es-ES_tradnl" w:eastAsia="en-CA"/>
              </w:rPr>
              <w:t>4</w:t>
            </w:r>
          </w:p>
        </w:tc>
        <w:tc>
          <w:tcPr>
            <w:tcW w:w="3184" w:type="pct"/>
            <w:shd w:val="clear" w:color="auto" w:fill="auto"/>
            <w:noWrap/>
            <w:vAlign w:val="bottom"/>
            <w:hideMark/>
          </w:tcPr>
          <w:p w14:paraId="1F8F2D56" w14:textId="6E9B3F7B" w:rsidR="00345E62" w:rsidRPr="00B25E57" w:rsidRDefault="00FB38C2" w:rsidP="00665672">
            <w:pPr>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34</w:t>
            </w:r>
            <w:r w:rsidRPr="00B25E57">
              <w:rPr>
                <w:color w:val="000000"/>
                <w:sz w:val="21"/>
                <w:szCs w:val="21"/>
                <w:lang w:val="es-ES_tradnl" w:eastAsia="en-CA"/>
              </w:rPr>
              <w:t>3.</w:t>
            </w:r>
            <w:r w:rsidR="00345E62" w:rsidRPr="00B25E57">
              <w:rPr>
                <w:color w:val="000000"/>
                <w:sz w:val="21"/>
                <w:szCs w:val="21"/>
                <w:lang w:val="es-ES_tradnl" w:eastAsia="en-CA"/>
              </w:rPr>
              <w:t>677</w:t>
            </w:r>
          </w:p>
        </w:tc>
      </w:tr>
    </w:tbl>
    <w:p w14:paraId="50C81B95" w14:textId="77777777" w:rsidR="00345E62" w:rsidRPr="00B25E57" w:rsidRDefault="00345E62" w:rsidP="00345E62">
      <w:pPr>
        <w:rPr>
          <w:lang w:val="es-ES_tradnl"/>
        </w:rPr>
      </w:pPr>
    </w:p>
    <w:p w14:paraId="7E915C03" w14:textId="58BE8106" w:rsidR="007B22B4" w:rsidRPr="00B25E57" w:rsidRDefault="00750D9E" w:rsidP="00345E62">
      <w:pPr>
        <w:pStyle w:val="Heading1"/>
        <w:rPr>
          <w:lang w:val="es-ES_tradnl"/>
        </w:rPr>
      </w:pPr>
      <w:r>
        <w:rPr>
          <w:lang w:val="es-ES_tradnl"/>
        </w:rPr>
        <w:t xml:space="preserve">Como </w:t>
      </w:r>
      <w:r w:rsidRPr="00750D9E">
        <w:rPr>
          <w:lang w:val="es-ES_tradnl"/>
        </w:rPr>
        <w:t>parte de los costos del proyecto</w:t>
      </w:r>
      <w:r>
        <w:rPr>
          <w:lang w:val="es-ES_tradnl"/>
        </w:rPr>
        <w:t>, l</w:t>
      </w:r>
      <w:r w:rsidR="00FB38C2" w:rsidRPr="00B25E57">
        <w:rPr>
          <w:lang w:val="es-ES_tradnl"/>
        </w:rPr>
        <w:t>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4D4FFD">
        <w:rPr>
          <w:lang w:val="es-ES_tradnl"/>
        </w:rPr>
        <w:t xml:space="preserve">incluyó </w:t>
      </w:r>
      <w:r w:rsidR="004D4FFD" w:rsidRPr="004D4FFD">
        <w:rPr>
          <w:lang w:val="es-ES_tradnl"/>
        </w:rPr>
        <w:t>en su propuesta</w:t>
      </w:r>
      <w:r w:rsidR="003A46A1" w:rsidRPr="00B25E57">
        <w:rPr>
          <w:lang w:val="es-ES_tradnl"/>
        </w:rPr>
        <w:t xml:space="preserve"> </w:t>
      </w:r>
      <w:r w:rsidR="00F942C6" w:rsidRPr="00B25E57">
        <w:rPr>
          <w:lang w:val="es-ES_tradnl"/>
        </w:rPr>
        <w:t>un</w:t>
      </w:r>
      <w:r w:rsidR="003A46A1" w:rsidRPr="00B25E57">
        <w:rPr>
          <w:lang w:val="es-ES_tradnl"/>
        </w:rPr>
        <w:t xml:space="preserve"> </w:t>
      </w:r>
      <w:r w:rsidR="004D4FFD">
        <w:rPr>
          <w:lang w:val="es-ES_tradnl"/>
        </w:rPr>
        <w:t>costo anual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F6559">
        <w:rPr>
          <w:lang w:val="es-ES_tradnl"/>
        </w:rPr>
        <w:t>20.000 $EUA</w:t>
      </w:r>
      <w:r w:rsidR="003A46A1" w:rsidRPr="00B25E57">
        <w:rPr>
          <w:lang w:val="es-ES_tradnl"/>
        </w:rPr>
        <w:t xml:space="preserve"> </w:t>
      </w:r>
      <w:r w:rsidR="00103A58">
        <w:rPr>
          <w:lang w:val="es-ES_tradnl"/>
        </w:rPr>
        <w:t>por concepto de</w:t>
      </w:r>
      <w:r w:rsidR="003A46A1" w:rsidRPr="00B25E57">
        <w:rPr>
          <w:lang w:val="es-ES_tradnl"/>
        </w:rPr>
        <w:t xml:space="preserve"> </w:t>
      </w:r>
      <w:r w:rsidR="006B2816">
        <w:rPr>
          <w:lang w:val="es-ES_tradnl"/>
        </w:rPr>
        <w:t>verificaciones independientes</w:t>
      </w:r>
      <w:r w:rsidR="00345E62" w:rsidRPr="00B25E57">
        <w:rPr>
          <w:lang w:val="es-ES_tradnl"/>
        </w:rPr>
        <w:t>.</w:t>
      </w:r>
      <w:r w:rsidR="003A46A1" w:rsidRPr="00B25E57">
        <w:rPr>
          <w:lang w:val="es-ES_tradnl"/>
        </w:rPr>
        <w:t xml:space="preserve"> </w:t>
      </w:r>
      <w:r w:rsidR="004D2008" w:rsidRPr="00B25E57">
        <w:rPr>
          <w:lang w:val="es-ES_tradnl"/>
        </w:rPr>
        <w:t>L</w:t>
      </w:r>
      <w:r w:rsidR="004241C5" w:rsidRPr="00B25E57">
        <w:rPr>
          <w:lang w:val="es-ES_tradnl"/>
        </w:rPr>
        <w:t>a</w:t>
      </w:r>
      <w:r w:rsidR="004D2008">
        <w:rPr>
          <w:lang w:val="es-ES_tradnl"/>
        </w:rPr>
        <w:t xml:space="preserve"> </w:t>
      </w:r>
      <w:r w:rsidR="004241C5" w:rsidRPr="00B25E57">
        <w:rPr>
          <w:lang w:val="es-ES_tradnl"/>
        </w:rPr>
        <w:t>Secretaría</w:t>
      </w:r>
      <w:r w:rsidR="004D2008">
        <w:rPr>
          <w:lang w:val="es-ES_tradnl"/>
        </w:rPr>
        <w:t xml:space="preserve">, </w:t>
      </w:r>
      <w:r w:rsidR="004D2008" w:rsidRPr="004D2008">
        <w:rPr>
          <w:lang w:val="es-ES_tradnl"/>
        </w:rPr>
        <w:t>sin embargo</w:t>
      </w:r>
      <w:r w:rsidR="004D2008">
        <w:rPr>
          <w:lang w:val="es-ES_tradnl"/>
        </w:rPr>
        <w:t>,</w:t>
      </w:r>
      <w:r w:rsidR="003A46A1" w:rsidRPr="00B25E57">
        <w:rPr>
          <w:lang w:val="es-ES_tradnl"/>
        </w:rPr>
        <w:t xml:space="preserve"> </w:t>
      </w:r>
      <w:r w:rsidR="005C3C81">
        <w:rPr>
          <w:lang w:val="es-ES_tradnl"/>
        </w:rPr>
        <w:t>considera que</w:t>
      </w:r>
      <w:r w:rsidR="003A46A1" w:rsidRPr="00B25E57">
        <w:rPr>
          <w:lang w:val="es-ES_tradnl"/>
        </w:rPr>
        <w:t xml:space="preserve"> </w:t>
      </w:r>
      <w:r w:rsidR="004E4B7F">
        <w:rPr>
          <w:lang w:val="es-ES_tradnl"/>
        </w:rPr>
        <w:t xml:space="preserve">según </w:t>
      </w:r>
      <w:r w:rsidR="004D4FFD">
        <w:rPr>
          <w:lang w:val="es-ES_tradnl"/>
        </w:rPr>
        <w:t>la</w:t>
      </w:r>
      <w:r w:rsidR="00BD181E">
        <w:rPr>
          <w:lang w:val="es-ES_tradnl"/>
        </w:rPr>
        <w:t>s</w:t>
      </w:r>
      <w:r w:rsidR="004D4FFD">
        <w:rPr>
          <w:lang w:val="es-ES_tradnl"/>
        </w:rPr>
        <w:t xml:space="preserve"> práctica</w:t>
      </w:r>
      <w:r w:rsidR="00BD181E">
        <w:rPr>
          <w:lang w:val="es-ES_tradnl"/>
        </w:rPr>
        <w:t>s</w:t>
      </w:r>
      <w:r w:rsidR="004D4FFD">
        <w:rPr>
          <w:lang w:val="es-ES_tradnl"/>
        </w:rPr>
        <w:t xml:space="preserve"> </w:t>
      </w:r>
      <w:r w:rsidR="00FC609E">
        <w:rPr>
          <w:lang w:val="es-ES_tradnl"/>
        </w:rPr>
        <w:t xml:space="preserve">vigente </w:t>
      </w:r>
      <w:r w:rsidR="00741093">
        <w:rPr>
          <w:lang w:val="es-ES_tradnl"/>
        </w:rPr>
        <w:t>para</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512EA" w:rsidRPr="00B25E57">
        <w:rPr>
          <w:lang w:val="es-ES_tradnl"/>
        </w:rPr>
        <w:t>sector</w:t>
      </w:r>
      <w:r w:rsidR="003A46A1" w:rsidRPr="00B25E57">
        <w:rPr>
          <w:lang w:val="es-ES_tradnl"/>
        </w:rPr>
        <w:t xml:space="preserve"> </w:t>
      </w:r>
      <w:r w:rsidR="00862A82" w:rsidRPr="00B25E57">
        <w:rPr>
          <w:lang w:val="es-ES_tradnl"/>
        </w:rPr>
        <w:t>producción</w:t>
      </w:r>
      <w:r w:rsidR="00345E62" w:rsidRPr="00B25E57">
        <w:rPr>
          <w:lang w:val="es-ES_tradnl"/>
        </w:rPr>
        <w:t>,</w:t>
      </w:r>
      <w:r w:rsidR="003A46A1" w:rsidRPr="00B25E57">
        <w:rPr>
          <w:lang w:val="es-ES_tradnl"/>
        </w:rPr>
        <w:t xml:space="preserve"> </w:t>
      </w:r>
      <w:r w:rsidR="00E20804">
        <w:rPr>
          <w:lang w:val="es-ES_tradnl"/>
        </w:rPr>
        <w:t>estos costos</w:t>
      </w:r>
      <w:r w:rsidR="003A46A1" w:rsidRPr="00B25E57">
        <w:rPr>
          <w:lang w:val="es-ES_tradnl"/>
        </w:rPr>
        <w:t xml:space="preserve"> </w:t>
      </w:r>
      <w:r w:rsidR="00503344">
        <w:rPr>
          <w:lang w:val="es-ES_tradnl"/>
        </w:rPr>
        <w:t xml:space="preserve">se </w:t>
      </w:r>
      <w:r w:rsidR="007D0EB0">
        <w:rPr>
          <w:lang w:val="es-ES_tradnl"/>
        </w:rPr>
        <w:t xml:space="preserve">deben </w:t>
      </w:r>
      <w:r w:rsidR="00503344">
        <w:rPr>
          <w:lang w:val="es-ES_tradnl"/>
        </w:rPr>
        <w:t>considerar</w:t>
      </w:r>
      <w:r w:rsidR="00795C71">
        <w:rPr>
          <w:lang w:val="es-ES_tradnl"/>
        </w:rPr>
        <w:t xml:space="preserve"> </w:t>
      </w:r>
      <w:r w:rsidR="0027037E">
        <w:rPr>
          <w:lang w:val="es-ES_tradnl"/>
        </w:rPr>
        <w:t>como parte</w:t>
      </w:r>
      <w:r w:rsidR="003A46A1" w:rsidRPr="00B25E57">
        <w:rPr>
          <w:lang w:val="es-ES_tradnl"/>
        </w:rPr>
        <w:t xml:space="preserve"> </w:t>
      </w:r>
      <w:r w:rsidR="00795C71">
        <w:rPr>
          <w:lang w:val="es-ES_tradnl"/>
        </w:rPr>
        <w:t>de los gastos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apoyo</w:t>
      </w:r>
      <w:r w:rsidR="00345E62" w:rsidRPr="00B25E57">
        <w:rPr>
          <w:lang w:val="es-ES_tradnl"/>
        </w:rPr>
        <w:t>.</w:t>
      </w:r>
    </w:p>
    <w:p w14:paraId="7C7755FD" w14:textId="5F2A265E" w:rsidR="00345E62" w:rsidRPr="00B25E57" w:rsidRDefault="00691404" w:rsidP="00345E62">
      <w:pPr>
        <w:pStyle w:val="Heading1"/>
        <w:rPr>
          <w:lang w:val="es-ES_tradnl"/>
        </w:rPr>
      </w:pPr>
      <w:r>
        <w:rPr>
          <w:lang w:val="es-ES_tradnl"/>
        </w:rPr>
        <w:t>Pese a</w:t>
      </w:r>
      <w:r w:rsidR="003A46A1" w:rsidRPr="00B25E57">
        <w:rPr>
          <w:lang w:val="es-ES_tradnl"/>
        </w:rPr>
        <w:t xml:space="preserve"> </w:t>
      </w:r>
      <w:r w:rsidR="00631562">
        <w:rPr>
          <w:lang w:val="es-ES_tradnl"/>
        </w:rPr>
        <w:t xml:space="preserve">haberse sostenido </w:t>
      </w:r>
      <w:r w:rsidR="002E7FA4" w:rsidRPr="002E7FA4">
        <w:rPr>
          <w:lang w:val="es-ES_tradnl"/>
        </w:rPr>
        <w:t xml:space="preserve">con la ONUDI </w:t>
      </w:r>
      <w:r>
        <w:rPr>
          <w:lang w:val="es-ES_tradnl"/>
        </w:rPr>
        <w:t>constructivas</w:t>
      </w:r>
      <w:r w:rsidR="003A46A1" w:rsidRPr="00B25E57">
        <w:rPr>
          <w:lang w:val="es-ES_tradnl"/>
        </w:rPr>
        <w:t xml:space="preserve"> </w:t>
      </w:r>
      <w:r w:rsidR="00D04DC2" w:rsidRPr="00B25E57">
        <w:rPr>
          <w:lang w:val="es-ES_tradnl"/>
        </w:rPr>
        <w:t>conversaciones</w:t>
      </w:r>
      <w:r w:rsidR="003A46A1" w:rsidRPr="00B25E57">
        <w:rPr>
          <w:lang w:val="es-ES_tradnl"/>
        </w:rPr>
        <w:t xml:space="preserve"> </w:t>
      </w:r>
      <w:r w:rsidR="008625EE">
        <w:rPr>
          <w:lang w:val="es-ES_tradnl"/>
        </w:rPr>
        <w:t xml:space="preserve">que </w:t>
      </w:r>
      <w:r w:rsidR="002E7FA4">
        <w:rPr>
          <w:lang w:val="es-ES_tradnl"/>
        </w:rPr>
        <w:t xml:space="preserve">permitieron </w:t>
      </w:r>
      <w:r w:rsidR="0041392D">
        <w:rPr>
          <w:lang w:val="es-ES_tradnl"/>
        </w:rPr>
        <w:t>estrechar</w:t>
      </w:r>
      <w:r w:rsidR="00723843">
        <w:rPr>
          <w:lang w:val="es-ES_tradnl"/>
        </w:rPr>
        <w:t xml:space="preserve"> </w:t>
      </w:r>
      <w:r w:rsidR="004241C5" w:rsidRPr="00B25E57">
        <w:rPr>
          <w:lang w:val="es-ES_tradnl"/>
        </w:rPr>
        <w:t>diferencia</w:t>
      </w:r>
      <w:r w:rsidR="00723843">
        <w:rPr>
          <w:lang w:val="es-ES_tradnl"/>
        </w:rPr>
        <w:t>s</w:t>
      </w:r>
      <w:r w:rsidR="003A46A1" w:rsidRPr="00B25E57">
        <w:rPr>
          <w:lang w:val="es-ES_tradnl"/>
        </w:rPr>
        <w:t xml:space="preserve"> </w:t>
      </w:r>
      <w:r w:rsidR="009D3C9F">
        <w:rPr>
          <w:lang w:val="es-ES_tradnl"/>
        </w:rPr>
        <w:t>en</w:t>
      </w:r>
      <w:r w:rsidR="003A46A1" w:rsidRPr="00B25E57">
        <w:rPr>
          <w:lang w:val="es-ES_tradnl"/>
        </w:rPr>
        <w:t xml:space="preserve"> </w:t>
      </w:r>
      <w:r w:rsidR="00A4343B" w:rsidRPr="00B25E57">
        <w:rPr>
          <w:lang w:val="es-ES_tradnl"/>
        </w:rPr>
        <w:t>varios</w:t>
      </w:r>
      <w:r w:rsidR="003A46A1" w:rsidRPr="00B25E57">
        <w:rPr>
          <w:lang w:val="es-ES_tradnl"/>
        </w:rPr>
        <w:t xml:space="preserve"> </w:t>
      </w:r>
      <w:r w:rsidR="002305CD">
        <w:rPr>
          <w:lang w:val="es-ES_tradnl"/>
        </w:rPr>
        <w:t xml:space="preserve">de los </w:t>
      </w:r>
      <w:r w:rsidR="00E434B2" w:rsidRPr="00B25E57">
        <w:rPr>
          <w:lang w:val="es-ES_tradnl"/>
        </w:rPr>
        <w:t>costo</w:t>
      </w:r>
      <w:r w:rsidR="002305CD">
        <w:rPr>
          <w:lang w:val="es-ES_tradnl"/>
        </w:rPr>
        <w:t>s</w:t>
      </w:r>
      <w:r w:rsidR="003A46A1" w:rsidRPr="00B25E57">
        <w:rPr>
          <w:lang w:val="es-ES_tradnl"/>
        </w:rPr>
        <w:t xml:space="preserve"> </w:t>
      </w:r>
      <w:r w:rsidR="00E434B2" w:rsidRPr="00B25E57">
        <w:rPr>
          <w:lang w:val="es-ES_tradnl"/>
        </w:rPr>
        <w:t>propuesto</w:t>
      </w:r>
      <w:r w:rsidR="004241C5" w:rsidRPr="00B25E57">
        <w:rPr>
          <w:lang w:val="es-ES_tradnl"/>
        </w:rPr>
        <w:t>s</w:t>
      </w:r>
      <w:r w:rsidR="00345E62" w:rsidRPr="00B25E57">
        <w:rPr>
          <w:lang w:val="es-ES_tradnl"/>
        </w:rPr>
        <w:t>,</w:t>
      </w:r>
      <w:r w:rsidR="003A46A1" w:rsidRPr="00B25E57">
        <w:rPr>
          <w:lang w:val="es-ES_tradnl"/>
        </w:rPr>
        <w:t xml:space="preserve"> </w:t>
      </w:r>
      <w:r w:rsidR="007A6B32">
        <w:rPr>
          <w:lang w:val="es-ES_tradnl"/>
        </w:rPr>
        <w:t>no se llegó a</w:t>
      </w:r>
      <w:r w:rsidR="003A46A1" w:rsidRPr="00B25E57">
        <w:rPr>
          <w:lang w:val="es-ES_tradnl"/>
        </w:rPr>
        <w:t xml:space="preserve"> </w:t>
      </w:r>
      <w:r w:rsidR="00E434B2" w:rsidRPr="00B25E57">
        <w:rPr>
          <w:lang w:val="es-ES_tradnl"/>
        </w:rPr>
        <w:t>acuerdo</w:t>
      </w:r>
      <w:r w:rsidR="003A46A1" w:rsidRPr="00B25E57">
        <w:rPr>
          <w:lang w:val="es-ES_tradnl"/>
        </w:rPr>
        <w:t xml:space="preserve"> </w:t>
      </w:r>
      <w:r w:rsidR="007A6B32">
        <w:rPr>
          <w:lang w:val="es-ES_tradnl"/>
        </w:rPr>
        <w:t xml:space="preserve">sobre </w:t>
      </w:r>
      <w:r w:rsidR="004057BA" w:rsidRPr="00B25E57">
        <w:rPr>
          <w:lang w:val="es-ES_tradnl"/>
        </w:rPr>
        <w:t>el</w:t>
      </w:r>
      <w:r w:rsidR="003A46A1" w:rsidRPr="00B25E57">
        <w:rPr>
          <w:lang w:val="es-ES_tradnl"/>
        </w:rPr>
        <w:t xml:space="preserve"> </w:t>
      </w:r>
      <w:r w:rsidR="004057BA" w:rsidRPr="00B25E57">
        <w:rPr>
          <w:lang w:val="es-ES_tradnl"/>
        </w:rPr>
        <w:t>costo</w:t>
      </w:r>
      <w:r w:rsidR="003A46A1" w:rsidRPr="00B25E57">
        <w:rPr>
          <w:lang w:val="es-ES_tradnl"/>
        </w:rPr>
        <w:t xml:space="preserve"> </w:t>
      </w:r>
      <w:r w:rsidR="004057BA" w:rsidRPr="00B25E57">
        <w:rPr>
          <w:lang w:val="es-ES_tradnl"/>
        </w:rPr>
        <w:t>total</w:t>
      </w:r>
      <w:r w:rsidR="00877436">
        <w:rPr>
          <w:lang w:val="es-ES_tradnl"/>
        </w:rPr>
        <w:t xml:space="preserve"> </w:t>
      </w:r>
      <w:r w:rsidR="00EA26E4">
        <w:rPr>
          <w:lang w:val="es-ES_tradnl"/>
        </w:rPr>
        <w:t xml:space="preserve">de </w:t>
      </w:r>
      <w:r w:rsidR="00877436">
        <w:rPr>
          <w:lang w:val="es-ES_tradnl"/>
        </w:rPr>
        <w:t xml:space="preserve">la </w:t>
      </w:r>
      <w:r w:rsidR="00E14181">
        <w:rPr>
          <w:lang w:val="es-ES_tradnl"/>
        </w:rPr>
        <w:t>opción</w:t>
      </w:r>
      <w:r w:rsidR="003A46A1" w:rsidRPr="00B25E57">
        <w:rPr>
          <w:lang w:val="es-ES_tradnl"/>
        </w:rPr>
        <w:t xml:space="preserve"> </w:t>
      </w:r>
      <w:r w:rsidR="00335A3E">
        <w:rPr>
          <w:lang w:val="es-ES_tradnl"/>
        </w:rPr>
        <w:t>de reacondicionar</w:t>
      </w:r>
      <w:r w:rsidR="003A46A1" w:rsidRPr="00B25E57">
        <w:rPr>
          <w:lang w:val="es-ES_tradnl"/>
        </w:rPr>
        <w:t xml:space="preserve"> </w:t>
      </w:r>
      <w:r w:rsidR="00FB38C2" w:rsidRPr="00B25E57">
        <w:rPr>
          <w:lang w:val="es-ES_tradnl"/>
        </w:rPr>
        <w:t>y</w:t>
      </w:r>
      <w:r w:rsidR="003A46A1" w:rsidRPr="00B25E57">
        <w:rPr>
          <w:lang w:val="es-ES_tradnl"/>
        </w:rPr>
        <w:t xml:space="preserve"> </w:t>
      </w:r>
      <w:r w:rsidR="004C065D">
        <w:rPr>
          <w:lang w:val="es-ES_tradnl"/>
        </w:rPr>
        <w:t>operar</w:t>
      </w:r>
      <w:r w:rsidR="003A46A1" w:rsidRPr="00B25E57">
        <w:rPr>
          <w:lang w:val="es-ES_tradnl"/>
        </w:rPr>
        <w:t xml:space="preserve"> </w:t>
      </w:r>
      <w:r w:rsidR="00C95B4F">
        <w:rPr>
          <w:lang w:val="es-ES_tradnl"/>
        </w:rPr>
        <w:t>el incinerador</w:t>
      </w:r>
      <w:r w:rsidR="00345E62" w:rsidRPr="00B25E57">
        <w:rPr>
          <w:lang w:val="es-ES_tradnl"/>
        </w:rPr>
        <w:t>.</w:t>
      </w:r>
      <w:r w:rsidR="003A46A1" w:rsidRPr="00B25E57">
        <w:rPr>
          <w:lang w:val="es-ES_tradnl"/>
        </w:rPr>
        <w:t xml:space="preserve"> </w:t>
      </w:r>
      <w:r w:rsidR="003C6E05">
        <w:rPr>
          <w:lang w:val="es-ES_tradnl"/>
        </w:rPr>
        <w:t xml:space="preserve">Como se indica </w:t>
      </w:r>
      <w:r w:rsidR="004241C5" w:rsidRPr="00B25E57">
        <w:rPr>
          <w:lang w:val="es-ES_tradnl"/>
        </w:rPr>
        <w:t>en</w:t>
      </w:r>
      <w:r w:rsidR="003A46A1" w:rsidRPr="00B25E57">
        <w:rPr>
          <w:lang w:val="es-ES_tradnl"/>
        </w:rPr>
        <w:t xml:space="preserve"> </w:t>
      </w:r>
      <w:r w:rsidR="00381C5E">
        <w:rPr>
          <w:lang w:val="es-ES_tradnl"/>
        </w:rPr>
        <w:t>la</w:t>
      </w:r>
      <w:r w:rsidR="003A46A1" w:rsidRPr="00B25E57">
        <w:rPr>
          <w:lang w:val="es-ES_tradnl"/>
        </w:rPr>
        <w:t xml:space="preserve"> </w:t>
      </w:r>
      <w:r w:rsidR="00A4343B" w:rsidRPr="00B25E57">
        <w:rPr>
          <w:lang w:val="es-ES_tradnl"/>
        </w:rPr>
        <w:t>sección</w:t>
      </w:r>
      <w:r w:rsidR="003A46A1" w:rsidRPr="00B25E57">
        <w:rPr>
          <w:lang w:val="es-ES_tradnl"/>
        </w:rPr>
        <w:t xml:space="preserve"> </w:t>
      </w:r>
      <w:r w:rsidR="00381C5E">
        <w:rPr>
          <w:lang w:val="es-ES_tradnl"/>
        </w:rPr>
        <w:t xml:space="preserve">sobre </w:t>
      </w:r>
      <w:r w:rsidR="00F864AB">
        <w:rPr>
          <w:lang w:val="es-ES_tradnl"/>
        </w:rPr>
        <w:t>políticas</w:t>
      </w:r>
      <w:r w:rsidR="00F864AB" w:rsidRPr="00216433">
        <w:rPr>
          <w:lang w:val="es-ES"/>
        </w:rPr>
        <w:t xml:space="preserve"> </w:t>
      </w:r>
      <w:r w:rsidR="00F864AB" w:rsidRPr="00F864AB">
        <w:rPr>
          <w:lang w:val="es-ES_tradnl"/>
        </w:rPr>
        <w:t xml:space="preserve">de control de emisiones del subproducto </w:t>
      </w:r>
      <w:r w:rsidR="00F864AB">
        <w:rPr>
          <w:lang w:val="es-ES_tradnl"/>
        </w:rPr>
        <w:t>HFC</w:t>
      </w:r>
      <w:r w:rsidR="00F864AB" w:rsidRPr="00F864AB">
        <w:rPr>
          <w:lang w:val="es-ES_tradnl"/>
        </w:rPr>
        <w:t>-23</w:t>
      </w:r>
      <w:r w:rsidR="00345E62" w:rsidRPr="00B25E57">
        <w:rPr>
          <w:lang w:val="es-ES_tradnl"/>
        </w:rPr>
        <w:t>,</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F13992">
        <w:rPr>
          <w:lang w:val="es-ES_tradnl"/>
        </w:rPr>
        <w:t>estima</w:t>
      </w:r>
      <w:r w:rsidR="005C3C81">
        <w:rPr>
          <w:lang w:val="es-ES_tradnl"/>
        </w:rPr>
        <w:t xml:space="preserve"> que</w:t>
      </w:r>
      <w:r w:rsidR="003A46A1" w:rsidRPr="00B25E57">
        <w:rPr>
          <w:lang w:val="es-ES_tradnl"/>
        </w:rPr>
        <w:t xml:space="preserve"> </w:t>
      </w:r>
      <w:r w:rsidR="00C90A49">
        <w:rPr>
          <w:lang w:val="es-ES_tradnl"/>
        </w:rPr>
        <w:t xml:space="preserve">para </w:t>
      </w:r>
      <w:r w:rsidR="0040762F">
        <w:rPr>
          <w:lang w:val="es-ES_tradnl"/>
        </w:rPr>
        <w:t>determinar</w:t>
      </w:r>
      <w:r w:rsidR="003A46A1" w:rsidRPr="00B25E57">
        <w:rPr>
          <w:lang w:val="es-ES_tradnl"/>
        </w:rPr>
        <w:t xml:space="preserve"> </w:t>
      </w:r>
      <w:r w:rsidR="002B0DCC">
        <w:rPr>
          <w:lang w:val="es-ES_tradnl"/>
        </w:rPr>
        <w:t xml:space="preserve">los </w:t>
      </w:r>
      <w:r w:rsidR="00F33C58" w:rsidRPr="00B25E57">
        <w:rPr>
          <w:lang w:val="es-ES_tradnl"/>
        </w:rPr>
        <w:t>sobrecostos</w:t>
      </w:r>
      <w:r w:rsidR="003A46A1" w:rsidRPr="00B25E57">
        <w:rPr>
          <w:lang w:val="es-ES_tradnl"/>
        </w:rPr>
        <w:t xml:space="preserve"> </w:t>
      </w:r>
      <w:r w:rsidR="00F33C58" w:rsidRPr="00B25E57">
        <w:rPr>
          <w:lang w:val="es-ES_tradnl"/>
        </w:rPr>
        <w:t>admisibles</w:t>
      </w:r>
      <w:r w:rsidR="003A46A1" w:rsidRPr="00B25E57">
        <w:rPr>
          <w:lang w:val="es-ES_tradnl"/>
        </w:rPr>
        <w:t xml:space="preserve"> </w:t>
      </w:r>
      <w:r w:rsidR="002B0DCC">
        <w:rPr>
          <w:lang w:val="es-ES_tradnl"/>
        </w:rPr>
        <w:t xml:space="preserve">de la </w:t>
      </w:r>
      <w:r w:rsidR="00F33C58" w:rsidRPr="00B25E57">
        <w:rPr>
          <w:lang w:val="es-ES_tradnl"/>
        </w:rPr>
        <w:t>opción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930E9">
        <w:rPr>
          <w:lang w:val="es-ES_tradnl"/>
        </w:rPr>
        <w:t>reponer en servicio</w:t>
      </w:r>
      <w:r w:rsidR="003A46A1" w:rsidRPr="00B25E57">
        <w:rPr>
          <w:lang w:val="es-ES_tradnl"/>
        </w:rPr>
        <w:t xml:space="preserve"> </w:t>
      </w:r>
      <w:r w:rsidR="00C95B4F">
        <w:rPr>
          <w:lang w:val="es-ES_tradnl"/>
        </w:rPr>
        <w:t>el incinerador</w:t>
      </w:r>
      <w:r w:rsidR="007F7822" w:rsidRPr="00216433">
        <w:rPr>
          <w:lang w:val="es-ES"/>
        </w:rPr>
        <w:t xml:space="preserve"> </w:t>
      </w:r>
      <w:r w:rsidR="007F7822" w:rsidRPr="007F7822">
        <w:rPr>
          <w:lang w:val="es-ES_tradnl"/>
        </w:rPr>
        <w:t>será necesaria la orientación del Comité Ejecutivo</w:t>
      </w:r>
      <w:r w:rsidR="00345E62" w:rsidRPr="00B25E57">
        <w:rPr>
          <w:lang w:val="es-ES_tradnl"/>
        </w:rPr>
        <w:t>.</w:t>
      </w:r>
    </w:p>
    <w:p w14:paraId="092AC3A0" w14:textId="38159937" w:rsidR="00345E62" w:rsidRPr="00B25E57" w:rsidRDefault="00F33C58" w:rsidP="00345E62">
      <w:pPr>
        <w:rPr>
          <w:u w:val="single"/>
          <w:lang w:val="es-ES_tradnl"/>
        </w:rPr>
      </w:pPr>
      <w:r w:rsidRPr="00B25E57">
        <w:rPr>
          <w:u w:val="single"/>
          <w:lang w:val="es-ES_tradnl"/>
        </w:rPr>
        <w:t>Opción</w:t>
      </w:r>
      <w:r w:rsidR="003A46A1" w:rsidRPr="00B25E57">
        <w:rPr>
          <w:u w:val="single"/>
          <w:lang w:val="es-ES_tradnl"/>
        </w:rPr>
        <w:t xml:space="preserve"> </w:t>
      </w:r>
      <w:r w:rsidR="0086582D" w:rsidRPr="00B25E57">
        <w:rPr>
          <w:u w:val="single"/>
          <w:lang w:val="es-ES_tradnl"/>
        </w:rPr>
        <w:t>3:</w:t>
      </w:r>
      <w:r w:rsidR="003A46A1" w:rsidRPr="00B25E57">
        <w:rPr>
          <w:u w:val="single"/>
          <w:lang w:val="es-ES_tradnl"/>
        </w:rPr>
        <w:t xml:space="preserve"> </w:t>
      </w:r>
      <w:r w:rsidR="00C91884">
        <w:rPr>
          <w:u w:val="single"/>
          <w:lang w:val="es-ES_tradnl"/>
        </w:rPr>
        <w:t xml:space="preserve">Destrucción </w:t>
      </w:r>
      <w:r w:rsidR="00B654D8">
        <w:rPr>
          <w:u w:val="single"/>
          <w:lang w:val="es-ES_tradnl"/>
        </w:rPr>
        <w:t>ex situ</w:t>
      </w:r>
    </w:p>
    <w:p w14:paraId="489F7637" w14:textId="77777777" w:rsidR="00345E62" w:rsidRPr="00B25E57" w:rsidRDefault="00345E62" w:rsidP="00345E62">
      <w:pPr>
        <w:rPr>
          <w:lang w:val="es-ES_tradnl"/>
        </w:rPr>
      </w:pPr>
    </w:p>
    <w:p w14:paraId="44C93E98" w14:textId="55A7F520" w:rsidR="007B22B4" w:rsidRPr="00D86961" w:rsidRDefault="002C02BE" w:rsidP="00D86961">
      <w:pPr>
        <w:pStyle w:val="Heading1"/>
        <w:rPr>
          <w:lang w:val="es-ES_tradnl"/>
        </w:rPr>
      </w:pPr>
      <w:r w:rsidRPr="008F6350">
        <w:rPr>
          <w:lang w:val="es-ES_tradnl"/>
        </w:rPr>
        <w:t>La d</w:t>
      </w:r>
      <w:r w:rsidR="00C91884" w:rsidRPr="008F6350">
        <w:rPr>
          <w:lang w:val="es-ES_tradnl"/>
        </w:rPr>
        <w:t xml:space="preserve">estrucción </w:t>
      </w:r>
      <w:r w:rsidR="00B654D8" w:rsidRPr="008F6350">
        <w:rPr>
          <w:lang w:val="es-ES_tradnl"/>
        </w:rPr>
        <w:t>ex situ</w:t>
      </w:r>
      <w:r w:rsidR="003A46A1" w:rsidRPr="008F6350">
        <w:rPr>
          <w:lang w:val="es-ES_tradnl"/>
        </w:rPr>
        <w:t xml:space="preserve"> </w:t>
      </w:r>
      <w:r w:rsidR="00E22238" w:rsidRPr="008F6350">
        <w:rPr>
          <w:lang w:val="es-ES_tradnl"/>
        </w:rPr>
        <w:t>no</w:t>
      </w:r>
      <w:r w:rsidR="003A46A1" w:rsidRPr="008F6350">
        <w:rPr>
          <w:lang w:val="es-ES_tradnl"/>
        </w:rPr>
        <w:t xml:space="preserve"> </w:t>
      </w:r>
      <w:r w:rsidR="00E22238" w:rsidRPr="008F6350">
        <w:rPr>
          <w:lang w:val="es-ES_tradnl"/>
        </w:rPr>
        <w:t>es</w:t>
      </w:r>
      <w:r w:rsidR="003A46A1" w:rsidRPr="008F6350">
        <w:rPr>
          <w:lang w:val="es-ES_tradnl"/>
        </w:rPr>
        <w:t xml:space="preserve"> </w:t>
      </w:r>
      <w:r w:rsidR="00345E62" w:rsidRPr="008F6350">
        <w:rPr>
          <w:lang w:val="es-ES_tradnl"/>
        </w:rPr>
        <w:t>practicable</w:t>
      </w:r>
      <w:r w:rsidR="003A46A1" w:rsidRPr="008F6350">
        <w:rPr>
          <w:lang w:val="es-ES_tradnl"/>
        </w:rPr>
        <w:t xml:space="preserve"> </w:t>
      </w:r>
      <w:r w:rsidR="00D37600" w:rsidRPr="008F6350">
        <w:rPr>
          <w:lang w:val="es-ES_tradnl"/>
        </w:rPr>
        <w:t>salvo que el isotanque usado</w:t>
      </w:r>
      <w:r w:rsidR="003A46A1" w:rsidRPr="008F6350">
        <w:rPr>
          <w:lang w:val="es-ES_tradnl"/>
        </w:rPr>
        <w:t xml:space="preserve"> </w:t>
      </w:r>
      <w:r w:rsidR="004133CB">
        <w:rPr>
          <w:lang w:val="es-ES_tradnl"/>
        </w:rPr>
        <w:t>se pueda reingresar al país</w:t>
      </w:r>
      <w:r w:rsidR="00862A82" w:rsidRPr="008F6350">
        <w:rPr>
          <w:lang w:val="es-ES_tradnl"/>
        </w:rPr>
        <w:t>.</w:t>
      </w:r>
      <w:r w:rsidR="003A46A1" w:rsidRPr="008F6350">
        <w:rPr>
          <w:lang w:val="es-ES_tradnl"/>
        </w:rPr>
        <w:t xml:space="preserve"> </w:t>
      </w:r>
      <w:r w:rsidR="00862A82" w:rsidRPr="008F6350">
        <w:rPr>
          <w:lang w:val="es-ES_tradnl"/>
        </w:rPr>
        <w:t>La</w:t>
      </w:r>
      <w:r w:rsidR="003A46A1" w:rsidRPr="008F6350">
        <w:rPr>
          <w:lang w:val="es-ES_tradnl"/>
        </w:rPr>
        <w:t xml:space="preserve"> </w:t>
      </w:r>
      <w:r w:rsidR="00862A82" w:rsidRPr="008F6350">
        <w:rPr>
          <w:lang w:val="es-ES_tradnl"/>
        </w:rPr>
        <w:t>ONUDI</w:t>
      </w:r>
      <w:r w:rsidR="003A46A1" w:rsidRPr="008F6350">
        <w:rPr>
          <w:lang w:val="es-ES_tradnl"/>
        </w:rPr>
        <w:t xml:space="preserve"> </w:t>
      </w:r>
      <w:r w:rsidR="004057BA" w:rsidRPr="008F6350">
        <w:rPr>
          <w:lang w:val="es-ES_tradnl"/>
        </w:rPr>
        <w:t>aclaró</w:t>
      </w:r>
      <w:r w:rsidR="003A46A1" w:rsidRPr="008F6350">
        <w:rPr>
          <w:lang w:val="es-ES_tradnl"/>
        </w:rPr>
        <w:t xml:space="preserve"> </w:t>
      </w:r>
      <w:r w:rsidR="004057BA" w:rsidRPr="008F6350">
        <w:rPr>
          <w:lang w:val="es-ES_tradnl"/>
        </w:rPr>
        <w:t>que</w:t>
      </w:r>
      <w:r w:rsidR="003A46A1" w:rsidRPr="008F6350">
        <w:rPr>
          <w:lang w:val="es-ES_tradnl"/>
        </w:rPr>
        <w:t xml:space="preserve"> </w:t>
      </w:r>
      <w:r w:rsidR="00E76361">
        <w:rPr>
          <w:lang w:val="es-ES_tradnl"/>
        </w:rPr>
        <w:t>la</w:t>
      </w:r>
      <w:r w:rsidR="003A46A1" w:rsidRPr="008F6350">
        <w:rPr>
          <w:lang w:val="es-ES_tradnl"/>
        </w:rPr>
        <w:t xml:space="preserve"> </w:t>
      </w:r>
      <w:r w:rsidR="004057BA" w:rsidRPr="008F6350">
        <w:rPr>
          <w:lang w:val="es-ES_tradnl"/>
        </w:rPr>
        <w:t>c</w:t>
      </w:r>
      <w:r w:rsidR="00E825E3">
        <w:rPr>
          <w:lang w:val="es-ES_tradnl"/>
        </w:rPr>
        <w:t>u</w:t>
      </w:r>
      <w:r w:rsidR="004057BA" w:rsidRPr="008F6350">
        <w:rPr>
          <w:lang w:val="es-ES_tradnl"/>
        </w:rPr>
        <w:t>alidad</w:t>
      </w:r>
      <w:r w:rsidR="003A46A1" w:rsidRPr="008F6350">
        <w:rPr>
          <w:lang w:val="es-ES_tradnl"/>
        </w:rPr>
        <w:t xml:space="preserve"> </w:t>
      </w:r>
      <w:r w:rsidR="00FB38C2" w:rsidRPr="008F6350">
        <w:rPr>
          <w:lang w:val="es-ES_tradnl"/>
        </w:rPr>
        <w:t>de</w:t>
      </w:r>
      <w:r w:rsidR="003A46A1" w:rsidRPr="008F6350">
        <w:rPr>
          <w:lang w:val="es-ES_tradnl"/>
        </w:rPr>
        <w:t xml:space="preserve"> </w:t>
      </w:r>
      <w:r w:rsidR="00C71EF5">
        <w:rPr>
          <w:lang w:val="es-ES_tradnl"/>
        </w:rPr>
        <w:t>un contenedor de residuos peligrosos</w:t>
      </w:r>
      <w:r w:rsidR="003A46A1" w:rsidRPr="008F6350">
        <w:rPr>
          <w:lang w:val="es-ES_tradnl"/>
        </w:rPr>
        <w:t xml:space="preserve"> </w:t>
      </w:r>
      <w:r w:rsidR="00C71EF5">
        <w:rPr>
          <w:lang w:val="es-ES_tradnl"/>
        </w:rPr>
        <w:t xml:space="preserve">que impediría </w:t>
      </w:r>
      <w:r w:rsidR="00F942C6" w:rsidRPr="008F6350">
        <w:rPr>
          <w:lang w:val="es-ES_tradnl"/>
        </w:rPr>
        <w:t>su</w:t>
      </w:r>
      <w:r w:rsidR="003A46A1" w:rsidRPr="008F6350">
        <w:rPr>
          <w:lang w:val="es-ES_tradnl"/>
        </w:rPr>
        <w:t xml:space="preserve"> </w:t>
      </w:r>
      <w:r w:rsidR="00C71EF5">
        <w:rPr>
          <w:lang w:val="es-ES_tradnl"/>
        </w:rPr>
        <w:t>reingreso al país</w:t>
      </w:r>
      <w:r w:rsidR="003A46A1" w:rsidRPr="008F6350">
        <w:rPr>
          <w:lang w:val="es-ES_tradnl"/>
        </w:rPr>
        <w:t xml:space="preserve"> </w:t>
      </w:r>
      <w:r w:rsidR="001D1DD9">
        <w:rPr>
          <w:lang w:val="es-ES_tradnl"/>
        </w:rPr>
        <w:t xml:space="preserve">no decía relación </w:t>
      </w:r>
      <w:r w:rsidR="00BE49EC">
        <w:rPr>
          <w:lang w:val="es-ES_tradnl"/>
        </w:rPr>
        <w:t xml:space="preserve">con </w:t>
      </w:r>
      <w:r w:rsidR="001D1DD9">
        <w:rPr>
          <w:lang w:val="es-ES_tradnl"/>
        </w:rPr>
        <w:t>ser usado</w:t>
      </w:r>
      <w:r w:rsidR="00345E62" w:rsidRPr="008F6350">
        <w:rPr>
          <w:lang w:val="es-ES_tradnl"/>
        </w:rPr>
        <w:t>,</w:t>
      </w:r>
      <w:r w:rsidR="003A46A1" w:rsidRPr="008F6350">
        <w:rPr>
          <w:lang w:val="es-ES_tradnl"/>
        </w:rPr>
        <w:t xml:space="preserve"> </w:t>
      </w:r>
      <w:r w:rsidR="00036013">
        <w:rPr>
          <w:lang w:val="es-ES_tradnl"/>
        </w:rPr>
        <w:t xml:space="preserve">sino </w:t>
      </w:r>
      <w:r w:rsidR="002B72B3">
        <w:rPr>
          <w:lang w:val="es-ES_tradnl"/>
        </w:rPr>
        <w:t xml:space="preserve">con </w:t>
      </w:r>
      <w:r w:rsidR="00BE49EC">
        <w:rPr>
          <w:lang w:val="es-ES_tradnl"/>
        </w:rPr>
        <w:t xml:space="preserve">no </w:t>
      </w:r>
      <w:r w:rsidR="002B72B3">
        <w:rPr>
          <w:lang w:val="es-ES_tradnl"/>
        </w:rPr>
        <w:t xml:space="preserve">contener </w:t>
      </w:r>
      <w:r w:rsidR="00716187">
        <w:rPr>
          <w:lang w:val="es-ES_tradnl"/>
        </w:rPr>
        <w:t>restos</w:t>
      </w:r>
      <w:r w:rsidR="003A46A1" w:rsidRPr="008F6350">
        <w:rPr>
          <w:lang w:val="es-ES_tradnl"/>
        </w:rPr>
        <w:t xml:space="preserve"> </w:t>
      </w:r>
      <w:r w:rsidR="00FB38C2" w:rsidRPr="008F6350">
        <w:rPr>
          <w:lang w:val="es-ES_tradnl"/>
        </w:rPr>
        <w:t>de</w:t>
      </w:r>
      <w:r w:rsidR="003A46A1" w:rsidRPr="008F6350">
        <w:rPr>
          <w:lang w:val="es-ES_tradnl"/>
        </w:rPr>
        <w:t xml:space="preserve"> </w:t>
      </w:r>
      <w:r w:rsidR="00345E62" w:rsidRPr="008F6350">
        <w:rPr>
          <w:lang w:val="es-ES_tradnl"/>
        </w:rPr>
        <w:t>HFC</w:t>
      </w:r>
      <w:r w:rsidR="00FB38C2" w:rsidRPr="008F6350">
        <w:rPr>
          <w:lang w:val="es-ES_tradnl"/>
        </w:rPr>
        <w:t>-</w:t>
      </w:r>
      <w:r w:rsidR="00345E62" w:rsidRPr="008F6350">
        <w:rPr>
          <w:lang w:val="es-ES_tradnl"/>
        </w:rPr>
        <w:t>23.</w:t>
      </w:r>
      <w:r w:rsidR="003A46A1" w:rsidRPr="008F6350">
        <w:rPr>
          <w:lang w:val="es-ES_tradnl"/>
        </w:rPr>
        <w:t xml:space="preserve"> </w:t>
      </w:r>
      <w:r w:rsidR="004241C5" w:rsidRPr="008F6350">
        <w:rPr>
          <w:lang w:val="es-ES_tradnl"/>
        </w:rPr>
        <w:t>La</w:t>
      </w:r>
      <w:r w:rsidR="003A46A1" w:rsidRPr="008F6350">
        <w:rPr>
          <w:lang w:val="es-ES_tradnl"/>
        </w:rPr>
        <w:t xml:space="preserve"> </w:t>
      </w:r>
      <w:r w:rsidR="004241C5" w:rsidRPr="008F6350">
        <w:rPr>
          <w:lang w:val="es-ES_tradnl"/>
        </w:rPr>
        <w:t>Secretaría</w:t>
      </w:r>
      <w:r w:rsidR="003A46A1" w:rsidRPr="008F6350">
        <w:rPr>
          <w:lang w:val="es-ES_tradnl"/>
        </w:rPr>
        <w:t xml:space="preserve"> </w:t>
      </w:r>
      <w:r w:rsidR="009F445D" w:rsidRPr="009F445D">
        <w:rPr>
          <w:lang w:val="es-ES_tradnl"/>
        </w:rPr>
        <w:t>discutió</w:t>
      </w:r>
      <w:r w:rsidR="001031A9">
        <w:rPr>
          <w:lang w:val="es-ES_tradnl"/>
        </w:rPr>
        <w:t xml:space="preserve"> </w:t>
      </w:r>
      <w:r w:rsidR="004241C5" w:rsidRPr="008F6350">
        <w:rPr>
          <w:lang w:val="es-ES_tradnl"/>
        </w:rPr>
        <w:t>con</w:t>
      </w:r>
      <w:r w:rsidR="003A46A1" w:rsidRPr="008F6350">
        <w:rPr>
          <w:lang w:val="es-ES_tradnl"/>
        </w:rPr>
        <w:t xml:space="preserve"> </w:t>
      </w:r>
      <w:r w:rsidR="00FB38C2" w:rsidRPr="008F6350">
        <w:rPr>
          <w:lang w:val="es-ES_tradnl"/>
        </w:rPr>
        <w:t>la</w:t>
      </w:r>
      <w:r w:rsidR="003A46A1" w:rsidRPr="008F6350">
        <w:rPr>
          <w:lang w:val="es-ES_tradnl"/>
        </w:rPr>
        <w:t xml:space="preserve"> </w:t>
      </w:r>
      <w:r w:rsidR="00FB38C2" w:rsidRPr="008F6350">
        <w:rPr>
          <w:lang w:val="es-ES_tradnl"/>
        </w:rPr>
        <w:t>ONUDI</w:t>
      </w:r>
      <w:r w:rsidR="003A46A1" w:rsidRPr="008F6350">
        <w:rPr>
          <w:lang w:val="es-ES_tradnl"/>
        </w:rPr>
        <w:t xml:space="preserve"> </w:t>
      </w:r>
      <w:r w:rsidR="000D5CCA">
        <w:rPr>
          <w:lang w:val="es-ES_tradnl"/>
        </w:rPr>
        <w:t xml:space="preserve">la posibilidad de que </w:t>
      </w:r>
      <w:r w:rsidR="00EC2FB2">
        <w:rPr>
          <w:lang w:val="es-ES_tradnl"/>
        </w:rPr>
        <w:t xml:space="preserve">se permita el </w:t>
      </w:r>
      <w:r w:rsidR="0063036C">
        <w:rPr>
          <w:lang w:val="es-ES_tradnl"/>
        </w:rPr>
        <w:t xml:space="preserve">reingreso del isotanque </w:t>
      </w:r>
      <w:r w:rsidR="008279D1">
        <w:rPr>
          <w:lang w:val="es-ES_tradnl"/>
        </w:rPr>
        <w:t xml:space="preserve">en </w:t>
      </w:r>
      <w:r w:rsidR="00C83116">
        <w:rPr>
          <w:lang w:val="es-ES_tradnl"/>
        </w:rPr>
        <w:t xml:space="preserve">base </w:t>
      </w:r>
      <w:r w:rsidR="008279D1">
        <w:rPr>
          <w:lang w:val="es-ES_tradnl"/>
        </w:rPr>
        <w:t>a</w:t>
      </w:r>
      <w:r w:rsidR="00076C31">
        <w:rPr>
          <w:lang w:val="es-ES_tradnl"/>
        </w:rPr>
        <w:t xml:space="preserve"> un</w:t>
      </w:r>
      <w:r w:rsidR="00763C35">
        <w:rPr>
          <w:lang w:val="es-ES_tradnl"/>
        </w:rPr>
        <w:t>a</w:t>
      </w:r>
      <w:r w:rsidR="00076C31">
        <w:rPr>
          <w:lang w:val="es-ES_tradnl"/>
        </w:rPr>
        <w:t xml:space="preserve"> </w:t>
      </w:r>
      <w:r w:rsidR="00763C35">
        <w:rPr>
          <w:lang w:val="es-ES_tradnl"/>
        </w:rPr>
        <w:t>certificación</w:t>
      </w:r>
      <w:r w:rsidR="003A46A1" w:rsidRPr="008F6350">
        <w:rPr>
          <w:lang w:val="es-ES_tradnl"/>
        </w:rPr>
        <w:t xml:space="preserve"> </w:t>
      </w:r>
      <w:r w:rsidR="00763C35">
        <w:rPr>
          <w:lang w:val="es-ES_tradnl"/>
        </w:rPr>
        <w:t>expedida</w:t>
      </w:r>
      <w:r w:rsidR="00DA1D5A">
        <w:rPr>
          <w:lang w:val="es-ES_tradnl"/>
        </w:rPr>
        <w:t xml:space="preserve"> </w:t>
      </w:r>
      <w:r w:rsidR="00F942C6" w:rsidRPr="008F6350">
        <w:rPr>
          <w:lang w:val="es-ES_tradnl"/>
        </w:rPr>
        <w:t>por</w:t>
      </w:r>
      <w:r w:rsidR="003A46A1" w:rsidRPr="008F6350">
        <w:rPr>
          <w:lang w:val="es-ES_tradnl"/>
        </w:rPr>
        <w:t xml:space="preserve"> </w:t>
      </w:r>
      <w:r w:rsidR="00AC3AE2" w:rsidRPr="008F6350">
        <w:rPr>
          <w:lang w:val="es-ES_tradnl"/>
        </w:rPr>
        <w:t>la planta</w:t>
      </w:r>
      <w:r w:rsidR="00B25E57" w:rsidRPr="008F6350">
        <w:rPr>
          <w:lang w:val="es-ES_tradnl"/>
        </w:rPr>
        <w:t xml:space="preserve"> de eliminación</w:t>
      </w:r>
      <w:r w:rsidR="003A46A1" w:rsidRPr="008F6350">
        <w:rPr>
          <w:lang w:val="es-ES_tradnl"/>
        </w:rPr>
        <w:t xml:space="preserve"> </w:t>
      </w:r>
      <w:r w:rsidR="004241C5" w:rsidRPr="008F6350">
        <w:rPr>
          <w:lang w:val="es-ES_tradnl"/>
        </w:rPr>
        <w:t>en</w:t>
      </w:r>
      <w:r w:rsidR="003A46A1" w:rsidRPr="008F6350">
        <w:rPr>
          <w:lang w:val="es-ES_tradnl"/>
        </w:rPr>
        <w:t xml:space="preserve"> </w:t>
      </w:r>
      <w:r w:rsidR="00E22238" w:rsidRPr="008F6350">
        <w:rPr>
          <w:lang w:val="es-ES_tradnl"/>
        </w:rPr>
        <w:t>Dinamarca</w:t>
      </w:r>
      <w:r w:rsidR="003A46A1" w:rsidRPr="008F6350">
        <w:rPr>
          <w:lang w:val="es-ES_tradnl"/>
        </w:rPr>
        <w:t xml:space="preserve"> </w:t>
      </w:r>
      <w:r w:rsidR="00FB38C2" w:rsidRPr="008F6350">
        <w:rPr>
          <w:lang w:val="es-ES_tradnl"/>
        </w:rPr>
        <w:t>o</w:t>
      </w:r>
      <w:r w:rsidR="003A46A1" w:rsidRPr="008F6350">
        <w:rPr>
          <w:lang w:val="es-ES_tradnl"/>
        </w:rPr>
        <w:t xml:space="preserve"> </w:t>
      </w:r>
      <w:r w:rsidR="0069701E" w:rsidRPr="00347F04">
        <w:rPr>
          <w:lang w:val="es-ES_tradnl"/>
        </w:rPr>
        <w:t>alg</w:t>
      </w:r>
      <w:r w:rsidR="00F942C6" w:rsidRPr="00347F04">
        <w:rPr>
          <w:lang w:val="es-ES_tradnl"/>
        </w:rPr>
        <w:t>un</w:t>
      </w:r>
      <w:r w:rsidR="00A076D7" w:rsidRPr="00347F04">
        <w:rPr>
          <w:lang w:val="es-ES_tradnl"/>
        </w:rPr>
        <w:t xml:space="preserve">a </w:t>
      </w:r>
      <w:r w:rsidR="0069701E" w:rsidRPr="00347F04">
        <w:rPr>
          <w:lang w:val="es-ES_tradnl"/>
        </w:rPr>
        <w:t xml:space="preserve">otra </w:t>
      </w:r>
      <w:r w:rsidR="00A076D7" w:rsidRPr="00347F04">
        <w:rPr>
          <w:lang w:val="es-ES_tradnl"/>
        </w:rPr>
        <w:t>entidad</w:t>
      </w:r>
      <w:r w:rsidR="003A46A1" w:rsidRPr="008F6350">
        <w:rPr>
          <w:lang w:val="es-ES_tradnl"/>
        </w:rPr>
        <w:t xml:space="preserve"> </w:t>
      </w:r>
      <w:r w:rsidR="00E22238" w:rsidRPr="008F6350">
        <w:rPr>
          <w:lang w:val="es-ES_tradnl"/>
        </w:rPr>
        <w:t>independiente</w:t>
      </w:r>
      <w:r w:rsidR="00345E62" w:rsidRPr="008F6350">
        <w:rPr>
          <w:lang w:val="es-ES_tradnl"/>
        </w:rPr>
        <w:t>.</w:t>
      </w:r>
      <w:r w:rsidR="003A46A1" w:rsidRPr="008F6350">
        <w:rPr>
          <w:lang w:val="es-ES_tradnl"/>
        </w:rPr>
        <w:t xml:space="preserve"> </w:t>
      </w:r>
      <w:r w:rsidR="009B2C69">
        <w:rPr>
          <w:lang w:val="es-ES_tradnl"/>
        </w:rPr>
        <w:t>Además</w:t>
      </w:r>
      <w:r w:rsidR="00DC706E">
        <w:rPr>
          <w:lang w:val="es-ES_tradnl"/>
        </w:rPr>
        <w:t>,</w:t>
      </w:r>
      <w:r w:rsidR="009B2C69">
        <w:rPr>
          <w:lang w:val="es-ES_tradnl"/>
        </w:rPr>
        <w:t xml:space="preserve"> </w:t>
      </w:r>
      <w:r w:rsidR="00FB38C2" w:rsidRPr="008F6350">
        <w:rPr>
          <w:lang w:val="es-ES_tradnl"/>
        </w:rPr>
        <w:t>o</w:t>
      </w:r>
      <w:r w:rsidR="003A46A1" w:rsidRPr="008F6350">
        <w:rPr>
          <w:lang w:val="es-ES_tradnl"/>
        </w:rPr>
        <w:t xml:space="preserve"> </w:t>
      </w:r>
      <w:r w:rsidR="004241C5" w:rsidRPr="008F6350">
        <w:rPr>
          <w:lang w:val="es-ES_tradnl"/>
        </w:rPr>
        <w:t>en</w:t>
      </w:r>
      <w:r w:rsidR="003A46A1" w:rsidRPr="008F6350">
        <w:rPr>
          <w:lang w:val="es-ES_tradnl"/>
        </w:rPr>
        <w:t xml:space="preserve"> </w:t>
      </w:r>
      <w:r w:rsidR="009B2C69">
        <w:rPr>
          <w:lang w:val="es-ES_tradnl"/>
        </w:rPr>
        <w:t xml:space="preserve">lugar </w:t>
      </w:r>
      <w:r w:rsidR="00FB38C2" w:rsidRPr="008F6350">
        <w:rPr>
          <w:lang w:val="es-ES_tradnl"/>
        </w:rPr>
        <w:t>de</w:t>
      </w:r>
      <w:r w:rsidR="004E1228">
        <w:rPr>
          <w:lang w:val="es-ES_tradnl"/>
        </w:rPr>
        <w:t xml:space="preserve"> lo anterior</w:t>
      </w:r>
      <w:r w:rsidR="009B2C69">
        <w:rPr>
          <w:lang w:val="es-ES_tradnl"/>
        </w:rPr>
        <w:t>,</w:t>
      </w:r>
      <w:r w:rsidR="003A46A1" w:rsidRPr="008F6350">
        <w:rPr>
          <w:lang w:val="es-ES_tradnl"/>
        </w:rPr>
        <w:t xml:space="preserve"> </w:t>
      </w:r>
      <w:r w:rsidR="00F33C58" w:rsidRPr="008F6350">
        <w:rPr>
          <w:lang w:val="es-ES_tradnl"/>
        </w:rPr>
        <w:t>y</w:t>
      </w:r>
      <w:r w:rsidR="003A46A1" w:rsidRPr="008F6350">
        <w:rPr>
          <w:lang w:val="es-ES_tradnl"/>
        </w:rPr>
        <w:t xml:space="preserve"> </w:t>
      </w:r>
      <w:r w:rsidR="00482D3B">
        <w:rPr>
          <w:lang w:val="es-ES_tradnl"/>
        </w:rPr>
        <w:t xml:space="preserve">tomando nota de </w:t>
      </w:r>
      <w:r w:rsidR="008A3316" w:rsidRPr="008F6350">
        <w:rPr>
          <w:lang w:val="es-ES_tradnl"/>
        </w:rPr>
        <w:t>que</w:t>
      </w:r>
      <w:r w:rsidR="003A46A1" w:rsidRPr="008F6350">
        <w:rPr>
          <w:lang w:val="es-ES_tradnl"/>
        </w:rPr>
        <w:t xml:space="preserve"> </w:t>
      </w:r>
      <w:r w:rsidR="00765755" w:rsidRPr="008F6350">
        <w:rPr>
          <w:lang w:val="es-ES_tradnl"/>
        </w:rPr>
        <w:t xml:space="preserve">el </w:t>
      </w:r>
      <w:r w:rsidR="00A749DA" w:rsidRPr="008F6350">
        <w:rPr>
          <w:rFonts w:cstheme="minorHAnsi"/>
          <w:lang w:val="es-ES_tradnl"/>
        </w:rPr>
        <w:t xml:space="preserve">Decreto </w:t>
      </w:r>
      <w:r w:rsidR="00345E62" w:rsidRPr="008F6350">
        <w:rPr>
          <w:rFonts w:cstheme="minorHAnsi"/>
          <w:lang w:val="es-ES_tradnl"/>
        </w:rPr>
        <w:t>2092</w:t>
      </w:r>
      <w:r w:rsidR="003A46A1" w:rsidRPr="008F6350">
        <w:rPr>
          <w:rFonts w:cstheme="minorHAnsi"/>
          <w:lang w:val="es-ES_tradnl"/>
        </w:rPr>
        <w:t xml:space="preserve"> </w:t>
      </w:r>
      <w:r w:rsidR="00EE2171">
        <w:rPr>
          <w:rFonts w:cstheme="minorHAnsi"/>
          <w:lang w:val="es-ES_tradnl"/>
        </w:rPr>
        <w:t xml:space="preserve">dispone que la </w:t>
      </w:r>
      <w:r w:rsidR="00072BC3" w:rsidRPr="008F6350">
        <w:rPr>
          <w:rFonts w:cstheme="minorHAnsi"/>
          <w:lang w:val="es-ES_tradnl"/>
        </w:rPr>
        <w:t>Autoridad</w:t>
      </w:r>
      <w:r w:rsidR="003A46A1" w:rsidRPr="008F6350">
        <w:rPr>
          <w:rFonts w:cstheme="minorHAnsi"/>
          <w:lang w:val="es-ES_tradnl"/>
        </w:rPr>
        <w:t xml:space="preserve"> </w:t>
      </w:r>
      <w:r w:rsidR="00EB417D">
        <w:rPr>
          <w:rFonts w:cstheme="minorHAnsi"/>
          <w:lang w:val="es-ES_tradnl"/>
        </w:rPr>
        <w:t xml:space="preserve">de Aplicación </w:t>
      </w:r>
      <w:r w:rsidR="00EE2171">
        <w:rPr>
          <w:rFonts w:cstheme="minorHAnsi"/>
          <w:lang w:val="es-ES_tradnl"/>
        </w:rPr>
        <w:t>“</w:t>
      </w:r>
      <w:r w:rsidR="008F6350" w:rsidRPr="008F6350">
        <w:rPr>
          <w:rFonts w:cstheme="minorHAnsi"/>
          <w:lang w:val="es-ES_tradnl"/>
        </w:rPr>
        <w:t xml:space="preserve">establecerá las obligaciones de cada una de las categorías mencionadas, </w:t>
      </w:r>
      <w:r w:rsidR="008F6350" w:rsidRPr="009F5155">
        <w:rPr>
          <w:rFonts w:cstheme="minorHAnsi"/>
          <w:i/>
          <w:lang w:val="es-ES_tradnl"/>
        </w:rPr>
        <w:t>pudiendo modificar con carácter general la cantidad de obligaciones a cumplimentar cuando ello resultare técnicamente razonable y tendrá en cuenta la situación de mayor riesgo ambiental para la clasificación</w:t>
      </w:r>
      <w:r w:rsidR="009F5155">
        <w:rPr>
          <w:rFonts w:cstheme="minorHAnsi"/>
          <w:i/>
          <w:lang w:val="es-ES_tradnl"/>
        </w:rPr>
        <w:t>”</w:t>
      </w:r>
      <w:r w:rsidR="00D86961">
        <w:rPr>
          <w:rFonts w:cstheme="minorHAnsi"/>
          <w:lang w:val="es-ES_tradnl"/>
        </w:rPr>
        <w:t xml:space="preserve"> </w:t>
      </w:r>
      <w:r w:rsidR="00345E62" w:rsidRPr="00D86961">
        <w:rPr>
          <w:rFonts w:cstheme="minorHAnsi"/>
          <w:lang w:val="es-ES_tradnl"/>
        </w:rPr>
        <w:t>(</w:t>
      </w:r>
      <w:r w:rsidR="00D86961" w:rsidRPr="00D86961">
        <w:rPr>
          <w:rFonts w:cstheme="minorHAnsi"/>
          <w:lang w:val="es-ES_tradnl"/>
        </w:rPr>
        <w:t>énfasis propio</w:t>
      </w:r>
      <w:r w:rsidR="00345E62" w:rsidRPr="00D86961">
        <w:rPr>
          <w:rFonts w:cstheme="minorHAnsi"/>
          <w:lang w:val="es-ES_tradnl"/>
        </w:rPr>
        <w:t>),</w:t>
      </w:r>
      <w:r w:rsidR="003A46A1" w:rsidRPr="00D86961">
        <w:rPr>
          <w:rFonts w:cstheme="minorHAnsi"/>
          <w:lang w:val="es-ES_tradnl"/>
        </w:rPr>
        <w:t xml:space="preserve"> </w:t>
      </w:r>
      <w:r w:rsidR="004241C5" w:rsidRPr="00D86961">
        <w:rPr>
          <w:rFonts w:cstheme="minorHAnsi"/>
          <w:lang w:val="es-ES_tradnl"/>
        </w:rPr>
        <w:t>la</w:t>
      </w:r>
      <w:r w:rsidR="003A46A1" w:rsidRPr="00D86961">
        <w:rPr>
          <w:rFonts w:cstheme="minorHAnsi"/>
          <w:lang w:val="es-ES_tradnl"/>
        </w:rPr>
        <w:t xml:space="preserve"> </w:t>
      </w:r>
      <w:r w:rsidR="004241C5" w:rsidRPr="00D86961">
        <w:rPr>
          <w:rFonts w:cstheme="minorHAnsi"/>
          <w:lang w:val="es-ES_tradnl"/>
        </w:rPr>
        <w:t>Secretaría</w:t>
      </w:r>
      <w:r w:rsidR="003A46A1" w:rsidRPr="00D86961">
        <w:rPr>
          <w:rFonts w:cstheme="minorHAnsi"/>
          <w:lang w:val="es-ES_tradnl"/>
        </w:rPr>
        <w:t xml:space="preserve"> </w:t>
      </w:r>
      <w:r w:rsidR="005A2396">
        <w:rPr>
          <w:rFonts w:cstheme="minorHAnsi"/>
          <w:lang w:val="es-ES_tradnl"/>
        </w:rPr>
        <w:t xml:space="preserve">consultó </w:t>
      </w:r>
      <w:r w:rsidR="00F942C6" w:rsidRPr="00D86961">
        <w:rPr>
          <w:lang w:val="es-ES_tradnl"/>
        </w:rPr>
        <w:t>si</w:t>
      </w:r>
      <w:r w:rsidR="003A46A1" w:rsidRPr="00D86961">
        <w:rPr>
          <w:lang w:val="es-ES_tradnl"/>
        </w:rPr>
        <w:t xml:space="preserve"> </w:t>
      </w:r>
      <w:r w:rsidR="00FB38C2" w:rsidRPr="00D86961">
        <w:rPr>
          <w:lang w:val="es-ES_tradnl"/>
        </w:rPr>
        <w:t>el</w:t>
      </w:r>
      <w:r w:rsidR="003A46A1" w:rsidRPr="00D86961">
        <w:rPr>
          <w:lang w:val="es-ES_tradnl"/>
        </w:rPr>
        <w:t xml:space="preserve"> </w:t>
      </w:r>
      <w:r w:rsidR="00535C22">
        <w:rPr>
          <w:lang w:val="es-ES_tradnl"/>
        </w:rPr>
        <w:t>Gobierno de Argentina</w:t>
      </w:r>
      <w:r w:rsidR="003A46A1" w:rsidRPr="00D86961">
        <w:rPr>
          <w:lang w:val="es-ES_tradnl"/>
        </w:rPr>
        <w:t xml:space="preserve"> </w:t>
      </w:r>
      <w:r w:rsidR="00FD6086">
        <w:rPr>
          <w:lang w:val="es-ES_tradnl"/>
        </w:rPr>
        <w:t xml:space="preserve">podría conceder </w:t>
      </w:r>
      <w:r w:rsidR="00B96838">
        <w:rPr>
          <w:lang w:val="es-ES_tradnl"/>
        </w:rPr>
        <w:t xml:space="preserve">una </w:t>
      </w:r>
      <w:r w:rsidR="00B56F58">
        <w:rPr>
          <w:lang w:val="es-ES_tradnl"/>
        </w:rPr>
        <w:t>exención</w:t>
      </w:r>
      <w:r w:rsidR="003A46A1" w:rsidRPr="00D86961">
        <w:rPr>
          <w:lang w:val="es-ES_tradnl"/>
        </w:rPr>
        <w:t xml:space="preserve"> </w:t>
      </w:r>
      <w:r w:rsidR="000B54DE">
        <w:rPr>
          <w:lang w:val="es-ES_tradnl"/>
        </w:rPr>
        <w:t>que permita el reingreso</w:t>
      </w:r>
      <w:r w:rsidR="003A46A1" w:rsidRPr="00D86961">
        <w:rPr>
          <w:lang w:val="es-ES_tradnl"/>
        </w:rPr>
        <w:t xml:space="preserve"> </w:t>
      </w:r>
      <w:r w:rsidR="004057BA" w:rsidRPr="00D86961">
        <w:rPr>
          <w:lang w:val="es-ES_tradnl"/>
        </w:rPr>
        <w:t>del</w:t>
      </w:r>
      <w:r w:rsidR="003A46A1" w:rsidRPr="00D86961">
        <w:rPr>
          <w:lang w:val="es-ES_tradnl"/>
        </w:rPr>
        <w:t xml:space="preserve"> </w:t>
      </w:r>
      <w:r w:rsidR="00B73238" w:rsidRPr="00D86961">
        <w:rPr>
          <w:lang w:val="es-ES_tradnl"/>
        </w:rPr>
        <w:t>isotanque</w:t>
      </w:r>
      <w:r w:rsidR="003A46A1" w:rsidRPr="00D86961">
        <w:rPr>
          <w:lang w:val="es-ES_tradnl"/>
        </w:rPr>
        <w:t xml:space="preserve"> </w:t>
      </w:r>
      <w:r w:rsidR="00987932">
        <w:rPr>
          <w:lang w:val="es-ES_tradnl"/>
        </w:rPr>
        <w:t>al país</w:t>
      </w:r>
      <w:r w:rsidR="00345E62" w:rsidRPr="00D86961">
        <w:rPr>
          <w:lang w:val="es-ES_tradnl"/>
        </w:rPr>
        <w:t>,</w:t>
      </w:r>
      <w:r w:rsidR="003A46A1" w:rsidRPr="00D86961">
        <w:rPr>
          <w:lang w:val="es-ES_tradnl"/>
        </w:rPr>
        <w:t xml:space="preserve"> </w:t>
      </w:r>
      <w:r w:rsidR="00FF2442" w:rsidRPr="00FF2442">
        <w:rPr>
          <w:lang w:val="es-ES_tradnl"/>
        </w:rPr>
        <w:t>haciendo notar que</w:t>
      </w:r>
      <w:r w:rsidR="003A46A1" w:rsidRPr="00D86961">
        <w:rPr>
          <w:lang w:val="es-ES_tradnl"/>
        </w:rPr>
        <w:t xml:space="preserve"> </w:t>
      </w:r>
      <w:r w:rsidR="007B61A7">
        <w:rPr>
          <w:lang w:val="es-ES_tradnl"/>
        </w:rPr>
        <w:t xml:space="preserve">tal </w:t>
      </w:r>
      <w:r w:rsidR="00B56F58">
        <w:rPr>
          <w:lang w:val="es-ES_tradnl"/>
        </w:rPr>
        <w:t>exención</w:t>
      </w:r>
      <w:r w:rsidR="003A46A1" w:rsidRPr="00D86961">
        <w:rPr>
          <w:lang w:val="es-ES_tradnl"/>
        </w:rPr>
        <w:t xml:space="preserve"> </w:t>
      </w:r>
      <w:r w:rsidR="00FD2DAA">
        <w:rPr>
          <w:lang w:val="es-ES_tradnl"/>
        </w:rPr>
        <w:t xml:space="preserve">generaría </w:t>
      </w:r>
      <w:r w:rsidR="00547FAA">
        <w:rPr>
          <w:lang w:val="es-ES_tradnl"/>
        </w:rPr>
        <w:t xml:space="preserve">beneficios </w:t>
      </w:r>
      <w:r w:rsidR="00B25E57" w:rsidRPr="00D86961">
        <w:rPr>
          <w:lang w:val="es-ES_tradnl"/>
        </w:rPr>
        <w:t>ambiental</w:t>
      </w:r>
      <w:r w:rsidR="00547FAA">
        <w:rPr>
          <w:lang w:val="es-ES_tradnl"/>
        </w:rPr>
        <w:t>es</w:t>
      </w:r>
      <w:r w:rsidR="003A46A1" w:rsidRPr="00D86961">
        <w:rPr>
          <w:lang w:val="es-ES_tradnl"/>
        </w:rPr>
        <w:t xml:space="preserve"> </w:t>
      </w:r>
      <w:r w:rsidR="004E604E">
        <w:rPr>
          <w:lang w:val="es-ES_tradnl"/>
        </w:rPr>
        <w:t xml:space="preserve">mayores a </w:t>
      </w:r>
      <w:r w:rsidR="003206FA">
        <w:rPr>
          <w:lang w:val="es-ES_tradnl"/>
        </w:rPr>
        <w:t>los riesgos</w:t>
      </w:r>
      <w:r w:rsidR="003A46A1" w:rsidRPr="00D86961">
        <w:rPr>
          <w:lang w:val="es-ES_tradnl"/>
        </w:rPr>
        <w:t xml:space="preserve"> </w:t>
      </w:r>
      <w:r w:rsidR="003206FA">
        <w:rPr>
          <w:lang w:val="es-ES_tradnl"/>
        </w:rPr>
        <w:t>asociado</w:t>
      </w:r>
      <w:r w:rsidR="00B25E57" w:rsidRPr="00D86961">
        <w:rPr>
          <w:lang w:val="es-ES_tradnl"/>
        </w:rPr>
        <w:t>s a</w:t>
      </w:r>
      <w:r w:rsidR="005231C2">
        <w:rPr>
          <w:lang w:val="es-ES_tradnl"/>
        </w:rPr>
        <w:t xml:space="preserve">l ingreso de </w:t>
      </w:r>
      <w:r w:rsidR="00CA780A" w:rsidRPr="00CA780A">
        <w:rPr>
          <w:lang w:val="es-ES_tradnl"/>
        </w:rPr>
        <w:t xml:space="preserve">restos </w:t>
      </w:r>
      <w:r w:rsidR="00FB38C2" w:rsidRPr="00D86961">
        <w:rPr>
          <w:lang w:val="es-ES_tradnl"/>
        </w:rPr>
        <w:t>de</w:t>
      </w:r>
      <w:r w:rsidR="003A46A1" w:rsidRPr="00D86961">
        <w:rPr>
          <w:lang w:val="es-ES_tradnl"/>
        </w:rPr>
        <w:t xml:space="preserve"> </w:t>
      </w:r>
      <w:r w:rsidR="00345E62" w:rsidRPr="00D86961">
        <w:rPr>
          <w:lang w:val="es-ES_tradnl"/>
        </w:rPr>
        <w:t>HFC</w:t>
      </w:r>
      <w:r w:rsidR="00FB38C2" w:rsidRPr="00D86961">
        <w:rPr>
          <w:lang w:val="es-ES_tradnl"/>
        </w:rPr>
        <w:t>-</w:t>
      </w:r>
      <w:r w:rsidR="00345E62" w:rsidRPr="00D86961">
        <w:rPr>
          <w:lang w:val="es-ES_tradnl"/>
        </w:rPr>
        <w:t>23</w:t>
      </w:r>
      <w:r w:rsidR="00743A3A" w:rsidRPr="00216433">
        <w:rPr>
          <w:lang w:val="es-ES"/>
        </w:rPr>
        <w:t xml:space="preserve"> </w:t>
      </w:r>
      <w:r w:rsidR="00743A3A" w:rsidRPr="00743A3A">
        <w:rPr>
          <w:lang w:val="es-ES_tradnl"/>
        </w:rPr>
        <w:t>al país</w:t>
      </w:r>
      <w:r w:rsidR="00345E62" w:rsidRPr="00D86961">
        <w:rPr>
          <w:lang w:val="es-ES_tradnl"/>
        </w:rPr>
        <w:t>.</w:t>
      </w:r>
    </w:p>
    <w:p w14:paraId="18019860" w14:textId="0A76F221" w:rsidR="007B22B4" w:rsidRPr="00B25E57" w:rsidRDefault="008A3316" w:rsidP="00345E62">
      <w:pPr>
        <w:pStyle w:val="Heading1"/>
        <w:rPr>
          <w:lang w:val="es-ES_tradnl"/>
        </w:rPr>
      </w:pPr>
      <w:r w:rsidRPr="00B25E57">
        <w:rPr>
          <w:lang w:val="es-ES_tradnl"/>
        </w:rPr>
        <w:t>En</w:t>
      </w:r>
      <w:r w:rsidR="003A46A1" w:rsidRPr="00B25E57">
        <w:rPr>
          <w:lang w:val="es-ES_tradnl"/>
        </w:rPr>
        <w:t xml:space="preserve"> </w:t>
      </w:r>
      <w:r w:rsidRPr="00B25E57">
        <w:rPr>
          <w:lang w:val="es-ES_tradnl"/>
        </w:rPr>
        <w:t>cuanto</w:t>
      </w:r>
      <w:r w:rsidR="003A46A1" w:rsidRPr="00B25E57">
        <w:rPr>
          <w:lang w:val="es-ES_tradnl"/>
        </w:rPr>
        <w:t xml:space="preserve"> </w:t>
      </w:r>
      <w:r w:rsidRPr="00B25E57">
        <w:rPr>
          <w:lang w:val="es-ES_tradnl"/>
        </w:rPr>
        <w:t>a</w:t>
      </w:r>
      <w:r w:rsidR="003A46A1" w:rsidRPr="00B25E57">
        <w:rPr>
          <w:lang w:val="es-ES_tradnl"/>
        </w:rPr>
        <w:t xml:space="preserve"> </w:t>
      </w:r>
      <w:r w:rsidR="0043636B">
        <w:rPr>
          <w:lang w:val="es-ES_tradnl"/>
        </w:rPr>
        <w:t>lo primero</w:t>
      </w:r>
      <w:r w:rsidR="00345E62"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9B7474">
        <w:rPr>
          <w:lang w:val="es-ES_tradnl"/>
        </w:rPr>
        <w:t>hizo ver</w:t>
      </w:r>
      <w:r w:rsidR="003A46A1" w:rsidRPr="00B25E57">
        <w:rPr>
          <w:lang w:val="es-ES_tradnl"/>
        </w:rPr>
        <w:t xml:space="preserve"> </w:t>
      </w:r>
      <w:r w:rsidR="004057BA" w:rsidRPr="00B25E57">
        <w:rPr>
          <w:lang w:val="es-ES_tradnl"/>
        </w:rPr>
        <w:t>que</w:t>
      </w:r>
      <w:r w:rsidR="003A46A1" w:rsidRPr="00B25E57">
        <w:rPr>
          <w:lang w:val="es-ES_tradnl"/>
        </w:rPr>
        <w:t xml:space="preserve"> </w:t>
      </w:r>
      <w:r w:rsidR="00810194">
        <w:rPr>
          <w:lang w:val="es-ES_tradnl"/>
        </w:rPr>
        <w:t xml:space="preserve">el servicio aduanero </w:t>
      </w:r>
      <w:r w:rsidR="009E3C65">
        <w:rPr>
          <w:lang w:val="es-ES_tradnl"/>
        </w:rPr>
        <w:t>tendría la prerrogativa</w:t>
      </w:r>
      <w:r w:rsidR="003A46A1" w:rsidRPr="00B25E57">
        <w:rPr>
          <w:lang w:val="es-ES_tradnl"/>
        </w:rPr>
        <w:t xml:space="preserve"> </w:t>
      </w:r>
      <w:r w:rsidR="00FE2F1A">
        <w:rPr>
          <w:lang w:val="es-ES_tradnl"/>
        </w:rPr>
        <w:t xml:space="preserve">de comprobar </w:t>
      </w:r>
      <w:r w:rsidR="00A345B4">
        <w:rPr>
          <w:lang w:val="es-ES_tradnl"/>
        </w:rPr>
        <w:t xml:space="preserve">si </w:t>
      </w:r>
      <w:r w:rsidR="00157B75">
        <w:rPr>
          <w:lang w:val="es-ES_tradnl"/>
        </w:rPr>
        <w:t>el isotanque</w:t>
      </w:r>
      <w:r w:rsidR="003A46A1" w:rsidRPr="00B25E57">
        <w:rPr>
          <w:lang w:val="es-ES_tradnl"/>
        </w:rPr>
        <w:t xml:space="preserve"> </w:t>
      </w:r>
      <w:r w:rsidR="001F0C8C">
        <w:rPr>
          <w:lang w:val="es-ES_tradnl"/>
        </w:rPr>
        <w:t xml:space="preserve">efectivamente </w:t>
      </w:r>
      <w:r w:rsidR="0068037B">
        <w:rPr>
          <w:lang w:val="es-ES_tradnl"/>
        </w:rPr>
        <w:t>contiene</w:t>
      </w:r>
      <w:r w:rsidR="00C424E7">
        <w:rPr>
          <w:lang w:val="es-ES_tradnl"/>
        </w:rPr>
        <w:t xml:space="preserve"> </w:t>
      </w:r>
      <w:r w:rsidR="00AE7D3B">
        <w:rPr>
          <w:lang w:val="es-ES_tradnl"/>
        </w:rPr>
        <w:t>trazas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HFC</w:t>
      </w:r>
      <w:r w:rsidR="00FB38C2" w:rsidRPr="00B25E57">
        <w:rPr>
          <w:lang w:val="es-ES_tradnl"/>
        </w:rPr>
        <w:t>-</w:t>
      </w:r>
      <w:r w:rsidR="00345E62" w:rsidRPr="00B25E57">
        <w:rPr>
          <w:lang w:val="es-ES_tradnl"/>
        </w:rPr>
        <w:t>2</w:t>
      </w:r>
      <w:r w:rsidR="00C424E7">
        <w:rPr>
          <w:lang w:val="es-ES_tradnl"/>
        </w:rPr>
        <w:t>3,</w:t>
      </w:r>
      <w:r w:rsidR="003A46A1" w:rsidRPr="00B25E57">
        <w:rPr>
          <w:lang w:val="es-ES_tradnl"/>
        </w:rPr>
        <w:t xml:space="preserve"> </w:t>
      </w:r>
      <w:r w:rsidR="004C766C">
        <w:rPr>
          <w:lang w:val="es-ES_tradnl"/>
        </w:rPr>
        <w:t xml:space="preserve">al margen </w:t>
      </w:r>
      <w:r w:rsidR="00C424E7">
        <w:rPr>
          <w:lang w:val="es-ES_tradnl"/>
        </w:rPr>
        <w:t>de</w:t>
      </w:r>
      <w:r w:rsidR="003A46A1" w:rsidRPr="00B25E57">
        <w:rPr>
          <w:lang w:val="es-ES_tradnl"/>
        </w:rPr>
        <w:t xml:space="preserve"> </w:t>
      </w:r>
      <w:r w:rsidR="00C424E7">
        <w:rPr>
          <w:lang w:val="es-ES_tradnl"/>
        </w:rPr>
        <w:t>que exista un</w:t>
      </w:r>
      <w:r w:rsidR="00C96F9C">
        <w:rPr>
          <w:lang w:val="es-ES_tradnl"/>
        </w:rPr>
        <w:t>a</w:t>
      </w:r>
      <w:r w:rsidR="003A46A1" w:rsidRPr="00B25E57">
        <w:rPr>
          <w:lang w:val="es-ES_tradnl"/>
        </w:rPr>
        <w:t xml:space="preserve"> </w:t>
      </w:r>
      <w:r w:rsidR="00C96F9C" w:rsidRPr="00C96F9C">
        <w:rPr>
          <w:lang w:val="es-ES_tradnl"/>
        </w:rPr>
        <w:t>certificación</w:t>
      </w:r>
      <w:r w:rsidR="00345E62" w:rsidRPr="00B25E57">
        <w:rPr>
          <w:lang w:val="es-ES_tradnl"/>
        </w:rPr>
        <w:t>,</w:t>
      </w:r>
      <w:r w:rsidR="003A46A1" w:rsidRPr="00B25E57">
        <w:rPr>
          <w:lang w:val="es-ES_tradnl"/>
        </w:rPr>
        <w:t xml:space="preserve"> </w:t>
      </w:r>
      <w:r w:rsidR="00A24B4B">
        <w:rPr>
          <w:lang w:val="es-ES_tradnl"/>
        </w:rPr>
        <w:t xml:space="preserve">lo que </w:t>
      </w:r>
      <w:r w:rsidR="00F0295E">
        <w:rPr>
          <w:lang w:val="es-ES_tradnl"/>
        </w:rPr>
        <w:t xml:space="preserve">podría </w:t>
      </w:r>
      <w:r w:rsidR="001661B0">
        <w:rPr>
          <w:lang w:val="es-ES_tradnl"/>
        </w:rPr>
        <w:t xml:space="preserve">comprometer seriamente </w:t>
      </w:r>
      <w:r w:rsidR="00274478">
        <w:rPr>
          <w:lang w:val="es-ES_tradnl"/>
        </w:rPr>
        <w:t xml:space="preserve">la capacidad del </w:t>
      </w:r>
      <w:r w:rsidR="00A9712C">
        <w:rPr>
          <w:lang w:val="es-ES_tradnl"/>
        </w:rPr>
        <w:t>Gobierno</w:t>
      </w:r>
      <w:r w:rsidR="003A46A1" w:rsidRPr="00B25E57">
        <w:rPr>
          <w:lang w:val="es-ES_tradnl"/>
        </w:rPr>
        <w:t xml:space="preserve"> </w:t>
      </w:r>
      <w:r w:rsidR="00A22483">
        <w:rPr>
          <w:lang w:val="es-ES_tradnl"/>
        </w:rPr>
        <w:t xml:space="preserve">de </w:t>
      </w:r>
      <w:r w:rsidR="00D1734B">
        <w:rPr>
          <w:lang w:val="es-ES_tradnl"/>
        </w:rPr>
        <w:t xml:space="preserve">garantizar el </w:t>
      </w:r>
      <w:r w:rsidR="00C81581">
        <w:rPr>
          <w:lang w:val="es-ES_tradnl"/>
        </w:rPr>
        <w:t xml:space="preserve">cumplimiento </w:t>
      </w:r>
      <w:r w:rsidR="00EA4305">
        <w:rPr>
          <w:lang w:val="es-ES_tradnl"/>
        </w:rPr>
        <w:t>de</w:t>
      </w:r>
      <w:r w:rsidR="0086686C">
        <w:rPr>
          <w:lang w:val="es-ES_tradnl"/>
        </w:rPr>
        <w:t xml:space="preserve"> </w:t>
      </w:r>
      <w:r w:rsidR="00D91302">
        <w:rPr>
          <w:lang w:val="es-ES_tradnl"/>
        </w:rPr>
        <w:t xml:space="preserve">las </w:t>
      </w:r>
      <w:r w:rsidR="007D7382" w:rsidRPr="00B25E57">
        <w:rPr>
          <w:lang w:val="es-ES_tradnl"/>
        </w:rPr>
        <w:t>obligaciones</w:t>
      </w:r>
      <w:r w:rsidR="003A46A1" w:rsidRPr="00B25E57">
        <w:rPr>
          <w:lang w:val="es-ES_tradnl"/>
        </w:rPr>
        <w:t xml:space="preserve"> </w:t>
      </w:r>
      <w:r w:rsidR="00B638F0">
        <w:rPr>
          <w:lang w:val="es-ES_tradnl"/>
        </w:rPr>
        <w:t xml:space="preserve">contraídas </w:t>
      </w:r>
      <w:r w:rsidR="005E38BE">
        <w:rPr>
          <w:lang w:val="es-ES_tradnl"/>
        </w:rPr>
        <w:t xml:space="preserve">en virtud del </w:t>
      </w:r>
      <w:r w:rsidR="00FB38C2" w:rsidRPr="00B25E57">
        <w:rPr>
          <w:lang w:val="es-ES_tradnl"/>
        </w:rPr>
        <w:t>Protocolo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Montreal</w:t>
      </w:r>
      <w:r w:rsidR="00345E62" w:rsidRPr="00B25E57">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AC3AE2">
        <w:rPr>
          <w:lang w:val="es-ES_tradnl"/>
        </w:rPr>
        <w:t>la planta</w:t>
      </w:r>
      <w:r w:rsidR="00B25E57">
        <w:rPr>
          <w:lang w:val="es-ES_tradnl"/>
        </w:rPr>
        <w:t xml:space="preserve"> de eliminación</w:t>
      </w:r>
      <w:r w:rsidR="003A46A1" w:rsidRPr="00B25E57">
        <w:rPr>
          <w:lang w:val="es-ES_tradnl"/>
        </w:rPr>
        <w:t xml:space="preserve"> </w:t>
      </w:r>
      <w:r w:rsidR="00B83DB4">
        <w:rPr>
          <w:lang w:val="es-ES_tradnl"/>
        </w:rPr>
        <w:t>podría lavar</w:t>
      </w:r>
      <w:r w:rsidR="003A46A1" w:rsidRPr="00B25E57">
        <w:rPr>
          <w:lang w:val="es-ES_tradnl"/>
        </w:rPr>
        <w:t xml:space="preserve"> </w:t>
      </w:r>
      <w:r w:rsidR="00157B75">
        <w:rPr>
          <w:lang w:val="es-ES_tradnl"/>
        </w:rPr>
        <w:t>el isotanque</w:t>
      </w:r>
      <w:r w:rsidR="003A46A1" w:rsidRPr="00B25E57">
        <w:rPr>
          <w:lang w:val="es-ES_tradnl"/>
        </w:rPr>
        <w:t xml:space="preserve"> </w:t>
      </w:r>
      <w:r w:rsidR="00B83DB4">
        <w:rPr>
          <w:lang w:val="es-ES_tradnl"/>
        </w:rPr>
        <w:t xml:space="preserve">pero no </w:t>
      </w:r>
      <w:r w:rsidR="008B5765">
        <w:rPr>
          <w:lang w:val="es-ES_tradnl"/>
        </w:rPr>
        <w:t xml:space="preserve">expedir una </w:t>
      </w:r>
      <w:r w:rsidR="008B5765" w:rsidRPr="008B5765">
        <w:rPr>
          <w:lang w:val="es-ES_tradnl"/>
        </w:rPr>
        <w:t>certificación</w:t>
      </w:r>
      <w:r w:rsidR="00345E62" w:rsidRPr="00B25E57">
        <w:rPr>
          <w:lang w:val="es-ES_tradnl"/>
        </w:rPr>
        <w:t>.</w:t>
      </w:r>
      <w:r w:rsidR="003A46A1" w:rsidRPr="00B25E57">
        <w:rPr>
          <w:lang w:val="es-ES_tradnl"/>
        </w:rPr>
        <w:t xml:space="preserve"> </w:t>
      </w:r>
      <w:r w:rsidR="00871F78">
        <w:rPr>
          <w:lang w:val="es-ES_tradnl"/>
        </w:rPr>
        <w:t xml:space="preserve">Al cierre </w:t>
      </w:r>
      <w:r w:rsidR="004057BA" w:rsidRPr="00B25E57">
        <w:rPr>
          <w:lang w:val="es-ES_tradnl"/>
        </w:rPr>
        <w:t>del</w:t>
      </w:r>
      <w:r w:rsidR="003A46A1" w:rsidRPr="00B25E57">
        <w:rPr>
          <w:lang w:val="es-ES_tradnl"/>
        </w:rPr>
        <w:t xml:space="preserve"> </w:t>
      </w:r>
      <w:r w:rsidR="00871F78">
        <w:rPr>
          <w:lang w:val="es-ES_tradnl"/>
        </w:rPr>
        <w:t>presente</w:t>
      </w:r>
      <w:r w:rsidR="003A46A1" w:rsidRPr="00B25E57">
        <w:rPr>
          <w:lang w:val="es-ES_tradnl"/>
        </w:rPr>
        <w:t xml:space="preserve"> </w:t>
      </w:r>
      <w:r w:rsidR="007B22B4" w:rsidRPr="00B25E57">
        <w:rPr>
          <w:lang w:val="es-ES_tradnl"/>
        </w:rPr>
        <w:t>documento</w:t>
      </w:r>
      <w:r w:rsidR="003A46A1" w:rsidRPr="00B25E57">
        <w:rPr>
          <w:lang w:val="es-ES_tradnl"/>
        </w:rPr>
        <w:t xml:space="preserve"> </w:t>
      </w:r>
      <w:r w:rsidR="00871F78">
        <w:rPr>
          <w:lang w:val="es-ES_tradnl"/>
        </w:rPr>
        <w:t>no estaba claro</w:t>
      </w:r>
      <w:r w:rsidR="003A46A1" w:rsidRPr="00B25E57">
        <w:rPr>
          <w:lang w:val="es-ES_tradnl"/>
        </w:rPr>
        <w:t xml:space="preserve"> </w:t>
      </w:r>
      <w:r w:rsidR="00871F78">
        <w:rPr>
          <w:lang w:val="es-ES_tradnl"/>
        </w:rPr>
        <w:t xml:space="preserve">si </w:t>
      </w:r>
      <w:r w:rsidR="00C24586">
        <w:rPr>
          <w:lang w:val="es-ES_tradnl"/>
        </w:rPr>
        <w:t xml:space="preserve">alguna </w:t>
      </w:r>
      <w:r w:rsidR="005F5F20">
        <w:rPr>
          <w:lang w:val="es-ES_tradnl"/>
        </w:rPr>
        <w:t xml:space="preserve">otra </w:t>
      </w:r>
      <w:r w:rsidR="00E219A7">
        <w:rPr>
          <w:lang w:val="es-ES_tradnl"/>
        </w:rPr>
        <w:t>entidad independiente</w:t>
      </w:r>
      <w:r w:rsidR="003A46A1" w:rsidRPr="00B25E57">
        <w:rPr>
          <w:lang w:val="es-ES_tradnl"/>
        </w:rPr>
        <w:t xml:space="preserve"> </w:t>
      </w:r>
      <w:r w:rsidR="00C24586">
        <w:rPr>
          <w:lang w:val="es-ES_tradnl"/>
        </w:rPr>
        <w:t xml:space="preserve">podría emitir </w:t>
      </w:r>
      <w:r w:rsidR="004122A9">
        <w:rPr>
          <w:lang w:val="es-ES_tradnl"/>
        </w:rPr>
        <w:t xml:space="preserve">tal </w:t>
      </w:r>
      <w:r w:rsidR="00847B93" w:rsidRPr="00847B93">
        <w:rPr>
          <w:lang w:val="es-ES_tradnl"/>
        </w:rPr>
        <w:t>certificación</w:t>
      </w:r>
      <w:r w:rsidR="004122A9">
        <w:rPr>
          <w:lang w:val="es-ES_tradnl"/>
        </w:rPr>
        <w:t xml:space="preserve">, </w:t>
      </w:r>
      <w:r w:rsidR="00FB38C2" w:rsidRPr="00B25E57">
        <w:rPr>
          <w:lang w:val="es-ES_tradnl"/>
        </w:rPr>
        <w:t>y</w:t>
      </w:r>
      <w:r w:rsidR="003A46A1" w:rsidRPr="00B25E57">
        <w:rPr>
          <w:lang w:val="es-ES_tradnl"/>
        </w:rPr>
        <w:t xml:space="preserve"> </w:t>
      </w:r>
      <w:r w:rsidR="00F942C6" w:rsidRPr="00B25E57">
        <w:rPr>
          <w:lang w:val="es-ES_tradnl"/>
        </w:rPr>
        <w:t>de ser así,</w:t>
      </w:r>
      <w:r w:rsidR="003A46A1" w:rsidRPr="00B25E57">
        <w:rPr>
          <w:lang w:val="es-ES_tradnl"/>
        </w:rPr>
        <w:t xml:space="preserve"> </w:t>
      </w:r>
      <w:r w:rsidR="004122A9">
        <w:rPr>
          <w:lang w:val="es-ES_tradnl"/>
        </w:rPr>
        <w:t>a qué costo</w:t>
      </w:r>
      <w:r w:rsidR="00345E62" w:rsidRPr="00B25E57">
        <w:rPr>
          <w:lang w:val="es-ES_tradnl"/>
        </w:rPr>
        <w:t>.</w:t>
      </w:r>
    </w:p>
    <w:p w14:paraId="6A94FBAD" w14:textId="69A52710" w:rsidR="00345E62" w:rsidRPr="00B25E57" w:rsidRDefault="008A3316" w:rsidP="00345E62">
      <w:pPr>
        <w:pStyle w:val="Heading1"/>
        <w:rPr>
          <w:lang w:val="es-ES_tradnl"/>
        </w:rPr>
      </w:pPr>
      <w:r w:rsidRPr="00B25E57">
        <w:rPr>
          <w:lang w:val="es-ES_tradnl"/>
        </w:rPr>
        <w:t>En</w:t>
      </w:r>
      <w:r w:rsidR="003A46A1" w:rsidRPr="00B25E57">
        <w:rPr>
          <w:lang w:val="es-ES_tradnl"/>
        </w:rPr>
        <w:t xml:space="preserve"> </w:t>
      </w:r>
      <w:r w:rsidRPr="00B25E57">
        <w:rPr>
          <w:lang w:val="es-ES_tradnl"/>
        </w:rPr>
        <w:t>cuanto</w:t>
      </w:r>
      <w:r w:rsidR="003A46A1" w:rsidRPr="00B25E57">
        <w:rPr>
          <w:lang w:val="es-ES_tradnl"/>
        </w:rPr>
        <w:t xml:space="preserve"> </w:t>
      </w:r>
      <w:r w:rsidRPr="00B25E57">
        <w:rPr>
          <w:lang w:val="es-ES_tradnl"/>
        </w:rPr>
        <w:t>a</w:t>
      </w:r>
      <w:r w:rsidR="003A46A1" w:rsidRPr="00B25E57">
        <w:rPr>
          <w:lang w:val="es-ES_tradnl"/>
        </w:rPr>
        <w:t xml:space="preserve"> </w:t>
      </w:r>
      <w:r w:rsidR="000F075F">
        <w:rPr>
          <w:lang w:val="es-ES_tradnl"/>
        </w:rPr>
        <w:t>lo segundo</w:t>
      </w:r>
      <w:r w:rsidR="00345E62"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4057BA" w:rsidRPr="00B25E57">
        <w:rPr>
          <w:lang w:val="es-ES_tradnl"/>
        </w:rPr>
        <w:t>aclaró</w:t>
      </w:r>
      <w:r w:rsidR="003A46A1" w:rsidRPr="00B25E57">
        <w:rPr>
          <w:lang w:val="es-ES_tradnl"/>
        </w:rPr>
        <w:t xml:space="preserve"> </w:t>
      </w:r>
      <w:r w:rsidR="004057BA" w:rsidRPr="00B25E57">
        <w:rPr>
          <w:lang w:val="es-ES_tradnl"/>
        </w:rPr>
        <w:t>que</w:t>
      </w:r>
      <w:r w:rsidR="003A46A1" w:rsidRPr="00B25E57">
        <w:rPr>
          <w:lang w:val="es-ES_tradnl"/>
        </w:rPr>
        <w:t xml:space="preserve"> </w:t>
      </w:r>
      <w:r w:rsidR="004512EA" w:rsidRPr="00B25E57">
        <w:rPr>
          <w:lang w:val="es-ES_tradnl"/>
        </w:rPr>
        <w:t>la</w:t>
      </w:r>
      <w:r w:rsidR="003A46A1" w:rsidRPr="00B25E57">
        <w:rPr>
          <w:lang w:val="es-ES_tradnl"/>
        </w:rPr>
        <w:t xml:space="preserve"> </w:t>
      </w:r>
      <w:r w:rsidR="004512EA" w:rsidRPr="00B25E57">
        <w:rPr>
          <w:lang w:val="es-ES_tradnl"/>
        </w:rPr>
        <w:t>flexibilidad</w:t>
      </w:r>
      <w:r w:rsidR="003A46A1" w:rsidRPr="00B25E57">
        <w:rPr>
          <w:lang w:val="es-ES_tradnl"/>
        </w:rPr>
        <w:t xml:space="preserve"> </w:t>
      </w:r>
      <w:r w:rsidR="00F66340">
        <w:rPr>
          <w:lang w:val="es-ES_tradnl"/>
        </w:rPr>
        <w:t>que se entrega</w:t>
      </w:r>
      <w:r w:rsidR="003A46A1" w:rsidRPr="00B25E57">
        <w:rPr>
          <w:lang w:val="es-ES_tradnl"/>
        </w:rPr>
        <w:t xml:space="preserve"> </w:t>
      </w:r>
      <w:r w:rsidR="008C4D60">
        <w:rPr>
          <w:lang w:val="es-ES_tradnl"/>
        </w:rPr>
        <w:t xml:space="preserve">se entiende </w:t>
      </w:r>
      <w:r w:rsidR="000844A6">
        <w:rPr>
          <w:lang w:val="es-ES_tradnl"/>
        </w:rPr>
        <w:t xml:space="preserve">como la exigencia de </w:t>
      </w:r>
      <w:r w:rsidR="00552B82">
        <w:rPr>
          <w:lang w:val="es-ES_tradnl"/>
        </w:rPr>
        <w:t xml:space="preserve">más </w:t>
      </w:r>
      <w:r w:rsidR="00345E62" w:rsidRPr="00B25E57">
        <w:rPr>
          <w:lang w:val="es-ES_tradnl"/>
        </w:rPr>
        <w:t>control</w:t>
      </w:r>
      <w:r w:rsidR="00552B82">
        <w:rPr>
          <w:lang w:val="es-ES_tradnl"/>
        </w:rPr>
        <w:t xml:space="preserve"> y </w:t>
      </w:r>
      <w:r w:rsidR="000844A6">
        <w:rPr>
          <w:lang w:val="es-ES_tradnl"/>
        </w:rPr>
        <w:t xml:space="preserve">no de menos,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147277" w:rsidRPr="00B25E57">
        <w:rPr>
          <w:lang w:val="es-ES_tradnl"/>
        </w:rPr>
        <w:t>el</w:t>
      </w:r>
      <w:r w:rsidR="003A46A1" w:rsidRPr="00B25E57">
        <w:rPr>
          <w:lang w:val="es-ES_tradnl"/>
        </w:rPr>
        <w:t xml:space="preserve"> </w:t>
      </w:r>
      <w:r w:rsidR="00147277" w:rsidRPr="00B25E57">
        <w:rPr>
          <w:lang w:val="es-ES_tradnl"/>
        </w:rPr>
        <w:t>objetivo</w:t>
      </w:r>
      <w:r w:rsidR="003A46A1" w:rsidRPr="00B25E57">
        <w:rPr>
          <w:lang w:val="es-ES_tradnl"/>
        </w:rPr>
        <w:t xml:space="preserve"> </w:t>
      </w:r>
      <w:r w:rsidR="003B55E3">
        <w:rPr>
          <w:lang w:val="es-ES_tradnl"/>
        </w:rPr>
        <w:t>de la l</w:t>
      </w:r>
      <w:r w:rsidR="00781542">
        <w:rPr>
          <w:lang w:val="es-ES_tradnl"/>
        </w:rPr>
        <w:t>ey</w:t>
      </w:r>
      <w:r w:rsidR="003A46A1" w:rsidRPr="00B25E57">
        <w:rPr>
          <w:lang w:val="es-ES_tradnl"/>
        </w:rPr>
        <w:t xml:space="preserve"> </w:t>
      </w:r>
      <w:r w:rsidR="00866E4E">
        <w:rPr>
          <w:lang w:val="es-ES_tradnl"/>
        </w:rPr>
        <w:t>es</w:t>
      </w:r>
      <w:r w:rsidR="003A46A1" w:rsidRPr="00B25E57">
        <w:rPr>
          <w:lang w:val="es-ES_tradnl"/>
        </w:rPr>
        <w:t xml:space="preserve"> </w:t>
      </w:r>
      <w:r w:rsidR="00CA6312">
        <w:rPr>
          <w:lang w:val="es-ES_tradnl"/>
        </w:rPr>
        <w:t>relevante</w:t>
      </w:r>
      <w:r w:rsidR="00345E62" w:rsidRPr="00B25E57">
        <w:rPr>
          <w:lang w:val="es-ES_tradnl"/>
        </w:rPr>
        <w:t>.</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345E62" w:rsidRPr="00B25E57">
        <w:rPr>
          <w:lang w:val="es-ES_tradnl"/>
        </w:rPr>
        <w:t>particular,</w:t>
      </w:r>
      <w:r w:rsidR="003A46A1" w:rsidRPr="00B25E57">
        <w:rPr>
          <w:lang w:val="es-ES_tradnl"/>
        </w:rPr>
        <w:t xml:space="preserve"> </w:t>
      </w:r>
      <w:r w:rsidR="004512EA" w:rsidRPr="00B25E57">
        <w:rPr>
          <w:lang w:val="es-ES_tradnl"/>
        </w:rPr>
        <w:t>la</w:t>
      </w:r>
      <w:r w:rsidR="003A46A1" w:rsidRPr="00B25E57">
        <w:rPr>
          <w:lang w:val="es-ES_tradnl"/>
        </w:rPr>
        <w:t xml:space="preserve"> </w:t>
      </w:r>
      <w:r w:rsidR="004512EA" w:rsidRPr="00B25E57">
        <w:rPr>
          <w:lang w:val="es-ES_tradnl"/>
        </w:rPr>
        <w:lastRenderedPageBreak/>
        <w:t>flexibilidad</w:t>
      </w:r>
      <w:r w:rsidR="003A46A1" w:rsidRPr="00B25E57">
        <w:rPr>
          <w:lang w:val="es-ES_tradnl"/>
        </w:rPr>
        <w:t xml:space="preserve"> </w:t>
      </w:r>
      <w:r w:rsidR="00866E4E">
        <w:rPr>
          <w:lang w:val="es-ES_tradnl"/>
        </w:rPr>
        <w:t>que concede el Decreto</w:t>
      </w:r>
      <w:r w:rsidR="003A46A1" w:rsidRPr="00B25E57">
        <w:rPr>
          <w:lang w:val="es-ES_tradnl"/>
        </w:rPr>
        <w:t xml:space="preserve"> </w:t>
      </w:r>
      <w:r w:rsidR="0045149F">
        <w:rPr>
          <w:lang w:val="es-ES_tradnl"/>
        </w:rPr>
        <w:t xml:space="preserve">no se podría </w:t>
      </w:r>
      <w:r w:rsidR="00245156">
        <w:rPr>
          <w:lang w:val="es-ES_tradnl"/>
        </w:rPr>
        <w:t xml:space="preserve">utilizar para fines distintos </w:t>
      </w:r>
      <w:r w:rsidR="004C52B3">
        <w:rPr>
          <w:lang w:val="es-ES_tradnl"/>
        </w:rPr>
        <w:t xml:space="preserve">a </w:t>
      </w:r>
      <w:r w:rsidR="00B25E57">
        <w:rPr>
          <w:lang w:val="es-ES_tradnl"/>
        </w:rPr>
        <w:t>la gestión de</w:t>
      </w:r>
      <w:r w:rsidR="003A46A1" w:rsidRPr="00B25E57">
        <w:rPr>
          <w:lang w:val="es-ES_tradnl"/>
        </w:rPr>
        <w:t xml:space="preserve"> </w:t>
      </w:r>
      <w:r w:rsidR="005B44B1">
        <w:rPr>
          <w:lang w:val="es-ES_tradnl"/>
        </w:rPr>
        <w:t>residuos peligrosos</w:t>
      </w:r>
      <w:r w:rsidR="00601DB1">
        <w:rPr>
          <w:lang w:val="es-ES_tradnl"/>
        </w:rPr>
        <w:t>, dado que e</w:t>
      </w:r>
      <w:r w:rsidR="00011771">
        <w:rPr>
          <w:lang w:val="es-ES_tradnl"/>
        </w:rPr>
        <w:t xml:space="preserve">sta norma jurídica </w:t>
      </w:r>
      <w:r w:rsidR="0032646A">
        <w:rPr>
          <w:lang w:val="es-ES_tradnl"/>
        </w:rPr>
        <w:t xml:space="preserve">no </w:t>
      </w:r>
      <w:r w:rsidR="00153EC0">
        <w:rPr>
          <w:lang w:val="es-ES_tradnl"/>
        </w:rPr>
        <w:t xml:space="preserve">cubre el </w:t>
      </w:r>
      <w:r w:rsidR="002C7306">
        <w:rPr>
          <w:lang w:val="es-ES_tradnl"/>
        </w:rPr>
        <w:t>c</w:t>
      </w:r>
      <w:r w:rsidR="007D7382" w:rsidRPr="00B25E57">
        <w:rPr>
          <w:lang w:val="es-ES_tradnl"/>
        </w:rPr>
        <w:t>ambio</w:t>
      </w:r>
      <w:r w:rsidR="003A46A1" w:rsidRPr="00B25E57">
        <w:rPr>
          <w:lang w:val="es-ES_tradnl"/>
        </w:rPr>
        <w:t xml:space="preserve"> </w:t>
      </w:r>
      <w:r w:rsidR="007D7382" w:rsidRPr="00B25E57">
        <w:rPr>
          <w:lang w:val="es-ES_tradnl"/>
        </w:rPr>
        <w:t>climático</w:t>
      </w:r>
      <w:r w:rsidR="00345E62" w:rsidRPr="00B25E57">
        <w:rPr>
          <w:lang w:val="es-ES_tradnl"/>
        </w:rPr>
        <w:t>.</w:t>
      </w:r>
    </w:p>
    <w:p w14:paraId="66F5ACA4" w14:textId="1825C22C" w:rsidR="007B22B4" w:rsidRPr="00B25E57" w:rsidRDefault="004241C5" w:rsidP="00DA6338">
      <w:pPr>
        <w:pStyle w:val="Heading1"/>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485540">
        <w:rPr>
          <w:lang w:val="es-ES_tradnl"/>
        </w:rPr>
        <w:t>pidió</w:t>
      </w:r>
      <w:r w:rsidR="003A46A1" w:rsidRPr="00B25E57">
        <w:rPr>
          <w:lang w:val="es-ES_tradnl"/>
        </w:rPr>
        <w:t xml:space="preserve"> </w:t>
      </w:r>
      <w:r w:rsidR="00485540">
        <w:rPr>
          <w:lang w:val="es-ES_tradnl"/>
        </w:rPr>
        <w:t>aclarar</w:t>
      </w:r>
      <w:r w:rsidR="003A46A1" w:rsidRPr="00B25E57">
        <w:rPr>
          <w:lang w:val="es-ES_tradnl"/>
        </w:rPr>
        <w:t xml:space="preserve"> </w:t>
      </w:r>
      <w:r w:rsidR="00D82466">
        <w:rPr>
          <w:lang w:val="es-ES_tradnl"/>
        </w:rPr>
        <w:t xml:space="preserve">por qué </w:t>
      </w:r>
      <w:r w:rsidR="00F464C1">
        <w:rPr>
          <w:lang w:val="es-ES_tradnl"/>
        </w:rPr>
        <w:t>el</w:t>
      </w:r>
      <w:r w:rsidR="00286045">
        <w:rPr>
          <w:lang w:val="es-ES_tradnl"/>
        </w:rPr>
        <w:t xml:space="preserve"> </w:t>
      </w:r>
      <w:r w:rsidR="00F464C1">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B25E57">
        <w:rPr>
          <w:lang w:val="es-ES_tradnl"/>
        </w:rPr>
        <w:t>incineración</w:t>
      </w:r>
      <w:r w:rsidR="003A46A1" w:rsidRPr="00B25E57">
        <w:rPr>
          <w:lang w:val="es-ES_tradnl"/>
        </w:rPr>
        <w:t xml:space="preserve"> </w:t>
      </w:r>
      <w:r w:rsidR="00EA7D84">
        <w:rPr>
          <w:lang w:val="es-ES_tradnl"/>
        </w:rPr>
        <w:t xml:space="preserve">en </w:t>
      </w:r>
      <w:r w:rsidR="00EA7D84" w:rsidRPr="00EA7D84">
        <w:rPr>
          <w:lang w:val="es-ES_tradnl"/>
        </w:rPr>
        <w:t>horno</w:t>
      </w:r>
      <w:r w:rsidR="00EA7D84">
        <w:rPr>
          <w:lang w:val="es-ES_tradnl"/>
        </w:rPr>
        <w:t>s</w:t>
      </w:r>
      <w:r w:rsidR="00EA7D84" w:rsidRPr="00EA7D84">
        <w:rPr>
          <w:lang w:val="es-ES_tradnl"/>
        </w:rPr>
        <w:t xml:space="preserve"> rotativos emplazados en Europa </w:t>
      </w:r>
      <w:r w:rsidR="00C37C63" w:rsidRPr="00B25E57">
        <w:rPr>
          <w:lang w:val="es-ES_tradnl"/>
        </w:rPr>
        <w:t>(</w:t>
      </w:r>
      <w:r w:rsidR="00BB69D9">
        <w:rPr>
          <w:lang w:val="es-ES_tradnl"/>
        </w:rPr>
        <w:t>5,</w:t>
      </w:r>
      <w:r w:rsidR="00C37C63" w:rsidRPr="00B25E57">
        <w:rPr>
          <w:lang w:val="es-ES_tradnl"/>
        </w:rPr>
        <w:t>59</w:t>
      </w:r>
      <w:r w:rsidR="000323F1">
        <w:rPr>
          <w:lang w:val="es-ES_tradnl"/>
        </w:rPr>
        <w:t xml:space="preserve"> </w:t>
      </w:r>
      <w:r w:rsidR="000323F1" w:rsidRPr="000323F1">
        <w:rPr>
          <w:lang w:val="es-ES_tradnl"/>
        </w:rPr>
        <w:t>$EUA</w:t>
      </w:r>
      <w:r w:rsidR="00C37C63" w:rsidRPr="00B25E57">
        <w:rPr>
          <w:lang w:val="es-ES_tradnl"/>
        </w:rPr>
        <w:t>/kg)</w:t>
      </w:r>
      <w:r w:rsidR="003A46A1" w:rsidRPr="00B25E57">
        <w:rPr>
          <w:lang w:val="es-ES_tradnl"/>
        </w:rPr>
        <w:t xml:space="preserve"> </w:t>
      </w:r>
      <w:r w:rsidR="00F464C1">
        <w:rPr>
          <w:lang w:val="es-ES_tradnl"/>
        </w:rPr>
        <w:t>era</w:t>
      </w:r>
      <w:r w:rsidR="005544A6">
        <w:rPr>
          <w:lang w:val="es-ES_tradnl"/>
        </w:rPr>
        <w:t xml:space="preserve"> </w:t>
      </w:r>
      <w:r w:rsidR="00F464C1">
        <w:rPr>
          <w:lang w:val="es-ES_tradnl"/>
        </w:rPr>
        <w:t>mayor</w:t>
      </w:r>
      <w:r w:rsidR="00286045">
        <w:rPr>
          <w:lang w:val="es-ES_tradnl"/>
        </w:rPr>
        <w:t xml:space="preserve"> a la cifra de </w:t>
      </w:r>
      <w:r w:rsidR="00C37C63" w:rsidRPr="00B25E57">
        <w:rPr>
          <w:lang w:val="es-ES_tradnl"/>
        </w:rPr>
        <w:t>2</w:t>
      </w:r>
      <w:r w:rsidR="00BB69D9">
        <w:rPr>
          <w:lang w:val="es-ES_tradnl"/>
        </w:rPr>
        <w:t>,</w:t>
      </w:r>
      <w:r w:rsidR="00C37C63" w:rsidRPr="00B25E57">
        <w:rPr>
          <w:lang w:val="es-ES_tradnl"/>
        </w:rPr>
        <w:t>45</w:t>
      </w:r>
      <w:r w:rsidR="00DE0125">
        <w:rPr>
          <w:lang w:val="es-ES_tradnl"/>
        </w:rPr>
        <w:t xml:space="preserve"> </w:t>
      </w:r>
      <w:r w:rsidR="00DE0125" w:rsidRPr="00DE0125">
        <w:rPr>
          <w:lang w:val="es-ES_tradnl"/>
        </w:rPr>
        <w:t>$EUA</w:t>
      </w:r>
      <w:r w:rsidR="00C37C63" w:rsidRPr="00B25E57">
        <w:rPr>
          <w:lang w:val="es-ES_tradnl"/>
        </w:rPr>
        <w:t>/kg</w:t>
      </w:r>
      <w:r w:rsidR="003A46A1" w:rsidRPr="00B25E57">
        <w:rPr>
          <w:lang w:val="es-ES_tradnl"/>
        </w:rPr>
        <w:t xml:space="preserve"> </w:t>
      </w:r>
      <w:r w:rsidR="004F6240">
        <w:rPr>
          <w:lang w:val="es-ES_tradnl"/>
        </w:rPr>
        <w:t xml:space="preserve">anteriormente </w:t>
      </w:r>
      <w:r w:rsidR="0080575F">
        <w:rPr>
          <w:lang w:val="es-ES_tradnl"/>
        </w:rPr>
        <w:t xml:space="preserve">informada </w:t>
      </w:r>
      <w:r w:rsidR="00F942C6"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C37C63" w:rsidRPr="00B25E57">
        <w:rPr>
          <w:lang w:val="es-ES_tradnl"/>
        </w:rPr>
        <w:t>.</w:t>
      </w:r>
      <w:r w:rsidR="00C37C63" w:rsidRPr="00B25E57">
        <w:rPr>
          <w:rStyle w:val="FootnoteReference"/>
          <w:lang w:val="es-ES_tradnl"/>
        </w:rPr>
        <w:footnoteReference w:id="20"/>
      </w:r>
      <w:r w:rsidR="003A46A1" w:rsidRPr="00B25E57">
        <w:rPr>
          <w:lang w:val="es-ES_tradnl"/>
        </w:rPr>
        <w:t xml:space="preserve"> </w:t>
      </w:r>
      <w:r w:rsidR="007A4EF3" w:rsidRPr="00B25E57">
        <w:rPr>
          <w:lang w:val="es-ES_tradnl"/>
        </w:rPr>
        <w:t>L</w:t>
      </w:r>
      <w:r w:rsidR="00FB38C2" w:rsidRPr="00B25E57">
        <w:rPr>
          <w:lang w:val="es-ES_tradnl"/>
        </w:rPr>
        <w:t>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CA531F">
        <w:rPr>
          <w:lang w:val="es-ES_tradnl"/>
        </w:rPr>
        <w:t>respondió</w:t>
      </w:r>
      <w:r w:rsidR="00D449E0">
        <w:rPr>
          <w:lang w:val="es-ES_tradnl"/>
        </w:rPr>
        <w:t xml:space="preserve"> que </w:t>
      </w:r>
      <w:r w:rsidR="00A4343B" w:rsidRPr="00B25E57">
        <w:rPr>
          <w:lang w:val="es-ES_tradnl"/>
        </w:rPr>
        <w:t>algunos</w:t>
      </w:r>
      <w:r w:rsidR="003A46A1" w:rsidRPr="00B25E57">
        <w:rPr>
          <w:lang w:val="es-ES_tradnl"/>
        </w:rPr>
        <w:t xml:space="preserve"> </w:t>
      </w:r>
      <w:r w:rsidR="00A4343B" w:rsidRPr="00B25E57">
        <w:rPr>
          <w:lang w:val="es-ES_tradnl"/>
        </w:rPr>
        <w:t>países</w:t>
      </w:r>
      <w:r w:rsidR="003A46A1" w:rsidRPr="00B25E57">
        <w:rPr>
          <w:lang w:val="es-ES_tradnl"/>
        </w:rPr>
        <w:t xml:space="preserve"> </w:t>
      </w:r>
      <w:r w:rsidR="00997405">
        <w:rPr>
          <w:lang w:val="es-ES_tradnl"/>
        </w:rPr>
        <w:t xml:space="preserve">europeos </w:t>
      </w:r>
      <w:r w:rsidR="00C37C63" w:rsidRPr="00B25E57">
        <w:rPr>
          <w:lang w:val="es-ES_tradnl"/>
        </w:rPr>
        <w:t>(</w:t>
      </w:r>
      <w:r w:rsidR="004057BA" w:rsidRPr="00B25E57">
        <w:rPr>
          <w:lang w:val="es-ES_tradnl"/>
        </w:rPr>
        <w:t>p.</w:t>
      </w:r>
      <w:r w:rsidR="003A46A1" w:rsidRPr="00B25E57">
        <w:rPr>
          <w:lang w:val="es-ES_tradnl"/>
        </w:rPr>
        <w:t xml:space="preserve"> </w:t>
      </w:r>
      <w:r w:rsidR="004057BA" w:rsidRPr="00B25E57">
        <w:rPr>
          <w:lang w:val="es-ES_tradnl"/>
        </w:rPr>
        <w:t>ej.</w:t>
      </w:r>
      <w:r w:rsidR="00F33C58" w:rsidRPr="00B25E57">
        <w:rPr>
          <w:lang w:val="es-ES_tradnl"/>
        </w:rPr>
        <w:t>,</w:t>
      </w:r>
      <w:r w:rsidR="003A46A1" w:rsidRPr="00B25E57">
        <w:rPr>
          <w:lang w:val="es-ES_tradnl"/>
        </w:rPr>
        <w:t xml:space="preserve"> </w:t>
      </w:r>
      <w:r w:rsidR="00E22238" w:rsidRPr="00B25E57">
        <w:rPr>
          <w:lang w:val="es-ES_tradnl"/>
        </w:rPr>
        <w:t>Polonia</w:t>
      </w:r>
      <w:r w:rsidR="00C37C63" w:rsidRPr="00B25E57">
        <w:rPr>
          <w:lang w:val="es-ES_tradnl"/>
        </w:rPr>
        <w:t>)</w:t>
      </w:r>
      <w:r w:rsidR="003A46A1" w:rsidRPr="00B25E57">
        <w:rPr>
          <w:lang w:val="es-ES_tradnl"/>
        </w:rPr>
        <w:t xml:space="preserve"> </w:t>
      </w:r>
      <w:r w:rsidR="00850C5F">
        <w:rPr>
          <w:lang w:val="es-ES_tradnl"/>
        </w:rPr>
        <w:t xml:space="preserve">ya no permiten </w:t>
      </w:r>
      <w:r w:rsidR="00F33C58" w:rsidRPr="00B25E57">
        <w:rPr>
          <w:lang w:val="es-ES_tradnl"/>
        </w:rPr>
        <w:t>la</w:t>
      </w:r>
      <w:r w:rsidR="003A46A1" w:rsidRPr="00B25E57">
        <w:rPr>
          <w:lang w:val="es-ES_tradnl"/>
        </w:rPr>
        <w:t xml:space="preserve"> </w:t>
      </w:r>
      <w:r w:rsidR="00F33C58" w:rsidRPr="00B25E57">
        <w:rPr>
          <w:lang w:val="es-ES_tradnl"/>
        </w:rPr>
        <w:t>importación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5B44B1">
        <w:rPr>
          <w:lang w:val="es-ES_tradnl"/>
        </w:rPr>
        <w:t>residuos peligrosos</w:t>
      </w:r>
      <w:r w:rsidR="003A46A1" w:rsidRPr="00B25E57">
        <w:rPr>
          <w:lang w:val="es-ES_tradnl"/>
        </w:rPr>
        <w:t xml:space="preserve"> </w:t>
      </w:r>
      <w:r w:rsidR="00DF4FF4">
        <w:rPr>
          <w:lang w:val="es-ES_tradnl"/>
        </w:rPr>
        <w:t xml:space="preserve">para </w:t>
      </w:r>
      <w:r w:rsidR="00A81580">
        <w:rPr>
          <w:lang w:val="es-ES_tradnl"/>
        </w:rPr>
        <w:t xml:space="preserve">su </w:t>
      </w:r>
      <w:r w:rsidR="00DF4FF4">
        <w:rPr>
          <w:lang w:val="es-ES_tradnl"/>
        </w:rPr>
        <w:t>destrucción</w:t>
      </w:r>
      <w:r w:rsidR="00006F3D">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9A6BBF">
        <w:rPr>
          <w:lang w:val="es-ES_tradnl"/>
        </w:rPr>
        <w:t xml:space="preserve">las plantas </w:t>
      </w:r>
      <w:r w:rsidR="001F2F99" w:rsidRPr="001F2F99">
        <w:rPr>
          <w:lang w:val="es-ES_tradnl"/>
        </w:rPr>
        <w:t xml:space="preserve">europeas </w:t>
      </w:r>
      <w:r w:rsidR="009A6BBF">
        <w:rPr>
          <w:lang w:val="es-ES_tradnl"/>
        </w:rPr>
        <w:t>de destrucción de residuos peligrosos</w:t>
      </w:r>
      <w:r w:rsidR="003A46A1" w:rsidRPr="00B25E57">
        <w:rPr>
          <w:lang w:val="es-ES_tradnl"/>
        </w:rPr>
        <w:t xml:space="preserve"> </w:t>
      </w:r>
      <w:r w:rsidR="00103209">
        <w:rPr>
          <w:lang w:val="es-ES_tradnl"/>
        </w:rPr>
        <w:t xml:space="preserve">parecen estar operando a </w:t>
      </w:r>
      <w:r w:rsidR="0044393C">
        <w:rPr>
          <w:lang w:val="es-ES_tradnl"/>
        </w:rPr>
        <w:t xml:space="preserve">una </w:t>
      </w:r>
      <w:r w:rsidR="0044393C" w:rsidRPr="0044393C">
        <w:rPr>
          <w:lang w:val="es-ES_tradnl"/>
        </w:rPr>
        <w:t xml:space="preserve">capacidad </w:t>
      </w:r>
      <w:r w:rsidR="007741E6">
        <w:rPr>
          <w:lang w:val="es-ES_tradnl"/>
        </w:rPr>
        <w:t xml:space="preserve">cercana al máximo, por lo </w:t>
      </w:r>
      <w:r w:rsidR="0044393C">
        <w:rPr>
          <w:lang w:val="es-ES_tradnl"/>
        </w:rPr>
        <w:t>que</w:t>
      </w:r>
      <w:r w:rsidR="00103209">
        <w:rPr>
          <w:lang w:val="es-ES_tradnl"/>
        </w:rPr>
        <w:t xml:space="preserve"> </w:t>
      </w:r>
      <w:r w:rsidR="00D40343">
        <w:rPr>
          <w:lang w:val="es-ES_tradnl"/>
        </w:rPr>
        <w:t xml:space="preserve">no era fácil encontrar </w:t>
      </w:r>
      <w:r w:rsidR="00C12D8E">
        <w:rPr>
          <w:lang w:val="es-ES_tradnl"/>
        </w:rPr>
        <w:t xml:space="preserve">plantas </w:t>
      </w:r>
      <w:r w:rsidR="00DC4711">
        <w:rPr>
          <w:lang w:val="es-ES_tradnl"/>
        </w:rPr>
        <w:t xml:space="preserve">interesadas en </w:t>
      </w:r>
      <w:r w:rsidR="00004775">
        <w:rPr>
          <w:lang w:val="es-ES_tradnl"/>
        </w:rPr>
        <w:t xml:space="preserve">licitar </w:t>
      </w:r>
      <w:r w:rsidR="00877436">
        <w:rPr>
          <w:lang w:val="es-ES_tradnl"/>
        </w:rPr>
        <w:t xml:space="preserve">la </w:t>
      </w:r>
      <w:r w:rsidR="00856B70">
        <w:rPr>
          <w:lang w:val="es-ES_tradnl"/>
        </w:rPr>
        <w:t>destrucción</w:t>
      </w:r>
      <w:r w:rsidR="003A46A1" w:rsidRPr="00B25E57">
        <w:rPr>
          <w:lang w:val="es-ES_tradnl"/>
        </w:rPr>
        <w:t xml:space="preserve"> </w:t>
      </w:r>
      <w:r w:rsidR="00FB38C2" w:rsidRPr="00B25E57">
        <w:rPr>
          <w:lang w:val="es-ES_tradnl"/>
        </w:rPr>
        <w:t>de</w:t>
      </w:r>
      <w:r w:rsidR="005618C2">
        <w:rPr>
          <w:lang w:val="es-ES_tradnl"/>
        </w:rPr>
        <w:t>l</w:t>
      </w:r>
      <w:r w:rsidR="003A46A1" w:rsidRPr="00B25E57">
        <w:rPr>
          <w:lang w:val="es-ES_tradnl"/>
        </w:rPr>
        <w:t xml:space="preserve"> </w:t>
      </w:r>
      <w:r w:rsidR="00C37C63" w:rsidRPr="00B25E57">
        <w:rPr>
          <w:lang w:val="es-ES_tradnl"/>
        </w:rPr>
        <w:t>HFC</w:t>
      </w:r>
      <w:r w:rsidR="00FB38C2" w:rsidRPr="00B25E57">
        <w:rPr>
          <w:lang w:val="es-ES_tradnl"/>
        </w:rPr>
        <w:t>-</w:t>
      </w:r>
      <w:r w:rsidR="00C37C63" w:rsidRPr="00B25E57">
        <w:rPr>
          <w:lang w:val="es-ES_tradnl"/>
        </w:rPr>
        <w:t>23</w:t>
      </w:r>
      <w:r w:rsidR="003A46A1" w:rsidRPr="00B25E57">
        <w:rPr>
          <w:lang w:val="es-ES_tradnl"/>
        </w:rPr>
        <w:t xml:space="preserve"> </w:t>
      </w:r>
      <w:r w:rsidR="005618C2">
        <w:rPr>
          <w:lang w:val="es-ES_tradnl"/>
        </w:rPr>
        <w:t>argentino</w:t>
      </w:r>
      <w:r w:rsidR="00C37C63" w:rsidRPr="00B25E57">
        <w:rPr>
          <w:lang w:val="es-ES_tradnl"/>
        </w:rPr>
        <w:t>.</w:t>
      </w:r>
    </w:p>
    <w:p w14:paraId="15BA0662" w14:textId="57AC0239" w:rsidR="007B22B4" w:rsidRPr="00B25E57" w:rsidRDefault="00350C82" w:rsidP="00DA6338">
      <w:pPr>
        <w:pStyle w:val="Heading1"/>
        <w:rPr>
          <w:lang w:val="es-ES_tradnl"/>
        </w:rPr>
      </w:pPr>
      <w:r>
        <w:rPr>
          <w:lang w:val="es-ES_tradnl"/>
        </w:rPr>
        <w:t xml:space="preserve">Dado que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Pr>
          <w:lang w:val="es-ES_tradnl"/>
        </w:rPr>
        <w:t>Ejecutivo solicitó un</w:t>
      </w:r>
      <w:r w:rsidR="00345E62" w:rsidRPr="00B25E57">
        <w:rPr>
          <w:lang w:val="es-ES_tradnl"/>
        </w:rPr>
        <w:t>a</w:t>
      </w:r>
      <w:r w:rsidR="003A46A1" w:rsidRPr="00B25E57">
        <w:rPr>
          <w:lang w:val="es-ES_tradnl"/>
        </w:rPr>
        <w:t xml:space="preserve"> </w:t>
      </w:r>
      <w:r w:rsidR="00862A82" w:rsidRPr="00B25E57">
        <w:rPr>
          <w:lang w:val="es-ES_tradnl"/>
        </w:rPr>
        <w:t>propuesta</w:t>
      </w:r>
      <w:r w:rsidR="003A46A1" w:rsidRPr="00B25E57">
        <w:rPr>
          <w:lang w:val="es-ES_tradnl"/>
        </w:rPr>
        <w:t xml:space="preserve"> </w:t>
      </w:r>
      <w:r w:rsidR="002831D3">
        <w:rPr>
          <w:lang w:val="es-ES_tradnl"/>
        </w:rPr>
        <w:t xml:space="preserve">para </w:t>
      </w:r>
      <w:r w:rsidR="000D7302">
        <w:rPr>
          <w:lang w:val="es-ES_tradnl"/>
        </w:rPr>
        <w:t xml:space="preserve">la </w:t>
      </w:r>
      <w:r w:rsidR="002831D3">
        <w:rPr>
          <w:lang w:val="es-ES_tradnl"/>
        </w:rPr>
        <w:t xml:space="preserve">destrucción </w:t>
      </w:r>
      <w:r w:rsidR="00B654D8">
        <w:rPr>
          <w:lang w:val="es-ES_tradnl"/>
        </w:rPr>
        <w:t>ex situ</w:t>
      </w:r>
      <w:r w:rsidR="00345E62" w:rsidRPr="00B25E57">
        <w:rPr>
          <w:lang w:val="es-ES_tradnl"/>
        </w:rPr>
        <w:t>,</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3B2F26">
        <w:rPr>
          <w:lang w:val="es-ES_tradnl"/>
        </w:rPr>
        <w:t xml:space="preserve">efectuó una </w:t>
      </w:r>
      <w:r w:rsidR="004057BA" w:rsidRPr="00B25E57">
        <w:rPr>
          <w:lang w:val="es-ES_tradnl"/>
        </w:rPr>
        <w:t>evaluación</w:t>
      </w:r>
      <w:r w:rsidR="003A46A1" w:rsidRPr="00B25E57">
        <w:rPr>
          <w:lang w:val="es-ES_tradnl"/>
        </w:rPr>
        <w:t xml:space="preserve"> </w:t>
      </w:r>
      <w:r w:rsidR="00147277" w:rsidRPr="00B25E57">
        <w:rPr>
          <w:lang w:val="es-ES_tradnl"/>
        </w:rPr>
        <w:t>de</w:t>
      </w:r>
      <w:r w:rsidR="003A46A1" w:rsidRPr="00B25E57">
        <w:rPr>
          <w:lang w:val="es-ES_tradnl"/>
        </w:rPr>
        <w:t xml:space="preserve"> </w:t>
      </w:r>
      <w:r w:rsidR="00147277" w:rsidRPr="00B25E57">
        <w:rPr>
          <w:lang w:val="es-ES_tradnl"/>
        </w:rPr>
        <w:t>los</w:t>
      </w:r>
      <w:r w:rsidR="003A46A1" w:rsidRPr="00B25E57">
        <w:rPr>
          <w:lang w:val="es-ES_tradnl"/>
        </w:rPr>
        <w:t xml:space="preserve"> </w:t>
      </w:r>
      <w:r w:rsidR="00147277" w:rsidRPr="00B25E57">
        <w:rPr>
          <w:lang w:val="es-ES_tradnl"/>
        </w:rPr>
        <w:t>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E14181">
        <w:rPr>
          <w:lang w:val="es-ES_tradnl"/>
        </w:rPr>
        <w:t>esa opción</w:t>
      </w:r>
      <w:r w:rsidR="00345E62" w:rsidRPr="00B25E57">
        <w:rPr>
          <w:lang w:val="es-ES_tradnl"/>
        </w:rPr>
        <w:t>,</w:t>
      </w:r>
      <w:r w:rsidR="003A46A1" w:rsidRPr="00B25E57">
        <w:rPr>
          <w:lang w:val="es-ES_tradnl"/>
        </w:rPr>
        <w:t xml:space="preserve"> </w:t>
      </w:r>
      <w:r w:rsidR="00A96A11">
        <w:rPr>
          <w:lang w:val="es-ES_tradnl"/>
        </w:rPr>
        <w:t>haciendo notar lo siguiente</w:t>
      </w:r>
      <w:r w:rsidR="00345E62" w:rsidRPr="00B25E57">
        <w:rPr>
          <w:lang w:val="es-ES_tradnl"/>
        </w:rPr>
        <w:t>:</w:t>
      </w:r>
    </w:p>
    <w:p w14:paraId="2C64A18A" w14:textId="7C500CEA" w:rsidR="00345E62" w:rsidRPr="00B25E57" w:rsidRDefault="00BE3E8B" w:rsidP="00117768">
      <w:pPr>
        <w:pStyle w:val="Heading2"/>
        <w:numPr>
          <w:ilvl w:val="1"/>
          <w:numId w:val="36"/>
        </w:numPr>
        <w:ind w:left="1417" w:hanging="708"/>
        <w:rPr>
          <w:lang w:val="es-ES_tradnl"/>
        </w:rPr>
      </w:pPr>
      <w:r>
        <w:rPr>
          <w:lang w:val="es-ES_tradnl"/>
        </w:rPr>
        <w:t>La viabilidad</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35CFC">
        <w:rPr>
          <w:lang w:val="es-ES_tradnl"/>
        </w:rPr>
        <w:t xml:space="preserve">la </w:t>
      </w:r>
      <w:r w:rsidR="00C91884">
        <w:rPr>
          <w:lang w:val="es-ES_tradnl"/>
        </w:rPr>
        <w:t xml:space="preserve">destrucción </w:t>
      </w:r>
      <w:r w:rsidR="00B654D8">
        <w:rPr>
          <w:lang w:val="es-ES_tradnl"/>
        </w:rPr>
        <w:t>ex situ</w:t>
      </w:r>
      <w:r w:rsidR="003A46A1" w:rsidRPr="00B25E57">
        <w:rPr>
          <w:lang w:val="es-ES_tradnl"/>
        </w:rPr>
        <w:t xml:space="preserve"> </w:t>
      </w:r>
      <w:r w:rsidR="00157B75">
        <w:rPr>
          <w:lang w:val="es-ES_tradnl"/>
        </w:rPr>
        <w:t>depende de</w:t>
      </w:r>
      <w:r w:rsidR="003A46A1" w:rsidRPr="00B25E57">
        <w:rPr>
          <w:lang w:val="es-ES_tradnl"/>
        </w:rPr>
        <w:t xml:space="preserve"> </w:t>
      </w:r>
      <w:r w:rsidR="00157B75">
        <w:rPr>
          <w:lang w:val="es-ES_tradnl"/>
        </w:rPr>
        <w:t xml:space="preserve">que </w:t>
      </w:r>
      <w:r w:rsidR="003346BD">
        <w:rPr>
          <w:lang w:val="es-ES_tradnl"/>
        </w:rPr>
        <w:t xml:space="preserve">se permita </w:t>
      </w:r>
      <w:r w:rsidR="0006701C">
        <w:rPr>
          <w:lang w:val="es-ES_tradnl"/>
        </w:rPr>
        <w:t>el reingreso</w:t>
      </w:r>
      <w:r w:rsidR="003346BD">
        <w:rPr>
          <w:lang w:val="es-ES_tradnl"/>
        </w:rPr>
        <w:t xml:space="preserve"> </w:t>
      </w:r>
      <w:r w:rsidR="0006701C">
        <w:rPr>
          <w:lang w:val="es-ES_tradnl"/>
        </w:rPr>
        <w:t>d</w:t>
      </w:r>
      <w:r w:rsidR="00157B75">
        <w:rPr>
          <w:lang w:val="es-ES_tradnl"/>
        </w:rPr>
        <w:t>el isotanque</w:t>
      </w:r>
      <w:r w:rsidR="00D37600">
        <w:rPr>
          <w:lang w:val="es-ES_tradnl"/>
        </w:rPr>
        <w:t xml:space="preserve"> usado</w:t>
      </w:r>
      <w:r w:rsidR="003A46A1" w:rsidRPr="00B25E57">
        <w:rPr>
          <w:lang w:val="es-ES_tradnl"/>
        </w:rPr>
        <w:t xml:space="preserve"> </w:t>
      </w:r>
      <w:r w:rsidR="003346BD">
        <w:rPr>
          <w:lang w:val="es-ES_tradnl"/>
        </w:rPr>
        <w:t xml:space="preserve">al </w:t>
      </w:r>
      <w:r w:rsidR="007B22B4" w:rsidRPr="00B25E57">
        <w:rPr>
          <w:lang w:val="es-ES_tradnl"/>
        </w:rPr>
        <w:t>país</w:t>
      </w:r>
      <w:r w:rsidR="00345E62" w:rsidRPr="00B25E57">
        <w:rPr>
          <w:lang w:val="es-ES_tradnl"/>
        </w:rPr>
        <w:t>;</w:t>
      </w:r>
    </w:p>
    <w:p w14:paraId="671CDC50" w14:textId="40CD7A64" w:rsidR="007B22B4" w:rsidRPr="00B25E57" w:rsidRDefault="00871F78" w:rsidP="00117768">
      <w:pPr>
        <w:pStyle w:val="Heading2"/>
        <w:numPr>
          <w:ilvl w:val="1"/>
          <w:numId w:val="36"/>
        </w:numPr>
        <w:ind w:left="1417" w:hanging="708"/>
        <w:rPr>
          <w:lang w:val="es-ES_tradnl"/>
        </w:rPr>
      </w:pPr>
      <w:r>
        <w:rPr>
          <w:lang w:val="es-ES_tradnl"/>
        </w:rPr>
        <w:t>No está claro</w:t>
      </w:r>
      <w:r w:rsidR="003A46A1" w:rsidRPr="00B25E57">
        <w:rPr>
          <w:lang w:val="es-ES_tradnl"/>
        </w:rPr>
        <w:t xml:space="preserve"> </w:t>
      </w:r>
      <w:r w:rsidR="00A70EBC">
        <w:rPr>
          <w:lang w:val="es-ES_tradnl"/>
        </w:rPr>
        <w:t>si</w:t>
      </w:r>
      <w:r w:rsidR="003A46A1" w:rsidRPr="00B25E57">
        <w:rPr>
          <w:lang w:val="es-ES_tradnl"/>
        </w:rPr>
        <w:t xml:space="preserve"> </w:t>
      </w:r>
      <w:r w:rsidR="006127B3">
        <w:rPr>
          <w:lang w:val="es-ES_tradnl"/>
        </w:rPr>
        <w:t>alg</w:t>
      </w:r>
      <w:r w:rsidR="00F942C6" w:rsidRPr="00B25E57">
        <w:rPr>
          <w:lang w:val="es-ES_tradnl"/>
        </w:rPr>
        <w:t>un</w:t>
      </w:r>
      <w:r w:rsidR="00CA780A">
        <w:rPr>
          <w:lang w:val="es-ES_tradnl"/>
        </w:rPr>
        <w:t>a</w:t>
      </w:r>
      <w:r w:rsidR="003A46A1" w:rsidRPr="00B25E57">
        <w:rPr>
          <w:lang w:val="es-ES_tradnl"/>
        </w:rPr>
        <w:t xml:space="preserve"> </w:t>
      </w:r>
      <w:r w:rsidR="00E219A7">
        <w:rPr>
          <w:lang w:val="es-ES_tradnl"/>
        </w:rPr>
        <w:t>entidad independiente</w:t>
      </w:r>
      <w:r w:rsidR="003A46A1" w:rsidRPr="00B25E57">
        <w:rPr>
          <w:lang w:val="es-ES_tradnl"/>
        </w:rPr>
        <w:t xml:space="preserve"> </w:t>
      </w:r>
      <w:r w:rsidR="00CA780A">
        <w:rPr>
          <w:lang w:val="es-ES_tradnl"/>
        </w:rPr>
        <w:t xml:space="preserve">podría </w:t>
      </w:r>
      <w:r w:rsidR="002F3AD8">
        <w:rPr>
          <w:lang w:val="es-ES_tradnl"/>
        </w:rPr>
        <w:t>certificar</w:t>
      </w:r>
      <w:r w:rsidR="003A46A1" w:rsidRPr="00B25E57">
        <w:rPr>
          <w:lang w:val="es-ES_tradnl"/>
        </w:rPr>
        <w:t xml:space="preserve"> </w:t>
      </w:r>
      <w:r w:rsidR="00CA780A">
        <w:rPr>
          <w:lang w:val="es-ES_tradnl"/>
        </w:rPr>
        <w:t xml:space="preserve">la ausencia de restos de </w:t>
      </w:r>
      <w:r w:rsidR="00345E62" w:rsidRPr="00B25E57">
        <w:rPr>
          <w:lang w:val="es-ES_tradnl"/>
        </w:rPr>
        <w:t>HFC</w:t>
      </w:r>
      <w:r w:rsidR="00FB38C2" w:rsidRPr="00B25E57">
        <w:rPr>
          <w:lang w:val="es-ES_tradnl"/>
        </w:rPr>
        <w:t>-</w:t>
      </w:r>
      <w:r w:rsidR="00345E62" w:rsidRPr="00B25E57">
        <w:rPr>
          <w:lang w:val="es-ES_tradnl"/>
        </w:rPr>
        <w:t>23</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6A2431">
        <w:rPr>
          <w:lang w:val="es-ES_tradnl"/>
        </w:rPr>
        <w:t>el tanque</w:t>
      </w:r>
      <w:r w:rsidR="00345E62" w:rsidRPr="00B25E57">
        <w:rPr>
          <w:lang w:val="es-ES_tradnl"/>
        </w:rPr>
        <w:t>;</w:t>
      </w:r>
      <w:r w:rsidR="003A46A1" w:rsidRPr="00B25E57">
        <w:rPr>
          <w:lang w:val="es-ES_tradnl"/>
        </w:rPr>
        <w:t xml:space="preserve"> </w:t>
      </w:r>
      <w:r w:rsidR="0072320E">
        <w:rPr>
          <w:lang w:val="es-ES_tradnl"/>
        </w:rPr>
        <w:t>el</w:t>
      </w:r>
      <w:r w:rsidR="003A46A1" w:rsidRPr="00B25E57">
        <w:rPr>
          <w:lang w:val="es-ES_tradnl"/>
        </w:rPr>
        <w:t xml:space="preserve"> </w:t>
      </w:r>
      <w:r w:rsidR="0072320E">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F2878">
        <w:rPr>
          <w:lang w:val="es-ES_tradnl"/>
        </w:rPr>
        <w:t xml:space="preserve">ello </w:t>
      </w:r>
      <w:r w:rsidR="00A25122">
        <w:rPr>
          <w:lang w:val="es-ES_tradnl"/>
        </w:rPr>
        <w:t xml:space="preserve">se desconoce </w:t>
      </w:r>
      <w:r w:rsidR="00BA7AE0" w:rsidRPr="00BA7AE0">
        <w:rPr>
          <w:lang w:val="es-ES_tradnl"/>
        </w:rPr>
        <w:t>por ahora</w:t>
      </w:r>
      <w:r w:rsidR="00A2778B">
        <w:rPr>
          <w:lang w:val="es-ES_tradnl"/>
        </w:rPr>
        <w:t xml:space="preserve">, </w:t>
      </w:r>
      <w:r w:rsidR="00FB38C2" w:rsidRPr="00B25E57">
        <w:rPr>
          <w:lang w:val="es-ES_tradnl"/>
        </w:rPr>
        <w:t>y</w:t>
      </w:r>
      <w:r w:rsidR="003A46A1" w:rsidRPr="00B25E57">
        <w:rPr>
          <w:lang w:val="es-ES_tradnl"/>
        </w:rPr>
        <w:t xml:space="preserve"> </w:t>
      </w:r>
      <w:r w:rsidR="00A2778B">
        <w:rPr>
          <w:lang w:val="es-ES_tradnl"/>
        </w:rPr>
        <w:t xml:space="preserve">además </w:t>
      </w:r>
      <w:r w:rsidR="00545181">
        <w:rPr>
          <w:lang w:val="es-ES_tradnl"/>
        </w:rPr>
        <w:t xml:space="preserve">sería </w:t>
      </w:r>
      <w:r w:rsidR="003A46A1" w:rsidRPr="00B25E57">
        <w:rPr>
          <w:lang w:val="es-ES_tradnl"/>
        </w:rPr>
        <w:t xml:space="preserve">adicional </w:t>
      </w:r>
      <w:r w:rsidR="004F3646">
        <w:rPr>
          <w:lang w:val="es-ES_tradnl"/>
        </w:rPr>
        <w:t>a</w:t>
      </w:r>
      <w:r w:rsidR="003A46A1" w:rsidRPr="00B25E57">
        <w:rPr>
          <w:lang w:val="es-ES_tradnl"/>
        </w:rPr>
        <w:t xml:space="preserve"> </w:t>
      </w:r>
      <w:r w:rsidR="004F3646">
        <w:rPr>
          <w:lang w:val="es-ES_tradnl"/>
        </w:rPr>
        <w:t>los costos preliminares</w:t>
      </w:r>
      <w:r w:rsidR="003A46A1" w:rsidRPr="00B25E57">
        <w:rPr>
          <w:lang w:val="es-ES_tradnl"/>
        </w:rPr>
        <w:t xml:space="preserve"> </w:t>
      </w:r>
      <w:r w:rsidR="00F24FA9" w:rsidRPr="00B25E57">
        <w:rPr>
          <w:lang w:val="es-ES_tradnl"/>
        </w:rPr>
        <w:t>calculado</w:t>
      </w:r>
      <w:r w:rsidR="004F3646">
        <w:rPr>
          <w:lang w:val="es-ES_tradnl"/>
        </w:rPr>
        <w:t>s</w:t>
      </w:r>
      <w:r w:rsidR="003A46A1" w:rsidRPr="00B25E57">
        <w:rPr>
          <w:lang w:val="es-ES_tradnl"/>
        </w:rPr>
        <w:t xml:space="preserve"> </w:t>
      </w:r>
      <w:r w:rsidR="003C2299" w:rsidRPr="003C2299">
        <w:rPr>
          <w:lang w:val="es-ES_tradnl"/>
        </w:rPr>
        <w:t xml:space="preserve">más </w:t>
      </w:r>
      <w:r w:rsidR="008D7AF6">
        <w:rPr>
          <w:lang w:val="es-ES_tradnl"/>
        </w:rPr>
        <w:t>adelante</w:t>
      </w:r>
      <w:r w:rsidR="003C2299" w:rsidRPr="003C2299">
        <w:rPr>
          <w:lang w:val="es-ES_tradnl"/>
        </w:rPr>
        <w:t xml:space="preserve"> </w:t>
      </w:r>
      <w:r w:rsidR="00F942C6" w:rsidRPr="00B25E57">
        <w:rPr>
          <w:lang w:val="es-ES_tradnl"/>
        </w:rPr>
        <w:t>por</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45E62" w:rsidRPr="00B25E57">
        <w:rPr>
          <w:lang w:val="es-ES_tradnl"/>
        </w:rPr>
        <w:t>;</w:t>
      </w:r>
    </w:p>
    <w:p w14:paraId="3435A28C" w14:textId="047714D0" w:rsidR="00345E62" w:rsidRPr="00B25E57" w:rsidRDefault="002B1C61" w:rsidP="00117768">
      <w:pPr>
        <w:pStyle w:val="Heading2"/>
        <w:numPr>
          <w:ilvl w:val="1"/>
          <w:numId w:val="36"/>
        </w:numPr>
        <w:ind w:left="1417" w:hanging="708"/>
        <w:rPr>
          <w:lang w:val="es-ES_tradnl"/>
        </w:rPr>
      </w:pPr>
      <w:r>
        <w:rPr>
          <w:lang w:val="es-ES_tradnl"/>
        </w:rPr>
        <w:t xml:space="preserve">Incluso de </w:t>
      </w:r>
      <w:r w:rsidR="00756423">
        <w:rPr>
          <w:lang w:val="es-ES_tradnl"/>
        </w:rPr>
        <w:t>contarse con dicha</w:t>
      </w:r>
      <w:r w:rsidR="00AF5D89">
        <w:rPr>
          <w:lang w:val="es-ES_tradnl"/>
        </w:rPr>
        <w:t xml:space="preserve"> </w:t>
      </w:r>
      <w:r w:rsidR="00756423">
        <w:rPr>
          <w:lang w:val="es-ES_tradnl"/>
        </w:rPr>
        <w:t>certificación</w:t>
      </w:r>
      <w:r w:rsidR="00345E62" w:rsidRPr="00B25E57">
        <w:rPr>
          <w:lang w:val="es-ES_tradnl"/>
        </w:rPr>
        <w:t>,</w:t>
      </w:r>
      <w:r w:rsidR="003A46A1" w:rsidRPr="00B25E57">
        <w:rPr>
          <w:lang w:val="es-ES_tradnl"/>
        </w:rPr>
        <w:t xml:space="preserve"> </w:t>
      </w:r>
      <w:r w:rsidR="00AF5D89">
        <w:rPr>
          <w:lang w:val="es-ES_tradnl"/>
        </w:rPr>
        <w:t xml:space="preserve">existe el </w:t>
      </w:r>
      <w:r w:rsidR="003206FA">
        <w:rPr>
          <w:lang w:val="es-ES_tradnl"/>
        </w:rPr>
        <w:t>riesgo</w:t>
      </w:r>
      <w:r w:rsidR="003A46A1" w:rsidRPr="00B25E57">
        <w:rPr>
          <w:lang w:val="es-ES_tradnl"/>
        </w:rPr>
        <w:t xml:space="preserve"> </w:t>
      </w:r>
      <w:r w:rsidR="00AF5D89">
        <w:rPr>
          <w:lang w:val="es-ES_tradnl"/>
        </w:rPr>
        <w:t xml:space="preserve">de que </w:t>
      </w:r>
      <w:r w:rsidR="00157B75">
        <w:rPr>
          <w:lang w:val="es-ES_tradnl"/>
        </w:rPr>
        <w:t>el isotanque</w:t>
      </w:r>
      <w:r w:rsidR="003A46A1" w:rsidRPr="00B25E57">
        <w:rPr>
          <w:lang w:val="es-ES_tradnl"/>
        </w:rPr>
        <w:t xml:space="preserve"> </w:t>
      </w:r>
      <w:r w:rsidR="00167E10">
        <w:rPr>
          <w:lang w:val="es-ES_tradnl"/>
        </w:rPr>
        <w:t xml:space="preserve">sea </w:t>
      </w:r>
      <w:r w:rsidR="00480310">
        <w:rPr>
          <w:lang w:val="es-ES_tradnl"/>
        </w:rPr>
        <w:t xml:space="preserve">retenido </w:t>
      </w:r>
      <w:r w:rsidR="00C479D9">
        <w:rPr>
          <w:lang w:val="es-ES_tradnl"/>
        </w:rPr>
        <w:t xml:space="preserve">a su </w:t>
      </w:r>
      <w:r w:rsidR="00805591">
        <w:rPr>
          <w:lang w:val="es-ES_tradnl"/>
        </w:rPr>
        <w:t>vuelta</w:t>
      </w:r>
      <w:r w:rsidR="00C479D9">
        <w:rPr>
          <w:lang w:val="es-ES_tradnl"/>
        </w:rPr>
        <w:t xml:space="preserve"> </w:t>
      </w:r>
      <w:r w:rsidR="000B54DE">
        <w:rPr>
          <w:lang w:val="es-ES_tradnl"/>
        </w:rPr>
        <w:t>a la Argentina</w:t>
      </w:r>
      <w:r w:rsidR="00DA6338" w:rsidRPr="00B25E57">
        <w:rPr>
          <w:lang w:val="es-ES_tradnl"/>
        </w:rPr>
        <w:t>,</w:t>
      </w:r>
      <w:r w:rsidR="003A46A1" w:rsidRPr="00B25E57">
        <w:rPr>
          <w:lang w:val="es-ES_tradnl"/>
        </w:rPr>
        <w:t xml:space="preserve"> </w:t>
      </w:r>
      <w:r w:rsidR="00CA2D11">
        <w:rPr>
          <w:lang w:val="es-ES_tradnl"/>
        </w:rPr>
        <w:t xml:space="preserve">dado que </w:t>
      </w:r>
      <w:r w:rsidR="00856AAC">
        <w:rPr>
          <w:lang w:val="es-ES_tradnl"/>
        </w:rPr>
        <w:t>la aduana</w:t>
      </w:r>
      <w:r w:rsidR="003A46A1" w:rsidRPr="00B25E57">
        <w:rPr>
          <w:lang w:val="es-ES_tradnl"/>
        </w:rPr>
        <w:t xml:space="preserve"> </w:t>
      </w:r>
      <w:r w:rsidR="00320BC1">
        <w:rPr>
          <w:lang w:val="es-ES_tradnl"/>
        </w:rPr>
        <w:t xml:space="preserve">tendría la </w:t>
      </w:r>
      <w:r w:rsidR="004C00C0">
        <w:rPr>
          <w:lang w:val="es-ES_tradnl"/>
        </w:rPr>
        <w:t>prerrogativa</w:t>
      </w:r>
      <w:r w:rsidR="003A46A1" w:rsidRPr="00B25E57">
        <w:rPr>
          <w:lang w:val="es-ES_tradnl"/>
        </w:rPr>
        <w:t xml:space="preserve"> </w:t>
      </w:r>
      <w:r w:rsidR="00095D72">
        <w:rPr>
          <w:lang w:val="es-ES_tradnl"/>
        </w:rPr>
        <w:t xml:space="preserve">de </w:t>
      </w:r>
      <w:r w:rsidR="00CB75C1">
        <w:rPr>
          <w:lang w:val="es-ES_tradnl"/>
        </w:rPr>
        <w:t xml:space="preserve">hacer </w:t>
      </w:r>
      <w:r w:rsidR="00F942C6" w:rsidRPr="00B25E57">
        <w:rPr>
          <w:lang w:val="es-ES_tradnl"/>
        </w:rPr>
        <w:t>su</w:t>
      </w:r>
      <w:r w:rsidR="003A46A1" w:rsidRPr="00B25E57">
        <w:rPr>
          <w:lang w:val="es-ES_tradnl"/>
        </w:rPr>
        <w:t xml:space="preserve"> </w:t>
      </w:r>
      <w:r w:rsidR="00095D72">
        <w:rPr>
          <w:lang w:val="es-ES_tradnl"/>
        </w:rPr>
        <w:t xml:space="preserve">propia </w:t>
      </w:r>
      <w:r w:rsidR="0048775B">
        <w:rPr>
          <w:lang w:val="es-ES_tradnl"/>
        </w:rPr>
        <w:t xml:space="preserve">comprobación </w:t>
      </w:r>
      <w:r w:rsidR="005B234A">
        <w:rPr>
          <w:lang w:val="es-ES_tradnl"/>
        </w:rPr>
        <w:t xml:space="preserve">de que </w:t>
      </w:r>
      <w:r w:rsidR="00157B75">
        <w:rPr>
          <w:lang w:val="es-ES_tradnl"/>
        </w:rPr>
        <w:t>el isotanque</w:t>
      </w:r>
      <w:r w:rsidR="003A46A1" w:rsidRPr="00B25E57">
        <w:rPr>
          <w:lang w:val="es-ES_tradnl"/>
        </w:rPr>
        <w:t xml:space="preserve"> </w:t>
      </w:r>
      <w:r w:rsidR="00CE75E8">
        <w:rPr>
          <w:lang w:val="es-ES_tradnl"/>
        </w:rPr>
        <w:t xml:space="preserve">efectivamente </w:t>
      </w:r>
      <w:r w:rsidR="00AD6317">
        <w:rPr>
          <w:lang w:val="es-ES_tradnl"/>
        </w:rPr>
        <w:t xml:space="preserve">no contiene </w:t>
      </w:r>
      <w:r w:rsidR="00AE7D3B">
        <w:rPr>
          <w:lang w:val="es-ES_tradnl"/>
        </w:rPr>
        <w:t>trazas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HFC</w:t>
      </w:r>
      <w:r w:rsidR="00FB38C2" w:rsidRPr="00B25E57">
        <w:rPr>
          <w:lang w:val="es-ES_tradnl"/>
        </w:rPr>
        <w:t>-</w:t>
      </w:r>
      <w:r w:rsidR="00345E62" w:rsidRPr="00B25E57">
        <w:rPr>
          <w:lang w:val="es-ES_tradnl"/>
        </w:rPr>
        <w:t>23;</w:t>
      </w:r>
      <w:r w:rsidR="003A46A1" w:rsidRPr="00B25E57">
        <w:rPr>
          <w:lang w:val="es-ES_tradnl"/>
        </w:rPr>
        <w:t xml:space="preserve"> </w:t>
      </w:r>
      <w:r w:rsidR="00FB38C2" w:rsidRPr="00B25E57">
        <w:rPr>
          <w:lang w:val="es-ES_tradnl"/>
        </w:rPr>
        <w:t>y</w:t>
      </w:r>
    </w:p>
    <w:p w14:paraId="0B6425B7" w14:textId="595BFD98" w:rsidR="007B22B4" w:rsidRPr="00B25E57" w:rsidRDefault="00714FBD" w:rsidP="00117768">
      <w:pPr>
        <w:pStyle w:val="Heading2"/>
        <w:numPr>
          <w:ilvl w:val="1"/>
          <w:numId w:val="36"/>
        </w:numPr>
        <w:ind w:left="1417" w:hanging="708"/>
        <w:rPr>
          <w:lang w:val="es-ES_tradnl"/>
        </w:rPr>
      </w:pPr>
      <w:r>
        <w:rPr>
          <w:lang w:val="es-ES_tradnl"/>
        </w:rPr>
        <w:t xml:space="preserve">En tanto que </w:t>
      </w:r>
      <w:r w:rsidR="00F33C58" w:rsidRPr="00B25E57">
        <w:rPr>
          <w:lang w:val="es-ES_tradnl"/>
        </w:rPr>
        <w:t>Parte</w:t>
      </w:r>
      <w:r w:rsidR="003A46A1" w:rsidRPr="00B25E57">
        <w:rPr>
          <w:lang w:val="es-ES_tradnl"/>
        </w:rPr>
        <w:t xml:space="preserve"> </w:t>
      </w:r>
      <w:r w:rsidR="009E7F29">
        <w:rPr>
          <w:lang w:val="es-ES_tradnl"/>
        </w:rPr>
        <w:t xml:space="preserve">de la </w:t>
      </w:r>
      <w:r w:rsidR="00B25E57">
        <w:rPr>
          <w:lang w:val="es-ES_tradnl"/>
        </w:rPr>
        <w:t>Convención de Basilea</w:t>
      </w:r>
      <w:r w:rsidR="00345E62" w:rsidRPr="00B25E57">
        <w:rPr>
          <w:lang w:val="es-ES_tradnl"/>
        </w:rPr>
        <w:t>,</w:t>
      </w:r>
      <w:r w:rsidR="003A46A1" w:rsidRPr="00B25E57">
        <w:rPr>
          <w:lang w:val="es-ES_tradnl"/>
        </w:rPr>
        <w:t xml:space="preserve"> </w:t>
      </w:r>
      <w:r w:rsidR="00345E62" w:rsidRPr="00B25E57">
        <w:rPr>
          <w:lang w:val="es-ES_tradnl"/>
        </w:rPr>
        <w:t>Argentina</w:t>
      </w:r>
      <w:r w:rsidR="003A46A1" w:rsidRPr="00B25E57">
        <w:rPr>
          <w:lang w:val="es-ES_tradnl"/>
        </w:rPr>
        <w:t xml:space="preserve"> </w:t>
      </w:r>
      <w:r w:rsidR="00A03049">
        <w:rPr>
          <w:lang w:val="es-ES_tradnl"/>
        </w:rPr>
        <w:t xml:space="preserve">necesitaría </w:t>
      </w:r>
      <w:r w:rsidR="00DD208A" w:rsidRPr="00DD208A">
        <w:rPr>
          <w:lang w:val="es-ES_tradnl"/>
        </w:rPr>
        <w:t>autorización</w:t>
      </w:r>
      <w:r w:rsidR="00A03049">
        <w:rPr>
          <w:lang w:val="es-ES_tradnl"/>
        </w:rPr>
        <w:t xml:space="preserve"> de </w:t>
      </w:r>
      <w:r w:rsidR="00E22238" w:rsidRPr="00B25E57">
        <w:rPr>
          <w:lang w:val="es-ES_tradnl"/>
        </w:rPr>
        <w:t>Dinamarca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A03049">
        <w:rPr>
          <w:lang w:val="es-ES_tradnl"/>
        </w:rPr>
        <w:t xml:space="preserve">de </w:t>
      </w:r>
      <w:r w:rsidR="00AC0C60">
        <w:rPr>
          <w:lang w:val="es-ES_tradnl"/>
        </w:rPr>
        <w:t>los</w:t>
      </w:r>
      <w:r w:rsidR="00A03049">
        <w:rPr>
          <w:lang w:val="es-ES_tradnl"/>
        </w:rPr>
        <w:t xml:space="preserve"> </w:t>
      </w:r>
      <w:r w:rsidR="00500F33">
        <w:rPr>
          <w:lang w:val="es-ES_tradnl"/>
        </w:rPr>
        <w:t xml:space="preserve">demás </w:t>
      </w:r>
      <w:r w:rsidR="00A03049">
        <w:rPr>
          <w:lang w:val="es-ES_tradnl"/>
        </w:rPr>
        <w:t>país</w:t>
      </w:r>
      <w:r w:rsidR="00AC0C60">
        <w:rPr>
          <w:lang w:val="es-ES_tradnl"/>
        </w:rPr>
        <w:t>es</w:t>
      </w:r>
      <w:r w:rsidR="00A03049">
        <w:rPr>
          <w:lang w:val="es-ES_tradnl"/>
        </w:rPr>
        <w:t xml:space="preserve"> </w:t>
      </w:r>
      <w:r w:rsidR="004241C5" w:rsidRPr="00B25E57">
        <w:rPr>
          <w:lang w:val="es-ES_tradnl"/>
        </w:rPr>
        <w:t>por</w:t>
      </w:r>
      <w:r w:rsidR="003A46A1" w:rsidRPr="00B25E57">
        <w:rPr>
          <w:lang w:val="es-ES_tradnl"/>
        </w:rPr>
        <w:t xml:space="preserve"> </w:t>
      </w:r>
      <w:r w:rsidR="006E7AC2">
        <w:rPr>
          <w:lang w:val="es-ES_tradnl"/>
        </w:rPr>
        <w:t xml:space="preserve">el cual pasen los </w:t>
      </w:r>
      <w:r w:rsidR="001C4E7E">
        <w:rPr>
          <w:lang w:val="es-ES_tradnl"/>
        </w:rPr>
        <w:t>residuos de HFC-23</w:t>
      </w:r>
      <w:r w:rsidR="003A46A1" w:rsidRPr="00B25E57">
        <w:rPr>
          <w:lang w:val="es-ES_tradnl"/>
        </w:rPr>
        <w:t xml:space="preserve"> </w:t>
      </w:r>
      <w:r w:rsidR="001D799C" w:rsidRPr="001D799C">
        <w:rPr>
          <w:lang w:val="es-ES_tradnl"/>
        </w:rPr>
        <w:t xml:space="preserve">rumbo a Dinamarca </w:t>
      </w:r>
      <w:r w:rsidR="00345E62" w:rsidRPr="00B25E57">
        <w:rPr>
          <w:lang w:val="es-ES_tradnl"/>
        </w:rPr>
        <w:t>(</w:t>
      </w:r>
      <w:r w:rsidR="00E648FA">
        <w:rPr>
          <w:lang w:val="es-ES_tradnl"/>
        </w:rPr>
        <w:t xml:space="preserve">p. ej., </w:t>
      </w:r>
      <w:r w:rsidR="00B05736">
        <w:rPr>
          <w:lang w:val="es-ES_tradnl"/>
        </w:rPr>
        <w:t>puertos intermedios</w:t>
      </w:r>
      <w:r w:rsidR="00345E62" w:rsidRPr="00B25E57">
        <w:rPr>
          <w:lang w:val="es-ES_tradnl"/>
        </w:rPr>
        <w:t>,</w:t>
      </w:r>
      <w:r w:rsidR="003A46A1" w:rsidRPr="00B25E57">
        <w:rPr>
          <w:lang w:val="es-ES_tradnl"/>
        </w:rPr>
        <w:t xml:space="preserve"> </w:t>
      </w:r>
      <w:r w:rsidR="00B05736">
        <w:rPr>
          <w:lang w:val="es-ES_tradnl"/>
        </w:rPr>
        <w:t>de haberlos</w:t>
      </w:r>
      <w:r w:rsidR="00AB6D2A">
        <w:rPr>
          <w:lang w:val="es-ES_tradnl"/>
        </w:rPr>
        <w:t>)</w:t>
      </w:r>
      <w:r w:rsidR="00345E62" w:rsidRPr="00B25E57">
        <w:rPr>
          <w:lang w:val="es-ES_tradnl"/>
        </w:rPr>
        <w:t>.</w:t>
      </w:r>
      <w:r w:rsidR="00345E62" w:rsidRPr="00B25E57">
        <w:rPr>
          <w:rStyle w:val="FootnoteReference"/>
          <w:lang w:val="es-ES_tradnl"/>
        </w:rPr>
        <w:footnoteReference w:id="21"/>
      </w:r>
    </w:p>
    <w:p w14:paraId="6C9AC8FF" w14:textId="6402EE02" w:rsidR="00345E62" w:rsidRPr="00B25E57" w:rsidRDefault="004241C5" w:rsidP="00345E62">
      <w:pPr>
        <w:pStyle w:val="Heading1"/>
        <w:rPr>
          <w:lang w:val="es-ES_tradnl"/>
        </w:rPr>
      </w:pPr>
      <w:r w:rsidRPr="00B25E57">
        <w:rPr>
          <w:lang w:val="es-ES_tradnl"/>
        </w:rPr>
        <w:t>En</w:t>
      </w:r>
      <w:r w:rsidR="003A46A1" w:rsidRPr="00B25E57">
        <w:rPr>
          <w:lang w:val="es-ES_tradnl"/>
        </w:rPr>
        <w:t xml:space="preserve"> </w:t>
      </w:r>
      <w:r w:rsidR="00CB62B9">
        <w:rPr>
          <w:lang w:val="es-ES_tradnl"/>
        </w:rPr>
        <w:t>este contexto</w:t>
      </w:r>
      <w:r w:rsidRPr="00B25E57">
        <w:rPr>
          <w:lang w:val="es-ES_tradnl"/>
        </w:rPr>
        <w:t>,</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6355BB">
        <w:rPr>
          <w:lang w:val="es-ES_tradnl"/>
        </w:rPr>
        <w:t>calculó</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60B42">
        <w:rPr>
          <w:lang w:val="es-ES_tradnl"/>
        </w:rPr>
        <w:t xml:space="preserve">la </w:t>
      </w:r>
      <w:r w:rsidR="00C91884">
        <w:rPr>
          <w:lang w:val="es-ES_tradnl"/>
        </w:rPr>
        <w:t xml:space="preserve">destrucción </w:t>
      </w:r>
      <w:r w:rsidR="00B654D8">
        <w:rPr>
          <w:lang w:val="es-ES_tradnl"/>
        </w:rPr>
        <w:t>ex situ</w:t>
      </w:r>
      <w:r w:rsidR="003A46A1" w:rsidRPr="00B25E57">
        <w:rPr>
          <w:lang w:val="es-ES_tradnl"/>
        </w:rPr>
        <w:t xml:space="preserve"> </w:t>
      </w:r>
      <w:r w:rsidR="00D40640">
        <w:rPr>
          <w:lang w:val="es-ES_tradnl"/>
        </w:rPr>
        <w:t>en</w:t>
      </w:r>
      <w:r w:rsidR="00F942C6" w:rsidRPr="00B25E57">
        <w:rPr>
          <w:lang w:val="es-ES_tradnl"/>
        </w:rPr>
        <w:t xml:space="preserve"> base </w:t>
      </w:r>
      <w:r w:rsidR="00D40640">
        <w:rPr>
          <w:lang w:val="es-ES_tradnl"/>
        </w:rPr>
        <w:t>a</w:t>
      </w:r>
      <w:r w:rsidR="00F942C6" w:rsidRPr="00B25E57">
        <w:rPr>
          <w:lang w:val="es-ES_tradnl"/>
        </w:rPr>
        <w:t xml:space="preserve"> </w:t>
      </w:r>
      <w:r w:rsidR="00D524CA">
        <w:rPr>
          <w:lang w:val="es-ES_tradnl"/>
        </w:rPr>
        <w:t>lo</w:t>
      </w:r>
      <w:r w:rsidR="003A46A1" w:rsidRPr="00B25E57">
        <w:rPr>
          <w:lang w:val="es-ES_tradnl"/>
        </w:rPr>
        <w:t xml:space="preserve"> </w:t>
      </w:r>
      <w:r w:rsidR="00D524CA">
        <w:rPr>
          <w:lang w:val="es-ES_tradnl"/>
        </w:rPr>
        <w:t xml:space="preserve">informado </w:t>
      </w:r>
      <w:r w:rsidR="00D04DC2"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BF111A" w:rsidRPr="00B25E57">
        <w:rPr>
          <w:lang w:val="es-ES_tradnl"/>
        </w:rPr>
        <w:t>,</w:t>
      </w:r>
      <w:r w:rsidR="003A46A1" w:rsidRPr="00B25E57">
        <w:rPr>
          <w:lang w:val="es-ES_tradnl"/>
        </w:rPr>
        <w:t xml:space="preserve"> </w:t>
      </w:r>
      <w:r w:rsidR="00312610">
        <w:rPr>
          <w:lang w:val="es-ES_tradnl"/>
        </w:rPr>
        <w:t xml:space="preserve">ajustando </w:t>
      </w:r>
      <w:r w:rsidR="00CD0687">
        <w:rPr>
          <w:lang w:val="es-ES_tradnl"/>
        </w:rPr>
        <w:t xml:space="preserve">sin embargo </w:t>
      </w:r>
      <w:r w:rsidR="00FB38C2" w:rsidRPr="00B25E57">
        <w:rPr>
          <w:lang w:val="es-ES_tradnl"/>
        </w:rPr>
        <w:t>el</w:t>
      </w:r>
      <w:r w:rsidR="003A46A1" w:rsidRPr="00B25E57">
        <w:rPr>
          <w:lang w:val="es-ES_tradnl"/>
        </w:rPr>
        <w:t xml:space="preserve"> </w:t>
      </w:r>
      <w:r w:rsidR="005E0480">
        <w:rPr>
          <w:lang w:val="es-ES_tradnl"/>
        </w:rPr>
        <w:t xml:space="preserve">costo </w:t>
      </w:r>
      <w:r w:rsidR="00312610">
        <w:rPr>
          <w:lang w:val="es-ES_tradnl"/>
        </w:rPr>
        <w:t xml:space="preserve">de los </w:t>
      </w:r>
      <w:r w:rsidR="00345E62" w:rsidRPr="00B25E57">
        <w:rPr>
          <w:lang w:val="es-ES_tradnl"/>
        </w:rPr>
        <w:t>iso</w:t>
      </w:r>
      <w:r w:rsidR="008A3316" w:rsidRPr="00B25E57">
        <w:rPr>
          <w:lang w:val="es-ES_tradnl"/>
        </w:rPr>
        <w:t>tanques</w:t>
      </w:r>
      <w:r w:rsidR="003A46A1" w:rsidRPr="00B25E57">
        <w:rPr>
          <w:lang w:val="es-ES_tradnl"/>
        </w:rPr>
        <w:t xml:space="preserve"> </w:t>
      </w:r>
      <w:r w:rsidR="00345E62" w:rsidRPr="00B25E57">
        <w:rPr>
          <w:lang w:val="es-ES_tradnl"/>
        </w:rPr>
        <w:t>(46</w:t>
      </w:r>
      <w:r w:rsidR="00FB38C2" w:rsidRPr="00B25E57">
        <w:rPr>
          <w:lang w:val="es-ES_tradnl"/>
        </w:rPr>
        <w:t>0.</w:t>
      </w:r>
      <w:r w:rsidR="00345E62" w:rsidRPr="00B25E57">
        <w:rPr>
          <w:lang w:val="es-ES_tradnl"/>
        </w:rPr>
        <w:t>00</w:t>
      </w:r>
      <w:r w:rsidR="00FB38C2" w:rsidRPr="00B25E57">
        <w:rPr>
          <w:lang w:val="es-ES_tradnl"/>
        </w:rPr>
        <w:t>0</w:t>
      </w:r>
      <w:r w:rsidR="00CD7F0C">
        <w:rPr>
          <w:lang w:val="es-ES_tradnl"/>
        </w:rPr>
        <w:t xml:space="preserve"> </w:t>
      </w:r>
      <w:r w:rsidR="00CD7F0C" w:rsidRPr="00CD7F0C">
        <w:rPr>
          <w:lang w:val="es-ES_tradnl"/>
        </w:rPr>
        <w:t>$EUA</w:t>
      </w:r>
      <w:r w:rsidR="00527F49">
        <w:rPr>
          <w:lang w:val="es-ES_tradnl"/>
        </w:rPr>
        <w:t xml:space="preserve"> en lugar de </w:t>
      </w:r>
      <w:r w:rsidR="00527F49" w:rsidRPr="00527F49">
        <w:rPr>
          <w:lang w:val="es-ES_tradnl"/>
        </w:rPr>
        <w:t>600.000 $EUA</w:t>
      </w:r>
      <w:r w:rsidR="00451AB8">
        <w:rPr>
          <w:lang w:val="es-ES_tradnl"/>
        </w:rPr>
        <w:t xml:space="preserve">) </w:t>
      </w:r>
      <w:r w:rsidR="00E42FCD">
        <w:rPr>
          <w:lang w:val="es-ES_tradnl"/>
        </w:rPr>
        <w:t>de acuerdo a</w:t>
      </w:r>
      <w:r w:rsidR="00527F49">
        <w:rPr>
          <w:lang w:val="es-ES_tradnl"/>
        </w:rPr>
        <w:t>l presupuesto</w:t>
      </w:r>
      <w:r w:rsidR="003A46A1" w:rsidRPr="00B25E57">
        <w:rPr>
          <w:lang w:val="es-ES_tradnl"/>
        </w:rPr>
        <w:t xml:space="preserve"> </w:t>
      </w:r>
      <w:r w:rsidR="00527F49">
        <w:rPr>
          <w:lang w:val="es-ES_tradnl"/>
        </w:rPr>
        <w:t xml:space="preserve">presentado por </w:t>
      </w:r>
      <w:r w:rsidR="006A4410">
        <w:rPr>
          <w:lang w:val="es-ES_tradnl"/>
        </w:rPr>
        <w:t>el consultor</w:t>
      </w:r>
      <w:r w:rsidR="003A46A1" w:rsidRPr="00B25E57">
        <w:rPr>
          <w:lang w:val="es-ES_tradnl"/>
        </w:rPr>
        <w:t xml:space="preserve"> independiente </w:t>
      </w:r>
      <w:r w:rsidR="00527F49">
        <w:rPr>
          <w:lang w:val="es-ES_tradnl"/>
        </w:rPr>
        <w:t>a</w:t>
      </w:r>
      <w:r w:rsidR="003A46A1" w:rsidRPr="00B25E57">
        <w:rPr>
          <w:lang w:val="es-ES_tradnl"/>
        </w:rPr>
        <w:t xml:space="preserve"> la 82</w:t>
      </w:r>
      <w:r w:rsidR="00F942C6" w:rsidRPr="00B25E57">
        <w:rPr>
          <w:lang w:val="es-ES_tradnl"/>
        </w:rPr>
        <w:t>ª reunión</w:t>
      </w:r>
      <w:r w:rsidR="00345E62" w:rsidRPr="00B25E57">
        <w:rPr>
          <w:lang w:val="es-ES_tradnl"/>
        </w:rPr>
        <w:t>,</w:t>
      </w:r>
      <w:r w:rsidR="00345E62" w:rsidRPr="00B25E57">
        <w:rPr>
          <w:rStyle w:val="FootnoteReference"/>
          <w:lang w:val="es-ES_tradnl"/>
        </w:rPr>
        <w:footnoteReference w:id="22"/>
      </w:r>
      <w:r w:rsidR="003A46A1" w:rsidRPr="00B25E57">
        <w:rPr>
          <w:lang w:val="es-ES_tradnl"/>
        </w:rPr>
        <w:t xml:space="preserve"> </w:t>
      </w:r>
      <w:r w:rsidR="00F33C58" w:rsidRPr="00B25E57">
        <w:rPr>
          <w:lang w:val="es-ES_tradnl"/>
        </w:rPr>
        <w:t>y</w:t>
      </w:r>
      <w:r w:rsidR="003A46A1" w:rsidRPr="00B25E57">
        <w:rPr>
          <w:lang w:val="es-ES_tradnl"/>
        </w:rPr>
        <w:t xml:space="preserve"> </w:t>
      </w:r>
      <w:r w:rsidR="00F942C6" w:rsidRPr="00B25E57">
        <w:rPr>
          <w:lang w:val="es-ES_tradnl"/>
        </w:rPr>
        <w:t xml:space="preserve">sobre la base </w:t>
      </w:r>
      <w:r w:rsidR="00793989">
        <w:rPr>
          <w:lang w:val="es-ES_tradnl"/>
        </w:rPr>
        <w:t xml:space="preserve">del mismo </w:t>
      </w:r>
      <w:r w:rsidRPr="00B25E57">
        <w:rPr>
          <w:lang w:val="es-ES_tradnl"/>
        </w:rPr>
        <w:t>nivel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512EA" w:rsidRPr="00B25E57">
        <w:rPr>
          <w:lang w:val="es-ES_tradnl"/>
        </w:rPr>
        <w:t>producción</w:t>
      </w:r>
      <w:r w:rsidR="003A46A1" w:rsidRPr="00B25E57">
        <w:rPr>
          <w:lang w:val="es-ES_tradnl"/>
        </w:rPr>
        <w:t xml:space="preserve"> </w:t>
      </w:r>
      <w:r w:rsidR="004512EA" w:rsidRPr="00B25E57">
        <w:rPr>
          <w:lang w:val="es-ES_tradnl"/>
        </w:rPr>
        <w:t>de</w:t>
      </w:r>
      <w:r w:rsidR="003A46A1" w:rsidRPr="00B25E57">
        <w:rPr>
          <w:lang w:val="es-ES_tradnl"/>
        </w:rPr>
        <w:t xml:space="preserve"> </w:t>
      </w:r>
      <w:r w:rsidR="004512EA" w:rsidRPr="00B25E57">
        <w:rPr>
          <w:lang w:val="es-ES_tradnl"/>
        </w:rPr>
        <w:t>HCFC-22</w:t>
      </w:r>
      <w:r w:rsidR="003A46A1" w:rsidRPr="00B25E57">
        <w:rPr>
          <w:lang w:val="es-ES_tradnl"/>
        </w:rPr>
        <w:t xml:space="preserve"> </w:t>
      </w:r>
      <w:r w:rsidR="00FB38C2" w:rsidRPr="00B25E57">
        <w:rPr>
          <w:lang w:val="es-ES_tradnl"/>
        </w:rPr>
        <w:t>y</w:t>
      </w:r>
      <w:r w:rsidR="003A46A1" w:rsidRPr="00B25E57">
        <w:rPr>
          <w:lang w:val="es-ES_tradnl"/>
        </w:rPr>
        <w:t xml:space="preserve"> </w:t>
      </w:r>
      <w:r w:rsidR="00793989">
        <w:rPr>
          <w:lang w:val="es-ES_tradnl"/>
        </w:rPr>
        <w:t xml:space="preserve">de </w:t>
      </w:r>
      <w:r w:rsidR="00793989" w:rsidRPr="00793989">
        <w:rPr>
          <w:lang w:val="es-ES_tradnl"/>
        </w:rPr>
        <w:t xml:space="preserve">generación </w:t>
      </w:r>
      <w:r w:rsidR="004512EA" w:rsidRPr="00B25E57">
        <w:rPr>
          <w:lang w:val="es-ES_tradnl"/>
        </w:rPr>
        <w:t>HFC-23</w:t>
      </w:r>
      <w:r w:rsidR="003A46A1" w:rsidRPr="00B25E57">
        <w:rPr>
          <w:lang w:val="es-ES_tradnl"/>
        </w:rPr>
        <w:t xml:space="preserve"> propuesto </w:t>
      </w:r>
      <w:r w:rsidR="00F942C6" w:rsidRPr="00B25E57">
        <w:rPr>
          <w:lang w:val="es-ES_tradnl"/>
        </w:rPr>
        <w:t>por</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5D36E4">
        <w:rPr>
          <w:lang w:val="es-ES_tradnl"/>
        </w:rPr>
        <w:t xml:space="preserve">en </w:t>
      </w:r>
      <w:r w:rsidR="00E14181">
        <w:rPr>
          <w:lang w:val="es-ES_tradnl"/>
        </w:rPr>
        <w:t>la opción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930E9">
        <w:rPr>
          <w:lang w:val="es-ES_tradnl"/>
        </w:rPr>
        <w:t>reponer en servicio</w:t>
      </w:r>
      <w:r w:rsidR="003A46A1" w:rsidRPr="00B25E57">
        <w:rPr>
          <w:lang w:val="es-ES_tradnl"/>
        </w:rPr>
        <w:t xml:space="preserve"> </w:t>
      </w:r>
      <w:r w:rsidR="00C95B4F">
        <w:rPr>
          <w:lang w:val="es-ES_tradnl"/>
        </w:rPr>
        <w:t>el incinerador</w:t>
      </w:r>
      <w:r w:rsidR="003A46A1" w:rsidRPr="00B25E57">
        <w:rPr>
          <w:lang w:val="es-ES_tradnl"/>
        </w:rPr>
        <w:t xml:space="preserve"> </w:t>
      </w:r>
      <w:r w:rsidR="00345E62" w:rsidRPr="00B25E57">
        <w:rPr>
          <w:lang w:val="es-ES_tradnl"/>
        </w:rPr>
        <w:t>(</w:t>
      </w:r>
      <w:r w:rsidR="00FB38C2" w:rsidRPr="00B25E57">
        <w:rPr>
          <w:lang w:val="es-ES_tradnl"/>
        </w:rPr>
        <w:t>1.</w:t>
      </w:r>
      <w:r w:rsidR="00345E62" w:rsidRPr="00B25E57">
        <w:rPr>
          <w:lang w:val="es-ES_tradnl"/>
        </w:rPr>
        <w:t>586</w:t>
      </w:r>
      <w:r w:rsidR="003A46A1" w:rsidRPr="00B25E57">
        <w:rPr>
          <w:lang w:val="es-ES_tradnl"/>
        </w:rPr>
        <w:t xml:space="preserve"> </w:t>
      </w:r>
      <w:r w:rsidR="00FB38C2" w:rsidRPr="00B25E57">
        <w:rPr>
          <w:lang w:val="es-ES_tradnl"/>
        </w:rPr>
        <w:t>tm</w:t>
      </w:r>
      <w:r w:rsidR="00AB317F">
        <w:rPr>
          <w:lang w:val="es-ES_tradnl"/>
        </w:rPr>
        <w:t>/año</w:t>
      </w:r>
      <w:r w:rsidR="003A46A1" w:rsidRPr="00B25E57">
        <w:rPr>
          <w:lang w:val="es-ES_tradnl"/>
        </w:rPr>
        <w:t xml:space="preserve"> </w:t>
      </w:r>
      <w:r w:rsidR="00303FE3">
        <w:rPr>
          <w:lang w:val="es-ES_tradnl"/>
        </w:rPr>
        <w:t xml:space="preserve">en </w:t>
      </w:r>
      <w:r w:rsidR="00345E62" w:rsidRPr="00B25E57">
        <w:rPr>
          <w:lang w:val="es-ES_tradnl"/>
        </w:rPr>
        <w:t>2020</w:t>
      </w:r>
      <w:r w:rsidR="00FB38C2" w:rsidRPr="00B25E57">
        <w:rPr>
          <w:lang w:val="es-ES_tradnl"/>
        </w:rPr>
        <w:t>-</w:t>
      </w:r>
      <w:r w:rsidR="00345E62" w:rsidRPr="00B25E57">
        <w:rPr>
          <w:lang w:val="es-ES_tradnl"/>
        </w:rPr>
        <w:t>202</w:t>
      </w:r>
      <w:r w:rsidR="004B575F">
        <w:rPr>
          <w:lang w:val="es-ES_tradnl"/>
        </w:rPr>
        <w:t>3</w:t>
      </w:r>
      <w:r w:rsidR="003A46A1" w:rsidRPr="00B25E57">
        <w:rPr>
          <w:lang w:val="es-ES_tradnl"/>
        </w:rPr>
        <w:t xml:space="preserve"> </w:t>
      </w:r>
      <w:r w:rsidR="004B575F">
        <w:rPr>
          <w:lang w:val="es-ES_tradnl"/>
        </w:rPr>
        <w:t xml:space="preserve">seguido por el </w:t>
      </w:r>
      <w:r w:rsidR="004512EA" w:rsidRPr="00B25E57">
        <w:rPr>
          <w:lang w:val="es-ES_tradnl"/>
        </w:rPr>
        <w:t>cierre</w:t>
      </w:r>
      <w:r w:rsidR="004E64FC">
        <w:rPr>
          <w:lang w:val="es-ES_tradnl"/>
        </w:rPr>
        <w:t xml:space="preserve">, con una </w:t>
      </w:r>
      <w:r w:rsidR="000E7A7F" w:rsidRPr="000E7A7F">
        <w:rPr>
          <w:lang w:val="es-ES_tradnl"/>
        </w:rPr>
        <w:t xml:space="preserve">tasa de generación </w:t>
      </w:r>
      <w:r w:rsidR="000E7A7F">
        <w:rPr>
          <w:lang w:val="es-ES_tradnl"/>
        </w:rPr>
        <w:t xml:space="preserve">de </w:t>
      </w:r>
      <w:r w:rsidR="000E7A7F" w:rsidRPr="000E7A7F">
        <w:rPr>
          <w:lang w:val="es-ES_tradnl"/>
        </w:rPr>
        <w:t>HFC-23</w:t>
      </w:r>
      <w:r w:rsidR="000E7A7F">
        <w:rPr>
          <w:lang w:val="es-ES_tradnl"/>
        </w:rPr>
        <w:t xml:space="preserve"> del </w:t>
      </w:r>
      <w:r w:rsidR="00432E20">
        <w:rPr>
          <w:lang w:val="es-ES_tradnl"/>
        </w:rPr>
        <w:t>3,24</w:t>
      </w:r>
      <w:r w:rsidR="00FB38C2" w:rsidRPr="00B25E57">
        <w:rPr>
          <w:lang w:val="es-ES_tradnl"/>
        </w:rPr>
        <w:t>%</w:t>
      </w:r>
      <w:r w:rsidR="00345E62" w:rsidRPr="00B25E57">
        <w:rPr>
          <w:lang w:val="es-ES_tradnl"/>
        </w:rPr>
        <w:t>),</w:t>
      </w:r>
      <w:r w:rsidR="003A46A1" w:rsidRPr="00B25E57">
        <w:rPr>
          <w:lang w:val="es-ES_tradnl"/>
        </w:rPr>
        <w:t xml:space="preserve"> </w:t>
      </w:r>
      <w:r w:rsidRPr="00B25E57">
        <w:rPr>
          <w:lang w:val="es-ES_tradnl"/>
        </w:rPr>
        <w:t>según</w:t>
      </w:r>
      <w:r w:rsidR="003A46A1" w:rsidRPr="00B25E57">
        <w:rPr>
          <w:lang w:val="es-ES_tradnl"/>
        </w:rPr>
        <w:t xml:space="preserve"> </w:t>
      </w:r>
      <w:r w:rsidRPr="00B25E57">
        <w:rPr>
          <w:lang w:val="es-ES_tradnl"/>
        </w:rPr>
        <w:t>se</w:t>
      </w:r>
      <w:r w:rsidR="003A46A1" w:rsidRPr="00B25E57">
        <w:rPr>
          <w:lang w:val="es-ES_tradnl"/>
        </w:rPr>
        <w:t xml:space="preserve"> </w:t>
      </w:r>
      <w:r w:rsidRPr="00B25E57">
        <w:rPr>
          <w:lang w:val="es-ES_tradnl"/>
        </w:rPr>
        <w:t>muestra</w:t>
      </w:r>
      <w:r w:rsidR="003A46A1" w:rsidRPr="00B25E57">
        <w:rPr>
          <w:lang w:val="es-ES_tradnl"/>
        </w:rPr>
        <w:t xml:space="preserve"> </w:t>
      </w:r>
      <w:r w:rsidRPr="00B25E57">
        <w:rPr>
          <w:lang w:val="es-ES_tradnl"/>
        </w:rPr>
        <w:t>en</w:t>
      </w:r>
      <w:r w:rsidR="003A46A1" w:rsidRPr="00B25E57">
        <w:rPr>
          <w:lang w:val="es-ES_tradnl"/>
        </w:rPr>
        <w:t xml:space="preserve"> </w:t>
      </w:r>
      <w:r w:rsidRPr="00B25E57">
        <w:rPr>
          <w:lang w:val="es-ES_tradnl"/>
        </w:rPr>
        <w:t>el</w:t>
      </w:r>
      <w:r w:rsidR="003A46A1" w:rsidRPr="00B25E57">
        <w:rPr>
          <w:lang w:val="es-ES_tradnl"/>
        </w:rPr>
        <w:t xml:space="preserve"> </w:t>
      </w:r>
      <w:r w:rsidRPr="00B25E57">
        <w:rPr>
          <w:lang w:val="es-ES_tradnl"/>
        </w:rPr>
        <w:t>Cuadro</w:t>
      </w:r>
      <w:r w:rsidR="003A46A1" w:rsidRPr="00B25E57">
        <w:rPr>
          <w:lang w:val="es-ES_tradnl"/>
        </w:rPr>
        <w:t xml:space="preserve"> </w:t>
      </w:r>
      <w:r w:rsidR="00317215" w:rsidRPr="00B25E57">
        <w:rPr>
          <w:lang w:val="es-ES_tradnl"/>
        </w:rPr>
        <w:t>12</w:t>
      </w:r>
      <w:r w:rsidR="00DA6338" w:rsidRPr="00B25E57">
        <w:rPr>
          <w:lang w:val="es-ES_tradnl"/>
        </w:rPr>
        <w:t>.</w:t>
      </w:r>
    </w:p>
    <w:p w14:paraId="091DC990" w14:textId="06998E04" w:rsidR="00345E62" w:rsidRPr="00B25E57" w:rsidRDefault="00FB38C2" w:rsidP="00AD1D61">
      <w:pPr>
        <w:keepNext/>
        <w:keepLines/>
        <w:rPr>
          <w:sz w:val="21"/>
          <w:szCs w:val="21"/>
          <w:lang w:val="es-ES_tradnl"/>
        </w:rPr>
      </w:pPr>
      <w:r w:rsidRPr="00B25E57">
        <w:rPr>
          <w:b/>
          <w:sz w:val="21"/>
          <w:szCs w:val="21"/>
          <w:lang w:val="es-ES_tradnl"/>
        </w:rPr>
        <w:t>Cuadro</w:t>
      </w:r>
      <w:r w:rsidR="003A46A1" w:rsidRPr="00B25E57">
        <w:rPr>
          <w:b/>
          <w:sz w:val="21"/>
          <w:szCs w:val="21"/>
          <w:lang w:val="es-ES_tradnl"/>
        </w:rPr>
        <w:t xml:space="preserve"> </w:t>
      </w:r>
      <w:r w:rsidR="00317215" w:rsidRPr="00B25E57">
        <w:rPr>
          <w:b/>
          <w:sz w:val="21"/>
          <w:szCs w:val="21"/>
          <w:lang w:val="es-ES_tradnl"/>
        </w:rPr>
        <w:t>12</w:t>
      </w:r>
      <w:r w:rsidR="00345E62" w:rsidRPr="00B25E57">
        <w:rPr>
          <w:b/>
          <w:sz w:val="21"/>
          <w:szCs w:val="21"/>
          <w:lang w:val="es-ES_tradnl"/>
        </w:rPr>
        <w:t>.</w:t>
      </w:r>
      <w:r w:rsidR="003A46A1" w:rsidRPr="00B25E57">
        <w:rPr>
          <w:b/>
          <w:sz w:val="21"/>
          <w:szCs w:val="21"/>
          <w:lang w:val="es-ES_tradnl"/>
        </w:rPr>
        <w:t xml:space="preserve"> </w:t>
      </w:r>
      <w:r w:rsidR="00ED09CF">
        <w:rPr>
          <w:b/>
          <w:sz w:val="21"/>
          <w:szCs w:val="21"/>
          <w:lang w:val="es-ES_tradnl"/>
        </w:rPr>
        <w:t>Costo de la destrucción ex situ</w:t>
      </w:r>
      <w:r w:rsidR="00697EA5">
        <w:rPr>
          <w:b/>
          <w:sz w:val="21"/>
          <w:szCs w:val="21"/>
          <w:lang w:val="es-ES_tradnl"/>
        </w:rPr>
        <w:t xml:space="preserve">, </w:t>
      </w:r>
      <w:r w:rsidR="00ED09CF">
        <w:rPr>
          <w:b/>
          <w:sz w:val="21"/>
          <w:szCs w:val="21"/>
          <w:lang w:val="es-ES_tradnl"/>
        </w:rPr>
        <w:t xml:space="preserve">con </w:t>
      </w:r>
      <w:r w:rsidR="00ED09CF" w:rsidRPr="00ED09CF">
        <w:rPr>
          <w:b/>
          <w:sz w:val="21"/>
          <w:szCs w:val="21"/>
          <w:lang w:val="es-ES_tradnl"/>
        </w:rPr>
        <w:t xml:space="preserve">cuatro años </w:t>
      </w:r>
      <w:r w:rsidR="009466CF">
        <w:rPr>
          <w:b/>
          <w:sz w:val="21"/>
          <w:szCs w:val="21"/>
          <w:lang w:val="es-ES_tradnl"/>
        </w:rPr>
        <w:t xml:space="preserve">de </w:t>
      </w:r>
      <w:r w:rsidR="009466CF" w:rsidRPr="009466CF">
        <w:rPr>
          <w:b/>
          <w:sz w:val="21"/>
          <w:szCs w:val="21"/>
          <w:lang w:val="es-ES_tradnl"/>
        </w:rPr>
        <w:t xml:space="preserve">sobrecostos de operación </w:t>
      </w:r>
      <w:r w:rsidR="004057BA" w:rsidRPr="00B25E57">
        <w:rPr>
          <w:b/>
          <w:sz w:val="21"/>
          <w:szCs w:val="21"/>
          <w:lang w:val="es-ES_tradnl"/>
        </w:rPr>
        <w:t>($EUA)</w:t>
      </w:r>
    </w:p>
    <w:tbl>
      <w:tblPr>
        <w:tblW w:w="5000" w:type="pct"/>
        <w:tblLayout w:type="fixed"/>
        <w:tblLook w:val="04A0" w:firstRow="1" w:lastRow="0" w:firstColumn="1" w:lastColumn="0" w:noHBand="0" w:noVBand="1"/>
      </w:tblPr>
      <w:tblGrid>
        <w:gridCol w:w="3575"/>
        <w:gridCol w:w="1201"/>
        <w:gridCol w:w="1200"/>
        <w:gridCol w:w="1200"/>
        <w:gridCol w:w="1200"/>
        <w:gridCol w:w="1200"/>
      </w:tblGrid>
      <w:tr w:rsidR="00DA6338" w:rsidRPr="00B25E57" w14:paraId="6158B82F" w14:textId="77777777" w:rsidTr="00DA6338">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A5494" w14:textId="591497B0" w:rsidR="00DA6338" w:rsidRPr="00B25E57" w:rsidRDefault="004241C5" w:rsidP="00AD1D61">
            <w:pPr>
              <w:keepNext/>
              <w:keepLines/>
              <w:jc w:val="left"/>
              <w:rPr>
                <w:b/>
                <w:color w:val="000000"/>
                <w:sz w:val="21"/>
                <w:szCs w:val="21"/>
                <w:lang w:val="es-ES_tradnl" w:eastAsia="en-CA"/>
              </w:rPr>
            </w:pPr>
            <w:r w:rsidRPr="00B25E57">
              <w:rPr>
                <w:b/>
                <w:color w:val="000000"/>
                <w:sz w:val="21"/>
                <w:szCs w:val="21"/>
                <w:lang w:val="es-ES_tradnl" w:eastAsia="en-CA"/>
              </w:rPr>
              <w:t>Descripción</w:t>
            </w:r>
          </w:p>
        </w:tc>
        <w:tc>
          <w:tcPr>
            <w:tcW w:w="1172" w:type="dxa"/>
            <w:tcBorders>
              <w:top w:val="single" w:sz="4" w:space="0" w:color="auto"/>
              <w:left w:val="nil"/>
              <w:bottom w:val="single" w:sz="4" w:space="0" w:color="auto"/>
              <w:right w:val="single" w:sz="4" w:space="0" w:color="auto"/>
            </w:tcBorders>
            <w:shd w:val="clear" w:color="auto" w:fill="auto"/>
            <w:noWrap/>
            <w:hideMark/>
          </w:tcPr>
          <w:p w14:paraId="2B1BA59B" w14:textId="77777777" w:rsidR="00DA6338" w:rsidRPr="00B25E57" w:rsidRDefault="00DA6338" w:rsidP="00AD1D61">
            <w:pPr>
              <w:keepNext/>
              <w:keepLines/>
              <w:jc w:val="center"/>
              <w:rPr>
                <w:b/>
                <w:color w:val="000000"/>
                <w:sz w:val="21"/>
                <w:szCs w:val="21"/>
                <w:lang w:val="es-ES_tradnl" w:eastAsia="en-CA"/>
              </w:rPr>
            </w:pPr>
            <w:r w:rsidRPr="00B25E57">
              <w:rPr>
                <w:b/>
                <w:color w:val="000000"/>
                <w:sz w:val="21"/>
                <w:szCs w:val="21"/>
                <w:lang w:val="es-ES_tradnl" w:eastAsia="en-CA"/>
              </w:rPr>
              <w:t>2019</w:t>
            </w:r>
          </w:p>
        </w:tc>
        <w:tc>
          <w:tcPr>
            <w:tcW w:w="1172" w:type="dxa"/>
            <w:tcBorders>
              <w:top w:val="single" w:sz="4" w:space="0" w:color="auto"/>
              <w:left w:val="nil"/>
              <w:bottom w:val="single" w:sz="4" w:space="0" w:color="auto"/>
              <w:right w:val="single" w:sz="4" w:space="0" w:color="auto"/>
            </w:tcBorders>
            <w:shd w:val="clear" w:color="auto" w:fill="auto"/>
            <w:noWrap/>
            <w:hideMark/>
          </w:tcPr>
          <w:p w14:paraId="5EACFE1A" w14:textId="77777777" w:rsidR="00DA6338" w:rsidRPr="00B25E57" w:rsidRDefault="00DA6338" w:rsidP="00AD1D61">
            <w:pPr>
              <w:keepNext/>
              <w:keepLines/>
              <w:jc w:val="center"/>
              <w:rPr>
                <w:b/>
                <w:color w:val="000000"/>
                <w:sz w:val="21"/>
                <w:szCs w:val="21"/>
                <w:lang w:val="es-ES_tradnl" w:eastAsia="en-CA"/>
              </w:rPr>
            </w:pPr>
            <w:r w:rsidRPr="00B25E57">
              <w:rPr>
                <w:b/>
                <w:color w:val="000000"/>
                <w:sz w:val="21"/>
                <w:szCs w:val="21"/>
                <w:lang w:val="es-ES_tradnl" w:eastAsia="en-CA"/>
              </w:rPr>
              <w:t>2020</w:t>
            </w:r>
          </w:p>
        </w:tc>
        <w:tc>
          <w:tcPr>
            <w:tcW w:w="1172" w:type="dxa"/>
            <w:tcBorders>
              <w:top w:val="single" w:sz="4" w:space="0" w:color="auto"/>
              <w:left w:val="nil"/>
              <w:bottom w:val="single" w:sz="4" w:space="0" w:color="auto"/>
              <w:right w:val="single" w:sz="4" w:space="0" w:color="auto"/>
            </w:tcBorders>
            <w:shd w:val="clear" w:color="auto" w:fill="auto"/>
            <w:noWrap/>
            <w:hideMark/>
          </w:tcPr>
          <w:p w14:paraId="2D9D20A2" w14:textId="77777777" w:rsidR="00DA6338" w:rsidRPr="00B25E57" w:rsidRDefault="00DA6338" w:rsidP="00AD1D61">
            <w:pPr>
              <w:keepNext/>
              <w:keepLines/>
              <w:jc w:val="center"/>
              <w:rPr>
                <w:b/>
                <w:color w:val="000000"/>
                <w:sz w:val="21"/>
                <w:szCs w:val="21"/>
                <w:lang w:val="es-ES_tradnl" w:eastAsia="en-CA"/>
              </w:rPr>
            </w:pPr>
            <w:r w:rsidRPr="00B25E57">
              <w:rPr>
                <w:b/>
                <w:color w:val="000000"/>
                <w:sz w:val="21"/>
                <w:szCs w:val="21"/>
                <w:lang w:val="es-ES_tradnl" w:eastAsia="en-CA"/>
              </w:rPr>
              <w:t>2021</w:t>
            </w:r>
          </w:p>
        </w:tc>
        <w:tc>
          <w:tcPr>
            <w:tcW w:w="1172" w:type="dxa"/>
            <w:tcBorders>
              <w:top w:val="single" w:sz="4" w:space="0" w:color="auto"/>
              <w:left w:val="nil"/>
              <w:bottom w:val="single" w:sz="4" w:space="0" w:color="auto"/>
              <w:right w:val="single" w:sz="4" w:space="0" w:color="auto"/>
            </w:tcBorders>
            <w:shd w:val="clear" w:color="auto" w:fill="auto"/>
            <w:noWrap/>
            <w:hideMark/>
          </w:tcPr>
          <w:p w14:paraId="7FF9C3FC" w14:textId="77777777" w:rsidR="00DA6338" w:rsidRPr="00B25E57" w:rsidRDefault="00DA6338" w:rsidP="00AD1D61">
            <w:pPr>
              <w:keepNext/>
              <w:keepLines/>
              <w:jc w:val="center"/>
              <w:rPr>
                <w:b/>
                <w:color w:val="000000"/>
                <w:sz w:val="21"/>
                <w:szCs w:val="21"/>
                <w:lang w:val="es-ES_tradnl" w:eastAsia="en-CA"/>
              </w:rPr>
            </w:pPr>
            <w:r w:rsidRPr="00B25E57">
              <w:rPr>
                <w:b/>
                <w:color w:val="000000"/>
                <w:sz w:val="21"/>
                <w:szCs w:val="21"/>
                <w:lang w:val="es-ES_tradnl" w:eastAsia="en-CA"/>
              </w:rPr>
              <w:t>2022</w:t>
            </w:r>
          </w:p>
        </w:tc>
        <w:tc>
          <w:tcPr>
            <w:tcW w:w="1172" w:type="dxa"/>
            <w:tcBorders>
              <w:top w:val="single" w:sz="4" w:space="0" w:color="auto"/>
              <w:left w:val="nil"/>
              <w:bottom w:val="single" w:sz="4" w:space="0" w:color="auto"/>
              <w:right w:val="single" w:sz="4" w:space="0" w:color="auto"/>
            </w:tcBorders>
            <w:shd w:val="clear" w:color="auto" w:fill="auto"/>
            <w:noWrap/>
            <w:hideMark/>
          </w:tcPr>
          <w:p w14:paraId="2BE09249" w14:textId="77777777" w:rsidR="00DA6338" w:rsidRPr="00B25E57" w:rsidRDefault="00DA6338" w:rsidP="00AD1D61">
            <w:pPr>
              <w:keepNext/>
              <w:keepLines/>
              <w:jc w:val="center"/>
              <w:rPr>
                <w:b/>
                <w:color w:val="000000"/>
                <w:sz w:val="21"/>
                <w:szCs w:val="21"/>
                <w:lang w:val="es-ES_tradnl" w:eastAsia="en-CA"/>
              </w:rPr>
            </w:pPr>
            <w:r w:rsidRPr="00B25E57">
              <w:rPr>
                <w:b/>
                <w:color w:val="000000"/>
                <w:sz w:val="21"/>
                <w:szCs w:val="21"/>
                <w:lang w:val="es-ES_tradnl" w:eastAsia="en-CA"/>
              </w:rPr>
              <w:t>2023</w:t>
            </w:r>
          </w:p>
        </w:tc>
      </w:tr>
      <w:tr w:rsidR="00DA6338" w:rsidRPr="00B25E57" w14:paraId="6AC1C19B" w14:textId="77777777" w:rsidTr="00DA6338">
        <w:tc>
          <w:tcPr>
            <w:tcW w:w="3490" w:type="dxa"/>
            <w:tcBorders>
              <w:top w:val="nil"/>
              <w:left w:val="single" w:sz="4" w:space="0" w:color="auto"/>
              <w:bottom w:val="single" w:sz="4" w:space="0" w:color="auto"/>
              <w:right w:val="single" w:sz="4" w:space="0" w:color="auto"/>
            </w:tcBorders>
            <w:shd w:val="clear" w:color="auto" w:fill="auto"/>
            <w:noWrap/>
            <w:hideMark/>
          </w:tcPr>
          <w:p w14:paraId="239ECFB9" w14:textId="6AACF263" w:rsidR="00DA6338" w:rsidRPr="00B25E57" w:rsidRDefault="00B25E57" w:rsidP="00AD1D61">
            <w:pPr>
              <w:keepNext/>
              <w:keepLines/>
              <w:jc w:val="left"/>
              <w:rPr>
                <w:color w:val="000000"/>
                <w:sz w:val="21"/>
                <w:szCs w:val="21"/>
                <w:lang w:val="es-ES_tradnl" w:eastAsia="en-CA"/>
              </w:rPr>
            </w:pPr>
            <w:r>
              <w:rPr>
                <w:color w:val="000000"/>
                <w:sz w:val="21"/>
                <w:szCs w:val="21"/>
                <w:lang w:val="es-ES_tradnl" w:eastAsia="en-CA"/>
              </w:rPr>
              <w:t>Incineración</w:t>
            </w:r>
            <w:r w:rsidR="003A46A1" w:rsidRPr="00B25E57">
              <w:rPr>
                <w:color w:val="000000"/>
                <w:sz w:val="21"/>
                <w:szCs w:val="21"/>
                <w:lang w:val="es-ES_tradnl" w:eastAsia="en-CA"/>
              </w:rPr>
              <w:t xml:space="preserve"> </w:t>
            </w:r>
          </w:p>
        </w:tc>
        <w:tc>
          <w:tcPr>
            <w:tcW w:w="1172" w:type="dxa"/>
            <w:tcBorders>
              <w:top w:val="nil"/>
              <w:left w:val="nil"/>
              <w:bottom w:val="single" w:sz="4" w:space="0" w:color="auto"/>
              <w:right w:val="single" w:sz="4" w:space="0" w:color="auto"/>
            </w:tcBorders>
            <w:shd w:val="clear" w:color="auto" w:fill="auto"/>
            <w:noWrap/>
            <w:vAlign w:val="center"/>
            <w:hideMark/>
          </w:tcPr>
          <w:p w14:paraId="1E93AE39" w14:textId="77777777" w:rsidR="00DA6338" w:rsidRPr="00B25E57" w:rsidRDefault="00DA6338" w:rsidP="00AD1D61">
            <w:pPr>
              <w:keepNext/>
              <w:keepLines/>
              <w:jc w:val="right"/>
              <w:rPr>
                <w:color w:val="000000"/>
                <w:sz w:val="21"/>
                <w:szCs w:val="21"/>
                <w:lang w:val="es-ES_tradnl" w:eastAsia="en-CA"/>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7529" w14:textId="3CAC618C"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28</w:t>
            </w:r>
            <w:r w:rsidR="00FB38C2" w:rsidRPr="00B25E57">
              <w:rPr>
                <w:color w:val="000000"/>
                <w:sz w:val="21"/>
                <w:szCs w:val="21"/>
                <w:lang w:val="es-ES_tradnl"/>
              </w:rPr>
              <w:t>3.</w:t>
            </w:r>
            <w:r w:rsidRPr="00B25E57">
              <w:rPr>
                <w:color w:val="000000"/>
                <w:sz w:val="21"/>
                <w:szCs w:val="21"/>
                <w:lang w:val="es-ES_tradnl"/>
              </w:rPr>
              <w:t>682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748E5F10" w14:textId="430124A3"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28</w:t>
            </w:r>
            <w:r w:rsidR="00FB38C2" w:rsidRPr="00B25E57">
              <w:rPr>
                <w:color w:val="000000"/>
                <w:sz w:val="21"/>
                <w:szCs w:val="21"/>
                <w:lang w:val="es-ES_tradnl"/>
              </w:rPr>
              <w:t>3.</w:t>
            </w:r>
            <w:r w:rsidRPr="00B25E57">
              <w:rPr>
                <w:color w:val="000000"/>
                <w:sz w:val="21"/>
                <w:szCs w:val="21"/>
                <w:lang w:val="es-ES_tradnl"/>
              </w:rPr>
              <w:t>682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14E1D95C" w14:textId="50691093"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28</w:t>
            </w:r>
            <w:r w:rsidR="00FB38C2" w:rsidRPr="00B25E57">
              <w:rPr>
                <w:color w:val="000000"/>
                <w:sz w:val="21"/>
                <w:szCs w:val="21"/>
                <w:lang w:val="es-ES_tradnl"/>
              </w:rPr>
              <w:t>3.</w:t>
            </w:r>
            <w:r w:rsidRPr="00B25E57">
              <w:rPr>
                <w:color w:val="000000"/>
                <w:sz w:val="21"/>
                <w:szCs w:val="21"/>
                <w:lang w:val="es-ES_tradnl"/>
              </w:rPr>
              <w:t>682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375C4B4E" w14:textId="49893145"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28</w:t>
            </w:r>
            <w:r w:rsidR="00FB38C2" w:rsidRPr="00B25E57">
              <w:rPr>
                <w:color w:val="000000"/>
                <w:sz w:val="21"/>
                <w:szCs w:val="21"/>
                <w:lang w:val="es-ES_tradnl"/>
              </w:rPr>
              <w:t>3.</w:t>
            </w:r>
            <w:r w:rsidRPr="00B25E57">
              <w:rPr>
                <w:color w:val="000000"/>
                <w:sz w:val="21"/>
                <w:szCs w:val="21"/>
                <w:lang w:val="es-ES_tradnl"/>
              </w:rPr>
              <w:t>682</w:t>
            </w:r>
          </w:p>
        </w:tc>
      </w:tr>
      <w:tr w:rsidR="00DA6338" w:rsidRPr="00B25E57" w14:paraId="73C82BA4" w14:textId="77777777" w:rsidTr="00DA6338">
        <w:tc>
          <w:tcPr>
            <w:tcW w:w="3490" w:type="dxa"/>
            <w:tcBorders>
              <w:top w:val="nil"/>
              <w:left w:val="single" w:sz="4" w:space="0" w:color="auto"/>
              <w:bottom w:val="single" w:sz="4" w:space="0" w:color="auto"/>
              <w:right w:val="single" w:sz="4" w:space="0" w:color="auto"/>
            </w:tcBorders>
            <w:shd w:val="clear" w:color="auto" w:fill="auto"/>
            <w:noWrap/>
            <w:hideMark/>
          </w:tcPr>
          <w:p w14:paraId="262D4215" w14:textId="2C385377" w:rsidR="00DA6338" w:rsidRPr="00B25E57" w:rsidRDefault="00B22F7A" w:rsidP="00AD1D61">
            <w:pPr>
              <w:keepNext/>
              <w:keepLines/>
              <w:jc w:val="left"/>
              <w:rPr>
                <w:color w:val="000000"/>
                <w:sz w:val="21"/>
                <w:szCs w:val="21"/>
                <w:lang w:val="es-ES_tradnl" w:eastAsia="en-CA"/>
              </w:rPr>
            </w:pPr>
            <w:r>
              <w:rPr>
                <w:color w:val="000000"/>
                <w:sz w:val="21"/>
                <w:szCs w:val="21"/>
                <w:lang w:val="es-ES_tradnl" w:eastAsia="en-CA"/>
              </w:rPr>
              <w:t>Flete</w:t>
            </w:r>
          </w:p>
        </w:tc>
        <w:tc>
          <w:tcPr>
            <w:tcW w:w="1172" w:type="dxa"/>
            <w:tcBorders>
              <w:top w:val="nil"/>
              <w:left w:val="nil"/>
              <w:bottom w:val="single" w:sz="4" w:space="0" w:color="auto"/>
              <w:right w:val="single" w:sz="4" w:space="0" w:color="auto"/>
            </w:tcBorders>
            <w:shd w:val="clear" w:color="auto" w:fill="auto"/>
            <w:noWrap/>
            <w:vAlign w:val="center"/>
            <w:hideMark/>
          </w:tcPr>
          <w:p w14:paraId="314CF340"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hideMark/>
          </w:tcPr>
          <w:p w14:paraId="701CACFF" w14:textId="18E9F538"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10</w:t>
            </w:r>
            <w:r w:rsidR="00FB38C2" w:rsidRPr="00B25E57">
              <w:rPr>
                <w:color w:val="000000"/>
                <w:sz w:val="21"/>
                <w:szCs w:val="21"/>
                <w:lang w:val="es-ES_tradnl" w:eastAsia="en-CA"/>
              </w:rPr>
              <w:t>2.</w:t>
            </w:r>
            <w:r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1725AF2C" w14:textId="2B305B2A"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10</w:t>
            </w:r>
            <w:r w:rsidR="00FB38C2" w:rsidRPr="00B25E57">
              <w:rPr>
                <w:color w:val="000000"/>
                <w:sz w:val="21"/>
                <w:szCs w:val="21"/>
                <w:lang w:val="es-ES_tradnl" w:eastAsia="en-CA"/>
              </w:rPr>
              <w:t>2.</w:t>
            </w:r>
            <w:r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1BBDDA44" w14:textId="484AC488"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10</w:t>
            </w:r>
            <w:r w:rsidR="00FB38C2" w:rsidRPr="00B25E57">
              <w:rPr>
                <w:color w:val="000000"/>
                <w:sz w:val="21"/>
                <w:szCs w:val="21"/>
                <w:lang w:val="es-ES_tradnl" w:eastAsia="en-CA"/>
              </w:rPr>
              <w:t>2.</w:t>
            </w:r>
            <w:r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5D6B2DC8" w14:textId="16DC8F5B"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10</w:t>
            </w:r>
            <w:r w:rsidR="00FB38C2" w:rsidRPr="00B25E57">
              <w:rPr>
                <w:color w:val="000000"/>
                <w:sz w:val="21"/>
                <w:szCs w:val="21"/>
                <w:lang w:val="es-ES_tradnl" w:eastAsia="en-CA"/>
              </w:rPr>
              <w:t>2.</w:t>
            </w:r>
            <w:r w:rsidRPr="00B25E57">
              <w:rPr>
                <w:color w:val="000000"/>
                <w:sz w:val="21"/>
                <w:szCs w:val="21"/>
                <w:lang w:val="es-ES_tradnl" w:eastAsia="en-CA"/>
              </w:rPr>
              <w:t>000</w:t>
            </w:r>
          </w:p>
        </w:tc>
      </w:tr>
      <w:tr w:rsidR="00DA6338" w:rsidRPr="00B25E57" w14:paraId="4B6749BF" w14:textId="77777777" w:rsidTr="00DA6338">
        <w:tc>
          <w:tcPr>
            <w:tcW w:w="3490" w:type="dxa"/>
            <w:tcBorders>
              <w:top w:val="nil"/>
              <w:left w:val="single" w:sz="4" w:space="0" w:color="auto"/>
              <w:bottom w:val="single" w:sz="4" w:space="0" w:color="auto"/>
              <w:right w:val="single" w:sz="4" w:space="0" w:color="auto"/>
            </w:tcBorders>
            <w:shd w:val="clear" w:color="auto" w:fill="auto"/>
            <w:noWrap/>
            <w:hideMark/>
          </w:tcPr>
          <w:p w14:paraId="613F388C" w14:textId="61BF2116" w:rsidR="00DA6338" w:rsidRPr="00B25E57" w:rsidRDefault="00B16FA8" w:rsidP="00AD1D61">
            <w:pPr>
              <w:keepNext/>
              <w:keepLines/>
              <w:jc w:val="left"/>
              <w:rPr>
                <w:color w:val="000000"/>
                <w:sz w:val="21"/>
                <w:szCs w:val="21"/>
                <w:lang w:val="es-ES_tradnl" w:eastAsia="en-CA"/>
              </w:rPr>
            </w:pPr>
            <w:r>
              <w:rPr>
                <w:color w:val="000000"/>
                <w:sz w:val="21"/>
                <w:szCs w:val="21"/>
                <w:lang w:val="es-ES_tradnl" w:eastAsia="en-CA"/>
              </w:rPr>
              <w:t>Costos inspección</w:t>
            </w:r>
            <w:r w:rsidR="003A46A1" w:rsidRPr="00B25E57">
              <w:rPr>
                <w:color w:val="000000"/>
                <w:sz w:val="21"/>
                <w:szCs w:val="21"/>
                <w:lang w:val="es-ES_tradnl" w:eastAsia="en-CA"/>
              </w:rPr>
              <w:t xml:space="preserve"> </w:t>
            </w:r>
            <w:r>
              <w:rPr>
                <w:color w:val="000000"/>
                <w:sz w:val="21"/>
                <w:szCs w:val="21"/>
                <w:lang w:val="es-ES_tradnl" w:eastAsia="en-CA"/>
              </w:rPr>
              <w:t xml:space="preserve">y </w:t>
            </w:r>
            <w:r w:rsidR="004E05CA">
              <w:rPr>
                <w:color w:val="000000"/>
                <w:sz w:val="21"/>
                <w:szCs w:val="21"/>
                <w:lang w:val="es-ES_tradnl" w:eastAsia="en-CA"/>
              </w:rPr>
              <w:t xml:space="preserve">trámites </w:t>
            </w:r>
            <w:r>
              <w:rPr>
                <w:color w:val="000000"/>
                <w:sz w:val="21"/>
                <w:szCs w:val="21"/>
                <w:lang w:val="es-ES_tradnl" w:eastAsia="en-CA"/>
              </w:rPr>
              <w:t xml:space="preserve">para obtener </w:t>
            </w:r>
            <w:r w:rsidR="009F0A6B">
              <w:rPr>
                <w:color w:val="000000"/>
                <w:sz w:val="21"/>
                <w:szCs w:val="21"/>
                <w:lang w:val="es-ES_tradnl" w:eastAsia="en-CA"/>
              </w:rPr>
              <w:t>permisos</w:t>
            </w:r>
          </w:p>
        </w:tc>
        <w:tc>
          <w:tcPr>
            <w:tcW w:w="1172" w:type="dxa"/>
            <w:tcBorders>
              <w:top w:val="nil"/>
              <w:left w:val="nil"/>
              <w:bottom w:val="single" w:sz="4" w:space="0" w:color="auto"/>
              <w:right w:val="single" w:sz="4" w:space="0" w:color="auto"/>
            </w:tcBorders>
            <w:shd w:val="clear" w:color="auto" w:fill="auto"/>
            <w:noWrap/>
            <w:vAlign w:val="center"/>
            <w:hideMark/>
          </w:tcPr>
          <w:p w14:paraId="51694A5F"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hideMark/>
          </w:tcPr>
          <w:p w14:paraId="4F56ED7C" w14:textId="794A1752" w:rsidR="00DA6338"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3.</w:t>
            </w:r>
            <w:r w:rsidR="00DA6338"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54E1991E" w14:textId="495CED18" w:rsidR="00DA6338"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3.</w:t>
            </w:r>
            <w:r w:rsidR="00DA6338"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6DBC0364" w14:textId="6A35D043" w:rsidR="00DA6338"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3.</w:t>
            </w:r>
            <w:r w:rsidR="00DA6338"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hideMark/>
          </w:tcPr>
          <w:p w14:paraId="60DAF7F5" w14:textId="2D2B73E7" w:rsidR="00DA6338" w:rsidRPr="00B25E57" w:rsidRDefault="00FB38C2" w:rsidP="00AD1D61">
            <w:pPr>
              <w:keepNext/>
              <w:keepLines/>
              <w:jc w:val="right"/>
              <w:rPr>
                <w:color w:val="000000"/>
                <w:sz w:val="21"/>
                <w:szCs w:val="21"/>
                <w:lang w:val="es-ES_tradnl" w:eastAsia="en-CA"/>
              </w:rPr>
            </w:pPr>
            <w:r w:rsidRPr="00B25E57">
              <w:rPr>
                <w:color w:val="000000"/>
                <w:sz w:val="21"/>
                <w:szCs w:val="21"/>
                <w:lang w:val="es-ES_tradnl" w:eastAsia="en-CA"/>
              </w:rPr>
              <w:t>3.</w:t>
            </w:r>
            <w:r w:rsidR="00DA6338" w:rsidRPr="00B25E57">
              <w:rPr>
                <w:color w:val="000000"/>
                <w:sz w:val="21"/>
                <w:szCs w:val="21"/>
                <w:lang w:val="es-ES_tradnl" w:eastAsia="en-CA"/>
              </w:rPr>
              <w:t>000</w:t>
            </w:r>
          </w:p>
        </w:tc>
      </w:tr>
      <w:tr w:rsidR="00DA6338" w:rsidRPr="00B25E57" w14:paraId="381A2448" w14:textId="77777777" w:rsidTr="00DA6338">
        <w:tc>
          <w:tcPr>
            <w:tcW w:w="3490" w:type="dxa"/>
            <w:tcBorders>
              <w:top w:val="nil"/>
              <w:left w:val="single" w:sz="4" w:space="0" w:color="auto"/>
              <w:bottom w:val="single" w:sz="4" w:space="0" w:color="auto"/>
              <w:right w:val="single" w:sz="4" w:space="0" w:color="auto"/>
            </w:tcBorders>
            <w:shd w:val="clear" w:color="auto" w:fill="auto"/>
            <w:noWrap/>
            <w:hideMark/>
          </w:tcPr>
          <w:p w14:paraId="5484F2C3" w14:textId="653F0CAB" w:rsidR="00DA6338" w:rsidRPr="00B25E57" w:rsidRDefault="007D7382" w:rsidP="00AD1D61">
            <w:pPr>
              <w:keepNext/>
              <w:keepLines/>
              <w:jc w:val="left"/>
              <w:rPr>
                <w:color w:val="000000"/>
                <w:sz w:val="21"/>
                <w:szCs w:val="21"/>
                <w:lang w:val="es-ES_tradnl" w:eastAsia="en-CA"/>
              </w:rPr>
            </w:pPr>
            <w:r w:rsidRPr="00B25E57">
              <w:rPr>
                <w:color w:val="000000"/>
                <w:sz w:val="21"/>
                <w:szCs w:val="21"/>
                <w:lang w:val="es-ES_tradnl" w:eastAsia="en-CA"/>
              </w:rPr>
              <w:t>Supervisión</w:t>
            </w:r>
          </w:p>
        </w:tc>
        <w:tc>
          <w:tcPr>
            <w:tcW w:w="1172" w:type="dxa"/>
            <w:tcBorders>
              <w:top w:val="nil"/>
              <w:left w:val="nil"/>
              <w:bottom w:val="single" w:sz="4" w:space="0" w:color="auto"/>
              <w:right w:val="single" w:sz="4" w:space="0" w:color="auto"/>
            </w:tcBorders>
            <w:shd w:val="clear" w:color="auto" w:fill="auto"/>
            <w:noWrap/>
            <w:vAlign w:val="center"/>
            <w:hideMark/>
          </w:tcPr>
          <w:p w14:paraId="0B61FC88"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hideMark/>
          </w:tcPr>
          <w:p w14:paraId="4921B124" w14:textId="6F307494" w:rsidR="00DA6338" w:rsidRPr="00B25E57" w:rsidRDefault="004241C5" w:rsidP="00AD1D61">
            <w:pPr>
              <w:keepNext/>
              <w:keepLines/>
              <w:jc w:val="right"/>
              <w:rPr>
                <w:color w:val="000000"/>
                <w:sz w:val="21"/>
                <w:szCs w:val="21"/>
                <w:lang w:val="es-ES_tradnl" w:eastAsia="en-CA"/>
              </w:rPr>
            </w:pPr>
            <w:r w:rsidRPr="00B25E57">
              <w:rPr>
                <w:color w:val="000000"/>
                <w:sz w:val="21"/>
                <w:szCs w:val="21"/>
                <w:lang w:val="es-ES_tradnl" w:eastAsia="en-CA"/>
              </w:rPr>
              <w:t>8.</w:t>
            </w:r>
            <w:r w:rsidR="00DA6338" w:rsidRPr="00B25E57">
              <w:rPr>
                <w:color w:val="000000"/>
                <w:sz w:val="21"/>
                <w:szCs w:val="21"/>
                <w:lang w:val="es-ES_tradnl" w:eastAsia="en-CA"/>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2C9593B6" w14:textId="4E2E2AA7" w:rsidR="00DA6338" w:rsidRPr="00B25E57" w:rsidRDefault="004241C5" w:rsidP="00AD1D61">
            <w:pPr>
              <w:keepNext/>
              <w:keepLines/>
              <w:jc w:val="right"/>
              <w:rPr>
                <w:color w:val="000000"/>
                <w:sz w:val="21"/>
                <w:szCs w:val="21"/>
                <w:lang w:val="es-ES_tradnl" w:eastAsia="en-CA"/>
              </w:rPr>
            </w:pPr>
            <w:r w:rsidRPr="00B25E57">
              <w:rPr>
                <w:color w:val="000000"/>
                <w:sz w:val="21"/>
                <w:szCs w:val="21"/>
                <w:lang w:val="es-ES_tradnl" w:eastAsia="en-CA"/>
              </w:rPr>
              <w:t>8.</w:t>
            </w:r>
            <w:r w:rsidR="00DA6338" w:rsidRPr="00B25E57">
              <w:rPr>
                <w:color w:val="000000"/>
                <w:sz w:val="21"/>
                <w:szCs w:val="21"/>
                <w:lang w:val="es-ES_tradnl" w:eastAsia="en-CA"/>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01507A99" w14:textId="62839C7E" w:rsidR="00DA6338" w:rsidRPr="00B25E57" w:rsidRDefault="004241C5" w:rsidP="00AD1D61">
            <w:pPr>
              <w:keepNext/>
              <w:keepLines/>
              <w:jc w:val="right"/>
              <w:rPr>
                <w:color w:val="000000"/>
                <w:sz w:val="21"/>
                <w:szCs w:val="21"/>
                <w:lang w:val="es-ES_tradnl" w:eastAsia="en-CA"/>
              </w:rPr>
            </w:pPr>
            <w:r w:rsidRPr="00B25E57">
              <w:rPr>
                <w:color w:val="000000"/>
                <w:sz w:val="21"/>
                <w:szCs w:val="21"/>
                <w:lang w:val="es-ES_tradnl" w:eastAsia="en-CA"/>
              </w:rPr>
              <w:t>8.</w:t>
            </w:r>
            <w:r w:rsidR="00DA6338" w:rsidRPr="00B25E57">
              <w:rPr>
                <w:color w:val="000000"/>
                <w:sz w:val="21"/>
                <w:szCs w:val="21"/>
                <w:lang w:val="es-ES_tradnl" w:eastAsia="en-CA"/>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077BEC05" w14:textId="18442648" w:rsidR="00DA6338" w:rsidRPr="00B25E57" w:rsidRDefault="004241C5" w:rsidP="00AD1D61">
            <w:pPr>
              <w:keepNext/>
              <w:keepLines/>
              <w:jc w:val="right"/>
              <w:rPr>
                <w:color w:val="000000"/>
                <w:sz w:val="21"/>
                <w:szCs w:val="21"/>
                <w:lang w:val="es-ES_tradnl" w:eastAsia="en-CA"/>
              </w:rPr>
            </w:pPr>
            <w:r w:rsidRPr="00B25E57">
              <w:rPr>
                <w:color w:val="000000"/>
                <w:sz w:val="21"/>
                <w:szCs w:val="21"/>
                <w:lang w:val="es-ES_tradnl" w:eastAsia="en-CA"/>
              </w:rPr>
              <w:t>8.</w:t>
            </w:r>
            <w:r w:rsidR="00DA6338" w:rsidRPr="00B25E57">
              <w:rPr>
                <w:color w:val="000000"/>
                <w:sz w:val="21"/>
                <w:szCs w:val="21"/>
                <w:lang w:val="es-ES_tradnl" w:eastAsia="en-CA"/>
              </w:rPr>
              <w:t>400</w:t>
            </w:r>
          </w:p>
        </w:tc>
      </w:tr>
      <w:tr w:rsidR="00DA6338" w:rsidRPr="00B25E57" w14:paraId="08524107" w14:textId="77777777" w:rsidTr="00DA6338">
        <w:tc>
          <w:tcPr>
            <w:tcW w:w="3490" w:type="dxa"/>
            <w:tcBorders>
              <w:top w:val="nil"/>
              <w:left w:val="single" w:sz="4" w:space="0" w:color="auto"/>
              <w:bottom w:val="single" w:sz="4" w:space="0" w:color="auto"/>
              <w:right w:val="single" w:sz="4" w:space="0" w:color="auto"/>
            </w:tcBorders>
            <w:shd w:val="clear" w:color="auto" w:fill="auto"/>
            <w:noWrap/>
          </w:tcPr>
          <w:p w14:paraId="5DEEA06E" w14:textId="3CF6E019" w:rsidR="00DA6338" w:rsidRPr="00B25E57" w:rsidRDefault="00DA6338" w:rsidP="00AD1D61">
            <w:pPr>
              <w:keepNext/>
              <w:keepLines/>
              <w:jc w:val="left"/>
              <w:rPr>
                <w:color w:val="000000"/>
                <w:sz w:val="21"/>
                <w:szCs w:val="21"/>
                <w:lang w:val="es-ES_tradnl" w:eastAsia="en-CA"/>
              </w:rPr>
            </w:pPr>
            <w:r w:rsidRPr="00B25E57">
              <w:rPr>
                <w:color w:val="000000"/>
                <w:sz w:val="21"/>
                <w:szCs w:val="21"/>
                <w:lang w:val="es-ES_tradnl" w:eastAsia="en-CA"/>
              </w:rPr>
              <w:t>Iso</w:t>
            </w:r>
            <w:r w:rsidR="008A3316" w:rsidRPr="00B25E57">
              <w:rPr>
                <w:color w:val="000000"/>
                <w:sz w:val="21"/>
                <w:szCs w:val="21"/>
                <w:lang w:val="es-ES_tradnl" w:eastAsia="en-CA"/>
              </w:rPr>
              <w:t>tanques</w:t>
            </w:r>
            <w:r w:rsidR="003A46A1" w:rsidRPr="00B25E57">
              <w:rPr>
                <w:color w:val="000000"/>
                <w:sz w:val="21"/>
                <w:szCs w:val="21"/>
                <w:lang w:val="es-ES_tradnl" w:eastAsia="en-CA"/>
              </w:rPr>
              <w:t xml:space="preserve"> </w:t>
            </w:r>
            <w:r w:rsidR="00FB38C2" w:rsidRPr="00B25E57">
              <w:rPr>
                <w:color w:val="000000"/>
                <w:sz w:val="21"/>
                <w:szCs w:val="21"/>
                <w:lang w:val="es-ES_tradnl" w:eastAsia="en-CA"/>
              </w:rPr>
              <w:t>y</w:t>
            </w:r>
            <w:r w:rsidR="003A46A1" w:rsidRPr="00B25E57">
              <w:rPr>
                <w:color w:val="000000"/>
                <w:sz w:val="21"/>
                <w:szCs w:val="21"/>
                <w:lang w:val="es-ES_tradnl" w:eastAsia="en-CA"/>
              </w:rPr>
              <w:t xml:space="preserve"> </w:t>
            </w:r>
            <w:r w:rsidR="00F33C58" w:rsidRPr="00B25E57">
              <w:rPr>
                <w:color w:val="000000"/>
                <w:sz w:val="21"/>
                <w:szCs w:val="21"/>
                <w:lang w:val="es-ES_tradnl" w:eastAsia="en-CA"/>
              </w:rPr>
              <w:t>compresor</w:t>
            </w:r>
          </w:p>
        </w:tc>
        <w:tc>
          <w:tcPr>
            <w:tcW w:w="1172" w:type="dxa"/>
            <w:tcBorders>
              <w:top w:val="nil"/>
              <w:left w:val="nil"/>
              <w:bottom w:val="single" w:sz="4" w:space="0" w:color="auto"/>
              <w:right w:val="single" w:sz="4" w:space="0" w:color="auto"/>
            </w:tcBorders>
            <w:shd w:val="clear" w:color="auto" w:fill="auto"/>
            <w:noWrap/>
            <w:vAlign w:val="center"/>
          </w:tcPr>
          <w:p w14:paraId="268D7C05" w14:textId="0EA128D0"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48</w:t>
            </w:r>
            <w:r w:rsidR="00FB38C2" w:rsidRPr="00B25E57">
              <w:rPr>
                <w:color w:val="000000"/>
                <w:sz w:val="21"/>
                <w:szCs w:val="21"/>
                <w:lang w:val="es-ES_tradnl" w:eastAsia="en-CA"/>
              </w:rPr>
              <w:t>0.</w:t>
            </w:r>
            <w:r w:rsidRPr="00B25E57">
              <w:rPr>
                <w:color w:val="000000"/>
                <w:sz w:val="21"/>
                <w:szCs w:val="21"/>
                <w:lang w:val="es-ES_tradnl" w:eastAsia="en-CA"/>
              </w:rPr>
              <w:t>000</w:t>
            </w:r>
          </w:p>
        </w:tc>
        <w:tc>
          <w:tcPr>
            <w:tcW w:w="1172" w:type="dxa"/>
            <w:tcBorders>
              <w:top w:val="nil"/>
              <w:left w:val="nil"/>
              <w:bottom w:val="single" w:sz="4" w:space="0" w:color="auto"/>
              <w:right w:val="single" w:sz="4" w:space="0" w:color="auto"/>
            </w:tcBorders>
            <w:shd w:val="clear" w:color="auto" w:fill="auto"/>
            <w:noWrap/>
            <w:vAlign w:val="center"/>
          </w:tcPr>
          <w:p w14:paraId="1CDBA06A"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tcPr>
          <w:p w14:paraId="30A5B8C2"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tcPr>
          <w:p w14:paraId="60ADB16F" w14:textId="77777777" w:rsidR="00DA6338" w:rsidRPr="00B25E57" w:rsidRDefault="00DA6338" w:rsidP="00AD1D61">
            <w:pPr>
              <w:keepNext/>
              <w:keepLines/>
              <w:jc w:val="right"/>
              <w:rPr>
                <w:color w:val="000000"/>
                <w:sz w:val="21"/>
                <w:szCs w:val="21"/>
                <w:lang w:val="es-ES_tradnl" w:eastAsia="en-CA"/>
              </w:rPr>
            </w:pPr>
          </w:p>
        </w:tc>
        <w:tc>
          <w:tcPr>
            <w:tcW w:w="1172" w:type="dxa"/>
            <w:tcBorders>
              <w:top w:val="nil"/>
              <w:left w:val="nil"/>
              <w:bottom w:val="single" w:sz="4" w:space="0" w:color="auto"/>
              <w:right w:val="single" w:sz="4" w:space="0" w:color="auto"/>
            </w:tcBorders>
            <w:shd w:val="clear" w:color="auto" w:fill="auto"/>
            <w:noWrap/>
            <w:vAlign w:val="center"/>
          </w:tcPr>
          <w:p w14:paraId="027CC9B1" w14:textId="77777777" w:rsidR="00DA6338" w:rsidRPr="00B25E57" w:rsidRDefault="00DA6338" w:rsidP="00AD1D61">
            <w:pPr>
              <w:keepNext/>
              <w:keepLines/>
              <w:jc w:val="right"/>
              <w:rPr>
                <w:color w:val="000000"/>
                <w:sz w:val="21"/>
                <w:szCs w:val="21"/>
                <w:lang w:val="es-ES_tradnl" w:eastAsia="en-CA"/>
              </w:rPr>
            </w:pPr>
          </w:p>
        </w:tc>
      </w:tr>
      <w:tr w:rsidR="00DA6338" w:rsidRPr="00B25E57" w14:paraId="7F7E2392" w14:textId="77777777" w:rsidTr="00DA6338">
        <w:tc>
          <w:tcPr>
            <w:tcW w:w="3490" w:type="dxa"/>
            <w:tcBorders>
              <w:top w:val="nil"/>
              <w:left w:val="single" w:sz="4" w:space="0" w:color="auto"/>
              <w:bottom w:val="single" w:sz="4" w:space="0" w:color="auto"/>
              <w:right w:val="single" w:sz="4" w:space="0" w:color="auto"/>
            </w:tcBorders>
            <w:shd w:val="clear" w:color="auto" w:fill="auto"/>
            <w:noWrap/>
            <w:hideMark/>
          </w:tcPr>
          <w:p w14:paraId="56956616" w14:textId="17174799" w:rsidR="00DA6338" w:rsidRPr="00B25E57" w:rsidRDefault="00DA6338" w:rsidP="00AD1D61">
            <w:pPr>
              <w:keepNext/>
              <w:keepLines/>
              <w:jc w:val="left"/>
              <w:rPr>
                <w:color w:val="000000"/>
                <w:sz w:val="21"/>
                <w:szCs w:val="21"/>
                <w:lang w:val="es-ES_tradnl" w:eastAsia="en-CA"/>
              </w:rPr>
            </w:pPr>
            <w:r w:rsidRPr="00B25E57">
              <w:rPr>
                <w:color w:val="000000"/>
                <w:sz w:val="21"/>
                <w:szCs w:val="21"/>
                <w:lang w:val="es-ES_tradnl" w:eastAsia="en-CA"/>
              </w:rPr>
              <w:t>Total</w:t>
            </w:r>
            <w:r w:rsidR="003A46A1" w:rsidRPr="00B25E57">
              <w:rPr>
                <w:color w:val="000000"/>
                <w:sz w:val="21"/>
                <w:szCs w:val="21"/>
                <w:lang w:val="es-ES_tradnl" w:eastAsia="en-CA"/>
              </w:rPr>
              <w:t xml:space="preserve"> </w:t>
            </w:r>
            <w:r w:rsidR="000E303F">
              <w:rPr>
                <w:color w:val="000000"/>
                <w:sz w:val="21"/>
                <w:szCs w:val="21"/>
                <w:lang w:val="es-ES_tradnl" w:eastAsia="en-CA"/>
              </w:rPr>
              <w:t>tramo anual</w:t>
            </w:r>
          </w:p>
        </w:tc>
        <w:tc>
          <w:tcPr>
            <w:tcW w:w="1172" w:type="dxa"/>
            <w:tcBorders>
              <w:top w:val="nil"/>
              <w:left w:val="nil"/>
              <w:bottom w:val="single" w:sz="4" w:space="0" w:color="auto"/>
              <w:right w:val="single" w:sz="4" w:space="0" w:color="auto"/>
            </w:tcBorders>
            <w:shd w:val="clear" w:color="auto" w:fill="auto"/>
            <w:noWrap/>
            <w:vAlign w:val="center"/>
            <w:hideMark/>
          </w:tcPr>
          <w:p w14:paraId="3C7A41D5" w14:textId="4D22D10E" w:rsidR="00DA6338" w:rsidRPr="00B25E57" w:rsidRDefault="00DA6338" w:rsidP="00AD1D61">
            <w:pPr>
              <w:keepNext/>
              <w:keepLines/>
              <w:jc w:val="right"/>
              <w:rPr>
                <w:color w:val="000000"/>
                <w:sz w:val="21"/>
                <w:szCs w:val="21"/>
                <w:lang w:val="es-ES_tradnl" w:eastAsia="en-CA"/>
              </w:rPr>
            </w:pPr>
            <w:r w:rsidRPr="00B25E57">
              <w:rPr>
                <w:color w:val="000000"/>
                <w:sz w:val="21"/>
                <w:szCs w:val="21"/>
                <w:lang w:val="es-ES_tradnl" w:eastAsia="en-CA"/>
              </w:rPr>
              <w:t>48</w:t>
            </w:r>
            <w:r w:rsidR="00FB38C2" w:rsidRPr="00B25E57">
              <w:rPr>
                <w:color w:val="000000"/>
                <w:sz w:val="21"/>
                <w:szCs w:val="21"/>
                <w:lang w:val="es-ES_tradnl" w:eastAsia="en-CA"/>
              </w:rPr>
              <w:t>0.</w:t>
            </w:r>
            <w:r w:rsidRPr="00B25E57">
              <w:rPr>
                <w:color w:val="000000"/>
                <w:sz w:val="21"/>
                <w:szCs w:val="21"/>
                <w:lang w:val="es-ES_tradnl" w:eastAsia="en-CA"/>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6FDB" w14:textId="48F4E1ED"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39</w:t>
            </w:r>
            <w:r w:rsidR="004241C5" w:rsidRPr="00B25E57">
              <w:rPr>
                <w:color w:val="000000"/>
                <w:sz w:val="21"/>
                <w:szCs w:val="21"/>
                <w:lang w:val="es-ES_tradnl"/>
              </w:rPr>
              <w:t>7.</w:t>
            </w:r>
            <w:r w:rsidRPr="00B25E57">
              <w:rPr>
                <w:color w:val="000000"/>
                <w:sz w:val="21"/>
                <w:szCs w:val="21"/>
                <w:lang w:val="es-ES_tradnl"/>
              </w:rPr>
              <w:t>082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5E9BF87A" w14:textId="1D9B9337"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39</w:t>
            </w:r>
            <w:r w:rsidR="004241C5" w:rsidRPr="00B25E57">
              <w:rPr>
                <w:color w:val="000000"/>
                <w:sz w:val="21"/>
                <w:szCs w:val="21"/>
                <w:lang w:val="es-ES_tradnl"/>
              </w:rPr>
              <w:t>7.</w:t>
            </w:r>
            <w:r w:rsidRPr="00B25E57">
              <w:rPr>
                <w:color w:val="000000"/>
                <w:sz w:val="21"/>
                <w:szCs w:val="21"/>
                <w:lang w:val="es-ES_tradnl"/>
              </w:rPr>
              <w:t>082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20984AF2" w14:textId="56E23E84"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39</w:t>
            </w:r>
            <w:r w:rsidR="004241C5" w:rsidRPr="00B25E57">
              <w:rPr>
                <w:color w:val="000000"/>
                <w:sz w:val="21"/>
                <w:szCs w:val="21"/>
                <w:lang w:val="es-ES_tradnl"/>
              </w:rPr>
              <w:t>7.</w:t>
            </w:r>
            <w:r w:rsidRPr="00B25E57">
              <w:rPr>
                <w:color w:val="000000"/>
                <w:sz w:val="21"/>
                <w:szCs w:val="21"/>
                <w:lang w:val="es-ES_tradnl"/>
              </w:rPr>
              <w:t>082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0D7FEB9A" w14:textId="5325BC72" w:rsidR="00DA6338" w:rsidRPr="00B25E57" w:rsidRDefault="00DA6338" w:rsidP="00AD1D61">
            <w:pPr>
              <w:keepNext/>
              <w:keepLines/>
              <w:jc w:val="right"/>
              <w:rPr>
                <w:color w:val="000000"/>
                <w:sz w:val="21"/>
                <w:szCs w:val="21"/>
                <w:lang w:val="es-ES_tradnl"/>
              </w:rPr>
            </w:pPr>
            <w:r w:rsidRPr="00B25E57">
              <w:rPr>
                <w:color w:val="000000"/>
                <w:sz w:val="21"/>
                <w:szCs w:val="21"/>
                <w:lang w:val="es-ES_tradnl"/>
              </w:rPr>
              <w:t>39</w:t>
            </w:r>
            <w:r w:rsidR="004241C5" w:rsidRPr="00B25E57">
              <w:rPr>
                <w:color w:val="000000"/>
                <w:sz w:val="21"/>
                <w:szCs w:val="21"/>
                <w:lang w:val="es-ES_tradnl"/>
              </w:rPr>
              <w:t>7.</w:t>
            </w:r>
            <w:r w:rsidRPr="00B25E57">
              <w:rPr>
                <w:color w:val="000000"/>
                <w:sz w:val="21"/>
                <w:szCs w:val="21"/>
                <w:lang w:val="es-ES_tradnl"/>
              </w:rPr>
              <w:t>082</w:t>
            </w:r>
          </w:p>
        </w:tc>
      </w:tr>
    </w:tbl>
    <w:p w14:paraId="252793D3" w14:textId="77777777" w:rsidR="00345E62" w:rsidRPr="00B25E57" w:rsidRDefault="00345E62" w:rsidP="00345E62">
      <w:pPr>
        <w:rPr>
          <w:sz w:val="21"/>
          <w:szCs w:val="21"/>
          <w:lang w:val="es-ES_tradnl"/>
        </w:rPr>
      </w:pPr>
    </w:p>
    <w:p w14:paraId="7A5EBBD3" w14:textId="6BCEDD50" w:rsidR="00345E62" w:rsidRPr="00B25E57" w:rsidRDefault="00370D42" w:rsidP="00345E62">
      <w:pPr>
        <w:pStyle w:val="Heading1"/>
        <w:rPr>
          <w:lang w:val="es-ES_tradnl"/>
        </w:rPr>
      </w:pPr>
      <w:r>
        <w:rPr>
          <w:lang w:val="es-ES_tradnl"/>
        </w:rPr>
        <w:t xml:space="preserve">En </w:t>
      </w:r>
      <w:r w:rsidR="00567D61">
        <w:rPr>
          <w:lang w:val="es-ES_tradnl"/>
        </w:rPr>
        <w:t xml:space="preserve">caso </w:t>
      </w:r>
      <w:r>
        <w:rPr>
          <w:lang w:val="es-ES_tradnl"/>
        </w:rPr>
        <w:t xml:space="preserve">de que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5B0E3A">
        <w:rPr>
          <w:lang w:val="es-ES_tradnl"/>
        </w:rPr>
        <w:t>opte por</w:t>
      </w:r>
      <w:r w:rsidR="00481222">
        <w:rPr>
          <w:lang w:val="es-ES_tradnl"/>
        </w:rPr>
        <w:t xml:space="preserve"> un</w:t>
      </w:r>
      <w:r w:rsidR="003A46A1" w:rsidRPr="00B25E57">
        <w:rPr>
          <w:lang w:val="es-ES_tradnl"/>
        </w:rPr>
        <w:t xml:space="preserve"> </w:t>
      </w:r>
      <w:r>
        <w:rPr>
          <w:lang w:val="es-ES_tradnl"/>
        </w:rPr>
        <w:t>pago a suma alzada</w:t>
      </w:r>
      <w:r w:rsidR="00345E62" w:rsidRPr="00B25E57">
        <w:rPr>
          <w:lang w:val="es-ES_tradnl"/>
        </w:rPr>
        <w:t>,</w:t>
      </w:r>
      <w:r w:rsidR="003A46A1" w:rsidRPr="00B25E57">
        <w:rPr>
          <w:lang w:val="es-ES_tradnl"/>
        </w:rPr>
        <w:t xml:space="preserve"> </w:t>
      </w:r>
      <w:r w:rsidR="007B22B4" w:rsidRPr="00B25E57">
        <w:rPr>
          <w:lang w:val="es-ES_tradnl"/>
        </w:rPr>
        <w:t>en</w:t>
      </w:r>
      <w:r w:rsidR="003A46A1" w:rsidRPr="00B25E57">
        <w:rPr>
          <w:lang w:val="es-ES_tradnl"/>
        </w:rPr>
        <w:t xml:space="preserve"> </w:t>
      </w:r>
      <w:r w:rsidR="007B22B4" w:rsidRPr="00B25E57">
        <w:rPr>
          <w:lang w:val="es-ES_tradnl"/>
        </w:rPr>
        <w:t>el</w:t>
      </w:r>
      <w:r w:rsidR="003A46A1" w:rsidRPr="00B25E57">
        <w:rPr>
          <w:lang w:val="es-ES_tradnl"/>
        </w:rPr>
        <w:t xml:space="preserve"> </w:t>
      </w:r>
      <w:r w:rsidR="007B22B4" w:rsidRPr="00B25E57">
        <w:rPr>
          <w:lang w:val="es-ES_tradnl"/>
        </w:rPr>
        <w:t>entendido</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que</w:t>
      </w:r>
      <w:r w:rsidR="003A46A1" w:rsidRPr="00B25E57">
        <w:rPr>
          <w:lang w:val="es-ES_tradnl"/>
        </w:rPr>
        <w:t xml:space="preserve"> </w:t>
      </w:r>
      <w:r w:rsidR="004D78BD">
        <w:rPr>
          <w:lang w:val="es-ES_tradnl"/>
        </w:rPr>
        <w:t>la línea</w:t>
      </w:r>
      <w:r w:rsidR="00930E52">
        <w:rPr>
          <w:lang w:val="es-ES_tradnl"/>
        </w:rPr>
        <w:t xml:space="preserve"> de producción de HCFC-22</w:t>
      </w:r>
      <w:r w:rsidR="003A46A1" w:rsidRPr="00B25E57">
        <w:rPr>
          <w:lang w:val="es-ES_tradnl"/>
        </w:rPr>
        <w:t xml:space="preserve"> </w:t>
      </w:r>
      <w:r w:rsidR="00F7047B">
        <w:rPr>
          <w:lang w:val="es-ES_tradnl"/>
        </w:rPr>
        <w:t>de</w:t>
      </w:r>
      <w:r w:rsidR="0048577C">
        <w:rPr>
          <w:lang w:val="es-ES_tradnl"/>
        </w:rPr>
        <w:t xml:space="preserve"> FIASA</w:t>
      </w:r>
      <w:r w:rsidR="003A46A1" w:rsidRPr="00B25E57">
        <w:rPr>
          <w:lang w:val="es-ES_tradnl"/>
        </w:rPr>
        <w:t xml:space="preserve"> </w:t>
      </w:r>
      <w:r w:rsidR="005F1075">
        <w:rPr>
          <w:lang w:val="es-ES_tradnl"/>
        </w:rPr>
        <w:t>deja</w:t>
      </w:r>
      <w:r w:rsidR="00AE4949">
        <w:rPr>
          <w:lang w:val="es-ES_tradnl"/>
        </w:rPr>
        <w:t xml:space="preserve"> de </w:t>
      </w:r>
      <w:r w:rsidR="001C4888">
        <w:rPr>
          <w:lang w:val="es-ES_tradnl"/>
        </w:rPr>
        <w:t>funcionar</w:t>
      </w:r>
      <w:r w:rsidR="00AE4949">
        <w:rPr>
          <w:lang w:val="es-ES_tradnl"/>
        </w:rPr>
        <w:t xml:space="preserve"> al </w:t>
      </w:r>
      <w:r w:rsidR="00B25E57">
        <w:rPr>
          <w:lang w:val="es-ES_tradnl"/>
        </w:rPr>
        <w:t>1º de enero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2020</w:t>
      </w:r>
      <w:r w:rsidR="003A46A1" w:rsidRPr="00B25E57">
        <w:rPr>
          <w:lang w:val="es-ES_tradnl"/>
        </w:rPr>
        <w:t xml:space="preserve"> </w:t>
      </w:r>
      <w:r w:rsidR="00306A7C">
        <w:rPr>
          <w:lang w:val="es-ES_tradnl"/>
        </w:rPr>
        <w:t>para luego ser desmantelada</w:t>
      </w:r>
      <w:r w:rsidR="00BF500D">
        <w:rPr>
          <w:lang w:val="es-ES_tradnl"/>
        </w:rPr>
        <w:t xml:space="preserve"> y </w:t>
      </w:r>
      <w:r w:rsidR="00350C32">
        <w:rPr>
          <w:lang w:val="es-ES_tradnl"/>
        </w:rPr>
        <w:t xml:space="preserve">de que los </w:t>
      </w:r>
      <w:r w:rsidR="004241C5" w:rsidRPr="00B25E57">
        <w:rPr>
          <w:lang w:val="es-ES_tradnl"/>
        </w:rPr>
        <w:t>equipos</w:t>
      </w:r>
      <w:r w:rsidR="003A46A1" w:rsidRPr="00B25E57">
        <w:rPr>
          <w:lang w:val="es-ES_tradnl"/>
        </w:rPr>
        <w:t xml:space="preserve"> </w:t>
      </w:r>
      <w:r w:rsidR="00350C32">
        <w:rPr>
          <w:lang w:val="es-ES_tradnl"/>
        </w:rPr>
        <w:t xml:space="preserve">principales </w:t>
      </w:r>
      <w:r w:rsidR="00D02E4C">
        <w:rPr>
          <w:lang w:val="es-ES_tradnl"/>
        </w:rPr>
        <w:t>se</w:t>
      </w:r>
      <w:r w:rsidR="00D0523E">
        <w:rPr>
          <w:lang w:val="es-ES_tradnl"/>
        </w:rPr>
        <w:t xml:space="preserve"> </w:t>
      </w:r>
      <w:r w:rsidR="00D02E4C">
        <w:rPr>
          <w:lang w:val="es-ES_tradnl"/>
        </w:rPr>
        <w:t xml:space="preserve">destruyan </w:t>
      </w:r>
      <w:r w:rsidR="006C0CDD">
        <w:rPr>
          <w:lang w:val="es-ES_tradnl"/>
        </w:rPr>
        <w:t xml:space="preserve">de </w:t>
      </w:r>
      <w:r w:rsidR="00A30747">
        <w:rPr>
          <w:lang w:val="es-ES_tradnl"/>
        </w:rPr>
        <w:t>forma</w:t>
      </w:r>
      <w:r w:rsidR="006C0CDD">
        <w:rPr>
          <w:lang w:val="es-ES_tradnl"/>
        </w:rPr>
        <w:t xml:space="preserve"> documentada</w:t>
      </w:r>
      <w:r w:rsidR="00345E62" w:rsidRPr="00B25E57">
        <w:rPr>
          <w:lang w:val="es-ES_tradnl"/>
        </w:rPr>
        <w:t>,</w:t>
      </w:r>
      <w:r w:rsidR="003A46A1" w:rsidRPr="00B25E57">
        <w:rPr>
          <w:lang w:val="es-ES_tradnl"/>
        </w:rPr>
        <w:t xml:space="preserve"> </w:t>
      </w:r>
      <w:r w:rsidR="00297FD0" w:rsidRPr="00297FD0">
        <w:rPr>
          <w:lang w:val="es-ES_tradnl"/>
        </w:rPr>
        <w:t>el Cuadro 13</w:t>
      </w:r>
      <w:r w:rsidR="00297FD0">
        <w:rPr>
          <w:lang w:val="es-ES_tradnl"/>
        </w:rPr>
        <w:t xml:space="preserve"> presenta </w:t>
      </w:r>
      <w:r w:rsidR="00CC60EA">
        <w:rPr>
          <w:lang w:val="es-ES_tradnl"/>
        </w:rPr>
        <w:t>el VAN</w:t>
      </w:r>
      <w:r w:rsidR="003A46A1" w:rsidRPr="00B25E57">
        <w:rPr>
          <w:lang w:val="es-ES_tradnl"/>
        </w:rPr>
        <w:t xml:space="preserve"> </w:t>
      </w:r>
      <w:r w:rsidR="000D499F">
        <w:rPr>
          <w:lang w:val="es-ES_tradnl"/>
        </w:rPr>
        <w:t xml:space="preserve">de los </w:t>
      </w:r>
      <w:r w:rsidR="00FB38C2" w:rsidRPr="00B25E57">
        <w:rPr>
          <w:lang w:val="es-ES_tradnl"/>
        </w:rPr>
        <w:t>tramo</w:t>
      </w:r>
      <w:r w:rsidR="00345E62" w:rsidRPr="00B25E57">
        <w:rPr>
          <w:lang w:val="es-ES_tradnl"/>
        </w:rPr>
        <w:t>s</w:t>
      </w:r>
      <w:r w:rsidR="003A46A1" w:rsidRPr="00B25E57">
        <w:rPr>
          <w:lang w:val="es-ES_tradnl"/>
        </w:rPr>
        <w:t xml:space="preserve"> </w:t>
      </w:r>
      <w:r w:rsidR="000D499F">
        <w:rPr>
          <w:lang w:val="es-ES_tradnl"/>
        </w:rPr>
        <w:t>anteriormente mencionados</w:t>
      </w:r>
      <w:r w:rsidR="003A46A1" w:rsidRPr="00B25E57">
        <w:rPr>
          <w:lang w:val="es-ES_tradnl"/>
        </w:rPr>
        <w:t xml:space="preserve"> </w:t>
      </w:r>
      <w:r w:rsidR="00B77223">
        <w:rPr>
          <w:lang w:val="es-ES_tradnl"/>
        </w:rPr>
        <w:t xml:space="preserve">según </w:t>
      </w:r>
      <w:r w:rsidR="007D7382" w:rsidRPr="00B25E57">
        <w:rPr>
          <w:lang w:val="es-ES_tradnl"/>
        </w:rPr>
        <w:t>el</w:t>
      </w:r>
      <w:r w:rsidR="003A46A1" w:rsidRPr="00B25E57">
        <w:rPr>
          <w:lang w:val="es-ES_tradnl"/>
        </w:rPr>
        <w:t xml:space="preserve"> </w:t>
      </w:r>
      <w:r w:rsidR="00F24FA9" w:rsidRPr="00B25E57">
        <w:rPr>
          <w:lang w:val="es-ES_tradnl"/>
        </w:rPr>
        <w:t>número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CE4DCA">
        <w:rPr>
          <w:lang w:val="es-ES_tradnl"/>
        </w:rPr>
        <w:t xml:space="preserve">a </w:t>
      </w:r>
      <w:r w:rsidR="00840197">
        <w:rPr>
          <w:lang w:val="es-ES_tradnl"/>
        </w:rPr>
        <w:t>considerar</w:t>
      </w:r>
      <w:r w:rsidR="00345E62" w:rsidRPr="00B25E57">
        <w:rPr>
          <w:lang w:val="es-ES_tradnl"/>
        </w:rPr>
        <w:t>.</w:t>
      </w:r>
    </w:p>
    <w:p w14:paraId="1F587402" w14:textId="31A8B1F9" w:rsidR="00345E62" w:rsidRPr="00B25E57" w:rsidRDefault="00FB38C2" w:rsidP="003B2BCA">
      <w:pPr>
        <w:keepNext/>
        <w:keepLines/>
        <w:rPr>
          <w:b/>
          <w:sz w:val="21"/>
          <w:szCs w:val="21"/>
          <w:lang w:val="es-ES_tradnl"/>
        </w:rPr>
      </w:pPr>
      <w:r w:rsidRPr="00B25E57">
        <w:rPr>
          <w:b/>
          <w:sz w:val="21"/>
          <w:szCs w:val="21"/>
          <w:lang w:val="es-ES_tradnl"/>
        </w:rPr>
        <w:lastRenderedPageBreak/>
        <w:t>Cuadro</w:t>
      </w:r>
      <w:r w:rsidR="003A46A1" w:rsidRPr="00B25E57">
        <w:rPr>
          <w:b/>
          <w:sz w:val="21"/>
          <w:szCs w:val="21"/>
          <w:lang w:val="es-ES_tradnl"/>
        </w:rPr>
        <w:t xml:space="preserve"> </w:t>
      </w:r>
      <w:r w:rsidR="00345E62" w:rsidRPr="00B25E57">
        <w:rPr>
          <w:b/>
          <w:sz w:val="21"/>
          <w:szCs w:val="21"/>
          <w:lang w:val="es-ES_tradnl"/>
        </w:rPr>
        <w:t>1</w:t>
      </w:r>
      <w:r w:rsidR="00317215" w:rsidRPr="00B25E57">
        <w:rPr>
          <w:b/>
          <w:sz w:val="21"/>
          <w:szCs w:val="21"/>
          <w:lang w:val="es-ES_tradnl"/>
        </w:rPr>
        <w:t>3</w:t>
      </w:r>
      <w:r w:rsidR="00345E62" w:rsidRPr="00B25E57">
        <w:rPr>
          <w:b/>
          <w:sz w:val="21"/>
          <w:szCs w:val="21"/>
          <w:lang w:val="es-ES_tradnl"/>
        </w:rPr>
        <w:t>.</w:t>
      </w:r>
      <w:r w:rsidR="003A46A1" w:rsidRPr="00B25E57">
        <w:rPr>
          <w:b/>
          <w:sz w:val="21"/>
          <w:szCs w:val="21"/>
          <w:lang w:val="es-ES_tradnl"/>
        </w:rPr>
        <w:t xml:space="preserve"> </w:t>
      </w:r>
      <w:r w:rsidR="006F5A34">
        <w:rPr>
          <w:b/>
          <w:sz w:val="21"/>
          <w:szCs w:val="21"/>
          <w:lang w:val="es-ES_tradnl"/>
        </w:rPr>
        <w:t>Pago de</w:t>
      </w:r>
      <w:r w:rsidR="00370D42">
        <w:rPr>
          <w:b/>
          <w:sz w:val="21"/>
          <w:szCs w:val="21"/>
          <w:lang w:val="es-ES_tradnl"/>
        </w:rPr>
        <w:t xml:space="preserve"> suma alzada</w:t>
      </w:r>
      <w:r w:rsidR="0006115C">
        <w:rPr>
          <w:b/>
          <w:sz w:val="21"/>
          <w:szCs w:val="21"/>
          <w:lang w:val="es-ES_tradnl"/>
        </w:rPr>
        <w:t xml:space="preserve"> </w:t>
      </w:r>
      <w:r w:rsidR="002831D3">
        <w:rPr>
          <w:b/>
          <w:sz w:val="21"/>
          <w:szCs w:val="21"/>
          <w:lang w:val="es-ES_tradnl"/>
        </w:rPr>
        <w:t xml:space="preserve">para </w:t>
      </w:r>
      <w:r w:rsidR="0006115C">
        <w:rPr>
          <w:b/>
          <w:sz w:val="21"/>
          <w:szCs w:val="21"/>
          <w:lang w:val="es-ES_tradnl"/>
        </w:rPr>
        <w:t xml:space="preserve">la </w:t>
      </w:r>
      <w:r w:rsidR="002831D3">
        <w:rPr>
          <w:b/>
          <w:sz w:val="21"/>
          <w:szCs w:val="21"/>
          <w:lang w:val="es-ES_tradnl"/>
        </w:rPr>
        <w:t xml:space="preserve">destrucción </w:t>
      </w:r>
      <w:r w:rsidR="00B654D8">
        <w:rPr>
          <w:b/>
          <w:sz w:val="21"/>
          <w:szCs w:val="21"/>
          <w:lang w:val="es-ES_tradnl"/>
        </w:rPr>
        <w:t>ex situ</w:t>
      </w:r>
      <w:r w:rsidR="003A46A1" w:rsidRPr="00B25E57">
        <w:rPr>
          <w:b/>
          <w:sz w:val="21"/>
          <w:szCs w:val="21"/>
          <w:lang w:val="es-ES_tradnl"/>
        </w:rPr>
        <w:t xml:space="preserve"> </w:t>
      </w:r>
      <w:r w:rsidRPr="00B25E57">
        <w:rPr>
          <w:b/>
          <w:sz w:val="21"/>
          <w:szCs w:val="21"/>
          <w:lang w:val="es-ES_tradnl"/>
        </w:rPr>
        <w:t>de</w:t>
      </w:r>
      <w:r w:rsidR="003A46A1" w:rsidRPr="00B25E57">
        <w:rPr>
          <w:b/>
          <w:sz w:val="21"/>
          <w:szCs w:val="21"/>
          <w:lang w:val="es-ES_tradnl"/>
        </w:rPr>
        <w:t xml:space="preserve"> </w:t>
      </w:r>
      <w:r w:rsidR="00345E62" w:rsidRPr="00B25E57">
        <w:rPr>
          <w:b/>
          <w:sz w:val="21"/>
          <w:szCs w:val="21"/>
          <w:lang w:val="es-ES_tradnl"/>
        </w:rPr>
        <w:t>HFC</w:t>
      </w:r>
      <w:r w:rsidRPr="00B25E57">
        <w:rPr>
          <w:b/>
          <w:sz w:val="21"/>
          <w:szCs w:val="21"/>
          <w:lang w:val="es-ES_tradnl"/>
        </w:rPr>
        <w:t>-</w:t>
      </w:r>
      <w:r w:rsidR="00345E62" w:rsidRPr="00B25E57">
        <w:rPr>
          <w:b/>
          <w:sz w:val="21"/>
          <w:szCs w:val="21"/>
          <w:lang w:val="es-ES_tradnl"/>
        </w:rPr>
        <w:t>23</w:t>
      </w:r>
      <w:r w:rsidR="00AB041E">
        <w:rPr>
          <w:b/>
          <w:sz w:val="21"/>
          <w:szCs w:val="21"/>
          <w:lang w:val="es-ES_tradnl"/>
        </w:rPr>
        <w:t xml:space="preserve">, </w:t>
      </w:r>
      <w:r w:rsidR="00F56FE6">
        <w:rPr>
          <w:b/>
          <w:sz w:val="21"/>
          <w:szCs w:val="21"/>
          <w:lang w:val="es-ES_tradnl"/>
        </w:rPr>
        <w:t>como función</w:t>
      </w:r>
      <w:r w:rsidR="003A46A1" w:rsidRPr="00B25E57">
        <w:rPr>
          <w:b/>
          <w:sz w:val="21"/>
          <w:szCs w:val="21"/>
          <w:lang w:val="es-ES_tradnl"/>
        </w:rPr>
        <w:t xml:space="preserve"> </w:t>
      </w:r>
      <w:r w:rsidR="00DC0CE7">
        <w:rPr>
          <w:b/>
          <w:sz w:val="21"/>
          <w:szCs w:val="21"/>
          <w:lang w:val="es-ES_tradnl"/>
        </w:rPr>
        <w:t>de los</w:t>
      </w:r>
      <w:r w:rsidR="003A46A1" w:rsidRPr="00B25E57">
        <w:rPr>
          <w:b/>
          <w:sz w:val="21"/>
          <w:szCs w:val="21"/>
          <w:lang w:val="es-ES_tradnl"/>
        </w:rPr>
        <w:t xml:space="preserve"> </w:t>
      </w:r>
      <w:r w:rsidR="008A3316" w:rsidRPr="00B25E57">
        <w:rPr>
          <w:b/>
          <w:sz w:val="21"/>
          <w:szCs w:val="21"/>
          <w:lang w:val="es-ES_tradnl"/>
        </w:rPr>
        <w:t>años</w:t>
      </w:r>
      <w:r w:rsidR="003A46A1" w:rsidRPr="00B25E57">
        <w:rPr>
          <w:b/>
          <w:sz w:val="21"/>
          <w:szCs w:val="21"/>
          <w:lang w:val="es-ES_tradnl"/>
        </w:rPr>
        <w:t xml:space="preserve"> </w:t>
      </w:r>
      <w:r w:rsidR="00DC0CE7">
        <w:rPr>
          <w:b/>
          <w:sz w:val="21"/>
          <w:szCs w:val="21"/>
          <w:lang w:val="es-ES_tradnl"/>
        </w:rPr>
        <w:t xml:space="preserve">de </w:t>
      </w:r>
      <w:r w:rsidRPr="00B25E57">
        <w:rPr>
          <w:b/>
          <w:sz w:val="21"/>
          <w:szCs w:val="21"/>
          <w:lang w:val="es-ES_tradnl"/>
        </w:rPr>
        <w:t>sobrecostos</w:t>
      </w:r>
      <w:r w:rsidR="003A46A1" w:rsidRPr="00B25E57">
        <w:rPr>
          <w:b/>
          <w:sz w:val="21"/>
          <w:szCs w:val="21"/>
          <w:lang w:val="es-ES_tradnl"/>
        </w:rPr>
        <w:t xml:space="preserve"> </w:t>
      </w:r>
      <w:r w:rsidRPr="00B25E57">
        <w:rPr>
          <w:b/>
          <w:sz w:val="21"/>
          <w:szCs w:val="21"/>
          <w:lang w:val="es-ES_tradnl"/>
        </w:rPr>
        <w:t>de</w:t>
      </w:r>
      <w:r w:rsidR="003A46A1" w:rsidRPr="00B25E57">
        <w:rPr>
          <w:b/>
          <w:sz w:val="21"/>
          <w:szCs w:val="21"/>
          <w:lang w:val="es-ES_tradnl"/>
        </w:rPr>
        <w:t xml:space="preserve"> </w:t>
      </w:r>
      <w:r w:rsidRPr="00B25E57">
        <w:rPr>
          <w:b/>
          <w:sz w:val="21"/>
          <w:szCs w:val="21"/>
          <w:lang w:val="es-ES_tradnl"/>
        </w:rPr>
        <w:t>operación</w:t>
      </w:r>
    </w:p>
    <w:tbl>
      <w:tblPr>
        <w:tblW w:w="5000" w:type="pct"/>
        <w:tblLook w:val="04A0" w:firstRow="1" w:lastRow="0" w:firstColumn="1" w:lastColumn="0" w:noHBand="0" w:noVBand="1"/>
      </w:tblPr>
      <w:tblGrid>
        <w:gridCol w:w="3478"/>
        <w:gridCol w:w="6098"/>
      </w:tblGrid>
      <w:tr w:rsidR="00345E62" w:rsidRPr="00B25E57" w14:paraId="3BF0D6B4" w14:textId="77777777" w:rsidTr="00665672">
        <w:trPr>
          <w:trHeight w:val="116"/>
        </w:trPr>
        <w:tc>
          <w:tcPr>
            <w:tcW w:w="1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72900" w14:textId="671B6F1A" w:rsidR="00345E62" w:rsidRPr="00B25E57" w:rsidRDefault="005E427E" w:rsidP="003B2BCA">
            <w:pPr>
              <w:keepNext/>
              <w:keepLines/>
              <w:jc w:val="center"/>
              <w:rPr>
                <w:b/>
                <w:color w:val="000000"/>
                <w:sz w:val="21"/>
                <w:szCs w:val="21"/>
                <w:lang w:val="es-ES_tradnl" w:eastAsia="en-CA"/>
              </w:rPr>
            </w:pPr>
            <w:r>
              <w:rPr>
                <w:b/>
                <w:color w:val="000000"/>
                <w:sz w:val="21"/>
                <w:szCs w:val="21"/>
                <w:lang w:val="es-ES_tradnl" w:eastAsia="en-CA"/>
              </w:rPr>
              <w:t>A</w:t>
            </w:r>
            <w:r w:rsidR="008A3316" w:rsidRPr="00B25E57">
              <w:rPr>
                <w:b/>
                <w:color w:val="000000"/>
                <w:sz w:val="21"/>
                <w:szCs w:val="21"/>
                <w:lang w:val="es-ES_tradnl" w:eastAsia="en-CA"/>
              </w:rPr>
              <w:t>ños</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de</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sobrecostos</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de</w:t>
            </w:r>
            <w:r w:rsidR="003A46A1" w:rsidRPr="00B25E57">
              <w:rPr>
                <w:b/>
                <w:color w:val="000000"/>
                <w:sz w:val="21"/>
                <w:szCs w:val="21"/>
                <w:lang w:val="es-ES_tradnl" w:eastAsia="en-CA"/>
              </w:rPr>
              <w:t xml:space="preserve"> </w:t>
            </w:r>
            <w:r w:rsidR="00FB38C2" w:rsidRPr="00B25E57">
              <w:rPr>
                <w:b/>
                <w:color w:val="000000"/>
                <w:sz w:val="21"/>
                <w:szCs w:val="21"/>
                <w:lang w:val="es-ES_tradnl" w:eastAsia="en-CA"/>
              </w:rPr>
              <w:t>operación</w:t>
            </w:r>
          </w:p>
        </w:tc>
        <w:tc>
          <w:tcPr>
            <w:tcW w:w="3184" w:type="pct"/>
            <w:tcBorders>
              <w:top w:val="single" w:sz="4" w:space="0" w:color="auto"/>
              <w:left w:val="nil"/>
              <w:bottom w:val="single" w:sz="4" w:space="0" w:color="auto"/>
              <w:right w:val="single" w:sz="4" w:space="0" w:color="auto"/>
            </w:tcBorders>
            <w:shd w:val="clear" w:color="auto" w:fill="auto"/>
            <w:noWrap/>
            <w:vAlign w:val="bottom"/>
            <w:hideMark/>
          </w:tcPr>
          <w:p w14:paraId="539CA849" w14:textId="20B9B38F" w:rsidR="00345E62" w:rsidRPr="00B25E57" w:rsidRDefault="00F56FE6" w:rsidP="003B2BCA">
            <w:pPr>
              <w:keepNext/>
              <w:keepLines/>
              <w:jc w:val="center"/>
              <w:rPr>
                <w:b/>
                <w:color w:val="000000"/>
                <w:sz w:val="21"/>
                <w:szCs w:val="21"/>
                <w:lang w:val="es-ES_tradnl" w:eastAsia="en-CA"/>
              </w:rPr>
            </w:pPr>
            <w:r>
              <w:rPr>
                <w:b/>
                <w:color w:val="000000"/>
                <w:sz w:val="21"/>
                <w:szCs w:val="21"/>
                <w:lang w:val="es-ES_tradnl" w:eastAsia="en-CA"/>
              </w:rPr>
              <w:t>VAN</w:t>
            </w:r>
            <w:r w:rsidR="003A46A1" w:rsidRPr="00B25E57">
              <w:rPr>
                <w:b/>
                <w:color w:val="000000"/>
                <w:sz w:val="21"/>
                <w:szCs w:val="21"/>
                <w:lang w:val="es-ES_tradnl" w:eastAsia="en-CA"/>
              </w:rPr>
              <w:t xml:space="preserve"> </w:t>
            </w:r>
            <w:r w:rsidR="004057BA" w:rsidRPr="00B25E57">
              <w:rPr>
                <w:b/>
                <w:color w:val="000000"/>
                <w:sz w:val="21"/>
                <w:szCs w:val="21"/>
                <w:lang w:val="es-ES_tradnl" w:eastAsia="en-CA"/>
              </w:rPr>
              <w:t>($EUA)</w:t>
            </w:r>
          </w:p>
        </w:tc>
      </w:tr>
      <w:tr w:rsidR="00345E62" w:rsidRPr="00B25E57" w14:paraId="17576329" w14:textId="77777777" w:rsidTr="00665672">
        <w:trPr>
          <w:trHeight w:val="62"/>
        </w:trPr>
        <w:tc>
          <w:tcPr>
            <w:tcW w:w="1816" w:type="pct"/>
            <w:tcBorders>
              <w:top w:val="nil"/>
              <w:left w:val="single" w:sz="4" w:space="0" w:color="auto"/>
              <w:bottom w:val="single" w:sz="4" w:space="0" w:color="auto"/>
              <w:right w:val="single" w:sz="4" w:space="0" w:color="auto"/>
            </w:tcBorders>
            <w:shd w:val="clear" w:color="auto" w:fill="auto"/>
            <w:noWrap/>
            <w:vAlign w:val="bottom"/>
            <w:hideMark/>
          </w:tcPr>
          <w:p w14:paraId="21699D98" w14:textId="77777777" w:rsidR="00345E62" w:rsidRPr="00B25E57" w:rsidRDefault="00345E62" w:rsidP="003B2BCA">
            <w:pPr>
              <w:keepNext/>
              <w:keepLines/>
              <w:jc w:val="center"/>
              <w:rPr>
                <w:color w:val="000000"/>
                <w:sz w:val="21"/>
                <w:szCs w:val="21"/>
                <w:lang w:val="es-ES_tradnl" w:eastAsia="en-CA"/>
              </w:rPr>
            </w:pPr>
            <w:r w:rsidRPr="00B25E57">
              <w:rPr>
                <w:color w:val="000000"/>
                <w:sz w:val="21"/>
                <w:szCs w:val="21"/>
                <w:lang w:val="es-ES_tradnl" w:eastAsia="en-CA"/>
              </w:rPr>
              <w:t>1</w:t>
            </w:r>
          </w:p>
        </w:tc>
        <w:tc>
          <w:tcPr>
            <w:tcW w:w="3184" w:type="pct"/>
            <w:tcBorders>
              <w:top w:val="nil"/>
              <w:left w:val="nil"/>
              <w:bottom w:val="single" w:sz="4" w:space="0" w:color="auto"/>
              <w:right w:val="single" w:sz="4" w:space="0" w:color="auto"/>
            </w:tcBorders>
            <w:shd w:val="clear" w:color="auto" w:fill="auto"/>
            <w:noWrap/>
            <w:vAlign w:val="bottom"/>
            <w:hideMark/>
          </w:tcPr>
          <w:p w14:paraId="6BCFA0C4" w14:textId="51891F81" w:rsidR="00345E62" w:rsidRPr="00B25E57" w:rsidRDefault="00345E62" w:rsidP="003B2BCA">
            <w:pPr>
              <w:keepNext/>
              <w:keepLines/>
              <w:jc w:val="center"/>
              <w:rPr>
                <w:color w:val="000000"/>
                <w:sz w:val="21"/>
                <w:szCs w:val="21"/>
                <w:lang w:val="es-ES_tradnl" w:eastAsia="en-CA"/>
              </w:rPr>
            </w:pPr>
            <w:r w:rsidRPr="00B25E57">
              <w:rPr>
                <w:color w:val="000000"/>
                <w:sz w:val="21"/>
                <w:szCs w:val="21"/>
                <w:lang w:val="es-ES_tradnl" w:eastAsia="en-CA"/>
              </w:rPr>
              <w:t>81</w:t>
            </w:r>
            <w:r w:rsidR="004241C5" w:rsidRPr="00B25E57">
              <w:rPr>
                <w:color w:val="000000"/>
                <w:sz w:val="21"/>
                <w:szCs w:val="21"/>
                <w:lang w:val="es-ES_tradnl" w:eastAsia="en-CA"/>
              </w:rPr>
              <w:t>7.</w:t>
            </w:r>
            <w:r w:rsidRPr="00B25E57">
              <w:rPr>
                <w:color w:val="000000"/>
                <w:sz w:val="21"/>
                <w:szCs w:val="21"/>
                <w:lang w:val="es-ES_tradnl" w:eastAsia="en-CA"/>
              </w:rPr>
              <w:t>339</w:t>
            </w:r>
          </w:p>
        </w:tc>
      </w:tr>
      <w:tr w:rsidR="00345E62" w:rsidRPr="00B25E57" w14:paraId="0A4EAFF9" w14:textId="77777777" w:rsidTr="00665672">
        <w:trPr>
          <w:trHeight w:val="41"/>
        </w:trPr>
        <w:tc>
          <w:tcPr>
            <w:tcW w:w="1816" w:type="pct"/>
            <w:tcBorders>
              <w:top w:val="nil"/>
              <w:left w:val="single" w:sz="4" w:space="0" w:color="auto"/>
              <w:bottom w:val="single" w:sz="4" w:space="0" w:color="auto"/>
              <w:right w:val="single" w:sz="4" w:space="0" w:color="auto"/>
            </w:tcBorders>
            <w:shd w:val="clear" w:color="auto" w:fill="auto"/>
            <w:noWrap/>
            <w:vAlign w:val="bottom"/>
            <w:hideMark/>
          </w:tcPr>
          <w:p w14:paraId="0E83DB5D" w14:textId="77777777" w:rsidR="00345E62" w:rsidRPr="00B25E57" w:rsidRDefault="00345E62" w:rsidP="003B2BCA">
            <w:pPr>
              <w:keepNext/>
              <w:keepLines/>
              <w:jc w:val="center"/>
              <w:rPr>
                <w:color w:val="000000"/>
                <w:sz w:val="21"/>
                <w:szCs w:val="21"/>
                <w:lang w:val="es-ES_tradnl" w:eastAsia="en-CA"/>
              </w:rPr>
            </w:pPr>
            <w:r w:rsidRPr="00B25E57">
              <w:rPr>
                <w:color w:val="000000"/>
                <w:sz w:val="21"/>
                <w:szCs w:val="21"/>
                <w:lang w:val="es-ES_tradnl" w:eastAsia="en-CA"/>
              </w:rPr>
              <w:t>2</w:t>
            </w:r>
          </w:p>
        </w:tc>
        <w:tc>
          <w:tcPr>
            <w:tcW w:w="3184" w:type="pct"/>
            <w:tcBorders>
              <w:top w:val="nil"/>
              <w:left w:val="nil"/>
              <w:bottom w:val="single" w:sz="4" w:space="0" w:color="auto"/>
              <w:right w:val="single" w:sz="4" w:space="0" w:color="auto"/>
            </w:tcBorders>
            <w:shd w:val="clear" w:color="auto" w:fill="auto"/>
            <w:noWrap/>
            <w:vAlign w:val="bottom"/>
            <w:hideMark/>
          </w:tcPr>
          <w:p w14:paraId="73832C7D" w14:textId="5BE32F01" w:rsidR="00345E62" w:rsidRPr="00B25E57" w:rsidRDefault="00FB38C2" w:rsidP="003B2BCA">
            <w:pPr>
              <w:keepNext/>
              <w:keepLines/>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10</w:t>
            </w:r>
            <w:r w:rsidRPr="00B25E57">
              <w:rPr>
                <w:color w:val="000000"/>
                <w:sz w:val="21"/>
                <w:szCs w:val="21"/>
                <w:lang w:val="es-ES_tradnl" w:eastAsia="en-CA"/>
              </w:rPr>
              <w:t>3.</w:t>
            </w:r>
            <w:r w:rsidR="00345E62" w:rsidRPr="00B25E57">
              <w:rPr>
                <w:color w:val="000000"/>
                <w:sz w:val="21"/>
                <w:szCs w:val="21"/>
                <w:lang w:val="es-ES_tradnl" w:eastAsia="en-CA"/>
              </w:rPr>
              <w:t>925</w:t>
            </w:r>
          </w:p>
        </w:tc>
      </w:tr>
      <w:tr w:rsidR="00345E62" w:rsidRPr="00B25E57" w14:paraId="596EEEE0" w14:textId="77777777" w:rsidTr="00665672">
        <w:trPr>
          <w:trHeight w:val="41"/>
        </w:trPr>
        <w:tc>
          <w:tcPr>
            <w:tcW w:w="1816" w:type="pct"/>
            <w:tcBorders>
              <w:top w:val="nil"/>
              <w:left w:val="single" w:sz="4" w:space="0" w:color="auto"/>
              <w:bottom w:val="single" w:sz="4" w:space="0" w:color="auto"/>
              <w:right w:val="single" w:sz="4" w:space="0" w:color="auto"/>
            </w:tcBorders>
            <w:shd w:val="clear" w:color="auto" w:fill="auto"/>
            <w:noWrap/>
            <w:vAlign w:val="bottom"/>
            <w:hideMark/>
          </w:tcPr>
          <w:p w14:paraId="07C1A0FA" w14:textId="77777777" w:rsidR="00345E62" w:rsidRPr="00B25E57" w:rsidRDefault="00345E62" w:rsidP="003B2BCA">
            <w:pPr>
              <w:keepNext/>
              <w:keepLines/>
              <w:jc w:val="center"/>
              <w:rPr>
                <w:color w:val="000000"/>
                <w:sz w:val="21"/>
                <w:szCs w:val="21"/>
                <w:lang w:val="es-ES_tradnl" w:eastAsia="en-CA"/>
              </w:rPr>
            </w:pPr>
            <w:r w:rsidRPr="00B25E57">
              <w:rPr>
                <w:color w:val="000000"/>
                <w:sz w:val="21"/>
                <w:szCs w:val="21"/>
                <w:lang w:val="es-ES_tradnl" w:eastAsia="en-CA"/>
              </w:rPr>
              <w:t>3</w:t>
            </w:r>
          </w:p>
        </w:tc>
        <w:tc>
          <w:tcPr>
            <w:tcW w:w="3184" w:type="pct"/>
            <w:tcBorders>
              <w:top w:val="nil"/>
              <w:left w:val="nil"/>
              <w:bottom w:val="single" w:sz="4" w:space="0" w:color="auto"/>
              <w:right w:val="single" w:sz="4" w:space="0" w:color="auto"/>
            </w:tcBorders>
            <w:shd w:val="clear" w:color="auto" w:fill="auto"/>
            <w:noWrap/>
            <w:vAlign w:val="bottom"/>
            <w:hideMark/>
          </w:tcPr>
          <w:p w14:paraId="2A494F2B" w14:textId="20A5BC21" w:rsidR="00345E62" w:rsidRPr="00B25E57" w:rsidRDefault="00FB38C2" w:rsidP="003B2BCA">
            <w:pPr>
              <w:keepNext/>
              <w:keepLines/>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34</w:t>
            </w:r>
            <w:r w:rsidR="004241C5" w:rsidRPr="00B25E57">
              <w:rPr>
                <w:color w:val="000000"/>
                <w:sz w:val="21"/>
                <w:szCs w:val="21"/>
                <w:lang w:val="es-ES_tradnl" w:eastAsia="en-CA"/>
              </w:rPr>
              <w:t>7.</w:t>
            </w:r>
            <w:r w:rsidR="00345E62" w:rsidRPr="00B25E57">
              <w:rPr>
                <w:color w:val="000000"/>
                <w:sz w:val="21"/>
                <w:szCs w:val="21"/>
                <w:lang w:val="es-ES_tradnl" w:eastAsia="en-CA"/>
              </w:rPr>
              <w:t>392</w:t>
            </w:r>
          </w:p>
        </w:tc>
      </w:tr>
      <w:tr w:rsidR="00345E62" w:rsidRPr="00B25E57" w14:paraId="616539BA" w14:textId="77777777" w:rsidTr="00665672">
        <w:trPr>
          <w:trHeight w:val="41"/>
        </w:trPr>
        <w:tc>
          <w:tcPr>
            <w:tcW w:w="1816" w:type="pct"/>
            <w:tcBorders>
              <w:top w:val="nil"/>
              <w:left w:val="single" w:sz="4" w:space="0" w:color="auto"/>
              <w:bottom w:val="single" w:sz="4" w:space="0" w:color="auto"/>
              <w:right w:val="single" w:sz="4" w:space="0" w:color="auto"/>
            </w:tcBorders>
            <w:shd w:val="clear" w:color="auto" w:fill="auto"/>
            <w:noWrap/>
            <w:vAlign w:val="bottom"/>
            <w:hideMark/>
          </w:tcPr>
          <w:p w14:paraId="0FCEE171" w14:textId="77777777" w:rsidR="00345E62" w:rsidRPr="00B25E57" w:rsidRDefault="00345E62" w:rsidP="00665672">
            <w:pPr>
              <w:jc w:val="center"/>
              <w:rPr>
                <w:color w:val="000000"/>
                <w:sz w:val="21"/>
                <w:szCs w:val="21"/>
                <w:lang w:val="es-ES_tradnl" w:eastAsia="en-CA"/>
              </w:rPr>
            </w:pPr>
            <w:r w:rsidRPr="00B25E57">
              <w:rPr>
                <w:color w:val="000000"/>
                <w:sz w:val="21"/>
                <w:szCs w:val="21"/>
                <w:lang w:val="es-ES_tradnl" w:eastAsia="en-CA"/>
              </w:rPr>
              <w:t>4</w:t>
            </w:r>
          </w:p>
        </w:tc>
        <w:tc>
          <w:tcPr>
            <w:tcW w:w="3184" w:type="pct"/>
            <w:tcBorders>
              <w:top w:val="nil"/>
              <w:left w:val="nil"/>
              <w:bottom w:val="single" w:sz="4" w:space="0" w:color="auto"/>
              <w:right w:val="single" w:sz="4" w:space="0" w:color="auto"/>
            </w:tcBorders>
            <w:shd w:val="clear" w:color="auto" w:fill="auto"/>
            <w:noWrap/>
            <w:vAlign w:val="bottom"/>
            <w:hideMark/>
          </w:tcPr>
          <w:p w14:paraId="0EAB6C45" w14:textId="11A136F4" w:rsidR="00345E62" w:rsidRPr="00B25E57" w:rsidRDefault="00FB38C2" w:rsidP="00665672">
            <w:pPr>
              <w:jc w:val="center"/>
              <w:rPr>
                <w:color w:val="000000"/>
                <w:sz w:val="21"/>
                <w:szCs w:val="21"/>
                <w:lang w:val="es-ES_tradnl" w:eastAsia="en-CA"/>
              </w:rPr>
            </w:pPr>
            <w:r w:rsidRPr="00B25E57">
              <w:rPr>
                <w:color w:val="000000"/>
                <w:sz w:val="21"/>
                <w:szCs w:val="21"/>
                <w:lang w:val="es-ES_tradnl" w:eastAsia="en-CA"/>
              </w:rPr>
              <w:t>1.</w:t>
            </w:r>
            <w:r w:rsidR="00345E62" w:rsidRPr="00B25E57">
              <w:rPr>
                <w:color w:val="000000"/>
                <w:sz w:val="21"/>
                <w:szCs w:val="21"/>
                <w:lang w:val="es-ES_tradnl" w:eastAsia="en-CA"/>
              </w:rPr>
              <w:t>55</w:t>
            </w:r>
            <w:r w:rsidRPr="00B25E57">
              <w:rPr>
                <w:color w:val="000000"/>
                <w:sz w:val="21"/>
                <w:szCs w:val="21"/>
                <w:lang w:val="es-ES_tradnl" w:eastAsia="en-CA"/>
              </w:rPr>
              <w:t>4.</w:t>
            </w:r>
            <w:r w:rsidR="00345E62" w:rsidRPr="00B25E57">
              <w:rPr>
                <w:color w:val="000000"/>
                <w:sz w:val="21"/>
                <w:szCs w:val="21"/>
                <w:lang w:val="es-ES_tradnl" w:eastAsia="en-CA"/>
              </w:rPr>
              <w:t>228</w:t>
            </w:r>
          </w:p>
        </w:tc>
      </w:tr>
    </w:tbl>
    <w:p w14:paraId="03648A49" w14:textId="77777777" w:rsidR="00345E62" w:rsidRPr="00B25E57" w:rsidRDefault="00345E62" w:rsidP="00345E62">
      <w:pPr>
        <w:rPr>
          <w:lang w:val="es-ES_tradnl"/>
        </w:rPr>
      </w:pPr>
    </w:p>
    <w:p w14:paraId="4319D3B5" w14:textId="6EA1EB7B" w:rsidR="00345E62" w:rsidRPr="00B25E57" w:rsidRDefault="004241C5" w:rsidP="00345E62">
      <w:pPr>
        <w:pStyle w:val="Heading1"/>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B80F97">
        <w:rPr>
          <w:lang w:val="es-ES_tradnl"/>
        </w:rPr>
        <w:t xml:space="preserve">estima </w:t>
      </w:r>
      <w:r w:rsidR="00B80F97" w:rsidRPr="00B80F97">
        <w:rPr>
          <w:lang w:val="es-ES_tradnl"/>
        </w:rPr>
        <w:t xml:space="preserve">pertinente </w:t>
      </w:r>
      <w:r w:rsidR="00540C67">
        <w:rPr>
          <w:lang w:val="es-ES_tradnl"/>
        </w:rPr>
        <w:t>formular</w:t>
      </w:r>
      <w:r w:rsidR="00B80F97">
        <w:rPr>
          <w:lang w:val="es-ES_tradnl"/>
        </w:rPr>
        <w:t xml:space="preserve"> </w:t>
      </w:r>
      <w:r w:rsidR="004057BA" w:rsidRPr="00B25E57">
        <w:rPr>
          <w:lang w:val="es-ES_tradnl"/>
        </w:rPr>
        <w:t>las</w:t>
      </w:r>
      <w:r w:rsidR="003A46A1" w:rsidRPr="00B25E57">
        <w:rPr>
          <w:lang w:val="es-ES_tradnl"/>
        </w:rPr>
        <w:t xml:space="preserve"> </w:t>
      </w:r>
      <w:r w:rsidR="004057BA" w:rsidRPr="00B25E57">
        <w:rPr>
          <w:lang w:val="es-ES_tradnl"/>
        </w:rPr>
        <w:t>siguientes</w:t>
      </w:r>
      <w:r w:rsidR="003A46A1" w:rsidRPr="00B25E57">
        <w:rPr>
          <w:lang w:val="es-ES_tradnl"/>
        </w:rPr>
        <w:t xml:space="preserve"> </w:t>
      </w:r>
      <w:r w:rsidR="007D7382" w:rsidRPr="00B25E57">
        <w:rPr>
          <w:lang w:val="es-ES_tradnl"/>
        </w:rPr>
        <w:t>observaciones</w:t>
      </w:r>
      <w:r w:rsidR="00345E62" w:rsidRPr="00B25E57">
        <w:rPr>
          <w:lang w:val="es-ES_tradnl"/>
        </w:rPr>
        <w:t>:</w:t>
      </w:r>
    </w:p>
    <w:p w14:paraId="50DBA1A4" w14:textId="4BE944A3" w:rsidR="00345E62" w:rsidRPr="00B25E57" w:rsidRDefault="00CC60EA" w:rsidP="00564DDD">
      <w:pPr>
        <w:pStyle w:val="Heading2"/>
        <w:numPr>
          <w:ilvl w:val="1"/>
          <w:numId w:val="37"/>
        </w:numPr>
        <w:ind w:left="1417" w:hanging="708"/>
        <w:rPr>
          <w:lang w:val="es-ES_tradnl"/>
        </w:rPr>
      </w:pPr>
      <w:r>
        <w:rPr>
          <w:lang w:val="es-ES_tradnl"/>
        </w:rPr>
        <w:t xml:space="preserve">El </w:t>
      </w:r>
      <w:r w:rsidR="005D2E4A" w:rsidRPr="005D2E4A">
        <w:rPr>
          <w:lang w:val="es-ES_tradnl"/>
        </w:rPr>
        <w:t xml:space="preserve">valor actual neto </w:t>
      </w:r>
      <w:r w:rsidR="00FB38C2" w:rsidRPr="00B25E57">
        <w:rPr>
          <w:lang w:val="es-ES_tradnl"/>
        </w:rPr>
        <w:t>de</w:t>
      </w:r>
      <w:r w:rsidR="003A46A1" w:rsidRPr="00B25E57">
        <w:rPr>
          <w:lang w:val="es-ES_tradnl"/>
        </w:rPr>
        <w:t xml:space="preserve"> </w:t>
      </w:r>
      <w:r w:rsidR="00FB38C2" w:rsidRPr="00B25E57">
        <w:rPr>
          <w:lang w:val="es-ES_tradnl"/>
        </w:rPr>
        <w:t>cuatro</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C91884">
        <w:rPr>
          <w:lang w:val="es-ES_tradnl"/>
        </w:rPr>
        <w:t xml:space="preserve">destrucción </w:t>
      </w:r>
      <w:r w:rsidR="00B654D8">
        <w:rPr>
          <w:lang w:val="es-ES_tradnl"/>
        </w:rPr>
        <w:t>ex situ</w:t>
      </w:r>
      <w:r w:rsidR="003A46A1" w:rsidRPr="00B25E57">
        <w:rPr>
          <w:lang w:val="es-ES_tradnl"/>
        </w:rPr>
        <w:t xml:space="preserve"> </w:t>
      </w:r>
      <w:r w:rsidR="00866E4E">
        <w:rPr>
          <w:lang w:val="es-ES_tradnl"/>
        </w:rPr>
        <w:t>es</w:t>
      </w:r>
      <w:r w:rsidR="003A46A1" w:rsidRPr="00B25E57">
        <w:rPr>
          <w:lang w:val="es-ES_tradnl"/>
        </w:rPr>
        <w:t xml:space="preserve"> </w:t>
      </w:r>
      <w:r w:rsidR="00691404">
        <w:rPr>
          <w:lang w:val="es-ES_tradnl"/>
        </w:rPr>
        <w:t>mayor</w:t>
      </w:r>
      <w:r w:rsidR="003A46A1" w:rsidRPr="00B25E57">
        <w:rPr>
          <w:lang w:val="es-ES_tradnl"/>
        </w:rPr>
        <w:t xml:space="preserve"> </w:t>
      </w:r>
      <w:r w:rsidR="005F6765">
        <w:rPr>
          <w:lang w:val="es-ES_tradnl"/>
        </w:rPr>
        <w:t xml:space="preserve">que </w:t>
      </w:r>
      <w:r>
        <w:rPr>
          <w:lang w:val="es-ES_tradnl"/>
        </w:rPr>
        <w:t xml:space="preserve">el </w:t>
      </w:r>
      <w:r w:rsidR="005D2E4A" w:rsidRPr="005D2E4A">
        <w:rPr>
          <w:lang w:val="es-ES_tradnl"/>
        </w:rPr>
        <w:t xml:space="preserve">valor actual neto </w:t>
      </w:r>
      <w:r w:rsidR="00FB38C2" w:rsidRPr="00B25E57">
        <w:rPr>
          <w:lang w:val="es-ES_tradnl"/>
        </w:rPr>
        <w:t>de</w:t>
      </w:r>
      <w:r w:rsidR="003A46A1" w:rsidRPr="00B25E57">
        <w:rPr>
          <w:lang w:val="es-ES_tradnl"/>
        </w:rPr>
        <w:t xml:space="preserve"> </w:t>
      </w:r>
      <w:r w:rsidR="00FB38C2" w:rsidRPr="00B25E57">
        <w:rPr>
          <w:lang w:val="es-ES_tradnl"/>
        </w:rPr>
        <w:t>cuatro</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B2AF3">
        <w:rPr>
          <w:lang w:val="es-ES_tradnl"/>
        </w:rPr>
        <w:t>reacondicionar</w:t>
      </w:r>
      <w:r w:rsidR="003A46A1" w:rsidRPr="00B25E57">
        <w:rPr>
          <w:lang w:val="es-ES_tradnl"/>
        </w:rPr>
        <w:t xml:space="preserve"> </w:t>
      </w:r>
      <w:r w:rsidR="00FB38C2" w:rsidRPr="00B25E57">
        <w:rPr>
          <w:lang w:val="es-ES_tradnl"/>
        </w:rPr>
        <w:t>y</w:t>
      </w:r>
      <w:r w:rsidR="003A46A1" w:rsidRPr="00B25E57">
        <w:rPr>
          <w:lang w:val="es-ES_tradnl"/>
        </w:rPr>
        <w:t xml:space="preserve"> </w:t>
      </w:r>
      <w:r w:rsidR="005B2517">
        <w:rPr>
          <w:lang w:val="es-ES_tradnl"/>
        </w:rPr>
        <w:t xml:space="preserve">operar </w:t>
      </w:r>
      <w:r w:rsidR="00C95B4F">
        <w:rPr>
          <w:lang w:val="es-ES_tradnl"/>
        </w:rPr>
        <w:t>el incinerador</w:t>
      </w:r>
      <w:r w:rsidR="00345E62" w:rsidRPr="00B25E57">
        <w:rPr>
          <w:lang w:val="es-ES_tradnl"/>
        </w:rPr>
        <w:t>;</w:t>
      </w:r>
    </w:p>
    <w:p w14:paraId="67F7E831" w14:textId="6BDD59D7" w:rsidR="007B22B4" w:rsidRPr="00B25E57" w:rsidRDefault="00AD511B" w:rsidP="00564DDD">
      <w:pPr>
        <w:pStyle w:val="Heading2"/>
        <w:numPr>
          <w:ilvl w:val="1"/>
          <w:numId w:val="37"/>
        </w:numPr>
        <w:ind w:left="1417" w:hanging="708"/>
        <w:rPr>
          <w:lang w:val="es-ES_tradnl"/>
        </w:rPr>
      </w:pPr>
      <w:r>
        <w:rPr>
          <w:lang w:val="es-ES_tradnl"/>
        </w:rPr>
        <w:t>A falta de</w:t>
      </w:r>
      <w:r w:rsidR="003A46A1" w:rsidRPr="00B25E57">
        <w:rPr>
          <w:lang w:val="es-ES_tradnl"/>
        </w:rPr>
        <w:t xml:space="preserve"> </w:t>
      </w:r>
      <w:r w:rsidR="00F942C6" w:rsidRPr="00B25E57">
        <w:rPr>
          <w:lang w:val="es-ES_tradnl"/>
        </w:rPr>
        <w:t>un</w:t>
      </w:r>
      <w:r w:rsidR="00B56F58">
        <w:rPr>
          <w:lang w:val="es-ES_tradnl"/>
        </w:rPr>
        <w:t>a</w:t>
      </w:r>
      <w:r w:rsidR="003A46A1" w:rsidRPr="00B25E57">
        <w:rPr>
          <w:lang w:val="es-ES_tradnl"/>
        </w:rPr>
        <w:t xml:space="preserve"> </w:t>
      </w:r>
      <w:r w:rsidR="00B56F58">
        <w:rPr>
          <w:lang w:val="es-ES_tradnl"/>
        </w:rPr>
        <w:t>exención</w:t>
      </w:r>
      <w:r w:rsidR="003A46A1" w:rsidRPr="00B25E57">
        <w:rPr>
          <w:lang w:val="es-ES_tradnl"/>
        </w:rPr>
        <w:t xml:space="preserve"> </w:t>
      </w:r>
      <w:r w:rsidR="00B56F58">
        <w:rPr>
          <w:lang w:val="es-ES_tradnl"/>
        </w:rPr>
        <w:t>d</w:t>
      </w:r>
      <w:r w:rsidR="00FB38C2" w:rsidRPr="00B25E57">
        <w:rPr>
          <w:lang w:val="es-ES_tradnl"/>
        </w:rPr>
        <w:t>el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972CF9">
        <w:rPr>
          <w:lang w:val="es-ES_tradnl"/>
        </w:rPr>
        <w:t xml:space="preserve">que permita </w:t>
      </w:r>
      <w:r w:rsidR="004133CB">
        <w:rPr>
          <w:lang w:val="es-ES_tradnl"/>
        </w:rPr>
        <w:t xml:space="preserve">reingresar </w:t>
      </w:r>
      <w:r w:rsidR="00157B75">
        <w:rPr>
          <w:lang w:val="es-ES_tradnl"/>
        </w:rPr>
        <w:t>el isotanque</w:t>
      </w:r>
      <w:r w:rsidR="00D37600">
        <w:rPr>
          <w:lang w:val="es-ES_tradnl"/>
        </w:rPr>
        <w:t xml:space="preserve"> usado</w:t>
      </w:r>
      <w:r w:rsidR="003A46A1" w:rsidRPr="00B25E57">
        <w:rPr>
          <w:lang w:val="es-ES_tradnl"/>
        </w:rPr>
        <w:t xml:space="preserve"> </w:t>
      </w:r>
      <w:r w:rsidR="004133CB">
        <w:rPr>
          <w:lang w:val="es-ES_tradnl"/>
        </w:rPr>
        <w:t>al país</w:t>
      </w:r>
      <w:r w:rsidR="00345E62" w:rsidRPr="00B25E57">
        <w:rPr>
          <w:lang w:val="es-ES_tradnl"/>
        </w:rPr>
        <w:t>,</w:t>
      </w:r>
      <w:r w:rsidR="003A46A1" w:rsidRPr="00B25E57">
        <w:rPr>
          <w:lang w:val="es-ES_tradnl"/>
        </w:rPr>
        <w:t xml:space="preserve"> </w:t>
      </w:r>
      <w:r w:rsidR="00E14181">
        <w:rPr>
          <w:lang w:val="es-ES_tradnl"/>
        </w:rPr>
        <w:t>la opción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C91884">
        <w:rPr>
          <w:lang w:val="es-ES_tradnl"/>
        </w:rPr>
        <w:t xml:space="preserve">destrucción </w:t>
      </w:r>
      <w:r w:rsidR="00B654D8">
        <w:rPr>
          <w:lang w:val="es-ES_tradnl"/>
        </w:rPr>
        <w:t>ex situ</w:t>
      </w:r>
      <w:r w:rsidR="003A46A1" w:rsidRPr="00B25E57">
        <w:rPr>
          <w:lang w:val="es-ES_tradnl"/>
        </w:rPr>
        <w:t xml:space="preserve"> </w:t>
      </w:r>
      <w:r w:rsidR="004B706A">
        <w:rPr>
          <w:lang w:val="es-ES_tradnl"/>
        </w:rPr>
        <w:t xml:space="preserve">introduciría riesgos importantes, y quizás inaceptables, </w:t>
      </w:r>
      <w:r w:rsidR="004F19BC">
        <w:rPr>
          <w:lang w:val="es-ES_tradnl"/>
        </w:rPr>
        <w:t xml:space="preserve">respecto de </w:t>
      </w:r>
      <w:r w:rsidR="00E14181">
        <w:rPr>
          <w:lang w:val="es-ES_tradnl"/>
        </w:rPr>
        <w:t>la opción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930E9">
        <w:rPr>
          <w:lang w:val="es-ES_tradnl"/>
        </w:rPr>
        <w:t>reponer en servicio</w:t>
      </w:r>
      <w:r w:rsidR="003A46A1" w:rsidRPr="00B25E57">
        <w:rPr>
          <w:lang w:val="es-ES_tradnl"/>
        </w:rPr>
        <w:t xml:space="preserve"> </w:t>
      </w:r>
      <w:r w:rsidR="00C95B4F">
        <w:rPr>
          <w:lang w:val="es-ES_tradnl"/>
        </w:rPr>
        <w:t>el incinerador</w:t>
      </w:r>
      <w:r w:rsidR="00345E62" w:rsidRPr="00B25E57">
        <w:rPr>
          <w:lang w:val="es-ES_tradnl"/>
        </w:rPr>
        <w:t>;</w:t>
      </w:r>
      <w:r w:rsidR="003A46A1" w:rsidRPr="00B25E57">
        <w:rPr>
          <w:lang w:val="es-ES_tradnl"/>
        </w:rPr>
        <w:t xml:space="preserve"> </w:t>
      </w:r>
      <w:r w:rsidR="00FB38C2" w:rsidRPr="00B25E57">
        <w:rPr>
          <w:lang w:val="es-ES_tradnl"/>
        </w:rPr>
        <w:t>y</w:t>
      </w:r>
    </w:p>
    <w:p w14:paraId="4917A6B0" w14:textId="2E287624" w:rsidR="00345E62" w:rsidRPr="00B25E57" w:rsidRDefault="00F942C6" w:rsidP="00564DDD">
      <w:pPr>
        <w:pStyle w:val="Heading2"/>
        <w:numPr>
          <w:ilvl w:val="1"/>
          <w:numId w:val="37"/>
        </w:numPr>
        <w:ind w:left="1417" w:hanging="708"/>
        <w:rPr>
          <w:lang w:val="es-ES_tradnl"/>
        </w:rPr>
      </w:pPr>
      <w:r w:rsidRPr="00B25E57">
        <w:rPr>
          <w:lang w:val="es-ES_tradnl"/>
        </w:rPr>
        <w:t>Si</w:t>
      </w:r>
      <w:r w:rsidR="003A46A1" w:rsidRPr="00B25E57">
        <w:rPr>
          <w:lang w:val="es-ES_tradnl"/>
        </w:rPr>
        <w:t xml:space="preserve"> </w:t>
      </w:r>
      <w:r w:rsidR="00683377">
        <w:rPr>
          <w:lang w:val="es-ES_tradnl"/>
        </w:rPr>
        <w:t xml:space="preserve">se toma el punto medio </w:t>
      </w:r>
      <w:r w:rsidR="00376698">
        <w:rPr>
          <w:lang w:val="es-ES_tradnl"/>
        </w:rPr>
        <w:t xml:space="preserve">de los </w:t>
      </w:r>
      <w:r w:rsidR="00FB38C2" w:rsidRPr="00B25E57">
        <w:rPr>
          <w:lang w:val="es-ES_tradnl"/>
        </w:rPr>
        <w:t>costo</w:t>
      </w:r>
      <w:r w:rsidR="00376698">
        <w:rPr>
          <w:lang w:val="es-ES_tradnl"/>
        </w:rPr>
        <w:t>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9F5A31">
        <w:rPr>
          <w:lang w:val="es-ES_tradnl"/>
        </w:rPr>
        <w:t>incinerar</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A4343B" w:rsidRPr="00B25E57">
        <w:rPr>
          <w:lang w:val="es-ES_tradnl"/>
        </w:rPr>
        <w:t>Europa</w:t>
      </w:r>
      <w:r w:rsidR="003A46A1" w:rsidRPr="00B25E57">
        <w:rPr>
          <w:lang w:val="es-ES_tradnl"/>
        </w:rPr>
        <w:t xml:space="preserve"> </w:t>
      </w:r>
      <w:r w:rsidR="009F5A31">
        <w:rPr>
          <w:lang w:val="es-ES_tradnl"/>
        </w:rPr>
        <w:t>informa</w:t>
      </w:r>
      <w:r w:rsidR="00FF2A9D">
        <w:rPr>
          <w:lang w:val="es-ES_tradnl"/>
        </w:rPr>
        <w:t>dos</w:t>
      </w:r>
      <w:r w:rsidR="009F5A31">
        <w:rPr>
          <w:lang w:val="es-ES_tradnl"/>
        </w:rPr>
        <w:t xml:space="preserve"> </w:t>
      </w:r>
      <w:r w:rsidR="0088223D">
        <w:rPr>
          <w:lang w:val="es-ES_tradnl"/>
        </w:rPr>
        <w:t xml:space="preserve">en </w:t>
      </w:r>
      <w:r w:rsidR="00F33C58" w:rsidRPr="00B25E57">
        <w:rPr>
          <w:lang w:val="es-ES_tradnl"/>
        </w:rPr>
        <w:t>el</w:t>
      </w:r>
      <w:r w:rsidR="003A46A1" w:rsidRPr="00B25E57">
        <w:rPr>
          <w:lang w:val="es-ES_tradnl"/>
        </w:rPr>
        <w:t xml:space="preserve"> </w:t>
      </w:r>
      <w:r w:rsidR="00F33C58" w:rsidRPr="00B25E57">
        <w:rPr>
          <w:lang w:val="es-ES_tradnl"/>
        </w:rPr>
        <w:t>documento</w:t>
      </w:r>
      <w:r w:rsidR="003A46A1" w:rsidRPr="00B25E57">
        <w:rPr>
          <w:lang w:val="es-ES_tradnl"/>
        </w:rPr>
        <w:t xml:space="preserve"> </w:t>
      </w:r>
      <w:r w:rsidR="00862A82" w:rsidRPr="00B25E57">
        <w:rPr>
          <w:lang w:val="es-ES_tradnl"/>
        </w:rPr>
        <w:t>UNEP/OzL.Pro</w:t>
      </w:r>
      <w:r w:rsidR="00345E62" w:rsidRPr="00B25E57">
        <w:rPr>
          <w:lang w:val="es-ES_tradnl"/>
        </w:rPr>
        <w:t>/ExCom/82/21</w:t>
      </w:r>
      <w:r w:rsidR="003A46A1" w:rsidRPr="00B25E57">
        <w:rPr>
          <w:lang w:val="es-ES_tradnl"/>
        </w:rPr>
        <w:t xml:space="preserve"> </w:t>
      </w:r>
      <w:r w:rsidR="00F33C58" w:rsidRPr="00B25E57">
        <w:rPr>
          <w:lang w:val="es-ES_tradnl"/>
        </w:rPr>
        <w:t>y</w:t>
      </w:r>
      <w:r w:rsidR="003A46A1" w:rsidRPr="00B25E57">
        <w:rPr>
          <w:lang w:val="es-ES_tradnl"/>
        </w:rPr>
        <w:t xml:space="preserve"> </w:t>
      </w:r>
      <w:r w:rsidR="00AA2400">
        <w:rPr>
          <w:lang w:val="es-ES_tradnl"/>
        </w:rPr>
        <w:t xml:space="preserve">los </w:t>
      </w:r>
      <w:r w:rsidR="00D04DC2" w:rsidRPr="00B25E57">
        <w:rPr>
          <w:lang w:val="es-ES_tradnl"/>
        </w:rPr>
        <w:t>presentado</w:t>
      </w:r>
      <w:r w:rsidR="00AA2400">
        <w:rPr>
          <w:lang w:val="es-ES_tradnl"/>
        </w:rPr>
        <w:t>s</w:t>
      </w:r>
      <w:r w:rsidR="003A46A1" w:rsidRPr="00B25E57">
        <w:rPr>
          <w:lang w:val="es-ES_tradnl"/>
        </w:rPr>
        <w:t xml:space="preserve"> </w:t>
      </w:r>
      <w:r w:rsidR="00D04DC2"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45E62" w:rsidRPr="00B25E57">
        <w:rPr>
          <w:lang w:val="es-ES_tradnl"/>
        </w:rPr>
        <w:t>,</w:t>
      </w:r>
      <w:r w:rsidR="003A46A1" w:rsidRPr="00B25E57">
        <w:rPr>
          <w:lang w:val="es-ES_tradnl"/>
        </w:rPr>
        <w:t xml:space="preserve"> </w:t>
      </w:r>
      <w:r w:rsidR="001B7900">
        <w:rPr>
          <w:lang w:val="es-ES_tradnl"/>
        </w:rPr>
        <w:t xml:space="preserve">se </w:t>
      </w:r>
      <w:r w:rsidR="00CA1956">
        <w:rPr>
          <w:lang w:val="es-ES_tradnl"/>
        </w:rPr>
        <w:t xml:space="preserve">obtendría </w:t>
      </w:r>
      <w:r w:rsidR="008A3316" w:rsidRPr="00B25E57">
        <w:rPr>
          <w:lang w:val="es-ES_tradnl"/>
        </w:rPr>
        <w:t>una</w:t>
      </w:r>
      <w:r w:rsidR="003A46A1" w:rsidRPr="00B25E57">
        <w:rPr>
          <w:lang w:val="es-ES_tradnl"/>
        </w:rPr>
        <w:t xml:space="preserve"> </w:t>
      </w:r>
      <w:r w:rsidR="008A3316" w:rsidRPr="00B25E57">
        <w:rPr>
          <w:lang w:val="es-ES_tradnl"/>
        </w:rPr>
        <w:t>reducción</w:t>
      </w:r>
      <w:r w:rsidR="003A46A1" w:rsidRPr="00B25E57">
        <w:rPr>
          <w:lang w:val="es-ES_tradnl"/>
        </w:rPr>
        <w:t xml:space="preserve"> </w:t>
      </w:r>
      <w:r w:rsidR="00FB38C2" w:rsidRPr="00B25E57">
        <w:rPr>
          <w:lang w:val="es-ES_tradnl"/>
        </w:rPr>
        <w:t>de</w:t>
      </w:r>
      <w:r w:rsidR="009033F9">
        <w:rPr>
          <w:lang w:val="es-ES_tradnl"/>
        </w:rPr>
        <w:t>l</w:t>
      </w:r>
      <w:r w:rsidR="003A46A1" w:rsidRPr="00B25E57">
        <w:rPr>
          <w:lang w:val="es-ES_tradnl"/>
        </w:rPr>
        <w:t xml:space="preserve"> </w:t>
      </w:r>
      <w:r w:rsidR="00345E62" w:rsidRPr="00B25E57">
        <w:rPr>
          <w:lang w:val="es-ES_tradnl"/>
        </w:rPr>
        <w:t>20</w:t>
      </w:r>
      <w:r w:rsidR="00FB38C2" w:rsidRPr="00B25E57">
        <w:rPr>
          <w:lang w:val="es-ES_tradnl"/>
        </w:rPr>
        <w:t>%</w:t>
      </w:r>
      <w:r w:rsidR="003A46A1" w:rsidRPr="00B25E57">
        <w:rPr>
          <w:lang w:val="es-ES_tradnl"/>
        </w:rPr>
        <w:t xml:space="preserve"> </w:t>
      </w:r>
      <w:r w:rsidR="009E5191">
        <w:rPr>
          <w:lang w:val="es-ES_tradnl"/>
        </w:rPr>
        <w:t xml:space="preserve">en los </w:t>
      </w:r>
      <w:r w:rsidR="002A2C56">
        <w:rPr>
          <w:lang w:val="es-ES_tradnl"/>
        </w:rPr>
        <w:t>tramos anuales</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560F0A">
        <w:rPr>
          <w:lang w:val="es-ES_tradnl"/>
        </w:rPr>
        <w:t xml:space="preserve">el período </w:t>
      </w:r>
      <w:r w:rsidR="00345E62" w:rsidRPr="00B25E57">
        <w:rPr>
          <w:lang w:val="es-ES_tradnl"/>
        </w:rPr>
        <w:t>2020</w:t>
      </w:r>
      <w:r w:rsidR="00FB38C2" w:rsidRPr="00B25E57">
        <w:rPr>
          <w:lang w:val="es-ES_tradnl"/>
        </w:rPr>
        <w:t>-</w:t>
      </w:r>
      <w:r w:rsidR="00345E62" w:rsidRPr="00B25E57">
        <w:rPr>
          <w:lang w:val="es-ES_tradnl"/>
        </w:rPr>
        <w:t>202</w:t>
      </w:r>
      <w:r w:rsidR="00560F0A">
        <w:rPr>
          <w:lang w:val="es-ES_tradnl"/>
        </w:rPr>
        <w:t>3</w:t>
      </w:r>
      <w:r w:rsidR="00E070A4">
        <w:rPr>
          <w:lang w:val="es-ES_tradnl"/>
        </w:rPr>
        <w:t xml:space="preserve"> </w:t>
      </w:r>
      <w:r w:rsidR="00C75626">
        <w:rPr>
          <w:lang w:val="es-ES_tradnl"/>
        </w:rPr>
        <w:t>y</w:t>
      </w:r>
      <w:r w:rsidR="00E070A4">
        <w:rPr>
          <w:lang w:val="es-ES_tradnl"/>
        </w:rPr>
        <w:t xml:space="preserve"> </w:t>
      </w:r>
      <w:r w:rsidR="00C512B9">
        <w:rPr>
          <w:lang w:val="es-ES_tradnl"/>
        </w:rPr>
        <w:t xml:space="preserve">una baja del </w:t>
      </w:r>
      <w:r w:rsidR="00345E62" w:rsidRPr="00B25E57">
        <w:rPr>
          <w:lang w:val="es-ES_tradnl"/>
        </w:rPr>
        <w:t>8</w:t>
      </w:r>
      <w:r w:rsidR="001B288F">
        <w:rPr>
          <w:lang w:val="es-ES_tradnl"/>
        </w:rPr>
        <w:t>%</w:t>
      </w:r>
      <w:r w:rsidR="003A46A1" w:rsidRPr="00B25E57">
        <w:rPr>
          <w:lang w:val="es-ES_tradnl"/>
        </w:rPr>
        <w:t xml:space="preserve"> </w:t>
      </w:r>
      <w:r w:rsidR="00C512B9">
        <w:rPr>
          <w:lang w:val="es-ES_tradnl"/>
        </w:rPr>
        <w:t>al</w:t>
      </w:r>
      <w:r w:rsidR="003A46A1" w:rsidRPr="00B25E57">
        <w:rPr>
          <w:lang w:val="es-ES_tradnl"/>
        </w:rPr>
        <w:t xml:space="preserve"> </w:t>
      </w:r>
      <w:r w:rsidR="00345E62" w:rsidRPr="00B25E57">
        <w:rPr>
          <w:lang w:val="es-ES_tradnl"/>
        </w:rPr>
        <w:t>14</w:t>
      </w:r>
      <w:r w:rsidR="00FB38C2" w:rsidRPr="00B25E57">
        <w:rPr>
          <w:lang w:val="es-ES_tradnl"/>
        </w:rPr>
        <w:t>%</w:t>
      </w:r>
      <w:r w:rsidR="00C512B9">
        <w:rPr>
          <w:lang w:val="es-ES_tradnl"/>
        </w:rPr>
        <w:t xml:space="preserve"> en el</w:t>
      </w:r>
      <w:r w:rsidR="00C512B9" w:rsidRPr="00216433">
        <w:rPr>
          <w:lang w:val="es-ES"/>
        </w:rPr>
        <w:t xml:space="preserve"> </w:t>
      </w:r>
      <w:r w:rsidR="00C512B9" w:rsidRPr="00C512B9">
        <w:rPr>
          <w:lang w:val="es-ES_tradnl"/>
        </w:rPr>
        <w:t>valor actual neto</w:t>
      </w:r>
      <w:r w:rsidR="00345E62" w:rsidRPr="00B25E57">
        <w:rPr>
          <w:lang w:val="es-ES_tradnl"/>
        </w:rPr>
        <w:t>,</w:t>
      </w:r>
      <w:r w:rsidR="003A46A1" w:rsidRPr="00B25E57">
        <w:rPr>
          <w:lang w:val="es-ES_tradnl"/>
        </w:rPr>
        <w:t xml:space="preserve"> </w:t>
      </w:r>
      <w:r w:rsidR="007D7382" w:rsidRPr="00B25E57">
        <w:rPr>
          <w:lang w:val="es-ES_tradnl"/>
        </w:rPr>
        <w:t>dependiendo</w:t>
      </w:r>
      <w:r w:rsidR="003A46A1" w:rsidRPr="00B25E57">
        <w:rPr>
          <w:lang w:val="es-ES_tradnl"/>
        </w:rPr>
        <w:t xml:space="preserve"> </w:t>
      </w:r>
      <w:r w:rsidR="007D7382" w:rsidRPr="00B25E57">
        <w:rPr>
          <w:lang w:val="es-ES_tradnl"/>
        </w:rPr>
        <w:t>del</w:t>
      </w:r>
      <w:r w:rsidR="003A46A1" w:rsidRPr="00B25E57">
        <w:rPr>
          <w:lang w:val="es-ES_tradnl"/>
        </w:rPr>
        <w:t xml:space="preserve"> </w:t>
      </w:r>
      <w:r w:rsidR="00F24FA9" w:rsidRPr="00B25E57">
        <w:rPr>
          <w:lang w:val="es-ES_tradnl"/>
        </w:rPr>
        <w:t>número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D9237B">
        <w:rPr>
          <w:lang w:val="es-ES_tradnl"/>
        </w:rPr>
        <w:t>a considerar</w:t>
      </w:r>
      <w:r w:rsidR="00345E62" w:rsidRPr="00B25E57">
        <w:rPr>
          <w:lang w:val="es-ES_tradnl"/>
        </w:rPr>
        <w:t>.</w:t>
      </w:r>
    </w:p>
    <w:p w14:paraId="35BBE00E" w14:textId="32E0A0CF" w:rsidR="007B22B4" w:rsidRPr="00B25E57" w:rsidRDefault="00FB38C2" w:rsidP="00345E62">
      <w:pPr>
        <w:pStyle w:val="Heading1"/>
        <w:rPr>
          <w:lang w:val="es-ES_tradnl"/>
        </w:rPr>
      </w:pPr>
      <w:r w:rsidRPr="00B25E57">
        <w:rPr>
          <w:lang w:val="es-ES_tradnl"/>
        </w:rPr>
        <w:t>El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3C24ED">
        <w:rPr>
          <w:lang w:val="es-ES_tradnl"/>
        </w:rPr>
        <w:t xml:space="preserve">tomó nota de </w:t>
      </w:r>
      <w:r w:rsidR="00F33C58" w:rsidRPr="00B25E57">
        <w:rPr>
          <w:lang w:val="es-ES_tradnl"/>
        </w:rPr>
        <w:t>la</w:t>
      </w:r>
      <w:r w:rsidR="003A46A1" w:rsidRPr="00B25E57">
        <w:rPr>
          <w:lang w:val="es-ES_tradnl"/>
        </w:rPr>
        <w:t xml:space="preserve"> </w:t>
      </w:r>
      <w:r w:rsidR="00F33C58" w:rsidRPr="00B25E57">
        <w:rPr>
          <w:lang w:val="es-ES_tradnl"/>
        </w:rPr>
        <w:t>propuesta</w:t>
      </w:r>
      <w:r w:rsidR="003A46A1" w:rsidRPr="00B25E57">
        <w:rPr>
          <w:lang w:val="es-ES_tradnl"/>
        </w:rPr>
        <w:t xml:space="preserve"> </w:t>
      </w:r>
      <w:r w:rsidR="003C24ED">
        <w:rPr>
          <w:lang w:val="es-ES_tradnl"/>
        </w:rPr>
        <w:t xml:space="preserve">de </w:t>
      </w:r>
      <w:r w:rsidR="002E4FBB">
        <w:rPr>
          <w:lang w:val="es-ES_tradnl"/>
        </w:rPr>
        <w:t>incluir</w:t>
      </w:r>
      <w:r w:rsidR="003A46A1" w:rsidRPr="00B25E57">
        <w:rPr>
          <w:lang w:val="es-ES_tradnl"/>
        </w:rPr>
        <w:t xml:space="preserve"> </w:t>
      </w:r>
      <w:r w:rsidR="004241C5" w:rsidRPr="00B25E57">
        <w:rPr>
          <w:lang w:val="es-ES_tradnl"/>
        </w:rPr>
        <w:t>costos</w:t>
      </w:r>
      <w:r w:rsidR="003A46A1" w:rsidRPr="00B25E57">
        <w:rPr>
          <w:lang w:val="es-ES_tradnl"/>
        </w:rPr>
        <w:t xml:space="preserve"> </w:t>
      </w:r>
      <w:r w:rsidR="00B85A62">
        <w:rPr>
          <w:lang w:val="es-ES_tradnl"/>
        </w:rPr>
        <w:t xml:space="preserve">relativos a </w:t>
      </w:r>
      <w:r w:rsidR="004E0BA9">
        <w:rPr>
          <w:lang w:val="es-ES_tradnl"/>
        </w:rPr>
        <w:t xml:space="preserve">la </w:t>
      </w:r>
      <w:r w:rsidR="00E06323">
        <w:rPr>
          <w:lang w:val="es-ES_tradnl"/>
        </w:rPr>
        <w:t>supervisión estatal</w:t>
      </w:r>
      <w:r w:rsidR="003A46A1" w:rsidRPr="00B25E57">
        <w:rPr>
          <w:lang w:val="es-ES_tradnl"/>
        </w:rPr>
        <w:t xml:space="preserve"> </w:t>
      </w:r>
      <w:r w:rsidRPr="00B25E57">
        <w:rPr>
          <w:lang w:val="es-ES_tradnl"/>
        </w:rPr>
        <w:t>de</w:t>
      </w:r>
      <w:r w:rsidR="003A46A1" w:rsidRPr="00B25E57">
        <w:rPr>
          <w:lang w:val="es-ES_tradnl"/>
        </w:rPr>
        <w:t xml:space="preserve"> </w:t>
      </w:r>
      <w:r w:rsidR="004E0BA9">
        <w:rPr>
          <w:lang w:val="es-ES_tradnl"/>
        </w:rPr>
        <w:t xml:space="preserve">la </w:t>
      </w:r>
      <w:r w:rsidR="003A46A1" w:rsidRPr="00B25E57">
        <w:rPr>
          <w:lang w:val="es-ES_tradnl"/>
        </w:rPr>
        <w:t xml:space="preserve">destrucción de HFC-23 </w:t>
      </w:r>
      <w:r w:rsidRPr="00B25E57">
        <w:rPr>
          <w:lang w:val="es-ES_tradnl"/>
        </w:rPr>
        <w:t>y</w:t>
      </w:r>
      <w:r w:rsidR="003A46A1" w:rsidRPr="00B25E57">
        <w:rPr>
          <w:lang w:val="es-ES_tradnl"/>
        </w:rPr>
        <w:t xml:space="preserve"> propu</w:t>
      </w:r>
      <w:r w:rsidR="0002305C">
        <w:rPr>
          <w:lang w:val="es-ES_tradnl"/>
        </w:rPr>
        <w:t>so incluir</w:t>
      </w:r>
      <w:r w:rsidR="00793A80">
        <w:rPr>
          <w:lang w:val="es-ES_tradnl"/>
        </w:rPr>
        <w:t xml:space="preserve"> </w:t>
      </w:r>
      <w:r w:rsidR="00F942C6" w:rsidRPr="00B25E57">
        <w:rPr>
          <w:lang w:val="es-ES_tradnl"/>
        </w:rPr>
        <w:t>un</w:t>
      </w:r>
      <w:r w:rsidR="003A46A1" w:rsidRPr="00B25E57">
        <w:rPr>
          <w:lang w:val="es-ES_tradnl"/>
        </w:rPr>
        <w:t xml:space="preserve"> </w:t>
      </w:r>
      <w:r w:rsidR="009378D1">
        <w:rPr>
          <w:lang w:val="es-ES_tradnl"/>
        </w:rPr>
        <w:t xml:space="preserve">nivel indeterminado </w:t>
      </w:r>
      <w:r w:rsidR="00BE6376">
        <w:rPr>
          <w:lang w:val="es-ES_tradnl"/>
        </w:rPr>
        <w:t xml:space="preserve">de </w:t>
      </w:r>
      <w:r w:rsidRPr="00B25E57">
        <w:rPr>
          <w:lang w:val="es-ES_tradnl"/>
        </w:rPr>
        <w:t>financiamiento</w:t>
      </w:r>
      <w:r w:rsidR="003A46A1" w:rsidRPr="00B25E57">
        <w:rPr>
          <w:lang w:val="es-ES_tradnl"/>
        </w:rPr>
        <w:t xml:space="preserve"> </w:t>
      </w:r>
      <w:r w:rsidR="00A325EF">
        <w:rPr>
          <w:lang w:val="es-ES_tradnl"/>
        </w:rPr>
        <w:t xml:space="preserve">para una </w:t>
      </w:r>
      <w:r w:rsidR="00F2664E">
        <w:rPr>
          <w:lang w:val="es-ES_tradnl"/>
        </w:rPr>
        <w:t>oficina de gestión del proyecto</w:t>
      </w:r>
      <w:r w:rsidR="00345E62" w:rsidRPr="00B25E57">
        <w:rPr>
          <w:lang w:val="es-ES_tradnl"/>
        </w:rPr>
        <w:t>,</w:t>
      </w:r>
      <w:r w:rsidR="003A46A1" w:rsidRPr="00B25E57">
        <w:rPr>
          <w:lang w:val="es-ES_tradnl"/>
        </w:rPr>
        <w:t xml:space="preserve"> </w:t>
      </w:r>
      <w:r w:rsidR="00221042">
        <w:rPr>
          <w:lang w:val="es-ES_tradnl"/>
        </w:rPr>
        <w:t>materia</w:t>
      </w:r>
      <w:r w:rsidR="00A1789D">
        <w:rPr>
          <w:lang w:val="es-ES_tradnl"/>
        </w:rPr>
        <w:t xml:space="preserve"> que </w:t>
      </w:r>
      <w:r w:rsidR="007E5B69">
        <w:rPr>
          <w:lang w:val="es-ES_tradnl"/>
        </w:rPr>
        <w:t xml:space="preserve">la </w:t>
      </w:r>
      <w:r w:rsidR="007E5B69" w:rsidRPr="007E5B69">
        <w:rPr>
          <w:lang w:val="es-ES_tradnl"/>
        </w:rPr>
        <w:t xml:space="preserve">presentación original </w:t>
      </w:r>
      <w:r w:rsidR="00A1789D">
        <w:rPr>
          <w:lang w:val="es-ES_tradnl"/>
        </w:rPr>
        <w:t xml:space="preserve">había </w:t>
      </w:r>
      <w:r w:rsidR="00970711">
        <w:rPr>
          <w:lang w:val="es-ES_tradnl"/>
        </w:rPr>
        <w:t>accidentalmente</w:t>
      </w:r>
      <w:r w:rsidR="009332DE" w:rsidRPr="00216433">
        <w:rPr>
          <w:lang w:val="es-ES"/>
        </w:rPr>
        <w:t xml:space="preserve"> </w:t>
      </w:r>
      <w:r w:rsidR="009332DE" w:rsidRPr="009332DE">
        <w:rPr>
          <w:lang w:val="es-ES_tradnl"/>
        </w:rPr>
        <w:t>omitido</w:t>
      </w:r>
      <w:r w:rsidR="00345E62" w:rsidRPr="00B25E57">
        <w:rPr>
          <w:lang w:val="es-ES_tradnl"/>
        </w:rPr>
        <w:t>.</w:t>
      </w:r>
      <w:r w:rsidR="003A46A1" w:rsidRPr="00B25E57">
        <w:rPr>
          <w:lang w:val="es-ES_tradnl"/>
        </w:rPr>
        <w:t xml:space="preserve"> </w:t>
      </w:r>
      <w:r w:rsidRPr="00B25E57">
        <w:rPr>
          <w:lang w:val="es-ES_tradnl"/>
        </w:rPr>
        <w:t>El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135477">
        <w:rPr>
          <w:lang w:val="es-ES_tradnl"/>
        </w:rPr>
        <w:t>hizo</w:t>
      </w:r>
      <w:r w:rsidR="00517D62" w:rsidRPr="00B25E57">
        <w:rPr>
          <w:lang w:val="es-ES_tradnl"/>
        </w:rPr>
        <w:t xml:space="preserve"> nota</w:t>
      </w:r>
      <w:r w:rsidR="00135477">
        <w:rPr>
          <w:lang w:val="es-ES_tradnl"/>
        </w:rPr>
        <w:t>r</w:t>
      </w:r>
      <w:r w:rsidR="00517D62" w:rsidRPr="00B25E57">
        <w:rPr>
          <w:lang w:val="es-ES_tradnl"/>
        </w:rPr>
        <w:t xml:space="preserve"> además </w:t>
      </w:r>
      <w:r w:rsidR="007A3079">
        <w:rPr>
          <w:lang w:val="es-ES_tradnl"/>
        </w:rPr>
        <w:t xml:space="preserve">que el </w:t>
      </w:r>
      <w:r w:rsidR="007A3079" w:rsidRPr="007A3079">
        <w:rPr>
          <w:lang w:val="es-ES_tradnl"/>
        </w:rPr>
        <w:t xml:space="preserve">proyecto de cierre </w:t>
      </w:r>
      <w:r w:rsidR="007A3079">
        <w:rPr>
          <w:lang w:val="es-ES_tradnl"/>
        </w:rPr>
        <w:t xml:space="preserve">de la </w:t>
      </w:r>
      <w:r w:rsidR="004241C5" w:rsidRPr="00B25E57">
        <w:rPr>
          <w:lang w:val="es-ES_tradnl"/>
        </w:rPr>
        <w:t>producción</w:t>
      </w:r>
      <w:r w:rsidR="003A46A1" w:rsidRPr="00B25E57">
        <w:rPr>
          <w:lang w:val="es-ES_tradnl"/>
        </w:rPr>
        <w:t xml:space="preserve"> </w:t>
      </w:r>
      <w:r w:rsidR="007A3079">
        <w:rPr>
          <w:lang w:val="es-ES_tradnl"/>
        </w:rPr>
        <w:t xml:space="preserve">de </w:t>
      </w:r>
      <w:r w:rsidR="007A3079" w:rsidRPr="007A3079">
        <w:rPr>
          <w:lang w:val="es-ES_tradnl"/>
        </w:rPr>
        <w:t xml:space="preserve">CFC </w:t>
      </w:r>
      <w:r w:rsidR="004241C5" w:rsidRPr="00B25E57">
        <w:rPr>
          <w:lang w:val="es-ES_tradnl"/>
        </w:rPr>
        <w:t>en</w:t>
      </w:r>
      <w:r w:rsidR="003A46A1" w:rsidRPr="00B25E57">
        <w:rPr>
          <w:lang w:val="es-ES_tradnl"/>
        </w:rPr>
        <w:t xml:space="preserve"> </w:t>
      </w:r>
      <w:r w:rsidR="00135477">
        <w:rPr>
          <w:lang w:val="es-ES_tradnl"/>
        </w:rPr>
        <w:t xml:space="preserve">Argentina </w:t>
      </w:r>
      <w:r w:rsidR="00A37BBD">
        <w:rPr>
          <w:lang w:val="es-ES_tradnl"/>
        </w:rPr>
        <w:t xml:space="preserve">destinó un </w:t>
      </w:r>
      <w:r w:rsidR="00345E62" w:rsidRPr="00B25E57">
        <w:rPr>
          <w:lang w:val="es-ES_tradnl"/>
        </w:rPr>
        <w:t>6</w:t>
      </w:r>
      <w:r w:rsidR="00E22238" w:rsidRPr="00B25E57">
        <w:rPr>
          <w:lang w:val="es-ES_tradnl"/>
        </w:rPr>
        <w:t>,2%</w:t>
      </w:r>
      <w:r w:rsidR="003A46A1" w:rsidRPr="00B25E57">
        <w:rPr>
          <w:lang w:val="es-ES_tradnl"/>
        </w:rPr>
        <w:t xml:space="preserve"> </w:t>
      </w:r>
      <w:r w:rsidR="007B22B4" w:rsidRPr="00B25E57">
        <w:rPr>
          <w:lang w:val="es-ES_tradnl"/>
        </w:rPr>
        <w:t>para</w:t>
      </w:r>
      <w:r w:rsidR="003A46A1" w:rsidRPr="00B25E57">
        <w:rPr>
          <w:lang w:val="es-ES_tradnl"/>
        </w:rPr>
        <w:t xml:space="preserve"> </w:t>
      </w:r>
      <w:r w:rsidR="007B22B4" w:rsidRPr="00B25E57">
        <w:rPr>
          <w:lang w:val="es-ES_tradnl"/>
        </w:rPr>
        <w:t>la</w:t>
      </w:r>
      <w:r w:rsidR="003A46A1" w:rsidRPr="00B25E57">
        <w:rPr>
          <w:lang w:val="es-ES_tradnl"/>
        </w:rPr>
        <w:t xml:space="preserve"> </w:t>
      </w:r>
      <w:r w:rsidR="00F2664E">
        <w:rPr>
          <w:lang w:val="es-ES_tradnl"/>
        </w:rPr>
        <w:t>oficina de gestión del proyecto</w:t>
      </w:r>
      <w:r w:rsidR="00345E62" w:rsidRPr="00B25E57">
        <w:rPr>
          <w:lang w:val="es-ES_tradnl"/>
        </w:rPr>
        <w:t>;</w:t>
      </w:r>
      <w:r w:rsidR="003A46A1" w:rsidRPr="00B25E57">
        <w:rPr>
          <w:lang w:val="es-ES_tradnl"/>
        </w:rPr>
        <w:t xml:space="preserve"> </w:t>
      </w:r>
      <w:r w:rsidR="00C83F23">
        <w:rPr>
          <w:lang w:val="es-ES_tradnl"/>
        </w:rPr>
        <w:t xml:space="preserve">que el </w:t>
      </w:r>
      <w:r w:rsidR="00147277" w:rsidRPr="00B25E57">
        <w:rPr>
          <w:lang w:val="es-ES_tradnl"/>
        </w:rPr>
        <w:t>porcentaje</w:t>
      </w:r>
      <w:r w:rsidR="003A46A1" w:rsidRPr="00B25E57">
        <w:rPr>
          <w:lang w:val="es-ES_tradnl"/>
        </w:rPr>
        <w:t xml:space="preserve"> </w:t>
      </w:r>
      <w:r w:rsidR="004857A2">
        <w:rPr>
          <w:lang w:val="es-ES_tradnl"/>
        </w:rPr>
        <w:t>apropiado a destinar a una o</w:t>
      </w:r>
      <w:r w:rsidR="00F2664E">
        <w:rPr>
          <w:lang w:val="es-ES_tradnl"/>
        </w:rPr>
        <w:t>ficina de gestión del proyecto</w:t>
      </w:r>
      <w:r w:rsidR="003A46A1" w:rsidRPr="00B25E57">
        <w:rPr>
          <w:lang w:val="es-ES_tradnl"/>
        </w:rPr>
        <w:t xml:space="preserve"> </w:t>
      </w:r>
      <w:r w:rsidR="00477048">
        <w:rPr>
          <w:lang w:val="es-ES_tradnl"/>
        </w:rPr>
        <w:t>podría</w:t>
      </w:r>
      <w:r w:rsidR="00551E09">
        <w:rPr>
          <w:lang w:val="es-ES_tradnl"/>
        </w:rPr>
        <w:t xml:space="preserve"> depender </w:t>
      </w:r>
      <w:r w:rsidR="008E35D5">
        <w:rPr>
          <w:lang w:val="es-ES_tradnl"/>
        </w:rPr>
        <w:t xml:space="preserve">de la opción seleccionada </w:t>
      </w:r>
      <w:r w:rsidR="00345E62" w:rsidRPr="00B25E57">
        <w:rPr>
          <w:lang w:val="es-ES_tradnl"/>
        </w:rPr>
        <w:t>(</w:t>
      </w:r>
      <w:r w:rsidR="003B2AF3">
        <w:rPr>
          <w:lang w:val="es-ES_tradnl"/>
        </w:rPr>
        <w:t>reacondicionamiento del incinerador</w:t>
      </w:r>
      <w:r w:rsidR="00345E62" w:rsidRPr="00B25E57">
        <w:rPr>
          <w:lang w:val="es-ES_tradnl"/>
        </w:rPr>
        <w:t>,</w:t>
      </w:r>
      <w:r w:rsidR="003A46A1" w:rsidRPr="00B25E57">
        <w:rPr>
          <w:lang w:val="es-ES_tradnl"/>
        </w:rPr>
        <w:t xml:space="preserve"> </w:t>
      </w:r>
      <w:r w:rsidR="00C91884">
        <w:rPr>
          <w:lang w:val="es-ES_tradnl"/>
        </w:rPr>
        <w:t xml:space="preserve">destrucción </w:t>
      </w:r>
      <w:r w:rsidR="00B654D8">
        <w:rPr>
          <w:lang w:val="es-ES_tradnl"/>
        </w:rPr>
        <w:t>ex situ</w:t>
      </w:r>
      <w:r w:rsidR="00345E62" w:rsidRPr="00B25E57">
        <w:rPr>
          <w:lang w:val="es-ES_tradnl"/>
        </w:rPr>
        <w:t>,</w:t>
      </w:r>
      <w:r w:rsidR="003A46A1" w:rsidRPr="00B25E57">
        <w:rPr>
          <w:lang w:val="es-ES_tradnl"/>
        </w:rPr>
        <w:t xml:space="preserve"> </w:t>
      </w:r>
      <w:r w:rsidRPr="00B25E57">
        <w:rPr>
          <w:lang w:val="es-ES_tradnl"/>
        </w:rPr>
        <w:t>o</w:t>
      </w:r>
      <w:r w:rsidR="003A46A1" w:rsidRPr="00B25E57">
        <w:rPr>
          <w:lang w:val="es-ES_tradnl"/>
        </w:rPr>
        <w:t xml:space="preserve"> </w:t>
      </w:r>
      <w:r w:rsidR="004512EA" w:rsidRPr="00B25E57">
        <w:rPr>
          <w:lang w:val="es-ES_tradnl"/>
        </w:rPr>
        <w:t>cierre</w:t>
      </w:r>
      <w:r w:rsidR="00345E62" w:rsidRPr="00B25E57">
        <w:rPr>
          <w:lang w:val="es-ES_tradnl"/>
        </w:rPr>
        <w:t>),</w:t>
      </w:r>
      <w:r w:rsidR="003A46A1" w:rsidRPr="00B25E57">
        <w:rPr>
          <w:lang w:val="es-ES_tradnl"/>
        </w:rPr>
        <w:t xml:space="preserve"> </w:t>
      </w:r>
      <w:r w:rsidR="00066913">
        <w:rPr>
          <w:lang w:val="es-ES_tradnl"/>
        </w:rPr>
        <w:t xml:space="preserve">de </w:t>
      </w:r>
      <w:r w:rsidR="00F942C6" w:rsidRPr="00B25E57">
        <w:rPr>
          <w:lang w:val="es-ES_tradnl"/>
        </w:rPr>
        <w:t>su</w:t>
      </w:r>
      <w:r w:rsidR="003A46A1" w:rsidRPr="00B25E57">
        <w:rPr>
          <w:lang w:val="es-ES_tradnl"/>
        </w:rPr>
        <w:t xml:space="preserve"> </w:t>
      </w:r>
      <w:r w:rsidR="00F33C58" w:rsidRPr="00B25E57">
        <w:rPr>
          <w:lang w:val="es-ES_tradnl"/>
        </w:rPr>
        <w:t>duración</w:t>
      </w:r>
      <w:r w:rsidR="003A46A1" w:rsidRPr="00B25E57">
        <w:rPr>
          <w:lang w:val="es-ES_tradnl"/>
        </w:rPr>
        <w:t xml:space="preserve"> </w:t>
      </w:r>
      <w:r w:rsidRPr="00B25E57">
        <w:rPr>
          <w:lang w:val="es-ES_tradnl"/>
        </w:rPr>
        <w:t>y</w:t>
      </w:r>
      <w:r w:rsidR="003A46A1" w:rsidRPr="00B25E57">
        <w:rPr>
          <w:lang w:val="es-ES_tradnl"/>
        </w:rPr>
        <w:t xml:space="preserve"> </w:t>
      </w:r>
      <w:r w:rsidR="00825A0D">
        <w:rPr>
          <w:lang w:val="es-ES_tradnl"/>
        </w:rPr>
        <w:t>d</w:t>
      </w:r>
      <w:r w:rsidR="004241C5" w:rsidRPr="00B25E57">
        <w:rPr>
          <w:lang w:val="es-ES_tradnl"/>
        </w:rPr>
        <w:t>el</w:t>
      </w:r>
      <w:r w:rsidR="003A46A1" w:rsidRPr="00B25E57">
        <w:rPr>
          <w:lang w:val="es-ES_tradnl"/>
        </w:rPr>
        <w:t xml:space="preserve"> </w:t>
      </w:r>
      <w:r w:rsidR="004241C5" w:rsidRPr="00B25E57">
        <w:rPr>
          <w:lang w:val="es-ES_tradnl"/>
        </w:rPr>
        <w:t>nivel</w:t>
      </w:r>
      <w:r w:rsidR="003A46A1" w:rsidRPr="00B25E57">
        <w:rPr>
          <w:lang w:val="es-ES_tradnl"/>
        </w:rPr>
        <w:t xml:space="preserve"> </w:t>
      </w:r>
      <w:r w:rsidRPr="00B25E57">
        <w:rPr>
          <w:lang w:val="es-ES_tradnl"/>
        </w:rPr>
        <w:t>de</w:t>
      </w:r>
      <w:r w:rsidR="003A46A1" w:rsidRPr="00B25E57">
        <w:rPr>
          <w:lang w:val="es-ES_tradnl"/>
        </w:rPr>
        <w:t xml:space="preserve"> </w:t>
      </w:r>
      <w:r w:rsidRPr="00B25E57">
        <w:rPr>
          <w:lang w:val="es-ES_tradnl"/>
        </w:rPr>
        <w:t>financiamiento</w:t>
      </w:r>
      <w:r w:rsidR="003A46A1" w:rsidRPr="00B25E57">
        <w:rPr>
          <w:lang w:val="es-ES_tradnl"/>
        </w:rPr>
        <w:t xml:space="preserve"> </w:t>
      </w:r>
      <w:r w:rsidRPr="00B25E57">
        <w:rPr>
          <w:lang w:val="es-ES_tradnl"/>
        </w:rPr>
        <w:t>aprobado</w:t>
      </w:r>
      <w:r w:rsidR="00EF731E">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E04B25">
        <w:rPr>
          <w:lang w:val="es-ES_tradnl"/>
        </w:rPr>
        <w:t xml:space="preserve">el tema </w:t>
      </w:r>
      <w:r w:rsidR="003C2E5B">
        <w:rPr>
          <w:lang w:val="es-ES_tradnl"/>
        </w:rPr>
        <w:t xml:space="preserve">debiese </w:t>
      </w:r>
      <w:r w:rsidR="006A4473">
        <w:rPr>
          <w:lang w:val="es-ES_tradnl"/>
        </w:rPr>
        <w:t>ser abordado</w:t>
      </w:r>
      <w:r w:rsidR="008934BF">
        <w:rPr>
          <w:lang w:val="es-ES_tradnl"/>
        </w:rPr>
        <w:t xml:space="preserve"> </w:t>
      </w:r>
      <w:r w:rsidR="004057BA" w:rsidRPr="00B25E57">
        <w:rPr>
          <w:lang w:val="es-ES_tradnl"/>
        </w:rPr>
        <w:t>durante</w:t>
      </w:r>
      <w:r w:rsidR="003A46A1" w:rsidRPr="00B25E57">
        <w:rPr>
          <w:lang w:val="es-ES_tradnl"/>
        </w:rPr>
        <w:t xml:space="preserve"> </w:t>
      </w:r>
      <w:r w:rsidR="002E05E1">
        <w:rPr>
          <w:lang w:val="es-ES_tradnl"/>
        </w:rPr>
        <w:t>la reunión d</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Pr="00B25E57">
        <w:rPr>
          <w:lang w:val="es-ES_tradnl"/>
        </w:rPr>
        <w:t>Ejecutivo</w:t>
      </w:r>
      <w:r w:rsidR="00345E62" w:rsidRPr="00B25E57">
        <w:rPr>
          <w:lang w:val="es-ES_tradnl"/>
        </w:rPr>
        <w:t>.</w:t>
      </w:r>
    </w:p>
    <w:p w14:paraId="7D0B59F4" w14:textId="264F19FC" w:rsidR="00345E62" w:rsidRPr="00B25E57" w:rsidRDefault="000C5E07" w:rsidP="00345E62">
      <w:pPr>
        <w:pStyle w:val="Heading1"/>
        <w:rPr>
          <w:lang w:val="es-ES_tradnl"/>
        </w:rPr>
      </w:pPr>
      <w:r>
        <w:rPr>
          <w:lang w:val="es-ES_tradnl"/>
        </w:rPr>
        <w:t xml:space="preserve">La </w:t>
      </w:r>
      <w:r w:rsidRPr="000C5E07">
        <w:rPr>
          <w:lang w:val="es-ES_tradnl"/>
        </w:rPr>
        <w:t xml:space="preserve">Secretaría consideró el costo de la supervisión estatal </w:t>
      </w:r>
      <w:r>
        <w:rPr>
          <w:lang w:val="es-ES_tradnl"/>
        </w:rPr>
        <w:t>a</w:t>
      </w:r>
      <w:r w:rsidR="00EB0171">
        <w:rPr>
          <w:lang w:val="es-ES_tradnl"/>
        </w:rPr>
        <w:t xml:space="preserve">l evaluar </w:t>
      </w:r>
      <w:r w:rsidR="00FB38C2" w:rsidRPr="00B25E57">
        <w:rPr>
          <w:lang w:val="es-ES_tradnl"/>
        </w:rPr>
        <w:t>e</w:t>
      </w:r>
      <w:r w:rsidR="005751BE">
        <w:rPr>
          <w:lang w:val="es-ES_tradnl"/>
        </w:rPr>
        <w:t>l</w:t>
      </w:r>
      <w:r w:rsidR="003A46A1" w:rsidRPr="00B25E57">
        <w:rPr>
          <w:lang w:val="es-ES_tradnl"/>
        </w:rPr>
        <w:t xml:space="preserve"> </w:t>
      </w:r>
      <w:r w:rsidR="003B2AF3">
        <w:rPr>
          <w:lang w:val="es-ES_tradnl"/>
        </w:rPr>
        <w:t>reacondicionamiento del incinerador</w:t>
      </w:r>
      <w:r w:rsidR="003A46A1" w:rsidRPr="00B25E57">
        <w:rPr>
          <w:lang w:val="es-ES_tradnl"/>
        </w:rPr>
        <w:t xml:space="preserve"> </w:t>
      </w:r>
      <w:r w:rsidR="00FB38C2" w:rsidRPr="00B25E57">
        <w:rPr>
          <w:lang w:val="es-ES_tradnl"/>
        </w:rPr>
        <w:t>y</w:t>
      </w:r>
      <w:r w:rsidR="003A46A1" w:rsidRPr="00B25E57">
        <w:rPr>
          <w:lang w:val="es-ES_tradnl"/>
        </w:rPr>
        <w:t xml:space="preserve"> </w:t>
      </w:r>
      <w:r w:rsidR="00073437">
        <w:rPr>
          <w:lang w:val="es-ES_tradnl"/>
        </w:rPr>
        <w:t xml:space="preserve">la </w:t>
      </w:r>
      <w:r w:rsidR="00C91884">
        <w:rPr>
          <w:lang w:val="es-ES_tradnl"/>
        </w:rPr>
        <w:t xml:space="preserve">destrucción </w:t>
      </w:r>
      <w:r w:rsidR="00B654D8">
        <w:rPr>
          <w:lang w:val="es-ES_tradnl"/>
        </w:rPr>
        <w:t>ex situ</w:t>
      </w:r>
      <w:r w:rsidR="00345E62" w:rsidRPr="00B25E57">
        <w:rPr>
          <w:lang w:val="es-ES_tradnl"/>
        </w:rPr>
        <w:t>;</w:t>
      </w:r>
      <w:r w:rsidR="003A46A1" w:rsidRPr="00B25E57">
        <w:rPr>
          <w:lang w:val="es-ES_tradnl"/>
        </w:rPr>
        <w:t xml:space="preserve"> </w:t>
      </w:r>
      <w:r w:rsidR="00D0021F">
        <w:rPr>
          <w:lang w:val="es-ES_tradnl"/>
        </w:rPr>
        <w:t xml:space="preserve">para </w:t>
      </w:r>
      <w:r w:rsidR="005B56A5" w:rsidRPr="005B56A5">
        <w:rPr>
          <w:lang w:val="es-ES_tradnl"/>
        </w:rPr>
        <w:t>la opción de cierre</w:t>
      </w:r>
      <w:r w:rsidR="00C803FB">
        <w:rPr>
          <w:lang w:val="es-ES_tradnl"/>
        </w:rPr>
        <w:t xml:space="preserve">, y </w:t>
      </w:r>
      <w:r w:rsidR="00C803FB" w:rsidRPr="00C803FB">
        <w:rPr>
          <w:lang w:val="es-ES_tradnl"/>
        </w:rPr>
        <w:t>de conformidad con los precedentes en esta materia</w:t>
      </w:r>
      <w:r w:rsidR="00C803FB">
        <w:rPr>
          <w:lang w:val="es-ES_tradnl"/>
        </w:rPr>
        <w:t xml:space="preserve">, </w:t>
      </w:r>
      <w:r w:rsidR="006E0261">
        <w:rPr>
          <w:lang w:val="es-ES_tradnl"/>
        </w:rPr>
        <w:t xml:space="preserve">no </w:t>
      </w:r>
      <w:r w:rsidR="00797707">
        <w:rPr>
          <w:lang w:val="es-ES_tradnl"/>
        </w:rPr>
        <w:t xml:space="preserve">se </w:t>
      </w:r>
      <w:r w:rsidR="006E0261">
        <w:rPr>
          <w:lang w:val="es-ES_tradnl"/>
        </w:rPr>
        <w:t>consideró una o</w:t>
      </w:r>
      <w:r w:rsidR="00F2664E">
        <w:rPr>
          <w:lang w:val="es-ES_tradnl"/>
        </w:rPr>
        <w:t>ficina de gestión del proyecto</w:t>
      </w:r>
      <w:r w:rsidR="00345E62" w:rsidRPr="00B25E57">
        <w:rPr>
          <w:lang w:val="es-ES_tradnl"/>
        </w:rPr>
        <w:t>.</w:t>
      </w:r>
      <w:r w:rsidR="003A46A1" w:rsidRPr="00B25E57">
        <w:rPr>
          <w:lang w:val="es-ES_tradnl"/>
        </w:rPr>
        <w:t xml:space="preserve"> </w:t>
      </w:r>
      <w:r w:rsidR="001A1A5D">
        <w:rPr>
          <w:lang w:val="es-ES_tradnl"/>
        </w:rPr>
        <w:t>Para</w:t>
      </w:r>
      <w:r w:rsidR="003A46A1" w:rsidRPr="00B25E57">
        <w:rPr>
          <w:lang w:val="es-ES_tradnl"/>
        </w:rPr>
        <w:t xml:space="preserve"> </w:t>
      </w:r>
      <w:r w:rsidR="00147277" w:rsidRPr="00B25E57">
        <w:rPr>
          <w:lang w:val="es-ES_tradnl"/>
        </w:rPr>
        <w:t>el</w:t>
      </w:r>
      <w:r w:rsidR="003A46A1" w:rsidRPr="00B25E57">
        <w:rPr>
          <w:lang w:val="es-ES_tradnl"/>
        </w:rPr>
        <w:t xml:space="preserve"> </w:t>
      </w:r>
      <w:r w:rsidR="00147277" w:rsidRPr="00B25E57">
        <w:rPr>
          <w:lang w:val="es-ES_tradnl"/>
        </w:rPr>
        <w:t>caso</w:t>
      </w:r>
      <w:r w:rsidR="003A46A1" w:rsidRPr="00B25E57">
        <w:rPr>
          <w:lang w:val="es-ES_tradnl"/>
        </w:rPr>
        <w:t xml:space="preserve"> </w:t>
      </w:r>
      <w:r w:rsidR="00FB38C2" w:rsidRPr="00B25E57">
        <w:rPr>
          <w:lang w:val="es-ES_tradnl"/>
        </w:rPr>
        <w:t>del</w:t>
      </w:r>
      <w:r w:rsidR="003A46A1" w:rsidRPr="00B25E57">
        <w:rPr>
          <w:lang w:val="es-ES_tradnl"/>
        </w:rPr>
        <w:t xml:space="preserve"> </w:t>
      </w:r>
      <w:r w:rsidR="00FB38C2" w:rsidRPr="00B25E57">
        <w:rPr>
          <w:lang w:val="es-ES_tradnl"/>
        </w:rPr>
        <w:t>PGEH</w:t>
      </w:r>
      <w:r w:rsidR="003A46A1" w:rsidRPr="00B25E57">
        <w:rPr>
          <w:lang w:val="es-ES_tradnl"/>
        </w:rPr>
        <w:t xml:space="preserve"> </w:t>
      </w:r>
      <w:r w:rsidR="00CB3EA0">
        <w:rPr>
          <w:lang w:val="es-ES_tradnl"/>
        </w:rPr>
        <w:t xml:space="preserve">aprobado por </w:t>
      </w:r>
      <w:r w:rsidR="004512EA" w:rsidRPr="00B25E57">
        <w:rPr>
          <w:lang w:val="es-ES_tradnl"/>
        </w:rPr>
        <w:t>el</w:t>
      </w:r>
      <w:r w:rsidR="003A46A1" w:rsidRPr="00B25E57">
        <w:rPr>
          <w:lang w:val="es-ES_tradnl"/>
        </w:rPr>
        <w:t xml:space="preserve"> </w:t>
      </w:r>
      <w:r w:rsidR="004512EA"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BA5A5E">
        <w:rPr>
          <w:lang w:val="es-ES_tradnl"/>
        </w:rPr>
        <w:t xml:space="preserve">el </w:t>
      </w:r>
      <w:r w:rsidR="004241C5" w:rsidRPr="00B25E57">
        <w:rPr>
          <w:lang w:val="es-ES_tradnl"/>
        </w:rPr>
        <w:t>nivel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73541">
        <w:rPr>
          <w:lang w:val="es-ES_tradnl"/>
        </w:rPr>
        <w:t>compensación</w:t>
      </w:r>
      <w:r w:rsidR="003A46A1" w:rsidRPr="00B25E57">
        <w:rPr>
          <w:lang w:val="es-ES_tradnl"/>
        </w:rPr>
        <w:t xml:space="preserve"> </w:t>
      </w:r>
      <w:r w:rsidR="005041D0">
        <w:rPr>
          <w:lang w:val="es-ES_tradnl"/>
        </w:rPr>
        <w:t xml:space="preserve">convenido </w:t>
      </w:r>
      <w:r w:rsidR="0071659F">
        <w:rPr>
          <w:lang w:val="es-ES_tradnl"/>
        </w:rPr>
        <w:t xml:space="preserve">no consideró </w:t>
      </w:r>
      <w:r w:rsidR="00A968ED">
        <w:rPr>
          <w:lang w:val="es-ES_tradnl"/>
        </w:rPr>
        <w:t>financiar una o</w:t>
      </w:r>
      <w:r w:rsidR="00F2664E">
        <w:rPr>
          <w:lang w:val="es-ES_tradnl"/>
        </w:rPr>
        <w:t>ficina de gestión del proyecto</w:t>
      </w:r>
      <w:r w:rsidR="00345E62" w:rsidRPr="00B25E57">
        <w:rPr>
          <w:lang w:val="es-ES_tradnl"/>
        </w:rPr>
        <w:t>;</w:t>
      </w:r>
      <w:r w:rsidR="003A46A1" w:rsidRPr="00B25E57">
        <w:rPr>
          <w:lang w:val="es-ES_tradnl"/>
        </w:rPr>
        <w:t xml:space="preserve"> </w:t>
      </w:r>
      <w:r w:rsidR="004057BA" w:rsidRPr="00B25E57">
        <w:rPr>
          <w:lang w:val="es-ES_tradnl"/>
        </w:rPr>
        <w:t>sin</w:t>
      </w:r>
      <w:r w:rsidR="003A46A1" w:rsidRPr="00B25E57">
        <w:rPr>
          <w:lang w:val="es-ES_tradnl"/>
        </w:rPr>
        <w:t xml:space="preserve"> </w:t>
      </w:r>
      <w:r w:rsidR="004057BA" w:rsidRPr="00B25E57">
        <w:rPr>
          <w:lang w:val="es-ES_tradnl"/>
        </w:rPr>
        <w:t>embargo</w:t>
      </w:r>
      <w:r w:rsidR="00345E62" w:rsidRPr="00B25E57">
        <w:rPr>
          <w:lang w:val="es-ES_tradnl"/>
        </w:rPr>
        <w:t>,</w:t>
      </w:r>
      <w:r w:rsidR="003A46A1" w:rsidRPr="00B25E57">
        <w:rPr>
          <w:lang w:val="es-ES_tradnl"/>
        </w:rPr>
        <w:t xml:space="preserve"> </w:t>
      </w:r>
      <w:r w:rsidR="00690E84">
        <w:rPr>
          <w:lang w:val="es-ES_tradnl"/>
        </w:rPr>
        <w:t>se concedió a</w:t>
      </w:r>
      <w:r w:rsidR="007B22B4" w:rsidRPr="00B25E57">
        <w:rPr>
          <w:lang w:val="es-ES_tradnl"/>
        </w:rPr>
        <w:t>l</w:t>
      </w:r>
      <w:r w:rsidR="003A46A1" w:rsidRPr="00B25E57">
        <w:rPr>
          <w:lang w:val="es-ES_tradnl"/>
        </w:rPr>
        <w:t xml:space="preserve"> </w:t>
      </w:r>
      <w:r w:rsidR="007B22B4" w:rsidRPr="00B25E57">
        <w:rPr>
          <w:lang w:val="es-ES_tradnl"/>
        </w:rPr>
        <w:t>país</w:t>
      </w:r>
      <w:r w:rsidR="003A46A1" w:rsidRPr="00B25E57">
        <w:rPr>
          <w:lang w:val="es-ES_tradnl"/>
        </w:rPr>
        <w:t xml:space="preserve"> </w:t>
      </w:r>
      <w:r w:rsidR="004512EA" w:rsidRPr="00B25E57">
        <w:rPr>
          <w:lang w:val="es-ES_tradnl"/>
        </w:rPr>
        <w:t>la</w:t>
      </w:r>
      <w:r w:rsidR="003A46A1" w:rsidRPr="00B25E57">
        <w:rPr>
          <w:lang w:val="es-ES_tradnl"/>
        </w:rPr>
        <w:t xml:space="preserve"> </w:t>
      </w:r>
      <w:r w:rsidR="004512EA" w:rsidRPr="00B25E57">
        <w:rPr>
          <w:lang w:val="es-ES_tradnl"/>
        </w:rPr>
        <w:t>flexibilidad</w:t>
      </w:r>
      <w:r w:rsidR="003A46A1" w:rsidRPr="00B25E57">
        <w:rPr>
          <w:lang w:val="es-ES_tradnl"/>
        </w:rPr>
        <w:t xml:space="preserve"> </w:t>
      </w:r>
      <w:r w:rsidR="0056196C">
        <w:rPr>
          <w:lang w:val="es-ES_tradnl"/>
        </w:rPr>
        <w:t xml:space="preserve">necesaria para </w:t>
      </w:r>
      <w:r w:rsidR="0025129D">
        <w:rPr>
          <w:lang w:val="es-ES_tradnl"/>
        </w:rPr>
        <w:t>destinar</w:t>
      </w:r>
      <w:r w:rsidR="00174063">
        <w:rPr>
          <w:lang w:val="es-ES_tradnl"/>
        </w:rPr>
        <w:t xml:space="preserve"> </w:t>
      </w:r>
      <w:r w:rsidR="0001295B">
        <w:rPr>
          <w:lang w:val="es-ES_tradnl"/>
        </w:rPr>
        <w:t xml:space="preserve">un </w:t>
      </w:r>
      <w:r w:rsidR="002B54D8">
        <w:rPr>
          <w:lang w:val="es-ES_tradnl"/>
        </w:rPr>
        <w:t xml:space="preserve">determinado </w:t>
      </w:r>
      <w:r w:rsidR="004241C5" w:rsidRPr="00B25E57">
        <w:rPr>
          <w:lang w:val="es-ES_tradnl"/>
        </w:rPr>
        <w:t>nivel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financiamiento</w:t>
      </w:r>
      <w:r w:rsidR="003A46A1" w:rsidRPr="00B25E57">
        <w:rPr>
          <w:lang w:val="es-ES_tradnl"/>
        </w:rPr>
        <w:t xml:space="preserve"> </w:t>
      </w:r>
      <w:r w:rsidR="00174063">
        <w:rPr>
          <w:lang w:val="es-ES_tradnl"/>
        </w:rPr>
        <w:t>a</w:t>
      </w:r>
      <w:r w:rsidR="0025129D">
        <w:rPr>
          <w:lang w:val="es-ES_tradnl"/>
        </w:rPr>
        <w:t xml:space="preserve"> la </w:t>
      </w:r>
      <w:r w:rsidR="0025129D" w:rsidRPr="0025129D">
        <w:rPr>
          <w:lang w:val="es-ES_tradnl"/>
        </w:rPr>
        <w:t>oficina de gestión del proyecto</w:t>
      </w:r>
      <w:r w:rsidR="00345E62" w:rsidRPr="00B25E57">
        <w:rPr>
          <w:lang w:val="es-ES_tradnl"/>
        </w:rPr>
        <w:t>.</w:t>
      </w:r>
    </w:p>
    <w:p w14:paraId="4DDBB940" w14:textId="5CA3B6A3" w:rsidR="00345E62" w:rsidRPr="00B25E57" w:rsidRDefault="00F33C58" w:rsidP="00966421">
      <w:pPr>
        <w:jc w:val="left"/>
        <w:rPr>
          <w:b/>
          <w:lang w:val="es-ES_tradnl"/>
        </w:rPr>
      </w:pPr>
      <w:r w:rsidRPr="00B25E57">
        <w:rPr>
          <w:b/>
          <w:lang w:val="es-ES_tradnl"/>
        </w:rPr>
        <w:t>PARTE</w:t>
      </w:r>
      <w:r w:rsidR="003A46A1" w:rsidRPr="00B25E57">
        <w:rPr>
          <w:b/>
          <w:lang w:val="es-ES_tradnl"/>
        </w:rPr>
        <w:t xml:space="preserve"> </w:t>
      </w:r>
      <w:r w:rsidR="00345E62" w:rsidRPr="00B25E57">
        <w:rPr>
          <w:b/>
          <w:lang w:val="es-ES_tradnl"/>
        </w:rPr>
        <w:t>II.</w:t>
      </w:r>
      <w:r w:rsidR="003A46A1" w:rsidRPr="00B25E57">
        <w:rPr>
          <w:b/>
          <w:lang w:val="es-ES_tradnl"/>
        </w:rPr>
        <w:t xml:space="preserve"> </w:t>
      </w:r>
      <w:r w:rsidR="00345E62" w:rsidRPr="00B25E57">
        <w:rPr>
          <w:b/>
          <w:lang w:val="es-ES_tradnl"/>
        </w:rPr>
        <w:tab/>
      </w:r>
      <w:r w:rsidR="00410F58" w:rsidRPr="00496C90">
        <w:rPr>
          <w:b/>
          <w:caps/>
          <w:lang w:val="es-ES_tradnl"/>
        </w:rPr>
        <w:t>Políticas de control de emisiones del subproducto HFC-23</w:t>
      </w:r>
    </w:p>
    <w:p w14:paraId="015EB6CD" w14:textId="523244D0" w:rsidR="00345E62" w:rsidRPr="00B25E57" w:rsidRDefault="00345E62" w:rsidP="00345E62">
      <w:pPr>
        <w:rPr>
          <w:lang w:val="es-ES_tradnl"/>
        </w:rPr>
      </w:pPr>
    </w:p>
    <w:p w14:paraId="2A67B70D" w14:textId="5520C47A" w:rsidR="007B22B4" w:rsidRPr="00B25E57" w:rsidRDefault="004241C5" w:rsidP="00345E62">
      <w:pPr>
        <w:pStyle w:val="Heading1"/>
        <w:rPr>
          <w:lang w:val="es-ES_tradnl"/>
        </w:rPr>
      </w:pPr>
      <w:r w:rsidRPr="00B25E57">
        <w:rPr>
          <w:lang w:val="es-ES_tradnl"/>
        </w:rPr>
        <w:t>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0F3856">
        <w:rPr>
          <w:lang w:val="es-ES_tradnl"/>
        </w:rPr>
        <w:t>resolvió</w:t>
      </w:r>
      <w:r w:rsidR="00A33AAA">
        <w:rPr>
          <w:lang w:val="es-ES_tradnl"/>
        </w:rPr>
        <w:t xml:space="preserve">, </w:t>
      </w:r>
      <w:r w:rsidR="004057BA" w:rsidRPr="00164CA4">
        <w:rPr>
          <w:lang w:val="es-ES_tradnl"/>
        </w:rPr>
        <w:t>entre</w:t>
      </w:r>
      <w:r w:rsidR="003A46A1" w:rsidRPr="00164CA4">
        <w:rPr>
          <w:lang w:val="es-ES_tradnl"/>
        </w:rPr>
        <w:t xml:space="preserve"> </w:t>
      </w:r>
      <w:r w:rsidR="00A33AAA">
        <w:rPr>
          <w:lang w:val="es-ES_tradnl"/>
        </w:rPr>
        <w:t xml:space="preserve">otras cosas, </w:t>
      </w:r>
      <w:r w:rsidR="00691404">
        <w:rPr>
          <w:lang w:val="es-ES_tradnl"/>
        </w:rPr>
        <w:t>considerar</w:t>
      </w:r>
      <w:r w:rsidR="003A46A1" w:rsidRPr="00B25E57">
        <w:rPr>
          <w:lang w:val="es-ES_tradnl"/>
        </w:rPr>
        <w:t xml:space="preserve"> </w:t>
      </w:r>
      <w:r w:rsidR="00A4343B" w:rsidRPr="00B25E57">
        <w:rPr>
          <w:lang w:val="es-ES_tradnl"/>
        </w:rPr>
        <w:t>cada</w:t>
      </w:r>
      <w:r w:rsidR="003A46A1" w:rsidRPr="00B25E57">
        <w:rPr>
          <w:lang w:val="es-ES_tradnl"/>
        </w:rPr>
        <w:t xml:space="preserve"> </w:t>
      </w:r>
      <w:r w:rsidR="00501D56">
        <w:rPr>
          <w:lang w:val="es-ES_tradnl"/>
        </w:rPr>
        <w:t xml:space="preserve">una de las </w:t>
      </w:r>
      <w:r w:rsidR="00F356FE">
        <w:rPr>
          <w:lang w:val="es-ES_tradnl"/>
        </w:rPr>
        <w:t>opciones</w:t>
      </w:r>
      <w:r w:rsidR="002D1074" w:rsidRPr="00216433">
        <w:rPr>
          <w:lang w:val="es-ES"/>
        </w:rPr>
        <w:t xml:space="preserve"> </w:t>
      </w:r>
      <w:r w:rsidR="00D22E3B">
        <w:rPr>
          <w:lang w:val="es-ES_tradnl"/>
        </w:rPr>
        <w:t>presentadas</w:t>
      </w:r>
      <w:r w:rsidR="00345E62" w:rsidRPr="00B25E57">
        <w:rPr>
          <w:lang w:val="es-ES_tradnl"/>
        </w:rPr>
        <w:t>,</w:t>
      </w:r>
      <w:r w:rsidR="003A46A1" w:rsidRPr="00B25E57">
        <w:rPr>
          <w:lang w:val="es-ES_tradnl"/>
        </w:rPr>
        <w:t xml:space="preserve"> </w:t>
      </w:r>
      <w:r w:rsidR="00665899">
        <w:rPr>
          <w:lang w:val="es-ES_tradnl"/>
        </w:rPr>
        <w:t>en especial</w:t>
      </w:r>
      <w:r w:rsidR="003A46A1" w:rsidRPr="00B25E57">
        <w:rPr>
          <w:lang w:val="es-ES_tradnl"/>
        </w:rPr>
        <w:t xml:space="preserve"> </w:t>
      </w:r>
      <w:r w:rsidR="00F942C6" w:rsidRPr="00B25E57">
        <w:rPr>
          <w:lang w:val="es-ES_tradnl"/>
        </w:rPr>
        <w:t xml:space="preserve">los </w:t>
      </w:r>
      <w:r w:rsidR="00266554">
        <w:rPr>
          <w:lang w:val="es-ES_tradnl"/>
        </w:rPr>
        <w:t xml:space="preserve">antecedentes aportados </w:t>
      </w:r>
      <w:r w:rsidR="00D04DC2" w:rsidRPr="00B25E57">
        <w:rPr>
          <w:lang w:val="es-ES_tradnl"/>
        </w:rPr>
        <w:t>por</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627F8D">
        <w:rPr>
          <w:lang w:val="es-ES_tradnl"/>
        </w:rPr>
        <w:t xml:space="preserve">en virtud de </w:t>
      </w:r>
      <w:r w:rsidR="00862A82" w:rsidRPr="00B25E57">
        <w:rPr>
          <w:lang w:val="es-ES_tradnl"/>
        </w:rPr>
        <w:t>lo</w:t>
      </w:r>
      <w:r w:rsidR="003A46A1" w:rsidRPr="00B25E57">
        <w:rPr>
          <w:lang w:val="es-ES_tradnl"/>
        </w:rPr>
        <w:t xml:space="preserve"> </w:t>
      </w:r>
      <w:r w:rsidR="00862A82" w:rsidRPr="00B25E57">
        <w:rPr>
          <w:lang w:val="es-ES_tradnl"/>
        </w:rPr>
        <w:t>dispuesto</w:t>
      </w:r>
      <w:r w:rsidR="003A46A1" w:rsidRPr="00B25E57">
        <w:rPr>
          <w:lang w:val="es-ES_tradnl"/>
        </w:rPr>
        <w:t xml:space="preserve"> </w:t>
      </w:r>
      <w:r w:rsidR="00862A82" w:rsidRPr="00B25E57">
        <w:rPr>
          <w:lang w:val="es-ES_tradnl"/>
        </w:rPr>
        <w:t>en</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decisión</w:t>
      </w:r>
      <w:r w:rsidR="003A46A1" w:rsidRPr="00B25E57">
        <w:rPr>
          <w:lang w:val="es-ES_tradnl"/>
        </w:rPr>
        <w:t xml:space="preserve"> </w:t>
      </w:r>
      <w:r w:rsidR="00345E62" w:rsidRPr="00B25E57">
        <w:rPr>
          <w:lang w:val="es-ES_tradnl"/>
        </w:rPr>
        <w:t>82/85(c)</w:t>
      </w:r>
      <w:r w:rsidR="004E6B0B">
        <w:rPr>
          <w:lang w:val="es-ES_tradnl"/>
        </w:rPr>
        <w:t>,</w:t>
      </w:r>
      <w:r w:rsidR="003A46A1" w:rsidRPr="00B25E57">
        <w:rPr>
          <w:lang w:val="es-ES_tradnl"/>
        </w:rPr>
        <w:t xml:space="preserve"> </w:t>
      </w:r>
      <w:r w:rsidR="00DE6D1F">
        <w:rPr>
          <w:lang w:val="es-ES_tradnl"/>
        </w:rPr>
        <w:t xml:space="preserve">y </w:t>
      </w:r>
      <w:r w:rsidR="00182B3D" w:rsidRPr="00182B3D">
        <w:rPr>
          <w:lang w:val="es-ES_tradnl"/>
        </w:rPr>
        <w:t xml:space="preserve">definir criterios para el financiamiento de las actividades relativas a las </w:t>
      </w:r>
      <w:r w:rsidR="00AB103A">
        <w:rPr>
          <w:lang w:val="es-ES_tradnl"/>
        </w:rPr>
        <w:t>obligaciones de cumplimiento adquiridas por las Partes del artículo 5</w:t>
      </w:r>
      <w:r w:rsidR="002556A6">
        <w:rPr>
          <w:lang w:val="es-ES_tradnl"/>
        </w:rPr>
        <w:t xml:space="preserve">; así como </w:t>
      </w:r>
      <w:r w:rsidR="00691404">
        <w:rPr>
          <w:lang w:val="es-ES_tradnl"/>
        </w:rPr>
        <w:t>considerar</w:t>
      </w:r>
      <w:r w:rsidR="003A46A1" w:rsidRPr="00B25E57">
        <w:rPr>
          <w:lang w:val="es-ES_tradnl"/>
        </w:rPr>
        <w:t xml:space="preserve"> </w:t>
      </w:r>
      <w:r w:rsidR="00BD13C7">
        <w:rPr>
          <w:lang w:val="es-ES_tradnl"/>
        </w:rPr>
        <w:t>la</w:t>
      </w:r>
      <w:r w:rsidR="00BC41F4">
        <w:rPr>
          <w:lang w:val="es-ES_tradnl"/>
        </w:rPr>
        <w:t xml:space="preserve"> </w:t>
      </w:r>
      <w:r w:rsidR="002C7D10">
        <w:rPr>
          <w:lang w:val="es-ES_tradnl"/>
        </w:rPr>
        <w:t xml:space="preserve">posible </w:t>
      </w:r>
      <w:r w:rsidR="00BC41F4">
        <w:rPr>
          <w:lang w:val="es-ES_tradnl"/>
        </w:rPr>
        <w:t xml:space="preserve">aplicación de los </w:t>
      </w:r>
      <w:r w:rsidR="00E22238" w:rsidRPr="00B25E57">
        <w:rPr>
          <w:lang w:val="es-ES_tradnl"/>
        </w:rPr>
        <w:t>procedimiento</w:t>
      </w:r>
      <w:r w:rsidR="00345E62" w:rsidRPr="00B25E57">
        <w:rPr>
          <w:lang w:val="es-ES_tradnl"/>
        </w:rPr>
        <w:t>s</w:t>
      </w:r>
      <w:r w:rsidR="003A46A1" w:rsidRPr="00B25E57">
        <w:rPr>
          <w:lang w:val="es-ES_tradnl"/>
        </w:rPr>
        <w:t xml:space="preserve"> </w:t>
      </w:r>
      <w:r w:rsidR="00DD103C">
        <w:rPr>
          <w:lang w:val="es-ES_tradnl"/>
        </w:rPr>
        <w:t xml:space="preserve">expuestos </w:t>
      </w:r>
      <w:r w:rsidR="00147277" w:rsidRPr="00B25E57">
        <w:rPr>
          <w:lang w:val="es-ES_tradnl"/>
        </w:rPr>
        <w:t>en</w:t>
      </w:r>
      <w:r w:rsidR="003A46A1" w:rsidRPr="00B25E57">
        <w:rPr>
          <w:lang w:val="es-ES_tradnl"/>
        </w:rPr>
        <w:t xml:space="preserve"> </w:t>
      </w:r>
      <w:r w:rsidR="00147277" w:rsidRPr="00B25E57">
        <w:rPr>
          <w:lang w:val="es-ES_tradnl"/>
        </w:rPr>
        <w:t>la</w:t>
      </w:r>
      <w:r w:rsidR="003A46A1" w:rsidRPr="00B25E57">
        <w:rPr>
          <w:lang w:val="es-ES_tradnl"/>
        </w:rPr>
        <w:t xml:space="preserve"> </w:t>
      </w:r>
      <w:r w:rsidR="00147277" w:rsidRPr="00B25E57">
        <w:rPr>
          <w:lang w:val="es-ES_tradnl"/>
        </w:rPr>
        <w:t>decisión</w:t>
      </w:r>
      <w:r w:rsidR="003A46A1" w:rsidRPr="00B25E57">
        <w:rPr>
          <w:lang w:val="es-ES_tradnl"/>
        </w:rPr>
        <w:t xml:space="preserve"> </w:t>
      </w:r>
      <w:r w:rsidR="00BE1489" w:rsidRPr="00B25E57">
        <w:rPr>
          <w:lang w:val="es-ES_tradnl"/>
        </w:rPr>
        <w:t>82/8</w:t>
      </w:r>
      <w:r w:rsidR="00285448">
        <w:rPr>
          <w:lang w:val="es-ES_tradnl"/>
        </w:rPr>
        <w:t>5</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47277" w:rsidRPr="00B25E57">
        <w:rPr>
          <w:lang w:val="es-ES_tradnl"/>
        </w:rPr>
        <w:t>los</w:t>
      </w:r>
      <w:r w:rsidR="003A46A1" w:rsidRPr="00B25E57">
        <w:rPr>
          <w:lang w:val="es-ES_tradnl"/>
        </w:rPr>
        <w:t xml:space="preserve"> </w:t>
      </w:r>
      <w:r w:rsidR="009671BD" w:rsidRPr="009671BD">
        <w:rPr>
          <w:lang w:val="es-ES_tradnl"/>
        </w:rPr>
        <w:t xml:space="preserve">criterios para el financiamiento de las actividades relativas a las </w:t>
      </w:r>
      <w:r w:rsidR="00AB103A">
        <w:rPr>
          <w:lang w:val="es-ES_tradnl"/>
        </w:rPr>
        <w:t>obligaciones de cumplimiento adquiridas por las Partes del artículo 5</w:t>
      </w:r>
      <w:r w:rsidR="00345E62" w:rsidRPr="00B25E57">
        <w:rPr>
          <w:lang w:val="es-ES_tradnl"/>
        </w:rPr>
        <w:t>,</w:t>
      </w:r>
      <w:r w:rsidR="003A46A1" w:rsidRPr="00B25E57">
        <w:rPr>
          <w:lang w:val="es-ES_tradnl"/>
        </w:rPr>
        <w:t xml:space="preserve"> </w:t>
      </w:r>
      <w:r w:rsidR="00E82A98" w:rsidRPr="00E82A98">
        <w:rPr>
          <w:lang w:val="es-ES_tradnl"/>
        </w:rPr>
        <w:t xml:space="preserve">una vez se convengan, respecto del control del HFC-23 </w:t>
      </w:r>
      <w:r w:rsidR="001D2245">
        <w:rPr>
          <w:lang w:val="es-ES_tradnl"/>
        </w:rPr>
        <w:t>en las demás Partes</w:t>
      </w:r>
      <w:r w:rsidR="00E82A98" w:rsidRPr="00E82A98">
        <w:rPr>
          <w:lang w:val="es-ES_tradnl"/>
        </w:rPr>
        <w:t xml:space="preserve"> del artículo 5</w:t>
      </w:r>
      <w:r w:rsidR="003A46A1" w:rsidRPr="00B25E57">
        <w:rPr>
          <w:lang w:val="es-ES_tradnl"/>
        </w:rPr>
        <w:t xml:space="preserve"> </w:t>
      </w:r>
      <w:r w:rsidR="00345E62" w:rsidRPr="00B25E57">
        <w:rPr>
          <w:lang w:val="es-ES_tradnl"/>
        </w:rPr>
        <w:t>(</w:t>
      </w:r>
      <w:r w:rsidRPr="00B25E57">
        <w:rPr>
          <w:lang w:val="es-ES_tradnl"/>
        </w:rPr>
        <w:t>decisión</w:t>
      </w:r>
      <w:r w:rsidR="003A46A1" w:rsidRPr="00B25E57">
        <w:rPr>
          <w:lang w:val="es-ES_tradnl"/>
        </w:rPr>
        <w:t xml:space="preserve"> </w:t>
      </w:r>
      <w:r w:rsidR="00345E62" w:rsidRPr="00B25E57">
        <w:rPr>
          <w:lang w:val="es-ES_tradnl"/>
        </w:rPr>
        <w:t>82/85(d)</w:t>
      </w:r>
      <w:r w:rsidR="003A46A1" w:rsidRPr="00B25E57">
        <w:rPr>
          <w:lang w:val="es-ES_tradnl"/>
        </w:rPr>
        <w:t xml:space="preserve"> </w:t>
      </w:r>
      <w:r w:rsidR="00FB38C2" w:rsidRPr="00B25E57">
        <w:rPr>
          <w:lang w:val="es-ES_tradnl"/>
        </w:rPr>
        <w:t>y</w:t>
      </w:r>
      <w:r w:rsidR="003A46A1" w:rsidRPr="00B25E57">
        <w:rPr>
          <w:lang w:val="es-ES_tradnl"/>
        </w:rPr>
        <w:t xml:space="preserve"> </w:t>
      </w:r>
      <w:r w:rsidR="00345E62" w:rsidRPr="00B25E57">
        <w:rPr>
          <w:lang w:val="es-ES_tradnl"/>
        </w:rPr>
        <w:t>(g)).</w:t>
      </w:r>
    </w:p>
    <w:p w14:paraId="37432D8D" w14:textId="11C16C44" w:rsidR="00345E62" w:rsidRPr="00B25E57" w:rsidRDefault="004241C5" w:rsidP="00345E62">
      <w:pPr>
        <w:pStyle w:val="Heading1"/>
        <w:rPr>
          <w:lang w:val="es-ES_tradnl"/>
        </w:rPr>
      </w:pPr>
      <w:r w:rsidRPr="00B25E57">
        <w:rPr>
          <w:lang w:val="es-ES_tradnl"/>
        </w:rPr>
        <w:t>En</w:t>
      </w:r>
      <w:r w:rsidR="003A46A1" w:rsidRPr="00B25E57">
        <w:rPr>
          <w:lang w:val="es-ES_tradnl"/>
        </w:rPr>
        <w:t xml:space="preserve"> </w:t>
      </w:r>
      <w:r w:rsidRPr="00B25E57">
        <w:rPr>
          <w:lang w:val="es-ES_tradnl"/>
        </w:rPr>
        <w:t>consecuencia,</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9902B8">
        <w:rPr>
          <w:lang w:val="es-ES_tradnl"/>
        </w:rPr>
        <w:t xml:space="preserve">viene en </w:t>
      </w:r>
      <w:r w:rsidR="00780625">
        <w:rPr>
          <w:lang w:val="es-ES_tradnl"/>
        </w:rPr>
        <w:t xml:space="preserve">solicitar </w:t>
      </w:r>
      <w:r w:rsidR="00AC1F26">
        <w:rPr>
          <w:lang w:val="es-ES_tradnl"/>
        </w:rPr>
        <w:t xml:space="preserve">la </w:t>
      </w:r>
      <w:r w:rsidR="00AC1F26" w:rsidRPr="00AC1F26">
        <w:rPr>
          <w:lang w:val="es-ES_tradnl"/>
        </w:rPr>
        <w:t xml:space="preserve">orientación del Comité Ejecutivo </w:t>
      </w:r>
      <w:r w:rsidR="000832B4">
        <w:rPr>
          <w:lang w:val="es-ES_tradnl"/>
        </w:rPr>
        <w:t xml:space="preserve">respecto de </w:t>
      </w:r>
      <w:r w:rsidR="000C0D42">
        <w:rPr>
          <w:lang w:val="es-ES_tradnl"/>
        </w:rPr>
        <w:t>la</w:t>
      </w:r>
      <w:r w:rsidR="009902B8">
        <w:rPr>
          <w:lang w:val="es-ES_tradnl"/>
        </w:rPr>
        <w:t xml:space="preserve">s </w:t>
      </w:r>
      <w:r w:rsidR="004057BA" w:rsidRPr="00B25E57">
        <w:rPr>
          <w:lang w:val="es-ES_tradnl"/>
        </w:rPr>
        <w:t>siguientes</w:t>
      </w:r>
      <w:r w:rsidR="003A46A1" w:rsidRPr="00B25E57">
        <w:rPr>
          <w:lang w:val="es-ES_tradnl"/>
        </w:rPr>
        <w:t xml:space="preserve"> </w:t>
      </w:r>
      <w:r w:rsidR="000C0D42">
        <w:rPr>
          <w:lang w:val="es-ES_tradnl"/>
        </w:rPr>
        <w:t>materias relativa</w:t>
      </w:r>
      <w:r w:rsidR="008A216A">
        <w:rPr>
          <w:lang w:val="es-ES_tradnl"/>
        </w:rPr>
        <w:t xml:space="preserve">s a las </w:t>
      </w:r>
      <w:r w:rsidR="00DB7995">
        <w:rPr>
          <w:lang w:val="es-ES_tradnl"/>
        </w:rPr>
        <w:t>política</w:t>
      </w:r>
      <w:r w:rsidR="008A216A">
        <w:rPr>
          <w:lang w:val="es-ES_tradnl"/>
        </w:rPr>
        <w:t>s</w:t>
      </w:r>
      <w:r w:rsidR="003A46A1" w:rsidRPr="00B25E57">
        <w:rPr>
          <w:lang w:val="es-ES_tradnl"/>
        </w:rPr>
        <w:t xml:space="preserve"> </w:t>
      </w:r>
      <w:r w:rsidR="008A216A">
        <w:rPr>
          <w:lang w:val="es-ES_tradnl"/>
        </w:rPr>
        <w:t>a seguir</w:t>
      </w:r>
      <w:r w:rsidR="00BE1489" w:rsidRPr="00B25E57">
        <w:rPr>
          <w:lang w:val="es-ES_tradnl"/>
        </w:rPr>
        <w:t>:</w:t>
      </w:r>
    </w:p>
    <w:p w14:paraId="27375AC5" w14:textId="7605655F" w:rsidR="00345E62" w:rsidRPr="00B25E57" w:rsidRDefault="00AE3E6F" w:rsidP="009F0AAB">
      <w:pPr>
        <w:keepNext/>
        <w:rPr>
          <w:u w:val="single"/>
          <w:lang w:val="es-ES_tradnl"/>
        </w:rPr>
      </w:pPr>
      <w:r>
        <w:rPr>
          <w:u w:val="single"/>
          <w:lang w:val="es-ES_tradnl"/>
        </w:rPr>
        <w:lastRenderedPageBreak/>
        <w:t xml:space="preserve">Medida en que la demanda y la rentabilidad del </w:t>
      </w:r>
      <w:r w:rsidR="001C2BC9">
        <w:rPr>
          <w:u w:val="single"/>
          <w:lang w:val="es-ES_tradnl"/>
        </w:rPr>
        <w:t xml:space="preserve">HCFC-22 </w:t>
      </w:r>
      <w:r w:rsidR="00DD70F6">
        <w:rPr>
          <w:u w:val="single"/>
          <w:lang w:val="es-ES_tradnl"/>
        </w:rPr>
        <w:t>deben determinar su futura</w:t>
      </w:r>
      <w:r w:rsidR="00072F7D">
        <w:rPr>
          <w:u w:val="single"/>
          <w:lang w:val="es-ES_tradnl"/>
        </w:rPr>
        <w:t xml:space="preserve"> producción</w:t>
      </w:r>
    </w:p>
    <w:p w14:paraId="11A1FFF3" w14:textId="77777777" w:rsidR="00345E62" w:rsidRPr="00B25E57" w:rsidRDefault="00345E62" w:rsidP="00345E62">
      <w:pPr>
        <w:rPr>
          <w:lang w:val="es-ES_tradnl"/>
        </w:rPr>
      </w:pPr>
    </w:p>
    <w:p w14:paraId="04719DBC" w14:textId="2ADC53C2" w:rsidR="007B22B4" w:rsidRPr="00B25E57" w:rsidRDefault="00602FA4" w:rsidP="00345E62">
      <w:pPr>
        <w:pStyle w:val="Heading1"/>
        <w:rPr>
          <w:lang w:val="es-ES_tradnl"/>
        </w:rPr>
      </w:pPr>
      <w:r>
        <w:rPr>
          <w:lang w:val="es-ES_tradnl"/>
        </w:rPr>
        <w:t xml:space="preserve">En concordancia </w:t>
      </w:r>
      <w:r w:rsidR="000246D1">
        <w:rPr>
          <w:lang w:val="es-ES_tradnl"/>
        </w:rPr>
        <w:t>con</w:t>
      </w:r>
      <w:r w:rsidR="003A46A1" w:rsidRPr="00B25E57">
        <w:rPr>
          <w:lang w:val="es-ES_tradnl"/>
        </w:rPr>
        <w:t xml:space="preserve"> </w:t>
      </w:r>
      <w:r w:rsidR="00A4343B" w:rsidRPr="00B25E57">
        <w:rPr>
          <w:lang w:val="es-ES_tradnl"/>
        </w:rPr>
        <w:t>la</w:t>
      </w:r>
      <w:r w:rsidR="003A46A1" w:rsidRPr="00B25E57">
        <w:rPr>
          <w:lang w:val="es-ES_tradnl"/>
        </w:rPr>
        <w:t xml:space="preserve"> </w:t>
      </w:r>
      <w:r w:rsidR="00A4343B" w:rsidRPr="00B25E57">
        <w:rPr>
          <w:lang w:val="es-ES_tradnl"/>
        </w:rPr>
        <w:t>evaluación</w:t>
      </w:r>
      <w:r w:rsidR="003A46A1" w:rsidRPr="00B25E57">
        <w:rPr>
          <w:lang w:val="es-ES_tradnl"/>
        </w:rPr>
        <w:t xml:space="preserve"> </w:t>
      </w:r>
      <w:r w:rsidR="004057BA" w:rsidRPr="00B25E57">
        <w:rPr>
          <w:lang w:val="es-ES_tradnl"/>
        </w:rPr>
        <w:t>del</w:t>
      </w:r>
      <w:r w:rsidR="003A46A1" w:rsidRPr="00B25E57">
        <w:rPr>
          <w:lang w:val="es-ES_tradnl"/>
        </w:rPr>
        <w:t xml:space="preserve"> consultor independiente</w:t>
      </w:r>
      <w:r w:rsidR="00345E62" w:rsidRPr="00B25E57">
        <w:rPr>
          <w:lang w:val="es-ES_tradnl"/>
        </w:rPr>
        <w:t>,</w:t>
      </w:r>
      <w:r w:rsidR="003A46A1" w:rsidRPr="00B25E57">
        <w:rPr>
          <w:lang w:val="es-ES_tradnl"/>
        </w:rPr>
        <w:t xml:space="preserve"> </w:t>
      </w:r>
      <w:r w:rsidR="004241C5" w:rsidRPr="00B25E57">
        <w:rPr>
          <w:lang w:val="es-ES_tradnl"/>
        </w:rPr>
        <w:t>la</w:t>
      </w:r>
      <w:r w:rsidR="003A46A1" w:rsidRPr="00B25E57">
        <w:rPr>
          <w:lang w:val="es-ES_tradnl"/>
        </w:rPr>
        <w:t xml:space="preserve"> </w:t>
      </w:r>
      <w:r w:rsidR="004241C5" w:rsidRPr="00B25E57">
        <w:rPr>
          <w:lang w:val="es-ES_tradnl"/>
        </w:rPr>
        <w:t>Secretaría</w:t>
      </w:r>
      <w:r w:rsidR="003A46A1" w:rsidRPr="00B25E57">
        <w:rPr>
          <w:lang w:val="es-ES_tradnl"/>
        </w:rPr>
        <w:t xml:space="preserve"> </w:t>
      </w:r>
      <w:r w:rsidR="0023269D">
        <w:rPr>
          <w:lang w:val="es-ES_tradnl"/>
        </w:rPr>
        <w:t xml:space="preserve">estima </w:t>
      </w:r>
      <w:r w:rsidR="00D34205">
        <w:rPr>
          <w:lang w:val="es-ES_tradnl"/>
        </w:rPr>
        <w:t xml:space="preserve">que </w:t>
      </w:r>
      <w:r w:rsidR="0048577C">
        <w:rPr>
          <w:lang w:val="es-ES_tradnl"/>
        </w:rPr>
        <w:t>FIASA</w:t>
      </w:r>
      <w:r w:rsidR="003A46A1" w:rsidRPr="00B25E57">
        <w:rPr>
          <w:lang w:val="es-ES_tradnl"/>
        </w:rPr>
        <w:t xml:space="preserve"> </w:t>
      </w:r>
      <w:r w:rsidR="00C475BF">
        <w:rPr>
          <w:lang w:val="es-ES_tradnl"/>
        </w:rPr>
        <w:t xml:space="preserve">dejará de producir </w:t>
      </w:r>
      <w:r w:rsidR="004432DD">
        <w:rPr>
          <w:lang w:val="es-ES_tradnl"/>
        </w:rPr>
        <w:t>hacia e</w:t>
      </w:r>
      <w:r w:rsidR="00B25E57">
        <w:rPr>
          <w:lang w:val="es-ES_tradnl"/>
        </w:rPr>
        <w:t>l 1º de enero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2024</w:t>
      </w:r>
      <w:r w:rsidR="00D42880">
        <w:rPr>
          <w:lang w:val="es-ES_tradnl"/>
        </w:rPr>
        <w:t xml:space="preserve">, considerando </w:t>
      </w:r>
      <w:r w:rsidR="00BA19E1">
        <w:rPr>
          <w:lang w:val="es-ES_tradnl"/>
        </w:rPr>
        <w:t>la</w:t>
      </w:r>
      <w:r w:rsidR="006C3B3F">
        <w:rPr>
          <w:lang w:val="es-ES_tradnl"/>
        </w:rPr>
        <w:t>s</w:t>
      </w:r>
      <w:r w:rsidR="00BA19E1">
        <w:rPr>
          <w:lang w:val="es-ES_tradnl"/>
        </w:rPr>
        <w:t xml:space="preserve"> </w:t>
      </w:r>
      <w:r w:rsidR="00B25E57">
        <w:rPr>
          <w:lang w:val="es-ES_tradnl"/>
        </w:rPr>
        <w:t>tendencia</w:t>
      </w:r>
      <w:r w:rsidR="006C3B3F">
        <w:rPr>
          <w:lang w:val="es-ES_tradnl"/>
        </w:rPr>
        <w:t>s</w:t>
      </w:r>
      <w:r w:rsidR="003A46A1" w:rsidRPr="00B25E57">
        <w:rPr>
          <w:lang w:val="es-ES_tradnl"/>
        </w:rPr>
        <w:t xml:space="preserve"> </w:t>
      </w:r>
      <w:r w:rsidR="006C3B3F">
        <w:rPr>
          <w:lang w:val="es-ES_tradnl"/>
        </w:rPr>
        <w:t xml:space="preserve">de </w:t>
      </w:r>
      <w:r w:rsidR="00271BD1">
        <w:rPr>
          <w:lang w:val="es-ES_tradnl"/>
        </w:rPr>
        <w:t>consumo y producción de HCFC</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7B22B4" w:rsidRPr="00B25E57">
        <w:rPr>
          <w:lang w:val="es-ES_tradnl"/>
        </w:rPr>
        <w:t>el</w:t>
      </w:r>
      <w:r w:rsidR="003A46A1" w:rsidRPr="00B25E57">
        <w:rPr>
          <w:lang w:val="es-ES_tradnl"/>
        </w:rPr>
        <w:t xml:space="preserve"> </w:t>
      </w:r>
      <w:r w:rsidR="007B22B4" w:rsidRPr="00B25E57">
        <w:rPr>
          <w:lang w:val="es-ES_tradnl"/>
        </w:rPr>
        <w:t>país</w:t>
      </w:r>
      <w:r w:rsidR="00345E62" w:rsidRPr="00B25E57">
        <w:rPr>
          <w:lang w:val="es-ES_tradnl"/>
        </w:rPr>
        <w:t>,</w:t>
      </w:r>
      <w:r w:rsidR="003A46A1" w:rsidRPr="00B25E57">
        <w:rPr>
          <w:lang w:val="es-ES_tradnl"/>
        </w:rPr>
        <w:t xml:space="preserve"> </w:t>
      </w:r>
      <w:r w:rsidR="00F346D4">
        <w:rPr>
          <w:lang w:val="es-ES_tradnl"/>
        </w:rPr>
        <w:t xml:space="preserve">la </w:t>
      </w:r>
      <w:r w:rsidR="00574A28">
        <w:rPr>
          <w:lang w:val="es-ES_tradnl"/>
        </w:rPr>
        <w:t>demanda</w:t>
      </w:r>
      <w:r w:rsidR="003A46A1" w:rsidRPr="00B25E57">
        <w:rPr>
          <w:lang w:val="es-ES_tradnl"/>
        </w:rPr>
        <w:t xml:space="preserve"> </w:t>
      </w:r>
      <w:r w:rsidR="00A547A8">
        <w:rPr>
          <w:lang w:val="es-ES_tradnl"/>
        </w:rPr>
        <w:t xml:space="preserve">de </w:t>
      </w:r>
      <w:r w:rsidR="00F33C58"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A547A8">
        <w:rPr>
          <w:lang w:val="es-ES_tradnl"/>
        </w:rPr>
        <w:t>el mercado nacional</w:t>
      </w:r>
      <w:r w:rsidR="00345E62" w:rsidRPr="00B25E57">
        <w:rPr>
          <w:lang w:val="es-ES_tradnl"/>
        </w:rPr>
        <w:t>,</w:t>
      </w:r>
      <w:r w:rsidR="003A46A1" w:rsidRPr="00B25E57">
        <w:rPr>
          <w:lang w:val="es-ES_tradnl"/>
        </w:rPr>
        <w:t xml:space="preserve"> </w:t>
      </w:r>
      <w:r w:rsidR="00E03EFA">
        <w:rPr>
          <w:lang w:val="es-ES_tradnl"/>
        </w:rPr>
        <w:t>e</w:t>
      </w:r>
      <w:r w:rsidR="006547E8">
        <w:rPr>
          <w:lang w:val="es-ES_tradnl"/>
        </w:rPr>
        <w:t xml:space="preserve">l </w:t>
      </w:r>
      <w:r w:rsidR="00F33C58" w:rsidRPr="00B25E57">
        <w:rPr>
          <w:lang w:val="es-ES_tradnl"/>
        </w:rPr>
        <w:t>precio</w:t>
      </w:r>
      <w:r w:rsidR="003A46A1" w:rsidRPr="00B25E57">
        <w:rPr>
          <w:lang w:val="es-ES_tradnl"/>
        </w:rPr>
        <w:t xml:space="preserve"> </w:t>
      </w:r>
      <w:r w:rsidR="00E3480A">
        <w:rPr>
          <w:lang w:val="es-ES_tradnl"/>
        </w:rPr>
        <w:t xml:space="preserve">que </w:t>
      </w:r>
      <w:r w:rsidR="00E3480A" w:rsidRPr="00E3480A">
        <w:rPr>
          <w:lang w:val="es-ES_tradnl"/>
        </w:rPr>
        <w:t xml:space="preserve">FIASA </w:t>
      </w:r>
      <w:r w:rsidR="00E3480A">
        <w:rPr>
          <w:lang w:val="es-ES_tradnl"/>
        </w:rPr>
        <w:t xml:space="preserve">cobra por el </w:t>
      </w:r>
      <w:r w:rsidR="00647E8C" w:rsidRPr="00B25E57">
        <w:rPr>
          <w:lang w:val="es-ES_tradnl"/>
        </w:rPr>
        <w:t>HCFC</w:t>
      </w:r>
      <w:r w:rsidR="00FB38C2" w:rsidRPr="00B25E57">
        <w:rPr>
          <w:lang w:val="es-ES_tradnl"/>
        </w:rPr>
        <w:t>-</w:t>
      </w:r>
      <w:r w:rsidR="00647E8C" w:rsidRPr="00B25E57">
        <w:rPr>
          <w:lang w:val="es-ES_tradnl"/>
        </w:rPr>
        <w:t>22</w:t>
      </w:r>
      <w:r w:rsidR="003A46A1" w:rsidRPr="00B25E57">
        <w:rPr>
          <w:lang w:val="es-ES_tradnl"/>
        </w:rPr>
        <w:t xml:space="preserve"> </w:t>
      </w:r>
      <w:r w:rsidR="00647E8C" w:rsidRPr="00B25E57">
        <w:rPr>
          <w:lang w:val="es-ES_tradnl"/>
        </w:rPr>
        <w:t>versus</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512EA" w:rsidRPr="00B25E57">
        <w:rPr>
          <w:lang w:val="es-ES_tradnl"/>
        </w:rPr>
        <w:t>precio</w:t>
      </w:r>
      <w:r w:rsidR="003A46A1" w:rsidRPr="00B25E57">
        <w:rPr>
          <w:lang w:val="es-ES_tradnl"/>
        </w:rPr>
        <w:t xml:space="preserve"> </w:t>
      </w:r>
      <w:r w:rsidR="00A15CB9">
        <w:rPr>
          <w:lang w:val="es-ES_tradnl"/>
        </w:rPr>
        <w:t xml:space="preserve">del producto </w:t>
      </w:r>
      <w:r w:rsidR="00F24FA9" w:rsidRPr="00B25E57">
        <w:rPr>
          <w:lang w:val="es-ES_tradnl"/>
        </w:rPr>
        <w:t>importado</w:t>
      </w:r>
      <w:r w:rsidR="00345E62" w:rsidRPr="00B25E57">
        <w:rPr>
          <w:lang w:val="es-ES_tradnl"/>
        </w:rPr>
        <w:t>,</w:t>
      </w:r>
      <w:r w:rsidR="003A46A1" w:rsidRPr="00B25E57">
        <w:rPr>
          <w:lang w:val="es-ES_tradnl"/>
        </w:rPr>
        <w:t xml:space="preserve"> </w:t>
      </w:r>
      <w:r w:rsidR="00577ED7">
        <w:rPr>
          <w:lang w:val="es-ES_tradnl"/>
        </w:rPr>
        <w:t xml:space="preserve">los </w:t>
      </w:r>
      <w:r w:rsidR="007B22B4" w:rsidRPr="00B25E57">
        <w:rPr>
          <w:lang w:val="es-ES_tradnl"/>
        </w:rPr>
        <w:t>costo</w:t>
      </w:r>
      <w:r w:rsidR="00577ED7">
        <w:rPr>
          <w:lang w:val="es-ES_tradnl"/>
        </w:rPr>
        <w:t>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577ED7">
        <w:rPr>
          <w:lang w:val="es-ES_tradnl"/>
        </w:rPr>
        <w:t xml:space="preserve">de la empresa </w:t>
      </w:r>
      <w:r w:rsidR="007D5560">
        <w:rPr>
          <w:lang w:val="es-ES_tradnl"/>
        </w:rPr>
        <w:t xml:space="preserve">respecto de la competencia </w:t>
      </w:r>
      <w:r w:rsidR="00345E62" w:rsidRPr="00B25E57">
        <w:rPr>
          <w:lang w:val="es-ES_tradnl"/>
        </w:rPr>
        <w:t>inter</w:t>
      </w:r>
      <w:r w:rsidR="00A4343B" w:rsidRPr="00B25E57">
        <w:rPr>
          <w:lang w:val="es-ES_tradnl"/>
        </w:rPr>
        <w:t>nacional</w:t>
      </w:r>
      <w:r w:rsidR="00472D3E">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A21F5">
        <w:rPr>
          <w:lang w:val="es-ES_tradnl"/>
        </w:rPr>
        <w:t xml:space="preserve">que </w:t>
      </w:r>
      <w:r w:rsidR="00D41CA7">
        <w:rPr>
          <w:lang w:val="es-ES_tradnl"/>
        </w:rPr>
        <w:t xml:space="preserve">dichos costos </w:t>
      </w:r>
      <w:r w:rsidR="00314AA9">
        <w:rPr>
          <w:lang w:val="es-ES_tradnl"/>
        </w:rPr>
        <w:t xml:space="preserve">seguirán </w:t>
      </w:r>
      <w:r w:rsidR="006B652C">
        <w:rPr>
          <w:lang w:val="es-ES_tradnl"/>
        </w:rPr>
        <w:t xml:space="preserve">aumentando </w:t>
      </w:r>
      <w:r w:rsidR="00314AA9">
        <w:rPr>
          <w:lang w:val="es-ES_tradnl"/>
        </w:rPr>
        <w:t xml:space="preserve">y la </w:t>
      </w:r>
      <w:r w:rsidR="004241C5" w:rsidRPr="00B25E57">
        <w:rPr>
          <w:lang w:val="es-ES_tradnl"/>
        </w:rPr>
        <w:t>producción</w:t>
      </w:r>
      <w:r w:rsidR="003A46A1" w:rsidRPr="00B25E57">
        <w:rPr>
          <w:lang w:val="es-ES_tradnl"/>
        </w:rPr>
        <w:t xml:space="preserve"> </w:t>
      </w:r>
      <w:r w:rsidR="00314AA9">
        <w:rPr>
          <w:lang w:val="es-ES_tradnl"/>
        </w:rPr>
        <w:t xml:space="preserve">disminuyendo </w:t>
      </w:r>
      <w:r w:rsidR="00074126">
        <w:rPr>
          <w:lang w:val="es-ES_tradnl"/>
        </w:rPr>
        <w:t>hasta el punto en que dejará</w:t>
      </w:r>
      <w:r w:rsidR="005E51DB">
        <w:rPr>
          <w:lang w:val="es-ES_tradnl"/>
        </w:rPr>
        <w:t xml:space="preserve"> de ser </w:t>
      </w:r>
      <w:r w:rsidR="00A32215">
        <w:rPr>
          <w:lang w:val="es-ES_tradnl"/>
        </w:rPr>
        <w:t>rentable</w:t>
      </w:r>
      <w:r w:rsidR="00345E62" w:rsidRPr="00B25E57">
        <w:rPr>
          <w:lang w:val="es-ES_tradnl"/>
        </w:rPr>
        <w:t>.</w:t>
      </w:r>
      <w:r w:rsidR="003A46A1" w:rsidRPr="00B25E57">
        <w:rPr>
          <w:lang w:val="es-ES_tradnl"/>
        </w:rPr>
        <w:t xml:space="preserve"> </w:t>
      </w:r>
      <w:r w:rsidR="00FB38C2" w:rsidRPr="00B25E57">
        <w:rPr>
          <w:lang w:val="es-ES_tradnl"/>
        </w:rPr>
        <w:t>El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5D171C">
        <w:rPr>
          <w:lang w:val="es-ES_tradnl"/>
        </w:rPr>
        <w:t xml:space="preserve">tiene una </w:t>
      </w:r>
      <w:r w:rsidR="00A01029" w:rsidRPr="00A01029">
        <w:rPr>
          <w:lang w:val="es-ES_tradnl"/>
        </w:rPr>
        <w:t xml:space="preserve">evaluación </w:t>
      </w:r>
      <w:r w:rsidR="00B25E57">
        <w:rPr>
          <w:lang w:val="es-ES_tradnl"/>
        </w:rPr>
        <w:t>diferente</w:t>
      </w:r>
      <w:r w:rsidR="00345E62" w:rsidRPr="00B25E57">
        <w:rPr>
          <w:lang w:val="es-ES_tradnl"/>
        </w:rPr>
        <w:t>:</w:t>
      </w:r>
      <w:r w:rsidR="003A46A1" w:rsidRPr="00B25E57">
        <w:rPr>
          <w:lang w:val="es-ES_tradnl"/>
        </w:rPr>
        <w:t xml:space="preserve"> </w:t>
      </w:r>
      <w:r w:rsidR="005C3C81">
        <w:rPr>
          <w:lang w:val="es-ES_tradnl"/>
        </w:rPr>
        <w:t>considera que</w:t>
      </w:r>
      <w:r w:rsidR="003A46A1" w:rsidRPr="00B25E57">
        <w:rPr>
          <w:lang w:val="es-ES_tradnl"/>
        </w:rPr>
        <w:t xml:space="preserve"> </w:t>
      </w:r>
      <w:r w:rsidR="00EE7892">
        <w:rPr>
          <w:lang w:val="es-ES_tradnl"/>
        </w:rPr>
        <w:t xml:space="preserve">la </w:t>
      </w:r>
      <w:r w:rsidR="004241C5" w:rsidRPr="00B25E57">
        <w:rPr>
          <w:lang w:val="es-ES_tradnl"/>
        </w:rPr>
        <w:t>producción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HCFC</w:t>
      </w:r>
      <w:r w:rsidR="00FB38C2" w:rsidRPr="00B25E57">
        <w:rPr>
          <w:lang w:val="es-ES_tradnl"/>
        </w:rPr>
        <w:t>-</w:t>
      </w:r>
      <w:r w:rsidR="00345E62" w:rsidRPr="00B25E57">
        <w:rPr>
          <w:lang w:val="es-ES_tradnl"/>
        </w:rPr>
        <w:t>22</w:t>
      </w:r>
      <w:r w:rsidR="003A46A1" w:rsidRPr="00B25E57">
        <w:rPr>
          <w:lang w:val="es-ES_tradnl"/>
        </w:rPr>
        <w:t xml:space="preserve"> </w:t>
      </w:r>
      <w:r w:rsidR="003B75E0" w:rsidRPr="003B75E0">
        <w:rPr>
          <w:lang w:val="es-ES_tradnl"/>
        </w:rPr>
        <w:t>en 2020</w:t>
      </w:r>
      <w:r w:rsidR="003B75E0">
        <w:rPr>
          <w:lang w:val="es-ES_tradnl"/>
        </w:rPr>
        <w:t xml:space="preserve"> </w:t>
      </w:r>
      <w:r w:rsidR="00FD659B">
        <w:rPr>
          <w:lang w:val="es-ES_tradnl"/>
        </w:rPr>
        <w:t xml:space="preserve">será </w:t>
      </w:r>
      <w:r w:rsidR="00FC50EA">
        <w:rPr>
          <w:lang w:val="es-ES_tradnl"/>
        </w:rPr>
        <w:t xml:space="preserve">como mínimo </w:t>
      </w:r>
      <w:r w:rsidR="00345E62" w:rsidRPr="00B25E57">
        <w:rPr>
          <w:lang w:val="es-ES_tradnl"/>
        </w:rPr>
        <w:t>69</w:t>
      </w:r>
      <w:r w:rsidR="00FB38C2" w:rsidRPr="00B25E57">
        <w:rPr>
          <w:lang w:val="es-ES_tradnl"/>
        </w:rPr>
        <w:t>%</w:t>
      </w:r>
      <w:r w:rsidR="00FC50EA">
        <w:rPr>
          <w:lang w:val="es-ES_tradnl"/>
        </w:rPr>
        <w:t xml:space="preserve"> </w:t>
      </w:r>
      <w:r w:rsidR="000009D4">
        <w:rPr>
          <w:lang w:val="es-ES_tradnl"/>
        </w:rPr>
        <w:t>mayor a la de</w:t>
      </w:r>
      <w:r w:rsidR="00FC50EA">
        <w:rPr>
          <w:lang w:val="es-ES_tradnl"/>
        </w:rPr>
        <w:t xml:space="preserve"> </w:t>
      </w:r>
      <w:r w:rsidR="00FC50EA" w:rsidRPr="00FC50EA">
        <w:rPr>
          <w:lang w:val="es-ES_tradnl"/>
        </w:rPr>
        <w:t>2018</w:t>
      </w:r>
      <w:r w:rsidR="00793384">
        <w:rPr>
          <w:lang w:val="es-ES_tradnl"/>
        </w:rPr>
        <w:t>,</w:t>
      </w:r>
      <w:r w:rsidR="003A46A1" w:rsidRPr="00B25E57">
        <w:rPr>
          <w:lang w:val="es-ES_tradnl"/>
        </w:rPr>
        <w:t xml:space="preserve"> </w:t>
      </w:r>
      <w:r w:rsidR="00793384">
        <w:rPr>
          <w:lang w:val="es-ES_tradnl"/>
        </w:rPr>
        <w:t xml:space="preserve">que </w:t>
      </w:r>
      <w:r w:rsidR="00E73B09">
        <w:rPr>
          <w:lang w:val="es-ES_tradnl"/>
        </w:rPr>
        <w:t xml:space="preserve">es factible </w:t>
      </w:r>
      <w:r w:rsidR="00E73B09" w:rsidRPr="00E73B09">
        <w:rPr>
          <w:lang w:val="es-ES_tradnl"/>
        </w:rPr>
        <w:t xml:space="preserve">mantener </w:t>
      </w:r>
      <w:r w:rsidR="00793384">
        <w:rPr>
          <w:lang w:val="es-ES_tradnl"/>
        </w:rPr>
        <w:t xml:space="preserve">este nivel de </w:t>
      </w:r>
      <w:r w:rsidR="004241C5" w:rsidRPr="00B25E57">
        <w:rPr>
          <w:lang w:val="es-ES_tradnl"/>
        </w:rPr>
        <w:t>producción</w:t>
      </w:r>
      <w:r w:rsidR="003A46A1" w:rsidRPr="00B25E57">
        <w:rPr>
          <w:lang w:val="es-ES_tradnl"/>
        </w:rPr>
        <w:t xml:space="preserve"> </w:t>
      </w:r>
      <w:r w:rsidR="00517D62" w:rsidRPr="00B25E57">
        <w:rPr>
          <w:lang w:val="es-ES_tradnl"/>
        </w:rPr>
        <w:t>hasta</w:t>
      </w:r>
      <w:r w:rsidR="003A46A1" w:rsidRPr="00B25E57">
        <w:rPr>
          <w:lang w:val="es-ES_tradnl"/>
        </w:rPr>
        <w:t xml:space="preserve"> </w:t>
      </w:r>
      <w:r w:rsidR="00793384">
        <w:rPr>
          <w:lang w:val="es-ES_tradnl"/>
        </w:rPr>
        <w:t xml:space="preserve">el </w:t>
      </w:r>
      <w:r w:rsidR="00CC4C41">
        <w:rPr>
          <w:lang w:val="es-ES_tradnl"/>
        </w:rPr>
        <w:t xml:space="preserve">año </w:t>
      </w:r>
      <w:r w:rsidR="00345E62" w:rsidRPr="00B25E57">
        <w:rPr>
          <w:lang w:val="es-ES_tradnl"/>
        </w:rPr>
        <w:t>202</w:t>
      </w:r>
      <w:r w:rsidR="00A23979">
        <w:rPr>
          <w:lang w:val="es-ES_tradnl"/>
        </w:rPr>
        <w:t>4</w:t>
      </w:r>
      <w:r w:rsidR="00F42A0F">
        <w:rPr>
          <w:lang w:val="es-ES_tradnl"/>
        </w:rPr>
        <w:t>,</w:t>
      </w:r>
      <w:r w:rsidR="003A46A1" w:rsidRPr="00B25E57">
        <w:rPr>
          <w:lang w:val="es-ES_tradnl"/>
        </w:rPr>
        <w:t xml:space="preserve"> </w:t>
      </w:r>
      <w:r w:rsidR="00FB38C2" w:rsidRPr="00B25E57">
        <w:rPr>
          <w:lang w:val="es-ES_tradnl"/>
        </w:rPr>
        <w:t>y</w:t>
      </w:r>
      <w:r w:rsidR="003A46A1" w:rsidRPr="00B25E57">
        <w:rPr>
          <w:lang w:val="es-ES_tradnl"/>
        </w:rPr>
        <w:t xml:space="preserve"> </w:t>
      </w:r>
      <w:r w:rsidR="00863289">
        <w:rPr>
          <w:lang w:val="es-ES_tradnl"/>
        </w:rPr>
        <w:t xml:space="preserve">luego continuar </w:t>
      </w:r>
      <w:r w:rsidR="00A4364C" w:rsidRPr="00A4364C">
        <w:rPr>
          <w:lang w:val="es-ES_tradnl"/>
        </w:rPr>
        <w:t>entre 2025 y 2029</w:t>
      </w:r>
      <w:r w:rsidR="006575CC">
        <w:rPr>
          <w:lang w:val="es-ES_tradnl"/>
        </w:rPr>
        <w:t xml:space="preserve"> </w:t>
      </w:r>
      <w:r w:rsidR="005F66BB">
        <w:rPr>
          <w:lang w:val="es-ES_tradnl"/>
        </w:rPr>
        <w:t xml:space="preserve">a un nivel </w:t>
      </w:r>
      <w:r w:rsidR="00345E62" w:rsidRPr="00B25E57">
        <w:rPr>
          <w:lang w:val="es-ES_tradnl"/>
        </w:rPr>
        <w:t>10</w:t>
      </w:r>
      <w:r w:rsidR="00FB38C2" w:rsidRPr="00B25E57">
        <w:rPr>
          <w:lang w:val="es-ES_tradnl"/>
        </w:rPr>
        <w:t>%</w:t>
      </w:r>
      <w:r w:rsidR="003A46A1" w:rsidRPr="00B25E57">
        <w:rPr>
          <w:lang w:val="es-ES_tradnl"/>
        </w:rPr>
        <w:t xml:space="preserve"> </w:t>
      </w:r>
      <w:r w:rsidR="00650975">
        <w:rPr>
          <w:lang w:val="es-ES_tradnl"/>
        </w:rPr>
        <w:t>mayor</w:t>
      </w:r>
      <w:r w:rsidR="005F66BB">
        <w:rPr>
          <w:lang w:val="es-ES_tradnl"/>
        </w:rPr>
        <w:t xml:space="preserve"> </w:t>
      </w:r>
      <w:r w:rsidR="00051D9E">
        <w:rPr>
          <w:lang w:val="es-ES_tradnl"/>
        </w:rPr>
        <w:t>al nivel de</w:t>
      </w:r>
      <w:r w:rsidR="00451BEF">
        <w:rPr>
          <w:lang w:val="es-ES_tradnl"/>
        </w:rPr>
        <w:t>l</w:t>
      </w:r>
      <w:r w:rsidR="00051D9E">
        <w:rPr>
          <w:lang w:val="es-ES_tradnl"/>
        </w:rPr>
        <w:t xml:space="preserve"> </w:t>
      </w:r>
      <w:r w:rsidR="00345E62" w:rsidRPr="00B25E57">
        <w:rPr>
          <w:lang w:val="es-ES_tradnl"/>
        </w:rPr>
        <w:t>2018.</w:t>
      </w:r>
    </w:p>
    <w:p w14:paraId="0C20BB42" w14:textId="3ECBEB37" w:rsidR="007B22B4" w:rsidRPr="00B25E57" w:rsidRDefault="00345E62" w:rsidP="00345E62">
      <w:pPr>
        <w:pStyle w:val="Heading1"/>
        <w:rPr>
          <w:lang w:val="es-ES_tradnl"/>
        </w:rPr>
      </w:pPr>
      <w:r w:rsidRPr="00B25E57">
        <w:rPr>
          <w:lang w:val="es-ES_tradnl"/>
        </w:rPr>
        <w:t>FIASA</w:t>
      </w:r>
      <w:r w:rsidR="003A46A1" w:rsidRPr="00B25E57">
        <w:rPr>
          <w:lang w:val="es-ES_tradnl"/>
        </w:rPr>
        <w:t xml:space="preserve"> </w:t>
      </w:r>
      <w:r w:rsidR="00866E4E">
        <w:rPr>
          <w:lang w:val="es-ES_tradnl"/>
        </w:rPr>
        <w:t>es</w:t>
      </w:r>
      <w:r w:rsidR="003A46A1" w:rsidRPr="00B25E57">
        <w:rPr>
          <w:lang w:val="es-ES_tradnl"/>
        </w:rPr>
        <w:t xml:space="preserve"> </w:t>
      </w:r>
      <w:r w:rsidR="00A32215">
        <w:rPr>
          <w:lang w:val="es-ES_tradnl"/>
        </w:rPr>
        <w:t>rentable</w:t>
      </w:r>
      <w:r w:rsidR="003A46A1" w:rsidRPr="00B25E57">
        <w:rPr>
          <w:lang w:val="es-ES_tradnl"/>
        </w:rPr>
        <w:t xml:space="preserve"> </w:t>
      </w:r>
      <w:r w:rsidR="00691404">
        <w:rPr>
          <w:lang w:val="es-ES_tradnl"/>
        </w:rPr>
        <w:t>porque</w:t>
      </w:r>
      <w:r w:rsidR="003A46A1" w:rsidRPr="00B25E57">
        <w:rPr>
          <w:lang w:val="es-ES_tradnl"/>
        </w:rPr>
        <w:t xml:space="preserve"> </w:t>
      </w:r>
      <w:r w:rsidR="00D60860">
        <w:rPr>
          <w:lang w:val="es-ES_tradnl"/>
        </w:rPr>
        <w:t xml:space="preserve">puede cobrar </w:t>
      </w:r>
      <w:r w:rsidR="00011FC7">
        <w:rPr>
          <w:lang w:val="es-ES_tradnl"/>
        </w:rPr>
        <w:t>un precio</w:t>
      </w:r>
      <w:r w:rsidR="003A46A1" w:rsidRPr="00B25E57">
        <w:rPr>
          <w:lang w:val="es-ES_tradnl"/>
        </w:rPr>
        <w:t xml:space="preserve"> </w:t>
      </w:r>
      <w:r w:rsidR="000F10E5">
        <w:rPr>
          <w:lang w:val="es-ES_tradnl"/>
        </w:rPr>
        <w:t>que</w:t>
      </w:r>
      <w:r w:rsidR="00DC2E4C">
        <w:rPr>
          <w:lang w:val="es-ES_tradnl"/>
        </w:rPr>
        <w:t xml:space="preserve"> es</w:t>
      </w:r>
      <w:r w:rsidR="000F10E5">
        <w:rPr>
          <w:lang w:val="es-ES_tradnl"/>
        </w:rPr>
        <w:t xml:space="preserve">, como mínimo, </w:t>
      </w:r>
      <w:r w:rsidR="001E656F">
        <w:rPr>
          <w:lang w:val="es-ES_tradnl"/>
        </w:rPr>
        <w:t>el doble d</w:t>
      </w:r>
      <w:r w:rsidR="00E43A2E">
        <w:rPr>
          <w:lang w:val="es-ES_tradnl"/>
        </w:rPr>
        <w:t>el precio</w:t>
      </w:r>
      <w:r w:rsidR="009113D3">
        <w:rPr>
          <w:lang w:val="es-ES_tradnl"/>
        </w:rPr>
        <w:t xml:space="preserve"> de mercado internacional</w:t>
      </w:r>
      <w:r w:rsidRPr="00B25E57">
        <w:rPr>
          <w:lang w:val="es-ES_tradnl"/>
        </w:rPr>
        <w:t>.</w:t>
      </w:r>
      <w:r w:rsidR="003A46A1" w:rsidRPr="00B25E57">
        <w:rPr>
          <w:lang w:val="es-ES_tradnl"/>
        </w:rPr>
        <w:t xml:space="preserve"> </w:t>
      </w:r>
      <w:r w:rsidR="007A3BF8">
        <w:rPr>
          <w:lang w:val="es-ES_tradnl"/>
        </w:rPr>
        <w:t>Algo</w:t>
      </w:r>
      <w:r w:rsidR="00E85AE2">
        <w:rPr>
          <w:lang w:val="es-ES_tradnl"/>
        </w:rPr>
        <w:t xml:space="preserve"> </w:t>
      </w:r>
      <w:r w:rsidR="00E85AE2" w:rsidRPr="00E85AE2">
        <w:rPr>
          <w:lang w:val="es-ES_tradnl"/>
        </w:rPr>
        <w:t xml:space="preserve">similar </w:t>
      </w:r>
      <w:r w:rsidR="007A3BF8">
        <w:rPr>
          <w:lang w:val="es-ES_tradnl"/>
        </w:rPr>
        <w:t xml:space="preserve">podría </w:t>
      </w:r>
      <w:r w:rsidR="00D26C8A">
        <w:rPr>
          <w:lang w:val="es-ES_tradnl"/>
        </w:rPr>
        <w:t xml:space="preserve">ocurrir </w:t>
      </w:r>
      <w:r w:rsidR="008A4818">
        <w:rPr>
          <w:lang w:val="es-ES_tradnl"/>
        </w:rPr>
        <w:t xml:space="preserve">con </w:t>
      </w:r>
      <w:r w:rsidR="001951D5">
        <w:rPr>
          <w:lang w:val="es-ES_tradnl"/>
        </w:rPr>
        <w:t xml:space="preserve">líneas </w:t>
      </w:r>
      <w:r w:rsidR="004241C5" w:rsidRPr="00B25E57">
        <w:rPr>
          <w:lang w:val="es-ES_tradnl"/>
        </w:rPr>
        <w:t>de</w:t>
      </w:r>
      <w:r w:rsidR="003A46A1" w:rsidRPr="00B25E57">
        <w:rPr>
          <w:lang w:val="es-ES_tradnl"/>
        </w:rPr>
        <w:t xml:space="preserve"> </w:t>
      </w:r>
      <w:r w:rsidR="004241C5" w:rsidRPr="00B25E57">
        <w:rPr>
          <w:lang w:val="es-ES_tradnl"/>
        </w:rPr>
        <w:t>producción</w:t>
      </w:r>
      <w:r w:rsidR="003A46A1" w:rsidRPr="00B25E57">
        <w:rPr>
          <w:lang w:val="es-ES_tradnl"/>
        </w:rPr>
        <w:t xml:space="preserve"> </w:t>
      </w:r>
      <w:r w:rsidR="00B60284" w:rsidRPr="00B60284">
        <w:rPr>
          <w:lang w:val="es-ES_tradnl"/>
        </w:rPr>
        <w:t xml:space="preserve">de HCFC-22 </w:t>
      </w:r>
      <w:r w:rsidR="004241C5" w:rsidRPr="00B25E57">
        <w:rPr>
          <w:lang w:val="es-ES_tradnl"/>
        </w:rPr>
        <w:t>en</w:t>
      </w:r>
      <w:r w:rsidR="003A46A1" w:rsidRPr="00B25E57">
        <w:rPr>
          <w:lang w:val="es-ES_tradnl"/>
        </w:rPr>
        <w:t xml:space="preserve"> </w:t>
      </w:r>
      <w:r w:rsidR="00A4343B" w:rsidRPr="00B25E57">
        <w:rPr>
          <w:lang w:val="es-ES_tradnl"/>
        </w:rPr>
        <w:t>otros</w:t>
      </w:r>
      <w:r w:rsidR="003A46A1" w:rsidRPr="00B25E57">
        <w:rPr>
          <w:lang w:val="es-ES_tradnl"/>
        </w:rPr>
        <w:t xml:space="preserve"> </w:t>
      </w:r>
      <w:r w:rsidR="00D04DC2" w:rsidRPr="00B25E57">
        <w:rPr>
          <w:lang w:val="es-ES_tradnl"/>
        </w:rPr>
        <w:t>países</w:t>
      </w:r>
      <w:r w:rsidR="003A46A1" w:rsidRPr="00B25E57">
        <w:rPr>
          <w:lang w:val="es-ES_tradnl"/>
        </w:rPr>
        <w:t xml:space="preserve"> </w:t>
      </w:r>
      <w:r w:rsidR="00D04DC2" w:rsidRPr="00B25E57">
        <w:rPr>
          <w:lang w:val="es-ES_tradnl"/>
        </w:rPr>
        <w:t>del</w:t>
      </w:r>
      <w:r w:rsidR="003A46A1" w:rsidRPr="00B25E57">
        <w:rPr>
          <w:lang w:val="es-ES_tradnl"/>
        </w:rPr>
        <w:t xml:space="preserve"> </w:t>
      </w:r>
      <w:r w:rsidR="00D04DC2" w:rsidRPr="00B25E57">
        <w:rPr>
          <w:lang w:val="es-ES_tradnl"/>
        </w:rPr>
        <w:t>artículo</w:t>
      </w:r>
      <w:r w:rsidR="003A46A1" w:rsidRPr="00B25E57">
        <w:rPr>
          <w:lang w:val="es-ES_tradnl"/>
        </w:rPr>
        <w:t xml:space="preserve"> </w:t>
      </w:r>
      <w:r w:rsidR="00D04DC2" w:rsidRPr="00B25E57">
        <w:rPr>
          <w:lang w:val="es-ES_tradnl"/>
        </w:rPr>
        <w:t>5</w:t>
      </w:r>
      <w:r w:rsidRPr="00B25E57">
        <w:rPr>
          <w:lang w:val="es-ES_tradnl"/>
        </w:rPr>
        <w:t>.</w:t>
      </w:r>
    </w:p>
    <w:p w14:paraId="0433D364" w14:textId="414BE05E" w:rsidR="00345E62" w:rsidRPr="00B25E57" w:rsidRDefault="004241C5" w:rsidP="00345E62">
      <w:pPr>
        <w:pStyle w:val="Heading1"/>
        <w:rPr>
          <w:lang w:val="es-ES_tradnl"/>
        </w:rPr>
      </w:pPr>
      <w:r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D04DC2" w:rsidRPr="00B25E57">
        <w:rPr>
          <w:lang w:val="es-ES_tradnl"/>
        </w:rPr>
        <w:t>Ejecutivo</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D04DC2" w:rsidRPr="00B25E57">
        <w:rPr>
          <w:lang w:val="es-ES_tradnl"/>
        </w:rPr>
        <w:t>estimar</w:t>
      </w:r>
      <w:r w:rsidR="003A46A1" w:rsidRPr="00B25E57">
        <w:rPr>
          <w:lang w:val="es-ES_tradnl"/>
        </w:rPr>
        <w:t xml:space="preserve"> </w:t>
      </w:r>
      <w:r w:rsidR="00D04DC2" w:rsidRPr="00B25E57">
        <w:rPr>
          <w:lang w:val="es-ES_tradnl"/>
        </w:rPr>
        <w:t>oportuno</w:t>
      </w:r>
      <w:r w:rsidR="003A46A1" w:rsidRPr="00B25E57">
        <w:rPr>
          <w:lang w:val="es-ES_tradnl"/>
        </w:rPr>
        <w:t xml:space="preserve"> </w:t>
      </w:r>
      <w:r w:rsidR="00DA539D">
        <w:rPr>
          <w:lang w:val="es-ES_tradnl"/>
        </w:rPr>
        <w:t>orientar</w:t>
      </w:r>
      <w:r w:rsidR="003A46A1" w:rsidRPr="00B25E57">
        <w:rPr>
          <w:lang w:val="es-ES_tradnl"/>
        </w:rPr>
        <w:t xml:space="preserve"> </w:t>
      </w:r>
      <w:r w:rsidR="00F33C58" w:rsidRPr="00B25E57">
        <w:rPr>
          <w:lang w:val="es-ES_tradnl"/>
        </w:rPr>
        <w:t>a</w:t>
      </w:r>
      <w:r w:rsidR="003A46A1" w:rsidRPr="00B25E57">
        <w:rPr>
          <w:lang w:val="es-ES_tradnl"/>
        </w:rPr>
        <w:t xml:space="preserve"> </w:t>
      </w:r>
      <w:r w:rsidR="00F33C58"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DA1542">
        <w:rPr>
          <w:lang w:val="es-ES_tradnl"/>
        </w:rPr>
        <w:t>respecto de</w:t>
      </w:r>
      <w:r w:rsidR="00345E62" w:rsidRPr="00B25E57">
        <w:rPr>
          <w:lang w:val="es-ES_tradnl"/>
        </w:rPr>
        <w:t>:</w:t>
      </w:r>
    </w:p>
    <w:p w14:paraId="534157B4" w14:textId="519C5757" w:rsidR="00345E62" w:rsidRPr="00B25E57" w:rsidRDefault="0051581E" w:rsidP="000F0EEE">
      <w:pPr>
        <w:pStyle w:val="Heading2"/>
        <w:numPr>
          <w:ilvl w:val="1"/>
          <w:numId w:val="38"/>
        </w:numPr>
        <w:ind w:left="1417" w:hanging="708"/>
        <w:rPr>
          <w:lang w:val="es-ES_tradnl"/>
        </w:rPr>
      </w:pPr>
      <w:r>
        <w:rPr>
          <w:lang w:val="es-ES_tradnl"/>
        </w:rPr>
        <w:t>La m</w:t>
      </w:r>
      <w:r w:rsidR="000B65F8" w:rsidRPr="000B65F8">
        <w:rPr>
          <w:lang w:val="es-ES_tradnl"/>
        </w:rPr>
        <w:t xml:space="preserve">edida </w:t>
      </w:r>
      <w:r w:rsidR="00B2590B">
        <w:rPr>
          <w:lang w:val="es-ES_tradnl"/>
        </w:rPr>
        <w:t xml:space="preserve">en que </w:t>
      </w:r>
      <w:r w:rsidR="005F680D">
        <w:rPr>
          <w:lang w:val="es-ES_tradnl"/>
        </w:rPr>
        <w:t xml:space="preserve">la demanda y la rentabilidad del HCFC-22 </w:t>
      </w:r>
      <w:r w:rsidR="00DD70F6">
        <w:rPr>
          <w:lang w:val="es-ES_tradnl"/>
        </w:rPr>
        <w:t>deben determinar su futura</w:t>
      </w:r>
      <w:r w:rsidR="00072F7D">
        <w:rPr>
          <w:lang w:val="es-ES_tradnl"/>
        </w:rPr>
        <w:t xml:space="preserve"> producción</w:t>
      </w:r>
      <w:r w:rsidR="00345E62" w:rsidRPr="00B25E57">
        <w:rPr>
          <w:lang w:val="es-ES_tradnl"/>
        </w:rPr>
        <w:t>;</w:t>
      </w:r>
      <w:r w:rsidR="003A46A1" w:rsidRPr="00B25E57">
        <w:rPr>
          <w:lang w:val="es-ES_tradnl"/>
        </w:rPr>
        <w:t xml:space="preserve"> </w:t>
      </w:r>
      <w:r w:rsidR="00FB38C2" w:rsidRPr="00B25E57">
        <w:rPr>
          <w:lang w:val="es-ES_tradnl"/>
        </w:rPr>
        <w:t>y</w:t>
      </w:r>
    </w:p>
    <w:p w14:paraId="03C387B1" w14:textId="4B340F30" w:rsidR="007B22B4" w:rsidRPr="00B25E57" w:rsidRDefault="0051581E" w:rsidP="000F0EEE">
      <w:pPr>
        <w:pStyle w:val="Heading2"/>
        <w:numPr>
          <w:ilvl w:val="1"/>
          <w:numId w:val="38"/>
        </w:numPr>
        <w:ind w:left="1417" w:hanging="708"/>
        <w:rPr>
          <w:lang w:val="es-ES_tradnl"/>
        </w:rPr>
      </w:pPr>
      <w:r>
        <w:rPr>
          <w:lang w:val="es-ES_tradnl"/>
        </w:rPr>
        <w:t>La m</w:t>
      </w:r>
      <w:r w:rsidR="00C50DF6" w:rsidRPr="000B65F8">
        <w:rPr>
          <w:lang w:val="es-ES_tradnl"/>
        </w:rPr>
        <w:t>edida</w:t>
      </w:r>
      <w:r w:rsidR="00C50DF6" w:rsidRPr="00B25E57">
        <w:rPr>
          <w:lang w:val="es-ES_tradnl"/>
        </w:rPr>
        <w:t xml:space="preserve"> </w:t>
      </w:r>
      <w:r w:rsidR="009E13BD">
        <w:rPr>
          <w:lang w:val="es-ES_tradnl"/>
        </w:rPr>
        <w:t xml:space="preserve">en que </w:t>
      </w:r>
      <w:r w:rsidR="00C50DF6">
        <w:rPr>
          <w:lang w:val="es-ES_tradnl"/>
        </w:rPr>
        <w:t>la rentabilidad</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C50DF6">
        <w:rPr>
          <w:lang w:val="es-ES_tradnl"/>
        </w:rPr>
        <w:t>una línea</w:t>
      </w:r>
      <w:r w:rsidR="00930E52">
        <w:rPr>
          <w:lang w:val="es-ES_tradnl"/>
        </w:rPr>
        <w:t xml:space="preserve"> de producción de </w:t>
      </w:r>
      <w:r w:rsidR="00A72B24">
        <w:rPr>
          <w:lang w:val="es-ES_tradnl"/>
        </w:rPr>
        <w:t>HCFC-22 debe depender del precio local</w:t>
      </w:r>
      <w:r w:rsidR="003A46A1" w:rsidRPr="00B25E57">
        <w:rPr>
          <w:lang w:val="es-ES_tradnl"/>
        </w:rPr>
        <w:t xml:space="preserve"> </w:t>
      </w:r>
      <w:r w:rsidR="00345E62" w:rsidRPr="00B25E57">
        <w:rPr>
          <w:lang w:val="es-ES_tradnl"/>
        </w:rPr>
        <w:t>versus</w:t>
      </w:r>
      <w:r w:rsidR="003A46A1" w:rsidRPr="00B25E57">
        <w:rPr>
          <w:lang w:val="es-ES_tradnl"/>
        </w:rPr>
        <w:t xml:space="preserve"> </w:t>
      </w:r>
      <w:r w:rsidR="00301C94">
        <w:rPr>
          <w:lang w:val="es-ES_tradnl"/>
        </w:rPr>
        <w:t xml:space="preserve">el </w:t>
      </w:r>
      <w:r w:rsidR="009113D3">
        <w:rPr>
          <w:lang w:val="es-ES_tradnl"/>
        </w:rPr>
        <w:t>precio de mercado internacional</w:t>
      </w:r>
      <w:r w:rsidR="00345E62" w:rsidRPr="00B25E57">
        <w:rPr>
          <w:lang w:val="es-ES_tradnl"/>
        </w:rPr>
        <w:t>.</w:t>
      </w:r>
    </w:p>
    <w:p w14:paraId="6636C14D" w14:textId="6D68EBB5" w:rsidR="00345E62" w:rsidRPr="00B25E57" w:rsidRDefault="00867870" w:rsidP="00345E62">
      <w:pPr>
        <w:rPr>
          <w:u w:val="single"/>
          <w:lang w:val="es-ES_tradnl"/>
        </w:rPr>
      </w:pPr>
      <w:r>
        <w:rPr>
          <w:u w:val="single"/>
          <w:lang w:val="es-ES_tradnl"/>
        </w:rPr>
        <w:t>Bases para la producción de HCFC-22 a utilizar en la determinación de los sobrecostos de operación</w:t>
      </w:r>
    </w:p>
    <w:p w14:paraId="5DA2A00E" w14:textId="77777777" w:rsidR="00345E62" w:rsidRPr="00B25E57" w:rsidRDefault="00345E62" w:rsidP="00345E62">
      <w:pPr>
        <w:rPr>
          <w:lang w:val="es-ES_tradnl"/>
        </w:rPr>
      </w:pPr>
    </w:p>
    <w:p w14:paraId="54B9C4D3" w14:textId="3FB7B6FD" w:rsidR="007B22B4" w:rsidRPr="00B25E57" w:rsidRDefault="00421588" w:rsidP="00345E62">
      <w:pPr>
        <w:pStyle w:val="Heading1"/>
        <w:rPr>
          <w:lang w:val="es-ES_tradnl"/>
        </w:rPr>
      </w:pPr>
      <w:r>
        <w:rPr>
          <w:lang w:val="es-ES_tradnl"/>
        </w:rPr>
        <w:t>En vista</w:t>
      </w:r>
      <w:r w:rsidR="006704D9">
        <w:rPr>
          <w:lang w:val="es-ES_tradnl"/>
        </w:rPr>
        <w:t xml:space="preserve"> </w:t>
      </w:r>
      <w:r>
        <w:rPr>
          <w:lang w:val="es-ES_tradnl"/>
        </w:rPr>
        <w:t xml:space="preserve">de </w:t>
      </w:r>
      <w:r w:rsidR="006704D9">
        <w:rPr>
          <w:lang w:val="es-ES_tradnl"/>
        </w:rPr>
        <w:t xml:space="preserve">la </w:t>
      </w:r>
      <w:r w:rsidR="006704D9" w:rsidRPr="006704D9">
        <w:rPr>
          <w:lang w:val="es-ES_tradnl"/>
        </w:rPr>
        <w:t xml:space="preserve">crisis </w:t>
      </w:r>
      <w:r w:rsidR="006704D9">
        <w:rPr>
          <w:lang w:val="es-ES_tradnl"/>
        </w:rPr>
        <w:t xml:space="preserve">financiera que vivió la </w:t>
      </w:r>
      <w:r w:rsidR="00345E62" w:rsidRPr="00B25E57">
        <w:rPr>
          <w:lang w:val="es-ES_tradnl"/>
        </w:rPr>
        <w:t>Argentina</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345E62" w:rsidRPr="00B25E57">
        <w:rPr>
          <w:lang w:val="es-ES_tradnl"/>
        </w:rPr>
        <w:t>201</w:t>
      </w:r>
      <w:r w:rsidR="00F84654">
        <w:rPr>
          <w:lang w:val="es-ES_tradnl"/>
        </w:rPr>
        <w:t>8,</w:t>
      </w:r>
      <w:r w:rsidR="003A46A1" w:rsidRPr="00B25E57">
        <w:rPr>
          <w:lang w:val="es-ES_tradnl"/>
        </w:rPr>
        <w:t xml:space="preserve"> </w:t>
      </w:r>
      <w:r w:rsidR="00E434B2" w:rsidRPr="00B25E57">
        <w:rPr>
          <w:lang w:val="es-ES_tradnl"/>
        </w:rPr>
        <w:t>la</w:t>
      </w:r>
      <w:r w:rsidR="003A46A1" w:rsidRPr="00B25E57">
        <w:rPr>
          <w:lang w:val="es-ES_tradnl"/>
        </w:rPr>
        <w:t xml:space="preserve"> </w:t>
      </w:r>
      <w:r w:rsidR="00E434B2" w:rsidRPr="00B25E57">
        <w:rPr>
          <w:lang w:val="es-ES_tradnl"/>
        </w:rPr>
        <w:t>Secretaría</w:t>
      </w:r>
      <w:r w:rsidR="003A46A1" w:rsidRPr="00B25E57">
        <w:rPr>
          <w:lang w:val="es-ES_tradnl"/>
        </w:rPr>
        <w:t xml:space="preserve"> </w:t>
      </w:r>
      <w:r w:rsidR="00E434B2" w:rsidRPr="00B25E57">
        <w:rPr>
          <w:lang w:val="es-ES_tradnl"/>
        </w:rPr>
        <w:t>propuso</w:t>
      </w:r>
      <w:r w:rsidR="003A46A1" w:rsidRPr="00B25E57">
        <w:rPr>
          <w:lang w:val="es-ES_tradnl"/>
        </w:rPr>
        <w:t xml:space="preserve"> </w:t>
      </w:r>
      <w:r w:rsidR="008C137F">
        <w:rPr>
          <w:lang w:val="es-ES_tradnl"/>
        </w:rPr>
        <w:t xml:space="preserve">utilizar </w:t>
      </w:r>
      <w:r w:rsidR="00147277" w:rsidRPr="00B25E57">
        <w:rPr>
          <w:lang w:val="es-ES_tradnl"/>
        </w:rPr>
        <w:t>el</w:t>
      </w:r>
      <w:r w:rsidR="003A46A1" w:rsidRPr="00B25E57">
        <w:rPr>
          <w:lang w:val="es-ES_tradnl"/>
        </w:rPr>
        <w:t xml:space="preserve"> </w:t>
      </w:r>
      <w:r w:rsidR="00147277" w:rsidRPr="00B25E57">
        <w:rPr>
          <w:lang w:val="es-ES_tradnl"/>
        </w:rPr>
        <w:t>promedio</w:t>
      </w:r>
      <w:r w:rsidR="003A46A1" w:rsidRPr="00B25E57">
        <w:rPr>
          <w:lang w:val="es-ES_tradnl"/>
        </w:rPr>
        <w:t xml:space="preserve"> </w:t>
      </w:r>
      <w:r w:rsidR="008C137F">
        <w:rPr>
          <w:lang w:val="es-ES_tradnl"/>
        </w:rPr>
        <w:t xml:space="preserve">de los </w:t>
      </w:r>
      <w:r w:rsidR="00FB38C2" w:rsidRPr="00B25E57">
        <w:rPr>
          <w:lang w:val="es-ES_tradnl"/>
        </w:rPr>
        <w:t>tres</w:t>
      </w:r>
      <w:r w:rsidR="003A46A1" w:rsidRPr="00B25E57">
        <w:rPr>
          <w:lang w:val="es-ES_tradnl"/>
        </w:rPr>
        <w:t xml:space="preserve"> </w:t>
      </w:r>
      <w:r w:rsidR="008A3316" w:rsidRPr="00B25E57">
        <w:rPr>
          <w:lang w:val="es-ES_tradnl"/>
        </w:rPr>
        <w:t>años</w:t>
      </w:r>
      <w:r w:rsidR="003A46A1" w:rsidRPr="00B25E57">
        <w:rPr>
          <w:lang w:val="es-ES_tradnl"/>
        </w:rPr>
        <w:t xml:space="preserve"> </w:t>
      </w:r>
      <w:r w:rsidR="00BC1160">
        <w:rPr>
          <w:lang w:val="es-ES_tradnl"/>
        </w:rPr>
        <w:t>inmediatamente</w:t>
      </w:r>
      <w:r w:rsidR="003A46A1" w:rsidRPr="00B25E57">
        <w:rPr>
          <w:lang w:val="es-ES_tradnl"/>
        </w:rPr>
        <w:t xml:space="preserve"> </w:t>
      </w:r>
      <w:r w:rsidR="0054768E" w:rsidRPr="0054768E">
        <w:rPr>
          <w:lang w:val="es-ES_tradnl"/>
        </w:rPr>
        <w:t>anteriores a la preparación del proyecto</w:t>
      </w:r>
      <w:r w:rsidR="00345E62" w:rsidRPr="00B25E57">
        <w:rPr>
          <w:lang w:val="es-ES_tradnl"/>
        </w:rPr>
        <w:t>,</w:t>
      </w:r>
      <w:r w:rsidR="003A46A1" w:rsidRPr="00B25E57">
        <w:rPr>
          <w:lang w:val="es-ES_tradnl"/>
        </w:rPr>
        <w:t xml:space="preserve"> </w:t>
      </w:r>
      <w:r w:rsidR="00F33C58" w:rsidRPr="00B25E57">
        <w:rPr>
          <w:lang w:val="es-ES_tradnl"/>
        </w:rPr>
        <w:t>de</w:t>
      </w:r>
      <w:r w:rsidR="003A46A1" w:rsidRPr="00B25E57">
        <w:rPr>
          <w:lang w:val="es-ES_tradnl"/>
        </w:rPr>
        <w:t xml:space="preserve"> </w:t>
      </w:r>
      <w:r w:rsidR="00F33C58" w:rsidRPr="00B25E57">
        <w:rPr>
          <w:lang w:val="es-ES_tradnl"/>
        </w:rPr>
        <w:t>conformidad</w:t>
      </w:r>
      <w:r w:rsidR="003A46A1" w:rsidRPr="00B25E57">
        <w:rPr>
          <w:lang w:val="es-ES_tradnl"/>
        </w:rPr>
        <w:t xml:space="preserve"> </w:t>
      </w:r>
      <w:r w:rsidR="00F33C58" w:rsidRPr="00B25E57">
        <w:rPr>
          <w:lang w:val="es-ES_tradnl"/>
        </w:rPr>
        <w:t>con</w:t>
      </w:r>
      <w:r w:rsidR="003A46A1" w:rsidRPr="00B25E57">
        <w:rPr>
          <w:lang w:val="es-ES_tradnl"/>
        </w:rPr>
        <w:t xml:space="preserve"> </w:t>
      </w:r>
      <w:r w:rsidR="00A4343B" w:rsidRPr="00B25E57">
        <w:rPr>
          <w:lang w:val="es-ES_tradnl"/>
        </w:rPr>
        <w:t>la</w:t>
      </w:r>
      <w:r w:rsidR="003A46A1" w:rsidRPr="00B25E57">
        <w:rPr>
          <w:lang w:val="es-ES_tradnl"/>
        </w:rPr>
        <w:t xml:space="preserve"> </w:t>
      </w:r>
      <w:r w:rsidR="00A4343B" w:rsidRPr="00B25E57">
        <w:rPr>
          <w:lang w:val="es-ES_tradnl"/>
        </w:rPr>
        <w:t>decisión</w:t>
      </w:r>
      <w:r w:rsidR="003A46A1" w:rsidRPr="00B25E57">
        <w:rPr>
          <w:lang w:val="es-ES_tradnl"/>
        </w:rPr>
        <w:t xml:space="preserve"> </w:t>
      </w:r>
      <w:r w:rsidR="008158A0">
        <w:rPr>
          <w:lang w:val="es-ES_tradnl"/>
        </w:rPr>
        <w:t xml:space="preserve">contenida </w:t>
      </w:r>
      <w:r w:rsidR="004512EA" w:rsidRPr="00B25E57">
        <w:rPr>
          <w:lang w:val="es-ES_tradnl"/>
        </w:rPr>
        <w:t>en</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512EA" w:rsidRPr="00B25E57">
        <w:rPr>
          <w:lang w:val="es-ES_tradnl"/>
        </w:rPr>
        <w:t>párrafo</w:t>
      </w:r>
      <w:r w:rsidR="003A46A1" w:rsidRPr="00B25E57">
        <w:rPr>
          <w:lang w:val="es-ES_tradnl"/>
        </w:rPr>
        <w:t xml:space="preserve"> </w:t>
      </w:r>
      <w:r w:rsidR="00345E62" w:rsidRPr="00B25E57">
        <w:rPr>
          <w:lang w:val="es-ES_tradnl"/>
        </w:rPr>
        <w:t>32(b)</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documento</w:t>
      </w:r>
      <w:r w:rsidR="003A46A1" w:rsidRPr="00B25E57">
        <w:rPr>
          <w:lang w:val="es-ES_tradnl"/>
        </w:rPr>
        <w:t xml:space="preserve"> </w:t>
      </w:r>
      <w:r w:rsidR="00862A82" w:rsidRPr="00B25E57">
        <w:rPr>
          <w:lang w:val="es-ES_tradnl"/>
        </w:rPr>
        <w:t>UNEP/OzL.Pro</w:t>
      </w:r>
      <w:r w:rsidR="00345E62" w:rsidRPr="00B25E57">
        <w:rPr>
          <w:lang w:val="es-ES_tradnl"/>
        </w:rPr>
        <w:t>/ExCom/16/20</w:t>
      </w:r>
      <w:r w:rsidR="00862A82" w:rsidRPr="00B25E57">
        <w:rPr>
          <w:lang w:val="es-ES_tradnl"/>
        </w:rPr>
        <w:t>.</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ONUDI</w:t>
      </w:r>
      <w:r w:rsidR="003A46A1" w:rsidRPr="00B25E57">
        <w:rPr>
          <w:lang w:val="es-ES_tradnl"/>
        </w:rPr>
        <w:t xml:space="preserve"> </w:t>
      </w:r>
      <w:r w:rsidR="00DA3A43">
        <w:rPr>
          <w:lang w:val="es-ES_tradnl"/>
        </w:rPr>
        <w:t>hizo ver</w:t>
      </w:r>
      <w:r w:rsidR="007A7BB8">
        <w:rPr>
          <w:lang w:val="es-ES_tradnl"/>
        </w:rPr>
        <w:t xml:space="preserve"> que dicha </w:t>
      </w:r>
      <w:r w:rsidR="004241C5" w:rsidRPr="00B25E57">
        <w:rPr>
          <w:lang w:val="es-ES_tradnl"/>
        </w:rPr>
        <w:t>decisión</w:t>
      </w:r>
      <w:r w:rsidR="003A46A1" w:rsidRPr="00B25E57">
        <w:rPr>
          <w:lang w:val="es-ES_tradnl"/>
        </w:rPr>
        <w:t xml:space="preserve"> </w:t>
      </w:r>
      <w:r w:rsidR="0044586E">
        <w:rPr>
          <w:lang w:val="es-ES_tradnl"/>
        </w:rPr>
        <w:t xml:space="preserve">rige para el </w:t>
      </w:r>
      <w:r w:rsidR="00F33C58" w:rsidRPr="00B25E57">
        <w:rPr>
          <w:lang w:val="es-ES_tradnl"/>
        </w:rPr>
        <w:t>consumo</w:t>
      </w:r>
      <w:r w:rsidR="003A46A1" w:rsidRPr="00B25E57">
        <w:rPr>
          <w:lang w:val="es-ES_tradnl"/>
        </w:rPr>
        <w:t xml:space="preserve"> </w:t>
      </w:r>
      <w:r w:rsidR="00F33C58" w:rsidRPr="00B25E57">
        <w:rPr>
          <w:lang w:val="es-ES_tradnl"/>
        </w:rPr>
        <w:t>de</w:t>
      </w:r>
      <w:r w:rsidR="003A46A1" w:rsidRPr="00B25E57">
        <w:rPr>
          <w:lang w:val="es-ES_tradnl"/>
        </w:rPr>
        <w:t xml:space="preserve"> </w:t>
      </w:r>
      <w:r w:rsidR="00F33C58" w:rsidRPr="00B25E57">
        <w:rPr>
          <w:lang w:val="es-ES_tradnl"/>
        </w:rPr>
        <w:t>SAO</w:t>
      </w:r>
      <w:r w:rsidR="003A46A1" w:rsidRPr="00B25E57">
        <w:rPr>
          <w:lang w:val="es-ES_tradnl"/>
        </w:rPr>
        <w:t xml:space="preserve"> </w:t>
      </w:r>
      <w:r w:rsidR="00653499">
        <w:rPr>
          <w:lang w:val="es-ES_tradnl"/>
        </w:rPr>
        <w:t>y</w:t>
      </w:r>
      <w:r w:rsidR="00A24089">
        <w:rPr>
          <w:lang w:val="es-ES_tradnl"/>
        </w:rPr>
        <w:t xml:space="preserve"> que</w:t>
      </w:r>
      <w:r w:rsidR="00653499">
        <w:rPr>
          <w:lang w:val="es-ES_tradnl"/>
        </w:rPr>
        <w:t xml:space="preserve"> </w:t>
      </w:r>
      <w:r w:rsidR="00F24FA9" w:rsidRPr="00B25E57">
        <w:rPr>
          <w:lang w:val="es-ES_tradnl"/>
        </w:rPr>
        <w:t>por</w:t>
      </w:r>
      <w:r w:rsidR="003A46A1" w:rsidRPr="00B25E57">
        <w:rPr>
          <w:lang w:val="es-ES_tradnl"/>
        </w:rPr>
        <w:t xml:space="preserve"> </w:t>
      </w:r>
      <w:r w:rsidR="00566F46">
        <w:rPr>
          <w:lang w:val="es-ES_tradnl"/>
        </w:rPr>
        <w:t>ende</w:t>
      </w:r>
      <w:r w:rsidR="003A46A1" w:rsidRPr="00B25E57">
        <w:rPr>
          <w:lang w:val="es-ES_tradnl"/>
        </w:rPr>
        <w:t xml:space="preserve"> </w:t>
      </w:r>
      <w:r w:rsidR="00653499">
        <w:rPr>
          <w:lang w:val="es-ES_tradnl"/>
        </w:rPr>
        <w:t xml:space="preserve">no </w:t>
      </w:r>
      <w:r w:rsidR="00145544">
        <w:rPr>
          <w:lang w:val="es-ES_tradnl"/>
        </w:rPr>
        <w:t xml:space="preserve">se </w:t>
      </w:r>
      <w:r w:rsidR="00A57305">
        <w:rPr>
          <w:lang w:val="es-ES_tradnl"/>
        </w:rPr>
        <w:t xml:space="preserve">debe </w:t>
      </w:r>
      <w:r w:rsidR="00145544">
        <w:rPr>
          <w:lang w:val="es-ES_tradnl"/>
        </w:rPr>
        <w:t xml:space="preserve">aplicar </w:t>
      </w:r>
      <w:r w:rsidR="009109A5">
        <w:rPr>
          <w:lang w:val="es-ES_tradnl"/>
        </w:rPr>
        <w:t xml:space="preserve">al </w:t>
      </w:r>
      <w:r w:rsidR="00147277" w:rsidRPr="00B25E57">
        <w:rPr>
          <w:lang w:val="es-ES_tradnl"/>
        </w:rPr>
        <w:t>caso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FIASA.</w:t>
      </w:r>
    </w:p>
    <w:p w14:paraId="1F67BC98" w14:textId="60FB9F95" w:rsidR="00345E62" w:rsidRPr="00B25E57" w:rsidRDefault="004241C5" w:rsidP="00345E62">
      <w:pPr>
        <w:pStyle w:val="Heading1"/>
        <w:rPr>
          <w:lang w:val="es-ES_tradnl"/>
        </w:rPr>
      </w:pPr>
      <w:r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D04DC2" w:rsidRPr="00B25E57">
        <w:rPr>
          <w:lang w:val="es-ES_tradnl"/>
        </w:rPr>
        <w:t>Ejecutivo</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D04DC2" w:rsidRPr="00B25E57">
        <w:rPr>
          <w:lang w:val="es-ES_tradnl"/>
        </w:rPr>
        <w:t>estimar</w:t>
      </w:r>
      <w:r w:rsidR="003A46A1" w:rsidRPr="00B25E57">
        <w:rPr>
          <w:lang w:val="es-ES_tradnl"/>
        </w:rPr>
        <w:t xml:space="preserve"> </w:t>
      </w:r>
      <w:r w:rsidR="004224AF">
        <w:rPr>
          <w:lang w:val="es-ES_tradnl"/>
        </w:rPr>
        <w:t xml:space="preserve">oportuno </w:t>
      </w:r>
      <w:r w:rsidR="006F4D0E">
        <w:rPr>
          <w:lang w:val="es-ES_tradnl"/>
        </w:rPr>
        <w:t>orientar</w:t>
      </w:r>
      <w:r w:rsidR="003A46A1" w:rsidRPr="00B25E57">
        <w:rPr>
          <w:lang w:val="es-ES_tradnl"/>
        </w:rPr>
        <w:t xml:space="preserve"> </w:t>
      </w:r>
      <w:r w:rsidR="00803CCC">
        <w:rPr>
          <w:lang w:val="es-ES_tradnl"/>
        </w:rPr>
        <w:t xml:space="preserve">respecto </w:t>
      </w:r>
      <w:r w:rsidR="00B239D1">
        <w:rPr>
          <w:lang w:val="es-ES_tradnl"/>
        </w:rPr>
        <w:t xml:space="preserve">de </w:t>
      </w:r>
      <w:r w:rsidR="006F4D0E">
        <w:rPr>
          <w:lang w:val="es-ES_tradnl"/>
        </w:rPr>
        <w:t xml:space="preserve">la factibilidad de </w:t>
      </w:r>
      <w:r w:rsidR="00D829F4">
        <w:rPr>
          <w:lang w:val="es-ES_tradnl"/>
        </w:rPr>
        <w:t xml:space="preserve">que </w:t>
      </w:r>
      <w:r w:rsidR="00A4343B" w:rsidRPr="00B25E57">
        <w:rPr>
          <w:lang w:val="es-ES_tradnl"/>
        </w:rPr>
        <w:t>la</w:t>
      </w:r>
      <w:r w:rsidR="003A46A1" w:rsidRPr="00B25E57">
        <w:rPr>
          <w:lang w:val="es-ES_tradnl"/>
        </w:rPr>
        <w:t xml:space="preserve"> </w:t>
      </w:r>
      <w:r w:rsidR="00B57954">
        <w:rPr>
          <w:lang w:val="es-ES_tradnl"/>
        </w:rPr>
        <w:t>decisión contenida en el párrafo</w:t>
      </w:r>
      <w:r w:rsidR="003A46A1" w:rsidRPr="00B25E57">
        <w:rPr>
          <w:lang w:val="es-ES_tradnl"/>
        </w:rPr>
        <w:t xml:space="preserve"> </w:t>
      </w:r>
      <w:r w:rsidR="00345E62" w:rsidRPr="00B25E57">
        <w:rPr>
          <w:lang w:val="es-ES_tradnl"/>
        </w:rPr>
        <w:t>32</w:t>
      </w:r>
      <w:r w:rsidR="00647E8C" w:rsidRPr="00B25E57">
        <w:rPr>
          <w:lang w:val="es-ES_tradnl"/>
        </w:rPr>
        <w:t>(</w:t>
      </w:r>
      <w:r w:rsidR="00345E62" w:rsidRPr="00B25E57">
        <w:rPr>
          <w:lang w:val="es-ES_tradnl"/>
        </w:rPr>
        <w:t>b)</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documento</w:t>
      </w:r>
      <w:r w:rsidR="003A46A1" w:rsidRPr="00B25E57">
        <w:rPr>
          <w:lang w:val="es-ES_tradnl"/>
        </w:rPr>
        <w:t xml:space="preserve"> </w:t>
      </w:r>
      <w:r w:rsidR="00862A82" w:rsidRPr="00B25E57">
        <w:rPr>
          <w:lang w:val="es-ES_tradnl"/>
        </w:rPr>
        <w:t>UNEP/OzL.Pro</w:t>
      </w:r>
      <w:r w:rsidR="00345E62" w:rsidRPr="00B25E57">
        <w:rPr>
          <w:lang w:val="es-ES_tradnl"/>
        </w:rPr>
        <w:t>/ExCom/16/20</w:t>
      </w:r>
      <w:r w:rsidR="003A46A1" w:rsidRPr="00B25E57">
        <w:rPr>
          <w:lang w:val="es-ES_tradnl"/>
        </w:rPr>
        <w:t xml:space="preserve"> </w:t>
      </w:r>
      <w:r w:rsidR="00D829F4">
        <w:rPr>
          <w:lang w:val="es-ES_tradnl"/>
        </w:rPr>
        <w:t>sea la</w:t>
      </w:r>
      <w:r w:rsidR="007921AE">
        <w:rPr>
          <w:lang w:val="es-ES_tradnl"/>
        </w:rPr>
        <w:t xml:space="preserve"> base </w:t>
      </w:r>
      <w:r w:rsidR="003C0F79" w:rsidRPr="003C0F79">
        <w:rPr>
          <w:lang w:val="es-ES_tradnl"/>
        </w:rPr>
        <w:t xml:space="preserve">para </w:t>
      </w:r>
      <w:r w:rsidR="002F7E1F">
        <w:rPr>
          <w:lang w:val="es-ES_tradnl"/>
        </w:rPr>
        <w:t xml:space="preserve">establecer </w:t>
      </w:r>
      <w:r w:rsidR="003C0F79" w:rsidRPr="003C0F79">
        <w:rPr>
          <w:lang w:val="es-ES_tradnl"/>
        </w:rPr>
        <w:t xml:space="preserve">la producción de HCFC-22 </w:t>
      </w:r>
      <w:r w:rsidR="002F7E1F">
        <w:rPr>
          <w:lang w:val="es-ES_tradnl"/>
        </w:rPr>
        <w:t xml:space="preserve">a </w:t>
      </w:r>
      <w:r w:rsidR="002F7E1F" w:rsidRPr="002F7E1F">
        <w:rPr>
          <w:lang w:val="es-ES_tradnl"/>
        </w:rPr>
        <w:t xml:space="preserve">utilizar </w:t>
      </w:r>
      <w:r w:rsidR="003C0F79" w:rsidRPr="003C0F79">
        <w:rPr>
          <w:lang w:val="es-ES_tradnl"/>
        </w:rPr>
        <w:t>en la determinación de los sobrecostos de operación</w:t>
      </w:r>
      <w:r w:rsidR="00345E62" w:rsidRPr="00B25E57">
        <w:rPr>
          <w:lang w:val="es-ES_tradnl"/>
        </w:rPr>
        <w:t>,</w:t>
      </w:r>
      <w:r w:rsidR="003A46A1" w:rsidRPr="00B25E57">
        <w:rPr>
          <w:lang w:val="es-ES_tradnl"/>
        </w:rPr>
        <w:t xml:space="preserve"> </w:t>
      </w:r>
      <w:r w:rsidR="00FB38C2" w:rsidRPr="00B25E57">
        <w:rPr>
          <w:lang w:val="es-ES_tradnl"/>
        </w:rPr>
        <w:t>o</w:t>
      </w:r>
      <w:r w:rsidR="003A46A1" w:rsidRPr="00B25E57">
        <w:rPr>
          <w:lang w:val="es-ES_tradnl"/>
        </w:rPr>
        <w:t xml:space="preserve"> </w:t>
      </w:r>
      <w:r w:rsidR="00AF0B2B">
        <w:rPr>
          <w:lang w:val="es-ES_tradnl"/>
        </w:rPr>
        <w:t xml:space="preserve">bien si se debe recurrir a otro </w:t>
      </w:r>
      <w:r w:rsidR="00F942C6" w:rsidRPr="00B25E57">
        <w:rPr>
          <w:lang w:val="es-ES_tradnl"/>
        </w:rPr>
        <w:t>método</w:t>
      </w:r>
      <w:r w:rsidR="00345E62" w:rsidRPr="00B25E57">
        <w:rPr>
          <w:lang w:val="es-ES_tradnl"/>
        </w:rPr>
        <w:t>.</w:t>
      </w:r>
    </w:p>
    <w:p w14:paraId="69BAE437" w14:textId="44126C8A" w:rsidR="00345E62" w:rsidRPr="00B25E57" w:rsidRDefault="000E6CF9" w:rsidP="00345E62">
      <w:pPr>
        <w:rPr>
          <w:u w:val="single"/>
          <w:lang w:val="es-ES_tradnl"/>
        </w:rPr>
      </w:pPr>
      <w:r>
        <w:rPr>
          <w:u w:val="single"/>
          <w:lang w:val="es-ES_tradnl"/>
        </w:rPr>
        <w:t xml:space="preserve">Lapso </w:t>
      </w:r>
      <w:r w:rsidRPr="000E6CF9">
        <w:rPr>
          <w:u w:val="single"/>
          <w:lang w:val="es-ES_tradnl"/>
        </w:rPr>
        <w:t xml:space="preserve">de tiempo durante el cual se debiese financiar el </w:t>
      </w:r>
      <w:r w:rsidR="00B4008E" w:rsidRPr="00B4008E">
        <w:rPr>
          <w:u w:val="single"/>
          <w:lang w:val="es-ES_tradnl"/>
        </w:rPr>
        <w:t>control de emisiones del subproducto HFC-23</w:t>
      </w:r>
    </w:p>
    <w:p w14:paraId="41D1F962" w14:textId="77777777" w:rsidR="00345E62" w:rsidRPr="00B25E57" w:rsidRDefault="00345E62" w:rsidP="00345E62">
      <w:pPr>
        <w:rPr>
          <w:lang w:val="es-ES_tradnl"/>
        </w:rPr>
      </w:pPr>
    </w:p>
    <w:p w14:paraId="7C30293C" w14:textId="4182763F" w:rsidR="007B22B4" w:rsidRPr="00B25E57" w:rsidRDefault="00061ABB" w:rsidP="00345E62">
      <w:pPr>
        <w:pStyle w:val="Heading1"/>
        <w:rPr>
          <w:lang w:val="es-ES_tradnl"/>
        </w:rPr>
      </w:pPr>
      <w:r>
        <w:rPr>
          <w:lang w:val="es-ES_tradnl"/>
        </w:rPr>
        <w:t>Los m</w:t>
      </w:r>
      <w:r w:rsidR="00F33C58" w:rsidRPr="00B25E57">
        <w:rPr>
          <w:lang w:val="es-ES_tradnl"/>
        </w:rPr>
        <w:t>iembros</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DE0B36">
        <w:rPr>
          <w:lang w:val="es-ES_tradnl"/>
        </w:rPr>
        <w:t>han expresado</w:t>
      </w:r>
      <w:r w:rsidR="003A46A1" w:rsidRPr="00B25E57">
        <w:rPr>
          <w:lang w:val="es-ES_tradnl"/>
        </w:rPr>
        <w:t xml:space="preserve"> </w:t>
      </w:r>
      <w:r w:rsidR="00882970">
        <w:rPr>
          <w:lang w:val="es-ES_tradnl"/>
        </w:rPr>
        <w:t>dis</w:t>
      </w:r>
      <w:r w:rsidR="008D6515">
        <w:rPr>
          <w:lang w:val="es-ES_tradnl"/>
        </w:rPr>
        <w:t>t</w:t>
      </w:r>
      <w:r w:rsidR="00882970">
        <w:rPr>
          <w:lang w:val="es-ES_tradnl"/>
        </w:rPr>
        <w:t xml:space="preserve">intos puntos de vista </w:t>
      </w:r>
      <w:r w:rsidR="00CE5BEC" w:rsidRPr="00CE5BEC">
        <w:rPr>
          <w:lang w:val="es-ES_tradnl"/>
        </w:rPr>
        <w:t>sobre el lapso de tiempo durante el cual se debiese</w:t>
      </w:r>
      <w:r w:rsidR="00EE064D">
        <w:rPr>
          <w:lang w:val="es-ES_tradnl"/>
        </w:rPr>
        <w:t>n</w:t>
      </w:r>
      <w:r w:rsidR="00CE5BEC" w:rsidRPr="00CE5BEC">
        <w:rPr>
          <w:lang w:val="es-ES_tradnl"/>
        </w:rPr>
        <w:t xml:space="preserve"> financiar </w:t>
      </w:r>
      <w:r w:rsidR="0092509F">
        <w:rPr>
          <w:lang w:val="es-ES_tradnl"/>
        </w:rPr>
        <w:t xml:space="preserve">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45E62" w:rsidRPr="00B25E57">
        <w:rPr>
          <w:lang w:val="es-ES_tradnl"/>
        </w:rPr>
        <w:t>.</w:t>
      </w:r>
      <w:r w:rsidR="003A46A1" w:rsidRPr="00B25E57">
        <w:rPr>
          <w:lang w:val="es-ES_tradnl"/>
        </w:rPr>
        <w:t xml:space="preserve"> </w:t>
      </w:r>
      <w:r w:rsidR="00691404">
        <w:rPr>
          <w:lang w:val="es-ES_tradnl"/>
        </w:rPr>
        <w:t>Algunos</w:t>
      </w:r>
      <w:r w:rsidR="003A46A1" w:rsidRPr="00B25E57">
        <w:rPr>
          <w:lang w:val="es-ES_tradnl"/>
        </w:rPr>
        <w:t xml:space="preserve"> </w:t>
      </w:r>
      <w:r w:rsidR="00226E55">
        <w:rPr>
          <w:lang w:val="es-ES_tradnl"/>
        </w:rPr>
        <w:t xml:space="preserve">han planteado que </w:t>
      </w:r>
      <w:r w:rsidR="00E93F09">
        <w:rPr>
          <w:lang w:val="es-ES_tradnl"/>
        </w:rPr>
        <w:t xml:space="preserve">mientras </w:t>
      </w:r>
      <w:r w:rsidR="00643F80">
        <w:rPr>
          <w:lang w:val="es-ES_tradnl"/>
        </w:rPr>
        <w:t xml:space="preserve">exista </w:t>
      </w:r>
      <w:r w:rsidR="00AC1547">
        <w:rPr>
          <w:lang w:val="es-ES_tradnl"/>
        </w:rPr>
        <w:t>destrucción</w:t>
      </w:r>
      <w:r w:rsidR="00D36385">
        <w:rPr>
          <w:lang w:val="es-ES_tradnl"/>
        </w:rPr>
        <w:t xml:space="preserve"> </w:t>
      </w:r>
      <w:r w:rsidR="00AC1547">
        <w:rPr>
          <w:lang w:val="es-ES_tradnl"/>
        </w:rPr>
        <w:t xml:space="preserve">de </w:t>
      </w:r>
      <w:r w:rsidR="00345E62" w:rsidRPr="00B25E57">
        <w:rPr>
          <w:lang w:val="es-ES_tradnl"/>
        </w:rPr>
        <w:t>HFC</w:t>
      </w:r>
      <w:r w:rsidR="00FB38C2" w:rsidRPr="00B25E57">
        <w:rPr>
          <w:lang w:val="es-ES_tradnl"/>
        </w:rPr>
        <w:t>-</w:t>
      </w:r>
      <w:r w:rsidR="00345E62" w:rsidRPr="00B25E57">
        <w:rPr>
          <w:lang w:val="es-ES_tradnl"/>
        </w:rPr>
        <w:t>23</w:t>
      </w:r>
      <w:r w:rsidR="00F255F4" w:rsidRPr="00216433">
        <w:rPr>
          <w:lang w:val="es-ES"/>
        </w:rPr>
        <w:t xml:space="preserve"> </w:t>
      </w:r>
      <w:r w:rsidR="00F255F4" w:rsidRPr="00F255F4">
        <w:rPr>
          <w:lang w:val="es-ES_tradnl"/>
        </w:rPr>
        <w:t>dichos sobrecostos se deben financiar</w:t>
      </w:r>
      <w:r w:rsidR="00AC1547">
        <w:rPr>
          <w:lang w:val="es-ES_tradnl"/>
        </w:rPr>
        <w:t>,</w:t>
      </w:r>
      <w:r w:rsidR="003A46A1" w:rsidRPr="00B25E57">
        <w:rPr>
          <w:lang w:val="es-ES_tradnl"/>
        </w:rPr>
        <w:t xml:space="preserve"> </w:t>
      </w:r>
      <w:r w:rsidR="00D055DB">
        <w:rPr>
          <w:lang w:val="es-ES_tradnl"/>
        </w:rPr>
        <w:t xml:space="preserve">en tanto </w:t>
      </w:r>
      <w:r w:rsidR="000E0F96">
        <w:rPr>
          <w:lang w:val="es-ES_tradnl"/>
        </w:rPr>
        <w:t xml:space="preserve">que </w:t>
      </w:r>
      <w:r w:rsidR="00D055DB">
        <w:rPr>
          <w:lang w:val="es-ES_tradnl"/>
        </w:rPr>
        <w:t xml:space="preserve">otros </w:t>
      </w:r>
      <w:r w:rsidR="004737CF">
        <w:rPr>
          <w:lang w:val="es-ES_tradnl"/>
        </w:rPr>
        <w:t xml:space="preserve">han </w:t>
      </w:r>
      <w:r w:rsidR="003F0E94">
        <w:rPr>
          <w:lang w:val="es-ES_tradnl"/>
        </w:rPr>
        <w:t xml:space="preserve">propuesto que </w:t>
      </w:r>
      <w:r w:rsidR="00F42238">
        <w:rPr>
          <w:lang w:val="es-ES_tradnl"/>
        </w:rPr>
        <w:t xml:space="preserve">el </w:t>
      </w:r>
      <w:r w:rsidR="006D5793">
        <w:rPr>
          <w:lang w:val="es-ES_tradnl"/>
        </w:rPr>
        <w:t xml:space="preserve">plazo </w:t>
      </w:r>
      <w:r w:rsidR="00F42238">
        <w:rPr>
          <w:lang w:val="es-ES_tradnl"/>
        </w:rPr>
        <w:t xml:space="preserve">sea </w:t>
      </w:r>
      <w:r w:rsidR="006D5793">
        <w:rPr>
          <w:lang w:val="es-ES_tradnl"/>
        </w:rPr>
        <w:t xml:space="preserve">más </w:t>
      </w:r>
      <w:r w:rsidR="00E320CD">
        <w:rPr>
          <w:lang w:val="es-ES_tradnl"/>
        </w:rPr>
        <w:t>acotado</w:t>
      </w:r>
      <w:r w:rsidR="00345E62" w:rsidRPr="00B25E57">
        <w:rPr>
          <w:lang w:val="es-ES_tradnl"/>
        </w:rPr>
        <w:t>.</w:t>
      </w:r>
    </w:p>
    <w:p w14:paraId="02379CF9" w14:textId="61E105BB" w:rsidR="00345E62" w:rsidRPr="00B25E57" w:rsidRDefault="00691404" w:rsidP="00345E62">
      <w:pPr>
        <w:pStyle w:val="Heading1"/>
        <w:rPr>
          <w:lang w:val="es-ES_tradnl"/>
        </w:rPr>
      </w:pPr>
      <w:r>
        <w:rPr>
          <w:lang w:val="es-ES_tradnl"/>
        </w:rPr>
        <w:t>Algunos</w:t>
      </w:r>
      <w:r w:rsidR="003A46A1" w:rsidRPr="00B25E57">
        <w:rPr>
          <w:lang w:val="es-ES_tradnl"/>
        </w:rPr>
        <w:t xml:space="preserve"> </w:t>
      </w:r>
      <w:r w:rsidR="0005334E">
        <w:rPr>
          <w:lang w:val="es-ES_tradnl"/>
        </w:rPr>
        <w:t>m</w:t>
      </w:r>
      <w:r w:rsidR="00F33C58" w:rsidRPr="00B25E57">
        <w:rPr>
          <w:lang w:val="es-ES_tradnl"/>
        </w:rPr>
        <w:t>iembros</w:t>
      </w:r>
      <w:r w:rsidR="003A46A1" w:rsidRPr="00B25E57">
        <w:rPr>
          <w:lang w:val="es-ES_tradnl"/>
        </w:rPr>
        <w:t xml:space="preserve"> </w:t>
      </w:r>
      <w:r w:rsidR="00F33C58" w:rsidRPr="00B25E57">
        <w:rPr>
          <w:lang w:val="es-ES_tradnl"/>
        </w:rPr>
        <w:t>del</w:t>
      </w:r>
      <w:r w:rsidR="003A46A1" w:rsidRPr="00B25E57">
        <w:rPr>
          <w:lang w:val="es-ES_tradnl"/>
        </w:rPr>
        <w:t xml:space="preserve"> </w:t>
      </w:r>
      <w:r w:rsidR="00F33C58" w:rsidRPr="00B25E57">
        <w:rPr>
          <w:lang w:val="es-ES_tradnl"/>
        </w:rPr>
        <w:t>Comité</w:t>
      </w:r>
      <w:r w:rsidR="003A46A1" w:rsidRPr="00B25E57">
        <w:rPr>
          <w:lang w:val="es-ES_tradnl"/>
        </w:rPr>
        <w:t xml:space="preserve"> </w:t>
      </w:r>
      <w:r w:rsidR="00F33C58" w:rsidRPr="00B25E57">
        <w:rPr>
          <w:lang w:val="es-ES_tradnl"/>
        </w:rPr>
        <w:t>Ejecutivo</w:t>
      </w:r>
      <w:r w:rsidR="003A46A1" w:rsidRPr="00B25E57">
        <w:rPr>
          <w:lang w:val="es-ES_tradnl"/>
        </w:rPr>
        <w:t xml:space="preserve"> </w:t>
      </w:r>
      <w:r w:rsidR="0026528F">
        <w:rPr>
          <w:lang w:val="es-ES_tradnl"/>
        </w:rPr>
        <w:t>plantearon</w:t>
      </w:r>
      <w:r w:rsidR="00E931F1">
        <w:rPr>
          <w:lang w:val="es-ES_tradnl"/>
        </w:rPr>
        <w:t xml:space="preserve"> </w:t>
      </w:r>
      <w:r w:rsidR="00315799">
        <w:rPr>
          <w:lang w:val="es-ES_tradnl"/>
        </w:rPr>
        <w:t xml:space="preserve">que </w:t>
      </w:r>
      <w:r w:rsidR="00A143DA">
        <w:rPr>
          <w:lang w:val="es-ES_tradnl"/>
        </w:rPr>
        <w:t xml:space="preserve">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sidR="006C4D7B">
        <w:rPr>
          <w:lang w:val="es-ES_tradnl"/>
        </w:rPr>
        <w:t xml:space="preserve">tienen el sentido de </w:t>
      </w:r>
      <w:r w:rsidR="00087CB4">
        <w:rPr>
          <w:lang w:val="es-ES_tradnl"/>
        </w:rPr>
        <w:t xml:space="preserve">incentivar </w:t>
      </w:r>
      <w:r w:rsidR="001640F8">
        <w:rPr>
          <w:lang w:val="es-ES_tradnl"/>
        </w:rPr>
        <w:t>una respuesta rápida</w:t>
      </w:r>
      <w:r w:rsidR="001226AE">
        <w:rPr>
          <w:lang w:val="es-ES_tradnl"/>
        </w:rPr>
        <w:t xml:space="preserve">, </w:t>
      </w:r>
      <w:r w:rsidR="00F33C58" w:rsidRPr="00B25E57">
        <w:rPr>
          <w:lang w:val="es-ES_tradnl"/>
        </w:rPr>
        <w:t>y</w:t>
      </w:r>
      <w:r w:rsidR="003A46A1" w:rsidRPr="00B25E57">
        <w:rPr>
          <w:lang w:val="es-ES_tradnl"/>
        </w:rPr>
        <w:t xml:space="preserve"> </w:t>
      </w:r>
      <w:r w:rsidR="007305D4">
        <w:rPr>
          <w:lang w:val="es-ES_tradnl"/>
        </w:rPr>
        <w:t xml:space="preserve">que </w:t>
      </w:r>
      <w:r w:rsidR="004512EA" w:rsidRPr="00B25E57">
        <w:rPr>
          <w:lang w:val="es-ES_tradnl"/>
        </w:rPr>
        <w:t>la</w:t>
      </w:r>
      <w:r w:rsidR="003A46A1" w:rsidRPr="00B25E57">
        <w:rPr>
          <w:lang w:val="es-ES_tradnl"/>
        </w:rPr>
        <w:t xml:space="preserve"> </w:t>
      </w:r>
      <w:r w:rsidR="004512EA" w:rsidRPr="00B25E57">
        <w:rPr>
          <w:lang w:val="es-ES_tradnl"/>
        </w:rPr>
        <w:t>necesidad</w:t>
      </w:r>
      <w:r w:rsidR="003A46A1" w:rsidRPr="00B25E57">
        <w:rPr>
          <w:lang w:val="es-ES_tradnl"/>
        </w:rPr>
        <w:t xml:space="preserve"> </w:t>
      </w:r>
      <w:r w:rsidR="004512EA" w:rsidRPr="00B25E57">
        <w:rPr>
          <w:lang w:val="es-ES_tradnl"/>
        </w:rPr>
        <w:t>de</w:t>
      </w:r>
      <w:r w:rsidR="003A46A1" w:rsidRPr="00B25E57">
        <w:rPr>
          <w:lang w:val="es-ES_tradnl"/>
        </w:rPr>
        <w:t xml:space="preserve"> </w:t>
      </w:r>
      <w:r w:rsidR="00E61E3D">
        <w:rPr>
          <w:lang w:val="es-ES_tradnl"/>
        </w:rPr>
        <w:t>contar con tal</w:t>
      </w:r>
      <w:r w:rsidR="004D1EC8">
        <w:rPr>
          <w:lang w:val="es-ES_tradnl"/>
        </w:rPr>
        <w:t>es</w:t>
      </w:r>
      <w:r w:rsidR="00E61E3D">
        <w:rPr>
          <w:lang w:val="es-ES_tradnl"/>
        </w:rPr>
        <w:t xml:space="preserve"> </w:t>
      </w:r>
      <w:r w:rsidR="004512EA" w:rsidRPr="00B25E57">
        <w:rPr>
          <w:lang w:val="es-ES_tradnl"/>
        </w:rPr>
        <w:t>incentivo</w:t>
      </w:r>
      <w:r w:rsidR="004D1EC8">
        <w:rPr>
          <w:lang w:val="es-ES_tradnl"/>
        </w:rPr>
        <w:t>s</w:t>
      </w:r>
      <w:r w:rsidR="003A46A1" w:rsidRPr="00B25E57">
        <w:rPr>
          <w:lang w:val="es-ES_tradnl"/>
        </w:rPr>
        <w:t xml:space="preserve"> </w:t>
      </w:r>
      <w:r w:rsidR="00B33942">
        <w:rPr>
          <w:lang w:val="es-ES_tradnl"/>
        </w:rPr>
        <w:t xml:space="preserve">puede </w:t>
      </w:r>
      <w:r w:rsidR="004A39B8">
        <w:rPr>
          <w:lang w:val="es-ES_tradnl"/>
        </w:rPr>
        <w:t>evolucionar</w:t>
      </w:r>
      <w:r w:rsidR="00B33942">
        <w:rPr>
          <w:lang w:val="es-ES_tradnl"/>
        </w:rPr>
        <w:t xml:space="preserve"> </w:t>
      </w:r>
      <w:r w:rsidR="00650DEF">
        <w:rPr>
          <w:lang w:val="es-ES_tradnl"/>
        </w:rPr>
        <w:t xml:space="preserve">a medida que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650DEF">
        <w:rPr>
          <w:lang w:val="es-ES_tradnl"/>
        </w:rPr>
        <w:t>adoptar</w:t>
      </w:r>
      <w:r w:rsidR="003A46A1" w:rsidRPr="00B25E57">
        <w:rPr>
          <w:lang w:val="es-ES_tradnl"/>
        </w:rPr>
        <w:t xml:space="preserve"> </w:t>
      </w:r>
      <w:r w:rsidR="007B22B4" w:rsidRPr="00B25E57">
        <w:rPr>
          <w:lang w:val="es-ES_tradnl"/>
        </w:rPr>
        <w:t>medidas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control</w:t>
      </w:r>
      <w:r w:rsidR="003A46A1" w:rsidRPr="00B25E57">
        <w:rPr>
          <w:lang w:val="es-ES_tradnl"/>
        </w:rPr>
        <w:t xml:space="preserve"> </w:t>
      </w:r>
      <w:r w:rsidR="000B3497">
        <w:rPr>
          <w:lang w:val="es-ES_tradnl"/>
        </w:rPr>
        <w:t xml:space="preserve">pasa a ser un costo operativo </w:t>
      </w:r>
      <w:r w:rsidR="00B9755D">
        <w:rPr>
          <w:lang w:val="es-ES_tradnl"/>
        </w:rPr>
        <w:t>corriente</w:t>
      </w:r>
      <w:r w:rsidR="00345E62" w:rsidRPr="00B25E57">
        <w:rPr>
          <w:lang w:val="es-ES_tradnl"/>
        </w:rPr>
        <w:t>.</w:t>
      </w:r>
      <w:r w:rsidR="003A46A1" w:rsidRPr="00B25E57">
        <w:rPr>
          <w:lang w:val="es-ES_tradnl"/>
        </w:rPr>
        <w:t xml:space="preserve"> </w:t>
      </w:r>
      <w:r w:rsidR="00A4343B" w:rsidRPr="00B25E57">
        <w:rPr>
          <w:lang w:val="es-ES_tradnl"/>
        </w:rPr>
        <w:t>Otros</w:t>
      </w:r>
      <w:r w:rsidR="003A46A1" w:rsidRPr="00B25E57">
        <w:rPr>
          <w:lang w:val="es-ES_tradnl"/>
        </w:rPr>
        <w:t xml:space="preserve"> </w:t>
      </w:r>
      <w:r w:rsidR="009335C7">
        <w:rPr>
          <w:lang w:val="es-ES_tradnl"/>
        </w:rPr>
        <w:t>m</w:t>
      </w:r>
      <w:r w:rsidR="00F33C58" w:rsidRPr="00B25E57">
        <w:rPr>
          <w:lang w:val="es-ES_tradnl"/>
        </w:rPr>
        <w:t>iembros</w:t>
      </w:r>
      <w:r w:rsidR="003A46A1" w:rsidRPr="00B25E57">
        <w:rPr>
          <w:lang w:val="es-ES_tradnl"/>
        </w:rPr>
        <w:t xml:space="preserve"> </w:t>
      </w:r>
      <w:r w:rsidR="00055594">
        <w:rPr>
          <w:lang w:val="es-ES_tradnl"/>
        </w:rPr>
        <w:t xml:space="preserve">señalaron </w:t>
      </w:r>
      <w:r w:rsidR="00A14AA3">
        <w:rPr>
          <w:lang w:val="es-ES_tradnl"/>
        </w:rPr>
        <w:t xml:space="preserve">que </w:t>
      </w:r>
      <w:r w:rsidR="00E06AF6">
        <w:rPr>
          <w:lang w:val="es-ES_tradnl"/>
        </w:rPr>
        <w:t>el</w:t>
      </w:r>
      <w:r w:rsidR="003A46A1" w:rsidRPr="00B25E57">
        <w:rPr>
          <w:lang w:val="es-ES_tradnl"/>
        </w:rPr>
        <w:t xml:space="preserve"> </w:t>
      </w:r>
      <w:r w:rsidR="00E06AF6">
        <w:rPr>
          <w:lang w:val="es-ES_tradnl"/>
        </w:rPr>
        <w:t>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E06AF6">
        <w:rPr>
          <w:lang w:val="es-ES_tradnl"/>
        </w:rPr>
        <w:t xml:space="preserve">la </w:t>
      </w:r>
      <w:r w:rsidR="00F33C58" w:rsidRPr="00B25E57">
        <w:rPr>
          <w:lang w:val="es-ES_tradnl"/>
        </w:rPr>
        <w:t>destrucción</w:t>
      </w:r>
      <w:r w:rsidR="003A46A1" w:rsidRPr="00B25E57">
        <w:rPr>
          <w:lang w:val="es-ES_tradnl"/>
        </w:rPr>
        <w:t xml:space="preserve"> </w:t>
      </w:r>
      <w:r w:rsidR="00312942">
        <w:rPr>
          <w:lang w:val="es-ES_tradnl"/>
        </w:rPr>
        <w:t xml:space="preserve">no se </w:t>
      </w:r>
      <w:r w:rsidR="004E2A8A">
        <w:rPr>
          <w:lang w:val="es-ES_tradnl"/>
        </w:rPr>
        <w:t xml:space="preserve">debe considerar como un </w:t>
      </w:r>
      <w:r w:rsidR="00E52C7F">
        <w:rPr>
          <w:lang w:val="es-ES_tradnl"/>
        </w:rPr>
        <w:t>sobrecosto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4C433B">
        <w:rPr>
          <w:lang w:val="es-ES_tradnl"/>
        </w:rPr>
        <w:t>,</w:t>
      </w:r>
      <w:r w:rsidR="003A46A1" w:rsidRPr="00B25E57">
        <w:rPr>
          <w:lang w:val="es-ES_tradnl"/>
        </w:rPr>
        <w:t xml:space="preserve"> </w:t>
      </w:r>
      <w:r w:rsidR="00E52C7F">
        <w:rPr>
          <w:lang w:val="es-ES_tradnl"/>
        </w:rPr>
        <w:t xml:space="preserve">sino como un </w:t>
      </w:r>
      <w:r w:rsidR="00E52C7F" w:rsidRPr="00E52C7F">
        <w:rPr>
          <w:lang w:val="es-ES_tradnl"/>
        </w:rPr>
        <w:t>gasto recurrente</w:t>
      </w:r>
      <w:r w:rsidR="00345E62" w:rsidRPr="00B25E57">
        <w:rPr>
          <w:lang w:val="es-ES_tradnl"/>
        </w:rPr>
        <w:t>.</w:t>
      </w:r>
      <w:r w:rsidR="003A46A1" w:rsidRPr="00B25E57">
        <w:rPr>
          <w:lang w:val="es-ES_tradnl"/>
        </w:rPr>
        <w:t xml:space="preserve"> </w:t>
      </w:r>
      <w:r w:rsidR="009E6D14">
        <w:rPr>
          <w:lang w:val="es-ES_tradnl"/>
        </w:rPr>
        <w:t xml:space="preserve">A diferencia de </w:t>
      </w:r>
      <w:r w:rsidR="00733C9B">
        <w:rPr>
          <w:lang w:val="es-ES_tradnl"/>
        </w:rPr>
        <w:t xml:space="preserve">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45E62" w:rsidRPr="00B25E57">
        <w:rPr>
          <w:lang w:val="es-ES_tradnl"/>
        </w:rPr>
        <w:t>,</w:t>
      </w:r>
      <w:r w:rsidR="003A46A1" w:rsidRPr="00B25E57">
        <w:rPr>
          <w:lang w:val="es-ES_tradnl"/>
        </w:rPr>
        <w:t xml:space="preserve"> </w:t>
      </w:r>
      <w:r w:rsidR="006F4630">
        <w:rPr>
          <w:lang w:val="es-ES_tradnl"/>
        </w:rPr>
        <w:t xml:space="preserve">los que debiesen </w:t>
      </w:r>
      <w:r w:rsidR="00700A19">
        <w:rPr>
          <w:lang w:val="es-ES_tradnl"/>
        </w:rPr>
        <w:t xml:space="preserve">disminuir </w:t>
      </w:r>
      <w:r w:rsidR="00537A31">
        <w:rPr>
          <w:lang w:val="es-ES_tradnl"/>
        </w:rPr>
        <w:t>según disminuye</w:t>
      </w:r>
      <w:r w:rsidR="00543001">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0B7166">
        <w:rPr>
          <w:lang w:val="es-ES_tradnl"/>
        </w:rPr>
        <w:t xml:space="preserve">de la </w:t>
      </w:r>
      <w:r w:rsidR="00D04DC2" w:rsidRPr="00B25E57">
        <w:rPr>
          <w:lang w:val="es-ES_tradnl"/>
        </w:rPr>
        <w:t>alternativa</w:t>
      </w:r>
      <w:r w:rsidR="003A46A1" w:rsidRPr="00B25E57">
        <w:rPr>
          <w:lang w:val="es-ES_tradnl"/>
        </w:rPr>
        <w:t xml:space="preserve"> </w:t>
      </w:r>
      <w:r w:rsidR="00742364">
        <w:rPr>
          <w:lang w:val="es-ES_tradnl"/>
        </w:rPr>
        <w:t xml:space="preserve">a adoptar </w:t>
      </w:r>
      <w:r w:rsidR="00FB38C2" w:rsidRPr="00B25E57">
        <w:rPr>
          <w:lang w:val="es-ES_tradnl"/>
        </w:rPr>
        <w:t>y</w:t>
      </w:r>
      <w:r w:rsidR="003A46A1" w:rsidRPr="00B25E57">
        <w:rPr>
          <w:lang w:val="es-ES_tradnl"/>
        </w:rPr>
        <w:t xml:space="preserve"> </w:t>
      </w:r>
      <w:r w:rsidR="00AC3129">
        <w:rPr>
          <w:lang w:val="es-ES_tradnl"/>
        </w:rPr>
        <w:t>aumenta</w:t>
      </w:r>
      <w:r w:rsidR="00153CDA">
        <w:rPr>
          <w:lang w:val="es-ES_tradnl"/>
        </w:rPr>
        <w:t xml:space="preserve"> </w:t>
      </w:r>
      <w:r w:rsidR="00FB38C2" w:rsidRPr="00B25E57">
        <w:rPr>
          <w:lang w:val="es-ES_tradnl"/>
        </w:rPr>
        <w:t>el</w:t>
      </w:r>
      <w:r w:rsidR="003A46A1" w:rsidRPr="00B25E57">
        <w:rPr>
          <w:lang w:val="es-ES_tradnl"/>
        </w:rPr>
        <w:t xml:space="preserve"> </w:t>
      </w:r>
      <w:r w:rsidR="00FB38C2" w:rsidRPr="00B25E57">
        <w:rPr>
          <w:lang w:val="es-ES_tradnl"/>
        </w:rPr>
        <w:t>costo</w:t>
      </w:r>
      <w:r w:rsidR="003A46A1" w:rsidRPr="00B25E57">
        <w:rPr>
          <w:lang w:val="es-ES_tradnl"/>
        </w:rPr>
        <w:t xml:space="preserve"> </w:t>
      </w:r>
      <w:r w:rsidR="00B44280">
        <w:rPr>
          <w:lang w:val="es-ES_tradnl"/>
        </w:rPr>
        <w:t xml:space="preserve">de la </w:t>
      </w:r>
      <w:r w:rsidR="00862A82" w:rsidRPr="00B25E57">
        <w:rPr>
          <w:lang w:val="es-ES_tradnl"/>
        </w:rPr>
        <w:t>sustancia</w:t>
      </w:r>
      <w:r w:rsidR="003A46A1" w:rsidRPr="00B25E57">
        <w:rPr>
          <w:lang w:val="es-ES_tradnl"/>
        </w:rPr>
        <w:t xml:space="preserve"> </w:t>
      </w:r>
      <w:r w:rsidR="00862A82" w:rsidRPr="00B25E57">
        <w:rPr>
          <w:lang w:val="es-ES_tradnl"/>
        </w:rPr>
        <w:t>controlada</w:t>
      </w:r>
      <w:r w:rsidR="003A46A1" w:rsidRPr="00B25E57">
        <w:rPr>
          <w:lang w:val="es-ES_tradnl"/>
        </w:rPr>
        <w:t xml:space="preserve"> </w:t>
      </w:r>
      <w:r w:rsidR="006E3220">
        <w:rPr>
          <w:lang w:val="es-ES_tradnl"/>
        </w:rPr>
        <w:t>que se elimina</w:t>
      </w:r>
      <w:r w:rsidR="00345E62" w:rsidRPr="00B25E57">
        <w:rPr>
          <w:lang w:val="es-ES_tradnl"/>
        </w:rPr>
        <w:t>,</w:t>
      </w:r>
      <w:r w:rsidR="003A46A1" w:rsidRPr="00B25E57">
        <w:rPr>
          <w:lang w:val="es-ES_tradnl"/>
        </w:rPr>
        <w:t xml:space="preserve"> </w:t>
      </w:r>
      <w:r w:rsidR="003D293F">
        <w:rPr>
          <w:lang w:val="es-ES_tradnl"/>
        </w:rPr>
        <w:t>muchos gastos recurrentes</w:t>
      </w:r>
      <w:r w:rsidR="003A46A1" w:rsidRPr="00B25E57">
        <w:rPr>
          <w:lang w:val="es-ES_tradnl"/>
        </w:rPr>
        <w:t xml:space="preserve"> </w:t>
      </w:r>
      <w:r w:rsidR="00DD5EC7">
        <w:rPr>
          <w:lang w:val="es-ES_tradnl"/>
        </w:rPr>
        <w:t>no cambian</w:t>
      </w:r>
      <w:r w:rsidR="008E6FC2">
        <w:rPr>
          <w:lang w:val="es-ES_tradnl"/>
        </w:rPr>
        <w:t xml:space="preserve"> en el tiempo</w:t>
      </w:r>
      <w:r w:rsidR="003A46A1" w:rsidRPr="00B25E57">
        <w:rPr>
          <w:lang w:val="es-ES_tradnl"/>
        </w:rPr>
        <w:t xml:space="preserve"> </w:t>
      </w:r>
      <w:r w:rsidR="008E6FC2">
        <w:rPr>
          <w:lang w:val="es-ES_tradnl"/>
        </w:rPr>
        <w:t>y</w:t>
      </w:r>
      <w:r w:rsidR="0076136C">
        <w:rPr>
          <w:lang w:val="es-ES_tradnl"/>
        </w:rPr>
        <w:t>,</w:t>
      </w:r>
      <w:r w:rsidR="008E6FC2">
        <w:rPr>
          <w:lang w:val="es-ES_tradnl"/>
        </w:rPr>
        <w:t xml:space="preserve"> </w:t>
      </w:r>
      <w:r w:rsidR="00F24FA9" w:rsidRPr="00B25E57">
        <w:rPr>
          <w:lang w:val="es-ES_tradnl"/>
        </w:rPr>
        <w:t>por</w:t>
      </w:r>
      <w:r w:rsidR="003A46A1" w:rsidRPr="00B25E57">
        <w:rPr>
          <w:lang w:val="es-ES_tradnl"/>
        </w:rPr>
        <w:t xml:space="preserve"> </w:t>
      </w:r>
      <w:r w:rsidR="00F24FA9" w:rsidRPr="00B25E57">
        <w:rPr>
          <w:lang w:val="es-ES_tradnl"/>
        </w:rPr>
        <w:t>consiguiente</w:t>
      </w:r>
      <w:r w:rsidR="00345E62" w:rsidRPr="00B25E57">
        <w:rPr>
          <w:lang w:val="es-ES_tradnl"/>
        </w:rPr>
        <w:t>,</w:t>
      </w:r>
      <w:r w:rsidR="003A46A1" w:rsidRPr="00B25E57">
        <w:rPr>
          <w:lang w:val="es-ES_tradnl"/>
        </w:rPr>
        <w:t xml:space="preserve"> </w:t>
      </w:r>
      <w:r w:rsidR="00ED52B0">
        <w:rPr>
          <w:lang w:val="es-ES_tradnl"/>
        </w:rPr>
        <w:t xml:space="preserve">se les </w:t>
      </w:r>
      <w:r w:rsidR="00305A33">
        <w:rPr>
          <w:lang w:val="es-ES_tradnl"/>
        </w:rPr>
        <w:t xml:space="preserve">debe </w:t>
      </w:r>
      <w:r w:rsidR="008757CD">
        <w:rPr>
          <w:lang w:val="es-ES_tradnl"/>
        </w:rPr>
        <w:t>continuar financiando</w:t>
      </w:r>
      <w:r w:rsidR="00345E62" w:rsidRPr="00B25E57">
        <w:rPr>
          <w:lang w:val="es-ES_tradnl"/>
        </w:rPr>
        <w:t>.</w:t>
      </w:r>
      <w:r w:rsidR="003A46A1" w:rsidRPr="00B25E57">
        <w:rPr>
          <w:lang w:val="es-ES_tradnl"/>
        </w:rPr>
        <w:t xml:space="preserve"> </w:t>
      </w:r>
      <w:r w:rsidR="00154D78">
        <w:rPr>
          <w:lang w:val="es-ES_tradnl"/>
        </w:rPr>
        <w:t xml:space="preserve">Dado que </w:t>
      </w:r>
      <w:r w:rsidR="003D293F">
        <w:rPr>
          <w:lang w:val="es-ES_tradnl"/>
        </w:rPr>
        <w:t>gastos recurrentes</w:t>
      </w:r>
      <w:r w:rsidR="003A46A1" w:rsidRPr="00B25E57">
        <w:rPr>
          <w:lang w:val="es-ES_tradnl"/>
        </w:rPr>
        <w:t xml:space="preserve"> </w:t>
      </w:r>
      <w:r w:rsidR="00D6462D">
        <w:rPr>
          <w:lang w:val="es-ES_tradnl"/>
        </w:rPr>
        <w:t xml:space="preserve">es </w:t>
      </w:r>
      <w:r w:rsidR="00186B1A">
        <w:rPr>
          <w:lang w:val="es-ES_tradnl"/>
        </w:rPr>
        <w:t>un concepto nuevo</w:t>
      </w:r>
      <w:r w:rsidR="00345E62" w:rsidRPr="00B25E57">
        <w:rPr>
          <w:lang w:val="es-ES_tradnl"/>
        </w:rPr>
        <w:t>,</w:t>
      </w:r>
      <w:r w:rsidR="003A46A1" w:rsidRPr="00B25E57">
        <w:rPr>
          <w:lang w:val="es-ES_tradnl"/>
        </w:rPr>
        <w:t xml:space="preserve"> </w:t>
      </w:r>
      <w:r w:rsidR="004241C5" w:rsidRPr="00B25E57">
        <w:rPr>
          <w:lang w:val="es-ES_tradnl"/>
        </w:rPr>
        <w:t>el</w:t>
      </w:r>
      <w:r w:rsidR="003A46A1" w:rsidRPr="00B25E57">
        <w:rPr>
          <w:lang w:val="es-ES_tradnl"/>
        </w:rPr>
        <w:t xml:space="preserve"> </w:t>
      </w:r>
      <w:r w:rsidR="004241C5"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4057BA" w:rsidRPr="00B25E57">
        <w:rPr>
          <w:lang w:val="es-ES_tradnl"/>
        </w:rPr>
        <w:t>podrá</w:t>
      </w:r>
      <w:r w:rsidR="003A46A1" w:rsidRPr="00B25E57">
        <w:rPr>
          <w:lang w:val="es-ES_tradnl"/>
        </w:rPr>
        <w:t xml:space="preserve"> estimar oportuno </w:t>
      </w:r>
      <w:r w:rsidR="009C3C09">
        <w:rPr>
          <w:lang w:val="es-ES_tradnl"/>
        </w:rPr>
        <w:t xml:space="preserve">considerar </w:t>
      </w:r>
      <w:r w:rsidR="00110B18">
        <w:rPr>
          <w:lang w:val="es-ES_tradnl"/>
        </w:rPr>
        <w:t xml:space="preserve">el desarrollo de </w:t>
      </w:r>
      <w:r w:rsidR="004241C5" w:rsidRPr="00B25E57">
        <w:rPr>
          <w:lang w:val="es-ES_tradnl"/>
        </w:rPr>
        <w:t>pautas</w:t>
      </w:r>
      <w:r w:rsidR="003A46A1" w:rsidRPr="00B25E57">
        <w:rPr>
          <w:lang w:val="es-ES_tradnl"/>
        </w:rPr>
        <w:t xml:space="preserve"> </w:t>
      </w:r>
      <w:r w:rsidR="004C2585">
        <w:rPr>
          <w:lang w:val="es-ES_tradnl"/>
        </w:rPr>
        <w:t xml:space="preserve">para su </w:t>
      </w:r>
      <w:r w:rsidR="00781542">
        <w:rPr>
          <w:lang w:val="es-ES_tradnl"/>
        </w:rPr>
        <w:t>aplicación</w:t>
      </w:r>
      <w:r w:rsidR="003A46A1" w:rsidRPr="00B25E57">
        <w:rPr>
          <w:lang w:val="es-ES_tradnl"/>
        </w:rPr>
        <w:t xml:space="preserve"> </w:t>
      </w:r>
      <w:r w:rsidR="007530FD">
        <w:rPr>
          <w:lang w:val="es-ES_tradnl"/>
        </w:rPr>
        <w:t xml:space="preserve">en </w:t>
      </w:r>
      <w:r w:rsidR="00564E86">
        <w:rPr>
          <w:lang w:val="es-ES_tradnl"/>
        </w:rPr>
        <w:t>proyectos de control del subproducto HFC-23</w:t>
      </w:r>
      <w:r w:rsidR="00345E62" w:rsidRPr="00B25E57">
        <w:rPr>
          <w:lang w:val="es-ES_tradnl"/>
        </w:rPr>
        <w:t>.</w:t>
      </w:r>
    </w:p>
    <w:p w14:paraId="5BE1D39C" w14:textId="231061E9" w:rsidR="007B22B4" w:rsidRPr="00B25E57" w:rsidRDefault="004241C5" w:rsidP="00345E62">
      <w:pPr>
        <w:pStyle w:val="Heading1"/>
        <w:rPr>
          <w:lang w:val="es-ES_tradnl"/>
        </w:rPr>
      </w:pPr>
      <w:r w:rsidRPr="00B25E57">
        <w:rPr>
          <w:lang w:val="es-ES_tradnl"/>
        </w:rPr>
        <w:lastRenderedPageBreak/>
        <w:t>El</w:t>
      </w:r>
      <w:r w:rsidR="003A46A1" w:rsidRPr="00B25E57">
        <w:rPr>
          <w:lang w:val="es-ES_tradnl"/>
        </w:rPr>
        <w:t xml:space="preserve"> </w:t>
      </w:r>
      <w:r w:rsidRPr="00B25E57">
        <w:rPr>
          <w:lang w:val="es-ES_tradnl"/>
        </w:rPr>
        <w:t>Comité</w:t>
      </w:r>
      <w:r w:rsidR="003A46A1" w:rsidRPr="00B25E57">
        <w:rPr>
          <w:lang w:val="es-ES_tradnl"/>
        </w:rPr>
        <w:t xml:space="preserve"> </w:t>
      </w:r>
      <w:r w:rsidR="00D04DC2" w:rsidRPr="00B25E57">
        <w:rPr>
          <w:lang w:val="es-ES_tradnl"/>
        </w:rPr>
        <w:t>Ejecutivo</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D04DC2" w:rsidRPr="00B25E57">
        <w:rPr>
          <w:lang w:val="es-ES_tradnl"/>
        </w:rPr>
        <w:t>estimar</w:t>
      </w:r>
      <w:r w:rsidR="003A46A1" w:rsidRPr="00B25E57">
        <w:rPr>
          <w:lang w:val="es-ES_tradnl"/>
        </w:rPr>
        <w:t xml:space="preserve"> </w:t>
      </w:r>
      <w:r w:rsidR="00D04DC2" w:rsidRPr="00B25E57">
        <w:rPr>
          <w:lang w:val="es-ES_tradnl"/>
        </w:rPr>
        <w:t>oportuno</w:t>
      </w:r>
      <w:r w:rsidR="003A46A1" w:rsidRPr="00B25E57">
        <w:rPr>
          <w:lang w:val="es-ES_tradnl"/>
        </w:rPr>
        <w:t xml:space="preserve"> </w:t>
      </w:r>
      <w:r w:rsidR="00C34165">
        <w:rPr>
          <w:lang w:val="es-ES_tradnl"/>
        </w:rPr>
        <w:t>orientar</w:t>
      </w:r>
      <w:r w:rsidR="003A46A1" w:rsidRPr="00B25E57">
        <w:rPr>
          <w:lang w:val="es-ES_tradnl"/>
        </w:rPr>
        <w:t xml:space="preserve"> </w:t>
      </w:r>
      <w:r w:rsidR="00F33C58" w:rsidRPr="00B25E57">
        <w:rPr>
          <w:lang w:val="es-ES_tradnl"/>
        </w:rPr>
        <w:t>a</w:t>
      </w:r>
      <w:r w:rsidR="003A46A1" w:rsidRPr="00B25E57">
        <w:rPr>
          <w:lang w:val="es-ES_tradnl"/>
        </w:rPr>
        <w:t xml:space="preserve"> </w:t>
      </w:r>
      <w:r w:rsidR="00F33C58"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CE0195">
        <w:rPr>
          <w:lang w:val="es-ES_tradnl"/>
        </w:rPr>
        <w:t xml:space="preserve">sobre </w:t>
      </w:r>
      <w:r w:rsidR="0030559C">
        <w:rPr>
          <w:lang w:val="es-ES_tradnl"/>
        </w:rPr>
        <w:t xml:space="preserve">el lapso de tiempo </w:t>
      </w:r>
      <w:r w:rsidR="00C716E5">
        <w:rPr>
          <w:lang w:val="es-ES_tradnl"/>
        </w:rPr>
        <w:t xml:space="preserve">durante el cual se deben </w:t>
      </w:r>
      <w:r w:rsidR="00433724">
        <w:rPr>
          <w:lang w:val="es-ES_tradnl"/>
        </w:rPr>
        <w:t xml:space="preserve">financiar los </w:t>
      </w:r>
      <w:r w:rsidR="00FB38C2" w:rsidRPr="00B25E57">
        <w:rPr>
          <w:lang w:val="es-ES_tradnl"/>
        </w:rPr>
        <w:t>sobrecostos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operación</w:t>
      </w:r>
      <w:r w:rsidR="003A46A1" w:rsidRPr="00B25E57">
        <w:rPr>
          <w:lang w:val="es-ES_tradnl"/>
        </w:rPr>
        <w:t xml:space="preserve"> </w:t>
      </w:r>
      <w:r w:rsidR="00FB38C2" w:rsidRPr="00B25E57">
        <w:rPr>
          <w:lang w:val="es-ES_tradnl"/>
        </w:rPr>
        <w:t>y</w:t>
      </w:r>
      <w:r w:rsidR="00345E62" w:rsidRPr="00B25E57">
        <w:rPr>
          <w:lang w:val="es-ES_tradnl"/>
        </w:rPr>
        <w:t>/</w:t>
      </w:r>
      <w:r w:rsidR="00FB38C2" w:rsidRPr="00B25E57">
        <w:rPr>
          <w:lang w:val="es-ES_tradnl"/>
        </w:rPr>
        <w:t>o</w:t>
      </w:r>
      <w:r w:rsidR="003A46A1" w:rsidRPr="00B25E57">
        <w:rPr>
          <w:lang w:val="es-ES_tradnl"/>
        </w:rPr>
        <w:t xml:space="preserve"> </w:t>
      </w:r>
      <w:r w:rsidR="009576BF">
        <w:rPr>
          <w:lang w:val="es-ES_tradnl"/>
        </w:rPr>
        <w:t xml:space="preserve">los </w:t>
      </w:r>
      <w:r w:rsidR="003D293F">
        <w:rPr>
          <w:lang w:val="es-ES_tradnl"/>
        </w:rPr>
        <w:t>gastos recurrentes</w:t>
      </w:r>
      <w:r w:rsidR="003A46A1" w:rsidRPr="00B25E57">
        <w:rPr>
          <w:lang w:val="es-ES_tradnl"/>
        </w:rPr>
        <w:t xml:space="preserve"> </w:t>
      </w:r>
      <w:r w:rsidR="00F15687">
        <w:rPr>
          <w:lang w:val="es-ES_tradnl"/>
        </w:rPr>
        <w:t>en</w:t>
      </w:r>
      <w:r w:rsidR="00B86C74">
        <w:rPr>
          <w:lang w:val="es-ES_tradnl"/>
        </w:rPr>
        <w:t xml:space="preserve"> </w:t>
      </w:r>
      <w:r w:rsidR="00564E86">
        <w:rPr>
          <w:lang w:val="es-ES_tradnl"/>
        </w:rPr>
        <w:t>proyectos de control del subproducto HFC-23</w:t>
      </w:r>
      <w:r w:rsidR="00345E62" w:rsidRPr="00B25E57">
        <w:rPr>
          <w:lang w:val="es-ES_tradnl"/>
        </w:rPr>
        <w:t>.</w:t>
      </w:r>
    </w:p>
    <w:p w14:paraId="158F98F0" w14:textId="3BBA1FEC" w:rsidR="00345E62" w:rsidRPr="00B25E57" w:rsidRDefault="004241C5" w:rsidP="00345E62">
      <w:pPr>
        <w:rPr>
          <w:u w:val="single"/>
          <w:lang w:val="es-ES_tradnl"/>
        </w:rPr>
      </w:pPr>
      <w:r w:rsidRPr="00B25E57">
        <w:rPr>
          <w:u w:val="single"/>
          <w:lang w:val="es-ES_tradnl"/>
        </w:rPr>
        <w:t>Nivel</w:t>
      </w:r>
      <w:r w:rsidR="003A46A1" w:rsidRPr="00B25E57">
        <w:rPr>
          <w:u w:val="single"/>
          <w:lang w:val="es-ES_tradnl"/>
        </w:rPr>
        <w:t xml:space="preserve"> </w:t>
      </w:r>
      <w:r w:rsidR="00FB38C2" w:rsidRPr="00B25E57">
        <w:rPr>
          <w:u w:val="single"/>
          <w:lang w:val="es-ES_tradnl"/>
        </w:rPr>
        <w:t>de</w:t>
      </w:r>
      <w:r w:rsidR="003A46A1" w:rsidRPr="00B25E57">
        <w:rPr>
          <w:u w:val="single"/>
          <w:lang w:val="es-ES_tradnl"/>
        </w:rPr>
        <w:t xml:space="preserve"> </w:t>
      </w:r>
      <w:r w:rsidR="007B22B4" w:rsidRPr="00B25E57">
        <w:rPr>
          <w:u w:val="single"/>
          <w:lang w:val="es-ES_tradnl"/>
        </w:rPr>
        <w:t>gastos</w:t>
      </w:r>
      <w:r w:rsidR="003A46A1" w:rsidRPr="00B25E57">
        <w:rPr>
          <w:u w:val="single"/>
          <w:lang w:val="es-ES_tradnl"/>
        </w:rPr>
        <w:t xml:space="preserve"> </w:t>
      </w:r>
      <w:r w:rsidR="007B22B4" w:rsidRPr="00B25E57">
        <w:rPr>
          <w:u w:val="single"/>
          <w:lang w:val="es-ES_tradnl"/>
        </w:rPr>
        <w:t>de</w:t>
      </w:r>
      <w:r w:rsidR="003A46A1" w:rsidRPr="00B25E57">
        <w:rPr>
          <w:u w:val="single"/>
          <w:lang w:val="es-ES_tradnl"/>
        </w:rPr>
        <w:t xml:space="preserve"> </w:t>
      </w:r>
      <w:r w:rsidR="007B22B4" w:rsidRPr="00B25E57">
        <w:rPr>
          <w:u w:val="single"/>
          <w:lang w:val="es-ES_tradnl"/>
        </w:rPr>
        <w:t>apoyo</w:t>
      </w:r>
    </w:p>
    <w:p w14:paraId="40EAE37D" w14:textId="77777777" w:rsidR="00345E62" w:rsidRPr="00B25E57" w:rsidRDefault="00345E62" w:rsidP="00345E62">
      <w:pPr>
        <w:rPr>
          <w:lang w:val="es-ES_tradnl"/>
        </w:rPr>
      </w:pPr>
    </w:p>
    <w:p w14:paraId="2317C376" w14:textId="421CE4DC" w:rsidR="007B22B4" w:rsidRPr="00B25E57" w:rsidRDefault="00862A82" w:rsidP="00345E62">
      <w:pPr>
        <w:pStyle w:val="Heading1"/>
        <w:rPr>
          <w:lang w:val="es-ES_tradnl"/>
        </w:rPr>
      </w:pPr>
      <w:r w:rsidRPr="00B25E57">
        <w:rPr>
          <w:lang w:val="es-ES_tradnl"/>
        </w:rPr>
        <w:t>Conforme</w:t>
      </w:r>
      <w:r w:rsidR="003A46A1" w:rsidRPr="00B25E57">
        <w:rPr>
          <w:lang w:val="es-ES_tradnl"/>
        </w:rPr>
        <w:t xml:space="preserve"> </w:t>
      </w:r>
      <w:r w:rsidRPr="00B25E57">
        <w:rPr>
          <w:lang w:val="es-ES_tradnl"/>
        </w:rPr>
        <w:t>a</w:t>
      </w:r>
      <w:r w:rsidR="003A46A1" w:rsidRPr="00B25E57">
        <w:rPr>
          <w:lang w:val="es-ES_tradnl"/>
        </w:rPr>
        <w:t xml:space="preserve"> </w:t>
      </w:r>
      <w:r w:rsidRPr="00B25E57">
        <w:rPr>
          <w:lang w:val="es-ES_tradnl"/>
        </w:rPr>
        <w:t>lo</w:t>
      </w:r>
      <w:r w:rsidR="003A46A1" w:rsidRPr="00B25E57">
        <w:rPr>
          <w:lang w:val="es-ES_tradnl"/>
        </w:rPr>
        <w:t xml:space="preserve"> </w:t>
      </w:r>
      <w:r w:rsidRPr="00B25E57">
        <w:rPr>
          <w:lang w:val="es-ES_tradnl"/>
        </w:rPr>
        <w:t>dispuesto</w:t>
      </w:r>
      <w:r w:rsidR="003A46A1" w:rsidRPr="00B25E57">
        <w:rPr>
          <w:lang w:val="es-ES_tradnl"/>
        </w:rPr>
        <w:t xml:space="preserve"> </w:t>
      </w:r>
      <w:r w:rsidRPr="00B25E57">
        <w:rPr>
          <w:lang w:val="es-ES_tradnl"/>
        </w:rPr>
        <w:t>en</w:t>
      </w:r>
      <w:r w:rsidR="003A46A1" w:rsidRPr="00B25E57">
        <w:rPr>
          <w:lang w:val="es-ES_tradnl"/>
        </w:rPr>
        <w:t xml:space="preserve"> </w:t>
      </w:r>
      <w:r w:rsidRPr="00B25E57">
        <w:rPr>
          <w:lang w:val="es-ES_tradnl"/>
        </w:rPr>
        <w:t>la</w:t>
      </w:r>
      <w:r w:rsidR="003A46A1" w:rsidRPr="00B25E57">
        <w:rPr>
          <w:lang w:val="es-ES_tradnl"/>
        </w:rPr>
        <w:t xml:space="preserve"> </w:t>
      </w:r>
      <w:r w:rsidRPr="00B25E57">
        <w:rPr>
          <w:lang w:val="es-ES_tradnl"/>
        </w:rPr>
        <w:t>decisión</w:t>
      </w:r>
      <w:r w:rsidR="003A46A1" w:rsidRPr="00B25E57">
        <w:rPr>
          <w:lang w:val="es-ES_tradnl"/>
        </w:rPr>
        <w:t xml:space="preserve"> </w:t>
      </w:r>
      <w:r w:rsidR="00345E62" w:rsidRPr="00B25E57">
        <w:rPr>
          <w:lang w:val="es-ES_tradnl"/>
        </w:rPr>
        <w:t>67/1</w:t>
      </w:r>
      <w:r w:rsidR="00314434">
        <w:rPr>
          <w:lang w:val="es-ES_tradnl"/>
        </w:rPr>
        <w:t xml:space="preserve">5, los </w:t>
      </w:r>
      <w:r w:rsidR="004241C5" w:rsidRPr="00B25E57">
        <w:rPr>
          <w:lang w:val="es-ES_tradnl"/>
        </w:rPr>
        <w:t>proyectos</w:t>
      </w:r>
      <w:r w:rsidR="003A46A1" w:rsidRPr="00B25E57">
        <w:rPr>
          <w:lang w:val="es-ES_tradnl"/>
        </w:rPr>
        <w:t xml:space="preserve"> </w:t>
      </w:r>
      <w:r w:rsidR="004241C5" w:rsidRPr="00B25E57">
        <w:rPr>
          <w:lang w:val="es-ES_tradnl"/>
        </w:rPr>
        <w:t>con</w:t>
      </w:r>
      <w:r w:rsidR="003A46A1" w:rsidRPr="00B25E57">
        <w:rPr>
          <w:lang w:val="es-ES_tradnl"/>
        </w:rPr>
        <w:t xml:space="preserve"> </w:t>
      </w:r>
      <w:r w:rsidR="00FB38C2" w:rsidRPr="00B25E57">
        <w:rPr>
          <w:lang w:val="es-ES_tradnl"/>
        </w:rPr>
        <w:t>costos</w:t>
      </w:r>
      <w:r w:rsidR="003A46A1" w:rsidRPr="00B25E57">
        <w:rPr>
          <w:lang w:val="es-ES_tradnl"/>
        </w:rPr>
        <w:t xml:space="preserve"> </w:t>
      </w:r>
      <w:r w:rsidR="00581648">
        <w:rPr>
          <w:lang w:val="es-ES_tradnl"/>
        </w:rPr>
        <w:t xml:space="preserve">superiores a </w:t>
      </w:r>
      <w:r w:rsidR="00345E62" w:rsidRPr="00B25E57">
        <w:rPr>
          <w:lang w:val="es-ES_tradnl"/>
        </w:rPr>
        <w:t>25</w:t>
      </w:r>
      <w:r w:rsidR="00FB38C2" w:rsidRPr="00B25E57">
        <w:rPr>
          <w:lang w:val="es-ES_tradnl"/>
        </w:rPr>
        <w:t>0.</w:t>
      </w:r>
      <w:r w:rsidR="00345E62" w:rsidRPr="00B25E57">
        <w:rPr>
          <w:lang w:val="es-ES_tradnl"/>
        </w:rPr>
        <w:t>000</w:t>
      </w:r>
      <w:r w:rsidR="003A46A1" w:rsidRPr="00B25E57">
        <w:rPr>
          <w:lang w:val="es-ES_tradnl"/>
        </w:rPr>
        <w:t xml:space="preserve"> </w:t>
      </w:r>
      <w:r w:rsidR="00581648" w:rsidRPr="00581648">
        <w:rPr>
          <w:lang w:val="es-ES_tradnl"/>
        </w:rPr>
        <w:t xml:space="preserve">$EUA </w:t>
      </w:r>
      <w:r w:rsidR="0051731E">
        <w:rPr>
          <w:lang w:val="es-ES_tradnl"/>
        </w:rPr>
        <w:t>reciben</w:t>
      </w:r>
      <w:r w:rsidR="003A46A1" w:rsidRPr="00B25E57">
        <w:rPr>
          <w:lang w:val="es-ES_tradnl"/>
        </w:rPr>
        <w:t xml:space="preserve"> </w:t>
      </w:r>
      <w:r w:rsidR="0051731E" w:rsidRPr="0051731E">
        <w:rPr>
          <w:lang w:val="es-ES_tradnl"/>
        </w:rPr>
        <w:t xml:space="preserve">gastos de apoyo </w:t>
      </w:r>
      <w:r w:rsidR="00FB38C2" w:rsidRPr="00B25E57">
        <w:rPr>
          <w:lang w:val="es-ES_tradnl"/>
        </w:rPr>
        <w:t>de</w:t>
      </w:r>
      <w:r w:rsidR="003A46A1" w:rsidRPr="00B25E57">
        <w:rPr>
          <w:lang w:val="es-ES_tradnl"/>
        </w:rPr>
        <w:t xml:space="preserve"> </w:t>
      </w:r>
      <w:r w:rsidR="0051731E">
        <w:rPr>
          <w:lang w:val="es-ES_tradnl"/>
        </w:rPr>
        <w:t xml:space="preserve">un </w:t>
      </w:r>
      <w:r w:rsidR="00345E62" w:rsidRPr="00B25E57">
        <w:rPr>
          <w:lang w:val="es-ES_tradnl"/>
        </w:rPr>
        <w:t>7</w:t>
      </w:r>
      <w:r w:rsidR="00FB38C2" w:rsidRPr="00B25E57">
        <w:rPr>
          <w:lang w:val="es-ES_tradnl"/>
        </w:rPr>
        <w:t>%</w:t>
      </w:r>
      <w:r w:rsidR="001B0FA7">
        <w:rPr>
          <w:lang w:val="es-ES_tradnl"/>
        </w:rPr>
        <w:t>. E</w:t>
      </w:r>
      <w:r w:rsidR="006D5F56">
        <w:rPr>
          <w:lang w:val="es-ES_tradnl"/>
        </w:rPr>
        <w:t>n el caso de</w:t>
      </w:r>
      <w:r w:rsidR="00E37957">
        <w:rPr>
          <w:lang w:val="es-ES_tradnl"/>
        </w:rPr>
        <w:t>l</w:t>
      </w:r>
      <w:r w:rsidR="006D5F56">
        <w:rPr>
          <w:lang w:val="es-ES_tradnl"/>
        </w:rPr>
        <w:t xml:space="preserve"> </w:t>
      </w:r>
      <w:r w:rsidR="004512EA" w:rsidRPr="00B25E57">
        <w:rPr>
          <w:lang w:val="es-ES_tradnl"/>
        </w:rPr>
        <w:t>sector</w:t>
      </w:r>
      <w:r w:rsidR="003A46A1" w:rsidRPr="00B25E57">
        <w:rPr>
          <w:lang w:val="es-ES_tradnl"/>
        </w:rPr>
        <w:t xml:space="preserve"> </w:t>
      </w:r>
      <w:r w:rsidRPr="00B25E57">
        <w:rPr>
          <w:lang w:val="es-ES_tradnl"/>
        </w:rPr>
        <w:t>producción</w:t>
      </w:r>
      <w:r w:rsidR="003A46A1" w:rsidRPr="00B25E57">
        <w:rPr>
          <w:lang w:val="es-ES_tradnl"/>
        </w:rPr>
        <w:t xml:space="preserve"> </w:t>
      </w:r>
      <w:r w:rsidR="006D5F56">
        <w:rPr>
          <w:lang w:val="es-ES_tradnl"/>
        </w:rPr>
        <w:t xml:space="preserve">los </w:t>
      </w:r>
      <w:r w:rsidR="006D5F56" w:rsidRPr="006D5F56">
        <w:rPr>
          <w:lang w:val="es-ES_tradnl"/>
        </w:rPr>
        <w:t xml:space="preserve">gastos de apoyo </w:t>
      </w:r>
      <w:r w:rsidR="00973404">
        <w:rPr>
          <w:lang w:val="es-ES_tradnl"/>
        </w:rPr>
        <w:t xml:space="preserve">no </w:t>
      </w:r>
      <w:r w:rsidR="003736E5">
        <w:rPr>
          <w:lang w:val="es-ES_tradnl"/>
        </w:rPr>
        <w:t xml:space="preserve">debiesen </w:t>
      </w:r>
      <w:r w:rsidR="00973404">
        <w:rPr>
          <w:lang w:val="es-ES_tradnl"/>
        </w:rPr>
        <w:t xml:space="preserve">sobrepasar el </w:t>
      </w:r>
      <w:r w:rsidR="00345E62" w:rsidRPr="00B25E57">
        <w:rPr>
          <w:lang w:val="es-ES_tradnl"/>
        </w:rPr>
        <w:t>6</w:t>
      </w:r>
      <w:r w:rsidR="00E22238" w:rsidRPr="00B25E57">
        <w:rPr>
          <w:lang w:val="es-ES_tradnl"/>
        </w:rPr>
        <w:t>,5%</w:t>
      </w:r>
      <w:r w:rsidR="00345E62" w:rsidRPr="00B25E57">
        <w:rPr>
          <w:lang w:val="es-ES_tradnl"/>
        </w:rPr>
        <w:t>,</w:t>
      </w:r>
      <w:r w:rsidR="003A46A1" w:rsidRPr="00B25E57">
        <w:rPr>
          <w:lang w:val="es-ES_tradnl"/>
        </w:rPr>
        <w:t xml:space="preserve"> </w:t>
      </w:r>
      <w:r w:rsidR="00172B6F">
        <w:rPr>
          <w:lang w:val="es-ES_tradnl"/>
        </w:rPr>
        <w:t xml:space="preserve">a determinar </w:t>
      </w:r>
      <w:r w:rsidR="00F33C58" w:rsidRPr="00B25E57">
        <w:rPr>
          <w:lang w:val="es-ES_tradnl"/>
        </w:rPr>
        <w:t>caso</w:t>
      </w:r>
      <w:r w:rsidR="003A46A1" w:rsidRPr="00B25E57">
        <w:rPr>
          <w:lang w:val="es-ES_tradnl"/>
        </w:rPr>
        <w:t xml:space="preserve"> </w:t>
      </w:r>
      <w:r w:rsidR="00F33C58" w:rsidRPr="00B25E57">
        <w:rPr>
          <w:lang w:val="es-ES_tradnl"/>
        </w:rPr>
        <w:t>a</w:t>
      </w:r>
      <w:r w:rsidR="003A46A1" w:rsidRPr="00B25E57">
        <w:rPr>
          <w:lang w:val="es-ES_tradnl"/>
        </w:rPr>
        <w:t xml:space="preserve"> </w:t>
      </w:r>
      <w:r w:rsidR="00F33C58" w:rsidRPr="00B25E57">
        <w:rPr>
          <w:lang w:val="es-ES_tradnl"/>
        </w:rPr>
        <w:t>caso</w:t>
      </w:r>
      <w:r w:rsidR="00345E62" w:rsidRPr="00B25E57">
        <w:rPr>
          <w:lang w:val="es-ES_tradnl"/>
        </w:rPr>
        <w:t>.</w:t>
      </w:r>
      <w:r w:rsidR="003A46A1" w:rsidRPr="00B25E57">
        <w:rPr>
          <w:lang w:val="es-ES_tradnl"/>
        </w:rPr>
        <w:t xml:space="preserve"> </w:t>
      </w:r>
      <w:r w:rsidR="00FA53E0">
        <w:rPr>
          <w:lang w:val="es-ES_tradnl"/>
        </w:rPr>
        <w:t xml:space="preserve">No queda claro </w:t>
      </w:r>
      <w:r w:rsidR="00580191">
        <w:rPr>
          <w:lang w:val="es-ES_tradnl"/>
        </w:rPr>
        <w:t xml:space="preserve">si los </w:t>
      </w:r>
      <w:r w:rsidR="00564E86">
        <w:rPr>
          <w:lang w:val="es-ES_tradnl"/>
        </w:rPr>
        <w:t>proyectos de control del subproducto HFC-23</w:t>
      </w:r>
      <w:r w:rsidR="003A46A1" w:rsidRPr="00B25E57">
        <w:rPr>
          <w:lang w:val="es-ES_tradnl"/>
        </w:rPr>
        <w:t xml:space="preserve"> </w:t>
      </w:r>
      <w:r w:rsidR="00163DED">
        <w:rPr>
          <w:lang w:val="es-ES_tradnl"/>
        </w:rPr>
        <w:t>se pueden considerar</w:t>
      </w:r>
      <w:r w:rsidR="007115FB">
        <w:rPr>
          <w:lang w:val="es-ES_tradnl"/>
        </w:rPr>
        <w:t xml:space="preserve"> como </w:t>
      </w:r>
      <w:r w:rsidR="00554479">
        <w:rPr>
          <w:lang w:val="es-ES_tradnl"/>
        </w:rPr>
        <w:t>d</w:t>
      </w:r>
      <w:r w:rsidR="004512EA" w:rsidRPr="00B25E57">
        <w:rPr>
          <w:lang w:val="es-ES_tradnl"/>
        </w:rPr>
        <w:t>el</w:t>
      </w:r>
      <w:r w:rsidR="003A46A1" w:rsidRPr="00B25E57">
        <w:rPr>
          <w:lang w:val="es-ES_tradnl"/>
        </w:rPr>
        <w:t xml:space="preserve"> </w:t>
      </w:r>
      <w:r w:rsidR="004512EA" w:rsidRPr="00B25E57">
        <w:rPr>
          <w:lang w:val="es-ES_tradnl"/>
        </w:rPr>
        <w:t>sector</w:t>
      </w:r>
      <w:r w:rsidR="003A46A1" w:rsidRPr="00B25E57">
        <w:rPr>
          <w:lang w:val="es-ES_tradnl"/>
        </w:rPr>
        <w:t xml:space="preserve"> </w:t>
      </w:r>
      <w:r w:rsidRPr="00B25E57">
        <w:rPr>
          <w:lang w:val="es-ES_tradnl"/>
        </w:rPr>
        <w:t>producción</w:t>
      </w:r>
      <w:r w:rsidR="003A46A1" w:rsidRPr="00B25E57">
        <w:rPr>
          <w:lang w:val="es-ES_tradnl"/>
        </w:rPr>
        <w:t xml:space="preserve"> </w:t>
      </w:r>
      <w:r w:rsidR="00345E62" w:rsidRPr="00B25E57">
        <w:rPr>
          <w:lang w:val="es-ES_tradnl"/>
        </w:rPr>
        <w:t>(</w:t>
      </w:r>
      <w:r w:rsidR="00F25508">
        <w:rPr>
          <w:lang w:val="es-ES_tradnl"/>
        </w:rPr>
        <w:t xml:space="preserve">con </w:t>
      </w:r>
      <w:r w:rsidR="00F25508" w:rsidRPr="00F25508">
        <w:rPr>
          <w:lang w:val="es-ES_tradnl"/>
        </w:rPr>
        <w:t xml:space="preserve">gastos de apoyo </w:t>
      </w:r>
      <w:r w:rsidR="00F25508">
        <w:rPr>
          <w:lang w:val="es-ES_tradnl"/>
        </w:rPr>
        <w:t xml:space="preserve">máximos de un </w:t>
      </w:r>
      <w:r w:rsidR="00345E62" w:rsidRPr="00B25E57">
        <w:rPr>
          <w:lang w:val="es-ES_tradnl"/>
        </w:rPr>
        <w:t>6</w:t>
      </w:r>
      <w:r w:rsidR="00E22238" w:rsidRPr="00B25E57">
        <w:rPr>
          <w:lang w:val="es-ES_tradnl"/>
        </w:rPr>
        <w:t>,5%</w:t>
      </w:r>
      <w:r w:rsidR="00345E62" w:rsidRPr="00B25E57">
        <w:rPr>
          <w:lang w:val="es-ES_tradnl"/>
        </w:rPr>
        <w:t>,</w:t>
      </w:r>
      <w:r w:rsidR="003A46A1" w:rsidRPr="00B25E57">
        <w:rPr>
          <w:lang w:val="es-ES_tradnl"/>
        </w:rPr>
        <w:t xml:space="preserve"> </w:t>
      </w:r>
      <w:r w:rsidR="00F25508">
        <w:rPr>
          <w:lang w:val="es-ES_tradnl"/>
        </w:rPr>
        <w:t xml:space="preserve">a determinar </w:t>
      </w:r>
      <w:r w:rsidR="00F33C58" w:rsidRPr="00B25E57">
        <w:rPr>
          <w:lang w:val="es-ES_tradnl"/>
        </w:rPr>
        <w:t>caso</w:t>
      </w:r>
      <w:r w:rsidR="003A46A1" w:rsidRPr="00B25E57">
        <w:rPr>
          <w:lang w:val="es-ES_tradnl"/>
        </w:rPr>
        <w:t xml:space="preserve"> </w:t>
      </w:r>
      <w:r w:rsidR="00F33C58" w:rsidRPr="00B25E57">
        <w:rPr>
          <w:lang w:val="es-ES_tradnl"/>
        </w:rPr>
        <w:t>a</w:t>
      </w:r>
      <w:r w:rsidR="003A46A1" w:rsidRPr="00B25E57">
        <w:rPr>
          <w:lang w:val="es-ES_tradnl"/>
        </w:rPr>
        <w:t xml:space="preserve"> </w:t>
      </w:r>
      <w:r w:rsidR="00F33C58" w:rsidRPr="00B25E57">
        <w:rPr>
          <w:lang w:val="es-ES_tradnl"/>
        </w:rPr>
        <w:t>caso</w:t>
      </w:r>
      <w:r w:rsidR="00345E62" w:rsidRPr="00B25E57">
        <w:rPr>
          <w:lang w:val="es-ES_tradnl"/>
        </w:rPr>
        <w:t>)</w:t>
      </w:r>
      <w:r w:rsidR="003A46A1" w:rsidRPr="00B25E57">
        <w:rPr>
          <w:lang w:val="es-ES_tradnl"/>
        </w:rPr>
        <w:t xml:space="preserve"> </w:t>
      </w:r>
      <w:r w:rsidR="00FB38C2" w:rsidRPr="00B25E57">
        <w:rPr>
          <w:lang w:val="es-ES_tradnl"/>
        </w:rPr>
        <w:t>o</w:t>
      </w:r>
      <w:r w:rsidR="003A46A1" w:rsidRPr="00B25E57">
        <w:rPr>
          <w:lang w:val="es-ES_tradnl"/>
        </w:rPr>
        <w:t xml:space="preserve"> </w:t>
      </w:r>
      <w:r w:rsidR="00FB0CC3">
        <w:rPr>
          <w:lang w:val="es-ES_tradnl"/>
        </w:rPr>
        <w:t xml:space="preserve">bien como </w:t>
      </w:r>
      <w:r w:rsidR="00723F68">
        <w:rPr>
          <w:lang w:val="es-ES_tradnl"/>
        </w:rPr>
        <w:t xml:space="preserve">proyectos </w:t>
      </w:r>
      <w:r w:rsidR="00D04DC2" w:rsidRPr="00B25E57">
        <w:rPr>
          <w:lang w:val="es-ES_tradnl"/>
        </w:rPr>
        <w:t>de</w:t>
      </w:r>
      <w:r w:rsidR="003A46A1" w:rsidRPr="00B25E57">
        <w:rPr>
          <w:lang w:val="es-ES_tradnl"/>
        </w:rPr>
        <w:t xml:space="preserve"> </w:t>
      </w:r>
      <w:r w:rsidR="00D04DC2" w:rsidRPr="00B25E57">
        <w:rPr>
          <w:lang w:val="es-ES_tradnl"/>
        </w:rPr>
        <w:t>inversión</w:t>
      </w:r>
      <w:r w:rsidR="003A46A1" w:rsidRPr="00B25E57">
        <w:rPr>
          <w:lang w:val="es-ES_tradnl"/>
        </w:rPr>
        <w:t xml:space="preserve"> </w:t>
      </w:r>
      <w:r w:rsidR="00345E62" w:rsidRPr="00B25E57">
        <w:rPr>
          <w:lang w:val="es-ES_tradnl"/>
        </w:rPr>
        <w:t>(</w:t>
      </w:r>
      <w:r w:rsidR="008071E2">
        <w:rPr>
          <w:lang w:val="es-ES_tradnl"/>
        </w:rPr>
        <w:t xml:space="preserve">con </w:t>
      </w:r>
      <w:r w:rsidR="008071E2" w:rsidRPr="008071E2">
        <w:rPr>
          <w:lang w:val="es-ES_tradnl"/>
        </w:rPr>
        <w:t>gastos de apoyo de un 7%</w:t>
      </w:r>
      <w:r w:rsidR="00345E62" w:rsidRPr="00B25E57">
        <w:rPr>
          <w:lang w:val="es-ES_tradnl"/>
        </w:rPr>
        <w:t>).</w:t>
      </w:r>
    </w:p>
    <w:p w14:paraId="0F570ABD" w14:textId="03622C92" w:rsidR="007B22B4" w:rsidRPr="00B25E57" w:rsidRDefault="004241C5" w:rsidP="00345E62">
      <w:pPr>
        <w:pStyle w:val="Heading1"/>
        <w:rPr>
          <w:lang w:val="es-ES_tradnl"/>
        </w:rPr>
      </w:pPr>
      <w:r w:rsidRPr="00B25E57">
        <w:rPr>
          <w:lang w:val="es-ES_tradnl"/>
        </w:rPr>
        <w:t>La</w:t>
      </w:r>
      <w:r w:rsidR="003A46A1" w:rsidRPr="00B25E57">
        <w:rPr>
          <w:lang w:val="es-ES_tradnl"/>
        </w:rPr>
        <w:t xml:space="preserve"> </w:t>
      </w:r>
      <w:r w:rsidRPr="00B25E57">
        <w:rPr>
          <w:lang w:val="es-ES_tradnl"/>
        </w:rPr>
        <w:t>Secretaría</w:t>
      </w:r>
      <w:r w:rsidR="003A46A1" w:rsidRPr="00B25E57">
        <w:rPr>
          <w:lang w:val="es-ES_tradnl"/>
        </w:rPr>
        <w:t xml:space="preserve"> </w:t>
      </w:r>
      <w:r w:rsidR="005C3C81">
        <w:rPr>
          <w:lang w:val="es-ES_tradnl"/>
        </w:rPr>
        <w:t>considera que</w:t>
      </w:r>
      <w:r w:rsidR="0053586A">
        <w:rPr>
          <w:lang w:val="es-ES_tradnl"/>
        </w:rPr>
        <w:t>,</w:t>
      </w:r>
      <w:r w:rsidR="003A46A1" w:rsidRPr="00B25E57">
        <w:rPr>
          <w:lang w:val="es-ES_tradnl"/>
        </w:rPr>
        <w:t xml:space="preserve"> </w:t>
      </w:r>
      <w:r w:rsidRPr="00B25E57">
        <w:rPr>
          <w:lang w:val="es-ES_tradnl"/>
        </w:rPr>
        <w:t>en</w:t>
      </w:r>
      <w:r w:rsidR="003A46A1" w:rsidRPr="00B25E57">
        <w:rPr>
          <w:lang w:val="es-ES_tradnl"/>
        </w:rPr>
        <w:t xml:space="preserve"> </w:t>
      </w:r>
      <w:r w:rsidR="0003521B">
        <w:rPr>
          <w:lang w:val="es-ES_tradnl"/>
        </w:rPr>
        <w:t xml:space="preserve">proyectos de control de </w:t>
      </w:r>
      <w:r w:rsidR="00564E86">
        <w:rPr>
          <w:lang w:val="es-ES_tradnl"/>
        </w:rPr>
        <w:t>HFC-23</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B7576E">
        <w:rPr>
          <w:lang w:val="es-ES_tradnl"/>
        </w:rPr>
        <w:t xml:space="preserve">se mantiene la </w:t>
      </w:r>
      <w:r w:rsidRPr="00B25E57">
        <w:rPr>
          <w:lang w:val="es-ES_tradnl"/>
        </w:rPr>
        <w:t>producción</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45E62" w:rsidRPr="00B25E57">
        <w:rPr>
          <w:lang w:val="es-ES_tradnl"/>
        </w:rPr>
        <w:t>HCFC</w:t>
      </w:r>
      <w:r w:rsidR="00FB38C2" w:rsidRPr="00B25E57">
        <w:rPr>
          <w:lang w:val="es-ES_tradnl"/>
        </w:rPr>
        <w:t>-</w:t>
      </w:r>
      <w:r w:rsidR="00345E62" w:rsidRPr="00B25E57">
        <w:rPr>
          <w:lang w:val="es-ES_tradnl"/>
        </w:rPr>
        <w:t>2</w:t>
      </w:r>
      <w:r w:rsidR="007F2C70">
        <w:rPr>
          <w:lang w:val="es-ES_tradnl"/>
        </w:rPr>
        <w:t>2</w:t>
      </w:r>
      <w:r w:rsidR="003A46A1" w:rsidRPr="00B25E57">
        <w:rPr>
          <w:lang w:val="es-ES_tradnl"/>
        </w:rPr>
        <w:t xml:space="preserve"> </w:t>
      </w:r>
      <w:r w:rsidR="00FB38C2" w:rsidRPr="00B25E57">
        <w:rPr>
          <w:lang w:val="es-ES_tradnl"/>
        </w:rPr>
        <w:t>y</w:t>
      </w:r>
      <w:r w:rsidR="003A46A1" w:rsidRPr="00B25E57">
        <w:rPr>
          <w:lang w:val="es-ES_tradnl"/>
        </w:rPr>
        <w:t xml:space="preserve"> </w:t>
      </w:r>
      <w:r w:rsidR="00A11F81">
        <w:rPr>
          <w:lang w:val="es-ES_tradnl"/>
        </w:rPr>
        <w:t xml:space="preserve">por ende </w:t>
      </w:r>
      <w:r w:rsidR="007F2C70">
        <w:rPr>
          <w:lang w:val="es-ES_tradnl"/>
        </w:rPr>
        <w:t xml:space="preserve">la </w:t>
      </w:r>
      <w:r w:rsidR="00141CE9">
        <w:rPr>
          <w:lang w:val="es-ES_tradnl"/>
        </w:rPr>
        <w:t>generación</w:t>
      </w:r>
      <w:r w:rsidR="003A46A1" w:rsidRPr="00B25E57">
        <w:rPr>
          <w:lang w:val="es-ES_tradnl"/>
        </w:rPr>
        <w:t xml:space="preserve"> </w:t>
      </w:r>
      <w:r w:rsidR="00B6344F">
        <w:rPr>
          <w:lang w:val="es-ES_tradnl"/>
        </w:rPr>
        <w:t>del subproducto</w:t>
      </w:r>
      <w:r w:rsidR="003A46A1" w:rsidRPr="00B25E57">
        <w:rPr>
          <w:lang w:val="es-ES_tradnl"/>
        </w:rPr>
        <w:t xml:space="preserve"> </w:t>
      </w:r>
      <w:r w:rsidR="00040EBF">
        <w:rPr>
          <w:lang w:val="es-ES_tradnl"/>
        </w:rPr>
        <w:t>a</w:t>
      </w:r>
      <w:r w:rsidR="004454B8">
        <w:rPr>
          <w:lang w:val="es-ES_tradnl"/>
        </w:rPr>
        <w:t xml:space="preserve"> controlar</w:t>
      </w:r>
      <w:r w:rsidR="00345E62" w:rsidRPr="00B25E57">
        <w:rPr>
          <w:lang w:val="es-ES_tradnl"/>
        </w:rPr>
        <w:t>,</w:t>
      </w:r>
      <w:r w:rsidR="003A46A1" w:rsidRPr="00B25E57">
        <w:rPr>
          <w:lang w:val="es-ES_tradnl"/>
        </w:rPr>
        <w:t xml:space="preserve"> </w:t>
      </w:r>
      <w:r w:rsidR="00B35974">
        <w:rPr>
          <w:lang w:val="es-ES_tradnl"/>
        </w:rPr>
        <w:t xml:space="preserve">corresponde </w:t>
      </w:r>
      <w:r w:rsidR="003E64D9">
        <w:rPr>
          <w:lang w:val="es-ES_tradnl"/>
        </w:rPr>
        <w:t xml:space="preserve">mantener </w:t>
      </w:r>
      <w:r w:rsidR="00DA3B7F">
        <w:rPr>
          <w:lang w:val="es-ES_tradnl"/>
        </w:rPr>
        <w:t xml:space="preserve">el </w:t>
      </w:r>
      <w:r w:rsidR="00494F5D">
        <w:rPr>
          <w:lang w:val="es-ES_tradnl"/>
        </w:rPr>
        <w:t xml:space="preserve">apoyo del </w:t>
      </w:r>
      <w:r w:rsidR="00FB38C2" w:rsidRPr="00B25E57">
        <w:rPr>
          <w:lang w:val="es-ES_tradnl"/>
        </w:rPr>
        <w:t>organismo</w:t>
      </w:r>
      <w:r w:rsidR="003A46A1" w:rsidRPr="00B25E57">
        <w:rPr>
          <w:lang w:val="es-ES_tradnl"/>
        </w:rPr>
        <w:t xml:space="preserve"> </w:t>
      </w:r>
      <w:r w:rsidR="00494F5D">
        <w:rPr>
          <w:lang w:val="es-ES_tradnl"/>
        </w:rPr>
        <w:t>correspondiente</w:t>
      </w:r>
      <w:r w:rsidR="00CF5C06">
        <w:rPr>
          <w:lang w:val="es-ES_tradnl"/>
        </w:rPr>
        <w:t xml:space="preserve"> </w:t>
      </w:r>
      <w:r w:rsidR="00E564B9">
        <w:rPr>
          <w:lang w:val="es-ES_tradnl"/>
        </w:rPr>
        <w:t xml:space="preserve">y </w:t>
      </w:r>
      <w:r w:rsidR="009324B2">
        <w:rPr>
          <w:lang w:val="es-ES_tradnl"/>
        </w:rPr>
        <w:t xml:space="preserve">agregar </w:t>
      </w:r>
      <w:r w:rsidR="00343387">
        <w:rPr>
          <w:lang w:val="es-ES_tradnl"/>
        </w:rPr>
        <w:t xml:space="preserve">los </w:t>
      </w:r>
      <w:r w:rsidRPr="00B25E57">
        <w:rPr>
          <w:lang w:val="es-ES_tradnl"/>
        </w:rPr>
        <w:t>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33464F">
        <w:rPr>
          <w:lang w:val="es-ES_tradnl"/>
        </w:rPr>
        <w:t>la verificación independiente</w:t>
      </w:r>
      <w:r w:rsidR="003A46A1" w:rsidRPr="00B25E57">
        <w:rPr>
          <w:lang w:val="es-ES_tradnl"/>
        </w:rPr>
        <w:t xml:space="preserve"> </w:t>
      </w:r>
      <w:r w:rsidR="00E66BC7">
        <w:rPr>
          <w:lang w:val="es-ES_tradnl"/>
        </w:rPr>
        <w:t xml:space="preserve">a </w:t>
      </w:r>
      <w:r w:rsidR="00691404">
        <w:rPr>
          <w:lang w:val="es-ES_tradnl"/>
        </w:rPr>
        <w:t>los gastos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apoyo</w:t>
      </w:r>
      <w:r w:rsidR="00345E62" w:rsidRPr="00B25E57">
        <w:rPr>
          <w:lang w:val="es-ES_tradnl"/>
        </w:rPr>
        <w:t>.</w:t>
      </w:r>
      <w:r w:rsidR="003A46A1" w:rsidRPr="00B25E57">
        <w:rPr>
          <w:lang w:val="es-ES_tradnl"/>
        </w:rPr>
        <w:t xml:space="preserve"> </w:t>
      </w:r>
      <w:r w:rsidRPr="00B25E57">
        <w:rPr>
          <w:lang w:val="es-ES_tradnl"/>
        </w:rPr>
        <w:t>En</w:t>
      </w:r>
      <w:r w:rsidR="003A46A1" w:rsidRPr="00B25E57">
        <w:rPr>
          <w:lang w:val="es-ES_tradnl"/>
        </w:rPr>
        <w:t xml:space="preserve"> </w:t>
      </w:r>
      <w:r w:rsidRPr="00B25E57">
        <w:rPr>
          <w:lang w:val="es-ES_tradnl"/>
        </w:rPr>
        <w:t>consecuencia,</w:t>
      </w:r>
      <w:r w:rsidR="003A46A1" w:rsidRPr="00B25E57">
        <w:rPr>
          <w:lang w:val="es-ES_tradnl"/>
        </w:rPr>
        <w:t xml:space="preserve"> </w:t>
      </w:r>
      <w:r w:rsidR="000646EA" w:rsidRPr="000646EA">
        <w:rPr>
          <w:lang w:val="es-ES_tradnl"/>
        </w:rPr>
        <w:t xml:space="preserve">lo adecuado </w:t>
      </w:r>
      <w:r w:rsidRPr="00B25E57">
        <w:rPr>
          <w:lang w:val="es-ES_tradnl"/>
        </w:rPr>
        <w:t>en</w:t>
      </w:r>
      <w:r w:rsidR="003A46A1" w:rsidRPr="00B25E57">
        <w:rPr>
          <w:lang w:val="es-ES_tradnl"/>
        </w:rPr>
        <w:t xml:space="preserve"> </w:t>
      </w:r>
      <w:r w:rsidR="00823879">
        <w:rPr>
          <w:lang w:val="es-ES_tradnl"/>
        </w:rPr>
        <w:t>tales</w:t>
      </w:r>
      <w:r w:rsidR="003A46A1" w:rsidRPr="00B25E57">
        <w:rPr>
          <w:lang w:val="es-ES_tradnl"/>
        </w:rPr>
        <w:t xml:space="preserve"> </w:t>
      </w:r>
      <w:r w:rsidR="00F33C58" w:rsidRPr="00B25E57">
        <w:rPr>
          <w:lang w:val="es-ES_tradnl"/>
        </w:rPr>
        <w:t>caso</w:t>
      </w:r>
      <w:r w:rsidR="000646EA">
        <w:rPr>
          <w:lang w:val="es-ES_tradnl"/>
        </w:rPr>
        <w:t xml:space="preserve">s </w:t>
      </w:r>
      <w:r w:rsidR="00545181">
        <w:rPr>
          <w:lang w:val="es-ES_tradnl"/>
        </w:rPr>
        <w:t xml:space="preserve">sería </w:t>
      </w:r>
      <w:r w:rsidR="00691404">
        <w:rPr>
          <w:lang w:val="es-ES_tradnl"/>
        </w:rPr>
        <w:t>considerar</w:t>
      </w:r>
      <w:r w:rsidR="003A46A1" w:rsidRPr="00B25E57">
        <w:rPr>
          <w:lang w:val="es-ES_tradnl"/>
        </w:rPr>
        <w:t xml:space="preserve"> </w:t>
      </w:r>
      <w:r w:rsidR="00F942C6" w:rsidRPr="00B25E57">
        <w:rPr>
          <w:lang w:val="es-ES_tradnl"/>
        </w:rPr>
        <w:t>un</w:t>
      </w:r>
      <w:r w:rsidR="003A46A1" w:rsidRPr="00B25E57">
        <w:rPr>
          <w:lang w:val="es-ES_tradnl"/>
        </w:rPr>
        <w:t xml:space="preserve"> </w:t>
      </w:r>
      <w:r w:rsidR="00564E86">
        <w:rPr>
          <w:lang w:val="es-ES_tradnl"/>
        </w:rPr>
        <w:t>proyecto de control del subproducto HFC-23</w:t>
      </w:r>
      <w:r w:rsidR="003A46A1" w:rsidRPr="00B25E57">
        <w:rPr>
          <w:lang w:val="es-ES_tradnl"/>
        </w:rPr>
        <w:t xml:space="preserve"> </w:t>
      </w:r>
      <w:r w:rsidR="006729A7">
        <w:rPr>
          <w:lang w:val="es-ES_tradnl"/>
        </w:rPr>
        <w:t xml:space="preserve">como </w:t>
      </w:r>
      <w:r w:rsidR="00F33C58" w:rsidRPr="00B25E57">
        <w:rPr>
          <w:lang w:val="es-ES_tradnl"/>
        </w:rPr>
        <w:t>proyecto</w:t>
      </w:r>
      <w:r w:rsidR="003A46A1" w:rsidRPr="00B25E57">
        <w:rPr>
          <w:lang w:val="es-ES_tradnl"/>
        </w:rPr>
        <w:t xml:space="preserve"> </w:t>
      </w:r>
      <w:r w:rsidR="00F33C58" w:rsidRPr="00B25E57">
        <w:rPr>
          <w:lang w:val="es-ES_tradnl"/>
        </w:rPr>
        <w:t>de</w:t>
      </w:r>
      <w:r w:rsidR="003A46A1" w:rsidRPr="00B25E57">
        <w:rPr>
          <w:lang w:val="es-ES_tradnl"/>
        </w:rPr>
        <w:t xml:space="preserve"> </w:t>
      </w:r>
      <w:r w:rsidR="00F33C58" w:rsidRPr="00B25E57">
        <w:rPr>
          <w:lang w:val="es-ES_tradnl"/>
        </w:rPr>
        <w:t>inversión</w:t>
      </w:r>
      <w:r w:rsidR="003A46A1" w:rsidRPr="00B25E57">
        <w:rPr>
          <w:lang w:val="es-ES_tradnl"/>
        </w:rPr>
        <w:t xml:space="preserve"> </w:t>
      </w:r>
      <w:r w:rsidR="00130568">
        <w:rPr>
          <w:lang w:val="es-ES_tradnl"/>
        </w:rPr>
        <w:t xml:space="preserve">con derecho a </w:t>
      </w:r>
      <w:r w:rsidR="009F08B7">
        <w:rPr>
          <w:lang w:val="es-ES_tradnl"/>
        </w:rPr>
        <w:t xml:space="preserve">recibir </w:t>
      </w:r>
      <w:r w:rsidR="009F08B7" w:rsidRPr="009F08B7">
        <w:rPr>
          <w:lang w:val="es-ES_tradnl"/>
        </w:rPr>
        <w:t xml:space="preserve">gastos de apoyo </w:t>
      </w:r>
      <w:r w:rsidR="009F08B7">
        <w:rPr>
          <w:lang w:val="es-ES_tradnl"/>
        </w:rPr>
        <w:t xml:space="preserve">de un </w:t>
      </w:r>
      <w:r w:rsidR="00345E62" w:rsidRPr="00B25E57">
        <w:rPr>
          <w:lang w:val="es-ES_tradnl"/>
        </w:rPr>
        <w:t>7</w:t>
      </w:r>
      <w:r w:rsidR="00FB38C2" w:rsidRPr="00B25E57">
        <w:rPr>
          <w:lang w:val="es-ES_tradnl"/>
        </w:rPr>
        <w:t>%</w:t>
      </w:r>
      <w:r w:rsidR="00345E62" w:rsidRPr="00B25E57">
        <w:rPr>
          <w:lang w:val="es-ES_tradnl"/>
        </w:rPr>
        <w:t>.</w:t>
      </w:r>
    </w:p>
    <w:p w14:paraId="0A3DEB28" w14:textId="40E72121" w:rsidR="00345E62" w:rsidRPr="00B25E57" w:rsidRDefault="00310C4C" w:rsidP="00345E62">
      <w:pPr>
        <w:pStyle w:val="Heading1"/>
        <w:rPr>
          <w:lang w:val="es-ES_tradnl"/>
        </w:rPr>
      </w:pPr>
      <w:r>
        <w:rPr>
          <w:lang w:val="es-ES_tradnl"/>
        </w:rPr>
        <w:t>A diferencia de lo anterior</w:t>
      </w:r>
      <w:r w:rsidR="00345E62" w:rsidRPr="00B25E57">
        <w:rPr>
          <w:lang w:val="es-ES_tradnl"/>
        </w:rPr>
        <w:t>,</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4241C5" w:rsidRPr="00B25E57">
        <w:rPr>
          <w:lang w:val="es-ES_tradnl"/>
        </w:rPr>
        <w:t>proyectos</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B01566">
        <w:rPr>
          <w:lang w:val="es-ES_tradnl"/>
        </w:rPr>
        <w:t xml:space="preserve">la </w:t>
      </w:r>
      <w:r w:rsidR="00B01566" w:rsidRPr="00B01566">
        <w:rPr>
          <w:lang w:val="es-ES_tradnl"/>
        </w:rPr>
        <w:t>modalidad utilizada para cumplir con las obligaciones de control del subproducto HFC-23</w:t>
      </w:r>
      <w:r w:rsidR="00B01566">
        <w:rPr>
          <w:lang w:val="es-ES_tradnl"/>
        </w:rPr>
        <w:t xml:space="preserve"> </w:t>
      </w:r>
      <w:r w:rsidR="004C7658">
        <w:rPr>
          <w:lang w:val="es-ES_tradnl"/>
        </w:rPr>
        <w:t xml:space="preserve">es el </w:t>
      </w:r>
      <w:r w:rsidR="004512EA" w:rsidRPr="00B25E57">
        <w:rPr>
          <w:lang w:val="es-ES_tradnl"/>
        </w:rPr>
        <w:t>cierre</w:t>
      </w:r>
      <w:r w:rsidR="00DA3F63">
        <w:rPr>
          <w:lang w:val="es-ES_tradnl"/>
        </w:rPr>
        <w:t xml:space="preserve"> de la planta</w:t>
      </w:r>
      <w:r w:rsidR="003A46A1" w:rsidRPr="00B25E57">
        <w:rPr>
          <w:lang w:val="es-ES_tradnl"/>
        </w:rPr>
        <w:t xml:space="preserve"> </w:t>
      </w:r>
      <w:r w:rsidR="00C7138A">
        <w:rPr>
          <w:lang w:val="es-ES_tradnl"/>
        </w:rPr>
        <w:t xml:space="preserve">productora </w:t>
      </w:r>
      <w:r w:rsidR="003A46A1" w:rsidRPr="00B25E57">
        <w:rPr>
          <w:lang w:val="es-ES_tradnl"/>
        </w:rPr>
        <w:t>de HCFC-22</w:t>
      </w:r>
      <w:r w:rsidR="00345E62" w:rsidRPr="00B25E57">
        <w:rPr>
          <w:lang w:val="es-ES_tradnl"/>
        </w:rPr>
        <w:t>,</w:t>
      </w:r>
      <w:r w:rsidR="003A46A1" w:rsidRPr="00B25E57">
        <w:rPr>
          <w:lang w:val="es-ES_tradnl"/>
        </w:rPr>
        <w:t xml:space="preserve"> </w:t>
      </w:r>
      <w:r w:rsidR="00C919B2">
        <w:rPr>
          <w:lang w:val="es-ES_tradnl"/>
        </w:rPr>
        <w:t>correspondería</w:t>
      </w:r>
      <w:r w:rsidR="00D76500">
        <w:rPr>
          <w:lang w:val="es-ES_tradnl"/>
        </w:rPr>
        <w:t xml:space="preserve">n </w:t>
      </w:r>
      <w:r w:rsidR="00691404">
        <w:rPr>
          <w:lang w:val="es-ES_tradnl"/>
        </w:rPr>
        <w:t>gastos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apoyo</w:t>
      </w:r>
      <w:r w:rsidR="003A46A1" w:rsidRPr="00B25E57">
        <w:rPr>
          <w:lang w:val="es-ES_tradnl"/>
        </w:rPr>
        <w:t xml:space="preserve"> </w:t>
      </w:r>
      <w:r w:rsidR="007B22B4" w:rsidRPr="00B25E57">
        <w:rPr>
          <w:lang w:val="es-ES_tradnl"/>
        </w:rPr>
        <w:t>para</w:t>
      </w:r>
      <w:r w:rsidR="003A46A1" w:rsidRPr="00B25E57">
        <w:rPr>
          <w:lang w:val="es-ES_tradnl"/>
        </w:rPr>
        <w:t xml:space="preserve"> </w:t>
      </w:r>
      <w:r w:rsidR="004512EA" w:rsidRPr="00B25E57">
        <w:rPr>
          <w:lang w:val="es-ES_tradnl"/>
        </w:rPr>
        <w:t>el</w:t>
      </w:r>
      <w:r w:rsidR="003A46A1" w:rsidRPr="00B25E57">
        <w:rPr>
          <w:lang w:val="es-ES_tradnl"/>
        </w:rPr>
        <w:t xml:space="preserve"> </w:t>
      </w:r>
      <w:r w:rsidR="004512EA" w:rsidRPr="00B25E57">
        <w:rPr>
          <w:lang w:val="es-ES_tradnl"/>
        </w:rPr>
        <w:t>sector</w:t>
      </w:r>
      <w:r w:rsidR="003A46A1" w:rsidRPr="00B25E57">
        <w:rPr>
          <w:lang w:val="es-ES_tradnl"/>
        </w:rPr>
        <w:t xml:space="preserve"> </w:t>
      </w:r>
      <w:r w:rsidR="00862A82" w:rsidRPr="00B25E57">
        <w:rPr>
          <w:lang w:val="es-ES_tradnl"/>
        </w:rPr>
        <w:t>producción.</w:t>
      </w:r>
      <w:r w:rsidR="003A46A1" w:rsidRPr="00B25E57">
        <w:rPr>
          <w:lang w:val="es-ES_tradnl"/>
        </w:rPr>
        <w:t xml:space="preserve"> </w:t>
      </w:r>
      <w:r w:rsidR="00862A82" w:rsidRPr="00B25E57">
        <w:rPr>
          <w:lang w:val="es-ES_tradnl"/>
        </w:rPr>
        <w:t>La</w:t>
      </w:r>
      <w:r w:rsidR="003A46A1" w:rsidRPr="00B25E57">
        <w:rPr>
          <w:lang w:val="es-ES_tradnl"/>
        </w:rPr>
        <w:t xml:space="preserve"> </w:t>
      </w:r>
      <w:r w:rsidR="00862A82" w:rsidRPr="00B25E57">
        <w:rPr>
          <w:lang w:val="es-ES_tradnl"/>
        </w:rPr>
        <w:t>ONUDI</w:t>
      </w:r>
      <w:r w:rsidR="003A46A1" w:rsidRPr="00B25E57">
        <w:rPr>
          <w:lang w:val="es-ES_tradnl"/>
        </w:rPr>
        <w:t xml:space="preserve"> </w:t>
      </w:r>
      <w:r w:rsidR="004D7537">
        <w:rPr>
          <w:lang w:val="es-ES_tradnl"/>
        </w:rPr>
        <w:t xml:space="preserve">enfatizó que </w:t>
      </w:r>
      <w:r w:rsidR="00C17757">
        <w:rPr>
          <w:lang w:val="es-ES_tradnl"/>
        </w:rPr>
        <w:t xml:space="preserve">no </w:t>
      </w:r>
      <w:r w:rsidR="00E814CF">
        <w:rPr>
          <w:lang w:val="es-ES_tradnl"/>
        </w:rPr>
        <w:t>actúa</w:t>
      </w:r>
      <w:r w:rsidR="00C17757">
        <w:rPr>
          <w:lang w:val="es-ES_tradnl"/>
        </w:rPr>
        <w:t xml:space="preserve"> </w:t>
      </w:r>
      <w:r w:rsidR="00B3122A">
        <w:rPr>
          <w:lang w:val="es-ES_tradnl"/>
        </w:rPr>
        <w:t xml:space="preserve">de forma </w:t>
      </w:r>
      <w:r w:rsidR="00C17757">
        <w:rPr>
          <w:lang w:val="es-ES_tradnl"/>
        </w:rPr>
        <w:t xml:space="preserve">selectiva a la hora de </w:t>
      </w:r>
      <w:r w:rsidR="00401B81">
        <w:rPr>
          <w:lang w:val="es-ES_tradnl"/>
        </w:rPr>
        <w:t xml:space="preserve">aceptar </w:t>
      </w:r>
      <w:r w:rsidR="004241C5" w:rsidRPr="00B25E57">
        <w:rPr>
          <w:lang w:val="es-ES_tradnl"/>
        </w:rPr>
        <w:t>proyectos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D866CF">
        <w:rPr>
          <w:lang w:val="es-ES_tradnl"/>
        </w:rPr>
        <w:t xml:space="preserve">que </w:t>
      </w:r>
      <w:r w:rsidR="00F6372D">
        <w:rPr>
          <w:lang w:val="es-ES_tradnl"/>
        </w:rPr>
        <w:t xml:space="preserve">se esfuerza por </w:t>
      </w:r>
      <w:r w:rsidR="008F21F8">
        <w:rPr>
          <w:lang w:val="es-ES_tradnl"/>
        </w:rPr>
        <w:t xml:space="preserve">tratar a todos los </w:t>
      </w:r>
      <w:r w:rsidR="007B22B4" w:rsidRPr="00B25E57">
        <w:rPr>
          <w:lang w:val="es-ES_tradnl"/>
        </w:rPr>
        <w:t>países</w:t>
      </w:r>
      <w:r w:rsidR="003A46A1" w:rsidRPr="00B25E57">
        <w:rPr>
          <w:lang w:val="es-ES_tradnl"/>
        </w:rPr>
        <w:t xml:space="preserve"> </w:t>
      </w:r>
      <w:r w:rsidR="008F21F8">
        <w:rPr>
          <w:lang w:val="es-ES_tradnl"/>
        </w:rPr>
        <w:t>por igual</w:t>
      </w:r>
      <w:r w:rsidR="00345E62" w:rsidRPr="00B25E57">
        <w:rPr>
          <w:lang w:val="es-ES_tradnl"/>
        </w:rPr>
        <w:t>,</w:t>
      </w:r>
      <w:r w:rsidR="003A46A1" w:rsidRPr="00B25E57">
        <w:rPr>
          <w:lang w:val="es-ES_tradnl"/>
        </w:rPr>
        <w:t xml:space="preserve"> </w:t>
      </w:r>
      <w:r w:rsidR="00D84647">
        <w:rPr>
          <w:lang w:val="es-ES_tradnl"/>
        </w:rPr>
        <w:t xml:space="preserve">más allá </w:t>
      </w:r>
      <w:r w:rsidR="007B22B4" w:rsidRPr="00B25E57">
        <w:rPr>
          <w:lang w:val="es-ES_tradnl"/>
        </w:rPr>
        <w:t>del</w:t>
      </w:r>
      <w:r w:rsidR="003A46A1" w:rsidRPr="00B25E57">
        <w:rPr>
          <w:lang w:val="es-ES_tradnl"/>
        </w:rPr>
        <w:t xml:space="preserve"> </w:t>
      </w:r>
      <w:r w:rsidR="004241C5" w:rsidRPr="00B25E57">
        <w:rPr>
          <w:lang w:val="es-ES_tradnl"/>
        </w:rPr>
        <w:t>nivel</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4241C5" w:rsidRPr="00B25E57">
        <w:rPr>
          <w:lang w:val="es-ES_tradnl"/>
        </w:rPr>
        <w:t>consumo</w:t>
      </w:r>
      <w:r w:rsidR="00A92297">
        <w:rPr>
          <w:lang w:val="es-ES_tradnl"/>
        </w:rPr>
        <w:t xml:space="preserve"> o </w:t>
      </w:r>
      <w:r w:rsidR="004241C5" w:rsidRPr="00B25E57">
        <w:rPr>
          <w:lang w:val="es-ES_tradnl"/>
        </w:rPr>
        <w:t>producción</w:t>
      </w:r>
      <w:r w:rsidR="003A46A1" w:rsidRPr="00B25E57">
        <w:rPr>
          <w:lang w:val="es-ES_tradnl"/>
        </w:rPr>
        <w:t xml:space="preserve"> </w:t>
      </w:r>
      <w:r w:rsidR="0013143E">
        <w:rPr>
          <w:lang w:val="es-ES_tradnl"/>
        </w:rPr>
        <w:t>d</w:t>
      </w:r>
      <w:r w:rsidR="007B22B4" w:rsidRPr="00B25E57">
        <w:rPr>
          <w:lang w:val="es-ES_tradnl"/>
        </w:rPr>
        <w:t>el</w:t>
      </w:r>
      <w:r w:rsidR="003A46A1" w:rsidRPr="00B25E57">
        <w:rPr>
          <w:lang w:val="es-ES_tradnl"/>
        </w:rPr>
        <w:t xml:space="preserve"> </w:t>
      </w:r>
      <w:r w:rsidR="007B22B4" w:rsidRPr="00B25E57">
        <w:rPr>
          <w:lang w:val="es-ES_tradnl"/>
        </w:rPr>
        <w:t>país</w:t>
      </w:r>
      <w:r w:rsidR="003A46A1" w:rsidRPr="00B25E57">
        <w:rPr>
          <w:lang w:val="es-ES_tradnl"/>
        </w:rPr>
        <w:t xml:space="preserve"> </w:t>
      </w:r>
      <w:r w:rsidR="00FB38C2" w:rsidRPr="00B25E57">
        <w:rPr>
          <w:lang w:val="es-ES_tradnl"/>
        </w:rPr>
        <w:t>y</w:t>
      </w:r>
      <w:r w:rsidR="003A46A1" w:rsidRPr="00B25E57">
        <w:rPr>
          <w:lang w:val="es-ES_tradnl"/>
        </w:rPr>
        <w:t xml:space="preserve"> </w:t>
      </w:r>
      <w:r w:rsidR="0013143E">
        <w:rPr>
          <w:lang w:val="es-ES_tradnl"/>
        </w:rPr>
        <w:t>d</w:t>
      </w:r>
      <w:r w:rsidR="004512EA" w:rsidRPr="00B25E57">
        <w:rPr>
          <w:lang w:val="es-ES_tradnl"/>
        </w:rPr>
        <w:t>el</w:t>
      </w:r>
      <w:r w:rsidR="003A46A1" w:rsidRPr="00B25E57">
        <w:rPr>
          <w:lang w:val="es-ES_tradnl"/>
        </w:rPr>
        <w:t xml:space="preserve"> </w:t>
      </w:r>
      <w:r w:rsidR="0013143E">
        <w:rPr>
          <w:lang w:val="es-ES_tradnl"/>
        </w:rPr>
        <w:t xml:space="preserve">valor del </w:t>
      </w:r>
      <w:r w:rsidR="004512EA" w:rsidRPr="00B25E57">
        <w:rPr>
          <w:lang w:val="es-ES_tradnl"/>
        </w:rPr>
        <w:t>proyecto</w:t>
      </w:r>
      <w:r w:rsidR="00345E62" w:rsidRPr="00B25E57">
        <w:rPr>
          <w:lang w:val="es-ES_tradnl"/>
        </w:rPr>
        <w:t>;</w:t>
      </w:r>
      <w:r w:rsidR="003A46A1" w:rsidRPr="00B25E57">
        <w:rPr>
          <w:lang w:val="es-ES_tradnl"/>
        </w:rPr>
        <w:t xml:space="preserve"> </w:t>
      </w:r>
      <w:r w:rsidR="004D661F">
        <w:rPr>
          <w:lang w:val="es-ES_tradnl"/>
        </w:rPr>
        <w:t xml:space="preserve">que </w:t>
      </w:r>
      <w:r w:rsidR="008750D1">
        <w:rPr>
          <w:lang w:val="es-ES_tradnl"/>
        </w:rPr>
        <w:t xml:space="preserve">ejecuta </w:t>
      </w:r>
      <w:r w:rsidR="003F6E48">
        <w:rPr>
          <w:lang w:val="es-ES_tradnl"/>
        </w:rPr>
        <w:t xml:space="preserve">distintos </w:t>
      </w:r>
      <w:r w:rsidR="004241C5" w:rsidRPr="00B25E57">
        <w:rPr>
          <w:lang w:val="es-ES_tradnl"/>
        </w:rPr>
        <w:t>proyectos</w:t>
      </w:r>
      <w:r w:rsidR="003A46A1" w:rsidRPr="00B25E57">
        <w:rPr>
          <w:lang w:val="es-ES_tradnl"/>
        </w:rPr>
        <w:t xml:space="preserve"> </w:t>
      </w:r>
      <w:r w:rsidR="004241C5" w:rsidRPr="00B25E57">
        <w:rPr>
          <w:lang w:val="es-ES_tradnl"/>
        </w:rPr>
        <w:t>en</w:t>
      </w:r>
      <w:r w:rsidR="003A46A1" w:rsidRPr="00B25E57">
        <w:rPr>
          <w:lang w:val="es-ES_tradnl"/>
        </w:rPr>
        <w:t xml:space="preserve"> </w:t>
      </w:r>
      <w:r w:rsidR="007B22B4" w:rsidRPr="00B25E57">
        <w:rPr>
          <w:lang w:val="es-ES_tradnl"/>
        </w:rPr>
        <w:t>países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bajo</w:t>
      </w:r>
      <w:r w:rsidR="003A46A1" w:rsidRPr="00B25E57">
        <w:rPr>
          <w:lang w:val="es-ES_tradnl"/>
        </w:rPr>
        <w:t xml:space="preserve"> </w:t>
      </w:r>
      <w:r w:rsidR="007B22B4" w:rsidRPr="00B25E57">
        <w:rPr>
          <w:lang w:val="es-ES_tradnl"/>
        </w:rPr>
        <w:t>consumo</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7C2617">
        <w:rPr>
          <w:lang w:val="es-ES_tradnl"/>
        </w:rPr>
        <w:t xml:space="preserve">los </w:t>
      </w:r>
      <w:r w:rsidR="00FB38C2" w:rsidRPr="00B25E57">
        <w:rPr>
          <w:lang w:val="es-ES_tradnl"/>
        </w:rPr>
        <w:t>gastos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apoyo</w:t>
      </w:r>
      <w:r w:rsidR="003A46A1" w:rsidRPr="00B25E57">
        <w:rPr>
          <w:lang w:val="es-ES_tradnl"/>
        </w:rPr>
        <w:t xml:space="preserve"> </w:t>
      </w:r>
      <w:r w:rsidR="0015730A">
        <w:rPr>
          <w:lang w:val="es-ES_tradnl"/>
        </w:rPr>
        <w:t xml:space="preserve">no alcanzan a cubrir </w:t>
      </w:r>
      <w:r w:rsidR="002A6716">
        <w:rPr>
          <w:lang w:val="es-ES_tradnl"/>
        </w:rPr>
        <w:t xml:space="preserve">sus </w:t>
      </w:r>
      <w:r w:rsidR="00F76AD3">
        <w:rPr>
          <w:lang w:val="es-ES_tradnl"/>
        </w:rPr>
        <w:t>costos</w:t>
      </w:r>
      <w:r w:rsidR="00952784">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F33C58" w:rsidRPr="00B25E57">
        <w:rPr>
          <w:lang w:val="es-ES_tradnl"/>
        </w:rPr>
        <w:t>que</w:t>
      </w:r>
      <w:r w:rsidR="003A46A1" w:rsidRPr="00B25E57">
        <w:rPr>
          <w:lang w:val="es-ES_tradnl"/>
        </w:rPr>
        <w:t xml:space="preserve"> </w:t>
      </w:r>
      <w:r w:rsidR="005C3C81">
        <w:rPr>
          <w:lang w:val="es-ES_tradnl"/>
        </w:rPr>
        <w:t>considera que</w:t>
      </w:r>
      <w:r w:rsidR="003A46A1" w:rsidRPr="00B25E57">
        <w:rPr>
          <w:lang w:val="es-ES_tradnl"/>
        </w:rPr>
        <w:t xml:space="preserve"> </w:t>
      </w:r>
      <w:r w:rsidR="009D18DE" w:rsidRPr="009D18DE">
        <w:rPr>
          <w:lang w:val="es-ES_tradnl"/>
        </w:rPr>
        <w:t xml:space="preserve">a la hora de determinar los gastos de apoyo </w:t>
      </w:r>
      <w:r w:rsidR="000E69FC">
        <w:rPr>
          <w:lang w:val="es-ES_tradnl"/>
        </w:rPr>
        <w:t xml:space="preserve">la </w:t>
      </w:r>
      <w:r w:rsidR="00575D08">
        <w:rPr>
          <w:lang w:val="es-ES_tradnl"/>
        </w:rPr>
        <w:t xml:space="preserve">cartera </w:t>
      </w:r>
      <w:r w:rsidR="00651C1C">
        <w:rPr>
          <w:lang w:val="es-ES_tradnl"/>
        </w:rPr>
        <w:t xml:space="preserve">total </w:t>
      </w:r>
      <w:r w:rsidR="00E473C2">
        <w:rPr>
          <w:lang w:val="es-ES_tradnl"/>
        </w:rPr>
        <w:t xml:space="preserve">tiene mayor relevancia </w:t>
      </w:r>
      <w:r w:rsidR="00D07F13">
        <w:rPr>
          <w:lang w:val="es-ES_tradnl"/>
        </w:rPr>
        <w:t>que cada proyecto individual</w:t>
      </w:r>
      <w:r w:rsidR="00345E62" w:rsidRPr="00B25E57">
        <w:rPr>
          <w:lang w:val="es-ES_tradnl"/>
        </w:rPr>
        <w:t>.</w:t>
      </w:r>
      <w:r w:rsidR="003A46A1" w:rsidRPr="00B25E57">
        <w:rPr>
          <w:lang w:val="es-ES_tradnl"/>
        </w:rPr>
        <w:t xml:space="preserve"> </w:t>
      </w:r>
      <w:r w:rsidR="00AC4016">
        <w:rPr>
          <w:lang w:val="es-ES_tradnl"/>
        </w:rPr>
        <w:t>Asimismo</w:t>
      </w:r>
      <w:r w:rsidR="00345E62"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D70B01" w:rsidRPr="00D70B01">
        <w:rPr>
          <w:lang w:val="es-ES_tradnl"/>
        </w:rPr>
        <w:t xml:space="preserve">enfatizó </w:t>
      </w:r>
      <w:r w:rsidR="005B3147">
        <w:rPr>
          <w:lang w:val="es-ES_tradnl"/>
        </w:rPr>
        <w:t xml:space="preserve">que los </w:t>
      </w:r>
      <w:r w:rsidR="004241C5" w:rsidRPr="00B25E57">
        <w:rPr>
          <w:lang w:val="es-ES_tradnl"/>
        </w:rPr>
        <w:t>proyectos</w:t>
      </w:r>
      <w:r w:rsidR="003A46A1" w:rsidRPr="00B25E57">
        <w:rPr>
          <w:lang w:val="es-ES_tradnl"/>
        </w:rPr>
        <w:t xml:space="preserve"> </w:t>
      </w:r>
      <w:r w:rsidR="005B3147">
        <w:rPr>
          <w:lang w:val="es-ES_tradnl"/>
        </w:rPr>
        <w:t xml:space="preserve">del </w:t>
      </w:r>
      <w:r w:rsidR="004512EA" w:rsidRPr="00B25E57">
        <w:rPr>
          <w:lang w:val="es-ES_tradnl"/>
        </w:rPr>
        <w:t>sector</w:t>
      </w:r>
      <w:r w:rsidR="003A46A1" w:rsidRPr="00B25E57">
        <w:rPr>
          <w:lang w:val="es-ES_tradnl"/>
        </w:rPr>
        <w:t xml:space="preserve"> </w:t>
      </w:r>
      <w:r w:rsidR="00862A82" w:rsidRPr="00B25E57">
        <w:rPr>
          <w:lang w:val="es-ES_tradnl"/>
        </w:rPr>
        <w:t>producción</w:t>
      </w:r>
      <w:r w:rsidR="003A46A1" w:rsidRPr="00B25E57">
        <w:rPr>
          <w:lang w:val="es-ES_tradnl"/>
        </w:rPr>
        <w:t xml:space="preserve"> </w:t>
      </w:r>
      <w:r w:rsidR="00C91232">
        <w:rPr>
          <w:lang w:val="es-ES_tradnl"/>
        </w:rPr>
        <w:t xml:space="preserve">siempre </w:t>
      </w:r>
      <w:r w:rsidR="00EF16A6">
        <w:rPr>
          <w:lang w:val="es-ES_tradnl"/>
        </w:rPr>
        <w:t xml:space="preserve">dan cuenta del </w:t>
      </w:r>
      <w:r w:rsidR="008B024B">
        <w:rPr>
          <w:lang w:val="es-ES_tradnl"/>
        </w:rPr>
        <w:t>lucro cesante</w:t>
      </w:r>
      <w:r w:rsidR="00345E62" w:rsidRPr="00B25E57">
        <w:rPr>
          <w:lang w:val="es-ES_tradnl"/>
        </w:rPr>
        <w:t>,</w:t>
      </w:r>
      <w:r w:rsidR="003A46A1" w:rsidRPr="00B25E57">
        <w:rPr>
          <w:lang w:val="es-ES_tradnl"/>
        </w:rPr>
        <w:t xml:space="preserve"> </w:t>
      </w:r>
      <w:r w:rsidR="00D274F6">
        <w:rPr>
          <w:lang w:val="es-ES_tradnl"/>
        </w:rPr>
        <w:t xml:space="preserve">y que </w:t>
      </w:r>
      <w:r w:rsidR="004241C5" w:rsidRPr="00B25E57">
        <w:rPr>
          <w:lang w:val="es-ES_tradnl"/>
        </w:rPr>
        <w:t>en</w:t>
      </w:r>
      <w:r w:rsidR="003A46A1" w:rsidRPr="00B25E57">
        <w:rPr>
          <w:lang w:val="es-ES_tradnl"/>
        </w:rPr>
        <w:t xml:space="preserve"> </w:t>
      </w:r>
      <w:r w:rsidR="00D274F6">
        <w:rPr>
          <w:lang w:val="es-ES_tradnl"/>
        </w:rPr>
        <w:t xml:space="preserve">tales </w:t>
      </w:r>
      <w:r w:rsidR="00F33C58" w:rsidRPr="00B25E57">
        <w:rPr>
          <w:lang w:val="es-ES_tradnl"/>
        </w:rPr>
        <w:t>caso</w:t>
      </w:r>
      <w:r w:rsidR="00F83674">
        <w:rPr>
          <w:lang w:val="es-ES_tradnl"/>
        </w:rPr>
        <w:t>s</w:t>
      </w:r>
      <w:r w:rsidR="003A46A1" w:rsidRPr="00B25E57">
        <w:rPr>
          <w:lang w:val="es-ES_tradnl"/>
        </w:rPr>
        <w:t xml:space="preserve"> </w:t>
      </w:r>
      <w:r w:rsidR="00F83674">
        <w:rPr>
          <w:lang w:val="es-ES_tradnl"/>
        </w:rPr>
        <w:t xml:space="preserve">era comprensible que </w:t>
      </w:r>
      <w:r w:rsidR="00076AF1">
        <w:rPr>
          <w:lang w:val="es-ES_tradnl"/>
        </w:rPr>
        <w:t xml:space="preserve">los </w:t>
      </w:r>
      <w:r w:rsidR="00FB38C2" w:rsidRPr="00B25E57">
        <w:rPr>
          <w:lang w:val="es-ES_tradnl"/>
        </w:rPr>
        <w:t>gasto</w:t>
      </w:r>
      <w:r w:rsidR="00076AF1">
        <w:rPr>
          <w:lang w:val="es-ES_tradnl"/>
        </w:rPr>
        <w:t>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apoyo</w:t>
      </w:r>
      <w:r w:rsidR="00076AF1">
        <w:rPr>
          <w:lang w:val="es-ES_tradnl"/>
        </w:rPr>
        <w:t xml:space="preserve"> fuesen </w:t>
      </w:r>
      <w:r w:rsidR="00076AF1" w:rsidRPr="00076AF1">
        <w:rPr>
          <w:lang w:val="es-ES_tradnl"/>
        </w:rPr>
        <w:t>menores</w:t>
      </w:r>
      <w:r w:rsidR="00345E62" w:rsidRPr="00B25E57">
        <w:rPr>
          <w:lang w:val="es-ES_tradnl"/>
        </w:rPr>
        <w:t>.</w:t>
      </w:r>
      <w:r w:rsidR="003A46A1" w:rsidRPr="00B25E57">
        <w:rPr>
          <w:lang w:val="es-ES_tradnl"/>
        </w:rPr>
        <w:t xml:space="preserve"> </w:t>
      </w:r>
      <w:r w:rsidR="00874642">
        <w:rPr>
          <w:lang w:val="es-ES_tradnl"/>
        </w:rPr>
        <w:t xml:space="preserve">Para </w:t>
      </w:r>
      <w:r w:rsidR="00E02E17">
        <w:rPr>
          <w:lang w:val="es-ES_tradnl"/>
        </w:rPr>
        <w:t>planta</w:t>
      </w:r>
      <w:r w:rsidR="00874642">
        <w:rPr>
          <w:lang w:val="es-ES_tradnl"/>
        </w:rPr>
        <w:t>s</w:t>
      </w:r>
      <w:r w:rsidR="00E02E17">
        <w:rPr>
          <w:lang w:val="es-ES_tradnl"/>
        </w:rPr>
        <w:t xml:space="preserve"> </w:t>
      </w:r>
      <w:r w:rsidR="00874642">
        <w:rPr>
          <w:lang w:val="es-ES_tradnl"/>
        </w:rPr>
        <w:t xml:space="preserve">de </w:t>
      </w:r>
      <w:r w:rsidR="00874642" w:rsidRPr="00874642">
        <w:rPr>
          <w:lang w:val="es-ES_tradnl"/>
        </w:rPr>
        <w:t xml:space="preserve">producción </w:t>
      </w:r>
      <w:r w:rsidR="00E02E17">
        <w:rPr>
          <w:lang w:val="es-ES_tradnl"/>
        </w:rPr>
        <w:t>dual</w:t>
      </w:r>
      <w:r w:rsidR="003A46A1" w:rsidRPr="00B25E57">
        <w:rPr>
          <w:lang w:val="es-ES_tradnl"/>
        </w:rPr>
        <w:t xml:space="preserve"> </w:t>
      </w:r>
      <w:r w:rsidR="004057BA" w:rsidRPr="00B25E57">
        <w:rPr>
          <w:lang w:val="es-ES_tradnl"/>
        </w:rPr>
        <w:t>donde</w:t>
      </w:r>
      <w:r w:rsidR="003A46A1" w:rsidRPr="00B25E57">
        <w:rPr>
          <w:lang w:val="es-ES_tradnl"/>
        </w:rPr>
        <w:t xml:space="preserve"> </w:t>
      </w:r>
      <w:r w:rsidR="003715BC" w:rsidRPr="003715BC">
        <w:rPr>
          <w:lang w:val="es-ES_tradnl"/>
        </w:rPr>
        <w:t xml:space="preserve">aún </w:t>
      </w:r>
      <w:r w:rsidR="006915FD">
        <w:rPr>
          <w:lang w:val="es-ES_tradnl"/>
        </w:rPr>
        <w:t xml:space="preserve">no está </w:t>
      </w:r>
      <w:r w:rsidR="00D435AB">
        <w:rPr>
          <w:lang w:val="es-ES_tradnl"/>
        </w:rPr>
        <w:t xml:space="preserve">claro </w:t>
      </w:r>
      <w:r w:rsidR="00282F2C">
        <w:rPr>
          <w:lang w:val="es-ES_tradnl"/>
        </w:rPr>
        <w:t xml:space="preserve">si tendrán derecho </w:t>
      </w:r>
      <w:r w:rsidR="00143BFE" w:rsidRPr="00143BFE">
        <w:rPr>
          <w:lang w:val="es-ES_tradnl"/>
        </w:rPr>
        <w:t>a lucro cesante</w:t>
      </w:r>
      <w:r w:rsidR="00345E62" w:rsidRPr="00B25E57">
        <w:rPr>
          <w:lang w:val="es-ES_tradnl"/>
        </w:rPr>
        <w:t>,</w:t>
      </w:r>
      <w:r w:rsidR="003A46A1" w:rsidRPr="00B25E57">
        <w:rPr>
          <w:lang w:val="es-ES_tradnl"/>
        </w:rPr>
        <w:t xml:space="preserve"> </w:t>
      </w:r>
      <w:r w:rsidR="00FB38C2" w:rsidRPr="00B25E57">
        <w:rPr>
          <w:lang w:val="es-ES_tradnl"/>
        </w:rPr>
        <w:t>la</w:t>
      </w:r>
      <w:r w:rsidR="003A46A1" w:rsidRPr="00B25E57">
        <w:rPr>
          <w:lang w:val="es-ES_tradnl"/>
        </w:rPr>
        <w:t xml:space="preserve"> </w:t>
      </w:r>
      <w:r w:rsidR="00FB38C2" w:rsidRPr="00B25E57">
        <w:rPr>
          <w:lang w:val="es-ES_tradnl"/>
        </w:rPr>
        <w:t>ONUDI</w:t>
      </w:r>
      <w:r w:rsidR="003A46A1" w:rsidRPr="00B25E57">
        <w:rPr>
          <w:lang w:val="es-ES_tradnl"/>
        </w:rPr>
        <w:t xml:space="preserve"> </w:t>
      </w:r>
      <w:r w:rsidR="005C3C81">
        <w:rPr>
          <w:lang w:val="es-ES_tradnl"/>
        </w:rPr>
        <w:t>considera que</w:t>
      </w:r>
      <w:r w:rsidR="003A46A1" w:rsidRPr="00B25E57">
        <w:rPr>
          <w:lang w:val="es-ES_tradnl"/>
        </w:rPr>
        <w:t xml:space="preserve"> </w:t>
      </w:r>
      <w:r w:rsidR="00365A45">
        <w:rPr>
          <w:lang w:val="es-ES_tradnl"/>
        </w:rPr>
        <w:t xml:space="preserve">un </w:t>
      </w:r>
      <w:r w:rsidR="00345E62" w:rsidRPr="00B25E57">
        <w:rPr>
          <w:lang w:val="es-ES_tradnl"/>
        </w:rPr>
        <w:t>7</w:t>
      </w:r>
      <w:r w:rsidR="00FB38C2" w:rsidRPr="00B25E57">
        <w:rPr>
          <w:lang w:val="es-ES_tradnl"/>
        </w:rPr>
        <w:t>%</w:t>
      </w:r>
      <w:r w:rsidR="003A46A1" w:rsidRPr="00B25E57">
        <w:rPr>
          <w:lang w:val="es-ES_tradnl"/>
        </w:rPr>
        <w:t xml:space="preserve"> </w:t>
      </w:r>
      <w:r w:rsidR="00365A45">
        <w:rPr>
          <w:lang w:val="es-ES_tradnl"/>
        </w:rPr>
        <w:t xml:space="preserve">podría ser </w:t>
      </w:r>
      <w:r w:rsidR="009207E3">
        <w:rPr>
          <w:lang w:val="es-ES_tradnl"/>
        </w:rPr>
        <w:t xml:space="preserve">lo </w:t>
      </w:r>
      <w:r w:rsidR="00365A45">
        <w:rPr>
          <w:lang w:val="es-ES_tradnl"/>
        </w:rPr>
        <w:t>adecuado</w:t>
      </w:r>
      <w:r w:rsidR="00345E62" w:rsidRPr="00B25E57">
        <w:rPr>
          <w:lang w:val="es-ES_tradnl"/>
        </w:rPr>
        <w:t>.</w:t>
      </w:r>
    </w:p>
    <w:p w14:paraId="532BBD2C" w14:textId="08AA9212" w:rsidR="007B22B4" w:rsidRPr="00B25E57" w:rsidRDefault="004241C5" w:rsidP="00345E62">
      <w:pPr>
        <w:pStyle w:val="Heading1"/>
        <w:rPr>
          <w:lang w:val="es-ES_tradnl"/>
        </w:rPr>
      </w:pPr>
      <w:r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FB38C2" w:rsidRPr="00B25E57">
        <w:rPr>
          <w:lang w:val="es-ES_tradnl"/>
        </w:rPr>
        <w:t>Ejecutivo</w:t>
      </w:r>
      <w:r w:rsidR="003A46A1" w:rsidRPr="00B25E57">
        <w:rPr>
          <w:lang w:val="es-ES_tradnl"/>
        </w:rPr>
        <w:t xml:space="preserve"> </w:t>
      </w:r>
      <w:r w:rsidR="004057BA" w:rsidRPr="00B25E57">
        <w:rPr>
          <w:lang w:val="es-ES_tradnl"/>
        </w:rPr>
        <w:t>podrá</w:t>
      </w:r>
      <w:r w:rsidR="003A46A1" w:rsidRPr="00B25E57">
        <w:rPr>
          <w:lang w:val="es-ES_tradnl"/>
        </w:rPr>
        <w:t xml:space="preserve"> estimar oportuno </w:t>
      </w:r>
      <w:r w:rsidR="005D1281">
        <w:rPr>
          <w:lang w:val="es-ES_tradnl"/>
        </w:rPr>
        <w:t xml:space="preserve">entregar </w:t>
      </w:r>
      <w:r w:rsidR="00691404">
        <w:rPr>
          <w:lang w:val="es-ES_tradnl"/>
        </w:rPr>
        <w:t>orientación</w:t>
      </w:r>
      <w:r w:rsidR="003A46A1" w:rsidRPr="00B25E57">
        <w:rPr>
          <w:lang w:val="es-ES_tradnl"/>
        </w:rPr>
        <w:t xml:space="preserve"> </w:t>
      </w:r>
      <w:r w:rsidR="00375D1C">
        <w:rPr>
          <w:lang w:val="es-ES_tradnl"/>
        </w:rPr>
        <w:t xml:space="preserve">sobre el </w:t>
      </w:r>
      <w:r w:rsidRPr="00B25E57">
        <w:rPr>
          <w:lang w:val="es-ES_tradnl"/>
        </w:rPr>
        <w:t>nivel</w:t>
      </w:r>
      <w:r w:rsidR="003A46A1" w:rsidRPr="00B25E57">
        <w:rPr>
          <w:lang w:val="es-ES_tradnl"/>
        </w:rPr>
        <w:t xml:space="preserve"> </w:t>
      </w:r>
      <w:r w:rsidR="00232F2F" w:rsidRPr="00232F2F">
        <w:rPr>
          <w:lang w:val="es-ES_tradnl"/>
        </w:rPr>
        <w:t xml:space="preserve">adecuado </w:t>
      </w:r>
      <w:r w:rsidR="00FB38C2" w:rsidRPr="00B25E57">
        <w:rPr>
          <w:lang w:val="es-ES_tradnl"/>
        </w:rPr>
        <w:t>de</w:t>
      </w:r>
      <w:r w:rsidR="003A46A1" w:rsidRPr="00B25E57">
        <w:rPr>
          <w:lang w:val="es-ES_tradnl"/>
        </w:rPr>
        <w:t xml:space="preserve"> </w:t>
      </w:r>
      <w:r w:rsidR="007B22B4" w:rsidRPr="00B25E57">
        <w:rPr>
          <w:lang w:val="es-ES_tradnl"/>
        </w:rPr>
        <w:t>gastos</w:t>
      </w:r>
      <w:r w:rsidR="003A46A1" w:rsidRPr="00B25E57">
        <w:rPr>
          <w:lang w:val="es-ES_tradnl"/>
        </w:rPr>
        <w:t xml:space="preserve"> </w:t>
      </w:r>
      <w:r w:rsidR="00B25E57">
        <w:rPr>
          <w:lang w:val="es-ES_tradnl"/>
        </w:rPr>
        <w:t>de apoyo para</w:t>
      </w:r>
      <w:r w:rsidR="003A46A1" w:rsidRPr="00B25E57">
        <w:rPr>
          <w:lang w:val="es-ES_tradnl"/>
        </w:rPr>
        <w:t xml:space="preserve"> </w:t>
      </w:r>
      <w:r w:rsidR="00564E86">
        <w:rPr>
          <w:lang w:val="es-ES_tradnl"/>
        </w:rPr>
        <w:t>proyectos de control del subproducto HFC-23</w:t>
      </w:r>
      <w:r w:rsidR="003A46A1" w:rsidRPr="00B25E57">
        <w:rPr>
          <w:lang w:val="es-ES_tradnl"/>
        </w:rPr>
        <w:t xml:space="preserve"> </w:t>
      </w:r>
      <w:r w:rsidRPr="00B25E57">
        <w:rPr>
          <w:lang w:val="es-ES_tradnl"/>
        </w:rPr>
        <w:t>en</w:t>
      </w:r>
      <w:r w:rsidR="003A46A1" w:rsidRPr="00B25E57">
        <w:rPr>
          <w:lang w:val="es-ES_tradnl"/>
        </w:rPr>
        <w:t xml:space="preserve"> </w:t>
      </w:r>
      <w:r w:rsidR="00D04DC2" w:rsidRPr="00B25E57">
        <w:rPr>
          <w:lang w:val="es-ES_tradnl"/>
        </w:rPr>
        <w:t>países</w:t>
      </w:r>
      <w:r w:rsidR="003A46A1" w:rsidRPr="00B25E57">
        <w:rPr>
          <w:lang w:val="es-ES_tradnl"/>
        </w:rPr>
        <w:t xml:space="preserve"> </w:t>
      </w:r>
      <w:r w:rsidR="00D04DC2" w:rsidRPr="00B25E57">
        <w:rPr>
          <w:lang w:val="es-ES_tradnl"/>
        </w:rPr>
        <w:t>del</w:t>
      </w:r>
      <w:r w:rsidR="003A46A1" w:rsidRPr="00B25E57">
        <w:rPr>
          <w:lang w:val="es-ES_tradnl"/>
        </w:rPr>
        <w:t xml:space="preserve"> </w:t>
      </w:r>
      <w:r w:rsidR="00D04DC2" w:rsidRPr="00B25E57">
        <w:rPr>
          <w:lang w:val="es-ES_tradnl"/>
        </w:rPr>
        <w:t>artículo</w:t>
      </w:r>
      <w:r w:rsidR="003A46A1" w:rsidRPr="00B25E57">
        <w:rPr>
          <w:lang w:val="es-ES_tradnl"/>
        </w:rPr>
        <w:t xml:space="preserve"> </w:t>
      </w:r>
      <w:r w:rsidR="00D04DC2" w:rsidRPr="00B25E57">
        <w:rPr>
          <w:lang w:val="es-ES_tradnl"/>
        </w:rPr>
        <w:t>5</w:t>
      </w:r>
      <w:r w:rsidR="00345E62" w:rsidRPr="00B25E57">
        <w:rPr>
          <w:lang w:val="es-ES_tradnl"/>
        </w:rPr>
        <w:t>,</w:t>
      </w:r>
      <w:r w:rsidR="003A46A1" w:rsidRPr="00B25E57">
        <w:rPr>
          <w:lang w:val="es-ES_tradnl"/>
        </w:rPr>
        <w:t xml:space="preserve"> </w:t>
      </w:r>
      <w:r w:rsidR="00C67AE1">
        <w:rPr>
          <w:lang w:val="es-ES_tradnl"/>
        </w:rPr>
        <w:t>en particular</w:t>
      </w:r>
      <w:r w:rsidR="003A46A1" w:rsidRPr="00B25E57">
        <w:rPr>
          <w:lang w:val="es-ES_tradnl"/>
        </w:rPr>
        <w:t xml:space="preserve"> </w:t>
      </w:r>
      <w:r w:rsidR="00003A40">
        <w:rPr>
          <w:lang w:val="es-ES_tradnl"/>
        </w:rPr>
        <w:t xml:space="preserve">si </w:t>
      </w:r>
      <w:r w:rsidR="00862A82" w:rsidRPr="00B25E57">
        <w:rPr>
          <w:lang w:val="es-ES_tradnl"/>
        </w:rPr>
        <w:t>los</w:t>
      </w:r>
      <w:r w:rsidR="003A46A1" w:rsidRPr="00B25E57">
        <w:rPr>
          <w:lang w:val="es-ES_tradnl"/>
        </w:rPr>
        <w:t xml:space="preserve"> </w:t>
      </w:r>
      <w:r w:rsidR="00862A82" w:rsidRPr="00B25E57">
        <w:rPr>
          <w:lang w:val="es-ES_tradnl"/>
        </w:rPr>
        <w:t>costos</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783558">
        <w:rPr>
          <w:lang w:val="es-ES_tradnl"/>
        </w:rPr>
        <w:t xml:space="preserve">la </w:t>
      </w:r>
      <w:r w:rsidR="0033464F">
        <w:rPr>
          <w:lang w:val="es-ES_tradnl"/>
        </w:rPr>
        <w:t>verificación independiente</w:t>
      </w:r>
      <w:r w:rsidR="003A46A1" w:rsidRPr="00B25E57">
        <w:rPr>
          <w:lang w:val="es-ES_tradnl"/>
        </w:rPr>
        <w:t xml:space="preserve"> </w:t>
      </w:r>
      <w:r w:rsidR="000A1945">
        <w:rPr>
          <w:lang w:val="es-ES_tradnl"/>
        </w:rPr>
        <w:t xml:space="preserve">se deben agregar </w:t>
      </w:r>
      <w:r w:rsidR="001E7D3C">
        <w:rPr>
          <w:lang w:val="es-ES_tradnl"/>
        </w:rPr>
        <w:t>a los</w:t>
      </w:r>
      <w:r w:rsidR="00AD6325">
        <w:rPr>
          <w:lang w:val="es-ES_tradnl"/>
        </w:rPr>
        <w:t xml:space="preserve"> gasto</w:t>
      </w:r>
      <w:r w:rsidR="001E7D3C">
        <w:rPr>
          <w:lang w:val="es-ES_tradnl"/>
        </w:rPr>
        <w:t>s</w:t>
      </w:r>
      <w:r w:rsidR="00B16458">
        <w:rPr>
          <w:lang w:val="es-ES_tradnl"/>
        </w:rPr>
        <w:t xml:space="preserve"> de apoyo </w:t>
      </w:r>
      <w:r w:rsidR="00FB38C2" w:rsidRPr="00B25E57">
        <w:rPr>
          <w:lang w:val="es-ES_tradnl"/>
        </w:rPr>
        <w:t>o</w:t>
      </w:r>
      <w:r w:rsidR="003A46A1" w:rsidRPr="00B25E57">
        <w:rPr>
          <w:lang w:val="es-ES_tradnl"/>
        </w:rPr>
        <w:t xml:space="preserve"> </w:t>
      </w:r>
      <w:r w:rsidR="000A1945">
        <w:rPr>
          <w:lang w:val="es-ES_tradnl"/>
        </w:rPr>
        <w:t xml:space="preserve">a los </w:t>
      </w:r>
      <w:r w:rsidR="00AD6325">
        <w:rPr>
          <w:lang w:val="es-ES_tradnl"/>
        </w:rPr>
        <w:t>costo</w:t>
      </w:r>
      <w:r w:rsidR="00E624AB">
        <w:rPr>
          <w:lang w:val="es-ES_tradnl"/>
        </w:rPr>
        <w:t>s</w:t>
      </w:r>
      <w:r w:rsidR="003A46A1" w:rsidRPr="00B25E57">
        <w:rPr>
          <w:lang w:val="es-ES_tradnl"/>
        </w:rPr>
        <w:t xml:space="preserve"> </w:t>
      </w:r>
      <w:r w:rsidR="00FB38C2" w:rsidRPr="00B25E57">
        <w:rPr>
          <w:lang w:val="es-ES_tradnl"/>
        </w:rPr>
        <w:t>de</w:t>
      </w:r>
      <w:r w:rsidR="00AD6325">
        <w:rPr>
          <w:lang w:val="es-ES_tradnl"/>
        </w:rPr>
        <w:t>l</w:t>
      </w:r>
      <w:r w:rsidR="003A46A1" w:rsidRPr="00B25E57">
        <w:rPr>
          <w:lang w:val="es-ES_tradnl"/>
        </w:rPr>
        <w:t xml:space="preserve"> </w:t>
      </w:r>
      <w:r w:rsidR="00FB38C2" w:rsidRPr="00B25E57">
        <w:rPr>
          <w:lang w:val="es-ES_tradnl"/>
        </w:rPr>
        <w:t>proyecto</w:t>
      </w:r>
      <w:r w:rsidR="00CC0930">
        <w:rPr>
          <w:lang w:val="es-ES_tradnl"/>
        </w:rPr>
        <w:t>,</w:t>
      </w:r>
      <w:r w:rsidR="003A46A1" w:rsidRPr="00B25E57">
        <w:rPr>
          <w:lang w:val="es-ES_tradnl"/>
        </w:rPr>
        <w:t xml:space="preserve"> </w:t>
      </w:r>
      <w:r w:rsidR="00F33C58" w:rsidRPr="00B25E57">
        <w:rPr>
          <w:lang w:val="es-ES_tradnl"/>
        </w:rPr>
        <w:t>y</w:t>
      </w:r>
      <w:r w:rsidR="003A46A1" w:rsidRPr="00B25E57">
        <w:rPr>
          <w:lang w:val="es-ES_tradnl"/>
        </w:rPr>
        <w:t xml:space="preserve"> </w:t>
      </w:r>
      <w:r w:rsidR="0029137A">
        <w:rPr>
          <w:lang w:val="es-ES_tradnl"/>
        </w:rPr>
        <w:t xml:space="preserve">si, </w:t>
      </w:r>
      <w:r w:rsidR="00FA3437">
        <w:rPr>
          <w:lang w:val="es-ES_tradnl"/>
        </w:rPr>
        <w:t xml:space="preserve">en términos de </w:t>
      </w:r>
      <w:r w:rsidR="00691404">
        <w:rPr>
          <w:lang w:val="es-ES_tradnl"/>
        </w:rPr>
        <w:t>gastos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apoyo</w:t>
      </w:r>
      <w:r w:rsidR="0029137A">
        <w:rPr>
          <w:lang w:val="es-ES_tradnl"/>
        </w:rPr>
        <w:t>,</w:t>
      </w:r>
      <w:r w:rsidR="003A46A1" w:rsidRPr="00B25E57">
        <w:rPr>
          <w:lang w:val="es-ES_tradnl"/>
        </w:rPr>
        <w:t xml:space="preserve"> </w:t>
      </w:r>
      <w:r w:rsidR="005A0598" w:rsidRPr="005A0598">
        <w:rPr>
          <w:lang w:val="es-ES_tradnl"/>
        </w:rPr>
        <w:t xml:space="preserve">se debe diferenciar </w:t>
      </w:r>
      <w:r w:rsidRPr="00B25E57">
        <w:rPr>
          <w:lang w:val="es-ES_tradnl"/>
        </w:rPr>
        <w:t>entre</w:t>
      </w:r>
      <w:r w:rsidR="003A46A1" w:rsidRPr="00B25E57">
        <w:rPr>
          <w:lang w:val="es-ES_tradnl"/>
        </w:rPr>
        <w:t xml:space="preserve"> </w:t>
      </w:r>
      <w:r w:rsidR="00A40016">
        <w:rPr>
          <w:lang w:val="es-ES_tradnl"/>
        </w:rPr>
        <w:t xml:space="preserve">la </w:t>
      </w:r>
      <w:r w:rsidR="00F33C58" w:rsidRPr="00B25E57">
        <w:rPr>
          <w:lang w:val="es-ES_tradnl"/>
        </w:rPr>
        <w:t>destrucción</w:t>
      </w:r>
      <w:r w:rsidR="003A46A1" w:rsidRPr="00B25E57">
        <w:rPr>
          <w:lang w:val="es-ES_tradnl"/>
        </w:rPr>
        <w:t xml:space="preserve"> </w:t>
      </w:r>
      <w:r w:rsidR="00ED2C90">
        <w:rPr>
          <w:lang w:val="es-ES_tradnl"/>
        </w:rPr>
        <w:t xml:space="preserve">in situ o ex situ </w:t>
      </w:r>
      <w:r w:rsidR="00B6344F">
        <w:rPr>
          <w:lang w:val="es-ES_tradnl"/>
        </w:rPr>
        <w:t>del subproducto</w:t>
      </w:r>
      <w:r w:rsidR="003A46A1" w:rsidRPr="00B25E57">
        <w:rPr>
          <w:lang w:val="es-ES_tradnl"/>
        </w:rPr>
        <w:t xml:space="preserve"> </w:t>
      </w:r>
      <w:r w:rsidR="004512EA" w:rsidRPr="00B25E57">
        <w:rPr>
          <w:lang w:val="es-ES_tradnl"/>
        </w:rPr>
        <w:t>HFC-23</w:t>
      </w:r>
      <w:r w:rsidR="003A46A1" w:rsidRPr="00B25E57">
        <w:rPr>
          <w:lang w:val="es-ES_tradnl"/>
        </w:rPr>
        <w:t xml:space="preserve"> </w:t>
      </w:r>
      <w:r w:rsidR="00FB38C2" w:rsidRPr="00B25E57">
        <w:rPr>
          <w:lang w:val="es-ES_tradnl"/>
        </w:rPr>
        <w:t>y</w:t>
      </w:r>
      <w:r w:rsidR="003A46A1" w:rsidRPr="00B25E57">
        <w:rPr>
          <w:lang w:val="es-ES_tradnl"/>
        </w:rPr>
        <w:t xml:space="preserve"> </w:t>
      </w:r>
      <w:r w:rsidR="00877E2F">
        <w:rPr>
          <w:lang w:val="es-ES_tradnl"/>
        </w:rPr>
        <w:t xml:space="preserve">el </w:t>
      </w:r>
      <w:r w:rsidR="004512EA" w:rsidRPr="00B25E57">
        <w:rPr>
          <w:lang w:val="es-ES_tradnl"/>
        </w:rPr>
        <w:t>cierre</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DA54BD">
        <w:rPr>
          <w:lang w:val="es-ES_tradnl"/>
        </w:rPr>
        <w:t>la</w:t>
      </w:r>
      <w:r w:rsidR="00B7461B">
        <w:rPr>
          <w:lang w:val="es-ES_tradnl"/>
        </w:rPr>
        <w:t xml:space="preserve"> planta</w:t>
      </w:r>
      <w:r w:rsidR="003A46A1" w:rsidRPr="00B25E57">
        <w:rPr>
          <w:lang w:val="es-ES_tradnl"/>
        </w:rPr>
        <w:t xml:space="preserve"> de producción de HCFC-22</w:t>
      </w:r>
      <w:r w:rsidR="00345E62" w:rsidRPr="00B25E57">
        <w:rPr>
          <w:lang w:val="es-ES_tradnl"/>
        </w:rPr>
        <w:t>.</w:t>
      </w:r>
    </w:p>
    <w:p w14:paraId="4B35845C" w14:textId="1943A55E" w:rsidR="00345E62" w:rsidRPr="00B25E57" w:rsidRDefault="00FB38C2" w:rsidP="00AD1D61">
      <w:pPr>
        <w:keepNext/>
        <w:keepLines/>
        <w:rPr>
          <w:b/>
          <w:lang w:val="es-ES_tradnl"/>
        </w:rPr>
      </w:pPr>
      <w:bookmarkStart w:id="1" w:name="_GoBack"/>
      <w:r w:rsidRPr="00B25E57">
        <w:rPr>
          <w:b/>
          <w:lang w:val="es-ES_tradnl"/>
        </w:rPr>
        <w:t>RECOMENDACIÓN</w:t>
      </w:r>
    </w:p>
    <w:p w14:paraId="5F238C8B" w14:textId="77777777" w:rsidR="00345E62" w:rsidRPr="00B25E57" w:rsidRDefault="00345E62" w:rsidP="00AD1D61">
      <w:pPr>
        <w:keepNext/>
        <w:keepLines/>
        <w:rPr>
          <w:lang w:val="es-ES_tradnl"/>
        </w:rPr>
      </w:pPr>
    </w:p>
    <w:p w14:paraId="71D3A981" w14:textId="34D71E9B" w:rsidR="00345E62" w:rsidRPr="00B25E57" w:rsidRDefault="004241C5" w:rsidP="00AD1D61">
      <w:pPr>
        <w:pStyle w:val="Heading1"/>
        <w:keepNext/>
        <w:keepLines/>
        <w:rPr>
          <w:lang w:val="es-ES_tradnl"/>
        </w:rPr>
      </w:pPr>
      <w:r w:rsidRPr="00B25E57">
        <w:rPr>
          <w:lang w:val="es-ES_tradnl"/>
        </w:rPr>
        <w:t>El</w:t>
      </w:r>
      <w:r w:rsidR="003A46A1" w:rsidRPr="00B25E57">
        <w:rPr>
          <w:lang w:val="es-ES_tradnl"/>
        </w:rPr>
        <w:t xml:space="preserve"> </w:t>
      </w:r>
      <w:r w:rsidRPr="00B25E57">
        <w:rPr>
          <w:lang w:val="es-ES_tradnl"/>
        </w:rPr>
        <w:t>Comité</w:t>
      </w:r>
      <w:r w:rsidR="003A46A1" w:rsidRPr="00B25E57">
        <w:rPr>
          <w:lang w:val="es-ES_tradnl"/>
        </w:rPr>
        <w:t xml:space="preserve"> </w:t>
      </w:r>
      <w:r w:rsidR="00D04DC2" w:rsidRPr="00B25E57">
        <w:rPr>
          <w:lang w:val="es-ES_tradnl"/>
        </w:rPr>
        <w:t>Ejecutivo</w:t>
      </w:r>
      <w:r w:rsidR="003A46A1" w:rsidRPr="00B25E57">
        <w:rPr>
          <w:lang w:val="es-ES_tradnl"/>
        </w:rPr>
        <w:t xml:space="preserve"> </w:t>
      </w:r>
      <w:r w:rsidR="00D04DC2" w:rsidRPr="00B25E57">
        <w:rPr>
          <w:lang w:val="es-ES_tradnl"/>
        </w:rPr>
        <w:t>podrá</w:t>
      </w:r>
      <w:r w:rsidR="003A46A1" w:rsidRPr="00B25E57">
        <w:rPr>
          <w:lang w:val="es-ES_tradnl"/>
        </w:rPr>
        <w:t xml:space="preserve"> </w:t>
      </w:r>
      <w:r w:rsidR="00D04DC2" w:rsidRPr="00B25E57">
        <w:rPr>
          <w:lang w:val="es-ES_tradnl"/>
        </w:rPr>
        <w:t>estimar</w:t>
      </w:r>
      <w:r w:rsidR="003A46A1" w:rsidRPr="00B25E57">
        <w:rPr>
          <w:lang w:val="es-ES_tradnl"/>
        </w:rPr>
        <w:t xml:space="preserve"> </w:t>
      </w:r>
      <w:r w:rsidR="00D04DC2" w:rsidRPr="00B25E57">
        <w:rPr>
          <w:lang w:val="es-ES_tradnl"/>
        </w:rPr>
        <w:t>oportuno</w:t>
      </w:r>
      <w:r w:rsidR="00345E62" w:rsidRPr="00B25E57">
        <w:rPr>
          <w:lang w:val="es-ES_tradnl"/>
        </w:rPr>
        <w:t>:</w:t>
      </w:r>
    </w:p>
    <w:p w14:paraId="601AA11D" w14:textId="15BE0EEB" w:rsidR="00345E62" w:rsidRPr="00B25E57" w:rsidRDefault="009804A9" w:rsidP="00AD1D61">
      <w:pPr>
        <w:pStyle w:val="Heading2"/>
        <w:keepNext/>
        <w:keepLines/>
        <w:numPr>
          <w:ilvl w:val="1"/>
          <w:numId w:val="39"/>
        </w:numPr>
        <w:ind w:left="1417" w:hanging="708"/>
        <w:rPr>
          <w:lang w:val="es-ES_tradnl"/>
        </w:rPr>
      </w:pPr>
      <w:r>
        <w:rPr>
          <w:lang w:val="es-ES_tradnl"/>
        </w:rPr>
        <w:t xml:space="preserve">Tomar nota </w:t>
      </w:r>
      <w:r w:rsidR="008C0A72">
        <w:rPr>
          <w:lang w:val="es-ES_tradnl"/>
        </w:rPr>
        <w:t xml:space="preserve">de los </w:t>
      </w:r>
      <w:r w:rsidR="0030598B" w:rsidRPr="0030598B">
        <w:rPr>
          <w:lang w:val="es-ES_tradnl"/>
        </w:rPr>
        <w:t xml:space="preserve">aspectos clave relacionados con las tecnologías de control del </w:t>
      </w:r>
      <w:r w:rsidR="0030598B">
        <w:rPr>
          <w:lang w:val="es-ES_tradnl"/>
        </w:rPr>
        <w:t>HFC</w:t>
      </w:r>
      <w:r w:rsidR="0030598B" w:rsidRPr="0030598B">
        <w:rPr>
          <w:lang w:val="es-ES_tradnl"/>
        </w:rPr>
        <w:t>-23 como subproducto</w:t>
      </w:r>
      <w:r w:rsidR="003A46A1" w:rsidRPr="00B25E57">
        <w:rPr>
          <w:lang w:val="es-ES_tradnl"/>
        </w:rPr>
        <w:t xml:space="preserve"> </w:t>
      </w:r>
      <w:r w:rsidR="00345E62" w:rsidRPr="00B25E57">
        <w:rPr>
          <w:lang w:val="es-ES_tradnl"/>
        </w:rPr>
        <w:t>(</w:t>
      </w:r>
      <w:r w:rsidR="004241C5" w:rsidRPr="00B25E57">
        <w:rPr>
          <w:lang w:val="es-ES_tradnl"/>
        </w:rPr>
        <w:t>decisión</w:t>
      </w:r>
      <w:r w:rsidR="003A46A1" w:rsidRPr="00B25E57">
        <w:rPr>
          <w:lang w:val="es-ES_tradnl"/>
        </w:rPr>
        <w:t xml:space="preserve"> </w:t>
      </w:r>
      <w:r w:rsidR="00345E62" w:rsidRPr="00B25E57">
        <w:rPr>
          <w:lang w:val="es-ES_tradnl"/>
        </w:rPr>
        <w:t>82/85)</w:t>
      </w:r>
      <w:r w:rsidR="003A46A1" w:rsidRPr="00B25E57">
        <w:rPr>
          <w:lang w:val="es-ES_tradnl"/>
        </w:rPr>
        <w:t xml:space="preserve"> recogido</w:t>
      </w:r>
      <w:r w:rsidR="0023794D">
        <w:rPr>
          <w:lang w:val="es-ES_tradnl"/>
        </w:rPr>
        <w:t>s</w:t>
      </w:r>
      <w:r w:rsidR="003A46A1" w:rsidRPr="00B25E57">
        <w:rPr>
          <w:lang w:val="es-ES_tradnl"/>
        </w:rPr>
        <w:t xml:space="preserve"> en el </w:t>
      </w:r>
      <w:r w:rsidR="00CF02E1">
        <w:rPr>
          <w:lang w:val="es-ES_tradnl"/>
        </w:rPr>
        <w:t>presente documento UNEP/OzL.Pro/ExCom/83/44</w:t>
      </w:r>
      <w:r w:rsidR="00345E62" w:rsidRPr="00B25E57">
        <w:rPr>
          <w:lang w:val="es-ES_tradnl"/>
        </w:rPr>
        <w:t>;</w:t>
      </w:r>
    </w:p>
    <w:bookmarkEnd w:id="1"/>
    <w:p w14:paraId="78A3BB0F" w14:textId="2A439AA4" w:rsidR="00345E62" w:rsidRPr="00B25E57" w:rsidRDefault="00345E62" w:rsidP="00DE6F3C">
      <w:pPr>
        <w:pStyle w:val="Heading2"/>
        <w:numPr>
          <w:ilvl w:val="1"/>
          <w:numId w:val="39"/>
        </w:numPr>
        <w:ind w:left="1417" w:hanging="708"/>
        <w:rPr>
          <w:lang w:val="es-ES_tradnl"/>
        </w:rPr>
      </w:pPr>
      <w:r w:rsidRPr="00B25E57">
        <w:rPr>
          <w:lang w:val="es-ES_tradnl"/>
        </w:rPr>
        <w:t>Consider</w:t>
      </w:r>
      <w:r w:rsidR="00004B55">
        <w:rPr>
          <w:lang w:val="es-ES_tradnl"/>
        </w:rPr>
        <w:t>ar</w:t>
      </w:r>
      <w:r w:rsidR="003A46A1" w:rsidRPr="00B25E57">
        <w:rPr>
          <w:lang w:val="es-ES_tradnl"/>
        </w:rPr>
        <w:t xml:space="preserve"> </w:t>
      </w:r>
      <w:r w:rsidR="0093090C">
        <w:rPr>
          <w:lang w:val="es-ES_tradnl"/>
        </w:rPr>
        <w:t xml:space="preserve">la asistencia </w:t>
      </w:r>
      <w:r w:rsidR="00B25E57">
        <w:rPr>
          <w:lang w:val="es-ES_tradnl"/>
        </w:rPr>
        <w:t>técnica</w:t>
      </w:r>
      <w:r w:rsidR="003A46A1" w:rsidRPr="00B25E57">
        <w:rPr>
          <w:lang w:val="es-ES_tradnl"/>
        </w:rPr>
        <w:t xml:space="preserve"> </w:t>
      </w:r>
      <w:r w:rsidR="00FB38C2" w:rsidRPr="00B25E57">
        <w:rPr>
          <w:lang w:val="es-ES_tradnl"/>
        </w:rPr>
        <w:t>y</w:t>
      </w:r>
      <w:r w:rsidR="003A46A1" w:rsidRPr="00B25E57">
        <w:rPr>
          <w:lang w:val="es-ES_tradnl"/>
        </w:rPr>
        <w:t xml:space="preserve"> </w:t>
      </w:r>
      <w:r w:rsidR="00E22238" w:rsidRPr="00B25E57">
        <w:rPr>
          <w:lang w:val="es-ES_tradnl"/>
        </w:rPr>
        <w:t>económica</w:t>
      </w:r>
      <w:r w:rsidR="003A46A1" w:rsidRPr="00B25E57">
        <w:rPr>
          <w:lang w:val="es-ES_tradnl"/>
        </w:rPr>
        <w:t xml:space="preserve"> </w:t>
      </w:r>
      <w:r w:rsidR="0015273D">
        <w:rPr>
          <w:lang w:val="es-ES_tradnl"/>
        </w:rPr>
        <w:t xml:space="preserve">que desea </w:t>
      </w:r>
      <w:r w:rsidR="00E63DDA">
        <w:rPr>
          <w:lang w:val="es-ES_tradnl"/>
        </w:rPr>
        <w:t xml:space="preserve">otorgar </w:t>
      </w:r>
      <w:r w:rsidR="00F33C58" w:rsidRPr="00B25E57">
        <w:rPr>
          <w:lang w:val="es-ES_tradnl"/>
        </w:rPr>
        <w:t>al</w:t>
      </w:r>
      <w:r w:rsidR="003A46A1" w:rsidRPr="00B25E57">
        <w:rPr>
          <w:lang w:val="es-ES_tradnl"/>
        </w:rPr>
        <w:t xml:space="preserve"> </w:t>
      </w:r>
      <w:r w:rsidR="00535C22">
        <w:rPr>
          <w:lang w:val="es-ES_tradnl"/>
        </w:rPr>
        <w:t>Gobierno de Argentina</w:t>
      </w:r>
      <w:r w:rsidR="003A46A1" w:rsidRPr="00B25E57">
        <w:rPr>
          <w:lang w:val="es-ES_tradnl"/>
        </w:rPr>
        <w:t xml:space="preserve"> </w:t>
      </w:r>
      <w:r w:rsidR="00E55251">
        <w:rPr>
          <w:lang w:val="es-ES_tradnl"/>
        </w:rPr>
        <w:t xml:space="preserve">a los fines de </w:t>
      </w:r>
      <w:r w:rsidR="008A482C">
        <w:rPr>
          <w:lang w:val="es-ES_tradnl"/>
        </w:rPr>
        <w:t>facilitar</w:t>
      </w:r>
      <w:r w:rsidR="00557D21">
        <w:rPr>
          <w:lang w:val="es-ES_tradnl"/>
        </w:rPr>
        <w:t xml:space="preserve"> el </w:t>
      </w:r>
      <w:r w:rsidR="007B22B4" w:rsidRPr="00B25E57">
        <w:rPr>
          <w:lang w:val="es-ES_tradnl"/>
        </w:rPr>
        <w:t>cumplimiento</w:t>
      </w:r>
      <w:r w:rsidR="003A46A1" w:rsidRPr="00B25E57">
        <w:rPr>
          <w:lang w:val="es-ES_tradnl"/>
        </w:rPr>
        <w:t xml:space="preserve"> </w:t>
      </w:r>
      <w:r w:rsidR="004241C5" w:rsidRPr="00B25E57">
        <w:rPr>
          <w:lang w:val="es-ES_tradnl"/>
        </w:rPr>
        <w:t>con</w:t>
      </w:r>
      <w:r w:rsidR="00EA236A">
        <w:rPr>
          <w:lang w:val="es-ES_tradnl"/>
        </w:rPr>
        <w:t xml:space="preserve"> las obligaciones de control del subproducto HFC-23</w:t>
      </w:r>
      <w:r w:rsidR="003A46A1" w:rsidRPr="00B25E57">
        <w:rPr>
          <w:lang w:val="es-ES_tradnl"/>
        </w:rPr>
        <w:t xml:space="preserve"> </w:t>
      </w:r>
      <w:r w:rsidR="00B32A3E">
        <w:rPr>
          <w:lang w:val="es-ES_tradnl"/>
        </w:rPr>
        <w:t xml:space="preserve">contraídas en </w:t>
      </w:r>
      <w:r w:rsidR="00A4343B" w:rsidRPr="00B25E57">
        <w:rPr>
          <w:lang w:val="es-ES_tradnl"/>
        </w:rPr>
        <w:t>la</w:t>
      </w:r>
      <w:r w:rsidR="003A46A1" w:rsidRPr="00B25E57">
        <w:rPr>
          <w:lang w:val="es-ES_tradnl"/>
        </w:rPr>
        <w:t xml:space="preserve"> </w:t>
      </w:r>
      <w:r w:rsidR="00A4343B" w:rsidRPr="00B25E57">
        <w:rPr>
          <w:lang w:val="es-ES_tradnl"/>
        </w:rPr>
        <w:t>Enmienda</w:t>
      </w:r>
      <w:r w:rsidR="003A46A1" w:rsidRPr="00B25E57">
        <w:rPr>
          <w:lang w:val="es-ES_tradnl"/>
        </w:rPr>
        <w:t xml:space="preserve"> </w:t>
      </w:r>
      <w:r w:rsidR="00A4343B" w:rsidRPr="00B25E57">
        <w:rPr>
          <w:lang w:val="es-ES_tradnl"/>
        </w:rPr>
        <w:t>de</w:t>
      </w:r>
      <w:r w:rsidR="003A46A1" w:rsidRPr="00B25E57">
        <w:rPr>
          <w:lang w:val="es-ES_tradnl"/>
        </w:rPr>
        <w:t xml:space="preserve"> </w:t>
      </w:r>
      <w:r w:rsidR="00A4343B" w:rsidRPr="00B25E57">
        <w:rPr>
          <w:lang w:val="es-ES_tradnl"/>
        </w:rPr>
        <w:t>Kigali</w:t>
      </w:r>
      <w:r w:rsidR="003A46A1" w:rsidRPr="00B25E57">
        <w:rPr>
          <w:lang w:val="es-ES_tradnl"/>
        </w:rPr>
        <w:t xml:space="preserve"> </w:t>
      </w:r>
      <w:r w:rsidR="00372E83">
        <w:rPr>
          <w:lang w:val="es-ES_tradnl"/>
        </w:rPr>
        <w:t xml:space="preserve">al </w:t>
      </w:r>
      <w:r w:rsidR="00FB38C2" w:rsidRPr="00B25E57">
        <w:rPr>
          <w:lang w:val="es-ES_tradnl"/>
        </w:rPr>
        <w:t>Protocolo</w:t>
      </w:r>
      <w:r w:rsidR="003A46A1" w:rsidRPr="00B25E57">
        <w:rPr>
          <w:lang w:val="es-ES_tradnl"/>
        </w:rPr>
        <w:t xml:space="preserve"> </w:t>
      </w:r>
      <w:r w:rsidR="00FB38C2" w:rsidRPr="00B25E57">
        <w:rPr>
          <w:lang w:val="es-ES_tradnl"/>
        </w:rPr>
        <w:t>de</w:t>
      </w:r>
      <w:r w:rsidR="003A46A1" w:rsidRPr="00B25E57">
        <w:rPr>
          <w:lang w:val="es-ES_tradnl"/>
        </w:rPr>
        <w:t xml:space="preserve"> </w:t>
      </w:r>
      <w:r w:rsidR="00FB38C2" w:rsidRPr="00B25E57">
        <w:rPr>
          <w:lang w:val="es-ES_tradnl"/>
        </w:rPr>
        <w:t>Montreal</w:t>
      </w:r>
      <w:r w:rsidR="003A46A1" w:rsidRPr="00B25E57">
        <w:rPr>
          <w:lang w:val="es-ES_tradnl"/>
        </w:rPr>
        <w:t xml:space="preserve"> </w:t>
      </w:r>
      <w:r w:rsidR="00F33C58" w:rsidRPr="00B25E57">
        <w:rPr>
          <w:lang w:val="es-ES_tradnl"/>
        </w:rPr>
        <w:t>y</w:t>
      </w:r>
      <w:r w:rsidR="003A46A1" w:rsidRPr="00B25E57">
        <w:rPr>
          <w:lang w:val="es-ES_tradnl"/>
        </w:rPr>
        <w:t xml:space="preserve"> </w:t>
      </w:r>
      <w:r w:rsidR="004057BA" w:rsidRPr="00B25E57">
        <w:rPr>
          <w:lang w:val="es-ES_tradnl"/>
        </w:rPr>
        <w:t>a</w:t>
      </w:r>
      <w:r w:rsidR="003A46A1" w:rsidRPr="00B25E57">
        <w:rPr>
          <w:lang w:val="es-ES_tradnl"/>
        </w:rPr>
        <w:t xml:space="preserve"> </w:t>
      </w:r>
      <w:r w:rsidR="004057BA" w:rsidRPr="00B25E57">
        <w:rPr>
          <w:lang w:val="es-ES_tradnl"/>
        </w:rPr>
        <w:t>la</w:t>
      </w:r>
      <w:r w:rsidR="003A46A1" w:rsidRPr="00B25E57">
        <w:rPr>
          <w:lang w:val="es-ES_tradnl"/>
        </w:rPr>
        <w:t xml:space="preserve"> </w:t>
      </w:r>
      <w:r w:rsidR="004057BA" w:rsidRPr="00B25E57">
        <w:rPr>
          <w:lang w:val="es-ES_tradnl"/>
        </w:rPr>
        <w:t>luz</w:t>
      </w:r>
      <w:r w:rsidR="003A46A1" w:rsidRPr="00B25E57">
        <w:rPr>
          <w:lang w:val="es-ES_tradnl"/>
        </w:rPr>
        <w:t xml:space="preserve"> </w:t>
      </w:r>
      <w:r w:rsidR="00803877">
        <w:rPr>
          <w:lang w:val="es-ES_tradnl"/>
        </w:rPr>
        <w:t xml:space="preserve">de los antecedentes </w:t>
      </w:r>
      <w:r w:rsidR="00830D16">
        <w:rPr>
          <w:lang w:val="es-ES_tradnl"/>
        </w:rPr>
        <w:t>contenidos</w:t>
      </w:r>
      <w:r w:rsidR="003A46A1" w:rsidRPr="00B25E57">
        <w:rPr>
          <w:lang w:val="es-ES_tradnl"/>
        </w:rPr>
        <w:t xml:space="preserve"> </w:t>
      </w:r>
      <w:r w:rsidR="00F33C58" w:rsidRPr="00B25E57">
        <w:rPr>
          <w:lang w:val="es-ES_tradnl"/>
        </w:rPr>
        <w:t>en</w:t>
      </w:r>
      <w:r w:rsidR="003A46A1" w:rsidRPr="00B25E57">
        <w:rPr>
          <w:lang w:val="es-ES_tradnl"/>
        </w:rPr>
        <w:t xml:space="preserve"> </w:t>
      </w:r>
      <w:r w:rsidR="00F33C58" w:rsidRPr="00B25E57">
        <w:rPr>
          <w:lang w:val="es-ES_tradnl"/>
        </w:rPr>
        <w:t>el</w:t>
      </w:r>
      <w:r w:rsidR="003A46A1" w:rsidRPr="00B25E57">
        <w:rPr>
          <w:lang w:val="es-ES_tradnl"/>
        </w:rPr>
        <w:t xml:space="preserve"> </w:t>
      </w:r>
      <w:r w:rsidR="00CF02E1">
        <w:rPr>
          <w:lang w:val="es-ES_tradnl"/>
        </w:rPr>
        <w:t>presente documento UNEP/OzL.Pro/ExCom/83/44</w:t>
      </w:r>
      <w:r w:rsidRPr="00B25E57">
        <w:rPr>
          <w:lang w:val="es-ES_tradnl"/>
        </w:rPr>
        <w:t>;</w:t>
      </w:r>
      <w:r w:rsidR="003A46A1" w:rsidRPr="00B25E57">
        <w:rPr>
          <w:lang w:val="es-ES_tradnl"/>
        </w:rPr>
        <w:t xml:space="preserve"> </w:t>
      </w:r>
      <w:r w:rsidR="00FB38C2" w:rsidRPr="00B25E57">
        <w:rPr>
          <w:lang w:val="es-ES_tradnl"/>
        </w:rPr>
        <w:t>y</w:t>
      </w:r>
    </w:p>
    <w:p w14:paraId="3C4C335F" w14:textId="0865DA9F" w:rsidR="00345E62" w:rsidRPr="00B25E57" w:rsidRDefault="00345E62" w:rsidP="00866417">
      <w:pPr>
        <w:pStyle w:val="Heading2"/>
        <w:numPr>
          <w:ilvl w:val="1"/>
          <w:numId w:val="39"/>
        </w:numPr>
        <w:ind w:left="1417" w:hanging="708"/>
        <w:rPr>
          <w:lang w:val="es-ES_tradnl"/>
        </w:rPr>
      </w:pPr>
      <w:r w:rsidRPr="00B25E57">
        <w:rPr>
          <w:lang w:val="es-ES_tradnl"/>
        </w:rPr>
        <w:t>Consider</w:t>
      </w:r>
      <w:r w:rsidR="004B5E5F">
        <w:rPr>
          <w:lang w:val="es-ES_tradnl"/>
        </w:rPr>
        <w:t>ar</w:t>
      </w:r>
      <w:r w:rsidR="003A46A1" w:rsidRPr="00B25E57">
        <w:rPr>
          <w:lang w:val="es-ES_tradnl"/>
        </w:rPr>
        <w:t xml:space="preserve"> </w:t>
      </w:r>
      <w:r w:rsidR="00D733B9">
        <w:rPr>
          <w:lang w:val="es-ES_tradnl"/>
        </w:rPr>
        <w:t xml:space="preserve">si estima conveniente </w:t>
      </w:r>
      <w:r w:rsidR="00D85CFD" w:rsidRPr="00D85CFD">
        <w:rPr>
          <w:lang w:val="es-ES_tradnl"/>
        </w:rPr>
        <w:t xml:space="preserve">entregar orientación </w:t>
      </w:r>
      <w:r w:rsidR="006B1032">
        <w:rPr>
          <w:lang w:val="es-ES_tradnl"/>
        </w:rPr>
        <w:t xml:space="preserve">sobre </w:t>
      </w:r>
      <w:r w:rsidR="00F33C58" w:rsidRPr="00B25E57">
        <w:rPr>
          <w:lang w:val="es-ES_tradnl"/>
        </w:rPr>
        <w:t>política</w:t>
      </w:r>
      <w:r w:rsidR="00A4214D">
        <w:rPr>
          <w:lang w:val="es-ES_tradnl"/>
        </w:rPr>
        <w:t>s</w:t>
      </w:r>
      <w:r w:rsidR="003A46A1" w:rsidRPr="00B25E57">
        <w:rPr>
          <w:lang w:val="es-ES_tradnl"/>
        </w:rPr>
        <w:t xml:space="preserve"> </w:t>
      </w:r>
      <w:r w:rsidR="00A4214D">
        <w:rPr>
          <w:lang w:val="es-ES_tradnl"/>
        </w:rPr>
        <w:t xml:space="preserve">a seguir </w:t>
      </w:r>
      <w:r w:rsidR="002D2C37">
        <w:rPr>
          <w:lang w:val="es-ES_tradnl"/>
        </w:rPr>
        <w:t xml:space="preserve">en cuanto a </w:t>
      </w:r>
      <w:r w:rsidR="004057BA" w:rsidRPr="00B25E57">
        <w:rPr>
          <w:lang w:val="es-ES_tradnl"/>
        </w:rPr>
        <w:t>las</w:t>
      </w:r>
      <w:r w:rsidR="003A46A1" w:rsidRPr="00B25E57">
        <w:rPr>
          <w:lang w:val="es-ES_tradnl"/>
        </w:rPr>
        <w:t xml:space="preserve"> </w:t>
      </w:r>
      <w:r w:rsidR="004057BA" w:rsidRPr="00B25E57">
        <w:rPr>
          <w:lang w:val="es-ES_tradnl"/>
        </w:rPr>
        <w:t>siguientes</w:t>
      </w:r>
      <w:r w:rsidR="003A46A1" w:rsidRPr="00B25E57">
        <w:rPr>
          <w:lang w:val="es-ES_tradnl"/>
        </w:rPr>
        <w:t xml:space="preserve"> </w:t>
      </w:r>
      <w:r w:rsidR="0004365F">
        <w:rPr>
          <w:lang w:val="es-ES_tradnl"/>
        </w:rPr>
        <w:t xml:space="preserve">materias </w:t>
      </w:r>
      <w:r w:rsidR="008A3316" w:rsidRPr="00B25E57">
        <w:rPr>
          <w:lang w:val="es-ES_tradnl"/>
        </w:rPr>
        <w:t>relativas</w:t>
      </w:r>
      <w:r w:rsidR="003A46A1" w:rsidRPr="00B25E57">
        <w:rPr>
          <w:lang w:val="es-ES_tradnl"/>
        </w:rPr>
        <w:t xml:space="preserve"> </w:t>
      </w:r>
      <w:r w:rsidR="0004365F">
        <w:rPr>
          <w:lang w:val="es-ES_tradnl"/>
        </w:rPr>
        <w:t xml:space="preserve">a </w:t>
      </w:r>
      <w:r w:rsidR="00564E86">
        <w:rPr>
          <w:lang w:val="es-ES_tradnl"/>
        </w:rPr>
        <w:t>proyectos de control del subproducto HFC-23</w:t>
      </w:r>
      <w:r w:rsidRPr="00B25E57">
        <w:rPr>
          <w:lang w:val="es-ES_tradnl"/>
        </w:rPr>
        <w:t>:</w:t>
      </w:r>
    </w:p>
    <w:p w14:paraId="6EAC44C7" w14:textId="36F2ED67" w:rsidR="007B22B4" w:rsidRPr="00B25E57" w:rsidRDefault="00AE3E6F" w:rsidP="00866417">
      <w:pPr>
        <w:pStyle w:val="Heading3"/>
        <w:keepNext/>
        <w:keepLines/>
        <w:numPr>
          <w:ilvl w:val="2"/>
          <w:numId w:val="40"/>
        </w:numPr>
        <w:ind w:left="1985" w:hanging="567"/>
        <w:rPr>
          <w:lang w:val="es-ES_tradnl"/>
        </w:rPr>
      </w:pPr>
      <w:r>
        <w:rPr>
          <w:lang w:val="es-ES_tradnl"/>
        </w:rPr>
        <w:lastRenderedPageBreak/>
        <w:t xml:space="preserve">Medida en que la demanda y la rentabilidad del </w:t>
      </w:r>
      <w:r w:rsidR="001C2BC9">
        <w:rPr>
          <w:lang w:val="es-ES_tradnl"/>
        </w:rPr>
        <w:t xml:space="preserve">HCFC-22 </w:t>
      </w:r>
      <w:r w:rsidR="00DD70F6">
        <w:rPr>
          <w:lang w:val="es-ES_tradnl"/>
        </w:rPr>
        <w:t>deben determinar su futura</w:t>
      </w:r>
      <w:r w:rsidR="00072F7D">
        <w:rPr>
          <w:lang w:val="es-ES_tradnl"/>
        </w:rPr>
        <w:t xml:space="preserve"> producción</w:t>
      </w:r>
      <w:r w:rsidR="00345E62" w:rsidRPr="00B25E57">
        <w:rPr>
          <w:lang w:val="es-ES_tradnl"/>
        </w:rPr>
        <w:t>;</w:t>
      </w:r>
    </w:p>
    <w:p w14:paraId="210947DA" w14:textId="1CDFC9F7" w:rsidR="00345E62" w:rsidRPr="00B25E57" w:rsidRDefault="00867870" w:rsidP="006376E2">
      <w:pPr>
        <w:pStyle w:val="Heading3"/>
        <w:numPr>
          <w:ilvl w:val="2"/>
          <w:numId w:val="40"/>
        </w:numPr>
        <w:ind w:left="1985" w:hanging="567"/>
        <w:rPr>
          <w:lang w:val="es-ES_tradnl"/>
        </w:rPr>
      </w:pPr>
      <w:r>
        <w:rPr>
          <w:lang w:val="es-ES_tradnl"/>
        </w:rPr>
        <w:t>Bases para la producción de HCFC-22 a utilizar en la determinación de los sobrecostos de operación</w:t>
      </w:r>
      <w:r w:rsidR="00345E62" w:rsidRPr="00B25E57">
        <w:rPr>
          <w:lang w:val="es-ES_tradnl"/>
        </w:rPr>
        <w:t>;</w:t>
      </w:r>
    </w:p>
    <w:p w14:paraId="7C162D6A" w14:textId="7D3877B7" w:rsidR="00345E62" w:rsidRPr="00B25E57" w:rsidRDefault="00724BCC" w:rsidP="006376E2">
      <w:pPr>
        <w:pStyle w:val="Heading3"/>
        <w:numPr>
          <w:ilvl w:val="2"/>
          <w:numId w:val="40"/>
        </w:numPr>
        <w:ind w:left="1985" w:hanging="567"/>
        <w:rPr>
          <w:lang w:val="es-ES_tradnl"/>
        </w:rPr>
      </w:pPr>
      <w:r w:rsidRPr="00724BCC">
        <w:rPr>
          <w:lang w:val="es-ES_tradnl"/>
        </w:rPr>
        <w:t>Lapso de tiempo durante el cual se debiese financiar el control de emisiones del subproducto HFC-23</w:t>
      </w:r>
      <w:r w:rsidR="00345E62" w:rsidRPr="00B25E57">
        <w:rPr>
          <w:lang w:val="es-ES_tradnl"/>
        </w:rPr>
        <w:t>;</w:t>
      </w:r>
      <w:r w:rsidR="003A46A1" w:rsidRPr="00B25E57">
        <w:rPr>
          <w:lang w:val="es-ES_tradnl"/>
        </w:rPr>
        <w:t xml:space="preserve"> </w:t>
      </w:r>
      <w:r w:rsidR="00FB38C2" w:rsidRPr="00B25E57">
        <w:rPr>
          <w:lang w:val="es-ES_tradnl"/>
        </w:rPr>
        <w:t>y</w:t>
      </w:r>
    </w:p>
    <w:p w14:paraId="79D936B0" w14:textId="1B9DBD33" w:rsidR="00345E62" w:rsidRPr="00B25E57" w:rsidRDefault="00E64F78" w:rsidP="006376E2">
      <w:pPr>
        <w:pStyle w:val="Heading3"/>
        <w:numPr>
          <w:ilvl w:val="2"/>
          <w:numId w:val="40"/>
        </w:numPr>
        <w:ind w:left="1985" w:hanging="567"/>
        <w:rPr>
          <w:lang w:val="es-ES_tradnl"/>
        </w:rPr>
      </w:pPr>
      <w:r>
        <w:rPr>
          <w:lang w:val="es-ES_tradnl"/>
        </w:rPr>
        <w:t xml:space="preserve">El </w:t>
      </w:r>
      <w:r w:rsidR="004241C5" w:rsidRPr="00B25E57">
        <w:rPr>
          <w:lang w:val="es-ES_tradnl"/>
        </w:rPr>
        <w:t>nivel</w:t>
      </w:r>
      <w:r w:rsidR="003A46A1" w:rsidRPr="00B25E57">
        <w:rPr>
          <w:lang w:val="es-ES_tradnl"/>
        </w:rPr>
        <w:t xml:space="preserve"> </w:t>
      </w:r>
      <w:r w:rsidRPr="00E64F78">
        <w:rPr>
          <w:lang w:val="es-ES_tradnl"/>
        </w:rPr>
        <w:t xml:space="preserve">adecuado </w:t>
      </w:r>
      <w:r w:rsidR="00FB38C2" w:rsidRPr="00B25E57">
        <w:rPr>
          <w:lang w:val="es-ES_tradnl"/>
        </w:rPr>
        <w:t>de</w:t>
      </w:r>
      <w:r w:rsidR="003A46A1" w:rsidRPr="00B25E57">
        <w:rPr>
          <w:lang w:val="es-ES_tradnl"/>
        </w:rPr>
        <w:t xml:space="preserve"> </w:t>
      </w:r>
      <w:r w:rsidR="007B22B4" w:rsidRPr="00B25E57">
        <w:rPr>
          <w:lang w:val="es-ES_tradnl"/>
        </w:rPr>
        <w:t>gastos</w:t>
      </w:r>
      <w:r w:rsidR="003A46A1" w:rsidRPr="00B25E57">
        <w:rPr>
          <w:lang w:val="es-ES_tradnl"/>
        </w:rPr>
        <w:t xml:space="preserve"> </w:t>
      </w:r>
      <w:r w:rsidR="007B22B4" w:rsidRPr="00B25E57">
        <w:rPr>
          <w:lang w:val="es-ES_tradnl"/>
        </w:rPr>
        <w:t>de</w:t>
      </w:r>
      <w:r w:rsidR="003A46A1" w:rsidRPr="00B25E57">
        <w:rPr>
          <w:lang w:val="es-ES_tradnl"/>
        </w:rPr>
        <w:t xml:space="preserve"> </w:t>
      </w:r>
      <w:r w:rsidR="007B22B4" w:rsidRPr="00B25E57">
        <w:rPr>
          <w:lang w:val="es-ES_tradnl"/>
        </w:rPr>
        <w:t>apoyo</w:t>
      </w:r>
      <w:r w:rsidR="00414D00">
        <w:rPr>
          <w:lang w:val="es-ES_tradnl"/>
        </w:rPr>
        <w:t xml:space="preserve"> a </w:t>
      </w:r>
      <w:r w:rsidR="007963E5" w:rsidRPr="007963E5">
        <w:rPr>
          <w:lang w:val="es-ES_tradnl"/>
        </w:rPr>
        <w:t>proporcionar</w:t>
      </w:r>
      <w:r w:rsidR="00345E62" w:rsidRPr="00B25E57">
        <w:rPr>
          <w:lang w:val="es-ES_tradnl"/>
        </w:rPr>
        <w:t>.</w:t>
      </w:r>
    </w:p>
    <w:p w14:paraId="20D6162D" w14:textId="77777777" w:rsidR="00345E62" w:rsidRPr="00B25E57" w:rsidRDefault="00345E62" w:rsidP="00345E62">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45E62" w:rsidRPr="00AD1D61" w14:paraId="41157DBC" w14:textId="77777777" w:rsidTr="004A492F">
        <w:tc>
          <w:tcPr>
            <w:tcW w:w="1871" w:type="dxa"/>
          </w:tcPr>
          <w:p w14:paraId="501D7871" w14:textId="77777777" w:rsidR="00345E62" w:rsidRPr="00B25E57" w:rsidRDefault="00345E62" w:rsidP="00665672">
            <w:pPr>
              <w:tabs>
                <w:tab w:val="left" w:pos="8280"/>
              </w:tabs>
              <w:rPr>
                <w:lang w:val="es-ES_tradnl"/>
              </w:rPr>
            </w:pPr>
          </w:p>
        </w:tc>
        <w:tc>
          <w:tcPr>
            <w:tcW w:w="1872" w:type="dxa"/>
          </w:tcPr>
          <w:p w14:paraId="15A25474" w14:textId="77777777" w:rsidR="00345E62" w:rsidRPr="00B25E57" w:rsidRDefault="00345E62" w:rsidP="00665672">
            <w:pPr>
              <w:tabs>
                <w:tab w:val="left" w:pos="8280"/>
              </w:tabs>
              <w:rPr>
                <w:lang w:val="es-ES_tradnl"/>
              </w:rPr>
            </w:pPr>
          </w:p>
        </w:tc>
        <w:tc>
          <w:tcPr>
            <w:tcW w:w="1872" w:type="dxa"/>
            <w:tcBorders>
              <w:bottom w:val="single" w:sz="4" w:space="0" w:color="auto"/>
            </w:tcBorders>
          </w:tcPr>
          <w:p w14:paraId="0F8EB1F9" w14:textId="77777777" w:rsidR="00345E62" w:rsidRPr="00B25E57" w:rsidRDefault="00345E62" w:rsidP="00665672">
            <w:pPr>
              <w:tabs>
                <w:tab w:val="left" w:pos="8280"/>
              </w:tabs>
              <w:rPr>
                <w:lang w:val="es-ES_tradnl"/>
              </w:rPr>
            </w:pPr>
          </w:p>
        </w:tc>
        <w:tc>
          <w:tcPr>
            <w:tcW w:w="1872" w:type="dxa"/>
          </w:tcPr>
          <w:p w14:paraId="704E4A09" w14:textId="77777777" w:rsidR="00345E62" w:rsidRPr="00B25E57" w:rsidRDefault="00345E62" w:rsidP="00665672">
            <w:pPr>
              <w:tabs>
                <w:tab w:val="left" w:pos="8280"/>
              </w:tabs>
              <w:rPr>
                <w:lang w:val="es-ES_tradnl"/>
              </w:rPr>
            </w:pPr>
          </w:p>
        </w:tc>
        <w:tc>
          <w:tcPr>
            <w:tcW w:w="1873" w:type="dxa"/>
          </w:tcPr>
          <w:p w14:paraId="067B3E66" w14:textId="77777777" w:rsidR="00345E62" w:rsidRPr="00B25E57" w:rsidRDefault="00345E62" w:rsidP="00665672">
            <w:pPr>
              <w:tabs>
                <w:tab w:val="left" w:pos="8280"/>
              </w:tabs>
              <w:rPr>
                <w:lang w:val="es-ES_tradnl"/>
              </w:rPr>
            </w:pPr>
          </w:p>
        </w:tc>
      </w:tr>
    </w:tbl>
    <w:p w14:paraId="7085755A" w14:textId="77777777" w:rsidR="00052C5C" w:rsidRPr="00B25E57" w:rsidRDefault="00052C5C" w:rsidP="00345E62">
      <w:pPr>
        <w:tabs>
          <w:tab w:val="left" w:pos="8280"/>
        </w:tabs>
        <w:rPr>
          <w:lang w:val="es-ES_tradnl"/>
        </w:rPr>
      </w:pPr>
    </w:p>
    <w:sectPr w:rsidR="00052C5C" w:rsidRPr="00B25E57"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9DDC" w14:textId="77777777" w:rsidR="00C1238D" w:rsidRDefault="00C1238D" w:rsidP="004A504B">
      <w:r>
        <w:separator/>
      </w:r>
    </w:p>
  </w:endnote>
  <w:endnote w:type="continuationSeparator" w:id="0">
    <w:p w14:paraId="6B841217" w14:textId="77777777" w:rsidR="00C1238D" w:rsidRDefault="00C1238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2304" w14:textId="7FAF3000" w:rsidR="00C1238D" w:rsidRPr="009434B6" w:rsidRDefault="00C1238D">
    <w:pPr>
      <w:jc w:val="center"/>
      <w:rPr>
        <w:lang w:val="es-ES_tradnl"/>
      </w:rPr>
    </w:pPr>
    <w:r w:rsidRPr="009434B6">
      <w:rPr>
        <w:lang w:val="es-ES_tradnl"/>
      </w:rPr>
      <w:fldChar w:fldCharType="begin"/>
    </w:r>
    <w:r w:rsidRPr="009434B6">
      <w:rPr>
        <w:lang w:val="es-ES_tradnl"/>
      </w:rPr>
      <w:instrText xml:space="preserve"> PAGE </w:instrText>
    </w:r>
    <w:r w:rsidRPr="009434B6">
      <w:rPr>
        <w:lang w:val="es-ES_tradnl"/>
      </w:rPr>
      <w:fldChar w:fldCharType="separate"/>
    </w:r>
    <w:r w:rsidR="00AD1D61">
      <w:rPr>
        <w:noProof/>
        <w:lang w:val="es-ES_tradnl"/>
      </w:rPr>
      <w:t>18</w:t>
    </w:r>
    <w:r w:rsidRPr="009434B6">
      <w:rPr>
        <w:noProof/>
        <w:lang w:val="es-ES_tradn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DFDE" w14:textId="4F7FBE1E" w:rsidR="00C1238D" w:rsidRPr="0033525D" w:rsidRDefault="00C1238D">
    <w:pPr>
      <w:jc w:val="center"/>
    </w:pPr>
    <w:r>
      <w:fldChar w:fldCharType="begin"/>
    </w:r>
    <w:r>
      <w:instrText xml:space="preserve"> PAGE </w:instrText>
    </w:r>
    <w:r>
      <w:fldChar w:fldCharType="separate"/>
    </w:r>
    <w:r w:rsidR="00AD1D61">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A010" w14:textId="6F94A6E9" w:rsidR="00C1238D" w:rsidRPr="00B76624" w:rsidRDefault="00C1238D" w:rsidP="004E7F9C">
    <w:pPr>
      <w:pBdr>
        <w:top w:val="single" w:sz="4" w:space="1" w:color="auto"/>
        <w:left w:val="single" w:sz="4" w:space="4" w:color="auto"/>
        <w:bottom w:val="single" w:sz="4" w:space="1" w:color="auto"/>
        <w:right w:val="single" w:sz="4" w:space="4" w:color="auto"/>
      </w:pBdr>
      <w:jc w:val="center"/>
      <w:rPr>
        <w:sz w:val="18"/>
        <w:szCs w:val="18"/>
        <w:lang w:val="es-ES_tradnl"/>
      </w:rPr>
    </w:pPr>
    <w:r w:rsidRPr="00B76624">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F2B3" w14:textId="77777777" w:rsidR="00C1238D" w:rsidRDefault="00C1238D" w:rsidP="004A504B">
      <w:r>
        <w:separator/>
      </w:r>
    </w:p>
  </w:footnote>
  <w:footnote w:type="continuationSeparator" w:id="0">
    <w:p w14:paraId="31C43D30" w14:textId="77777777" w:rsidR="00C1238D" w:rsidRDefault="00C1238D" w:rsidP="004A504B">
      <w:r>
        <w:continuationSeparator/>
      </w:r>
    </w:p>
  </w:footnote>
  <w:footnote w:id="1">
    <w:p w14:paraId="2C53E7AD" w14:textId="4CF0F889" w:rsidR="00C1238D" w:rsidRPr="002309A7" w:rsidRDefault="00C1238D" w:rsidP="00C91789">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N</w:t>
      </w:r>
      <w:r w:rsidRPr="002309A7">
        <w:rPr>
          <w:lang w:val="es-ES_tradnl"/>
        </w:rPr>
        <w:t>ota de</w:t>
      </w:r>
      <w:r>
        <w:rPr>
          <w:lang w:val="es-ES_tradnl"/>
        </w:rPr>
        <w:t>l</w:t>
      </w:r>
      <w:r w:rsidRPr="002309A7">
        <w:rPr>
          <w:lang w:val="es-ES_tradnl"/>
        </w:rPr>
        <w:t xml:space="preserve"> 21 de marzo de 2019 </w:t>
      </w:r>
      <w:r>
        <w:rPr>
          <w:lang w:val="es-ES_tradnl"/>
        </w:rPr>
        <w:t>dirigida</w:t>
      </w:r>
      <w:r w:rsidRPr="002309A7">
        <w:rPr>
          <w:lang w:val="es-ES_tradnl"/>
        </w:rPr>
        <w:t xml:space="preserve"> a la </w:t>
      </w:r>
      <w:r>
        <w:rPr>
          <w:lang w:val="es-ES_tradnl"/>
        </w:rPr>
        <w:t xml:space="preserve">ONUDI por el </w:t>
      </w:r>
      <w:r w:rsidRPr="007A00EF">
        <w:rPr>
          <w:lang w:val="es-ES_tradnl"/>
        </w:rPr>
        <w:t>Ministerio de Relaciones Exteriores y Culto de Argentina</w:t>
      </w:r>
      <w:r w:rsidRPr="002309A7">
        <w:rPr>
          <w:lang w:val="es-ES_tradnl"/>
        </w:rPr>
        <w:t>.</w:t>
      </w:r>
    </w:p>
  </w:footnote>
  <w:footnote w:id="2">
    <w:p w14:paraId="29EBA480" w14:textId="61BC0F84" w:rsidR="00C1238D" w:rsidRPr="002309A7" w:rsidRDefault="00C1238D">
      <w:pPr>
        <w:pStyle w:val="FootnoteText"/>
        <w:rPr>
          <w:lang w:val="es-ES_tradnl"/>
        </w:rPr>
      </w:pPr>
      <w:r w:rsidRPr="002309A7">
        <w:rPr>
          <w:rStyle w:val="FootnoteReference"/>
          <w:lang w:val="es-ES_tradnl"/>
        </w:rPr>
        <w:footnoteRef/>
      </w:r>
      <w:r w:rsidRPr="002309A7">
        <w:rPr>
          <w:lang w:val="es-ES_tradnl"/>
        </w:rPr>
        <w:t xml:space="preserve"> Para la selección del consultor, la </w:t>
      </w:r>
      <w:r w:rsidRPr="00C85782">
        <w:rPr>
          <w:lang w:val="es-ES_tradnl"/>
        </w:rPr>
        <w:t xml:space="preserve">Secretaría </w:t>
      </w:r>
      <w:r>
        <w:rPr>
          <w:lang w:val="es-ES_tradnl"/>
        </w:rPr>
        <w:t>publicitó la vacante e</w:t>
      </w:r>
      <w:r w:rsidRPr="002309A7">
        <w:rPr>
          <w:lang w:val="es-ES_tradnl"/>
        </w:rPr>
        <w:t xml:space="preserve">n su sitio web, </w:t>
      </w:r>
      <w:r>
        <w:rPr>
          <w:lang w:val="es-ES_tradnl"/>
        </w:rPr>
        <w:t xml:space="preserve">en el </w:t>
      </w:r>
      <w:r w:rsidRPr="002309A7">
        <w:rPr>
          <w:lang w:val="es-ES_tradnl"/>
        </w:rPr>
        <w:t xml:space="preserve">sitio web </w:t>
      </w:r>
      <w:r>
        <w:rPr>
          <w:lang w:val="es-ES_tradnl"/>
        </w:rPr>
        <w:t xml:space="preserve">de carreras de Naciones Unidas </w:t>
      </w:r>
      <w:r w:rsidRPr="002309A7">
        <w:rPr>
          <w:lang w:val="es-ES_tradnl"/>
        </w:rPr>
        <w:t xml:space="preserve">y </w:t>
      </w:r>
      <w:r>
        <w:rPr>
          <w:lang w:val="es-ES_tradnl"/>
        </w:rPr>
        <w:t xml:space="preserve">en los </w:t>
      </w:r>
      <w:r w:rsidRPr="002309A7">
        <w:rPr>
          <w:lang w:val="es-ES_tradnl"/>
        </w:rPr>
        <w:t>sitio</w:t>
      </w:r>
      <w:r>
        <w:rPr>
          <w:lang w:val="es-ES_tradnl"/>
        </w:rPr>
        <w:t>s</w:t>
      </w:r>
      <w:r w:rsidRPr="002309A7">
        <w:rPr>
          <w:lang w:val="es-ES_tradnl"/>
        </w:rPr>
        <w:t xml:space="preserve"> web </w:t>
      </w:r>
      <w:r>
        <w:rPr>
          <w:lang w:val="es-ES_tradnl"/>
        </w:rPr>
        <w:t xml:space="preserve">de la </w:t>
      </w:r>
      <w:r w:rsidRPr="00DB74DC">
        <w:rPr>
          <w:lang w:val="es-ES_tradnl"/>
        </w:rPr>
        <w:t>Sociedad de Ingenieras</w:t>
      </w:r>
      <w:r w:rsidRPr="002309A7">
        <w:rPr>
          <w:lang w:val="es-ES_tradnl"/>
        </w:rPr>
        <w:t xml:space="preserve"> y </w:t>
      </w:r>
      <w:r>
        <w:rPr>
          <w:lang w:val="es-ES_tradnl"/>
        </w:rPr>
        <w:t xml:space="preserve">de la </w:t>
      </w:r>
      <w:r w:rsidRPr="00DA3851">
        <w:rPr>
          <w:lang w:val="es-ES_tradnl"/>
        </w:rPr>
        <w:t>Asociación Americana de Ingeniería de Costos</w:t>
      </w:r>
      <w:r w:rsidRPr="002309A7">
        <w:rPr>
          <w:lang w:val="es-ES_tradnl"/>
        </w:rPr>
        <w:t xml:space="preserve">. </w:t>
      </w:r>
      <w:r>
        <w:rPr>
          <w:lang w:val="es-ES_tradnl"/>
        </w:rPr>
        <w:t xml:space="preserve">Las postulaciones fueron evaluadas por un comité compuesto por </w:t>
      </w:r>
      <w:r w:rsidRPr="002309A7">
        <w:rPr>
          <w:lang w:val="es-ES_tradnl"/>
        </w:rPr>
        <w:t xml:space="preserve">tres </w:t>
      </w:r>
      <w:r>
        <w:rPr>
          <w:lang w:val="es-ES_tradnl"/>
        </w:rPr>
        <w:t xml:space="preserve">representantes de la </w:t>
      </w:r>
      <w:r w:rsidRPr="002309A7">
        <w:rPr>
          <w:lang w:val="es-ES_tradnl"/>
        </w:rPr>
        <w:t>Secretaría</w:t>
      </w:r>
      <w:r>
        <w:rPr>
          <w:lang w:val="es-ES_tradnl"/>
        </w:rPr>
        <w:t xml:space="preserve">. El contrato del </w:t>
      </w:r>
      <w:r w:rsidRPr="00AF4DF7">
        <w:rPr>
          <w:lang w:val="es-ES_tradnl"/>
        </w:rPr>
        <w:t xml:space="preserve">consultor </w:t>
      </w:r>
      <w:r>
        <w:rPr>
          <w:lang w:val="es-ES_tradnl"/>
        </w:rPr>
        <w:t xml:space="preserve">adjudicado se </w:t>
      </w:r>
      <w:r w:rsidRPr="000F74A3">
        <w:rPr>
          <w:lang w:val="es-ES_tradnl"/>
        </w:rPr>
        <w:t>cursó</w:t>
      </w:r>
      <w:r>
        <w:rPr>
          <w:lang w:val="es-ES_tradnl"/>
        </w:rPr>
        <w:t xml:space="preserve"> </w:t>
      </w:r>
      <w:r w:rsidRPr="002309A7">
        <w:rPr>
          <w:lang w:val="es-ES_tradnl"/>
        </w:rPr>
        <w:t>en febrero de 2019.</w:t>
      </w:r>
    </w:p>
  </w:footnote>
  <w:footnote w:id="3">
    <w:p w14:paraId="5012955F" w14:textId="1CE64157" w:rsidR="00C1238D" w:rsidRPr="002309A7" w:rsidRDefault="00C1238D">
      <w:pPr>
        <w:pStyle w:val="FootnoteText"/>
        <w:rPr>
          <w:lang w:val="es-ES_tradnl"/>
        </w:rPr>
      </w:pPr>
      <w:r w:rsidRPr="002309A7">
        <w:rPr>
          <w:rStyle w:val="FootnoteReference"/>
          <w:lang w:val="es-ES_tradnl"/>
        </w:rPr>
        <w:footnoteRef/>
      </w:r>
      <w:r w:rsidRPr="002309A7">
        <w:rPr>
          <w:lang w:val="es-ES_tradnl"/>
        </w:rPr>
        <w:t xml:space="preserve"> UNEP/OzL.Pro/ExCom/79/27</w:t>
      </w:r>
      <w:r>
        <w:rPr>
          <w:lang w:val="es-ES_tradnl"/>
        </w:rPr>
        <w:t>.</w:t>
      </w:r>
    </w:p>
  </w:footnote>
  <w:footnote w:id="4">
    <w:p w14:paraId="73F9334D" w14:textId="6655D25A" w:rsidR="00C1238D" w:rsidRPr="002309A7" w:rsidRDefault="00C1238D">
      <w:pPr>
        <w:pStyle w:val="FootnoteText"/>
        <w:rPr>
          <w:lang w:val="es-ES_tradnl"/>
        </w:rPr>
      </w:pPr>
      <w:r w:rsidRPr="002309A7">
        <w:rPr>
          <w:rStyle w:val="FootnoteReference"/>
          <w:lang w:val="es-ES_tradnl"/>
        </w:rPr>
        <w:footnoteRef/>
      </w:r>
      <w:r w:rsidRPr="002309A7">
        <w:rPr>
          <w:lang w:val="es-ES_tradnl"/>
        </w:rPr>
        <w:t xml:space="preserve"> El Comité Ejecutivo aprobó 10.600.000 </w:t>
      </w:r>
      <w:r w:rsidRPr="006D051E">
        <w:rPr>
          <w:lang w:val="es-ES_tradnl"/>
        </w:rPr>
        <w:t xml:space="preserve">$EUA </w:t>
      </w:r>
      <w:r w:rsidRPr="002309A7">
        <w:rPr>
          <w:lang w:val="es-ES_tradnl"/>
        </w:rPr>
        <w:t xml:space="preserve">para la eliminación y cierre </w:t>
      </w:r>
      <w:r>
        <w:rPr>
          <w:lang w:val="es-ES_tradnl"/>
        </w:rPr>
        <w:t>de la totalidad de la capacidad de producción</w:t>
      </w:r>
      <w:r w:rsidRPr="002309A7">
        <w:rPr>
          <w:lang w:val="es-ES_tradnl"/>
        </w:rPr>
        <w:t xml:space="preserve"> </w:t>
      </w:r>
      <w:r>
        <w:rPr>
          <w:lang w:val="es-ES_tradnl"/>
        </w:rPr>
        <w:t xml:space="preserve">de </w:t>
      </w:r>
      <w:r w:rsidRPr="00A76E6C">
        <w:rPr>
          <w:lang w:val="es-ES_tradnl"/>
        </w:rPr>
        <w:t xml:space="preserve">CFC </w:t>
      </w:r>
      <w:r w:rsidRPr="002309A7">
        <w:rPr>
          <w:lang w:val="es-ES_tradnl"/>
        </w:rPr>
        <w:t>en Argentina.</w:t>
      </w:r>
    </w:p>
  </w:footnote>
  <w:footnote w:id="5">
    <w:p w14:paraId="3A32105A" w14:textId="24887124" w:rsidR="00C1238D" w:rsidRPr="002309A7" w:rsidRDefault="00C1238D" w:rsidP="00381CCC">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Las</w:t>
      </w:r>
      <w:r w:rsidRPr="002309A7">
        <w:rPr>
          <w:lang w:val="es-ES_tradnl"/>
        </w:rPr>
        <w:t xml:space="preserve"> opciones </w:t>
      </w:r>
      <w:r>
        <w:rPr>
          <w:lang w:val="es-ES_tradnl"/>
        </w:rPr>
        <w:t xml:space="preserve">se presentan en este orden para </w:t>
      </w:r>
      <w:r w:rsidRPr="002309A7">
        <w:rPr>
          <w:lang w:val="es-ES_tradnl"/>
        </w:rPr>
        <w:t xml:space="preserve">facilitar </w:t>
      </w:r>
      <w:r>
        <w:rPr>
          <w:lang w:val="es-ES_tradnl"/>
        </w:rPr>
        <w:t>su análisis</w:t>
      </w:r>
      <w:r w:rsidRPr="002309A7">
        <w:rPr>
          <w:lang w:val="es-ES_tradnl"/>
        </w:rPr>
        <w:t xml:space="preserve">, </w:t>
      </w:r>
      <w:r>
        <w:rPr>
          <w:lang w:val="es-ES_tradnl"/>
        </w:rPr>
        <w:t xml:space="preserve">dado que la </w:t>
      </w:r>
      <w:r w:rsidRPr="002309A7">
        <w:rPr>
          <w:lang w:val="es-ES_tradnl"/>
        </w:rPr>
        <w:t xml:space="preserve">información </w:t>
      </w:r>
      <w:r>
        <w:rPr>
          <w:lang w:val="es-ES_tradnl"/>
        </w:rPr>
        <w:t xml:space="preserve">relevante de una </w:t>
      </w:r>
      <w:r w:rsidRPr="002309A7">
        <w:rPr>
          <w:lang w:val="es-ES_tradnl"/>
        </w:rPr>
        <w:t xml:space="preserve">opción </w:t>
      </w:r>
      <w:r>
        <w:rPr>
          <w:lang w:val="es-ES_tradnl"/>
        </w:rPr>
        <w:t>sirve para las demás</w:t>
      </w:r>
      <w:r w:rsidRPr="002309A7">
        <w:rPr>
          <w:lang w:val="es-ES_tradnl"/>
        </w:rPr>
        <w:t>.</w:t>
      </w:r>
    </w:p>
  </w:footnote>
  <w:footnote w:id="6">
    <w:p w14:paraId="2DAA1E72" w14:textId="2F457EF1" w:rsidR="00C1238D" w:rsidRPr="002309A7" w:rsidRDefault="00C1238D" w:rsidP="009840F7">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 xml:space="preserve">Según se explica </w:t>
      </w:r>
      <w:r w:rsidRPr="002309A7">
        <w:rPr>
          <w:lang w:val="es-ES_tradnl"/>
        </w:rPr>
        <w:t>en UNEP/OzL.Pro/ExCom/83/11/Add.</w:t>
      </w:r>
      <w:r>
        <w:rPr>
          <w:lang w:val="es-ES_tradnl"/>
        </w:rPr>
        <w:t>1, la</w:t>
      </w:r>
      <w:r w:rsidRPr="002309A7">
        <w:rPr>
          <w:lang w:val="es-ES_tradnl"/>
        </w:rPr>
        <w:t xml:space="preserve"> producción de HFC-32 </w:t>
      </w:r>
      <w:r>
        <w:rPr>
          <w:lang w:val="es-ES_tradnl"/>
        </w:rPr>
        <w:t>utiliza fluoruro de hidrógeno anhidro</w:t>
      </w:r>
      <w:r w:rsidRPr="002309A7">
        <w:rPr>
          <w:lang w:val="es-ES_tradnl"/>
        </w:rPr>
        <w:t xml:space="preserve"> (</w:t>
      </w:r>
      <w:r>
        <w:rPr>
          <w:lang w:val="es-ES_tradnl"/>
        </w:rPr>
        <w:t>FHA</w:t>
      </w:r>
      <w:r w:rsidRPr="002309A7">
        <w:rPr>
          <w:lang w:val="es-ES_tradnl"/>
        </w:rPr>
        <w:t xml:space="preserve">) y </w:t>
      </w:r>
      <w:r>
        <w:rPr>
          <w:lang w:val="es-ES_tradnl"/>
        </w:rPr>
        <w:t>diclorometano</w:t>
      </w:r>
      <w:r w:rsidRPr="002309A7">
        <w:rPr>
          <w:lang w:val="es-ES_tradnl"/>
        </w:rPr>
        <w:t xml:space="preserve"> (</w:t>
      </w:r>
      <w:r>
        <w:rPr>
          <w:lang w:val="es-ES_tradnl"/>
        </w:rPr>
        <w:t>cloruro de metileno</w:t>
      </w:r>
      <w:r w:rsidRPr="002309A7">
        <w:rPr>
          <w:lang w:val="es-ES_tradnl"/>
        </w:rPr>
        <w:t xml:space="preserve">) </w:t>
      </w:r>
      <w:r>
        <w:rPr>
          <w:lang w:val="es-ES_tradnl"/>
        </w:rPr>
        <w:t>como</w:t>
      </w:r>
      <w:r w:rsidRPr="002309A7">
        <w:rPr>
          <w:lang w:val="es-ES_tradnl"/>
        </w:rPr>
        <w:t xml:space="preserve"> materias primas, </w:t>
      </w:r>
      <w:r>
        <w:rPr>
          <w:lang w:val="es-ES_tradnl"/>
        </w:rPr>
        <w:t xml:space="preserve">en tanto que la </w:t>
      </w:r>
      <w:r w:rsidRPr="002309A7">
        <w:rPr>
          <w:lang w:val="es-ES_tradnl"/>
        </w:rPr>
        <w:t>producción de HCFC</w:t>
      </w:r>
      <w:r>
        <w:rPr>
          <w:lang w:val="es-ES_tradnl"/>
        </w:rPr>
        <w:noBreakHyphen/>
      </w:r>
      <w:r w:rsidRPr="002309A7">
        <w:rPr>
          <w:lang w:val="es-ES_tradnl"/>
        </w:rPr>
        <w:t xml:space="preserve">22 </w:t>
      </w:r>
      <w:r w:rsidRPr="00466F30">
        <w:rPr>
          <w:lang w:val="es-ES_tradnl"/>
        </w:rPr>
        <w:t xml:space="preserve">utiliza </w:t>
      </w:r>
      <w:r>
        <w:rPr>
          <w:lang w:val="es-ES_tradnl"/>
        </w:rPr>
        <w:t>FHA</w:t>
      </w:r>
      <w:r w:rsidRPr="002309A7">
        <w:rPr>
          <w:lang w:val="es-ES_tradnl"/>
        </w:rPr>
        <w:t xml:space="preserve"> y </w:t>
      </w:r>
      <w:r>
        <w:rPr>
          <w:lang w:val="es-ES_tradnl"/>
        </w:rPr>
        <w:t>triclorometano</w:t>
      </w:r>
      <w:r w:rsidRPr="002309A7">
        <w:rPr>
          <w:lang w:val="es-ES_tradnl"/>
        </w:rPr>
        <w:t xml:space="preserve"> (</w:t>
      </w:r>
      <w:r>
        <w:rPr>
          <w:lang w:val="es-ES_tradnl"/>
        </w:rPr>
        <w:t>cloroformo</w:t>
      </w:r>
      <w:r w:rsidRPr="002309A7">
        <w:rPr>
          <w:lang w:val="es-ES_tradnl"/>
        </w:rPr>
        <w:t>).</w:t>
      </w:r>
    </w:p>
  </w:footnote>
  <w:footnote w:id="7">
    <w:p w14:paraId="725EB568" w14:textId="32C0AF5A" w:rsidR="00C1238D" w:rsidRPr="002309A7" w:rsidRDefault="00C1238D" w:rsidP="00A41AA6">
      <w:pPr>
        <w:pStyle w:val="FootnoteText"/>
        <w:rPr>
          <w:lang w:val="es-ES_tradnl"/>
        </w:rPr>
      </w:pPr>
      <w:r w:rsidRPr="002309A7">
        <w:rPr>
          <w:rStyle w:val="FootnoteReference"/>
          <w:lang w:val="es-ES_tradnl"/>
        </w:rPr>
        <w:footnoteRef/>
      </w:r>
      <w:r w:rsidRPr="002309A7">
        <w:rPr>
          <w:lang w:val="es-ES_tradnl"/>
        </w:rPr>
        <w:t xml:space="preserve"> </w:t>
      </w:r>
      <w:r w:rsidRPr="00710F30">
        <w:rPr>
          <w:lang w:val="es-ES_tradnl"/>
        </w:rPr>
        <w:t>Se</w:t>
      </w:r>
      <w:r>
        <w:rPr>
          <w:lang w:val="es-ES_tradnl"/>
        </w:rPr>
        <w:t xml:space="preserve">rá considerado peligroso </w:t>
      </w:r>
      <w:r w:rsidRPr="00710F30">
        <w:rPr>
          <w:lang w:val="es-ES_tradnl"/>
        </w:rPr>
        <w:t>todo residuo que pueda causar daño, directa o indirectamente, a seres vivos o contaminar el suelo, el agua, la atmósfera o el ambiente en general</w:t>
      </w:r>
      <w:r w:rsidRPr="002309A7">
        <w:rPr>
          <w:lang w:val="es-ES_tradnl"/>
        </w:rPr>
        <w:t xml:space="preserve">. </w:t>
      </w:r>
      <w:r>
        <w:rPr>
          <w:lang w:val="es-ES_tradnl"/>
        </w:rPr>
        <w:t>Estas</w:t>
      </w:r>
      <w:r w:rsidRPr="000A0B15">
        <w:rPr>
          <w:lang w:val="es-ES_tradnl"/>
        </w:rPr>
        <w:t xml:space="preserve"> disposiciones serán también de aplicación a aquellos residuos peli</w:t>
      </w:r>
      <w:r>
        <w:rPr>
          <w:lang w:val="es-ES_tradnl"/>
        </w:rPr>
        <w:t>grosos que pudieren constituir</w:t>
      </w:r>
      <w:r w:rsidRPr="000A0B15">
        <w:rPr>
          <w:lang w:val="es-ES_tradnl"/>
        </w:rPr>
        <w:t xml:space="preserve"> insumos para otros procesos industriales</w:t>
      </w:r>
      <w:r w:rsidRPr="002309A7">
        <w:rPr>
          <w:lang w:val="es-ES_tradnl"/>
        </w:rPr>
        <w:t xml:space="preserve">. </w:t>
      </w:r>
      <w:r w:rsidRPr="00CA7D27">
        <w:rPr>
          <w:lang w:val="es-ES_tradnl"/>
        </w:rPr>
        <w:t xml:space="preserve">Será considerado generador toda persona física o jurídica que, como resultado de sus actos o de cualquier proceso, operación o actividad, produzca residuos calificados como peligrosos en los términos del artículo 2° de la </w:t>
      </w:r>
      <w:r>
        <w:rPr>
          <w:lang w:val="es-ES_tradnl"/>
        </w:rPr>
        <w:t>ley</w:t>
      </w:r>
      <w:r w:rsidRPr="002309A7">
        <w:rPr>
          <w:lang w:val="es-ES_tradnl"/>
        </w:rPr>
        <w:t>.</w:t>
      </w:r>
    </w:p>
  </w:footnote>
  <w:footnote w:id="8">
    <w:p w14:paraId="36624740" w14:textId="61D8760A" w:rsidR="00C1238D" w:rsidRPr="002309A7" w:rsidRDefault="00C1238D">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Fluoruro de hidrógeno anhidro</w:t>
      </w:r>
      <w:r w:rsidRPr="002309A7">
        <w:rPr>
          <w:lang w:val="es-ES_tradnl"/>
        </w:rPr>
        <w:t xml:space="preserve">, </w:t>
      </w:r>
      <w:r>
        <w:rPr>
          <w:lang w:val="es-ES_tradnl"/>
        </w:rPr>
        <w:t>cloroformo</w:t>
      </w:r>
      <w:r w:rsidRPr="002309A7">
        <w:rPr>
          <w:lang w:val="es-ES_tradnl"/>
        </w:rPr>
        <w:t xml:space="preserve">, </w:t>
      </w:r>
      <w:r>
        <w:rPr>
          <w:lang w:val="es-ES_tradnl"/>
        </w:rPr>
        <w:t>carbonato de sodio</w:t>
      </w:r>
      <w:r w:rsidRPr="002309A7">
        <w:rPr>
          <w:lang w:val="es-ES_tradnl"/>
        </w:rPr>
        <w:t xml:space="preserve">, </w:t>
      </w:r>
      <w:r>
        <w:rPr>
          <w:lang w:val="es-ES_tradnl"/>
        </w:rPr>
        <w:t>sulfito de sodio</w:t>
      </w:r>
      <w:r w:rsidRPr="002309A7">
        <w:rPr>
          <w:lang w:val="es-ES_tradnl"/>
        </w:rPr>
        <w:t xml:space="preserve">, </w:t>
      </w:r>
      <w:r>
        <w:rPr>
          <w:lang w:val="es-ES_tradnl"/>
        </w:rPr>
        <w:t>cloruro de antimonio</w:t>
      </w:r>
      <w:r w:rsidRPr="002309A7">
        <w:rPr>
          <w:lang w:val="es-ES_tradnl"/>
        </w:rPr>
        <w:t xml:space="preserve">, </w:t>
      </w:r>
      <w:r>
        <w:rPr>
          <w:lang w:val="es-ES_tradnl"/>
        </w:rPr>
        <w:t>ácido sulfúrico</w:t>
      </w:r>
      <w:r w:rsidRPr="002309A7">
        <w:rPr>
          <w:lang w:val="es-ES_tradnl"/>
        </w:rPr>
        <w:t xml:space="preserve"> y </w:t>
      </w:r>
      <w:r>
        <w:rPr>
          <w:lang w:val="es-ES_tradnl"/>
        </w:rPr>
        <w:t>cloro.</w:t>
      </w:r>
    </w:p>
  </w:footnote>
  <w:footnote w:id="9">
    <w:p w14:paraId="73542E73" w14:textId="38F08A63" w:rsidR="00C1238D" w:rsidRPr="002309A7" w:rsidRDefault="00C1238D" w:rsidP="00B75092">
      <w:pPr>
        <w:pStyle w:val="FootnoteText"/>
        <w:rPr>
          <w:lang w:val="es-ES_tradnl"/>
        </w:rPr>
      </w:pPr>
      <w:r w:rsidRPr="002309A7">
        <w:rPr>
          <w:rStyle w:val="FootnoteReference"/>
          <w:lang w:val="es-ES_tradnl"/>
        </w:rPr>
        <w:footnoteRef/>
      </w:r>
      <w:r w:rsidRPr="002309A7">
        <w:rPr>
          <w:lang w:val="es-ES_tradnl"/>
        </w:rPr>
        <w:t xml:space="preserve"> </w:t>
      </w:r>
      <w:r>
        <w:rPr>
          <w:lang w:val="es-ES_tradnl" w:eastAsia="zh-CN"/>
        </w:rPr>
        <w:t>Conforme a la ley argentina</w:t>
      </w:r>
      <w:r w:rsidRPr="00B25E57">
        <w:rPr>
          <w:lang w:val="es-ES_tradnl" w:eastAsia="zh-CN"/>
        </w:rPr>
        <w:t xml:space="preserve">, </w:t>
      </w:r>
      <w:r>
        <w:rPr>
          <w:lang w:val="es-ES_tradnl" w:eastAsia="zh-CN"/>
        </w:rPr>
        <w:t>un trabajador cesado recibe indemnización por años de servicio</w:t>
      </w:r>
      <w:r w:rsidRPr="002309A7">
        <w:rPr>
          <w:lang w:val="es-ES_tradnl"/>
        </w:rPr>
        <w:t>.</w:t>
      </w:r>
    </w:p>
  </w:footnote>
  <w:footnote w:id="10">
    <w:p w14:paraId="7F86E790" w14:textId="24210DD4" w:rsidR="00C1238D" w:rsidRPr="002309A7" w:rsidRDefault="00C1238D" w:rsidP="00AB14F1">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La</w:t>
      </w:r>
      <w:r w:rsidRPr="002309A7">
        <w:rPr>
          <w:lang w:val="es-ES_tradnl"/>
        </w:rPr>
        <w:t xml:space="preserve"> </w:t>
      </w:r>
      <w:r w:rsidRPr="00015DB6">
        <w:rPr>
          <w:lang w:val="es-ES_tradnl"/>
        </w:rPr>
        <w:t xml:space="preserve">producción </w:t>
      </w:r>
      <w:r w:rsidRPr="002309A7">
        <w:rPr>
          <w:lang w:val="es-ES_tradnl"/>
        </w:rPr>
        <w:t xml:space="preserve">promedio de HCFC-22 </w:t>
      </w:r>
      <w:r>
        <w:rPr>
          <w:lang w:val="es-ES_tradnl"/>
        </w:rPr>
        <w:t xml:space="preserve">en </w:t>
      </w:r>
      <w:r w:rsidRPr="00015DB6">
        <w:rPr>
          <w:lang w:val="es-ES_tradnl"/>
        </w:rPr>
        <w:t>2014-2018</w:t>
      </w:r>
      <w:r>
        <w:rPr>
          <w:lang w:val="es-ES_tradnl"/>
        </w:rPr>
        <w:t xml:space="preserve"> ascendió a </w:t>
      </w:r>
      <w:r w:rsidRPr="002309A7">
        <w:rPr>
          <w:lang w:val="es-ES_tradnl"/>
        </w:rPr>
        <w:t>1.898 tm</w:t>
      </w:r>
      <w:r>
        <w:rPr>
          <w:lang w:val="es-ES_tradnl"/>
        </w:rPr>
        <w:t>/año</w:t>
      </w:r>
      <w:r w:rsidRPr="002309A7">
        <w:rPr>
          <w:lang w:val="es-ES_tradnl"/>
        </w:rPr>
        <w:t>.</w:t>
      </w:r>
    </w:p>
  </w:footnote>
  <w:footnote w:id="11">
    <w:p w14:paraId="756E6DD4" w14:textId="5321FB14" w:rsidR="00C1238D" w:rsidRPr="002309A7" w:rsidRDefault="00C1238D">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 xml:space="preserve">Conforme al </w:t>
      </w:r>
      <w:r w:rsidRPr="002309A7">
        <w:rPr>
          <w:lang w:val="es-ES_tradnl"/>
        </w:rPr>
        <w:t xml:space="preserve">Protocolo de Montreal, </w:t>
      </w:r>
      <w:r>
        <w:rPr>
          <w:lang w:val="es-ES_tradnl"/>
        </w:rPr>
        <w:t xml:space="preserve">la </w:t>
      </w:r>
      <w:r w:rsidRPr="002309A7">
        <w:rPr>
          <w:lang w:val="es-ES_tradnl"/>
        </w:rPr>
        <w:t xml:space="preserve">Argentina </w:t>
      </w:r>
      <w:r>
        <w:rPr>
          <w:lang w:val="es-ES_tradnl"/>
        </w:rPr>
        <w:t xml:space="preserve">tiene para el </w:t>
      </w:r>
      <w:r w:rsidRPr="002309A7">
        <w:rPr>
          <w:lang w:val="es-ES_tradnl"/>
        </w:rPr>
        <w:t xml:space="preserve">2025 </w:t>
      </w:r>
      <w:r>
        <w:rPr>
          <w:lang w:val="es-ES_tradnl"/>
        </w:rPr>
        <w:t xml:space="preserve">una </w:t>
      </w:r>
      <w:r w:rsidRPr="008E603A">
        <w:rPr>
          <w:lang w:val="es-ES_tradnl"/>
        </w:rPr>
        <w:t xml:space="preserve">meta de producción </w:t>
      </w:r>
      <w:r>
        <w:rPr>
          <w:lang w:val="es-ES_tradnl"/>
        </w:rPr>
        <w:t xml:space="preserve">de </w:t>
      </w:r>
      <w:r w:rsidRPr="002309A7">
        <w:rPr>
          <w:lang w:val="es-ES_tradnl"/>
        </w:rPr>
        <w:t>1.327 tm</w:t>
      </w:r>
      <w:r>
        <w:rPr>
          <w:lang w:val="es-ES_tradnl"/>
        </w:rPr>
        <w:t>/año</w:t>
      </w:r>
      <w:r w:rsidRPr="002309A7">
        <w:rPr>
          <w:lang w:val="es-ES_tradnl"/>
        </w:rPr>
        <w:t>.</w:t>
      </w:r>
    </w:p>
  </w:footnote>
  <w:footnote w:id="12">
    <w:p w14:paraId="28785B39" w14:textId="477E43C2" w:rsidR="00C1238D" w:rsidRPr="002309A7" w:rsidRDefault="00C1238D" w:rsidP="00EF7627">
      <w:pPr>
        <w:pStyle w:val="FootnoteText"/>
        <w:rPr>
          <w:lang w:val="es-ES_tradnl"/>
        </w:rPr>
      </w:pPr>
      <w:r w:rsidRPr="002309A7">
        <w:rPr>
          <w:rStyle w:val="FootnoteReference"/>
          <w:lang w:val="es-ES_tradnl"/>
        </w:rPr>
        <w:footnoteRef/>
      </w:r>
      <w:r w:rsidRPr="002309A7">
        <w:rPr>
          <w:lang w:val="es-ES_tradnl"/>
        </w:rPr>
        <w:t xml:space="preserve"> Cada </w:t>
      </w:r>
      <w:r>
        <w:rPr>
          <w:lang w:val="es-ES_tradnl"/>
        </w:rPr>
        <w:t>molécula</w:t>
      </w:r>
      <w:r w:rsidRPr="002309A7">
        <w:rPr>
          <w:lang w:val="es-ES_tradnl"/>
        </w:rPr>
        <w:t xml:space="preserve"> de HFC-23 </w:t>
      </w:r>
      <w:r>
        <w:rPr>
          <w:lang w:val="es-ES_tradnl"/>
        </w:rPr>
        <w:t>que se incinera genera</w:t>
      </w:r>
      <w:r w:rsidRPr="002309A7">
        <w:rPr>
          <w:lang w:val="es-ES_tradnl"/>
        </w:rPr>
        <w:t xml:space="preserve"> tres de </w:t>
      </w:r>
      <w:r>
        <w:rPr>
          <w:lang w:val="es-ES_tradnl"/>
        </w:rPr>
        <w:t>ácido fluorhídrico</w:t>
      </w:r>
      <w:r w:rsidRPr="002309A7">
        <w:rPr>
          <w:lang w:val="es-ES_tradnl"/>
        </w:rPr>
        <w:t xml:space="preserve"> (UNEP/OzL.Pro/ExCom/79/48).</w:t>
      </w:r>
    </w:p>
  </w:footnote>
  <w:footnote w:id="13">
    <w:p w14:paraId="2C506144" w14:textId="16003227" w:rsidR="00C1238D" w:rsidRPr="002309A7" w:rsidRDefault="00C1238D" w:rsidP="008A286F">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Opción</w:t>
      </w:r>
      <w:r w:rsidRPr="002309A7">
        <w:rPr>
          <w:lang w:val="es-ES_tradnl"/>
        </w:rPr>
        <w:t xml:space="preserve"> </w:t>
      </w:r>
      <w:r>
        <w:rPr>
          <w:lang w:val="es-ES_tradnl"/>
        </w:rPr>
        <w:t xml:space="preserve">que se discute </w:t>
      </w:r>
      <w:r w:rsidRPr="002309A7">
        <w:rPr>
          <w:lang w:val="es-ES_tradnl"/>
        </w:rPr>
        <w:t>en el documento UNEP/OzL.Pro/ExCom/82/69.</w:t>
      </w:r>
    </w:p>
  </w:footnote>
  <w:footnote w:id="14">
    <w:p w14:paraId="22B03317" w14:textId="38284EAF" w:rsidR="00C1238D" w:rsidRPr="002309A7" w:rsidRDefault="00C1238D" w:rsidP="008A286F">
      <w:pPr>
        <w:pStyle w:val="FootnoteText"/>
        <w:rPr>
          <w:lang w:val="es-ES_tradnl"/>
        </w:rPr>
      </w:pPr>
      <w:r w:rsidRPr="002309A7">
        <w:rPr>
          <w:rStyle w:val="FootnoteReference"/>
          <w:lang w:val="es-ES_tradnl"/>
        </w:rPr>
        <w:footnoteRef/>
      </w:r>
      <w:r w:rsidRPr="002309A7">
        <w:rPr>
          <w:lang w:val="es-ES_tradnl"/>
        </w:rPr>
        <w:t xml:space="preserve"> Producción de HCFC-22 de 2.000 tm</w:t>
      </w:r>
      <w:r>
        <w:rPr>
          <w:lang w:val="es-ES_tradnl"/>
        </w:rPr>
        <w:t>/año</w:t>
      </w:r>
      <w:r w:rsidRPr="002309A7">
        <w:rPr>
          <w:lang w:val="es-ES_tradnl"/>
        </w:rPr>
        <w:t xml:space="preserve"> </w:t>
      </w:r>
      <w:r>
        <w:rPr>
          <w:lang w:val="es-ES_tradnl"/>
        </w:rPr>
        <w:t>en</w:t>
      </w:r>
      <w:r w:rsidRPr="002309A7">
        <w:rPr>
          <w:lang w:val="es-ES_tradnl"/>
        </w:rPr>
        <w:t xml:space="preserve"> 2020-2024 y 1.300 tm</w:t>
      </w:r>
      <w:r>
        <w:rPr>
          <w:lang w:val="es-ES_tradnl"/>
        </w:rPr>
        <w:t>/año</w:t>
      </w:r>
      <w:r w:rsidRPr="002309A7">
        <w:rPr>
          <w:lang w:val="es-ES_tradnl"/>
        </w:rPr>
        <w:t xml:space="preserve"> </w:t>
      </w:r>
      <w:r>
        <w:rPr>
          <w:lang w:val="es-ES_tradnl"/>
        </w:rPr>
        <w:t xml:space="preserve">en </w:t>
      </w:r>
      <w:r w:rsidRPr="002309A7">
        <w:rPr>
          <w:lang w:val="es-ES_tradnl"/>
        </w:rPr>
        <w:t>2025-202</w:t>
      </w:r>
      <w:r>
        <w:rPr>
          <w:lang w:val="es-ES_tradnl"/>
        </w:rPr>
        <w:t>9,</w:t>
      </w:r>
      <w:r w:rsidRPr="002309A7">
        <w:rPr>
          <w:lang w:val="es-ES_tradnl"/>
        </w:rPr>
        <w:t xml:space="preserve"> con </w:t>
      </w:r>
      <w:r>
        <w:rPr>
          <w:lang w:val="es-ES_tradnl"/>
        </w:rPr>
        <w:t>un</w:t>
      </w:r>
      <w:r w:rsidRPr="002309A7">
        <w:rPr>
          <w:lang w:val="es-ES_tradnl"/>
        </w:rPr>
        <w:t xml:space="preserve">a </w:t>
      </w:r>
      <w:r>
        <w:rPr>
          <w:lang w:val="es-ES_tradnl"/>
        </w:rPr>
        <w:t>tasa de generación del subproducto</w:t>
      </w:r>
      <w:r w:rsidRPr="002309A7">
        <w:rPr>
          <w:lang w:val="es-ES_tradnl"/>
        </w:rPr>
        <w:t xml:space="preserve"> de </w:t>
      </w:r>
      <w:r>
        <w:rPr>
          <w:lang w:val="es-ES_tradnl"/>
        </w:rPr>
        <w:t>3,</w:t>
      </w:r>
      <w:r w:rsidRPr="002309A7">
        <w:rPr>
          <w:lang w:val="es-ES_tradnl"/>
        </w:rPr>
        <w:t>24%.</w:t>
      </w:r>
    </w:p>
  </w:footnote>
  <w:footnote w:id="15">
    <w:p w14:paraId="5CA4B479" w14:textId="5FA8C95C"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UNEP/OzL.Pro/ExCom/61/28 y decisión 61/34.</w:t>
      </w:r>
    </w:p>
  </w:footnote>
  <w:footnote w:id="16">
    <w:p w14:paraId="35AC6BDC" w14:textId="3294A1DA"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Los créditos de carbono</w:t>
      </w:r>
      <w:r w:rsidRPr="002309A7">
        <w:rPr>
          <w:lang w:val="es-ES_tradnl"/>
        </w:rPr>
        <w:t xml:space="preserve"> </w:t>
      </w:r>
      <w:r>
        <w:rPr>
          <w:lang w:val="es-ES_tradnl"/>
        </w:rPr>
        <w:t>totales generados</w:t>
      </w:r>
      <w:r w:rsidRPr="002309A7">
        <w:rPr>
          <w:lang w:val="es-ES_tradnl"/>
        </w:rPr>
        <w:t xml:space="preserve"> por FIASA </w:t>
      </w:r>
      <w:r>
        <w:rPr>
          <w:lang w:val="es-ES_tradnl"/>
        </w:rPr>
        <w:t>en virtud del MDL</w:t>
      </w:r>
      <w:r w:rsidRPr="002309A7">
        <w:rPr>
          <w:lang w:val="es-ES_tradnl"/>
        </w:rPr>
        <w:t xml:space="preserve"> </w:t>
      </w:r>
      <w:r>
        <w:rPr>
          <w:lang w:val="es-ES_tradnl"/>
        </w:rPr>
        <w:t>ascendieron a</w:t>
      </w:r>
      <w:r w:rsidRPr="002309A7">
        <w:rPr>
          <w:lang w:val="es-ES_tradnl"/>
        </w:rPr>
        <w:t xml:space="preserve"> 7.306.549 </w:t>
      </w:r>
      <w:r>
        <w:rPr>
          <w:lang w:val="es-ES_tradnl"/>
        </w:rPr>
        <w:t xml:space="preserve">tm de </w:t>
      </w:r>
      <w:r w:rsidRPr="002309A7">
        <w:rPr>
          <w:lang w:val="es-ES_tradnl"/>
        </w:rPr>
        <w:t>CO</w:t>
      </w:r>
      <w:r w:rsidRPr="002309A7">
        <w:rPr>
          <w:vertAlign w:val="subscript"/>
          <w:lang w:val="es-ES_tradnl"/>
        </w:rPr>
        <w:t>2</w:t>
      </w:r>
      <w:r>
        <w:rPr>
          <w:vertAlign w:val="subscript"/>
          <w:lang w:val="es-ES_tradnl"/>
        </w:rPr>
        <w:t xml:space="preserve"> </w:t>
      </w:r>
      <w:r w:rsidRPr="002309A7">
        <w:rPr>
          <w:lang w:val="es-ES_tradnl"/>
        </w:rPr>
        <w:t>eq</w:t>
      </w:r>
      <w:r>
        <w:rPr>
          <w:lang w:val="es-ES_tradnl"/>
        </w:rPr>
        <w:t>uivalente</w:t>
      </w:r>
      <w:r w:rsidRPr="002309A7">
        <w:rPr>
          <w:lang w:val="es-ES_tradnl"/>
        </w:rPr>
        <w:t xml:space="preserve">. </w:t>
      </w:r>
      <w:r>
        <w:rPr>
          <w:lang w:val="es-ES_tradnl"/>
        </w:rPr>
        <w:t>A</w:t>
      </w:r>
      <w:r w:rsidRPr="002309A7">
        <w:rPr>
          <w:lang w:val="es-ES_tradnl"/>
        </w:rPr>
        <w:t xml:space="preserve"> </w:t>
      </w:r>
      <w:r>
        <w:rPr>
          <w:lang w:val="es-ES_tradnl"/>
        </w:rPr>
        <w:t xml:space="preserve">razón de </w:t>
      </w:r>
      <w:r w:rsidRPr="002309A7">
        <w:rPr>
          <w:lang w:val="es-ES_tradnl"/>
        </w:rPr>
        <w:t>5</w:t>
      </w:r>
      <w:r>
        <w:rPr>
          <w:lang w:val="es-ES_tradnl"/>
        </w:rPr>
        <w:t xml:space="preserve"> </w:t>
      </w:r>
      <w:r w:rsidRPr="006F1772">
        <w:rPr>
          <w:lang w:val="es-ES_tradnl"/>
        </w:rPr>
        <w:t>$EUA</w:t>
      </w:r>
      <w:r w:rsidRPr="002309A7">
        <w:rPr>
          <w:lang w:val="es-ES_tradnl"/>
        </w:rPr>
        <w:t>/tm-CO</w:t>
      </w:r>
      <w:r w:rsidRPr="002309A7">
        <w:rPr>
          <w:vertAlign w:val="subscript"/>
          <w:lang w:val="es-ES_tradnl"/>
        </w:rPr>
        <w:t>2</w:t>
      </w:r>
      <w:r w:rsidRPr="00216433">
        <w:rPr>
          <w:sz w:val="18"/>
          <w:lang w:val="es-ES"/>
        </w:rPr>
        <w:t>,</w:t>
      </w:r>
      <w:r w:rsidRPr="00216433">
        <w:rPr>
          <w:lang w:val="es-ES"/>
        </w:rPr>
        <w:t xml:space="preserve"> </w:t>
      </w:r>
      <w:r w:rsidRPr="008F2021">
        <w:rPr>
          <w:lang w:val="es-ES_tradnl"/>
        </w:rPr>
        <w:t>esto</w:t>
      </w:r>
      <w:r>
        <w:rPr>
          <w:lang w:val="es-ES_tradnl"/>
        </w:rPr>
        <w:t xml:space="preserve"> generó ingresos cercanos a los </w:t>
      </w:r>
      <w:r w:rsidRPr="002309A7">
        <w:rPr>
          <w:lang w:val="es-ES_tradnl"/>
        </w:rPr>
        <w:t>36.5 millones de</w:t>
      </w:r>
      <w:r>
        <w:rPr>
          <w:lang w:val="es-ES_tradnl"/>
        </w:rPr>
        <w:t xml:space="preserve"> </w:t>
      </w:r>
      <w:r w:rsidRPr="0046186D">
        <w:rPr>
          <w:lang w:val="es-ES_tradnl"/>
        </w:rPr>
        <w:t>$EUA</w:t>
      </w:r>
      <w:r w:rsidRPr="002309A7">
        <w:rPr>
          <w:lang w:val="es-ES_tradnl"/>
        </w:rPr>
        <w:t>.</w:t>
      </w:r>
    </w:p>
  </w:footnote>
  <w:footnote w:id="17">
    <w:p w14:paraId="32B2B1F6" w14:textId="35FBE172"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UNEP/OzL.Pro/ExCom/82/69</w:t>
      </w:r>
      <w:r>
        <w:rPr>
          <w:lang w:val="es-ES_tradnl"/>
        </w:rPr>
        <w:t>.</w:t>
      </w:r>
    </w:p>
  </w:footnote>
  <w:footnote w:id="18">
    <w:p w14:paraId="0C61F872" w14:textId="20BD6A2C"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w:t>
      </w:r>
      <w:r>
        <w:rPr>
          <w:lang w:val="es-ES_tradnl"/>
        </w:rPr>
        <w:t>Ver</w:t>
      </w:r>
      <w:r w:rsidRPr="002309A7">
        <w:rPr>
          <w:lang w:val="es-ES_tradnl"/>
        </w:rPr>
        <w:t xml:space="preserve"> UNEP/OzL.Pro/ExCom/79/48</w:t>
      </w:r>
      <w:r>
        <w:rPr>
          <w:lang w:val="es-ES_tradnl"/>
        </w:rPr>
        <w:t>.</w:t>
      </w:r>
    </w:p>
  </w:footnote>
  <w:footnote w:id="19">
    <w:p w14:paraId="2584EB3B" w14:textId="723E9237"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Párrafo 28 del documento UNEP/OzL.Pro/ExCom/82/69</w:t>
      </w:r>
      <w:r>
        <w:rPr>
          <w:lang w:val="es-ES_tradnl"/>
        </w:rPr>
        <w:t>.</w:t>
      </w:r>
    </w:p>
  </w:footnote>
  <w:footnote w:id="20">
    <w:p w14:paraId="2C50E6AF" w14:textId="7D6C1190" w:rsidR="00C1238D" w:rsidRPr="002309A7" w:rsidRDefault="00C1238D" w:rsidP="00C37C63">
      <w:pPr>
        <w:pStyle w:val="FootnoteText"/>
        <w:rPr>
          <w:lang w:val="es-ES_tradnl"/>
        </w:rPr>
      </w:pPr>
      <w:r w:rsidRPr="002309A7">
        <w:rPr>
          <w:rStyle w:val="FootnoteReference"/>
          <w:lang w:val="es-ES_tradnl"/>
        </w:rPr>
        <w:footnoteRef/>
      </w:r>
      <w:r w:rsidRPr="002309A7">
        <w:rPr>
          <w:lang w:val="es-ES_tradnl"/>
        </w:rPr>
        <w:t xml:space="preserve"> UNEP/OzL.Pro/ExCom/82/21.</w:t>
      </w:r>
    </w:p>
  </w:footnote>
  <w:footnote w:id="21">
    <w:p w14:paraId="77410AA6" w14:textId="5C678B86"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UNEP/OzL.Pro/ExCom/82/69</w:t>
      </w:r>
      <w:r>
        <w:rPr>
          <w:lang w:val="es-ES_tradnl"/>
        </w:rPr>
        <w:t>.</w:t>
      </w:r>
    </w:p>
  </w:footnote>
  <w:footnote w:id="22">
    <w:p w14:paraId="3486FC1C" w14:textId="0B60856D" w:rsidR="00C1238D" w:rsidRPr="002309A7" w:rsidRDefault="00C1238D" w:rsidP="00345E62">
      <w:pPr>
        <w:pStyle w:val="FootnoteText"/>
        <w:rPr>
          <w:lang w:val="es-ES_tradnl"/>
        </w:rPr>
      </w:pPr>
      <w:r w:rsidRPr="002309A7">
        <w:rPr>
          <w:rStyle w:val="FootnoteReference"/>
          <w:lang w:val="es-ES_tradnl"/>
        </w:rPr>
        <w:footnoteRef/>
      </w:r>
      <w:r w:rsidRPr="002309A7">
        <w:rPr>
          <w:lang w:val="es-ES_tradnl"/>
        </w:rPr>
        <w:t xml:space="preserve"> UNEP/OzL.Pro/ExCom/82/69</w:t>
      </w:r>
      <w:r>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DDD4" w14:textId="1BB1E21F" w:rsidR="00C1238D" w:rsidRPr="0033525D" w:rsidRDefault="00216433">
    <w:fldSimple w:instr=" DOCPROPERTY &quot;Document number&quot;  \* MERGEFORMAT ">
      <w:r w:rsidR="00C1238D">
        <w:t>UNEP/OzL.Pro/ExCom/83/44</w:t>
      </w:r>
    </w:fldSimple>
  </w:p>
  <w:p w14:paraId="5A85017B" w14:textId="77777777" w:rsidR="00C1238D" w:rsidRPr="0033525D" w:rsidRDefault="00C1238D"/>
  <w:p w14:paraId="3B96AD9E" w14:textId="77777777" w:rsidR="00C1238D" w:rsidRPr="0033525D" w:rsidRDefault="00C1238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1D46" w14:textId="2EF4B6B5" w:rsidR="00C1238D" w:rsidRPr="0033525D" w:rsidRDefault="00216433">
    <w:pPr>
      <w:jc w:val="right"/>
    </w:pPr>
    <w:fldSimple w:instr=" DOCPROPERTY &quot;Document number&quot;  \* MERGEFORMAT ">
      <w:r w:rsidR="00C1238D">
        <w:t>UNEP/OzL.Pro/ExCom/83/44</w:t>
      </w:r>
    </w:fldSimple>
  </w:p>
  <w:p w14:paraId="4B12FD1E" w14:textId="77777777" w:rsidR="00C1238D" w:rsidRPr="0033525D" w:rsidRDefault="00C1238D"/>
  <w:p w14:paraId="328536F3" w14:textId="77777777" w:rsidR="00C1238D" w:rsidRPr="0033525D" w:rsidRDefault="00C12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6BE9838"/>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8640"/>
        </w:tabs>
        <w:ind w:left="1008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1177008"/>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079A41AF"/>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0B376CF5"/>
    <w:multiLevelType w:val="hybridMultilevel"/>
    <w:tmpl w:val="9D228B80"/>
    <w:lvl w:ilvl="0" w:tplc="5C1AB7E4">
      <w:numFmt w:val="bullet"/>
      <w:lvlText w:val="-"/>
      <w:lvlJc w:val="left"/>
      <w:pPr>
        <w:ind w:left="720" w:hanging="360"/>
      </w:pPr>
      <w:rPr>
        <w:rFonts w:ascii="Calibri" w:eastAsia="Times New Roman" w:hAnsi="Calibri" w:hint="default"/>
        <w:b w:val="0"/>
        <w:i w:val="0"/>
        <w:caps w:val="0"/>
        <w:smallCaps w:val="0"/>
        <w:strike w:val="0"/>
        <w:dstrike w:val="0"/>
        <w:vanish w:val="0"/>
        <w:color w:val="auto"/>
        <w:spacing w:val="0"/>
        <w:kern w:val="0"/>
        <w:position w:val="0"/>
        <w:u w:val="none"/>
        <w:effec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735D4"/>
    <w:multiLevelType w:val="hybridMultilevel"/>
    <w:tmpl w:val="ADA6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04C0E"/>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24B6034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8640"/>
        </w:tabs>
        <w:ind w:left="1008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29BB312F"/>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5425470"/>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43D17AFB"/>
    <w:multiLevelType w:val="hybridMultilevel"/>
    <w:tmpl w:val="07E8A140"/>
    <w:lvl w:ilvl="0" w:tplc="5E988B9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E223CF"/>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1137DF"/>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CA72BB9"/>
    <w:multiLevelType w:val="hybridMultilevel"/>
    <w:tmpl w:val="1EE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057B9"/>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1146DD"/>
    <w:multiLevelType w:val="hybridMultilevel"/>
    <w:tmpl w:val="1F5462B4"/>
    <w:lvl w:ilvl="0" w:tplc="0A18B00E">
      <w:start w:val="1"/>
      <w:numFmt w:val="decimal"/>
      <w:lvlText w:val="Table %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C734C9F"/>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15:restartNumberingAfterBreak="0">
    <w:nsid w:val="72EF08D5"/>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15:restartNumberingAfterBreak="0">
    <w:nsid w:val="78105869"/>
    <w:multiLevelType w:val="hybridMultilevel"/>
    <w:tmpl w:val="0F1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C0BEC"/>
    <w:multiLevelType w:val="hybridMultilevel"/>
    <w:tmpl w:val="EDBE53CC"/>
    <w:lvl w:ilvl="0" w:tplc="B87CEB9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A2399E"/>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7D6F67B4"/>
    <w:multiLevelType w:val="hybridMultilevel"/>
    <w:tmpl w:val="00480D76"/>
    <w:lvl w:ilvl="0" w:tplc="79204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25"/>
  </w:num>
  <w:num w:numId="19">
    <w:abstractNumId w:val="36"/>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32"/>
  </w:num>
  <w:num w:numId="29">
    <w:abstractNumId w:val="21"/>
  </w:num>
  <w:num w:numId="30">
    <w:abstractNumId w:val="33"/>
  </w:num>
  <w:num w:numId="31">
    <w:abstractNumId w:val="12"/>
  </w:num>
  <w:num w:numId="32">
    <w:abstractNumId w:val="17"/>
  </w:num>
  <w:num w:numId="33">
    <w:abstractNumId w:val="22"/>
  </w:num>
  <w:num w:numId="34">
    <w:abstractNumId w:val="31"/>
  </w:num>
  <w:num w:numId="35">
    <w:abstractNumId w:val="20"/>
  </w:num>
  <w:num w:numId="36">
    <w:abstractNumId w:val="11"/>
  </w:num>
  <w:num w:numId="37">
    <w:abstractNumId w:val="27"/>
  </w:num>
  <w:num w:numId="38">
    <w:abstractNumId w:val="30"/>
  </w:num>
  <w:num w:numId="39">
    <w:abstractNumId w:val="15"/>
  </w:num>
  <w:num w:numId="40">
    <w:abstractNumId w:val="34"/>
  </w:num>
  <w:num w:numId="41">
    <w:abstractNumId w:val="16"/>
  </w:num>
  <w:num w:numId="42">
    <w:abstractNumId w:val="24"/>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0151E"/>
    <w:rsid w:val="000009D4"/>
    <w:rsid w:val="00000F15"/>
    <w:rsid w:val="00000FED"/>
    <w:rsid w:val="00001016"/>
    <w:rsid w:val="000015DE"/>
    <w:rsid w:val="00001B08"/>
    <w:rsid w:val="0000237C"/>
    <w:rsid w:val="00002A9F"/>
    <w:rsid w:val="00002AB1"/>
    <w:rsid w:val="0000307F"/>
    <w:rsid w:val="000036B6"/>
    <w:rsid w:val="00003A40"/>
    <w:rsid w:val="00003AD9"/>
    <w:rsid w:val="00003B87"/>
    <w:rsid w:val="00003FF4"/>
    <w:rsid w:val="0000434E"/>
    <w:rsid w:val="00004382"/>
    <w:rsid w:val="00004775"/>
    <w:rsid w:val="00004B55"/>
    <w:rsid w:val="00004D8F"/>
    <w:rsid w:val="000051CD"/>
    <w:rsid w:val="00005CC4"/>
    <w:rsid w:val="000061B0"/>
    <w:rsid w:val="00006A70"/>
    <w:rsid w:val="00006A86"/>
    <w:rsid w:val="00006F1B"/>
    <w:rsid w:val="00006F3D"/>
    <w:rsid w:val="00006F9E"/>
    <w:rsid w:val="0000764D"/>
    <w:rsid w:val="00010C5D"/>
    <w:rsid w:val="00010DAA"/>
    <w:rsid w:val="00010EF8"/>
    <w:rsid w:val="00011353"/>
    <w:rsid w:val="00011771"/>
    <w:rsid w:val="00011FC7"/>
    <w:rsid w:val="0001295B"/>
    <w:rsid w:val="00012A6B"/>
    <w:rsid w:val="00012B13"/>
    <w:rsid w:val="00013175"/>
    <w:rsid w:val="000137A9"/>
    <w:rsid w:val="000140B9"/>
    <w:rsid w:val="00014172"/>
    <w:rsid w:val="0001497C"/>
    <w:rsid w:val="00015046"/>
    <w:rsid w:val="000150C4"/>
    <w:rsid w:val="00015614"/>
    <w:rsid w:val="00015ABA"/>
    <w:rsid w:val="00015DB6"/>
    <w:rsid w:val="00016049"/>
    <w:rsid w:val="00016370"/>
    <w:rsid w:val="0001662B"/>
    <w:rsid w:val="00016F8C"/>
    <w:rsid w:val="0001707A"/>
    <w:rsid w:val="00017146"/>
    <w:rsid w:val="0001747B"/>
    <w:rsid w:val="000174BE"/>
    <w:rsid w:val="000203E2"/>
    <w:rsid w:val="0002074D"/>
    <w:rsid w:val="00020A8F"/>
    <w:rsid w:val="00020AE9"/>
    <w:rsid w:val="000211A9"/>
    <w:rsid w:val="00022553"/>
    <w:rsid w:val="0002305C"/>
    <w:rsid w:val="0002308A"/>
    <w:rsid w:val="00023A1A"/>
    <w:rsid w:val="00023B64"/>
    <w:rsid w:val="00023D07"/>
    <w:rsid w:val="00023DCF"/>
    <w:rsid w:val="00023F4A"/>
    <w:rsid w:val="000246D1"/>
    <w:rsid w:val="000254ED"/>
    <w:rsid w:val="00025BD0"/>
    <w:rsid w:val="00025C99"/>
    <w:rsid w:val="00025DE8"/>
    <w:rsid w:val="00025E6C"/>
    <w:rsid w:val="0002651F"/>
    <w:rsid w:val="00026B6E"/>
    <w:rsid w:val="00026DE4"/>
    <w:rsid w:val="0002705B"/>
    <w:rsid w:val="0002753D"/>
    <w:rsid w:val="00030A4F"/>
    <w:rsid w:val="00030B17"/>
    <w:rsid w:val="00030DEF"/>
    <w:rsid w:val="00031210"/>
    <w:rsid w:val="00031260"/>
    <w:rsid w:val="0003198B"/>
    <w:rsid w:val="00031C78"/>
    <w:rsid w:val="00031F48"/>
    <w:rsid w:val="000323F1"/>
    <w:rsid w:val="00032806"/>
    <w:rsid w:val="0003281B"/>
    <w:rsid w:val="000342EF"/>
    <w:rsid w:val="00034A62"/>
    <w:rsid w:val="00034D45"/>
    <w:rsid w:val="0003521B"/>
    <w:rsid w:val="0003558A"/>
    <w:rsid w:val="000356FD"/>
    <w:rsid w:val="0003579C"/>
    <w:rsid w:val="00035B4F"/>
    <w:rsid w:val="00035FA5"/>
    <w:rsid w:val="00036013"/>
    <w:rsid w:val="000367D1"/>
    <w:rsid w:val="0003681A"/>
    <w:rsid w:val="000369A9"/>
    <w:rsid w:val="0003705A"/>
    <w:rsid w:val="000372C4"/>
    <w:rsid w:val="00037589"/>
    <w:rsid w:val="00037A95"/>
    <w:rsid w:val="00040641"/>
    <w:rsid w:val="000408F3"/>
    <w:rsid w:val="00040EBF"/>
    <w:rsid w:val="00041485"/>
    <w:rsid w:val="00042448"/>
    <w:rsid w:val="000425B5"/>
    <w:rsid w:val="0004285D"/>
    <w:rsid w:val="0004365F"/>
    <w:rsid w:val="0004423E"/>
    <w:rsid w:val="00044E84"/>
    <w:rsid w:val="0004685C"/>
    <w:rsid w:val="00051D9E"/>
    <w:rsid w:val="000523E3"/>
    <w:rsid w:val="000525AF"/>
    <w:rsid w:val="00052C5C"/>
    <w:rsid w:val="00052F8B"/>
    <w:rsid w:val="000530BB"/>
    <w:rsid w:val="0005334E"/>
    <w:rsid w:val="00053975"/>
    <w:rsid w:val="00054212"/>
    <w:rsid w:val="00054B7F"/>
    <w:rsid w:val="0005543A"/>
    <w:rsid w:val="00055594"/>
    <w:rsid w:val="0005562B"/>
    <w:rsid w:val="000559D5"/>
    <w:rsid w:val="00056588"/>
    <w:rsid w:val="0005667E"/>
    <w:rsid w:val="000572B0"/>
    <w:rsid w:val="000578FF"/>
    <w:rsid w:val="00060209"/>
    <w:rsid w:val="0006074C"/>
    <w:rsid w:val="0006115C"/>
    <w:rsid w:val="00061ABB"/>
    <w:rsid w:val="00061EC2"/>
    <w:rsid w:val="00062696"/>
    <w:rsid w:val="00063298"/>
    <w:rsid w:val="00063564"/>
    <w:rsid w:val="00063814"/>
    <w:rsid w:val="00063B8F"/>
    <w:rsid w:val="000641D8"/>
    <w:rsid w:val="000646EA"/>
    <w:rsid w:val="00064FEE"/>
    <w:rsid w:val="00065128"/>
    <w:rsid w:val="0006514E"/>
    <w:rsid w:val="00066913"/>
    <w:rsid w:val="00066E96"/>
    <w:rsid w:val="0006701C"/>
    <w:rsid w:val="000671AF"/>
    <w:rsid w:val="00067A02"/>
    <w:rsid w:val="000705CF"/>
    <w:rsid w:val="00070948"/>
    <w:rsid w:val="000716F1"/>
    <w:rsid w:val="00071AB3"/>
    <w:rsid w:val="00071B88"/>
    <w:rsid w:val="00071E83"/>
    <w:rsid w:val="00071FF0"/>
    <w:rsid w:val="00072B82"/>
    <w:rsid w:val="00072BC3"/>
    <w:rsid w:val="00072F7D"/>
    <w:rsid w:val="00073437"/>
    <w:rsid w:val="000738F7"/>
    <w:rsid w:val="00073AFE"/>
    <w:rsid w:val="00073BF2"/>
    <w:rsid w:val="00074126"/>
    <w:rsid w:val="00074F58"/>
    <w:rsid w:val="00075C28"/>
    <w:rsid w:val="00075D7A"/>
    <w:rsid w:val="00075D92"/>
    <w:rsid w:val="00075E88"/>
    <w:rsid w:val="00076AF1"/>
    <w:rsid w:val="00076C31"/>
    <w:rsid w:val="0007704E"/>
    <w:rsid w:val="00077311"/>
    <w:rsid w:val="000773C7"/>
    <w:rsid w:val="00077624"/>
    <w:rsid w:val="0008008A"/>
    <w:rsid w:val="00080421"/>
    <w:rsid w:val="00080BEB"/>
    <w:rsid w:val="00080ED0"/>
    <w:rsid w:val="000832B4"/>
    <w:rsid w:val="000833C7"/>
    <w:rsid w:val="00083A79"/>
    <w:rsid w:val="00083C48"/>
    <w:rsid w:val="0008444D"/>
    <w:rsid w:val="000844A6"/>
    <w:rsid w:val="00084712"/>
    <w:rsid w:val="0008535A"/>
    <w:rsid w:val="000855D9"/>
    <w:rsid w:val="00085678"/>
    <w:rsid w:val="0008573C"/>
    <w:rsid w:val="000858B1"/>
    <w:rsid w:val="00085919"/>
    <w:rsid w:val="00085B8F"/>
    <w:rsid w:val="00086632"/>
    <w:rsid w:val="000867B9"/>
    <w:rsid w:val="00086C6A"/>
    <w:rsid w:val="00086EEF"/>
    <w:rsid w:val="000879FE"/>
    <w:rsid w:val="00087CB4"/>
    <w:rsid w:val="00090481"/>
    <w:rsid w:val="00090E80"/>
    <w:rsid w:val="00091372"/>
    <w:rsid w:val="00091525"/>
    <w:rsid w:val="00091ABA"/>
    <w:rsid w:val="00091EC9"/>
    <w:rsid w:val="00092AFC"/>
    <w:rsid w:val="00093070"/>
    <w:rsid w:val="00093591"/>
    <w:rsid w:val="00093F28"/>
    <w:rsid w:val="000947F0"/>
    <w:rsid w:val="00094AE0"/>
    <w:rsid w:val="00094E35"/>
    <w:rsid w:val="00095D72"/>
    <w:rsid w:val="00097383"/>
    <w:rsid w:val="0009752D"/>
    <w:rsid w:val="000977F4"/>
    <w:rsid w:val="00097D1D"/>
    <w:rsid w:val="000A0215"/>
    <w:rsid w:val="000A085A"/>
    <w:rsid w:val="000A0B15"/>
    <w:rsid w:val="000A100C"/>
    <w:rsid w:val="000A1945"/>
    <w:rsid w:val="000A1B5A"/>
    <w:rsid w:val="000A1F51"/>
    <w:rsid w:val="000A2D1C"/>
    <w:rsid w:val="000A35F2"/>
    <w:rsid w:val="000A395C"/>
    <w:rsid w:val="000A3B8A"/>
    <w:rsid w:val="000A3F7C"/>
    <w:rsid w:val="000A4AE2"/>
    <w:rsid w:val="000A4DA7"/>
    <w:rsid w:val="000A515E"/>
    <w:rsid w:val="000A5709"/>
    <w:rsid w:val="000A57C9"/>
    <w:rsid w:val="000A678F"/>
    <w:rsid w:val="000A6C26"/>
    <w:rsid w:val="000A702A"/>
    <w:rsid w:val="000A73FF"/>
    <w:rsid w:val="000A77E9"/>
    <w:rsid w:val="000A79C7"/>
    <w:rsid w:val="000A7F76"/>
    <w:rsid w:val="000B1117"/>
    <w:rsid w:val="000B150F"/>
    <w:rsid w:val="000B1C9A"/>
    <w:rsid w:val="000B1F7E"/>
    <w:rsid w:val="000B210B"/>
    <w:rsid w:val="000B2354"/>
    <w:rsid w:val="000B26EA"/>
    <w:rsid w:val="000B2E5E"/>
    <w:rsid w:val="000B33A2"/>
    <w:rsid w:val="000B3497"/>
    <w:rsid w:val="000B3653"/>
    <w:rsid w:val="000B45A8"/>
    <w:rsid w:val="000B5092"/>
    <w:rsid w:val="000B54DE"/>
    <w:rsid w:val="000B6243"/>
    <w:rsid w:val="000B65F8"/>
    <w:rsid w:val="000B6859"/>
    <w:rsid w:val="000B6AB4"/>
    <w:rsid w:val="000B6EFF"/>
    <w:rsid w:val="000B7166"/>
    <w:rsid w:val="000B724F"/>
    <w:rsid w:val="000B72AC"/>
    <w:rsid w:val="000B77C7"/>
    <w:rsid w:val="000C0307"/>
    <w:rsid w:val="000C0D42"/>
    <w:rsid w:val="000C1C76"/>
    <w:rsid w:val="000C2045"/>
    <w:rsid w:val="000C24D7"/>
    <w:rsid w:val="000C2B46"/>
    <w:rsid w:val="000C35AD"/>
    <w:rsid w:val="000C37BA"/>
    <w:rsid w:val="000C404A"/>
    <w:rsid w:val="000C4C72"/>
    <w:rsid w:val="000C5E07"/>
    <w:rsid w:val="000C5ED0"/>
    <w:rsid w:val="000C5F47"/>
    <w:rsid w:val="000C66FE"/>
    <w:rsid w:val="000C701C"/>
    <w:rsid w:val="000D1006"/>
    <w:rsid w:val="000D166C"/>
    <w:rsid w:val="000D1803"/>
    <w:rsid w:val="000D1953"/>
    <w:rsid w:val="000D3ED0"/>
    <w:rsid w:val="000D4320"/>
    <w:rsid w:val="000D4461"/>
    <w:rsid w:val="000D499F"/>
    <w:rsid w:val="000D52A4"/>
    <w:rsid w:val="000D5AD2"/>
    <w:rsid w:val="000D5CCA"/>
    <w:rsid w:val="000D7302"/>
    <w:rsid w:val="000D74A6"/>
    <w:rsid w:val="000D75E8"/>
    <w:rsid w:val="000E07BC"/>
    <w:rsid w:val="000E0F96"/>
    <w:rsid w:val="000E10EB"/>
    <w:rsid w:val="000E1D9F"/>
    <w:rsid w:val="000E2649"/>
    <w:rsid w:val="000E303F"/>
    <w:rsid w:val="000E39C8"/>
    <w:rsid w:val="000E3C6F"/>
    <w:rsid w:val="000E47C0"/>
    <w:rsid w:val="000E5725"/>
    <w:rsid w:val="000E69FC"/>
    <w:rsid w:val="000E6CF9"/>
    <w:rsid w:val="000E6D8D"/>
    <w:rsid w:val="000E7A7F"/>
    <w:rsid w:val="000F0445"/>
    <w:rsid w:val="000F075F"/>
    <w:rsid w:val="000F0A33"/>
    <w:rsid w:val="000F0EEE"/>
    <w:rsid w:val="000F1006"/>
    <w:rsid w:val="000F10E5"/>
    <w:rsid w:val="000F1CD4"/>
    <w:rsid w:val="000F237A"/>
    <w:rsid w:val="000F2A93"/>
    <w:rsid w:val="000F3529"/>
    <w:rsid w:val="000F35B6"/>
    <w:rsid w:val="000F381C"/>
    <w:rsid w:val="000F3856"/>
    <w:rsid w:val="000F3A94"/>
    <w:rsid w:val="000F3FD2"/>
    <w:rsid w:val="000F4103"/>
    <w:rsid w:val="000F41BE"/>
    <w:rsid w:val="000F42F1"/>
    <w:rsid w:val="000F459A"/>
    <w:rsid w:val="000F4C0B"/>
    <w:rsid w:val="000F4D07"/>
    <w:rsid w:val="000F59E1"/>
    <w:rsid w:val="000F5D2B"/>
    <w:rsid w:val="000F5F95"/>
    <w:rsid w:val="000F629C"/>
    <w:rsid w:val="000F70A7"/>
    <w:rsid w:val="000F74A3"/>
    <w:rsid w:val="000F75E5"/>
    <w:rsid w:val="000F7AD8"/>
    <w:rsid w:val="00100890"/>
    <w:rsid w:val="00100DBE"/>
    <w:rsid w:val="00101107"/>
    <w:rsid w:val="0010137B"/>
    <w:rsid w:val="001017F6"/>
    <w:rsid w:val="00101BDD"/>
    <w:rsid w:val="00102137"/>
    <w:rsid w:val="001021C8"/>
    <w:rsid w:val="0010226A"/>
    <w:rsid w:val="001031A9"/>
    <w:rsid w:val="00103209"/>
    <w:rsid w:val="00103A58"/>
    <w:rsid w:val="00104830"/>
    <w:rsid w:val="00105650"/>
    <w:rsid w:val="0010581D"/>
    <w:rsid w:val="00105FCD"/>
    <w:rsid w:val="00106498"/>
    <w:rsid w:val="0010693A"/>
    <w:rsid w:val="00106B0B"/>
    <w:rsid w:val="001071A5"/>
    <w:rsid w:val="00107256"/>
    <w:rsid w:val="001074CD"/>
    <w:rsid w:val="00107842"/>
    <w:rsid w:val="00107911"/>
    <w:rsid w:val="001101CA"/>
    <w:rsid w:val="001104FC"/>
    <w:rsid w:val="00110B18"/>
    <w:rsid w:val="001112D6"/>
    <w:rsid w:val="0011269F"/>
    <w:rsid w:val="001133DA"/>
    <w:rsid w:val="00113964"/>
    <w:rsid w:val="00113969"/>
    <w:rsid w:val="00113CCA"/>
    <w:rsid w:val="00114377"/>
    <w:rsid w:val="00114B0E"/>
    <w:rsid w:val="00114C45"/>
    <w:rsid w:val="00114C6B"/>
    <w:rsid w:val="001153A1"/>
    <w:rsid w:val="00115770"/>
    <w:rsid w:val="00115B30"/>
    <w:rsid w:val="00115E60"/>
    <w:rsid w:val="001165DB"/>
    <w:rsid w:val="00116827"/>
    <w:rsid w:val="00116A4D"/>
    <w:rsid w:val="00116B0B"/>
    <w:rsid w:val="001170BD"/>
    <w:rsid w:val="001174F1"/>
    <w:rsid w:val="001176FC"/>
    <w:rsid w:val="00117768"/>
    <w:rsid w:val="00117B3D"/>
    <w:rsid w:val="00117F57"/>
    <w:rsid w:val="0012193F"/>
    <w:rsid w:val="00121F6C"/>
    <w:rsid w:val="001222D9"/>
    <w:rsid w:val="001226AE"/>
    <w:rsid w:val="00122DDA"/>
    <w:rsid w:val="00122F25"/>
    <w:rsid w:val="0012436C"/>
    <w:rsid w:val="0012445B"/>
    <w:rsid w:val="0012501F"/>
    <w:rsid w:val="001257A8"/>
    <w:rsid w:val="00125C06"/>
    <w:rsid w:val="00126C82"/>
    <w:rsid w:val="00127163"/>
    <w:rsid w:val="00127706"/>
    <w:rsid w:val="00127F32"/>
    <w:rsid w:val="0013042B"/>
    <w:rsid w:val="00130568"/>
    <w:rsid w:val="0013143E"/>
    <w:rsid w:val="001317CE"/>
    <w:rsid w:val="00131CB8"/>
    <w:rsid w:val="001334B8"/>
    <w:rsid w:val="001338CB"/>
    <w:rsid w:val="00133B75"/>
    <w:rsid w:val="00133BEB"/>
    <w:rsid w:val="00133F76"/>
    <w:rsid w:val="001344A8"/>
    <w:rsid w:val="00134FF0"/>
    <w:rsid w:val="00135307"/>
    <w:rsid w:val="00135477"/>
    <w:rsid w:val="00135639"/>
    <w:rsid w:val="001356C5"/>
    <w:rsid w:val="001356E7"/>
    <w:rsid w:val="00135980"/>
    <w:rsid w:val="00135DC4"/>
    <w:rsid w:val="00135F83"/>
    <w:rsid w:val="0013692A"/>
    <w:rsid w:val="00136F3D"/>
    <w:rsid w:val="001374A2"/>
    <w:rsid w:val="00137DF2"/>
    <w:rsid w:val="00140B71"/>
    <w:rsid w:val="00140E31"/>
    <w:rsid w:val="001417A6"/>
    <w:rsid w:val="00141CE9"/>
    <w:rsid w:val="001424DD"/>
    <w:rsid w:val="001425EA"/>
    <w:rsid w:val="001428AB"/>
    <w:rsid w:val="00142AC9"/>
    <w:rsid w:val="00142DD9"/>
    <w:rsid w:val="0014337E"/>
    <w:rsid w:val="00143BFE"/>
    <w:rsid w:val="00143C47"/>
    <w:rsid w:val="00144747"/>
    <w:rsid w:val="00144E28"/>
    <w:rsid w:val="00145544"/>
    <w:rsid w:val="00145560"/>
    <w:rsid w:val="00146374"/>
    <w:rsid w:val="00146599"/>
    <w:rsid w:val="001466DE"/>
    <w:rsid w:val="00147277"/>
    <w:rsid w:val="00147563"/>
    <w:rsid w:val="00150286"/>
    <w:rsid w:val="00150442"/>
    <w:rsid w:val="001505EC"/>
    <w:rsid w:val="00150657"/>
    <w:rsid w:val="00150D2F"/>
    <w:rsid w:val="00150D69"/>
    <w:rsid w:val="00150FE7"/>
    <w:rsid w:val="0015151E"/>
    <w:rsid w:val="001522BF"/>
    <w:rsid w:val="0015266E"/>
    <w:rsid w:val="0015273D"/>
    <w:rsid w:val="00152B7B"/>
    <w:rsid w:val="00152C03"/>
    <w:rsid w:val="00152CD8"/>
    <w:rsid w:val="001534E9"/>
    <w:rsid w:val="00153CDA"/>
    <w:rsid w:val="00153EC0"/>
    <w:rsid w:val="0015427C"/>
    <w:rsid w:val="0015473F"/>
    <w:rsid w:val="00154CDF"/>
    <w:rsid w:val="00154D78"/>
    <w:rsid w:val="00154E68"/>
    <w:rsid w:val="001559D1"/>
    <w:rsid w:val="00155E21"/>
    <w:rsid w:val="00155FFF"/>
    <w:rsid w:val="00156438"/>
    <w:rsid w:val="0015652E"/>
    <w:rsid w:val="001567FE"/>
    <w:rsid w:val="00157089"/>
    <w:rsid w:val="0015730A"/>
    <w:rsid w:val="00157B75"/>
    <w:rsid w:val="001602D5"/>
    <w:rsid w:val="001613FF"/>
    <w:rsid w:val="001618A3"/>
    <w:rsid w:val="001623CA"/>
    <w:rsid w:val="00162589"/>
    <w:rsid w:val="001629F5"/>
    <w:rsid w:val="00162F97"/>
    <w:rsid w:val="001633F0"/>
    <w:rsid w:val="00163DED"/>
    <w:rsid w:val="001640F8"/>
    <w:rsid w:val="00164537"/>
    <w:rsid w:val="00164719"/>
    <w:rsid w:val="00164CA4"/>
    <w:rsid w:val="00164D31"/>
    <w:rsid w:val="00164D5D"/>
    <w:rsid w:val="00164E2C"/>
    <w:rsid w:val="00164E64"/>
    <w:rsid w:val="001651AB"/>
    <w:rsid w:val="0016597F"/>
    <w:rsid w:val="00165FAA"/>
    <w:rsid w:val="001661B0"/>
    <w:rsid w:val="00166EF4"/>
    <w:rsid w:val="00166FC4"/>
    <w:rsid w:val="00167433"/>
    <w:rsid w:val="00167694"/>
    <w:rsid w:val="001677AC"/>
    <w:rsid w:val="001677F3"/>
    <w:rsid w:val="00167CBE"/>
    <w:rsid w:val="00167D43"/>
    <w:rsid w:val="00167DB2"/>
    <w:rsid w:val="00167E10"/>
    <w:rsid w:val="00170929"/>
    <w:rsid w:val="00171396"/>
    <w:rsid w:val="00171D7C"/>
    <w:rsid w:val="00172A42"/>
    <w:rsid w:val="00172B6F"/>
    <w:rsid w:val="0017372D"/>
    <w:rsid w:val="00173879"/>
    <w:rsid w:val="0017387F"/>
    <w:rsid w:val="00174063"/>
    <w:rsid w:val="001740E8"/>
    <w:rsid w:val="0017412B"/>
    <w:rsid w:val="00174185"/>
    <w:rsid w:val="001753B7"/>
    <w:rsid w:val="00175677"/>
    <w:rsid w:val="0017615C"/>
    <w:rsid w:val="00176DD2"/>
    <w:rsid w:val="001770D3"/>
    <w:rsid w:val="00177132"/>
    <w:rsid w:val="001772B2"/>
    <w:rsid w:val="00177CD4"/>
    <w:rsid w:val="00177EA9"/>
    <w:rsid w:val="00177EEA"/>
    <w:rsid w:val="001804EA"/>
    <w:rsid w:val="00180907"/>
    <w:rsid w:val="00180D2A"/>
    <w:rsid w:val="00180FCF"/>
    <w:rsid w:val="001812D7"/>
    <w:rsid w:val="001822F4"/>
    <w:rsid w:val="00182584"/>
    <w:rsid w:val="00182806"/>
    <w:rsid w:val="001828D7"/>
    <w:rsid w:val="00182B3D"/>
    <w:rsid w:val="001835CC"/>
    <w:rsid w:val="00183F0F"/>
    <w:rsid w:val="0018449F"/>
    <w:rsid w:val="0018461F"/>
    <w:rsid w:val="00184DE9"/>
    <w:rsid w:val="00185088"/>
    <w:rsid w:val="00186B1A"/>
    <w:rsid w:val="001872BD"/>
    <w:rsid w:val="00187881"/>
    <w:rsid w:val="00190A61"/>
    <w:rsid w:val="00190CD4"/>
    <w:rsid w:val="00193970"/>
    <w:rsid w:val="00193CA3"/>
    <w:rsid w:val="0019400B"/>
    <w:rsid w:val="001951D5"/>
    <w:rsid w:val="0019582F"/>
    <w:rsid w:val="00195D81"/>
    <w:rsid w:val="00195F11"/>
    <w:rsid w:val="00197090"/>
    <w:rsid w:val="00197EB3"/>
    <w:rsid w:val="001A0303"/>
    <w:rsid w:val="001A05EF"/>
    <w:rsid w:val="001A0D3C"/>
    <w:rsid w:val="001A0F78"/>
    <w:rsid w:val="001A15D3"/>
    <w:rsid w:val="001A1A5D"/>
    <w:rsid w:val="001A1F6F"/>
    <w:rsid w:val="001A3342"/>
    <w:rsid w:val="001A34A2"/>
    <w:rsid w:val="001A3858"/>
    <w:rsid w:val="001A3E3D"/>
    <w:rsid w:val="001A4141"/>
    <w:rsid w:val="001A4393"/>
    <w:rsid w:val="001A52B8"/>
    <w:rsid w:val="001A7049"/>
    <w:rsid w:val="001A704E"/>
    <w:rsid w:val="001A72E4"/>
    <w:rsid w:val="001B0542"/>
    <w:rsid w:val="001B07E7"/>
    <w:rsid w:val="001B0FA7"/>
    <w:rsid w:val="001B11C8"/>
    <w:rsid w:val="001B190F"/>
    <w:rsid w:val="001B1B94"/>
    <w:rsid w:val="001B1D88"/>
    <w:rsid w:val="001B1E40"/>
    <w:rsid w:val="001B1F4D"/>
    <w:rsid w:val="001B2371"/>
    <w:rsid w:val="001B288F"/>
    <w:rsid w:val="001B2C03"/>
    <w:rsid w:val="001B405C"/>
    <w:rsid w:val="001B419C"/>
    <w:rsid w:val="001B4B3F"/>
    <w:rsid w:val="001B559F"/>
    <w:rsid w:val="001B59B9"/>
    <w:rsid w:val="001B5A33"/>
    <w:rsid w:val="001B6393"/>
    <w:rsid w:val="001B6487"/>
    <w:rsid w:val="001B6EFB"/>
    <w:rsid w:val="001B75E7"/>
    <w:rsid w:val="001B760B"/>
    <w:rsid w:val="001B7900"/>
    <w:rsid w:val="001B7B4A"/>
    <w:rsid w:val="001B7E44"/>
    <w:rsid w:val="001C0A54"/>
    <w:rsid w:val="001C0AE3"/>
    <w:rsid w:val="001C1262"/>
    <w:rsid w:val="001C1AF8"/>
    <w:rsid w:val="001C2BC9"/>
    <w:rsid w:val="001C2CDA"/>
    <w:rsid w:val="001C2F8B"/>
    <w:rsid w:val="001C3538"/>
    <w:rsid w:val="001C387E"/>
    <w:rsid w:val="001C3BA1"/>
    <w:rsid w:val="001C3C80"/>
    <w:rsid w:val="001C3CC2"/>
    <w:rsid w:val="001C3EA4"/>
    <w:rsid w:val="001C404A"/>
    <w:rsid w:val="001C4888"/>
    <w:rsid w:val="001C4D58"/>
    <w:rsid w:val="001C4E7E"/>
    <w:rsid w:val="001C5295"/>
    <w:rsid w:val="001C534E"/>
    <w:rsid w:val="001C5375"/>
    <w:rsid w:val="001C5684"/>
    <w:rsid w:val="001C5BAB"/>
    <w:rsid w:val="001C5DD2"/>
    <w:rsid w:val="001C5EC6"/>
    <w:rsid w:val="001C692F"/>
    <w:rsid w:val="001C7099"/>
    <w:rsid w:val="001C722A"/>
    <w:rsid w:val="001C75C1"/>
    <w:rsid w:val="001C764E"/>
    <w:rsid w:val="001C78A2"/>
    <w:rsid w:val="001C79DE"/>
    <w:rsid w:val="001C7A21"/>
    <w:rsid w:val="001D17E6"/>
    <w:rsid w:val="001D17F0"/>
    <w:rsid w:val="001D1ABB"/>
    <w:rsid w:val="001D1DD9"/>
    <w:rsid w:val="001D2245"/>
    <w:rsid w:val="001D30AC"/>
    <w:rsid w:val="001D42F0"/>
    <w:rsid w:val="001D45BC"/>
    <w:rsid w:val="001D4BFD"/>
    <w:rsid w:val="001D5199"/>
    <w:rsid w:val="001D58D1"/>
    <w:rsid w:val="001D6315"/>
    <w:rsid w:val="001D6CF3"/>
    <w:rsid w:val="001D6DFC"/>
    <w:rsid w:val="001D799C"/>
    <w:rsid w:val="001E040B"/>
    <w:rsid w:val="001E0659"/>
    <w:rsid w:val="001E0B57"/>
    <w:rsid w:val="001E1052"/>
    <w:rsid w:val="001E1896"/>
    <w:rsid w:val="001E21B1"/>
    <w:rsid w:val="001E224C"/>
    <w:rsid w:val="001E2416"/>
    <w:rsid w:val="001E2AC2"/>
    <w:rsid w:val="001E2E76"/>
    <w:rsid w:val="001E2F93"/>
    <w:rsid w:val="001E3868"/>
    <w:rsid w:val="001E3933"/>
    <w:rsid w:val="001E3BFD"/>
    <w:rsid w:val="001E3F16"/>
    <w:rsid w:val="001E5B6C"/>
    <w:rsid w:val="001E61E5"/>
    <w:rsid w:val="001E6561"/>
    <w:rsid w:val="001E656F"/>
    <w:rsid w:val="001E72FE"/>
    <w:rsid w:val="001E7825"/>
    <w:rsid w:val="001E7D3C"/>
    <w:rsid w:val="001F038C"/>
    <w:rsid w:val="001F0BD9"/>
    <w:rsid w:val="001F0C8C"/>
    <w:rsid w:val="001F1225"/>
    <w:rsid w:val="001F1395"/>
    <w:rsid w:val="001F13AA"/>
    <w:rsid w:val="001F1F10"/>
    <w:rsid w:val="001F2066"/>
    <w:rsid w:val="001F2159"/>
    <w:rsid w:val="001F234F"/>
    <w:rsid w:val="001F2635"/>
    <w:rsid w:val="001F2834"/>
    <w:rsid w:val="001F2AF9"/>
    <w:rsid w:val="001F2F99"/>
    <w:rsid w:val="001F39EF"/>
    <w:rsid w:val="001F5697"/>
    <w:rsid w:val="001F5CC9"/>
    <w:rsid w:val="001F63D4"/>
    <w:rsid w:val="001F65F5"/>
    <w:rsid w:val="001F6642"/>
    <w:rsid w:val="001F7610"/>
    <w:rsid w:val="002002A7"/>
    <w:rsid w:val="00200DCD"/>
    <w:rsid w:val="00201485"/>
    <w:rsid w:val="00201495"/>
    <w:rsid w:val="00201B6A"/>
    <w:rsid w:val="0020221F"/>
    <w:rsid w:val="002023C6"/>
    <w:rsid w:val="00203320"/>
    <w:rsid w:val="00203378"/>
    <w:rsid w:val="0020431B"/>
    <w:rsid w:val="0020468A"/>
    <w:rsid w:val="00205182"/>
    <w:rsid w:val="002053ED"/>
    <w:rsid w:val="00205FEF"/>
    <w:rsid w:val="0020692C"/>
    <w:rsid w:val="00206972"/>
    <w:rsid w:val="00206F3E"/>
    <w:rsid w:val="00206F95"/>
    <w:rsid w:val="00207150"/>
    <w:rsid w:val="002076F6"/>
    <w:rsid w:val="00207CA9"/>
    <w:rsid w:val="00207E0D"/>
    <w:rsid w:val="0021034F"/>
    <w:rsid w:val="00210A15"/>
    <w:rsid w:val="00210CD7"/>
    <w:rsid w:val="002113F4"/>
    <w:rsid w:val="002119D1"/>
    <w:rsid w:val="00211D09"/>
    <w:rsid w:val="00212CA9"/>
    <w:rsid w:val="00212E61"/>
    <w:rsid w:val="002144EB"/>
    <w:rsid w:val="002145C8"/>
    <w:rsid w:val="00214863"/>
    <w:rsid w:val="00214A7E"/>
    <w:rsid w:val="00214F70"/>
    <w:rsid w:val="002152F4"/>
    <w:rsid w:val="002156B4"/>
    <w:rsid w:val="00215D1B"/>
    <w:rsid w:val="00216433"/>
    <w:rsid w:val="00216464"/>
    <w:rsid w:val="00216C20"/>
    <w:rsid w:val="002174E7"/>
    <w:rsid w:val="00217BE6"/>
    <w:rsid w:val="00217C19"/>
    <w:rsid w:val="00217C90"/>
    <w:rsid w:val="00217FC1"/>
    <w:rsid w:val="00220A35"/>
    <w:rsid w:val="00221042"/>
    <w:rsid w:val="00221B43"/>
    <w:rsid w:val="00224D86"/>
    <w:rsid w:val="00225B08"/>
    <w:rsid w:val="0022625A"/>
    <w:rsid w:val="00226E55"/>
    <w:rsid w:val="0022728D"/>
    <w:rsid w:val="00227457"/>
    <w:rsid w:val="00227C96"/>
    <w:rsid w:val="00227CDC"/>
    <w:rsid w:val="002305CD"/>
    <w:rsid w:val="002309A7"/>
    <w:rsid w:val="00230A5F"/>
    <w:rsid w:val="00230B0F"/>
    <w:rsid w:val="00230C17"/>
    <w:rsid w:val="00230D34"/>
    <w:rsid w:val="00231118"/>
    <w:rsid w:val="00231510"/>
    <w:rsid w:val="002317EA"/>
    <w:rsid w:val="0023269D"/>
    <w:rsid w:val="00232F2F"/>
    <w:rsid w:val="00233125"/>
    <w:rsid w:val="002336BB"/>
    <w:rsid w:val="00233861"/>
    <w:rsid w:val="002342F9"/>
    <w:rsid w:val="0023463A"/>
    <w:rsid w:val="002347B8"/>
    <w:rsid w:val="002349C6"/>
    <w:rsid w:val="00234A33"/>
    <w:rsid w:val="00234E8A"/>
    <w:rsid w:val="00235B09"/>
    <w:rsid w:val="002362D9"/>
    <w:rsid w:val="002369F1"/>
    <w:rsid w:val="00237408"/>
    <w:rsid w:val="002374AF"/>
    <w:rsid w:val="0023794D"/>
    <w:rsid w:val="00237D35"/>
    <w:rsid w:val="002403B5"/>
    <w:rsid w:val="00240879"/>
    <w:rsid w:val="002408E4"/>
    <w:rsid w:val="002409CA"/>
    <w:rsid w:val="00240EB6"/>
    <w:rsid w:val="00241392"/>
    <w:rsid w:val="002418FA"/>
    <w:rsid w:val="0024284C"/>
    <w:rsid w:val="00242D0C"/>
    <w:rsid w:val="002430B8"/>
    <w:rsid w:val="002430D0"/>
    <w:rsid w:val="002432D0"/>
    <w:rsid w:val="00243B17"/>
    <w:rsid w:val="0024424C"/>
    <w:rsid w:val="00244EC0"/>
    <w:rsid w:val="00245156"/>
    <w:rsid w:val="0024542F"/>
    <w:rsid w:val="0024551D"/>
    <w:rsid w:val="0024576F"/>
    <w:rsid w:val="00246075"/>
    <w:rsid w:val="0024677D"/>
    <w:rsid w:val="00247216"/>
    <w:rsid w:val="00247326"/>
    <w:rsid w:val="002474D4"/>
    <w:rsid w:val="00247694"/>
    <w:rsid w:val="0024780E"/>
    <w:rsid w:val="00247946"/>
    <w:rsid w:val="00247BC5"/>
    <w:rsid w:val="00247EDA"/>
    <w:rsid w:val="00250578"/>
    <w:rsid w:val="00251160"/>
    <w:rsid w:val="00251293"/>
    <w:rsid w:val="0025129D"/>
    <w:rsid w:val="002515C4"/>
    <w:rsid w:val="00252A39"/>
    <w:rsid w:val="00252B47"/>
    <w:rsid w:val="00252CB4"/>
    <w:rsid w:val="00253222"/>
    <w:rsid w:val="00253344"/>
    <w:rsid w:val="002533D9"/>
    <w:rsid w:val="00253670"/>
    <w:rsid w:val="00253F4B"/>
    <w:rsid w:val="0025444B"/>
    <w:rsid w:val="002556A6"/>
    <w:rsid w:val="002559D7"/>
    <w:rsid w:val="00255B49"/>
    <w:rsid w:val="002561F0"/>
    <w:rsid w:val="0025635E"/>
    <w:rsid w:val="00256666"/>
    <w:rsid w:val="002576AB"/>
    <w:rsid w:val="00257C11"/>
    <w:rsid w:val="00257E5D"/>
    <w:rsid w:val="00260F1E"/>
    <w:rsid w:val="00261153"/>
    <w:rsid w:val="00261634"/>
    <w:rsid w:val="0026183C"/>
    <w:rsid w:val="00261B27"/>
    <w:rsid w:val="00261C3A"/>
    <w:rsid w:val="00261F6E"/>
    <w:rsid w:val="00262520"/>
    <w:rsid w:val="00262847"/>
    <w:rsid w:val="002635D0"/>
    <w:rsid w:val="00263932"/>
    <w:rsid w:val="00264E70"/>
    <w:rsid w:val="0026528F"/>
    <w:rsid w:val="00265293"/>
    <w:rsid w:val="002659D5"/>
    <w:rsid w:val="00265CAB"/>
    <w:rsid w:val="00265E7B"/>
    <w:rsid w:val="00266554"/>
    <w:rsid w:val="002670A9"/>
    <w:rsid w:val="00267ABA"/>
    <w:rsid w:val="00267B57"/>
    <w:rsid w:val="00267D3F"/>
    <w:rsid w:val="0027037E"/>
    <w:rsid w:val="002709B6"/>
    <w:rsid w:val="002713D0"/>
    <w:rsid w:val="00271BD1"/>
    <w:rsid w:val="00272083"/>
    <w:rsid w:val="00273327"/>
    <w:rsid w:val="002733AB"/>
    <w:rsid w:val="0027363C"/>
    <w:rsid w:val="00273BF5"/>
    <w:rsid w:val="00274478"/>
    <w:rsid w:val="00274D46"/>
    <w:rsid w:val="00275AF6"/>
    <w:rsid w:val="00275C23"/>
    <w:rsid w:val="00276121"/>
    <w:rsid w:val="0027626C"/>
    <w:rsid w:val="00276701"/>
    <w:rsid w:val="002767DA"/>
    <w:rsid w:val="0027700B"/>
    <w:rsid w:val="0027728D"/>
    <w:rsid w:val="0028028F"/>
    <w:rsid w:val="00280B05"/>
    <w:rsid w:val="00281BB2"/>
    <w:rsid w:val="00281C43"/>
    <w:rsid w:val="0028200F"/>
    <w:rsid w:val="0028230E"/>
    <w:rsid w:val="00282F2C"/>
    <w:rsid w:val="00283053"/>
    <w:rsid w:val="002831B4"/>
    <w:rsid w:val="002831D3"/>
    <w:rsid w:val="00283771"/>
    <w:rsid w:val="00283A86"/>
    <w:rsid w:val="00283DEA"/>
    <w:rsid w:val="00283EE9"/>
    <w:rsid w:val="00284847"/>
    <w:rsid w:val="00284858"/>
    <w:rsid w:val="0028491A"/>
    <w:rsid w:val="002850CA"/>
    <w:rsid w:val="00285448"/>
    <w:rsid w:val="00285472"/>
    <w:rsid w:val="00285BE3"/>
    <w:rsid w:val="00286039"/>
    <w:rsid w:val="00286045"/>
    <w:rsid w:val="002860F1"/>
    <w:rsid w:val="00286721"/>
    <w:rsid w:val="00286D8E"/>
    <w:rsid w:val="00286FBB"/>
    <w:rsid w:val="002879A1"/>
    <w:rsid w:val="00287E38"/>
    <w:rsid w:val="00290BBD"/>
    <w:rsid w:val="002912BF"/>
    <w:rsid w:val="0029137A"/>
    <w:rsid w:val="002916DA"/>
    <w:rsid w:val="00292198"/>
    <w:rsid w:val="002921B4"/>
    <w:rsid w:val="002921C0"/>
    <w:rsid w:val="002926FD"/>
    <w:rsid w:val="00292A8A"/>
    <w:rsid w:val="00292F5E"/>
    <w:rsid w:val="00293002"/>
    <w:rsid w:val="00293090"/>
    <w:rsid w:val="002935E1"/>
    <w:rsid w:val="002935EB"/>
    <w:rsid w:val="002943C9"/>
    <w:rsid w:val="0029446A"/>
    <w:rsid w:val="002945DA"/>
    <w:rsid w:val="00294BF3"/>
    <w:rsid w:val="00294FB3"/>
    <w:rsid w:val="00295176"/>
    <w:rsid w:val="00295852"/>
    <w:rsid w:val="00295A05"/>
    <w:rsid w:val="00295DB1"/>
    <w:rsid w:val="002967C2"/>
    <w:rsid w:val="0029731B"/>
    <w:rsid w:val="002973A8"/>
    <w:rsid w:val="00297B6F"/>
    <w:rsid w:val="00297BE1"/>
    <w:rsid w:val="00297FD0"/>
    <w:rsid w:val="002A0E81"/>
    <w:rsid w:val="002A28D6"/>
    <w:rsid w:val="002A2C56"/>
    <w:rsid w:val="002A31EF"/>
    <w:rsid w:val="002A3407"/>
    <w:rsid w:val="002A340A"/>
    <w:rsid w:val="002A42E8"/>
    <w:rsid w:val="002A5169"/>
    <w:rsid w:val="002A51DF"/>
    <w:rsid w:val="002A5435"/>
    <w:rsid w:val="002A5B02"/>
    <w:rsid w:val="002A5CBF"/>
    <w:rsid w:val="002A62FD"/>
    <w:rsid w:val="002A6716"/>
    <w:rsid w:val="002A671A"/>
    <w:rsid w:val="002A6D39"/>
    <w:rsid w:val="002A78CA"/>
    <w:rsid w:val="002A7ECB"/>
    <w:rsid w:val="002B08D9"/>
    <w:rsid w:val="002B0A87"/>
    <w:rsid w:val="002B0DCC"/>
    <w:rsid w:val="002B1766"/>
    <w:rsid w:val="002B1835"/>
    <w:rsid w:val="002B1C61"/>
    <w:rsid w:val="002B2E48"/>
    <w:rsid w:val="002B348D"/>
    <w:rsid w:val="002B3B54"/>
    <w:rsid w:val="002B489D"/>
    <w:rsid w:val="002B5058"/>
    <w:rsid w:val="002B50CB"/>
    <w:rsid w:val="002B54D8"/>
    <w:rsid w:val="002B588F"/>
    <w:rsid w:val="002B6442"/>
    <w:rsid w:val="002B68DB"/>
    <w:rsid w:val="002B69BF"/>
    <w:rsid w:val="002B6D8D"/>
    <w:rsid w:val="002B71BB"/>
    <w:rsid w:val="002B72B3"/>
    <w:rsid w:val="002B72E9"/>
    <w:rsid w:val="002B7BC7"/>
    <w:rsid w:val="002C02BE"/>
    <w:rsid w:val="002C083F"/>
    <w:rsid w:val="002C111D"/>
    <w:rsid w:val="002C11EE"/>
    <w:rsid w:val="002C1AC3"/>
    <w:rsid w:val="002C303D"/>
    <w:rsid w:val="002C3149"/>
    <w:rsid w:val="002C3A27"/>
    <w:rsid w:val="002C4159"/>
    <w:rsid w:val="002C4227"/>
    <w:rsid w:val="002C4859"/>
    <w:rsid w:val="002C5DB1"/>
    <w:rsid w:val="002C605B"/>
    <w:rsid w:val="002C6226"/>
    <w:rsid w:val="002C6927"/>
    <w:rsid w:val="002C6EDB"/>
    <w:rsid w:val="002C7306"/>
    <w:rsid w:val="002C7998"/>
    <w:rsid w:val="002C7D10"/>
    <w:rsid w:val="002D00E7"/>
    <w:rsid w:val="002D0270"/>
    <w:rsid w:val="002D0560"/>
    <w:rsid w:val="002D0DED"/>
    <w:rsid w:val="002D0E16"/>
    <w:rsid w:val="002D0FB4"/>
    <w:rsid w:val="002D1074"/>
    <w:rsid w:val="002D240D"/>
    <w:rsid w:val="002D260B"/>
    <w:rsid w:val="002D29FA"/>
    <w:rsid w:val="002D2C37"/>
    <w:rsid w:val="002D334F"/>
    <w:rsid w:val="002D36D6"/>
    <w:rsid w:val="002D554C"/>
    <w:rsid w:val="002D6200"/>
    <w:rsid w:val="002D6567"/>
    <w:rsid w:val="002D7221"/>
    <w:rsid w:val="002D79E5"/>
    <w:rsid w:val="002E05E1"/>
    <w:rsid w:val="002E1B0E"/>
    <w:rsid w:val="002E2769"/>
    <w:rsid w:val="002E2C71"/>
    <w:rsid w:val="002E2D06"/>
    <w:rsid w:val="002E37AC"/>
    <w:rsid w:val="002E3FEF"/>
    <w:rsid w:val="002E4FBB"/>
    <w:rsid w:val="002E51CA"/>
    <w:rsid w:val="002E54E1"/>
    <w:rsid w:val="002E5542"/>
    <w:rsid w:val="002E556B"/>
    <w:rsid w:val="002E65F9"/>
    <w:rsid w:val="002E6AD2"/>
    <w:rsid w:val="002E7740"/>
    <w:rsid w:val="002E786A"/>
    <w:rsid w:val="002E7FA4"/>
    <w:rsid w:val="002F02F8"/>
    <w:rsid w:val="002F0A0C"/>
    <w:rsid w:val="002F12CA"/>
    <w:rsid w:val="002F1A2F"/>
    <w:rsid w:val="002F1B89"/>
    <w:rsid w:val="002F1BBF"/>
    <w:rsid w:val="002F1E53"/>
    <w:rsid w:val="002F263D"/>
    <w:rsid w:val="002F2912"/>
    <w:rsid w:val="002F2B38"/>
    <w:rsid w:val="002F2B44"/>
    <w:rsid w:val="002F2CAA"/>
    <w:rsid w:val="002F31A7"/>
    <w:rsid w:val="002F34BF"/>
    <w:rsid w:val="002F34DD"/>
    <w:rsid w:val="002F3628"/>
    <w:rsid w:val="002F3AD8"/>
    <w:rsid w:val="002F3C91"/>
    <w:rsid w:val="002F3DFA"/>
    <w:rsid w:val="002F4A45"/>
    <w:rsid w:val="002F4AA3"/>
    <w:rsid w:val="002F4BC9"/>
    <w:rsid w:val="002F4EC4"/>
    <w:rsid w:val="002F5479"/>
    <w:rsid w:val="002F5DF4"/>
    <w:rsid w:val="002F6E22"/>
    <w:rsid w:val="002F722B"/>
    <w:rsid w:val="002F7E1F"/>
    <w:rsid w:val="0030026C"/>
    <w:rsid w:val="0030052C"/>
    <w:rsid w:val="00301BC4"/>
    <w:rsid w:val="00301C5F"/>
    <w:rsid w:val="00301C94"/>
    <w:rsid w:val="00302004"/>
    <w:rsid w:val="00302952"/>
    <w:rsid w:val="0030332B"/>
    <w:rsid w:val="003036A9"/>
    <w:rsid w:val="00303F5F"/>
    <w:rsid w:val="00303FE3"/>
    <w:rsid w:val="0030486E"/>
    <w:rsid w:val="00304DF7"/>
    <w:rsid w:val="00304FC0"/>
    <w:rsid w:val="00305131"/>
    <w:rsid w:val="0030559C"/>
    <w:rsid w:val="00305785"/>
    <w:rsid w:val="003057D6"/>
    <w:rsid w:val="0030598B"/>
    <w:rsid w:val="00305A33"/>
    <w:rsid w:val="003067B6"/>
    <w:rsid w:val="00306A3D"/>
    <w:rsid w:val="00306A7C"/>
    <w:rsid w:val="00307593"/>
    <w:rsid w:val="00307950"/>
    <w:rsid w:val="00307AAE"/>
    <w:rsid w:val="00307FE5"/>
    <w:rsid w:val="0031053A"/>
    <w:rsid w:val="00310C4C"/>
    <w:rsid w:val="00310FC3"/>
    <w:rsid w:val="00311BCE"/>
    <w:rsid w:val="003120F0"/>
    <w:rsid w:val="00312276"/>
    <w:rsid w:val="00312610"/>
    <w:rsid w:val="00312942"/>
    <w:rsid w:val="00312EC2"/>
    <w:rsid w:val="00313191"/>
    <w:rsid w:val="0031371E"/>
    <w:rsid w:val="00314434"/>
    <w:rsid w:val="00314AA9"/>
    <w:rsid w:val="00314EC5"/>
    <w:rsid w:val="003153D2"/>
    <w:rsid w:val="00315799"/>
    <w:rsid w:val="003157EC"/>
    <w:rsid w:val="00315F57"/>
    <w:rsid w:val="003167DF"/>
    <w:rsid w:val="00317215"/>
    <w:rsid w:val="00317839"/>
    <w:rsid w:val="00317A76"/>
    <w:rsid w:val="003206C5"/>
    <w:rsid w:val="003206FA"/>
    <w:rsid w:val="00320BC1"/>
    <w:rsid w:val="003221BE"/>
    <w:rsid w:val="0032235C"/>
    <w:rsid w:val="00322D64"/>
    <w:rsid w:val="00322F13"/>
    <w:rsid w:val="00323718"/>
    <w:rsid w:val="00323D3B"/>
    <w:rsid w:val="00323E05"/>
    <w:rsid w:val="00325184"/>
    <w:rsid w:val="0032646A"/>
    <w:rsid w:val="003269DF"/>
    <w:rsid w:val="00327882"/>
    <w:rsid w:val="00327CBC"/>
    <w:rsid w:val="00327EE1"/>
    <w:rsid w:val="003304FB"/>
    <w:rsid w:val="003306E1"/>
    <w:rsid w:val="00331607"/>
    <w:rsid w:val="00331FA5"/>
    <w:rsid w:val="003320E4"/>
    <w:rsid w:val="003321FB"/>
    <w:rsid w:val="0033283E"/>
    <w:rsid w:val="00332FE1"/>
    <w:rsid w:val="0033464F"/>
    <w:rsid w:val="003346BD"/>
    <w:rsid w:val="0033525D"/>
    <w:rsid w:val="0033530D"/>
    <w:rsid w:val="00335A3E"/>
    <w:rsid w:val="00335FBB"/>
    <w:rsid w:val="003365FF"/>
    <w:rsid w:val="00336EB5"/>
    <w:rsid w:val="00337571"/>
    <w:rsid w:val="003378A7"/>
    <w:rsid w:val="00337FB4"/>
    <w:rsid w:val="00337FE4"/>
    <w:rsid w:val="003400A1"/>
    <w:rsid w:val="003409DB"/>
    <w:rsid w:val="003414F3"/>
    <w:rsid w:val="00341AD7"/>
    <w:rsid w:val="00342F80"/>
    <w:rsid w:val="003432FD"/>
    <w:rsid w:val="0034330E"/>
    <w:rsid w:val="00343387"/>
    <w:rsid w:val="00343A62"/>
    <w:rsid w:val="00344561"/>
    <w:rsid w:val="003446D7"/>
    <w:rsid w:val="00345489"/>
    <w:rsid w:val="003458F8"/>
    <w:rsid w:val="0034594A"/>
    <w:rsid w:val="003459B7"/>
    <w:rsid w:val="00345E62"/>
    <w:rsid w:val="00346D18"/>
    <w:rsid w:val="00346DAC"/>
    <w:rsid w:val="003471B9"/>
    <w:rsid w:val="003479B5"/>
    <w:rsid w:val="00347F04"/>
    <w:rsid w:val="00347F16"/>
    <w:rsid w:val="003501D3"/>
    <w:rsid w:val="003505A5"/>
    <w:rsid w:val="00350C32"/>
    <w:rsid w:val="00350C82"/>
    <w:rsid w:val="00351158"/>
    <w:rsid w:val="00351770"/>
    <w:rsid w:val="00351D0F"/>
    <w:rsid w:val="00352205"/>
    <w:rsid w:val="0035295F"/>
    <w:rsid w:val="003530C4"/>
    <w:rsid w:val="00353943"/>
    <w:rsid w:val="00353A96"/>
    <w:rsid w:val="003548D9"/>
    <w:rsid w:val="0035613E"/>
    <w:rsid w:val="00356177"/>
    <w:rsid w:val="003577E9"/>
    <w:rsid w:val="0036026C"/>
    <w:rsid w:val="00360C2C"/>
    <w:rsid w:val="00361D7B"/>
    <w:rsid w:val="003620FE"/>
    <w:rsid w:val="0036222B"/>
    <w:rsid w:val="003622FD"/>
    <w:rsid w:val="0036234F"/>
    <w:rsid w:val="00362D21"/>
    <w:rsid w:val="003634AA"/>
    <w:rsid w:val="0036375C"/>
    <w:rsid w:val="00363935"/>
    <w:rsid w:val="00363976"/>
    <w:rsid w:val="00363EE9"/>
    <w:rsid w:val="003649C0"/>
    <w:rsid w:val="00364F74"/>
    <w:rsid w:val="0036523D"/>
    <w:rsid w:val="00365A45"/>
    <w:rsid w:val="003662C8"/>
    <w:rsid w:val="00366EB7"/>
    <w:rsid w:val="003675ED"/>
    <w:rsid w:val="00367616"/>
    <w:rsid w:val="003705B7"/>
    <w:rsid w:val="00370803"/>
    <w:rsid w:val="00370921"/>
    <w:rsid w:val="00370D42"/>
    <w:rsid w:val="00370DF5"/>
    <w:rsid w:val="003714D3"/>
    <w:rsid w:val="003715BC"/>
    <w:rsid w:val="00372986"/>
    <w:rsid w:val="003729FA"/>
    <w:rsid w:val="00372C0A"/>
    <w:rsid w:val="00372C1C"/>
    <w:rsid w:val="00372E83"/>
    <w:rsid w:val="00373469"/>
    <w:rsid w:val="003736E5"/>
    <w:rsid w:val="00373DEF"/>
    <w:rsid w:val="00374900"/>
    <w:rsid w:val="00375160"/>
    <w:rsid w:val="003753DC"/>
    <w:rsid w:val="00375D1C"/>
    <w:rsid w:val="00375D86"/>
    <w:rsid w:val="00376128"/>
    <w:rsid w:val="00376698"/>
    <w:rsid w:val="003769BC"/>
    <w:rsid w:val="00376BE2"/>
    <w:rsid w:val="0037742E"/>
    <w:rsid w:val="00377613"/>
    <w:rsid w:val="003776A7"/>
    <w:rsid w:val="00377903"/>
    <w:rsid w:val="00377D31"/>
    <w:rsid w:val="00377D56"/>
    <w:rsid w:val="00377E85"/>
    <w:rsid w:val="003801A5"/>
    <w:rsid w:val="003806B8"/>
    <w:rsid w:val="00380F94"/>
    <w:rsid w:val="003816D0"/>
    <w:rsid w:val="00381A2F"/>
    <w:rsid w:val="00381C5E"/>
    <w:rsid w:val="00381CCC"/>
    <w:rsid w:val="0038245A"/>
    <w:rsid w:val="00382630"/>
    <w:rsid w:val="003840E6"/>
    <w:rsid w:val="00384457"/>
    <w:rsid w:val="00384473"/>
    <w:rsid w:val="00384929"/>
    <w:rsid w:val="00384BD2"/>
    <w:rsid w:val="00384E51"/>
    <w:rsid w:val="003857BD"/>
    <w:rsid w:val="00385B38"/>
    <w:rsid w:val="00385CFC"/>
    <w:rsid w:val="003861DF"/>
    <w:rsid w:val="00386218"/>
    <w:rsid w:val="003863A7"/>
    <w:rsid w:val="0038675C"/>
    <w:rsid w:val="00386ED1"/>
    <w:rsid w:val="00386FF3"/>
    <w:rsid w:val="003900C2"/>
    <w:rsid w:val="00390B6B"/>
    <w:rsid w:val="00391131"/>
    <w:rsid w:val="003919B9"/>
    <w:rsid w:val="00391C09"/>
    <w:rsid w:val="00391C4C"/>
    <w:rsid w:val="00392083"/>
    <w:rsid w:val="003923AD"/>
    <w:rsid w:val="0039241B"/>
    <w:rsid w:val="003924E0"/>
    <w:rsid w:val="0039337A"/>
    <w:rsid w:val="00393ED1"/>
    <w:rsid w:val="00394B38"/>
    <w:rsid w:val="00394BFD"/>
    <w:rsid w:val="00394E3B"/>
    <w:rsid w:val="00396482"/>
    <w:rsid w:val="003964CE"/>
    <w:rsid w:val="003971E7"/>
    <w:rsid w:val="003978B6"/>
    <w:rsid w:val="0039793F"/>
    <w:rsid w:val="003A130C"/>
    <w:rsid w:val="003A17A9"/>
    <w:rsid w:val="003A1B01"/>
    <w:rsid w:val="003A26EC"/>
    <w:rsid w:val="003A3189"/>
    <w:rsid w:val="003A3CA7"/>
    <w:rsid w:val="003A3E4E"/>
    <w:rsid w:val="003A40BF"/>
    <w:rsid w:val="003A4280"/>
    <w:rsid w:val="003A42A4"/>
    <w:rsid w:val="003A44AC"/>
    <w:rsid w:val="003A46A1"/>
    <w:rsid w:val="003A4735"/>
    <w:rsid w:val="003A4D03"/>
    <w:rsid w:val="003A54D4"/>
    <w:rsid w:val="003A57CE"/>
    <w:rsid w:val="003A60B6"/>
    <w:rsid w:val="003A7060"/>
    <w:rsid w:val="003A727E"/>
    <w:rsid w:val="003A7FFC"/>
    <w:rsid w:val="003B0442"/>
    <w:rsid w:val="003B0C76"/>
    <w:rsid w:val="003B2AF3"/>
    <w:rsid w:val="003B2BCA"/>
    <w:rsid w:val="003B2D45"/>
    <w:rsid w:val="003B2F26"/>
    <w:rsid w:val="003B33BD"/>
    <w:rsid w:val="003B365D"/>
    <w:rsid w:val="003B4166"/>
    <w:rsid w:val="003B4E4E"/>
    <w:rsid w:val="003B53F8"/>
    <w:rsid w:val="003B55E3"/>
    <w:rsid w:val="003B569D"/>
    <w:rsid w:val="003B57A3"/>
    <w:rsid w:val="003B5A05"/>
    <w:rsid w:val="003B60D3"/>
    <w:rsid w:val="003B616C"/>
    <w:rsid w:val="003B749D"/>
    <w:rsid w:val="003B75E0"/>
    <w:rsid w:val="003B7772"/>
    <w:rsid w:val="003C007D"/>
    <w:rsid w:val="003C035F"/>
    <w:rsid w:val="003C0C29"/>
    <w:rsid w:val="003C0F79"/>
    <w:rsid w:val="003C1302"/>
    <w:rsid w:val="003C1374"/>
    <w:rsid w:val="003C13D7"/>
    <w:rsid w:val="003C1459"/>
    <w:rsid w:val="003C2299"/>
    <w:rsid w:val="003C24A6"/>
    <w:rsid w:val="003C24ED"/>
    <w:rsid w:val="003C2D90"/>
    <w:rsid w:val="003C2DA7"/>
    <w:rsid w:val="003C2E5B"/>
    <w:rsid w:val="003C3209"/>
    <w:rsid w:val="003C3BBF"/>
    <w:rsid w:val="003C3C0E"/>
    <w:rsid w:val="003C3C4B"/>
    <w:rsid w:val="003C4810"/>
    <w:rsid w:val="003C4C9E"/>
    <w:rsid w:val="003C51E0"/>
    <w:rsid w:val="003C6573"/>
    <w:rsid w:val="003C66C7"/>
    <w:rsid w:val="003C6E05"/>
    <w:rsid w:val="003C755C"/>
    <w:rsid w:val="003D02B5"/>
    <w:rsid w:val="003D14D1"/>
    <w:rsid w:val="003D17AD"/>
    <w:rsid w:val="003D1CE7"/>
    <w:rsid w:val="003D235C"/>
    <w:rsid w:val="003D293F"/>
    <w:rsid w:val="003D370A"/>
    <w:rsid w:val="003D499B"/>
    <w:rsid w:val="003D4BA8"/>
    <w:rsid w:val="003D4BB2"/>
    <w:rsid w:val="003D4C7F"/>
    <w:rsid w:val="003D4FAC"/>
    <w:rsid w:val="003D53C1"/>
    <w:rsid w:val="003D544C"/>
    <w:rsid w:val="003D5E0B"/>
    <w:rsid w:val="003D6B3B"/>
    <w:rsid w:val="003D6C07"/>
    <w:rsid w:val="003D6C2B"/>
    <w:rsid w:val="003D706E"/>
    <w:rsid w:val="003D757B"/>
    <w:rsid w:val="003E12E9"/>
    <w:rsid w:val="003E149F"/>
    <w:rsid w:val="003E29DE"/>
    <w:rsid w:val="003E2EDD"/>
    <w:rsid w:val="003E3F53"/>
    <w:rsid w:val="003E408A"/>
    <w:rsid w:val="003E4A58"/>
    <w:rsid w:val="003E5BAF"/>
    <w:rsid w:val="003E5C40"/>
    <w:rsid w:val="003E64D9"/>
    <w:rsid w:val="003E68E0"/>
    <w:rsid w:val="003E6AFF"/>
    <w:rsid w:val="003E6B2C"/>
    <w:rsid w:val="003E6FDD"/>
    <w:rsid w:val="003E7906"/>
    <w:rsid w:val="003F030E"/>
    <w:rsid w:val="003F0A5B"/>
    <w:rsid w:val="003F0E94"/>
    <w:rsid w:val="003F2204"/>
    <w:rsid w:val="003F247E"/>
    <w:rsid w:val="003F2678"/>
    <w:rsid w:val="003F2837"/>
    <w:rsid w:val="003F3139"/>
    <w:rsid w:val="003F33E4"/>
    <w:rsid w:val="003F3C50"/>
    <w:rsid w:val="003F3E81"/>
    <w:rsid w:val="003F4E82"/>
    <w:rsid w:val="003F4ED8"/>
    <w:rsid w:val="003F5001"/>
    <w:rsid w:val="003F5FBE"/>
    <w:rsid w:val="003F69C9"/>
    <w:rsid w:val="003F6E48"/>
    <w:rsid w:val="003F78A9"/>
    <w:rsid w:val="004007D8"/>
    <w:rsid w:val="00401422"/>
    <w:rsid w:val="0040171F"/>
    <w:rsid w:val="00401B81"/>
    <w:rsid w:val="00403598"/>
    <w:rsid w:val="00403BF1"/>
    <w:rsid w:val="004046A5"/>
    <w:rsid w:val="00404A57"/>
    <w:rsid w:val="00405441"/>
    <w:rsid w:val="004057BA"/>
    <w:rsid w:val="004058A0"/>
    <w:rsid w:val="00406782"/>
    <w:rsid w:val="00406A6A"/>
    <w:rsid w:val="00406B22"/>
    <w:rsid w:val="00406D15"/>
    <w:rsid w:val="00407330"/>
    <w:rsid w:val="0040762F"/>
    <w:rsid w:val="00410E46"/>
    <w:rsid w:val="00410F58"/>
    <w:rsid w:val="004115C0"/>
    <w:rsid w:val="00411D70"/>
    <w:rsid w:val="004122A9"/>
    <w:rsid w:val="00412C4F"/>
    <w:rsid w:val="00412D10"/>
    <w:rsid w:val="004133CB"/>
    <w:rsid w:val="0041392D"/>
    <w:rsid w:val="00413CBF"/>
    <w:rsid w:val="0041404E"/>
    <w:rsid w:val="00414152"/>
    <w:rsid w:val="0041417F"/>
    <w:rsid w:val="004143F5"/>
    <w:rsid w:val="00414D00"/>
    <w:rsid w:val="0041530E"/>
    <w:rsid w:val="00415907"/>
    <w:rsid w:val="00415AF6"/>
    <w:rsid w:val="00416B3C"/>
    <w:rsid w:val="004173A9"/>
    <w:rsid w:val="004174B4"/>
    <w:rsid w:val="00420229"/>
    <w:rsid w:val="004206AC"/>
    <w:rsid w:val="004208B8"/>
    <w:rsid w:val="00421176"/>
    <w:rsid w:val="00421588"/>
    <w:rsid w:val="00421818"/>
    <w:rsid w:val="00421989"/>
    <w:rsid w:val="00422132"/>
    <w:rsid w:val="004224AF"/>
    <w:rsid w:val="004225C6"/>
    <w:rsid w:val="004241C5"/>
    <w:rsid w:val="00424EA8"/>
    <w:rsid w:val="00425321"/>
    <w:rsid w:val="004270BA"/>
    <w:rsid w:val="00427C58"/>
    <w:rsid w:val="004302D0"/>
    <w:rsid w:val="00431D09"/>
    <w:rsid w:val="004324D7"/>
    <w:rsid w:val="004328A7"/>
    <w:rsid w:val="004329BF"/>
    <w:rsid w:val="00432E20"/>
    <w:rsid w:val="00433724"/>
    <w:rsid w:val="004349A6"/>
    <w:rsid w:val="00434C74"/>
    <w:rsid w:val="0043636B"/>
    <w:rsid w:val="00436ADA"/>
    <w:rsid w:val="00436C92"/>
    <w:rsid w:val="00436FAA"/>
    <w:rsid w:val="004370AF"/>
    <w:rsid w:val="004373CA"/>
    <w:rsid w:val="00437ADA"/>
    <w:rsid w:val="00437C36"/>
    <w:rsid w:val="004404E6"/>
    <w:rsid w:val="00440628"/>
    <w:rsid w:val="004406FE"/>
    <w:rsid w:val="0044076C"/>
    <w:rsid w:val="00440AA9"/>
    <w:rsid w:val="00441F33"/>
    <w:rsid w:val="00442590"/>
    <w:rsid w:val="00442A1B"/>
    <w:rsid w:val="00442A63"/>
    <w:rsid w:val="004432DD"/>
    <w:rsid w:val="0044393C"/>
    <w:rsid w:val="00443A5A"/>
    <w:rsid w:val="00443DF1"/>
    <w:rsid w:val="00443E14"/>
    <w:rsid w:val="0044443B"/>
    <w:rsid w:val="00444B00"/>
    <w:rsid w:val="00444EDA"/>
    <w:rsid w:val="004454B8"/>
    <w:rsid w:val="0044586E"/>
    <w:rsid w:val="0044606C"/>
    <w:rsid w:val="00446216"/>
    <w:rsid w:val="00447E27"/>
    <w:rsid w:val="00447E42"/>
    <w:rsid w:val="004505FF"/>
    <w:rsid w:val="00450F61"/>
    <w:rsid w:val="00450FC3"/>
    <w:rsid w:val="004512EA"/>
    <w:rsid w:val="0045149F"/>
    <w:rsid w:val="004515AE"/>
    <w:rsid w:val="00451AB8"/>
    <w:rsid w:val="00451B31"/>
    <w:rsid w:val="00451BEF"/>
    <w:rsid w:val="00452DB6"/>
    <w:rsid w:val="0045354B"/>
    <w:rsid w:val="0045360F"/>
    <w:rsid w:val="004548D1"/>
    <w:rsid w:val="0045493F"/>
    <w:rsid w:val="004549C3"/>
    <w:rsid w:val="0045534D"/>
    <w:rsid w:val="00456177"/>
    <w:rsid w:val="00456EB4"/>
    <w:rsid w:val="004574C8"/>
    <w:rsid w:val="00457CBB"/>
    <w:rsid w:val="00460274"/>
    <w:rsid w:val="00460719"/>
    <w:rsid w:val="0046186D"/>
    <w:rsid w:val="00461A37"/>
    <w:rsid w:val="00461D5D"/>
    <w:rsid w:val="00461EA5"/>
    <w:rsid w:val="00462763"/>
    <w:rsid w:val="004630C8"/>
    <w:rsid w:val="00463B77"/>
    <w:rsid w:val="00464B47"/>
    <w:rsid w:val="00464D44"/>
    <w:rsid w:val="004661AB"/>
    <w:rsid w:val="00466F30"/>
    <w:rsid w:val="004671B8"/>
    <w:rsid w:val="00467941"/>
    <w:rsid w:val="00467CB1"/>
    <w:rsid w:val="00470BB3"/>
    <w:rsid w:val="00470C6B"/>
    <w:rsid w:val="00470E62"/>
    <w:rsid w:val="004718F3"/>
    <w:rsid w:val="004719F6"/>
    <w:rsid w:val="00472155"/>
    <w:rsid w:val="00472885"/>
    <w:rsid w:val="00472D3E"/>
    <w:rsid w:val="004734F6"/>
    <w:rsid w:val="00473541"/>
    <w:rsid w:val="004737CF"/>
    <w:rsid w:val="0047433E"/>
    <w:rsid w:val="00474648"/>
    <w:rsid w:val="004746DE"/>
    <w:rsid w:val="00474A43"/>
    <w:rsid w:val="00475040"/>
    <w:rsid w:val="00475C2F"/>
    <w:rsid w:val="004760BE"/>
    <w:rsid w:val="00476D7E"/>
    <w:rsid w:val="00477048"/>
    <w:rsid w:val="004771BA"/>
    <w:rsid w:val="00477439"/>
    <w:rsid w:val="00477E27"/>
    <w:rsid w:val="00480310"/>
    <w:rsid w:val="00480592"/>
    <w:rsid w:val="00480AC5"/>
    <w:rsid w:val="00481222"/>
    <w:rsid w:val="004812A0"/>
    <w:rsid w:val="00481FE8"/>
    <w:rsid w:val="00482048"/>
    <w:rsid w:val="00482621"/>
    <w:rsid w:val="00482855"/>
    <w:rsid w:val="00482B5F"/>
    <w:rsid w:val="00482D3B"/>
    <w:rsid w:val="00483097"/>
    <w:rsid w:val="004830E0"/>
    <w:rsid w:val="00483645"/>
    <w:rsid w:val="004841FC"/>
    <w:rsid w:val="00484442"/>
    <w:rsid w:val="004850E2"/>
    <w:rsid w:val="00485540"/>
    <w:rsid w:val="0048577C"/>
    <w:rsid w:val="004857A2"/>
    <w:rsid w:val="00485906"/>
    <w:rsid w:val="00485F56"/>
    <w:rsid w:val="004866BD"/>
    <w:rsid w:val="004868B9"/>
    <w:rsid w:val="00486995"/>
    <w:rsid w:val="00486AFE"/>
    <w:rsid w:val="00486F62"/>
    <w:rsid w:val="00487308"/>
    <w:rsid w:val="0048775B"/>
    <w:rsid w:val="004877AE"/>
    <w:rsid w:val="00487FA2"/>
    <w:rsid w:val="00487FA3"/>
    <w:rsid w:val="00490772"/>
    <w:rsid w:val="00490887"/>
    <w:rsid w:val="00491722"/>
    <w:rsid w:val="004924C8"/>
    <w:rsid w:val="0049293E"/>
    <w:rsid w:val="00492BB0"/>
    <w:rsid w:val="00493179"/>
    <w:rsid w:val="00493D40"/>
    <w:rsid w:val="00494367"/>
    <w:rsid w:val="0049438A"/>
    <w:rsid w:val="00494C7D"/>
    <w:rsid w:val="00494F5D"/>
    <w:rsid w:val="004965D1"/>
    <w:rsid w:val="004967B6"/>
    <w:rsid w:val="00496BEA"/>
    <w:rsid w:val="00496C90"/>
    <w:rsid w:val="004A0EEE"/>
    <w:rsid w:val="004A14FE"/>
    <w:rsid w:val="004A2791"/>
    <w:rsid w:val="004A289E"/>
    <w:rsid w:val="004A2C0E"/>
    <w:rsid w:val="004A30F4"/>
    <w:rsid w:val="004A39B8"/>
    <w:rsid w:val="004A3DD4"/>
    <w:rsid w:val="004A3ED0"/>
    <w:rsid w:val="004A411A"/>
    <w:rsid w:val="004A492F"/>
    <w:rsid w:val="004A504B"/>
    <w:rsid w:val="004A5D2F"/>
    <w:rsid w:val="004A661F"/>
    <w:rsid w:val="004A6780"/>
    <w:rsid w:val="004A6911"/>
    <w:rsid w:val="004A6DA1"/>
    <w:rsid w:val="004A6F41"/>
    <w:rsid w:val="004A7050"/>
    <w:rsid w:val="004A709E"/>
    <w:rsid w:val="004A73D4"/>
    <w:rsid w:val="004B0594"/>
    <w:rsid w:val="004B0739"/>
    <w:rsid w:val="004B0917"/>
    <w:rsid w:val="004B0AE8"/>
    <w:rsid w:val="004B0C19"/>
    <w:rsid w:val="004B0DE8"/>
    <w:rsid w:val="004B2C89"/>
    <w:rsid w:val="004B2D19"/>
    <w:rsid w:val="004B3083"/>
    <w:rsid w:val="004B3D35"/>
    <w:rsid w:val="004B4A95"/>
    <w:rsid w:val="004B4EF9"/>
    <w:rsid w:val="004B54E0"/>
    <w:rsid w:val="004B575F"/>
    <w:rsid w:val="004B5CFE"/>
    <w:rsid w:val="004B5E5F"/>
    <w:rsid w:val="004B6947"/>
    <w:rsid w:val="004B706A"/>
    <w:rsid w:val="004B7384"/>
    <w:rsid w:val="004B73A4"/>
    <w:rsid w:val="004B7719"/>
    <w:rsid w:val="004C00C0"/>
    <w:rsid w:val="004C050D"/>
    <w:rsid w:val="004C065D"/>
    <w:rsid w:val="004C069B"/>
    <w:rsid w:val="004C0806"/>
    <w:rsid w:val="004C0A3A"/>
    <w:rsid w:val="004C0BAA"/>
    <w:rsid w:val="004C1206"/>
    <w:rsid w:val="004C12DE"/>
    <w:rsid w:val="004C134E"/>
    <w:rsid w:val="004C1817"/>
    <w:rsid w:val="004C185F"/>
    <w:rsid w:val="004C1933"/>
    <w:rsid w:val="004C1B1A"/>
    <w:rsid w:val="004C2585"/>
    <w:rsid w:val="004C2929"/>
    <w:rsid w:val="004C2DDB"/>
    <w:rsid w:val="004C3403"/>
    <w:rsid w:val="004C3A37"/>
    <w:rsid w:val="004C40A7"/>
    <w:rsid w:val="004C4269"/>
    <w:rsid w:val="004C433B"/>
    <w:rsid w:val="004C4AE8"/>
    <w:rsid w:val="004C4D65"/>
    <w:rsid w:val="004C52B3"/>
    <w:rsid w:val="004C59B4"/>
    <w:rsid w:val="004C5C62"/>
    <w:rsid w:val="004C66DA"/>
    <w:rsid w:val="004C758D"/>
    <w:rsid w:val="004C7658"/>
    <w:rsid w:val="004C766C"/>
    <w:rsid w:val="004C7D5B"/>
    <w:rsid w:val="004C7F72"/>
    <w:rsid w:val="004D08A3"/>
    <w:rsid w:val="004D08AD"/>
    <w:rsid w:val="004D09B2"/>
    <w:rsid w:val="004D11AB"/>
    <w:rsid w:val="004D171E"/>
    <w:rsid w:val="004D1B71"/>
    <w:rsid w:val="004D1BE9"/>
    <w:rsid w:val="004D1EC8"/>
    <w:rsid w:val="004D2008"/>
    <w:rsid w:val="004D2213"/>
    <w:rsid w:val="004D223A"/>
    <w:rsid w:val="004D26B7"/>
    <w:rsid w:val="004D30DC"/>
    <w:rsid w:val="004D3301"/>
    <w:rsid w:val="004D364B"/>
    <w:rsid w:val="004D3912"/>
    <w:rsid w:val="004D3FF2"/>
    <w:rsid w:val="004D4918"/>
    <w:rsid w:val="004D4BDF"/>
    <w:rsid w:val="004D4FFD"/>
    <w:rsid w:val="004D5BF4"/>
    <w:rsid w:val="004D6236"/>
    <w:rsid w:val="004D661F"/>
    <w:rsid w:val="004D7537"/>
    <w:rsid w:val="004D78BD"/>
    <w:rsid w:val="004D7F90"/>
    <w:rsid w:val="004E05A2"/>
    <w:rsid w:val="004E05CA"/>
    <w:rsid w:val="004E0BA9"/>
    <w:rsid w:val="004E0DCD"/>
    <w:rsid w:val="004E1228"/>
    <w:rsid w:val="004E1688"/>
    <w:rsid w:val="004E181D"/>
    <w:rsid w:val="004E1E06"/>
    <w:rsid w:val="004E28FF"/>
    <w:rsid w:val="004E2A8A"/>
    <w:rsid w:val="004E34F9"/>
    <w:rsid w:val="004E3C72"/>
    <w:rsid w:val="004E41AD"/>
    <w:rsid w:val="004E4A96"/>
    <w:rsid w:val="004E4B7F"/>
    <w:rsid w:val="004E4DBB"/>
    <w:rsid w:val="004E4E41"/>
    <w:rsid w:val="004E5078"/>
    <w:rsid w:val="004E55AD"/>
    <w:rsid w:val="004E583E"/>
    <w:rsid w:val="004E5F38"/>
    <w:rsid w:val="004E604E"/>
    <w:rsid w:val="004E63CB"/>
    <w:rsid w:val="004E64FC"/>
    <w:rsid w:val="004E6663"/>
    <w:rsid w:val="004E6992"/>
    <w:rsid w:val="004E6B0B"/>
    <w:rsid w:val="004E7D91"/>
    <w:rsid w:val="004E7DCB"/>
    <w:rsid w:val="004E7F9C"/>
    <w:rsid w:val="004F1174"/>
    <w:rsid w:val="004F1488"/>
    <w:rsid w:val="004F151F"/>
    <w:rsid w:val="004F186A"/>
    <w:rsid w:val="004F19BC"/>
    <w:rsid w:val="004F248B"/>
    <w:rsid w:val="004F3493"/>
    <w:rsid w:val="004F3646"/>
    <w:rsid w:val="004F3951"/>
    <w:rsid w:val="004F41E7"/>
    <w:rsid w:val="004F44B1"/>
    <w:rsid w:val="004F457F"/>
    <w:rsid w:val="004F45BA"/>
    <w:rsid w:val="004F4FCA"/>
    <w:rsid w:val="004F5143"/>
    <w:rsid w:val="004F5993"/>
    <w:rsid w:val="004F5AB3"/>
    <w:rsid w:val="004F6008"/>
    <w:rsid w:val="004F6240"/>
    <w:rsid w:val="004F62D9"/>
    <w:rsid w:val="004F62E5"/>
    <w:rsid w:val="004F6559"/>
    <w:rsid w:val="004F6E1D"/>
    <w:rsid w:val="004F721C"/>
    <w:rsid w:val="004F7409"/>
    <w:rsid w:val="004F753A"/>
    <w:rsid w:val="004F7B74"/>
    <w:rsid w:val="005007A2"/>
    <w:rsid w:val="00500F33"/>
    <w:rsid w:val="0050179C"/>
    <w:rsid w:val="0050193B"/>
    <w:rsid w:val="00501D56"/>
    <w:rsid w:val="00501F0C"/>
    <w:rsid w:val="00502033"/>
    <w:rsid w:val="00502106"/>
    <w:rsid w:val="005021CF"/>
    <w:rsid w:val="00502271"/>
    <w:rsid w:val="00502333"/>
    <w:rsid w:val="005023C8"/>
    <w:rsid w:val="005024A6"/>
    <w:rsid w:val="0050297B"/>
    <w:rsid w:val="00502D72"/>
    <w:rsid w:val="00502DF9"/>
    <w:rsid w:val="005032C9"/>
    <w:rsid w:val="00503344"/>
    <w:rsid w:val="0050393F"/>
    <w:rsid w:val="00503A29"/>
    <w:rsid w:val="00503C00"/>
    <w:rsid w:val="00503DBA"/>
    <w:rsid w:val="005041D0"/>
    <w:rsid w:val="0050444D"/>
    <w:rsid w:val="0050448B"/>
    <w:rsid w:val="005049CA"/>
    <w:rsid w:val="00505029"/>
    <w:rsid w:val="005050DC"/>
    <w:rsid w:val="00505DCD"/>
    <w:rsid w:val="0050676A"/>
    <w:rsid w:val="005073B5"/>
    <w:rsid w:val="00507F2B"/>
    <w:rsid w:val="00510736"/>
    <w:rsid w:val="00510BB5"/>
    <w:rsid w:val="00511317"/>
    <w:rsid w:val="00511581"/>
    <w:rsid w:val="00512421"/>
    <w:rsid w:val="00512B09"/>
    <w:rsid w:val="00512C8A"/>
    <w:rsid w:val="00513784"/>
    <w:rsid w:val="0051477E"/>
    <w:rsid w:val="00514C2B"/>
    <w:rsid w:val="00514C69"/>
    <w:rsid w:val="0051535F"/>
    <w:rsid w:val="0051581E"/>
    <w:rsid w:val="00515B2F"/>
    <w:rsid w:val="00515C8E"/>
    <w:rsid w:val="005165CE"/>
    <w:rsid w:val="0051731E"/>
    <w:rsid w:val="00517517"/>
    <w:rsid w:val="00517B37"/>
    <w:rsid w:val="00517D00"/>
    <w:rsid w:val="00517D62"/>
    <w:rsid w:val="00520F77"/>
    <w:rsid w:val="00521EFB"/>
    <w:rsid w:val="00521F79"/>
    <w:rsid w:val="005227BF"/>
    <w:rsid w:val="005227E5"/>
    <w:rsid w:val="005231C2"/>
    <w:rsid w:val="005234F7"/>
    <w:rsid w:val="00524ADE"/>
    <w:rsid w:val="00524B32"/>
    <w:rsid w:val="00524D27"/>
    <w:rsid w:val="005257ED"/>
    <w:rsid w:val="00526719"/>
    <w:rsid w:val="0052688E"/>
    <w:rsid w:val="0052692F"/>
    <w:rsid w:val="00526BBB"/>
    <w:rsid w:val="00527AE8"/>
    <w:rsid w:val="00527E1D"/>
    <w:rsid w:val="00527F49"/>
    <w:rsid w:val="00530451"/>
    <w:rsid w:val="00530624"/>
    <w:rsid w:val="00530D5A"/>
    <w:rsid w:val="005315CD"/>
    <w:rsid w:val="00531715"/>
    <w:rsid w:val="00531AC3"/>
    <w:rsid w:val="00531BFE"/>
    <w:rsid w:val="00532BA1"/>
    <w:rsid w:val="00533091"/>
    <w:rsid w:val="0053365B"/>
    <w:rsid w:val="00533796"/>
    <w:rsid w:val="00534E27"/>
    <w:rsid w:val="0053500E"/>
    <w:rsid w:val="0053586A"/>
    <w:rsid w:val="00535A52"/>
    <w:rsid w:val="00535C22"/>
    <w:rsid w:val="0053640D"/>
    <w:rsid w:val="005364EC"/>
    <w:rsid w:val="005379D3"/>
    <w:rsid w:val="00537A31"/>
    <w:rsid w:val="00540989"/>
    <w:rsid w:val="00540C67"/>
    <w:rsid w:val="00540E7B"/>
    <w:rsid w:val="00541B35"/>
    <w:rsid w:val="00541B74"/>
    <w:rsid w:val="00541B83"/>
    <w:rsid w:val="00542235"/>
    <w:rsid w:val="00542CB8"/>
    <w:rsid w:val="00542D02"/>
    <w:rsid w:val="00542E93"/>
    <w:rsid w:val="00543001"/>
    <w:rsid w:val="00543297"/>
    <w:rsid w:val="00543A21"/>
    <w:rsid w:val="00543B01"/>
    <w:rsid w:val="00544981"/>
    <w:rsid w:val="00545181"/>
    <w:rsid w:val="00545295"/>
    <w:rsid w:val="0054564B"/>
    <w:rsid w:val="0054592C"/>
    <w:rsid w:val="00545AE3"/>
    <w:rsid w:val="00545C01"/>
    <w:rsid w:val="00546126"/>
    <w:rsid w:val="005466AA"/>
    <w:rsid w:val="0054707A"/>
    <w:rsid w:val="0054768E"/>
    <w:rsid w:val="00547897"/>
    <w:rsid w:val="00547C57"/>
    <w:rsid w:val="00547FAA"/>
    <w:rsid w:val="005507D7"/>
    <w:rsid w:val="00550BB9"/>
    <w:rsid w:val="00550C7E"/>
    <w:rsid w:val="00551E09"/>
    <w:rsid w:val="0055230E"/>
    <w:rsid w:val="00552827"/>
    <w:rsid w:val="00552B82"/>
    <w:rsid w:val="00553597"/>
    <w:rsid w:val="00553B0A"/>
    <w:rsid w:val="00553B27"/>
    <w:rsid w:val="00553B81"/>
    <w:rsid w:val="00553BB6"/>
    <w:rsid w:val="00553DB6"/>
    <w:rsid w:val="00554479"/>
    <w:rsid w:val="005544A6"/>
    <w:rsid w:val="005548A2"/>
    <w:rsid w:val="00555029"/>
    <w:rsid w:val="00555D75"/>
    <w:rsid w:val="005564D9"/>
    <w:rsid w:val="00557543"/>
    <w:rsid w:val="0055763C"/>
    <w:rsid w:val="00557A42"/>
    <w:rsid w:val="00557D21"/>
    <w:rsid w:val="005608CC"/>
    <w:rsid w:val="00560DA7"/>
    <w:rsid w:val="00560DF0"/>
    <w:rsid w:val="00560E49"/>
    <w:rsid w:val="00560F0A"/>
    <w:rsid w:val="0056152D"/>
    <w:rsid w:val="00561806"/>
    <w:rsid w:val="005618C2"/>
    <w:rsid w:val="0056196C"/>
    <w:rsid w:val="0056223D"/>
    <w:rsid w:val="00562CBD"/>
    <w:rsid w:val="0056388D"/>
    <w:rsid w:val="00563DEC"/>
    <w:rsid w:val="00564325"/>
    <w:rsid w:val="005647FA"/>
    <w:rsid w:val="00564DDD"/>
    <w:rsid w:val="00564E86"/>
    <w:rsid w:val="00565852"/>
    <w:rsid w:val="005663A9"/>
    <w:rsid w:val="0056691B"/>
    <w:rsid w:val="00566F46"/>
    <w:rsid w:val="005670BE"/>
    <w:rsid w:val="0056759C"/>
    <w:rsid w:val="00567667"/>
    <w:rsid w:val="00567D61"/>
    <w:rsid w:val="00567EAB"/>
    <w:rsid w:val="00570BF1"/>
    <w:rsid w:val="0057191D"/>
    <w:rsid w:val="00571C41"/>
    <w:rsid w:val="00571D2C"/>
    <w:rsid w:val="00571DAE"/>
    <w:rsid w:val="00572E2E"/>
    <w:rsid w:val="00572F4B"/>
    <w:rsid w:val="005732B5"/>
    <w:rsid w:val="005733AE"/>
    <w:rsid w:val="005737F3"/>
    <w:rsid w:val="00573AC2"/>
    <w:rsid w:val="00573F05"/>
    <w:rsid w:val="00574A28"/>
    <w:rsid w:val="00574D67"/>
    <w:rsid w:val="005751BE"/>
    <w:rsid w:val="005751F3"/>
    <w:rsid w:val="0057539C"/>
    <w:rsid w:val="00575951"/>
    <w:rsid w:val="00575D08"/>
    <w:rsid w:val="0057623B"/>
    <w:rsid w:val="005764F2"/>
    <w:rsid w:val="00576AAA"/>
    <w:rsid w:val="00577238"/>
    <w:rsid w:val="0057732E"/>
    <w:rsid w:val="005779E7"/>
    <w:rsid w:val="00577D38"/>
    <w:rsid w:val="00577ED7"/>
    <w:rsid w:val="00580191"/>
    <w:rsid w:val="00580404"/>
    <w:rsid w:val="0058046F"/>
    <w:rsid w:val="005804D7"/>
    <w:rsid w:val="00580BD2"/>
    <w:rsid w:val="00581648"/>
    <w:rsid w:val="00581659"/>
    <w:rsid w:val="00581C26"/>
    <w:rsid w:val="0058245A"/>
    <w:rsid w:val="005825F5"/>
    <w:rsid w:val="0058263E"/>
    <w:rsid w:val="00584A5E"/>
    <w:rsid w:val="00584AE9"/>
    <w:rsid w:val="00586741"/>
    <w:rsid w:val="00586D54"/>
    <w:rsid w:val="00587CC2"/>
    <w:rsid w:val="00587DE5"/>
    <w:rsid w:val="0059005C"/>
    <w:rsid w:val="00590EAB"/>
    <w:rsid w:val="005915B2"/>
    <w:rsid w:val="00591864"/>
    <w:rsid w:val="00591BB1"/>
    <w:rsid w:val="00593E2D"/>
    <w:rsid w:val="00594900"/>
    <w:rsid w:val="0059513E"/>
    <w:rsid w:val="00595167"/>
    <w:rsid w:val="00596B44"/>
    <w:rsid w:val="00597587"/>
    <w:rsid w:val="00597BBD"/>
    <w:rsid w:val="00597C90"/>
    <w:rsid w:val="00597DB7"/>
    <w:rsid w:val="00597F92"/>
    <w:rsid w:val="005A051C"/>
    <w:rsid w:val="005A0598"/>
    <w:rsid w:val="005A120D"/>
    <w:rsid w:val="005A20BD"/>
    <w:rsid w:val="005A2396"/>
    <w:rsid w:val="005A28E9"/>
    <w:rsid w:val="005A33E8"/>
    <w:rsid w:val="005A352C"/>
    <w:rsid w:val="005A358C"/>
    <w:rsid w:val="005A3BC8"/>
    <w:rsid w:val="005A3C4A"/>
    <w:rsid w:val="005A3D17"/>
    <w:rsid w:val="005A3D63"/>
    <w:rsid w:val="005A41BA"/>
    <w:rsid w:val="005A441F"/>
    <w:rsid w:val="005A51BD"/>
    <w:rsid w:val="005A5258"/>
    <w:rsid w:val="005A5A2C"/>
    <w:rsid w:val="005A608B"/>
    <w:rsid w:val="005A6A36"/>
    <w:rsid w:val="005A7587"/>
    <w:rsid w:val="005A7B24"/>
    <w:rsid w:val="005A7DB6"/>
    <w:rsid w:val="005B06F8"/>
    <w:rsid w:val="005B0B97"/>
    <w:rsid w:val="005B0BD4"/>
    <w:rsid w:val="005B0E3A"/>
    <w:rsid w:val="005B1120"/>
    <w:rsid w:val="005B130D"/>
    <w:rsid w:val="005B1F10"/>
    <w:rsid w:val="005B234A"/>
    <w:rsid w:val="005B2517"/>
    <w:rsid w:val="005B3147"/>
    <w:rsid w:val="005B33EA"/>
    <w:rsid w:val="005B3782"/>
    <w:rsid w:val="005B4274"/>
    <w:rsid w:val="005B44B1"/>
    <w:rsid w:val="005B48FF"/>
    <w:rsid w:val="005B49FC"/>
    <w:rsid w:val="005B4AB1"/>
    <w:rsid w:val="005B5577"/>
    <w:rsid w:val="005B56A5"/>
    <w:rsid w:val="005B5E5F"/>
    <w:rsid w:val="005B6540"/>
    <w:rsid w:val="005B697A"/>
    <w:rsid w:val="005B6989"/>
    <w:rsid w:val="005B6C98"/>
    <w:rsid w:val="005B73CB"/>
    <w:rsid w:val="005B7A0C"/>
    <w:rsid w:val="005C0BD1"/>
    <w:rsid w:val="005C1113"/>
    <w:rsid w:val="005C1641"/>
    <w:rsid w:val="005C1832"/>
    <w:rsid w:val="005C2475"/>
    <w:rsid w:val="005C2C4C"/>
    <w:rsid w:val="005C2EBB"/>
    <w:rsid w:val="005C343C"/>
    <w:rsid w:val="005C3C81"/>
    <w:rsid w:val="005C3CAC"/>
    <w:rsid w:val="005C3F2D"/>
    <w:rsid w:val="005C4148"/>
    <w:rsid w:val="005C5618"/>
    <w:rsid w:val="005C5ED2"/>
    <w:rsid w:val="005C60A4"/>
    <w:rsid w:val="005C616D"/>
    <w:rsid w:val="005C6760"/>
    <w:rsid w:val="005C6924"/>
    <w:rsid w:val="005C7937"/>
    <w:rsid w:val="005C79ED"/>
    <w:rsid w:val="005C7A3D"/>
    <w:rsid w:val="005C7DDF"/>
    <w:rsid w:val="005D02C3"/>
    <w:rsid w:val="005D0CDB"/>
    <w:rsid w:val="005D10E7"/>
    <w:rsid w:val="005D1281"/>
    <w:rsid w:val="005D171C"/>
    <w:rsid w:val="005D2E4A"/>
    <w:rsid w:val="005D367D"/>
    <w:rsid w:val="005D36E4"/>
    <w:rsid w:val="005D381A"/>
    <w:rsid w:val="005D39BC"/>
    <w:rsid w:val="005D3CBB"/>
    <w:rsid w:val="005D4099"/>
    <w:rsid w:val="005D5323"/>
    <w:rsid w:val="005D568E"/>
    <w:rsid w:val="005D5714"/>
    <w:rsid w:val="005D685B"/>
    <w:rsid w:val="005E0480"/>
    <w:rsid w:val="005E0BA0"/>
    <w:rsid w:val="005E10D8"/>
    <w:rsid w:val="005E1A93"/>
    <w:rsid w:val="005E21EE"/>
    <w:rsid w:val="005E293D"/>
    <w:rsid w:val="005E3242"/>
    <w:rsid w:val="005E38BE"/>
    <w:rsid w:val="005E416C"/>
    <w:rsid w:val="005E427E"/>
    <w:rsid w:val="005E442B"/>
    <w:rsid w:val="005E51DB"/>
    <w:rsid w:val="005E52BE"/>
    <w:rsid w:val="005E5757"/>
    <w:rsid w:val="005E5ED7"/>
    <w:rsid w:val="005E5FEC"/>
    <w:rsid w:val="005E60EC"/>
    <w:rsid w:val="005E6846"/>
    <w:rsid w:val="005E6A52"/>
    <w:rsid w:val="005E7430"/>
    <w:rsid w:val="005F00F7"/>
    <w:rsid w:val="005F06CD"/>
    <w:rsid w:val="005F0942"/>
    <w:rsid w:val="005F0EC2"/>
    <w:rsid w:val="005F1075"/>
    <w:rsid w:val="005F1555"/>
    <w:rsid w:val="005F1996"/>
    <w:rsid w:val="005F2D6C"/>
    <w:rsid w:val="005F2FBF"/>
    <w:rsid w:val="005F34AD"/>
    <w:rsid w:val="005F34D5"/>
    <w:rsid w:val="005F394C"/>
    <w:rsid w:val="005F3CFB"/>
    <w:rsid w:val="005F3F43"/>
    <w:rsid w:val="005F5247"/>
    <w:rsid w:val="005F53F7"/>
    <w:rsid w:val="005F5F20"/>
    <w:rsid w:val="005F5F24"/>
    <w:rsid w:val="005F6054"/>
    <w:rsid w:val="005F6503"/>
    <w:rsid w:val="005F65EC"/>
    <w:rsid w:val="005F66BB"/>
    <w:rsid w:val="005F6765"/>
    <w:rsid w:val="005F680D"/>
    <w:rsid w:val="005F6D5B"/>
    <w:rsid w:val="005F7EBC"/>
    <w:rsid w:val="0060075A"/>
    <w:rsid w:val="0060169D"/>
    <w:rsid w:val="00601DB1"/>
    <w:rsid w:val="00602024"/>
    <w:rsid w:val="00602C13"/>
    <w:rsid w:val="00602FA4"/>
    <w:rsid w:val="00603EDB"/>
    <w:rsid w:val="006040ED"/>
    <w:rsid w:val="00604B0B"/>
    <w:rsid w:val="00604C15"/>
    <w:rsid w:val="00604C3F"/>
    <w:rsid w:val="006051A8"/>
    <w:rsid w:val="006058A6"/>
    <w:rsid w:val="00605FC3"/>
    <w:rsid w:val="00606B66"/>
    <w:rsid w:val="006074C0"/>
    <w:rsid w:val="006077AE"/>
    <w:rsid w:val="00607DAE"/>
    <w:rsid w:val="00607EF4"/>
    <w:rsid w:val="00610331"/>
    <w:rsid w:val="006108C7"/>
    <w:rsid w:val="0061189F"/>
    <w:rsid w:val="006123F8"/>
    <w:rsid w:val="006127B3"/>
    <w:rsid w:val="00612BAF"/>
    <w:rsid w:val="00612C75"/>
    <w:rsid w:val="00613820"/>
    <w:rsid w:val="006140E6"/>
    <w:rsid w:val="006142B0"/>
    <w:rsid w:val="0061462C"/>
    <w:rsid w:val="00614BE0"/>
    <w:rsid w:val="00614FA1"/>
    <w:rsid w:val="0061516F"/>
    <w:rsid w:val="00615585"/>
    <w:rsid w:val="006158D5"/>
    <w:rsid w:val="00615EDA"/>
    <w:rsid w:val="0061631E"/>
    <w:rsid w:val="00616C24"/>
    <w:rsid w:val="006173A2"/>
    <w:rsid w:val="00617D71"/>
    <w:rsid w:val="00617FF7"/>
    <w:rsid w:val="00620235"/>
    <w:rsid w:val="00620404"/>
    <w:rsid w:val="00620457"/>
    <w:rsid w:val="00620B4F"/>
    <w:rsid w:val="0062133A"/>
    <w:rsid w:val="0062184F"/>
    <w:rsid w:val="006218DD"/>
    <w:rsid w:val="00621902"/>
    <w:rsid w:val="00622DC1"/>
    <w:rsid w:val="00623A16"/>
    <w:rsid w:val="006245A6"/>
    <w:rsid w:val="00624E03"/>
    <w:rsid w:val="00625A5D"/>
    <w:rsid w:val="00625D83"/>
    <w:rsid w:val="00625EC2"/>
    <w:rsid w:val="006266B8"/>
    <w:rsid w:val="0062691B"/>
    <w:rsid w:val="00627F8D"/>
    <w:rsid w:val="0063036C"/>
    <w:rsid w:val="00630BC8"/>
    <w:rsid w:val="00630C8B"/>
    <w:rsid w:val="00630F3E"/>
    <w:rsid w:val="00631552"/>
    <w:rsid w:val="00631562"/>
    <w:rsid w:val="006315AB"/>
    <w:rsid w:val="0063167F"/>
    <w:rsid w:val="00632029"/>
    <w:rsid w:val="006325AC"/>
    <w:rsid w:val="00632838"/>
    <w:rsid w:val="00632A85"/>
    <w:rsid w:val="00632D25"/>
    <w:rsid w:val="00632D4C"/>
    <w:rsid w:val="00632FDB"/>
    <w:rsid w:val="00633E5C"/>
    <w:rsid w:val="00635179"/>
    <w:rsid w:val="006355BB"/>
    <w:rsid w:val="00635637"/>
    <w:rsid w:val="00635681"/>
    <w:rsid w:val="006376E2"/>
    <w:rsid w:val="006409F3"/>
    <w:rsid w:val="00640C86"/>
    <w:rsid w:val="006412B1"/>
    <w:rsid w:val="00641640"/>
    <w:rsid w:val="00641947"/>
    <w:rsid w:val="00641E13"/>
    <w:rsid w:val="006425AC"/>
    <w:rsid w:val="006433A4"/>
    <w:rsid w:val="00643547"/>
    <w:rsid w:val="00643F80"/>
    <w:rsid w:val="006440B1"/>
    <w:rsid w:val="006442DF"/>
    <w:rsid w:val="0064483E"/>
    <w:rsid w:val="00644841"/>
    <w:rsid w:val="00644D60"/>
    <w:rsid w:val="006450A5"/>
    <w:rsid w:val="00645410"/>
    <w:rsid w:val="006455B1"/>
    <w:rsid w:val="0064622F"/>
    <w:rsid w:val="00646498"/>
    <w:rsid w:val="00646A17"/>
    <w:rsid w:val="00646A29"/>
    <w:rsid w:val="00646B20"/>
    <w:rsid w:val="00647051"/>
    <w:rsid w:val="00647E8C"/>
    <w:rsid w:val="00650641"/>
    <w:rsid w:val="00650975"/>
    <w:rsid w:val="00650D0E"/>
    <w:rsid w:val="00650DEF"/>
    <w:rsid w:val="00651020"/>
    <w:rsid w:val="00651429"/>
    <w:rsid w:val="00651C1C"/>
    <w:rsid w:val="00651C5D"/>
    <w:rsid w:val="00652369"/>
    <w:rsid w:val="006525A3"/>
    <w:rsid w:val="00652D52"/>
    <w:rsid w:val="00653499"/>
    <w:rsid w:val="00653B0A"/>
    <w:rsid w:val="00654045"/>
    <w:rsid w:val="0065423B"/>
    <w:rsid w:val="00654267"/>
    <w:rsid w:val="006547E8"/>
    <w:rsid w:val="00655197"/>
    <w:rsid w:val="00655FC0"/>
    <w:rsid w:val="0065677A"/>
    <w:rsid w:val="00656DA4"/>
    <w:rsid w:val="00656FA5"/>
    <w:rsid w:val="006575CC"/>
    <w:rsid w:val="00657A9B"/>
    <w:rsid w:val="006605D9"/>
    <w:rsid w:val="00660D76"/>
    <w:rsid w:val="00660F4F"/>
    <w:rsid w:val="006619B2"/>
    <w:rsid w:val="006623E7"/>
    <w:rsid w:val="00662B80"/>
    <w:rsid w:val="00662E1A"/>
    <w:rsid w:val="0066304D"/>
    <w:rsid w:val="00663A04"/>
    <w:rsid w:val="00664456"/>
    <w:rsid w:val="006648CA"/>
    <w:rsid w:val="00664D8F"/>
    <w:rsid w:val="00665672"/>
    <w:rsid w:val="00665899"/>
    <w:rsid w:val="006661C8"/>
    <w:rsid w:val="00666531"/>
    <w:rsid w:val="0066753E"/>
    <w:rsid w:val="006677E0"/>
    <w:rsid w:val="0066781B"/>
    <w:rsid w:val="00667A11"/>
    <w:rsid w:val="00667AF7"/>
    <w:rsid w:val="00667D03"/>
    <w:rsid w:val="00670093"/>
    <w:rsid w:val="006704D9"/>
    <w:rsid w:val="0067078D"/>
    <w:rsid w:val="00670A86"/>
    <w:rsid w:val="00670C64"/>
    <w:rsid w:val="00670E2A"/>
    <w:rsid w:val="00670F67"/>
    <w:rsid w:val="00670F6C"/>
    <w:rsid w:val="006710A6"/>
    <w:rsid w:val="006724ED"/>
    <w:rsid w:val="00672903"/>
    <w:rsid w:val="006729A7"/>
    <w:rsid w:val="00673E3E"/>
    <w:rsid w:val="00674107"/>
    <w:rsid w:val="006744A0"/>
    <w:rsid w:val="006746FA"/>
    <w:rsid w:val="0067481F"/>
    <w:rsid w:val="00674D4A"/>
    <w:rsid w:val="006750E3"/>
    <w:rsid w:val="00676777"/>
    <w:rsid w:val="0067684F"/>
    <w:rsid w:val="006769AC"/>
    <w:rsid w:val="00676DEB"/>
    <w:rsid w:val="0068037B"/>
    <w:rsid w:val="00680480"/>
    <w:rsid w:val="00680CC8"/>
    <w:rsid w:val="0068261D"/>
    <w:rsid w:val="00682A41"/>
    <w:rsid w:val="00683103"/>
    <w:rsid w:val="00683221"/>
    <w:rsid w:val="006832CB"/>
    <w:rsid w:val="00683377"/>
    <w:rsid w:val="006834ED"/>
    <w:rsid w:val="006837CA"/>
    <w:rsid w:val="00684153"/>
    <w:rsid w:val="00684760"/>
    <w:rsid w:val="0068483E"/>
    <w:rsid w:val="00684CC8"/>
    <w:rsid w:val="00684FC6"/>
    <w:rsid w:val="006852C7"/>
    <w:rsid w:val="006852CE"/>
    <w:rsid w:val="00685814"/>
    <w:rsid w:val="00685D5B"/>
    <w:rsid w:val="00685E05"/>
    <w:rsid w:val="00686657"/>
    <w:rsid w:val="00686A33"/>
    <w:rsid w:val="00687328"/>
    <w:rsid w:val="0068756D"/>
    <w:rsid w:val="006876E3"/>
    <w:rsid w:val="006879C9"/>
    <w:rsid w:val="006900FE"/>
    <w:rsid w:val="0069019F"/>
    <w:rsid w:val="0069035E"/>
    <w:rsid w:val="00690616"/>
    <w:rsid w:val="00690B31"/>
    <w:rsid w:val="00690E84"/>
    <w:rsid w:val="0069111A"/>
    <w:rsid w:val="00691404"/>
    <w:rsid w:val="006915FD"/>
    <w:rsid w:val="00692066"/>
    <w:rsid w:val="00692586"/>
    <w:rsid w:val="00693234"/>
    <w:rsid w:val="00693C7C"/>
    <w:rsid w:val="006940C0"/>
    <w:rsid w:val="0069432B"/>
    <w:rsid w:val="006948A6"/>
    <w:rsid w:val="00694C88"/>
    <w:rsid w:val="00694D61"/>
    <w:rsid w:val="006950CF"/>
    <w:rsid w:val="00695689"/>
    <w:rsid w:val="00695DF5"/>
    <w:rsid w:val="00696128"/>
    <w:rsid w:val="006966E5"/>
    <w:rsid w:val="00696E06"/>
    <w:rsid w:val="0069701E"/>
    <w:rsid w:val="00697CBE"/>
    <w:rsid w:val="00697EA5"/>
    <w:rsid w:val="006A0662"/>
    <w:rsid w:val="006A091D"/>
    <w:rsid w:val="006A09FA"/>
    <w:rsid w:val="006A0B9C"/>
    <w:rsid w:val="006A0E92"/>
    <w:rsid w:val="006A1067"/>
    <w:rsid w:val="006A2342"/>
    <w:rsid w:val="006A2431"/>
    <w:rsid w:val="006A265D"/>
    <w:rsid w:val="006A2734"/>
    <w:rsid w:val="006A3175"/>
    <w:rsid w:val="006A3496"/>
    <w:rsid w:val="006A3DEE"/>
    <w:rsid w:val="006A3F26"/>
    <w:rsid w:val="006A4410"/>
    <w:rsid w:val="006A4473"/>
    <w:rsid w:val="006A44A9"/>
    <w:rsid w:val="006A4A65"/>
    <w:rsid w:val="006A4E0E"/>
    <w:rsid w:val="006A4E68"/>
    <w:rsid w:val="006A58B6"/>
    <w:rsid w:val="006A5B5C"/>
    <w:rsid w:val="006A765B"/>
    <w:rsid w:val="006A7B08"/>
    <w:rsid w:val="006A7D12"/>
    <w:rsid w:val="006A7E3B"/>
    <w:rsid w:val="006B007C"/>
    <w:rsid w:val="006B0C63"/>
    <w:rsid w:val="006B1032"/>
    <w:rsid w:val="006B130C"/>
    <w:rsid w:val="006B13B0"/>
    <w:rsid w:val="006B1AE8"/>
    <w:rsid w:val="006B1D7F"/>
    <w:rsid w:val="006B1E2B"/>
    <w:rsid w:val="006B2816"/>
    <w:rsid w:val="006B3275"/>
    <w:rsid w:val="006B36B9"/>
    <w:rsid w:val="006B3C02"/>
    <w:rsid w:val="006B4B33"/>
    <w:rsid w:val="006B4F0C"/>
    <w:rsid w:val="006B5820"/>
    <w:rsid w:val="006B59A6"/>
    <w:rsid w:val="006B5DD5"/>
    <w:rsid w:val="006B652C"/>
    <w:rsid w:val="006B6E8A"/>
    <w:rsid w:val="006B78F0"/>
    <w:rsid w:val="006B7CCD"/>
    <w:rsid w:val="006C0473"/>
    <w:rsid w:val="006C0683"/>
    <w:rsid w:val="006C0731"/>
    <w:rsid w:val="006C09EA"/>
    <w:rsid w:val="006C0CDD"/>
    <w:rsid w:val="006C1727"/>
    <w:rsid w:val="006C1DA3"/>
    <w:rsid w:val="006C28B1"/>
    <w:rsid w:val="006C32FD"/>
    <w:rsid w:val="006C36A8"/>
    <w:rsid w:val="006C39CE"/>
    <w:rsid w:val="006C3B3F"/>
    <w:rsid w:val="006C49DC"/>
    <w:rsid w:val="006C4D7B"/>
    <w:rsid w:val="006C5B57"/>
    <w:rsid w:val="006C6668"/>
    <w:rsid w:val="006C69F2"/>
    <w:rsid w:val="006C6A1A"/>
    <w:rsid w:val="006C6ECC"/>
    <w:rsid w:val="006C6F93"/>
    <w:rsid w:val="006C728B"/>
    <w:rsid w:val="006C7F69"/>
    <w:rsid w:val="006D051E"/>
    <w:rsid w:val="006D0758"/>
    <w:rsid w:val="006D0C25"/>
    <w:rsid w:val="006D0FCC"/>
    <w:rsid w:val="006D1B94"/>
    <w:rsid w:val="006D1D2D"/>
    <w:rsid w:val="006D2193"/>
    <w:rsid w:val="006D2E3A"/>
    <w:rsid w:val="006D32DC"/>
    <w:rsid w:val="006D3870"/>
    <w:rsid w:val="006D42EA"/>
    <w:rsid w:val="006D4489"/>
    <w:rsid w:val="006D4883"/>
    <w:rsid w:val="006D4CE4"/>
    <w:rsid w:val="006D5793"/>
    <w:rsid w:val="006D5914"/>
    <w:rsid w:val="006D5F56"/>
    <w:rsid w:val="006D6473"/>
    <w:rsid w:val="006D6CC3"/>
    <w:rsid w:val="006D7013"/>
    <w:rsid w:val="006D703F"/>
    <w:rsid w:val="006D7406"/>
    <w:rsid w:val="006D7713"/>
    <w:rsid w:val="006E0261"/>
    <w:rsid w:val="006E028D"/>
    <w:rsid w:val="006E07EE"/>
    <w:rsid w:val="006E1390"/>
    <w:rsid w:val="006E1D51"/>
    <w:rsid w:val="006E1FC3"/>
    <w:rsid w:val="006E2417"/>
    <w:rsid w:val="006E2BFE"/>
    <w:rsid w:val="006E2CDE"/>
    <w:rsid w:val="006E2F57"/>
    <w:rsid w:val="006E3220"/>
    <w:rsid w:val="006E3431"/>
    <w:rsid w:val="006E3831"/>
    <w:rsid w:val="006E388B"/>
    <w:rsid w:val="006E4C7D"/>
    <w:rsid w:val="006E4D46"/>
    <w:rsid w:val="006E51B4"/>
    <w:rsid w:val="006E5309"/>
    <w:rsid w:val="006E559D"/>
    <w:rsid w:val="006E59E8"/>
    <w:rsid w:val="006E5EF5"/>
    <w:rsid w:val="006E62FF"/>
    <w:rsid w:val="006E6EF6"/>
    <w:rsid w:val="006E70D8"/>
    <w:rsid w:val="006E7AA2"/>
    <w:rsid w:val="006E7AC2"/>
    <w:rsid w:val="006F0E7B"/>
    <w:rsid w:val="006F1230"/>
    <w:rsid w:val="006F1285"/>
    <w:rsid w:val="006F1324"/>
    <w:rsid w:val="006F1772"/>
    <w:rsid w:val="006F19F3"/>
    <w:rsid w:val="006F2376"/>
    <w:rsid w:val="006F279D"/>
    <w:rsid w:val="006F2CFD"/>
    <w:rsid w:val="006F2DFA"/>
    <w:rsid w:val="006F3273"/>
    <w:rsid w:val="006F3313"/>
    <w:rsid w:val="006F4262"/>
    <w:rsid w:val="006F4371"/>
    <w:rsid w:val="006F4630"/>
    <w:rsid w:val="006F4BBE"/>
    <w:rsid w:val="006F4D0E"/>
    <w:rsid w:val="006F4DD6"/>
    <w:rsid w:val="006F5A34"/>
    <w:rsid w:val="006F5AB9"/>
    <w:rsid w:val="006F6922"/>
    <w:rsid w:val="006F6A2B"/>
    <w:rsid w:val="006F731A"/>
    <w:rsid w:val="00700169"/>
    <w:rsid w:val="00700A19"/>
    <w:rsid w:val="00700B46"/>
    <w:rsid w:val="00700E1C"/>
    <w:rsid w:val="00700FCE"/>
    <w:rsid w:val="00701091"/>
    <w:rsid w:val="007013F7"/>
    <w:rsid w:val="00701F51"/>
    <w:rsid w:val="00702445"/>
    <w:rsid w:val="0070381B"/>
    <w:rsid w:val="0070477B"/>
    <w:rsid w:val="00704A6F"/>
    <w:rsid w:val="0070615B"/>
    <w:rsid w:val="0070616B"/>
    <w:rsid w:val="00706FDA"/>
    <w:rsid w:val="007072C4"/>
    <w:rsid w:val="0070769B"/>
    <w:rsid w:val="00707B96"/>
    <w:rsid w:val="0071039F"/>
    <w:rsid w:val="00710EEE"/>
    <w:rsid w:val="00710F30"/>
    <w:rsid w:val="00711223"/>
    <w:rsid w:val="007115FB"/>
    <w:rsid w:val="00711B4E"/>
    <w:rsid w:val="00711CB5"/>
    <w:rsid w:val="00711F9A"/>
    <w:rsid w:val="007120AC"/>
    <w:rsid w:val="007121A6"/>
    <w:rsid w:val="007132CB"/>
    <w:rsid w:val="00713810"/>
    <w:rsid w:val="00713B83"/>
    <w:rsid w:val="00714738"/>
    <w:rsid w:val="00714FBD"/>
    <w:rsid w:val="0071526F"/>
    <w:rsid w:val="00715405"/>
    <w:rsid w:val="007156F6"/>
    <w:rsid w:val="00715D23"/>
    <w:rsid w:val="00715E12"/>
    <w:rsid w:val="00716187"/>
    <w:rsid w:val="0071659F"/>
    <w:rsid w:val="00716DE0"/>
    <w:rsid w:val="00716F9C"/>
    <w:rsid w:val="007175F0"/>
    <w:rsid w:val="00717D1A"/>
    <w:rsid w:val="00720193"/>
    <w:rsid w:val="007202D3"/>
    <w:rsid w:val="007202F8"/>
    <w:rsid w:val="00720524"/>
    <w:rsid w:val="007212E8"/>
    <w:rsid w:val="00721A2A"/>
    <w:rsid w:val="00721EE8"/>
    <w:rsid w:val="0072233E"/>
    <w:rsid w:val="007224D4"/>
    <w:rsid w:val="0072320E"/>
    <w:rsid w:val="007236D6"/>
    <w:rsid w:val="00723843"/>
    <w:rsid w:val="00723C5D"/>
    <w:rsid w:val="00723F68"/>
    <w:rsid w:val="00723FE7"/>
    <w:rsid w:val="007249A3"/>
    <w:rsid w:val="00724BCC"/>
    <w:rsid w:val="00725903"/>
    <w:rsid w:val="007271D7"/>
    <w:rsid w:val="0072782C"/>
    <w:rsid w:val="00727C29"/>
    <w:rsid w:val="007303A5"/>
    <w:rsid w:val="007305D4"/>
    <w:rsid w:val="00730B3E"/>
    <w:rsid w:val="00730B5F"/>
    <w:rsid w:val="0073190A"/>
    <w:rsid w:val="0073194E"/>
    <w:rsid w:val="00732131"/>
    <w:rsid w:val="00732B72"/>
    <w:rsid w:val="0073304B"/>
    <w:rsid w:val="00733AB1"/>
    <w:rsid w:val="00733C9B"/>
    <w:rsid w:val="007340D2"/>
    <w:rsid w:val="0073420B"/>
    <w:rsid w:val="00734279"/>
    <w:rsid w:val="00734C65"/>
    <w:rsid w:val="00734F44"/>
    <w:rsid w:val="007357A4"/>
    <w:rsid w:val="00735C89"/>
    <w:rsid w:val="00736174"/>
    <w:rsid w:val="007365CB"/>
    <w:rsid w:val="007369CA"/>
    <w:rsid w:val="00736E37"/>
    <w:rsid w:val="00736F7E"/>
    <w:rsid w:val="00737578"/>
    <w:rsid w:val="00737973"/>
    <w:rsid w:val="007403AF"/>
    <w:rsid w:val="007405D5"/>
    <w:rsid w:val="007406C4"/>
    <w:rsid w:val="00741093"/>
    <w:rsid w:val="007417FA"/>
    <w:rsid w:val="0074188C"/>
    <w:rsid w:val="00741B37"/>
    <w:rsid w:val="00741DF9"/>
    <w:rsid w:val="00742364"/>
    <w:rsid w:val="00742474"/>
    <w:rsid w:val="00742602"/>
    <w:rsid w:val="00742F64"/>
    <w:rsid w:val="00743522"/>
    <w:rsid w:val="00743A3A"/>
    <w:rsid w:val="00743F91"/>
    <w:rsid w:val="0074460D"/>
    <w:rsid w:val="007455D6"/>
    <w:rsid w:val="0074589D"/>
    <w:rsid w:val="007463D4"/>
    <w:rsid w:val="00746626"/>
    <w:rsid w:val="0074693A"/>
    <w:rsid w:val="0074760E"/>
    <w:rsid w:val="00747CB1"/>
    <w:rsid w:val="00747DA3"/>
    <w:rsid w:val="007509DB"/>
    <w:rsid w:val="00750B72"/>
    <w:rsid w:val="00750BEB"/>
    <w:rsid w:val="00750D9E"/>
    <w:rsid w:val="0075223C"/>
    <w:rsid w:val="0075293F"/>
    <w:rsid w:val="00752B50"/>
    <w:rsid w:val="00752EA5"/>
    <w:rsid w:val="007530FD"/>
    <w:rsid w:val="00753E16"/>
    <w:rsid w:val="00753E4A"/>
    <w:rsid w:val="0075439A"/>
    <w:rsid w:val="00754ABA"/>
    <w:rsid w:val="00754D1B"/>
    <w:rsid w:val="007555C4"/>
    <w:rsid w:val="00756423"/>
    <w:rsid w:val="00756B6A"/>
    <w:rsid w:val="00757020"/>
    <w:rsid w:val="007570DD"/>
    <w:rsid w:val="007575CC"/>
    <w:rsid w:val="00757687"/>
    <w:rsid w:val="00757805"/>
    <w:rsid w:val="007601AD"/>
    <w:rsid w:val="00760B42"/>
    <w:rsid w:val="00760FF7"/>
    <w:rsid w:val="0076136C"/>
    <w:rsid w:val="00761D45"/>
    <w:rsid w:val="00762583"/>
    <w:rsid w:val="0076287C"/>
    <w:rsid w:val="00762C4B"/>
    <w:rsid w:val="00762DF4"/>
    <w:rsid w:val="0076315D"/>
    <w:rsid w:val="00763C35"/>
    <w:rsid w:val="007643BD"/>
    <w:rsid w:val="0076454A"/>
    <w:rsid w:val="0076496E"/>
    <w:rsid w:val="00764DB6"/>
    <w:rsid w:val="0076541E"/>
    <w:rsid w:val="00765511"/>
    <w:rsid w:val="00765755"/>
    <w:rsid w:val="0076655E"/>
    <w:rsid w:val="0076673D"/>
    <w:rsid w:val="00767E5F"/>
    <w:rsid w:val="00770CDC"/>
    <w:rsid w:val="00770D61"/>
    <w:rsid w:val="00771621"/>
    <w:rsid w:val="00771F90"/>
    <w:rsid w:val="007720EF"/>
    <w:rsid w:val="0077214F"/>
    <w:rsid w:val="00772301"/>
    <w:rsid w:val="00772A48"/>
    <w:rsid w:val="00773006"/>
    <w:rsid w:val="007733E3"/>
    <w:rsid w:val="007733F2"/>
    <w:rsid w:val="00774074"/>
    <w:rsid w:val="007741E6"/>
    <w:rsid w:val="007746D1"/>
    <w:rsid w:val="007758F3"/>
    <w:rsid w:val="00776338"/>
    <w:rsid w:val="00777444"/>
    <w:rsid w:val="0078041F"/>
    <w:rsid w:val="007804DF"/>
    <w:rsid w:val="00780625"/>
    <w:rsid w:val="00780AF9"/>
    <w:rsid w:val="00780E77"/>
    <w:rsid w:val="0078100E"/>
    <w:rsid w:val="00781169"/>
    <w:rsid w:val="007811D5"/>
    <w:rsid w:val="00781542"/>
    <w:rsid w:val="00781624"/>
    <w:rsid w:val="00781922"/>
    <w:rsid w:val="00781BE0"/>
    <w:rsid w:val="00781C75"/>
    <w:rsid w:val="00781D9F"/>
    <w:rsid w:val="00782EAB"/>
    <w:rsid w:val="00783558"/>
    <w:rsid w:val="00784277"/>
    <w:rsid w:val="007843B9"/>
    <w:rsid w:val="00784839"/>
    <w:rsid w:val="00785357"/>
    <w:rsid w:val="00785619"/>
    <w:rsid w:val="00785828"/>
    <w:rsid w:val="00785C24"/>
    <w:rsid w:val="00786979"/>
    <w:rsid w:val="00786EC2"/>
    <w:rsid w:val="0079080A"/>
    <w:rsid w:val="007921AE"/>
    <w:rsid w:val="0079250F"/>
    <w:rsid w:val="007930E9"/>
    <w:rsid w:val="00793384"/>
    <w:rsid w:val="007936F9"/>
    <w:rsid w:val="00793989"/>
    <w:rsid w:val="00793A80"/>
    <w:rsid w:val="00793EE4"/>
    <w:rsid w:val="0079494E"/>
    <w:rsid w:val="007954EC"/>
    <w:rsid w:val="00795B50"/>
    <w:rsid w:val="00795C71"/>
    <w:rsid w:val="00796228"/>
    <w:rsid w:val="007963E5"/>
    <w:rsid w:val="00796614"/>
    <w:rsid w:val="00797071"/>
    <w:rsid w:val="00797123"/>
    <w:rsid w:val="00797314"/>
    <w:rsid w:val="00797707"/>
    <w:rsid w:val="00797825"/>
    <w:rsid w:val="0079785A"/>
    <w:rsid w:val="007A00EF"/>
    <w:rsid w:val="007A023D"/>
    <w:rsid w:val="007A04DA"/>
    <w:rsid w:val="007A0978"/>
    <w:rsid w:val="007A0A23"/>
    <w:rsid w:val="007A1546"/>
    <w:rsid w:val="007A1786"/>
    <w:rsid w:val="007A17BF"/>
    <w:rsid w:val="007A19F1"/>
    <w:rsid w:val="007A1DC8"/>
    <w:rsid w:val="007A1ECA"/>
    <w:rsid w:val="007A228C"/>
    <w:rsid w:val="007A26A1"/>
    <w:rsid w:val="007A3079"/>
    <w:rsid w:val="007A368E"/>
    <w:rsid w:val="007A3BF8"/>
    <w:rsid w:val="007A3C7E"/>
    <w:rsid w:val="007A3CDA"/>
    <w:rsid w:val="007A404A"/>
    <w:rsid w:val="007A4EF3"/>
    <w:rsid w:val="007A56C7"/>
    <w:rsid w:val="007A5868"/>
    <w:rsid w:val="007A5975"/>
    <w:rsid w:val="007A59DD"/>
    <w:rsid w:val="007A612E"/>
    <w:rsid w:val="007A6330"/>
    <w:rsid w:val="007A6429"/>
    <w:rsid w:val="007A6657"/>
    <w:rsid w:val="007A6B32"/>
    <w:rsid w:val="007A7099"/>
    <w:rsid w:val="007A7BB8"/>
    <w:rsid w:val="007B04CE"/>
    <w:rsid w:val="007B069E"/>
    <w:rsid w:val="007B0BD5"/>
    <w:rsid w:val="007B1127"/>
    <w:rsid w:val="007B1AF7"/>
    <w:rsid w:val="007B22B4"/>
    <w:rsid w:val="007B2811"/>
    <w:rsid w:val="007B2DF1"/>
    <w:rsid w:val="007B2F5B"/>
    <w:rsid w:val="007B2FDE"/>
    <w:rsid w:val="007B376F"/>
    <w:rsid w:val="007B3F0B"/>
    <w:rsid w:val="007B41B3"/>
    <w:rsid w:val="007B42B1"/>
    <w:rsid w:val="007B48A4"/>
    <w:rsid w:val="007B5EDC"/>
    <w:rsid w:val="007B61A7"/>
    <w:rsid w:val="007B6871"/>
    <w:rsid w:val="007B6A05"/>
    <w:rsid w:val="007B7585"/>
    <w:rsid w:val="007B79EC"/>
    <w:rsid w:val="007B7A2F"/>
    <w:rsid w:val="007B7A8C"/>
    <w:rsid w:val="007C01C8"/>
    <w:rsid w:val="007C0359"/>
    <w:rsid w:val="007C191B"/>
    <w:rsid w:val="007C227C"/>
    <w:rsid w:val="007C2308"/>
    <w:rsid w:val="007C2617"/>
    <w:rsid w:val="007C28F2"/>
    <w:rsid w:val="007C2BB0"/>
    <w:rsid w:val="007C314D"/>
    <w:rsid w:val="007C3D33"/>
    <w:rsid w:val="007C3FFB"/>
    <w:rsid w:val="007C400D"/>
    <w:rsid w:val="007C46F8"/>
    <w:rsid w:val="007C4E06"/>
    <w:rsid w:val="007C517B"/>
    <w:rsid w:val="007C5425"/>
    <w:rsid w:val="007C54A7"/>
    <w:rsid w:val="007C57B6"/>
    <w:rsid w:val="007C5FF9"/>
    <w:rsid w:val="007C6A62"/>
    <w:rsid w:val="007C6E72"/>
    <w:rsid w:val="007C716B"/>
    <w:rsid w:val="007C76D5"/>
    <w:rsid w:val="007C797C"/>
    <w:rsid w:val="007C7F89"/>
    <w:rsid w:val="007D056B"/>
    <w:rsid w:val="007D0BDA"/>
    <w:rsid w:val="007D0D33"/>
    <w:rsid w:val="007D0EB0"/>
    <w:rsid w:val="007D0FFB"/>
    <w:rsid w:val="007D135E"/>
    <w:rsid w:val="007D1A24"/>
    <w:rsid w:val="007D207B"/>
    <w:rsid w:val="007D293F"/>
    <w:rsid w:val="007D294A"/>
    <w:rsid w:val="007D3734"/>
    <w:rsid w:val="007D3736"/>
    <w:rsid w:val="007D38E1"/>
    <w:rsid w:val="007D4136"/>
    <w:rsid w:val="007D47D2"/>
    <w:rsid w:val="007D4DD3"/>
    <w:rsid w:val="007D5560"/>
    <w:rsid w:val="007D561B"/>
    <w:rsid w:val="007D5A48"/>
    <w:rsid w:val="007D5D6B"/>
    <w:rsid w:val="007D624E"/>
    <w:rsid w:val="007D658D"/>
    <w:rsid w:val="007D6751"/>
    <w:rsid w:val="007D682B"/>
    <w:rsid w:val="007D6C41"/>
    <w:rsid w:val="007D6EC0"/>
    <w:rsid w:val="007D7382"/>
    <w:rsid w:val="007D774D"/>
    <w:rsid w:val="007D7972"/>
    <w:rsid w:val="007D7E1D"/>
    <w:rsid w:val="007E092D"/>
    <w:rsid w:val="007E0A81"/>
    <w:rsid w:val="007E0BCD"/>
    <w:rsid w:val="007E153B"/>
    <w:rsid w:val="007E1A9F"/>
    <w:rsid w:val="007E1D6F"/>
    <w:rsid w:val="007E21D9"/>
    <w:rsid w:val="007E2302"/>
    <w:rsid w:val="007E2CEF"/>
    <w:rsid w:val="007E3143"/>
    <w:rsid w:val="007E3C1E"/>
    <w:rsid w:val="007E4041"/>
    <w:rsid w:val="007E43B5"/>
    <w:rsid w:val="007E4614"/>
    <w:rsid w:val="007E4987"/>
    <w:rsid w:val="007E4BC8"/>
    <w:rsid w:val="007E4CAE"/>
    <w:rsid w:val="007E4F3C"/>
    <w:rsid w:val="007E52D4"/>
    <w:rsid w:val="007E5B2F"/>
    <w:rsid w:val="007E5B69"/>
    <w:rsid w:val="007E5BEB"/>
    <w:rsid w:val="007E74A6"/>
    <w:rsid w:val="007E7AB8"/>
    <w:rsid w:val="007E7BE8"/>
    <w:rsid w:val="007E7E5A"/>
    <w:rsid w:val="007F0C58"/>
    <w:rsid w:val="007F1468"/>
    <w:rsid w:val="007F1D0E"/>
    <w:rsid w:val="007F1E50"/>
    <w:rsid w:val="007F2C70"/>
    <w:rsid w:val="007F3207"/>
    <w:rsid w:val="007F3A72"/>
    <w:rsid w:val="007F3B2A"/>
    <w:rsid w:val="007F51D5"/>
    <w:rsid w:val="007F585A"/>
    <w:rsid w:val="007F59AC"/>
    <w:rsid w:val="007F60F9"/>
    <w:rsid w:val="007F61C0"/>
    <w:rsid w:val="007F61D9"/>
    <w:rsid w:val="007F6BCE"/>
    <w:rsid w:val="007F6D91"/>
    <w:rsid w:val="007F73A1"/>
    <w:rsid w:val="007F7822"/>
    <w:rsid w:val="00800813"/>
    <w:rsid w:val="00800CE8"/>
    <w:rsid w:val="00800FCD"/>
    <w:rsid w:val="008013CC"/>
    <w:rsid w:val="0080141C"/>
    <w:rsid w:val="00801E19"/>
    <w:rsid w:val="00803353"/>
    <w:rsid w:val="008033BD"/>
    <w:rsid w:val="0080362D"/>
    <w:rsid w:val="00803877"/>
    <w:rsid w:val="00803CCC"/>
    <w:rsid w:val="00804404"/>
    <w:rsid w:val="0080445C"/>
    <w:rsid w:val="00804CDB"/>
    <w:rsid w:val="00804E09"/>
    <w:rsid w:val="0080552C"/>
    <w:rsid w:val="00805591"/>
    <w:rsid w:val="0080575F"/>
    <w:rsid w:val="00805D33"/>
    <w:rsid w:val="0080641C"/>
    <w:rsid w:val="0080656D"/>
    <w:rsid w:val="008065C2"/>
    <w:rsid w:val="008068AE"/>
    <w:rsid w:val="00806C47"/>
    <w:rsid w:val="00806EF4"/>
    <w:rsid w:val="00806F06"/>
    <w:rsid w:val="00806FA1"/>
    <w:rsid w:val="00806FB0"/>
    <w:rsid w:val="008071E2"/>
    <w:rsid w:val="00810194"/>
    <w:rsid w:val="008104DF"/>
    <w:rsid w:val="008105C0"/>
    <w:rsid w:val="008110FF"/>
    <w:rsid w:val="0081177E"/>
    <w:rsid w:val="0081262F"/>
    <w:rsid w:val="00812FF9"/>
    <w:rsid w:val="008135B0"/>
    <w:rsid w:val="00813662"/>
    <w:rsid w:val="008137BE"/>
    <w:rsid w:val="00814391"/>
    <w:rsid w:val="008148ED"/>
    <w:rsid w:val="008158A0"/>
    <w:rsid w:val="008158A3"/>
    <w:rsid w:val="00815A61"/>
    <w:rsid w:val="00816244"/>
    <w:rsid w:val="00816926"/>
    <w:rsid w:val="00816D8E"/>
    <w:rsid w:val="00817FF2"/>
    <w:rsid w:val="008207DF"/>
    <w:rsid w:val="00820E37"/>
    <w:rsid w:val="0082195B"/>
    <w:rsid w:val="00822F27"/>
    <w:rsid w:val="00823879"/>
    <w:rsid w:val="008239FC"/>
    <w:rsid w:val="00823A80"/>
    <w:rsid w:val="0082531B"/>
    <w:rsid w:val="00825A0D"/>
    <w:rsid w:val="00825BB8"/>
    <w:rsid w:val="00827630"/>
    <w:rsid w:val="008279D1"/>
    <w:rsid w:val="00830257"/>
    <w:rsid w:val="008305F7"/>
    <w:rsid w:val="00830D16"/>
    <w:rsid w:val="00830E50"/>
    <w:rsid w:val="0083158B"/>
    <w:rsid w:val="00831979"/>
    <w:rsid w:val="00832147"/>
    <w:rsid w:val="00832629"/>
    <w:rsid w:val="00832887"/>
    <w:rsid w:val="00832EF6"/>
    <w:rsid w:val="00832F45"/>
    <w:rsid w:val="008336CA"/>
    <w:rsid w:val="00833708"/>
    <w:rsid w:val="008341CA"/>
    <w:rsid w:val="00835029"/>
    <w:rsid w:val="00835466"/>
    <w:rsid w:val="00836B1D"/>
    <w:rsid w:val="0083712C"/>
    <w:rsid w:val="00837160"/>
    <w:rsid w:val="00837831"/>
    <w:rsid w:val="00837E67"/>
    <w:rsid w:val="00840197"/>
    <w:rsid w:val="00840362"/>
    <w:rsid w:val="00840665"/>
    <w:rsid w:val="00840B93"/>
    <w:rsid w:val="00840FE6"/>
    <w:rsid w:val="00841EFC"/>
    <w:rsid w:val="00842048"/>
    <w:rsid w:val="00843436"/>
    <w:rsid w:val="0084353D"/>
    <w:rsid w:val="00843791"/>
    <w:rsid w:val="00843F00"/>
    <w:rsid w:val="00844157"/>
    <w:rsid w:val="00844297"/>
    <w:rsid w:val="0084434D"/>
    <w:rsid w:val="00844EAB"/>
    <w:rsid w:val="00844F50"/>
    <w:rsid w:val="00845C7E"/>
    <w:rsid w:val="0084643B"/>
    <w:rsid w:val="00846A40"/>
    <w:rsid w:val="00847402"/>
    <w:rsid w:val="0084750A"/>
    <w:rsid w:val="00847B93"/>
    <w:rsid w:val="008504BB"/>
    <w:rsid w:val="00850C5F"/>
    <w:rsid w:val="00851352"/>
    <w:rsid w:val="008517EA"/>
    <w:rsid w:val="008518C7"/>
    <w:rsid w:val="00852B91"/>
    <w:rsid w:val="00852D24"/>
    <w:rsid w:val="00853063"/>
    <w:rsid w:val="0085388D"/>
    <w:rsid w:val="00853D2E"/>
    <w:rsid w:val="008540AA"/>
    <w:rsid w:val="008545A6"/>
    <w:rsid w:val="00854660"/>
    <w:rsid w:val="00854829"/>
    <w:rsid w:val="0085542D"/>
    <w:rsid w:val="00855D7E"/>
    <w:rsid w:val="00855EB0"/>
    <w:rsid w:val="00856953"/>
    <w:rsid w:val="008569FE"/>
    <w:rsid w:val="00856AAC"/>
    <w:rsid w:val="00856B70"/>
    <w:rsid w:val="008570E6"/>
    <w:rsid w:val="00857586"/>
    <w:rsid w:val="0085799A"/>
    <w:rsid w:val="0086055E"/>
    <w:rsid w:val="008611F4"/>
    <w:rsid w:val="008614F7"/>
    <w:rsid w:val="008625EE"/>
    <w:rsid w:val="00862A82"/>
    <w:rsid w:val="00862C56"/>
    <w:rsid w:val="00862E81"/>
    <w:rsid w:val="00863230"/>
    <w:rsid w:val="00863289"/>
    <w:rsid w:val="008635A6"/>
    <w:rsid w:val="00863D83"/>
    <w:rsid w:val="008642E9"/>
    <w:rsid w:val="00864615"/>
    <w:rsid w:val="00864BBC"/>
    <w:rsid w:val="00865264"/>
    <w:rsid w:val="0086582D"/>
    <w:rsid w:val="00866417"/>
    <w:rsid w:val="0086686C"/>
    <w:rsid w:val="00866A83"/>
    <w:rsid w:val="00866E4E"/>
    <w:rsid w:val="00867549"/>
    <w:rsid w:val="00867870"/>
    <w:rsid w:val="00867FA8"/>
    <w:rsid w:val="00870796"/>
    <w:rsid w:val="0087098D"/>
    <w:rsid w:val="00870DEE"/>
    <w:rsid w:val="008713FD"/>
    <w:rsid w:val="008715FF"/>
    <w:rsid w:val="008717D8"/>
    <w:rsid w:val="00871F78"/>
    <w:rsid w:val="0087215C"/>
    <w:rsid w:val="008723C9"/>
    <w:rsid w:val="0087377A"/>
    <w:rsid w:val="0087452B"/>
    <w:rsid w:val="00874642"/>
    <w:rsid w:val="00874E7D"/>
    <w:rsid w:val="008750D1"/>
    <w:rsid w:val="008757CD"/>
    <w:rsid w:val="00875C3F"/>
    <w:rsid w:val="0087636A"/>
    <w:rsid w:val="00876A28"/>
    <w:rsid w:val="0087734B"/>
    <w:rsid w:val="00877436"/>
    <w:rsid w:val="00877C02"/>
    <w:rsid w:val="00877C16"/>
    <w:rsid w:val="00877E2F"/>
    <w:rsid w:val="00877F57"/>
    <w:rsid w:val="00880E35"/>
    <w:rsid w:val="008810E0"/>
    <w:rsid w:val="00881E1A"/>
    <w:rsid w:val="0088223D"/>
    <w:rsid w:val="00882501"/>
    <w:rsid w:val="0088252D"/>
    <w:rsid w:val="00882615"/>
    <w:rsid w:val="00882791"/>
    <w:rsid w:val="00882956"/>
    <w:rsid w:val="00882970"/>
    <w:rsid w:val="00882AA0"/>
    <w:rsid w:val="00883A76"/>
    <w:rsid w:val="008840D4"/>
    <w:rsid w:val="008841A5"/>
    <w:rsid w:val="008846A2"/>
    <w:rsid w:val="00885246"/>
    <w:rsid w:val="00886D30"/>
    <w:rsid w:val="0088757D"/>
    <w:rsid w:val="008875FE"/>
    <w:rsid w:val="00887B4E"/>
    <w:rsid w:val="00887F8E"/>
    <w:rsid w:val="008907B7"/>
    <w:rsid w:val="00890AA5"/>
    <w:rsid w:val="0089194A"/>
    <w:rsid w:val="008923CE"/>
    <w:rsid w:val="008927AD"/>
    <w:rsid w:val="008934BF"/>
    <w:rsid w:val="0089354E"/>
    <w:rsid w:val="008941AC"/>
    <w:rsid w:val="00894E02"/>
    <w:rsid w:val="00894E41"/>
    <w:rsid w:val="008950F4"/>
    <w:rsid w:val="008956B1"/>
    <w:rsid w:val="00896234"/>
    <w:rsid w:val="00896FBC"/>
    <w:rsid w:val="0089710A"/>
    <w:rsid w:val="00897418"/>
    <w:rsid w:val="00897782"/>
    <w:rsid w:val="00897960"/>
    <w:rsid w:val="00897E43"/>
    <w:rsid w:val="008A00E9"/>
    <w:rsid w:val="008A05AA"/>
    <w:rsid w:val="008A0F6D"/>
    <w:rsid w:val="008A11A2"/>
    <w:rsid w:val="008A1528"/>
    <w:rsid w:val="008A15C6"/>
    <w:rsid w:val="008A1E31"/>
    <w:rsid w:val="008A216A"/>
    <w:rsid w:val="008A286F"/>
    <w:rsid w:val="008A2CA7"/>
    <w:rsid w:val="008A3316"/>
    <w:rsid w:val="008A34CD"/>
    <w:rsid w:val="008A36E5"/>
    <w:rsid w:val="008A38AE"/>
    <w:rsid w:val="008A3D32"/>
    <w:rsid w:val="008A4818"/>
    <w:rsid w:val="008A482C"/>
    <w:rsid w:val="008A5983"/>
    <w:rsid w:val="008A5B3D"/>
    <w:rsid w:val="008A5C8C"/>
    <w:rsid w:val="008A60BB"/>
    <w:rsid w:val="008A60E1"/>
    <w:rsid w:val="008A79F7"/>
    <w:rsid w:val="008A7A0A"/>
    <w:rsid w:val="008B024B"/>
    <w:rsid w:val="008B0480"/>
    <w:rsid w:val="008B0922"/>
    <w:rsid w:val="008B0DFD"/>
    <w:rsid w:val="008B11F6"/>
    <w:rsid w:val="008B12D7"/>
    <w:rsid w:val="008B15A0"/>
    <w:rsid w:val="008B17BA"/>
    <w:rsid w:val="008B1A9D"/>
    <w:rsid w:val="008B2418"/>
    <w:rsid w:val="008B2615"/>
    <w:rsid w:val="008B2653"/>
    <w:rsid w:val="008B2715"/>
    <w:rsid w:val="008B2B77"/>
    <w:rsid w:val="008B30BD"/>
    <w:rsid w:val="008B383F"/>
    <w:rsid w:val="008B50C0"/>
    <w:rsid w:val="008B5765"/>
    <w:rsid w:val="008B5ABD"/>
    <w:rsid w:val="008B6747"/>
    <w:rsid w:val="008B6AE4"/>
    <w:rsid w:val="008B7DB6"/>
    <w:rsid w:val="008C0195"/>
    <w:rsid w:val="008C08E0"/>
    <w:rsid w:val="008C0956"/>
    <w:rsid w:val="008C0966"/>
    <w:rsid w:val="008C0A72"/>
    <w:rsid w:val="008C0B6E"/>
    <w:rsid w:val="008C0E05"/>
    <w:rsid w:val="008C137F"/>
    <w:rsid w:val="008C35F9"/>
    <w:rsid w:val="008C3E60"/>
    <w:rsid w:val="008C43AC"/>
    <w:rsid w:val="008C458A"/>
    <w:rsid w:val="008C4849"/>
    <w:rsid w:val="008C4D60"/>
    <w:rsid w:val="008C5738"/>
    <w:rsid w:val="008C5C6B"/>
    <w:rsid w:val="008C64B0"/>
    <w:rsid w:val="008C68A0"/>
    <w:rsid w:val="008C6998"/>
    <w:rsid w:val="008C6AFB"/>
    <w:rsid w:val="008C76D0"/>
    <w:rsid w:val="008C7EAD"/>
    <w:rsid w:val="008C7F0C"/>
    <w:rsid w:val="008C7FBD"/>
    <w:rsid w:val="008D00C3"/>
    <w:rsid w:val="008D08B7"/>
    <w:rsid w:val="008D0956"/>
    <w:rsid w:val="008D0C2A"/>
    <w:rsid w:val="008D0CFE"/>
    <w:rsid w:val="008D0DB3"/>
    <w:rsid w:val="008D0F26"/>
    <w:rsid w:val="008D0FC8"/>
    <w:rsid w:val="008D0FF7"/>
    <w:rsid w:val="008D1BB3"/>
    <w:rsid w:val="008D1CC6"/>
    <w:rsid w:val="008D2687"/>
    <w:rsid w:val="008D2AC2"/>
    <w:rsid w:val="008D2E2F"/>
    <w:rsid w:val="008D3375"/>
    <w:rsid w:val="008D3EE0"/>
    <w:rsid w:val="008D419D"/>
    <w:rsid w:val="008D4372"/>
    <w:rsid w:val="008D450C"/>
    <w:rsid w:val="008D4896"/>
    <w:rsid w:val="008D6152"/>
    <w:rsid w:val="008D6515"/>
    <w:rsid w:val="008D7AF6"/>
    <w:rsid w:val="008D7FBE"/>
    <w:rsid w:val="008E14B6"/>
    <w:rsid w:val="008E34BE"/>
    <w:rsid w:val="008E35D5"/>
    <w:rsid w:val="008E37F1"/>
    <w:rsid w:val="008E4080"/>
    <w:rsid w:val="008E4A8F"/>
    <w:rsid w:val="008E4B29"/>
    <w:rsid w:val="008E603A"/>
    <w:rsid w:val="008E6610"/>
    <w:rsid w:val="008E6FC2"/>
    <w:rsid w:val="008E751D"/>
    <w:rsid w:val="008E770A"/>
    <w:rsid w:val="008E7C4A"/>
    <w:rsid w:val="008F0153"/>
    <w:rsid w:val="008F0BE8"/>
    <w:rsid w:val="008F0CCF"/>
    <w:rsid w:val="008F0EAF"/>
    <w:rsid w:val="008F0F81"/>
    <w:rsid w:val="008F16CC"/>
    <w:rsid w:val="008F16FF"/>
    <w:rsid w:val="008F1859"/>
    <w:rsid w:val="008F1B59"/>
    <w:rsid w:val="008F2021"/>
    <w:rsid w:val="008F203B"/>
    <w:rsid w:val="008F21F8"/>
    <w:rsid w:val="008F27BF"/>
    <w:rsid w:val="008F2878"/>
    <w:rsid w:val="008F2BCC"/>
    <w:rsid w:val="008F404E"/>
    <w:rsid w:val="008F4EC0"/>
    <w:rsid w:val="008F55D7"/>
    <w:rsid w:val="008F6350"/>
    <w:rsid w:val="008F6587"/>
    <w:rsid w:val="008F6E62"/>
    <w:rsid w:val="008F767B"/>
    <w:rsid w:val="008F76D5"/>
    <w:rsid w:val="008F7873"/>
    <w:rsid w:val="008F7CE6"/>
    <w:rsid w:val="009003C1"/>
    <w:rsid w:val="009006B1"/>
    <w:rsid w:val="009008E0"/>
    <w:rsid w:val="009013BB"/>
    <w:rsid w:val="00901A0A"/>
    <w:rsid w:val="00901C2E"/>
    <w:rsid w:val="009025B9"/>
    <w:rsid w:val="0090261D"/>
    <w:rsid w:val="00902F03"/>
    <w:rsid w:val="0090304D"/>
    <w:rsid w:val="0090324F"/>
    <w:rsid w:val="009033F9"/>
    <w:rsid w:val="00903C66"/>
    <w:rsid w:val="00903F8F"/>
    <w:rsid w:val="00904210"/>
    <w:rsid w:val="0090537B"/>
    <w:rsid w:val="009059C6"/>
    <w:rsid w:val="00906C21"/>
    <w:rsid w:val="00906F5F"/>
    <w:rsid w:val="00907BA9"/>
    <w:rsid w:val="00907BDC"/>
    <w:rsid w:val="009109A5"/>
    <w:rsid w:val="00910E68"/>
    <w:rsid w:val="009113D3"/>
    <w:rsid w:val="00911801"/>
    <w:rsid w:val="00911AEE"/>
    <w:rsid w:val="00911BFD"/>
    <w:rsid w:val="00911C5C"/>
    <w:rsid w:val="009126FC"/>
    <w:rsid w:val="00912E5B"/>
    <w:rsid w:val="009134A8"/>
    <w:rsid w:val="009134E6"/>
    <w:rsid w:val="00913987"/>
    <w:rsid w:val="009142EC"/>
    <w:rsid w:val="00914E24"/>
    <w:rsid w:val="0091502F"/>
    <w:rsid w:val="009150AA"/>
    <w:rsid w:val="0091536A"/>
    <w:rsid w:val="009153DE"/>
    <w:rsid w:val="009154C3"/>
    <w:rsid w:val="00915D19"/>
    <w:rsid w:val="009163A5"/>
    <w:rsid w:val="009170DB"/>
    <w:rsid w:val="00917381"/>
    <w:rsid w:val="0091766D"/>
    <w:rsid w:val="009207E3"/>
    <w:rsid w:val="009222CA"/>
    <w:rsid w:val="00922ABA"/>
    <w:rsid w:val="00922B1C"/>
    <w:rsid w:val="00922E8C"/>
    <w:rsid w:val="00923158"/>
    <w:rsid w:val="0092345B"/>
    <w:rsid w:val="00923540"/>
    <w:rsid w:val="0092384B"/>
    <w:rsid w:val="0092407B"/>
    <w:rsid w:val="0092429D"/>
    <w:rsid w:val="00924AD1"/>
    <w:rsid w:val="0092509D"/>
    <w:rsid w:val="0092509F"/>
    <w:rsid w:val="009257D2"/>
    <w:rsid w:val="00926478"/>
    <w:rsid w:val="00926767"/>
    <w:rsid w:val="00927589"/>
    <w:rsid w:val="00927930"/>
    <w:rsid w:val="00927E48"/>
    <w:rsid w:val="0093036F"/>
    <w:rsid w:val="009304E8"/>
    <w:rsid w:val="0093090C"/>
    <w:rsid w:val="00930E52"/>
    <w:rsid w:val="00931239"/>
    <w:rsid w:val="009314AD"/>
    <w:rsid w:val="00931EDD"/>
    <w:rsid w:val="009324B2"/>
    <w:rsid w:val="00932935"/>
    <w:rsid w:val="00932BDA"/>
    <w:rsid w:val="009332DE"/>
    <w:rsid w:val="0093357D"/>
    <w:rsid w:val="009335C7"/>
    <w:rsid w:val="00933730"/>
    <w:rsid w:val="0093402C"/>
    <w:rsid w:val="00934A2F"/>
    <w:rsid w:val="00935B11"/>
    <w:rsid w:val="00935C7F"/>
    <w:rsid w:val="009361D5"/>
    <w:rsid w:val="00936233"/>
    <w:rsid w:val="00936CC3"/>
    <w:rsid w:val="00936D52"/>
    <w:rsid w:val="00937187"/>
    <w:rsid w:val="00937454"/>
    <w:rsid w:val="009378D1"/>
    <w:rsid w:val="009406D5"/>
    <w:rsid w:val="00940724"/>
    <w:rsid w:val="009409C8"/>
    <w:rsid w:val="009428A4"/>
    <w:rsid w:val="009428AF"/>
    <w:rsid w:val="00942A27"/>
    <w:rsid w:val="00942BEE"/>
    <w:rsid w:val="00943202"/>
    <w:rsid w:val="009434B6"/>
    <w:rsid w:val="00943B9C"/>
    <w:rsid w:val="00944694"/>
    <w:rsid w:val="00944C04"/>
    <w:rsid w:val="009454A7"/>
    <w:rsid w:val="00945A2B"/>
    <w:rsid w:val="0094649F"/>
    <w:rsid w:val="009466CF"/>
    <w:rsid w:val="009478B0"/>
    <w:rsid w:val="009479DC"/>
    <w:rsid w:val="00950BB8"/>
    <w:rsid w:val="009518A3"/>
    <w:rsid w:val="00951BAD"/>
    <w:rsid w:val="00952496"/>
    <w:rsid w:val="00952784"/>
    <w:rsid w:val="009527EB"/>
    <w:rsid w:val="00952DB0"/>
    <w:rsid w:val="00954153"/>
    <w:rsid w:val="00954DAF"/>
    <w:rsid w:val="0095591A"/>
    <w:rsid w:val="00955AF6"/>
    <w:rsid w:val="00956841"/>
    <w:rsid w:val="00956FCF"/>
    <w:rsid w:val="009576BF"/>
    <w:rsid w:val="00960593"/>
    <w:rsid w:val="00960B62"/>
    <w:rsid w:val="00960FDB"/>
    <w:rsid w:val="00961657"/>
    <w:rsid w:val="00961885"/>
    <w:rsid w:val="00962D9F"/>
    <w:rsid w:val="00963F92"/>
    <w:rsid w:val="00964AB9"/>
    <w:rsid w:val="00965453"/>
    <w:rsid w:val="00965927"/>
    <w:rsid w:val="009659F4"/>
    <w:rsid w:val="00965B3D"/>
    <w:rsid w:val="00965C41"/>
    <w:rsid w:val="00966421"/>
    <w:rsid w:val="00966D10"/>
    <w:rsid w:val="009671BD"/>
    <w:rsid w:val="00967721"/>
    <w:rsid w:val="00970711"/>
    <w:rsid w:val="00970D60"/>
    <w:rsid w:val="00970FB2"/>
    <w:rsid w:val="00972834"/>
    <w:rsid w:val="00972CF9"/>
    <w:rsid w:val="00973404"/>
    <w:rsid w:val="00973441"/>
    <w:rsid w:val="009737A8"/>
    <w:rsid w:val="009739BD"/>
    <w:rsid w:val="00973C4D"/>
    <w:rsid w:val="00974054"/>
    <w:rsid w:val="009753E2"/>
    <w:rsid w:val="0097605E"/>
    <w:rsid w:val="0097673C"/>
    <w:rsid w:val="00976F5B"/>
    <w:rsid w:val="00977240"/>
    <w:rsid w:val="0097735C"/>
    <w:rsid w:val="00977534"/>
    <w:rsid w:val="00977917"/>
    <w:rsid w:val="009804A9"/>
    <w:rsid w:val="009805F8"/>
    <w:rsid w:val="0098097A"/>
    <w:rsid w:val="00980D4D"/>
    <w:rsid w:val="00980DDC"/>
    <w:rsid w:val="009813C3"/>
    <w:rsid w:val="009814EB"/>
    <w:rsid w:val="0098278F"/>
    <w:rsid w:val="009830CD"/>
    <w:rsid w:val="00983F91"/>
    <w:rsid w:val="009840F7"/>
    <w:rsid w:val="00985023"/>
    <w:rsid w:val="009855B5"/>
    <w:rsid w:val="00985779"/>
    <w:rsid w:val="00985FFA"/>
    <w:rsid w:val="0098604A"/>
    <w:rsid w:val="009861A5"/>
    <w:rsid w:val="00986BEF"/>
    <w:rsid w:val="00986D34"/>
    <w:rsid w:val="00987932"/>
    <w:rsid w:val="00987BED"/>
    <w:rsid w:val="00987C52"/>
    <w:rsid w:val="009902B8"/>
    <w:rsid w:val="0099043D"/>
    <w:rsid w:val="0099047C"/>
    <w:rsid w:val="00990508"/>
    <w:rsid w:val="00990C9E"/>
    <w:rsid w:val="0099263C"/>
    <w:rsid w:val="00992755"/>
    <w:rsid w:val="00992F24"/>
    <w:rsid w:val="00993192"/>
    <w:rsid w:val="009938E3"/>
    <w:rsid w:val="009940A8"/>
    <w:rsid w:val="009949F2"/>
    <w:rsid w:val="00994BF4"/>
    <w:rsid w:val="00995151"/>
    <w:rsid w:val="00995F8B"/>
    <w:rsid w:val="009960BB"/>
    <w:rsid w:val="009960E5"/>
    <w:rsid w:val="009966AF"/>
    <w:rsid w:val="00997405"/>
    <w:rsid w:val="00997B30"/>
    <w:rsid w:val="00997E57"/>
    <w:rsid w:val="009A0949"/>
    <w:rsid w:val="009A0D08"/>
    <w:rsid w:val="009A1B3D"/>
    <w:rsid w:val="009A342B"/>
    <w:rsid w:val="009A43BA"/>
    <w:rsid w:val="009A445E"/>
    <w:rsid w:val="009A5048"/>
    <w:rsid w:val="009A57B4"/>
    <w:rsid w:val="009A6968"/>
    <w:rsid w:val="009A6BBF"/>
    <w:rsid w:val="009A6FD4"/>
    <w:rsid w:val="009A7ADC"/>
    <w:rsid w:val="009A7B7F"/>
    <w:rsid w:val="009B0148"/>
    <w:rsid w:val="009B0FF2"/>
    <w:rsid w:val="009B1FCA"/>
    <w:rsid w:val="009B2014"/>
    <w:rsid w:val="009B2140"/>
    <w:rsid w:val="009B233D"/>
    <w:rsid w:val="009B268C"/>
    <w:rsid w:val="009B29E7"/>
    <w:rsid w:val="009B2C69"/>
    <w:rsid w:val="009B2FE5"/>
    <w:rsid w:val="009B348B"/>
    <w:rsid w:val="009B456F"/>
    <w:rsid w:val="009B50ED"/>
    <w:rsid w:val="009B557A"/>
    <w:rsid w:val="009B5CBB"/>
    <w:rsid w:val="009B5DE0"/>
    <w:rsid w:val="009B6126"/>
    <w:rsid w:val="009B64D4"/>
    <w:rsid w:val="009B679F"/>
    <w:rsid w:val="009B7474"/>
    <w:rsid w:val="009B7583"/>
    <w:rsid w:val="009C029D"/>
    <w:rsid w:val="009C19B7"/>
    <w:rsid w:val="009C1E06"/>
    <w:rsid w:val="009C203C"/>
    <w:rsid w:val="009C2771"/>
    <w:rsid w:val="009C36B8"/>
    <w:rsid w:val="009C3B8D"/>
    <w:rsid w:val="009C3C09"/>
    <w:rsid w:val="009C4900"/>
    <w:rsid w:val="009C563B"/>
    <w:rsid w:val="009C632E"/>
    <w:rsid w:val="009C6765"/>
    <w:rsid w:val="009C69AF"/>
    <w:rsid w:val="009C6D00"/>
    <w:rsid w:val="009C726C"/>
    <w:rsid w:val="009C7C6F"/>
    <w:rsid w:val="009C7CD6"/>
    <w:rsid w:val="009C7F0F"/>
    <w:rsid w:val="009D12AF"/>
    <w:rsid w:val="009D12B6"/>
    <w:rsid w:val="009D1308"/>
    <w:rsid w:val="009D1439"/>
    <w:rsid w:val="009D1882"/>
    <w:rsid w:val="009D18DE"/>
    <w:rsid w:val="009D1ADC"/>
    <w:rsid w:val="009D2102"/>
    <w:rsid w:val="009D2456"/>
    <w:rsid w:val="009D257D"/>
    <w:rsid w:val="009D3C9F"/>
    <w:rsid w:val="009D4156"/>
    <w:rsid w:val="009D4325"/>
    <w:rsid w:val="009D4812"/>
    <w:rsid w:val="009D49D2"/>
    <w:rsid w:val="009D4DA3"/>
    <w:rsid w:val="009D4E7E"/>
    <w:rsid w:val="009D53B0"/>
    <w:rsid w:val="009D5A8D"/>
    <w:rsid w:val="009D617D"/>
    <w:rsid w:val="009D7728"/>
    <w:rsid w:val="009D7C51"/>
    <w:rsid w:val="009E0AB5"/>
    <w:rsid w:val="009E1111"/>
    <w:rsid w:val="009E13BD"/>
    <w:rsid w:val="009E154C"/>
    <w:rsid w:val="009E196C"/>
    <w:rsid w:val="009E1FB2"/>
    <w:rsid w:val="009E28E4"/>
    <w:rsid w:val="009E365B"/>
    <w:rsid w:val="009E38EB"/>
    <w:rsid w:val="009E3C65"/>
    <w:rsid w:val="009E3D1D"/>
    <w:rsid w:val="009E4084"/>
    <w:rsid w:val="009E46BC"/>
    <w:rsid w:val="009E5086"/>
    <w:rsid w:val="009E5191"/>
    <w:rsid w:val="009E54B6"/>
    <w:rsid w:val="009E5600"/>
    <w:rsid w:val="009E58A1"/>
    <w:rsid w:val="009E61AA"/>
    <w:rsid w:val="009E6397"/>
    <w:rsid w:val="009E6815"/>
    <w:rsid w:val="009E6C12"/>
    <w:rsid w:val="009E6D14"/>
    <w:rsid w:val="009E7096"/>
    <w:rsid w:val="009E723E"/>
    <w:rsid w:val="009E75F6"/>
    <w:rsid w:val="009E7AE0"/>
    <w:rsid w:val="009E7F29"/>
    <w:rsid w:val="009F08B7"/>
    <w:rsid w:val="009F0A6B"/>
    <w:rsid w:val="009F0AAB"/>
    <w:rsid w:val="009F13B0"/>
    <w:rsid w:val="009F18AE"/>
    <w:rsid w:val="009F3614"/>
    <w:rsid w:val="009F36BF"/>
    <w:rsid w:val="009F38E6"/>
    <w:rsid w:val="009F40B0"/>
    <w:rsid w:val="009F4322"/>
    <w:rsid w:val="009F445D"/>
    <w:rsid w:val="009F45F5"/>
    <w:rsid w:val="009F4888"/>
    <w:rsid w:val="009F5155"/>
    <w:rsid w:val="009F5882"/>
    <w:rsid w:val="009F5A31"/>
    <w:rsid w:val="009F6502"/>
    <w:rsid w:val="009F662C"/>
    <w:rsid w:val="009F67F6"/>
    <w:rsid w:val="009F6D60"/>
    <w:rsid w:val="009F779C"/>
    <w:rsid w:val="009F7C5F"/>
    <w:rsid w:val="009F7F9A"/>
    <w:rsid w:val="00A00051"/>
    <w:rsid w:val="00A00075"/>
    <w:rsid w:val="00A00156"/>
    <w:rsid w:val="00A002D5"/>
    <w:rsid w:val="00A003DC"/>
    <w:rsid w:val="00A00455"/>
    <w:rsid w:val="00A00E15"/>
    <w:rsid w:val="00A01029"/>
    <w:rsid w:val="00A0150E"/>
    <w:rsid w:val="00A015EA"/>
    <w:rsid w:val="00A019F7"/>
    <w:rsid w:val="00A01E6F"/>
    <w:rsid w:val="00A0280D"/>
    <w:rsid w:val="00A02971"/>
    <w:rsid w:val="00A02C8F"/>
    <w:rsid w:val="00A03049"/>
    <w:rsid w:val="00A0378E"/>
    <w:rsid w:val="00A03841"/>
    <w:rsid w:val="00A03872"/>
    <w:rsid w:val="00A03CAF"/>
    <w:rsid w:val="00A04C73"/>
    <w:rsid w:val="00A04D62"/>
    <w:rsid w:val="00A057CC"/>
    <w:rsid w:val="00A0608F"/>
    <w:rsid w:val="00A06834"/>
    <w:rsid w:val="00A06996"/>
    <w:rsid w:val="00A070FA"/>
    <w:rsid w:val="00A07189"/>
    <w:rsid w:val="00A073DC"/>
    <w:rsid w:val="00A0742F"/>
    <w:rsid w:val="00A076D7"/>
    <w:rsid w:val="00A07821"/>
    <w:rsid w:val="00A07B28"/>
    <w:rsid w:val="00A105B3"/>
    <w:rsid w:val="00A10E1C"/>
    <w:rsid w:val="00A10EA9"/>
    <w:rsid w:val="00A111B6"/>
    <w:rsid w:val="00A119F8"/>
    <w:rsid w:val="00A11F81"/>
    <w:rsid w:val="00A12AA7"/>
    <w:rsid w:val="00A12F64"/>
    <w:rsid w:val="00A143DA"/>
    <w:rsid w:val="00A14447"/>
    <w:rsid w:val="00A14AA3"/>
    <w:rsid w:val="00A14B17"/>
    <w:rsid w:val="00A15532"/>
    <w:rsid w:val="00A15760"/>
    <w:rsid w:val="00A1577E"/>
    <w:rsid w:val="00A15B29"/>
    <w:rsid w:val="00A15BD7"/>
    <w:rsid w:val="00A15CB9"/>
    <w:rsid w:val="00A166E8"/>
    <w:rsid w:val="00A16862"/>
    <w:rsid w:val="00A17740"/>
    <w:rsid w:val="00A1789D"/>
    <w:rsid w:val="00A20B60"/>
    <w:rsid w:val="00A21B54"/>
    <w:rsid w:val="00A21C19"/>
    <w:rsid w:val="00A21C4E"/>
    <w:rsid w:val="00A2201A"/>
    <w:rsid w:val="00A22483"/>
    <w:rsid w:val="00A2248F"/>
    <w:rsid w:val="00A226D5"/>
    <w:rsid w:val="00A2289E"/>
    <w:rsid w:val="00A22AE5"/>
    <w:rsid w:val="00A2315E"/>
    <w:rsid w:val="00A2382F"/>
    <w:rsid w:val="00A2393F"/>
    <w:rsid w:val="00A23979"/>
    <w:rsid w:val="00A24089"/>
    <w:rsid w:val="00A24B4B"/>
    <w:rsid w:val="00A24B89"/>
    <w:rsid w:val="00A24DC7"/>
    <w:rsid w:val="00A25122"/>
    <w:rsid w:val="00A2547B"/>
    <w:rsid w:val="00A257E2"/>
    <w:rsid w:val="00A25975"/>
    <w:rsid w:val="00A25A1C"/>
    <w:rsid w:val="00A26D27"/>
    <w:rsid w:val="00A2705E"/>
    <w:rsid w:val="00A2778B"/>
    <w:rsid w:val="00A27F0E"/>
    <w:rsid w:val="00A30747"/>
    <w:rsid w:val="00A30A79"/>
    <w:rsid w:val="00A3117E"/>
    <w:rsid w:val="00A311FD"/>
    <w:rsid w:val="00A314A0"/>
    <w:rsid w:val="00A31BEE"/>
    <w:rsid w:val="00A31E53"/>
    <w:rsid w:val="00A3207A"/>
    <w:rsid w:val="00A32215"/>
    <w:rsid w:val="00A325EF"/>
    <w:rsid w:val="00A326C9"/>
    <w:rsid w:val="00A3351F"/>
    <w:rsid w:val="00A337C4"/>
    <w:rsid w:val="00A33AAA"/>
    <w:rsid w:val="00A33AEE"/>
    <w:rsid w:val="00A33F06"/>
    <w:rsid w:val="00A34195"/>
    <w:rsid w:val="00A34549"/>
    <w:rsid w:val="00A345B4"/>
    <w:rsid w:val="00A34D6F"/>
    <w:rsid w:val="00A357C5"/>
    <w:rsid w:val="00A35DBD"/>
    <w:rsid w:val="00A36814"/>
    <w:rsid w:val="00A36BA3"/>
    <w:rsid w:val="00A36D74"/>
    <w:rsid w:val="00A376EE"/>
    <w:rsid w:val="00A37BBD"/>
    <w:rsid w:val="00A37FF6"/>
    <w:rsid w:val="00A40016"/>
    <w:rsid w:val="00A400F5"/>
    <w:rsid w:val="00A404A7"/>
    <w:rsid w:val="00A4092E"/>
    <w:rsid w:val="00A411DB"/>
    <w:rsid w:val="00A41891"/>
    <w:rsid w:val="00A418B3"/>
    <w:rsid w:val="00A41A5B"/>
    <w:rsid w:val="00A41AA6"/>
    <w:rsid w:val="00A41CB7"/>
    <w:rsid w:val="00A41E4C"/>
    <w:rsid w:val="00A42055"/>
    <w:rsid w:val="00A4214D"/>
    <w:rsid w:val="00A42A99"/>
    <w:rsid w:val="00A42EAA"/>
    <w:rsid w:val="00A42F05"/>
    <w:rsid w:val="00A4343B"/>
    <w:rsid w:val="00A4364C"/>
    <w:rsid w:val="00A439C1"/>
    <w:rsid w:val="00A43EE5"/>
    <w:rsid w:val="00A4423D"/>
    <w:rsid w:val="00A44CFF"/>
    <w:rsid w:val="00A45048"/>
    <w:rsid w:val="00A4548C"/>
    <w:rsid w:val="00A45F55"/>
    <w:rsid w:val="00A46348"/>
    <w:rsid w:val="00A47945"/>
    <w:rsid w:val="00A47C7D"/>
    <w:rsid w:val="00A504DF"/>
    <w:rsid w:val="00A50927"/>
    <w:rsid w:val="00A5151A"/>
    <w:rsid w:val="00A51CF3"/>
    <w:rsid w:val="00A52668"/>
    <w:rsid w:val="00A526BE"/>
    <w:rsid w:val="00A52AB3"/>
    <w:rsid w:val="00A53093"/>
    <w:rsid w:val="00A5367A"/>
    <w:rsid w:val="00A53BBE"/>
    <w:rsid w:val="00A53DB4"/>
    <w:rsid w:val="00A544C5"/>
    <w:rsid w:val="00A547A8"/>
    <w:rsid w:val="00A550E9"/>
    <w:rsid w:val="00A551D3"/>
    <w:rsid w:val="00A5521A"/>
    <w:rsid w:val="00A552C5"/>
    <w:rsid w:val="00A56465"/>
    <w:rsid w:val="00A5651B"/>
    <w:rsid w:val="00A57305"/>
    <w:rsid w:val="00A5769B"/>
    <w:rsid w:val="00A5773B"/>
    <w:rsid w:val="00A57E0A"/>
    <w:rsid w:val="00A57E8F"/>
    <w:rsid w:val="00A60088"/>
    <w:rsid w:val="00A607B9"/>
    <w:rsid w:val="00A60D23"/>
    <w:rsid w:val="00A61752"/>
    <w:rsid w:val="00A61DB1"/>
    <w:rsid w:val="00A624A8"/>
    <w:rsid w:val="00A624DC"/>
    <w:rsid w:val="00A63629"/>
    <w:rsid w:val="00A63F9E"/>
    <w:rsid w:val="00A6405F"/>
    <w:rsid w:val="00A6484A"/>
    <w:rsid w:val="00A64C5B"/>
    <w:rsid w:val="00A65413"/>
    <w:rsid w:val="00A6563B"/>
    <w:rsid w:val="00A65B56"/>
    <w:rsid w:val="00A66601"/>
    <w:rsid w:val="00A66AAF"/>
    <w:rsid w:val="00A67191"/>
    <w:rsid w:val="00A675E3"/>
    <w:rsid w:val="00A70928"/>
    <w:rsid w:val="00A70BAC"/>
    <w:rsid w:val="00A70EBC"/>
    <w:rsid w:val="00A7215B"/>
    <w:rsid w:val="00A72183"/>
    <w:rsid w:val="00A72B24"/>
    <w:rsid w:val="00A734A1"/>
    <w:rsid w:val="00A749DA"/>
    <w:rsid w:val="00A74C21"/>
    <w:rsid w:val="00A76316"/>
    <w:rsid w:val="00A76353"/>
    <w:rsid w:val="00A7697A"/>
    <w:rsid w:val="00A76E6C"/>
    <w:rsid w:val="00A76EA5"/>
    <w:rsid w:val="00A77F13"/>
    <w:rsid w:val="00A80C62"/>
    <w:rsid w:val="00A81580"/>
    <w:rsid w:val="00A81EDD"/>
    <w:rsid w:val="00A82335"/>
    <w:rsid w:val="00A823F6"/>
    <w:rsid w:val="00A82EBD"/>
    <w:rsid w:val="00A83312"/>
    <w:rsid w:val="00A839B8"/>
    <w:rsid w:val="00A83F61"/>
    <w:rsid w:val="00A848C7"/>
    <w:rsid w:val="00A854FE"/>
    <w:rsid w:val="00A85575"/>
    <w:rsid w:val="00A858F4"/>
    <w:rsid w:val="00A85F99"/>
    <w:rsid w:val="00A86321"/>
    <w:rsid w:val="00A86360"/>
    <w:rsid w:val="00A864E1"/>
    <w:rsid w:val="00A879EB"/>
    <w:rsid w:val="00A87A91"/>
    <w:rsid w:val="00A9140E"/>
    <w:rsid w:val="00A9192B"/>
    <w:rsid w:val="00A91FF0"/>
    <w:rsid w:val="00A92297"/>
    <w:rsid w:val="00A9264C"/>
    <w:rsid w:val="00A92821"/>
    <w:rsid w:val="00A92DE3"/>
    <w:rsid w:val="00A92E4D"/>
    <w:rsid w:val="00A93BBA"/>
    <w:rsid w:val="00A945CE"/>
    <w:rsid w:val="00A95726"/>
    <w:rsid w:val="00A95E5A"/>
    <w:rsid w:val="00A96084"/>
    <w:rsid w:val="00A968ED"/>
    <w:rsid w:val="00A96A11"/>
    <w:rsid w:val="00A9712C"/>
    <w:rsid w:val="00A97157"/>
    <w:rsid w:val="00A97AA6"/>
    <w:rsid w:val="00A97BAD"/>
    <w:rsid w:val="00AA01A2"/>
    <w:rsid w:val="00AA039C"/>
    <w:rsid w:val="00AA0582"/>
    <w:rsid w:val="00AA09CA"/>
    <w:rsid w:val="00AA0A89"/>
    <w:rsid w:val="00AA0E0D"/>
    <w:rsid w:val="00AA17D0"/>
    <w:rsid w:val="00AA19E2"/>
    <w:rsid w:val="00AA1A89"/>
    <w:rsid w:val="00AA1C8E"/>
    <w:rsid w:val="00AA20B4"/>
    <w:rsid w:val="00AA23DB"/>
    <w:rsid w:val="00AA2400"/>
    <w:rsid w:val="00AA27F7"/>
    <w:rsid w:val="00AA29CC"/>
    <w:rsid w:val="00AA2B66"/>
    <w:rsid w:val="00AA2DAA"/>
    <w:rsid w:val="00AA2DC3"/>
    <w:rsid w:val="00AA2F4A"/>
    <w:rsid w:val="00AA3827"/>
    <w:rsid w:val="00AA3A4C"/>
    <w:rsid w:val="00AA3B80"/>
    <w:rsid w:val="00AA3DE8"/>
    <w:rsid w:val="00AA4328"/>
    <w:rsid w:val="00AA445A"/>
    <w:rsid w:val="00AA4B3F"/>
    <w:rsid w:val="00AA4E8C"/>
    <w:rsid w:val="00AA53DE"/>
    <w:rsid w:val="00AA5D76"/>
    <w:rsid w:val="00AA61A1"/>
    <w:rsid w:val="00AA63E0"/>
    <w:rsid w:val="00AA6429"/>
    <w:rsid w:val="00AA6492"/>
    <w:rsid w:val="00AA6775"/>
    <w:rsid w:val="00AA6A9B"/>
    <w:rsid w:val="00AA6B57"/>
    <w:rsid w:val="00AA6EAC"/>
    <w:rsid w:val="00AA7226"/>
    <w:rsid w:val="00AA7258"/>
    <w:rsid w:val="00AB037E"/>
    <w:rsid w:val="00AB041E"/>
    <w:rsid w:val="00AB04CE"/>
    <w:rsid w:val="00AB076A"/>
    <w:rsid w:val="00AB0ACF"/>
    <w:rsid w:val="00AB103A"/>
    <w:rsid w:val="00AB14F1"/>
    <w:rsid w:val="00AB1583"/>
    <w:rsid w:val="00AB17EC"/>
    <w:rsid w:val="00AB1AEA"/>
    <w:rsid w:val="00AB317F"/>
    <w:rsid w:val="00AB3411"/>
    <w:rsid w:val="00AB4306"/>
    <w:rsid w:val="00AB4707"/>
    <w:rsid w:val="00AB5572"/>
    <w:rsid w:val="00AB620D"/>
    <w:rsid w:val="00AB6D2A"/>
    <w:rsid w:val="00AB76EB"/>
    <w:rsid w:val="00AB7A33"/>
    <w:rsid w:val="00AC01AA"/>
    <w:rsid w:val="00AC0C60"/>
    <w:rsid w:val="00AC1124"/>
    <w:rsid w:val="00AC1547"/>
    <w:rsid w:val="00AC1CFE"/>
    <w:rsid w:val="00AC1F26"/>
    <w:rsid w:val="00AC247E"/>
    <w:rsid w:val="00AC3129"/>
    <w:rsid w:val="00AC3463"/>
    <w:rsid w:val="00AC3AE2"/>
    <w:rsid w:val="00AC4016"/>
    <w:rsid w:val="00AC421C"/>
    <w:rsid w:val="00AC4F72"/>
    <w:rsid w:val="00AC50A7"/>
    <w:rsid w:val="00AC579A"/>
    <w:rsid w:val="00AC5A97"/>
    <w:rsid w:val="00AC5B51"/>
    <w:rsid w:val="00AC5FBA"/>
    <w:rsid w:val="00AC6408"/>
    <w:rsid w:val="00AC69C9"/>
    <w:rsid w:val="00AC6C9B"/>
    <w:rsid w:val="00AC75A2"/>
    <w:rsid w:val="00AC7A33"/>
    <w:rsid w:val="00AC7BBE"/>
    <w:rsid w:val="00AD0010"/>
    <w:rsid w:val="00AD0A9E"/>
    <w:rsid w:val="00AD0B53"/>
    <w:rsid w:val="00AD0CB5"/>
    <w:rsid w:val="00AD141D"/>
    <w:rsid w:val="00AD158D"/>
    <w:rsid w:val="00AD1D61"/>
    <w:rsid w:val="00AD1D6A"/>
    <w:rsid w:val="00AD232D"/>
    <w:rsid w:val="00AD25F7"/>
    <w:rsid w:val="00AD283E"/>
    <w:rsid w:val="00AD3A4B"/>
    <w:rsid w:val="00AD4B8E"/>
    <w:rsid w:val="00AD4D86"/>
    <w:rsid w:val="00AD4DC7"/>
    <w:rsid w:val="00AD511B"/>
    <w:rsid w:val="00AD58C3"/>
    <w:rsid w:val="00AD5D47"/>
    <w:rsid w:val="00AD6079"/>
    <w:rsid w:val="00AD6317"/>
    <w:rsid w:val="00AD6325"/>
    <w:rsid w:val="00AD68D8"/>
    <w:rsid w:val="00AD7D31"/>
    <w:rsid w:val="00AE02F0"/>
    <w:rsid w:val="00AE172E"/>
    <w:rsid w:val="00AE1C4F"/>
    <w:rsid w:val="00AE2F05"/>
    <w:rsid w:val="00AE33E1"/>
    <w:rsid w:val="00AE3E6F"/>
    <w:rsid w:val="00AE4284"/>
    <w:rsid w:val="00AE43F2"/>
    <w:rsid w:val="00AE4432"/>
    <w:rsid w:val="00AE4502"/>
    <w:rsid w:val="00AE4820"/>
    <w:rsid w:val="00AE4949"/>
    <w:rsid w:val="00AE53F2"/>
    <w:rsid w:val="00AE5C2A"/>
    <w:rsid w:val="00AE5E87"/>
    <w:rsid w:val="00AE659C"/>
    <w:rsid w:val="00AE7191"/>
    <w:rsid w:val="00AE7539"/>
    <w:rsid w:val="00AE7711"/>
    <w:rsid w:val="00AE77AA"/>
    <w:rsid w:val="00AE7840"/>
    <w:rsid w:val="00AE7D3B"/>
    <w:rsid w:val="00AF0827"/>
    <w:rsid w:val="00AF0B2B"/>
    <w:rsid w:val="00AF11A6"/>
    <w:rsid w:val="00AF13C6"/>
    <w:rsid w:val="00AF22AE"/>
    <w:rsid w:val="00AF26AF"/>
    <w:rsid w:val="00AF310A"/>
    <w:rsid w:val="00AF322F"/>
    <w:rsid w:val="00AF3270"/>
    <w:rsid w:val="00AF39B2"/>
    <w:rsid w:val="00AF3C12"/>
    <w:rsid w:val="00AF41CA"/>
    <w:rsid w:val="00AF4699"/>
    <w:rsid w:val="00AF498D"/>
    <w:rsid w:val="00AF4ABE"/>
    <w:rsid w:val="00AF4ABF"/>
    <w:rsid w:val="00AF4CEE"/>
    <w:rsid w:val="00AF4DF7"/>
    <w:rsid w:val="00AF599B"/>
    <w:rsid w:val="00AF5B15"/>
    <w:rsid w:val="00AF5B56"/>
    <w:rsid w:val="00AF5D89"/>
    <w:rsid w:val="00AF63C3"/>
    <w:rsid w:val="00AF7332"/>
    <w:rsid w:val="00AF741A"/>
    <w:rsid w:val="00AF74E2"/>
    <w:rsid w:val="00AF78FB"/>
    <w:rsid w:val="00B007E8"/>
    <w:rsid w:val="00B00E9B"/>
    <w:rsid w:val="00B01566"/>
    <w:rsid w:val="00B016AB"/>
    <w:rsid w:val="00B01ADB"/>
    <w:rsid w:val="00B01EFD"/>
    <w:rsid w:val="00B01FD9"/>
    <w:rsid w:val="00B0373B"/>
    <w:rsid w:val="00B03E30"/>
    <w:rsid w:val="00B04161"/>
    <w:rsid w:val="00B04E8D"/>
    <w:rsid w:val="00B04EED"/>
    <w:rsid w:val="00B0519D"/>
    <w:rsid w:val="00B0566F"/>
    <w:rsid w:val="00B056F9"/>
    <w:rsid w:val="00B05736"/>
    <w:rsid w:val="00B05825"/>
    <w:rsid w:val="00B0589C"/>
    <w:rsid w:val="00B06216"/>
    <w:rsid w:val="00B063F5"/>
    <w:rsid w:val="00B0684D"/>
    <w:rsid w:val="00B06E40"/>
    <w:rsid w:val="00B06EDC"/>
    <w:rsid w:val="00B07BCC"/>
    <w:rsid w:val="00B07DCC"/>
    <w:rsid w:val="00B07EFD"/>
    <w:rsid w:val="00B10ADB"/>
    <w:rsid w:val="00B1120B"/>
    <w:rsid w:val="00B11B23"/>
    <w:rsid w:val="00B11E3D"/>
    <w:rsid w:val="00B12116"/>
    <w:rsid w:val="00B12302"/>
    <w:rsid w:val="00B1383C"/>
    <w:rsid w:val="00B141B5"/>
    <w:rsid w:val="00B14BBE"/>
    <w:rsid w:val="00B15137"/>
    <w:rsid w:val="00B15A7B"/>
    <w:rsid w:val="00B15ED2"/>
    <w:rsid w:val="00B16458"/>
    <w:rsid w:val="00B16941"/>
    <w:rsid w:val="00B16FA8"/>
    <w:rsid w:val="00B177B6"/>
    <w:rsid w:val="00B17844"/>
    <w:rsid w:val="00B17A4C"/>
    <w:rsid w:val="00B17E82"/>
    <w:rsid w:val="00B20557"/>
    <w:rsid w:val="00B20852"/>
    <w:rsid w:val="00B20B05"/>
    <w:rsid w:val="00B20D12"/>
    <w:rsid w:val="00B20DB4"/>
    <w:rsid w:val="00B20DBA"/>
    <w:rsid w:val="00B21025"/>
    <w:rsid w:val="00B2142A"/>
    <w:rsid w:val="00B21AF3"/>
    <w:rsid w:val="00B21B61"/>
    <w:rsid w:val="00B225CC"/>
    <w:rsid w:val="00B22D61"/>
    <w:rsid w:val="00B22F7A"/>
    <w:rsid w:val="00B23706"/>
    <w:rsid w:val="00B238D2"/>
    <w:rsid w:val="00B239D1"/>
    <w:rsid w:val="00B241ED"/>
    <w:rsid w:val="00B24756"/>
    <w:rsid w:val="00B2488D"/>
    <w:rsid w:val="00B24AC7"/>
    <w:rsid w:val="00B25831"/>
    <w:rsid w:val="00B2590B"/>
    <w:rsid w:val="00B25E57"/>
    <w:rsid w:val="00B26056"/>
    <w:rsid w:val="00B266AE"/>
    <w:rsid w:val="00B27C54"/>
    <w:rsid w:val="00B27D44"/>
    <w:rsid w:val="00B3058E"/>
    <w:rsid w:val="00B3122A"/>
    <w:rsid w:val="00B31C4E"/>
    <w:rsid w:val="00B32A3E"/>
    <w:rsid w:val="00B33942"/>
    <w:rsid w:val="00B350F6"/>
    <w:rsid w:val="00B35376"/>
    <w:rsid w:val="00B356B0"/>
    <w:rsid w:val="00B35974"/>
    <w:rsid w:val="00B35F27"/>
    <w:rsid w:val="00B3612A"/>
    <w:rsid w:val="00B36353"/>
    <w:rsid w:val="00B36957"/>
    <w:rsid w:val="00B37E63"/>
    <w:rsid w:val="00B4008E"/>
    <w:rsid w:val="00B4115B"/>
    <w:rsid w:val="00B41538"/>
    <w:rsid w:val="00B416DD"/>
    <w:rsid w:val="00B41F2A"/>
    <w:rsid w:val="00B41FAF"/>
    <w:rsid w:val="00B43C58"/>
    <w:rsid w:val="00B44280"/>
    <w:rsid w:val="00B44350"/>
    <w:rsid w:val="00B44A55"/>
    <w:rsid w:val="00B44A56"/>
    <w:rsid w:val="00B44D5A"/>
    <w:rsid w:val="00B4575A"/>
    <w:rsid w:val="00B4660D"/>
    <w:rsid w:val="00B4685A"/>
    <w:rsid w:val="00B47214"/>
    <w:rsid w:val="00B478B1"/>
    <w:rsid w:val="00B50B46"/>
    <w:rsid w:val="00B50BFF"/>
    <w:rsid w:val="00B51921"/>
    <w:rsid w:val="00B526DA"/>
    <w:rsid w:val="00B53A8F"/>
    <w:rsid w:val="00B547C1"/>
    <w:rsid w:val="00B54889"/>
    <w:rsid w:val="00B55311"/>
    <w:rsid w:val="00B55413"/>
    <w:rsid w:val="00B56360"/>
    <w:rsid w:val="00B5640C"/>
    <w:rsid w:val="00B56722"/>
    <w:rsid w:val="00B56E3F"/>
    <w:rsid w:val="00B56F58"/>
    <w:rsid w:val="00B57244"/>
    <w:rsid w:val="00B57345"/>
    <w:rsid w:val="00B575BA"/>
    <w:rsid w:val="00B578A5"/>
    <w:rsid w:val="00B57943"/>
    <w:rsid w:val="00B57954"/>
    <w:rsid w:val="00B60284"/>
    <w:rsid w:val="00B60553"/>
    <w:rsid w:val="00B605F9"/>
    <w:rsid w:val="00B60958"/>
    <w:rsid w:val="00B60DAC"/>
    <w:rsid w:val="00B60E46"/>
    <w:rsid w:val="00B61840"/>
    <w:rsid w:val="00B619DC"/>
    <w:rsid w:val="00B61CBD"/>
    <w:rsid w:val="00B62562"/>
    <w:rsid w:val="00B628B9"/>
    <w:rsid w:val="00B62D25"/>
    <w:rsid w:val="00B6344F"/>
    <w:rsid w:val="00B638F0"/>
    <w:rsid w:val="00B63C0C"/>
    <w:rsid w:val="00B63FCB"/>
    <w:rsid w:val="00B644E4"/>
    <w:rsid w:val="00B64532"/>
    <w:rsid w:val="00B64F8D"/>
    <w:rsid w:val="00B65411"/>
    <w:rsid w:val="00B654D8"/>
    <w:rsid w:val="00B65BAC"/>
    <w:rsid w:val="00B66FE3"/>
    <w:rsid w:val="00B6700A"/>
    <w:rsid w:val="00B67192"/>
    <w:rsid w:val="00B67315"/>
    <w:rsid w:val="00B6753E"/>
    <w:rsid w:val="00B67868"/>
    <w:rsid w:val="00B67DBA"/>
    <w:rsid w:val="00B70271"/>
    <w:rsid w:val="00B706A6"/>
    <w:rsid w:val="00B7168B"/>
    <w:rsid w:val="00B7195F"/>
    <w:rsid w:val="00B719A7"/>
    <w:rsid w:val="00B71C6B"/>
    <w:rsid w:val="00B71D94"/>
    <w:rsid w:val="00B72A58"/>
    <w:rsid w:val="00B72C58"/>
    <w:rsid w:val="00B72EC1"/>
    <w:rsid w:val="00B73238"/>
    <w:rsid w:val="00B7328F"/>
    <w:rsid w:val="00B73749"/>
    <w:rsid w:val="00B73AF3"/>
    <w:rsid w:val="00B743DD"/>
    <w:rsid w:val="00B7458B"/>
    <w:rsid w:val="00B7461B"/>
    <w:rsid w:val="00B74A0E"/>
    <w:rsid w:val="00B74AE2"/>
    <w:rsid w:val="00B74BF3"/>
    <w:rsid w:val="00B75090"/>
    <w:rsid w:val="00B75092"/>
    <w:rsid w:val="00B75725"/>
    <w:rsid w:val="00B7576E"/>
    <w:rsid w:val="00B75B28"/>
    <w:rsid w:val="00B76429"/>
    <w:rsid w:val="00B76624"/>
    <w:rsid w:val="00B766D9"/>
    <w:rsid w:val="00B76D21"/>
    <w:rsid w:val="00B770F5"/>
    <w:rsid w:val="00B7714E"/>
    <w:rsid w:val="00B77223"/>
    <w:rsid w:val="00B77334"/>
    <w:rsid w:val="00B7749D"/>
    <w:rsid w:val="00B775F9"/>
    <w:rsid w:val="00B77ED0"/>
    <w:rsid w:val="00B8033F"/>
    <w:rsid w:val="00B809D8"/>
    <w:rsid w:val="00B80DCB"/>
    <w:rsid w:val="00B80F97"/>
    <w:rsid w:val="00B811AD"/>
    <w:rsid w:val="00B81F95"/>
    <w:rsid w:val="00B82395"/>
    <w:rsid w:val="00B83D1C"/>
    <w:rsid w:val="00B83DB4"/>
    <w:rsid w:val="00B83DD0"/>
    <w:rsid w:val="00B84192"/>
    <w:rsid w:val="00B845FE"/>
    <w:rsid w:val="00B8498E"/>
    <w:rsid w:val="00B85A62"/>
    <w:rsid w:val="00B85C9D"/>
    <w:rsid w:val="00B85DA0"/>
    <w:rsid w:val="00B8634C"/>
    <w:rsid w:val="00B86770"/>
    <w:rsid w:val="00B86C74"/>
    <w:rsid w:val="00B87134"/>
    <w:rsid w:val="00B8738A"/>
    <w:rsid w:val="00B8776B"/>
    <w:rsid w:val="00B87887"/>
    <w:rsid w:val="00B87F05"/>
    <w:rsid w:val="00B90F1B"/>
    <w:rsid w:val="00B91A91"/>
    <w:rsid w:val="00B91F11"/>
    <w:rsid w:val="00B92292"/>
    <w:rsid w:val="00B9258B"/>
    <w:rsid w:val="00B93819"/>
    <w:rsid w:val="00B94BB1"/>
    <w:rsid w:val="00B9546A"/>
    <w:rsid w:val="00B956D4"/>
    <w:rsid w:val="00B957E4"/>
    <w:rsid w:val="00B96838"/>
    <w:rsid w:val="00B9698E"/>
    <w:rsid w:val="00B96EBA"/>
    <w:rsid w:val="00B96F58"/>
    <w:rsid w:val="00B97446"/>
    <w:rsid w:val="00B9755D"/>
    <w:rsid w:val="00B97989"/>
    <w:rsid w:val="00BA0F13"/>
    <w:rsid w:val="00BA19E1"/>
    <w:rsid w:val="00BA1A0E"/>
    <w:rsid w:val="00BA2D7D"/>
    <w:rsid w:val="00BA3B49"/>
    <w:rsid w:val="00BA4350"/>
    <w:rsid w:val="00BA4C4C"/>
    <w:rsid w:val="00BA5285"/>
    <w:rsid w:val="00BA5A5E"/>
    <w:rsid w:val="00BA5C86"/>
    <w:rsid w:val="00BA5E14"/>
    <w:rsid w:val="00BA65B0"/>
    <w:rsid w:val="00BA7432"/>
    <w:rsid w:val="00BA7AE0"/>
    <w:rsid w:val="00BA7F79"/>
    <w:rsid w:val="00BA7F82"/>
    <w:rsid w:val="00BA7FBA"/>
    <w:rsid w:val="00BB057D"/>
    <w:rsid w:val="00BB1546"/>
    <w:rsid w:val="00BB277A"/>
    <w:rsid w:val="00BB2E34"/>
    <w:rsid w:val="00BB317F"/>
    <w:rsid w:val="00BB3967"/>
    <w:rsid w:val="00BB51FF"/>
    <w:rsid w:val="00BB5961"/>
    <w:rsid w:val="00BB629A"/>
    <w:rsid w:val="00BB69D9"/>
    <w:rsid w:val="00BC025A"/>
    <w:rsid w:val="00BC0428"/>
    <w:rsid w:val="00BC1160"/>
    <w:rsid w:val="00BC1AA0"/>
    <w:rsid w:val="00BC1D66"/>
    <w:rsid w:val="00BC215F"/>
    <w:rsid w:val="00BC2495"/>
    <w:rsid w:val="00BC31EA"/>
    <w:rsid w:val="00BC352F"/>
    <w:rsid w:val="00BC353C"/>
    <w:rsid w:val="00BC395B"/>
    <w:rsid w:val="00BC39C8"/>
    <w:rsid w:val="00BC3AD3"/>
    <w:rsid w:val="00BC3AE0"/>
    <w:rsid w:val="00BC41F4"/>
    <w:rsid w:val="00BC4BCD"/>
    <w:rsid w:val="00BC5528"/>
    <w:rsid w:val="00BC6221"/>
    <w:rsid w:val="00BC72D5"/>
    <w:rsid w:val="00BC7EB9"/>
    <w:rsid w:val="00BD040A"/>
    <w:rsid w:val="00BD063C"/>
    <w:rsid w:val="00BD0AC7"/>
    <w:rsid w:val="00BD13C7"/>
    <w:rsid w:val="00BD181E"/>
    <w:rsid w:val="00BD1A1B"/>
    <w:rsid w:val="00BD1B3C"/>
    <w:rsid w:val="00BD2117"/>
    <w:rsid w:val="00BD2453"/>
    <w:rsid w:val="00BD2643"/>
    <w:rsid w:val="00BD2A9E"/>
    <w:rsid w:val="00BD3BA3"/>
    <w:rsid w:val="00BD3EAB"/>
    <w:rsid w:val="00BD43FA"/>
    <w:rsid w:val="00BD5089"/>
    <w:rsid w:val="00BD5263"/>
    <w:rsid w:val="00BD56B1"/>
    <w:rsid w:val="00BD592E"/>
    <w:rsid w:val="00BD5C19"/>
    <w:rsid w:val="00BD6556"/>
    <w:rsid w:val="00BD6558"/>
    <w:rsid w:val="00BD6FBE"/>
    <w:rsid w:val="00BD7F78"/>
    <w:rsid w:val="00BD7F8F"/>
    <w:rsid w:val="00BE0D1F"/>
    <w:rsid w:val="00BE10AC"/>
    <w:rsid w:val="00BE1489"/>
    <w:rsid w:val="00BE165C"/>
    <w:rsid w:val="00BE1888"/>
    <w:rsid w:val="00BE1923"/>
    <w:rsid w:val="00BE1A63"/>
    <w:rsid w:val="00BE1C20"/>
    <w:rsid w:val="00BE35D6"/>
    <w:rsid w:val="00BE3712"/>
    <w:rsid w:val="00BE3DB7"/>
    <w:rsid w:val="00BE3E8B"/>
    <w:rsid w:val="00BE4116"/>
    <w:rsid w:val="00BE425E"/>
    <w:rsid w:val="00BE49EC"/>
    <w:rsid w:val="00BE5140"/>
    <w:rsid w:val="00BE5A40"/>
    <w:rsid w:val="00BE6252"/>
    <w:rsid w:val="00BE6376"/>
    <w:rsid w:val="00BE674B"/>
    <w:rsid w:val="00BE6759"/>
    <w:rsid w:val="00BE675C"/>
    <w:rsid w:val="00BE7280"/>
    <w:rsid w:val="00BE7CFB"/>
    <w:rsid w:val="00BF030E"/>
    <w:rsid w:val="00BF0D1D"/>
    <w:rsid w:val="00BF0DC4"/>
    <w:rsid w:val="00BF10D4"/>
    <w:rsid w:val="00BF111A"/>
    <w:rsid w:val="00BF1DA7"/>
    <w:rsid w:val="00BF2027"/>
    <w:rsid w:val="00BF21BF"/>
    <w:rsid w:val="00BF2558"/>
    <w:rsid w:val="00BF2603"/>
    <w:rsid w:val="00BF3022"/>
    <w:rsid w:val="00BF3214"/>
    <w:rsid w:val="00BF500D"/>
    <w:rsid w:val="00BF5573"/>
    <w:rsid w:val="00BF5690"/>
    <w:rsid w:val="00BF5D51"/>
    <w:rsid w:val="00BF6CDF"/>
    <w:rsid w:val="00BF6F06"/>
    <w:rsid w:val="00BF724D"/>
    <w:rsid w:val="00C0008F"/>
    <w:rsid w:val="00C0061B"/>
    <w:rsid w:val="00C0073E"/>
    <w:rsid w:val="00C00B8C"/>
    <w:rsid w:val="00C0116D"/>
    <w:rsid w:val="00C01C86"/>
    <w:rsid w:val="00C01E43"/>
    <w:rsid w:val="00C01FDB"/>
    <w:rsid w:val="00C02615"/>
    <w:rsid w:val="00C02679"/>
    <w:rsid w:val="00C02733"/>
    <w:rsid w:val="00C02827"/>
    <w:rsid w:val="00C0294F"/>
    <w:rsid w:val="00C02C3C"/>
    <w:rsid w:val="00C0323E"/>
    <w:rsid w:val="00C03AA3"/>
    <w:rsid w:val="00C03D8B"/>
    <w:rsid w:val="00C046C1"/>
    <w:rsid w:val="00C046D2"/>
    <w:rsid w:val="00C049EB"/>
    <w:rsid w:val="00C05420"/>
    <w:rsid w:val="00C05D13"/>
    <w:rsid w:val="00C05DBA"/>
    <w:rsid w:val="00C06942"/>
    <w:rsid w:val="00C07B98"/>
    <w:rsid w:val="00C107EB"/>
    <w:rsid w:val="00C10B41"/>
    <w:rsid w:val="00C11C6E"/>
    <w:rsid w:val="00C11DE8"/>
    <w:rsid w:val="00C1213B"/>
    <w:rsid w:val="00C1238D"/>
    <w:rsid w:val="00C12D8E"/>
    <w:rsid w:val="00C13A49"/>
    <w:rsid w:val="00C13EAE"/>
    <w:rsid w:val="00C141FB"/>
    <w:rsid w:val="00C14F3D"/>
    <w:rsid w:val="00C15752"/>
    <w:rsid w:val="00C15867"/>
    <w:rsid w:val="00C15A0B"/>
    <w:rsid w:val="00C15DF9"/>
    <w:rsid w:val="00C16045"/>
    <w:rsid w:val="00C16476"/>
    <w:rsid w:val="00C17757"/>
    <w:rsid w:val="00C177E3"/>
    <w:rsid w:val="00C17E6F"/>
    <w:rsid w:val="00C202F1"/>
    <w:rsid w:val="00C204F0"/>
    <w:rsid w:val="00C21304"/>
    <w:rsid w:val="00C21696"/>
    <w:rsid w:val="00C2264F"/>
    <w:rsid w:val="00C2296D"/>
    <w:rsid w:val="00C23155"/>
    <w:rsid w:val="00C232DE"/>
    <w:rsid w:val="00C23417"/>
    <w:rsid w:val="00C23824"/>
    <w:rsid w:val="00C23980"/>
    <w:rsid w:val="00C23FBB"/>
    <w:rsid w:val="00C24586"/>
    <w:rsid w:val="00C246DE"/>
    <w:rsid w:val="00C2493F"/>
    <w:rsid w:val="00C24A97"/>
    <w:rsid w:val="00C24FAC"/>
    <w:rsid w:val="00C25185"/>
    <w:rsid w:val="00C251DE"/>
    <w:rsid w:val="00C25BFC"/>
    <w:rsid w:val="00C25D65"/>
    <w:rsid w:val="00C27C9D"/>
    <w:rsid w:val="00C306D2"/>
    <w:rsid w:val="00C309B4"/>
    <w:rsid w:val="00C31518"/>
    <w:rsid w:val="00C318DB"/>
    <w:rsid w:val="00C31A7F"/>
    <w:rsid w:val="00C31F53"/>
    <w:rsid w:val="00C322C0"/>
    <w:rsid w:val="00C322ED"/>
    <w:rsid w:val="00C32A08"/>
    <w:rsid w:val="00C32B70"/>
    <w:rsid w:val="00C33AE1"/>
    <w:rsid w:val="00C34165"/>
    <w:rsid w:val="00C34441"/>
    <w:rsid w:val="00C34CF3"/>
    <w:rsid w:val="00C35144"/>
    <w:rsid w:val="00C35C4C"/>
    <w:rsid w:val="00C364D8"/>
    <w:rsid w:val="00C37A29"/>
    <w:rsid w:val="00C37C63"/>
    <w:rsid w:val="00C40535"/>
    <w:rsid w:val="00C4074B"/>
    <w:rsid w:val="00C40902"/>
    <w:rsid w:val="00C40B67"/>
    <w:rsid w:val="00C40C41"/>
    <w:rsid w:val="00C41769"/>
    <w:rsid w:val="00C41D06"/>
    <w:rsid w:val="00C423D5"/>
    <w:rsid w:val="00C424E7"/>
    <w:rsid w:val="00C43BD3"/>
    <w:rsid w:val="00C445B8"/>
    <w:rsid w:val="00C44E93"/>
    <w:rsid w:val="00C456E6"/>
    <w:rsid w:val="00C45885"/>
    <w:rsid w:val="00C45B2F"/>
    <w:rsid w:val="00C464EB"/>
    <w:rsid w:val="00C46735"/>
    <w:rsid w:val="00C475BF"/>
    <w:rsid w:val="00C479D9"/>
    <w:rsid w:val="00C50DF6"/>
    <w:rsid w:val="00C50F22"/>
    <w:rsid w:val="00C512B9"/>
    <w:rsid w:val="00C515E1"/>
    <w:rsid w:val="00C51B3D"/>
    <w:rsid w:val="00C527E8"/>
    <w:rsid w:val="00C535BA"/>
    <w:rsid w:val="00C54E3B"/>
    <w:rsid w:val="00C55126"/>
    <w:rsid w:val="00C56E42"/>
    <w:rsid w:val="00C56F13"/>
    <w:rsid w:val="00C571C5"/>
    <w:rsid w:val="00C57263"/>
    <w:rsid w:val="00C57971"/>
    <w:rsid w:val="00C618C8"/>
    <w:rsid w:val="00C61A45"/>
    <w:rsid w:val="00C61F77"/>
    <w:rsid w:val="00C64193"/>
    <w:rsid w:val="00C643BB"/>
    <w:rsid w:val="00C64E08"/>
    <w:rsid w:val="00C650A6"/>
    <w:rsid w:val="00C650A8"/>
    <w:rsid w:val="00C65BD7"/>
    <w:rsid w:val="00C65D1E"/>
    <w:rsid w:val="00C6622B"/>
    <w:rsid w:val="00C66489"/>
    <w:rsid w:val="00C66EFB"/>
    <w:rsid w:val="00C6719A"/>
    <w:rsid w:val="00C6745A"/>
    <w:rsid w:val="00C675CF"/>
    <w:rsid w:val="00C67AE1"/>
    <w:rsid w:val="00C67B3E"/>
    <w:rsid w:val="00C67F40"/>
    <w:rsid w:val="00C705AA"/>
    <w:rsid w:val="00C70F93"/>
    <w:rsid w:val="00C7138A"/>
    <w:rsid w:val="00C7147D"/>
    <w:rsid w:val="00C7151D"/>
    <w:rsid w:val="00C716E5"/>
    <w:rsid w:val="00C71EF5"/>
    <w:rsid w:val="00C72526"/>
    <w:rsid w:val="00C72B12"/>
    <w:rsid w:val="00C7534D"/>
    <w:rsid w:val="00C75626"/>
    <w:rsid w:val="00C7566A"/>
    <w:rsid w:val="00C762EB"/>
    <w:rsid w:val="00C769A9"/>
    <w:rsid w:val="00C76BA4"/>
    <w:rsid w:val="00C77948"/>
    <w:rsid w:val="00C77C89"/>
    <w:rsid w:val="00C77DEC"/>
    <w:rsid w:val="00C80018"/>
    <w:rsid w:val="00C803FB"/>
    <w:rsid w:val="00C809C1"/>
    <w:rsid w:val="00C80B55"/>
    <w:rsid w:val="00C80D55"/>
    <w:rsid w:val="00C80DB0"/>
    <w:rsid w:val="00C81581"/>
    <w:rsid w:val="00C82FB1"/>
    <w:rsid w:val="00C83116"/>
    <w:rsid w:val="00C835E1"/>
    <w:rsid w:val="00C83A48"/>
    <w:rsid w:val="00C83F23"/>
    <w:rsid w:val="00C83FB4"/>
    <w:rsid w:val="00C842B8"/>
    <w:rsid w:val="00C84CEB"/>
    <w:rsid w:val="00C8502E"/>
    <w:rsid w:val="00C85782"/>
    <w:rsid w:val="00C85865"/>
    <w:rsid w:val="00C85B1B"/>
    <w:rsid w:val="00C85E85"/>
    <w:rsid w:val="00C87DCE"/>
    <w:rsid w:val="00C87DEC"/>
    <w:rsid w:val="00C90A49"/>
    <w:rsid w:val="00C91113"/>
    <w:rsid w:val="00C91122"/>
    <w:rsid w:val="00C91232"/>
    <w:rsid w:val="00C91398"/>
    <w:rsid w:val="00C91789"/>
    <w:rsid w:val="00C91884"/>
    <w:rsid w:val="00C919B2"/>
    <w:rsid w:val="00C91C70"/>
    <w:rsid w:val="00C91FDB"/>
    <w:rsid w:val="00C93A8D"/>
    <w:rsid w:val="00C94276"/>
    <w:rsid w:val="00C94735"/>
    <w:rsid w:val="00C950B2"/>
    <w:rsid w:val="00C9574E"/>
    <w:rsid w:val="00C95B4F"/>
    <w:rsid w:val="00C95CDA"/>
    <w:rsid w:val="00C96031"/>
    <w:rsid w:val="00C964CE"/>
    <w:rsid w:val="00C96AA4"/>
    <w:rsid w:val="00C96D42"/>
    <w:rsid w:val="00C96F9C"/>
    <w:rsid w:val="00C97D7B"/>
    <w:rsid w:val="00CA02B1"/>
    <w:rsid w:val="00CA08FB"/>
    <w:rsid w:val="00CA1956"/>
    <w:rsid w:val="00CA2811"/>
    <w:rsid w:val="00CA2D11"/>
    <w:rsid w:val="00CA2EAE"/>
    <w:rsid w:val="00CA33DD"/>
    <w:rsid w:val="00CA3FE8"/>
    <w:rsid w:val="00CA4AC1"/>
    <w:rsid w:val="00CA50A4"/>
    <w:rsid w:val="00CA513B"/>
    <w:rsid w:val="00CA531F"/>
    <w:rsid w:val="00CA561F"/>
    <w:rsid w:val="00CA59C9"/>
    <w:rsid w:val="00CA6312"/>
    <w:rsid w:val="00CA6FC7"/>
    <w:rsid w:val="00CA7639"/>
    <w:rsid w:val="00CA780A"/>
    <w:rsid w:val="00CA7829"/>
    <w:rsid w:val="00CA78C0"/>
    <w:rsid w:val="00CA7C2E"/>
    <w:rsid w:val="00CA7D27"/>
    <w:rsid w:val="00CA7EB4"/>
    <w:rsid w:val="00CB0263"/>
    <w:rsid w:val="00CB0316"/>
    <w:rsid w:val="00CB03F3"/>
    <w:rsid w:val="00CB0B11"/>
    <w:rsid w:val="00CB190C"/>
    <w:rsid w:val="00CB21B9"/>
    <w:rsid w:val="00CB240B"/>
    <w:rsid w:val="00CB25AD"/>
    <w:rsid w:val="00CB2E1A"/>
    <w:rsid w:val="00CB2E66"/>
    <w:rsid w:val="00CB30F9"/>
    <w:rsid w:val="00CB3260"/>
    <w:rsid w:val="00CB3804"/>
    <w:rsid w:val="00CB3EA0"/>
    <w:rsid w:val="00CB4D43"/>
    <w:rsid w:val="00CB50AB"/>
    <w:rsid w:val="00CB50C4"/>
    <w:rsid w:val="00CB52E3"/>
    <w:rsid w:val="00CB5354"/>
    <w:rsid w:val="00CB5382"/>
    <w:rsid w:val="00CB53FD"/>
    <w:rsid w:val="00CB5D0B"/>
    <w:rsid w:val="00CB606F"/>
    <w:rsid w:val="00CB62B9"/>
    <w:rsid w:val="00CB69D1"/>
    <w:rsid w:val="00CB7520"/>
    <w:rsid w:val="00CB75C1"/>
    <w:rsid w:val="00CC0930"/>
    <w:rsid w:val="00CC114A"/>
    <w:rsid w:val="00CC11F9"/>
    <w:rsid w:val="00CC184F"/>
    <w:rsid w:val="00CC186E"/>
    <w:rsid w:val="00CC2975"/>
    <w:rsid w:val="00CC299E"/>
    <w:rsid w:val="00CC30DA"/>
    <w:rsid w:val="00CC38B1"/>
    <w:rsid w:val="00CC4041"/>
    <w:rsid w:val="00CC406E"/>
    <w:rsid w:val="00CC424C"/>
    <w:rsid w:val="00CC46FA"/>
    <w:rsid w:val="00CC4BC6"/>
    <w:rsid w:val="00CC4C41"/>
    <w:rsid w:val="00CC51BA"/>
    <w:rsid w:val="00CC57E5"/>
    <w:rsid w:val="00CC60EA"/>
    <w:rsid w:val="00CC6463"/>
    <w:rsid w:val="00CC64A2"/>
    <w:rsid w:val="00CC68C6"/>
    <w:rsid w:val="00CC6A14"/>
    <w:rsid w:val="00CC6AD6"/>
    <w:rsid w:val="00CC6CDA"/>
    <w:rsid w:val="00CC70A3"/>
    <w:rsid w:val="00CC79D3"/>
    <w:rsid w:val="00CD04DD"/>
    <w:rsid w:val="00CD050A"/>
    <w:rsid w:val="00CD0687"/>
    <w:rsid w:val="00CD1478"/>
    <w:rsid w:val="00CD1823"/>
    <w:rsid w:val="00CD20D9"/>
    <w:rsid w:val="00CD31E0"/>
    <w:rsid w:val="00CD4442"/>
    <w:rsid w:val="00CD44AF"/>
    <w:rsid w:val="00CD48AD"/>
    <w:rsid w:val="00CD53C3"/>
    <w:rsid w:val="00CD574E"/>
    <w:rsid w:val="00CD5931"/>
    <w:rsid w:val="00CD6068"/>
    <w:rsid w:val="00CD6616"/>
    <w:rsid w:val="00CD66D6"/>
    <w:rsid w:val="00CD71B5"/>
    <w:rsid w:val="00CD7725"/>
    <w:rsid w:val="00CD7B26"/>
    <w:rsid w:val="00CD7F0C"/>
    <w:rsid w:val="00CE0195"/>
    <w:rsid w:val="00CE0970"/>
    <w:rsid w:val="00CE0FA5"/>
    <w:rsid w:val="00CE16EB"/>
    <w:rsid w:val="00CE1982"/>
    <w:rsid w:val="00CE1AB2"/>
    <w:rsid w:val="00CE1F97"/>
    <w:rsid w:val="00CE2E1C"/>
    <w:rsid w:val="00CE2F4E"/>
    <w:rsid w:val="00CE3027"/>
    <w:rsid w:val="00CE36DF"/>
    <w:rsid w:val="00CE3F16"/>
    <w:rsid w:val="00CE4441"/>
    <w:rsid w:val="00CE4C22"/>
    <w:rsid w:val="00CE4DCA"/>
    <w:rsid w:val="00CE59D9"/>
    <w:rsid w:val="00CE5BA6"/>
    <w:rsid w:val="00CE5BEC"/>
    <w:rsid w:val="00CE69B1"/>
    <w:rsid w:val="00CE69CC"/>
    <w:rsid w:val="00CE6B33"/>
    <w:rsid w:val="00CE6F77"/>
    <w:rsid w:val="00CE75E8"/>
    <w:rsid w:val="00CF02E1"/>
    <w:rsid w:val="00CF0806"/>
    <w:rsid w:val="00CF0CEB"/>
    <w:rsid w:val="00CF12B0"/>
    <w:rsid w:val="00CF1500"/>
    <w:rsid w:val="00CF192E"/>
    <w:rsid w:val="00CF1B3C"/>
    <w:rsid w:val="00CF1C2D"/>
    <w:rsid w:val="00CF235D"/>
    <w:rsid w:val="00CF251E"/>
    <w:rsid w:val="00CF41EC"/>
    <w:rsid w:val="00CF4D33"/>
    <w:rsid w:val="00CF5279"/>
    <w:rsid w:val="00CF5C06"/>
    <w:rsid w:val="00CF5D04"/>
    <w:rsid w:val="00CF6110"/>
    <w:rsid w:val="00CF636F"/>
    <w:rsid w:val="00CF67EF"/>
    <w:rsid w:val="00CF69E4"/>
    <w:rsid w:val="00CF7A9B"/>
    <w:rsid w:val="00CF7DBC"/>
    <w:rsid w:val="00D0005B"/>
    <w:rsid w:val="00D0021F"/>
    <w:rsid w:val="00D00FE1"/>
    <w:rsid w:val="00D0151E"/>
    <w:rsid w:val="00D01D11"/>
    <w:rsid w:val="00D02E4C"/>
    <w:rsid w:val="00D04DBA"/>
    <w:rsid w:val="00D04DC2"/>
    <w:rsid w:val="00D04DE4"/>
    <w:rsid w:val="00D0523E"/>
    <w:rsid w:val="00D0555F"/>
    <w:rsid w:val="00D055DB"/>
    <w:rsid w:val="00D0574D"/>
    <w:rsid w:val="00D0585A"/>
    <w:rsid w:val="00D05ABD"/>
    <w:rsid w:val="00D05F67"/>
    <w:rsid w:val="00D063F1"/>
    <w:rsid w:val="00D06888"/>
    <w:rsid w:val="00D06F13"/>
    <w:rsid w:val="00D0715A"/>
    <w:rsid w:val="00D07334"/>
    <w:rsid w:val="00D07EF3"/>
    <w:rsid w:val="00D07F13"/>
    <w:rsid w:val="00D10463"/>
    <w:rsid w:val="00D10F69"/>
    <w:rsid w:val="00D11AB0"/>
    <w:rsid w:val="00D12569"/>
    <w:rsid w:val="00D127B7"/>
    <w:rsid w:val="00D13063"/>
    <w:rsid w:val="00D13C9F"/>
    <w:rsid w:val="00D13CD0"/>
    <w:rsid w:val="00D14264"/>
    <w:rsid w:val="00D14B42"/>
    <w:rsid w:val="00D14B9D"/>
    <w:rsid w:val="00D14E46"/>
    <w:rsid w:val="00D14F22"/>
    <w:rsid w:val="00D153C3"/>
    <w:rsid w:val="00D158D8"/>
    <w:rsid w:val="00D1724F"/>
    <w:rsid w:val="00D1734B"/>
    <w:rsid w:val="00D2009D"/>
    <w:rsid w:val="00D201BA"/>
    <w:rsid w:val="00D203B9"/>
    <w:rsid w:val="00D20578"/>
    <w:rsid w:val="00D205D0"/>
    <w:rsid w:val="00D20A3F"/>
    <w:rsid w:val="00D20AE7"/>
    <w:rsid w:val="00D20B56"/>
    <w:rsid w:val="00D213C9"/>
    <w:rsid w:val="00D21BCE"/>
    <w:rsid w:val="00D2207F"/>
    <w:rsid w:val="00D220E0"/>
    <w:rsid w:val="00D226D3"/>
    <w:rsid w:val="00D22E3B"/>
    <w:rsid w:val="00D2306A"/>
    <w:rsid w:val="00D23193"/>
    <w:rsid w:val="00D23273"/>
    <w:rsid w:val="00D2363E"/>
    <w:rsid w:val="00D23D5E"/>
    <w:rsid w:val="00D23E82"/>
    <w:rsid w:val="00D24101"/>
    <w:rsid w:val="00D24247"/>
    <w:rsid w:val="00D244AA"/>
    <w:rsid w:val="00D24B19"/>
    <w:rsid w:val="00D24E1F"/>
    <w:rsid w:val="00D251AF"/>
    <w:rsid w:val="00D25949"/>
    <w:rsid w:val="00D26C8A"/>
    <w:rsid w:val="00D26E0B"/>
    <w:rsid w:val="00D274F6"/>
    <w:rsid w:val="00D30EF5"/>
    <w:rsid w:val="00D31A06"/>
    <w:rsid w:val="00D3297F"/>
    <w:rsid w:val="00D32DDC"/>
    <w:rsid w:val="00D330AD"/>
    <w:rsid w:val="00D3315A"/>
    <w:rsid w:val="00D331C9"/>
    <w:rsid w:val="00D33204"/>
    <w:rsid w:val="00D34097"/>
    <w:rsid w:val="00D34205"/>
    <w:rsid w:val="00D34620"/>
    <w:rsid w:val="00D34877"/>
    <w:rsid w:val="00D3546C"/>
    <w:rsid w:val="00D35FBE"/>
    <w:rsid w:val="00D36385"/>
    <w:rsid w:val="00D3651F"/>
    <w:rsid w:val="00D375D7"/>
    <w:rsid w:val="00D37600"/>
    <w:rsid w:val="00D3772F"/>
    <w:rsid w:val="00D3774D"/>
    <w:rsid w:val="00D400E6"/>
    <w:rsid w:val="00D40343"/>
    <w:rsid w:val="00D40640"/>
    <w:rsid w:val="00D407B8"/>
    <w:rsid w:val="00D40B17"/>
    <w:rsid w:val="00D412CF"/>
    <w:rsid w:val="00D412D4"/>
    <w:rsid w:val="00D41450"/>
    <w:rsid w:val="00D41CA7"/>
    <w:rsid w:val="00D41FE6"/>
    <w:rsid w:val="00D42131"/>
    <w:rsid w:val="00D42709"/>
    <w:rsid w:val="00D42880"/>
    <w:rsid w:val="00D435AB"/>
    <w:rsid w:val="00D43A63"/>
    <w:rsid w:val="00D44123"/>
    <w:rsid w:val="00D449E0"/>
    <w:rsid w:val="00D44A61"/>
    <w:rsid w:val="00D44ACF"/>
    <w:rsid w:val="00D45806"/>
    <w:rsid w:val="00D459E4"/>
    <w:rsid w:val="00D45E7A"/>
    <w:rsid w:val="00D45F03"/>
    <w:rsid w:val="00D46A11"/>
    <w:rsid w:val="00D46C04"/>
    <w:rsid w:val="00D46E0F"/>
    <w:rsid w:val="00D46FB5"/>
    <w:rsid w:val="00D471A1"/>
    <w:rsid w:val="00D4741C"/>
    <w:rsid w:val="00D479B1"/>
    <w:rsid w:val="00D47A2A"/>
    <w:rsid w:val="00D47CE2"/>
    <w:rsid w:val="00D47EA4"/>
    <w:rsid w:val="00D50D03"/>
    <w:rsid w:val="00D50D07"/>
    <w:rsid w:val="00D50DD0"/>
    <w:rsid w:val="00D50F57"/>
    <w:rsid w:val="00D51F55"/>
    <w:rsid w:val="00D524CA"/>
    <w:rsid w:val="00D52CF8"/>
    <w:rsid w:val="00D538C6"/>
    <w:rsid w:val="00D55168"/>
    <w:rsid w:val="00D55D30"/>
    <w:rsid w:val="00D561C4"/>
    <w:rsid w:val="00D56362"/>
    <w:rsid w:val="00D56A83"/>
    <w:rsid w:val="00D573D1"/>
    <w:rsid w:val="00D57918"/>
    <w:rsid w:val="00D57D00"/>
    <w:rsid w:val="00D60601"/>
    <w:rsid w:val="00D60860"/>
    <w:rsid w:val="00D60D30"/>
    <w:rsid w:val="00D60DCB"/>
    <w:rsid w:val="00D61059"/>
    <w:rsid w:val="00D6289C"/>
    <w:rsid w:val="00D63265"/>
    <w:rsid w:val="00D63926"/>
    <w:rsid w:val="00D639F9"/>
    <w:rsid w:val="00D63CE9"/>
    <w:rsid w:val="00D64618"/>
    <w:rsid w:val="00D6462D"/>
    <w:rsid w:val="00D65360"/>
    <w:rsid w:val="00D654F8"/>
    <w:rsid w:val="00D65A9D"/>
    <w:rsid w:val="00D66114"/>
    <w:rsid w:val="00D665C6"/>
    <w:rsid w:val="00D66809"/>
    <w:rsid w:val="00D66C06"/>
    <w:rsid w:val="00D6703D"/>
    <w:rsid w:val="00D6765F"/>
    <w:rsid w:val="00D70A65"/>
    <w:rsid w:val="00D70B01"/>
    <w:rsid w:val="00D70BCF"/>
    <w:rsid w:val="00D71887"/>
    <w:rsid w:val="00D71B8B"/>
    <w:rsid w:val="00D7245F"/>
    <w:rsid w:val="00D72932"/>
    <w:rsid w:val="00D7328A"/>
    <w:rsid w:val="00D733B9"/>
    <w:rsid w:val="00D73668"/>
    <w:rsid w:val="00D73A56"/>
    <w:rsid w:val="00D73AAD"/>
    <w:rsid w:val="00D73D52"/>
    <w:rsid w:val="00D73DC6"/>
    <w:rsid w:val="00D74515"/>
    <w:rsid w:val="00D74C1A"/>
    <w:rsid w:val="00D754C1"/>
    <w:rsid w:val="00D763FB"/>
    <w:rsid w:val="00D76500"/>
    <w:rsid w:val="00D76804"/>
    <w:rsid w:val="00D7728C"/>
    <w:rsid w:val="00D77393"/>
    <w:rsid w:val="00D77A35"/>
    <w:rsid w:val="00D80178"/>
    <w:rsid w:val="00D80BB1"/>
    <w:rsid w:val="00D80DD3"/>
    <w:rsid w:val="00D812A4"/>
    <w:rsid w:val="00D815B4"/>
    <w:rsid w:val="00D81631"/>
    <w:rsid w:val="00D81B3E"/>
    <w:rsid w:val="00D82466"/>
    <w:rsid w:val="00D824B8"/>
    <w:rsid w:val="00D829F4"/>
    <w:rsid w:val="00D82D4A"/>
    <w:rsid w:val="00D833D8"/>
    <w:rsid w:val="00D83762"/>
    <w:rsid w:val="00D83C9E"/>
    <w:rsid w:val="00D83DAE"/>
    <w:rsid w:val="00D8458D"/>
    <w:rsid w:val="00D84647"/>
    <w:rsid w:val="00D84913"/>
    <w:rsid w:val="00D85323"/>
    <w:rsid w:val="00D859AC"/>
    <w:rsid w:val="00D85CFD"/>
    <w:rsid w:val="00D866CF"/>
    <w:rsid w:val="00D86961"/>
    <w:rsid w:val="00D86A5D"/>
    <w:rsid w:val="00D87524"/>
    <w:rsid w:val="00D87823"/>
    <w:rsid w:val="00D90C70"/>
    <w:rsid w:val="00D90E49"/>
    <w:rsid w:val="00D90F23"/>
    <w:rsid w:val="00D91302"/>
    <w:rsid w:val="00D9182E"/>
    <w:rsid w:val="00D91F14"/>
    <w:rsid w:val="00D9237B"/>
    <w:rsid w:val="00D926DF"/>
    <w:rsid w:val="00D93040"/>
    <w:rsid w:val="00D93498"/>
    <w:rsid w:val="00D93513"/>
    <w:rsid w:val="00D94231"/>
    <w:rsid w:val="00D943B9"/>
    <w:rsid w:val="00D9480A"/>
    <w:rsid w:val="00D954DF"/>
    <w:rsid w:val="00D96139"/>
    <w:rsid w:val="00D967C1"/>
    <w:rsid w:val="00D96A88"/>
    <w:rsid w:val="00D96ADE"/>
    <w:rsid w:val="00D96B60"/>
    <w:rsid w:val="00D96BBA"/>
    <w:rsid w:val="00D97044"/>
    <w:rsid w:val="00D9757D"/>
    <w:rsid w:val="00D97A13"/>
    <w:rsid w:val="00D97D40"/>
    <w:rsid w:val="00DA042E"/>
    <w:rsid w:val="00DA07A3"/>
    <w:rsid w:val="00DA0CE2"/>
    <w:rsid w:val="00DA0E47"/>
    <w:rsid w:val="00DA1531"/>
    <w:rsid w:val="00DA1542"/>
    <w:rsid w:val="00DA157D"/>
    <w:rsid w:val="00DA1B0C"/>
    <w:rsid w:val="00DA1CDD"/>
    <w:rsid w:val="00DA1D4C"/>
    <w:rsid w:val="00DA1D5A"/>
    <w:rsid w:val="00DA2CAE"/>
    <w:rsid w:val="00DA3177"/>
    <w:rsid w:val="00DA3851"/>
    <w:rsid w:val="00DA3A43"/>
    <w:rsid w:val="00DA3B7F"/>
    <w:rsid w:val="00DA3F63"/>
    <w:rsid w:val="00DA4307"/>
    <w:rsid w:val="00DA4D64"/>
    <w:rsid w:val="00DA4FBA"/>
    <w:rsid w:val="00DA539D"/>
    <w:rsid w:val="00DA54BD"/>
    <w:rsid w:val="00DA5641"/>
    <w:rsid w:val="00DA6338"/>
    <w:rsid w:val="00DA67E9"/>
    <w:rsid w:val="00DA6946"/>
    <w:rsid w:val="00DA76F8"/>
    <w:rsid w:val="00DA778C"/>
    <w:rsid w:val="00DB00DB"/>
    <w:rsid w:val="00DB108E"/>
    <w:rsid w:val="00DB162A"/>
    <w:rsid w:val="00DB16FC"/>
    <w:rsid w:val="00DB1B6D"/>
    <w:rsid w:val="00DB22FA"/>
    <w:rsid w:val="00DB2D22"/>
    <w:rsid w:val="00DB3AAB"/>
    <w:rsid w:val="00DB3BAB"/>
    <w:rsid w:val="00DB3EB9"/>
    <w:rsid w:val="00DB45EE"/>
    <w:rsid w:val="00DB5931"/>
    <w:rsid w:val="00DB5F2B"/>
    <w:rsid w:val="00DB695B"/>
    <w:rsid w:val="00DB6F24"/>
    <w:rsid w:val="00DB74DC"/>
    <w:rsid w:val="00DB7995"/>
    <w:rsid w:val="00DB7EEB"/>
    <w:rsid w:val="00DC0CE7"/>
    <w:rsid w:val="00DC13C8"/>
    <w:rsid w:val="00DC15CB"/>
    <w:rsid w:val="00DC15F4"/>
    <w:rsid w:val="00DC1E9B"/>
    <w:rsid w:val="00DC226B"/>
    <w:rsid w:val="00DC22B5"/>
    <w:rsid w:val="00DC2536"/>
    <w:rsid w:val="00DC2E4C"/>
    <w:rsid w:val="00DC4711"/>
    <w:rsid w:val="00DC5A04"/>
    <w:rsid w:val="00DC643C"/>
    <w:rsid w:val="00DC6A10"/>
    <w:rsid w:val="00DC6A75"/>
    <w:rsid w:val="00DC6B4E"/>
    <w:rsid w:val="00DC6B84"/>
    <w:rsid w:val="00DC706E"/>
    <w:rsid w:val="00DC7192"/>
    <w:rsid w:val="00DD00A1"/>
    <w:rsid w:val="00DD07B5"/>
    <w:rsid w:val="00DD09CD"/>
    <w:rsid w:val="00DD09D7"/>
    <w:rsid w:val="00DD103C"/>
    <w:rsid w:val="00DD1249"/>
    <w:rsid w:val="00DD13D3"/>
    <w:rsid w:val="00DD180A"/>
    <w:rsid w:val="00DD208A"/>
    <w:rsid w:val="00DD2269"/>
    <w:rsid w:val="00DD2841"/>
    <w:rsid w:val="00DD2EEF"/>
    <w:rsid w:val="00DD31BE"/>
    <w:rsid w:val="00DD31CC"/>
    <w:rsid w:val="00DD3A18"/>
    <w:rsid w:val="00DD3CF9"/>
    <w:rsid w:val="00DD4441"/>
    <w:rsid w:val="00DD47F7"/>
    <w:rsid w:val="00DD4F08"/>
    <w:rsid w:val="00DD5072"/>
    <w:rsid w:val="00DD5542"/>
    <w:rsid w:val="00DD5EC7"/>
    <w:rsid w:val="00DD6191"/>
    <w:rsid w:val="00DD6880"/>
    <w:rsid w:val="00DD70F6"/>
    <w:rsid w:val="00DD7FC7"/>
    <w:rsid w:val="00DD7FCF"/>
    <w:rsid w:val="00DE0125"/>
    <w:rsid w:val="00DE09FF"/>
    <w:rsid w:val="00DE0B36"/>
    <w:rsid w:val="00DE18CB"/>
    <w:rsid w:val="00DE25D8"/>
    <w:rsid w:val="00DE3A53"/>
    <w:rsid w:val="00DE3A8E"/>
    <w:rsid w:val="00DE3EEF"/>
    <w:rsid w:val="00DE406F"/>
    <w:rsid w:val="00DE4569"/>
    <w:rsid w:val="00DE47A7"/>
    <w:rsid w:val="00DE4DE5"/>
    <w:rsid w:val="00DE5202"/>
    <w:rsid w:val="00DE523A"/>
    <w:rsid w:val="00DE5375"/>
    <w:rsid w:val="00DE635E"/>
    <w:rsid w:val="00DE657E"/>
    <w:rsid w:val="00DE6D1F"/>
    <w:rsid w:val="00DE6F3C"/>
    <w:rsid w:val="00DE700C"/>
    <w:rsid w:val="00DE766E"/>
    <w:rsid w:val="00DF05EF"/>
    <w:rsid w:val="00DF090A"/>
    <w:rsid w:val="00DF09FC"/>
    <w:rsid w:val="00DF1988"/>
    <w:rsid w:val="00DF1D09"/>
    <w:rsid w:val="00DF1F17"/>
    <w:rsid w:val="00DF27DB"/>
    <w:rsid w:val="00DF28BF"/>
    <w:rsid w:val="00DF297B"/>
    <w:rsid w:val="00DF2BE2"/>
    <w:rsid w:val="00DF2CD3"/>
    <w:rsid w:val="00DF2F88"/>
    <w:rsid w:val="00DF33F6"/>
    <w:rsid w:val="00DF394D"/>
    <w:rsid w:val="00DF3989"/>
    <w:rsid w:val="00DF4704"/>
    <w:rsid w:val="00DF4E69"/>
    <w:rsid w:val="00DF4FF4"/>
    <w:rsid w:val="00DF50DE"/>
    <w:rsid w:val="00DF532E"/>
    <w:rsid w:val="00DF547C"/>
    <w:rsid w:val="00DF556D"/>
    <w:rsid w:val="00DF60F2"/>
    <w:rsid w:val="00DF641D"/>
    <w:rsid w:val="00DF64AA"/>
    <w:rsid w:val="00DF6ED9"/>
    <w:rsid w:val="00DF7126"/>
    <w:rsid w:val="00DF757E"/>
    <w:rsid w:val="00E012A4"/>
    <w:rsid w:val="00E0141E"/>
    <w:rsid w:val="00E01CE7"/>
    <w:rsid w:val="00E01FB9"/>
    <w:rsid w:val="00E024AA"/>
    <w:rsid w:val="00E026E0"/>
    <w:rsid w:val="00E02E17"/>
    <w:rsid w:val="00E03EFA"/>
    <w:rsid w:val="00E0417F"/>
    <w:rsid w:val="00E047A8"/>
    <w:rsid w:val="00E049F5"/>
    <w:rsid w:val="00E04B0D"/>
    <w:rsid w:val="00E04B25"/>
    <w:rsid w:val="00E05F9D"/>
    <w:rsid w:val="00E06323"/>
    <w:rsid w:val="00E06595"/>
    <w:rsid w:val="00E06A90"/>
    <w:rsid w:val="00E06AF6"/>
    <w:rsid w:val="00E06E7D"/>
    <w:rsid w:val="00E070A4"/>
    <w:rsid w:val="00E0719C"/>
    <w:rsid w:val="00E101E6"/>
    <w:rsid w:val="00E13A38"/>
    <w:rsid w:val="00E13FF1"/>
    <w:rsid w:val="00E14181"/>
    <w:rsid w:val="00E144FC"/>
    <w:rsid w:val="00E15086"/>
    <w:rsid w:val="00E1516B"/>
    <w:rsid w:val="00E17FF7"/>
    <w:rsid w:val="00E2006B"/>
    <w:rsid w:val="00E20567"/>
    <w:rsid w:val="00E2056F"/>
    <w:rsid w:val="00E20804"/>
    <w:rsid w:val="00E20DD0"/>
    <w:rsid w:val="00E20FB5"/>
    <w:rsid w:val="00E219A7"/>
    <w:rsid w:val="00E21A72"/>
    <w:rsid w:val="00E21DBE"/>
    <w:rsid w:val="00E21E9F"/>
    <w:rsid w:val="00E22238"/>
    <w:rsid w:val="00E236AC"/>
    <w:rsid w:val="00E237A8"/>
    <w:rsid w:val="00E23D3C"/>
    <w:rsid w:val="00E240A3"/>
    <w:rsid w:val="00E250F1"/>
    <w:rsid w:val="00E251B3"/>
    <w:rsid w:val="00E2557F"/>
    <w:rsid w:val="00E25678"/>
    <w:rsid w:val="00E2637D"/>
    <w:rsid w:val="00E26712"/>
    <w:rsid w:val="00E272AD"/>
    <w:rsid w:val="00E27517"/>
    <w:rsid w:val="00E279AB"/>
    <w:rsid w:val="00E27C09"/>
    <w:rsid w:val="00E3003D"/>
    <w:rsid w:val="00E313AC"/>
    <w:rsid w:val="00E3153F"/>
    <w:rsid w:val="00E317C9"/>
    <w:rsid w:val="00E31E50"/>
    <w:rsid w:val="00E31F48"/>
    <w:rsid w:val="00E320CD"/>
    <w:rsid w:val="00E32122"/>
    <w:rsid w:val="00E32259"/>
    <w:rsid w:val="00E32795"/>
    <w:rsid w:val="00E32ADE"/>
    <w:rsid w:val="00E32AF5"/>
    <w:rsid w:val="00E32BFC"/>
    <w:rsid w:val="00E32DB1"/>
    <w:rsid w:val="00E336E4"/>
    <w:rsid w:val="00E3480A"/>
    <w:rsid w:val="00E3550D"/>
    <w:rsid w:val="00E36EBE"/>
    <w:rsid w:val="00E37247"/>
    <w:rsid w:val="00E373F0"/>
    <w:rsid w:val="00E37894"/>
    <w:rsid w:val="00E37957"/>
    <w:rsid w:val="00E37F51"/>
    <w:rsid w:val="00E37FA9"/>
    <w:rsid w:val="00E4070F"/>
    <w:rsid w:val="00E408D3"/>
    <w:rsid w:val="00E40BC4"/>
    <w:rsid w:val="00E40C8A"/>
    <w:rsid w:val="00E41335"/>
    <w:rsid w:val="00E415B5"/>
    <w:rsid w:val="00E4179A"/>
    <w:rsid w:val="00E41936"/>
    <w:rsid w:val="00E42165"/>
    <w:rsid w:val="00E4266D"/>
    <w:rsid w:val="00E42870"/>
    <w:rsid w:val="00E42B9D"/>
    <w:rsid w:val="00E42FCD"/>
    <w:rsid w:val="00E434B2"/>
    <w:rsid w:val="00E4355D"/>
    <w:rsid w:val="00E43A2E"/>
    <w:rsid w:val="00E45643"/>
    <w:rsid w:val="00E45D5A"/>
    <w:rsid w:val="00E46601"/>
    <w:rsid w:val="00E467B9"/>
    <w:rsid w:val="00E46B2F"/>
    <w:rsid w:val="00E473C2"/>
    <w:rsid w:val="00E473EE"/>
    <w:rsid w:val="00E476C1"/>
    <w:rsid w:val="00E47A34"/>
    <w:rsid w:val="00E50391"/>
    <w:rsid w:val="00E50F24"/>
    <w:rsid w:val="00E516A3"/>
    <w:rsid w:val="00E52335"/>
    <w:rsid w:val="00E52C7F"/>
    <w:rsid w:val="00E52D41"/>
    <w:rsid w:val="00E538AC"/>
    <w:rsid w:val="00E5401E"/>
    <w:rsid w:val="00E54982"/>
    <w:rsid w:val="00E54ED2"/>
    <w:rsid w:val="00E55251"/>
    <w:rsid w:val="00E55DD7"/>
    <w:rsid w:val="00E561DA"/>
    <w:rsid w:val="00E564B9"/>
    <w:rsid w:val="00E56B05"/>
    <w:rsid w:val="00E56B3E"/>
    <w:rsid w:val="00E56F07"/>
    <w:rsid w:val="00E5774F"/>
    <w:rsid w:val="00E6088E"/>
    <w:rsid w:val="00E608C7"/>
    <w:rsid w:val="00E60B86"/>
    <w:rsid w:val="00E614E0"/>
    <w:rsid w:val="00E61E3D"/>
    <w:rsid w:val="00E624AB"/>
    <w:rsid w:val="00E62684"/>
    <w:rsid w:val="00E627CA"/>
    <w:rsid w:val="00E62B4F"/>
    <w:rsid w:val="00E62FF4"/>
    <w:rsid w:val="00E63612"/>
    <w:rsid w:val="00E63DDA"/>
    <w:rsid w:val="00E6416A"/>
    <w:rsid w:val="00E64627"/>
    <w:rsid w:val="00E6475E"/>
    <w:rsid w:val="00E648FA"/>
    <w:rsid w:val="00E64F78"/>
    <w:rsid w:val="00E66188"/>
    <w:rsid w:val="00E6692E"/>
    <w:rsid w:val="00E669D5"/>
    <w:rsid w:val="00E66A8A"/>
    <w:rsid w:val="00E66BC7"/>
    <w:rsid w:val="00E67096"/>
    <w:rsid w:val="00E67785"/>
    <w:rsid w:val="00E67C7D"/>
    <w:rsid w:val="00E67D45"/>
    <w:rsid w:val="00E67E49"/>
    <w:rsid w:val="00E70193"/>
    <w:rsid w:val="00E701D4"/>
    <w:rsid w:val="00E704C0"/>
    <w:rsid w:val="00E70D1F"/>
    <w:rsid w:val="00E70F5B"/>
    <w:rsid w:val="00E713B3"/>
    <w:rsid w:val="00E717F9"/>
    <w:rsid w:val="00E71835"/>
    <w:rsid w:val="00E71918"/>
    <w:rsid w:val="00E72043"/>
    <w:rsid w:val="00E7307C"/>
    <w:rsid w:val="00E7307D"/>
    <w:rsid w:val="00E73B09"/>
    <w:rsid w:val="00E73F7F"/>
    <w:rsid w:val="00E759CA"/>
    <w:rsid w:val="00E760AB"/>
    <w:rsid w:val="00E76361"/>
    <w:rsid w:val="00E76919"/>
    <w:rsid w:val="00E76FF0"/>
    <w:rsid w:val="00E80335"/>
    <w:rsid w:val="00E80440"/>
    <w:rsid w:val="00E80C4C"/>
    <w:rsid w:val="00E80EBF"/>
    <w:rsid w:val="00E80F25"/>
    <w:rsid w:val="00E8120A"/>
    <w:rsid w:val="00E814CF"/>
    <w:rsid w:val="00E816AE"/>
    <w:rsid w:val="00E81A84"/>
    <w:rsid w:val="00E8212B"/>
    <w:rsid w:val="00E825E3"/>
    <w:rsid w:val="00E8297D"/>
    <w:rsid w:val="00E82A98"/>
    <w:rsid w:val="00E84096"/>
    <w:rsid w:val="00E8520D"/>
    <w:rsid w:val="00E85409"/>
    <w:rsid w:val="00E858E4"/>
    <w:rsid w:val="00E85AE2"/>
    <w:rsid w:val="00E85B66"/>
    <w:rsid w:val="00E86595"/>
    <w:rsid w:val="00E87F64"/>
    <w:rsid w:val="00E90D36"/>
    <w:rsid w:val="00E91050"/>
    <w:rsid w:val="00E91422"/>
    <w:rsid w:val="00E916D9"/>
    <w:rsid w:val="00E91BF4"/>
    <w:rsid w:val="00E91F68"/>
    <w:rsid w:val="00E921D0"/>
    <w:rsid w:val="00E9225D"/>
    <w:rsid w:val="00E9250E"/>
    <w:rsid w:val="00E931F1"/>
    <w:rsid w:val="00E935F8"/>
    <w:rsid w:val="00E93788"/>
    <w:rsid w:val="00E93F09"/>
    <w:rsid w:val="00E94383"/>
    <w:rsid w:val="00E94987"/>
    <w:rsid w:val="00E94AC5"/>
    <w:rsid w:val="00E95C93"/>
    <w:rsid w:val="00E95D02"/>
    <w:rsid w:val="00E964B5"/>
    <w:rsid w:val="00E966C1"/>
    <w:rsid w:val="00E96B62"/>
    <w:rsid w:val="00E971C9"/>
    <w:rsid w:val="00E973BB"/>
    <w:rsid w:val="00E976E0"/>
    <w:rsid w:val="00E97A90"/>
    <w:rsid w:val="00E97C91"/>
    <w:rsid w:val="00EA01AD"/>
    <w:rsid w:val="00EA0309"/>
    <w:rsid w:val="00EA0F95"/>
    <w:rsid w:val="00EA14A2"/>
    <w:rsid w:val="00EA14A3"/>
    <w:rsid w:val="00EA16AA"/>
    <w:rsid w:val="00EA2260"/>
    <w:rsid w:val="00EA2325"/>
    <w:rsid w:val="00EA236A"/>
    <w:rsid w:val="00EA26E4"/>
    <w:rsid w:val="00EA2889"/>
    <w:rsid w:val="00EA2CAB"/>
    <w:rsid w:val="00EA3229"/>
    <w:rsid w:val="00EA429F"/>
    <w:rsid w:val="00EA4305"/>
    <w:rsid w:val="00EA483F"/>
    <w:rsid w:val="00EA4F9E"/>
    <w:rsid w:val="00EA52DA"/>
    <w:rsid w:val="00EA6313"/>
    <w:rsid w:val="00EA63CA"/>
    <w:rsid w:val="00EA691E"/>
    <w:rsid w:val="00EA6D3B"/>
    <w:rsid w:val="00EA6D7F"/>
    <w:rsid w:val="00EA77F8"/>
    <w:rsid w:val="00EA7D84"/>
    <w:rsid w:val="00EB00AD"/>
    <w:rsid w:val="00EB0171"/>
    <w:rsid w:val="00EB095A"/>
    <w:rsid w:val="00EB0A45"/>
    <w:rsid w:val="00EB0AE8"/>
    <w:rsid w:val="00EB0D8C"/>
    <w:rsid w:val="00EB121F"/>
    <w:rsid w:val="00EB136C"/>
    <w:rsid w:val="00EB1C54"/>
    <w:rsid w:val="00EB1DFB"/>
    <w:rsid w:val="00EB1E2D"/>
    <w:rsid w:val="00EB3173"/>
    <w:rsid w:val="00EB386A"/>
    <w:rsid w:val="00EB39A2"/>
    <w:rsid w:val="00EB3BE6"/>
    <w:rsid w:val="00EB417D"/>
    <w:rsid w:val="00EB47AA"/>
    <w:rsid w:val="00EB480E"/>
    <w:rsid w:val="00EB493C"/>
    <w:rsid w:val="00EB4B99"/>
    <w:rsid w:val="00EB4E45"/>
    <w:rsid w:val="00EB4ECB"/>
    <w:rsid w:val="00EB55A2"/>
    <w:rsid w:val="00EB5A35"/>
    <w:rsid w:val="00EB5E49"/>
    <w:rsid w:val="00EB5EC6"/>
    <w:rsid w:val="00EB7141"/>
    <w:rsid w:val="00EB7F6B"/>
    <w:rsid w:val="00EB7FA9"/>
    <w:rsid w:val="00EB7FC9"/>
    <w:rsid w:val="00EC1680"/>
    <w:rsid w:val="00EC1841"/>
    <w:rsid w:val="00EC18ED"/>
    <w:rsid w:val="00EC18F0"/>
    <w:rsid w:val="00EC285E"/>
    <w:rsid w:val="00EC2B84"/>
    <w:rsid w:val="00EC2DA0"/>
    <w:rsid w:val="00EC2FB2"/>
    <w:rsid w:val="00EC3B3C"/>
    <w:rsid w:val="00EC49B0"/>
    <w:rsid w:val="00EC5D0E"/>
    <w:rsid w:val="00EC5DDF"/>
    <w:rsid w:val="00EC697D"/>
    <w:rsid w:val="00EC7067"/>
    <w:rsid w:val="00EC75EB"/>
    <w:rsid w:val="00ED0227"/>
    <w:rsid w:val="00ED09CF"/>
    <w:rsid w:val="00ED0D88"/>
    <w:rsid w:val="00ED0EB5"/>
    <w:rsid w:val="00ED1AAA"/>
    <w:rsid w:val="00ED26C9"/>
    <w:rsid w:val="00ED27E8"/>
    <w:rsid w:val="00ED2C90"/>
    <w:rsid w:val="00ED30C9"/>
    <w:rsid w:val="00ED3FF1"/>
    <w:rsid w:val="00ED51C9"/>
    <w:rsid w:val="00ED52B0"/>
    <w:rsid w:val="00ED558A"/>
    <w:rsid w:val="00ED5822"/>
    <w:rsid w:val="00ED5E7F"/>
    <w:rsid w:val="00ED602F"/>
    <w:rsid w:val="00ED60CD"/>
    <w:rsid w:val="00ED61A2"/>
    <w:rsid w:val="00ED6223"/>
    <w:rsid w:val="00ED64A9"/>
    <w:rsid w:val="00ED6E72"/>
    <w:rsid w:val="00ED7137"/>
    <w:rsid w:val="00ED794F"/>
    <w:rsid w:val="00ED79D2"/>
    <w:rsid w:val="00ED7DBA"/>
    <w:rsid w:val="00EE064D"/>
    <w:rsid w:val="00EE13E0"/>
    <w:rsid w:val="00EE192A"/>
    <w:rsid w:val="00EE2171"/>
    <w:rsid w:val="00EE27FA"/>
    <w:rsid w:val="00EE2925"/>
    <w:rsid w:val="00EE33BA"/>
    <w:rsid w:val="00EE435B"/>
    <w:rsid w:val="00EE44D5"/>
    <w:rsid w:val="00EE4A8D"/>
    <w:rsid w:val="00EE5646"/>
    <w:rsid w:val="00EE579D"/>
    <w:rsid w:val="00EE5CA0"/>
    <w:rsid w:val="00EE5EA8"/>
    <w:rsid w:val="00EE5F30"/>
    <w:rsid w:val="00EE622A"/>
    <w:rsid w:val="00EE63DE"/>
    <w:rsid w:val="00EE66BA"/>
    <w:rsid w:val="00EE69F7"/>
    <w:rsid w:val="00EE6A14"/>
    <w:rsid w:val="00EE6C1F"/>
    <w:rsid w:val="00EE7892"/>
    <w:rsid w:val="00EE7A76"/>
    <w:rsid w:val="00EF09AD"/>
    <w:rsid w:val="00EF1486"/>
    <w:rsid w:val="00EF148A"/>
    <w:rsid w:val="00EF16A6"/>
    <w:rsid w:val="00EF1A0A"/>
    <w:rsid w:val="00EF29D2"/>
    <w:rsid w:val="00EF31D3"/>
    <w:rsid w:val="00EF3359"/>
    <w:rsid w:val="00EF3BAB"/>
    <w:rsid w:val="00EF4465"/>
    <w:rsid w:val="00EF467B"/>
    <w:rsid w:val="00EF488B"/>
    <w:rsid w:val="00EF4BB9"/>
    <w:rsid w:val="00EF4C68"/>
    <w:rsid w:val="00EF5C2D"/>
    <w:rsid w:val="00EF5EF0"/>
    <w:rsid w:val="00EF6EAC"/>
    <w:rsid w:val="00EF71A1"/>
    <w:rsid w:val="00EF731E"/>
    <w:rsid w:val="00EF7627"/>
    <w:rsid w:val="00EF7E57"/>
    <w:rsid w:val="00F00563"/>
    <w:rsid w:val="00F00D88"/>
    <w:rsid w:val="00F0115C"/>
    <w:rsid w:val="00F014FB"/>
    <w:rsid w:val="00F0295E"/>
    <w:rsid w:val="00F02E24"/>
    <w:rsid w:val="00F03A1A"/>
    <w:rsid w:val="00F03F0F"/>
    <w:rsid w:val="00F049FC"/>
    <w:rsid w:val="00F04CFD"/>
    <w:rsid w:val="00F04D64"/>
    <w:rsid w:val="00F05971"/>
    <w:rsid w:val="00F05A92"/>
    <w:rsid w:val="00F05CBF"/>
    <w:rsid w:val="00F063BE"/>
    <w:rsid w:val="00F06CB9"/>
    <w:rsid w:val="00F10ED7"/>
    <w:rsid w:val="00F10FFA"/>
    <w:rsid w:val="00F11A65"/>
    <w:rsid w:val="00F12843"/>
    <w:rsid w:val="00F12F46"/>
    <w:rsid w:val="00F13992"/>
    <w:rsid w:val="00F140FA"/>
    <w:rsid w:val="00F1417A"/>
    <w:rsid w:val="00F1423F"/>
    <w:rsid w:val="00F14A1D"/>
    <w:rsid w:val="00F14BC3"/>
    <w:rsid w:val="00F14C87"/>
    <w:rsid w:val="00F14CA6"/>
    <w:rsid w:val="00F15687"/>
    <w:rsid w:val="00F159FD"/>
    <w:rsid w:val="00F15C02"/>
    <w:rsid w:val="00F16B30"/>
    <w:rsid w:val="00F17409"/>
    <w:rsid w:val="00F1783C"/>
    <w:rsid w:val="00F21088"/>
    <w:rsid w:val="00F21AB2"/>
    <w:rsid w:val="00F21CAB"/>
    <w:rsid w:val="00F22E28"/>
    <w:rsid w:val="00F23432"/>
    <w:rsid w:val="00F234F3"/>
    <w:rsid w:val="00F23964"/>
    <w:rsid w:val="00F24A78"/>
    <w:rsid w:val="00F24D1A"/>
    <w:rsid w:val="00F24F95"/>
    <w:rsid w:val="00F24FA9"/>
    <w:rsid w:val="00F2529B"/>
    <w:rsid w:val="00F252C5"/>
    <w:rsid w:val="00F25508"/>
    <w:rsid w:val="00F255F4"/>
    <w:rsid w:val="00F25681"/>
    <w:rsid w:val="00F25E84"/>
    <w:rsid w:val="00F2664E"/>
    <w:rsid w:val="00F268BE"/>
    <w:rsid w:val="00F269DE"/>
    <w:rsid w:val="00F26E2B"/>
    <w:rsid w:val="00F277A2"/>
    <w:rsid w:val="00F3008A"/>
    <w:rsid w:val="00F301C2"/>
    <w:rsid w:val="00F30766"/>
    <w:rsid w:val="00F31269"/>
    <w:rsid w:val="00F31896"/>
    <w:rsid w:val="00F31B88"/>
    <w:rsid w:val="00F32519"/>
    <w:rsid w:val="00F327E7"/>
    <w:rsid w:val="00F32F2A"/>
    <w:rsid w:val="00F331C3"/>
    <w:rsid w:val="00F33A54"/>
    <w:rsid w:val="00F33B19"/>
    <w:rsid w:val="00F33C11"/>
    <w:rsid w:val="00F33C58"/>
    <w:rsid w:val="00F344DC"/>
    <w:rsid w:val="00F346D4"/>
    <w:rsid w:val="00F3567F"/>
    <w:rsid w:val="00F356FE"/>
    <w:rsid w:val="00F35746"/>
    <w:rsid w:val="00F35826"/>
    <w:rsid w:val="00F35CFC"/>
    <w:rsid w:val="00F36699"/>
    <w:rsid w:val="00F36DDD"/>
    <w:rsid w:val="00F37247"/>
    <w:rsid w:val="00F37A07"/>
    <w:rsid w:val="00F401E2"/>
    <w:rsid w:val="00F41457"/>
    <w:rsid w:val="00F41480"/>
    <w:rsid w:val="00F416D8"/>
    <w:rsid w:val="00F42238"/>
    <w:rsid w:val="00F428E6"/>
    <w:rsid w:val="00F42A0F"/>
    <w:rsid w:val="00F43149"/>
    <w:rsid w:val="00F447C7"/>
    <w:rsid w:val="00F44A08"/>
    <w:rsid w:val="00F44BD5"/>
    <w:rsid w:val="00F45FFD"/>
    <w:rsid w:val="00F46007"/>
    <w:rsid w:val="00F464C1"/>
    <w:rsid w:val="00F46C98"/>
    <w:rsid w:val="00F471BB"/>
    <w:rsid w:val="00F4744A"/>
    <w:rsid w:val="00F47515"/>
    <w:rsid w:val="00F504EE"/>
    <w:rsid w:val="00F512AD"/>
    <w:rsid w:val="00F51815"/>
    <w:rsid w:val="00F51EFB"/>
    <w:rsid w:val="00F51F48"/>
    <w:rsid w:val="00F5211B"/>
    <w:rsid w:val="00F52399"/>
    <w:rsid w:val="00F523D5"/>
    <w:rsid w:val="00F526E2"/>
    <w:rsid w:val="00F52D99"/>
    <w:rsid w:val="00F5323E"/>
    <w:rsid w:val="00F53C38"/>
    <w:rsid w:val="00F53D43"/>
    <w:rsid w:val="00F546DB"/>
    <w:rsid w:val="00F554A9"/>
    <w:rsid w:val="00F56FE6"/>
    <w:rsid w:val="00F57F5A"/>
    <w:rsid w:val="00F60EC7"/>
    <w:rsid w:val="00F60FFA"/>
    <w:rsid w:val="00F614F8"/>
    <w:rsid w:val="00F62E0B"/>
    <w:rsid w:val="00F6309A"/>
    <w:rsid w:val="00F6372D"/>
    <w:rsid w:val="00F6456F"/>
    <w:rsid w:val="00F6459B"/>
    <w:rsid w:val="00F64B9A"/>
    <w:rsid w:val="00F65269"/>
    <w:rsid w:val="00F65A69"/>
    <w:rsid w:val="00F65D40"/>
    <w:rsid w:val="00F66340"/>
    <w:rsid w:val="00F668A4"/>
    <w:rsid w:val="00F668DE"/>
    <w:rsid w:val="00F66B9D"/>
    <w:rsid w:val="00F671C6"/>
    <w:rsid w:val="00F7047B"/>
    <w:rsid w:val="00F705D3"/>
    <w:rsid w:val="00F70871"/>
    <w:rsid w:val="00F70F23"/>
    <w:rsid w:val="00F7101E"/>
    <w:rsid w:val="00F716FD"/>
    <w:rsid w:val="00F71C4C"/>
    <w:rsid w:val="00F71E76"/>
    <w:rsid w:val="00F722B7"/>
    <w:rsid w:val="00F7239E"/>
    <w:rsid w:val="00F725DE"/>
    <w:rsid w:val="00F72734"/>
    <w:rsid w:val="00F728CE"/>
    <w:rsid w:val="00F72903"/>
    <w:rsid w:val="00F72958"/>
    <w:rsid w:val="00F72CC6"/>
    <w:rsid w:val="00F741A2"/>
    <w:rsid w:val="00F74B46"/>
    <w:rsid w:val="00F74F13"/>
    <w:rsid w:val="00F74F3E"/>
    <w:rsid w:val="00F755FD"/>
    <w:rsid w:val="00F761D1"/>
    <w:rsid w:val="00F76AD3"/>
    <w:rsid w:val="00F76B3C"/>
    <w:rsid w:val="00F77BB3"/>
    <w:rsid w:val="00F77CEE"/>
    <w:rsid w:val="00F77EA8"/>
    <w:rsid w:val="00F80025"/>
    <w:rsid w:val="00F80355"/>
    <w:rsid w:val="00F80628"/>
    <w:rsid w:val="00F807BA"/>
    <w:rsid w:val="00F80931"/>
    <w:rsid w:val="00F80EB2"/>
    <w:rsid w:val="00F81CB1"/>
    <w:rsid w:val="00F826F9"/>
    <w:rsid w:val="00F82D57"/>
    <w:rsid w:val="00F8318F"/>
    <w:rsid w:val="00F83674"/>
    <w:rsid w:val="00F83DD6"/>
    <w:rsid w:val="00F84496"/>
    <w:rsid w:val="00F84654"/>
    <w:rsid w:val="00F84FE2"/>
    <w:rsid w:val="00F85E7F"/>
    <w:rsid w:val="00F864AB"/>
    <w:rsid w:val="00F86849"/>
    <w:rsid w:val="00F86AA5"/>
    <w:rsid w:val="00F87C43"/>
    <w:rsid w:val="00F9043E"/>
    <w:rsid w:val="00F90782"/>
    <w:rsid w:val="00F915AE"/>
    <w:rsid w:val="00F919C9"/>
    <w:rsid w:val="00F92435"/>
    <w:rsid w:val="00F92BD5"/>
    <w:rsid w:val="00F938A0"/>
    <w:rsid w:val="00F94095"/>
    <w:rsid w:val="00F942C6"/>
    <w:rsid w:val="00F942F0"/>
    <w:rsid w:val="00F95AE8"/>
    <w:rsid w:val="00F95DBF"/>
    <w:rsid w:val="00F968AC"/>
    <w:rsid w:val="00F968EA"/>
    <w:rsid w:val="00F96CB6"/>
    <w:rsid w:val="00F975B5"/>
    <w:rsid w:val="00F9790C"/>
    <w:rsid w:val="00F97C59"/>
    <w:rsid w:val="00F97D2B"/>
    <w:rsid w:val="00FA0783"/>
    <w:rsid w:val="00FA09CE"/>
    <w:rsid w:val="00FA1793"/>
    <w:rsid w:val="00FA1A34"/>
    <w:rsid w:val="00FA1CE9"/>
    <w:rsid w:val="00FA21F5"/>
    <w:rsid w:val="00FA28A4"/>
    <w:rsid w:val="00FA2AE0"/>
    <w:rsid w:val="00FA3437"/>
    <w:rsid w:val="00FA3D9B"/>
    <w:rsid w:val="00FA45C3"/>
    <w:rsid w:val="00FA4FBD"/>
    <w:rsid w:val="00FA53E0"/>
    <w:rsid w:val="00FA652B"/>
    <w:rsid w:val="00FA685A"/>
    <w:rsid w:val="00FA7956"/>
    <w:rsid w:val="00FA7A1B"/>
    <w:rsid w:val="00FB06EF"/>
    <w:rsid w:val="00FB0790"/>
    <w:rsid w:val="00FB0C81"/>
    <w:rsid w:val="00FB0CC3"/>
    <w:rsid w:val="00FB128F"/>
    <w:rsid w:val="00FB195A"/>
    <w:rsid w:val="00FB2311"/>
    <w:rsid w:val="00FB2DA5"/>
    <w:rsid w:val="00FB36CE"/>
    <w:rsid w:val="00FB38C2"/>
    <w:rsid w:val="00FB4D40"/>
    <w:rsid w:val="00FB5291"/>
    <w:rsid w:val="00FB566A"/>
    <w:rsid w:val="00FB5E5B"/>
    <w:rsid w:val="00FB67BE"/>
    <w:rsid w:val="00FB6837"/>
    <w:rsid w:val="00FB6B6D"/>
    <w:rsid w:val="00FB70A0"/>
    <w:rsid w:val="00FB762D"/>
    <w:rsid w:val="00FC07D4"/>
    <w:rsid w:val="00FC0B67"/>
    <w:rsid w:val="00FC0DBA"/>
    <w:rsid w:val="00FC1218"/>
    <w:rsid w:val="00FC155A"/>
    <w:rsid w:val="00FC1D7D"/>
    <w:rsid w:val="00FC2200"/>
    <w:rsid w:val="00FC22B0"/>
    <w:rsid w:val="00FC2540"/>
    <w:rsid w:val="00FC29EB"/>
    <w:rsid w:val="00FC2EC8"/>
    <w:rsid w:val="00FC2FC1"/>
    <w:rsid w:val="00FC2FCF"/>
    <w:rsid w:val="00FC4296"/>
    <w:rsid w:val="00FC4378"/>
    <w:rsid w:val="00FC477A"/>
    <w:rsid w:val="00FC49BD"/>
    <w:rsid w:val="00FC4BAE"/>
    <w:rsid w:val="00FC50EA"/>
    <w:rsid w:val="00FC548E"/>
    <w:rsid w:val="00FC609E"/>
    <w:rsid w:val="00FC66F9"/>
    <w:rsid w:val="00FC7022"/>
    <w:rsid w:val="00FC788C"/>
    <w:rsid w:val="00FD00EC"/>
    <w:rsid w:val="00FD02D7"/>
    <w:rsid w:val="00FD072E"/>
    <w:rsid w:val="00FD0E43"/>
    <w:rsid w:val="00FD10C6"/>
    <w:rsid w:val="00FD140E"/>
    <w:rsid w:val="00FD19EC"/>
    <w:rsid w:val="00FD1CFB"/>
    <w:rsid w:val="00FD21F7"/>
    <w:rsid w:val="00FD2690"/>
    <w:rsid w:val="00FD2DAA"/>
    <w:rsid w:val="00FD2FAA"/>
    <w:rsid w:val="00FD3878"/>
    <w:rsid w:val="00FD3974"/>
    <w:rsid w:val="00FD439D"/>
    <w:rsid w:val="00FD4440"/>
    <w:rsid w:val="00FD4EAC"/>
    <w:rsid w:val="00FD4EB5"/>
    <w:rsid w:val="00FD5653"/>
    <w:rsid w:val="00FD6086"/>
    <w:rsid w:val="00FD659B"/>
    <w:rsid w:val="00FD7265"/>
    <w:rsid w:val="00FD731E"/>
    <w:rsid w:val="00FD75CB"/>
    <w:rsid w:val="00FD7879"/>
    <w:rsid w:val="00FD7BE1"/>
    <w:rsid w:val="00FE058A"/>
    <w:rsid w:val="00FE0DFE"/>
    <w:rsid w:val="00FE1596"/>
    <w:rsid w:val="00FE166F"/>
    <w:rsid w:val="00FE17B9"/>
    <w:rsid w:val="00FE2323"/>
    <w:rsid w:val="00FE2696"/>
    <w:rsid w:val="00FE2F1A"/>
    <w:rsid w:val="00FE40F6"/>
    <w:rsid w:val="00FE41B0"/>
    <w:rsid w:val="00FE43C2"/>
    <w:rsid w:val="00FE43EC"/>
    <w:rsid w:val="00FE4657"/>
    <w:rsid w:val="00FE4D02"/>
    <w:rsid w:val="00FE6473"/>
    <w:rsid w:val="00FE692D"/>
    <w:rsid w:val="00FE69FB"/>
    <w:rsid w:val="00FE6B2A"/>
    <w:rsid w:val="00FF0204"/>
    <w:rsid w:val="00FF0597"/>
    <w:rsid w:val="00FF0C0A"/>
    <w:rsid w:val="00FF2442"/>
    <w:rsid w:val="00FF2A94"/>
    <w:rsid w:val="00FF2A9D"/>
    <w:rsid w:val="00FF2CB5"/>
    <w:rsid w:val="00FF3566"/>
    <w:rsid w:val="00FF3AED"/>
    <w:rsid w:val="00FF4F62"/>
    <w:rsid w:val="00FF5372"/>
    <w:rsid w:val="00FF574B"/>
    <w:rsid w:val="00FF5936"/>
    <w:rsid w:val="00FF5A1E"/>
    <w:rsid w:val="00FF5FC8"/>
    <w:rsid w:val="00FF6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9481B"/>
  <w15:docId w15:val="{CDB4CFCE-F970-4EB0-9D17-FEAD83D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A41BA"/>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A41BA"/>
    <w:rPr>
      <w:sz w:val="22"/>
      <w:szCs w:val="22"/>
      <w:lang w:val="en-GB"/>
    </w:rPr>
  </w:style>
  <w:style w:type="paragraph" w:styleId="ListParagraph">
    <w:name w:val="List Paragraph"/>
    <w:aliases w:val="List of Tables"/>
    <w:basedOn w:val="Normal"/>
    <w:uiPriority w:val="34"/>
    <w:qFormat/>
    <w:rsid w:val="00960B62"/>
    <w:pPr>
      <w:ind w:left="720"/>
      <w:contextualSpacing/>
    </w:pPr>
  </w:style>
  <w:style w:type="paragraph" w:customStyle="1" w:styleId="Footer1">
    <w:name w:val="Footer1"/>
    <w:basedOn w:val="Normal"/>
    <w:rsid w:val="00960B62"/>
    <w:pPr>
      <w:widowControl w:val="0"/>
      <w:tabs>
        <w:tab w:val="center" w:pos="4320"/>
        <w:tab w:val="right" w:pos="8640"/>
        <w:tab w:val="left" w:pos="9000"/>
      </w:tabs>
      <w:spacing w:after="160" w:line="259" w:lineRule="auto"/>
      <w:jc w:val="left"/>
    </w:pPr>
    <w:rPr>
      <w:rFonts w:asciiTheme="minorHAnsi" w:eastAsiaTheme="minorHAnsi" w:hAnsiTheme="minorHAnsi" w:cstheme="minorBidi"/>
      <w:snapToGrid w:val="0"/>
      <w:sz w:val="20"/>
      <w:szCs w:val="20"/>
      <w:lang w:val="en-US"/>
    </w:rPr>
  </w:style>
  <w:style w:type="paragraph" w:styleId="FootnoteText">
    <w:name w:val="footnote text"/>
    <w:basedOn w:val="Normal"/>
    <w:link w:val="FootnoteTextChar"/>
    <w:uiPriority w:val="99"/>
    <w:unhideWhenUsed/>
    <w:rsid w:val="00297BE1"/>
    <w:rPr>
      <w:sz w:val="20"/>
      <w:szCs w:val="20"/>
    </w:rPr>
  </w:style>
  <w:style w:type="character" w:customStyle="1" w:styleId="FootnoteTextChar">
    <w:name w:val="Footnote Text Char"/>
    <w:basedOn w:val="DefaultParagraphFont"/>
    <w:link w:val="FootnoteText"/>
    <w:uiPriority w:val="99"/>
    <w:rsid w:val="00297BE1"/>
    <w:rPr>
      <w:lang w:val="en-GB"/>
    </w:rPr>
  </w:style>
  <w:style w:type="character" w:styleId="FootnoteReference">
    <w:name w:val="footnote reference"/>
    <w:basedOn w:val="DefaultParagraphFont"/>
    <w:uiPriority w:val="99"/>
    <w:unhideWhenUsed/>
    <w:rsid w:val="00297BE1"/>
    <w:rPr>
      <w:vertAlign w:val="superscript"/>
    </w:rPr>
  </w:style>
  <w:style w:type="table" w:customStyle="1" w:styleId="GridTable4-Accent12">
    <w:name w:val="Grid Table 4 - Accent 12"/>
    <w:uiPriority w:val="99"/>
    <w:rsid w:val="00FF2A94"/>
    <w:rPr>
      <w:rFonts w:eastAsia="Calibri"/>
      <w:lang w:val="hu-HU" w:eastAsia="en-C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rPr>
      <w:cantSplit/>
    </w:trPr>
    <w:tcPr>
      <w:vAlign w:val="center"/>
    </w:tc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13">
    <w:name w:val="Grid Table 4 - Accent 13"/>
    <w:basedOn w:val="TableNormal"/>
    <w:uiPriority w:val="49"/>
    <w:rsid w:val="00C46735"/>
    <w:rPr>
      <w:rFonts w:ascii="Calibri" w:eastAsia="Calibri" w:hAnsi="Calibri"/>
      <w:sz w:val="22"/>
      <w:szCs w:val="22"/>
      <w:lang w:val="es-ES"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3">
      <w:bodyDiv w:val="1"/>
      <w:marLeft w:val="0"/>
      <w:marRight w:val="0"/>
      <w:marTop w:val="0"/>
      <w:marBottom w:val="0"/>
      <w:divBdr>
        <w:top w:val="none" w:sz="0" w:space="0" w:color="auto"/>
        <w:left w:val="none" w:sz="0" w:space="0" w:color="auto"/>
        <w:bottom w:val="none" w:sz="0" w:space="0" w:color="auto"/>
        <w:right w:val="none" w:sz="0" w:space="0" w:color="auto"/>
      </w:divBdr>
    </w:div>
    <w:div w:id="404453851">
      <w:bodyDiv w:val="1"/>
      <w:marLeft w:val="0"/>
      <w:marRight w:val="0"/>
      <w:marTop w:val="0"/>
      <w:marBottom w:val="0"/>
      <w:divBdr>
        <w:top w:val="none" w:sz="0" w:space="0" w:color="auto"/>
        <w:left w:val="none" w:sz="0" w:space="0" w:color="auto"/>
        <w:bottom w:val="none" w:sz="0" w:space="0" w:color="auto"/>
        <w:right w:val="none" w:sz="0" w:space="0" w:color="auto"/>
      </w:divBdr>
    </w:div>
    <w:div w:id="838496990">
      <w:bodyDiv w:val="1"/>
      <w:marLeft w:val="0"/>
      <w:marRight w:val="0"/>
      <w:marTop w:val="0"/>
      <w:marBottom w:val="0"/>
      <w:divBdr>
        <w:top w:val="none" w:sz="0" w:space="0" w:color="auto"/>
        <w:left w:val="none" w:sz="0" w:space="0" w:color="auto"/>
        <w:bottom w:val="none" w:sz="0" w:space="0" w:color="auto"/>
        <w:right w:val="none" w:sz="0" w:space="0" w:color="auto"/>
      </w:divBdr>
    </w:div>
    <w:div w:id="175519884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UNEP/OzL.Pro/ExCom/83/44</Document_x0020_Number>
  </documentManagement>
</p:properties>
</file>

<file path=customXml/itemProps1.xml><?xml version="1.0" encoding="utf-8"?>
<ds:datastoreItem xmlns:ds="http://schemas.openxmlformats.org/officeDocument/2006/customXml" ds:itemID="{682E566F-E815-4776-B105-FEAA46C75C6B}"/>
</file>

<file path=customXml/itemProps2.xml><?xml version="1.0" encoding="utf-8"?>
<ds:datastoreItem xmlns:ds="http://schemas.openxmlformats.org/officeDocument/2006/customXml" ds:itemID="{B3C7A97A-855B-4AFA-88D2-FF554AC2C117}"/>
</file>

<file path=customXml/itemProps3.xml><?xml version="1.0" encoding="utf-8"?>
<ds:datastoreItem xmlns:ds="http://schemas.openxmlformats.org/officeDocument/2006/customXml" ds:itemID="{F62A4164-659E-4F00-ABF3-03EF0F2883D4}"/>
</file>

<file path=customXml/itemProps4.xml><?xml version="1.0" encoding="utf-8"?>
<ds:datastoreItem xmlns:ds="http://schemas.openxmlformats.org/officeDocument/2006/customXml" ds:itemID="{802F0293-7466-455D-A8B5-438EF6699127}"/>
</file>

<file path=docProps/app.xml><?xml version="1.0" encoding="utf-8"?>
<Properties xmlns="http://schemas.openxmlformats.org/officeDocument/2006/extended-properties" xmlns:vt="http://schemas.openxmlformats.org/officeDocument/2006/docPropsVTypes">
  <Template>Eec83G</Template>
  <TotalTime>1243</TotalTime>
  <Pages>20</Pages>
  <Words>8925</Words>
  <Characters>50878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Aspectos clave relacionados con las tecnologias de control del HFC-23 como subproducto </vt:lpstr>
    </vt:vector>
  </TitlesOfParts>
  <Company>UNMFS</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clave relacionados con las tecnologias de control del HFC-23 como subproducto </dc:title>
  <dc:subject>83rd</dc:subject>
  <dc:creator>Martine Chery</dc:creator>
  <dc:description>FSM</dc:description>
  <cp:lastModifiedBy>HBE</cp:lastModifiedBy>
  <cp:revision>4</cp:revision>
  <cp:lastPrinted>2019-05-08T21:29:00Z</cp:lastPrinted>
  <dcterms:created xsi:type="dcterms:W3CDTF">2019-05-11T11:26:00Z</dcterms:created>
  <dcterms:modified xsi:type="dcterms:W3CDTF">2019-05-17T22:20:00Z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UNEP/OzL.Pro/ExCom/83/44</vt:lpwstr>
  </property>
  <property fmtid="{D5CDD505-2E9C-101B-9397-08002B2CF9AE}" pid="3" name="Revision date">
    <vt:lpwstr>05/11/2019</vt:lpwstr>
  </property>
  <property fmtid="{D5CDD505-2E9C-101B-9397-08002B2CF9AE}" pid="4" name="ContentTypeId">
    <vt:lpwstr>0x010100AA786487C9FB6F4EBDAE4F9BF2BADC67</vt:lpwstr>
  </property>
</Properties>
</file>