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1D1702" w14:paraId="050603E3" w14:textId="77777777" w:rsidTr="00D768E1">
        <w:trPr>
          <w:trHeight w:val="720"/>
        </w:trPr>
        <w:tc>
          <w:tcPr>
            <w:tcW w:w="6494" w:type="dxa"/>
            <w:gridSpan w:val="2"/>
            <w:tcBorders>
              <w:bottom w:val="single" w:sz="18" w:space="0" w:color="auto"/>
            </w:tcBorders>
          </w:tcPr>
          <w:p w14:paraId="71F3835D" w14:textId="77777777" w:rsidR="001D1702" w:rsidRPr="00C30F43" w:rsidRDefault="001D1702" w:rsidP="00D768E1">
            <w:pPr>
              <w:rPr>
                <w:rFonts w:ascii="Univers" w:hAnsi="Univers"/>
                <w:b/>
                <w:sz w:val="28"/>
                <w:szCs w:val="28"/>
                <w:lang w:val="es-ES_tradnl"/>
              </w:rPr>
            </w:pPr>
            <w:r w:rsidRPr="00C30F43">
              <w:rPr>
                <w:rFonts w:ascii="Univers" w:hAnsi="Univers"/>
                <w:b/>
                <w:sz w:val="28"/>
                <w:szCs w:val="28"/>
                <w:lang w:val="es-ES_tradnl"/>
              </w:rPr>
              <w:t>NACIONES</w:t>
            </w:r>
          </w:p>
          <w:p w14:paraId="26037B00" w14:textId="77777777" w:rsidR="001D1702" w:rsidRPr="00C30F43" w:rsidRDefault="001D1702" w:rsidP="00D768E1">
            <w:pPr>
              <w:rPr>
                <w:rFonts w:ascii="Univers" w:hAnsi="Univers"/>
                <w:b/>
                <w:sz w:val="28"/>
                <w:szCs w:val="28"/>
                <w:lang w:val="es-ES_tradnl"/>
              </w:rPr>
            </w:pPr>
            <w:r w:rsidRPr="00C30F43">
              <w:rPr>
                <w:rFonts w:ascii="Univers" w:hAnsi="Univers"/>
                <w:b/>
                <w:sz w:val="28"/>
                <w:szCs w:val="28"/>
                <w:lang w:val="es-ES_tradnl"/>
              </w:rPr>
              <w:t>UNIDAS</w:t>
            </w:r>
          </w:p>
        </w:tc>
        <w:tc>
          <w:tcPr>
            <w:tcW w:w="4590" w:type="dxa"/>
            <w:tcBorders>
              <w:bottom w:val="single" w:sz="18" w:space="0" w:color="auto"/>
            </w:tcBorders>
          </w:tcPr>
          <w:p w14:paraId="6E927E59" w14:textId="77777777" w:rsidR="001D1702" w:rsidRPr="00C30F43" w:rsidRDefault="001D1702" w:rsidP="00D768E1">
            <w:pPr>
              <w:jc w:val="right"/>
              <w:rPr>
                <w:rFonts w:asciiTheme="minorBidi" w:hAnsiTheme="minorBidi" w:cstheme="minorBidi"/>
                <w:sz w:val="52"/>
                <w:szCs w:val="52"/>
                <w:lang w:val="es-ES_tradnl"/>
              </w:rPr>
            </w:pPr>
            <w:r w:rsidRPr="00C30F43">
              <w:rPr>
                <w:rFonts w:asciiTheme="minorBidi" w:hAnsiTheme="minorBidi" w:cstheme="minorBidi"/>
                <w:b/>
                <w:sz w:val="72"/>
                <w:lang w:val="es-ES_tradnl"/>
              </w:rPr>
              <w:t>EP</w:t>
            </w:r>
          </w:p>
        </w:tc>
      </w:tr>
      <w:tr w:rsidR="001D1702" w:rsidRPr="001C2D22" w14:paraId="3AAAC2FB" w14:textId="77777777" w:rsidTr="00D7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2CFD023" w14:textId="77777777" w:rsidR="001D1702" w:rsidRPr="00C30F43" w:rsidRDefault="001D1702" w:rsidP="00D768E1">
            <w:pPr>
              <w:spacing w:before="120"/>
              <w:rPr>
                <w:lang w:val="es-ES_tradnl"/>
              </w:rPr>
            </w:pPr>
            <w:r w:rsidRPr="00C30F43">
              <w:rPr>
                <w:noProof/>
                <w:lang w:val="en-CA" w:eastAsia="en-CA"/>
              </w:rPr>
              <w:drawing>
                <wp:anchor distT="0" distB="0" distL="114300" distR="114300" simplePos="0" relativeHeight="251659264" behindDoc="0" locked="0" layoutInCell="1" allowOverlap="1" wp14:anchorId="2F190C63" wp14:editId="6EFCFB3E">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C30F43">
              <w:rPr>
                <w:noProof/>
                <w:lang w:val="en-CA" w:eastAsia="en-CA"/>
              </w:rPr>
              <w:drawing>
                <wp:anchor distT="0" distB="0" distL="114300" distR="114300" simplePos="0" relativeHeight="251660288" behindDoc="1" locked="0" layoutInCell="0" allowOverlap="1" wp14:anchorId="7A3F6C16" wp14:editId="6E227DDA">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0970C328" w14:textId="77777777" w:rsidR="001D1702" w:rsidRPr="00C30F43" w:rsidRDefault="001D1702" w:rsidP="00D768E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p>
          <w:p w14:paraId="45FB9359" w14:textId="77777777" w:rsidR="001D1702" w:rsidRPr="00C30F43" w:rsidRDefault="001D1702" w:rsidP="00D768E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C30F43">
              <w:rPr>
                <w:rFonts w:ascii="Univers" w:hAnsi="Univers"/>
                <w:b/>
                <w:sz w:val="32"/>
                <w:lang w:val="es-ES_tradnl"/>
              </w:rPr>
              <w:t>Programa de las</w:t>
            </w:r>
          </w:p>
          <w:p w14:paraId="5F50918D" w14:textId="77777777" w:rsidR="001D1702" w:rsidRPr="00C30F43" w:rsidRDefault="001D1702" w:rsidP="00D768E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C30F43">
              <w:rPr>
                <w:rFonts w:ascii="Univers" w:hAnsi="Univers"/>
                <w:b/>
                <w:sz w:val="32"/>
                <w:lang w:val="es-ES_tradnl"/>
              </w:rPr>
              <w:t>Naciones Unidas</w:t>
            </w:r>
          </w:p>
          <w:p w14:paraId="30ECAE5B" w14:textId="77777777" w:rsidR="001D1702" w:rsidRPr="00C30F43" w:rsidRDefault="001D1702" w:rsidP="00D768E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C30F43">
              <w:rPr>
                <w:rFonts w:ascii="Univers" w:hAnsi="Univers"/>
                <w:b/>
                <w:sz w:val="32"/>
                <w:lang w:val="es-ES_tradnl"/>
              </w:rPr>
              <w:t>para el Medio Ambiente</w:t>
            </w:r>
          </w:p>
          <w:p w14:paraId="02E9B4A0" w14:textId="77777777" w:rsidR="001D1702" w:rsidRPr="00C30F43" w:rsidRDefault="001D1702" w:rsidP="00D768E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_tradnl"/>
              </w:rPr>
            </w:pPr>
          </w:p>
          <w:p w14:paraId="5AC31040" w14:textId="77777777" w:rsidR="001D1702" w:rsidRPr="00C30F43" w:rsidRDefault="001D1702" w:rsidP="00D768E1">
            <w:pPr>
              <w:spacing w:before="720"/>
              <w:ind w:left="158"/>
              <w:rPr>
                <w:lang w:val="es-ES_tradnl"/>
              </w:rPr>
            </w:pPr>
          </w:p>
        </w:tc>
        <w:tc>
          <w:tcPr>
            <w:tcW w:w="4590" w:type="dxa"/>
            <w:tcBorders>
              <w:top w:val="nil"/>
              <w:left w:val="nil"/>
              <w:bottom w:val="single" w:sz="36" w:space="0" w:color="auto"/>
              <w:right w:val="nil"/>
            </w:tcBorders>
          </w:tcPr>
          <w:p w14:paraId="085354F3" w14:textId="77777777" w:rsidR="001D1702" w:rsidRPr="00C30F43" w:rsidRDefault="001D1702" w:rsidP="00D768E1">
            <w:pPr>
              <w:rPr>
                <w:lang w:val="es-ES_tradnl"/>
              </w:rPr>
            </w:pPr>
          </w:p>
          <w:p w14:paraId="7FEEB5C1" w14:textId="77777777" w:rsidR="001D1702" w:rsidRPr="00C30F43" w:rsidRDefault="001D1702" w:rsidP="00D768E1">
            <w:pPr>
              <w:rPr>
                <w:lang w:val="es-ES_tradnl"/>
              </w:rPr>
            </w:pPr>
            <w:r w:rsidRPr="00C30F43">
              <w:rPr>
                <w:lang w:val="es-ES_tradnl"/>
              </w:rPr>
              <w:t>Distr.</w:t>
            </w:r>
          </w:p>
          <w:p w14:paraId="03BFB842" w14:textId="77777777" w:rsidR="001D1702" w:rsidRPr="00C30F43" w:rsidRDefault="001D1702" w:rsidP="00D768E1">
            <w:pPr>
              <w:rPr>
                <w:lang w:val="es-ES_tradnl"/>
              </w:rPr>
            </w:pPr>
            <w:r w:rsidRPr="00C30F43">
              <w:rPr>
                <w:lang w:val="es-ES_tradnl"/>
              </w:rPr>
              <w:t>GENERAL</w:t>
            </w:r>
          </w:p>
          <w:p w14:paraId="6D0C7B4A" w14:textId="77777777" w:rsidR="001D1702" w:rsidRPr="00C30F43" w:rsidRDefault="001D1702" w:rsidP="00D768E1">
            <w:pPr>
              <w:rPr>
                <w:lang w:val="es-ES_tradnl"/>
              </w:rPr>
            </w:pPr>
          </w:p>
          <w:p w14:paraId="12E2B262" w14:textId="77777777" w:rsidR="001D1702" w:rsidRPr="00C30F43" w:rsidRDefault="001D1702" w:rsidP="00D768E1">
            <w:pPr>
              <w:rPr>
                <w:lang w:val="es-ES_tradnl"/>
              </w:rPr>
            </w:pPr>
            <w:r w:rsidRPr="00C30F43">
              <w:rPr>
                <w:lang w:val="es-ES_tradnl"/>
              </w:rPr>
              <w:fldChar w:fldCharType="begin"/>
            </w:r>
            <w:r w:rsidRPr="00C30F43">
              <w:rPr>
                <w:lang w:val="es-ES_tradnl"/>
              </w:rPr>
              <w:instrText xml:space="preserve"> DOCPROPERTY "Document number"  \* MERGEFORMAT </w:instrText>
            </w:r>
            <w:r w:rsidRPr="00C30F43">
              <w:rPr>
                <w:lang w:val="es-ES_tradnl"/>
              </w:rPr>
              <w:fldChar w:fldCharType="separate"/>
            </w:r>
            <w:r w:rsidRPr="00C30F43">
              <w:rPr>
                <w:lang w:val="es-ES_tradnl"/>
              </w:rPr>
              <w:t>UNEP/OzL.Pro/ExCom/83/43</w:t>
            </w:r>
            <w:r w:rsidRPr="00C30F43">
              <w:rPr>
                <w:lang w:val="es-ES_tradnl"/>
              </w:rPr>
              <w:fldChar w:fldCharType="end"/>
            </w:r>
          </w:p>
          <w:p w14:paraId="1DE20DAE" w14:textId="7D20E802" w:rsidR="001D1702" w:rsidRPr="00C30F43" w:rsidRDefault="001718C7" w:rsidP="00D768E1">
            <w:pPr>
              <w:rPr>
                <w:caps/>
                <w:lang w:val="es-ES_tradnl"/>
              </w:rPr>
            </w:pPr>
            <w:r w:rsidRPr="00C30F43">
              <w:rPr>
                <w:lang w:val="es-ES_tradnl"/>
              </w:rPr>
              <w:t>18 de abril de 2019</w:t>
            </w:r>
          </w:p>
          <w:p w14:paraId="043388E8" w14:textId="77777777" w:rsidR="001D1702" w:rsidRPr="00C30F43" w:rsidRDefault="001D1702" w:rsidP="00D768E1">
            <w:pPr>
              <w:rPr>
                <w:caps/>
                <w:lang w:val="es-ES_tradnl"/>
              </w:rPr>
            </w:pPr>
          </w:p>
          <w:p w14:paraId="09B8A273" w14:textId="77777777" w:rsidR="00B97F67" w:rsidRDefault="001D1702" w:rsidP="00D768E1">
            <w:pPr>
              <w:rPr>
                <w:lang w:val="es-ES_tradnl"/>
              </w:rPr>
            </w:pPr>
            <w:r w:rsidRPr="00C30F43">
              <w:rPr>
                <w:lang w:val="es-ES_tradnl"/>
              </w:rPr>
              <w:t>ESPAÑOL</w:t>
            </w:r>
          </w:p>
          <w:p w14:paraId="57AD9E9D" w14:textId="64040820" w:rsidR="001D1702" w:rsidRPr="00C30F43" w:rsidRDefault="001D1702" w:rsidP="00D768E1">
            <w:pPr>
              <w:rPr>
                <w:lang w:val="es-ES_tradnl"/>
              </w:rPr>
            </w:pPr>
            <w:r w:rsidRPr="00C30F43">
              <w:rPr>
                <w:lang w:val="es-ES_tradnl"/>
              </w:rPr>
              <w:t>ORIGINAL: INGLÉS</w:t>
            </w:r>
          </w:p>
        </w:tc>
      </w:tr>
    </w:tbl>
    <w:p w14:paraId="4406D7C6" w14:textId="77777777" w:rsidR="001D1702" w:rsidRDefault="001D1702" w:rsidP="001D1702">
      <w:pPr>
        <w:jc w:val="left"/>
        <w:rPr>
          <w:lang w:val="es-MX"/>
        </w:rPr>
      </w:pPr>
    </w:p>
    <w:p w14:paraId="5590906F" w14:textId="3A179D90" w:rsidR="001D1702" w:rsidRDefault="001D1702" w:rsidP="001D1702">
      <w:pPr>
        <w:jc w:val="left"/>
        <w:rPr>
          <w:lang w:val="es-MX"/>
        </w:rPr>
      </w:pPr>
      <w:r>
        <w:rPr>
          <w:lang w:val="es-MX"/>
        </w:rPr>
        <w:t>COMITÉ EJECUTIVO DEL FONDO MULTILATERAL</w:t>
      </w:r>
      <w:r>
        <w:rPr>
          <w:lang w:val="es-MX"/>
        </w:rPr>
        <w:br/>
      </w:r>
      <w:r w:rsidR="009D564F">
        <w:rPr>
          <w:lang w:val="es-MX"/>
        </w:rPr>
        <w:t xml:space="preserve"> </w:t>
      </w:r>
      <w:r>
        <w:rPr>
          <w:lang w:val="es-MX"/>
        </w:rPr>
        <w:t>PARA LA APLICACIÓN DEL</w:t>
      </w:r>
      <w:r>
        <w:rPr>
          <w:lang w:val="es-MX"/>
        </w:rPr>
        <w:br/>
      </w:r>
      <w:r w:rsidR="009D564F">
        <w:rPr>
          <w:lang w:val="es-MX"/>
        </w:rPr>
        <w:t xml:space="preserve"> </w:t>
      </w:r>
      <w:r>
        <w:rPr>
          <w:lang w:val="es-MX"/>
        </w:rPr>
        <w:t>PROTOCOLO DE MONTREAL</w:t>
      </w:r>
    </w:p>
    <w:p w14:paraId="54424F9C" w14:textId="73AAE0A3" w:rsidR="00FF6784" w:rsidRPr="00932F5A" w:rsidRDefault="001D1702" w:rsidP="001D1702">
      <w:pPr>
        <w:jc w:val="left"/>
        <w:rPr>
          <w:lang w:val="es-ES_tradnl"/>
        </w:rPr>
      </w:pPr>
      <w:r>
        <w:rPr>
          <w:lang w:val="es-ES"/>
        </w:rPr>
        <w:t>Octogésima</w:t>
      </w:r>
      <w:r w:rsidR="00403851">
        <w:rPr>
          <w:lang w:val="es-ES"/>
        </w:rPr>
        <w:t xml:space="preserve"> tercera Reunión</w:t>
      </w:r>
      <w:r w:rsidR="00403851">
        <w:rPr>
          <w:lang w:val="es-ES"/>
        </w:rPr>
        <w:br/>
        <w:t>Montreal, 27-</w:t>
      </w:r>
      <w:r>
        <w:rPr>
          <w:lang w:val="es-ES"/>
        </w:rPr>
        <w:t>31 de mayo de 2019</w:t>
      </w:r>
    </w:p>
    <w:p w14:paraId="3C9CBEF3" w14:textId="4E4B5F10" w:rsidR="00EE66BA" w:rsidRDefault="00EE66BA" w:rsidP="001C3C80">
      <w:pPr>
        <w:tabs>
          <w:tab w:val="left" w:pos="8280"/>
        </w:tabs>
        <w:rPr>
          <w:lang w:val="es-ES_tradnl"/>
        </w:rPr>
      </w:pPr>
    </w:p>
    <w:p w14:paraId="3C8AC546" w14:textId="77777777" w:rsidR="001A712A" w:rsidRPr="00932F5A" w:rsidRDefault="001A712A" w:rsidP="001C3C80">
      <w:pPr>
        <w:tabs>
          <w:tab w:val="left" w:pos="8280"/>
        </w:tabs>
        <w:rPr>
          <w:lang w:val="es-ES_tradnl"/>
        </w:rPr>
      </w:pPr>
    </w:p>
    <w:p w14:paraId="52944ECE" w14:textId="124D8356" w:rsidR="003847D9" w:rsidRPr="00932F5A" w:rsidRDefault="008D1AE7" w:rsidP="00A45122">
      <w:pPr>
        <w:tabs>
          <w:tab w:val="left" w:pos="8280"/>
        </w:tabs>
        <w:ind w:left="426" w:right="713"/>
        <w:jc w:val="center"/>
        <w:rPr>
          <w:b/>
          <w:lang w:val="es-ES_tradnl"/>
        </w:rPr>
      </w:pPr>
      <w:r w:rsidRPr="008D1AE7">
        <w:rPr>
          <w:b/>
          <w:caps/>
          <w:lang w:val="es-ES_tradnl"/>
        </w:rPr>
        <w:t>ELABORACIÓN DE DIRECTRICES SOBRE COSTOS PARA LA REDUCCIÓN DE</w:t>
      </w:r>
      <w:r w:rsidR="009458FF">
        <w:rPr>
          <w:b/>
          <w:caps/>
          <w:lang w:val="es-ES_tradnl"/>
        </w:rPr>
        <w:t xml:space="preserve"> </w:t>
      </w:r>
      <w:r w:rsidRPr="008D1AE7">
        <w:rPr>
          <w:b/>
          <w:caps/>
          <w:lang w:val="es-ES_tradnl"/>
        </w:rPr>
        <w:t>HFC EN PAÍSES DEL ARTÍCULO 5:</w:t>
      </w:r>
      <w:r w:rsidR="00EC34BF">
        <w:rPr>
          <w:b/>
          <w:caps/>
          <w:lang w:val="es-ES_tradnl"/>
        </w:rPr>
        <w:t xml:space="preserve"> </w:t>
      </w:r>
      <w:r w:rsidRPr="008D1AE7">
        <w:rPr>
          <w:b/>
          <w:caps/>
          <w:lang w:val="es-ES_tradnl"/>
        </w:rPr>
        <w:t>PROYECTO DE</w:t>
      </w:r>
      <w:r>
        <w:rPr>
          <w:b/>
          <w:caps/>
          <w:lang w:val="es-ES_tradnl"/>
        </w:rPr>
        <w:t xml:space="preserve"> CRITERIOS PARA </w:t>
      </w:r>
      <w:r w:rsidR="00A45122">
        <w:rPr>
          <w:b/>
          <w:caps/>
          <w:lang w:val="es-ES_tradnl"/>
        </w:rPr>
        <w:t>LA FINANCIA</w:t>
      </w:r>
      <w:r w:rsidR="00A45122" w:rsidRPr="008D1AE7">
        <w:rPr>
          <w:b/>
          <w:caps/>
          <w:lang w:val="es-ES_tradnl"/>
        </w:rPr>
        <w:t>CIÓN</w:t>
      </w:r>
      <w:bookmarkStart w:id="0" w:name="_GoBack"/>
      <w:bookmarkEnd w:id="0"/>
      <w:r w:rsidR="00EA5077">
        <w:rPr>
          <w:b/>
          <w:caps/>
          <w:lang w:val="es-ES_tradnl"/>
        </w:rPr>
        <w:t xml:space="preserve"> </w:t>
      </w:r>
      <w:r w:rsidR="003847D9" w:rsidRPr="00954A76">
        <w:rPr>
          <w:b/>
          <w:caps/>
          <w:lang w:val="es-ES_tradnl"/>
        </w:rPr>
        <w:t>(</w:t>
      </w:r>
      <w:r w:rsidR="00D352E8" w:rsidRPr="00954A76">
        <w:rPr>
          <w:b/>
          <w:caps/>
          <w:lang w:val="es-ES_tradnl"/>
        </w:rPr>
        <w:t>DECISIÓN</w:t>
      </w:r>
      <w:r w:rsidR="00936784" w:rsidRPr="00954A76">
        <w:rPr>
          <w:b/>
          <w:caps/>
          <w:lang w:val="es-ES_tradnl"/>
        </w:rPr>
        <w:t xml:space="preserve"> </w:t>
      </w:r>
      <w:r w:rsidR="003847D9" w:rsidRPr="00954A76">
        <w:rPr>
          <w:b/>
          <w:caps/>
          <w:lang w:val="es-ES_tradnl"/>
        </w:rPr>
        <w:t>82/84)</w:t>
      </w:r>
    </w:p>
    <w:p w14:paraId="1EA0212F" w14:textId="77777777" w:rsidR="003847D9" w:rsidRPr="00932F5A" w:rsidRDefault="003847D9" w:rsidP="003847D9">
      <w:pPr>
        <w:tabs>
          <w:tab w:val="left" w:pos="8280"/>
        </w:tabs>
        <w:rPr>
          <w:lang w:val="es-ES_tradnl"/>
        </w:rPr>
      </w:pPr>
    </w:p>
    <w:p w14:paraId="0025D495" w14:textId="58946A7C" w:rsidR="003847D9" w:rsidRPr="00932F5A" w:rsidRDefault="00FF6784" w:rsidP="003847D9">
      <w:pPr>
        <w:tabs>
          <w:tab w:val="left" w:pos="8280"/>
        </w:tabs>
        <w:rPr>
          <w:b/>
          <w:lang w:val="es-ES_tradnl"/>
        </w:rPr>
      </w:pPr>
      <w:r w:rsidRPr="00932F5A">
        <w:rPr>
          <w:b/>
          <w:lang w:val="es-ES_tradnl"/>
        </w:rPr>
        <w:t>Antecedentes</w:t>
      </w:r>
    </w:p>
    <w:p w14:paraId="4658F6B3" w14:textId="77777777" w:rsidR="003847D9" w:rsidRPr="00932F5A" w:rsidRDefault="003847D9" w:rsidP="003847D9">
      <w:pPr>
        <w:tabs>
          <w:tab w:val="left" w:pos="8280"/>
        </w:tabs>
        <w:rPr>
          <w:lang w:val="es-ES_tradnl"/>
        </w:rPr>
      </w:pPr>
    </w:p>
    <w:p w14:paraId="1B670DB0" w14:textId="01AD31AC" w:rsidR="00FF6784" w:rsidRPr="00932F5A" w:rsidRDefault="000C6C40" w:rsidP="003847D9">
      <w:pPr>
        <w:pStyle w:val="Heading1"/>
        <w:rPr>
          <w:lang w:val="es-ES_tradnl"/>
        </w:rPr>
      </w:pPr>
      <w:r>
        <w:rPr>
          <w:lang w:val="es-ES_tradnl"/>
        </w:rPr>
        <w:t>En l</w:t>
      </w:r>
      <w:r w:rsidR="00E267A5">
        <w:rPr>
          <w:lang w:val="es-ES_tradnl"/>
        </w:rPr>
        <w:t xml:space="preserve">a </w:t>
      </w:r>
      <w:r w:rsidR="00A73DEC" w:rsidRPr="00A73DEC">
        <w:rPr>
          <w:lang w:val="es-ES_tradnl"/>
        </w:rPr>
        <w:t>decisión XXVIII/2</w:t>
      </w:r>
      <w:r w:rsidR="00A73DEC">
        <w:rPr>
          <w:lang w:val="es-ES_tradnl"/>
        </w:rPr>
        <w:t xml:space="preserve">, adoptada en la </w:t>
      </w:r>
      <w:r w:rsidR="00CE3176">
        <w:rPr>
          <w:lang w:val="es-ES_tradnl"/>
        </w:rPr>
        <w:t xml:space="preserve">28ª </w:t>
      </w:r>
      <w:r w:rsidR="00667294">
        <w:rPr>
          <w:lang w:val="es-ES_tradnl"/>
        </w:rPr>
        <w:t>Reunión de las Partes</w:t>
      </w:r>
      <w:r w:rsidR="00A73DEC">
        <w:rPr>
          <w:lang w:val="es-ES_tradnl"/>
        </w:rPr>
        <w:t xml:space="preserve">, </w:t>
      </w:r>
      <w:r>
        <w:rPr>
          <w:lang w:val="es-ES_tradnl"/>
        </w:rPr>
        <w:t xml:space="preserve">se </w:t>
      </w:r>
      <w:r w:rsidR="00A73DEC">
        <w:rPr>
          <w:lang w:val="es-ES_tradnl"/>
        </w:rPr>
        <w:t>solicitó</w:t>
      </w:r>
      <w:r w:rsidR="003575B8">
        <w:rPr>
          <w:lang w:val="es-ES_tradnl"/>
        </w:rPr>
        <w:t xml:space="preserve"> al </w:t>
      </w:r>
      <w:r w:rsidR="00D352E8" w:rsidRPr="00932F5A">
        <w:rPr>
          <w:lang w:val="es-ES_tradnl"/>
        </w:rPr>
        <w:t>Comité</w:t>
      </w:r>
      <w:r w:rsidR="00936784" w:rsidRPr="00932F5A">
        <w:rPr>
          <w:lang w:val="es-ES_tradnl"/>
        </w:rPr>
        <w:t xml:space="preserve"> </w:t>
      </w:r>
      <w:r w:rsidR="003543D0" w:rsidRPr="00932F5A">
        <w:rPr>
          <w:lang w:val="es-ES_tradnl"/>
        </w:rPr>
        <w:t>Ejecutivo</w:t>
      </w:r>
      <w:r w:rsidR="00936784" w:rsidRPr="00932F5A">
        <w:rPr>
          <w:lang w:val="es-ES_tradnl"/>
        </w:rPr>
        <w:t xml:space="preserve"> </w:t>
      </w:r>
      <w:r w:rsidR="002B49E2">
        <w:rPr>
          <w:lang w:val="es-ES_tradnl"/>
        </w:rPr>
        <w:t>elaborar</w:t>
      </w:r>
      <w:r w:rsidR="00936784" w:rsidRPr="00932F5A">
        <w:rPr>
          <w:lang w:val="es-ES_tradnl"/>
        </w:rPr>
        <w:t xml:space="preserve"> </w:t>
      </w:r>
      <w:r w:rsidR="008E379B">
        <w:rPr>
          <w:lang w:val="es-ES_tradnl"/>
        </w:rPr>
        <w:t xml:space="preserve">en el lapso de </w:t>
      </w:r>
      <w:r w:rsidR="003543D0" w:rsidRPr="00932F5A">
        <w:rPr>
          <w:lang w:val="es-ES_tradnl"/>
        </w:rPr>
        <w:t>dos</w:t>
      </w:r>
      <w:r w:rsidR="00936784" w:rsidRPr="00932F5A">
        <w:rPr>
          <w:lang w:val="es-ES_tradnl"/>
        </w:rPr>
        <w:t xml:space="preserve"> </w:t>
      </w:r>
      <w:r w:rsidR="00762C85" w:rsidRPr="00932F5A">
        <w:rPr>
          <w:lang w:val="es-ES_tradnl"/>
        </w:rPr>
        <w:t>años</w:t>
      </w:r>
      <w:r w:rsidR="00936784" w:rsidRPr="00932F5A">
        <w:rPr>
          <w:lang w:val="es-ES_tradnl"/>
        </w:rPr>
        <w:t xml:space="preserve"> </w:t>
      </w:r>
      <w:r w:rsidR="00A669BC">
        <w:rPr>
          <w:lang w:val="es-ES_tradnl"/>
        </w:rPr>
        <w:t>las</w:t>
      </w:r>
      <w:r w:rsidR="00BB539B">
        <w:rPr>
          <w:lang w:val="es-ES_tradnl"/>
        </w:rPr>
        <w:t xml:space="preserve"> </w:t>
      </w:r>
      <w:r w:rsidR="003D10F9">
        <w:rPr>
          <w:lang w:val="es-ES_tradnl"/>
        </w:rPr>
        <w:t xml:space="preserve">directrices </w:t>
      </w:r>
      <w:r w:rsidR="00816A5F">
        <w:rPr>
          <w:lang w:val="es-ES_tradnl"/>
        </w:rPr>
        <w:t xml:space="preserve">relativas al financiamiento de </w:t>
      </w:r>
      <w:r w:rsidR="00EB43C3" w:rsidRPr="00932F5A">
        <w:rPr>
          <w:lang w:val="es-ES_tradnl"/>
        </w:rPr>
        <w:t>la</w:t>
      </w:r>
      <w:r w:rsidR="00936784" w:rsidRPr="00932F5A">
        <w:rPr>
          <w:lang w:val="es-ES_tradnl"/>
        </w:rPr>
        <w:t xml:space="preserve"> </w:t>
      </w:r>
      <w:r w:rsidR="00EB43C3" w:rsidRPr="00932F5A">
        <w:rPr>
          <w:lang w:val="es-ES_tradnl"/>
        </w:rPr>
        <w:t>reducción</w:t>
      </w:r>
      <w:r w:rsidR="00936784" w:rsidRPr="00932F5A">
        <w:rPr>
          <w:lang w:val="es-ES_tradnl"/>
        </w:rPr>
        <w:t xml:space="preserve"> </w:t>
      </w:r>
      <w:r w:rsidR="006B2EA5">
        <w:rPr>
          <w:lang w:val="es-ES_tradnl"/>
        </w:rPr>
        <w:t xml:space="preserve">en el </w:t>
      </w:r>
      <w:r w:rsidR="006B2EA5" w:rsidRPr="006B2EA5">
        <w:rPr>
          <w:lang w:val="es-ES_tradnl"/>
        </w:rPr>
        <w:t xml:space="preserve">consumo y producción </w:t>
      </w:r>
      <w:r w:rsidR="003543D0" w:rsidRPr="00932F5A">
        <w:rPr>
          <w:lang w:val="es-ES_tradnl"/>
        </w:rPr>
        <w:t>de</w:t>
      </w:r>
      <w:r w:rsidR="00936784" w:rsidRPr="00932F5A">
        <w:rPr>
          <w:lang w:val="es-ES_tradnl"/>
        </w:rPr>
        <w:t xml:space="preserve"> </w:t>
      </w:r>
      <w:r w:rsidR="00DA70A9">
        <w:rPr>
          <w:lang w:val="es-ES_tradnl"/>
        </w:rPr>
        <w:t>hidrofluorocarbonos</w:t>
      </w:r>
      <w:r w:rsidR="00936784" w:rsidRPr="00932F5A">
        <w:rPr>
          <w:lang w:val="es-ES_tradnl"/>
        </w:rPr>
        <w:t xml:space="preserve"> </w:t>
      </w:r>
      <w:r w:rsidR="003847D9" w:rsidRPr="00932F5A">
        <w:rPr>
          <w:lang w:val="es-ES_tradnl"/>
        </w:rPr>
        <w:t>(HFC),</w:t>
      </w:r>
      <w:r w:rsidR="00936784" w:rsidRPr="00932F5A">
        <w:rPr>
          <w:lang w:val="es-ES_tradnl"/>
        </w:rPr>
        <w:t xml:space="preserve"> </w:t>
      </w:r>
      <w:r w:rsidR="005E7D21" w:rsidRPr="00932F5A">
        <w:rPr>
          <w:lang w:val="es-ES_tradnl"/>
        </w:rPr>
        <w:t>incluyendo</w:t>
      </w:r>
      <w:r w:rsidR="00936784" w:rsidRPr="00932F5A">
        <w:rPr>
          <w:lang w:val="es-ES_tradnl"/>
        </w:rPr>
        <w:t xml:space="preserve"> </w:t>
      </w:r>
      <w:r w:rsidR="00236FFD">
        <w:rPr>
          <w:lang w:val="es-ES_tradnl"/>
        </w:rPr>
        <w:t>límites</w:t>
      </w:r>
      <w:r w:rsidR="00726447">
        <w:rPr>
          <w:lang w:val="es-ES_tradnl"/>
        </w:rPr>
        <w:t xml:space="preserve"> costo-beneficio</w:t>
      </w:r>
      <w:r w:rsidR="008415A2">
        <w:rPr>
          <w:lang w:val="es-ES_tradnl"/>
        </w:rPr>
        <w:t xml:space="preserve">, </w:t>
      </w:r>
      <w:r w:rsidR="00EB43C3" w:rsidRPr="00932F5A">
        <w:rPr>
          <w:lang w:val="es-ES_tradnl"/>
        </w:rPr>
        <w:t>y</w:t>
      </w:r>
      <w:r w:rsidR="00936784" w:rsidRPr="00932F5A">
        <w:rPr>
          <w:lang w:val="es-ES_tradnl"/>
        </w:rPr>
        <w:t xml:space="preserve"> </w:t>
      </w:r>
      <w:r w:rsidR="00BC57EE">
        <w:rPr>
          <w:lang w:val="es-ES_tradnl"/>
        </w:rPr>
        <w:t>presentar</w:t>
      </w:r>
      <w:r w:rsidR="00974291">
        <w:rPr>
          <w:lang w:val="es-ES_tradnl"/>
        </w:rPr>
        <w:t>las</w:t>
      </w:r>
      <w:r w:rsidR="00BC57EE">
        <w:rPr>
          <w:lang w:val="es-ES_tradnl"/>
        </w:rPr>
        <w:t xml:space="preserve"> </w:t>
      </w:r>
      <w:r w:rsidR="00EB43C3" w:rsidRPr="00932F5A">
        <w:rPr>
          <w:lang w:val="es-ES_tradnl"/>
        </w:rPr>
        <w:t>a</w:t>
      </w:r>
      <w:r w:rsidR="00936784" w:rsidRPr="00932F5A">
        <w:rPr>
          <w:lang w:val="es-ES_tradnl"/>
        </w:rPr>
        <w:t xml:space="preserve"> </w:t>
      </w:r>
      <w:r w:rsidR="00EB43C3" w:rsidRPr="00932F5A">
        <w:rPr>
          <w:lang w:val="es-ES_tradnl"/>
        </w:rPr>
        <w:t>la</w:t>
      </w:r>
      <w:r w:rsidR="00936784" w:rsidRPr="00932F5A">
        <w:rPr>
          <w:lang w:val="es-ES_tradnl"/>
        </w:rPr>
        <w:t xml:space="preserve"> </w:t>
      </w:r>
      <w:r w:rsidR="00667294">
        <w:rPr>
          <w:lang w:val="es-ES_tradnl"/>
        </w:rPr>
        <w:t>Reunión de las Partes</w:t>
      </w:r>
      <w:r w:rsidR="00936784" w:rsidRPr="00932F5A">
        <w:rPr>
          <w:lang w:val="es-ES_tradnl"/>
        </w:rPr>
        <w:t xml:space="preserve"> </w:t>
      </w:r>
      <w:r w:rsidR="0035391B">
        <w:rPr>
          <w:lang w:val="es-ES_tradnl"/>
        </w:rPr>
        <w:t xml:space="preserve">para su análisis </w:t>
      </w:r>
      <w:r w:rsidR="00BB7BA9">
        <w:rPr>
          <w:lang w:val="es-ES_tradnl"/>
        </w:rPr>
        <w:t xml:space="preserve">y </w:t>
      </w:r>
      <w:r w:rsidR="00BB7BA9" w:rsidRPr="00BB7BA9">
        <w:rPr>
          <w:lang w:val="es-ES_tradnl"/>
        </w:rPr>
        <w:t xml:space="preserve">consideración </w:t>
      </w:r>
      <w:r w:rsidR="00CE5B39">
        <w:rPr>
          <w:lang w:val="es-ES_tradnl"/>
        </w:rPr>
        <w:t>previ</w:t>
      </w:r>
      <w:r w:rsidR="00325692">
        <w:rPr>
          <w:lang w:val="es-ES_tradnl"/>
        </w:rPr>
        <w:t>a</w:t>
      </w:r>
      <w:r w:rsidR="003847D9" w:rsidRPr="00932F5A">
        <w:rPr>
          <w:lang w:val="es-ES_tradnl"/>
        </w:rPr>
        <w:t>.</w:t>
      </w:r>
      <w:r w:rsidR="006100BE" w:rsidRPr="00932F5A">
        <w:rPr>
          <w:rStyle w:val="FootnoteReference"/>
          <w:lang w:val="es-ES_tradnl"/>
        </w:rPr>
        <w:footnoteReference w:id="1"/>
      </w:r>
    </w:p>
    <w:p w14:paraId="5037BF77" w14:textId="5504B82C" w:rsidR="003847D9" w:rsidRPr="00932F5A" w:rsidRDefault="00431F01" w:rsidP="003847D9">
      <w:pPr>
        <w:pStyle w:val="Heading1"/>
        <w:rPr>
          <w:lang w:val="es-ES_tradnl"/>
        </w:rPr>
      </w:pPr>
      <w:r>
        <w:rPr>
          <w:lang w:val="es-ES_tradnl"/>
        </w:rPr>
        <w:t xml:space="preserve">En </w:t>
      </w:r>
      <w:r w:rsidR="00317290">
        <w:rPr>
          <w:lang w:val="es-ES_tradnl"/>
        </w:rPr>
        <w:t>la</w:t>
      </w:r>
      <w:r>
        <w:rPr>
          <w:lang w:val="es-ES_tradnl"/>
        </w:rPr>
        <w:t xml:space="preserve"> </w:t>
      </w:r>
      <w:r w:rsidR="00272BB5" w:rsidRPr="00932F5A">
        <w:rPr>
          <w:lang w:val="es-ES_tradnl"/>
        </w:rPr>
        <w:t>30</w:t>
      </w:r>
      <w:r w:rsidR="00592E63" w:rsidRPr="00932F5A">
        <w:rPr>
          <w:lang w:val="es-ES_tradnl"/>
        </w:rPr>
        <w:t xml:space="preserve">ª </w:t>
      </w:r>
      <w:r w:rsidR="00317290">
        <w:rPr>
          <w:lang w:val="es-ES_tradnl"/>
        </w:rPr>
        <w:t>Reunión</w:t>
      </w:r>
      <w:r w:rsidR="003E2713">
        <w:rPr>
          <w:lang w:val="es-ES_tradnl"/>
        </w:rPr>
        <w:t xml:space="preserve"> </w:t>
      </w:r>
      <w:r w:rsidR="00317290">
        <w:rPr>
          <w:lang w:val="es-ES_tradnl"/>
        </w:rPr>
        <w:t xml:space="preserve">de </w:t>
      </w:r>
      <w:r>
        <w:rPr>
          <w:lang w:val="es-ES_tradnl"/>
        </w:rPr>
        <w:t>las Partes</w:t>
      </w:r>
      <w:r w:rsidR="00936784" w:rsidRPr="00932F5A">
        <w:rPr>
          <w:lang w:val="es-ES_tradnl"/>
        </w:rPr>
        <w:t xml:space="preserve"> </w:t>
      </w:r>
      <w:r w:rsidR="00317290">
        <w:rPr>
          <w:lang w:val="es-ES_tradnl"/>
        </w:rPr>
        <w:t>se solicitó</w:t>
      </w:r>
      <w:r w:rsidR="00936784" w:rsidRPr="00932F5A">
        <w:rPr>
          <w:lang w:val="es-ES_tradnl"/>
        </w:rPr>
        <w:t xml:space="preserve"> </w:t>
      </w:r>
      <w:r w:rsidR="00584915" w:rsidRPr="00932F5A">
        <w:rPr>
          <w:lang w:val="es-ES_tradnl"/>
        </w:rPr>
        <w:t>al</w:t>
      </w:r>
      <w:r w:rsidR="00936784" w:rsidRPr="00932F5A">
        <w:rPr>
          <w:lang w:val="es-ES_tradnl"/>
        </w:rPr>
        <w:t xml:space="preserve"> </w:t>
      </w:r>
      <w:r w:rsidR="00584915" w:rsidRPr="00932F5A">
        <w:rPr>
          <w:lang w:val="es-ES_tradnl"/>
        </w:rPr>
        <w:t>Comité</w:t>
      </w:r>
      <w:r w:rsidR="00936784" w:rsidRPr="00932F5A">
        <w:rPr>
          <w:lang w:val="es-ES_tradnl"/>
        </w:rPr>
        <w:t xml:space="preserve"> </w:t>
      </w:r>
      <w:r w:rsidR="003543D0" w:rsidRPr="00932F5A">
        <w:rPr>
          <w:lang w:val="es-ES_tradnl"/>
        </w:rPr>
        <w:t>Ejecutivo</w:t>
      </w:r>
      <w:r w:rsidR="00936784" w:rsidRPr="00932F5A">
        <w:rPr>
          <w:lang w:val="es-ES_tradnl"/>
        </w:rPr>
        <w:t xml:space="preserve"> </w:t>
      </w:r>
      <w:r w:rsidR="00591BF7">
        <w:rPr>
          <w:lang w:val="es-ES_tradnl"/>
        </w:rPr>
        <w:t xml:space="preserve">seguir elaborando </w:t>
      </w:r>
      <w:r w:rsidR="00CA2C4F">
        <w:rPr>
          <w:lang w:val="es-ES_tradnl"/>
        </w:rPr>
        <w:t xml:space="preserve">dichas </w:t>
      </w:r>
      <w:r w:rsidR="000310EB" w:rsidRPr="000310EB">
        <w:rPr>
          <w:lang w:val="es-ES_tradnl"/>
        </w:rPr>
        <w:t>directrices</w:t>
      </w:r>
      <w:r w:rsidR="007A338F">
        <w:rPr>
          <w:lang w:val="es-ES_tradnl"/>
        </w:rPr>
        <w:t>,</w:t>
      </w:r>
      <w:r w:rsidR="00936784" w:rsidRPr="00932F5A">
        <w:rPr>
          <w:lang w:val="es-ES_tradnl"/>
        </w:rPr>
        <w:t xml:space="preserve"> </w:t>
      </w:r>
      <w:r w:rsidR="00E30B5A">
        <w:rPr>
          <w:lang w:val="es-ES_tradnl"/>
        </w:rPr>
        <w:t xml:space="preserve">informar </w:t>
      </w:r>
      <w:r w:rsidR="0084143F">
        <w:rPr>
          <w:lang w:val="es-ES_tradnl"/>
        </w:rPr>
        <w:t xml:space="preserve">sobre el </w:t>
      </w:r>
      <w:r w:rsidR="00272BB5" w:rsidRPr="00932F5A">
        <w:rPr>
          <w:lang w:val="es-ES_tradnl"/>
        </w:rPr>
        <w:t>avance</w:t>
      </w:r>
      <w:r w:rsidR="00936784" w:rsidRPr="00932F5A">
        <w:rPr>
          <w:lang w:val="es-ES_tradnl"/>
        </w:rPr>
        <w:t xml:space="preserve"> </w:t>
      </w:r>
      <w:r w:rsidR="00BA32F6">
        <w:rPr>
          <w:lang w:val="es-ES_tradnl"/>
        </w:rPr>
        <w:t>de</w:t>
      </w:r>
      <w:r w:rsidR="00936784" w:rsidRPr="00932F5A">
        <w:rPr>
          <w:lang w:val="es-ES_tradnl"/>
        </w:rPr>
        <w:t xml:space="preserve"> </w:t>
      </w:r>
      <w:r w:rsidR="00BA32F6">
        <w:rPr>
          <w:lang w:val="es-ES_tradnl"/>
        </w:rPr>
        <w:t>los elementos</w:t>
      </w:r>
      <w:r w:rsidR="00936784" w:rsidRPr="00932F5A">
        <w:rPr>
          <w:lang w:val="es-ES_tradnl"/>
        </w:rPr>
        <w:t xml:space="preserve"> </w:t>
      </w:r>
      <w:r w:rsidR="00CC1AFD">
        <w:rPr>
          <w:lang w:val="es-ES_tradnl"/>
        </w:rPr>
        <w:t xml:space="preserve">constitutivos </w:t>
      </w:r>
      <w:r w:rsidR="005E3BE0">
        <w:rPr>
          <w:lang w:val="es-ES_tradnl"/>
        </w:rPr>
        <w:t>de las mis</w:t>
      </w:r>
      <w:r w:rsidR="003C626F">
        <w:rPr>
          <w:lang w:val="es-ES_tradnl"/>
        </w:rPr>
        <w:t xml:space="preserve">mas </w:t>
      </w:r>
      <w:r w:rsidR="00833C03">
        <w:rPr>
          <w:lang w:val="es-ES_tradnl"/>
        </w:rPr>
        <w:t xml:space="preserve">en </w:t>
      </w:r>
      <w:r w:rsidR="000D1618">
        <w:rPr>
          <w:lang w:val="es-ES_tradnl"/>
        </w:rPr>
        <w:t>su</w:t>
      </w:r>
      <w:r w:rsidR="00936784" w:rsidRPr="00932F5A">
        <w:rPr>
          <w:lang w:val="es-ES_tradnl"/>
        </w:rPr>
        <w:t xml:space="preserve"> </w:t>
      </w:r>
      <w:r w:rsidR="00017794">
        <w:rPr>
          <w:lang w:val="es-ES_tradnl"/>
        </w:rPr>
        <w:t>informe anual</w:t>
      </w:r>
      <w:r w:rsidR="00936784" w:rsidRPr="00932F5A">
        <w:rPr>
          <w:lang w:val="es-ES_tradnl"/>
        </w:rPr>
        <w:t xml:space="preserve"> </w:t>
      </w:r>
      <w:r w:rsidR="00EB43C3" w:rsidRPr="00932F5A">
        <w:rPr>
          <w:lang w:val="es-ES_tradnl"/>
        </w:rPr>
        <w:t>a</w:t>
      </w:r>
      <w:r w:rsidR="00936784" w:rsidRPr="00932F5A">
        <w:rPr>
          <w:lang w:val="es-ES_tradnl"/>
        </w:rPr>
        <w:t xml:space="preserve"> </w:t>
      </w:r>
      <w:r w:rsidR="00EB43C3" w:rsidRPr="00932F5A">
        <w:rPr>
          <w:lang w:val="es-ES_tradnl"/>
        </w:rPr>
        <w:t>la</w:t>
      </w:r>
      <w:r w:rsidR="00936784" w:rsidRPr="00932F5A">
        <w:rPr>
          <w:lang w:val="es-ES_tradnl"/>
        </w:rPr>
        <w:t xml:space="preserve"> </w:t>
      </w:r>
      <w:r w:rsidR="00667294">
        <w:rPr>
          <w:lang w:val="es-ES_tradnl"/>
        </w:rPr>
        <w:t>Reunión de las Partes</w:t>
      </w:r>
      <w:r w:rsidR="00AC141C">
        <w:rPr>
          <w:lang w:val="es-ES_tradnl"/>
        </w:rPr>
        <w:t>,</w:t>
      </w:r>
      <w:r w:rsidR="00936784" w:rsidRPr="00932F5A">
        <w:rPr>
          <w:lang w:val="es-ES_tradnl"/>
        </w:rPr>
        <w:t xml:space="preserve"> </w:t>
      </w:r>
      <w:r w:rsidR="003543D0" w:rsidRPr="00932F5A">
        <w:rPr>
          <w:lang w:val="es-ES_tradnl"/>
        </w:rPr>
        <w:t>y</w:t>
      </w:r>
      <w:r w:rsidR="00936784" w:rsidRPr="00932F5A">
        <w:rPr>
          <w:lang w:val="es-ES_tradnl"/>
        </w:rPr>
        <w:t xml:space="preserve"> </w:t>
      </w:r>
      <w:r w:rsidR="003847D9" w:rsidRPr="00932F5A">
        <w:rPr>
          <w:lang w:val="es-ES_tradnl"/>
        </w:rPr>
        <w:t>present</w:t>
      </w:r>
      <w:r w:rsidR="00421A45">
        <w:rPr>
          <w:lang w:val="es-ES_tradnl"/>
        </w:rPr>
        <w:t>ar</w:t>
      </w:r>
      <w:r w:rsidR="00936784" w:rsidRPr="00932F5A">
        <w:rPr>
          <w:lang w:val="es-ES_tradnl"/>
        </w:rPr>
        <w:t xml:space="preserve"> </w:t>
      </w:r>
      <w:r w:rsidR="00EB43C3" w:rsidRPr="00932F5A">
        <w:rPr>
          <w:lang w:val="es-ES_tradnl"/>
        </w:rPr>
        <w:t>a</w:t>
      </w:r>
      <w:r w:rsidR="00936784" w:rsidRPr="00932F5A">
        <w:rPr>
          <w:lang w:val="es-ES_tradnl"/>
        </w:rPr>
        <w:t xml:space="preserve"> </w:t>
      </w:r>
      <w:r w:rsidR="00682EFA">
        <w:rPr>
          <w:lang w:val="es-ES_tradnl"/>
        </w:rPr>
        <w:t xml:space="preserve">dicha </w:t>
      </w:r>
      <w:r w:rsidR="00667294">
        <w:rPr>
          <w:lang w:val="es-ES_tradnl"/>
        </w:rPr>
        <w:t xml:space="preserve">Reunión </w:t>
      </w:r>
      <w:r w:rsidR="00EE4615">
        <w:rPr>
          <w:lang w:val="es-ES_tradnl"/>
        </w:rPr>
        <w:t>una</w:t>
      </w:r>
      <w:r w:rsidR="006A5DCD" w:rsidRPr="006A5DCD">
        <w:rPr>
          <w:lang w:val="es-ES_tradnl"/>
        </w:rPr>
        <w:t xml:space="preserve"> </w:t>
      </w:r>
      <w:r w:rsidR="00EE4615">
        <w:rPr>
          <w:lang w:val="es-ES_tradnl"/>
        </w:rPr>
        <w:t>propuesta</w:t>
      </w:r>
      <w:r w:rsidR="006A5DCD" w:rsidRPr="006A5DCD">
        <w:rPr>
          <w:lang w:val="es-ES_tradnl"/>
        </w:rPr>
        <w:t xml:space="preserve"> </w:t>
      </w:r>
      <w:r w:rsidR="00050B42" w:rsidRPr="00050B42">
        <w:rPr>
          <w:lang w:val="es-ES_tradnl"/>
        </w:rPr>
        <w:t>para su análisis y consideración previo a su finalización</w:t>
      </w:r>
      <w:r w:rsidR="00936784" w:rsidRPr="00932F5A">
        <w:rPr>
          <w:lang w:val="es-ES_tradnl"/>
        </w:rPr>
        <w:t xml:space="preserve"> </w:t>
      </w:r>
      <w:r w:rsidR="00197A00" w:rsidRPr="00932F5A">
        <w:rPr>
          <w:lang w:val="es-ES_tradnl"/>
        </w:rPr>
        <w:t>por</w:t>
      </w:r>
      <w:r w:rsidR="00936784" w:rsidRPr="00932F5A">
        <w:rPr>
          <w:lang w:val="es-ES_tradnl"/>
        </w:rPr>
        <w:t xml:space="preserve"> </w:t>
      </w:r>
      <w:r w:rsidR="003254A9">
        <w:rPr>
          <w:lang w:val="es-ES_tradnl"/>
        </w:rPr>
        <w:t>parte d</w:t>
      </w:r>
      <w:r w:rsidR="00197A00" w:rsidRPr="00932F5A">
        <w:rPr>
          <w:lang w:val="es-ES_tradnl"/>
        </w:rPr>
        <w:t>el</w:t>
      </w:r>
      <w:r w:rsidR="00936784" w:rsidRPr="00932F5A">
        <w:rPr>
          <w:lang w:val="es-ES_tradnl"/>
        </w:rPr>
        <w:t xml:space="preserve"> </w:t>
      </w:r>
      <w:r w:rsidR="00D352E8" w:rsidRPr="00932F5A">
        <w:rPr>
          <w:lang w:val="es-ES_tradnl"/>
        </w:rPr>
        <w:t>Comité</w:t>
      </w:r>
      <w:r w:rsidR="00936784" w:rsidRPr="00932F5A">
        <w:rPr>
          <w:lang w:val="es-ES_tradnl"/>
        </w:rPr>
        <w:t xml:space="preserve"> </w:t>
      </w:r>
      <w:r w:rsidR="003543D0" w:rsidRPr="00932F5A">
        <w:rPr>
          <w:lang w:val="es-ES_tradnl"/>
        </w:rPr>
        <w:t>Ejecutivo</w:t>
      </w:r>
      <w:r w:rsidR="00936784" w:rsidRPr="00932F5A">
        <w:rPr>
          <w:lang w:val="es-ES_tradnl"/>
        </w:rPr>
        <w:t xml:space="preserve"> </w:t>
      </w:r>
      <w:r w:rsidR="003847D9" w:rsidRPr="00932F5A">
        <w:rPr>
          <w:lang w:val="es-ES_tradnl"/>
        </w:rPr>
        <w:t>(</w:t>
      </w:r>
      <w:r w:rsidR="00D352E8" w:rsidRPr="00932F5A">
        <w:rPr>
          <w:lang w:val="es-ES_tradnl"/>
        </w:rPr>
        <w:t>decisión</w:t>
      </w:r>
      <w:r w:rsidR="00936784" w:rsidRPr="00932F5A">
        <w:rPr>
          <w:lang w:val="es-ES_tradnl"/>
        </w:rPr>
        <w:t xml:space="preserve"> </w:t>
      </w:r>
      <w:r w:rsidR="003847D9" w:rsidRPr="00932F5A">
        <w:rPr>
          <w:lang w:val="es-ES_tradnl"/>
        </w:rPr>
        <w:t>XXX/4).</w:t>
      </w:r>
    </w:p>
    <w:p w14:paraId="10F90C4E" w14:textId="0E80D262" w:rsidR="00FF6784" w:rsidRPr="00932F5A" w:rsidRDefault="00730741" w:rsidP="00437CD6">
      <w:pPr>
        <w:pStyle w:val="Heading1"/>
        <w:rPr>
          <w:lang w:val="es-ES_tradnl"/>
        </w:rPr>
      </w:pPr>
      <w:r>
        <w:rPr>
          <w:lang w:val="es-ES_tradnl"/>
        </w:rPr>
        <w:t xml:space="preserve">Desde </w:t>
      </w:r>
      <w:r w:rsidR="00A4282F">
        <w:rPr>
          <w:lang w:val="es-ES_tradnl"/>
        </w:rPr>
        <w:t>la</w:t>
      </w:r>
      <w:r w:rsidR="00936784" w:rsidRPr="00932F5A">
        <w:rPr>
          <w:lang w:val="es-ES_tradnl"/>
        </w:rPr>
        <w:t xml:space="preserve"> </w:t>
      </w:r>
      <w:r w:rsidR="003847D9" w:rsidRPr="00932F5A">
        <w:rPr>
          <w:lang w:val="es-ES_tradnl"/>
        </w:rPr>
        <w:t>7</w:t>
      </w:r>
      <w:r w:rsidR="005E7D21" w:rsidRPr="00932F5A">
        <w:rPr>
          <w:lang w:val="es-ES_tradnl"/>
        </w:rPr>
        <w:t>7</w:t>
      </w:r>
      <w:r w:rsidR="005F33A5">
        <w:rPr>
          <w:lang w:val="es-ES_tradnl"/>
        </w:rPr>
        <w:t>ª reunión</w:t>
      </w:r>
      <w:r>
        <w:rPr>
          <w:lang w:val="es-ES_tradnl"/>
        </w:rPr>
        <w:t xml:space="preserve"> en adelante</w:t>
      </w:r>
      <w:r w:rsidR="00936784" w:rsidRPr="00932F5A">
        <w:rPr>
          <w:lang w:val="es-ES_tradnl"/>
        </w:rPr>
        <w:t xml:space="preserve"> </w:t>
      </w:r>
      <w:r w:rsidR="00D352E8" w:rsidRPr="00932F5A">
        <w:rPr>
          <w:lang w:val="es-ES_tradnl"/>
        </w:rPr>
        <w:t>el</w:t>
      </w:r>
      <w:r w:rsidR="00936784" w:rsidRPr="00932F5A">
        <w:rPr>
          <w:lang w:val="es-ES_tradnl"/>
        </w:rPr>
        <w:t xml:space="preserve"> </w:t>
      </w:r>
      <w:r w:rsidR="00D352E8" w:rsidRPr="00932F5A">
        <w:rPr>
          <w:lang w:val="es-ES_tradnl"/>
        </w:rPr>
        <w:t>Comité</w:t>
      </w:r>
      <w:r w:rsidR="00936784" w:rsidRPr="00932F5A">
        <w:rPr>
          <w:lang w:val="es-ES_tradnl"/>
        </w:rPr>
        <w:t xml:space="preserve"> </w:t>
      </w:r>
      <w:r w:rsidR="003543D0" w:rsidRPr="00932F5A">
        <w:rPr>
          <w:lang w:val="es-ES_tradnl"/>
        </w:rPr>
        <w:t>Ejecutivo</w:t>
      </w:r>
      <w:r w:rsidR="00936784" w:rsidRPr="00932F5A">
        <w:rPr>
          <w:lang w:val="es-ES_tradnl"/>
        </w:rPr>
        <w:t xml:space="preserve"> </w:t>
      </w:r>
      <w:r w:rsidR="00932F5A">
        <w:rPr>
          <w:lang w:val="es-ES_tradnl"/>
        </w:rPr>
        <w:t xml:space="preserve">ha </w:t>
      </w:r>
      <w:r w:rsidR="00E91535">
        <w:rPr>
          <w:lang w:val="es-ES_tradnl"/>
        </w:rPr>
        <w:t xml:space="preserve">venido </w:t>
      </w:r>
      <w:r w:rsidR="00BA63CB">
        <w:rPr>
          <w:lang w:val="es-ES_tradnl"/>
        </w:rPr>
        <w:t xml:space="preserve">debatiendo </w:t>
      </w:r>
      <w:r w:rsidR="00B837B8">
        <w:rPr>
          <w:lang w:val="es-ES_tradnl"/>
        </w:rPr>
        <w:t>materias</w:t>
      </w:r>
      <w:r w:rsidR="00692A74">
        <w:rPr>
          <w:lang w:val="es-ES_tradnl"/>
        </w:rPr>
        <w:t xml:space="preserve"> </w:t>
      </w:r>
      <w:r w:rsidR="00372109">
        <w:rPr>
          <w:lang w:val="es-ES_tradnl"/>
        </w:rPr>
        <w:t>relativa</w:t>
      </w:r>
      <w:r w:rsidR="00692A74">
        <w:rPr>
          <w:lang w:val="es-ES_tradnl"/>
        </w:rPr>
        <w:t>s</w:t>
      </w:r>
      <w:r w:rsidR="00932F5A">
        <w:rPr>
          <w:lang w:val="es-ES_tradnl"/>
        </w:rPr>
        <w:t xml:space="preserve"> a</w:t>
      </w:r>
      <w:r w:rsidR="00936784" w:rsidRPr="00932F5A">
        <w:rPr>
          <w:lang w:val="es-ES_tradnl"/>
        </w:rPr>
        <w:t xml:space="preserve"> </w:t>
      </w:r>
      <w:r w:rsidR="008B2E22" w:rsidRPr="00932F5A">
        <w:rPr>
          <w:lang w:val="es-ES_tradnl"/>
        </w:rPr>
        <w:t>la</w:t>
      </w:r>
      <w:r w:rsidR="00936784" w:rsidRPr="00932F5A">
        <w:rPr>
          <w:lang w:val="es-ES_tradnl"/>
        </w:rPr>
        <w:t xml:space="preserve"> </w:t>
      </w:r>
      <w:r w:rsidR="00EB43C3" w:rsidRPr="00932F5A">
        <w:rPr>
          <w:lang w:val="es-ES_tradnl"/>
        </w:rPr>
        <w:t>reducción</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A66CB0" w:rsidRPr="00932F5A">
        <w:rPr>
          <w:lang w:val="es-ES_tradnl"/>
        </w:rPr>
        <w:t>HFC</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5F1C91" w:rsidRPr="00932F5A">
        <w:rPr>
          <w:lang w:val="es-ES_tradnl"/>
        </w:rPr>
        <w:t>países</w:t>
      </w:r>
      <w:r w:rsidR="00936784" w:rsidRPr="00932F5A">
        <w:rPr>
          <w:lang w:val="es-ES_tradnl"/>
        </w:rPr>
        <w:t xml:space="preserve"> </w:t>
      </w:r>
      <w:r w:rsidR="005F1C91" w:rsidRPr="00932F5A">
        <w:rPr>
          <w:lang w:val="es-ES_tradnl"/>
        </w:rPr>
        <w:t>del</w:t>
      </w:r>
      <w:r w:rsidR="00936784" w:rsidRPr="00932F5A">
        <w:rPr>
          <w:lang w:val="es-ES_tradnl"/>
        </w:rPr>
        <w:t xml:space="preserve"> </w:t>
      </w:r>
      <w:r w:rsidR="005F1C91" w:rsidRPr="00932F5A">
        <w:rPr>
          <w:lang w:val="es-ES_tradnl"/>
        </w:rPr>
        <w:t>artículo</w:t>
      </w:r>
      <w:r w:rsidR="00936784" w:rsidRPr="00932F5A">
        <w:rPr>
          <w:lang w:val="es-ES_tradnl"/>
        </w:rPr>
        <w:t xml:space="preserve"> </w:t>
      </w:r>
      <w:r w:rsidR="005F1C91" w:rsidRPr="00932F5A">
        <w:rPr>
          <w:lang w:val="es-ES_tradnl"/>
        </w:rPr>
        <w:t>5</w:t>
      </w:r>
      <w:r w:rsidR="003847D9" w:rsidRPr="00932F5A">
        <w:rPr>
          <w:lang w:val="es-ES_tradnl"/>
        </w:rPr>
        <w:t>,</w:t>
      </w:r>
      <w:r w:rsidR="00936784" w:rsidRPr="00932F5A">
        <w:rPr>
          <w:lang w:val="es-ES_tradnl"/>
        </w:rPr>
        <w:t xml:space="preserve"> </w:t>
      </w:r>
      <w:r w:rsidR="00932D56">
        <w:rPr>
          <w:lang w:val="es-ES_tradnl"/>
        </w:rPr>
        <w:t>entre ella</w:t>
      </w:r>
      <w:r w:rsidR="00A27530">
        <w:rPr>
          <w:lang w:val="es-ES_tradnl"/>
        </w:rPr>
        <w:t xml:space="preserve">s </w:t>
      </w:r>
      <w:r w:rsidR="00EB43C3" w:rsidRPr="00932F5A">
        <w:rPr>
          <w:lang w:val="es-ES_tradnl"/>
        </w:rPr>
        <w:t>el</w:t>
      </w:r>
      <w:r w:rsidR="00936784" w:rsidRPr="00932F5A">
        <w:rPr>
          <w:lang w:val="es-ES_tradnl"/>
        </w:rPr>
        <w:t xml:space="preserve"> </w:t>
      </w:r>
      <w:r w:rsidR="00EB43C3" w:rsidRPr="00932F5A">
        <w:rPr>
          <w:lang w:val="es-ES_tradnl"/>
        </w:rPr>
        <w:t>desarrollo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EB43C3" w:rsidRPr="00932F5A">
        <w:rPr>
          <w:lang w:val="es-ES_tradnl"/>
        </w:rPr>
        <w:t>parámetros</w:t>
      </w:r>
      <w:r w:rsidR="00936784" w:rsidRPr="00932F5A">
        <w:rPr>
          <w:lang w:val="es-ES_tradnl"/>
        </w:rPr>
        <w:t xml:space="preserve"> </w:t>
      </w:r>
      <w:r w:rsidR="00EB43C3" w:rsidRPr="00932F5A">
        <w:rPr>
          <w:lang w:val="es-ES_tradnl"/>
        </w:rPr>
        <w:t>de</w:t>
      </w:r>
      <w:r w:rsidR="00936784" w:rsidRPr="00932F5A">
        <w:rPr>
          <w:lang w:val="es-ES_tradnl"/>
        </w:rPr>
        <w:t xml:space="preserve"> </w:t>
      </w:r>
      <w:r w:rsidR="00EB43C3" w:rsidRPr="00932F5A">
        <w:rPr>
          <w:lang w:val="es-ES_tradnl"/>
        </w:rPr>
        <w:t>costos</w:t>
      </w:r>
      <w:r w:rsidR="003847D9" w:rsidRPr="00932F5A">
        <w:rPr>
          <w:lang w:val="es-ES_tradnl"/>
        </w:rPr>
        <w:t>.</w:t>
      </w:r>
      <w:r w:rsidR="006100BE" w:rsidRPr="00932F5A">
        <w:rPr>
          <w:rStyle w:val="FootnoteReference"/>
          <w:lang w:val="es-ES_tradnl"/>
        </w:rPr>
        <w:footnoteReference w:id="2"/>
      </w:r>
      <w:r w:rsidR="00936784" w:rsidRPr="00932F5A">
        <w:rPr>
          <w:lang w:val="es-ES_tradnl"/>
        </w:rPr>
        <w:t xml:space="preserve"> </w:t>
      </w:r>
      <w:r w:rsidR="00F81C6C">
        <w:rPr>
          <w:lang w:val="es-ES_tradnl"/>
        </w:rPr>
        <w:t xml:space="preserve">En la </w:t>
      </w:r>
      <w:r w:rsidR="0076709F">
        <w:rPr>
          <w:lang w:val="es-ES_tradnl"/>
        </w:rPr>
        <w:br/>
      </w:r>
      <w:r w:rsidR="003847D9" w:rsidRPr="00932F5A">
        <w:rPr>
          <w:lang w:val="es-ES_tradnl"/>
        </w:rPr>
        <w:t>8</w:t>
      </w:r>
      <w:r w:rsidR="005E7D21" w:rsidRPr="00932F5A">
        <w:rPr>
          <w:lang w:val="es-ES_tradnl"/>
        </w:rPr>
        <w:t>2</w:t>
      </w:r>
      <w:r w:rsidR="005F33A5">
        <w:rPr>
          <w:lang w:val="es-ES_tradnl"/>
        </w:rPr>
        <w:t>ª reunión</w:t>
      </w:r>
      <w:r w:rsidR="00936784" w:rsidRPr="00932F5A">
        <w:rPr>
          <w:lang w:val="es-ES_tradnl"/>
        </w:rPr>
        <w:t xml:space="preserve"> </w:t>
      </w:r>
      <w:r w:rsidR="00D352E8" w:rsidRPr="00932F5A">
        <w:rPr>
          <w:lang w:val="es-ES_tradnl"/>
        </w:rPr>
        <w:t>el</w:t>
      </w:r>
      <w:r w:rsidR="00936784" w:rsidRPr="00932F5A">
        <w:rPr>
          <w:lang w:val="es-ES_tradnl"/>
        </w:rPr>
        <w:t xml:space="preserve"> </w:t>
      </w:r>
      <w:r w:rsidR="00D352E8" w:rsidRPr="00932F5A">
        <w:rPr>
          <w:lang w:val="es-ES_tradnl"/>
        </w:rPr>
        <w:t>Comité</w:t>
      </w:r>
      <w:r w:rsidR="00936784" w:rsidRPr="00932F5A">
        <w:rPr>
          <w:lang w:val="es-ES_tradnl"/>
        </w:rPr>
        <w:t xml:space="preserve"> </w:t>
      </w:r>
      <w:r w:rsidR="00F81C6C">
        <w:rPr>
          <w:lang w:val="es-ES_tradnl"/>
        </w:rPr>
        <w:t>adoptó</w:t>
      </w:r>
      <w:r w:rsidR="00936784" w:rsidRPr="00932F5A">
        <w:rPr>
          <w:lang w:val="es-ES_tradnl"/>
        </w:rPr>
        <w:t xml:space="preserve"> </w:t>
      </w:r>
      <w:r w:rsidR="00F81C6C">
        <w:rPr>
          <w:lang w:val="es-ES_tradnl"/>
        </w:rPr>
        <w:t>un</w:t>
      </w:r>
      <w:r w:rsidR="00320ECB" w:rsidRPr="00932F5A">
        <w:rPr>
          <w:lang w:val="es-ES_tradnl"/>
        </w:rPr>
        <w:t>a</w:t>
      </w:r>
      <w:r w:rsidR="00936784" w:rsidRPr="00932F5A">
        <w:rPr>
          <w:lang w:val="es-ES_tradnl"/>
        </w:rPr>
        <w:t xml:space="preserve"> </w:t>
      </w:r>
      <w:r w:rsidR="006D7387">
        <w:rPr>
          <w:lang w:val="es-ES_tradnl"/>
        </w:rPr>
        <w:t>plantilla preliminar</w:t>
      </w:r>
      <w:r w:rsidR="00936784" w:rsidRPr="00932F5A">
        <w:rPr>
          <w:lang w:val="es-ES_tradnl"/>
        </w:rPr>
        <w:t xml:space="preserve"> </w:t>
      </w:r>
      <w:r w:rsidR="0070769A">
        <w:rPr>
          <w:lang w:val="es-ES_tradnl"/>
        </w:rPr>
        <w:t xml:space="preserve">conteniendo el texto </w:t>
      </w:r>
      <w:r w:rsidR="00EE1F35">
        <w:rPr>
          <w:lang w:val="es-ES_tradnl"/>
        </w:rPr>
        <w:t xml:space="preserve">acordado </w:t>
      </w:r>
      <w:r w:rsidR="00197A00" w:rsidRPr="00932F5A">
        <w:rPr>
          <w:lang w:val="es-ES_tradnl"/>
        </w:rPr>
        <w:t>por</w:t>
      </w:r>
      <w:r w:rsidR="00936784" w:rsidRPr="00932F5A">
        <w:rPr>
          <w:lang w:val="es-ES_tradnl"/>
        </w:rPr>
        <w:t xml:space="preserve"> </w:t>
      </w:r>
      <w:r w:rsidR="00197A00" w:rsidRPr="00932F5A">
        <w:rPr>
          <w:lang w:val="es-ES_tradnl"/>
        </w:rPr>
        <w:t>el</w:t>
      </w:r>
      <w:r w:rsidR="00936784" w:rsidRPr="00932F5A">
        <w:rPr>
          <w:lang w:val="es-ES_tradnl"/>
        </w:rPr>
        <w:t xml:space="preserve"> </w:t>
      </w:r>
      <w:r w:rsidR="00EA4DA0" w:rsidRPr="00932F5A">
        <w:rPr>
          <w:lang w:val="es-ES_tradnl"/>
        </w:rPr>
        <w:t>Comité</w:t>
      </w:r>
      <w:r w:rsidR="00936784" w:rsidRPr="00932F5A">
        <w:rPr>
          <w:lang w:val="es-ES_tradnl"/>
        </w:rPr>
        <w:t xml:space="preserve"> </w:t>
      </w:r>
      <w:r w:rsidR="00584F12">
        <w:rPr>
          <w:lang w:val="es-ES_tradnl"/>
        </w:rPr>
        <w:t xml:space="preserve">para </w:t>
      </w:r>
      <w:r w:rsidR="00431F01">
        <w:rPr>
          <w:lang w:val="es-ES_tradnl"/>
        </w:rPr>
        <w:t>algunos</w:t>
      </w:r>
      <w:r w:rsidR="00936784" w:rsidRPr="00932F5A">
        <w:rPr>
          <w:lang w:val="es-ES_tradnl"/>
        </w:rPr>
        <w:t xml:space="preserve"> </w:t>
      </w:r>
      <w:r w:rsidR="00811496">
        <w:rPr>
          <w:lang w:val="es-ES_tradnl"/>
        </w:rPr>
        <w:t>de los elementos</w:t>
      </w:r>
      <w:r w:rsidR="00936784" w:rsidRPr="00932F5A">
        <w:rPr>
          <w:lang w:val="es-ES_tradnl"/>
        </w:rPr>
        <w:t xml:space="preserve"> </w:t>
      </w:r>
      <w:r w:rsidR="000F2C96">
        <w:rPr>
          <w:lang w:val="es-ES_tradnl"/>
        </w:rPr>
        <w:t>señalados en</w:t>
      </w:r>
      <w:r w:rsidR="00936784" w:rsidRPr="00932F5A">
        <w:rPr>
          <w:lang w:val="es-ES_tradnl"/>
        </w:rPr>
        <w:t xml:space="preserve"> </w:t>
      </w:r>
      <w:r w:rsidR="00EB43C3" w:rsidRPr="00932F5A">
        <w:rPr>
          <w:lang w:val="es-ES_tradnl"/>
        </w:rPr>
        <w:t>la</w:t>
      </w:r>
      <w:r w:rsidR="00936784" w:rsidRPr="00932F5A">
        <w:rPr>
          <w:lang w:val="es-ES_tradnl"/>
        </w:rPr>
        <w:t xml:space="preserve"> </w:t>
      </w:r>
      <w:r w:rsidR="00EB43C3" w:rsidRPr="00932F5A">
        <w:rPr>
          <w:lang w:val="es-ES_tradnl"/>
        </w:rPr>
        <w:t>decisión</w:t>
      </w:r>
      <w:r w:rsidR="00936784" w:rsidRPr="00932F5A">
        <w:rPr>
          <w:lang w:val="es-ES_tradnl"/>
        </w:rPr>
        <w:t xml:space="preserve"> </w:t>
      </w:r>
      <w:r w:rsidR="003847D9" w:rsidRPr="00932F5A">
        <w:rPr>
          <w:lang w:val="es-ES_tradnl"/>
        </w:rPr>
        <w:t>XXVIII/2.</w:t>
      </w:r>
      <w:r w:rsidR="00936784" w:rsidRPr="00932F5A">
        <w:rPr>
          <w:lang w:val="es-ES_tradnl"/>
        </w:rPr>
        <w:t xml:space="preserve"> </w:t>
      </w:r>
      <w:r w:rsidR="0017083B">
        <w:rPr>
          <w:lang w:val="es-ES_tradnl"/>
        </w:rPr>
        <w:t xml:space="preserve">De ser </w:t>
      </w:r>
      <w:r w:rsidR="0017083B" w:rsidRPr="0017083B">
        <w:rPr>
          <w:lang w:val="es-ES_tradnl"/>
        </w:rPr>
        <w:t>necesario</w:t>
      </w:r>
      <w:r w:rsidR="008A1720">
        <w:rPr>
          <w:lang w:val="es-ES_tradnl"/>
        </w:rPr>
        <w:t>, a</w:t>
      </w:r>
      <w:r w:rsidR="00C844E0">
        <w:rPr>
          <w:lang w:val="es-ES_tradnl"/>
        </w:rPr>
        <w:t xml:space="preserve"> </w:t>
      </w:r>
      <w:r w:rsidR="00D802AA">
        <w:rPr>
          <w:lang w:val="es-ES_tradnl"/>
        </w:rPr>
        <w:t xml:space="preserve">esta </w:t>
      </w:r>
      <w:r w:rsidR="00C844E0" w:rsidRPr="00C844E0">
        <w:rPr>
          <w:lang w:val="es-ES_tradnl"/>
        </w:rPr>
        <w:t xml:space="preserve">plantilla preliminar </w:t>
      </w:r>
      <w:r w:rsidR="00C844E0">
        <w:rPr>
          <w:lang w:val="es-ES_tradnl"/>
        </w:rPr>
        <w:t>s</w:t>
      </w:r>
      <w:r w:rsidR="00251347">
        <w:rPr>
          <w:lang w:val="es-ES_tradnl"/>
        </w:rPr>
        <w:t xml:space="preserve">e </w:t>
      </w:r>
      <w:r w:rsidR="00E3203A">
        <w:rPr>
          <w:lang w:val="es-ES_tradnl"/>
        </w:rPr>
        <w:t xml:space="preserve">le </w:t>
      </w:r>
      <w:r w:rsidR="00251347">
        <w:rPr>
          <w:lang w:val="es-ES_tradnl"/>
        </w:rPr>
        <w:t>podrán agregar o</w:t>
      </w:r>
      <w:r w:rsidR="0034761F">
        <w:rPr>
          <w:lang w:val="es-ES_tradnl"/>
        </w:rPr>
        <w:t>tros</w:t>
      </w:r>
      <w:r w:rsidR="00936784" w:rsidRPr="00932F5A">
        <w:rPr>
          <w:lang w:val="es-ES_tradnl"/>
        </w:rPr>
        <w:t xml:space="preserve"> </w:t>
      </w:r>
      <w:r w:rsidR="00A66CB0" w:rsidRPr="00932F5A">
        <w:rPr>
          <w:lang w:val="es-ES_tradnl"/>
        </w:rPr>
        <w:t>elementos</w:t>
      </w:r>
      <w:r w:rsidR="00936784" w:rsidRPr="00932F5A">
        <w:rPr>
          <w:lang w:val="es-ES_tradnl"/>
        </w:rPr>
        <w:t xml:space="preserve"> </w:t>
      </w:r>
      <w:r w:rsidR="00FD6051">
        <w:rPr>
          <w:lang w:val="es-ES_tradnl"/>
        </w:rPr>
        <w:t xml:space="preserve">de los </w:t>
      </w:r>
      <w:r w:rsidR="00EB43C3" w:rsidRPr="00932F5A">
        <w:rPr>
          <w:lang w:val="es-ES_tradnl"/>
        </w:rPr>
        <w:t>parámetros</w:t>
      </w:r>
      <w:r w:rsidR="00936784" w:rsidRPr="00932F5A">
        <w:rPr>
          <w:lang w:val="es-ES_tradnl"/>
        </w:rPr>
        <w:t xml:space="preserve"> </w:t>
      </w:r>
      <w:r w:rsidR="00EB43C3" w:rsidRPr="00932F5A">
        <w:rPr>
          <w:lang w:val="es-ES_tradnl"/>
        </w:rPr>
        <w:t>de</w:t>
      </w:r>
      <w:r w:rsidR="00936784" w:rsidRPr="00932F5A">
        <w:rPr>
          <w:lang w:val="es-ES_tradnl"/>
        </w:rPr>
        <w:t xml:space="preserve"> </w:t>
      </w:r>
      <w:r w:rsidR="00EB43C3" w:rsidRPr="00932F5A">
        <w:rPr>
          <w:lang w:val="es-ES_tradnl"/>
        </w:rPr>
        <w:t>costos</w:t>
      </w:r>
      <w:r w:rsidR="003847D9" w:rsidRPr="00932F5A">
        <w:rPr>
          <w:lang w:val="es-ES_tradnl"/>
        </w:rPr>
        <w:t>,</w:t>
      </w:r>
      <w:r w:rsidR="00936784" w:rsidRPr="00932F5A">
        <w:rPr>
          <w:lang w:val="es-ES_tradnl"/>
        </w:rPr>
        <w:t xml:space="preserve"> </w:t>
      </w:r>
      <w:r w:rsidR="00EB43C3" w:rsidRPr="00932F5A">
        <w:rPr>
          <w:lang w:val="es-ES_tradnl"/>
        </w:rPr>
        <w:t>de</w:t>
      </w:r>
      <w:r w:rsidR="00936784" w:rsidRPr="00932F5A">
        <w:rPr>
          <w:lang w:val="es-ES_tradnl"/>
        </w:rPr>
        <w:t xml:space="preserve"> </w:t>
      </w:r>
      <w:r w:rsidR="00EB43C3" w:rsidRPr="00932F5A">
        <w:rPr>
          <w:lang w:val="es-ES_tradnl"/>
        </w:rPr>
        <w:t>conformidad</w:t>
      </w:r>
      <w:r w:rsidR="00936784" w:rsidRPr="00932F5A">
        <w:rPr>
          <w:lang w:val="es-ES_tradnl"/>
        </w:rPr>
        <w:t xml:space="preserve"> con las decisiones </w:t>
      </w:r>
      <w:r w:rsidR="00320ECB" w:rsidRPr="00932F5A">
        <w:rPr>
          <w:lang w:val="es-ES_tradnl"/>
        </w:rPr>
        <w:t>80/76(b)</w:t>
      </w:r>
      <w:r w:rsidR="00936784" w:rsidRPr="00932F5A">
        <w:rPr>
          <w:lang w:val="es-ES_tradnl"/>
        </w:rPr>
        <w:t xml:space="preserve"> </w:t>
      </w:r>
      <w:r w:rsidR="003543D0" w:rsidRPr="00932F5A">
        <w:rPr>
          <w:lang w:val="es-ES_tradnl"/>
        </w:rPr>
        <w:t>y</w:t>
      </w:r>
      <w:r w:rsidR="00936784" w:rsidRPr="00932F5A">
        <w:rPr>
          <w:lang w:val="es-ES_tradnl"/>
        </w:rPr>
        <w:t xml:space="preserve"> </w:t>
      </w:r>
      <w:r w:rsidR="00320ECB" w:rsidRPr="00932F5A">
        <w:rPr>
          <w:lang w:val="es-ES_tradnl"/>
        </w:rPr>
        <w:t>81/67(f)</w:t>
      </w:r>
      <w:r w:rsidR="003847D9" w:rsidRPr="00932F5A">
        <w:rPr>
          <w:lang w:val="es-ES_tradnl"/>
        </w:rPr>
        <w:t>.</w:t>
      </w:r>
      <w:r w:rsidR="00936784" w:rsidRPr="00932F5A">
        <w:rPr>
          <w:lang w:val="es-ES_tradnl"/>
        </w:rPr>
        <w:t xml:space="preserve"> </w:t>
      </w:r>
      <w:r w:rsidR="00C844E0">
        <w:rPr>
          <w:lang w:val="es-ES_tradnl"/>
        </w:rPr>
        <w:t>La plantilla</w:t>
      </w:r>
      <w:r w:rsidR="006D7387">
        <w:rPr>
          <w:lang w:val="es-ES_tradnl"/>
        </w:rPr>
        <w:t xml:space="preserve"> preliminar</w:t>
      </w:r>
      <w:r w:rsidR="00936784" w:rsidRPr="00932F5A">
        <w:rPr>
          <w:lang w:val="es-ES_tradnl"/>
        </w:rPr>
        <w:t xml:space="preserve"> </w:t>
      </w:r>
      <w:r w:rsidR="00263002">
        <w:rPr>
          <w:lang w:val="es-ES_tradnl"/>
        </w:rPr>
        <w:t xml:space="preserve">consta </w:t>
      </w:r>
      <w:r w:rsidR="00936784" w:rsidRPr="00932F5A">
        <w:rPr>
          <w:lang w:val="es-ES_tradnl"/>
        </w:rPr>
        <w:t xml:space="preserve">en el Anexo </w:t>
      </w:r>
      <w:r w:rsidR="003847D9" w:rsidRPr="00932F5A">
        <w:rPr>
          <w:lang w:val="es-ES_tradnl"/>
        </w:rPr>
        <w:t>I</w:t>
      </w:r>
      <w:r w:rsidR="00936784" w:rsidRPr="00932F5A">
        <w:rPr>
          <w:lang w:val="es-ES_tradnl"/>
        </w:rPr>
        <w:t xml:space="preserve"> </w:t>
      </w:r>
      <w:r w:rsidR="00EA4DA0" w:rsidRPr="00932F5A">
        <w:rPr>
          <w:lang w:val="es-ES_tradnl"/>
        </w:rPr>
        <w:t>al</w:t>
      </w:r>
      <w:r w:rsidR="00936784" w:rsidRPr="00932F5A">
        <w:rPr>
          <w:lang w:val="es-ES_tradnl"/>
        </w:rPr>
        <w:t xml:space="preserve"> </w:t>
      </w:r>
      <w:r w:rsidR="00EA4DA0" w:rsidRPr="00932F5A">
        <w:rPr>
          <w:lang w:val="es-ES_tradnl"/>
        </w:rPr>
        <w:t>presente</w:t>
      </w:r>
      <w:r w:rsidR="00936784" w:rsidRPr="00932F5A">
        <w:rPr>
          <w:lang w:val="es-ES_tradnl"/>
        </w:rPr>
        <w:t xml:space="preserve"> </w:t>
      </w:r>
      <w:r w:rsidR="00FF6784" w:rsidRPr="00932F5A">
        <w:rPr>
          <w:lang w:val="es-ES_tradnl"/>
        </w:rPr>
        <w:t>documento</w:t>
      </w:r>
      <w:r w:rsidR="003847D9" w:rsidRPr="00932F5A">
        <w:rPr>
          <w:lang w:val="es-ES_tradnl"/>
        </w:rPr>
        <w:t>.</w:t>
      </w:r>
    </w:p>
    <w:p w14:paraId="2716D84D" w14:textId="3F940194" w:rsidR="003847D9" w:rsidRDefault="001F7622" w:rsidP="00437CD6">
      <w:pPr>
        <w:pStyle w:val="Heading1"/>
        <w:rPr>
          <w:lang w:val="es-ES_tradnl"/>
        </w:rPr>
      </w:pPr>
      <w:r>
        <w:rPr>
          <w:lang w:val="es-ES_tradnl"/>
        </w:rPr>
        <w:t>E</w:t>
      </w:r>
      <w:r w:rsidR="005668C9">
        <w:rPr>
          <w:lang w:val="es-ES_tradnl"/>
        </w:rPr>
        <w:t>n e</w:t>
      </w:r>
      <w:r>
        <w:rPr>
          <w:lang w:val="es-ES_tradnl"/>
        </w:rPr>
        <w:t xml:space="preserve">l </w:t>
      </w:r>
      <w:r w:rsidRPr="001F7622">
        <w:rPr>
          <w:lang w:val="es-ES_tradnl"/>
        </w:rPr>
        <w:t>Cuadro 1</w:t>
      </w:r>
      <w:r>
        <w:rPr>
          <w:lang w:val="es-ES_tradnl"/>
        </w:rPr>
        <w:t xml:space="preserve"> </w:t>
      </w:r>
      <w:r w:rsidR="005668C9">
        <w:rPr>
          <w:lang w:val="es-ES_tradnl"/>
        </w:rPr>
        <w:t xml:space="preserve">se </w:t>
      </w:r>
      <w:r w:rsidR="00B61A08">
        <w:rPr>
          <w:lang w:val="es-ES_tradnl"/>
        </w:rPr>
        <w:t>resume</w:t>
      </w:r>
      <w:r w:rsidR="00936784" w:rsidRPr="00932F5A">
        <w:rPr>
          <w:lang w:val="es-ES_tradnl"/>
        </w:rPr>
        <w:t xml:space="preserve"> </w:t>
      </w:r>
      <w:r w:rsidR="003E067D">
        <w:rPr>
          <w:lang w:val="es-ES_tradnl"/>
        </w:rPr>
        <w:t xml:space="preserve">el estado </w:t>
      </w:r>
      <w:r w:rsidR="002C6267">
        <w:rPr>
          <w:lang w:val="es-ES_tradnl"/>
        </w:rPr>
        <w:t xml:space="preserve">de las </w:t>
      </w:r>
      <w:r w:rsidR="002C6267" w:rsidRPr="002C6267">
        <w:rPr>
          <w:lang w:val="es-ES_tradnl"/>
        </w:rPr>
        <w:t xml:space="preserve">conversaciones </w:t>
      </w:r>
      <w:r w:rsidR="00272BB5" w:rsidRPr="00932F5A">
        <w:rPr>
          <w:lang w:val="es-ES_tradnl"/>
        </w:rPr>
        <w:t>de</w:t>
      </w:r>
      <w:r w:rsidR="00FF6784" w:rsidRPr="00932F5A">
        <w:rPr>
          <w:lang w:val="es-ES_tradnl"/>
        </w:rPr>
        <w:t>l</w:t>
      </w:r>
      <w:r w:rsidR="00936784" w:rsidRPr="00932F5A">
        <w:rPr>
          <w:lang w:val="es-ES_tradnl"/>
        </w:rPr>
        <w:t xml:space="preserve"> </w:t>
      </w:r>
      <w:r w:rsidR="00D352E8" w:rsidRPr="00932F5A">
        <w:rPr>
          <w:lang w:val="es-ES_tradnl"/>
        </w:rPr>
        <w:t>Comité</w:t>
      </w:r>
      <w:r w:rsidR="00936784" w:rsidRPr="00932F5A">
        <w:rPr>
          <w:lang w:val="es-ES_tradnl"/>
        </w:rPr>
        <w:t xml:space="preserve"> </w:t>
      </w:r>
      <w:r w:rsidR="00714D82">
        <w:rPr>
          <w:lang w:val="es-ES_tradnl"/>
        </w:rPr>
        <w:t>Ejecutivo</w:t>
      </w:r>
      <w:r w:rsidR="00936784" w:rsidRPr="00932F5A">
        <w:rPr>
          <w:lang w:val="es-ES_tradnl"/>
        </w:rPr>
        <w:t xml:space="preserve"> </w:t>
      </w:r>
      <w:r w:rsidR="00EF01D1">
        <w:rPr>
          <w:lang w:val="es-ES_tradnl"/>
        </w:rPr>
        <w:t xml:space="preserve">sobre </w:t>
      </w:r>
      <w:r w:rsidR="00BA32F6">
        <w:rPr>
          <w:lang w:val="es-ES_tradnl"/>
        </w:rPr>
        <w:t xml:space="preserve">los </w:t>
      </w:r>
      <w:r w:rsidR="00BA0B5E">
        <w:rPr>
          <w:lang w:val="es-ES_tradnl"/>
        </w:rPr>
        <w:t xml:space="preserve">elementos </w:t>
      </w:r>
      <w:r w:rsidR="00F378EA" w:rsidRPr="00F378EA">
        <w:rPr>
          <w:lang w:val="es-ES_tradnl"/>
        </w:rPr>
        <w:t xml:space="preserve">constitutivos </w:t>
      </w:r>
      <w:r w:rsidR="00BA0B5E">
        <w:rPr>
          <w:lang w:val="es-ES_tradnl"/>
        </w:rPr>
        <w:t>de los parámetros</w:t>
      </w:r>
      <w:r w:rsidR="00936784" w:rsidRPr="00932F5A">
        <w:rPr>
          <w:lang w:val="es-ES_tradnl"/>
        </w:rPr>
        <w:t xml:space="preserve"> </w:t>
      </w:r>
      <w:r w:rsidR="00EB43C3" w:rsidRPr="00932F5A">
        <w:rPr>
          <w:lang w:val="es-ES_tradnl"/>
        </w:rPr>
        <w:t>de</w:t>
      </w:r>
      <w:r w:rsidR="00936784" w:rsidRPr="00932F5A">
        <w:rPr>
          <w:lang w:val="es-ES_tradnl"/>
        </w:rPr>
        <w:t xml:space="preserve"> </w:t>
      </w:r>
      <w:r w:rsidR="00EB43C3" w:rsidRPr="00932F5A">
        <w:rPr>
          <w:lang w:val="es-ES_tradnl"/>
        </w:rPr>
        <w:t>costos</w:t>
      </w:r>
      <w:r w:rsidR="003847D9" w:rsidRPr="00932F5A">
        <w:rPr>
          <w:lang w:val="es-ES_tradnl"/>
        </w:rPr>
        <w:t>.</w:t>
      </w:r>
    </w:p>
    <w:p w14:paraId="47C157C1" w14:textId="6C2FEE16" w:rsidR="001A712A" w:rsidRPr="001A712A" w:rsidRDefault="001A712A" w:rsidP="001A712A">
      <w:pPr>
        <w:rPr>
          <w:lang w:val="es-ES_tradnl"/>
        </w:rPr>
      </w:pPr>
    </w:p>
    <w:p w14:paraId="3274C389" w14:textId="084B5E2B" w:rsidR="00437CD6" w:rsidRPr="00932F5A" w:rsidRDefault="003543D0" w:rsidP="00AE0EBB">
      <w:pPr>
        <w:keepNext/>
        <w:keepLines/>
        <w:rPr>
          <w:b/>
          <w:lang w:val="es-ES_tradnl"/>
        </w:rPr>
      </w:pPr>
      <w:r w:rsidRPr="00932F5A">
        <w:rPr>
          <w:b/>
          <w:lang w:val="es-ES_tradnl"/>
        </w:rPr>
        <w:lastRenderedPageBreak/>
        <w:t>Cuadro</w:t>
      </w:r>
      <w:r w:rsidR="00936784" w:rsidRPr="00932F5A">
        <w:rPr>
          <w:b/>
          <w:lang w:val="es-ES_tradnl"/>
        </w:rPr>
        <w:t xml:space="preserve"> </w:t>
      </w:r>
      <w:r w:rsidR="00437CD6" w:rsidRPr="00932F5A">
        <w:rPr>
          <w:b/>
          <w:lang w:val="es-ES_tradnl"/>
        </w:rPr>
        <w:t>1.</w:t>
      </w:r>
      <w:r w:rsidR="00936784" w:rsidRPr="00932F5A">
        <w:rPr>
          <w:b/>
          <w:lang w:val="es-ES_tradnl"/>
        </w:rPr>
        <w:t xml:space="preserve"> </w:t>
      </w:r>
      <w:r w:rsidR="00C92EFC">
        <w:rPr>
          <w:b/>
          <w:lang w:val="es-ES_tradnl"/>
        </w:rPr>
        <w:t>E</w:t>
      </w:r>
      <w:r w:rsidR="00BA0B5E">
        <w:rPr>
          <w:b/>
          <w:lang w:val="es-ES_tradnl"/>
        </w:rPr>
        <w:t xml:space="preserve">lementos de los </w:t>
      </w:r>
      <w:r w:rsidR="00D1550A">
        <w:rPr>
          <w:b/>
          <w:lang w:val="es-ES_tradnl"/>
        </w:rPr>
        <w:t>parámetros de</w:t>
      </w:r>
      <w:r w:rsidR="00D30E5D">
        <w:rPr>
          <w:b/>
          <w:lang w:val="es-ES_tradnl"/>
        </w:rPr>
        <w:t>l</w:t>
      </w:r>
      <w:r w:rsidR="00D1550A">
        <w:rPr>
          <w:b/>
          <w:lang w:val="es-ES_tradnl"/>
        </w:rPr>
        <w:t xml:space="preserve"> </w:t>
      </w:r>
      <w:r w:rsidR="00D30E5D">
        <w:rPr>
          <w:b/>
          <w:lang w:val="es-ES_tradnl"/>
        </w:rPr>
        <w:t>costo</w:t>
      </w:r>
      <w:r w:rsidR="00243AB6">
        <w:rPr>
          <w:b/>
          <w:lang w:val="es-ES_tradnl"/>
        </w:rPr>
        <w:t xml:space="preserve"> de reducir los HFC</w:t>
      </w:r>
      <w:r w:rsidR="00936784" w:rsidRPr="00932F5A">
        <w:rPr>
          <w:b/>
          <w:lang w:val="es-ES_tradnl"/>
        </w:rPr>
        <w:t xml:space="preserve"> </w:t>
      </w:r>
      <w:r w:rsidR="00D352E8" w:rsidRPr="00932F5A">
        <w:rPr>
          <w:b/>
          <w:lang w:val="es-ES_tradnl"/>
        </w:rPr>
        <w:t>en</w:t>
      </w:r>
      <w:r w:rsidR="00936784" w:rsidRPr="00932F5A">
        <w:rPr>
          <w:b/>
          <w:lang w:val="es-ES_tradnl"/>
        </w:rPr>
        <w:t xml:space="preserve"> </w:t>
      </w:r>
      <w:r w:rsidR="00A45DBF">
        <w:rPr>
          <w:b/>
          <w:lang w:val="es-ES_tradnl"/>
        </w:rPr>
        <w:t>p</w:t>
      </w:r>
      <w:r w:rsidR="00EA5DE0">
        <w:rPr>
          <w:b/>
          <w:lang w:val="es-ES_tradnl"/>
        </w:rPr>
        <w:t>aíses</w:t>
      </w:r>
      <w:r w:rsidR="00936784" w:rsidRPr="00932F5A">
        <w:rPr>
          <w:b/>
          <w:lang w:val="es-ES_tradnl"/>
        </w:rPr>
        <w:t xml:space="preserve"> </w:t>
      </w:r>
      <w:r w:rsidR="00EB43C3" w:rsidRPr="00932F5A">
        <w:rPr>
          <w:b/>
          <w:lang w:val="es-ES_tradnl"/>
        </w:rPr>
        <w:t>del</w:t>
      </w:r>
      <w:r w:rsidR="00936784" w:rsidRPr="00932F5A">
        <w:rPr>
          <w:b/>
          <w:lang w:val="es-ES_tradnl"/>
        </w:rPr>
        <w:t xml:space="preserve"> </w:t>
      </w:r>
      <w:r w:rsidR="00EB43C3" w:rsidRPr="00932F5A">
        <w:rPr>
          <w:b/>
          <w:lang w:val="es-ES_tradnl"/>
        </w:rPr>
        <w:t>artículo</w:t>
      </w:r>
      <w:r w:rsidR="00936784" w:rsidRPr="00932F5A">
        <w:rPr>
          <w:b/>
          <w:lang w:val="es-ES_tradnl"/>
        </w:rPr>
        <w:t xml:space="preserve"> </w:t>
      </w:r>
      <w:r w:rsidR="00EB43C3" w:rsidRPr="00932F5A">
        <w:rPr>
          <w:b/>
          <w:lang w:val="es-ES_tradnl"/>
        </w:rPr>
        <w:t>5</w:t>
      </w:r>
    </w:p>
    <w:tbl>
      <w:tblPr>
        <w:tblStyle w:val="TableGrid"/>
        <w:tblW w:w="9610" w:type="dxa"/>
        <w:tblLook w:val="04A0" w:firstRow="1" w:lastRow="0" w:firstColumn="1" w:lastColumn="0" w:noHBand="0" w:noVBand="1"/>
      </w:tblPr>
      <w:tblGrid>
        <w:gridCol w:w="3433"/>
        <w:gridCol w:w="725"/>
        <w:gridCol w:w="5452"/>
      </w:tblGrid>
      <w:tr w:rsidR="00241111" w:rsidRPr="00932F5A" w14:paraId="549BDFF4" w14:textId="77777777" w:rsidTr="007908E5">
        <w:trPr>
          <w:trHeight w:val="249"/>
          <w:tblHeader/>
        </w:trPr>
        <w:tc>
          <w:tcPr>
            <w:tcW w:w="0" w:type="auto"/>
          </w:tcPr>
          <w:p w14:paraId="447E3623" w14:textId="1E6BB8B0" w:rsidR="00437CD6" w:rsidRPr="00932F5A" w:rsidRDefault="00290522" w:rsidP="00AA29C4">
            <w:pPr>
              <w:pStyle w:val="Heading1"/>
              <w:keepNext/>
              <w:keepLines/>
              <w:numPr>
                <w:ilvl w:val="0"/>
                <w:numId w:val="0"/>
              </w:numPr>
              <w:spacing w:after="0"/>
              <w:jc w:val="left"/>
              <w:outlineLvl w:val="0"/>
              <w:rPr>
                <w:b/>
                <w:sz w:val="20"/>
                <w:szCs w:val="20"/>
                <w:lang w:val="es-ES_tradnl"/>
              </w:rPr>
            </w:pPr>
            <w:r>
              <w:rPr>
                <w:b/>
                <w:sz w:val="20"/>
                <w:szCs w:val="20"/>
                <w:lang w:val="es-ES_tradnl"/>
              </w:rPr>
              <w:t>Elemento</w:t>
            </w:r>
            <w:r w:rsidR="00936784" w:rsidRPr="00932F5A">
              <w:rPr>
                <w:b/>
                <w:sz w:val="20"/>
                <w:szCs w:val="20"/>
                <w:lang w:val="es-ES_tradnl"/>
              </w:rPr>
              <w:t xml:space="preserve"> </w:t>
            </w:r>
            <w:r w:rsidR="00EB43C3" w:rsidRPr="00932F5A">
              <w:rPr>
                <w:b/>
                <w:sz w:val="20"/>
                <w:szCs w:val="20"/>
                <w:lang w:val="es-ES_tradnl"/>
              </w:rPr>
              <w:t>de</w:t>
            </w:r>
            <w:r w:rsidR="00936784" w:rsidRPr="00932F5A">
              <w:rPr>
                <w:b/>
                <w:sz w:val="20"/>
                <w:szCs w:val="20"/>
                <w:lang w:val="es-ES_tradnl"/>
              </w:rPr>
              <w:t xml:space="preserve"> </w:t>
            </w:r>
            <w:r w:rsidR="00EB43C3" w:rsidRPr="00932F5A">
              <w:rPr>
                <w:b/>
                <w:sz w:val="20"/>
                <w:szCs w:val="20"/>
                <w:lang w:val="es-ES_tradnl"/>
              </w:rPr>
              <w:t>la</w:t>
            </w:r>
            <w:r w:rsidR="00936784" w:rsidRPr="00932F5A">
              <w:rPr>
                <w:b/>
                <w:sz w:val="20"/>
                <w:szCs w:val="20"/>
                <w:lang w:val="es-ES_tradnl"/>
              </w:rPr>
              <w:t xml:space="preserve"> </w:t>
            </w:r>
            <w:r w:rsidR="00EB43C3" w:rsidRPr="00932F5A">
              <w:rPr>
                <w:b/>
                <w:sz w:val="20"/>
                <w:szCs w:val="20"/>
                <w:lang w:val="es-ES_tradnl"/>
              </w:rPr>
              <w:t>decisión</w:t>
            </w:r>
            <w:r w:rsidR="00936784" w:rsidRPr="00932F5A">
              <w:rPr>
                <w:b/>
                <w:sz w:val="20"/>
                <w:szCs w:val="20"/>
                <w:lang w:val="es-ES_tradnl"/>
              </w:rPr>
              <w:t xml:space="preserve"> </w:t>
            </w:r>
            <w:r w:rsidR="00437CD6" w:rsidRPr="00932F5A">
              <w:rPr>
                <w:b/>
                <w:sz w:val="20"/>
                <w:szCs w:val="20"/>
                <w:lang w:val="es-ES_tradnl"/>
              </w:rPr>
              <w:t>XXVIII/2</w:t>
            </w:r>
          </w:p>
        </w:tc>
        <w:tc>
          <w:tcPr>
            <w:tcW w:w="0" w:type="auto"/>
            <w:tcMar>
              <w:left w:w="29" w:type="dxa"/>
              <w:right w:w="29" w:type="dxa"/>
            </w:tcMar>
          </w:tcPr>
          <w:p w14:paraId="38EFAE9D" w14:textId="620065C7" w:rsidR="00437CD6" w:rsidRPr="00932F5A" w:rsidRDefault="00EA4DA0" w:rsidP="00AE0EBB">
            <w:pPr>
              <w:pStyle w:val="Heading1"/>
              <w:keepNext/>
              <w:keepLines/>
              <w:numPr>
                <w:ilvl w:val="0"/>
                <w:numId w:val="0"/>
              </w:numPr>
              <w:spacing w:after="0"/>
              <w:jc w:val="center"/>
              <w:outlineLvl w:val="0"/>
              <w:rPr>
                <w:b/>
                <w:sz w:val="20"/>
                <w:szCs w:val="20"/>
                <w:lang w:val="es-ES_tradnl"/>
              </w:rPr>
            </w:pPr>
            <w:r w:rsidRPr="00932F5A">
              <w:rPr>
                <w:b/>
                <w:sz w:val="20"/>
                <w:szCs w:val="20"/>
                <w:lang w:val="es-ES_tradnl"/>
              </w:rPr>
              <w:t>Párrafo</w:t>
            </w:r>
          </w:p>
        </w:tc>
        <w:tc>
          <w:tcPr>
            <w:tcW w:w="0" w:type="auto"/>
          </w:tcPr>
          <w:p w14:paraId="5E0A84F7" w14:textId="7C044CE0" w:rsidR="00437CD6" w:rsidRPr="00932F5A" w:rsidRDefault="00727607" w:rsidP="00AE0EBB">
            <w:pPr>
              <w:pStyle w:val="Heading1"/>
              <w:keepNext/>
              <w:keepLines/>
              <w:numPr>
                <w:ilvl w:val="0"/>
                <w:numId w:val="0"/>
              </w:numPr>
              <w:spacing w:after="0"/>
              <w:jc w:val="center"/>
              <w:outlineLvl w:val="0"/>
              <w:rPr>
                <w:b/>
                <w:sz w:val="20"/>
                <w:szCs w:val="20"/>
                <w:lang w:val="es-ES_tradnl"/>
              </w:rPr>
            </w:pPr>
            <w:r>
              <w:rPr>
                <w:b/>
                <w:sz w:val="20"/>
                <w:szCs w:val="20"/>
                <w:lang w:val="es-ES_tradnl"/>
              </w:rPr>
              <w:t>Estado de s</w:t>
            </w:r>
            <w:r w:rsidR="00C92EFC" w:rsidRPr="00C92EFC">
              <w:rPr>
                <w:b/>
                <w:sz w:val="20"/>
                <w:szCs w:val="20"/>
                <w:lang w:val="es-ES_tradnl"/>
              </w:rPr>
              <w:t>ituación</w:t>
            </w:r>
          </w:p>
        </w:tc>
      </w:tr>
      <w:tr w:rsidR="00241111" w:rsidRPr="00932F5A" w14:paraId="08C08B9D" w14:textId="77777777" w:rsidTr="007908E5">
        <w:trPr>
          <w:trHeight w:val="249"/>
          <w:tblHeader/>
        </w:trPr>
        <w:tc>
          <w:tcPr>
            <w:tcW w:w="0" w:type="auto"/>
          </w:tcPr>
          <w:p w14:paraId="7AEB86E1" w14:textId="474C8FC9" w:rsidR="00437CD6" w:rsidRPr="00932F5A" w:rsidRDefault="004E456E" w:rsidP="004517FC">
            <w:pPr>
              <w:pStyle w:val="Heading1"/>
              <w:numPr>
                <w:ilvl w:val="0"/>
                <w:numId w:val="0"/>
              </w:numPr>
              <w:spacing w:after="0"/>
              <w:jc w:val="left"/>
              <w:outlineLvl w:val="0"/>
              <w:rPr>
                <w:b/>
                <w:i/>
                <w:sz w:val="20"/>
                <w:szCs w:val="20"/>
                <w:lang w:val="es-ES_tradnl"/>
              </w:rPr>
            </w:pPr>
            <w:r>
              <w:rPr>
                <w:b/>
                <w:i/>
                <w:sz w:val="20"/>
                <w:szCs w:val="20"/>
                <w:lang w:val="es-ES_tradnl"/>
              </w:rPr>
              <w:t>Discutido</w:t>
            </w:r>
          </w:p>
        </w:tc>
        <w:tc>
          <w:tcPr>
            <w:tcW w:w="0" w:type="auto"/>
            <w:tcMar>
              <w:left w:w="29" w:type="dxa"/>
              <w:right w:w="29" w:type="dxa"/>
            </w:tcMar>
          </w:tcPr>
          <w:p w14:paraId="38A24D84" w14:textId="77777777" w:rsidR="00437CD6" w:rsidRPr="00932F5A" w:rsidRDefault="00437CD6" w:rsidP="004517FC">
            <w:pPr>
              <w:pStyle w:val="Heading1"/>
              <w:numPr>
                <w:ilvl w:val="0"/>
                <w:numId w:val="0"/>
              </w:numPr>
              <w:spacing w:after="0"/>
              <w:jc w:val="left"/>
              <w:outlineLvl w:val="0"/>
              <w:rPr>
                <w:b/>
                <w:i/>
                <w:sz w:val="20"/>
                <w:szCs w:val="20"/>
                <w:lang w:val="es-ES_tradnl"/>
              </w:rPr>
            </w:pPr>
          </w:p>
        </w:tc>
        <w:tc>
          <w:tcPr>
            <w:tcW w:w="0" w:type="auto"/>
          </w:tcPr>
          <w:p w14:paraId="45848A75" w14:textId="77777777" w:rsidR="00437CD6" w:rsidRPr="00932F5A" w:rsidRDefault="00437CD6" w:rsidP="004517FC">
            <w:pPr>
              <w:pStyle w:val="Heading1"/>
              <w:numPr>
                <w:ilvl w:val="0"/>
                <w:numId w:val="0"/>
              </w:numPr>
              <w:spacing w:after="0"/>
              <w:jc w:val="left"/>
              <w:outlineLvl w:val="0"/>
              <w:rPr>
                <w:b/>
                <w:i/>
                <w:sz w:val="20"/>
                <w:szCs w:val="20"/>
                <w:lang w:val="es-ES_tradnl"/>
              </w:rPr>
            </w:pPr>
          </w:p>
        </w:tc>
      </w:tr>
      <w:tr w:rsidR="00241111" w:rsidRPr="00A45122" w14:paraId="34B15D56" w14:textId="77777777" w:rsidTr="007908E5">
        <w:trPr>
          <w:trHeight w:val="727"/>
        </w:trPr>
        <w:tc>
          <w:tcPr>
            <w:tcW w:w="0" w:type="auto"/>
          </w:tcPr>
          <w:p w14:paraId="5DB8C918" w14:textId="479DAD74" w:rsidR="00437CD6" w:rsidRPr="00932F5A" w:rsidRDefault="00197A00" w:rsidP="004C50BC">
            <w:pPr>
              <w:pStyle w:val="Heading1"/>
              <w:numPr>
                <w:ilvl w:val="0"/>
                <w:numId w:val="0"/>
              </w:numPr>
              <w:spacing w:after="0"/>
              <w:jc w:val="left"/>
              <w:outlineLvl w:val="0"/>
              <w:rPr>
                <w:sz w:val="20"/>
                <w:szCs w:val="20"/>
                <w:lang w:val="es-ES_tradnl"/>
              </w:rPr>
            </w:pPr>
            <w:r w:rsidRPr="00932F5A">
              <w:rPr>
                <w:sz w:val="20"/>
                <w:szCs w:val="20"/>
                <w:lang w:val="es-ES_tradnl"/>
              </w:rPr>
              <w:t>Flexibilidad</w:t>
            </w:r>
            <w:r w:rsidR="00936784" w:rsidRPr="00932F5A">
              <w:rPr>
                <w:sz w:val="20"/>
                <w:szCs w:val="20"/>
                <w:lang w:val="es-ES_tradnl"/>
              </w:rPr>
              <w:t xml:space="preserve"> </w:t>
            </w:r>
            <w:r w:rsidR="00D352E8" w:rsidRPr="00932F5A">
              <w:rPr>
                <w:sz w:val="20"/>
                <w:szCs w:val="20"/>
                <w:lang w:val="es-ES_tradnl"/>
              </w:rPr>
              <w:t>en</w:t>
            </w:r>
            <w:r w:rsidR="00936784" w:rsidRPr="00932F5A">
              <w:rPr>
                <w:sz w:val="20"/>
                <w:szCs w:val="20"/>
                <w:lang w:val="es-ES_tradnl"/>
              </w:rPr>
              <w:t xml:space="preserve"> </w:t>
            </w:r>
            <w:r w:rsidR="003543D0" w:rsidRPr="00932F5A">
              <w:rPr>
                <w:sz w:val="20"/>
                <w:szCs w:val="20"/>
                <w:lang w:val="es-ES_tradnl"/>
              </w:rPr>
              <w:t>la</w:t>
            </w:r>
            <w:r w:rsidR="00936784" w:rsidRPr="00932F5A">
              <w:rPr>
                <w:sz w:val="20"/>
                <w:szCs w:val="20"/>
                <w:lang w:val="es-ES_tradnl"/>
              </w:rPr>
              <w:t xml:space="preserve"> </w:t>
            </w:r>
            <w:r w:rsidR="003543D0" w:rsidRPr="00932F5A">
              <w:rPr>
                <w:sz w:val="20"/>
                <w:szCs w:val="20"/>
                <w:lang w:val="es-ES_tradnl"/>
              </w:rPr>
              <w:t>ejecución</w:t>
            </w:r>
            <w:r w:rsidR="00936784" w:rsidRPr="00932F5A">
              <w:rPr>
                <w:sz w:val="20"/>
                <w:szCs w:val="20"/>
                <w:lang w:val="es-ES_tradnl"/>
              </w:rPr>
              <w:t xml:space="preserve"> </w:t>
            </w:r>
            <w:r w:rsidR="00B94E0B" w:rsidRPr="00B94E0B">
              <w:rPr>
                <w:sz w:val="20"/>
                <w:szCs w:val="20"/>
                <w:lang w:val="es-ES_tradnl"/>
              </w:rPr>
              <w:t xml:space="preserve">que permita a las Partes </w:t>
            </w:r>
            <w:r w:rsidR="004C50BC">
              <w:rPr>
                <w:sz w:val="20"/>
                <w:szCs w:val="20"/>
                <w:lang w:val="es-ES_tradnl"/>
              </w:rPr>
              <w:t>determinar</w:t>
            </w:r>
            <w:r w:rsidR="00B94E0B" w:rsidRPr="00B94E0B">
              <w:rPr>
                <w:sz w:val="20"/>
                <w:szCs w:val="20"/>
                <w:lang w:val="es-ES_tradnl"/>
              </w:rPr>
              <w:t xml:space="preserve"> sus prop</w:t>
            </w:r>
            <w:r w:rsidR="00FC0965">
              <w:rPr>
                <w:sz w:val="20"/>
                <w:szCs w:val="20"/>
                <w:lang w:val="es-ES_tradnl"/>
              </w:rPr>
              <w:t>ias estrategias y prioridades</w:t>
            </w:r>
            <w:r w:rsidR="00B94E0B" w:rsidRPr="00B94E0B">
              <w:rPr>
                <w:sz w:val="20"/>
                <w:szCs w:val="20"/>
                <w:lang w:val="es-ES_tradnl"/>
              </w:rPr>
              <w:t xml:space="preserve"> </w:t>
            </w:r>
            <w:r w:rsidR="00FC0965">
              <w:rPr>
                <w:sz w:val="20"/>
                <w:szCs w:val="20"/>
                <w:lang w:val="es-ES_tradnl"/>
              </w:rPr>
              <w:t>sectoriale</w:t>
            </w:r>
            <w:r w:rsidR="00B94E0B" w:rsidRPr="00B94E0B">
              <w:rPr>
                <w:sz w:val="20"/>
                <w:szCs w:val="20"/>
                <w:lang w:val="es-ES_tradnl"/>
              </w:rPr>
              <w:t xml:space="preserve">s y </w:t>
            </w:r>
            <w:r w:rsidR="00FC0965">
              <w:rPr>
                <w:sz w:val="20"/>
                <w:szCs w:val="20"/>
                <w:lang w:val="es-ES_tradnl"/>
              </w:rPr>
              <w:t>tecnológicas</w:t>
            </w:r>
          </w:p>
        </w:tc>
        <w:tc>
          <w:tcPr>
            <w:tcW w:w="0" w:type="auto"/>
          </w:tcPr>
          <w:p w14:paraId="15078D5D" w14:textId="4F396D92" w:rsidR="00437CD6" w:rsidRPr="00932F5A" w:rsidRDefault="00437CD6" w:rsidP="004517FC">
            <w:pPr>
              <w:pStyle w:val="Heading1"/>
              <w:numPr>
                <w:ilvl w:val="0"/>
                <w:numId w:val="0"/>
              </w:numPr>
              <w:spacing w:after="0"/>
              <w:jc w:val="left"/>
              <w:outlineLvl w:val="0"/>
              <w:rPr>
                <w:sz w:val="20"/>
                <w:szCs w:val="20"/>
                <w:lang w:val="es-ES_tradnl"/>
              </w:rPr>
            </w:pPr>
            <w:r w:rsidRPr="00932F5A">
              <w:rPr>
                <w:sz w:val="20"/>
                <w:szCs w:val="20"/>
                <w:lang w:val="es-ES_tradnl"/>
              </w:rPr>
              <w:t>13</w:t>
            </w:r>
            <w:r w:rsidR="00936784" w:rsidRPr="00932F5A">
              <w:rPr>
                <w:sz w:val="20"/>
                <w:szCs w:val="20"/>
                <w:lang w:val="es-ES_tradnl"/>
              </w:rPr>
              <w:t xml:space="preserve"> </w:t>
            </w:r>
          </w:p>
        </w:tc>
        <w:tc>
          <w:tcPr>
            <w:tcW w:w="0" w:type="auto"/>
          </w:tcPr>
          <w:p w14:paraId="5DC6F4FC" w14:textId="0B05BA90" w:rsidR="00437CD6" w:rsidRPr="00932F5A" w:rsidRDefault="00956A69" w:rsidP="00320ECB">
            <w:pPr>
              <w:pStyle w:val="Heading1"/>
              <w:numPr>
                <w:ilvl w:val="0"/>
                <w:numId w:val="0"/>
              </w:numPr>
              <w:spacing w:after="0"/>
              <w:outlineLvl w:val="0"/>
              <w:rPr>
                <w:sz w:val="20"/>
                <w:szCs w:val="20"/>
                <w:lang w:val="es-ES_tradnl"/>
              </w:rPr>
            </w:pPr>
            <w:r>
              <w:rPr>
                <w:sz w:val="20"/>
                <w:szCs w:val="20"/>
                <w:lang w:val="es-ES_tradnl"/>
              </w:rPr>
              <w:t xml:space="preserve">Texto incluido </w:t>
            </w:r>
            <w:r w:rsidR="00641177">
              <w:rPr>
                <w:sz w:val="20"/>
                <w:szCs w:val="20"/>
                <w:lang w:val="es-ES_tradnl"/>
              </w:rPr>
              <w:t>en plantilla preliminar</w:t>
            </w:r>
            <w:r w:rsidR="00D30E5D">
              <w:rPr>
                <w:sz w:val="20"/>
                <w:szCs w:val="20"/>
                <w:lang w:val="es-ES_tradnl"/>
              </w:rPr>
              <w:t>.</w:t>
            </w:r>
          </w:p>
        </w:tc>
      </w:tr>
      <w:tr w:rsidR="00241111" w:rsidRPr="00A45122" w14:paraId="4493523B" w14:textId="77777777" w:rsidTr="007908E5">
        <w:trPr>
          <w:trHeight w:val="249"/>
        </w:trPr>
        <w:tc>
          <w:tcPr>
            <w:tcW w:w="0" w:type="auto"/>
          </w:tcPr>
          <w:p w14:paraId="13567467" w14:textId="438A0A60" w:rsidR="00437CD6" w:rsidRPr="00932F5A" w:rsidRDefault="00EB43C3" w:rsidP="004517FC">
            <w:pPr>
              <w:pStyle w:val="Heading1"/>
              <w:numPr>
                <w:ilvl w:val="0"/>
                <w:numId w:val="0"/>
              </w:numPr>
              <w:spacing w:after="0"/>
              <w:jc w:val="left"/>
              <w:outlineLvl w:val="0"/>
              <w:rPr>
                <w:sz w:val="20"/>
                <w:szCs w:val="20"/>
                <w:lang w:val="es-ES_tradnl"/>
              </w:rPr>
            </w:pPr>
            <w:r w:rsidRPr="00932F5A">
              <w:rPr>
                <w:sz w:val="20"/>
                <w:szCs w:val="20"/>
                <w:lang w:val="es-ES_tradnl"/>
              </w:rPr>
              <w:t>Fechas</w:t>
            </w:r>
            <w:r w:rsidR="00936784" w:rsidRPr="00932F5A">
              <w:rPr>
                <w:sz w:val="20"/>
                <w:szCs w:val="20"/>
                <w:lang w:val="es-ES_tradnl"/>
              </w:rPr>
              <w:t xml:space="preserve"> </w:t>
            </w:r>
            <w:r w:rsidRPr="00932F5A">
              <w:rPr>
                <w:sz w:val="20"/>
                <w:szCs w:val="20"/>
                <w:lang w:val="es-ES_tradnl"/>
              </w:rPr>
              <w:t>límite</w:t>
            </w:r>
            <w:r w:rsidR="00936784" w:rsidRPr="00932F5A">
              <w:rPr>
                <w:sz w:val="20"/>
                <w:szCs w:val="20"/>
                <w:lang w:val="es-ES_tradnl"/>
              </w:rPr>
              <w:t xml:space="preserve"> </w:t>
            </w:r>
            <w:r w:rsidR="00BD76CA" w:rsidRPr="00932F5A">
              <w:rPr>
                <w:sz w:val="20"/>
                <w:szCs w:val="20"/>
                <w:lang w:val="es-ES_tradnl"/>
              </w:rPr>
              <w:t>para</w:t>
            </w:r>
            <w:r w:rsidR="00936784" w:rsidRPr="00932F5A">
              <w:rPr>
                <w:sz w:val="20"/>
                <w:szCs w:val="20"/>
                <w:lang w:val="es-ES_tradnl"/>
              </w:rPr>
              <w:t xml:space="preserve"> </w:t>
            </w:r>
            <w:r w:rsidR="00BD76CA" w:rsidRPr="00932F5A">
              <w:rPr>
                <w:sz w:val="20"/>
                <w:szCs w:val="20"/>
                <w:lang w:val="es-ES_tradnl"/>
              </w:rPr>
              <w:t>capacidad</w:t>
            </w:r>
            <w:r w:rsidR="00936784" w:rsidRPr="00932F5A">
              <w:rPr>
                <w:sz w:val="20"/>
                <w:szCs w:val="20"/>
                <w:lang w:val="es-ES_tradnl"/>
              </w:rPr>
              <w:t xml:space="preserve"> </w:t>
            </w:r>
            <w:r w:rsidR="00BD76CA" w:rsidRPr="00932F5A">
              <w:rPr>
                <w:sz w:val="20"/>
                <w:szCs w:val="20"/>
                <w:lang w:val="es-ES_tradnl"/>
              </w:rPr>
              <w:t>admisible</w:t>
            </w:r>
          </w:p>
        </w:tc>
        <w:tc>
          <w:tcPr>
            <w:tcW w:w="0" w:type="auto"/>
          </w:tcPr>
          <w:p w14:paraId="76BC43D2" w14:textId="77777777" w:rsidR="00437CD6" w:rsidRPr="00932F5A" w:rsidRDefault="00437CD6" w:rsidP="004517FC">
            <w:pPr>
              <w:pStyle w:val="Heading1"/>
              <w:numPr>
                <w:ilvl w:val="0"/>
                <w:numId w:val="0"/>
              </w:numPr>
              <w:spacing w:after="0"/>
              <w:jc w:val="left"/>
              <w:outlineLvl w:val="0"/>
              <w:rPr>
                <w:sz w:val="20"/>
                <w:szCs w:val="20"/>
                <w:lang w:val="es-ES_tradnl"/>
              </w:rPr>
            </w:pPr>
            <w:r w:rsidRPr="00932F5A">
              <w:rPr>
                <w:sz w:val="20"/>
                <w:szCs w:val="20"/>
                <w:lang w:val="es-ES_tradnl"/>
              </w:rPr>
              <w:t>17</w:t>
            </w:r>
          </w:p>
        </w:tc>
        <w:tc>
          <w:tcPr>
            <w:tcW w:w="0" w:type="auto"/>
          </w:tcPr>
          <w:p w14:paraId="2F82B62B" w14:textId="35222A3F" w:rsidR="00437CD6" w:rsidRPr="00932F5A" w:rsidRDefault="00956A69" w:rsidP="00320ECB">
            <w:pPr>
              <w:pStyle w:val="Heading1"/>
              <w:numPr>
                <w:ilvl w:val="0"/>
                <w:numId w:val="0"/>
              </w:numPr>
              <w:spacing w:after="0"/>
              <w:outlineLvl w:val="0"/>
              <w:rPr>
                <w:sz w:val="20"/>
                <w:szCs w:val="20"/>
                <w:lang w:val="es-ES_tradnl"/>
              </w:rPr>
            </w:pPr>
            <w:r>
              <w:rPr>
                <w:sz w:val="20"/>
                <w:szCs w:val="20"/>
                <w:lang w:val="es-ES_tradnl"/>
              </w:rPr>
              <w:t xml:space="preserve">Texto incluido </w:t>
            </w:r>
            <w:r w:rsidR="00641177">
              <w:rPr>
                <w:sz w:val="20"/>
                <w:szCs w:val="20"/>
                <w:lang w:val="es-ES_tradnl"/>
              </w:rPr>
              <w:t>en plantilla preliminar</w:t>
            </w:r>
            <w:r w:rsidR="00D30E5D">
              <w:rPr>
                <w:sz w:val="20"/>
                <w:szCs w:val="20"/>
                <w:lang w:val="es-ES_tradnl"/>
              </w:rPr>
              <w:t>.</w:t>
            </w:r>
          </w:p>
        </w:tc>
      </w:tr>
      <w:tr w:rsidR="00241111" w:rsidRPr="00A45122" w14:paraId="5F1715CB" w14:textId="77777777" w:rsidTr="007908E5">
        <w:trPr>
          <w:trHeight w:val="249"/>
        </w:trPr>
        <w:tc>
          <w:tcPr>
            <w:tcW w:w="0" w:type="auto"/>
          </w:tcPr>
          <w:p w14:paraId="62C68DA1" w14:textId="1BE94DFC" w:rsidR="00437CD6" w:rsidRPr="00932F5A" w:rsidRDefault="00EB43C3" w:rsidP="004517FC">
            <w:pPr>
              <w:pStyle w:val="Heading1"/>
              <w:numPr>
                <w:ilvl w:val="0"/>
                <w:numId w:val="0"/>
              </w:numPr>
              <w:spacing w:after="0"/>
              <w:jc w:val="left"/>
              <w:outlineLvl w:val="0"/>
              <w:rPr>
                <w:sz w:val="20"/>
                <w:szCs w:val="20"/>
                <w:lang w:val="es-ES_tradnl"/>
              </w:rPr>
            </w:pPr>
            <w:r w:rsidRPr="00932F5A">
              <w:rPr>
                <w:sz w:val="20"/>
                <w:szCs w:val="20"/>
                <w:lang w:val="es-ES_tradnl"/>
              </w:rPr>
              <w:t>Segundas</w:t>
            </w:r>
            <w:r w:rsidR="00936784" w:rsidRPr="00932F5A">
              <w:rPr>
                <w:sz w:val="20"/>
                <w:szCs w:val="20"/>
                <w:lang w:val="es-ES_tradnl"/>
              </w:rPr>
              <w:t xml:space="preserve"> </w:t>
            </w:r>
            <w:r w:rsidRPr="00932F5A">
              <w:rPr>
                <w:sz w:val="20"/>
                <w:szCs w:val="20"/>
                <w:lang w:val="es-ES_tradnl"/>
              </w:rPr>
              <w:t>y</w:t>
            </w:r>
            <w:r w:rsidR="00936784" w:rsidRPr="00932F5A">
              <w:rPr>
                <w:sz w:val="20"/>
                <w:szCs w:val="20"/>
                <w:lang w:val="es-ES_tradnl"/>
              </w:rPr>
              <w:t xml:space="preserve"> </w:t>
            </w:r>
            <w:r w:rsidRPr="00932F5A">
              <w:rPr>
                <w:sz w:val="20"/>
                <w:szCs w:val="20"/>
                <w:lang w:val="es-ES_tradnl"/>
              </w:rPr>
              <w:t>terceras</w:t>
            </w:r>
            <w:r w:rsidR="00936784" w:rsidRPr="00932F5A">
              <w:rPr>
                <w:sz w:val="20"/>
                <w:szCs w:val="20"/>
                <w:lang w:val="es-ES_tradnl"/>
              </w:rPr>
              <w:t xml:space="preserve"> </w:t>
            </w:r>
            <w:r w:rsidRPr="00932F5A">
              <w:rPr>
                <w:sz w:val="20"/>
                <w:szCs w:val="20"/>
                <w:lang w:val="es-ES_tradnl"/>
              </w:rPr>
              <w:t>conversiones</w:t>
            </w:r>
          </w:p>
        </w:tc>
        <w:tc>
          <w:tcPr>
            <w:tcW w:w="0" w:type="auto"/>
          </w:tcPr>
          <w:p w14:paraId="76343E6A" w14:textId="77777777" w:rsidR="00437CD6" w:rsidRPr="00932F5A" w:rsidRDefault="00437CD6" w:rsidP="004517FC">
            <w:pPr>
              <w:pStyle w:val="Heading1"/>
              <w:numPr>
                <w:ilvl w:val="0"/>
                <w:numId w:val="0"/>
              </w:numPr>
              <w:spacing w:after="0"/>
              <w:jc w:val="left"/>
              <w:outlineLvl w:val="0"/>
              <w:rPr>
                <w:sz w:val="20"/>
                <w:szCs w:val="20"/>
                <w:lang w:val="es-ES_tradnl"/>
              </w:rPr>
            </w:pPr>
            <w:r w:rsidRPr="00932F5A">
              <w:rPr>
                <w:sz w:val="20"/>
                <w:szCs w:val="20"/>
                <w:lang w:val="es-ES_tradnl"/>
              </w:rPr>
              <w:t>18</w:t>
            </w:r>
          </w:p>
        </w:tc>
        <w:tc>
          <w:tcPr>
            <w:tcW w:w="0" w:type="auto"/>
          </w:tcPr>
          <w:p w14:paraId="4D4B5C0C" w14:textId="051BAF63" w:rsidR="00437CD6" w:rsidRPr="00932F5A" w:rsidRDefault="00956A69" w:rsidP="00320ECB">
            <w:pPr>
              <w:pStyle w:val="Heading1"/>
              <w:numPr>
                <w:ilvl w:val="0"/>
                <w:numId w:val="0"/>
              </w:numPr>
              <w:spacing w:after="0"/>
              <w:outlineLvl w:val="0"/>
              <w:rPr>
                <w:sz w:val="20"/>
                <w:szCs w:val="20"/>
                <w:lang w:val="es-ES_tradnl"/>
              </w:rPr>
            </w:pPr>
            <w:r>
              <w:rPr>
                <w:sz w:val="20"/>
                <w:szCs w:val="20"/>
                <w:lang w:val="es-ES_tradnl"/>
              </w:rPr>
              <w:t xml:space="preserve">Texto incluido </w:t>
            </w:r>
            <w:r w:rsidR="00641177">
              <w:rPr>
                <w:sz w:val="20"/>
                <w:szCs w:val="20"/>
                <w:lang w:val="es-ES_tradnl"/>
              </w:rPr>
              <w:t>en plantilla preliminar</w:t>
            </w:r>
            <w:r w:rsidR="00D30E5D">
              <w:rPr>
                <w:sz w:val="20"/>
                <w:szCs w:val="20"/>
                <w:lang w:val="es-ES_tradnl"/>
              </w:rPr>
              <w:t>.</w:t>
            </w:r>
          </w:p>
        </w:tc>
      </w:tr>
      <w:tr w:rsidR="00241111" w:rsidRPr="00A45122" w14:paraId="7085110B" w14:textId="77777777" w:rsidTr="007908E5">
        <w:trPr>
          <w:trHeight w:val="249"/>
        </w:trPr>
        <w:tc>
          <w:tcPr>
            <w:tcW w:w="0" w:type="auto"/>
          </w:tcPr>
          <w:p w14:paraId="13ABF9FF" w14:textId="5369A105" w:rsidR="00437CD6" w:rsidRPr="00932F5A" w:rsidRDefault="00A66CB0" w:rsidP="00AE0EBB">
            <w:pPr>
              <w:pStyle w:val="Heading1"/>
              <w:numPr>
                <w:ilvl w:val="0"/>
                <w:numId w:val="0"/>
              </w:numPr>
              <w:spacing w:after="0"/>
              <w:jc w:val="left"/>
              <w:outlineLvl w:val="0"/>
              <w:rPr>
                <w:sz w:val="20"/>
                <w:szCs w:val="20"/>
                <w:lang w:val="es-ES_tradnl"/>
              </w:rPr>
            </w:pPr>
            <w:r w:rsidRPr="00932F5A">
              <w:rPr>
                <w:sz w:val="20"/>
                <w:szCs w:val="20"/>
                <w:lang w:val="es-ES_tradnl"/>
              </w:rPr>
              <w:t>Otros</w:t>
            </w:r>
            <w:r w:rsidR="00936784" w:rsidRPr="00932F5A">
              <w:rPr>
                <w:sz w:val="20"/>
                <w:szCs w:val="20"/>
                <w:lang w:val="es-ES_tradnl"/>
              </w:rPr>
              <w:t xml:space="preserve"> </w:t>
            </w:r>
            <w:r w:rsidR="009F764A">
              <w:rPr>
                <w:sz w:val="20"/>
                <w:szCs w:val="20"/>
                <w:lang w:val="es-ES_tradnl"/>
              </w:rPr>
              <w:t>ga</w:t>
            </w:r>
            <w:r w:rsidR="000B4DFE">
              <w:rPr>
                <w:sz w:val="20"/>
                <w:szCs w:val="20"/>
                <w:lang w:val="es-ES_tradnl"/>
              </w:rPr>
              <w:t>stos</w:t>
            </w:r>
            <w:r w:rsidR="00AE0EBB" w:rsidRPr="00932F5A">
              <w:rPr>
                <w:sz w:val="20"/>
                <w:szCs w:val="20"/>
                <w:vertAlign w:val="superscript"/>
                <w:lang w:val="es-ES_tradnl"/>
              </w:rPr>
              <w:t>a</w:t>
            </w:r>
          </w:p>
        </w:tc>
        <w:tc>
          <w:tcPr>
            <w:tcW w:w="0" w:type="auto"/>
          </w:tcPr>
          <w:p w14:paraId="47A258AB" w14:textId="77777777" w:rsidR="00437CD6" w:rsidRPr="00932F5A" w:rsidRDefault="00437CD6" w:rsidP="004517FC">
            <w:pPr>
              <w:pStyle w:val="Heading1"/>
              <w:numPr>
                <w:ilvl w:val="0"/>
                <w:numId w:val="0"/>
              </w:numPr>
              <w:spacing w:after="0"/>
              <w:jc w:val="left"/>
              <w:outlineLvl w:val="0"/>
              <w:rPr>
                <w:sz w:val="20"/>
                <w:szCs w:val="20"/>
                <w:lang w:val="es-ES_tradnl"/>
              </w:rPr>
            </w:pPr>
            <w:r w:rsidRPr="00932F5A">
              <w:rPr>
                <w:sz w:val="20"/>
                <w:szCs w:val="20"/>
                <w:lang w:val="es-ES_tradnl"/>
              </w:rPr>
              <w:t>25</w:t>
            </w:r>
          </w:p>
        </w:tc>
        <w:tc>
          <w:tcPr>
            <w:tcW w:w="0" w:type="auto"/>
          </w:tcPr>
          <w:p w14:paraId="3A307854" w14:textId="10695572" w:rsidR="00437CD6" w:rsidRPr="00932F5A" w:rsidRDefault="005D3262" w:rsidP="00320ECB">
            <w:pPr>
              <w:pStyle w:val="Heading1"/>
              <w:numPr>
                <w:ilvl w:val="0"/>
                <w:numId w:val="0"/>
              </w:numPr>
              <w:spacing w:after="0"/>
              <w:outlineLvl w:val="0"/>
              <w:rPr>
                <w:sz w:val="20"/>
                <w:szCs w:val="20"/>
                <w:lang w:val="es-ES_tradnl"/>
              </w:rPr>
            </w:pPr>
            <w:r>
              <w:rPr>
                <w:sz w:val="20"/>
                <w:szCs w:val="20"/>
                <w:lang w:val="es-ES_tradnl"/>
              </w:rPr>
              <w:t xml:space="preserve">Texto no </w:t>
            </w:r>
            <w:r w:rsidR="002630E2" w:rsidRPr="002630E2">
              <w:rPr>
                <w:sz w:val="20"/>
                <w:szCs w:val="20"/>
                <w:lang w:val="es-ES_tradnl"/>
              </w:rPr>
              <w:t xml:space="preserve">incluido </w:t>
            </w:r>
            <w:r w:rsidR="00641177">
              <w:rPr>
                <w:sz w:val="20"/>
                <w:szCs w:val="20"/>
                <w:lang w:val="es-ES_tradnl"/>
              </w:rPr>
              <w:t>en plantilla preliminar</w:t>
            </w:r>
            <w:r w:rsidR="006F52B1">
              <w:rPr>
                <w:sz w:val="20"/>
                <w:szCs w:val="20"/>
                <w:lang w:val="es-ES_tradnl"/>
              </w:rPr>
              <w:t>.</w:t>
            </w:r>
          </w:p>
        </w:tc>
      </w:tr>
      <w:tr w:rsidR="00241111" w:rsidRPr="00A45122" w14:paraId="219B2894" w14:textId="77777777" w:rsidTr="007908E5">
        <w:trPr>
          <w:trHeight w:val="478"/>
        </w:trPr>
        <w:tc>
          <w:tcPr>
            <w:tcW w:w="0" w:type="auto"/>
          </w:tcPr>
          <w:p w14:paraId="3BEBCDBB" w14:textId="6AF91D9E" w:rsidR="00437CD6" w:rsidRPr="00932F5A" w:rsidRDefault="00EB43C3" w:rsidP="00AA06BE">
            <w:pPr>
              <w:pStyle w:val="Heading1"/>
              <w:numPr>
                <w:ilvl w:val="0"/>
                <w:numId w:val="0"/>
              </w:numPr>
              <w:spacing w:after="0"/>
              <w:jc w:val="left"/>
              <w:outlineLvl w:val="0"/>
              <w:rPr>
                <w:sz w:val="20"/>
                <w:szCs w:val="20"/>
                <w:lang w:val="es-ES_tradnl"/>
              </w:rPr>
            </w:pPr>
            <w:r w:rsidRPr="00932F5A">
              <w:rPr>
                <w:sz w:val="20"/>
                <w:szCs w:val="20"/>
                <w:lang w:val="es-ES_tradnl"/>
              </w:rPr>
              <w:t>Admisibilidad</w:t>
            </w:r>
            <w:r w:rsidR="00936784" w:rsidRPr="00932F5A">
              <w:rPr>
                <w:sz w:val="20"/>
                <w:szCs w:val="20"/>
                <w:lang w:val="es-ES_tradnl"/>
              </w:rPr>
              <w:t xml:space="preserve"> </w:t>
            </w:r>
            <w:r w:rsidR="003543D0" w:rsidRPr="00932F5A">
              <w:rPr>
                <w:sz w:val="20"/>
                <w:szCs w:val="20"/>
                <w:lang w:val="es-ES_tradnl"/>
              </w:rPr>
              <w:t>de</w:t>
            </w:r>
            <w:r w:rsidR="00936784" w:rsidRPr="00932F5A">
              <w:rPr>
                <w:sz w:val="20"/>
                <w:szCs w:val="20"/>
                <w:lang w:val="es-ES_tradnl"/>
              </w:rPr>
              <w:t xml:space="preserve"> </w:t>
            </w:r>
            <w:r w:rsidR="00A66CB0" w:rsidRPr="00932F5A">
              <w:rPr>
                <w:sz w:val="20"/>
                <w:szCs w:val="20"/>
                <w:lang w:val="es-ES_tradnl"/>
              </w:rPr>
              <w:t>sustancias</w:t>
            </w:r>
            <w:r w:rsidR="00936784" w:rsidRPr="00932F5A">
              <w:rPr>
                <w:sz w:val="20"/>
                <w:szCs w:val="20"/>
                <w:lang w:val="es-ES_tradnl"/>
              </w:rPr>
              <w:t xml:space="preserve"> </w:t>
            </w:r>
            <w:r w:rsidR="00A66CB0" w:rsidRPr="00932F5A">
              <w:rPr>
                <w:sz w:val="20"/>
                <w:szCs w:val="20"/>
                <w:lang w:val="es-ES_tradnl"/>
              </w:rPr>
              <w:t>del</w:t>
            </w:r>
            <w:r w:rsidR="00936784" w:rsidRPr="00932F5A">
              <w:rPr>
                <w:sz w:val="20"/>
                <w:szCs w:val="20"/>
                <w:lang w:val="es-ES_tradnl"/>
              </w:rPr>
              <w:t xml:space="preserve"> </w:t>
            </w:r>
            <w:r w:rsidR="00A66CB0" w:rsidRPr="00932F5A">
              <w:rPr>
                <w:sz w:val="20"/>
                <w:szCs w:val="20"/>
                <w:lang w:val="es-ES_tradnl"/>
              </w:rPr>
              <w:t>Anexo</w:t>
            </w:r>
            <w:r w:rsidR="00936784" w:rsidRPr="00932F5A">
              <w:rPr>
                <w:sz w:val="20"/>
                <w:szCs w:val="20"/>
                <w:lang w:val="es-ES_tradnl"/>
              </w:rPr>
              <w:t xml:space="preserve"> </w:t>
            </w:r>
            <w:r w:rsidR="00A66CB0" w:rsidRPr="00932F5A">
              <w:rPr>
                <w:sz w:val="20"/>
                <w:szCs w:val="20"/>
                <w:lang w:val="es-ES_tradnl"/>
              </w:rPr>
              <w:t>F</w:t>
            </w:r>
            <w:r w:rsidR="00936784" w:rsidRPr="00932F5A">
              <w:rPr>
                <w:sz w:val="20"/>
                <w:szCs w:val="20"/>
                <w:lang w:val="es-ES_tradnl"/>
              </w:rPr>
              <w:t xml:space="preserve"> </w:t>
            </w:r>
            <w:r w:rsidR="00AA06BE">
              <w:rPr>
                <w:sz w:val="20"/>
                <w:szCs w:val="20"/>
                <w:lang w:val="es-ES_tradnl"/>
              </w:rPr>
              <w:t xml:space="preserve">sujetas a exención por concepto </w:t>
            </w:r>
            <w:r w:rsidR="00197A00" w:rsidRPr="00932F5A">
              <w:rPr>
                <w:sz w:val="20"/>
                <w:szCs w:val="20"/>
                <w:lang w:val="es-ES_tradnl"/>
              </w:rPr>
              <w:t>de</w:t>
            </w:r>
            <w:r w:rsidR="00936784" w:rsidRPr="00932F5A">
              <w:rPr>
                <w:sz w:val="20"/>
                <w:szCs w:val="20"/>
                <w:lang w:val="es-ES_tradnl"/>
              </w:rPr>
              <w:t xml:space="preserve"> </w:t>
            </w:r>
            <w:r w:rsidR="00197A00" w:rsidRPr="00932F5A">
              <w:rPr>
                <w:sz w:val="20"/>
                <w:szCs w:val="20"/>
                <w:lang w:val="es-ES_tradnl"/>
              </w:rPr>
              <w:t>alta</w:t>
            </w:r>
            <w:r w:rsidR="00936784" w:rsidRPr="00932F5A">
              <w:rPr>
                <w:sz w:val="20"/>
                <w:szCs w:val="20"/>
                <w:lang w:val="es-ES_tradnl"/>
              </w:rPr>
              <w:t xml:space="preserve"> </w:t>
            </w:r>
            <w:r w:rsidR="00197A00" w:rsidRPr="00932F5A">
              <w:rPr>
                <w:sz w:val="20"/>
                <w:szCs w:val="20"/>
                <w:lang w:val="es-ES_tradnl"/>
              </w:rPr>
              <w:t>temperatura</w:t>
            </w:r>
            <w:r w:rsidR="00936784" w:rsidRPr="00932F5A">
              <w:rPr>
                <w:sz w:val="20"/>
                <w:szCs w:val="20"/>
                <w:lang w:val="es-ES_tradnl"/>
              </w:rPr>
              <w:t xml:space="preserve"> </w:t>
            </w:r>
            <w:r w:rsidR="00197A00" w:rsidRPr="00932F5A">
              <w:rPr>
                <w:sz w:val="20"/>
                <w:szCs w:val="20"/>
                <w:lang w:val="es-ES_tradnl"/>
              </w:rPr>
              <w:t>ambiente</w:t>
            </w:r>
          </w:p>
        </w:tc>
        <w:tc>
          <w:tcPr>
            <w:tcW w:w="0" w:type="auto"/>
          </w:tcPr>
          <w:p w14:paraId="604046CA" w14:textId="77777777" w:rsidR="00437CD6" w:rsidRPr="00932F5A" w:rsidRDefault="00437CD6" w:rsidP="004517FC">
            <w:pPr>
              <w:pStyle w:val="Heading1"/>
              <w:numPr>
                <w:ilvl w:val="0"/>
                <w:numId w:val="0"/>
              </w:numPr>
              <w:spacing w:after="0"/>
              <w:jc w:val="left"/>
              <w:outlineLvl w:val="0"/>
              <w:rPr>
                <w:sz w:val="20"/>
                <w:szCs w:val="20"/>
                <w:lang w:val="es-ES_tradnl"/>
              </w:rPr>
            </w:pPr>
            <w:r w:rsidRPr="00932F5A">
              <w:rPr>
                <w:sz w:val="20"/>
                <w:szCs w:val="20"/>
                <w:lang w:val="es-ES_tradnl"/>
              </w:rPr>
              <w:t>35</w:t>
            </w:r>
          </w:p>
        </w:tc>
        <w:tc>
          <w:tcPr>
            <w:tcW w:w="0" w:type="auto"/>
          </w:tcPr>
          <w:p w14:paraId="1CE894A4" w14:textId="69C7138C" w:rsidR="00437CD6" w:rsidRPr="00932F5A" w:rsidRDefault="00956A69" w:rsidP="00320ECB">
            <w:pPr>
              <w:pStyle w:val="Heading1"/>
              <w:numPr>
                <w:ilvl w:val="0"/>
                <w:numId w:val="0"/>
              </w:numPr>
              <w:spacing w:after="0"/>
              <w:outlineLvl w:val="0"/>
              <w:rPr>
                <w:sz w:val="20"/>
                <w:szCs w:val="20"/>
                <w:lang w:val="es-ES_tradnl"/>
              </w:rPr>
            </w:pPr>
            <w:r>
              <w:rPr>
                <w:sz w:val="20"/>
                <w:szCs w:val="20"/>
                <w:lang w:val="es-ES_tradnl"/>
              </w:rPr>
              <w:t xml:space="preserve">Texto incluido </w:t>
            </w:r>
            <w:r w:rsidR="00641177">
              <w:rPr>
                <w:sz w:val="20"/>
                <w:szCs w:val="20"/>
                <w:lang w:val="es-ES_tradnl"/>
              </w:rPr>
              <w:t>en plantilla preliminar</w:t>
            </w:r>
            <w:r w:rsidR="00D30E5D">
              <w:rPr>
                <w:sz w:val="20"/>
                <w:szCs w:val="20"/>
                <w:lang w:val="es-ES_tradnl"/>
              </w:rPr>
              <w:t>.</w:t>
            </w:r>
          </w:p>
        </w:tc>
      </w:tr>
      <w:tr w:rsidR="00241111" w:rsidRPr="00932F5A" w14:paraId="5DA66EA9" w14:textId="77777777" w:rsidTr="007908E5">
        <w:trPr>
          <w:trHeight w:val="249"/>
        </w:trPr>
        <w:tc>
          <w:tcPr>
            <w:tcW w:w="0" w:type="auto"/>
          </w:tcPr>
          <w:p w14:paraId="587076CD" w14:textId="1209353A" w:rsidR="00437CD6" w:rsidRPr="00932F5A" w:rsidRDefault="00DE280D" w:rsidP="004517FC">
            <w:pPr>
              <w:pStyle w:val="Heading1"/>
              <w:numPr>
                <w:ilvl w:val="0"/>
                <w:numId w:val="0"/>
              </w:numPr>
              <w:spacing w:after="0"/>
              <w:jc w:val="left"/>
              <w:outlineLvl w:val="0"/>
              <w:rPr>
                <w:b/>
                <w:i/>
                <w:sz w:val="20"/>
                <w:szCs w:val="20"/>
                <w:lang w:val="es-ES_tradnl"/>
              </w:rPr>
            </w:pPr>
            <w:r>
              <w:rPr>
                <w:b/>
                <w:i/>
                <w:sz w:val="20"/>
                <w:szCs w:val="20"/>
                <w:lang w:val="es-ES_tradnl"/>
              </w:rPr>
              <w:t>En discusión</w:t>
            </w:r>
          </w:p>
        </w:tc>
        <w:tc>
          <w:tcPr>
            <w:tcW w:w="0" w:type="auto"/>
          </w:tcPr>
          <w:p w14:paraId="6D8A89C9" w14:textId="77777777" w:rsidR="00437CD6" w:rsidRPr="00932F5A" w:rsidRDefault="00437CD6" w:rsidP="004517FC">
            <w:pPr>
              <w:pStyle w:val="Heading1"/>
              <w:numPr>
                <w:ilvl w:val="0"/>
                <w:numId w:val="0"/>
              </w:numPr>
              <w:spacing w:after="0"/>
              <w:jc w:val="left"/>
              <w:outlineLvl w:val="0"/>
              <w:rPr>
                <w:b/>
                <w:i/>
                <w:sz w:val="20"/>
                <w:szCs w:val="20"/>
                <w:lang w:val="es-ES_tradnl"/>
              </w:rPr>
            </w:pPr>
          </w:p>
        </w:tc>
        <w:tc>
          <w:tcPr>
            <w:tcW w:w="0" w:type="auto"/>
          </w:tcPr>
          <w:p w14:paraId="76D4D2C3" w14:textId="77777777" w:rsidR="00437CD6" w:rsidRPr="00932F5A" w:rsidRDefault="00437CD6" w:rsidP="00320ECB">
            <w:pPr>
              <w:pStyle w:val="Heading1"/>
              <w:numPr>
                <w:ilvl w:val="0"/>
                <w:numId w:val="0"/>
              </w:numPr>
              <w:spacing w:after="0"/>
              <w:outlineLvl w:val="0"/>
              <w:rPr>
                <w:b/>
                <w:i/>
                <w:sz w:val="20"/>
                <w:szCs w:val="20"/>
                <w:lang w:val="es-ES_tradnl"/>
              </w:rPr>
            </w:pPr>
          </w:p>
        </w:tc>
      </w:tr>
      <w:tr w:rsidR="00241111" w:rsidRPr="00A45122" w14:paraId="7B463383" w14:textId="77777777" w:rsidTr="007908E5">
        <w:trPr>
          <w:trHeight w:val="577"/>
        </w:trPr>
        <w:tc>
          <w:tcPr>
            <w:tcW w:w="0" w:type="auto"/>
          </w:tcPr>
          <w:p w14:paraId="54F031EB" w14:textId="1D9093E3" w:rsidR="00437CD6" w:rsidRPr="00932F5A" w:rsidRDefault="00EB43C3" w:rsidP="001F0000">
            <w:pPr>
              <w:pStyle w:val="Heading1"/>
              <w:numPr>
                <w:ilvl w:val="0"/>
                <w:numId w:val="0"/>
              </w:numPr>
              <w:spacing w:after="0"/>
              <w:jc w:val="left"/>
              <w:outlineLvl w:val="0"/>
              <w:rPr>
                <w:sz w:val="20"/>
                <w:szCs w:val="20"/>
                <w:lang w:val="es-ES_tradnl"/>
              </w:rPr>
            </w:pPr>
            <w:r w:rsidRPr="00932F5A">
              <w:rPr>
                <w:sz w:val="20"/>
                <w:szCs w:val="20"/>
                <w:lang w:val="es-ES_tradnl"/>
              </w:rPr>
              <w:t>Reducciones</w:t>
            </w:r>
            <w:r w:rsidR="00936784" w:rsidRPr="00932F5A">
              <w:rPr>
                <w:sz w:val="20"/>
                <w:szCs w:val="20"/>
                <w:lang w:val="es-ES_tradnl"/>
              </w:rPr>
              <w:t xml:space="preserve"> </w:t>
            </w:r>
            <w:r w:rsidRPr="00932F5A">
              <w:rPr>
                <w:sz w:val="20"/>
                <w:szCs w:val="20"/>
                <w:lang w:val="es-ES_tradnl"/>
              </w:rPr>
              <w:t>acumulativas</w:t>
            </w:r>
            <w:r w:rsidR="00936784" w:rsidRPr="00932F5A">
              <w:rPr>
                <w:sz w:val="20"/>
                <w:szCs w:val="20"/>
                <w:lang w:val="es-ES_tradnl"/>
              </w:rPr>
              <w:t xml:space="preserve"> </w:t>
            </w:r>
            <w:r w:rsidRPr="00932F5A">
              <w:rPr>
                <w:sz w:val="20"/>
                <w:szCs w:val="20"/>
                <w:lang w:val="es-ES_tradnl"/>
              </w:rPr>
              <w:t>sostenidas</w:t>
            </w:r>
            <w:r w:rsidR="00936784" w:rsidRPr="00932F5A">
              <w:rPr>
                <w:sz w:val="20"/>
                <w:szCs w:val="20"/>
                <w:lang w:val="es-ES_tradnl"/>
              </w:rPr>
              <w:t xml:space="preserve"> </w:t>
            </w:r>
            <w:r w:rsidR="001F0000">
              <w:rPr>
                <w:sz w:val="20"/>
                <w:szCs w:val="20"/>
                <w:lang w:val="es-ES_tradnl"/>
              </w:rPr>
              <w:t>en el</w:t>
            </w:r>
            <w:r w:rsidR="00DB3C64">
              <w:rPr>
                <w:sz w:val="20"/>
                <w:szCs w:val="20"/>
                <w:lang w:val="es-ES_tradnl"/>
              </w:rPr>
              <w:t xml:space="preserve"> </w:t>
            </w:r>
            <w:r w:rsidRPr="00932F5A">
              <w:rPr>
                <w:sz w:val="20"/>
                <w:szCs w:val="20"/>
                <w:lang w:val="es-ES_tradnl"/>
              </w:rPr>
              <w:t>consumo</w:t>
            </w:r>
            <w:r w:rsidR="00936784" w:rsidRPr="00932F5A">
              <w:rPr>
                <w:sz w:val="20"/>
                <w:szCs w:val="20"/>
                <w:lang w:val="es-ES_tradnl"/>
              </w:rPr>
              <w:t xml:space="preserve"> </w:t>
            </w:r>
            <w:r w:rsidR="003543D0" w:rsidRPr="00932F5A">
              <w:rPr>
                <w:sz w:val="20"/>
                <w:szCs w:val="20"/>
                <w:lang w:val="es-ES_tradnl"/>
              </w:rPr>
              <w:t>y</w:t>
            </w:r>
            <w:r w:rsidR="00936784" w:rsidRPr="00932F5A">
              <w:rPr>
                <w:sz w:val="20"/>
                <w:szCs w:val="20"/>
                <w:lang w:val="es-ES_tradnl"/>
              </w:rPr>
              <w:t xml:space="preserve"> </w:t>
            </w:r>
            <w:r w:rsidR="00D352E8" w:rsidRPr="00932F5A">
              <w:rPr>
                <w:sz w:val="20"/>
                <w:szCs w:val="20"/>
                <w:lang w:val="es-ES_tradnl"/>
              </w:rPr>
              <w:t>producción</w:t>
            </w:r>
          </w:p>
        </w:tc>
        <w:tc>
          <w:tcPr>
            <w:tcW w:w="0" w:type="auto"/>
          </w:tcPr>
          <w:p w14:paraId="1DB7ED20" w14:textId="77777777" w:rsidR="00437CD6" w:rsidRPr="00932F5A" w:rsidRDefault="00437CD6" w:rsidP="004517FC">
            <w:pPr>
              <w:pStyle w:val="Heading1"/>
              <w:numPr>
                <w:ilvl w:val="0"/>
                <w:numId w:val="0"/>
              </w:numPr>
              <w:spacing w:after="0"/>
              <w:jc w:val="left"/>
              <w:outlineLvl w:val="0"/>
              <w:rPr>
                <w:sz w:val="20"/>
                <w:szCs w:val="20"/>
                <w:lang w:val="es-ES_tradnl"/>
              </w:rPr>
            </w:pPr>
            <w:r w:rsidRPr="00932F5A">
              <w:rPr>
                <w:sz w:val="20"/>
                <w:szCs w:val="20"/>
                <w:lang w:val="es-ES_tradnl"/>
              </w:rPr>
              <w:t>19</w:t>
            </w:r>
          </w:p>
        </w:tc>
        <w:tc>
          <w:tcPr>
            <w:tcW w:w="0" w:type="auto"/>
          </w:tcPr>
          <w:p w14:paraId="3410958E" w14:textId="3288CDCF" w:rsidR="00437CD6" w:rsidRPr="00932F5A" w:rsidRDefault="00956A69" w:rsidP="000B09D2">
            <w:pPr>
              <w:pStyle w:val="Heading1"/>
              <w:numPr>
                <w:ilvl w:val="0"/>
                <w:numId w:val="0"/>
              </w:numPr>
              <w:spacing w:after="0"/>
              <w:outlineLvl w:val="0"/>
              <w:rPr>
                <w:sz w:val="20"/>
                <w:szCs w:val="20"/>
                <w:lang w:val="es-ES_tradnl"/>
              </w:rPr>
            </w:pPr>
            <w:r>
              <w:rPr>
                <w:sz w:val="20"/>
                <w:szCs w:val="20"/>
                <w:lang w:val="es-ES_tradnl"/>
              </w:rPr>
              <w:t xml:space="preserve">Texto incluido </w:t>
            </w:r>
            <w:r w:rsidR="00641177">
              <w:rPr>
                <w:sz w:val="20"/>
                <w:szCs w:val="20"/>
                <w:lang w:val="es-ES_tradnl"/>
              </w:rPr>
              <w:t>en plantilla preliminar</w:t>
            </w:r>
            <w:r w:rsidR="00D30E5D">
              <w:rPr>
                <w:sz w:val="20"/>
                <w:szCs w:val="20"/>
                <w:lang w:val="es-ES_tradnl"/>
              </w:rPr>
              <w:t>.</w:t>
            </w:r>
            <w:r w:rsidR="00936784" w:rsidRPr="00932F5A">
              <w:rPr>
                <w:sz w:val="20"/>
                <w:szCs w:val="20"/>
                <w:lang w:val="es-ES_tradnl"/>
              </w:rPr>
              <w:t xml:space="preserve"> </w:t>
            </w:r>
            <w:r w:rsidR="000B09D2">
              <w:rPr>
                <w:sz w:val="20"/>
                <w:szCs w:val="20"/>
                <w:lang w:val="es-ES_tradnl"/>
              </w:rPr>
              <w:t xml:space="preserve">Elaborar </w:t>
            </w:r>
            <w:r w:rsidR="00197A00" w:rsidRPr="00932F5A">
              <w:rPr>
                <w:sz w:val="20"/>
                <w:szCs w:val="20"/>
                <w:lang w:val="es-ES_tradnl"/>
              </w:rPr>
              <w:t>metodología</w:t>
            </w:r>
            <w:r w:rsidR="00936784" w:rsidRPr="00932F5A">
              <w:rPr>
                <w:sz w:val="20"/>
                <w:szCs w:val="20"/>
                <w:lang w:val="es-ES_tradnl"/>
              </w:rPr>
              <w:t xml:space="preserve"> </w:t>
            </w:r>
            <w:r w:rsidR="00834D22">
              <w:rPr>
                <w:sz w:val="20"/>
                <w:szCs w:val="20"/>
                <w:lang w:val="es-ES_tradnl"/>
              </w:rPr>
              <w:t xml:space="preserve">para </w:t>
            </w:r>
            <w:r w:rsidR="00B328A5">
              <w:rPr>
                <w:sz w:val="20"/>
                <w:szCs w:val="20"/>
                <w:lang w:val="es-ES_tradnl"/>
              </w:rPr>
              <w:t>fijar</w:t>
            </w:r>
            <w:r w:rsidR="00834D22">
              <w:rPr>
                <w:sz w:val="20"/>
                <w:szCs w:val="20"/>
                <w:lang w:val="es-ES_tradnl"/>
              </w:rPr>
              <w:t xml:space="preserve"> el </w:t>
            </w:r>
            <w:r w:rsidR="00EB43C3" w:rsidRPr="00932F5A">
              <w:rPr>
                <w:sz w:val="20"/>
                <w:szCs w:val="20"/>
                <w:lang w:val="es-ES_tradnl"/>
              </w:rPr>
              <w:t>punto</w:t>
            </w:r>
            <w:r w:rsidR="00936784" w:rsidRPr="00932F5A">
              <w:rPr>
                <w:sz w:val="20"/>
                <w:szCs w:val="20"/>
                <w:lang w:val="es-ES_tradnl"/>
              </w:rPr>
              <w:t xml:space="preserve"> </w:t>
            </w:r>
            <w:r w:rsidR="003543D0" w:rsidRPr="00932F5A">
              <w:rPr>
                <w:sz w:val="20"/>
                <w:szCs w:val="20"/>
                <w:lang w:val="es-ES_tradnl"/>
              </w:rPr>
              <w:t>de</w:t>
            </w:r>
            <w:r w:rsidR="00936784" w:rsidRPr="00932F5A">
              <w:rPr>
                <w:sz w:val="20"/>
                <w:szCs w:val="20"/>
                <w:lang w:val="es-ES_tradnl"/>
              </w:rPr>
              <w:t xml:space="preserve"> </w:t>
            </w:r>
            <w:r w:rsidR="003543D0" w:rsidRPr="00932F5A">
              <w:rPr>
                <w:sz w:val="20"/>
                <w:szCs w:val="20"/>
                <w:lang w:val="es-ES_tradnl"/>
              </w:rPr>
              <w:t>partida</w:t>
            </w:r>
            <w:r w:rsidR="00936784" w:rsidRPr="00932F5A">
              <w:rPr>
                <w:sz w:val="20"/>
                <w:szCs w:val="20"/>
                <w:lang w:val="es-ES_tradnl"/>
              </w:rPr>
              <w:t xml:space="preserve"> </w:t>
            </w:r>
            <w:r w:rsidR="00F07DF3">
              <w:rPr>
                <w:sz w:val="20"/>
                <w:szCs w:val="20"/>
                <w:lang w:val="es-ES_tradnl"/>
              </w:rPr>
              <w:t>de</w:t>
            </w:r>
            <w:r w:rsidR="00936784" w:rsidRPr="00932F5A">
              <w:rPr>
                <w:sz w:val="20"/>
                <w:szCs w:val="20"/>
                <w:lang w:val="es-ES_tradnl"/>
              </w:rPr>
              <w:t xml:space="preserve"> </w:t>
            </w:r>
            <w:r w:rsidR="004A2DFF">
              <w:rPr>
                <w:sz w:val="20"/>
                <w:szCs w:val="20"/>
                <w:lang w:val="es-ES_tradnl"/>
              </w:rPr>
              <w:t xml:space="preserve">las </w:t>
            </w:r>
            <w:r w:rsidR="003543D0" w:rsidRPr="00932F5A">
              <w:rPr>
                <w:sz w:val="20"/>
                <w:szCs w:val="20"/>
                <w:lang w:val="es-ES_tradnl"/>
              </w:rPr>
              <w:t>reducciones</w:t>
            </w:r>
            <w:r w:rsidR="00936784" w:rsidRPr="00932F5A">
              <w:rPr>
                <w:sz w:val="20"/>
                <w:szCs w:val="20"/>
                <w:lang w:val="es-ES_tradnl"/>
              </w:rPr>
              <w:t xml:space="preserve"> </w:t>
            </w:r>
            <w:r w:rsidR="003543D0" w:rsidRPr="00932F5A">
              <w:rPr>
                <w:sz w:val="20"/>
                <w:szCs w:val="20"/>
                <w:lang w:val="es-ES_tradnl"/>
              </w:rPr>
              <w:t>acumulativas</w:t>
            </w:r>
            <w:r w:rsidR="00936784" w:rsidRPr="00932F5A">
              <w:rPr>
                <w:sz w:val="20"/>
                <w:szCs w:val="20"/>
                <w:lang w:val="es-ES_tradnl"/>
              </w:rPr>
              <w:t xml:space="preserve"> </w:t>
            </w:r>
            <w:r w:rsidR="003543D0" w:rsidRPr="00932F5A">
              <w:rPr>
                <w:sz w:val="20"/>
                <w:szCs w:val="20"/>
                <w:lang w:val="es-ES_tradnl"/>
              </w:rPr>
              <w:t>sostenidas</w:t>
            </w:r>
            <w:r w:rsidR="004A2DFF">
              <w:rPr>
                <w:sz w:val="20"/>
                <w:szCs w:val="20"/>
                <w:lang w:val="es-ES_tradnl"/>
              </w:rPr>
              <w:t>.</w:t>
            </w:r>
            <w:r w:rsidR="00AE0EBB" w:rsidRPr="00932F5A">
              <w:rPr>
                <w:sz w:val="20"/>
                <w:szCs w:val="20"/>
                <w:vertAlign w:val="superscript"/>
                <w:lang w:val="es-ES_tradnl"/>
              </w:rPr>
              <w:t>b</w:t>
            </w:r>
          </w:p>
        </w:tc>
      </w:tr>
      <w:tr w:rsidR="00241111" w:rsidRPr="00932F5A" w14:paraId="0CC9644D" w14:textId="77777777" w:rsidTr="007908E5">
        <w:trPr>
          <w:trHeight w:val="249"/>
        </w:trPr>
        <w:tc>
          <w:tcPr>
            <w:tcW w:w="0" w:type="auto"/>
          </w:tcPr>
          <w:p w14:paraId="4F331B01" w14:textId="6E051F78" w:rsidR="00437CD6" w:rsidRPr="00932F5A" w:rsidRDefault="00EB43C3" w:rsidP="004517FC">
            <w:pPr>
              <w:pStyle w:val="Heading1"/>
              <w:numPr>
                <w:ilvl w:val="0"/>
                <w:numId w:val="0"/>
              </w:numPr>
              <w:spacing w:after="0"/>
              <w:jc w:val="left"/>
              <w:outlineLvl w:val="0"/>
              <w:rPr>
                <w:sz w:val="20"/>
                <w:szCs w:val="20"/>
                <w:lang w:val="es-ES_tradnl"/>
              </w:rPr>
            </w:pPr>
            <w:r w:rsidRPr="00932F5A">
              <w:rPr>
                <w:sz w:val="20"/>
                <w:szCs w:val="20"/>
                <w:lang w:val="es-ES_tradnl"/>
              </w:rPr>
              <w:t>Sobrecostos</w:t>
            </w:r>
            <w:r w:rsidR="00936784" w:rsidRPr="00932F5A">
              <w:rPr>
                <w:sz w:val="20"/>
                <w:szCs w:val="20"/>
                <w:lang w:val="es-ES_tradnl"/>
              </w:rPr>
              <w:t xml:space="preserve"> </w:t>
            </w:r>
            <w:r w:rsidRPr="00932F5A">
              <w:rPr>
                <w:sz w:val="20"/>
                <w:szCs w:val="20"/>
                <w:lang w:val="es-ES_tradnl"/>
              </w:rPr>
              <w:t>admisibles</w:t>
            </w:r>
          </w:p>
        </w:tc>
        <w:tc>
          <w:tcPr>
            <w:tcW w:w="0" w:type="auto"/>
          </w:tcPr>
          <w:p w14:paraId="769FDD49" w14:textId="77777777" w:rsidR="00437CD6" w:rsidRPr="00932F5A" w:rsidRDefault="00437CD6" w:rsidP="004517FC">
            <w:pPr>
              <w:pStyle w:val="Heading1"/>
              <w:numPr>
                <w:ilvl w:val="0"/>
                <w:numId w:val="0"/>
              </w:numPr>
              <w:spacing w:after="0"/>
              <w:jc w:val="left"/>
              <w:outlineLvl w:val="0"/>
              <w:rPr>
                <w:sz w:val="20"/>
                <w:szCs w:val="20"/>
                <w:lang w:val="es-ES_tradnl"/>
              </w:rPr>
            </w:pPr>
            <w:r w:rsidRPr="00932F5A">
              <w:rPr>
                <w:sz w:val="20"/>
                <w:szCs w:val="20"/>
                <w:lang w:val="es-ES_tradnl"/>
              </w:rPr>
              <w:t>15</w:t>
            </w:r>
          </w:p>
        </w:tc>
        <w:tc>
          <w:tcPr>
            <w:tcW w:w="0" w:type="auto"/>
          </w:tcPr>
          <w:p w14:paraId="6DF9373F" w14:textId="77777777" w:rsidR="00437CD6" w:rsidRPr="00932F5A" w:rsidRDefault="00437CD6" w:rsidP="00320ECB">
            <w:pPr>
              <w:pStyle w:val="Heading1"/>
              <w:numPr>
                <w:ilvl w:val="0"/>
                <w:numId w:val="0"/>
              </w:numPr>
              <w:spacing w:after="0"/>
              <w:outlineLvl w:val="0"/>
              <w:rPr>
                <w:sz w:val="20"/>
                <w:szCs w:val="20"/>
                <w:lang w:val="es-ES_tradnl"/>
              </w:rPr>
            </w:pPr>
          </w:p>
        </w:tc>
      </w:tr>
      <w:tr w:rsidR="00241111" w:rsidRPr="00A45122" w14:paraId="2397A04E" w14:textId="77777777" w:rsidTr="00761539">
        <w:tc>
          <w:tcPr>
            <w:tcW w:w="0" w:type="auto"/>
          </w:tcPr>
          <w:p w14:paraId="25198D8E" w14:textId="51C0C83A" w:rsidR="00437CD6" w:rsidRPr="00932F5A" w:rsidRDefault="00841337" w:rsidP="00DD17FC">
            <w:pPr>
              <w:pStyle w:val="Heading1"/>
              <w:numPr>
                <w:ilvl w:val="0"/>
                <w:numId w:val="0"/>
              </w:numPr>
              <w:tabs>
                <w:tab w:val="left" w:pos="158"/>
              </w:tabs>
              <w:spacing w:after="0"/>
              <w:ind w:left="142" w:hanging="142"/>
              <w:jc w:val="left"/>
              <w:outlineLvl w:val="0"/>
              <w:rPr>
                <w:sz w:val="20"/>
                <w:szCs w:val="20"/>
                <w:lang w:val="es-ES_tradnl"/>
              </w:rPr>
            </w:pPr>
            <w:r>
              <w:rPr>
                <w:sz w:val="20"/>
                <w:szCs w:val="20"/>
                <w:lang w:val="es-ES_tradnl"/>
              </w:rPr>
              <w:t>Consumo en el sector manufacturero</w:t>
            </w:r>
          </w:p>
        </w:tc>
        <w:tc>
          <w:tcPr>
            <w:tcW w:w="0" w:type="auto"/>
          </w:tcPr>
          <w:p w14:paraId="6058412C" w14:textId="624F27DD" w:rsidR="00437CD6" w:rsidRPr="00932F5A" w:rsidRDefault="00437CD6" w:rsidP="004517FC">
            <w:pPr>
              <w:pStyle w:val="Heading1"/>
              <w:numPr>
                <w:ilvl w:val="0"/>
                <w:numId w:val="0"/>
              </w:numPr>
              <w:spacing w:after="0"/>
              <w:jc w:val="left"/>
              <w:outlineLvl w:val="0"/>
              <w:rPr>
                <w:sz w:val="20"/>
                <w:szCs w:val="20"/>
                <w:lang w:val="es-ES_tradnl"/>
              </w:rPr>
            </w:pPr>
            <w:r w:rsidRPr="00932F5A">
              <w:rPr>
                <w:sz w:val="20"/>
                <w:szCs w:val="20"/>
                <w:lang w:val="es-ES_tradnl"/>
              </w:rPr>
              <w:t>15(a)</w:t>
            </w:r>
            <w:r w:rsidR="00936784" w:rsidRPr="00932F5A">
              <w:rPr>
                <w:sz w:val="20"/>
                <w:szCs w:val="20"/>
                <w:lang w:val="es-ES_tradnl"/>
              </w:rPr>
              <w:t xml:space="preserve"> </w:t>
            </w:r>
          </w:p>
        </w:tc>
        <w:tc>
          <w:tcPr>
            <w:tcW w:w="0" w:type="auto"/>
          </w:tcPr>
          <w:p w14:paraId="34C924DA" w14:textId="6C7ACF55" w:rsidR="00437CD6" w:rsidRPr="00932F5A" w:rsidRDefault="00D91DDF" w:rsidP="00BB51C0">
            <w:pPr>
              <w:pStyle w:val="Heading1"/>
              <w:numPr>
                <w:ilvl w:val="0"/>
                <w:numId w:val="0"/>
              </w:numPr>
              <w:spacing w:after="0"/>
              <w:outlineLvl w:val="0"/>
              <w:rPr>
                <w:sz w:val="20"/>
                <w:szCs w:val="20"/>
                <w:lang w:val="es-ES_tradnl"/>
              </w:rPr>
            </w:pPr>
            <w:r>
              <w:rPr>
                <w:sz w:val="20"/>
                <w:szCs w:val="20"/>
                <w:lang w:val="es-ES_tradnl"/>
              </w:rPr>
              <w:t>Texto sobre categorías</w:t>
            </w:r>
            <w:r w:rsidR="00936784" w:rsidRPr="00932F5A">
              <w:rPr>
                <w:sz w:val="20"/>
                <w:szCs w:val="20"/>
                <w:lang w:val="es-ES_tradnl"/>
              </w:rPr>
              <w:t xml:space="preserve"> </w:t>
            </w:r>
            <w:r w:rsidR="003543D0" w:rsidRPr="00932F5A">
              <w:rPr>
                <w:sz w:val="20"/>
                <w:szCs w:val="20"/>
                <w:lang w:val="es-ES_tradnl"/>
              </w:rPr>
              <w:t>de</w:t>
            </w:r>
            <w:r w:rsidR="00936784" w:rsidRPr="00932F5A">
              <w:rPr>
                <w:sz w:val="20"/>
                <w:szCs w:val="20"/>
                <w:lang w:val="es-ES_tradnl"/>
              </w:rPr>
              <w:t xml:space="preserve"> </w:t>
            </w:r>
            <w:r w:rsidR="00197A00" w:rsidRPr="00932F5A">
              <w:rPr>
                <w:sz w:val="20"/>
                <w:szCs w:val="20"/>
                <w:lang w:val="es-ES_tradnl"/>
              </w:rPr>
              <w:t>costos</w:t>
            </w:r>
            <w:r w:rsidR="00936784" w:rsidRPr="00932F5A">
              <w:rPr>
                <w:sz w:val="20"/>
                <w:szCs w:val="20"/>
                <w:lang w:val="es-ES_tradnl"/>
              </w:rPr>
              <w:t xml:space="preserve"> </w:t>
            </w:r>
            <w:r w:rsidR="00197A00" w:rsidRPr="00932F5A">
              <w:rPr>
                <w:sz w:val="20"/>
                <w:szCs w:val="20"/>
                <w:lang w:val="es-ES_tradnl"/>
              </w:rPr>
              <w:t>admisibles</w:t>
            </w:r>
            <w:r w:rsidR="00936784" w:rsidRPr="00932F5A">
              <w:rPr>
                <w:sz w:val="20"/>
                <w:szCs w:val="20"/>
                <w:lang w:val="es-ES_tradnl"/>
              </w:rPr>
              <w:t xml:space="preserve"> </w:t>
            </w:r>
            <w:r w:rsidR="001F0C07" w:rsidRPr="001F0C07">
              <w:rPr>
                <w:sz w:val="20"/>
                <w:szCs w:val="20"/>
                <w:lang w:val="es-ES_tradnl"/>
              </w:rPr>
              <w:t xml:space="preserve">incluido </w:t>
            </w:r>
            <w:r w:rsidR="00044C63">
              <w:rPr>
                <w:sz w:val="20"/>
                <w:szCs w:val="20"/>
                <w:lang w:val="es-ES_tradnl"/>
              </w:rPr>
              <w:t>en plantilla</w:t>
            </w:r>
            <w:r w:rsidR="006D7387">
              <w:rPr>
                <w:sz w:val="20"/>
                <w:szCs w:val="20"/>
                <w:lang w:val="es-ES_tradnl"/>
              </w:rPr>
              <w:t xml:space="preserve"> preliminar</w:t>
            </w:r>
            <w:r w:rsidR="00437CD6" w:rsidRPr="00932F5A">
              <w:rPr>
                <w:sz w:val="20"/>
                <w:szCs w:val="20"/>
                <w:lang w:val="es-ES_tradnl"/>
              </w:rPr>
              <w:t>.</w:t>
            </w:r>
            <w:r w:rsidR="00936784" w:rsidRPr="00932F5A">
              <w:rPr>
                <w:sz w:val="20"/>
                <w:szCs w:val="20"/>
                <w:lang w:val="es-ES_tradnl"/>
              </w:rPr>
              <w:t xml:space="preserve"> </w:t>
            </w:r>
            <w:r w:rsidR="00BB51C0">
              <w:rPr>
                <w:sz w:val="20"/>
                <w:szCs w:val="20"/>
                <w:lang w:val="es-ES_tradnl"/>
              </w:rPr>
              <w:t>Fijar</w:t>
            </w:r>
            <w:r w:rsidR="005D047B">
              <w:rPr>
                <w:sz w:val="20"/>
                <w:szCs w:val="20"/>
                <w:lang w:val="es-ES_tradnl"/>
              </w:rPr>
              <w:t xml:space="preserve"> </w:t>
            </w:r>
            <w:r w:rsidR="00236FFD">
              <w:rPr>
                <w:sz w:val="20"/>
                <w:szCs w:val="20"/>
                <w:lang w:val="es-ES_tradnl"/>
              </w:rPr>
              <w:t>límites</w:t>
            </w:r>
            <w:r w:rsidR="00726447">
              <w:rPr>
                <w:sz w:val="20"/>
                <w:szCs w:val="20"/>
                <w:lang w:val="es-ES_tradnl"/>
              </w:rPr>
              <w:t xml:space="preserve"> costo-beneficio</w:t>
            </w:r>
            <w:r w:rsidR="00936784" w:rsidRPr="00932F5A">
              <w:rPr>
                <w:sz w:val="20"/>
                <w:szCs w:val="20"/>
                <w:lang w:val="es-ES_tradnl"/>
              </w:rPr>
              <w:t xml:space="preserve"> </w:t>
            </w:r>
            <w:r w:rsidR="00645D13">
              <w:rPr>
                <w:sz w:val="20"/>
                <w:szCs w:val="20"/>
                <w:lang w:val="es-ES_tradnl"/>
              </w:rPr>
              <w:t>en base a</w:t>
            </w:r>
            <w:r w:rsidR="00087B9E">
              <w:rPr>
                <w:sz w:val="20"/>
                <w:szCs w:val="20"/>
                <w:lang w:val="es-ES_tradnl"/>
              </w:rPr>
              <w:t xml:space="preserve"> </w:t>
            </w:r>
            <w:r w:rsidR="00645D13">
              <w:rPr>
                <w:sz w:val="20"/>
                <w:szCs w:val="20"/>
                <w:lang w:val="es-ES_tradnl"/>
              </w:rPr>
              <w:t xml:space="preserve">los </w:t>
            </w:r>
            <w:r w:rsidR="008B2E22" w:rsidRPr="00932F5A">
              <w:rPr>
                <w:sz w:val="20"/>
                <w:szCs w:val="20"/>
                <w:lang w:val="es-ES_tradnl"/>
              </w:rPr>
              <w:t>datos</w:t>
            </w:r>
            <w:r w:rsidR="00936784" w:rsidRPr="00932F5A">
              <w:rPr>
                <w:sz w:val="20"/>
                <w:szCs w:val="20"/>
                <w:lang w:val="es-ES_tradnl"/>
              </w:rPr>
              <w:t xml:space="preserve"> </w:t>
            </w:r>
            <w:r w:rsidR="00C4027C">
              <w:rPr>
                <w:sz w:val="20"/>
                <w:szCs w:val="20"/>
                <w:lang w:val="es-ES_tradnl"/>
              </w:rPr>
              <w:t xml:space="preserve">arrojados por </w:t>
            </w:r>
            <w:r w:rsidR="009A338D">
              <w:rPr>
                <w:sz w:val="20"/>
                <w:szCs w:val="20"/>
                <w:lang w:val="es-ES_tradnl"/>
              </w:rPr>
              <w:t xml:space="preserve">los </w:t>
            </w:r>
            <w:r w:rsidR="00B4338E">
              <w:rPr>
                <w:sz w:val="20"/>
                <w:szCs w:val="20"/>
                <w:lang w:val="es-ES_tradnl"/>
              </w:rPr>
              <w:t xml:space="preserve">proyectos de </w:t>
            </w:r>
            <w:r w:rsidR="003543D0" w:rsidRPr="00932F5A">
              <w:rPr>
                <w:sz w:val="20"/>
                <w:szCs w:val="20"/>
                <w:lang w:val="es-ES_tradnl"/>
              </w:rPr>
              <w:t>eliminación</w:t>
            </w:r>
            <w:r w:rsidR="00936784" w:rsidRPr="00932F5A">
              <w:rPr>
                <w:sz w:val="20"/>
                <w:szCs w:val="20"/>
                <w:lang w:val="es-ES_tradnl"/>
              </w:rPr>
              <w:t xml:space="preserve"> </w:t>
            </w:r>
            <w:r w:rsidR="00B4338E">
              <w:rPr>
                <w:sz w:val="20"/>
                <w:szCs w:val="20"/>
                <w:lang w:val="es-ES_tradnl"/>
              </w:rPr>
              <w:t>de HFC aprobados.</w:t>
            </w:r>
            <w:r w:rsidR="00AE0EBB" w:rsidRPr="00932F5A">
              <w:rPr>
                <w:sz w:val="20"/>
                <w:szCs w:val="20"/>
                <w:vertAlign w:val="superscript"/>
                <w:lang w:val="es-ES_tradnl"/>
              </w:rPr>
              <w:t>c</w:t>
            </w:r>
          </w:p>
        </w:tc>
      </w:tr>
      <w:tr w:rsidR="00241111" w:rsidRPr="00A45122" w14:paraId="2E3C78D7" w14:textId="77777777" w:rsidTr="007908E5">
        <w:trPr>
          <w:trHeight w:val="498"/>
        </w:trPr>
        <w:tc>
          <w:tcPr>
            <w:tcW w:w="0" w:type="auto"/>
          </w:tcPr>
          <w:p w14:paraId="0AED9366" w14:textId="5FC1274B" w:rsidR="00437CD6" w:rsidRPr="00932F5A" w:rsidRDefault="00437CD6" w:rsidP="00E7419B">
            <w:pPr>
              <w:pStyle w:val="Heading1"/>
              <w:numPr>
                <w:ilvl w:val="0"/>
                <w:numId w:val="0"/>
              </w:numPr>
              <w:tabs>
                <w:tab w:val="left" w:pos="158"/>
              </w:tabs>
              <w:spacing w:after="0"/>
              <w:ind w:left="142" w:hanging="142"/>
              <w:jc w:val="left"/>
              <w:outlineLvl w:val="0"/>
              <w:rPr>
                <w:sz w:val="20"/>
                <w:szCs w:val="20"/>
                <w:lang w:val="es-ES_tradnl"/>
              </w:rPr>
            </w:pPr>
            <w:r w:rsidRPr="00932F5A">
              <w:rPr>
                <w:sz w:val="20"/>
                <w:szCs w:val="20"/>
                <w:lang w:val="es-ES_tradnl"/>
              </w:rPr>
              <w:tab/>
            </w:r>
            <w:r w:rsidR="00EA4DA0" w:rsidRPr="00932F5A">
              <w:rPr>
                <w:sz w:val="20"/>
                <w:szCs w:val="20"/>
                <w:lang w:val="es-ES_tradnl"/>
              </w:rPr>
              <w:t>Sector</w:t>
            </w:r>
            <w:r w:rsidR="00936784" w:rsidRPr="00932F5A">
              <w:rPr>
                <w:sz w:val="20"/>
                <w:szCs w:val="20"/>
                <w:lang w:val="es-ES_tradnl"/>
              </w:rPr>
              <w:t xml:space="preserve"> </w:t>
            </w:r>
            <w:r w:rsidR="00EA4DA0" w:rsidRPr="00932F5A">
              <w:rPr>
                <w:sz w:val="20"/>
                <w:szCs w:val="20"/>
                <w:lang w:val="es-ES_tradnl"/>
              </w:rPr>
              <w:t>producción</w:t>
            </w:r>
          </w:p>
        </w:tc>
        <w:tc>
          <w:tcPr>
            <w:tcW w:w="0" w:type="auto"/>
          </w:tcPr>
          <w:p w14:paraId="573C7955" w14:textId="77777777" w:rsidR="00437CD6" w:rsidRPr="00932F5A" w:rsidRDefault="00437CD6" w:rsidP="004517FC">
            <w:pPr>
              <w:pStyle w:val="Heading1"/>
              <w:numPr>
                <w:ilvl w:val="0"/>
                <w:numId w:val="0"/>
              </w:numPr>
              <w:spacing w:after="0"/>
              <w:jc w:val="left"/>
              <w:outlineLvl w:val="0"/>
              <w:rPr>
                <w:sz w:val="20"/>
                <w:szCs w:val="20"/>
                <w:lang w:val="es-ES_tradnl"/>
              </w:rPr>
            </w:pPr>
            <w:r w:rsidRPr="00932F5A">
              <w:rPr>
                <w:sz w:val="20"/>
                <w:szCs w:val="20"/>
                <w:lang w:val="es-ES_tradnl"/>
              </w:rPr>
              <w:t>15(b)</w:t>
            </w:r>
          </w:p>
        </w:tc>
        <w:tc>
          <w:tcPr>
            <w:tcW w:w="0" w:type="auto"/>
          </w:tcPr>
          <w:p w14:paraId="4607A472" w14:textId="1A0E8982" w:rsidR="00437CD6" w:rsidRPr="00932F5A" w:rsidRDefault="00D91DDF" w:rsidP="00320ECB">
            <w:pPr>
              <w:pStyle w:val="Heading1"/>
              <w:numPr>
                <w:ilvl w:val="0"/>
                <w:numId w:val="0"/>
              </w:numPr>
              <w:spacing w:after="0"/>
              <w:outlineLvl w:val="0"/>
              <w:rPr>
                <w:sz w:val="20"/>
                <w:szCs w:val="20"/>
                <w:lang w:val="es-ES_tradnl"/>
              </w:rPr>
            </w:pPr>
            <w:r>
              <w:rPr>
                <w:sz w:val="20"/>
                <w:szCs w:val="20"/>
                <w:lang w:val="es-ES_tradnl"/>
              </w:rPr>
              <w:t>Texto sobre categorías</w:t>
            </w:r>
            <w:r w:rsidR="00936784" w:rsidRPr="00932F5A">
              <w:rPr>
                <w:sz w:val="20"/>
                <w:szCs w:val="20"/>
                <w:lang w:val="es-ES_tradnl"/>
              </w:rPr>
              <w:t xml:space="preserve"> </w:t>
            </w:r>
            <w:r w:rsidR="003543D0" w:rsidRPr="00932F5A">
              <w:rPr>
                <w:sz w:val="20"/>
                <w:szCs w:val="20"/>
                <w:lang w:val="es-ES_tradnl"/>
              </w:rPr>
              <w:t>de</w:t>
            </w:r>
            <w:r w:rsidR="00936784" w:rsidRPr="00932F5A">
              <w:rPr>
                <w:sz w:val="20"/>
                <w:szCs w:val="20"/>
                <w:lang w:val="es-ES_tradnl"/>
              </w:rPr>
              <w:t xml:space="preserve"> </w:t>
            </w:r>
            <w:r w:rsidR="00197A00" w:rsidRPr="00932F5A">
              <w:rPr>
                <w:sz w:val="20"/>
                <w:szCs w:val="20"/>
                <w:lang w:val="es-ES_tradnl"/>
              </w:rPr>
              <w:t>costos</w:t>
            </w:r>
            <w:r w:rsidR="00936784" w:rsidRPr="00932F5A">
              <w:rPr>
                <w:sz w:val="20"/>
                <w:szCs w:val="20"/>
                <w:lang w:val="es-ES_tradnl"/>
              </w:rPr>
              <w:t xml:space="preserve"> </w:t>
            </w:r>
            <w:r w:rsidR="00197A00" w:rsidRPr="00932F5A">
              <w:rPr>
                <w:sz w:val="20"/>
                <w:szCs w:val="20"/>
                <w:lang w:val="es-ES_tradnl"/>
              </w:rPr>
              <w:t>admisibles</w:t>
            </w:r>
            <w:r w:rsidR="00936784" w:rsidRPr="00932F5A">
              <w:rPr>
                <w:sz w:val="20"/>
                <w:szCs w:val="20"/>
                <w:lang w:val="es-ES_tradnl"/>
              </w:rPr>
              <w:t xml:space="preserve"> </w:t>
            </w:r>
            <w:r w:rsidR="001F0C07" w:rsidRPr="001F0C07">
              <w:rPr>
                <w:sz w:val="20"/>
                <w:szCs w:val="20"/>
                <w:lang w:val="es-ES_tradnl"/>
              </w:rPr>
              <w:t xml:space="preserve">incluido </w:t>
            </w:r>
            <w:r w:rsidR="00641177">
              <w:rPr>
                <w:sz w:val="20"/>
                <w:szCs w:val="20"/>
                <w:lang w:val="es-ES_tradnl"/>
              </w:rPr>
              <w:t>en plantilla preliminar</w:t>
            </w:r>
            <w:r w:rsidR="00EF6B28">
              <w:rPr>
                <w:sz w:val="20"/>
                <w:szCs w:val="20"/>
                <w:lang w:val="es-ES_tradnl"/>
              </w:rPr>
              <w:t>.</w:t>
            </w:r>
          </w:p>
        </w:tc>
      </w:tr>
      <w:tr w:rsidR="00241111" w:rsidRPr="00932F5A" w14:paraId="3FD5AD79" w14:textId="77777777" w:rsidTr="007908E5">
        <w:trPr>
          <w:trHeight w:val="384"/>
        </w:trPr>
        <w:tc>
          <w:tcPr>
            <w:tcW w:w="0" w:type="auto"/>
          </w:tcPr>
          <w:p w14:paraId="60F49842" w14:textId="0FB849A4" w:rsidR="00437CD6" w:rsidRPr="00932F5A" w:rsidRDefault="00437CD6" w:rsidP="00E7419B">
            <w:pPr>
              <w:pStyle w:val="Heading1"/>
              <w:numPr>
                <w:ilvl w:val="0"/>
                <w:numId w:val="0"/>
              </w:numPr>
              <w:tabs>
                <w:tab w:val="left" w:pos="158"/>
              </w:tabs>
              <w:spacing w:after="0"/>
              <w:ind w:left="142" w:hanging="142"/>
              <w:jc w:val="left"/>
              <w:outlineLvl w:val="0"/>
              <w:rPr>
                <w:sz w:val="20"/>
                <w:szCs w:val="20"/>
                <w:lang w:val="es-ES_tradnl"/>
              </w:rPr>
            </w:pPr>
            <w:r w:rsidRPr="00932F5A">
              <w:rPr>
                <w:sz w:val="20"/>
                <w:szCs w:val="20"/>
                <w:lang w:val="es-ES_tradnl"/>
              </w:rPr>
              <w:tab/>
            </w:r>
            <w:r w:rsidR="003543D0" w:rsidRPr="00932F5A">
              <w:rPr>
                <w:sz w:val="20"/>
                <w:szCs w:val="20"/>
                <w:lang w:val="es-ES_tradnl"/>
              </w:rPr>
              <w:t>Sector</w:t>
            </w:r>
            <w:r w:rsidR="00936784" w:rsidRPr="00932F5A">
              <w:rPr>
                <w:sz w:val="20"/>
                <w:szCs w:val="20"/>
                <w:lang w:val="es-ES_tradnl"/>
              </w:rPr>
              <w:t xml:space="preserve"> </w:t>
            </w:r>
            <w:r w:rsidR="003543D0" w:rsidRPr="00932F5A">
              <w:rPr>
                <w:sz w:val="20"/>
                <w:szCs w:val="20"/>
                <w:lang w:val="es-ES_tradnl"/>
              </w:rPr>
              <w:t>servicio</w:t>
            </w:r>
            <w:r w:rsidR="00936784" w:rsidRPr="00932F5A">
              <w:rPr>
                <w:sz w:val="20"/>
                <w:szCs w:val="20"/>
                <w:lang w:val="es-ES_tradnl"/>
              </w:rPr>
              <w:t xml:space="preserve"> </w:t>
            </w:r>
            <w:r w:rsidR="003543D0" w:rsidRPr="00932F5A">
              <w:rPr>
                <w:sz w:val="20"/>
                <w:szCs w:val="20"/>
                <w:lang w:val="es-ES_tradnl"/>
              </w:rPr>
              <w:t>técnico</w:t>
            </w:r>
            <w:r w:rsidR="00936784" w:rsidRPr="00932F5A">
              <w:rPr>
                <w:sz w:val="20"/>
                <w:szCs w:val="20"/>
                <w:lang w:val="es-ES_tradnl"/>
              </w:rPr>
              <w:t xml:space="preserve"> </w:t>
            </w:r>
            <w:r w:rsidR="003543D0" w:rsidRPr="00932F5A">
              <w:rPr>
                <w:sz w:val="20"/>
                <w:szCs w:val="20"/>
                <w:lang w:val="es-ES_tradnl"/>
              </w:rPr>
              <w:t>de</w:t>
            </w:r>
            <w:r w:rsidR="00936784" w:rsidRPr="00932F5A">
              <w:rPr>
                <w:sz w:val="20"/>
                <w:szCs w:val="20"/>
                <w:lang w:val="es-ES_tradnl"/>
              </w:rPr>
              <w:t xml:space="preserve"> </w:t>
            </w:r>
            <w:r w:rsidR="003543D0" w:rsidRPr="00932F5A">
              <w:rPr>
                <w:sz w:val="20"/>
                <w:szCs w:val="20"/>
                <w:lang w:val="es-ES_tradnl"/>
              </w:rPr>
              <w:t>equipos</w:t>
            </w:r>
            <w:r w:rsidR="00936784" w:rsidRPr="00932F5A">
              <w:rPr>
                <w:sz w:val="20"/>
                <w:szCs w:val="20"/>
                <w:lang w:val="es-ES_tradnl"/>
              </w:rPr>
              <w:t xml:space="preserve"> </w:t>
            </w:r>
            <w:r w:rsidR="003543D0" w:rsidRPr="00932F5A">
              <w:rPr>
                <w:sz w:val="20"/>
                <w:szCs w:val="20"/>
                <w:lang w:val="es-ES_tradnl"/>
              </w:rPr>
              <w:t>de</w:t>
            </w:r>
            <w:r w:rsidR="00936784" w:rsidRPr="00932F5A">
              <w:rPr>
                <w:sz w:val="20"/>
                <w:szCs w:val="20"/>
                <w:lang w:val="es-ES_tradnl"/>
              </w:rPr>
              <w:t xml:space="preserve"> </w:t>
            </w:r>
            <w:r w:rsidR="003543D0" w:rsidRPr="00932F5A">
              <w:rPr>
                <w:sz w:val="20"/>
                <w:szCs w:val="20"/>
                <w:lang w:val="es-ES_tradnl"/>
              </w:rPr>
              <w:t>refrigeración</w:t>
            </w:r>
          </w:p>
        </w:tc>
        <w:tc>
          <w:tcPr>
            <w:tcW w:w="0" w:type="auto"/>
          </w:tcPr>
          <w:p w14:paraId="2282191C" w14:textId="77777777" w:rsidR="00437CD6" w:rsidRPr="00932F5A" w:rsidRDefault="00437CD6" w:rsidP="004517FC">
            <w:pPr>
              <w:pStyle w:val="Heading1"/>
              <w:numPr>
                <w:ilvl w:val="0"/>
                <w:numId w:val="0"/>
              </w:numPr>
              <w:spacing w:after="0"/>
              <w:jc w:val="left"/>
              <w:outlineLvl w:val="0"/>
              <w:rPr>
                <w:sz w:val="20"/>
                <w:szCs w:val="20"/>
                <w:lang w:val="es-ES_tradnl"/>
              </w:rPr>
            </w:pPr>
            <w:r w:rsidRPr="00932F5A">
              <w:rPr>
                <w:sz w:val="20"/>
                <w:szCs w:val="20"/>
                <w:lang w:val="es-ES_tradnl"/>
              </w:rPr>
              <w:t>15(c)</w:t>
            </w:r>
          </w:p>
        </w:tc>
        <w:tc>
          <w:tcPr>
            <w:tcW w:w="0" w:type="auto"/>
          </w:tcPr>
          <w:p w14:paraId="740A07AF" w14:textId="09225C25" w:rsidR="00437CD6" w:rsidRPr="00932F5A" w:rsidRDefault="00D91DDF" w:rsidP="006808DE">
            <w:pPr>
              <w:pStyle w:val="Heading1"/>
              <w:numPr>
                <w:ilvl w:val="0"/>
                <w:numId w:val="0"/>
              </w:numPr>
              <w:spacing w:after="0"/>
              <w:outlineLvl w:val="0"/>
              <w:rPr>
                <w:sz w:val="20"/>
                <w:szCs w:val="20"/>
                <w:lang w:val="es-ES_tradnl"/>
              </w:rPr>
            </w:pPr>
            <w:r>
              <w:rPr>
                <w:sz w:val="20"/>
                <w:szCs w:val="20"/>
                <w:lang w:val="es-ES_tradnl"/>
              </w:rPr>
              <w:t>Texto sobre categorías</w:t>
            </w:r>
            <w:r w:rsidR="00936784" w:rsidRPr="00932F5A">
              <w:rPr>
                <w:sz w:val="20"/>
                <w:szCs w:val="20"/>
                <w:lang w:val="es-ES_tradnl"/>
              </w:rPr>
              <w:t xml:space="preserve"> </w:t>
            </w:r>
            <w:r w:rsidR="003543D0" w:rsidRPr="00932F5A">
              <w:rPr>
                <w:sz w:val="20"/>
                <w:szCs w:val="20"/>
                <w:lang w:val="es-ES_tradnl"/>
              </w:rPr>
              <w:t>de</w:t>
            </w:r>
            <w:r w:rsidR="00936784" w:rsidRPr="00932F5A">
              <w:rPr>
                <w:sz w:val="20"/>
                <w:szCs w:val="20"/>
                <w:lang w:val="es-ES_tradnl"/>
              </w:rPr>
              <w:t xml:space="preserve"> </w:t>
            </w:r>
            <w:r w:rsidR="00197A00" w:rsidRPr="00932F5A">
              <w:rPr>
                <w:sz w:val="20"/>
                <w:szCs w:val="20"/>
                <w:lang w:val="es-ES_tradnl"/>
              </w:rPr>
              <w:t>costos</w:t>
            </w:r>
            <w:r w:rsidR="00936784" w:rsidRPr="00932F5A">
              <w:rPr>
                <w:sz w:val="20"/>
                <w:szCs w:val="20"/>
                <w:lang w:val="es-ES_tradnl"/>
              </w:rPr>
              <w:t xml:space="preserve"> </w:t>
            </w:r>
            <w:r w:rsidR="00197A00" w:rsidRPr="00932F5A">
              <w:rPr>
                <w:sz w:val="20"/>
                <w:szCs w:val="20"/>
                <w:lang w:val="es-ES_tradnl"/>
              </w:rPr>
              <w:t>admisibles</w:t>
            </w:r>
            <w:r w:rsidR="00936784" w:rsidRPr="00932F5A">
              <w:rPr>
                <w:sz w:val="20"/>
                <w:szCs w:val="20"/>
                <w:lang w:val="es-ES_tradnl"/>
              </w:rPr>
              <w:t xml:space="preserve"> </w:t>
            </w:r>
            <w:r w:rsidR="001F0C07" w:rsidRPr="001F0C07">
              <w:rPr>
                <w:sz w:val="20"/>
                <w:szCs w:val="20"/>
                <w:lang w:val="es-ES_tradnl"/>
              </w:rPr>
              <w:t xml:space="preserve">incluido </w:t>
            </w:r>
            <w:r w:rsidR="00044C63">
              <w:rPr>
                <w:sz w:val="20"/>
                <w:szCs w:val="20"/>
                <w:lang w:val="es-ES_tradnl"/>
              </w:rPr>
              <w:t>en plantilla</w:t>
            </w:r>
            <w:r w:rsidR="006D7387">
              <w:rPr>
                <w:sz w:val="20"/>
                <w:szCs w:val="20"/>
                <w:lang w:val="es-ES_tradnl"/>
              </w:rPr>
              <w:t xml:space="preserve"> preliminar</w:t>
            </w:r>
            <w:r w:rsidR="00437CD6" w:rsidRPr="00932F5A">
              <w:rPr>
                <w:sz w:val="20"/>
                <w:szCs w:val="20"/>
                <w:lang w:val="es-ES_tradnl"/>
              </w:rPr>
              <w:t>.</w:t>
            </w:r>
            <w:r w:rsidR="00936784" w:rsidRPr="00932F5A">
              <w:rPr>
                <w:sz w:val="20"/>
                <w:szCs w:val="20"/>
                <w:lang w:val="es-ES_tradnl"/>
              </w:rPr>
              <w:t xml:space="preserve"> </w:t>
            </w:r>
            <w:r w:rsidR="005D047B">
              <w:rPr>
                <w:sz w:val="20"/>
                <w:szCs w:val="20"/>
                <w:lang w:val="es-ES_tradnl"/>
              </w:rPr>
              <w:t xml:space="preserve">Establecer </w:t>
            </w:r>
            <w:r w:rsidR="00236FFD">
              <w:rPr>
                <w:sz w:val="20"/>
                <w:szCs w:val="20"/>
                <w:lang w:val="es-ES_tradnl"/>
              </w:rPr>
              <w:t>límites</w:t>
            </w:r>
            <w:r w:rsidR="00132D59" w:rsidRPr="00132D59">
              <w:rPr>
                <w:sz w:val="20"/>
                <w:szCs w:val="20"/>
                <w:lang w:val="es-ES_tradnl"/>
              </w:rPr>
              <w:t xml:space="preserve"> </w:t>
            </w:r>
            <w:r w:rsidR="00726447">
              <w:rPr>
                <w:sz w:val="20"/>
                <w:szCs w:val="20"/>
                <w:lang w:val="es-ES_tradnl"/>
              </w:rPr>
              <w:t>costo-beneficio</w:t>
            </w:r>
            <w:r w:rsidR="00132D59">
              <w:rPr>
                <w:sz w:val="20"/>
                <w:szCs w:val="20"/>
                <w:lang w:val="es-ES_tradnl"/>
              </w:rPr>
              <w:t>.</w:t>
            </w:r>
            <w:r w:rsidR="00AE0EBB" w:rsidRPr="00932F5A">
              <w:rPr>
                <w:sz w:val="20"/>
                <w:szCs w:val="20"/>
                <w:vertAlign w:val="superscript"/>
                <w:lang w:val="es-ES_tradnl"/>
              </w:rPr>
              <w:t>d</w:t>
            </w:r>
          </w:p>
        </w:tc>
      </w:tr>
      <w:tr w:rsidR="00241111" w:rsidRPr="00A45122" w14:paraId="5F18A414" w14:textId="77777777" w:rsidTr="007908E5">
        <w:trPr>
          <w:trHeight w:val="2474"/>
        </w:trPr>
        <w:tc>
          <w:tcPr>
            <w:tcW w:w="0" w:type="auto"/>
          </w:tcPr>
          <w:p w14:paraId="036CE030" w14:textId="47EBBC51" w:rsidR="00437CD6" w:rsidRPr="00932F5A" w:rsidRDefault="005F1C91" w:rsidP="004517FC">
            <w:pPr>
              <w:jc w:val="left"/>
              <w:rPr>
                <w:sz w:val="20"/>
                <w:szCs w:val="20"/>
                <w:lang w:val="es-ES_tradnl"/>
              </w:rPr>
            </w:pPr>
            <w:r w:rsidRPr="00932F5A">
              <w:rPr>
                <w:sz w:val="20"/>
                <w:szCs w:val="20"/>
                <w:lang w:val="es-ES_tradnl"/>
              </w:rPr>
              <w:t>Eficiencia</w:t>
            </w:r>
            <w:r w:rsidR="00936784" w:rsidRPr="00932F5A">
              <w:rPr>
                <w:sz w:val="20"/>
                <w:szCs w:val="20"/>
                <w:lang w:val="es-ES_tradnl"/>
              </w:rPr>
              <w:t xml:space="preserve"> </w:t>
            </w:r>
            <w:r w:rsidRPr="00932F5A">
              <w:rPr>
                <w:sz w:val="20"/>
                <w:szCs w:val="20"/>
                <w:lang w:val="es-ES_tradnl"/>
              </w:rPr>
              <w:t>energética</w:t>
            </w:r>
          </w:p>
        </w:tc>
        <w:tc>
          <w:tcPr>
            <w:tcW w:w="0" w:type="auto"/>
          </w:tcPr>
          <w:p w14:paraId="02E15421" w14:textId="719DE4B7" w:rsidR="00437CD6" w:rsidRPr="00932F5A" w:rsidRDefault="00437CD6" w:rsidP="004517FC">
            <w:pPr>
              <w:jc w:val="left"/>
              <w:rPr>
                <w:sz w:val="20"/>
                <w:szCs w:val="20"/>
                <w:lang w:val="es-ES_tradnl"/>
              </w:rPr>
            </w:pPr>
            <w:r w:rsidRPr="00932F5A">
              <w:rPr>
                <w:sz w:val="20"/>
                <w:szCs w:val="20"/>
                <w:lang w:val="es-ES_tradnl"/>
              </w:rPr>
              <w:t>22</w:t>
            </w:r>
            <w:r w:rsidR="00936784" w:rsidRPr="00932F5A">
              <w:rPr>
                <w:sz w:val="20"/>
                <w:szCs w:val="20"/>
                <w:lang w:val="es-ES_tradnl"/>
              </w:rPr>
              <w:t xml:space="preserve"> </w:t>
            </w:r>
          </w:p>
        </w:tc>
        <w:tc>
          <w:tcPr>
            <w:tcW w:w="0" w:type="auto"/>
          </w:tcPr>
          <w:p w14:paraId="19651C6E" w14:textId="65EA4E30" w:rsidR="00437CD6" w:rsidRPr="00932F5A" w:rsidRDefault="00E62543" w:rsidP="00320ECB">
            <w:pPr>
              <w:rPr>
                <w:sz w:val="20"/>
                <w:szCs w:val="20"/>
                <w:lang w:val="es-ES_tradnl"/>
              </w:rPr>
            </w:pPr>
            <w:r>
              <w:rPr>
                <w:sz w:val="20"/>
                <w:szCs w:val="20"/>
                <w:lang w:val="es-ES_tradnl"/>
              </w:rPr>
              <w:t>A discutir</w:t>
            </w:r>
            <w:r w:rsidR="00936784" w:rsidRPr="00932F5A">
              <w:rPr>
                <w:sz w:val="20"/>
                <w:szCs w:val="20"/>
                <w:lang w:val="es-ES_tradnl"/>
              </w:rPr>
              <w:t xml:space="preserve"> </w:t>
            </w:r>
            <w:r w:rsidR="002F1A8E">
              <w:rPr>
                <w:sz w:val="20"/>
                <w:szCs w:val="20"/>
                <w:lang w:val="es-ES_tradnl"/>
              </w:rPr>
              <w:t xml:space="preserve">en </w:t>
            </w:r>
            <w:r w:rsidR="001A2C2F">
              <w:rPr>
                <w:sz w:val="20"/>
                <w:szCs w:val="20"/>
                <w:lang w:val="es-ES_tradnl"/>
              </w:rPr>
              <w:t>la 83</w:t>
            </w:r>
            <w:r w:rsidR="005F33A5">
              <w:rPr>
                <w:sz w:val="20"/>
                <w:szCs w:val="20"/>
                <w:lang w:val="es-ES_tradnl"/>
              </w:rPr>
              <w:t>ª reunión</w:t>
            </w:r>
            <w:r w:rsidR="00936784" w:rsidRPr="00932F5A">
              <w:rPr>
                <w:sz w:val="20"/>
                <w:szCs w:val="20"/>
                <w:lang w:val="es-ES_tradnl"/>
              </w:rPr>
              <w:t xml:space="preserve"> </w:t>
            </w:r>
            <w:r w:rsidR="00F91705" w:rsidRPr="00F91705">
              <w:rPr>
                <w:sz w:val="20"/>
                <w:szCs w:val="20"/>
                <w:lang w:val="es-ES_tradnl"/>
              </w:rPr>
              <w:t>en el marco de</w:t>
            </w:r>
            <w:r w:rsidR="002F1A8E">
              <w:rPr>
                <w:sz w:val="20"/>
                <w:szCs w:val="20"/>
                <w:lang w:val="es-ES_tradnl"/>
              </w:rPr>
              <w:t xml:space="preserve"> </w:t>
            </w:r>
            <w:r w:rsidR="008C44AB">
              <w:rPr>
                <w:sz w:val="20"/>
                <w:szCs w:val="20"/>
                <w:lang w:val="es-ES_tradnl"/>
              </w:rPr>
              <w:t xml:space="preserve">la </w:t>
            </w:r>
            <w:r w:rsidR="002F1A8E">
              <w:rPr>
                <w:sz w:val="20"/>
                <w:szCs w:val="20"/>
                <w:lang w:val="es-ES_tradnl"/>
              </w:rPr>
              <w:t>cuestión del orden</w:t>
            </w:r>
            <w:r w:rsidR="00936784" w:rsidRPr="00932F5A">
              <w:rPr>
                <w:sz w:val="20"/>
                <w:szCs w:val="20"/>
                <w:lang w:val="es-ES_tradnl"/>
              </w:rPr>
              <w:t xml:space="preserve"> </w:t>
            </w:r>
            <w:r w:rsidR="00A66CB0" w:rsidRPr="00932F5A">
              <w:rPr>
                <w:sz w:val="20"/>
                <w:szCs w:val="20"/>
                <w:lang w:val="es-ES_tradnl"/>
              </w:rPr>
              <w:t>del</w:t>
            </w:r>
            <w:r w:rsidR="00936784" w:rsidRPr="00932F5A">
              <w:rPr>
                <w:sz w:val="20"/>
                <w:szCs w:val="20"/>
                <w:lang w:val="es-ES_tradnl"/>
              </w:rPr>
              <w:t xml:space="preserve"> </w:t>
            </w:r>
            <w:r w:rsidR="00A66CB0" w:rsidRPr="00932F5A">
              <w:rPr>
                <w:sz w:val="20"/>
                <w:szCs w:val="20"/>
                <w:lang w:val="es-ES_tradnl"/>
              </w:rPr>
              <w:t>día</w:t>
            </w:r>
            <w:r w:rsidR="00936784" w:rsidRPr="00932F5A">
              <w:rPr>
                <w:sz w:val="20"/>
                <w:szCs w:val="20"/>
                <w:lang w:val="es-ES_tradnl"/>
              </w:rPr>
              <w:t xml:space="preserve"> </w:t>
            </w:r>
            <w:r w:rsidR="00437CD6" w:rsidRPr="00932F5A">
              <w:rPr>
                <w:sz w:val="20"/>
                <w:szCs w:val="20"/>
                <w:lang w:val="es-ES_tradnl"/>
              </w:rPr>
              <w:t>12(a)</w:t>
            </w:r>
            <w:r w:rsidR="009268C5">
              <w:rPr>
                <w:sz w:val="20"/>
                <w:szCs w:val="20"/>
                <w:lang w:val="es-ES_tradnl"/>
              </w:rPr>
              <w:t xml:space="preserve">, </w:t>
            </w:r>
            <w:r w:rsidR="00FD644B">
              <w:rPr>
                <w:sz w:val="20"/>
                <w:szCs w:val="20"/>
                <w:lang w:val="es-ES_tradnl"/>
              </w:rPr>
              <w:t xml:space="preserve">en base a </w:t>
            </w:r>
            <w:r w:rsidR="00D910B0">
              <w:rPr>
                <w:sz w:val="20"/>
                <w:szCs w:val="20"/>
                <w:lang w:val="es-ES_tradnl"/>
              </w:rPr>
              <w:t>lo</w:t>
            </w:r>
            <w:r w:rsidR="005E7D21" w:rsidRPr="00932F5A">
              <w:rPr>
                <w:sz w:val="20"/>
                <w:szCs w:val="20"/>
                <w:lang w:val="es-ES_tradnl"/>
              </w:rPr>
              <w:t>s</w:t>
            </w:r>
            <w:r w:rsidR="00936784" w:rsidRPr="00932F5A">
              <w:rPr>
                <w:sz w:val="20"/>
                <w:szCs w:val="20"/>
                <w:lang w:val="es-ES_tradnl"/>
              </w:rPr>
              <w:t xml:space="preserve"> </w:t>
            </w:r>
            <w:r w:rsidR="005E7D21" w:rsidRPr="00932F5A">
              <w:rPr>
                <w:sz w:val="20"/>
                <w:szCs w:val="20"/>
                <w:lang w:val="es-ES_tradnl"/>
              </w:rPr>
              <w:t>siguientes</w:t>
            </w:r>
            <w:r w:rsidR="00936784" w:rsidRPr="00932F5A">
              <w:rPr>
                <w:sz w:val="20"/>
                <w:szCs w:val="20"/>
                <w:lang w:val="es-ES_tradnl"/>
              </w:rPr>
              <w:t xml:space="preserve"> </w:t>
            </w:r>
            <w:r w:rsidR="00FF6784" w:rsidRPr="00932F5A">
              <w:rPr>
                <w:sz w:val="20"/>
                <w:szCs w:val="20"/>
                <w:lang w:val="es-ES_tradnl"/>
              </w:rPr>
              <w:t>documentos</w:t>
            </w:r>
            <w:r w:rsidR="00437CD6" w:rsidRPr="00932F5A">
              <w:rPr>
                <w:sz w:val="20"/>
                <w:szCs w:val="20"/>
                <w:lang w:val="es-ES_tradnl"/>
              </w:rPr>
              <w:t>:</w:t>
            </w:r>
          </w:p>
          <w:p w14:paraId="57006268" w14:textId="34D38664" w:rsidR="00437CD6" w:rsidRPr="00932F5A" w:rsidRDefault="00356C20" w:rsidP="00320ECB">
            <w:pPr>
              <w:pStyle w:val="ListParagraph"/>
              <w:numPr>
                <w:ilvl w:val="0"/>
                <w:numId w:val="27"/>
              </w:numPr>
              <w:tabs>
                <w:tab w:val="left" w:pos="190"/>
              </w:tabs>
              <w:ind w:left="164" w:hanging="164"/>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Formas </w:t>
            </w:r>
            <w:r w:rsidR="00581CEA">
              <w:rPr>
                <w:rFonts w:ascii="Times New Roman" w:hAnsi="Times New Roman" w:cs="Times New Roman"/>
                <w:sz w:val="20"/>
                <w:szCs w:val="20"/>
                <w:lang w:val="es-ES_tradnl"/>
              </w:rPr>
              <w:t xml:space="preserve">de llevar a la práctica </w:t>
            </w:r>
            <w:r w:rsidR="00381EE4">
              <w:rPr>
                <w:rFonts w:ascii="Times New Roman" w:hAnsi="Times New Roman" w:cs="Times New Roman"/>
                <w:sz w:val="20"/>
                <w:szCs w:val="20"/>
                <w:lang w:val="es-ES_tradnl"/>
              </w:rPr>
              <w:t>los</w:t>
            </w:r>
            <w:r w:rsidR="00581CEA">
              <w:rPr>
                <w:rFonts w:ascii="Times New Roman" w:hAnsi="Times New Roman" w:cs="Times New Roman"/>
                <w:sz w:val="20"/>
                <w:szCs w:val="20"/>
                <w:lang w:val="es-ES_tradnl"/>
              </w:rPr>
              <w:t xml:space="preserve"> párrafo</w:t>
            </w:r>
            <w:r w:rsidR="00381EE4">
              <w:rPr>
                <w:rFonts w:ascii="Times New Roman" w:hAnsi="Times New Roman" w:cs="Times New Roman"/>
                <w:sz w:val="20"/>
                <w:szCs w:val="20"/>
                <w:lang w:val="es-ES_tradnl"/>
              </w:rPr>
              <w:t>s</w:t>
            </w:r>
            <w:r w:rsidR="001E747E">
              <w:rPr>
                <w:rFonts w:ascii="Times New Roman" w:hAnsi="Times New Roman" w:cs="Times New Roman"/>
                <w:sz w:val="20"/>
                <w:szCs w:val="20"/>
                <w:lang w:val="es-ES_tradnl"/>
              </w:rPr>
              <w:t xml:space="preserve"> </w:t>
            </w:r>
            <w:r w:rsidR="00381EE4">
              <w:rPr>
                <w:rFonts w:ascii="Times New Roman" w:hAnsi="Times New Roman" w:cs="Times New Roman"/>
                <w:sz w:val="20"/>
                <w:szCs w:val="20"/>
                <w:lang w:val="es-ES_tradnl"/>
              </w:rPr>
              <w:t xml:space="preserve">16 de la decisión XXVIII/2 y </w:t>
            </w:r>
            <w:r w:rsidR="00437CD6" w:rsidRPr="00932F5A">
              <w:rPr>
                <w:rFonts w:ascii="Times New Roman" w:hAnsi="Times New Roman" w:cs="Times New Roman"/>
                <w:sz w:val="20"/>
                <w:szCs w:val="20"/>
                <w:lang w:val="es-ES_tradnl"/>
              </w:rPr>
              <w:t>2</w:t>
            </w:r>
            <w:r w:rsidR="00936784" w:rsidRPr="00932F5A">
              <w:rPr>
                <w:rFonts w:ascii="Times New Roman" w:hAnsi="Times New Roman" w:cs="Times New Roman"/>
                <w:sz w:val="20"/>
                <w:szCs w:val="20"/>
                <w:lang w:val="es-ES_tradnl"/>
              </w:rPr>
              <w:t xml:space="preserve"> </w:t>
            </w:r>
            <w:r w:rsidR="00EB43C3" w:rsidRPr="00932F5A">
              <w:rPr>
                <w:rFonts w:ascii="Times New Roman" w:hAnsi="Times New Roman" w:cs="Times New Roman"/>
                <w:sz w:val="20"/>
                <w:szCs w:val="20"/>
                <w:lang w:val="es-ES_tradnl"/>
              </w:rPr>
              <w:t>de</w:t>
            </w:r>
            <w:r w:rsidR="00936784" w:rsidRPr="00932F5A">
              <w:rPr>
                <w:rFonts w:ascii="Times New Roman" w:hAnsi="Times New Roman" w:cs="Times New Roman"/>
                <w:sz w:val="20"/>
                <w:szCs w:val="20"/>
                <w:lang w:val="es-ES_tradnl"/>
              </w:rPr>
              <w:t xml:space="preserve"> </w:t>
            </w:r>
            <w:r w:rsidR="00EB43C3" w:rsidRPr="00932F5A">
              <w:rPr>
                <w:rFonts w:ascii="Times New Roman" w:hAnsi="Times New Roman" w:cs="Times New Roman"/>
                <w:sz w:val="20"/>
                <w:szCs w:val="20"/>
                <w:lang w:val="es-ES_tradnl"/>
              </w:rPr>
              <w:t>la</w:t>
            </w:r>
            <w:r w:rsidR="00936784" w:rsidRPr="00932F5A">
              <w:rPr>
                <w:rFonts w:ascii="Times New Roman" w:hAnsi="Times New Roman" w:cs="Times New Roman"/>
                <w:sz w:val="20"/>
                <w:szCs w:val="20"/>
                <w:lang w:val="es-ES_tradnl"/>
              </w:rPr>
              <w:t xml:space="preserve"> </w:t>
            </w:r>
            <w:r w:rsidR="00EB43C3" w:rsidRPr="00932F5A">
              <w:rPr>
                <w:rFonts w:ascii="Times New Roman" w:hAnsi="Times New Roman" w:cs="Times New Roman"/>
                <w:sz w:val="20"/>
                <w:szCs w:val="20"/>
                <w:lang w:val="es-ES_tradnl"/>
              </w:rPr>
              <w:t>decisión</w:t>
            </w:r>
            <w:r w:rsidR="00936784" w:rsidRPr="00932F5A">
              <w:rPr>
                <w:rFonts w:ascii="Times New Roman" w:hAnsi="Times New Roman" w:cs="Times New Roman"/>
                <w:sz w:val="20"/>
                <w:szCs w:val="20"/>
                <w:lang w:val="es-ES_tradnl"/>
              </w:rPr>
              <w:t xml:space="preserve"> </w:t>
            </w:r>
            <w:r w:rsidR="00437CD6" w:rsidRPr="00932F5A">
              <w:rPr>
                <w:rFonts w:ascii="Times New Roman" w:hAnsi="Times New Roman" w:cs="Times New Roman"/>
                <w:sz w:val="20"/>
                <w:szCs w:val="20"/>
                <w:lang w:val="es-ES_tradnl"/>
              </w:rPr>
              <w:t>XXX/5</w:t>
            </w:r>
            <w:r w:rsidR="00194DBC">
              <w:rPr>
                <w:rFonts w:ascii="Times New Roman" w:hAnsi="Times New Roman" w:cs="Times New Roman"/>
                <w:sz w:val="20"/>
                <w:szCs w:val="20"/>
                <w:lang w:val="es-ES_tradnl"/>
              </w:rPr>
              <w:t>.</w:t>
            </w:r>
            <w:r w:rsidR="00AE0EBB" w:rsidRPr="00932F5A">
              <w:rPr>
                <w:rFonts w:ascii="Times New Roman" w:hAnsi="Times New Roman" w:cs="Times New Roman"/>
                <w:sz w:val="20"/>
                <w:szCs w:val="20"/>
                <w:vertAlign w:val="superscript"/>
                <w:lang w:val="es-ES_tradnl"/>
              </w:rPr>
              <w:t>e</w:t>
            </w:r>
          </w:p>
          <w:p w14:paraId="44CC1456" w14:textId="6A66CF0F" w:rsidR="00437CD6" w:rsidRPr="00932F5A" w:rsidRDefault="00C23C41" w:rsidP="00320ECB">
            <w:pPr>
              <w:pStyle w:val="ListParagraph"/>
              <w:numPr>
                <w:ilvl w:val="0"/>
                <w:numId w:val="27"/>
              </w:numPr>
              <w:tabs>
                <w:tab w:val="left" w:pos="190"/>
              </w:tabs>
              <w:ind w:left="164" w:hanging="164"/>
              <w:rPr>
                <w:rFonts w:ascii="Times New Roman" w:hAnsi="Times New Roman" w:cs="Times New Roman"/>
                <w:sz w:val="20"/>
                <w:szCs w:val="20"/>
                <w:lang w:val="es-ES_tradnl"/>
              </w:rPr>
            </w:pPr>
            <w:r>
              <w:rPr>
                <w:rFonts w:ascii="Times New Roman" w:hAnsi="Times New Roman" w:cs="Times New Roman"/>
                <w:sz w:val="20"/>
                <w:szCs w:val="20"/>
                <w:lang w:val="es-ES_tradnl"/>
              </w:rPr>
              <w:t>Antecedentes</w:t>
            </w:r>
            <w:r w:rsidR="00936784" w:rsidRPr="00932F5A">
              <w:rPr>
                <w:rFonts w:ascii="Times New Roman" w:hAnsi="Times New Roman" w:cs="Times New Roman"/>
                <w:sz w:val="20"/>
                <w:szCs w:val="20"/>
                <w:lang w:val="es-ES_tradnl"/>
              </w:rPr>
              <w:t xml:space="preserve"> </w:t>
            </w:r>
            <w:r w:rsidR="00A66CB0" w:rsidRPr="00932F5A">
              <w:rPr>
                <w:rFonts w:ascii="Times New Roman" w:hAnsi="Times New Roman" w:cs="Times New Roman"/>
                <w:sz w:val="20"/>
                <w:szCs w:val="20"/>
                <w:lang w:val="es-ES_tradnl"/>
              </w:rPr>
              <w:t>sobre</w:t>
            </w:r>
            <w:r w:rsidR="00936784" w:rsidRPr="00932F5A">
              <w:rPr>
                <w:rFonts w:ascii="Times New Roman" w:hAnsi="Times New Roman" w:cs="Times New Roman"/>
                <w:sz w:val="20"/>
                <w:szCs w:val="20"/>
                <w:lang w:val="es-ES_tradnl"/>
              </w:rPr>
              <w:t xml:space="preserve"> </w:t>
            </w:r>
            <w:r w:rsidR="00D352E8" w:rsidRPr="00932F5A">
              <w:rPr>
                <w:rFonts w:ascii="Times New Roman" w:hAnsi="Times New Roman" w:cs="Times New Roman"/>
                <w:sz w:val="20"/>
                <w:szCs w:val="20"/>
                <w:lang w:val="es-ES_tradnl"/>
              </w:rPr>
              <w:t>fondos</w:t>
            </w:r>
            <w:r w:rsidR="00936784" w:rsidRPr="00932F5A">
              <w:rPr>
                <w:rFonts w:ascii="Times New Roman" w:hAnsi="Times New Roman" w:cs="Times New Roman"/>
                <w:sz w:val="20"/>
                <w:szCs w:val="20"/>
                <w:lang w:val="es-ES_tradnl"/>
              </w:rPr>
              <w:t xml:space="preserve"> </w:t>
            </w:r>
            <w:r w:rsidR="00B26638">
              <w:rPr>
                <w:rFonts w:ascii="Times New Roman" w:hAnsi="Times New Roman" w:cs="Times New Roman"/>
                <w:sz w:val="20"/>
                <w:szCs w:val="20"/>
                <w:lang w:val="es-ES_tradnl"/>
              </w:rPr>
              <w:t>e</w:t>
            </w:r>
            <w:r w:rsidR="00936784" w:rsidRPr="00932F5A">
              <w:rPr>
                <w:rFonts w:ascii="Times New Roman" w:hAnsi="Times New Roman" w:cs="Times New Roman"/>
                <w:sz w:val="20"/>
                <w:szCs w:val="20"/>
                <w:lang w:val="es-ES_tradnl"/>
              </w:rPr>
              <w:t xml:space="preserve"> </w:t>
            </w:r>
            <w:r w:rsidR="00431F01">
              <w:rPr>
                <w:rFonts w:ascii="Times New Roman" w:hAnsi="Times New Roman" w:cs="Times New Roman"/>
                <w:sz w:val="20"/>
                <w:szCs w:val="20"/>
                <w:lang w:val="es-ES_tradnl"/>
              </w:rPr>
              <w:t>instituciones financieras</w:t>
            </w:r>
            <w:r w:rsidR="00936784" w:rsidRPr="00932F5A">
              <w:rPr>
                <w:rFonts w:ascii="Times New Roman" w:hAnsi="Times New Roman" w:cs="Times New Roman"/>
                <w:sz w:val="20"/>
                <w:szCs w:val="20"/>
                <w:lang w:val="es-ES_tradnl"/>
              </w:rPr>
              <w:t xml:space="preserve"> </w:t>
            </w:r>
            <w:r w:rsidR="005C688C">
              <w:rPr>
                <w:rFonts w:ascii="Times New Roman" w:hAnsi="Times New Roman" w:cs="Times New Roman"/>
                <w:sz w:val="20"/>
                <w:szCs w:val="20"/>
                <w:lang w:val="es-ES_tradnl"/>
              </w:rPr>
              <w:t xml:space="preserve">que movilicen </w:t>
            </w:r>
            <w:r w:rsidR="00EB43C3" w:rsidRPr="00932F5A">
              <w:rPr>
                <w:rFonts w:ascii="Times New Roman" w:hAnsi="Times New Roman" w:cs="Times New Roman"/>
                <w:sz w:val="20"/>
                <w:szCs w:val="20"/>
                <w:lang w:val="es-ES_tradnl"/>
              </w:rPr>
              <w:t>recursos</w:t>
            </w:r>
            <w:r w:rsidR="00936784" w:rsidRPr="00932F5A">
              <w:rPr>
                <w:rFonts w:ascii="Times New Roman" w:hAnsi="Times New Roman" w:cs="Times New Roman"/>
                <w:sz w:val="20"/>
                <w:szCs w:val="20"/>
                <w:lang w:val="es-ES_tradnl"/>
              </w:rPr>
              <w:t xml:space="preserve"> </w:t>
            </w:r>
            <w:r w:rsidR="005C688C">
              <w:rPr>
                <w:rFonts w:ascii="Times New Roman" w:hAnsi="Times New Roman" w:cs="Times New Roman"/>
                <w:sz w:val="20"/>
                <w:szCs w:val="20"/>
                <w:lang w:val="es-ES_tradnl"/>
              </w:rPr>
              <w:t xml:space="preserve">para </w:t>
            </w:r>
            <w:r w:rsidR="005F1C91" w:rsidRPr="00932F5A">
              <w:rPr>
                <w:rFonts w:ascii="Times New Roman" w:hAnsi="Times New Roman" w:cs="Times New Roman"/>
                <w:sz w:val="20"/>
                <w:szCs w:val="20"/>
                <w:lang w:val="es-ES_tradnl"/>
              </w:rPr>
              <w:t>eficiencia</w:t>
            </w:r>
            <w:r w:rsidR="00936784" w:rsidRPr="00932F5A">
              <w:rPr>
                <w:rFonts w:ascii="Times New Roman" w:hAnsi="Times New Roman" w:cs="Times New Roman"/>
                <w:sz w:val="20"/>
                <w:szCs w:val="20"/>
                <w:lang w:val="es-ES_tradnl"/>
              </w:rPr>
              <w:t xml:space="preserve"> </w:t>
            </w:r>
            <w:r w:rsidR="005F1C91" w:rsidRPr="00932F5A">
              <w:rPr>
                <w:rFonts w:ascii="Times New Roman" w:hAnsi="Times New Roman" w:cs="Times New Roman"/>
                <w:sz w:val="20"/>
                <w:szCs w:val="20"/>
                <w:lang w:val="es-ES_tradnl"/>
              </w:rPr>
              <w:t>energética</w:t>
            </w:r>
            <w:r w:rsidR="00936784" w:rsidRPr="00932F5A">
              <w:rPr>
                <w:rFonts w:ascii="Times New Roman" w:hAnsi="Times New Roman" w:cs="Times New Roman"/>
                <w:sz w:val="20"/>
                <w:szCs w:val="20"/>
                <w:lang w:val="es-ES_tradnl"/>
              </w:rPr>
              <w:t xml:space="preserve"> </w:t>
            </w:r>
            <w:r w:rsidR="003332CE">
              <w:rPr>
                <w:rFonts w:ascii="Times New Roman" w:hAnsi="Times New Roman" w:cs="Times New Roman"/>
                <w:sz w:val="20"/>
                <w:szCs w:val="20"/>
                <w:lang w:val="es-ES_tradnl"/>
              </w:rPr>
              <w:t xml:space="preserve">susceptibles de </w:t>
            </w:r>
            <w:r w:rsidR="00D61973">
              <w:rPr>
                <w:rFonts w:ascii="Times New Roman" w:hAnsi="Times New Roman" w:cs="Times New Roman"/>
                <w:sz w:val="20"/>
                <w:szCs w:val="20"/>
                <w:lang w:val="es-ES_tradnl"/>
              </w:rPr>
              <w:t>utilizar</w:t>
            </w:r>
            <w:r w:rsidR="000C6C8D">
              <w:rPr>
                <w:rFonts w:ascii="Times New Roman" w:hAnsi="Times New Roman" w:cs="Times New Roman"/>
                <w:sz w:val="20"/>
                <w:szCs w:val="20"/>
                <w:lang w:val="es-ES_tradnl"/>
              </w:rPr>
              <w:t>se</w:t>
            </w:r>
            <w:r w:rsidR="00D61973">
              <w:rPr>
                <w:rFonts w:ascii="Times New Roman" w:hAnsi="Times New Roman" w:cs="Times New Roman"/>
                <w:sz w:val="20"/>
                <w:szCs w:val="20"/>
                <w:lang w:val="es-ES_tradnl"/>
              </w:rPr>
              <w:t xml:space="preserve"> para </w:t>
            </w:r>
            <w:r w:rsidR="00EB43C3" w:rsidRPr="00932F5A">
              <w:rPr>
                <w:rFonts w:ascii="Times New Roman" w:hAnsi="Times New Roman" w:cs="Times New Roman"/>
                <w:sz w:val="20"/>
                <w:szCs w:val="20"/>
                <w:lang w:val="es-ES_tradnl"/>
              </w:rPr>
              <w:t>la</w:t>
            </w:r>
            <w:r w:rsidR="00936784" w:rsidRPr="00932F5A">
              <w:rPr>
                <w:rFonts w:ascii="Times New Roman" w:hAnsi="Times New Roman" w:cs="Times New Roman"/>
                <w:sz w:val="20"/>
                <w:szCs w:val="20"/>
                <w:lang w:val="es-ES_tradnl"/>
              </w:rPr>
              <w:t xml:space="preserve"> </w:t>
            </w:r>
            <w:r w:rsidR="00EB43C3" w:rsidRPr="00932F5A">
              <w:rPr>
                <w:rFonts w:ascii="Times New Roman" w:hAnsi="Times New Roman" w:cs="Times New Roman"/>
                <w:sz w:val="20"/>
                <w:szCs w:val="20"/>
                <w:lang w:val="es-ES_tradnl"/>
              </w:rPr>
              <w:t>reducción</w:t>
            </w:r>
            <w:r w:rsidR="00936784" w:rsidRPr="00932F5A">
              <w:rPr>
                <w:rFonts w:ascii="Times New Roman" w:hAnsi="Times New Roman" w:cs="Times New Roman"/>
                <w:sz w:val="20"/>
                <w:szCs w:val="20"/>
                <w:lang w:val="es-ES_tradnl"/>
              </w:rPr>
              <w:t xml:space="preserve"> </w:t>
            </w:r>
            <w:r w:rsidR="00EB43C3" w:rsidRPr="00932F5A">
              <w:rPr>
                <w:rFonts w:ascii="Times New Roman" w:hAnsi="Times New Roman" w:cs="Times New Roman"/>
                <w:sz w:val="20"/>
                <w:szCs w:val="20"/>
                <w:lang w:val="es-ES_tradnl"/>
              </w:rPr>
              <w:t>gradual</w:t>
            </w:r>
            <w:r w:rsidR="00936784" w:rsidRPr="00932F5A">
              <w:rPr>
                <w:rFonts w:ascii="Times New Roman" w:hAnsi="Times New Roman" w:cs="Times New Roman"/>
                <w:sz w:val="20"/>
                <w:szCs w:val="20"/>
                <w:lang w:val="es-ES_tradnl"/>
              </w:rPr>
              <w:t xml:space="preserve"> </w:t>
            </w:r>
            <w:r w:rsidR="00D61973">
              <w:rPr>
                <w:rFonts w:ascii="Times New Roman" w:hAnsi="Times New Roman" w:cs="Times New Roman"/>
                <w:sz w:val="20"/>
                <w:szCs w:val="20"/>
                <w:lang w:val="es-ES_tradnl"/>
              </w:rPr>
              <w:t>de HFC.</w:t>
            </w:r>
            <w:r w:rsidR="00AE0EBB" w:rsidRPr="00932F5A">
              <w:rPr>
                <w:rFonts w:ascii="Times New Roman" w:hAnsi="Times New Roman" w:cs="Times New Roman"/>
                <w:sz w:val="20"/>
                <w:szCs w:val="20"/>
                <w:vertAlign w:val="superscript"/>
                <w:lang w:val="es-ES_tradnl"/>
              </w:rPr>
              <w:t>f</w:t>
            </w:r>
          </w:p>
          <w:p w14:paraId="6434F7F0" w14:textId="190CF1AD" w:rsidR="00437CD6" w:rsidRPr="00932F5A" w:rsidRDefault="005F1C91" w:rsidP="000778AE">
            <w:pPr>
              <w:pStyle w:val="ListParagraph"/>
              <w:numPr>
                <w:ilvl w:val="0"/>
                <w:numId w:val="27"/>
              </w:numPr>
              <w:tabs>
                <w:tab w:val="left" w:pos="190"/>
              </w:tabs>
              <w:ind w:left="164" w:right="246" w:hanging="164"/>
              <w:rPr>
                <w:rFonts w:ascii="Times New Roman" w:hAnsi="Times New Roman" w:cs="Times New Roman"/>
                <w:sz w:val="20"/>
                <w:szCs w:val="20"/>
                <w:lang w:val="es-ES_tradnl"/>
              </w:rPr>
            </w:pPr>
            <w:r w:rsidRPr="00932F5A">
              <w:rPr>
                <w:rFonts w:ascii="Times New Roman" w:hAnsi="Times New Roman" w:cs="Times New Roman"/>
                <w:sz w:val="20"/>
                <w:szCs w:val="20"/>
                <w:lang w:val="es-ES_tradnl"/>
              </w:rPr>
              <w:t>Resumen</w:t>
            </w:r>
            <w:r w:rsidR="00936784" w:rsidRPr="00932F5A">
              <w:rPr>
                <w:rFonts w:ascii="Times New Roman" w:hAnsi="Times New Roman" w:cs="Times New Roman"/>
                <w:sz w:val="20"/>
                <w:szCs w:val="20"/>
                <w:lang w:val="es-ES_tradnl"/>
              </w:rPr>
              <w:t xml:space="preserve"> </w:t>
            </w:r>
            <w:r w:rsidR="005E7D21" w:rsidRPr="00932F5A">
              <w:rPr>
                <w:rFonts w:ascii="Times New Roman" w:hAnsi="Times New Roman" w:cs="Times New Roman"/>
                <w:sz w:val="20"/>
                <w:szCs w:val="20"/>
                <w:lang w:val="es-ES_tradnl"/>
              </w:rPr>
              <w:t>del</w:t>
            </w:r>
            <w:r w:rsidR="00936784" w:rsidRPr="00932F5A">
              <w:rPr>
                <w:rFonts w:ascii="Times New Roman" w:hAnsi="Times New Roman" w:cs="Times New Roman"/>
                <w:sz w:val="20"/>
                <w:szCs w:val="20"/>
                <w:lang w:val="es-ES_tradnl"/>
              </w:rPr>
              <w:t xml:space="preserve"> </w:t>
            </w:r>
            <w:r w:rsidR="00BA5A96">
              <w:rPr>
                <w:rFonts w:ascii="Times New Roman" w:hAnsi="Times New Roman" w:cs="Times New Roman"/>
                <w:sz w:val="20"/>
                <w:szCs w:val="20"/>
                <w:lang w:val="es-ES_tradnl"/>
              </w:rPr>
              <w:t>informe</w:t>
            </w:r>
            <w:r w:rsidR="00936784" w:rsidRPr="00932F5A">
              <w:rPr>
                <w:rFonts w:ascii="Times New Roman" w:hAnsi="Times New Roman" w:cs="Times New Roman"/>
                <w:sz w:val="20"/>
                <w:szCs w:val="20"/>
                <w:lang w:val="es-ES_tradnl"/>
              </w:rPr>
              <w:t xml:space="preserve"> </w:t>
            </w:r>
            <w:r w:rsidR="00AB4AFA">
              <w:rPr>
                <w:rFonts w:ascii="Times New Roman" w:hAnsi="Times New Roman" w:cs="Times New Roman"/>
                <w:sz w:val="20"/>
                <w:szCs w:val="20"/>
                <w:lang w:val="es-ES_tradnl"/>
              </w:rPr>
              <w:t xml:space="preserve">del </w:t>
            </w:r>
            <w:r w:rsidRPr="00932F5A">
              <w:rPr>
                <w:rFonts w:ascii="Times New Roman" w:hAnsi="Times New Roman" w:cs="Times New Roman"/>
                <w:sz w:val="20"/>
                <w:szCs w:val="20"/>
                <w:lang w:val="es-ES_tradnl"/>
              </w:rPr>
              <w:t>Grupo</w:t>
            </w:r>
            <w:r w:rsidR="00936784" w:rsidRPr="00932F5A">
              <w:rPr>
                <w:rFonts w:ascii="Times New Roman" w:hAnsi="Times New Roman" w:cs="Times New Roman"/>
                <w:sz w:val="20"/>
                <w:szCs w:val="20"/>
                <w:lang w:val="es-ES_tradnl"/>
              </w:rPr>
              <w:t xml:space="preserve"> </w:t>
            </w:r>
            <w:r w:rsidRPr="00932F5A">
              <w:rPr>
                <w:rFonts w:ascii="Times New Roman" w:hAnsi="Times New Roman" w:cs="Times New Roman"/>
                <w:sz w:val="20"/>
                <w:szCs w:val="20"/>
                <w:lang w:val="es-ES_tradnl"/>
              </w:rPr>
              <w:t>de</w:t>
            </w:r>
            <w:r w:rsidR="00936784" w:rsidRPr="00932F5A">
              <w:rPr>
                <w:rFonts w:ascii="Times New Roman" w:hAnsi="Times New Roman" w:cs="Times New Roman"/>
                <w:sz w:val="20"/>
                <w:szCs w:val="20"/>
                <w:lang w:val="es-ES_tradnl"/>
              </w:rPr>
              <w:t xml:space="preserve"> </w:t>
            </w:r>
            <w:r w:rsidRPr="00932F5A">
              <w:rPr>
                <w:rFonts w:ascii="Times New Roman" w:hAnsi="Times New Roman" w:cs="Times New Roman"/>
                <w:sz w:val="20"/>
                <w:szCs w:val="20"/>
                <w:lang w:val="es-ES_tradnl"/>
              </w:rPr>
              <w:t>evaluación</w:t>
            </w:r>
            <w:r w:rsidR="00936784" w:rsidRPr="00932F5A">
              <w:rPr>
                <w:rFonts w:ascii="Times New Roman" w:hAnsi="Times New Roman" w:cs="Times New Roman"/>
                <w:sz w:val="20"/>
                <w:szCs w:val="20"/>
                <w:lang w:val="es-ES_tradnl"/>
              </w:rPr>
              <w:t xml:space="preserve"> </w:t>
            </w:r>
            <w:r w:rsidRPr="00932F5A">
              <w:rPr>
                <w:rFonts w:ascii="Times New Roman" w:hAnsi="Times New Roman" w:cs="Times New Roman"/>
                <w:sz w:val="20"/>
                <w:szCs w:val="20"/>
                <w:lang w:val="es-ES_tradnl"/>
              </w:rPr>
              <w:t>tecnológica</w:t>
            </w:r>
            <w:r w:rsidR="00936784" w:rsidRPr="00932F5A">
              <w:rPr>
                <w:rFonts w:ascii="Times New Roman" w:hAnsi="Times New Roman" w:cs="Times New Roman"/>
                <w:sz w:val="20"/>
                <w:szCs w:val="20"/>
                <w:lang w:val="es-ES_tradnl"/>
              </w:rPr>
              <w:t xml:space="preserve"> </w:t>
            </w:r>
            <w:r w:rsidRPr="00932F5A">
              <w:rPr>
                <w:rFonts w:ascii="Times New Roman" w:hAnsi="Times New Roman" w:cs="Times New Roman"/>
                <w:sz w:val="20"/>
                <w:szCs w:val="20"/>
                <w:lang w:val="es-ES_tradnl"/>
              </w:rPr>
              <w:t>y</w:t>
            </w:r>
            <w:r w:rsidR="00936784" w:rsidRPr="00932F5A">
              <w:rPr>
                <w:rFonts w:ascii="Times New Roman" w:hAnsi="Times New Roman" w:cs="Times New Roman"/>
                <w:sz w:val="20"/>
                <w:szCs w:val="20"/>
                <w:lang w:val="es-ES_tradnl"/>
              </w:rPr>
              <w:t xml:space="preserve"> </w:t>
            </w:r>
            <w:r w:rsidRPr="00932F5A">
              <w:rPr>
                <w:rFonts w:ascii="Times New Roman" w:hAnsi="Times New Roman" w:cs="Times New Roman"/>
                <w:sz w:val="20"/>
                <w:szCs w:val="20"/>
                <w:lang w:val="es-ES_tradnl"/>
              </w:rPr>
              <w:t>económica</w:t>
            </w:r>
            <w:r w:rsidR="00936784" w:rsidRPr="00932F5A">
              <w:rPr>
                <w:rFonts w:ascii="Times New Roman" w:hAnsi="Times New Roman" w:cs="Times New Roman"/>
                <w:sz w:val="20"/>
                <w:szCs w:val="20"/>
                <w:lang w:val="es-ES_tradnl"/>
              </w:rPr>
              <w:t xml:space="preserve"> </w:t>
            </w:r>
            <w:r w:rsidR="004517FC" w:rsidRPr="00932F5A">
              <w:rPr>
                <w:rFonts w:ascii="Times New Roman" w:hAnsi="Times New Roman" w:cs="Times New Roman"/>
                <w:sz w:val="20"/>
                <w:szCs w:val="20"/>
                <w:lang w:val="es-ES_tradnl"/>
              </w:rPr>
              <w:t>(</w:t>
            </w:r>
            <w:r w:rsidR="00A66CB0" w:rsidRPr="00932F5A">
              <w:rPr>
                <w:rFonts w:ascii="Times New Roman" w:hAnsi="Times New Roman" w:cs="Times New Roman"/>
                <w:sz w:val="20"/>
                <w:szCs w:val="20"/>
                <w:lang w:val="es-ES_tradnl"/>
              </w:rPr>
              <w:t>GETE</w:t>
            </w:r>
            <w:r w:rsidR="004517FC" w:rsidRPr="00932F5A">
              <w:rPr>
                <w:rFonts w:ascii="Times New Roman" w:hAnsi="Times New Roman" w:cs="Times New Roman"/>
                <w:sz w:val="20"/>
                <w:szCs w:val="20"/>
                <w:lang w:val="es-ES_tradnl"/>
              </w:rPr>
              <w:t>)</w:t>
            </w:r>
            <w:r w:rsidR="00936784" w:rsidRPr="00932F5A">
              <w:rPr>
                <w:rFonts w:ascii="Times New Roman" w:hAnsi="Times New Roman" w:cs="Times New Roman"/>
                <w:sz w:val="20"/>
                <w:szCs w:val="20"/>
                <w:lang w:val="es-ES_tradnl"/>
              </w:rPr>
              <w:t xml:space="preserve"> </w:t>
            </w:r>
            <w:r w:rsidR="00B62114">
              <w:rPr>
                <w:rFonts w:ascii="Times New Roman" w:hAnsi="Times New Roman" w:cs="Times New Roman"/>
                <w:sz w:val="20"/>
                <w:szCs w:val="20"/>
                <w:lang w:val="es-ES_tradnl"/>
              </w:rPr>
              <w:t>sobre materias relativas a</w:t>
            </w:r>
            <w:r w:rsidR="00936784" w:rsidRPr="00932F5A">
              <w:rPr>
                <w:rFonts w:ascii="Times New Roman" w:hAnsi="Times New Roman" w:cs="Times New Roman"/>
                <w:sz w:val="20"/>
                <w:szCs w:val="20"/>
                <w:lang w:val="es-ES_tradnl"/>
              </w:rPr>
              <w:t xml:space="preserve"> </w:t>
            </w:r>
            <w:r w:rsidR="00143D8B">
              <w:rPr>
                <w:rFonts w:ascii="Times New Roman" w:hAnsi="Times New Roman" w:cs="Times New Roman"/>
                <w:sz w:val="20"/>
                <w:szCs w:val="20"/>
                <w:lang w:val="es-ES_tradnl"/>
              </w:rPr>
              <w:t xml:space="preserve">la </w:t>
            </w:r>
            <w:r w:rsidRPr="00932F5A">
              <w:rPr>
                <w:rFonts w:ascii="Times New Roman" w:hAnsi="Times New Roman" w:cs="Times New Roman"/>
                <w:sz w:val="20"/>
                <w:szCs w:val="20"/>
                <w:lang w:val="es-ES_tradnl"/>
              </w:rPr>
              <w:t>eficiencia</w:t>
            </w:r>
            <w:r w:rsidR="00936784" w:rsidRPr="00932F5A">
              <w:rPr>
                <w:rFonts w:ascii="Times New Roman" w:hAnsi="Times New Roman" w:cs="Times New Roman"/>
                <w:sz w:val="20"/>
                <w:szCs w:val="20"/>
                <w:lang w:val="es-ES_tradnl"/>
              </w:rPr>
              <w:t xml:space="preserve"> </w:t>
            </w:r>
            <w:r w:rsidRPr="00932F5A">
              <w:rPr>
                <w:rFonts w:ascii="Times New Roman" w:hAnsi="Times New Roman" w:cs="Times New Roman"/>
                <w:sz w:val="20"/>
                <w:szCs w:val="20"/>
                <w:lang w:val="es-ES_tradnl"/>
              </w:rPr>
              <w:t>energética</w:t>
            </w:r>
            <w:r w:rsidR="00936784" w:rsidRPr="00932F5A">
              <w:rPr>
                <w:rFonts w:ascii="Times New Roman" w:hAnsi="Times New Roman" w:cs="Times New Roman"/>
                <w:sz w:val="20"/>
                <w:szCs w:val="20"/>
                <w:lang w:val="es-ES_tradnl"/>
              </w:rPr>
              <w:t xml:space="preserve"> </w:t>
            </w:r>
            <w:r w:rsidR="00197A00" w:rsidRPr="00932F5A">
              <w:rPr>
                <w:rFonts w:ascii="Times New Roman" w:hAnsi="Times New Roman" w:cs="Times New Roman"/>
                <w:sz w:val="20"/>
                <w:szCs w:val="20"/>
                <w:lang w:val="es-ES_tradnl"/>
              </w:rPr>
              <w:t>en</w:t>
            </w:r>
            <w:r w:rsidR="00936784" w:rsidRPr="00932F5A">
              <w:rPr>
                <w:rFonts w:ascii="Times New Roman" w:hAnsi="Times New Roman" w:cs="Times New Roman"/>
                <w:sz w:val="20"/>
                <w:szCs w:val="20"/>
                <w:lang w:val="es-ES_tradnl"/>
              </w:rPr>
              <w:t xml:space="preserve"> </w:t>
            </w:r>
            <w:r w:rsidR="007F469C">
              <w:rPr>
                <w:rFonts w:ascii="Times New Roman" w:hAnsi="Times New Roman" w:cs="Times New Roman"/>
                <w:sz w:val="20"/>
                <w:szCs w:val="20"/>
                <w:lang w:val="es-ES_tradnl"/>
              </w:rPr>
              <w:t>el marco de</w:t>
            </w:r>
            <w:r w:rsidR="00936784" w:rsidRPr="00932F5A">
              <w:rPr>
                <w:rFonts w:ascii="Times New Roman" w:hAnsi="Times New Roman" w:cs="Times New Roman"/>
                <w:sz w:val="20"/>
                <w:szCs w:val="20"/>
                <w:lang w:val="es-ES_tradnl"/>
              </w:rPr>
              <w:t xml:space="preserve"> </w:t>
            </w:r>
            <w:r w:rsidR="009E1DFF">
              <w:rPr>
                <w:rFonts w:ascii="Times New Roman" w:hAnsi="Times New Roman" w:cs="Times New Roman"/>
                <w:sz w:val="20"/>
                <w:szCs w:val="20"/>
                <w:lang w:val="es-ES_tradnl"/>
              </w:rPr>
              <w:t xml:space="preserve">los temas </w:t>
            </w:r>
            <w:r w:rsidR="000778AE">
              <w:rPr>
                <w:rFonts w:ascii="Times New Roman" w:hAnsi="Times New Roman" w:cs="Times New Roman"/>
                <w:sz w:val="20"/>
                <w:szCs w:val="20"/>
                <w:lang w:val="es-ES_tradnl"/>
              </w:rPr>
              <w:t>indicados</w:t>
            </w:r>
            <w:r w:rsidR="00CE630A">
              <w:rPr>
                <w:rFonts w:ascii="Times New Roman" w:hAnsi="Times New Roman" w:cs="Times New Roman"/>
                <w:sz w:val="20"/>
                <w:szCs w:val="20"/>
                <w:lang w:val="es-ES_tradnl"/>
              </w:rPr>
              <w:t xml:space="preserve"> </w:t>
            </w:r>
            <w:r w:rsidR="00BD76CA" w:rsidRPr="00932F5A">
              <w:rPr>
                <w:rFonts w:ascii="Times New Roman" w:hAnsi="Times New Roman" w:cs="Times New Roman"/>
                <w:sz w:val="20"/>
                <w:szCs w:val="20"/>
                <w:lang w:val="es-ES_tradnl"/>
              </w:rPr>
              <w:t>en</w:t>
            </w:r>
            <w:r w:rsidR="00936784" w:rsidRPr="00932F5A">
              <w:rPr>
                <w:rFonts w:ascii="Times New Roman" w:hAnsi="Times New Roman" w:cs="Times New Roman"/>
                <w:sz w:val="20"/>
                <w:szCs w:val="20"/>
                <w:lang w:val="es-ES_tradnl"/>
              </w:rPr>
              <w:t xml:space="preserve"> </w:t>
            </w:r>
            <w:r w:rsidR="00BD76CA" w:rsidRPr="00932F5A">
              <w:rPr>
                <w:rFonts w:ascii="Times New Roman" w:hAnsi="Times New Roman" w:cs="Times New Roman"/>
                <w:sz w:val="20"/>
                <w:szCs w:val="20"/>
                <w:lang w:val="es-ES_tradnl"/>
              </w:rPr>
              <w:t>la</w:t>
            </w:r>
            <w:r w:rsidR="00936784" w:rsidRPr="00932F5A">
              <w:rPr>
                <w:rFonts w:ascii="Times New Roman" w:hAnsi="Times New Roman" w:cs="Times New Roman"/>
                <w:sz w:val="20"/>
                <w:szCs w:val="20"/>
                <w:lang w:val="es-ES_tradnl"/>
              </w:rPr>
              <w:t xml:space="preserve"> </w:t>
            </w:r>
            <w:r w:rsidR="00BD76CA" w:rsidRPr="00932F5A">
              <w:rPr>
                <w:rFonts w:ascii="Times New Roman" w:hAnsi="Times New Roman" w:cs="Times New Roman"/>
                <w:sz w:val="20"/>
                <w:szCs w:val="20"/>
                <w:lang w:val="es-ES_tradnl"/>
              </w:rPr>
              <w:t>decisión</w:t>
            </w:r>
            <w:r w:rsidR="00936784" w:rsidRPr="00932F5A">
              <w:rPr>
                <w:rFonts w:ascii="Times New Roman" w:hAnsi="Times New Roman" w:cs="Times New Roman"/>
                <w:sz w:val="20"/>
                <w:szCs w:val="20"/>
                <w:lang w:val="es-ES_tradnl"/>
              </w:rPr>
              <w:t xml:space="preserve"> </w:t>
            </w:r>
            <w:r w:rsidR="00437CD6" w:rsidRPr="00932F5A">
              <w:rPr>
                <w:rFonts w:ascii="Times New Roman" w:hAnsi="Times New Roman" w:cs="Times New Roman"/>
                <w:sz w:val="20"/>
                <w:szCs w:val="20"/>
                <w:lang w:val="es-ES_tradnl"/>
              </w:rPr>
              <w:t>82/83(e)</w:t>
            </w:r>
            <w:r w:rsidR="002D1548">
              <w:rPr>
                <w:rFonts w:ascii="Times New Roman" w:hAnsi="Times New Roman" w:cs="Times New Roman"/>
                <w:sz w:val="20"/>
                <w:szCs w:val="20"/>
                <w:lang w:val="es-ES_tradnl"/>
              </w:rPr>
              <w:t>.</w:t>
            </w:r>
            <w:r w:rsidR="00AE0EBB" w:rsidRPr="00932F5A">
              <w:rPr>
                <w:rFonts w:ascii="Times New Roman" w:hAnsi="Times New Roman" w:cs="Times New Roman"/>
                <w:sz w:val="20"/>
                <w:szCs w:val="20"/>
                <w:vertAlign w:val="superscript"/>
                <w:lang w:val="es-ES_tradnl"/>
              </w:rPr>
              <w:t>g</w:t>
            </w:r>
          </w:p>
        </w:tc>
      </w:tr>
      <w:tr w:rsidR="00241111" w:rsidRPr="00A45122" w14:paraId="1FC37EDD" w14:textId="77777777" w:rsidTr="007908E5">
        <w:trPr>
          <w:trHeight w:val="882"/>
        </w:trPr>
        <w:tc>
          <w:tcPr>
            <w:tcW w:w="0" w:type="auto"/>
          </w:tcPr>
          <w:p w14:paraId="4F5B70B3" w14:textId="2EE99D30" w:rsidR="00437CD6" w:rsidRPr="00932F5A" w:rsidRDefault="007861AE" w:rsidP="004517FC">
            <w:pPr>
              <w:jc w:val="left"/>
              <w:rPr>
                <w:sz w:val="20"/>
                <w:szCs w:val="20"/>
                <w:lang w:val="es-ES_tradnl"/>
              </w:rPr>
            </w:pPr>
            <w:r>
              <w:rPr>
                <w:sz w:val="20"/>
                <w:szCs w:val="20"/>
                <w:lang w:val="es-ES_tradnl"/>
              </w:rPr>
              <w:t>Fortalecimiento de capacidades en materia de seguridad</w:t>
            </w:r>
          </w:p>
        </w:tc>
        <w:tc>
          <w:tcPr>
            <w:tcW w:w="0" w:type="auto"/>
          </w:tcPr>
          <w:p w14:paraId="01FF7047" w14:textId="77777777" w:rsidR="00437CD6" w:rsidRPr="00932F5A" w:rsidRDefault="00437CD6" w:rsidP="004517FC">
            <w:pPr>
              <w:jc w:val="left"/>
              <w:rPr>
                <w:sz w:val="20"/>
                <w:szCs w:val="20"/>
                <w:lang w:val="es-ES_tradnl"/>
              </w:rPr>
            </w:pPr>
            <w:r w:rsidRPr="00932F5A">
              <w:rPr>
                <w:sz w:val="20"/>
                <w:szCs w:val="20"/>
                <w:lang w:val="es-ES_tradnl"/>
              </w:rPr>
              <w:t>23</w:t>
            </w:r>
          </w:p>
        </w:tc>
        <w:tc>
          <w:tcPr>
            <w:tcW w:w="0" w:type="auto"/>
          </w:tcPr>
          <w:p w14:paraId="3F8300D3" w14:textId="761027FC" w:rsidR="00437CD6" w:rsidRPr="00932F5A" w:rsidRDefault="00956A69" w:rsidP="00241111">
            <w:pPr>
              <w:rPr>
                <w:sz w:val="20"/>
                <w:szCs w:val="20"/>
                <w:lang w:val="es-ES_tradnl"/>
              </w:rPr>
            </w:pPr>
            <w:r>
              <w:rPr>
                <w:sz w:val="20"/>
                <w:szCs w:val="20"/>
                <w:lang w:val="es-ES_tradnl"/>
              </w:rPr>
              <w:t xml:space="preserve">Texto incluido </w:t>
            </w:r>
            <w:r w:rsidR="00641177">
              <w:rPr>
                <w:sz w:val="20"/>
                <w:szCs w:val="20"/>
                <w:lang w:val="es-ES_tradnl"/>
              </w:rPr>
              <w:t>en plantilla preliminar</w:t>
            </w:r>
            <w:r w:rsidR="00D30E5D">
              <w:rPr>
                <w:sz w:val="20"/>
                <w:szCs w:val="20"/>
                <w:lang w:val="es-ES_tradnl"/>
              </w:rPr>
              <w:t>.</w:t>
            </w:r>
            <w:r w:rsidR="00936784" w:rsidRPr="00932F5A">
              <w:rPr>
                <w:sz w:val="20"/>
                <w:szCs w:val="20"/>
                <w:lang w:val="es-ES_tradnl"/>
              </w:rPr>
              <w:t xml:space="preserve"> </w:t>
            </w:r>
            <w:r w:rsidR="00E62543">
              <w:rPr>
                <w:sz w:val="20"/>
                <w:szCs w:val="20"/>
                <w:lang w:val="es-ES_tradnl"/>
              </w:rPr>
              <w:t>A discutir</w:t>
            </w:r>
            <w:r w:rsidR="00936784" w:rsidRPr="00932F5A">
              <w:rPr>
                <w:sz w:val="20"/>
                <w:szCs w:val="20"/>
                <w:lang w:val="es-ES_tradnl"/>
              </w:rPr>
              <w:t xml:space="preserve"> </w:t>
            </w:r>
            <w:r w:rsidR="005E7D21" w:rsidRPr="00932F5A">
              <w:rPr>
                <w:sz w:val="20"/>
                <w:szCs w:val="20"/>
                <w:lang w:val="es-ES_tradnl"/>
              </w:rPr>
              <w:t>a</w:t>
            </w:r>
            <w:r w:rsidR="00936784" w:rsidRPr="00932F5A">
              <w:rPr>
                <w:sz w:val="20"/>
                <w:szCs w:val="20"/>
                <w:lang w:val="es-ES_tradnl"/>
              </w:rPr>
              <w:t xml:space="preserve"> </w:t>
            </w:r>
            <w:r w:rsidR="005E7D21" w:rsidRPr="00932F5A">
              <w:rPr>
                <w:sz w:val="20"/>
                <w:szCs w:val="20"/>
                <w:lang w:val="es-ES_tradnl"/>
              </w:rPr>
              <w:t>la</w:t>
            </w:r>
            <w:r w:rsidR="00936784" w:rsidRPr="00932F5A">
              <w:rPr>
                <w:sz w:val="20"/>
                <w:szCs w:val="20"/>
                <w:lang w:val="es-ES_tradnl"/>
              </w:rPr>
              <w:t xml:space="preserve"> </w:t>
            </w:r>
            <w:r w:rsidR="005E7D21" w:rsidRPr="00932F5A">
              <w:rPr>
                <w:sz w:val="20"/>
                <w:szCs w:val="20"/>
                <w:lang w:val="es-ES_tradnl"/>
              </w:rPr>
              <w:t>luz</w:t>
            </w:r>
            <w:r w:rsidR="00936784" w:rsidRPr="00932F5A">
              <w:rPr>
                <w:sz w:val="20"/>
                <w:szCs w:val="20"/>
                <w:lang w:val="es-ES_tradnl"/>
              </w:rPr>
              <w:t xml:space="preserve"> </w:t>
            </w:r>
            <w:r w:rsidR="005E7D21" w:rsidRPr="00932F5A">
              <w:rPr>
                <w:sz w:val="20"/>
                <w:szCs w:val="20"/>
                <w:lang w:val="es-ES_tradnl"/>
              </w:rPr>
              <w:t>del</w:t>
            </w:r>
            <w:r w:rsidR="00936784" w:rsidRPr="00932F5A">
              <w:rPr>
                <w:sz w:val="20"/>
                <w:szCs w:val="20"/>
                <w:lang w:val="es-ES_tradnl"/>
              </w:rPr>
              <w:t xml:space="preserve"> </w:t>
            </w:r>
            <w:r w:rsidR="000266EC">
              <w:rPr>
                <w:sz w:val="20"/>
                <w:szCs w:val="20"/>
                <w:lang w:val="es-ES_tradnl"/>
              </w:rPr>
              <w:t>informe sobre</w:t>
            </w:r>
            <w:r w:rsidR="00936784" w:rsidRPr="00932F5A">
              <w:rPr>
                <w:sz w:val="20"/>
                <w:szCs w:val="20"/>
                <w:lang w:val="es-ES_tradnl"/>
              </w:rPr>
              <w:t xml:space="preserve"> </w:t>
            </w:r>
            <w:r w:rsidR="008B2E22" w:rsidRPr="00932F5A">
              <w:rPr>
                <w:sz w:val="20"/>
                <w:szCs w:val="20"/>
                <w:lang w:val="es-ES_tradnl"/>
              </w:rPr>
              <w:t>aspecto</w:t>
            </w:r>
            <w:r w:rsidR="00437CD6" w:rsidRPr="00932F5A">
              <w:rPr>
                <w:sz w:val="20"/>
                <w:szCs w:val="20"/>
                <w:lang w:val="es-ES_tradnl"/>
              </w:rPr>
              <w:t>s</w:t>
            </w:r>
            <w:r w:rsidR="00936784" w:rsidRPr="00932F5A">
              <w:rPr>
                <w:sz w:val="20"/>
                <w:szCs w:val="20"/>
                <w:lang w:val="es-ES_tradnl"/>
              </w:rPr>
              <w:t xml:space="preserve"> </w:t>
            </w:r>
            <w:r w:rsidR="005E7D21" w:rsidRPr="00932F5A">
              <w:rPr>
                <w:sz w:val="20"/>
                <w:szCs w:val="20"/>
                <w:lang w:val="es-ES_tradnl"/>
              </w:rPr>
              <w:t>del</w:t>
            </w:r>
            <w:r w:rsidR="00936784" w:rsidRPr="00932F5A">
              <w:rPr>
                <w:sz w:val="20"/>
                <w:szCs w:val="20"/>
                <w:lang w:val="es-ES_tradnl"/>
              </w:rPr>
              <w:t xml:space="preserve"> </w:t>
            </w:r>
            <w:r w:rsidR="003543D0" w:rsidRPr="00932F5A">
              <w:rPr>
                <w:sz w:val="20"/>
                <w:szCs w:val="20"/>
                <w:lang w:val="es-ES_tradnl"/>
              </w:rPr>
              <w:t>sector</w:t>
            </w:r>
            <w:r w:rsidR="00936784" w:rsidRPr="00932F5A">
              <w:rPr>
                <w:sz w:val="20"/>
                <w:szCs w:val="20"/>
                <w:lang w:val="es-ES_tradnl"/>
              </w:rPr>
              <w:t xml:space="preserve"> </w:t>
            </w:r>
            <w:r w:rsidR="003543D0" w:rsidRPr="00932F5A">
              <w:rPr>
                <w:sz w:val="20"/>
                <w:szCs w:val="20"/>
                <w:lang w:val="es-ES_tradnl"/>
              </w:rPr>
              <w:t>servicio</w:t>
            </w:r>
            <w:r w:rsidR="00936784" w:rsidRPr="00932F5A">
              <w:rPr>
                <w:sz w:val="20"/>
                <w:szCs w:val="20"/>
                <w:lang w:val="es-ES_tradnl"/>
              </w:rPr>
              <w:t xml:space="preserve"> </w:t>
            </w:r>
            <w:r w:rsidR="003543D0" w:rsidRPr="00932F5A">
              <w:rPr>
                <w:sz w:val="20"/>
                <w:szCs w:val="20"/>
                <w:lang w:val="es-ES_tradnl"/>
              </w:rPr>
              <w:t>técnico</w:t>
            </w:r>
            <w:r w:rsidR="00936784" w:rsidRPr="00932F5A">
              <w:rPr>
                <w:sz w:val="20"/>
                <w:szCs w:val="20"/>
                <w:lang w:val="es-ES_tradnl"/>
              </w:rPr>
              <w:t xml:space="preserve"> </w:t>
            </w:r>
            <w:r w:rsidR="003543D0" w:rsidRPr="00932F5A">
              <w:rPr>
                <w:sz w:val="20"/>
                <w:szCs w:val="20"/>
                <w:lang w:val="es-ES_tradnl"/>
              </w:rPr>
              <w:t>de</w:t>
            </w:r>
            <w:r w:rsidR="00936784" w:rsidRPr="00932F5A">
              <w:rPr>
                <w:sz w:val="20"/>
                <w:szCs w:val="20"/>
                <w:lang w:val="es-ES_tradnl"/>
              </w:rPr>
              <w:t xml:space="preserve"> </w:t>
            </w:r>
            <w:r w:rsidR="003543D0" w:rsidRPr="00932F5A">
              <w:rPr>
                <w:sz w:val="20"/>
                <w:szCs w:val="20"/>
                <w:lang w:val="es-ES_tradnl"/>
              </w:rPr>
              <w:t>equipos</w:t>
            </w:r>
            <w:r w:rsidR="00936784" w:rsidRPr="00932F5A">
              <w:rPr>
                <w:sz w:val="20"/>
                <w:szCs w:val="20"/>
                <w:lang w:val="es-ES_tradnl"/>
              </w:rPr>
              <w:t xml:space="preserve"> </w:t>
            </w:r>
            <w:r w:rsidR="003543D0" w:rsidRPr="00932F5A">
              <w:rPr>
                <w:sz w:val="20"/>
                <w:szCs w:val="20"/>
                <w:lang w:val="es-ES_tradnl"/>
              </w:rPr>
              <w:t>de</w:t>
            </w:r>
            <w:r w:rsidR="00936784" w:rsidRPr="00932F5A">
              <w:rPr>
                <w:sz w:val="20"/>
                <w:szCs w:val="20"/>
                <w:lang w:val="es-ES_tradnl"/>
              </w:rPr>
              <w:t xml:space="preserve"> </w:t>
            </w:r>
            <w:r w:rsidR="003543D0" w:rsidRPr="00932F5A">
              <w:rPr>
                <w:sz w:val="20"/>
                <w:szCs w:val="20"/>
                <w:lang w:val="es-ES_tradnl"/>
              </w:rPr>
              <w:t>refrigeración</w:t>
            </w:r>
            <w:r w:rsidR="00936784" w:rsidRPr="00932F5A">
              <w:rPr>
                <w:sz w:val="20"/>
                <w:szCs w:val="20"/>
                <w:lang w:val="es-ES_tradnl"/>
              </w:rPr>
              <w:t xml:space="preserve"> </w:t>
            </w:r>
            <w:r w:rsidR="00ED43E3">
              <w:rPr>
                <w:sz w:val="20"/>
                <w:szCs w:val="20"/>
                <w:lang w:val="es-ES_tradnl"/>
              </w:rPr>
              <w:t>que favorecen la reducción</w:t>
            </w:r>
            <w:r w:rsidR="00936784" w:rsidRPr="00932F5A">
              <w:rPr>
                <w:sz w:val="20"/>
                <w:szCs w:val="20"/>
                <w:lang w:val="es-ES_tradnl"/>
              </w:rPr>
              <w:t xml:space="preserve"> </w:t>
            </w:r>
            <w:r w:rsidR="005F1C91" w:rsidRPr="00932F5A">
              <w:rPr>
                <w:sz w:val="20"/>
                <w:szCs w:val="20"/>
                <w:lang w:val="es-ES_tradnl"/>
              </w:rPr>
              <w:t>de</w:t>
            </w:r>
            <w:r w:rsidR="00936784" w:rsidRPr="00932F5A">
              <w:rPr>
                <w:sz w:val="20"/>
                <w:szCs w:val="20"/>
                <w:lang w:val="es-ES_tradnl"/>
              </w:rPr>
              <w:t xml:space="preserve"> </w:t>
            </w:r>
            <w:r w:rsidR="005F1C91" w:rsidRPr="00932F5A">
              <w:rPr>
                <w:sz w:val="20"/>
                <w:szCs w:val="20"/>
                <w:lang w:val="es-ES_tradnl"/>
              </w:rPr>
              <w:t>los</w:t>
            </w:r>
            <w:r w:rsidR="00936784" w:rsidRPr="00932F5A">
              <w:rPr>
                <w:sz w:val="20"/>
                <w:szCs w:val="20"/>
                <w:lang w:val="es-ES_tradnl"/>
              </w:rPr>
              <w:t xml:space="preserve"> </w:t>
            </w:r>
            <w:r w:rsidR="005F1C91" w:rsidRPr="00932F5A">
              <w:rPr>
                <w:sz w:val="20"/>
                <w:szCs w:val="20"/>
                <w:lang w:val="es-ES_tradnl"/>
              </w:rPr>
              <w:t>HFC</w:t>
            </w:r>
            <w:r w:rsidR="00936784" w:rsidRPr="00932F5A">
              <w:rPr>
                <w:sz w:val="20"/>
                <w:szCs w:val="20"/>
                <w:lang w:val="es-ES_tradnl"/>
              </w:rPr>
              <w:t xml:space="preserve"> </w:t>
            </w:r>
            <w:r w:rsidR="00E922A5" w:rsidRPr="00E922A5">
              <w:rPr>
                <w:sz w:val="20"/>
                <w:szCs w:val="20"/>
                <w:lang w:val="es-ES_tradnl"/>
              </w:rPr>
              <w:t xml:space="preserve">elaborado </w:t>
            </w:r>
            <w:r w:rsidR="00EB43C3" w:rsidRPr="00932F5A">
              <w:rPr>
                <w:sz w:val="20"/>
                <w:szCs w:val="20"/>
                <w:lang w:val="es-ES_tradnl"/>
              </w:rPr>
              <w:t>en</w:t>
            </w:r>
            <w:r w:rsidR="00936784" w:rsidRPr="00932F5A">
              <w:rPr>
                <w:sz w:val="20"/>
                <w:szCs w:val="20"/>
                <w:lang w:val="es-ES_tradnl"/>
              </w:rPr>
              <w:t xml:space="preserve"> </w:t>
            </w:r>
            <w:r w:rsidR="00EB43C3" w:rsidRPr="00932F5A">
              <w:rPr>
                <w:sz w:val="20"/>
                <w:szCs w:val="20"/>
                <w:lang w:val="es-ES_tradnl"/>
              </w:rPr>
              <w:t>respuesta</w:t>
            </w:r>
            <w:r w:rsidR="00936784" w:rsidRPr="00932F5A">
              <w:rPr>
                <w:sz w:val="20"/>
                <w:szCs w:val="20"/>
                <w:lang w:val="es-ES_tradnl"/>
              </w:rPr>
              <w:t xml:space="preserve"> </w:t>
            </w:r>
            <w:r w:rsidR="00EB43C3" w:rsidRPr="00932F5A">
              <w:rPr>
                <w:sz w:val="20"/>
                <w:szCs w:val="20"/>
                <w:lang w:val="es-ES_tradnl"/>
              </w:rPr>
              <w:t>a</w:t>
            </w:r>
            <w:r w:rsidR="00936784" w:rsidRPr="00932F5A">
              <w:rPr>
                <w:sz w:val="20"/>
                <w:szCs w:val="20"/>
                <w:lang w:val="es-ES_tradnl"/>
              </w:rPr>
              <w:t xml:space="preserve"> </w:t>
            </w:r>
            <w:r w:rsidR="00EB43C3" w:rsidRPr="00932F5A">
              <w:rPr>
                <w:sz w:val="20"/>
                <w:szCs w:val="20"/>
                <w:lang w:val="es-ES_tradnl"/>
              </w:rPr>
              <w:t>la</w:t>
            </w:r>
            <w:r w:rsidR="00936784" w:rsidRPr="00932F5A">
              <w:rPr>
                <w:sz w:val="20"/>
                <w:szCs w:val="20"/>
                <w:lang w:val="es-ES_tradnl"/>
              </w:rPr>
              <w:t xml:space="preserve"> </w:t>
            </w:r>
            <w:r w:rsidR="00EB43C3" w:rsidRPr="00932F5A">
              <w:rPr>
                <w:sz w:val="20"/>
                <w:szCs w:val="20"/>
                <w:lang w:val="es-ES_tradnl"/>
              </w:rPr>
              <w:t>decisión</w:t>
            </w:r>
            <w:r w:rsidR="00936784" w:rsidRPr="00932F5A">
              <w:rPr>
                <w:sz w:val="20"/>
                <w:szCs w:val="20"/>
                <w:lang w:val="es-ES_tradnl"/>
              </w:rPr>
              <w:t xml:space="preserve"> </w:t>
            </w:r>
            <w:r w:rsidR="00437CD6" w:rsidRPr="00932F5A">
              <w:rPr>
                <w:sz w:val="20"/>
                <w:szCs w:val="20"/>
                <w:lang w:val="es-ES_tradnl"/>
              </w:rPr>
              <w:t>80/76</w:t>
            </w:r>
            <w:r w:rsidR="00CF7BF9" w:rsidRPr="00932F5A">
              <w:rPr>
                <w:sz w:val="20"/>
                <w:szCs w:val="20"/>
                <w:vertAlign w:val="superscript"/>
                <w:lang w:val="es-ES_tradnl"/>
              </w:rPr>
              <w:t>h</w:t>
            </w:r>
            <w:r w:rsidR="00936784" w:rsidRPr="00932F5A">
              <w:rPr>
                <w:sz w:val="20"/>
                <w:szCs w:val="20"/>
                <w:lang w:val="es-ES_tradnl"/>
              </w:rPr>
              <w:t xml:space="preserve"> </w:t>
            </w:r>
            <w:r w:rsidR="00CF7BF9" w:rsidRPr="00932F5A">
              <w:rPr>
                <w:sz w:val="20"/>
                <w:szCs w:val="20"/>
                <w:lang w:val="es-ES_tradnl"/>
              </w:rPr>
              <w:t>(</w:t>
            </w:r>
            <w:r w:rsidR="00D352E8" w:rsidRPr="00932F5A">
              <w:rPr>
                <w:sz w:val="20"/>
                <w:szCs w:val="20"/>
                <w:lang w:val="es-ES_tradnl"/>
              </w:rPr>
              <w:t>decisión</w:t>
            </w:r>
            <w:r w:rsidR="00936784" w:rsidRPr="00932F5A">
              <w:rPr>
                <w:sz w:val="20"/>
                <w:szCs w:val="20"/>
                <w:lang w:val="es-ES_tradnl"/>
              </w:rPr>
              <w:t xml:space="preserve"> </w:t>
            </w:r>
            <w:r w:rsidR="00CF7BF9" w:rsidRPr="00932F5A">
              <w:rPr>
                <w:sz w:val="20"/>
                <w:szCs w:val="20"/>
                <w:lang w:val="es-ES_tradnl"/>
              </w:rPr>
              <w:t>81/67(c))</w:t>
            </w:r>
            <w:r w:rsidR="00261138">
              <w:rPr>
                <w:sz w:val="20"/>
                <w:szCs w:val="20"/>
                <w:lang w:val="es-ES_tradnl"/>
              </w:rPr>
              <w:t>.</w:t>
            </w:r>
          </w:p>
        </w:tc>
      </w:tr>
      <w:tr w:rsidR="00241111" w:rsidRPr="00A45122" w14:paraId="7B10102D" w14:textId="77777777" w:rsidTr="007908E5">
        <w:trPr>
          <w:trHeight w:val="748"/>
        </w:trPr>
        <w:tc>
          <w:tcPr>
            <w:tcW w:w="0" w:type="auto"/>
          </w:tcPr>
          <w:p w14:paraId="29E6B775" w14:textId="59F01096" w:rsidR="00437CD6" w:rsidRPr="00932F5A" w:rsidRDefault="00EB43C3" w:rsidP="004517FC">
            <w:pPr>
              <w:jc w:val="left"/>
              <w:rPr>
                <w:sz w:val="20"/>
                <w:szCs w:val="20"/>
                <w:lang w:val="es-ES_tradnl"/>
              </w:rPr>
            </w:pPr>
            <w:r w:rsidRPr="00932F5A">
              <w:rPr>
                <w:sz w:val="20"/>
                <w:szCs w:val="20"/>
                <w:lang w:val="es-ES_tradnl"/>
              </w:rPr>
              <w:t>Eliminación</w:t>
            </w:r>
            <w:r w:rsidR="006E7F13">
              <w:rPr>
                <w:sz w:val="20"/>
                <w:szCs w:val="20"/>
                <w:lang w:val="es-ES_tradnl"/>
              </w:rPr>
              <w:t xml:space="preserve"> de HFC</w:t>
            </w:r>
          </w:p>
        </w:tc>
        <w:tc>
          <w:tcPr>
            <w:tcW w:w="0" w:type="auto"/>
          </w:tcPr>
          <w:p w14:paraId="1318CECF" w14:textId="77777777" w:rsidR="00437CD6" w:rsidRPr="00932F5A" w:rsidRDefault="00437CD6" w:rsidP="004517FC">
            <w:pPr>
              <w:jc w:val="left"/>
              <w:rPr>
                <w:sz w:val="20"/>
                <w:szCs w:val="20"/>
                <w:lang w:val="es-ES_tradnl"/>
              </w:rPr>
            </w:pPr>
            <w:r w:rsidRPr="00932F5A">
              <w:rPr>
                <w:sz w:val="20"/>
                <w:szCs w:val="20"/>
                <w:lang w:val="es-ES_tradnl"/>
              </w:rPr>
              <w:t>24</w:t>
            </w:r>
          </w:p>
        </w:tc>
        <w:tc>
          <w:tcPr>
            <w:tcW w:w="0" w:type="auto"/>
          </w:tcPr>
          <w:p w14:paraId="39C2A3BB" w14:textId="54375E2A" w:rsidR="00437CD6" w:rsidRPr="00932F5A" w:rsidRDefault="00471626" w:rsidP="003719DF">
            <w:pPr>
              <w:rPr>
                <w:sz w:val="20"/>
                <w:szCs w:val="20"/>
                <w:lang w:val="es-ES_tradnl"/>
              </w:rPr>
            </w:pPr>
            <w:r>
              <w:rPr>
                <w:sz w:val="20"/>
                <w:szCs w:val="20"/>
                <w:lang w:val="es-ES_tradnl"/>
              </w:rPr>
              <w:t>Reanudar</w:t>
            </w:r>
            <w:r w:rsidR="009B4043">
              <w:rPr>
                <w:sz w:val="20"/>
                <w:szCs w:val="20"/>
                <w:lang w:val="es-ES_tradnl"/>
              </w:rPr>
              <w:t xml:space="preserve"> </w:t>
            </w:r>
            <w:r w:rsidR="003719DF">
              <w:rPr>
                <w:sz w:val="20"/>
                <w:szCs w:val="20"/>
                <w:lang w:val="es-ES_tradnl"/>
              </w:rPr>
              <w:t>la</w:t>
            </w:r>
            <w:r w:rsidR="009B4043">
              <w:rPr>
                <w:sz w:val="20"/>
                <w:szCs w:val="20"/>
                <w:lang w:val="es-ES_tradnl"/>
              </w:rPr>
              <w:t xml:space="preserve"> discusión </w:t>
            </w:r>
            <w:r w:rsidR="005E7D21" w:rsidRPr="00932F5A">
              <w:rPr>
                <w:sz w:val="20"/>
                <w:szCs w:val="20"/>
                <w:lang w:val="es-ES_tradnl"/>
              </w:rPr>
              <w:t>a</w:t>
            </w:r>
            <w:r w:rsidR="00936784" w:rsidRPr="00932F5A">
              <w:rPr>
                <w:sz w:val="20"/>
                <w:szCs w:val="20"/>
                <w:lang w:val="es-ES_tradnl"/>
              </w:rPr>
              <w:t xml:space="preserve"> </w:t>
            </w:r>
            <w:r w:rsidR="005E7D21" w:rsidRPr="00932F5A">
              <w:rPr>
                <w:sz w:val="20"/>
                <w:szCs w:val="20"/>
                <w:lang w:val="es-ES_tradnl"/>
              </w:rPr>
              <w:t>la</w:t>
            </w:r>
            <w:r w:rsidR="00936784" w:rsidRPr="00932F5A">
              <w:rPr>
                <w:sz w:val="20"/>
                <w:szCs w:val="20"/>
                <w:lang w:val="es-ES_tradnl"/>
              </w:rPr>
              <w:t xml:space="preserve"> </w:t>
            </w:r>
            <w:r w:rsidR="005E7D21" w:rsidRPr="00932F5A">
              <w:rPr>
                <w:sz w:val="20"/>
                <w:szCs w:val="20"/>
                <w:lang w:val="es-ES_tradnl"/>
              </w:rPr>
              <w:t>luz</w:t>
            </w:r>
            <w:r w:rsidR="00936784" w:rsidRPr="00932F5A">
              <w:rPr>
                <w:sz w:val="20"/>
                <w:szCs w:val="20"/>
                <w:lang w:val="es-ES_tradnl"/>
              </w:rPr>
              <w:t xml:space="preserve"> </w:t>
            </w:r>
            <w:r w:rsidR="005E7D21" w:rsidRPr="00932F5A">
              <w:rPr>
                <w:sz w:val="20"/>
                <w:szCs w:val="20"/>
                <w:lang w:val="es-ES_tradnl"/>
              </w:rPr>
              <w:t>del</w:t>
            </w:r>
            <w:r w:rsidR="00936784" w:rsidRPr="00932F5A">
              <w:rPr>
                <w:sz w:val="20"/>
                <w:szCs w:val="20"/>
                <w:lang w:val="es-ES_tradnl"/>
              </w:rPr>
              <w:t xml:space="preserve"> </w:t>
            </w:r>
            <w:r w:rsidR="00D90F0F">
              <w:rPr>
                <w:sz w:val="20"/>
                <w:szCs w:val="20"/>
                <w:lang w:val="es-ES_tradnl"/>
              </w:rPr>
              <w:t xml:space="preserve">informe sobre eliminación </w:t>
            </w:r>
            <w:r w:rsidR="00932F5A">
              <w:rPr>
                <w:sz w:val="20"/>
                <w:szCs w:val="20"/>
                <w:lang w:val="es-ES_tradnl"/>
              </w:rPr>
              <w:t>de SAO</w:t>
            </w:r>
            <w:r w:rsidR="00936784" w:rsidRPr="00932F5A">
              <w:rPr>
                <w:sz w:val="20"/>
                <w:szCs w:val="20"/>
                <w:lang w:val="es-ES_tradnl"/>
              </w:rPr>
              <w:t xml:space="preserve"> </w:t>
            </w:r>
            <w:r w:rsidR="00171163">
              <w:rPr>
                <w:sz w:val="20"/>
                <w:szCs w:val="20"/>
                <w:lang w:val="es-ES_tradnl"/>
              </w:rPr>
              <w:t>elaborado</w:t>
            </w:r>
            <w:r w:rsidR="00D90F0F">
              <w:rPr>
                <w:sz w:val="20"/>
                <w:szCs w:val="20"/>
                <w:lang w:val="es-ES_tradnl"/>
              </w:rPr>
              <w:t xml:space="preserve"> </w:t>
            </w:r>
            <w:r w:rsidR="00EB43C3" w:rsidRPr="00932F5A">
              <w:rPr>
                <w:sz w:val="20"/>
                <w:szCs w:val="20"/>
                <w:lang w:val="es-ES_tradnl"/>
              </w:rPr>
              <w:t>en</w:t>
            </w:r>
            <w:r w:rsidR="00936784" w:rsidRPr="00932F5A">
              <w:rPr>
                <w:sz w:val="20"/>
                <w:szCs w:val="20"/>
                <w:lang w:val="es-ES_tradnl"/>
              </w:rPr>
              <w:t xml:space="preserve"> </w:t>
            </w:r>
            <w:r w:rsidR="00EB43C3" w:rsidRPr="00932F5A">
              <w:rPr>
                <w:sz w:val="20"/>
                <w:szCs w:val="20"/>
                <w:lang w:val="es-ES_tradnl"/>
              </w:rPr>
              <w:t>respuesta</w:t>
            </w:r>
            <w:r w:rsidR="00936784" w:rsidRPr="00932F5A">
              <w:rPr>
                <w:sz w:val="20"/>
                <w:szCs w:val="20"/>
                <w:lang w:val="es-ES_tradnl"/>
              </w:rPr>
              <w:t xml:space="preserve"> </w:t>
            </w:r>
            <w:r w:rsidR="00EB43C3" w:rsidRPr="00932F5A">
              <w:rPr>
                <w:sz w:val="20"/>
                <w:szCs w:val="20"/>
                <w:lang w:val="es-ES_tradnl"/>
              </w:rPr>
              <w:t>a</w:t>
            </w:r>
            <w:r w:rsidR="00936784" w:rsidRPr="00932F5A">
              <w:rPr>
                <w:sz w:val="20"/>
                <w:szCs w:val="20"/>
                <w:lang w:val="es-ES_tradnl"/>
              </w:rPr>
              <w:t xml:space="preserve"> </w:t>
            </w:r>
            <w:r w:rsidR="00EB43C3" w:rsidRPr="00932F5A">
              <w:rPr>
                <w:sz w:val="20"/>
                <w:szCs w:val="20"/>
                <w:lang w:val="es-ES_tradnl"/>
              </w:rPr>
              <w:t>la</w:t>
            </w:r>
            <w:r w:rsidR="00936784" w:rsidRPr="00932F5A">
              <w:rPr>
                <w:sz w:val="20"/>
                <w:szCs w:val="20"/>
                <w:lang w:val="es-ES_tradnl"/>
              </w:rPr>
              <w:t xml:space="preserve"> </w:t>
            </w:r>
            <w:r w:rsidR="00EB43C3" w:rsidRPr="00932F5A">
              <w:rPr>
                <w:sz w:val="20"/>
                <w:szCs w:val="20"/>
                <w:lang w:val="es-ES_tradnl"/>
              </w:rPr>
              <w:t>decisión</w:t>
            </w:r>
            <w:r w:rsidR="00936784" w:rsidRPr="00932F5A">
              <w:rPr>
                <w:sz w:val="20"/>
                <w:szCs w:val="20"/>
                <w:lang w:val="es-ES_tradnl"/>
              </w:rPr>
              <w:t xml:space="preserve"> </w:t>
            </w:r>
            <w:r w:rsidR="00437CD6" w:rsidRPr="00932F5A">
              <w:rPr>
                <w:sz w:val="20"/>
                <w:szCs w:val="20"/>
                <w:lang w:val="es-ES_tradnl"/>
              </w:rPr>
              <w:t>79/18(e)</w:t>
            </w:r>
            <w:r w:rsidR="00CF7BF9" w:rsidRPr="00932F5A">
              <w:rPr>
                <w:sz w:val="20"/>
                <w:szCs w:val="20"/>
                <w:vertAlign w:val="superscript"/>
                <w:lang w:val="es-ES_tradnl"/>
              </w:rPr>
              <w:t>i</w:t>
            </w:r>
            <w:r w:rsidR="00936784" w:rsidRPr="00932F5A">
              <w:rPr>
                <w:sz w:val="20"/>
                <w:szCs w:val="20"/>
                <w:lang w:val="es-ES_tradnl"/>
              </w:rPr>
              <w:t xml:space="preserve"> </w:t>
            </w:r>
            <w:r w:rsidR="00437CD6" w:rsidRPr="00932F5A">
              <w:rPr>
                <w:sz w:val="20"/>
                <w:szCs w:val="20"/>
                <w:lang w:val="es-ES_tradnl"/>
              </w:rPr>
              <w:t>(</w:t>
            </w:r>
            <w:r w:rsidR="00D352E8" w:rsidRPr="00932F5A">
              <w:rPr>
                <w:sz w:val="20"/>
                <w:szCs w:val="20"/>
                <w:lang w:val="es-ES_tradnl"/>
              </w:rPr>
              <w:t>decisión</w:t>
            </w:r>
            <w:r w:rsidR="00936784" w:rsidRPr="00932F5A">
              <w:rPr>
                <w:sz w:val="20"/>
                <w:szCs w:val="20"/>
                <w:lang w:val="es-ES_tradnl"/>
              </w:rPr>
              <w:t xml:space="preserve"> </w:t>
            </w:r>
            <w:r w:rsidR="00437CD6" w:rsidRPr="00932F5A">
              <w:rPr>
                <w:sz w:val="20"/>
                <w:szCs w:val="20"/>
                <w:lang w:val="es-ES_tradnl"/>
              </w:rPr>
              <w:t>81/67(d)</w:t>
            </w:r>
            <w:r w:rsidR="00CF7BF9" w:rsidRPr="00932F5A">
              <w:rPr>
                <w:sz w:val="20"/>
                <w:szCs w:val="20"/>
                <w:lang w:val="es-ES_tradnl"/>
              </w:rPr>
              <w:t>)</w:t>
            </w:r>
            <w:r w:rsidR="00A5393E">
              <w:rPr>
                <w:sz w:val="20"/>
                <w:szCs w:val="20"/>
                <w:lang w:val="es-ES_tradnl"/>
              </w:rPr>
              <w:t>.</w:t>
            </w:r>
          </w:p>
        </w:tc>
      </w:tr>
    </w:tbl>
    <w:p w14:paraId="324986FC" w14:textId="68C72874" w:rsidR="00AE0EBB" w:rsidRPr="00932F5A" w:rsidRDefault="00AE0EBB" w:rsidP="00320ECB">
      <w:pPr>
        <w:rPr>
          <w:sz w:val="19"/>
          <w:szCs w:val="19"/>
          <w:lang w:val="es-ES_tradnl"/>
        </w:rPr>
      </w:pPr>
      <w:r w:rsidRPr="00932F5A">
        <w:rPr>
          <w:sz w:val="19"/>
          <w:szCs w:val="19"/>
          <w:lang w:val="es-ES_tradnl"/>
        </w:rPr>
        <w:t>a.</w:t>
      </w:r>
      <w:r w:rsidR="00936784" w:rsidRPr="00932F5A">
        <w:rPr>
          <w:sz w:val="19"/>
          <w:szCs w:val="19"/>
          <w:lang w:val="es-ES_tradnl"/>
        </w:rPr>
        <w:t xml:space="preserve"> </w:t>
      </w:r>
      <w:r w:rsidR="0072505B">
        <w:rPr>
          <w:sz w:val="19"/>
          <w:szCs w:val="19"/>
          <w:lang w:val="es-ES_tradnl"/>
        </w:rPr>
        <w:t>“</w:t>
      </w:r>
      <w:r w:rsidR="00862A81">
        <w:rPr>
          <w:sz w:val="19"/>
          <w:szCs w:val="19"/>
          <w:lang w:val="es-ES_tradnl"/>
        </w:rPr>
        <w:t xml:space="preserve">Las </w:t>
      </w:r>
      <w:r w:rsidR="00A66CB0" w:rsidRPr="00932F5A">
        <w:rPr>
          <w:sz w:val="19"/>
          <w:szCs w:val="19"/>
          <w:lang w:val="es-ES_tradnl"/>
        </w:rPr>
        <w:t>Partes</w:t>
      </w:r>
      <w:r w:rsidR="00936784" w:rsidRPr="00932F5A">
        <w:rPr>
          <w:sz w:val="19"/>
          <w:szCs w:val="19"/>
          <w:lang w:val="es-ES_tradnl"/>
        </w:rPr>
        <w:t xml:space="preserve"> </w:t>
      </w:r>
      <w:r w:rsidR="00862A81">
        <w:rPr>
          <w:sz w:val="19"/>
          <w:szCs w:val="19"/>
          <w:lang w:val="es-ES_tradnl"/>
        </w:rPr>
        <w:t xml:space="preserve">podrán </w:t>
      </w:r>
      <w:r w:rsidR="00403E13">
        <w:rPr>
          <w:sz w:val="19"/>
          <w:szCs w:val="19"/>
          <w:lang w:val="es-ES_tradnl"/>
        </w:rPr>
        <w:t xml:space="preserve">agregar </w:t>
      </w:r>
      <w:r w:rsidR="00862A81">
        <w:rPr>
          <w:sz w:val="19"/>
          <w:szCs w:val="19"/>
          <w:lang w:val="es-ES_tradnl"/>
        </w:rPr>
        <w:t>otras partidas</w:t>
      </w:r>
      <w:r w:rsidR="00936784" w:rsidRPr="00932F5A">
        <w:rPr>
          <w:sz w:val="19"/>
          <w:szCs w:val="19"/>
          <w:lang w:val="es-ES_tradnl"/>
        </w:rPr>
        <w:t xml:space="preserve"> </w:t>
      </w:r>
      <w:r w:rsidR="009519FC">
        <w:rPr>
          <w:sz w:val="19"/>
          <w:szCs w:val="19"/>
          <w:lang w:val="es-ES_tradnl"/>
        </w:rPr>
        <w:t xml:space="preserve">de gastos </w:t>
      </w:r>
      <w:r w:rsidR="006554F0">
        <w:rPr>
          <w:sz w:val="19"/>
          <w:szCs w:val="19"/>
          <w:lang w:val="es-ES_tradnl"/>
        </w:rPr>
        <w:t xml:space="preserve">a la </w:t>
      </w:r>
      <w:r w:rsidR="00BD76CA" w:rsidRPr="00932F5A">
        <w:rPr>
          <w:sz w:val="19"/>
          <w:szCs w:val="19"/>
          <w:lang w:val="es-ES_tradnl"/>
        </w:rPr>
        <w:t>lista</w:t>
      </w:r>
      <w:r w:rsidR="00936784" w:rsidRPr="00932F5A">
        <w:rPr>
          <w:sz w:val="19"/>
          <w:szCs w:val="19"/>
          <w:lang w:val="es-ES_tradnl"/>
        </w:rPr>
        <w:t xml:space="preserve"> </w:t>
      </w:r>
      <w:r w:rsidR="00197A00" w:rsidRPr="00932F5A">
        <w:rPr>
          <w:sz w:val="19"/>
          <w:szCs w:val="19"/>
          <w:lang w:val="es-ES_tradnl"/>
        </w:rPr>
        <w:t>indicativa</w:t>
      </w:r>
      <w:r w:rsidR="00936784" w:rsidRPr="00932F5A">
        <w:rPr>
          <w:sz w:val="19"/>
          <w:szCs w:val="19"/>
          <w:lang w:val="es-ES_tradnl"/>
        </w:rPr>
        <w:t xml:space="preserve"> </w:t>
      </w:r>
      <w:r w:rsidR="003543D0" w:rsidRPr="00932F5A">
        <w:rPr>
          <w:sz w:val="19"/>
          <w:szCs w:val="19"/>
          <w:lang w:val="es-ES_tradnl"/>
        </w:rPr>
        <w:t>de</w:t>
      </w:r>
      <w:r w:rsidR="00936784" w:rsidRPr="00932F5A">
        <w:rPr>
          <w:sz w:val="19"/>
          <w:szCs w:val="19"/>
          <w:lang w:val="es-ES_tradnl"/>
        </w:rPr>
        <w:t xml:space="preserve"> </w:t>
      </w:r>
      <w:r w:rsidR="003543D0" w:rsidRPr="00932F5A">
        <w:rPr>
          <w:sz w:val="19"/>
          <w:szCs w:val="19"/>
          <w:lang w:val="es-ES_tradnl"/>
        </w:rPr>
        <w:t>sobrecostos</w:t>
      </w:r>
      <w:r w:rsidR="00936784" w:rsidRPr="00932F5A">
        <w:rPr>
          <w:sz w:val="19"/>
          <w:szCs w:val="19"/>
          <w:lang w:val="es-ES_tradnl"/>
        </w:rPr>
        <w:t xml:space="preserve"> </w:t>
      </w:r>
      <w:r w:rsidR="009F13C5" w:rsidRPr="009F13C5">
        <w:rPr>
          <w:sz w:val="19"/>
          <w:szCs w:val="19"/>
          <w:lang w:val="es-ES_tradnl"/>
        </w:rPr>
        <w:t>que resulte de la conversión a alternativas de bajo PCA</w:t>
      </w:r>
      <w:r w:rsidR="00320ECB" w:rsidRPr="00932F5A">
        <w:rPr>
          <w:sz w:val="19"/>
          <w:szCs w:val="19"/>
          <w:lang w:val="es-ES_tradnl"/>
        </w:rPr>
        <w:t>.</w:t>
      </w:r>
      <w:r w:rsidR="0072505B">
        <w:rPr>
          <w:sz w:val="19"/>
          <w:szCs w:val="19"/>
          <w:lang w:val="es-ES_tradnl"/>
        </w:rPr>
        <w:t>”</w:t>
      </w:r>
    </w:p>
    <w:p w14:paraId="49CC361B" w14:textId="212F28B2" w:rsidR="00AE0EBB" w:rsidRPr="00932F5A" w:rsidRDefault="00AE0EBB" w:rsidP="00320ECB">
      <w:pPr>
        <w:rPr>
          <w:sz w:val="19"/>
          <w:szCs w:val="19"/>
          <w:lang w:val="es-ES_tradnl"/>
        </w:rPr>
      </w:pPr>
      <w:r w:rsidRPr="00932F5A">
        <w:rPr>
          <w:sz w:val="19"/>
          <w:szCs w:val="19"/>
          <w:lang w:val="es-ES_tradnl"/>
        </w:rPr>
        <w:t>b.</w:t>
      </w:r>
      <w:r w:rsidR="00936784" w:rsidRPr="00932F5A">
        <w:rPr>
          <w:sz w:val="19"/>
          <w:szCs w:val="19"/>
          <w:lang w:val="es-ES_tradnl"/>
        </w:rPr>
        <w:t xml:space="preserve"> </w:t>
      </w:r>
      <w:r w:rsidR="00932F5A">
        <w:rPr>
          <w:sz w:val="19"/>
          <w:szCs w:val="19"/>
          <w:lang w:val="es-ES_tradnl"/>
        </w:rPr>
        <w:t xml:space="preserve">En la </w:t>
      </w:r>
      <w:r w:rsidRPr="00932F5A">
        <w:rPr>
          <w:sz w:val="19"/>
          <w:szCs w:val="19"/>
          <w:lang w:val="es-ES_tradnl"/>
        </w:rPr>
        <w:t>8</w:t>
      </w:r>
      <w:r w:rsidR="005E7D21" w:rsidRPr="00932F5A">
        <w:rPr>
          <w:sz w:val="19"/>
          <w:szCs w:val="19"/>
          <w:lang w:val="es-ES_tradnl"/>
        </w:rPr>
        <w:t>2</w:t>
      </w:r>
      <w:r w:rsidR="005F33A5">
        <w:rPr>
          <w:sz w:val="19"/>
          <w:szCs w:val="19"/>
          <w:lang w:val="es-ES_tradnl"/>
        </w:rPr>
        <w:t>ª reunión</w:t>
      </w:r>
      <w:r w:rsidR="00E069F2">
        <w:rPr>
          <w:sz w:val="19"/>
          <w:szCs w:val="19"/>
          <w:lang w:val="es-ES_tradnl"/>
        </w:rPr>
        <w:t xml:space="preserve"> el Comité Ejecutivo</w:t>
      </w:r>
      <w:r w:rsidR="00936784" w:rsidRPr="00932F5A">
        <w:rPr>
          <w:sz w:val="19"/>
          <w:szCs w:val="19"/>
          <w:lang w:val="es-ES_tradnl"/>
        </w:rPr>
        <w:t xml:space="preserve"> </w:t>
      </w:r>
      <w:r w:rsidR="00C352B9">
        <w:rPr>
          <w:sz w:val="19"/>
          <w:szCs w:val="19"/>
          <w:lang w:val="es-ES_tradnl"/>
        </w:rPr>
        <w:t xml:space="preserve">analizó </w:t>
      </w:r>
      <w:r w:rsidR="00FF6784" w:rsidRPr="00932F5A">
        <w:rPr>
          <w:sz w:val="19"/>
          <w:szCs w:val="19"/>
          <w:lang w:val="es-ES_tradnl"/>
        </w:rPr>
        <w:t>el</w:t>
      </w:r>
      <w:r w:rsidR="00936784" w:rsidRPr="00932F5A">
        <w:rPr>
          <w:sz w:val="19"/>
          <w:szCs w:val="19"/>
          <w:lang w:val="es-ES_tradnl"/>
        </w:rPr>
        <w:t xml:space="preserve"> </w:t>
      </w:r>
      <w:r w:rsidR="00FF6784" w:rsidRPr="00932F5A">
        <w:rPr>
          <w:sz w:val="19"/>
          <w:szCs w:val="19"/>
          <w:lang w:val="es-ES_tradnl"/>
        </w:rPr>
        <w:t>documento</w:t>
      </w:r>
      <w:r w:rsidR="00936784" w:rsidRPr="00932F5A">
        <w:rPr>
          <w:sz w:val="19"/>
          <w:szCs w:val="19"/>
          <w:lang w:val="es-ES_tradnl"/>
        </w:rPr>
        <w:t xml:space="preserve"> </w:t>
      </w:r>
      <w:r w:rsidR="00B0344E" w:rsidRPr="004B46A1">
        <w:rPr>
          <w:sz w:val="19"/>
          <w:szCs w:val="19"/>
          <w:lang w:val="es-ES_tradnl"/>
        </w:rPr>
        <w:t xml:space="preserve">Consideraciones esenciales para </w:t>
      </w:r>
      <w:r w:rsidR="002D75A2" w:rsidRPr="004B46A1">
        <w:rPr>
          <w:sz w:val="19"/>
          <w:szCs w:val="19"/>
          <w:lang w:val="es-ES_tradnl"/>
        </w:rPr>
        <w:t>la elaboración de</w:t>
      </w:r>
      <w:r w:rsidR="00B0344E" w:rsidRPr="004B46A1">
        <w:rPr>
          <w:sz w:val="19"/>
          <w:szCs w:val="19"/>
          <w:lang w:val="es-ES_tradnl"/>
        </w:rPr>
        <w:t xml:space="preserve"> una metodología </w:t>
      </w:r>
      <w:r w:rsidR="002D75A2" w:rsidRPr="004B46A1">
        <w:rPr>
          <w:sz w:val="19"/>
          <w:szCs w:val="19"/>
          <w:lang w:val="es-ES_tradnl"/>
        </w:rPr>
        <w:t xml:space="preserve">que permita </w:t>
      </w:r>
      <w:r w:rsidR="00B0344E" w:rsidRPr="004B46A1">
        <w:rPr>
          <w:sz w:val="19"/>
          <w:szCs w:val="19"/>
          <w:lang w:val="es-ES_tradnl"/>
        </w:rPr>
        <w:t xml:space="preserve">determinar el punto de partida para reducciones acumuladas sostenidas </w:t>
      </w:r>
      <w:r w:rsidR="003E5D88" w:rsidRPr="004B46A1">
        <w:rPr>
          <w:sz w:val="19"/>
          <w:szCs w:val="19"/>
          <w:lang w:val="es-ES_tradnl"/>
        </w:rPr>
        <w:t xml:space="preserve">en </w:t>
      </w:r>
      <w:r w:rsidR="00B0344E" w:rsidRPr="004B46A1">
        <w:rPr>
          <w:sz w:val="19"/>
          <w:szCs w:val="19"/>
          <w:lang w:val="es-ES_tradnl"/>
        </w:rPr>
        <w:t xml:space="preserve">los sectores de consumo y producción </w:t>
      </w:r>
      <w:r w:rsidR="003E5D88" w:rsidRPr="004B46A1">
        <w:rPr>
          <w:sz w:val="19"/>
          <w:szCs w:val="19"/>
          <w:lang w:val="es-ES_tradnl"/>
        </w:rPr>
        <w:t>con arreglo a la Enmienda de Kigali</w:t>
      </w:r>
      <w:r w:rsidR="003E5D88" w:rsidRPr="008D776D">
        <w:rPr>
          <w:i/>
          <w:sz w:val="19"/>
          <w:szCs w:val="19"/>
          <w:lang w:val="es-ES_tradnl"/>
        </w:rPr>
        <w:t xml:space="preserve"> </w:t>
      </w:r>
      <w:r w:rsidRPr="00932F5A">
        <w:rPr>
          <w:sz w:val="19"/>
          <w:szCs w:val="19"/>
          <w:lang w:val="es-ES_tradnl"/>
        </w:rPr>
        <w:t>(</w:t>
      </w:r>
      <w:r w:rsidR="00EA4DA0" w:rsidRPr="00932F5A">
        <w:rPr>
          <w:sz w:val="19"/>
          <w:szCs w:val="19"/>
          <w:lang w:val="es-ES_tradnl"/>
        </w:rPr>
        <w:t>UNEP/OzL.Pro</w:t>
      </w:r>
      <w:r w:rsidRPr="00932F5A">
        <w:rPr>
          <w:sz w:val="19"/>
          <w:szCs w:val="19"/>
          <w:lang w:val="es-ES_tradnl"/>
        </w:rPr>
        <w:t>/ExCom/82/66).</w:t>
      </w:r>
    </w:p>
    <w:p w14:paraId="3A448B5E" w14:textId="08DACB7C" w:rsidR="00AE0EBB" w:rsidRPr="00932F5A" w:rsidRDefault="00AE0EBB" w:rsidP="00320ECB">
      <w:pPr>
        <w:rPr>
          <w:sz w:val="19"/>
          <w:szCs w:val="19"/>
          <w:lang w:val="es-ES_tradnl"/>
        </w:rPr>
      </w:pPr>
      <w:r w:rsidRPr="00932F5A">
        <w:rPr>
          <w:sz w:val="19"/>
          <w:szCs w:val="19"/>
          <w:lang w:val="es-ES_tradnl"/>
        </w:rPr>
        <w:t>c.</w:t>
      </w:r>
      <w:r w:rsidR="00936784" w:rsidRPr="00932F5A">
        <w:rPr>
          <w:sz w:val="19"/>
          <w:szCs w:val="19"/>
          <w:lang w:val="es-ES_tradnl"/>
        </w:rPr>
        <w:t xml:space="preserve"> </w:t>
      </w:r>
      <w:r w:rsidR="008F7519">
        <w:rPr>
          <w:sz w:val="19"/>
          <w:szCs w:val="19"/>
          <w:lang w:val="es-ES_tradnl"/>
        </w:rPr>
        <w:t xml:space="preserve">Según </w:t>
      </w:r>
      <w:r w:rsidR="009C1103" w:rsidRPr="009C1103">
        <w:rPr>
          <w:sz w:val="19"/>
          <w:szCs w:val="19"/>
          <w:lang w:val="es-ES_tradnl"/>
        </w:rPr>
        <w:t>lo dispuesto en la decisión 81/53(b)</w:t>
      </w:r>
      <w:r w:rsidR="009C1103">
        <w:rPr>
          <w:sz w:val="19"/>
          <w:szCs w:val="19"/>
          <w:lang w:val="es-ES_tradnl"/>
        </w:rPr>
        <w:t xml:space="preserve">, </w:t>
      </w:r>
      <w:r w:rsidR="0071441D">
        <w:rPr>
          <w:sz w:val="19"/>
          <w:szCs w:val="19"/>
          <w:lang w:val="es-ES_tradnl"/>
        </w:rPr>
        <w:t xml:space="preserve">el plazo máximo </w:t>
      </w:r>
      <w:r w:rsidR="00E60E3F">
        <w:rPr>
          <w:sz w:val="19"/>
          <w:szCs w:val="19"/>
          <w:lang w:val="es-ES_tradnl"/>
        </w:rPr>
        <w:t xml:space="preserve">para aprobar </w:t>
      </w:r>
      <w:r w:rsidR="009C1103">
        <w:rPr>
          <w:sz w:val="19"/>
          <w:szCs w:val="19"/>
          <w:lang w:val="es-ES_tradnl"/>
        </w:rPr>
        <w:t>p</w:t>
      </w:r>
      <w:r w:rsidR="005F1C91" w:rsidRPr="00932F5A">
        <w:rPr>
          <w:sz w:val="19"/>
          <w:szCs w:val="19"/>
          <w:lang w:val="es-ES_tradnl"/>
        </w:rPr>
        <w:t>royectos</w:t>
      </w:r>
      <w:r w:rsidR="00936784" w:rsidRPr="00932F5A">
        <w:rPr>
          <w:sz w:val="19"/>
          <w:szCs w:val="19"/>
          <w:lang w:val="es-ES_tradnl"/>
        </w:rPr>
        <w:t xml:space="preserve"> </w:t>
      </w:r>
      <w:r w:rsidR="005F1C91" w:rsidRPr="00932F5A">
        <w:rPr>
          <w:sz w:val="19"/>
          <w:szCs w:val="19"/>
          <w:lang w:val="es-ES_tradnl"/>
        </w:rPr>
        <w:t>de</w:t>
      </w:r>
      <w:r w:rsidR="00936784" w:rsidRPr="00932F5A">
        <w:rPr>
          <w:sz w:val="19"/>
          <w:szCs w:val="19"/>
          <w:lang w:val="es-ES_tradnl"/>
        </w:rPr>
        <w:t xml:space="preserve"> </w:t>
      </w:r>
      <w:r w:rsidR="005F1C91" w:rsidRPr="00932F5A">
        <w:rPr>
          <w:sz w:val="19"/>
          <w:szCs w:val="19"/>
          <w:lang w:val="es-ES_tradnl"/>
        </w:rPr>
        <w:t>inversión</w:t>
      </w:r>
      <w:r w:rsidR="00936784" w:rsidRPr="00932F5A">
        <w:rPr>
          <w:sz w:val="19"/>
          <w:szCs w:val="19"/>
          <w:lang w:val="es-ES_tradnl"/>
        </w:rPr>
        <w:t xml:space="preserve"> </w:t>
      </w:r>
      <w:r w:rsidR="00E12739">
        <w:rPr>
          <w:sz w:val="19"/>
          <w:szCs w:val="19"/>
          <w:lang w:val="es-ES_tradnl"/>
        </w:rPr>
        <w:t xml:space="preserve">es </w:t>
      </w:r>
      <w:r w:rsidR="00B20EAA">
        <w:rPr>
          <w:sz w:val="19"/>
          <w:szCs w:val="19"/>
          <w:lang w:val="es-ES_tradnl"/>
        </w:rPr>
        <w:t xml:space="preserve">la </w:t>
      </w:r>
      <w:r w:rsidRPr="00932F5A">
        <w:rPr>
          <w:sz w:val="19"/>
          <w:szCs w:val="19"/>
          <w:lang w:val="es-ES_tradnl"/>
        </w:rPr>
        <w:t>8</w:t>
      </w:r>
      <w:r w:rsidR="005E7D21" w:rsidRPr="00932F5A">
        <w:rPr>
          <w:sz w:val="19"/>
          <w:szCs w:val="19"/>
          <w:lang w:val="es-ES_tradnl"/>
        </w:rPr>
        <w:t>4</w:t>
      </w:r>
      <w:r w:rsidR="005F33A5">
        <w:rPr>
          <w:sz w:val="19"/>
          <w:szCs w:val="19"/>
          <w:lang w:val="es-ES_tradnl"/>
        </w:rPr>
        <w:t>ª reunión</w:t>
      </w:r>
      <w:r w:rsidRPr="00932F5A">
        <w:rPr>
          <w:sz w:val="19"/>
          <w:szCs w:val="19"/>
          <w:lang w:val="es-ES_tradnl"/>
        </w:rPr>
        <w:t>.</w:t>
      </w:r>
    </w:p>
    <w:p w14:paraId="72A35BA7" w14:textId="0ABC9285" w:rsidR="00AE0EBB" w:rsidRPr="00932F5A" w:rsidRDefault="00AE0EBB" w:rsidP="00E76EC8">
      <w:pPr>
        <w:rPr>
          <w:sz w:val="19"/>
          <w:szCs w:val="19"/>
          <w:lang w:val="es-ES_tradnl"/>
        </w:rPr>
      </w:pPr>
      <w:r w:rsidRPr="00932F5A">
        <w:rPr>
          <w:sz w:val="19"/>
          <w:szCs w:val="19"/>
          <w:lang w:val="es-ES_tradnl"/>
        </w:rPr>
        <w:t>d.</w:t>
      </w:r>
      <w:r w:rsidR="00936784" w:rsidRPr="00932F5A">
        <w:rPr>
          <w:sz w:val="19"/>
          <w:szCs w:val="19"/>
          <w:lang w:val="es-ES_tradnl"/>
        </w:rPr>
        <w:t xml:space="preserve"> </w:t>
      </w:r>
      <w:r w:rsidR="00932F5A">
        <w:rPr>
          <w:sz w:val="19"/>
          <w:szCs w:val="19"/>
          <w:lang w:val="es-ES_tradnl"/>
        </w:rPr>
        <w:t xml:space="preserve">En la </w:t>
      </w:r>
      <w:r w:rsidRPr="00932F5A">
        <w:rPr>
          <w:sz w:val="19"/>
          <w:szCs w:val="19"/>
          <w:lang w:val="es-ES_tradnl"/>
        </w:rPr>
        <w:t>8</w:t>
      </w:r>
      <w:r w:rsidR="005E7D21" w:rsidRPr="00932F5A">
        <w:rPr>
          <w:sz w:val="19"/>
          <w:szCs w:val="19"/>
          <w:lang w:val="es-ES_tradnl"/>
        </w:rPr>
        <w:t>2</w:t>
      </w:r>
      <w:r w:rsidR="005F33A5">
        <w:rPr>
          <w:sz w:val="19"/>
          <w:szCs w:val="19"/>
          <w:lang w:val="es-ES_tradnl"/>
        </w:rPr>
        <w:t>ª reunión</w:t>
      </w:r>
      <w:r w:rsidR="00E069F2">
        <w:rPr>
          <w:sz w:val="19"/>
          <w:szCs w:val="19"/>
          <w:lang w:val="es-ES_tradnl"/>
        </w:rPr>
        <w:t xml:space="preserve"> el Comité Ejecutivo</w:t>
      </w:r>
      <w:r w:rsidR="00936784" w:rsidRPr="00932F5A">
        <w:rPr>
          <w:sz w:val="19"/>
          <w:szCs w:val="19"/>
          <w:lang w:val="es-ES_tradnl"/>
        </w:rPr>
        <w:t xml:space="preserve"> </w:t>
      </w:r>
      <w:r w:rsidR="00DD0D61">
        <w:rPr>
          <w:sz w:val="19"/>
          <w:szCs w:val="19"/>
          <w:lang w:val="es-ES_tradnl"/>
        </w:rPr>
        <w:t xml:space="preserve">analizó </w:t>
      </w:r>
      <w:r w:rsidR="00B2346E">
        <w:rPr>
          <w:sz w:val="19"/>
          <w:szCs w:val="19"/>
          <w:lang w:val="es-ES_tradnl"/>
        </w:rPr>
        <w:t xml:space="preserve">el </w:t>
      </w:r>
      <w:r w:rsidR="00E76EC8" w:rsidRPr="00E76EC8">
        <w:rPr>
          <w:sz w:val="19"/>
          <w:szCs w:val="19"/>
          <w:lang w:val="es-ES_tradnl"/>
        </w:rPr>
        <w:t xml:space="preserve">Documento preliminar sobre todos los </w:t>
      </w:r>
      <w:r w:rsidR="00145D9B">
        <w:rPr>
          <w:sz w:val="19"/>
          <w:szCs w:val="19"/>
          <w:lang w:val="es-ES_tradnl"/>
        </w:rPr>
        <w:t>aspectos relativos</w:t>
      </w:r>
      <w:r w:rsidR="00E76EC8" w:rsidRPr="00E76EC8">
        <w:rPr>
          <w:sz w:val="19"/>
          <w:szCs w:val="19"/>
          <w:lang w:val="es-ES_tradnl"/>
        </w:rPr>
        <w:t xml:space="preserve"> </w:t>
      </w:r>
      <w:r w:rsidR="00145D9B">
        <w:rPr>
          <w:sz w:val="19"/>
          <w:szCs w:val="19"/>
          <w:lang w:val="es-ES_tradnl"/>
        </w:rPr>
        <w:t>a</w:t>
      </w:r>
      <w:r w:rsidR="00E76EC8" w:rsidRPr="00E76EC8">
        <w:rPr>
          <w:sz w:val="19"/>
          <w:szCs w:val="19"/>
          <w:lang w:val="es-ES_tradnl"/>
        </w:rPr>
        <w:t xml:space="preserve">l sector servicio técnico de equipos de refrigeración que </w:t>
      </w:r>
      <w:r w:rsidR="00AA2EF1">
        <w:rPr>
          <w:sz w:val="19"/>
          <w:szCs w:val="19"/>
          <w:lang w:val="es-ES_tradnl"/>
        </w:rPr>
        <w:t>favorecen</w:t>
      </w:r>
      <w:r w:rsidR="00E76EC8" w:rsidRPr="00E76EC8">
        <w:rPr>
          <w:sz w:val="19"/>
          <w:szCs w:val="19"/>
          <w:lang w:val="es-ES_tradnl"/>
        </w:rPr>
        <w:t xml:space="preserve"> la reducción de los </w:t>
      </w:r>
      <w:r w:rsidR="00E76EC8">
        <w:rPr>
          <w:sz w:val="19"/>
          <w:szCs w:val="19"/>
          <w:lang w:val="es-ES_tradnl"/>
        </w:rPr>
        <w:t>HFC</w:t>
      </w:r>
      <w:r w:rsidR="009B17B5">
        <w:rPr>
          <w:sz w:val="19"/>
          <w:szCs w:val="19"/>
          <w:lang w:val="es-ES_tradnl"/>
        </w:rPr>
        <w:t xml:space="preserve"> </w:t>
      </w:r>
      <w:r w:rsidRPr="00932F5A">
        <w:rPr>
          <w:sz w:val="19"/>
          <w:szCs w:val="19"/>
          <w:lang w:val="es-ES_tradnl"/>
        </w:rPr>
        <w:t>(</w:t>
      </w:r>
      <w:r w:rsidR="00EA4DA0" w:rsidRPr="00932F5A">
        <w:rPr>
          <w:sz w:val="19"/>
          <w:szCs w:val="19"/>
          <w:lang w:val="es-ES_tradnl"/>
        </w:rPr>
        <w:t>UNEP/OzL.Pro</w:t>
      </w:r>
      <w:r w:rsidRPr="00932F5A">
        <w:rPr>
          <w:sz w:val="19"/>
          <w:szCs w:val="19"/>
          <w:lang w:val="es-ES_tradnl"/>
        </w:rPr>
        <w:t>/ExCom/82/64).</w:t>
      </w:r>
    </w:p>
    <w:p w14:paraId="000012F4" w14:textId="5675D78C" w:rsidR="00AE0EBB" w:rsidRPr="008828A2" w:rsidRDefault="00AE0EBB" w:rsidP="00320ECB">
      <w:pPr>
        <w:rPr>
          <w:sz w:val="19"/>
          <w:szCs w:val="19"/>
          <w:lang w:val="es-ES_tradnl"/>
        </w:rPr>
      </w:pPr>
      <w:r w:rsidRPr="008828A2">
        <w:rPr>
          <w:sz w:val="19"/>
          <w:szCs w:val="19"/>
          <w:lang w:val="es-ES_tradnl"/>
        </w:rPr>
        <w:t>e</w:t>
      </w:r>
      <w:r w:rsidR="00EA4DA0" w:rsidRPr="008828A2">
        <w:rPr>
          <w:sz w:val="19"/>
          <w:szCs w:val="19"/>
          <w:lang w:val="es-ES_tradnl"/>
        </w:rPr>
        <w:t>.</w:t>
      </w:r>
      <w:r w:rsidR="00936784" w:rsidRPr="008828A2">
        <w:rPr>
          <w:sz w:val="19"/>
          <w:szCs w:val="19"/>
          <w:lang w:val="es-ES_tradnl"/>
        </w:rPr>
        <w:t xml:space="preserve"> </w:t>
      </w:r>
      <w:r w:rsidR="00EA4DA0" w:rsidRPr="008828A2">
        <w:rPr>
          <w:sz w:val="19"/>
          <w:szCs w:val="19"/>
          <w:lang w:val="es-ES_tradnl"/>
        </w:rPr>
        <w:t>UNEP/OzL.Pro</w:t>
      </w:r>
      <w:r w:rsidRPr="008828A2">
        <w:rPr>
          <w:sz w:val="19"/>
          <w:szCs w:val="19"/>
          <w:lang w:val="es-ES_tradnl"/>
        </w:rPr>
        <w:t>/ExCom/83/</w:t>
      </w:r>
      <w:r w:rsidR="0006369B" w:rsidRPr="008828A2">
        <w:rPr>
          <w:sz w:val="19"/>
          <w:szCs w:val="19"/>
          <w:lang w:val="es-ES_tradnl"/>
        </w:rPr>
        <w:t>40</w:t>
      </w:r>
      <w:r w:rsidR="002E03A7" w:rsidRPr="008828A2">
        <w:rPr>
          <w:sz w:val="19"/>
          <w:szCs w:val="19"/>
          <w:lang w:val="es-ES_tradnl"/>
        </w:rPr>
        <w:t>.</w:t>
      </w:r>
    </w:p>
    <w:p w14:paraId="1DE3C2BB" w14:textId="48E523C8" w:rsidR="00AE0EBB" w:rsidRPr="008828A2" w:rsidRDefault="00AE0EBB" w:rsidP="00320ECB">
      <w:pPr>
        <w:rPr>
          <w:sz w:val="19"/>
          <w:szCs w:val="19"/>
          <w:lang w:val="es-ES_tradnl"/>
        </w:rPr>
      </w:pPr>
      <w:r w:rsidRPr="008828A2">
        <w:rPr>
          <w:sz w:val="19"/>
          <w:szCs w:val="19"/>
          <w:lang w:val="es-ES_tradnl"/>
        </w:rPr>
        <w:t>f</w:t>
      </w:r>
      <w:r w:rsidR="00EA4DA0" w:rsidRPr="008828A2">
        <w:rPr>
          <w:sz w:val="19"/>
          <w:szCs w:val="19"/>
          <w:lang w:val="es-ES_tradnl"/>
        </w:rPr>
        <w:t>.</w:t>
      </w:r>
      <w:r w:rsidR="00936784" w:rsidRPr="008828A2">
        <w:rPr>
          <w:sz w:val="19"/>
          <w:szCs w:val="19"/>
          <w:lang w:val="es-ES_tradnl"/>
        </w:rPr>
        <w:t xml:space="preserve"> </w:t>
      </w:r>
      <w:r w:rsidR="00EA4DA0" w:rsidRPr="008828A2">
        <w:rPr>
          <w:sz w:val="19"/>
          <w:szCs w:val="19"/>
          <w:lang w:val="es-ES_tradnl"/>
        </w:rPr>
        <w:t>UNEP/OzL.Pro</w:t>
      </w:r>
      <w:r w:rsidR="0006369B" w:rsidRPr="008828A2">
        <w:rPr>
          <w:sz w:val="19"/>
          <w:szCs w:val="19"/>
          <w:lang w:val="es-ES_tradnl"/>
        </w:rPr>
        <w:t>/ExCom/83/41</w:t>
      </w:r>
      <w:r w:rsidR="002E03A7" w:rsidRPr="008828A2">
        <w:rPr>
          <w:sz w:val="19"/>
          <w:szCs w:val="19"/>
          <w:lang w:val="es-ES_tradnl"/>
        </w:rPr>
        <w:t>.</w:t>
      </w:r>
    </w:p>
    <w:p w14:paraId="45B23A3B" w14:textId="5B291853" w:rsidR="00AE0EBB" w:rsidRPr="008828A2" w:rsidRDefault="00AE0EBB" w:rsidP="00320ECB">
      <w:pPr>
        <w:rPr>
          <w:sz w:val="19"/>
          <w:szCs w:val="19"/>
          <w:lang w:val="es-ES_tradnl"/>
        </w:rPr>
      </w:pPr>
      <w:r w:rsidRPr="008828A2">
        <w:rPr>
          <w:sz w:val="19"/>
          <w:szCs w:val="19"/>
          <w:lang w:val="es-ES_tradnl"/>
        </w:rPr>
        <w:t>g</w:t>
      </w:r>
      <w:r w:rsidR="00EA4DA0" w:rsidRPr="008828A2">
        <w:rPr>
          <w:sz w:val="19"/>
          <w:szCs w:val="19"/>
          <w:lang w:val="es-ES_tradnl"/>
        </w:rPr>
        <w:t>.</w:t>
      </w:r>
      <w:r w:rsidR="00936784" w:rsidRPr="008828A2">
        <w:rPr>
          <w:sz w:val="19"/>
          <w:szCs w:val="19"/>
          <w:lang w:val="es-ES_tradnl"/>
        </w:rPr>
        <w:t xml:space="preserve"> </w:t>
      </w:r>
      <w:r w:rsidR="00EA4DA0" w:rsidRPr="008828A2">
        <w:rPr>
          <w:sz w:val="19"/>
          <w:szCs w:val="19"/>
          <w:lang w:val="es-ES_tradnl"/>
        </w:rPr>
        <w:t>UNEP/OzL.Pro</w:t>
      </w:r>
      <w:r w:rsidR="0006369B" w:rsidRPr="008828A2">
        <w:rPr>
          <w:sz w:val="19"/>
          <w:szCs w:val="19"/>
          <w:lang w:val="es-ES_tradnl"/>
        </w:rPr>
        <w:t>/ExCom/83/42</w:t>
      </w:r>
      <w:r w:rsidR="002E03A7" w:rsidRPr="008828A2">
        <w:rPr>
          <w:sz w:val="19"/>
          <w:szCs w:val="19"/>
          <w:lang w:val="es-ES_tradnl"/>
        </w:rPr>
        <w:t>.</w:t>
      </w:r>
    </w:p>
    <w:p w14:paraId="6170B6D5" w14:textId="07B28DC0" w:rsidR="00CF7BF9" w:rsidRPr="008828A2" w:rsidRDefault="00CF7BF9" w:rsidP="00320ECB">
      <w:pPr>
        <w:rPr>
          <w:sz w:val="19"/>
          <w:szCs w:val="19"/>
          <w:lang w:val="es-ES_tradnl"/>
        </w:rPr>
      </w:pPr>
      <w:r w:rsidRPr="008828A2">
        <w:rPr>
          <w:sz w:val="19"/>
          <w:szCs w:val="19"/>
          <w:lang w:val="es-ES_tradnl"/>
        </w:rPr>
        <w:t>h</w:t>
      </w:r>
      <w:r w:rsidR="00EA4DA0" w:rsidRPr="008828A2">
        <w:rPr>
          <w:sz w:val="19"/>
          <w:szCs w:val="19"/>
          <w:lang w:val="es-ES_tradnl"/>
        </w:rPr>
        <w:t>.</w:t>
      </w:r>
      <w:r w:rsidR="00936784" w:rsidRPr="008828A2">
        <w:rPr>
          <w:sz w:val="19"/>
          <w:szCs w:val="19"/>
          <w:lang w:val="es-ES_tradnl"/>
        </w:rPr>
        <w:t xml:space="preserve"> </w:t>
      </w:r>
      <w:r w:rsidR="00EA4DA0" w:rsidRPr="008828A2">
        <w:rPr>
          <w:sz w:val="19"/>
          <w:szCs w:val="19"/>
          <w:lang w:val="es-ES_tradnl"/>
        </w:rPr>
        <w:t>UNEP/OzL.Pro</w:t>
      </w:r>
      <w:r w:rsidRPr="008828A2">
        <w:rPr>
          <w:sz w:val="19"/>
          <w:szCs w:val="19"/>
          <w:lang w:val="es-ES_tradnl"/>
        </w:rPr>
        <w:t>/ExCom/82/64.</w:t>
      </w:r>
    </w:p>
    <w:p w14:paraId="2519E2FD" w14:textId="2FAE6088" w:rsidR="00AA29C4" w:rsidRPr="00932F5A" w:rsidRDefault="00CF7BF9" w:rsidP="00437CD6">
      <w:pPr>
        <w:jc w:val="left"/>
        <w:rPr>
          <w:sz w:val="19"/>
          <w:szCs w:val="19"/>
          <w:lang w:val="es-ES_tradnl"/>
        </w:rPr>
      </w:pPr>
      <w:r w:rsidRPr="00932F5A">
        <w:rPr>
          <w:sz w:val="19"/>
          <w:szCs w:val="19"/>
          <w:lang w:val="es-ES_tradnl"/>
        </w:rPr>
        <w:t>i</w:t>
      </w:r>
      <w:r w:rsidR="00EA4DA0" w:rsidRPr="00932F5A">
        <w:rPr>
          <w:sz w:val="19"/>
          <w:szCs w:val="19"/>
          <w:lang w:val="es-ES_tradnl"/>
        </w:rPr>
        <w:t>.</w:t>
      </w:r>
      <w:r w:rsidR="00936784" w:rsidRPr="00932F5A">
        <w:rPr>
          <w:sz w:val="19"/>
          <w:szCs w:val="19"/>
          <w:lang w:val="es-ES_tradnl"/>
        </w:rPr>
        <w:t xml:space="preserve"> </w:t>
      </w:r>
      <w:r w:rsidR="00EA4DA0" w:rsidRPr="00932F5A">
        <w:rPr>
          <w:sz w:val="19"/>
          <w:szCs w:val="19"/>
          <w:lang w:val="es-ES_tradnl"/>
        </w:rPr>
        <w:t>UNEP/OzL.Pro</w:t>
      </w:r>
      <w:r w:rsidR="00AE0EBB" w:rsidRPr="00932F5A">
        <w:rPr>
          <w:sz w:val="19"/>
          <w:szCs w:val="19"/>
          <w:lang w:val="es-ES_tradnl"/>
        </w:rPr>
        <w:t>/ExCom/82/21</w:t>
      </w:r>
      <w:r w:rsidR="002E03A7" w:rsidRPr="00932F5A">
        <w:rPr>
          <w:sz w:val="19"/>
          <w:szCs w:val="19"/>
          <w:lang w:val="es-ES_tradnl"/>
        </w:rPr>
        <w:t>.</w:t>
      </w:r>
    </w:p>
    <w:p w14:paraId="74EC8C04" w14:textId="77777777" w:rsidR="007908E5" w:rsidRPr="00932F5A" w:rsidRDefault="007908E5" w:rsidP="00437CD6">
      <w:pPr>
        <w:jc w:val="left"/>
        <w:rPr>
          <w:sz w:val="18"/>
          <w:szCs w:val="18"/>
          <w:lang w:val="es-ES_tradnl"/>
        </w:rPr>
      </w:pPr>
    </w:p>
    <w:p w14:paraId="35C76FC1" w14:textId="6C503982" w:rsidR="00FF6784" w:rsidRPr="00932F5A" w:rsidRDefault="003707FE" w:rsidP="00AA29C4">
      <w:pPr>
        <w:pStyle w:val="Heading1"/>
        <w:rPr>
          <w:lang w:val="es-ES_tradnl"/>
        </w:rPr>
      </w:pPr>
      <w:r>
        <w:rPr>
          <w:lang w:val="es-ES_tradnl"/>
        </w:rPr>
        <w:lastRenderedPageBreak/>
        <w:t>En</w:t>
      </w:r>
      <w:r w:rsidR="00932F5A">
        <w:rPr>
          <w:lang w:val="es-ES_tradnl"/>
        </w:rPr>
        <w:t xml:space="preserve"> la </w:t>
      </w:r>
      <w:r w:rsidR="00936784" w:rsidRPr="00932F5A">
        <w:rPr>
          <w:lang w:val="es-ES_tradnl"/>
        </w:rPr>
        <w:t>82</w:t>
      </w:r>
      <w:r w:rsidR="005F33A5">
        <w:rPr>
          <w:lang w:val="es-ES_tradnl"/>
        </w:rPr>
        <w:t>ª reunión</w:t>
      </w:r>
      <w:r w:rsidR="00E069F2">
        <w:rPr>
          <w:lang w:val="es-ES_tradnl"/>
        </w:rPr>
        <w:t xml:space="preserve"> el Comité </w:t>
      </w:r>
      <w:r w:rsidR="00A927A6">
        <w:rPr>
          <w:lang w:val="es-ES_tradnl"/>
        </w:rPr>
        <w:t>Ejecutivo resolvió</w:t>
      </w:r>
      <w:r w:rsidR="00936784" w:rsidRPr="00932F5A">
        <w:rPr>
          <w:lang w:val="es-ES_tradnl"/>
        </w:rPr>
        <w:t xml:space="preserve"> </w:t>
      </w:r>
      <w:r w:rsidR="00471626">
        <w:rPr>
          <w:lang w:val="es-ES_tradnl"/>
        </w:rPr>
        <w:t>reanudar</w:t>
      </w:r>
      <w:r w:rsidR="00B05D29">
        <w:rPr>
          <w:lang w:val="es-ES_tradnl"/>
        </w:rPr>
        <w:t xml:space="preserve"> </w:t>
      </w:r>
      <w:r w:rsidR="00C7209F">
        <w:rPr>
          <w:lang w:val="es-ES_tradnl"/>
        </w:rPr>
        <w:t xml:space="preserve">en </w:t>
      </w:r>
      <w:r w:rsidR="00C7209F" w:rsidRPr="00C7209F">
        <w:rPr>
          <w:lang w:val="es-ES_tradnl"/>
        </w:rPr>
        <w:t>la 83</w:t>
      </w:r>
      <w:r w:rsidR="005F33A5">
        <w:rPr>
          <w:lang w:val="es-ES_tradnl"/>
        </w:rPr>
        <w:t>ª reunión</w:t>
      </w:r>
      <w:r w:rsidR="00C7209F" w:rsidRPr="00C7209F">
        <w:rPr>
          <w:lang w:val="es-ES_tradnl"/>
        </w:rPr>
        <w:t xml:space="preserve"> </w:t>
      </w:r>
      <w:r w:rsidR="00B05D29">
        <w:rPr>
          <w:lang w:val="es-ES_tradnl"/>
        </w:rPr>
        <w:t xml:space="preserve">la discusión sobre </w:t>
      </w:r>
      <w:r w:rsidR="00472DD0">
        <w:rPr>
          <w:lang w:val="es-ES_tradnl"/>
        </w:rPr>
        <w:t xml:space="preserve">los </w:t>
      </w:r>
      <w:r w:rsidR="00716BF9">
        <w:rPr>
          <w:lang w:val="es-ES_tradnl"/>
        </w:rPr>
        <w:t>parámetros del costo de reducir</w:t>
      </w:r>
      <w:r w:rsidR="00243AB6">
        <w:rPr>
          <w:lang w:val="es-ES_tradnl"/>
        </w:rPr>
        <w:t xml:space="preserve"> los HFC</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5F1C91" w:rsidRPr="00932F5A">
        <w:rPr>
          <w:lang w:val="es-ES_tradnl"/>
        </w:rPr>
        <w:t>países</w:t>
      </w:r>
      <w:r w:rsidR="00936784" w:rsidRPr="00932F5A">
        <w:rPr>
          <w:lang w:val="es-ES_tradnl"/>
        </w:rPr>
        <w:t xml:space="preserve"> </w:t>
      </w:r>
      <w:r w:rsidR="005F1C91" w:rsidRPr="00932F5A">
        <w:rPr>
          <w:lang w:val="es-ES_tradnl"/>
        </w:rPr>
        <w:t>del</w:t>
      </w:r>
      <w:r w:rsidR="00936784" w:rsidRPr="00932F5A">
        <w:rPr>
          <w:lang w:val="es-ES_tradnl"/>
        </w:rPr>
        <w:t xml:space="preserve"> </w:t>
      </w:r>
      <w:r w:rsidR="005F1C91" w:rsidRPr="00932F5A">
        <w:rPr>
          <w:lang w:val="es-ES_tradnl"/>
        </w:rPr>
        <w:t>artículo</w:t>
      </w:r>
      <w:r w:rsidR="00936784" w:rsidRPr="00932F5A">
        <w:rPr>
          <w:lang w:val="es-ES_tradnl"/>
        </w:rPr>
        <w:t xml:space="preserve"> </w:t>
      </w:r>
      <w:r w:rsidR="005F1C91" w:rsidRPr="00932F5A">
        <w:rPr>
          <w:lang w:val="es-ES_tradnl"/>
        </w:rPr>
        <w:t>5</w:t>
      </w:r>
      <w:r w:rsidR="00936784" w:rsidRPr="00932F5A">
        <w:rPr>
          <w:lang w:val="es-ES_tradnl"/>
        </w:rPr>
        <w:t xml:space="preserve"> </w:t>
      </w:r>
      <w:r w:rsidR="003847D9" w:rsidRPr="00932F5A">
        <w:rPr>
          <w:lang w:val="es-ES_tradnl"/>
        </w:rPr>
        <w:t>(</w:t>
      </w:r>
      <w:r w:rsidR="00D352E8" w:rsidRPr="00932F5A">
        <w:rPr>
          <w:lang w:val="es-ES_tradnl"/>
        </w:rPr>
        <w:t>decisión</w:t>
      </w:r>
      <w:r w:rsidR="00936784" w:rsidRPr="00932F5A">
        <w:rPr>
          <w:lang w:val="es-ES_tradnl"/>
        </w:rPr>
        <w:t xml:space="preserve"> </w:t>
      </w:r>
      <w:r w:rsidR="003847D9" w:rsidRPr="00932F5A">
        <w:rPr>
          <w:lang w:val="es-ES_tradnl"/>
        </w:rPr>
        <w:t>82/84).</w:t>
      </w:r>
    </w:p>
    <w:p w14:paraId="5B693D97" w14:textId="1174DDC9" w:rsidR="003847D9" w:rsidRPr="00932F5A" w:rsidRDefault="007F5EC6" w:rsidP="00AA29C4">
      <w:pPr>
        <w:pStyle w:val="Heading1"/>
        <w:rPr>
          <w:lang w:val="es-ES_tradnl"/>
        </w:rPr>
      </w:pPr>
      <w:r>
        <w:rPr>
          <w:lang w:val="es-ES_tradnl"/>
        </w:rPr>
        <w:t>De conformidad con</w:t>
      </w:r>
      <w:r w:rsidR="00936784" w:rsidRPr="00932F5A">
        <w:rPr>
          <w:lang w:val="es-ES_tradnl"/>
        </w:rPr>
        <w:t xml:space="preserve"> las decisiones </w:t>
      </w:r>
      <w:r w:rsidR="003847D9" w:rsidRPr="00932F5A">
        <w:rPr>
          <w:lang w:val="es-ES_tradnl"/>
        </w:rPr>
        <w:t>80/76(b)</w:t>
      </w:r>
      <w:r w:rsidR="00936784" w:rsidRPr="00932F5A">
        <w:rPr>
          <w:lang w:val="es-ES_tradnl"/>
        </w:rPr>
        <w:t xml:space="preserve"> </w:t>
      </w:r>
      <w:r w:rsidR="003543D0" w:rsidRPr="00932F5A">
        <w:rPr>
          <w:lang w:val="es-ES_tradnl"/>
        </w:rPr>
        <w:t>y</w:t>
      </w:r>
      <w:r w:rsidR="00936784" w:rsidRPr="00932F5A">
        <w:rPr>
          <w:lang w:val="es-ES_tradnl"/>
        </w:rPr>
        <w:t xml:space="preserve"> </w:t>
      </w:r>
      <w:r w:rsidR="003847D9" w:rsidRPr="00932F5A">
        <w:rPr>
          <w:lang w:val="es-ES_tradnl"/>
        </w:rPr>
        <w:t>81/67(f),</w:t>
      </w:r>
      <w:r w:rsidR="00936784" w:rsidRPr="00932F5A">
        <w:rPr>
          <w:lang w:val="es-ES_tradnl"/>
        </w:rPr>
        <w:t xml:space="preserve"> </w:t>
      </w:r>
      <w:r w:rsidR="00ED5D93">
        <w:rPr>
          <w:lang w:val="es-ES_tradnl"/>
        </w:rPr>
        <w:t xml:space="preserve">el </w:t>
      </w:r>
      <w:r w:rsidR="00D352E8" w:rsidRPr="00932F5A">
        <w:rPr>
          <w:lang w:val="es-ES_tradnl"/>
        </w:rPr>
        <w:t>Anexo</w:t>
      </w:r>
      <w:r w:rsidR="00936784" w:rsidRPr="00932F5A">
        <w:rPr>
          <w:lang w:val="es-ES_tradnl"/>
        </w:rPr>
        <w:t xml:space="preserve"> </w:t>
      </w:r>
      <w:r w:rsidR="003847D9" w:rsidRPr="00932F5A">
        <w:rPr>
          <w:lang w:val="es-ES_tradnl"/>
        </w:rPr>
        <w:t>II</w:t>
      </w:r>
      <w:r w:rsidR="00936784" w:rsidRPr="00932F5A">
        <w:rPr>
          <w:lang w:val="es-ES_tradnl"/>
        </w:rPr>
        <w:t xml:space="preserve"> </w:t>
      </w:r>
      <w:r w:rsidR="001E4889">
        <w:rPr>
          <w:lang w:val="es-ES_tradnl"/>
        </w:rPr>
        <w:t>a</w:t>
      </w:r>
      <w:r w:rsidR="005E7D21" w:rsidRPr="00932F5A">
        <w:rPr>
          <w:lang w:val="es-ES_tradnl"/>
        </w:rPr>
        <w:t>l</w:t>
      </w:r>
      <w:r w:rsidR="00936784" w:rsidRPr="00932F5A">
        <w:rPr>
          <w:lang w:val="es-ES_tradnl"/>
        </w:rPr>
        <w:t xml:space="preserve"> </w:t>
      </w:r>
      <w:r w:rsidR="00260DA8">
        <w:rPr>
          <w:lang w:val="es-ES_tradnl"/>
        </w:rPr>
        <w:t>presente</w:t>
      </w:r>
      <w:r w:rsidR="00936784" w:rsidRPr="00932F5A">
        <w:rPr>
          <w:lang w:val="es-ES_tradnl"/>
        </w:rPr>
        <w:t xml:space="preserve"> </w:t>
      </w:r>
      <w:r w:rsidR="00FF6784" w:rsidRPr="00932F5A">
        <w:rPr>
          <w:lang w:val="es-ES_tradnl"/>
        </w:rPr>
        <w:t>documento</w:t>
      </w:r>
      <w:r w:rsidR="00936784" w:rsidRPr="00932F5A">
        <w:rPr>
          <w:lang w:val="es-ES_tradnl"/>
        </w:rPr>
        <w:t xml:space="preserve"> </w:t>
      </w:r>
      <w:r w:rsidR="002C4B4B">
        <w:rPr>
          <w:lang w:val="es-ES_tradnl"/>
        </w:rPr>
        <w:t>contiene</w:t>
      </w:r>
      <w:r w:rsidR="00936784" w:rsidRPr="00932F5A">
        <w:rPr>
          <w:lang w:val="es-ES_tradnl"/>
        </w:rPr>
        <w:t xml:space="preserve"> </w:t>
      </w:r>
      <w:r w:rsidR="0058091E">
        <w:rPr>
          <w:lang w:val="es-ES_tradnl"/>
        </w:rPr>
        <w:t>la lista</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592E63" w:rsidRPr="00932F5A">
        <w:rPr>
          <w:lang w:val="es-ES_tradnl"/>
        </w:rPr>
        <w:t>materias pendientes</w:t>
      </w:r>
      <w:r w:rsidR="00936784" w:rsidRPr="00932F5A">
        <w:rPr>
          <w:lang w:val="es-ES_tradnl"/>
        </w:rPr>
        <w:t xml:space="preserve"> </w:t>
      </w:r>
      <w:r w:rsidR="0058091E">
        <w:rPr>
          <w:lang w:val="es-ES_tradnl"/>
        </w:rPr>
        <w:t xml:space="preserve">para </w:t>
      </w:r>
      <w:r w:rsidR="00A66CB0" w:rsidRPr="00932F5A">
        <w:rPr>
          <w:lang w:val="es-ES_tradnl"/>
        </w:rPr>
        <w:t>discusión</w:t>
      </w:r>
      <w:r w:rsidR="003847D9" w:rsidRPr="00932F5A">
        <w:rPr>
          <w:lang w:val="es-ES_tradnl"/>
        </w:rPr>
        <w:t>.</w:t>
      </w:r>
      <w:r w:rsidR="00936784" w:rsidRPr="00932F5A">
        <w:rPr>
          <w:lang w:val="es-ES_tradnl"/>
        </w:rPr>
        <w:t xml:space="preserve"> </w:t>
      </w:r>
      <w:r w:rsidR="005E7D21" w:rsidRPr="00932F5A">
        <w:rPr>
          <w:lang w:val="es-ES_tradnl"/>
        </w:rPr>
        <w:t>Sin</w:t>
      </w:r>
      <w:r w:rsidR="00936784" w:rsidRPr="00932F5A">
        <w:rPr>
          <w:lang w:val="es-ES_tradnl"/>
        </w:rPr>
        <w:t xml:space="preserve"> </w:t>
      </w:r>
      <w:r w:rsidR="005E7D21" w:rsidRPr="00932F5A">
        <w:rPr>
          <w:lang w:val="es-ES_tradnl"/>
        </w:rPr>
        <w:t>embargo</w:t>
      </w:r>
      <w:r w:rsidR="003847D9" w:rsidRPr="00932F5A">
        <w:rPr>
          <w:lang w:val="es-ES_tradnl"/>
        </w:rPr>
        <w:t>,</w:t>
      </w:r>
      <w:r w:rsidR="00936784" w:rsidRPr="00932F5A">
        <w:rPr>
          <w:lang w:val="es-ES_tradnl"/>
        </w:rPr>
        <w:t xml:space="preserve"> </w:t>
      </w:r>
      <w:r w:rsidR="00762C85" w:rsidRPr="00932F5A">
        <w:rPr>
          <w:lang w:val="es-ES_tradnl"/>
        </w:rPr>
        <w:t>tomando</w:t>
      </w:r>
      <w:r w:rsidR="00936784" w:rsidRPr="00932F5A">
        <w:rPr>
          <w:lang w:val="es-ES_tradnl"/>
        </w:rPr>
        <w:t xml:space="preserve"> </w:t>
      </w:r>
      <w:r w:rsidR="00762C85" w:rsidRPr="00932F5A">
        <w:rPr>
          <w:lang w:val="es-ES_tradnl"/>
        </w:rPr>
        <w:t>nota</w:t>
      </w:r>
      <w:r w:rsidR="00936784" w:rsidRPr="00932F5A">
        <w:rPr>
          <w:lang w:val="es-ES_tradnl"/>
        </w:rPr>
        <w:t xml:space="preserve"> </w:t>
      </w:r>
      <w:r w:rsidR="00762C85" w:rsidRPr="00932F5A">
        <w:rPr>
          <w:lang w:val="es-ES_tradnl"/>
        </w:rPr>
        <w:t>de</w:t>
      </w:r>
      <w:r w:rsidR="00936784" w:rsidRPr="00932F5A">
        <w:rPr>
          <w:lang w:val="es-ES_tradnl"/>
        </w:rPr>
        <w:t xml:space="preserve"> </w:t>
      </w:r>
      <w:r w:rsidR="00762C85" w:rsidRPr="00932F5A">
        <w:rPr>
          <w:lang w:val="es-ES_tradnl"/>
        </w:rPr>
        <w:t>que</w:t>
      </w:r>
      <w:r w:rsidR="00936784" w:rsidRPr="00932F5A">
        <w:rPr>
          <w:lang w:val="es-ES_tradnl"/>
        </w:rPr>
        <w:t xml:space="preserve"> </w:t>
      </w:r>
      <w:r w:rsidR="000F6C02">
        <w:rPr>
          <w:lang w:val="es-ES_tradnl"/>
        </w:rPr>
        <w:t xml:space="preserve">el </w:t>
      </w:r>
      <w:r w:rsidR="00D352E8" w:rsidRPr="00932F5A">
        <w:rPr>
          <w:lang w:val="es-ES_tradnl"/>
        </w:rPr>
        <w:t>Anexo</w:t>
      </w:r>
      <w:r w:rsidR="00936784" w:rsidRPr="00932F5A">
        <w:rPr>
          <w:lang w:val="es-ES_tradnl"/>
        </w:rPr>
        <w:t xml:space="preserve"> </w:t>
      </w:r>
      <w:r w:rsidR="003847D9" w:rsidRPr="00932F5A">
        <w:rPr>
          <w:lang w:val="es-ES_tradnl"/>
        </w:rPr>
        <w:t>II</w:t>
      </w:r>
      <w:r w:rsidR="00936784" w:rsidRPr="00932F5A">
        <w:rPr>
          <w:lang w:val="es-ES_tradnl"/>
        </w:rPr>
        <w:t xml:space="preserve"> </w:t>
      </w:r>
      <w:r w:rsidR="00282494">
        <w:rPr>
          <w:lang w:val="es-ES_tradnl"/>
        </w:rPr>
        <w:t xml:space="preserve">ya </w:t>
      </w:r>
      <w:r w:rsidR="004A1D9D">
        <w:rPr>
          <w:lang w:val="es-ES_tradnl"/>
        </w:rPr>
        <w:t>no refleja</w:t>
      </w:r>
      <w:r w:rsidR="008B3BC7">
        <w:rPr>
          <w:lang w:val="es-ES_tradnl"/>
        </w:rPr>
        <w:t xml:space="preserve"> el estado actual </w:t>
      </w:r>
      <w:r w:rsidR="00272BB5" w:rsidRPr="00932F5A">
        <w:rPr>
          <w:lang w:val="es-ES_tradnl"/>
        </w:rPr>
        <w:t>de</w:t>
      </w:r>
      <w:r w:rsidR="00936784" w:rsidRPr="00932F5A">
        <w:rPr>
          <w:lang w:val="es-ES_tradnl"/>
        </w:rPr>
        <w:t xml:space="preserve"> </w:t>
      </w:r>
      <w:r w:rsidR="008B3BC7">
        <w:rPr>
          <w:lang w:val="es-ES_tradnl"/>
        </w:rPr>
        <w:t xml:space="preserve">la </w:t>
      </w:r>
      <w:r w:rsidR="00A66CB0" w:rsidRPr="00932F5A">
        <w:rPr>
          <w:lang w:val="es-ES_tradnl"/>
        </w:rPr>
        <w:t>discusión</w:t>
      </w:r>
      <w:r w:rsidR="00936784" w:rsidRPr="00932F5A">
        <w:rPr>
          <w:lang w:val="es-ES_tradnl"/>
        </w:rPr>
        <w:t xml:space="preserve"> </w:t>
      </w:r>
      <w:r w:rsidR="003847D9" w:rsidRPr="00932F5A">
        <w:rPr>
          <w:lang w:val="es-ES_tradnl"/>
        </w:rPr>
        <w:t>(</w:t>
      </w:r>
      <w:r w:rsidR="005E7D21" w:rsidRPr="00932F5A">
        <w:rPr>
          <w:lang w:val="es-ES_tradnl"/>
        </w:rPr>
        <w:t>p.</w:t>
      </w:r>
      <w:r w:rsidR="00936784" w:rsidRPr="00932F5A">
        <w:rPr>
          <w:lang w:val="es-ES_tradnl"/>
        </w:rPr>
        <w:t xml:space="preserve"> </w:t>
      </w:r>
      <w:r w:rsidR="005E7D21" w:rsidRPr="00932F5A">
        <w:rPr>
          <w:lang w:val="es-ES_tradnl"/>
        </w:rPr>
        <w:t>ej.</w:t>
      </w:r>
      <w:r w:rsidR="003847D9" w:rsidRPr="00932F5A">
        <w:rPr>
          <w:lang w:val="es-ES_tradnl"/>
        </w:rPr>
        <w:t>,</w:t>
      </w:r>
      <w:r w:rsidR="00936784" w:rsidRPr="00932F5A">
        <w:rPr>
          <w:lang w:val="es-ES_tradnl"/>
        </w:rPr>
        <w:t xml:space="preserve"> </w:t>
      </w:r>
      <w:r w:rsidR="00310F20">
        <w:rPr>
          <w:lang w:val="es-ES_tradnl"/>
        </w:rPr>
        <w:t>no incluye</w:t>
      </w:r>
      <w:r w:rsidR="00936784" w:rsidRPr="00932F5A">
        <w:rPr>
          <w:lang w:val="es-ES_tradnl"/>
        </w:rPr>
        <w:t xml:space="preserve"> </w:t>
      </w:r>
      <w:r w:rsidR="00D73C7B">
        <w:rPr>
          <w:lang w:val="es-ES_tradnl"/>
        </w:rPr>
        <w:t>diversos</w:t>
      </w:r>
      <w:r w:rsidR="00936784" w:rsidRPr="00932F5A">
        <w:rPr>
          <w:lang w:val="es-ES_tradnl"/>
        </w:rPr>
        <w:t xml:space="preserve"> </w:t>
      </w:r>
      <w:r w:rsidR="008B2E22" w:rsidRPr="00932F5A">
        <w:rPr>
          <w:lang w:val="es-ES_tradnl"/>
        </w:rPr>
        <w:t>aspecto</w:t>
      </w:r>
      <w:r w:rsidR="00D11D2E" w:rsidRPr="00932F5A">
        <w:rPr>
          <w:lang w:val="es-ES_tradnl"/>
        </w:rPr>
        <w:t>s</w:t>
      </w:r>
      <w:r w:rsidR="00936784" w:rsidRPr="00932F5A">
        <w:rPr>
          <w:lang w:val="es-ES_tradnl"/>
        </w:rPr>
        <w:t xml:space="preserve"> </w:t>
      </w:r>
      <w:r w:rsidR="00310F20">
        <w:rPr>
          <w:lang w:val="es-ES_tradnl"/>
        </w:rPr>
        <w:t xml:space="preserve">relativos a </w:t>
      </w:r>
      <w:r w:rsidR="005F1C91" w:rsidRPr="00932F5A">
        <w:rPr>
          <w:lang w:val="es-ES_tradnl"/>
        </w:rPr>
        <w:t>eficiencia</w:t>
      </w:r>
      <w:r w:rsidR="00936784" w:rsidRPr="00932F5A">
        <w:rPr>
          <w:lang w:val="es-ES_tradnl"/>
        </w:rPr>
        <w:t xml:space="preserve"> </w:t>
      </w:r>
      <w:r w:rsidR="005F1C91" w:rsidRPr="00932F5A">
        <w:rPr>
          <w:lang w:val="es-ES_tradnl"/>
        </w:rPr>
        <w:t>energética</w:t>
      </w:r>
      <w:r w:rsidR="00936784" w:rsidRPr="00932F5A">
        <w:rPr>
          <w:lang w:val="es-ES_tradnl"/>
        </w:rPr>
        <w:t xml:space="preserve"> </w:t>
      </w:r>
      <w:r w:rsidR="00197A00" w:rsidRPr="00932F5A">
        <w:rPr>
          <w:lang w:val="es-ES_tradnl"/>
        </w:rPr>
        <w:t>que</w:t>
      </w:r>
      <w:r w:rsidR="00936784" w:rsidRPr="00932F5A">
        <w:rPr>
          <w:lang w:val="es-ES_tradnl"/>
        </w:rPr>
        <w:t xml:space="preserve"> </w:t>
      </w:r>
      <w:r w:rsidR="00197A00" w:rsidRPr="00932F5A">
        <w:rPr>
          <w:lang w:val="es-ES_tradnl"/>
        </w:rPr>
        <w:t>el</w:t>
      </w:r>
      <w:r w:rsidR="00936784" w:rsidRPr="00932F5A">
        <w:rPr>
          <w:lang w:val="es-ES_tradnl"/>
        </w:rPr>
        <w:t xml:space="preserve"> </w:t>
      </w:r>
      <w:r w:rsidR="00197A00" w:rsidRPr="00932F5A">
        <w:rPr>
          <w:lang w:val="es-ES_tradnl"/>
        </w:rPr>
        <w:t>Comité</w:t>
      </w:r>
      <w:r w:rsidR="00936784" w:rsidRPr="00932F5A">
        <w:rPr>
          <w:lang w:val="es-ES_tradnl"/>
        </w:rPr>
        <w:t xml:space="preserve"> </w:t>
      </w:r>
      <w:r w:rsidR="003543D0" w:rsidRPr="00932F5A">
        <w:rPr>
          <w:lang w:val="es-ES_tradnl"/>
        </w:rPr>
        <w:t>Ejecutivo</w:t>
      </w:r>
      <w:r w:rsidR="00936784" w:rsidRPr="00932F5A">
        <w:rPr>
          <w:lang w:val="es-ES_tradnl"/>
        </w:rPr>
        <w:t xml:space="preserve"> </w:t>
      </w:r>
      <w:r w:rsidR="00310F20">
        <w:rPr>
          <w:lang w:val="es-ES_tradnl"/>
        </w:rPr>
        <w:t xml:space="preserve">discutió </w:t>
      </w:r>
      <w:r w:rsidR="00932F5A">
        <w:rPr>
          <w:lang w:val="es-ES_tradnl"/>
        </w:rPr>
        <w:t>por separado</w:t>
      </w:r>
      <w:r w:rsidR="003847D9" w:rsidRPr="00932F5A">
        <w:rPr>
          <w:lang w:val="es-ES_tradnl"/>
        </w:rPr>
        <w:t>),</w:t>
      </w:r>
      <w:r w:rsidR="00936784" w:rsidRPr="00932F5A">
        <w:rPr>
          <w:lang w:val="es-ES_tradnl"/>
        </w:rPr>
        <w:t xml:space="preserve"> </w:t>
      </w:r>
      <w:r w:rsidR="00D352E8" w:rsidRPr="00932F5A">
        <w:rPr>
          <w:lang w:val="es-ES_tradnl"/>
        </w:rPr>
        <w:t>el</w:t>
      </w:r>
      <w:r w:rsidR="00936784" w:rsidRPr="00932F5A">
        <w:rPr>
          <w:lang w:val="es-ES_tradnl"/>
        </w:rPr>
        <w:t xml:space="preserve"> </w:t>
      </w:r>
      <w:r w:rsidR="00D352E8" w:rsidRPr="00932F5A">
        <w:rPr>
          <w:lang w:val="es-ES_tradnl"/>
        </w:rPr>
        <w:t>Comité</w:t>
      </w:r>
      <w:r w:rsidR="00936784" w:rsidRPr="00932F5A">
        <w:rPr>
          <w:lang w:val="es-ES_tradnl"/>
        </w:rPr>
        <w:t xml:space="preserve"> </w:t>
      </w:r>
      <w:r w:rsidR="005E7D21" w:rsidRPr="00932F5A">
        <w:rPr>
          <w:lang w:val="es-ES_tradnl"/>
        </w:rPr>
        <w:t>podrá</w:t>
      </w:r>
      <w:r w:rsidR="00936784" w:rsidRPr="00932F5A">
        <w:rPr>
          <w:lang w:val="es-ES_tradnl"/>
        </w:rPr>
        <w:t xml:space="preserve"> estimar oportuno </w:t>
      </w:r>
      <w:r w:rsidR="00816285">
        <w:rPr>
          <w:lang w:val="es-ES_tradnl"/>
        </w:rPr>
        <w:t>considerar</w:t>
      </w:r>
      <w:r w:rsidR="00936784" w:rsidRPr="00932F5A">
        <w:rPr>
          <w:lang w:val="es-ES_tradnl"/>
        </w:rPr>
        <w:t xml:space="preserve"> </w:t>
      </w:r>
      <w:r w:rsidR="00816285">
        <w:rPr>
          <w:lang w:val="es-ES_tradnl"/>
        </w:rPr>
        <w:t xml:space="preserve">la </w:t>
      </w:r>
      <w:r w:rsidR="003543D0" w:rsidRPr="00932F5A">
        <w:rPr>
          <w:lang w:val="es-ES_tradnl"/>
        </w:rPr>
        <w:t>recomendación</w:t>
      </w:r>
      <w:r w:rsidR="00936784" w:rsidRPr="00932F5A">
        <w:rPr>
          <w:lang w:val="es-ES_tradnl"/>
        </w:rPr>
        <w:t xml:space="preserve"> </w:t>
      </w:r>
      <w:r w:rsidR="0020717B">
        <w:rPr>
          <w:lang w:val="es-ES_tradnl"/>
        </w:rPr>
        <w:t xml:space="preserve">presentada en </w:t>
      </w:r>
      <w:r w:rsidR="00BD76CA" w:rsidRPr="00932F5A">
        <w:rPr>
          <w:lang w:val="es-ES_tradnl"/>
        </w:rPr>
        <w:t>el</w:t>
      </w:r>
      <w:r w:rsidR="00936784" w:rsidRPr="00932F5A">
        <w:rPr>
          <w:lang w:val="es-ES_tradnl"/>
        </w:rPr>
        <w:t xml:space="preserve"> </w:t>
      </w:r>
      <w:r w:rsidR="00BD76CA" w:rsidRPr="00932F5A">
        <w:rPr>
          <w:lang w:val="es-ES_tradnl"/>
        </w:rPr>
        <w:t>presente</w:t>
      </w:r>
      <w:r w:rsidR="00936784" w:rsidRPr="00932F5A">
        <w:rPr>
          <w:lang w:val="es-ES_tradnl"/>
        </w:rPr>
        <w:t xml:space="preserve"> </w:t>
      </w:r>
      <w:r w:rsidR="00FF6784" w:rsidRPr="00932F5A">
        <w:rPr>
          <w:lang w:val="es-ES_tradnl"/>
        </w:rPr>
        <w:t>documento</w:t>
      </w:r>
      <w:r w:rsidR="00936784" w:rsidRPr="00932F5A">
        <w:rPr>
          <w:lang w:val="es-ES_tradnl"/>
        </w:rPr>
        <w:t xml:space="preserve"> </w:t>
      </w:r>
      <w:r w:rsidR="00816285">
        <w:rPr>
          <w:lang w:val="es-ES_tradnl"/>
        </w:rPr>
        <w:t xml:space="preserve">como </w:t>
      </w:r>
      <w:r w:rsidR="00480DAB" w:rsidRPr="00932F5A">
        <w:rPr>
          <w:lang w:val="es-ES_tradnl"/>
        </w:rPr>
        <w:t>guía</w:t>
      </w:r>
      <w:r w:rsidR="00936784" w:rsidRPr="00932F5A">
        <w:rPr>
          <w:lang w:val="es-ES_tradnl"/>
        </w:rPr>
        <w:t xml:space="preserve"> </w:t>
      </w:r>
      <w:r w:rsidR="00BE093A">
        <w:rPr>
          <w:lang w:val="es-ES_tradnl"/>
        </w:rPr>
        <w:t xml:space="preserve">para </w:t>
      </w:r>
      <w:r w:rsidR="00471626">
        <w:rPr>
          <w:lang w:val="es-ES_tradnl"/>
        </w:rPr>
        <w:t>reanudar</w:t>
      </w:r>
      <w:r w:rsidR="00B23E41">
        <w:rPr>
          <w:lang w:val="es-ES_tradnl"/>
        </w:rPr>
        <w:t xml:space="preserve"> </w:t>
      </w:r>
      <w:r w:rsidR="00BD76CA" w:rsidRPr="00932F5A">
        <w:rPr>
          <w:lang w:val="es-ES_tradnl"/>
        </w:rPr>
        <w:t>la</w:t>
      </w:r>
      <w:r w:rsidR="00936784" w:rsidRPr="00932F5A">
        <w:rPr>
          <w:lang w:val="es-ES_tradnl"/>
        </w:rPr>
        <w:t xml:space="preserve"> </w:t>
      </w:r>
      <w:r w:rsidR="00BD76CA" w:rsidRPr="00932F5A">
        <w:rPr>
          <w:lang w:val="es-ES_tradnl"/>
        </w:rPr>
        <w:t>discusión</w:t>
      </w:r>
      <w:r w:rsidR="00470FBA">
        <w:rPr>
          <w:lang w:val="es-ES_tradnl"/>
        </w:rPr>
        <w:t xml:space="preserve"> sobre </w:t>
      </w:r>
      <w:r w:rsidR="00197A00" w:rsidRPr="00932F5A">
        <w:rPr>
          <w:lang w:val="es-ES_tradnl"/>
        </w:rPr>
        <w:t>parámetros</w:t>
      </w:r>
      <w:r w:rsidR="00936784" w:rsidRPr="00932F5A">
        <w:rPr>
          <w:lang w:val="es-ES_tradnl"/>
        </w:rPr>
        <w:t xml:space="preserve"> </w:t>
      </w:r>
      <w:r w:rsidR="00EB43C3" w:rsidRPr="00932F5A">
        <w:rPr>
          <w:lang w:val="es-ES_tradnl"/>
        </w:rPr>
        <w:t>de</w:t>
      </w:r>
      <w:r w:rsidR="00936784" w:rsidRPr="00932F5A">
        <w:rPr>
          <w:lang w:val="es-ES_tradnl"/>
        </w:rPr>
        <w:t xml:space="preserve"> </w:t>
      </w:r>
      <w:r w:rsidR="00EB43C3" w:rsidRPr="00932F5A">
        <w:rPr>
          <w:lang w:val="es-ES_tradnl"/>
        </w:rPr>
        <w:t>costos</w:t>
      </w:r>
      <w:r w:rsidR="003847D9" w:rsidRPr="00932F5A">
        <w:rPr>
          <w:lang w:val="es-ES_tradnl"/>
        </w:rPr>
        <w:t>.</w:t>
      </w:r>
    </w:p>
    <w:p w14:paraId="7372E254" w14:textId="08424883" w:rsidR="00FF6784" w:rsidRPr="00932F5A" w:rsidRDefault="00592E63" w:rsidP="003847D9">
      <w:pPr>
        <w:tabs>
          <w:tab w:val="left" w:pos="8280"/>
        </w:tabs>
        <w:rPr>
          <w:b/>
          <w:lang w:val="es-ES_tradnl"/>
        </w:rPr>
      </w:pPr>
      <w:r w:rsidRPr="00932F5A">
        <w:rPr>
          <w:b/>
          <w:lang w:val="es-ES_tradnl"/>
        </w:rPr>
        <w:t>Materias pendientes</w:t>
      </w:r>
      <w:r w:rsidR="00470FBA">
        <w:rPr>
          <w:b/>
          <w:lang w:val="es-ES_tradnl"/>
        </w:rPr>
        <w:t xml:space="preserve"> sobre </w:t>
      </w:r>
      <w:r w:rsidR="00716BF9">
        <w:rPr>
          <w:b/>
          <w:lang w:val="es-ES_tradnl"/>
        </w:rPr>
        <w:t>parámetros del costo de reducir</w:t>
      </w:r>
      <w:r w:rsidR="00243AB6">
        <w:rPr>
          <w:b/>
          <w:lang w:val="es-ES_tradnl"/>
        </w:rPr>
        <w:t xml:space="preserve"> los HFC</w:t>
      </w:r>
    </w:p>
    <w:p w14:paraId="3A6B4050" w14:textId="3F17144F" w:rsidR="003847D9" w:rsidRPr="00932F5A" w:rsidRDefault="003847D9" w:rsidP="003847D9">
      <w:pPr>
        <w:tabs>
          <w:tab w:val="left" w:pos="8280"/>
        </w:tabs>
        <w:rPr>
          <w:lang w:val="es-ES_tradnl"/>
        </w:rPr>
      </w:pPr>
    </w:p>
    <w:p w14:paraId="3F8F14CE" w14:textId="2FFE3B66" w:rsidR="003847D9" w:rsidRPr="00932F5A" w:rsidRDefault="00197A00" w:rsidP="003847D9">
      <w:pPr>
        <w:tabs>
          <w:tab w:val="left" w:pos="8280"/>
        </w:tabs>
        <w:rPr>
          <w:u w:val="single"/>
          <w:lang w:val="es-ES_tradnl"/>
        </w:rPr>
      </w:pPr>
      <w:r w:rsidRPr="00932F5A">
        <w:rPr>
          <w:u w:val="single"/>
          <w:lang w:val="es-ES_tradnl"/>
        </w:rPr>
        <w:t>Metodología</w:t>
      </w:r>
      <w:r w:rsidR="00936784" w:rsidRPr="00932F5A">
        <w:rPr>
          <w:u w:val="single"/>
          <w:lang w:val="es-ES_tradnl"/>
        </w:rPr>
        <w:t xml:space="preserve"> </w:t>
      </w:r>
      <w:r w:rsidR="004A3440">
        <w:rPr>
          <w:u w:val="single"/>
          <w:lang w:val="es-ES_tradnl"/>
        </w:rPr>
        <w:t>para determinar</w:t>
      </w:r>
      <w:r w:rsidR="00936784" w:rsidRPr="00932F5A">
        <w:rPr>
          <w:u w:val="single"/>
          <w:lang w:val="es-ES_tradnl"/>
        </w:rPr>
        <w:t xml:space="preserve"> </w:t>
      </w:r>
      <w:r w:rsidR="00EB43C3" w:rsidRPr="00932F5A">
        <w:rPr>
          <w:u w:val="single"/>
          <w:lang w:val="es-ES_tradnl"/>
        </w:rPr>
        <w:t>el</w:t>
      </w:r>
      <w:r w:rsidR="00936784" w:rsidRPr="00932F5A">
        <w:rPr>
          <w:u w:val="single"/>
          <w:lang w:val="es-ES_tradnl"/>
        </w:rPr>
        <w:t xml:space="preserve"> </w:t>
      </w:r>
      <w:r w:rsidR="007F5E41">
        <w:rPr>
          <w:u w:val="single"/>
          <w:lang w:val="es-ES_tradnl"/>
        </w:rPr>
        <w:t>punto de partida de las reducciones acumulativas</w:t>
      </w:r>
    </w:p>
    <w:p w14:paraId="6F1DF135" w14:textId="77777777" w:rsidR="00437CD6" w:rsidRPr="00932F5A" w:rsidRDefault="00437CD6" w:rsidP="003847D9">
      <w:pPr>
        <w:tabs>
          <w:tab w:val="left" w:pos="8280"/>
        </w:tabs>
        <w:rPr>
          <w:lang w:val="es-ES_tradnl"/>
        </w:rPr>
      </w:pPr>
    </w:p>
    <w:p w14:paraId="51BFEBDE" w14:textId="1383614C" w:rsidR="00FF6784" w:rsidRPr="00932F5A" w:rsidRDefault="00F51ECE" w:rsidP="00437CD6">
      <w:pPr>
        <w:pStyle w:val="Heading1"/>
        <w:rPr>
          <w:lang w:val="es-ES_tradnl"/>
        </w:rPr>
      </w:pPr>
      <w:r>
        <w:rPr>
          <w:lang w:val="es-ES_tradnl"/>
        </w:rPr>
        <w:t xml:space="preserve">Durante </w:t>
      </w:r>
      <w:r w:rsidR="00932F5A">
        <w:rPr>
          <w:lang w:val="es-ES_tradnl"/>
        </w:rPr>
        <w:t xml:space="preserve">la </w:t>
      </w:r>
      <w:r w:rsidR="00936784" w:rsidRPr="00932F5A">
        <w:rPr>
          <w:lang w:val="es-ES_tradnl"/>
        </w:rPr>
        <w:t>81</w:t>
      </w:r>
      <w:r w:rsidR="005F33A5">
        <w:rPr>
          <w:lang w:val="es-ES_tradnl"/>
        </w:rPr>
        <w:t>ª reunión</w:t>
      </w:r>
      <w:r w:rsidR="003847D9" w:rsidRPr="00932F5A">
        <w:rPr>
          <w:lang w:val="es-ES_tradnl"/>
        </w:rPr>
        <w:t>,</w:t>
      </w:r>
      <w:r w:rsidR="00936784" w:rsidRPr="00932F5A">
        <w:rPr>
          <w:lang w:val="es-ES_tradnl"/>
        </w:rPr>
        <w:t xml:space="preserve"> </w:t>
      </w:r>
      <w:r w:rsidRPr="00F51ECE">
        <w:rPr>
          <w:lang w:val="es-ES_tradnl"/>
        </w:rPr>
        <w:t xml:space="preserve">el </w:t>
      </w:r>
      <w:r w:rsidR="00E20ECE">
        <w:rPr>
          <w:lang w:val="es-ES_tradnl"/>
        </w:rPr>
        <w:t>grupo de contacto sobre parámetros de costos</w:t>
      </w:r>
      <w:r w:rsidRPr="00F51ECE">
        <w:rPr>
          <w:lang w:val="es-ES_tradnl"/>
        </w:rPr>
        <w:t xml:space="preserve"> </w:t>
      </w:r>
      <w:r w:rsidR="00A13121">
        <w:rPr>
          <w:lang w:val="es-ES_tradnl"/>
        </w:rPr>
        <w:t xml:space="preserve">discutió </w:t>
      </w:r>
      <w:r w:rsidR="00657FFC">
        <w:rPr>
          <w:lang w:val="es-ES_tradnl"/>
        </w:rPr>
        <w:t xml:space="preserve">temas </w:t>
      </w:r>
      <w:r w:rsidR="00440A1D">
        <w:rPr>
          <w:lang w:val="es-ES_tradnl"/>
        </w:rPr>
        <w:t xml:space="preserve">relativos </w:t>
      </w:r>
      <w:r w:rsidR="00480DAB" w:rsidRPr="00932F5A">
        <w:rPr>
          <w:lang w:val="es-ES_tradnl"/>
        </w:rPr>
        <w:t>al</w:t>
      </w:r>
      <w:r w:rsidR="00936784" w:rsidRPr="00932F5A">
        <w:rPr>
          <w:lang w:val="es-ES_tradnl"/>
        </w:rPr>
        <w:t xml:space="preserve"> </w:t>
      </w:r>
      <w:r w:rsidR="007F5E41">
        <w:rPr>
          <w:lang w:val="es-ES_tradnl"/>
        </w:rPr>
        <w:t xml:space="preserve">punto de partida </w:t>
      </w:r>
      <w:r w:rsidR="005C669D">
        <w:rPr>
          <w:lang w:val="es-ES_tradnl"/>
        </w:rPr>
        <w:t>para</w:t>
      </w:r>
      <w:r w:rsidR="00665240">
        <w:rPr>
          <w:lang w:val="es-ES_tradnl"/>
        </w:rPr>
        <w:t xml:space="preserve"> la reducción acumulativa del consumo y la producción</w:t>
      </w:r>
      <w:r w:rsidR="003847D9" w:rsidRPr="00932F5A">
        <w:rPr>
          <w:lang w:val="es-ES_tradnl"/>
        </w:rPr>
        <w:t>.</w:t>
      </w:r>
      <w:r w:rsidR="00936784" w:rsidRPr="00932F5A">
        <w:rPr>
          <w:lang w:val="es-ES_tradnl"/>
        </w:rPr>
        <w:t xml:space="preserve"> </w:t>
      </w:r>
      <w:r w:rsidR="00431F01">
        <w:rPr>
          <w:lang w:val="es-ES_tradnl"/>
        </w:rPr>
        <w:t>Algunos</w:t>
      </w:r>
      <w:r w:rsidR="00936784" w:rsidRPr="00932F5A">
        <w:rPr>
          <w:lang w:val="es-ES_tradnl"/>
        </w:rPr>
        <w:t xml:space="preserve"> </w:t>
      </w:r>
      <w:r w:rsidR="00431F01">
        <w:rPr>
          <w:lang w:val="es-ES_tradnl"/>
        </w:rPr>
        <w:t>miembros</w:t>
      </w:r>
      <w:r w:rsidR="00936784" w:rsidRPr="00932F5A">
        <w:rPr>
          <w:lang w:val="es-ES_tradnl"/>
        </w:rPr>
        <w:t xml:space="preserve"> </w:t>
      </w:r>
      <w:r w:rsidR="00215E32">
        <w:rPr>
          <w:lang w:val="es-ES_tradnl"/>
        </w:rPr>
        <w:t xml:space="preserve">sugirieron </w:t>
      </w:r>
      <w:r w:rsidR="008B15D4">
        <w:rPr>
          <w:lang w:val="es-ES_tradnl"/>
        </w:rPr>
        <w:t>determinar</w:t>
      </w:r>
      <w:r w:rsidR="007358F5">
        <w:rPr>
          <w:lang w:val="es-ES_tradnl"/>
        </w:rPr>
        <w:t>lo</w:t>
      </w:r>
      <w:r w:rsidR="008B15D4">
        <w:rPr>
          <w:lang w:val="es-ES_tradnl"/>
        </w:rPr>
        <w:t xml:space="preserve"> </w:t>
      </w:r>
      <w:r w:rsidR="00861D0A">
        <w:rPr>
          <w:lang w:val="es-ES_tradnl"/>
        </w:rPr>
        <w:t xml:space="preserve">a partir </w:t>
      </w:r>
      <w:r w:rsidR="00774A8F">
        <w:rPr>
          <w:lang w:val="es-ES_tradnl"/>
        </w:rPr>
        <w:t xml:space="preserve">del </w:t>
      </w:r>
      <w:r w:rsidR="0072505B">
        <w:rPr>
          <w:lang w:val="es-ES_tradnl"/>
        </w:rPr>
        <w:t>“</w:t>
      </w:r>
      <w:r w:rsidR="00D73330">
        <w:rPr>
          <w:lang w:val="es-ES_tradnl"/>
        </w:rPr>
        <w:t>componente HFC</w:t>
      </w:r>
      <w:r w:rsidR="0072505B">
        <w:rPr>
          <w:lang w:val="es-ES_tradnl"/>
        </w:rPr>
        <w:t>”</w:t>
      </w:r>
      <w:r w:rsidR="00936784" w:rsidRPr="00932F5A">
        <w:rPr>
          <w:lang w:val="es-ES_tradnl"/>
        </w:rPr>
        <w:t xml:space="preserve"> </w:t>
      </w:r>
      <w:r w:rsidR="00121F3B">
        <w:rPr>
          <w:lang w:val="es-ES_tradnl"/>
        </w:rPr>
        <w:t>de la base</w:t>
      </w:r>
      <w:r w:rsidR="00936784" w:rsidRPr="00932F5A">
        <w:rPr>
          <w:lang w:val="es-ES_tradnl"/>
        </w:rPr>
        <w:t xml:space="preserve"> </w:t>
      </w:r>
      <w:r w:rsidR="00FF6784" w:rsidRPr="00932F5A">
        <w:rPr>
          <w:lang w:val="es-ES_tradnl"/>
        </w:rPr>
        <w:t>de</w:t>
      </w:r>
      <w:r w:rsidR="00936784" w:rsidRPr="00932F5A">
        <w:rPr>
          <w:lang w:val="es-ES_tradnl"/>
        </w:rPr>
        <w:t xml:space="preserve"> </w:t>
      </w:r>
      <w:r w:rsidR="00FF6784" w:rsidRPr="00932F5A">
        <w:rPr>
          <w:lang w:val="es-ES_tradnl"/>
        </w:rPr>
        <w:t>comparación</w:t>
      </w:r>
      <w:r w:rsidR="00640272" w:rsidRPr="00932F5A">
        <w:rPr>
          <w:lang w:val="es-ES_tradnl"/>
        </w:rPr>
        <w:t>,</w:t>
      </w:r>
      <w:r w:rsidR="00936784" w:rsidRPr="00932F5A">
        <w:rPr>
          <w:lang w:val="es-ES_tradnl"/>
        </w:rPr>
        <w:t xml:space="preserve"> </w:t>
      </w:r>
      <w:r w:rsidR="00AD186A">
        <w:rPr>
          <w:lang w:val="es-ES_tradnl"/>
        </w:rPr>
        <w:t xml:space="preserve">en tanto que otros propusieron </w:t>
      </w:r>
      <w:r w:rsidR="003A6364">
        <w:rPr>
          <w:lang w:val="es-ES_tradnl"/>
        </w:rPr>
        <w:t xml:space="preserve">la </w:t>
      </w:r>
      <w:r w:rsidR="00FF6784" w:rsidRPr="00932F5A">
        <w:rPr>
          <w:lang w:val="es-ES_tradnl"/>
        </w:rPr>
        <w:t>base</w:t>
      </w:r>
      <w:r w:rsidR="00936784" w:rsidRPr="00932F5A">
        <w:rPr>
          <w:lang w:val="es-ES_tradnl"/>
        </w:rPr>
        <w:t xml:space="preserve"> </w:t>
      </w:r>
      <w:r w:rsidR="00FF6784" w:rsidRPr="00932F5A">
        <w:rPr>
          <w:lang w:val="es-ES_tradnl"/>
        </w:rPr>
        <w:t>de</w:t>
      </w:r>
      <w:r w:rsidR="00936784" w:rsidRPr="00932F5A">
        <w:rPr>
          <w:lang w:val="es-ES_tradnl"/>
        </w:rPr>
        <w:t xml:space="preserve"> </w:t>
      </w:r>
      <w:r w:rsidR="00FF6784" w:rsidRPr="00932F5A">
        <w:rPr>
          <w:lang w:val="es-ES_tradnl"/>
        </w:rPr>
        <w:t>comparación</w:t>
      </w:r>
      <w:r w:rsidR="00936784" w:rsidRPr="00932F5A">
        <w:rPr>
          <w:lang w:val="es-ES_tradnl"/>
        </w:rPr>
        <w:t xml:space="preserve"> </w:t>
      </w:r>
      <w:r w:rsidR="007B4978">
        <w:rPr>
          <w:lang w:val="es-ES_tradnl"/>
        </w:rPr>
        <w:t xml:space="preserve">establecida </w:t>
      </w:r>
      <w:r w:rsidR="00592E63" w:rsidRPr="00932F5A">
        <w:rPr>
          <w:lang w:val="es-ES_tradnl"/>
        </w:rPr>
        <w:t>por</w:t>
      </w:r>
      <w:r w:rsidR="00936784" w:rsidRPr="00932F5A">
        <w:rPr>
          <w:lang w:val="es-ES_tradnl"/>
        </w:rPr>
        <w:t xml:space="preserve"> </w:t>
      </w:r>
      <w:r w:rsidR="00EA4DA0" w:rsidRPr="00932F5A">
        <w:rPr>
          <w:lang w:val="es-ES_tradnl"/>
        </w:rPr>
        <w:t>las</w:t>
      </w:r>
      <w:r w:rsidR="00936784" w:rsidRPr="00932F5A">
        <w:rPr>
          <w:lang w:val="es-ES_tradnl"/>
        </w:rPr>
        <w:t xml:space="preserve"> </w:t>
      </w:r>
      <w:r w:rsidR="00EA4DA0" w:rsidRPr="00932F5A">
        <w:rPr>
          <w:lang w:val="es-ES_tradnl"/>
        </w:rPr>
        <w:t>Partes</w:t>
      </w:r>
      <w:r w:rsidR="00936784" w:rsidRPr="00932F5A">
        <w:rPr>
          <w:lang w:val="es-ES_tradnl"/>
        </w:rPr>
        <w:t xml:space="preserve"> </w:t>
      </w:r>
      <w:r w:rsidR="007B4978">
        <w:rPr>
          <w:lang w:val="es-ES_tradnl"/>
        </w:rPr>
        <w:t xml:space="preserve">en </w:t>
      </w:r>
      <w:r w:rsidR="00A66CB0" w:rsidRPr="00932F5A">
        <w:rPr>
          <w:lang w:val="es-ES_tradnl"/>
        </w:rPr>
        <w:t>la</w:t>
      </w:r>
      <w:r w:rsidR="00936784" w:rsidRPr="00932F5A">
        <w:rPr>
          <w:lang w:val="es-ES_tradnl"/>
        </w:rPr>
        <w:t xml:space="preserve"> Enmienda de Kigali </w:t>
      </w:r>
      <w:r w:rsidR="003847D9" w:rsidRPr="00932F5A">
        <w:rPr>
          <w:lang w:val="es-ES_tradnl"/>
        </w:rPr>
        <w:t>(</w:t>
      </w:r>
      <w:r w:rsidR="00A75339">
        <w:rPr>
          <w:lang w:val="es-ES_tradnl"/>
        </w:rPr>
        <w:t xml:space="preserve">el </w:t>
      </w:r>
      <w:r w:rsidR="00D73330">
        <w:rPr>
          <w:lang w:val="es-ES_tradnl"/>
        </w:rPr>
        <w:t>componente HFC</w:t>
      </w:r>
      <w:r w:rsidR="00936784" w:rsidRPr="00932F5A">
        <w:rPr>
          <w:lang w:val="es-ES_tradnl"/>
        </w:rPr>
        <w:t xml:space="preserve"> </w:t>
      </w:r>
      <w:r w:rsidR="005E7D21" w:rsidRPr="00932F5A">
        <w:rPr>
          <w:lang w:val="es-ES_tradnl"/>
        </w:rPr>
        <w:t>más</w:t>
      </w:r>
      <w:r w:rsidR="00936784" w:rsidRPr="00932F5A">
        <w:rPr>
          <w:lang w:val="es-ES_tradnl"/>
        </w:rPr>
        <w:t xml:space="preserve"> </w:t>
      </w:r>
      <w:r w:rsidR="00A75339">
        <w:rPr>
          <w:lang w:val="es-ES_tradnl"/>
        </w:rPr>
        <w:t xml:space="preserve">el </w:t>
      </w:r>
      <w:r w:rsidR="00D73330">
        <w:rPr>
          <w:lang w:val="es-ES_tradnl"/>
        </w:rPr>
        <w:t>componente HCFC</w:t>
      </w:r>
      <w:r w:rsidR="003847D9" w:rsidRPr="00932F5A">
        <w:rPr>
          <w:lang w:val="es-ES_tradnl"/>
        </w:rPr>
        <w:t>).</w:t>
      </w:r>
      <w:r w:rsidR="00936784" w:rsidRPr="00932F5A">
        <w:rPr>
          <w:lang w:val="es-ES_tradnl"/>
        </w:rPr>
        <w:t xml:space="preserve"> </w:t>
      </w:r>
      <w:r w:rsidR="000B7653">
        <w:rPr>
          <w:lang w:val="es-ES_tradnl"/>
        </w:rPr>
        <w:t xml:space="preserve">Posteriormente se solicitó a la </w:t>
      </w:r>
      <w:r w:rsidR="00D352E8" w:rsidRPr="00932F5A">
        <w:rPr>
          <w:lang w:val="es-ES_tradnl"/>
        </w:rPr>
        <w:t>Secretaría</w:t>
      </w:r>
      <w:r w:rsidR="00936784" w:rsidRPr="00932F5A">
        <w:rPr>
          <w:lang w:val="es-ES_tradnl"/>
        </w:rPr>
        <w:t xml:space="preserve"> </w:t>
      </w:r>
      <w:r w:rsidR="001A4CC0">
        <w:rPr>
          <w:lang w:val="es-ES_tradnl"/>
        </w:rPr>
        <w:t xml:space="preserve">elaborar </w:t>
      </w:r>
      <w:r w:rsidR="00407E21">
        <w:rPr>
          <w:lang w:val="es-ES_tradnl"/>
        </w:rPr>
        <w:t xml:space="preserve">un </w:t>
      </w:r>
      <w:r w:rsidR="00407E21" w:rsidRPr="00407E21">
        <w:rPr>
          <w:lang w:val="es-ES_tradnl"/>
        </w:rPr>
        <w:t xml:space="preserve">documento </w:t>
      </w:r>
      <w:r w:rsidR="009C2581">
        <w:rPr>
          <w:lang w:val="es-ES_tradnl"/>
        </w:rPr>
        <w:t>informativo</w:t>
      </w:r>
      <w:r w:rsidR="00936784" w:rsidRPr="00932F5A">
        <w:rPr>
          <w:lang w:val="es-ES_tradnl"/>
        </w:rPr>
        <w:t xml:space="preserve"> </w:t>
      </w:r>
      <w:r w:rsidR="00197A00" w:rsidRPr="00932F5A">
        <w:rPr>
          <w:lang w:val="es-ES_tradnl"/>
        </w:rPr>
        <w:t>preliminar</w:t>
      </w:r>
      <w:r w:rsidR="00936784" w:rsidRPr="00932F5A">
        <w:rPr>
          <w:lang w:val="es-ES_tradnl"/>
        </w:rPr>
        <w:t xml:space="preserve"> </w:t>
      </w:r>
      <w:r w:rsidR="00C555DE">
        <w:rPr>
          <w:lang w:val="es-ES_tradnl"/>
        </w:rPr>
        <w:t>con</w:t>
      </w:r>
      <w:r w:rsidR="00936784" w:rsidRPr="00932F5A">
        <w:rPr>
          <w:lang w:val="es-ES_tradnl"/>
        </w:rPr>
        <w:t xml:space="preserve"> </w:t>
      </w:r>
      <w:r w:rsidR="00C555DE">
        <w:rPr>
          <w:lang w:val="es-ES_tradnl"/>
        </w:rPr>
        <w:t>las principales consideraciones</w:t>
      </w:r>
      <w:r w:rsidR="00936784" w:rsidRPr="00932F5A">
        <w:rPr>
          <w:lang w:val="es-ES_tradnl"/>
        </w:rPr>
        <w:t xml:space="preserve"> </w:t>
      </w:r>
      <w:r w:rsidR="00F7639D">
        <w:rPr>
          <w:lang w:val="es-ES_tradnl"/>
        </w:rPr>
        <w:t xml:space="preserve">que el </w:t>
      </w:r>
      <w:r w:rsidR="00EA4DA0" w:rsidRPr="00932F5A">
        <w:rPr>
          <w:lang w:val="es-ES_tradnl"/>
        </w:rPr>
        <w:t>Comité</w:t>
      </w:r>
      <w:r w:rsidR="00936784" w:rsidRPr="00932F5A">
        <w:rPr>
          <w:lang w:val="es-ES_tradnl"/>
        </w:rPr>
        <w:t xml:space="preserve"> </w:t>
      </w:r>
      <w:r w:rsidR="00BB214E">
        <w:rPr>
          <w:lang w:val="es-ES_tradnl"/>
        </w:rPr>
        <w:t xml:space="preserve">debiese </w:t>
      </w:r>
      <w:r w:rsidR="00040B02">
        <w:rPr>
          <w:lang w:val="es-ES_tradnl"/>
        </w:rPr>
        <w:t>tener</w:t>
      </w:r>
      <w:r w:rsidR="000C6459">
        <w:rPr>
          <w:lang w:val="es-ES_tradnl"/>
        </w:rPr>
        <w:t xml:space="preserve"> en cuenta </w:t>
      </w:r>
      <w:r w:rsidR="00A8684A">
        <w:rPr>
          <w:lang w:val="es-ES_tradnl"/>
        </w:rPr>
        <w:t xml:space="preserve">a </w:t>
      </w:r>
      <w:r w:rsidR="008C5520">
        <w:rPr>
          <w:lang w:val="es-ES_tradnl"/>
        </w:rPr>
        <w:t>fines</w:t>
      </w:r>
      <w:r w:rsidR="00A8684A">
        <w:rPr>
          <w:lang w:val="es-ES_tradnl"/>
        </w:rPr>
        <w:t xml:space="preserve"> de</w:t>
      </w:r>
      <w:r w:rsidR="00936784" w:rsidRPr="00932F5A">
        <w:rPr>
          <w:lang w:val="es-ES_tradnl"/>
        </w:rPr>
        <w:t xml:space="preserve"> </w:t>
      </w:r>
      <w:r w:rsidR="00C229DD">
        <w:rPr>
          <w:lang w:val="es-ES_tradnl"/>
        </w:rPr>
        <w:t xml:space="preserve">elaborar </w:t>
      </w:r>
      <w:r w:rsidR="0065053E">
        <w:rPr>
          <w:lang w:val="es-ES_tradnl"/>
        </w:rPr>
        <w:t>un</w:t>
      </w:r>
      <w:r w:rsidR="003847D9" w:rsidRPr="00932F5A">
        <w:rPr>
          <w:lang w:val="es-ES_tradnl"/>
        </w:rPr>
        <w:t>a</w:t>
      </w:r>
      <w:r w:rsidR="00936784" w:rsidRPr="00932F5A">
        <w:rPr>
          <w:lang w:val="es-ES_tradnl"/>
        </w:rPr>
        <w:t xml:space="preserve"> </w:t>
      </w:r>
      <w:r w:rsidR="00197A00" w:rsidRPr="00932F5A">
        <w:rPr>
          <w:lang w:val="es-ES_tradnl"/>
        </w:rPr>
        <w:t>metodología</w:t>
      </w:r>
      <w:r w:rsidR="00936784" w:rsidRPr="00932F5A">
        <w:rPr>
          <w:lang w:val="es-ES_tradnl"/>
        </w:rPr>
        <w:t xml:space="preserve"> </w:t>
      </w:r>
      <w:r w:rsidR="00512DA4">
        <w:rPr>
          <w:lang w:val="es-ES_tradnl"/>
        </w:rPr>
        <w:t xml:space="preserve">para </w:t>
      </w:r>
      <w:r w:rsidR="00F61D82">
        <w:rPr>
          <w:lang w:val="es-ES_tradnl"/>
        </w:rPr>
        <w:t xml:space="preserve">fijar </w:t>
      </w:r>
      <w:r w:rsidR="00EB43C3" w:rsidRPr="00932F5A">
        <w:rPr>
          <w:lang w:val="es-ES_tradnl"/>
        </w:rPr>
        <w:t>el</w:t>
      </w:r>
      <w:r w:rsidR="00936784" w:rsidRPr="00932F5A">
        <w:rPr>
          <w:lang w:val="es-ES_tradnl"/>
        </w:rPr>
        <w:t xml:space="preserve"> </w:t>
      </w:r>
      <w:r w:rsidR="007F5E41">
        <w:rPr>
          <w:lang w:val="es-ES_tradnl"/>
        </w:rPr>
        <w:t>punto de partida de las reducciones acumulativas</w:t>
      </w:r>
      <w:r w:rsidR="00936784" w:rsidRPr="00932F5A">
        <w:rPr>
          <w:lang w:val="es-ES_tradnl"/>
        </w:rPr>
        <w:t xml:space="preserve"> </w:t>
      </w:r>
      <w:r w:rsidR="003543D0" w:rsidRPr="00932F5A">
        <w:rPr>
          <w:lang w:val="es-ES_tradnl"/>
        </w:rPr>
        <w:t>sostenidas</w:t>
      </w:r>
      <w:r w:rsidR="003847D9" w:rsidRPr="00932F5A">
        <w:rPr>
          <w:lang w:val="es-ES_tradnl"/>
        </w:rPr>
        <w:t>,</w:t>
      </w:r>
      <w:r w:rsidR="00936784" w:rsidRPr="00932F5A">
        <w:rPr>
          <w:lang w:val="es-ES_tradnl"/>
        </w:rPr>
        <w:t xml:space="preserve"> </w:t>
      </w:r>
      <w:r w:rsidR="009326BB">
        <w:rPr>
          <w:lang w:val="es-ES_tradnl"/>
        </w:rPr>
        <w:t xml:space="preserve">habida </w:t>
      </w:r>
      <w:r w:rsidR="00197A00" w:rsidRPr="00932F5A">
        <w:rPr>
          <w:lang w:val="es-ES_tradnl"/>
        </w:rPr>
        <w:t>cuenta</w:t>
      </w:r>
      <w:r w:rsidR="00936784" w:rsidRPr="00932F5A">
        <w:rPr>
          <w:lang w:val="es-ES_tradnl"/>
        </w:rPr>
        <w:t xml:space="preserve"> </w:t>
      </w:r>
      <w:r w:rsidR="009326BB">
        <w:rPr>
          <w:lang w:val="es-ES_tradnl"/>
        </w:rPr>
        <w:t xml:space="preserve">de </w:t>
      </w:r>
      <w:r w:rsidR="004331A4">
        <w:rPr>
          <w:lang w:val="es-ES_tradnl"/>
        </w:rPr>
        <w:t>las conversaciones</w:t>
      </w:r>
      <w:r w:rsidR="00936784" w:rsidRPr="00932F5A">
        <w:rPr>
          <w:lang w:val="es-ES_tradnl"/>
        </w:rPr>
        <w:t xml:space="preserve"> </w:t>
      </w:r>
      <w:r w:rsidR="00B41C42">
        <w:rPr>
          <w:lang w:val="es-ES_tradnl"/>
        </w:rPr>
        <w:t xml:space="preserve">sostenidas durante </w:t>
      </w:r>
      <w:r w:rsidR="008249BB">
        <w:rPr>
          <w:lang w:val="es-ES_tradnl"/>
        </w:rPr>
        <w:t xml:space="preserve">dicha </w:t>
      </w:r>
      <w:r w:rsidR="005F1C91" w:rsidRPr="00932F5A">
        <w:rPr>
          <w:lang w:val="es-ES_tradnl"/>
        </w:rPr>
        <w:t>reunión</w:t>
      </w:r>
      <w:r w:rsidR="00936784" w:rsidRPr="00932F5A">
        <w:rPr>
          <w:lang w:val="es-ES_tradnl"/>
        </w:rPr>
        <w:t xml:space="preserve"> </w:t>
      </w:r>
      <w:r w:rsidR="003847D9" w:rsidRPr="00932F5A">
        <w:rPr>
          <w:lang w:val="es-ES_tradnl"/>
        </w:rPr>
        <w:t>(</w:t>
      </w:r>
      <w:r w:rsidR="00D352E8" w:rsidRPr="00932F5A">
        <w:rPr>
          <w:lang w:val="es-ES_tradnl"/>
        </w:rPr>
        <w:t>decisión</w:t>
      </w:r>
      <w:r w:rsidR="00936784" w:rsidRPr="00932F5A">
        <w:rPr>
          <w:lang w:val="es-ES_tradnl"/>
        </w:rPr>
        <w:t xml:space="preserve"> </w:t>
      </w:r>
      <w:r w:rsidR="003847D9" w:rsidRPr="00932F5A">
        <w:rPr>
          <w:lang w:val="es-ES_tradnl"/>
        </w:rPr>
        <w:t>81/67(e)).</w:t>
      </w:r>
    </w:p>
    <w:p w14:paraId="0B6B7497" w14:textId="35D0A3BC" w:rsidR="00FF6784" w:rsidRPr="00932F5A" w:rsidRDefault="00EB43C3" w:rsidP="00437CD6">
      <w:pPr>
        <w:pStyle w:val="Heading1"/>
        <w:rPr>
          <w:lang w:val="es-ES_tradnl"/>
        </w:rPr>
      </w:pPr>
      <w:r w:rsidRPr="00932F5A">
        <w:rPr>
          <w:lang w:val="es-ES_tradnl"/>
        </w:rPr>
        <w:t>En</w:t>
      </w:r>
      <w:r w:rsidR="00936784" w:rsidRPr="00932F5A">
        <w:rPr>
          <w:lang w:val="es-ES_tradnl"/>
        </w:rPr>
        <w:t xml:space="preserve"> </w:t>
      </w:r>
      <w:r w:rsidRPr="00932F5A">
        <w:rPr>
          <w:lang w:val="es-ES_tradnl"/>
        </w:rPr>
        <w:t>respuesta</w:t>
      </w:r>
      <w:r w:rsidR="00936784" w:rsidRPr="00932F5A">
        <w:rPr>
          <w:lang w:val="es-ES_tradnl"/>
        </w:rPr>
        <w:t xml:space="preserve"> </w:t>
      </w:r>
      <w:r w:rsidRPr="00932F5A">
        <w:rPr>
          <w:lang w:val="es-ES_tradnl"/>
        </w:rPr>
        <w:t>a</w:t>
      </w:r>
      <w:r w:rsidR="00936784" w:rsidRPr="00932F5A">
        <w:rPr>
          <w:lang w:val="es-ES_tradnl"/>
        </w:rPr>
        <w:t xml:space="preserve"> </w:t>
      </w:r>
      <w:r w:rsidRPr="00932F5A">
        <w:rPr>
          <w:lang w:val="es-ES_tradnl"/>
        </w:rPr>
        <w:t>la</w:t>
      </w:r>
      <w:r w:rsidR="00936784" w:rsidRPr="00932F5A">
        <w:rPr>
          <w:lang w:val="es-ES_tradnl"/>
        </w:rPr>
        <w:t xml:space="preserve"> </w:t>
      </w:r>
      <w:r w:rsidRPr="00932F5A">
        <w:rPr>
          <w:lang w:val="es-ES_tradnl"/>
        </w:rPr>
        <w:t>decisión</w:t>
      </w:r>
      <w:r w:rsidR="00936784" w:rsidRPr="00932F5A">
        <w:rPr>
          <w:lang w:val="es-ES_tradnl"/>
        </w:rPr>
        <w:t xml:space="preserve"> </w:t>
      </w:r>
      <w:r w:rsidR="003847D9" w:rsidRPr="00932F5A">
        <w:rPr>
          <w:lang w:val="es-ES_tradnl"/>
        </w:rPr>
        <w:t>81/67(e),</w:t>
      </w:r>
      <w:r w:rsidR="00936784" w:rsidRPr="00932F5A">
        <w:rPr>
          <w:lang w:val="es-ES_tradnl"/>
        </w:rPr>
        <w:t xml:space="preserve"> </w:t>
      </w:r>
      <w:r w:rsidR="00D352E8" w:rsidRPr="00932F5A">
        <w:rPr>
          <w:lang w:val="es-ES_tradnl"/>
        </w:rPr>
        <w:t>la</w:t>
      </w:r>
      <w:r w:rsidR="00936784" w:rsidRPr="00932F5A">
        <w:rPr>
          <w:lang w:val="es-ES_tradnl"/>
        </w:rPr>
        <w:t xml:space="preserve"> </w:t>
      </w:r>
      <w:r w:rsidR="00E14490">
        <w:rPr>
          <w:lang w:val="es-ES_tradnl"/>
        </w:rPr>
        <w:t>Secretaría presentó</w:t>
      </w:r>
      <w:r w:rsidR="00936784" w:rsidRPr="00932F5A">
        <w:rPr>
          <w:lang w:val="es-ES_tradnl"/>
        </w:rPr>
        <w:t xml:space="preserve"> </w:t>
      </w:r>
      <w:r w:rsidR="008B2E22" w:rsidRPr="00932F5A">
        <w:rPr>
          <w:lang w:val="es-ES_tradnl"/>
        </w:rPr>
        <w:t>a</w:t>
      </w:r>
      <w:r w:rsidR="00936784" w:rsidRPr="00932F5A">
        <w:rPr>
          <w:lang w:val="es-ES_tradnl"/>
        </w:rPr>
        <w:t xml:space="preserve"> </w:t>
      </w:r>
      <w:r w:rsidR="008B2E22" w:rsidRPr="00932F5A">
        <w:rPr>
          <w:lang w:val="es-ES_tradnl"/>
        </w:rPr>
        <w:t>la</w:t>
      </w:r>
      <w:r w:rsidR="00936784" w:rsidRPr="00932F5A">
        <w:rPr>
          <w:lang w:val="es-ES_tradnl"/>
        </w:rPr>
        <w:t xml:space="preserve"> </w:t>
      </w:r>
      <w:r w:rsidR="008B2E22" w:rsidRPr="00932F5A">
        <w:rPr>
          <w:lang w:val="es-ES_tradnl"/>
        </w:rPr>
        <w:t>8</w:t>
      </w:r>
      <w:r w:rsidR="005E7D21" w:rsidRPr="00932F5A">
        <w:rPr>
          <w:lang w:val="es-ES_tradnl"/>
        </w:rPr>
        <w:t>2</w:t>
      </w:r>
      <w:r w:rsidR="005F33A5">
        <w:rPr>
          <w:lang w:val="es-ES_tradnl"/>
        </w:rPr>
        <w:t>ª reunión</w:t>
      </w:r>
      <w:r w:rsidR="00936784" w:rsidRPr="00932F5A">
        <w:rPr>
          <w:lang w:val="es-ES_tradnl"/>
        </w:rPr>
        <w:t xml:space="preserve"> </w:t>
      </w:r>
      <w:r w:rsidR="00E14490">
        <w:rPr>
          <w:lang w:val="es-ES_tradnl"/>
        </w:rPr>
        <w:t xml:space="preserve">el </w:t>
      </w:r>
      <w:r w:rsidR="00FF6784" w:rsidRPr="00932F5A">
        <w:rPr>
          <w:lang w:val="es-ES_tradnl"/>
        </w:rPr>
        <w:t>documento</w:t>
      </w:r>
      <w:r w:rsidR="00936784" w:rsidRPr="00932F5A">
        <w:rPr>
          <w:lang w:val="es-ES_tradnl"/>
        </w:rPr>
        <w:t xml:space="preserve"> </w:t>
      </w:r>
      <w:r w:rsidR="00EA4DA0" w:rsidRPr="00932F5A">
        <w:rPr>
          <w:lang w:val="es-ES_tradnl"/>
        </w:rPr>
        <w:t>UNEP/OzL.Pro</w:t>
      </w:r>
      <w:r w:rsidR="003847D9" w:rsidRPr="00932F5A">
        <w:rPr>
          <w:lang w:val="es-ES_tradnl"/>
        </w:rPr>
        <w:t>/ExCom/82/66</w:t>
      </w:r>
      <w:r w:rsidR="001D0907">
        <w:rPr>
          <w:lang w:val="es-ES_tradnl"/>
        </w:rPr>
        <w:t>, s</w:t>
      </w:r>
      <w:r w:rsidR="00592E63" w:rsidRPr="00932F5A">
        <w:rPr>
          <w:lang w:val="es-ES_tradnl"/>
        </w:rPr>
        <w:t xml:space="preserve">obre </w:t>
      </w:r>
      <w:r w:rsidR="001D0907">
        <w:rPr>
          <w:lang w:val="es-ES_tradnl"/>
        </w:rPr>
        <w:t xml:space="preserve">cuya </w:t>
      </w:r>
      <w:r w:rsidR="00592E63" w:rsidRPr="00932F5A">
        <w:rPr>
          <w:lang w:val="es-ES_tradnl"/>
        </w:rPr>
        <w:t>base</w:t>
      </w:r>
      <w:r w:rsidR="00904FE7">
        <w:rPr>
          <w:lang w:val="es-ES_tradnl"/>
        </w:rPr>
        <w:t xml:space="preserve"> </w:t>
      </w:r>
      <w:r w:rsidR="00D352E8" w:rsidRPr="00932F5A">
        <w:rPr>
          <w:lang w:val="es-ES_tradnl"/>
        </w:rPr>
        <w:t>el</w:t>
      </w:r>
      <w:r w:rsidR="00936784" w:rsidRPr="00932F5A">
        <w:rPr>
          <w:lang w:val="es-ES_tradnl"/>
        </w:rPr>
        <w:t xml:space="preserve"> </w:t>
      </w:r>
      <w:r w:rsidR="00D352E8" w:rsidRPr="00932F5A">
        <w:rPr>
          <w:lang w:val="es-ES_tradnl"/>
        </w:rPr>
        <w:t>Comité</w:t>
      </w:r>
      <w:r w:rsidR="00936784" w:rsidRPr="00932F5A">
        <w:rPr>
          <w:lang w:val="es-ES_tradnl"/>
        </w:rPr>
        <w:t xml:space="preserve"> </w:t>
      </w:r>
      <w:r w:rsidR="000C1921">
        <w:rPr>
          <w:lang w:val="es-ES_tradnl"/>
        </w:rPr>
        <w:t>Ejecutivo discutió</w:t>
      </w:r>
      <w:r w:rsidR="00F45391">
        <w:rPr>
          <w:lang w:val="es-ES_tradnl"/>
        </w:rPr>
        <w:t xml:space="preserve">, </w:t>
      </w:r>
      <w:r w:rsidR="005E7D21" w:rsidRPr="001A712A">
        <w:rPr>
          <w:lang w:val="es-ES"/>
        </w:rPr>
        <w:t>entre</w:t>
      </w:r>
      <w:r w:rsidR="00936784" w:rsidRPr="001A712A">
        <w:rPr>
          <w:lang w:val="es-ES"/>
        </w:rPr>
        <w:t xml:space="preserve"> </w:t>
      </w:r>
      <w:r w:rsidR="005E7D21" w:rsidRPr="001406A1">
        <w:rPr>
          <w:lang w:val="es-ES_tradnl"/>
        </w:rPr>
        <w:t>otros</w:t>
      </w:r>
      <w:r w:rsidR="00F45391" w:rsidRPr="001A712A">
        <w:rPr>
          <w:lang w:val="es-ES"/>
        </w:rPr>
        <w:t>,</w:t>
      </w:r>
      <w:r w:rsidR="00936784" w:rsidRPr="001A712A">
        <w:rPr>
          <w:lang w:val="es-ES"/>
        </w:rPr>
        <w:t xml:space="preserve"> </w:t>
      </w:r>
      <w:r w:rsidR="009E0EF4">
        <w:rPr>
          <w:lang w:val="es-ES_tradnl"/>
        </w:rPr>
        <w:t>la unidad</w:t>
      </w:r>
      <w:r w:rsidR="007D7B18">
        <w:rPr>
          <w:lang w:val="es-ES_tradnl"/>
        </w:rPr>
        <w:t xml:space="preserve"> </w:t>
      </w:r>
      <w:r w:rsidR="00AE3A6D">
        <w:rPr>
          <w:lang w:val="es-ES_tradnl"/>
        </w:rPr>
        <w:t xml:space="preserve">de medición </w:t>
      </w:r>
      <w:r w:rsidR="00AC58E3">
        <w:rPr>
          <w:lang w:val="es-ES_tradnl"/>
        </w:rPr>
        <w:t>a utilizar para</w:t>
      </w:r>
      <w:r w:rsidR="00AE3A6D">
        <w:rPr>
          <w:lang w:val="es-ES_tradnl"/>
        </w:rPr>
        <w:t xml:space="preserve"> </w:t>
      </w:r>
      <w:r w:rsidR="007D7B18">
        <w:rPr>
          <w:lang w:val="es-ES_tradnl"/>
        </w:rPr>
        <w:t xml:space="preserve">las </w:t>
      </w:r>
      <w:r w:rsidR="00A66CB0" w:rsidRPr="00932F5A">
        <w:rPr>
          <w:lang w:val="es-ES_tradnl"/>
        </w:rPr>
        <w:t>reducciones</w:t>
      </w:r>
      <w:r w:rsidR="00936784" w:rsidRPr="00932F5A">
        <w:rPr>
          <w:lang w:val="es-ES_tradnl"/>
        </w:rPr>
        <w:t xml:space="preserve"> </w:t>
      </w:r>
      <w:r w:rsidR="003543D0" w:rsidRPr="00932F5A">
        <w:rPr>
          <w:lang w:val="es-ES_tradnl"/>
        </w:rPr>
        <w:t>y</w:t>
      </w:r>
      <w:r w:rsidR="00936784" w:rsidRPr="00932F5A">
        <w:rPr>
          <w:lang w:val="es-ES_tradnl"/>
        </w:rPr>
        <w:t xml:space="preserve"> </w:t>
      </w:r>
      <w:r w:rsidR="00BD76CA" w:rsidRPr="00932F5A">
        <w:rPr>
          <w:lang w:val="es-ES_tradnl"/>
        </w:rPr>
        <w:t>la</w:t>
      </w:r>
      <w:r w:rsidR="00936784" w:rsidRPr="00932F5A">
        <w:rPr>
          <w:lang w:val="es-ES_tradnl"/>
        </w:rPr>
        <w:t xml:space="preserve"> </w:t>
      </w:r>
      <w:r w:rsidR="00BD76CA" w:rsidRPr="00932F5A">
        <w:rPr>
          <w:lang w:val="es-ES_tradnl"/>
        </w:rPr>
        <w:t>metodología</w:t>
      </w:r>
      <w:r w:rsidR="00936784" w:rsidRPr="00932F5A">
        <w:rPr>
          <w:lang w:val="es-ES_tradnl"/>
        </w:rPr>
        <w:t xml:space="preserve"> </w:t>
      </w:r>
      <w:r w:rsidR="005B1A2A">
        <w:rPr>
          <w:lang w:val="es-ES_tradnl"/>
        </w:rPr>
        <w:t xml:space="preserve">para fijar </w:t>
      </w:r>
      <w:r w:rsidRPr="00932F5A">
        <w:rPr>
          <w:lang w:val="es-ES_tradnl"/>
        </w:rPr>
        <w:t>el</w:t>
      </w:r>
      <w:r w:rsidR="00936784" w:rsidRPr="00932F5A">
        <w:rPr>
          <w:lang w:val="es-ES_tradnl"/>
        </w:rPr>
        <w:t xml:space="preserve"> </w:t>
      </w:r>
      <w:r w:rsidRPr="00932F5A">
        <w:rPr>
          <w:lang w:val="es-ES_tradnl"/>
        </w:rPr>
        <w:t>punto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partida</w:t>
      </w:r>
      <w:r w:rsidR="003847D9" w:rsidRPr="00932F5A">
        <w:rPr>
          <w:lang w:val="es-ES_tradnl"/>
        </w:rPr>
        <w:t>.</w:t>
      </w:r>
      <w:r w:rsidR="00936784" w:rsidRPr="00932F5A">
        <w:rPr>
          <w:lang w:val="es-ES_tradnl"/>
        </w:rPr>
        <w:t xml:space="preserve"> </w:t>
      </w:r>
      <w:r w:rsidR="00431F01">
        <w:rPr>
          <w:lang w:val="es-ES_tradnl"/>
        </w:rPr>
        <w:t>Algunos</w:t>
      </w:r>
      <w:r w:rsidR="00936784" w:rsidRPr="00932F5A">
        <w:rPr>
          <w:lang w:val="es-ES_tradnl"/>
        </w:rPr>
        <w:t xml:space="preserve"> </w:t>
      </w:r>
      <w:r w:rsidR="00431F01">
        <w:rPr>
          <w:lang w:val="es-ES_tradnl"/>
        </w:rPr>
        <w:t>miembros</w:t>
      </w:r>
      <w:r w:rsidR="00936784" w:rsidRPr="00932F5A">
        <w:rPr>
          <w:lang w:val="es-ES_tradnl"/>
        </w:rPr>
        <w:t xml:space="preserve"> </w:t>
      </w:r>
      <w:r w:rsidR="00604383">
        <w:rPr>
          <w:lang w:val="es-ES_tradnl"/>
        </w:rPr>
        <w:t xml:space="preserve">propusieron </w:t>
      </w:r>
      <w:r w:rsidR="00D1632B" w:rsidRPr="00D1632B">
        <w:rPr>
          <w:lang w:val="es-ES_tradnl"/>
        </w:rPr>
        <w:t xml:space="preserve">utilizar </w:t>
      </w:r>
      <w:r w:rsidR="00604383">
        <w:rPr>
          <w:lang w:val="es-ES_tradnl"/>
        </w:rPr>
        <w:t xml:space="preserve">las </w:t>
      </w:r>
      <w:r w:rsidR="003543D0" w:rsidRPr="00932F5A">
        <w:rPr>
          <w:lang w:val="es-ES_tradnl"/>
        </w:rPr>
        <w:t>toneladas</w:t>
      </w:r>
      <w:r w:rsidR="00936784" w:rsidRPr="00932F5A">
        <w:rPr>
          <w:lang w:val="es-ES_tradnl"/>
        </w:rPr>
        <w:t xml:space="preserve"> </w:t>
      </w:r>
      <w:r w:rsidR="003543D0" w:rsidRPr="00932F5A">
        <w:rPr>
          <w:lang w:val="es-ES_tradnl"/>
        </w:rPr>
        <w:t>métricas</w:t>
      </w:r>
      <w:r w:rsidR="00936784" w:rsidRPr="00932F5A">
        <w:rPr>
          <w:lang w:val="es-ES_tradnl"/>
        </w:rPr>
        <w:t xml:space="preserve"> </w:t>
      </w:r>
      <w:r w:rsidR="00AF0463" w:rsidRPr="00932F5A">
        <w:rPr>
          <w:lang w:val="es-ES_tradnl"/>
        </w:rPr>
        <w:t>(</w:t>
      </w:r>
      <w:r w:rsidR="003543D0" w:rsidRPr="00932F5A">
        <w:rPr>
          <w:lang w:val="es-ES_tradnl"/>
        </w:rPr>
        <w:t>tm</w:t>
      </w:r>
      <w:r w:rsidR="00AF0463" w:rsidRPr="00932F5A">
        <w:rPr>
          <w:lang w:val="es-ES_tradnl"/>
        </w:rPr>
        <w:t>)</w:t>
      </w:r>
      <w:r w:rsidR="003847D9" w:rsidRPr="00932F5A">
        <w:rPr>
          <w:lang w:val="es-ES_tradnl"/>
        </w:rPr>
        <w:t>,</w:t>
      </w:r>
      <w:r w:rsidR="00936784" w:rsidRPr="00932F5A">
        <w:rPr>
          <w:lang w:val="es-ES_tradnl"/>
        </w:rPr>
        <w:t xml:space="preserve"> </w:t>
      </w:r>
      <w:r w:rsidR="00E03EF9">
        <w:rPr>
          <w:lang w:val="es-ES_tradnl"/>
        </w:rPr>
        <w:t>unidad de medida</w:t>
      </w:r>
      <w:r w:rsidR="00936784" w:rsidRPr="00932F5A">
        <w:rPr>
          <w:lang w:val="es-ES_tradnl"/>
        </w:rPr>
        <w:t xml:space="preserve"> </w:t>
      </w:r>
      <w:r w:rsidR="00214FD7">
        <w:rPr>
          <w:lang w:val="es-ES_tradnl"/>
        </w:rPr>
        <w:t xml:space="preserve">que </w:t>
      </w:r>
      <w:r w:rsidR="00CD5092">
        <w:rPr>
          <w:lang w:val="es-ES_tradnl"/>
        </w:rPr>
        <w:t xml:space="preserve">refleja la </w:t>
      </w:r>
      <w:r w:rsidR="00D352E8" w:rsidRPr="00932F5A">
        <w:rPr>
          <w:lang w:val="es-ES_tradnl"/>
        </w:rPr>
        <w:t>producción</w:t>
      </w:r>
      <w:r w:rsidR="00936784" w:rsidRPr="00932F5A">
        <w:rPr>
          <w:lang w:val="es-ES_tradnl"/>
        </w:rPr>
        <w:t xml:space="preserve"> </w:t>
      </w:r>
      <w:r w:rsidR="00CD5092" w:rsidRPr="00CD5092">
        <w:rPr>
          <w:lang w:val="es-ES_tradnl"/>
        </w:rPr>
        <w:t xml:space="preserve">real </w:t>
      </w:r>
      <w:r w:rsidR="00597DEE">
        <w:rPr>
          <w:lang w:val="es-ES_tradnl"/>
        </w:rPr>
        <w:t xml:space="preserve">de las </w:t>
      </w:r>
      <w:r w:rsidR="00BD76CA" w:rsidRPr="00932F5A">
        <w:rPr>
          <w:lang w:val="es-ES_tradnl"/>
        </w:rPr>
        <w:t>plantas</w:t>
      </w:r>
      <w:r w:rsidR="00597DEE" w:rsidRPr="001A712A">
        <w:rPr>
          <w:lang w:val="es-ES"/>
        </w:rPr>
        <w:t xml:space="preserve"> </w:t>
      </w:r>
      <w:r w:rsidR="00597DEE">
        <w:rPr>
          <w:lang w:val="es-ES_tradnl"/>
        </w:rPr>
        <w:t>convertidas</w:t>
      </w:r>
      <w:r w:rsidR="003847D9" w:rsidRPr="00932F5A">
        <w:rPr>
          <w:lang w:val="es-ES_tradnl"/>
        </w:rPr>
        <w:t>.</w:t>
      </w:r>
      <w:r w:rsidR="00936784" w:rsidRPr="00932F5A">
        <w:rPr>
          <w:lang w:val="es-ES_tradnl"/>
        </w:rPr>
        <w:t xml:space="preserve"> </w:t>
      </w:r>
      <w:r w:rsidR="00A66CB0" w:rsidRPr="00932F5A">
        <w:rPr>
          <w:lang w:val="es-ES_tradnl"/>
        </w:rPr>
        <w:t>Otros</w:t>
      </w:r>
      <w:r w:rsidR="00936784" w:rsidRPr="00932F5A">
        <w:rPr>
          <w:lang w:val="es-ES_tradnl"/>
        </w:rPr>
        <w:t xml:space="preserve"> </w:t>
      </w:r>
      <w:r w:rsidR="003F30FA" w:rsidRPr="003F30FA">
        <w:rPr>
          <w:lang w:val="es-ES_tradnl"/>
        </w:rPr>
        <w:t xml:space="preserve">propusieron </w:t>
      </w:r>
      <w:r w:rsidR="005E7D21" w:rsidRPr="00932F5A">
        <w:rPr>
          <w:lang w:val="es-ES_tradnl"/>
        </w:rPr>
        <w:t>toneladas</w:t>
      </w:r>
      <w:r w:rsidR="00936784" w:rsidRPr="00932F5A">
        <w:rPr>
          <w:lang w:val="es-ES_tradnl"/>
        </w:rPr>
        <w:t xml:space="preserve"> </w:t>
      </w:r>
      <w:r w:rsidR="005E7D21" w:rsidRPr="00932F5A">
        <w:rPr>
          <w:lang w:val="es-ES_tradnl"/>
        </w:rPr>
        <w:t>de</w:t>
      </w:r>
      <w:r w:rsidR="00936784" w:rsidRPr="00932F5A">
        <w:rPr>
          <w:lang w:val="es-ES_tradnl"/>
        </w:rPr>
        <w:t xml:space="preserve"> </w:t>
      </w:r>
      <w:r w:rsidR="00456D0D" w:rsidRPr="00456D0D">
        <w:rPr>
          <w:rFonts w:eastAsia="MS Mincho"/>
          <w:lang w:val="es-ES_tradnl"/>
        </w:rPr>
        <w:t>CO</w:t>
      </w:r>
      <w:r w:rsidR="00456D0D" w:rsidRPr="00456D0D">
        <w:rPr>
          <w:rFonts w:eastAsia="MS Mincho"/>
          <w:vertAlign w:val="subscript"/>
          <w:lang w:val="es-ES_tradnl"/>
        </w:rPr>
        <w:t>2</w:t>
      </w:r>
      <w:r w:rsidR="00456D0D">
        <w:rPr>
          <w:lang w:val="es-ES_tradnl"/>
        </w:rPr>
        <w:t xml:space="preserve"> </w:t>
      </w:r>
      <w:r w:rsidR="005E7D21" w:rsidRPr="00932F5A">
        <w:rPr>
          <w:lang w:val="es-ES_tradnl"/>
        </w:rPr>
        <w:t>equivalente</w:t>
      </w:r>
      <w:r w:rsidR="00936784" w:rsidRPr="00932F5A">
        <w:rPr>
          <w:lang w:val="es-ES_tradnl"/>
        </w:rPr>
        <w:t xml:space="preserve"> </w:t>
      </w:r>
      <w:r w:rsidR="00D2140D">
        <w:rPr>
          <w:lang w:val="es-ES_tradnl"/>
        </w:rPr>
        <w:t>a fin de medir</w:t>
      </w:r>
      <w:r w:rsidR="00936784" w:rsidRPr="00932F5A">
        <w:rPr>
          <w:lang w:val="es-ES_tradnl"/>
        </w:rPr>
        <w:t xml:space="preserve"> </w:t>
      </w:r>
      <w:r w:rsidR="00197A00" w:rsidRPr="00932F5A">
        <w:rPr>
          <w:lang w:val="es-ES_tradnl"/>
        </w:rPr>
        <w:t>el</w:t>
      </w:r>
      <w:r w:rsidR="00936784" w:rsidRPr="00932F5A">
        <w:rPr>
          <w:lang w:val="es-ES_tradnl"/>
        </w:rPr>
        <w:t xml:space="preserve"> </w:t>
      </w:r>
      <w:r w:rsidR="00182142">
        <w:rPr>
          <w:lang w:val="es-ES_tradnl"/>
        </w:rPr>
        <w:t xml:space="preserve">efecto </w:t>
      </w:r>
      <w:r w:rsidR="00083AB4">
        <w:rPr>
          <w:lang w:val="es-ES_tradnl"/>
        </w:rPr>
        <w:t>medioambiental</w:t>
      </w:r>
      <w:r w:rsidR="00936784" w:rsidRPr="00932F5A">
        <w:rPr>
          <w:lang w:val="es-ES_tradnl"/>
        </w:rPr>
        <w:t xml:space="preserve"> </w:t>
      </w:r>
      <w:r w:rsidR="0021186A">
        <w:rPr>
          <w:lang w:val="es-ES_tradnl"/>
        </w:rPr>
        <w:t>de la</w:t>
      </w:r>
      <w:r w:rsidR="00083AB4">
        <w:rPr>
          <w:lang w:val="es-ES_tradnl"/>
        </w:rPr>
        <w:t xml:space="preserve"> </w:t>
      </w:r>
      <w:r w:rsidR="0021186A">
        <w:rPr>
          <w:lang w:val="es-ES_tradnl"/>
        </w:rPr>
        <w:t>conversión</w:t>
      </w:r>
      <w:r w:rsidR="00F129FD">
        <w:rPr>
          <w:lang w:val="es-ES_tradnl"/>
        </w:rPr>
        <w:t>, en tanto que o</w:t>
      </w:r>
      <w:r w:rsidR="00A66CB0" w:rsidRPr="00932F5A">
        <w:rPr>
          <w:lang w:val="es-ES_tradnl"/>
        </w:rPr>
        <w:t>tros</w:t>
      </w:r>
      <w:r w:rsidR="00BB6E25">
        <w:rPr>
          <w:lang w:val="es-ES_tradnl"/>
        </w:rPr>
        <w:t xml:space="preserve"> </w:t>
      </w:r>
      <w:r w:rsidR="00A479BE">
        <w:rPr>
          <w:lang w:val="es-ES_tradnl"/>
        </w:rPr>
        <w:t>estuvieron por</w:t>
      </w:r>
      <w:r w:rsidR="00EE663A">
        <w:rPr>
          <w:lang w:val="es-ES_tradnl"/>
        </w:rPr>
        <w:t xml:space="preserve"> </w:t>
      </w:r>
      <w:r w:rsidR="003A2DE8">
        <w:rPr>
          <w:lang w:val="es-ES_tradnl"/>
        </w:rPr>
        <w:t>utilizar</w:t>
      </w:r>
      <w:r w:rsidR="00EE663A">
        <w:rPr>
          <w:lang w:val="es-ES_tradnl"/>
        </w:rPr>
        <w:t xml:space="preserve"> ambas </w:t>
      </w:r>
      <w:r w:rsidR="005E7D21" w:rsidRPr="00932F5A">
        <w:rPr>
          <w:lang w:val="es-ES_tradnl"/>
        </w:rPr>
        <w:t>unidades</w:t>
      </w:r>
      <w:r w:rsidR="00936784" w:rsidRPr="00932F5A">
        <w:rPr>
          <w:lang w:val="es-ES_tradnl"/>
        </w:rPr>
        <w:t xml:space="preserve"> </w:t>
      </w:r>
      <w:r w:rsidR="00C43614">
        <w:rPr>
          <w:lang w:val="es-ES_tradnl"/>
        </w:rPr>
        <w:t xml:space="preserve">al </w:t>
      </w:r>
      <w:r w:rsidR="0088270F">
        <w:rPr>
          <w:lang w:val="es-ES_tradnl"/>
        </w:rPr>
        <w:t xml:space="preserve">inicio, </w:t>
      </w:r>
      <w:r w:rsidR="00F40920">
        <w:rPr>
          <w:lang w:val="es-ES_tradnl"/>
        </w:rPr>
        <w:t xml:space="preserve">determinar </w:t>
      </w:r>
      <w:r w:rsidR="002A41A4">
        <w:rPr>
          <w:lang w:val="es-ES_tradnl"/>
        </w:rPr>
        <w:t xml:space="preserve">los </w:t>
      </w:r>
      <w:r w:rsidR="003847D9" w:rsidRPr="00932F5A">
        <w:rPr>
          <w:lang w:val="es-ES_tradnl"/>
        </w:rPr>
        <w:t>pros</w:t>
      </w:r>
      <w:r w:rsidR="00936784" w:rsidRPr="00932F5A">
        <w:rPr>
          <w:lang w:val="es-ES_tradnl"/>
        </w:rPr>
        <w:t xml:space="preserve"> </w:t>
      </w:r>
      <w:r w:rsidR="003543D0" w:rsidRPr="00932F5A">
        <w:rPr>
          <w:lang w:val="es-ES_tradnl"/>
        </w:rPr>
        <w:t>y</w:t>
      </w:r>
      <w:r w:rsidR="00936784" w:rsidRPr="00932F5A">
        <w:rPr>
          <w:lang w:val="es-ES_tradnl"/>
        </w:rPr>
        <w:t xml:space="preserve"> </w:t>
      </w:r>
      <w:r w:rsidR="002A41A4">
        <w:rPr>
          <w:lang w:val="es-ES_tradnl"/>
        </w:rPr>
        <w:t xml:space="preserve">contras </w:t>
      </w:r>
      <w:r w:rsidR="003543D0" w:rsidRPr="00932F5A">
        <w:rPr>
          <w:lang w:val="es-ES_tradnl"/>
        </w:rPr>
        <w:t>de</w:t>
      </w:r>
      <w:r w:rsidR="00936784" w:rsidRPr="00932F5A">
        <w:rPr>
          <w:lang w:val="es-ES_tradnl"/>
        </w:rPr>
        <w:t xml:space="preserve"> </w:t>
      </w:r>
      <w:r w:rsidR="00A66CB0" w:rsidRPr="00932F5A">
        <w:rPr>
          <w:lang w:val="es-ES_tradnl"/>
        </w:rPr>
        <w:t>cada</w:t>
      </w:r>
      <w:r w:rsidR="00936784" w:rsidRPr="00932F5A">
        <w:rPr>
          <w:lang w:val="es-ES_tradnl"/>
        </w:rPr>
        <w:t xml:space="preserve"> </w:t>
      </w:r>
      <w:r w:rsidR="00A02202">
        <w:rPr>
          <w:lang w:val="es-ES_tradnl"/>
        </w:rPr>
        <w:t>cual</w:t>
      </w:r>
      <w:r w:rsidR="00EE55D4">
        <w:rPr>
          <w:lang w:val="es-ES_tradnl"/>
        </w:rPr>
        <w:t xml:space="preserve">, </w:t>
      </w:r>
      <w:r w:rsidR="00D441F0">
        <w:rPr>
          <w:lang w:val="es-ES_tradnl"/>
        </w:rPr>
        <w:t xml:space="preserve">y </w:t>
      </w:r>
      <w:r w:rsidR="00EE55D4" w:rsidRPr="00EE55D4">
        <w:rPr>
          <w:lang w:val="es-ES_tradnl"/>
        </w:rPr>
        <w:t xml:space="preserve">luego </w:t>
      </w:r>
      <w:r w:rsidR="00D441F0" w:rsidRPr="00D441F0">
        <w:rPr>
          <w:lang w:val="es-ES_tradnl"/>
        </w:rPr>
        <w:t>optar por una</w:t>
      </w:r>
      <w:r w:rsidR="001C4164">
        <w:rPr>
          <w:lang w:val="es-ES_tradnl"/>
        </w:rPr>
        <w:t xml:space="preserve"> de ellas</w:t>
      </w:r>
      <w:r w:rsidR="003847D9" w:rsidRPr="00932F5A">
        <w:rPr>
          <w:lang w:val="es-ES_tradnl"/>
        </w:rPr>
        <w:t>.</w:t>
      </w:r>
      <w:r w:rsidR="00936784" w:rsidRPr="00932F5A">
        <w:rPr>
          <w:lang w:val="es-ES_tradnl"/>
        </w:rPr>
        <w:t xml:space="preserve"> </w:t>
      </w:r>
      <w:r w:rsidR="00EA4DA0" w:rsidRPr="00932F5A">
        <w:rPr>
          <w:lang w:val="es-ES_tradnl"/>
        </w:rPr>
        <w:t>El</w:t>
      </w:r>
      <w:r w:rsidR="00936784" w:rsidRPr="00932F5A">
        <w:rPr>
          <w:lang w:val="es-ES_tradnl"/>
        </w:rPr>
        <w:t xml:space="preserve"> </w:t>
      </w:r>
      <w:r w:rsidR="00EA4DA0" w:rsidRPr="00932F5A">
        <w:rPr>
          <w:lang w:val="es-ES_tradnl"/>
        </w:rPr>
        <w:t>Comité</w:t>
      </w:r>
      <w:r w:rsidR="00936784" w:rsidRPr="00932F5A">
        <w:rPr>
          <w:lang w:val="es-ES_tradnl"/>
        </w:rPr>
        <w:t xml:space="preserve"> </w:t>
      </w:r>
      <w:r w:rsidR="00431F01">
        <w:rPr>
          <w:lang w:val="es-ES_tradnl"/>
        </w:rPr>
        <w:t>también</w:t>
      </w:r>
      <w:r w:rsidR="00936784" w:rsidRPr="00932F5A">
        <w:rPr>
          <w:lang w:val="es-ES_tradnl"/>
        </w:rPr>
        <w:t xml:space="preserve"> </w:t>
      </w:r>
      <w:r w:rsidR="0092724F">
        <w:rPr>
          <w:lang w:val="es-ES_tradnl"/>
        </w:rPr>
        <w:t xml:space="preserve">formuló </w:t>
      </w:r>
      <w:r w:rsidR="00431F01">
        <w:rPr>
          <w:lang w:val="es-ES_tradnl"/>
        </w:rPr>
        <w:t>sugerencia</w:t>
      </w:r>
      <w:r w:rsidR="00640272" w:rsidRPr="00932F5A">
        <w:rPr>
          <w:lang w:val="es-ES_tradnl"/>
        </w:rPr>
        <w:t>s</w:t>
      </w:r>
      <w:r w:rsidR="00936784" w:rsidRPr="00932F5A">
        <w:rPr>
          <w:lang w:val="es-ES_tradnl"/>
        </w:rPr>
        <w:t xml:space="preserve"> </w:t>
      </w:r>
      <w:r w:rsidR="008017B0">
        <w:rPr>
          <w:lang w:val="es-ES_tradnl"/>
        </w:rPr>
        <w:t>sobre</w:t>
      </w:r>
      <w:r w:rsidR="00936784" w:rsidRPr="00932F5A">
        <w:rPr>
          <w:lang w:val="es-ES_tradnl"/>
        </w:rPr>
        <w:t xml:space="preserve"> </w:t>
      </w:r>
      <w:r w:rsidR="009B545D">
        <w:rPr>
          <w:lang w:val="es-ES_tradnl"/>
        </w:rPr>
        <w:t xml:space="preserve">la </w:t>
      </w:r>
      <w:r w:rsidR="009E12B2">
        <w:rPr>
          <w:lang w:val="es-ES_tradnl"/>
        </w:rPr>
        <w:t>inclusión de los</w:t>
      </w:r>
      <w:r w:rsidR="00936784" w:rsidRPr="00932F5A">
        <w:rPr>
          <w:lang w:val="es-ES_tradnl"/>
        </w:rPr>
        <w:t xml:space="preserve"> </w:t>
      </w:r>
      <w:r w:rsidR="00D352E8" w:rsidRPr="00932F5A">
        <w:rPr>
          <w:lang w:val="es-ES_tradnl"/>
        </w:rPr>
        <w:t>polioles</w:t>
      </w:r>
      <w:r w:rsidR="00936784" w:rsidRPr="00932F5A">
        <w:rPr>
          <w:lang w:val="es-ES_tradnl"/>
        </w:rPr>
        <w:t xml:space="preserve"> </w:t>
      </w:r>
      <w:r w:rsidR="00D352E8" w:rsidRPr="00932F5A">
        <w:rPr>
          <w:lang w:val="es-ES_tradnl"/>
        </w:rPr>
        <w:t>premezclados</w:t>
      </w:r>
      <w:r w:rsidR="00936784" w:rsidRPr="00932F5A">
        <w:rPr>
          <w:lang w:val="es-ES_tradnl"/>
        </w:rPr>
        <w:t xml:space="preserve"> </w:t>
      </w:r>
      <w:r w:rsidR="00D352E8" w:rsidRPr="00932F5A">
        <w:rPr>
          <w:lang w:val="es-ES_tradnl"/>
        </w:rPr>
        <w:t>en</w:t>
      </w:r>
      <w:r w:rsidR="00936784" w:rsidRPr="00932F5A">
        <w:rPr>
          <w:lang w:val="es-ES_tradnl"/>
        </w:rPr>
        <w:t xml:space="preserve"> </w:t>
      </w:r>
      <w:r w:rsidRPr="00932F5A">
        <w:rPr>
          <w:lang w:val="es-ES_tradnl"/>
        </w:rPr>
        <w:t>el</w:t>
      </w:r>
      <w:r w:rsidR="00936784" w:rsidRPr="00932F5A">
        <w:rPr>
          <w:lang w:val="es-ES_tradnl"/>
        </w:rPr>
        <w:t xml:space="preserve"> </w:t>
      </w:r>
      <w:r w:rsidRPr="00932F5A">
        <w:rPr>
          <w:lang w:val="es-ES_tradnl"/>
        </w:rPr>
        <w:t>punto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partida</w:t>
      </w:r>
      <w:r w:rsidR="00D3627D">
        <w:rPr>
          <w:lang w:val="es-ES_tradnl"/>
        </w:rPr>
        <w:t xml:space="preserve">, </w:t>
      </w:r>
      <w:r w:rsidR="00FF6784" w:rsidRPr="00932F5A">
        <w:rPr>
          <w:lang w:val="es-ES_tradnl"/>
        </w:rPr>
        <w:t>en</w:t>
      </w:r>
      <w:r w:rsidR="00936784" w:rsidRPr="00932F5A">
        <w:rPr>
          <w:lang w:val="es-ES_tradnl"/>
        </w:rPr>
        <w:t xml:space="preserve"> </w:t>
      </w:r>
      <w:r w:rsidR="00FF6784" w:rsidRPr="00932F5A">
        <w:rPr>
          <w:lang w:val="es-ES_tradnl"/>
        </w:rPr>
        <w:t>el</w:t>
      </w:r>
      <w:r w:rsidR="00936784" w:rsidRPr="00932F5A">
        <w:rPr>
          <w:lang w:val="es-ES_tradnl"/>
        </w:rPr>
        <w:t xml:space="preserve"> </w:t>
      </w:r>
      <w:r w:rsidR="00FF6784" w:rsidRPr="00932F5A">
        <w:rPr>
          <w:lang w:val="es-ES_tradnl"/>
        </w:rPr>
        <w:t>entendido</w:t>
      </w:r>
      <w:r w:rsidR="00936784" w:rsidRPr="00932F5A">
        <w:rPr>
          <w:lang w:val="es-ES_tradnl"/>
        </w:rPr>
        <w:t xml:space="preserve"> </w:t>
      </w:r>
      <w:r w:rsidR="00FF6784" w:rsidRPr="00932F5A">
        <w:rPr>
          <w:lang w:val="es-ES_tradnl"/>
        </w:rPr>
        <w:t>de</w:t>
      </w:r>
      <w:r w:rsidR="00936784" w:rsidRPr="00932F5A">
        <w:rPr>
          <w:lang w:val="es-ES_tradnl"/>
        </w:rPr>
        <w:t xml:space="preserve"> </w:t>
      </w:r>
      <w:r w:rsidR="00FF6784" w:rsidRPr="00932F5A">
        <w:rPr>
          <w:lang w:val="es-ES_tradnl"/>
        </w:rPr>
        <w:t>que</w:t>
      </w:r>
      <w:r w:rsidR="00936784" w:rsidRPr="00932F5A">
        <w:rPr>
          <w:lang w:val="es-ES_tradnl"/>
        </w:rPr>
        <w:t xml:space="preserve"> </w:t>
      </w:r>
      <w:r w:rsidR="00D65B6D">
        <w:rPr>
          <w:lang w:val="es-ES_tradnl"/>
        </w:rPr>
        <w:t xml:space="preserve">los </w:t>
      </w:r>
      <w:r w:rsidR="00D65B6D" w:rsidRPr="00D65B6D">
        <w:rPr>
          <w:lang w:val="es-ES_tradnl"/>
        </w:rPr>
        <w:t>países del artículo 5</w:t>
      </w:r>
      <w:r w:rsidR="00324F18">
        <w:rPr>
          <w:lang w:val="es-ES_tradnl"/>
        </w:rPr>
        <w:t xml:space="preserve"> </w:t>
      </w:r>
      <w:r w:rsidR="00053AD6">
        <w:rPr>
          <w:lang w:val="es-ES_tradnl"/>
        </w:rPr>
        <w:t>vigilarán</w:t>
      </w:r>
      <w:r w:rsidR="00D36970">
        <w:rPr>
          <w:lang w:val="es-ES_tradnl"/>
        </w:rPr>
        <w:t xml:space="preserve"> </w:t>
      </w:r>
      <w:r w:rsidR="00B208D7">
        <w:rPr>
          <w:lang w:val="es-ES_tradnl"/>
        </w:rPr>
        <w:t xml:space="preserve">y </w:t>
      </w:r>
      <w:r w:rsidR="00053AD6">
        <w:rPr>
          <w:lang w:val="es-ES_tradnl"/>
        </w:rPr>
        <w:t>controlarán</w:t>
      </w:r>
      <w:r w:rsidR="00B208D7">
        <w:rPr>
          <w:lang w:val="es-ES_tradnl"/>
        </w:rPr>
        <w:t xml:space="preserve"> </w:t>
      </w:r>
      <w:r w:rsidR="005E3DE3">
        <w:rPr>
          <w:lang w:val="es-ES_tradnl"/>
        </w:rPr>
        <w:t xml:space="preserve">su </w:t>
      </w:r>
      <w:r w:rsidR="00D352E8" w:rsidRPr="00932F5A">
        <w:rPr>
          <w:lang w:val="es-ES_tradnl"/>
        </w:rPr>
        <w:t>consumo</w:t>
      </w:r>
      <w:r w:rsidR="009A64BA">
        <w:rPr>
          <w:lang w:val="es-ES_tradnl"/>
        </w:rPr>
        <w:t>,</w:t>
      </w:r>
      <w:r w:rsidR="00FB57C7">
        <w:rPr>
          <w:lang w:val="es-ES_tradnl"/>
        </w:rPr>
        <w:t xml:space="preserve"> y </w:t>
      </w:r>
      <w:r w:rsidR="005E7D21" w:rsidRPr="00932F5A">
        <w:rPr>
          <w:lang w:val="es-ES_tradnl"/>
        </w:rPr>
        <w:t>exceptuando</w:t>
      </w:r>
      <w:r w:rsidR="00936784" w:rsidRPr="00932F5A">
        <w:rPr>
          <w:lang w:val="es-ES_tradnl"/>
        </w:rPr>
        <w:t xml:space="preserve"> </w:t>
      </w:r>
      <w:r w:rsidR="00AF3A59" w:rsidRPr="00AF3A59">
        <w:rPr>
          <w:lang w:val="es-ES_tradnl"/>
        </w:rPr>
        <w:t xml:space="preserve">del punto de partida </w:t>
      </w:r>
      <w:r w:rsidRPr="00932F5A">
        <w:rPr>
          <w:lang w:val="es-ES_tradnl"/>
        </w:rPr>
        <w:t>la</w:t>
      </w:r>
      <w:r w:rsidR="00936784" w:rsidRPr="00932F5A">
        <w:rPr>
          <w:lang w:val="es-ES_tradnl"/>
        </w:rPr>
        <w:t xml:space="preserve"> </w:t>
      </w:r>
      <w:r w:rsidR="0076083E" w:rsidRPr="0076083E">
        <w:rPr>
          <w:lang w:val="es-ES_tradnl"/>
        </w:rPr>
        <w:t>prórroga de reducción</w:t>
      </w:r>
      <w:r w:rsidR="00936784" w:rsidRPr="00932F5A">
        <w:rPr>
          <w:lang w:val="es-ES_tradnl"/>
        </w:rPr>
        <w:t xml:space="preserve"> </w:t>
      </w:r>
      <w:r w:rsidR="003847D9" w:rsidRPr="00932F5A">
        <w:rPr>
          <w:lang w:val="es-ES_tradnl"/>
        </w:rPr>
        <w:t>(20</w:t>
      </w:r>
      <w:r w:rsidR="003543D0" w:rsidRPr="00932F5A">
        <w:rPr>
          <w:lang w:val="es-ES_tradnl"/>
        </w:rPr>
        <w:t>%</w:t>
      </w:r>
      <w:r w:rsidR="00936784" w:rsidRPr="00932F5A">
        <w:rPr>
          <w:lang w:val="es-ES_tradnl"/>
        </w:rPr>
        <w:t xml:space="preserve"> </w:t>
      </w:r>
      <w:r w:rsidR="00640C7B">
        <w:rPr>
          <w:lang w:val="es-ES_tradnl"/>
        </w:rPr>
        <w:t>para</w:t>
      </w:r>
      <w:r w:rsidR="00936784" w:rsidRPr="00932F5A">
        <w:rPr>
          <w:lang w:val="es-ES_tradnl"/>
        </w:rPr>
        <w:t xml:space="preserve"> </w:t>
      </w:r>
      <w:r w:rsidR="00250E19">
        <w:rPr>
          <w:lang w:val="es-ES_tradnl"/>
        </w:rPr>
        <w:t xml:space="preserve">el </w:t>
      </w:r>
      <w:r w:rsidR="00C81859">
        <w:rPr>
          <w:lang w:val="es-ES_tradnl"/>
        </w:rPr>
        <w:t xml:space="preserve">Grupo </w:t>
      </w:r>
      <w:r w:rsidR="00640C7B">
        <w:rPr>
          <w:lang w:val="es-ES_tradnl"/>
        </w:rPr>
        <w:t xml:space="preserve">1 </w:t>
      </w:r>
      <w:r w:rsidR="003543D0" w:rsidRPr="00932F5A">
        <w:rPr>
          <w:lang w:val="es-ES_tradnl"/>
        </w:rPr>
        <w:t>y</w:t>
      </w:r>
      <w:r w:rsidR="00936784" w:rsidRPr="00932F5A">
        <w:rPr>
          <w:lang w:val="es-ES_tradnl"/>
        </w:rPr>
        <w:t xml:space="preserve"> </w:t>
      </w:r>
      <w:r w:rsidR="003847D9" w:rsidRPr="00932F5A">
        <w:rPr>
          <w:lang w:val="es-ES_tradnl"/>
        </w:rPr>
        <w:t>15</w:t>
      </w:r>
      <w:r w:rsidR="003543D0" w:rsidRPr="00932F5A">
        <w:rPr>
          <w:lang w:val="es-ES_tradnl"/>
        </w:rPr>
        <w:t>%</w:t>
      </w:r>
      <w:r w:rsidR="00936784" w:rsidRPr="00932F5A">
        <w:rPr>
          <w:lang w:val="es-ES_tradnl"/>
        </w:rPr>
        <w:t xml:space="preserve"> </w:t>
      </w:r>
      <w:r w:rsidR="00C55F22">
        <w:rPr>
          <w:lang w:val="es-ES_tradnl"/>
        </w:rPr>
        <w:t xml:space="preserve">para el </w:t>
      </w:r>
      <w:r w:rsidR="00C81859">
        <w:rPr>
          <w:lang w:val="es-ES_tradnl"/>
        </w:rPr>
        <w:t xml:space="preserve">Grupo </w:t>
      </w:r>
      <w:r w:rsidR="00C55F22">
        <w:rPr>
          <w:lang w:val="es-ES_tradnl"/>
        </w:rPr>
        <w:t>2</w:t>
      </w:r>
      <w:r w:rsidR="006B0548">
        <w:rPr>
          <w:lang w:val="es-ES_tradnl"/>
        </w:rPr>
        <w:t xml:space="preserve"> </w:t>
      </w:r>
      <w:r w:rsidR="006B0548" w:rsidRPr="006B0548">
        <w:rPr>
          <w:lang w:val="es-ES_tradnl"/>
        </w:rPr>
        <w:t xml:space="preserve">de </w:t>
      </w:r>
      <w:r w:rsidR="00307D94">
        <w:rPr>
          <w:lang w:val="es-ES_tradnl"/>
        </w:rPr>
        <w:t xml:space="preserve">estos </w:t>
      </w:r>
      <w:r w:rsidR="006B0548" w:rsidRPr="006B0548">
        <w:rPr>
          <w:lang w:val="es-ES_tradnl"/>
        </w:rPr>
        <w:t>países</w:t>
      </w:r>
      <w:r w:rsidR="003847D9" w:rsidRPr="00932F5A">
        <w:rPr>
          <w:lang w:val="es-ES_tradnl"/>
        </w:rPr>
        <w:t>)</w:t>
      </w:r>
      <w:r w:rsidR="007A597B">
        <w:rPr>
          <w:lang w:val="es-ES_tradnl"/>
        </w:rPr>
        <w:t xml:space="preserve">, </w:t>
      </w:r>
      <w:r w:rsidR="00D20505">
        <w:rPr>
          <w:lang w:val="es-ES_tradnl"/>
        </w:rPr>
        <w:t xml:space="preserve">en tanto que </w:t>
      </w:r>
      <w:r w:rsidR="0006027C" w:rsidRPr="0006027C">
        <w:rPr>
          <w:lang w:val="es-ES_tradnl"/>
        </w:rPr>
        <w:t xml:space="preserve">parte del tonelaje total </w:t>
      </w:r>
      <w:r w:rsidR="00406868">
        <w:rPr>
          <w:lang w:val="es-ES_tradnl"/>
        </w:rPr>
        <w:t xml:space="preserve">cuya </w:t>
      </w:r>
      <w:r w:rsidR="00406868" w:rsidRPr="00406868">
        <w:rPr>
          <w:lang w:val="es-ES_tradnl"/>
        </w:rPr>
        <w:t xml:space="preserve">reducción </w:t>
      </w:r>
      <w:r w:rsidR="00664507">
        <w:rPr>
          <w:lang w:val="es-ES_tradnl"/>
        </w:rPr>
        <w:t xml:space="preserve">no está contemplada en </w:t>
      </w:r>
      <w:r w:rsidR="007A597B">
        <w:rPr>
          <w:lang w:val="es-ES_tradnl"/>
        </w:rPr>
        <w:t xml:space="preserve">el </w:t>
      </w:r>
      <w:r w:rsidR="007A597B" w:rsidRPr="007A597B">
        <w:rPr>
          <w:lang w:val="es-ES_tradnl"/>
        </w:rPr>
        <w:t>Protocolo de Montreal</w:t>
      </w:r>
      <w:r w:rsidR="003847D9" w:rsidRPr="00932F5A">
        <w:rPr>
          <w:lang w:val="es-ES_tradnl"/>
        </w:rPr>
        <w:t>.</w:t>
      </w:r>
    </w:p>
    <w:p w14:paraId="55279302" w14:textId="6FD1C6F1" w:rsidR="00B86CD8" w:rsidRPr="00932F5A" w:rsidRDefault="00762C85" w:rsidP="00B86CD8">
      <w:pPr>
        <w:pStyle w:val="Heading1"/>
        <w:rPr>
          <w:lang w:val="es-ES_tradnl"/>
        </w:rPr>
      </w:pPr>
      <w:r w:rsidRPr="00932F5A">
        <w:rPr>
          <w:lang w:val="es-ES_tradnl"/>
        </w:rPr>
        <w:t>Tomando</w:t>
      </w:r>
      <w:r w:rsidR="00936784" w:rsidRPr="00932F5A">
        <w:rPr>
          <w:lang w:val="es-ES_tradnl"/>
        </w:rPr>
        <w:t xml:space="preserve"> </w:t>
      </w:r>
      <w:r w:rsidRPr="00932F5A">
        <w:rPr>
          <w:lang w:val="es-ES_tradnl"/>
        </w:rPr>
        <w:t>nota</w:t>
      </w:r>
      <w:r w:rsidR="00936784" w:rsidRPr="00932F5A">
        <w:rPr>
          <w:lang w:val="es-ES_tradnl"/>
        </w:rPr>
        <w:t xml:space="preserve"> </w:t>
      </w:r>
      <w:r w:rsidRPr="00932F5A">
        <w:rPr>
          <w:lang w:val="es-ES_tradnl"/>
        </w:rPr>
        <w:t>de</w:t>
      </w:r>
      <w:r w:rsidR="00936784" w:rsidRPr="00932F5A">
        <w:rPr>
          <w:lang w:val="es-ES_tradnl"/>
        </w:rPr>
        <w:t xml:space="preserve"> </w:t>
      </w:r>
      <w:r w:rsidRPr="00932F5A">
        <w:rPr>
          <w:lang w:val="es-ES_tradnl"/>
        </w:rPr>
        <w:t>que</w:t>
      </w:r>
      <w:r w:rsidR="00936784" w:rsidRPr="00932F5A">
        <w:rPr>
          <w:lang w:val="es-ES_tradnl"/>
        </w:rPr>
        <w:t xml:space="preserve"> </w:t>
      </w:r>
      <w:r w:rsidR="001A493C">
        <w:rPr>
          <w:lang w:val="es-ES_tradnl"/>
        </w:rPr>
        <w:t xml:space="preserve">a la </w:t>
      </w:r>
      <w:r w:rsidR="00FA6FEB">
        <w:rPr>
          <w:lang w:val="es-ES_tradnl"/>
        </w:rPr>
        <w:t xml:space="preserve">fecha de la </w:t>
      </w:r>
      <w:r w:rsidR="003847D9" w:rsidRPr="00932F5A">
        <w:rPr>
          <w:lang w:val="es-ES_tradnl"/>
        </w:rPr>
        <w:t>8</w:t>
      </w:r>
      <w:r w:rsidR="005E7D21" w:rsidRPr="00932F5A">
        <w:rPr>
          <w:lang w:val="es-ES_tradnl"/>
        </w:rPr>
        <w:t>2</w:t>
      </w:r>
      <w:r w:rsidR="005F33A5">
        <w:rPr>
          <w:lang w:val="es-ES_tradnl"/>
        </w:rPr>
        <w:t>ª reunión</w:t>
      </w:r>
      <w:r w:rsidR="00936784" w:rsidRPr="00932F5A">
        <w:rPr>
          <w:lang w:val="es-ES_tradnl"/>
        </w:rPr>
        <w:t xml:space="preserve"> </w:t>
      </w:r>
      <w:r w:rsidR="00054EE8">
        <w:rPr>
          <w:lang w:val="es-ES_tradnl"/>
        </w:rPr>
        <w:t xml:space="preserve">no se había propuesto </w:t>
      </w:r>
      <w:r w:rsidR="00282DDD" w:rsidRPr="00282DDD">
        <w:rPr>
          <w:lang w:val="es-ES_tradnl"/>
        </w:rPr>
        <w:t xml:space="preserve">aún </w:t>
      </w:r>
      <w:r w:rsidR="00054EE8">
        <w:rPr>
          <w:lang w:val="es-ES_tradnl"/>
        </w:rPr>
        <w:t xml:space="preserve">una </w:t>
      </w:r>
      <w:r w:rsidR="00197A00" w:rsidRPr="00932F5A">
        <w:rPr>
          <w:lang w:val="es-ES_tradnl"/>
        </w:rPr>
        <w:t>metodología</w:t>
      </w:r>
      <w:r w:rsidR="00936784" w:rsidRPr="00932F5A">
        <w:rPr>
          <w:lang w:val="es-ES_tradnl"/>
        </w:rPr>
        <w:t xml:space="preserve"> </w:t>
      </w:r>
      <w:r w:rsidR="0003591C">
        <w:rPr>
          <w:lang w:val="es-ES_tradnl"/>
        </w:rPr>
        <w:t xml:space="preserve">general </w:t>
      </w:r>
      <w:r w:rsidR="004A3440">
        <w:rPr>
          <w:lang w:val="es-ES_tradnl"/>
        </w:rPr>
        <w:t>para determinar</w:t>
      </w:r>
      <w:r w:rsidR="00936784" w:rsidRPr="00932F5A">
        <w:rPr>
          <w:lang w:val="es-ES_tradnl"/>
        </w:rPr>
        <w:t xml:space="preserve"> </w:t>
      </w:r>
      <w:r w:rsidR="00EB43C3" w:rsidRPr="00932F5A">
        <w:rPr>
          <w:lang w:val="es-ES_tradnl"/>
        </w:rPr>
        <w:t>el</w:t>
      </w:r>
      <w:r w:rsidR="00936784" w:rsidRPr="00932F5A">
        <w:rPr>
          <w:lang w:val="es-ES_tradnl"/>
        </w:rPr>
        <w:t xml:space="preserve"> </w:t>
      </w:r>
      <w:r w:rsidR="007F5E41">
        <w:rPr>
          <w:lang w:val="es-ES_tradnl"/>
        </w:rPr>
        <w:t>punto de partida de las reducciones acumulativas</w:t>
      </w:r>
      <w:r w:rsidR="003847D9" w:rsidRPr="00932F5A">
        <w:rPr>
          <w:lang w:val="es-ES_tradnl"/>
        </w:rPr>
        <w:t>,</w:t>
      </w:r>
      <w:r w:rsidR="00936784" w:rsidRPr="00932F5A">
        <w:rPr>
          <w:lang w:val="es-ES_tradnl"/>
        </w:rPr>
        <w:t xml:space="preserve"> </w:t>
      </w:r>
      <w:r w:rsidR="00D352E8" w:rsidRPr="00932F5A">
        <w:rPr>
          <w:lang w:val="es-ES_tradnl"/>
        </w:rPr>
        <w:t>el</w:t>
      </w:r>
      <w:r w:rsidR="00936784" w:rsidRPr="00932F5A">
        <w:rPr>
          <w:lang w:val="es-ES_tradnl"/>
        </w:rPr>
        <w:t xml:space="preserve"> </w:t>
      </w:r>
      <w:r w:rsidR="00D352E8" w:rsidRPr="00932F5A">
        <w:rPr>
          <w:lang w:val="es-ES_tradnl"/>
        </w:rPr>
        <w:t>Comité</w:t>
      </w:r>
      <w:r w:rsidR="00936784" w:rsidRPr="00932F5A">
        <w:rPr>
          <w:lang w:val="es-ES_tradnl"/>
        </w:rPr>
        <w:t xml:space="preserve"> </w:t>
      </w:r>
      <w:r w:rsidR="005F1C91" w:rsidRPr="00932F5A">
        <w:rPr>
          <w:lang w:val="es-ES_tradnl"/>
        </w:rPr>
        <w:t>Ejecutivo</w:t>
      </w:r>
      <w:r w:rsidR="00936784" w:rsidRPr="00932F5A">
        <w:rPr>
          <w:lang w:val="es-ES_tradnl"/>
        </w:rPr>
        <w:t xml:space="preserve"> </w:t>
      </w:r>
      <w:r w:rsidR="005F1C91" w:rsidRPr="00932F5A">
        <w:rPr>
          <w:lang w:val="es-ES_tradnl"/>
        </w:rPr>
        <w:t>podrá</w:t>
      </w:r>
      <w:r w:rsidR="00936784" w:rsidRPr="00932F5A">
        <w:rPr>
          <w:lang w:val="es-ES_tradnl"/>
        </w:rPr>
        <w:t xml:space="preserve"> </w:t>
      </w:r>
      <w:r w:rsidR="005F1C91" w:rsidRPr="00932F5A">
        <w:rPr>
          <w:lang w:val="es-ES_tradnl"/>
        </w:rPr>
        <w:t>estimar</w:t>
      </w:r>
      <w:r w:rsidR="00936784" w:rsidRPr="00932F5A">
        <w:rPr>
          <w:lang w:val="es-ES_tradnl"/>
        </w:rPr>
        <w:t xml:space="preserve"> </w:t>
      </w:r>
      <w:r w:rsidR="005F1C91" w:rsidRPr="00932F5A">
        <w:rPr>
          <w:lang w:val="es-ES_tradnl"/>
        </w:rPr>
        <w:t>oportuno</w:t>
      </w:r>
      <w:r w:rsidR="00936784" w:rsidRPr="00932F5A">
        <w:rPr>
          <w:lang w:val="es-ES_tradnl"/>
        </w:rPr>
        <w:t xml:space="preserve"> </w:t>
      </w:r>
      <w:r w:rsidR="00ED1447">
        <w:rPr>
          <w:lang w:val="es-ES_tradnl"/>
        </w:rPr>
        <w:t xml:space="preserve">apuntar </w:t>
      </w:r>
      <w:r w:rsidR="00592E63" w:rsidRPr="00932F5A">
        <w:rPr>
          <w:lang w:val="es-ES_tradnl"/>
        </w:rPr>
        <w:t>su</w:t>
      </w:r>
      <w:r w:rsidR="00936784" w:rsidRPr="00932F5A">
        <w:rPr>
          <w:lang w:val="es-ES_tradnl"/>
        </w:rPr>
        <w:t xml:space="preserve"> </w:t>
      </w:r>
      <w:r w:rsidR="00A66CB0" w:rsidRPr="00932F5A">
        <w:rPr>
          <w:lang w:val="es-ES_tradnl"/>
        </w:rPr>
        <w:t>discusión</w:t>
      </w:r>
      <w:r w:rsidR="00936784" w:rsidRPr="00932F5A">
        <w:rPr>
          <w:lang w:val="es-ES_tradnl"/>
        </w:rPr>
        <w:t xml:space="preserve"> </w:t>
      </w:r>
      <w:r w:rsidR="00EB4D21">
        <w:rPr>
          <w:lang w:val="es-ES_tradnl"/>
        </w:rPr>
        <w:t xml:space="preserve">durante </w:t>
      </w:r>
      <w:r w:rsidR="001A2C2F">
        <w:rPr>
          <w:lang w:val="es-ES_tradnl"/>
        </w:rPr>
        <w:t>la 83</w:t>
      </w:r>
      <w:r w:rsidR="005F33A5">
        <w:rPr>
          <w:lang w:val="es-ES_tradnl"/>
        </w:rPr>
        <w:t>ª reunión</w:t>
      </w:r>
      <w:r w:rsidR="00936784" w:rsidRPr="00932F5A">
        <w:rPr>
          <w:lang w:val="es-ES_tradnl"/>
        </w:rPr>
        <w:t xml:space="preserve"> </w:t>
      </w:r>
      <w:r w:rsidR="00FF7904">
        <w:rPr>
          <w:lang w:val="es-ES_tradnl"/>
        </w:rPr>
        <w:t>a</w:t>
      </w:r>
      <w:r w:rsidR="00936784" w:rsidRPr="00932F5A">
        <w:rPr>
          <w:lang w:val="es-ES_tradnl"/>
        </w:rPr>
        <w:t xml:space="preserve"> </w:t>
      </w:r>
      <w:r w:rsidR="00F44F39">
        <w:rPr>
          <w:lang w:val="es-ES_tradnl"/>
        </w:rPr>
        <w:t>esta materia</w:t>
      </w:r>
      <w:r w:rsidR="003847D9" w:rsidRPr="00932F5A">
        <w:rPr>
          <w:lang w:val="es-ES_tradnl"/>
        </w:rPr>
        <w:t>,</w:t>
      </w:r>
      <w:r w:rsidR="00936784" w:rsidRPr="00932F5A">
        <w:rPr>
          <w:lang w:val="es-ES_tradnl"/>
        </w:rPr>
        <w:t xml:space="preserve"> </w:t>
      </w:r>
      <w:r w:rsidR="00553768">
        <w:rPr>
          <w:lang w:val="es-ES_tradnl"/>
        </w:rPr>
        <w:t xml:space="preserve">habida </w:t>
      </w:r>
      <w:r w:rsidR="00197A00" w:rsidRPr="00932F5A">
        <w:rPr>
          <w:lang w:val="es-ES_tradnl"/>
        </w:rPr>
        <w:t>cuenta</w:t>
      </w:r>
      <w:r w:rsidR="00936784" w:rsidRPr="00932F5A">
        <w:rPr>
          <w:lang w:val="es-ES_tradnl"/>
        </w:rPr>
        <w:t xml:space="preserve"> </w:t>
      </w:r>
      <w:r w:rsidR="00553768">
        <w:rPr>
          <w:lang w:val="es-ES_tradnl"/>
        </w:rPr>
        <w:t xml:space="preserve">de las </w:t>
      </w:r>
      <w:r w:rsidR="00C555DE">
        <w:rPr>
          <w:lang w:val="es-ES_tradnl"/>
        </w:rPr>
        <w:t>principales consideraciones</w:t>
      </w:r>
      <w:r w:rsidR="00936784" w:rsidRPr="00932F5A">
        <w:rPr>
          <w:lang w:val="es-ES_tradnl"/>
        </w:rPr>
        <w:t xml:space="preserve"> </w:t>
      </w:r>
      <w:r w:rsidR="00A578E4">
        <w:rPr>
          <w:lang w:val="es-ES_tradnl"/>
        </w:rPr>
        <w:t xml:space="preserve">para la elaboración de una </w:t>
      </w:r>
      <w:r w:rsidR="00197A00" w:rsidRPr="00932F5A">
        <w:rPr>
          <w:lang w:val="es-ES_tradnl"/>
        </w:rPr>
        <w:t>metodología</w:t>
      </w:r>
      <w:r w:rsidR="00936784" w:rsidRPr="00932F5A">
        <w:rPr>
          <w:lang w:val="es-ES_tradnl"/>
        </w:rPr>
        <w:t xml:space="preserve"> </w:t>
      </w:r>
      <w:r w:rsidR="00DC4E0E">
        <w:rPr>
          <w:lang w:val="es-ES_tradnl"/>
        </w:rPr>
        <w:t xml:space="preserve">que constan </w:t>
      </w:r>
      <w:r w:rsidR="009F205B">
        <w:rPr>
          <w:lang w:val="es-ES_tradnl"/>
        </w:rPr>
        <w:t xml:space="preserve">en </w:t>
      </w:r>
      <w:r w:rsidR="00EB43C3" w:rsidRPr="00932F5A">
        <w:rPr>
          <w:lang w:val="es-ES_tradnl"/>
        </w:rPr>
        <w:t>el</w:t>
      </w:r>
      <w:r w:rsidR="00936784" w:rsidRPr="00932F5A">
        <w:rPr>
          <w:lang w:val="es-ES_tradnl"/>
        </w:rPr>
        <w:t xml:space="preserve"> </w:t>
      </w:r>
      <w:r w:rsidR="00EB43C3" w:rsidRPr="00932F5A">
        <w:rPr>
          <w:lang w:val="es-ES_tradnl"/>
        </w:rPr>
        <w:t>documento</w:t>
      </w:r>
      <w:r w:rsidR="00936784" w:rsidRPr="00932F5A">
        <w:rPr>
          <w:lang w:val="es-ES_tradnl"/>
        </w:rPr>
        <w:t xml:space="preserve"> </w:t>
      </w:r>
      <w:r w:rsidR="00EA4DA0" w:rsidRPr="00932F5A">
        <w:rPr>
          <w:lang w:val="es-ES_tradnl"/>
        </w:rPr>
        <w:t>UNEP/OzL.Pro</w:t>
      </w:r>
      <w:r w:rsidR="00437CD6" w:rsidRPr="00932F5A">
        <w:rPr>
          <w:lang w:val="es-ES_tradnl"/>
        </w:rPr>
        <w:t>/ExCom/82/66.</w:t>
      </w:r>
    </w:p>
    <w:p w14:paraId="2A7240AF" w14:textId="63E51F63" w:rsidR="003847D9" w:rsidRPr="00932F5A" w:rsidRDefault="00EB43C3" w:rsidP="00B86CD8">
      <w:pPr>
        <w:pStyle w:val="Heading1"/>
        <w:numPr>
          <w:ilvl w:val="0"/>
          <w:numId w:val="0"/>
        </w:numPr>
        <w:rPr>
          <w:lang w:val="es-ES_tradnl"/>
        </w:rPr>
      </w:pPr>
      <w:r w:rsidRPr="00932F5A">
        <w:rPr>
          <w:u w:val="single"/>
          <w:lang w:val="es-ES_tradnl"/>
        </w:rPr>
        <w:t>Sobrecostos</w:t>
      </w:r>
      <w:r w:rsidR="00936784" w:rsidRPr="00932F5A">
        <w:rPr>
          <w:u w:val="single"/>
          <w:lang w:val="es-ES_tradnl"/>
        </w:rPr>
        <w:t xml:space="preserve"> </w:t>
      </w:r>
      <w:r w:rsidRPr="00932F5A">
        <w:rPr>
          <w:u w:val="single"/>
          <w:lang w:val="es-ES_tradnl"/>
        </w:rPr>
        <w:t>admisibles</w:t>
      </w:r>
      <w:r w:rsidR="00936784" w:rsidRPr="00932F5A">
        <w:rPr>
          <w:u w:val="single"/>
          <w:lang w:val="es-ES_tradnl"/>
        </w:rPr>
        <w:t xml:space="preserve"> </w:t>
      </w:r>
      <w:r w:rsidR="005E7D21" w:rsidRPr="00932F5A">
        <w:rPr>
          <w:u w:val="single"/>
          <w:lang w:val="es-ES_tradnl"/>
        </w:rPr>
        <w:t>para</w:t>
      </w:r>
      <w:r w:rsidR="00936784" w:rsidRPr="00932F5A">
        <w:rPr>
          <w:u w:val="single"/>
          <w:lang w:val="es-ES_tradnl"/>
        </w:rPr>
        <w:t xml:space="preserve"> </w:t>
      </w:r>
      <w:r w:rsidR="005E7D21" w:rsidRPr="00932F5A">
        <w:rPr>
          <w:u w:val="single"/>
          <w:lang w:val="es-ES_tradnl"/>
        </w:rPr>
        <w:t>el</w:t>
      </w:r>
      <w:r w:rsidR="00936784" w:rsidRPr="00932F5A">
        <w:rPr>
          <w:u w:val="single"/>
          <w:lang w:val="es-ES_tradnl"/>
        </w:rPr>
        <w:t xml:space="preserve"> </w:t>
      </w:r>
      <w:r w:rsidR="00841337">
        <w:rPr>
          <w:u w:val="single"/>
          <w:lang w:val="es-ES_tradnl"/>
        </w:rPr>
        <w:t>consumo en el sector manufacturero</w:t>
      </w:r>
    </w:p>
    <w:p w14:paraId="0E5D7B90" w14:textId="4325D9FD" w:rsidR="00FF6784" w:rsidRPr="00932F5A" w:rsidRDefault="00D847AA" w:rsidP="00437CD6">
      <w:pPr>
        <w:pStyle w:val="Heading1"/>
        <w:rPr>
          <w:lang w:val="es-ES_tradnl"/>
        </w:rPr>
      </w:pPr>
      <w:r>
        <w:rPr>
          <w:lang w:val="es-ES_tradnl"/>
        </w:rPr>
        <w:t>Desde</w:t>
      </w:r>
      <w:r w:rsidR="00371DC1">
        <w:rPr>
          <w:lang w:val="es-ES_tradnl"/>
        </w:rPr>
        <w:t xml:space="preserve"> la </w:t>
      </w:r>
      <w:r w:rsidR="003847D9" w:rsidRPr="00932F5A">
        <w:rPr>
          <w:lang w:val="es-ES_tradnl"/>
        </w:rPr>
        <w:t>7</w:t>
      </w:r>
      <w:r w:rsidR="005E7D21" w:rsidRPr="00932F5A">
        <w:rPr>
          <w:lang w:val="es-ES_tradnl"/>
        </w:rPr>
        <w:t>7</w:t>
      </w:r>
      <w:r w:rsidR="005F33A5">
        <w:rPr>
          <w:lang w:val="es-ES_tradnl"/>
        </w:rPr>
        <w:t>ª reunión</w:t>
      </w:r>
      <w:r w:rsidR="00E069F2">
        <w:rPr>
          <w:lang w:val="es-ES_tradnl"/>
        </w:rPr>
        <w:t xml:space="preserve"> </w:t>
      </w:r>
      <w:r>
        <w:rPr>
          <w:lang w:val="es-ES_tradnl"/>
        </w:rPr>
        <w:t xml:space="preserve">a la fecha </w:t>
      </w:r>
      <w:r w:rsidR="00E069F2">
        <w:rPr>
          <w:lang w:val="es-ES_tradnl"/>
        </w:rPr>
        <w:t>el Comité Ejecutivo</w:t>
      </w:r>
      <w:r w:rsidR="00936784" w:rsidRPr="00932F5A">
        <w:rPr>
          <w:lang w:val="es-ES_tradnl"/>
        </w:rPr>
        <w:t xml:space="preserve"> </w:t>
      </w:r>
      <w:r w:rsidR="00592E63" w:rsidRPr="00932F5A">
        <w:rPr>
          <w:lang w:val="es-ES_tradnl"/>
        </w:rPr>
        <w:t>ha</w:t>
      </w:r>
      <w:r w:rsidR="00936784" w:rsidRPr="00932F5A">
        <w:rPr>
          <w:lang w:val="es-ES_tradnl"/>
        </w:rPr>
        <w:t xml:space="preserve"> </w:t>
      </w:r>
      <w:r w:rsidR="00921453">
        <w:rPr>
          <w:lang w:val="es-ES_tradnl"/>
        </w:rPr>
        <w:t xml:space="preserve">sostenido diversas </w:t>
      </w:r>
      <w:r w:rsidR="005F1C91" w:rsidRPr="00932F5A">
        <w:rPr>
          <w:lang w:val="es-ES_tradnl"/>
        </w:rPr>
        <w:t>conversaciones</w:t>
      </w:r>
      <w:r w:rsidR="00936784" w:rsidRPr="00932F5A">
        <w:rPr>
          <w:lang w:val="es-ES_tradnl"/>
        </w:rPr>
        <w:t xml:space="preserve"> </w:t>
      </w:r>
      <w:r w:rsidR="00E622F4">
        <w:rPr>
          <w:lang w:val="es-ES_tradnl"/>
        </w:rPr>
        <w:t xml:space="preserve">sobre </w:t>
      </w:r>
      <w:r w:rsidR="009B4BB5">
        <w:rPr>
          <w:lang w:val="es-ES_tradnl"/>
        </w:rPr>
        <w:t xml:space="preserve">los </w:t>
      </w:r>
      <w:r w:rsidR="00236FFD">
        <w:rPr>
          <w:lang w:val="es-ES_tradnl"/>
        </w:rPr>
        <w:t>límites</w:t>
      </w:r>
      <w:r w:rsidR="00726447">
        <w:rPr>
          <w:lang w:val="es-ES_tradnl"/>
        </w:rPr>
        <w:t xml:space="preserve"> costo-beneficio</w:t>
      </w:r>
      <w:r w:rsidR="00936784" w:rsidRPr="00932F5A">
        <w:rPr>
          <w:lang w:val="es-ES_tradnl"/>
        </w:rPr>
        <w:t xml:space="preserve"> </w:t>
      </w:r>
      <w:r w:rsidR="00C64C0E">
        <w:rPr>
          <w:lang w:val="es-ES_tradnl"/>
        </w:rPr>
        <w:t>de</w:t>
      </w:r>
      <w:r w:rsidR="00936784" w:rsidRPr="00932F5A">
        <w:rPr>
          <w:lang w:val="es-ES_tradnl"/>
        </w:rPr>
        <w:t xml:space="preserve"> </w:t>
      </w:r>
      <w:r w:rsidR="00FF6784" w:rsidRPr="00932F5A">
        <w:rPr>
          <w:lang w:val="es-ES_tradnl"/>
        </w:rPr>
        <w:t>la</w:t>
      </w:r>
      <w:r w:rsidR="00936784" w:rsidRPr="00932F5A">
        <w:rPr>
          <w:lang w:val="es-ES_tradnl"/>
        </w:rPr>
        <w:t xml:space="preserve"> </w:t>
      </w:r>
      <w:r w:rsidR="00D352E8" w:rsidRPr="00932F5A">
        <w:rPr>
          <w:lang w:val="es-ES_tradnl"/>
        </w:rPr>
        <w:t>eliminación</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A664E3">
        <w:rPr>
          <w:lang w:val="es-ES_tradnl"/>
        </w:rPr>
        <w:t xml:space="preserve">HFC, </w:t>
      </w:r>
      <w:r w:rsidR="001A1887">
        <w:rPr>
          <w:lang w:val="es-ES_tradnl"/>
        </w:rPr>
        <w:t xml:space="preserve">haciendo notar </w:t>
      </w:r>
      <w:r w:rsidR="00262018">
        <w:rPr>
          <w:lang w:val="es-ES_tradnl"/>
        </w:rPr>
        <w:t xml:space="preserve">que los </w:t>
      </w:r>
      <w:r w:rsidR="00236FFD">
        <w:rPr>
          <w:lang w:val="es-ES_tradnl"/>
        </w:rPr>
        <w:t>límites</w:t>
      </w:r>
      <w:r w:rsidR="00726447">
        <w:rPr>
          <w:lang w:val="es-ES_tradnl"/>
        </w:rPr>
        <w:t xml:space="preserve"> costo-beneficio</w:t>
      </w:r>
      <w:r w:rsidR="00936784" w:rsidRPr="00932F5A">
        <w:rPr>
          <w:lang w:val="es-ES_tradnl"/>
        </w:rPr>
        <w:t xml:space="preserve"> </w:t>
      </w:r>
      <w:r w:rsidR="00FF6784" w:rsidRPr="00932F5A">
        <w:rPr>
          <w:lang w:val="es-ES_tradnl"/>
        </w:rPr>
        <w:t>para</w:t>
      </w:r>
      <w:r w:rsidR="00936784" w:rsidRPr="00932F5A">
        <w:rPr>
          <w:lang w:val="es-ES_tradnl"/>
        </w:rPr>
        <w:t xml:space="preserve"> </w:t>
      </w:r>
      <w:r w:rsidR="00FF6784" w:rsidRPr="00932F5A">
        <w:rPr>
          <w:lang w:val="es-ES_tradnl"/>
        </w:rPr>
        <w:t>la</w:t>
      </w:r>
      <w:r w:rsidR="00936784" w:rsidRPr="00932F5A">
        <w:rPr>
          <w:lang w:val="es-ES_tradnl"/>
        </w:rPr>
        <w:t xml:space="preserve"> </w:t>
      </w:r>
      <w:r w:rsidR="00D352E8" w:rsidRPr="00932F5A">
        <w:rPr>
          <w:lang w:val="es-ES_tradnl"/>
        </w:rPr>
        <w:t>eliminación</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EB43C3" w:rsidRPr="00932F5A">
        <w:rPr>
          <w:lang w:val="es-ES_tradnl"/>
        </w:rPr>
        <w:t>CFC</w:t>
      </w:r>
      <w:r w:rsidR="00936784" w:rsidRPr="00932F5A">
        <w:rPr>
          <w:lang w:val="es-ES_tradnl"/>
        </w:rPr>
        <w:t xml:space="preserve"> </w:t>
      </w:r>
      <w:r w:rsidR="003543D0" w:rsidRPr="00932F5A">
        <w:rPr>
          <w:lang w:val="es-ES_tradnl"/>
        </w:rPr>
        <w:t>y</w:t>
      </w:r>
      <w:r w:rsidR="00936784" w:rsidRPr="00932F5A">
        <w:rPr>
          <w:lang w:val="es-ES_tradnl"/>
        </w:rPr>
        <w:t xml:space="preserve"> </w:t>
      </w:r>
      <w:r w:rsidR="005E7D21" w:rsidRPr="00932F5A">
        <w:rPr>
          <w:lang w:val="es-ES_tradnl"/>
        </w:rPr>
        <w:t>HCFC</w:t>
      </w:r>
      <w:r w:rsidR="00936784" w:rsidRPr="00932F5A">
        <w:rPr>
          <w:lang w:val="es-ES_tradnl"/>
        </w:rPr>
        <w:t xml:space="preserve"> </w:t>
      </w:r>
      <w:r w:rsidR="00D47F62">
        <w:rPr>
          <w:lang w:val="es-ES_tradnl"/>
        </w:rPr>
        <w:t xml:space="preserve">no necesariamente </w:t>
      </w:r>
      <w:r w:rsidR="00CA2FEF">
        <w:rPr>
          <w:lang w:val="es-ES_tradnl"/>
        </w:rPr>
        <w:t>se pueden aplicar a</w:t>
      </w:r>
      <w:r w:rsidR="009A1F08">
        <w:rPr>
          <w:lang w:val="es-ES_tradnl"/>
        </w:rPr>
        <w:t>l caso de</w:t>
      </w:r>
      <w:r w:rsidR="00CA2FEF">
        <w:rPr>
          <w:lang w:val="es-ES_tradnl"/>
        </w:rPr>
        <w:t xml:space="preserve"> los </w:t>
      </w:r>
      <w:r w:rsidR="00A66CB0" w:rsidRPr="00932F5A">
        <w:rPr>
          <w:lang w:val="es-ES_tradnl"/>
        </w:rPr>
        <w:t>HFC</w:t>
      </w:r>
      <w:r w:rsidR="003847D9" w:rsidRPr="00932F5A">
        <w:rPr>
          <w:lang w:val="es-ES_tradnl"/>
        </w:rPr>
        <w:t>;</w:t>
      </w:r>
      <w:r w:rsidR="00936784" w:rsidRPr="00932F5A">
        <w:rPr>
          <w:lang w:val="es-ES_tradnl"/>
        </w:rPr>
        <w:t xml:space="preserve"> </w:t>
      </w:r>
      <w:r w:rsidR="004401B8">
        <w:rPr>
          <w:lang w:val="es-ES_tradnl"/>
        </w:rPr>
        <w:t xml:space="preserve">que </w:t>
      </w:r>
      <w:r w:rsidR="00DE131F" w:rsidRPr="00DE131F">
        <w:rPr>
          <w:lang w:val="es-ES_tradnl"/>
        </w:rPr>
        <w:t xml:space="preserve">el Fondo </w:t>
      </w:r>
      <w:r w:rsidR="00913D5B">
        <w:rPr>
          <w:lang w:val="es-ES_tradnl"/>
        </w:rPr>
        <w:t xml:space="preserve">tiene </w:t>
      </w:r>
      <w:r w:rsidR="00D4299D">
        <w:rPr>
          <w:lang w:val="es-ES_tradnl"/>
        </w:rPr>
        <w:t xml:space="preserve">una </w:t>
      </w:r>
      <w:r w:rsidR="005B0E5A">
        <w:rPr>
          <w:lang w:val="es-ES_tradnl"/>
        </w:rPr>
        <w:t xml:space="preserve">experiencia </w:t>
      </w:r>
      <w:r w:rsidR="00DE131F" w:rsidRPr="00DE131F">
        <w:rPr>
          <w:lang w:val="es-ES_tradnl"/>
        </w:rPr>
        <w:t xml:space="preserve">limitada </w:t>
      </w:r>
      <w:r w:rsidR="00D352E8" w:rsidRPr="00932F5A">
        <w:rPr>
          <w:lang w:val="es-ES_tradnl"/>
        </w:rPr>
        <w:t>en</w:t>
      </w:r>
      <w:r w:rsidR="00936784" w:rsidRPr="00932F5A">
        <w:rPr>
          <w:lang w:val="es-ES_tradnl"/>
        </w:rPr>
        <w:t xml:space="preserve"> </w:t>
      </w:r>
      <w:r w:rsidR="002F5ECC">
        <w:rPr>
          <w:lang w:val="es-ES_tradnl"/>
        </w:rPr>
        <w:t xml:space="preserve">cuanto a </w:t>
      </w:r>
      <w:r w:rsidR="00197A00" w:rsidRPr="00932F5A">
        <w:rPr>
          <w:lang w:val="es-ES_tradnl"/>
        </w:rPr>
        <w:t>eliminar</w:t>
      </w:r>
      <w:r w:rsidR="00936784" w:rsidRPr="00932F5A">
        <w:rPr>
          <w:lang w:val="es-ES_tradnl"/>
        </w:rPr>
        <w:t xml:space="preserve"> </w:t>
      </w:r>
      <w:r w:rsidR="00A66CB0" w:rsidRPr="00932F5A">
        <w:rPr>
          <w:lang w:val="es-ES_tradnl"/>
        </w:rPr>
        <w:t>HFC</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7F0CF3">
        <w:rPr>
          <w:lang w:val="es-ES_tradnl"/>
        </w:rPr>
        <w:t xml:space="preserve">ciertos </w:t>
      </w:r>
      <w:r w:rsidR="005E7D21" w:rsidRPr="00932F5A">
        <w:rPr>
          <w:lang w:val="es-ES_tradnl"/>
        </w:rPr>
        <w:t>sectores</w:t>
      </w:r>
      <w:r w:rsidR="009B3C21">
        <w:rPr>
          <w:lang w:val="es-ES_tradnl"/>
        </w:rPr>
        <w:t>,</w:t>
      </w:r>
      <w:r w:rsidR="00936784" w:rsidRPr="00932F5A">
        <w:rPr>
          <w:lang w:val="es-ES_tradnl"/>
        </w:rPr>
        <w:t xml:space="preserve"> </w:t>
      </w:r>
      <w:r w:rsidR="00EB43C3" w:rsidRPr="00932F5A">
        <w:rPr>
          <w:lang w:val="es-ES_tradnl"/>
        </w:rPr>
        <w:t>y</w:t>
      </w:r>
      <w:r w:rsidR="00936784" w:rsidRPr="00932F5A">
        <w:rPr>
          <w:lang w:val="es-ES_tradnl"/>
        </w:rPr>
        <w:t xml:space="preserve"> </w:t>
      </w:r>
      <w:r w:rsidR="00EB43C3" w:rsidRPr="00932F5A">
        <w:rPr>
          <w:lang w:val="es-ES_tradnl"/>
        </w:rPr>
        <w:t>que</w:t>
      </w:r>
      <w:r w:rsidR="00936784" w:rsidRPr="00932F5A">
        <w:rPr>
          <w:lang w:val="es-ES_tradnl"/>
        </w:rPr>
        <w:t xml:space="preserve"> </w:t>
      </w:r>
      <w:r w:rsidR="00E17F7E">
        <w:rPr>
          <w:lang w:val="es-ES_tradnl"/>
        </w:rPr>
        <w:t xml:space="preserve">los </w:t>
      </w:r>
      <w:r w:rsidR="003543D0" w:rsidRPr="00932F5A">
        <w:rPr>
          <w:lang w:val="es-ES_tradnl"/>
        </w:rPr>
        <w:t>sobrecostos</w:t>
      </w:r>
      <w:r w:rsidR="00936784" w:rsidRPr="00932F5A">
        <w:rPr>
          <w:lang w:val="es-ES_tradnl"/>
        </w:rPr>
        <w:t xml:space="preserve"> </w:t>
      </w:r>
      <w:r w:rsidR="007B64C8">
        <w:rPr>
          <w:lang w:val="es-ES_tradnl"/>
        </w:rPr>
        <w:t xml:space="preserve">podrían </w:t>
      </w:r>
      <w:r w:rsidR="00607FAD">
        <w:rPr>
          <w:lang w:val="es-ES_tradnl"/>
        </w:rPr>
        <w:t xml:space="preserve">diferir </w:t>
      </w:r>
      <w:r w:rsidR="00A11376">
        <w:rPr>
          <w:lang w:val="es-ES_tradnl"/>
        </w:rPr>
        <w:t xml:space="preserve">de los </w:t>
      </w:r>
      <w:r w:rsidR="00D145E5">
        <w:rPr>
          <w:lang w:val="es-ES_tradnl"/>
        </w:rPr>
        <w:t xml:space="preserve">relacionados con </w:t>
      </w:r>
      <w:r w:rsidR="0042017F">
        <w:rPr>
          <w:lang w:val="es-ES_tradnl"/>
        </w:rPr>
        <w:t xml:space="preserve">la eliminación de </w:t>
      </w:r>
      <w:r w:rsidR="00197A00" w:rsidRPr="00932F5A">
        <w:rPr>
          <w:lang w:val="es-ES_tradnl"/>
        </w:rPr>
        <w:t>otras</w:t>
      </w:r>
      <w:r w:rsidR="00936784" w:rsidRPr="00932F5A">
        <w:rPr>
          <w:lang w:val="es-ES_tradnl"/>
        </w:rPr>
        <w:t xml:space="preserve"> </w:t>
      </w:r>
      <w:r w:rsidR="00197A00" w:rsidRPr="00932F5A">
        <w:rPr>
          <w:lang w:val="es-ES_tradnl"/>
        </w:rPr>
        <w:t>sustancias</w:t>
      </w:r>
      <w:r w:rsidR="00936784" w:rsidRPr="00932F5A">
        <w:rPr>
          <w:lang w:val="es-ES_tradnl"/>
        </w:rPr>
        <w:t xml:space="preserve"> </w:t>
      </w:r>
      <w:r w:rsidR="00A66CB0" w:rsidRPr="00932F5A">
        <w:rPr>
          <w:lang w:val="es-ES_tradnl"/>
        </w:rPr>
        <w:t>controladas</w:t>
      </w:r>
      <w:r w:rsidR="003847D9" w:rsidRPr="00932F5A">
        <w:rPr>
          <w:lang w:val="es-ES_tradnl"/>
        </w:rPr>
        <w:t>.</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D352E8" w:rsidRPr="00932F5A">
        <w:rPr>
          <w:lang w:val="es-ES_tradnl"/>
        </w:rPr>
        <w:t>consecuencia,</w:t>
      </w:r>
      <w:r w:rsidR="00936784" w:rsidRPr="00932F5A">
        <w:rPr>
          <w:lang w:val="es-ES_tradnl"/>
        </w:rPr>
        <w:t xml:space="preserve"> </w:t>
      </w:r>
      <w:r w:rsidR="00EA4DA0" w:rsidRPr="00932F5A">
        <w:rPr>
          <w:lang w:val="es-ES_tradnl"/>
        </w:rPr>
        <w:t>el</w:t>
      </w:r>
      <w:r w:rsidR="00936784" w:rsidRPr="00932F5A">
        <w:rPr>
          <w:lang w:val="es-ES_tradnl"/>
        </w:rPr>
        <w:t xml:space="preserve"> </w:t>
      </w:r>
      <w:r w:rsidR="00EA4DA0" w:rsidRPr="00932F5A">
        <w:rPr>
          <w:lang w:val="es-ES_tradnl"/>
        </w:rPr>
        <w:t>Comité</w:t>
      </w:r>
      <w:r w:rsidR="00936784" w:rsidRPr="00932F5A">
        <w:rPr>
          <w:lang w:val="es-ES_tradnl"/>
        </w:rPr>
        <w:t xml:space="preserve"> </w:t>
      </w:r>
      <w:r w:rsidR="00670DCE">
        <w:rPr>
          <w:lang w:val="es-ES_tradnl"/>
        </w:rPr>
        <w:t xml:space="preserve">estimó </w:t>
      </w:r>
      <w:r w:rsidR="00A66F78">
        <w:rPr>
          <w:lang w:val="es-ES_tradnl"/>
        </w:rPr>
        <w:t xml:space="preserve">que </w:t>
      </w:r>
      <w:r w:rsidR="005F1B32" w:rsidRPr="005F1B32">
        <w:rPr>
          <w:lang w:val="es-ES_tradnl"/>
        </w:rPr>
        <w:t xml:space="preserve">para decidir en materia de sobrecostos admisibles </w:t>
      </w:r>
      <w:r w:rsidR="00A66F78">
        <w:rPr>
          <w:lang w:val="es-ES_tradnl"/>
        </w:rPr>
        <w:t xml:space="preserve">se necesitaban </w:t>
      </w:r>
      <w:r w:rsidR="00BA1CB7">
        <w:rPr>
          <w:lang w:val="es-ES_tradnl"/>
        </w:rPr>
        <w:t xml:space="preserve">nuevos </w:t>
      </w:r>
      <w:r w:rsidR="00991E2D">
        <w:rPr>
          <w:lang w:val="es-ES_tradnl"/>
        </w:rPr>
        <w:t>antecedentes</w:t>
      </w:r>
      <w:r w:rsidR="00143275">
        <w:rPr>
          <w:lang w:val="es-ES_tradnl"/>
        </w:rPr>
        <w:t xml:space="preserve">, acordando </w:t>
      </w:r>
      <w:r w:rsidR="00431F01">
        <w:rPr>
          <w:lang w:val="es-ES_tradnl"/>
        </w:rPr>
        <w:t>considerar</w:t>
      </w:r>
      <w:r w:rsidR="00936784" w:rsidRPr="00932F5A">
        <w:rPr>
          <w:lang w:val="es-ES_tradnl"/>
        </w:rPr>
        <w:t xml:space="preserve"> </w:t>
      </w:r>
      <w:r w:rsidR="00996EAD">
        <w:rPr>
          <w:lang w:val="es-ES_tradnl"/>
        </w:rPr>
        <w:t xml:space="preserve">la aprobación de un </w:t>
      </w:r>
      <w:r w:rsidR="00D352E8" w:rsidRPr="00932F5A">
        <w:rPr>
          <w:lang w:val="es-ES_tradnl"/>
        </w:rPr>
        <w:t>número</w:t>
      </w:r>
      <w:r w:rsidR="00936784" w:rsidRPr="00932F5A">
        <w:rPr>
          <w:lang w:val="es-ES_tradnl"/>
        </w:rPr>
        <w:t xml:space="preserve"> </w:t>
      </w:r>
      <w:r w:rsidR="008D288C">
        <w:rPr>
          <w:lang w:val="es-ES_tradnl"/>
        </w:rPr>
        <w:t xml:space="preserve">limitado </w:t>
      </w:r>
      <w:r w:rsidR="003543D0" w:rsidRPr="00932F5A">
        <w:rPr>
          <w:lang w:val="es-ES_tradnl"/>
        </w:rPr>
        <w:t>de</w:t>
      </w:r>
      <w:r w:rsidR="00936784" w:rsidRPr="00932F5A">
        <w:rPr>
          <w:lang w:val="es-ES_tradnl"/>
        </w:rPr>
        <w:t xml:space="preserve"> proyectos autónomos </w:t>
      </w:r>
      <w:r w:rsidR="00A40361">
        <w:rPr>
          <w:lang w:val="es-ES_tradnl"/>
        </w:rPr>
        <w:t>de inversión en HFC</w:t>
      </w:r>
      <w:r w:rsidR="00936784" w:rsidRPr="00932F5A">
        <w:rPr>
          <w:lang w:val="es-ES_tradnl"/>
        </w:rPr>
        <w:t xml:space="preserve"> </w:t>
      </w:r>
      <w:r w:rsidR="00244F89">
        <w:rPr>
          <w:lang w:val="es-ES_tradnl"/>
        </w:rPr>
        <w:lastRenderedPageBreak/>
        <w:t>y considerar</w:t>
      </w:r>
      <w:r w:rsidR="00C31592">
        <w:rPr>
          <w:lang w:val="es-ES_tradnl"/>
        </w:rPr>
        <w:t xml:space="preserve"> </w:t>
      </w:r>
      <w:r w:rsidR="00EB43C3" w:rsidRPr="00932F5A">
        <w:rPr>
          <w:lang w:val="es-ES_tradnl"/>
        </w:rPr>
        <w:t>caso</w:t>
      </w:r>
      <w:r w:rsidR="00936784" w:rsidRPr="00932F5A">
        <w:rPr>
          <w:lang w:val="es-ES_tradnl"/>
        </w:rPr>
        <w:t xml:space="preserve"> </w:t>
      </w:r>
      <w:r w:rsidR="00EB43C3" w:rsidRPr="00932F5A">
        <w:rPr>
          <w:lang w:val="es-ES_tradnl"/>
        </w:rPr>
        <w:t>a</w:t>
      </w:r>
      <w:r w:rsidR="00936784" w:rsidRPr="00932F5A">
        <w:rPr>
          <w:lang w:val="es-ES_tradnl"/>
        </w:rPr>
        <w:t xml:space="preserve"> </w:t>
      </w:r>
      <w:r w:rsidR="00EB43C3" w:rsidRPr="00932F5A">
        <w:rPr>
          <w:lang w:val="es-ES_tradnl"/>
        </w:rPr>
        <w:t>caso</w:t>
      </w:r>
      <w:r w:rsidR="00936784" w:rsidRPr="00932F5A">
        <w:rPr>
          <w:lang w:val="es-ES_tradnl"/>
        </w:rPr>
        <w:t xml:space="preserve"> </w:t>
      </w:r>
      <w:r w:rsidR="00C64304">
        <w:rPr>
          <w:lang w:val="es-ES_tradnl"/>
        </w:rPr>
        <w:t xml:space="preserve">el </w:t>
      </w:r>
      <w:r w:rsidR="009C5105" w:rsidRPr="009C5105">
        <w:rPr>
          <w:lang w:val="es-ES_tradnl"/>
        </w:rPr>
        <w:t>grado de desarrollo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BB3F7E">
        <w:rPr>
          <w:lang w:val="es-ES_tradnl"/>
        </w:rPr>
        <w:t xml:space="preserve">la </w:t>
      </w:r>
      <w:r w:rsidR="00D352E8" w:rsidRPr="00932F5A">
        <w:rPr>
          <w:lang w:val="es-ES_tradnl"/>
        </w:rPr>
        <w:t>tecnología</w:t>
      </w:r>
      <w:r w:rsidR="003847D9" w:rsidRPr="00932F5A">
        <w:rPr>
          <w:lang w:val="es-ES_tradnl"/>
        </w:rPr>
        <w:t>,</w:t>
      </w:r>
      <w:r w:rsidR="00936784" w:rsidRPr="00932F5A">
        <w:rPr>
          <w:lang w:val="es-ES_tradnl"/>
        </w:rPr>
        <w:t xml:space="preserve"> </w:t>
      </w:r>
      <w:r w:rsidR="00C64304">
        <w:rPr>
          <w:lang w:val="es-ES_tradnl"/>
        </w:rPr>
        <w:t xml:space="preserve">la </w:t>
      </w:r>
      <w:r w:rsidR="00936784" w:rsidRPr="00932F5A">
        <w:rPr>
          <w:lang w:val="es-ES_tradnl"/>
        </w:rPr>
        <w:t xml:space="preserve">replicabilidad </w:t>
      </w:r>
      <w:r w:rsidR="003543D0" w:rsidRPr="00932F5A">
        <w:rPr>
          <w:lang w:val="es-ES_tradnl"/>
        </w:rPr>
        <w:t>y</w:t>
      </w:r>
      <w:r w:rsidR="00936784" w:rsidRPr="00932F5A">
        <w:rPr>
          <w:lang w:val="es-ES_tradnl"/>
        </w:rPr>
        <w:t xml:space="preserve"> </w:t>
      </w:r>
      <w:r w:rsidR="00C64304">
        <w:rPr>
          <w:lang w:val="es-ES_tradnl"/>
        </w:rPr>
        <w:t xml:space="preserve">la </w:t>
      </w:r>
      <w:r w:rsidR="00D352E8" w:rsidRPr="00932F5A">
        <w:rPr>
          <w:lang w:val="es-ES_tradnl"/>
        </w:rPr>
        <w:t>distribución</w:t>
      </w:r>
      <w:r w:rsidR="00936784" w:rsidRPr="00932F5A">
        <w:rPr>
          <w:lang w:val="es-ES_tradnl"/>
        </w:rPr>
        <w:t xml:space="preserve"> </w:t>
      </w:r>
      <w:r w:rsidR="000F62AA">
        <w:rPr>
          <w:lang w:val="es-ES_tradnl"/>
        </w:rPr>
        <w:t>geográfica</w:t>
      </w:r>
      <w:r w:rsidR="007245A0">
        <w:rPr>
          <w:lang w:val="es-ES_tradnl"/>
        </w:rPr>
        <w:t xml:space="preserve"> </w:t>
      </w:r>
      <w:r w:rsidR="003847D9" w:rsidRPr="00932F5A">
        <w:rPr>
          <w:lang w:val="es-ES_tradnl"/>
        </w:rPr>
        <w:t>(</w:t>
      </w:r>
      <w:r w:rsidR="00FF6784" w:rsidRPr="00932F5A">
        <w:rPr>
          <w:lang w:val="es-ES_tradnl"/>
        </w:rPr>
        <w:t>decisiones</w:t>
      </w:r>
      <w:r w:rsidR="00936784" w:rsidRPr="00932F5A">
        <w:rPr>
          <w:lang w:val="es-ES_tradnl"/>
        </w:rPr>
        <w:t xml:space="preserve"> </w:t>
      </w:r>
      <w:r w:rsidR="003847D9" w:rsidRPr="00932F5A">
        <w:rPr>
          <w:lang w:val="es-ES_tradnl"/>
        </w:rPr>
        <w:t>78/3</w:t>
      </w:r>
      <w:r w:rsidR="00936784" w:rsidRPr="00932F5A">
        <w:rPr>
          <w:lang w:val="es-ES_tradnl"/>
        </w:rPr>
        <w:t xml:space="preserve"> </w:t>
      </w:r>
      <w:r w:rsidR="003543D0" w:rsidRPr="00932F5A">
        <w:rPr>
          <w:lang w:val="es-ES_tradnl"/>
        </w:rPr>
        <w:t>y</w:t>
      </w:r>
      <w:r w:rsidR="00936784" w:rsidRPr="00932F5A">
        <w:rPr>
          <w:lang w:val="es-ES_tradnl"/>
        </w:rPr>
        <w:t xml:space="preserve"> </w:t>
      </w:r>
      <w:r w:rsidR="003847D9" w:rsidRPr="00932F5A">
        <w:rPr>
          <w:lang w:val="es-ES_tradnl"/>
        </w:rPr>
        <w:t>79/45).</w:t>
      </w:r>
      <w:r w:rsidR="006100BE" w:rsidRPr="00932F5A">
        <w:rPr>
          <w:rStyle w:val="FootnoteReference"/>
          <w:lang w:val="es-ES_tradnl"/>
        </w:rPr>
        <w:footnoteReference w:id="3"/>
      </w:r>
    </w:p>
    <w:p w14:paraId="2FE73445" w14:textId="14E398AA" w:rsidR="003847D9" w:rsidRPr="00932F5A" w:rsidRDefault="00A21901" w:rsidP="00437CD6">
      <w:pPr>
        <w:pStyle w:val="Heading1"/>
        <w:rPr>
          <w:lang w:val="es-ES_tradnl"/>
        </w:rPr>
      </w:pPr>
      <w:r>
        <w:rPr>
          <w:lang w:val="es-ES_tradnl"/>
        </w:rPr>
        <w:t>A</w:t>
      </w:r>
      <w:r w:rsidR="00936784" w:rsidRPr="00932F5A">
        <w:rPr>
          <w:lang w:val="es-ES_tradnl"/>
        </w:rPr>
        <w:t xml:space="preserve"> </w:t>
      </w:r>
      <w:r>
        <w:rPr>
          <w:lang w:val="es-ES_tradnl"/>
        </w:rPr>
        <w:t>la</w:t>
      </w:r>
      <w:r w:rsidR="00733665">
        <w:rPr>
          <w:lang w:val="es-ES_tradnl"/>
        </w:rPr>
        <w:t xml:space="preserve"> fecha de la</w:t>
      </w:r>
      <w:r>
        <w:rPr>
          <w:lang w:val="es-ES_tradnl"/>
        </w:rPr>
        <w:t xml:space="preserve"> </w:t>
      </w:r>
      <w:r w:rsidR="003847D9" w:rsidRPr="00932F5A">
        <w:rPr>
          <w:lang w:val="es-ES_tradnl"/>
        </w:rPr>
        <w:t>8</w:t>
      </w:r>
      <w:r w:rsidR="005E7D21" w:rsidRPr="00932F5A">
        <w:rPr>
          <w:lang w:val="es-ES_tradnl"/>
        </w:rPr>
        <w:t>2</w:t>
      </w:r>
      <w:r w:rsidR="005F33A5">
        <w:rPr>
          <w:lang w:val="es-ES_tradnl"/>
        </w:rPr>
        <w:t>ª reunión</w:t>
      </w:r>
      <w:r w:rsidR="00936784" w:rsidRPr="00932F5A">
        <w:rPr>
          <w:lang w:val="es-ES_tradnl"/>
        </w:rPr>
        <w:t xml:space="preserve"> </w:t>
      </w:r>
      <w:r>
        <w:rPr>
          <w:lang w:val="es-ES_tradnl"/>
        </w:rPr>
        <w:t xml:space="preserve">se habían aprobado </w:t>
      </w:r>
      <w:r w:rsidR="003543D0" w:rsidRPr="00932F5A">
        <w:rPr>
          <w:lang w:val="es-ES_tradnl"/>
        </w:rPr>
        <w:t>diez</w:t>
      </w:r>
      <w:r w:rsidR="00936784" w:rsidRPr="00932F5A">
        <w:rPr>
          <w:lang w:val="es-ES_tradnl"/>
        </w:rPr>
        <w:t xml:space="preserve"> </w:t>
      </w:r>
      <w:r w:rsidR="00BD76CA" w:rsidRPr="00932F5A">
        <w:rPr>
          <w:lang w:val="es-ES_tradnl"/>
        </w:rPr>
        <w:t>proyectos</w:t>
      </w:r>
      <w:r w:rsidR="00936784" w:rsidRPr="00932F5A">
        <w:rPr>
          <w:lang w:val="es-ES_tradnl"/>
        </w:rPr>
        <w:t xml:space="preserve"> </w:t>
      </w:r>
      <w:r w:rsidR="00BD76CA" w:rsidRPr="00932F5A">
        <w:rPr>
          <w:lang w:val="es-ES_tradnl"/>
        </w:rPr>
        <w:t>autónomos</w:t>
      </w:r>
      <w:r w:rsidR="00936784" w:rsidRPr="00932F5A">
        <w:rPr>
          <w:lang w:val="es-ES_tradnl"/>
        </w:rPr>
        <w:t xml:space="preserve"> </w:t>
      </w:r>
      <w:r w:rsidR="005F1C91" w:rsidRPr="00932F5A">
        <w:rPr>
          <w:lang w:val="es-ES_tradnl"/>
        </w:rPr>
        <w:t>de</w:t>
      </w:r>
      <w:r w:rsidR="00936784" w:rsidRPr="00932F5A">
        <w:rPr>
          <w:lang w:val="es-ES_tradnl"/>
        </w:rPr>
        <w:t xml:space="preserve"> </w:t>
      </w:r>
      <w:r w:rsidR="005F1C91" w:rsidRPr="00932F5A">
        <w:rPr>
          <w:lang w:val="es-ES_tradnl"/>
        </w:rPr>
        <w:t>inversión</w:t>
      </w:r>
      <w:r w:rsidR="006100BE" w:rsidRPr="00932F5A">
        <w:rPr>
          <w:rStyle w:val="FootnoteReference"/>
          <w:lang w:val="es-ES_tradnl"/>
        </w:rPr>
        <w:footnoteReference w:id="4"/>
      </w:r>
      <w:r w:rsidR="00936784" w:rsidRPr="00932F5A">
        <w:rPr>
          <w:lang w:val="es-ES_tradnl"/>
        </w:rPr>
        <w:t xml:space="preserve"> </w:t>
      </w:r>
      <w:r w:rsidR="005E7D21" w:rsidRPr="00932F5A">
        <w:rPr>
          <w:lang w:val="es-ES_tradnl"/>
        </w:rPr>
        <w:t>por</w:t>
      </w:r>
      <w:r w:rsidR="00936784" w:rsidRPr="00932F5A">
        <w:rPr>
          <w:lang w:val="es-ES_tradnl"/>
        </w:rPr>
        <w:t xml:space="preserve"> </w:t>
      </w:r>
      <w:r w:rsidR="005E7D21" w:rsidRPr="00932F5A">
        <w:rPr>
          <w:lang w:val="es-ES_tradnl"/>
        </w:rPr>
        <w:t>un</w:t>
      </w:r>
      <w:r w:rsidR="00936784" w:rsidRPr="00932F5A">
        <w:rPr>
          <w:lang w:val="es-ES_tradnl"/>
        </w:rPr>
        <w:t xml:space="preserve"> </w:t>
      </w:r>
      <w:r w:rsidR="005E7D21" w:rsidRPr="00932F5A">
        <w:rPr>
          <w:lang w:val="es-ES_tradnl"/>
        </w:rPr>
        <w:t>total</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847D9" w:rsidRPr="00932F5A">
        <w:rPr>
          <w:lang w:val="es-ES_tradnl"/>
        </w:rPr>
        <w:t>1</w:t>
      </w:r>
      <w:r w:rsidR="003543D0" w:rsidRPr="00932F5A">
        <w:rPr>
          <w:lang w:val="es-ES_tradnl"/>
        </w:rPr>
        <w:t>3.</w:t>
      </w:r>
      <w:r w:rsidR="003847D9" w:rsidRPr="00932F5A">
        <w:rPr>
          <w:lang w:val="es-ES_tradnl"/>
        </w:rPr>
        <w:t>39</w:t>
      </w:r>
      <w:r w:rsidR="00D352E8" w:rsidRPr="00932F5A">
        <w:rPr>
          <w:lang w:val="es-ES_tradnl"/>
        </w:rPr>
        <w:t>7.</w:t>
      </w:r>
      <w:r w:rsidR="003847D9" w:rsidRPr="00932F5A">
        <w:rPr>
          <w:lang w:val="es-ES_tradnl"/>
        </w:rPr>
        <w:t>249</w:t>
      </w:r>
      <w:r w:rsidR="00936784" w:rsidRPr="00932F5A">
        <w:rPr>
          <w:lang w:val="es-ES_tradnl"/>
        </w:rPr>
        <w:t xml:space="preserve"> </w:t>
      </w:r>
      <w:r w:rsidR="008B5029" w:rsidRPr="008B5029">
        <w:rPr>
          <w:lang w:val="es-ES_tradnl"/>
        </w:rPr>
        <w:t xml:space="preserve">$EUA </w:t>
      </w:r>
      <w:r w:rsidR="003847D9" w:rsidRPr="00932F5A">
        <w:rPr>
          <w:lang w:val="es-ES_tradnl"/>
        </w:rPr>
        <w:t>(</w:t>
      </w:r>
      <w:r w:rsidR="005E7D21" w:rsidRPr="00932F5A">
        <w:rPr>
          <w:lang w:val="es-ES_tradnl"/>
        </w:rPr>
        <w:t>más</w:t>
      </w:r>
      <w:r w:rsidR="00936784" w:rsidRPr="00932F5A">
        <w:rPr>
          <w:lang w:val="es-ES_tradnl"/>
        </w:rPr>
        <w:t xml:space="preserve"> </w:t>
      </w:r>
      <w:r w:rsidR="00FF6784" w:rsidRPr="00932F5A">
        <w:rPr>
          <w:lang w:val="es-ES_tradnl"/>
        </w:rPr>
        <w:t>gastos</w:t>
      </w:r>
      <w:r w:rsidR="00936784" w:rsidRPr="00932F5A">
        <w:rPr>
          <w:lang w:val="es-ES_tradnl"/>
        </w:rPr>
        <w:t xml:space="preserve"> </w:t>
      </w:r>
      <w:r w:rsidR="00FF6784" w:rsidRPr="00932F5A">
        <w:rPr>
          <w:lang w:val="es-ES_tradnl"/>
        </w:rPr>
        <w:t>de</w:t>
      </w:r>
      <w:r w:rsidR="00936784" w:rsidRPr="00932F5A">
        <w:rPr>
          <w:lang w:val="es-ES_tradnl"/>
        </w:rPr>
        <w:t xml:space="preserve"> </w:t>
      </w:r>
      <w:r w:rsidR="00FF6784" w:rsidRPr="00932F5A">
        <w:rPr>
          <w:lang w:val="es-ES_tradnl"/>
        </w:rPr>
        <w:t>apoyo</w:t>
      </w:r>
      <w:r w:rsidR="003847D9" w:rsidRPr="00932F5A">
        <w:rPr>
          <w:lang w:val="es-ES_tradnl"/>
        </w:rPr>
        <w:t>)</w:t>
      </w:r>
      <w:r w:rsidR="00936784" w:rsidRPr="00932F5A">
        <w:rPr>
          <w:lang w:val="es-ES_tradnl"/>
        </w:rPr>
        <w:t xml:space="preserve"> </w:t>
      </w:r>
      <w:r w:rsidR="00D114FD">
        <w:rPr>
          <w:lang w:val="es-ES_tradnl"/>
        </w:rPr>
        <w:t>destinados a</w:t>
      </w:r>
      <w:r w:rsidR="00936784" w:rsidRPr="00932F5A">
        <w:rPr>
          <w:lang w:val="es-ES_tradnl"/>
        </w:rPr>
        <w:t xml:space="preserve"> </w:t>
      </w:r>
      <w:r w:rsidR="002C4566">
        <w:rPr>
          <w:lang w:val="es-ES_tradnl"/>
        </w:rPr>
        <w:t>reducir</w:t>
      </w:r>
      <w:r w:rsidR="00936784" w:rsidRPr="00932F5A">
        <w:rPr>
          <w:lang w:val="es-ES_tradnl"/>
        </w:rPr>
        <w:t xml:space="preserve"> </w:t>
      </w:r>
      <w:r w:rsidR="003543D0" w:rsidRPr="00932F5A">
        <w:rPr>
          <w:lang w:val="es-ES_tradnl"/>
        </w:rPr>
        <w:t>1.</w:t>
      </w:r>
      <w:r w:rsidR="003847D9" w:rsidRPr="00932F5A">
        <w:rPr>
          <w:lang w:val="es-ES_tradnl"/>
        </w:rPr>
        <w:t>110</w:t>
      </w:r>
      <w:r w:rsidR="00936784" w:rsidRPr="00932F5A">
        <w:rPr>
          <w:lang w:val="es-ES_tradnl"/>
        </w:rPr>
        <w:t xml:space="preserve"> </w:t>
      </w:r>
      <w:r w:rsidR="003543D0" w:rsidRPr="00932F5A">
        <w:rPr>
          <w:lang w:val="es-ES_tradnl"/>
        </w:rPr>
        <w:t>tm</w:t>
      </w:r>
      <w:r w:rsidR="00936784" w:rsidRPr="00932F5A">
        <w:rPr>
          <w:lang w:val="es-ES_tradnl"/>
        </w:rPr>
        <w:t xml:space="preserve"> </w:t>
      </w:r>
      <w:r w:rsidR="005C556B" w:rsidRPr="005C556B">
        <w:rPr>
          <w:lang w:val="es-ES_tradnl"/>
        </w:rPr>
        <w:t xml:space="preserve">de HFC </w:t>
      </w:r>
      <w:r w:rsidR="00F07213">
        <w:rPr>
          <w:lang w:val="es-ES_tradnl"/>
        </w:rPr>
        <w:t>(1,</w:t>
      </w:r>
      <w:r w:rsidR="003847D9" w:rsidRPr="00932F5A">
        <w:rPr>
          <w:lang w:val="es-ES_tradnl"/>
        </w:rPr>
        <w:t>63</w:t>
      </w:r>
      <w:r w:rsidR="00936784" w:rsidRPr="00932F5A">
        <w:rPr>
          <w:lang w:val="es-ES_tradnl"/>
        </w:rPr>
        <w:t xml:space="preserve"> </w:t>
      </w:r>
      <w:r w:rsidR="005E7D21" w:rsidRPr="00932F5A">
        <w:rPr>
          <w:lang w:val="es-ES_tradnl"/>
        </w:rPr>
        <w:t>millones</w:t>
      </w:r>
      <w:r w:rsidR="00936784" w:rsidRPr="00932F5A">
        <w:rPr>
          <w:lang w:val="es-ES_tradnl"/>
        </w:rPr>
        <w:t xml:space="preserve"> </w:t>
      </w:r>
      <w:r w:rsidR="005E7D21" w:rsidRPr="00932F5A">
        <w:rPr>
          <w:lang w:val="es-ES_tradnl"/>
        </w:rPr>
        <w:t>de</w:t>
      </w:r>
      <w:r w:rsidR="00936784" w:rsidRPr="00932F5A">
        <w:rPr>
          <w:lang w:val="es-ES_tradnl"/>
        </w:rPr>
        <w:t xml:space="preserve"> </w:t>
      </w:r>
      <w:r w:rsidR="003543D0" w:rsidRPr="00932F5A">
        <w:rPr>
          <w:lang w:val="es-ES_tradnl"/>
        </w:rPr>
        <w:t>tm</w:t>
      </w:r>
      <w:r w:rsidR="00936784" w:rsidRPr="00932F5A">
        <w:rPr>
          <w:lang w:val="es-ES_tradnl"/>
        </w:rPr>
        <w:t xml:space="preserve"> </w:t>
      </w:r>
      <w:r w:rsidR="006804DE">
        <w:rPr>
          <w:lang w:val="es-ES_tradnl"/>
        </w:rPr>
        <w:t xml:space="preserve">de </w:t>
      </w:r>
      <w:r w:rsidR="003847D9" w:rsidRPr="00932F5A">
        <w:rPr>
          <w:lang w:val="es-ES_tradnl"/>
        </w:rPr>
        <w:t>CO</w:t>
      </w:r>
      <w:r w:rsidR="003847D9" w:rsidRPr="00932F5A">
        <w:rPr>
          <w:vertAlign w:val="subscript"/>
          <w:lang w:val="es-ES_tradnl"/>
        </w:rPr>
        <w:t>2</w:t>
      </w:r>
      <w:r w:rsidR="006E160D">
        <w:rPr>
          <w:lang w:val="es-ES_tradnl"/>
        </w:rPr>
        <w:t xml:space="preserve"> </w:t>
      </w:r>
      <w:r w:rsidR="003847D9" w:rsidRPr="00932F5A">
        <w:rPr>
          <w:lang w:val="es-ES_tradnl"/>
        </w:rPr>
        <w:t>eq</w:t>
      </w:r>
      <w:r w:rsidR="006E160D">
        <w:rPr>
          <w:lang w:val="es-ES_tradnl"/>
        </w:rPr>
        <w:t>uivalente</w:t>
      </w:r>
      <w:r w:rsidR="003847D9" w:rsidRPr="00932F5A">
        <w:rPr>
          <w:lang w:val="es-ES_tradnl"/>
        </w:rPr>
        <w:t>)</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027A12">
        <w:rPr>
          <w:lang w:val="es-ES_tradnl"/>
        </w:rPr>
        <w:t xml:space="preserve">los sectores </w:t>
      </w:r>
      <w:r w:rsidR="00515AF1" w:rsidRPr="00515AF1">
        <w:rPr>
          <w:lang w:val="es-ES_tradnl"/>
        </w:rPr>
        <w:t xml:space="preserve">manufactureros </w:t>
      </w:r>
      <w:r w:rsidR="00027A12">
        <w:rPr>
          <w:lang w:val="es-ES_tradnl"/>
        </w:rPr>
        <w:t xml:space="preserve">de </w:t>
      </w:r>
      <w:r w:rsidR="00A66CB0" w:rsidRPr="00932F5A">
        <w:rPr>
          <w:lang w:val="es-ES_tradnl"/>
        </w:rPr>
        <w:t>aire</w:t>
      </w:r>
      <w:r w:rsidR="00936784" w:rsidRPr="00932F5A">
        <w:rPr>
          <w:lang w:val="es-ES_tradnl"/>
        </w:rPr>
        <w:t xml:space="preserve"> </w:t>
      </w:r>
      <w:r w:rsidR="00A66CB0" w:rsidRPr="00932F5A">
        <w:rPr>
          <w:lang w:val="es-ES_tradnl"/>
        </w:rPr>
        <w:t>acondicionado</w:t>
      </w:r>
      <w:r w:rsidR="006F40C8">
        <w:rPr>
          <w:lang w:val="es-ES_tradnl"/>
        </w:rPr>
        <w:t xml:space="preserve"> </w:t>
      </w:r>
      <w:r w:rsidR="003543D0" w:rsidRPr="00932F5A">
        <w:rPr>
          <w:lang w:val="es-ES_tradnl"/>
        </w:rPr>
        <w:t>y</w:t>
      </w:r>
      <w:r w:rsidR="00936784" w:rsidRPr="00932F5A">
        <w:rPr>
          <w:lang w:val="es-ES_tradnl"/>
        </w:rPr>
        <w:t xml:space="preserve"> </w:t>
      </w:r>
      <w:r w:rsidR="00EA4DA0" w:rsidRPr="00932F5A">
        <w:rPr>
          <w:lang w:val="es-ES_tradnl"/>
        </w:rPr>
        <w:t>refrigeración</w:t>
      </w:r>
      <w:r w:rsidR="00936784" w:rsidRPr="00932F5A">
        <w:rPr>
          <w:lang w:val="es-ES_tradnl"/>
        </w:rPr>
        <w:t xml:space="preserve"> </w:t>
      </w:r>
      <w:r w:rsidR="006F40C8" w:rsidRPr="006F40C8">
        <w:rPr>
          <w:lang w:val="es-ES_tradnl"/>
        </w:rPr>
        <w:t xml:space="preserve">residencial </w:t>
      </w:r>
      <w:r w:rsidR="006E2013">
        <w:rPr>
          <w:lang w:val="es-ES_tradnl"/>
        </w:rPr>
        <w:t xml:space="preserve">y </w:t>
      </w:r>
      <w:r w:rsidR="00EA4DA0" w:rsidRPr="00932F5A">
        <w:rPr>
          <w:lang w:val="es-ES_tradnl"/>
        </w:rPr>
        <w:t>comercial</w:t>
      </w:r>
      <w:r w:rsidR="00936784" w:rsidRPr="00932F5A">
        <w:rPr>
          <w:lang w:val="es-ES_tradnl"/>
        </w:rPr>
        <w:t xml:space="preserve"> </w:t>
      </w:r>
      <w:r w:rsidR="00CF11B1">
        <w:rPr>
          <w:lang w:val="es-ES_tradnl"/>
        </w:rPr>
        <w:t xml:space="preserve">de </w:t>
      </w:r>
      <w:r w:rsidR="003543D0" w:rsidRPr="00932F5A">
        <w:rPr>
          <w:lang w:val="es-ES_tradnl"/>
        </w:rPr>
        <w:t>nueve</w:t>
      </w:r>
      <w:r w:rsidR="00936784" w:rsidRPr="00932F5A">
        <w:rPr>
          <w:lang w:val="es-ES_tradnl"/>
        </w:rPr>
        <w:t xml:space="preserve"> </w:t>
      </w:r>
      <w:r w:rsidR="00FF6784" w:rsidRPr="00932F5A">
        <w:rPr>
          <w:lang w:val="es-ES_tradnl"/>
        </w:rPr>
        <w:t>países</w:t>
      </w:r>
      <w:r w:rsidR="003847D9" w:rsidRPr="00932F5A">
        <w:rPr>
          <w:lang w:val="es-ES_tradnl"/>
        </w:rPr>
        <w:t>.</w:t>
      </w:r>
      <w:r w:rsidR="00936784" w:rsidRPr="00932F5A">
        <w:rPr>
          <w:lang w:val="es-ES_tradnl"/>
        </w:rPr>
        <w:t xml:space="preserve"> </w:t>
      </w:r>
      <w:r w:rsidR="00D352E8" w:rsidRPr="00932F5A">
        <w:rPr>
          <w:lang w:val="es-ES_tradnl"/>
        </w:rPr>
        <w:t>El</w:t>
      </w:r>
      <w:r w:rsidR="00936784" w:rsidRPr="00932F5A">
        <w:rPr>
          <w:lang w:val="es-ES_tradnl"/>
        </w:rPr>
        <w:t xml:space="preserve"> </w:t>
      </w:r>
      <w:r w:rsidR="00D352E8" w:rsidRPr="00932F5A">
        <w:rPr>
          <w:lang w:val="es-ES_tradnl"/>
        </w:rPr>
        <w:t>Comité</w:t>
      </w:r>
      <w:r w:rsidR="00936784" w:rsidRPr="00932F5A">
        <w:rPr>
          <w:lang w:val="es-ES_tradnl"/>
        </w:rPr>
        <w:t xml:space="preserve"> </w:t>
      </w:r>
      <w:r w:rsidR="003543D0" w:rsidRPr="00932F5A">
        <w:rPr>
          <w:lang w:val="es-ES_tradnl"/>
        </w:rPr>
        <w:t>Ejecutivo</w:t>
      </w:r>
      <w:r w:rsidR="00936784" w:rsidRPr="00932F5A">
        <w:rPr>
          <w:lang w:val="es-ES_tradnl"/>
        </w:rPr>
        <w:t xml:space="preserve"> </w:t>
      </w:r>
      <w:r w:rsidR="005E7D21" w:rsidRPr="00932F5A">
        <w:rPr>
          <w:lang w:val="es-ES_tradnl"/>
        </w:rPr>
        <w:t>podrá</w:t>
      </w:r>
      <w:r w:rsidR="00936784" w:rsidRPr="00932F5A">
        <w:rPr>
          <w:lang w:val="es-ES_tradnl"/>
        </w:rPr>
        <w:t xml:space="preserve"> estimar </w:t>
      </w:r>
      <w:r w:rsidR="0027720C">
        <w:rPr>
          <w:lang w:val="es-ES_tradnl"/>
        </w:rPr>
        <w:t xml:space="preserve">oportuno </w:t>
      </w:r>
      <w:r w:rsidR="004059FE">
        <w:rPr>
          <w:lang w:val="es-ES_tradnl"/>
        </w:rPr>
        <w:t>considerar</w:t>
      </w:r>
      <w:r w:rsidR="00936784" w:rsidRPr="00932F5A">
        <w:rPr>
          <w:lang w:val="es-ES_tradnl"/>
        </w:rPr>
        <w:t xml:space="preserve"> </w:t>
      </w:r>
      <w:r w:rsidR="00892486">
        <w:rPr>
          <w:lang w:val="es-ES_tradnl"/>
        </w:rPr>
        <w:t xml:space="preserve">la fijación de </w:t>
      </w:r>
      <w:r w:rsidR="00236FFD">
        <w:rPr>
          <w:lang w:val="es-ES_tradnl"/>
        </w:rPr>
        <w:t>límites</w:t>
      </w:r>
      <w:r w:rsidR="00726447">
        <w:rPr>
          <w:lang w:val="es-ES_tradnl"/>
        </w:rPr>
        <w:t xml:space="preserve"> costo-beneficio</w:t>
      </w:r>
      <w:r w:rsidR="00936784" w:rsidRPr="00932F5A">
        <w:rPr>
          <w:lang w:val="es-ES_tradnl"/>
        </w:rPr>
        <w:t xml:space="preserve"> </w:t>
      </w:r>
      <w:r w:rsidR="00592E63" w:rsidRPr="00932F5A">
        <w:rPr>
          <w:lang w:val="es-ES_tradnl"/>
        </w:rPr>
        <w:t>una vez</w:t>
      </w:r>
      <w:r w:rsidR="00936784" w:rsidRPr="00932F5A">
        <w:rPr>
          <w:lang w:val="es-ES_tradnl"/>
        </w:rPr>
        <w:t xml:space="preserve"> </w:t>
      </w:r>
      <w:r w:rsidR="00B33937">
        <w:rPr>
          <w:lang w:val="es-ES_tradnl"/>
        </w:rPr>
        <w:t>que se conozcan</w:t>
      </w:r>
      <w:r w:rsidR="00E25CF5">
        <w:rPr>
          <w:lang w:val="es-ES_tradnl"/>
        </w:rPr>
        <w:t xml:space="preserve"> </w:t>
      </w:r>
      <w:r w:rsidR="00BD76CA" w:rsidRPr="00932F5A">
        <w:rPr>
          <w:lang w:val="es-ES_tradnl"/>
        </w:rPr>
        <w:t>los</w:t>
      </w:r>
      <w:r w:rsidR="00936784" w:rsidRPr="00932F5A">
        <w:rPr>
          <w:lang w:val="es-ES_tradnl"/>
        </w:rPr>
        <w:t xml:space="preserve"> </w:t>
      </w:r>
      <w:r w:rsidR="00BD76CA" w:rsidRPr="00932F5A">
        <w:rPr>
          <w:lang w:val="es-ES_tradnl"/>
        </w:rPr>
        <w:t>resultados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DF0F7D">
        <w:rPr>
          <w:lang w:val="es-ES_tradnl"/>
        </w:rPr>
        <w:t>dichos</w:t>
      </w:r>
      <w:r w:rsidR="00F14853">
        <w:rPr>
          <w:lang w:val="es-ES_tradnl"/>
        </w:rPr>
        <w:t xml:space="preserve"> </w:t>
      </w:r>
      <w:r w:rsidR="00D352E8" w:rsidRPr="00932F5A">
        <w:rPr>
          <w:lang w:val="es-ES_tradnl"/>
        </w:rPr>
        <w:t>proyectos</w:t>
      </w:r>
      <w:r w:rsidR="003847D9" w:rsidRPr="00932F5A">
        <w:rPr>
          <w:lang w:val="es-ES_tradnl"/>
        </w:rPr>
        <w:t>.</w:t>
      </w:r>
    </w:p>
    <w:p w14:paraId="53CD0E50" w14:textId="3C23CB28" w:rsidR="003847D9" w:rsidRPr="00932F5A" w:rsidRDefault="00EB43C3" w:rsidP="003847D9">
      <w:pPr>
        <w:tabs>
          <w:tab w:val="left" w:pos="8280"/>
        </w:tabs>
        <w:rPr>
          <w:u w:val="single"/>
          <w:lang w:val="es-ES_tradnl"/>
        </w:rPr>
      </w:pPr>
      <w:r w:rsidRPr="00932F5A">
        <w:rPr>
          <w:u w:val="single"/>
          <w:lang w:val="es-ES_tradnl"/>
        </w:rPr>
        <w:t>Sobrecostos</w:t>
      </w:r>
      <w:r w:rsidR="00936784" w:rsidRPr="00932F5A">
        <w:rPr>
          <w:u w:val="single"/>
          <w:lang w:val="es-ES_tradnl"/>
        </w:rPr>
        <w:t xml:space="preserve"> </w:t>
      </w:r>
      <w:r w:rsidRPr="00932F5A">
        <w:rPr>
          <w:u w:val="single"/>
          <w:lang w:val="es-ES_tradnl"/>
        </w:rPr>
        <w:t>admisibles</w:t>
      </w:r>
      <w:r w:rsidR="00936784" w:rsidRPr="00932F5A">
        <w:rPr>
          <w:u w:val="single"/>
          <w:lang w:val="es-ES_tradnl"/>
        </w:rPr>
        <w:t xml:space="preserve"> </w:t>
      </w:r>
      <w:r w:rsidR="00BD76CA" w:rsidRPr="00932F5A">
        <w:rPr>
          <w:u w:val="single"/>
          <w:lang w:val="es-ES_tradnl"/>
        </w:rPr>
        <w:t>para</w:t>
      </w:r>
      <w:r w:rsidR="00936784" w:rsidRPr="00932F5A">
        <w:rPr>
          <w:u w:val="single"/>
          <w:lang w:val="es-ES_tradnl"/>
        </w:rPr>
        <w:t xml:space="preserve"> </w:t>
      </w:r>
      <w:r w:rsidR="00BD76CA" w:rsidRPr="00932F5A">
        <w:rPr>
          <w:u w:val="single"/>
          <w:lang w:val="es-ES_tradnl"/>
        </w:rPr>
        <w:t>el</w:t>
      </w:r>
      <w:r w:rsidR="00936784" w:rsidRPr="00932F5A">
        <w:rPr>
          <w:u w:val="single"/>
          <w:lang w:val="es-ES_tradnl"/>
        </w:rPr>
        <w:t xml:space="preserve"> </w:t>
      </w:r>
      <w:r w:rsidR="00BD76CA" w:rsidRPr="00932F5A">
        <w:rPr>
          <w:u w:val="single"/>
          <w:lang w:val="es-ES_tradnl"/>
        </w:rPr>
        <w:t>sector</w:t>
      </w:r>
      <w:r w:rsidR="00936784" w:rsidRPr="00932F5A">
        <w:rPr>
          <w:u w:val="single"/>
          <w:lang w:val="es-ES_tradnl"/>
        </w:rPr>
        <w:t xml:space="preserve"> </w:t>
      </w:r>
      <w:r w:rsidR="003543D0" w:rsidRPr="00932F5A">
        <w:rPr>
          <w:u w:val="single"/>
          <w:lang w:val="es-ES_tradnl"/>
        </w:rPr>
        <w:t>servicio</w:t>
      </w:r>
      <w:r w:rsidR="00936784" w:rsidRPr="00932F5A">
        <w:rPr>
          <w:u w:val="single"/>
          <w:lang w:val="es-ES_tradnl"/>
        </w:rPr>
        <w:t xml:space="preserve"> </w:t>
      </w:r>
      <w:r w:rsidR="003543D0" w:rsidRPr="00932F5A">
        <w:rPr>
          <w:u w:val="single"/>
          <w:lang w:val="es-ES_tradnl"/>
        </w:rPr>
        <w:t>técnico</w:t>
      </w:r>
      <w:r w:rsidR="00936784" w:rsidRPr="00932F5A">
        <w:rPr>
          <w:u w:val="single"/>
          <w:lang w:val="es-ES_tradnl"/>
        </w:rPr>
        <w:t xml:space="preserve"> </w:t>
      </w:r>
      <w:r w:rsidR="003543D0" w:rsidRPr="00932F5A">
        <w:rPr>
          <w:u w:val="single"/>
          <w:lang w:val="es-ES_tradnl"/>
        </w:rPr>
        <w:t>de</w:t>
      </w:r>
      <w:r w:rsidR="00936784" w:rsidRPr="00932F5A">
        <w:rPr>
          <w:u w:val="single"/>
          <w:lang w:val="es-ES_tradnl"/>
        </w:rPr>
        <w:t xml:space="preserve"> </w:t>
      </w:r>
      <w:r w:rsidR="003543D0" w:rsidRPr="00932F5A">
        <w:rPr>
          <w:u w:val="single"/>
          <w:lang w:val="es-ES_tradnl"/>
        </w:rPr>
        <w:t>equipos</w:t>
      </w:r>
      <w:r w:rsidR="00936784" w:rsidRPr="00932F5A">
        <w:rPr>
          <w:u w:val="single"/>
          <w:lang w:val="es-ES_tradnl"/>
        </w:rPr>
        <w:t xml:space="preserve"> </w:t>
      </w:r>
      <w:r w:rsidR="003543D0" w:rsidRPr="00932F5A">
        <w:rPr>
          <w:u w:val="single"/>
          <w:lang w:val="es-ES_tradnl"/>
        </w:rPr>
        <w:t>de</w:t>
      </w:r>
      <w:r w:rsidR="00936784" w:rsidRPr="00932F5A">
        <w:rPr>
          <w:u w:val="single"/>
          <w:lang w:val="es-ES_tradnl"/>
        </w:rPr>
        <w:t xml:space="preserve"> </w:t>
      </w:r>
      <w:r w:rsidR="003543D0" w:rsidRPr="00932F5A">
        <w:rPr>
          <w:u w:val="single"/>
          <w:lang w:val="es-ES_tradnl"/>
        </w:rPr>
        <w:t>refrigeración</w:t>
      </w:r>
    </w:p>
    <w:p w14:paraId="7CAAE555" w14:textId="77777777" w:rsidR="00DD2CF8" w:rsidRPr="00932F5A" w:rsidRDefault="00DD2CF8" w:rsidP="003847D9">
      <w:pPr>
        <w:tabs>
          <w:tab w:val="left" w:pos="8280"/>
        </w:tabs>
        <w:rPr>
          <w:u w:val="single"/>
          <w:lang w:val="es-ES_tradnl"/>
        </w:rPr>
      </w:pPr>
    </w:p>
    <w:p w14:paraId="1C8B9E7F" w14:textId="383362C9" w:rsidR="00FF6784" w:rsidRPr="00932F5A" w:rsidRDefault="00932F5A" w:rsidP="00437CD6">
      <w:pPr>
        <w:pStyle w:val="Heading1"/>
        <w:rPr>
          <w:lang w:val="es-ES_tradnl"/>
        </w:rPr>
      </w:pPr>
      <w:r>
        <w:rPr>
          <w:lang w:val="es-ES_tradnl"/>
        </w:rPr>
        <w:t xml:space="preserve">En la </w:t>
      </w:r>
      <w:r w:rsidR="003847D9" w:rsidRPr="00932F5A">
        <w:rPr>
          <w:lang w:val="es-ES_tradnl"/>
        </w:rPr>
        <w:t>8</w:t>
      </w:r>
      <w:r w:rsidR="005E7D21" w:rsidRPr="00932F5A">
        <w:rPr>
          <w:lang w:val="es-ES_tradnl"/>
        </w:rPr>
        <w:t>0</w:t>
      </w:r>
      <w:r w:rsidR="005F33A5">
        <w:rPr>
          <w:lang w:val="es-ES_tradnl"/>
        </w:rPr>
        <w:t>ª reunión</w:t>
      </w:r>
      <w:r w:rsidR="00936784" w:rsidRPr="00932F5A">
        <w:rPr>
          <w:lang w:val="es-ES_tradnl"/>
        </w:rPr>
        <w:t xml:space="preserve"> </w:t>
      </w:r>
      <w:r w:rsidR="00FF2908">
        <w:rPr>
          <w:lang w:val="es-ES_tradnl"/>
        </w:rPr>
        <w:t xml:space="preserve">se solicitó a </w:t>
      </w:r>
      <w:r w:rsidR="00D352E8" w:rsidRPr="00932F5A">
        <w:rPr>
          <w:lang w:val="es-ES_tradnl"/>
        </w:rPr>
        <w:t>la</w:t>
      </w:r>
      <w:r w:rsidR="00936784" w:rsidRPr="00932F5A">
        <w:rPr>
          <w:lang w:val="es-ES_tradnl"/>
        </w:rPr>
        <w:t xml:space="preserve"> </w:t>
      </w:r>
      <w:r w:rsidR="00D352E8" w:rsidRPr="00932F5A">
        <w:rPr>
          <w:lang w:val="es-ES_tradnl"/>
        </w:rPr>
        <w:t>Secretaría</w:t>
      </w:r>
      <w:r w:rsidR="00936784" w:rsidRPr="00932F5A">
        <w:rPr>
          <w:lang w:val="es-ES_tradnl"/>
        </w:rPr>
        <w:t xml:space="preserve"> </w:t>
      </w:r>
      <w:r w:rsidR="008F4C51">
        <w:rPr>
          <w:lang w:val="es-ES_tradnl"/>
        </w:rPr>
        <w:t>elaborar</w:t>
      </w:r>
      <w:r w:rsidR="003847D9" w:rsidRPr="00932F5A">
        <w:rPr>
          <w:lang w:val="es-ES_tradnl"/>
        </w:rPr>
        <w:t>,</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C42E43">
        <w:rPr>
          <w:lang w:val="es-ES_tradnl"/>
        </w:rPr>
        <w:t>colaboración</w:t>
      </w:r>
      <w:r w:rsidR="00936784" w:rsidRPr="00932F5A">
        <w:rPr>
          <w:lang w:val="es-ES_tradnl"/>
        </w:rPr>
        <w:t xml:space="preserve"> </w:t>
      </w:r>
      <w:r w:rsidR="00D352E8" w:rsidRPr="00932F5A">
        <w:rPr>
          <w:lang w:val="es-ES_tradnl"/>
        </w:rPr>
        <w:t>con</w:t>
      </w:r>
      <w:r w:rsidR="00936784" w:rsidRPr="00932F5A">
        <w:rPr>
          <w:lang w:val="es-ES_tradnl"/>
        </w:rPr>
        <w:t xml:space="preserve"> </w:t>
      </w:r>
      <w:r w:rsidR="00197A00" w:rsidRPr="00932F5A">
        <w:rPr>
          <w:lang w:val="es-ES_tradnl"/>
        </w:rPr>
        <w:t>los</w:t>
      </w:r>
      <w:r w:rsidR="00936784" w:rsidRPr="00932F5A">
        <w:rPr>
          <w:lang w:val="es-ES_tradnl"/>
        </w:rPr>
        <w:t xml:space="preserve"> </w:t>
      </w:r>
      <w:r w:rsidR="00197A00" w:rsidRPr="00932F5A">
        <w:rPr>
          <w:lang w:val="es-ES_tradnl"/>
        </w:rPr>
        <w:t>organismos</w:t>
      </w:r>
      <w:r w:rsidR="00936784" w:rsidRPr="00932F5A">
        <w:rPr>
          <w:lang w:val="es-ES_tradnl"/>
        </w:rPr>
        <w:t xml:space="preserve"> </w:t>
      </w:r>
      <w:r w:rsidR="00197A00" w:rsidRPr="00932F5A">
        <w:rPr>
          <w:lang w:val="es-ES_tradnl"/>
        </w:rPr>
        <w:t>bilaterales</w:t>
      </w:r>
      <w:r w:rsidR="00936784" w:rsidRPr="00932F5A">
        <w:rPr>
          <w:lang w:val="es-ES_tradnl"/>
        </w:rPr>
        <w:t xml:space="preserve"> </w:t>
      </w:r>
      <w:r w:rsidR="00197A00" w:rsidRPr="00932F5A">
        <w:rPr>
          <w:lang w:val="es-ES_tradnl"/>
        </w:rPr>
        <w:t>y</w:t>
      </w:r>
      <w:r w:rsidR="00936784" w:rsidRPr="00932F5A">
        <w:rPr>
          <w:lang w:val="es-ES_tradnl"/>
        </w:rPr>
        <w:t xml:space="preserve"> </w:t>
      </w:r>
      <w:r w:rsidR="00197A00" w:rsidRPr="00932F5A">
        <w:rPr>
          <w:lang w:val="es-ES_tradnl"/>
        </w:rPr>
        <w:t>de</w:t>
      </w:r>
      <w:r w:rsidR="00936784" w:rsidRPr="00932F5A">
        <w:rPr>
          <w:lang w:val="es-ES_tradnl"/>
        </w:rPr>
        <w:t xml:space="preserve"> </w:t>
      </w:r>
      <w:r w:rsidR="00197A00" w:rsidRPr="00932F5A">
        <w:rPr>
          <w:lang w:val="es-ES_tradnl"/>
        </w:rPr>
        <w:t>ejecución</w:t>
      </w:r>
      <w:r w:rsidR="003847D9" w:rsidRPr="00932F5A">
        <w:rPr>
          <w:lang w:val="es-ES_tradnl"/>
        </w:rPr>
        <w:t>,</w:t>
      </w:r>
      <w:r w:rsidR="00936784" w:rsidRPr="00932F5A">
        <w:rPr>
          <w:lang w:val="es-ES_tradnl"/>
        </w:rPr>
        <w:t xml:space="preserve"> </w:t>
      </w:r>
      <w:r w:rsidR="001E7333">
        <w:rPr>
          <w:lang w:val="es-ES_tradnl"/>
        </w:rPr>
        <w:t xml:space="preserve">un </w:t>
      </w:r>
      <w:r w:rsidR="00C530A5">
        <w:rPr>
          <w:lang w:val="es-ES_tradnl"/>
        </w:rPr>
        <w:t>documento preliminar</w:t>
      </w:r>
      <w:r w:rsidR="00936784" w:rsidRPr="00932F5A">
        <w:rPr>
          <w:lang w:val="es-ES_tradnl"/>
        </w:rPr>
        <w:t xml:space="preserve"> </w:t>
      </w:r>
      <w:r w:rsidR="00A8183C">
        <w:rPr>
          <w:lang w:val="es-ES_tradnl"/>
        </w:rPr>
        <w:t xml:space="preserve">sobre todos los </w:t>
      </w:r>
      <w:r w:rsidR="008B2E22" w:rsidRPr="00932F5A">
        <w:rPr>
          <w:lang w:val="es-ES_tradnl"/>
        </w:rPr>
        <w:t>aspecto</w:t>
      </w:r>
      <w:r w:rsidR="003847D9" w:rsidRPr="00932F5A">
        <w:rPr>
          <w:lang w:val="es-ES_tradnl"/>
        </w:rPr>
        <w:t>s</w:t>
      </w:r>
      <w:r w:rsidR="00936784" w:rsidRPr="00932F5A">
        <w:rPr>
          <w:lang w:val="es-ES_tradnl"/>
        </w:rPr>
        <w:t xml:space="preserve"> </w:t>
      </w:r>
      <w:r w:rsidR="00A8183C">
        <w:rPr>
          <w:lang w:val="es-ES_tradnl"/>
        </w:rPr>
        <w:t xml:space="preserve">relativos </w:t>
      </w:r>
      <w:r w:rsidR="00480DAB" w:rsidRPr="00932F5A">
        <w:rPr>
          <w:lang w:val="es-ES_tradnl"/>
        </w:rPr>
        <w:t>al</w:t>
      </w:r>
      <w:r w:rsidR="00936784" w:rsidRPr="00932F5A">
        <w:rPr>
          <w:lang w:val="es-ES_tradnl"/>
        </w:rPr>
        <w:t xml:space="preserve"> </w:t>
      </w:r>
      <w:r w:rsidR="00197A00" w:rsidRPr="00932F5A">
        <w:rPr>
          <w:lang w:val="es-ES_tradnl"/>
        </w:rPr>
        <w:t>sector</w:t>
      </w:r>
      <w:r w:rsidR="00936784" w:rsidRPr="00932F5A">
        <w:rPr>
          <w:lang w:val="es-ES_tradnl"/>
        </w:rPr>
        <w:t xml:space="preserve"> </w:t>
      </w:r>
      <w:r w:rsidR="003543D0" w:rsidRPr="00932F5A">
        <w:rPr>
          <w:lang w:val="es-ES_tradnl"/>
        </w:rPr>
        <w:t>servicio</w:t>
      </w:r>
      <w:r w:rsidR="00936784" w:rsidRPr="00932F5A">
        <w:rPr>
          <w:lang w:val="es-ES_tradnl"/>
        </w:rPr>
        <w:t xml:space="preserve"> </w:t>
      </w:r>
      <w:r w:rsidR="003543D0" w:rsidRPr="00932F5A">
        <w:rPr>
          <w:lang w:val="es-ES_tradnl"/>
        </w:rPr>
        <w:t>técnico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equipos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refrigeración</w:t>
      </w:r>
      <w:r w:rsidR="00936784" w:rsidRPr="00932F5A">
        <w:rPr>
          <w:lang w:val="es-ES_tradnl"/>
        </w:rPr>
        <w:t xml:space="preserve"> </w:t>
      </w:r>
      <w:r w:rsidR="004671BA">
        <w:rPr>
          <w:lang w:val="es-ES_tradnl"/>
        </w:rPr>
        <w:t xml:space="preserve">que favorecen la </w:t>
      </w:r>
      <w:r w:rsidR="005F1C91" w:rsidRPr="00932F5A">
        <w:rPr>
          <w:lang w:val="es-ES_tradnl"/>
        </w:rPr>
        <w:t>reducción</w:t>
      </w:r>
      <w:r w:rsidR="00936784" w:rsidRPr="00932F5A">
        <w:rPr>
          <w:lang w:val="es-ES_tradnl"/>
        </w:rPr>
        <w:t xml:space="preserve"> </w:t>
      </w:r>
      <w:r w:rsidR="005F1C91" w:rsidRPr="00932F5A">
        <w:rPr>
          <w:lang w:val="es-ES_tradnl"/>
        </w:rPr>
        <w:t>de</w:t>
      </w:r>
      <w:r w:rsidR="00936784" w:rsidRPr="00932F5A">
        <w:rPr>
          <w:lang w:val="es-ES_tradnl"/>
        </w:rPr>
        <w:t xml:space="preserve"> </w:t>
      </w:r>
      <w:r w:rsidR="005F1C91" w:rsidRPr="00932F5A">
        <w:rPr>
          <w:lang w:val="es-ES_tradnl"/>
        </w:rPr>
        <w:t>los</w:t>
      </w:r>
      <w:r w:rsidR="00936784" w:rsidRPr="00932F5A">
        <w:rPr>
          <w:lang w:val="es-ES_tradnl"/>
        </w:rPr>
        <w:t xml:space="preserve"> </w:t>
      </w:r>
      <w:r w:rsidR="005F1C91" w:rsidRPr="00932F5A">
        <w:rPr>
          <w:lang w:val="es-ES_tradnl"/>
        </w:rPr>
        <w:t>HFC</w:t>
      </w:r>
      <w:r w:rsidR="003847D9" w:rsidRPr="00932F5A">
        <w:rPr>
          <w:lang w:val="es-ES_tradnl"/>
        </w:rPr>
        <w:t>,</w:t>
      </w:r>
      <w:r w:rsidR="00936784" w:rsidRPr="00932F5A">
        <w:rPr>
          <w:lang w:val="es-ES_tradnl"/>
        </w:rPr>
        <w:t xml:space="preserve"> </w:t>
      </w:r>
      <w:r w:rsidR="00EC52C2">
        <w:rPr>
          <w:lang w:val="es-ES_tradnl"/>
        </w:rPr>
        <w:t>par</w:t>
      </w:r>
      <w:r w:rsidR="00773487">
        <w:rPr>
          <w:lang w:val="es-ES_tradnl"/>
        </w:rPr>
        <w:t>a</w:t>
      </w:r>
      <w:r w:rsidR="00936784" w:rsidRPr="00932F5A">
        <w:rPr>
          <w:lang w:val="es-ES_tradnl"/>
        </w:rPr>
        <w:t xml:space="preserve"> </w:t>
      </w:r>
      <w:r w:rsidR="00000A47">
        <w:rPr>
          <w:lang w:val="es-ES_tradnl"/>
        </w:rPr>
        <w:t xml:space="preserve">ser presentado </w:t>
      </w:r>
      <w:r w:rsidR="007F4FE9">
        <w:rPr>
          <w:lang w:val="es-ES_tradnl"/>
        </w:rPr>
        <w:t xml:space="preserve">a </w:t>
      </w:r>
      <w:r w:rsidR="00936784" w:rsidRPr="00932F5A">
        <w:rPr>
          <w:lang w:val="es-ES_tradnl"/>
        </w:rPr>
        <w:t xml:space="preserve">la </w:t>
      </w:r>
      <w:r w:rsidR="000948E9">
        <w:rPr>
          <w:lang w:val="es-ES_tradnl"/>
        </w:rPr>
        <w:br/>
      </w:r>
      <w:r w:rsidR="00936784" w:rsidRPr="00932F5A">
        <w:rPr>
          <w:lang w:val="es-ES_tradnl"/>
        </w:rPr>
        <w:t>82</w:t>
      </w:r>
      <w:r w:rsidR="005F33A5">
        <w:rPr>
          <w:lang w:val="es-ES_tradnl"/>
        </w:rPr>
        <w:t>ª reunión</w:t>
      </w:r>
      <w:r w:rsidR="006100BE" w:rsidRPr="00932F5A">
        <w:rPr>
          <w:rStyle w:val="FootnoteReference"/>
          <w:lang w:val="es-ES_tradnl"/>
        </w:rPr>
        <w:footnoteReference w:id="5"/>
      </w:r>
      <w:r w:rsidR="00936784" w:rsidRPr="00932F5A">
        <w:rPr>
          <w:lang w:val="es-ES_tradnl"/>
        </w:rPr>
        <w:t xml:space="preserve"> </w:t>
      </w:r>
      <w:r w:rsidR="00435B11" w:rsidRPr="00932F5A">
        <w:rPr>
          <w:lang w:val="es-ES_tradnl"/>
        </w:rPr>
        <w:t>(</w:t>
      </w:r>
      <w:r w:rsidR="00D352E8" w:rsidRPr="00932F5A">
        <w:rPr>
          <w:lang w:val="es-ES_tradnl"/>
        </w:rPr>
        <w:t>decisión</w:t>
      </w:r>
      <w:r w:rsidR="00936784" w:rsidRPr="00932F5A">
        <w:rPr>
          <w:lang w:val="es-ES_tradnl"/>
        </w:rPr>
        <w:t xml:space="preserve"> </w:t>
      </w:r>
      <w:r w:rsidR="003847D9" w:rsidRPr="00932F5A">
        <w:rPr>
          <w:lang w:val="es-ES_tradnl"/>
        </w:rPr>
        <w:t>80/76(c)).</w:t>
      </w:r>
      <w:r w:rsidR="00936784" w:rsidRPr="00932F5A">
        <w:rPr>
          <w:lang w:val="es-ES_tradnl"/>
        </w:rPr>
        <w:t xml:space="preserve"> </w:t>
      </w:r>
      <w:r w:rsidR="00AC379A">
        <w:rPr>
          <w:lang w:val="es-ES_tradnl"/>
        </w:rPr>
        <w:t>En</w:t>
      </w:r>
      <w:r>
        <w:rPr>
          <w:lang w:val="es-ES_tradnl"/>
        </w:rPr>
        <w:t xml:space="preserve"> la </w:t>
      </w:r>
      <w:r w:rsidR="003847D9" w:rsidRPr="00932F5A">
        <w:rPr>
          <w:lang w:val="es-ES_tradnl"/>
        </w:rPr>
        <w:t>8</w:t>
      </w:r>
      <w:r w:rsidR="005E7D21" w:rsidRPr="00932F5A">
        <w:rPr>
          <w:lang w:val="es-ES_tradnl"/>
        </w:rPr>
        <w:t>1</w:t>
      </w:r>
      <w:r w:rsidR="005F33A5">
        <w:rPr>
          <w:lang w:val="es-ES_tradnl"/>
        </w:rPr>
        <w:t>ª reunión</w:t>
      </w:r>
      <w:r w:rsidR="00936784" w:rsidRPr="00932F5A">
        <w:rPr>
          <w:lang w:val="es-ES_tradnl"/>
        </w:rPr>
        <w:t xml:space="preserve"> </w:t>
      </w:r>
      <w:r w:rsidR="00EA4DA0" w:rsidRPr="00932F5A">
        <w:rPr>
          <w:lang w:val="es-ES_tradnl"/>
        </w:rPr>
        <w:t>el</w:t>
      </w:r>
      <w:r w:rsidR="00936784" w:rsidRPr="00932F5A">
        <w:rPr>
          <w:lang w:val="es-ES_tradnl"/>
        </w:rPr>
        <w:t xml:space="preserve"> </w:t>
      </w:r>
      <w:r w:rsidR="00272BB5" w:rsidRPr="00932F5A">
        <w:rPr>
          <w:lang w:val="es-ES_tradnl"/>
        </w:rPr>
        <w:t xml:space="preserve">Comité </w:t>
      </w:r>
      <w:r w:rsidR="006B16A5">
        <w:rPr>
          <w:lang w:val="es-ES_tradnl"/>
        </w:rPr>
        <w:t xml:space="preserve">resolvió </w:t>
      </w:r>
      <w:r w:rsidR="007940A6">
        <w:rPr>
          <w:lang w:val="es-ES_tradnl"/>
        </w:rPr>
        <w:t xml:space="preserve">que </w:t>
      </w:r>
      <w:r w:rsidR="00436A72">
        <w:rPr>
          <w:lang w:val="es-ES_tradnl"/>
        </w:rPr>
        <w:t xml:space="preserve">el tema </w:t>
      </w:r>
      <w:r w:rsidR="003543D0" w:rsidRPr="00932F5A">
        <w:rPr>
          <w:lang w:val="es-ES_tradnl"/>
        </w:rPr>
        <w:t>de</w:t>
      </w:r>
      <w:r w:rsidR="00936784" w:rsidRPr="00932F5A">
        <w:rPr>
          <w:lang w:val="es-ES_tradnl"/>
        </w:rPr>
        <w:t xml:space="preserve"> </w:t>
      </w:r>
      <w:r w:rsidR="00436A72">
        <w:rPr>
          <w:lang w:val="es-ES_tradnl"/>
        </w:rPr>
        <w:t xml:space="preserve">la </w:t>
      </w:r>
      <w:r w:rsidR="00197A00" w:rsidRPr="00932F5A">
        <w:rPr>
          <w:lang w:val="es-ES_tradnl"/>
        </w:rPr>
        <w:t>priorización</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69386A">
        <w:rPr>
          <w:lang w:val="es-ES_tradnl"/>
        </w:rPr>
        <w:t xml:space="preserve">la </w:t>
      </w:r>
      <w:r w:rsidR="00D352E8" w:rsidRPr="00932F5A">
        <w:rPr>
          <w:lang w:val="es-ES_tradnl"/>
        </w:rPr>
        <w:t>asistencia</w:t>
      </w:r>
      <w:r w:rsidR="00936784" w:rsidRPr="00932F5A">
        <w:rPr>
          <w:lang w:val="es-ES_tradnl"/>
        </w:rPr>
        <w:t xml:space="preserve"> </w:t>
      </w:r>
      <w:r w:rsidR="00D352E8" w:rsidRPr="00932F5A">
        <w:rPr>
          <w:lang w:val="es-ES_tradnl"/>
        </w:rPr>
        <w:t>técnica</w:t>
      </w:r>
      <w:r w:rsidR="00936784" w:rsidRPr="00932F5A">
        <w:rPr>
          <w:lang w:val="es-ES_tradnl"/>
        </w:rPr>
        <w:t xml:space="preserve"> </w:t>
      </w:r>
      <w:r w:rsidR="003543D0" w:rsidRPr="00932F5A">
        <w:rPr>
          <w:lang w:val="es-ES_tradnl"/>
        </w:rPr>
        <w:t>y</w:t>
      </w:r>
      <w:r w:rsidR="00936784" w:rsidRPr="00932F5A">
        <w:rPr>
          <w:lang w:val="es-ES_tradnl"/>
        </w:rPr>
        <w:t xml:space="preserve"> </w:t>
      </w:r>
      <w:r w:rsidR="00BB0C56">
        <w:rPr>
          <w:lang w:val="es-ES_tradnl"/>
        </w:rPr>
        <w:t xml:space="preserve">del </w:t>
      </w:r>
      <w:r w:rsidR="006354B2">
        <w:rPr>
          <w:lang w:val="es-ES_tradnl"/>
        </w:rPr>
        <w:t>f</w:t>
      </w:r>
      <w:r w:rsidR="007861AE">
        <w:rPr>
          <w:lang w:val="es-ES_tradnl"/>
        </w:rPr>
        <w:t>ortalecimiento de capacidades en materia</w:t>
      </w:r>
      <w:r w:rsidR="00F63B47">
        <w:rPr>
          <w:lang w:val="es-ES_tradnl"/>
        </w:rPr>
        <w:t>s</w:t>
      </w:r>
      <w:r w:rsidR="007861AE">
        <w:rPr>
          <w:lang w:val="es-ES_tradnl"/>
        </w:rPr>
        <w:t xml:space="preserve"> de seguridad</w:t>
      </w:r>
      <w:r w:rsidR="00936784" w:rsidRPr="00932F5A">
        <w:rPr>
          <w:lang w:val="es-ES_tradnl"/>
        </w:rPr>
        <w:t xml:space="preserve"> </w:t>
      </w:r>
      <w:r w:rsidR="006B74EE">
        <w:rPr>
          <w:lang w:val="es-ES_tradnl"/>
        </w:rPr>
        <w:t xml:space="preserve">relacionadas con </w:t>
      </w:r>
      <w:r w:rsidR="005F1C91" w:rsidRPr="00932F5A">
        <w:rPr>
          <w:lang w:val="es-ES_tradnl"/>
        </w:rPr>
        <w:t>alternativa</w:t>
      </w:r>
      <w:r w:rsidR="003847D9" w:rsidRPr="00932F5A">
        <w:rPr>
          <w:lang w:val="es-ES_tradnl"/>
        </w:rPr>
        <w:t>s</w:t>
      </w:r>
      <w:r w:rsidR="00936784" w:rsidRPr="00932F5A">
        <w:rPr>
          <w:lang w:val="es-ES_tradnl"/>
        </w:rPr>
        <w:t xml:space="preserve"> </w:t>
      </w:r>
      <w:r w:rsidR="00D37A47">
        <w:rPr>
          <w:lang w:val="es-ES_tradnl"/>
        </w:rPr>
        <w:t xml:space="preserve">de bajo y </w:t>
      </w:r>
      <w:r w:rsidR="00E97A90">
        <w:rPr>
          <w:lang w:val="es-ES_tradnl"/>
        </w:rPr>
        <w:t>nulo potencial</w:t>
      </w:r>
      <w:r w:rsidR="00936784" w:rsidRPr="00932F5A">
        <w:rPr>
          <w:lang w:val="es-ES_tradnl"/>
        </w:rPr>
        <w:t xml:space="preserve"> </w:t>
      </w:r>
      <w:r w:rsidR="00A66CB0" w:rsidRPr="00932F5A">
        <w:rPr>
          <w:lang w:val="es-ES_tradnl"/>
        </w:rPr>
        <w:t>de</w:t>
      </w:r>
      <w:r w:rsidR="00936784" w:rsidRPr="00932F5A">
        <w:rPr>
          <w:lang w:val="es-ES_tradnl"/>
        </w:rPr>
        <w:t xml:space="preserve"> </w:t>
      </w:r>
      <w:r w:rsidR="00A66CB0" w:rsidRPr="00932F5A">
        <w:rPr>
          <w:lang w:val="es-ES_tradnl"/>
        </w:rPr>
        <w:t>calentamiento</w:t>
      </w:r>
      <w:r w:rsidR="00936784" w:rsidRPr="00932F5A">
        <w:rPr>
          <w:lang w:val="es-ES_tradnl"/>
        </w:rPr>
        <w:t xml:space="preserve"> </w:t>
      </w:r>
      <w:r w:rsidR="00A66CB0" w:rsidRPr="00932F5A">
        <w:rPr>
          <w:lang w:val="es-ES_tradnl"/>
        </w:rPr>
        <w:t>atmosférico</w:t>
      </w:r>
      <w:r w:rsidR="00936784" w:rsidRPr="00932F5A">
        <w:rPr>
          <w:lang w:val="es-ES_tradnl"/>
        </w:rPr>
        <w:t xml:space="preserve"> </w:t>
      </w:r>
      <w:r w:rsidR="003847D9" w:rsidRPr="00932F5A">
        <w:rPr>
          <w:lang w:val="es-ES_tradnl"/>
        </w:rPr>
        <w:t>(</w:t>
      </w:r>
      <w:r w:rsidR="00A66CB0" w:rsidRPr="00932F5A">
        <w:rPr>
          <w:lang w:val="es-ES_tradnl"/>
        </w:rPr>
        <w:t>PCA</w:t>
      </w:r>
      <w:r w:rsidR="003847D9" w:rsidRPr="00932F5A">
        <w:rPr>
          <w:lang w:val="es-ES_tradnl"/>
        </w:rPr>
        <w:t>)</w:t>
      </w:r>
      <w:r w:rsidR="00936784" w:rsidRPr="00932F5A">
        <w:rPr>
          <w:lang w:val="es-ES_tradnl"/>
        </w:rPr>
        <w:t xml:space="preserve"> </w:t>
      </w:r>
      <w:r w:rsidR="005A12C5">
        <w:rPr>
          <w:lang w:val="es-ES_tradnl"/>
        </w:rPr>
        <w:t xml:space="preserve">en todos los </w:t>
      </w:r>
      <w:r w:rsidR="005E7D21" w:rsidRPr="00932F5A">
        <w:rPr>
          <w:lang w:val="es-ES_tradnl"/>
        </w:rPr>
        <w:t>sectores</w:t>
      </w:r>
      <w:r w:rsidR="006100BE" w:rsidRPr="00932F5A">
        <w:rPr>
          <w:rStyle w:val="FootnoteReference"/>
          <w:lang w:val="es-ES_tradnl"/>
        </w:rPr>
        <w:footnoteReference w:id="6"/>
      </w:r>
      <w:r w:rsidR="00936784" w:rsidRPr="00932F5A">
        <w:rPr>
          <w:lang w:val="es-ES_tradnl"/>
        </w:rPr>
        <w:t xml:space="preserve"> </w:t>
      </w:r>
      <w:r w:rsidR="007940A6">
        <w:rPr>
          <w:lang w:val="es-ES_tradnl"/>
        </w:rPr>
        <w:t xml:space="preserve">se </w:t>
      </w:r>
      <w:r w:rsidR="00B72DFB">
        <w:rPr>
          <w:lang w:val="es-ES_tradnl"/>
        </w:rPr>
        <w:t>abordaría</w:t>
      </w:r>
      <w:r w:rsidR="007940A6" w:rsidRPr="007940A6">
        <w:rPr>
          <w:lang w:val="es-ES_tradnl"/>
        </w:rPr>
        <w:t xml:space="preserve"> en la 82</w:t>
      </w:r>
      <w:r w:rsidR="005F33A5">
        <w:rPr>
          <w:lang w:val="es-ES_tradnl"/>
        </w:rPr>
        <w:t>ª reunión</w:t>
      </w:r>
      <w:r w:rsidR="007940A6" w:rsidRPr="007940A6">
        <w:rPr>
          <w:lang w:val="es-ES_tradnl"/>
        </w:rPr>
        <w:t xml:space="preserve"> </w:t>
      </w:r>
      <w:r w:rsidR="005E7D21" w:rsidRPr="00932F5A">
        <w:rPr>
          <w:lang w:val="es-ES_tradnl"/>
        </w:rPr>
        <w:t>a</w:t>
      </w:r>
      <w:r w:rsidR="00936784" w:rsidRPr="00932F5A">
        <w:rPr>
          <w:lang w:val="es-ES_tradnl"/>
        </w:rPr>
        <w:t xml:space="preserve"> </w:t>
      </w:r>
      <w:r w:rsidR="005E7D21" w:rsidRPr="00932F5A">
        <w:rPr>
          <w:lang w:val="es-ES_tradnl"/>
        </w:rPr>
        <w:t>la</w:t>
      </w:r>
      <w:r w:rsidR="00936784" w:rsidRPr="00932F5A">
        <w:rPr>
          <w:lang w:val="es-ES_tradnl"/>
        </w:rPr>
        <w:t xml:space="preserve"> </w:t>
      </w:r>
      <w:r w:rsidR="005E7D21" w:rsidRPr="00932F5A">
        <w:rPr>
          <w:lang w:val="es-ES_tradnl"/>
        </w:rPr>
        <w:t>luz</w:t>
      </w:r>
      <w:r w:rsidR="00936784" w:rsidRPr="00932F5A">
        <w:rPr>
          <w:lang w:val="es-ES_tradnl"/>
        </w:rPr>
        <w:t xml:space="preserve"> </w:t>
      </w:r>
      <w:r w:rsidR="005E7D21" w:rsidRPr="00932F5A">
        <w:rPr>
          <w:lang w:val="es-ES_tradnl"/>
        </w:rPr>
        <w:t>del</w:t>
      </w:r>
      <w:r w:rsidR="00936784" w:rsidRPr="00932F5A">
        <w:rPr>
          <w:lang w:val="es-ES_tradnl"/>
        </w:rPr>
        <w:t xml:space="preserve"> </w:t>
      </w:r>
      <w:r w:rsidR="00592E63" w:rsidRPr="00932F5A">
        <w:rPr>
          <w:lang w:val="es-ES_tradnl"/>
        </w:rPr>
        <w:t>mencionado</w:t>
      </w:r>
      <w:r w:rsidR="00936784" w:rsidRPr="00932F5A">
        <w:rPr>
          <w:lang w:val="es-ES_tradnl"/>
        </w:rPr>
        <w:t xml:space="preserve"> </w:t>
      </w:r>
      <w:r w:rsidR="00FF6784" w:rsidRPr="00932F5A">
        <w:rPr>
          <w:lang w:val="es-ES_tradnl"/>
        </w:rPr>
        <w:t>documento</w:t>
      </w:r>
      <w:r w:rsidR="00936784" w:rsidRPr="00932F5A">
        <w:rPr>
          <w:lang w:val="es-ES_tradnl"/>
        </w:rPr>
        <w:t xml:space="preserve"> </w:t>
      </w:r>
      <w:r w:rsidR="00F429E7">
        <w:rPr>
          <w:lang w:val="es-ES_tradnl"/>
        </w:rPr>
        <w:t>sobre</w:t>
      </w:r>
      <w:r w:rsidR="00936784" w:rsidRPr="00932F5A">
        <w:rPr>
          <w:lang w:val="es-ES_tradnl"/>
        </w:rPr>
        <w:t xml:space="preserve"> </w:t>
      </w:r>
      <w:r w:rsidR="00197A00" w:rsidRPr="00932F5A">
        <w:rPr>
          <w:lang w:val="es-ES_tradnl"/>
        </w:rPr>
        <w:t>el</w:t>
      </w:r>
      <w:r w:rsidR="00936784" w:rsidRPr="00932F5A">
        <w:rPr>
          <w:lang w:val="es-ES_tradnl"/>
        </w:rPr>
        <w:t xml:space="preserve"> </w:t>
      </w:r>
      <w:r w:rsidR="00197A00" w:rsidRPr="00932F5A">
        <w:rPr>
          <w:lang w:val="es-ES_tradnl"/>
        </w:rPr>
        <w:t>sector</w:t>
      </w:r>
      <w:r w:rsidR="00936784" w:rsidRPr="00932F5A">
        <w:rPr>
          <w:lang w:val="es-ES_tradnl"/>
        </w:rPr>
        <w:t xml:space="preserve"> </w:t>
      </w:r>
      <w:r w:rsidR="003543D0" w:rsidRPr="00932F5A">
        <w:rPr>
          <w:lang w:val="es-ES_tradnl"/>
        </w:rPr>
        <w:t>servicio</w:t>
      </w:r>
      <w:r w:rsidR="00936784" w:rsidRPr="00932F5A">
        <w:rPr>
          <w:lang w:val="es-ES_tradnl"/>
        </w:rPr>
        <w:t xml:space="preserve"> </w:t>
      </w:r>
      <w:r w:rsidR="003543D0" w:rsidRPr="00932F5A">
        <w:rPr>
          <w:lang w:val="es-ES_tradnl"/>
        </w:rPr>
        <w:t>técnico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equipos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refrigeración</w:t>
      </w:r>
      <w:r w:rsidR="00936784" w:rsidRPr="00932F5A">
        <w:rPr>
          <w:lang w:val="es-ES_tradnl"/>
        </w:rPr>
        <w:t xml:space="preserve"> </w:t>
      </w:r>
      <w:r w:rsidR="003847D9" w:rsidRPr="00932F5A">
        <w:rPr>
          <w:lang w:val="es-ES_tradnl"/>
        </w:rPr>
        <w:t>(</w:t>
      </w:r>
      <w:r w:rsidR="00D352E8" w:rsidRPr="00932F5A">
        <w:rPr>
          <w:lang w:val="es-ES_tradnl"/>
        </w:rPr>
        <w:t>decisión</w:t>
      </w:r>
      <w:r w:rsidR="00936784" w:rsidRPr="00932F5A">
        <w:rPr>
          <w:lang w:val="es-ES_tradnl"/>
        </w:rPr>
        <w:t xml:space="preserve"> </w:t>
      </w:r>
      <w:r w:rsidR="003847D9" w:rsidRPr="00932F5A">
        <w:rPr>
          <w:lang w:val="es-ES_tradnl"/>
        </w:rPr>
        <w:t>81/67(c)).</w:t>
      </w:r>
    </w:p>
    <w:p w14:paraId="0F77FEBF" w14:textId="6135DF82" w:rsidR="00FF6784" w:rsidRPr="00932F5A" w:rsidRDefault="00EB43C3" w:rsidP="00437CD6">
      <w:pPr>
        <w:pStyle w:val="Heading1"/>
        <w:rPr>
          <w:lang w:val="es-ES_tradnl"/>
        </w:rPr>
      </w:pPr>
      <w:r w:rsidRPr="00932F5A">
        <w:rPr>
          <w:lang w:val="es-ES_tradnl"/>
        </w:rPr>
        <w:t>En</w:t>
      </w:r>
      <w:r w:rsidR="00936784" w:rsidRPr="00932F5A">
        <w:rPr>
          <w:lang w:val="es-ES_tradnl"/>
        </w:rPr>
        <w:t xml:space="preserve"> </w:t>
      </w:r>
      <w:r w:rsidRPr="00932F5A">
        <w:rPr>
          <w:lang w:val="es-ES_tradnl"/>
        </w:rPr>
        <w:t>respuesta</w:t>
      </w:r>
      <w:r w:rsidR="00936784" w:rsidRPr="00932F5A">
        <w:rPr>
          <w:lang w:val="es-ES_tradnl"/>
        </w:rPr>
        <w:t xml:space="preserve"> </w:t>
      </w:r>
      <w:r w:rsidRPr="00932F5A">
        <w:rPr>
          <w:lang w:val="es-ES_tradnl"/>
        </w:rPr>
        <w:t>a</w:t>
      </w:r>
      <w:r w:rsidR="00936784" w:rsidRPr="00932F5A">
        <w:rPr>
          <w:lang w:val="es-ES_tradnl"/>
        </w:rPr>
        <w:t xml:space="preserve"> </w:t>
      </w:r>
      <w:r w:rsidR="00942DD0">
        <w:rPr>
          <w:lang w:val="es-ES_tradnl"/>
        </w:rPr>
        <w:t xml:space="preserve">las </w:t>
      </w:r>
      <w:r w:rsidR="00FF6784" w:rsidRPr="00932F5A">
        <w:rPr>
          <w:lang w:val="es-ES_tradnl"/>
        </w:rPr>
        <w:t>decisiones</w:t>
      </w:r>
      <w:r w:rsidR="00936784" w:rsidRPr="00932F5A">
        <w:rPr>
          <w:lang w:val="es-ES_tradnl"/>
        </w:rPr>
        <w:t xml:space="preserve"> </w:t>
      </w:r>
      <w:r w:rsidR="003847D9" w:rsidRPr="00932F5A">
        <w:rPr>
          <w:lang w:val="es-ES_tradnl"/>
        </w:rPr>
        <w:t>80/76(c)</w:t>
      </w:r>
      <w:r w:rsidR="00936784" w:rsidRPr="00932F5A">
        <w:rPr>
          <w:lang w:val="es-ES_tradnl"/>
        </w:rPr>
        <w:t xml:space="preserve"> </w:t>
      </w:r>
      <w:r w:rsidR="003543D0" w:rsidRPr="00932F5A">
        <w:rPr>
          <w:lang w:val="es-ES_tradnl"/>
        </w:rPr>
        <w:t>y</w:t>
      </w:r>
      <w:r w:rsidR="00936784" w:rsidRPr="00932F5A">
        <w:rPr>
          <w:lang w:val="es-ES_tradnl"/>
        </w:rPr>
        <w:t xml:space="preserve"> </w:t>
      </w:r>
      <w:r w:rsidR="003847D9" w:rsidRPr="00932F5A">
        <w:rPr>
          <w:lang w:val="es-ES_tradnl"/>
        </w:rPr>
        <w:t>81/67(c),</w:t>
      </w:r>
      <w:r w:rsidR="00431F01">
        <w:rPr>
          <w:lang w:val="es-ES_tradnl"/>
        </w:rPr>
        <w:t xml:space="preserve"> en la 8</w:t>
      </w:r>
      <w:r w:rsidR="005E7D21" w:rsidRPr="00932F5A">
        <w:rPr>
          <w:lang w:val="es-ES_tradnl"/>
        </w:rPr>
        <w:t>2</w:t>
      </w:r>
      <w:r w:rsidR="005F33A5">
        <w:rPr>
          <w:lang w:val="es-ES_tradnl"/>
        </w:rPr>
        <w:t>ª reunión</w:t>
      </w:r>
      <w:r w:rsidR="00936784" w:rsidRPr="00932F5A">
        <w:rPr>
          <w:lang w:val="es-ES_tradnl"/>
        </w:rPr>
        <w:t xml:space="preserve"> </w:t>
      </w:r>
      <w:r w:rsidR="00D352E8" w:rsidRPr="00932F5A">
        <w:rPr>
          <w:lang w:val="es-ES_tradnl"/>
        </w:rPr>
        <w:t>el</w:t>
      </w:r>
      <w:r w:rsidR="00936784" w:rsidRPr="00932F5A">
        <w:rPr>
          <w:lang w:val="es-ES_tradnl"/>
        </w:rPr>
        <w:t xml:space="preserve"> </w:t>
      </w:r>
      <w:r w:rsidR="00D352E8" w:rsidRPr="00932F5A">
        <w:rPr>
          <w:lang w:val="es-ES_tradnl"/>
        </w:rPr>
        <w:t>Comité</w:t>
      </w:r>
      <w:r w:rsidR="00936784" w:rsidRPr="00932F5A">
        <w:rPr>
          <w:lang w:val="es-ES_tradnl"/>
        </w:rPr>
        <w:t xml:space="preserve"> </w:t>
      </w:r>
      <w:r w:rsidR="003543D0" w:rsidRPr="00932F5A">
        <w:rPr>
          <w:lang w:val="es-ES_tradnl"/>
        </w:rPr>
        <w:t>Ejecutivo</w:t>
      </w:r>
      <w:r w:rsidR="00936784" w:rsidRPr="00932F5A">
        <w:rPr>
          <w:lang w:val="es-ES_tradnl"/>
        </w:rPr>
        <w:t xml:space="preserve"> </w:t>
      </w:r>
      <w:r w:rsidR="00D71E6A">
        <w:rPr>
          <w:lang w:val="es-ES_tradnl"/>
        </w:rPr>
        <w:t>sometió a consideración</w:t>
      </w:r>
      <w:r w:rsidR="00936784" w:rsidRPr="00932F5A">
        <w:rPr>
          <w:lang w:val="es-ES_tradnl"/>
        </w:rPr>
        <w:t xml:space="preserve"> </w:t>
      </w:r>
      <w:r w:rsidR="001B0DBA">
        <w:rPr>
          <w:lang w:val="es-ES_tradnl"/>
        </w:rPr>
        <w:t xml:space="preserve">el </w:t>
      </w:r>
      <w:r w:rsidR="00FF6784" w:rsidRPr="00932F5A">
        <w:rPr>
          <w:lang w:val="es-ES_tradnl"/>
        </w:rPr>
        <w:t>documento</w:t>
      </w:r>
      <w:r w:rsidR="00936784" w:rsidRPr="00932F5A">
        <w:rPr>
          <w:lang w:val="es-ES_tradnl"/>
        </w:rPr>
        <w:t xml:space="preserve"> </w:t>
      </w:r>
      <w:r w:rsidR="00EA4DA0" w:rsidRPr="00932F5A">
        <w:rPr>
          <w:lang w:val="es-ES_tradnl"/>
        </w:rPr>
        <w:t>UNEP/OzL.Pro</w:t>
      </w:r>
      <w:r w:rsidR="003847D9" w:rsidRPr="00932F5A">
        <w:rPr>
          <w:lang w:val="es-ES_tradnl"/>
        </w:rPr>
        <w:t>/ExCom/82/64.</w:t>
      </w:r>
      <w:r w:rsidR="00936784" w:rsidRPr="00932F5A">
        <w:rPr>
          <w:lang w:val="es-ES_tradnl"/>
        </w:rPr>
        <w:t xml:space="preserve"> </w:t>
      </w:r>
      <w:r w:rsidR="005E7D21" w:rsidRPr="00932F5A">
        <w:rPr>
          <w:lang w:val="es-ES_tradnl"/>
        </w:rPr>
        <w:t>Durante</w:t>
      </w:r>
      <w:r w:rsidR="00936784" w:rsidRPr="00932F5A">
        <w:rPr>
          <w:lang w:val="es-ES_tradnl"/>
        </w:rPr>
        <w:t xml:space="preserve"> </w:t>
      </w:r>
      <w:r w:rsidR="001558A5">
        <w:rPr>
          <w:lang w:val="es-ES_tradnl"/>
        </w:rPr>
        <w:t>la</w:t>
      </w:r>
      <w:r w:rsidR="00936784" w:rsidRPr="00932F5A">
        <w:rPr>
          <w:lang w:val="es-ES_tradnl"/>
        </w:rPr>
        <w:t xml:space="preserve"> </w:t>
      </w:r>
      <w:r w:rsidR="00C544CF">
        <w:rPr>
          <w:lang w:val="es-ES_tradnl"/>
        </w:rPr>
        <w:t>discusión</w:t>
      </w:r>
      <w:r w:rsidR="008F1A99">
        <w:rPr>
          <w:lang w:val="es-ES_tradnl"/>
        </w:rPr>
        <w:t xml:space="preserve">, </w:t>
      </w:r>
      <w:r w:rsidR="00431F01">
        <w:rPr>
          <w:lang w:val="es-ES_tradnl"/>
        </w:rPr>
        <w:t>miembros</w:t>
      </w:r>
      <w:r w:rsidR="00936784" w:rsidRPr="00932F5A">
        <w:rPr>
          <w:lang w:val="es-ES_tradnl"/>
        </w:rPr>
        <w:t xml:space="preserve"> </w:t>
      </w:r>
      <w:r w:rsidR="006B2E5D">
        <w:rPr>
          <w:lang w:val="es-ES_tradnl"/>
        </w:rPr>
        <w:t>de</w:t>
      </w:r>
      <w:r w:rsidR="00936784" w:rsidRPr="00932F5A">
        <w:rPr>
          <w:lang w:val="es-ES_tradnl"/>
        </w:rPr>
        <w:t xml:space="preserve"> </w:t>
      </w:r>
      <w:r w:rsidR="005F1C91" w:rsidRPr="00932F5A">
        <w:rPr>
          <w:lang w:val="es-ES_tradnl"/>
        </w:rPr>
        <w:t>países</w:t>
      </w:r>
      <w:r w:rsidR="00936784" w:rsidRPr="00932F5A">
        <w:rPr>
          <w:lang w:val="es-ES_tradnl"/>
        </w:rPr>
        <w:t xml:space="preserve"> </w:t>
      </w:r>
      <w:r w:rsidR="005F1C91" w:rsidRPr="00932F5A">
        <w:rPr>
          <w:lang w:val="es-ES_tradnl"/>
        </w:rPr>
        <w:t>del</w:t>
      </w:r>
      <w:r w:rsidR="00936784" w:rsidRPr="00932F5A">
        <w:rPr>
          <w:lang w:val="es-ES_tradnl"/>
        </w:rPr>
        <w:t xml:space="preserve"> </w:t>
      </w:r>
      <w:r w:rsidR="005F1C91" w:rsidRPr="00932F5A">
        <w:rPr>
          <w:lang w:val="es-ES_tradnl"/>
        </w:rPr>
        <w:t>artículo</w:t>
      </w:r>
      <w:r w:rsidR="00936784" w:rsidRPr="00932F5A">
        <w:rPr>
          <w:lang w:val="es-ES_tradnl"/>
        </w:rPr>
        <w:t xml:space="preserve"> </w:t>
      </w:r>
      <w:r w:rsidR="005F1C91" w:rsidRPr="00932F5A">
        <w:rPr>
          <w:lang w:val="es-ES_tradnl"/>
        </w:rPr>
        <w:t>5</w:t>
      </w:r>
      <w:r w:rsidR="00936784" w:rsidRPr="00932F5A">
        <w:rPr>
          <w:lang w:val="es-ES_tradnl"/>
        </w:rPr>
        <w:t xml:space="preserve"> </w:t>
      </w:r>
      <w:r w:rsidR="00160856">
        <w:rPr>
          <w:lang w:val="es-ES_tradnl"/>
        </w:rPr>
        <w:t xml:space="preserve">describieron </w:t>
      </w:r>
      <w:r w:rsidR="00AA16D3">
        <w:rPr>
          <w:lang w:val="es-ES_tradnl"/>
        </w:rPr>
        <w:t xml:space="preserve">ciertas </w:t>
      </w:r>
      <w:r w:rsidR="002D510E" w:rsidRPr="00932F5A">
        <w:rPr>
          <w:lang w:val="es-ES_tradnl"/>
        </w:rPr>
        <w:t>actividades</w:t>
      </w:r>
      <w:r w:rsidR="00936784" w:rsidRPr="00932F5A">
        <w:rPr>
          <w:lang w:val="es-ES_tradnl"/>
        </w:rPr>
        <w:t xml:space="preserve"> </w:t>
      </w:r>
      <w:r w:rsidR="00454053">
        <w:rPr>
          <w:lang w:val="es-ES_tradnl"/>
        </w:rPr>
        <w:t>d</w:t>
      </w:r>
      <w:r w:rsidR="00197A00" w:rsidRPr="00932F5A">
        <w:rPr>
          <w:lang w:val="es-ES_tradnl"/>
        </w:rPr>
        <w:t>el</w:t>
      </w:r>
      <w:r w:rsidR="00936784" w:rsidRPr="00932F5A">
        <w:rPr>
          <w:lang w:val="es-ES_tradnl"/>
        </w:rPr>
        <w:t xml:space="preserve"> </w:t>
      </w:r>
      <w:r w:rsidR="00197A00" w:rsidRPr="00932F5A">
        <w:rPr>
          <w:lang w:val="es-ES_tradnl"/>
        </w:rPr>
        <w:t>sector</w:t>
      </w:r>
      <w:r w:rsidR="00936784" w:rsidRPr="00932F5A">
        <w:rPr>
          <w:lang w:val="es-ES_tradnl"/>
        </w:rPr>
        <w:t xml:space="preserve"> </w:t>
      </w:r>
      <w:r w:rsidR="003543D0" w:rsidRPr="00932F5A">
        <w:rPr>
          <w:lang w:val="es-ES_tradnl"/>
        </w:rPr>
        <w:t>servicio</w:t>
      </w:r>
      <w:r w:rsidR="00936784" w:rsidRPr="00932F5A">
        <w:rPr>
          <w:lang w:val="es-ES_tradnl"/>
        </w:rPr>
        <w:t xml:space="preserve"> </w:t>
      </w:r>
      <w:r w:rsidR="003543D0" w:rsidRPr="00932F5A">
        <w:rPr>
          <w:lang w:val="es-ES_tradnl"/>
        </w:rPr>
        <w:t>técnico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equipos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refrigeración</w:t>
      </w:r>
      <w:r w:rsidR="00936784" w:rsidRPr="00932F5A">
        <w:rPr>
          <w:lang w:val="es-ES_tradnl"/>
        </w:rPr>
        <w:t xml:space="preserve"> </w:t>
      </w:r>
      <w:r w:rsidR="00D76161" w:rsidRPr="00D76161">
        <w:rPr>
          <w:lang w:val="es-ES_tradnl"/>
        </w:rPr>
        <w:t xml:space="preserve">adicionales </w:t>
      </w:r>
      <w:r w:rsidR="00D76161">
        <w:rPr>
          <w:lang w:val="es-ES_tradnl"/>
        </w:rPr>
        <w:t xml:space="preserve">a las ya implementadas para </w:t>
      </w:r>
      <w:r w:rsidR="005E7D21" w:rsidRPr="00932F5A">
        <w:rPr>
          <w:lang w:val="es-ES_tradnl"/>
        </w:rPr>
        <w:t>la</w:t>
      </w:r>
      <w:r w:rsidR="00936784" w:rsidRPr="00932F5A">
        <w:rPr>
          <w:lang w:val="es-ES_tradnl"/>
        </w:rPr>
        <w:t xml:space="preserve"> </w:t>
      </w:r>
      <w:r w:rsidR="005E7D21" w:rsidRPr="00932F5A">
        <w:rPr>
          <w:lang w:val="es-ES_tradnl"/>
        </w:rPr>
        <w:t>eliminación</w:t>
      </w:r>
      <w:r w:rsidR="00936784" w:rsidRPr="00932F5A">
        <w:rPr>
          <w:lang w:val="es-ES_tradnl"/>
        </w:rPr>
        <w:t xml:space="preserve"> </w:t>
      </w:r>
      <w:r w:rsidR="005E7D21" w:rsidRPr="00932F5A">
        <w:rPr>
          <w:lang w:val="es-ES_tradnl"/>
        </w:rPr>
        <w:t>de</w:t>
      </w:r>
      <w:r w:rsidR="00936784" w:rsidRPr="00932F5A">
        <w:rPr>
          <w:lang w:val="es-ES_tradnl"/>
        </w:rPr>
        <w:t xml:space="preserve"> </w:t>
      </w:r>
      <w:r w:rsidR="005E7D21" w:rsidRPr="00932F5A">
        <w:rPr>
          <w:lang w:val="es-ES_tradnl"/>
        </w:rPr>
        <w:t>HCFC</w:t>
      </w:r>
      <w:r w:rsidR="003847D9" w:rsidRPr="00932F5A">
        <w:rPr>
          <w:lang w:val="es-ES_tradnl"/>
        </w:rPr>
        <w:t>,</w:t>
      </w:r>
      <w:r w:rsidR="00936784" w:rsidRPr="00932F5A">
        <w:rPr>
          <w:lang w:val="es-ES_tradnl"/>
        </w:rPr>
        <w:t xml:space="preserve"> </w:t>
      </w:r>
      <w:r w:rsidR="003C4D6D">
        <w:rPr>
          <w:lang w:val="es-ES_tradnl"/>
        </w:rPr>
        <w:t>entre ella</w:t>
      </w:r>
      <w:r w:rsidR="00763C2E">
        <w:rPr>
          <w:lang w:val="es-ES_tradnl"/>
        </w:rPr>
        <w:t>s</w:t>
      </w:r>
      <w:r w:rsidR="003C4D6D">
        <w:rPr>
          <w:lang w:val="es-ES_tradnl"/>
        </w:rPr>
        <w:t xml:space="preserve"> </w:t>
      </w:r>
      <w:r w:rsidR="005E7D21" w:rsidRPr="00932F5A">
        <w:rPr>
          <w:lang w:val="es-ES_tradnl"/>
        </w:rPr>
        <w:t>fortalecer</w:t>
      </w:r>
      <w:r w:rsidR="00936784" w:rsidRPr="00932F5A">
        <w:rPr>
          <w:lang w:val="es-ES_tradnl"/>
        </w:rPr>
        <w:t xml:space="preserve"> </w:t>
      </w:r>
      <w:r w:rsidR="005E7D21" w:rsidRPr="00932F5A">
        <w:rPr>
          <w:lang w:val="es-ES_tradnl"/>
        </w:rPr>
        <w:t>las</w:t>
      </w:r>
      <w:r w:rsidR="00936784" w:rsidRPr="00932F5A">
        <w:rPr>
          <w:lang w:val="es-ES_tradnl"/>
        </w:rPr>
        <w:t xml:space="preserve"> </w:t>
      </w:r>
      <w:r w:rsidR="005E7D21" w:rsidRPr="00932F5A">
        <w:rPr>
          <w:lang w:val="es-ES_tradnl"/>
        </w:rPr>
        <w:t>capacidades</w:t>
      </w:r>
      <w:r w:rsidR="00936784" w:rsidRPr="00932F5A">
        <w:rPr>
          <w:lang w:val="es-ES_tradnl"/>
        </w:rPr>
        <w:t xml:space="preserve"> </w:t>
      </w:r>
      <w:r w:rsidR="00745D8E">
        <w:rPr>
          <w:lang w:val="es-ES_tradnl"/>
        </w:rPr>
        <w:t xml:space="preserve">de </w:t>
      </w:r>
      <w:r w:rsidR="005E7D21" w:rsidRPr="00932F5A">
        <w:rPr>
          <w:lang w:val="es-ES_tradnl"/>
        </w:rPr>
        <w:t>evaluación</w:t>
      </w:r>
      <w:r w:rsidR="00936784" w:rsidRPr="00932F5A">
        <w:rPr>
          <w:lang w:val="es-ES_tradnl"/>
        </w:rPr>
        <w:t xml:space="preserve"> </w:t>
      </w:r>
      <w:r w:rsidR="003543D0" w:rsidRPr="00932F5A">
        <w:rPr>
          <w:lang w:val="es-ES_tradnl"/>
        </w:rPr>
        <w:t>y</w:t>
      </w:r>
      <w:r w:rsidR="00936784" w:rsidRPr="00932F5A">
        <w:rPr>
          <w:lang w:val="es-ES_tradnl"/>
        </w:rPr>
        <w:t xml:space="preserve"> </w:t>
      </w:r>
      <w:r w:rsidR="00A573A9">
        <w:rPr>
          <w:lang w:val="es-ES_tradnl"/>
        </w:rPr>
        <w:t xml:space="preserve">manejo de riesgos </w:t>
      </w:r>
      <w:r w:rsidR="00E429AE" w:rsidRPr="00E429AE">
        <w:rPr>
          <w:lang w:val="es-ES_tradnl"/>
        </w:rPr>
        <w:t xml:space="preserve">en materia </w:t>
      </w:r>
      <w:r w:rsidR="003543D0" w:rsidRPr="00932F5A">
        <w:rPr>
          <w:lang w:val="es-ES_tradnl"/>
        </w:rPr>
        <w:t>de</w:t>
      </w:r>
      <w:r w:rsidR="00936784" w:rsidRPr="00932F5A">
        <w:rPr>
          <w:lang w:val="es-ES_tradnl"/>
        </w:rPr>
        <w:t xml:space="preserve"> </w:t>
      </w:r>
      <w:r w:rsidR="00272BB5" w:rsidRPr="00932F5A">
        <w:rPr>
          <w:lang w:val="es-ES_tradnl"/>
        </w:rPr>
        <w:t>refrigerantes inflamables</w:t>
      </w:r>
      <w:r w:rsidR="003847D9" w:rsidRPr="00932F5A">
        <w:rPr>
          <w:lang w:val="es-ES_tradnl"/>
        </w:rPr>
        <w:t>;</w:t>
      </w:r>
      <w:r w:rsidR="00936784" w:rsidRPr="00932F5A">
        <w:rPr>
          <w:lang w:val="es-ES_tradnl"/>
        </w:rPr>
        <w:t xml:space="preserve"> </w:t>
      </w:r>
      <w:r w:rsidR="003543D0" w:rsidRPr="00932F5A">
        <w:rPr>
          <w:lang w:val="es-ES_tradnl"/>
        </w:rPr>
        <w:t>actividades</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904140">
        <w:rPr>
          <w:lang w:val="es-ES_tradnl"/>
        </w:rPr>
        <w:t xml:space="preserve">el </w:t>
      </w:r>
      <w:r w:rsidR="00904140" w:rsidRPr="00904140">
        <w:rPr>
          <w:lang w:val="es-ES_tradnl"/>
        </w:rPr>
        <w:t xml:space="preserve">subsector </w:t>
      </w:r>
      <w:r w:rsidR="00BD76CA" w:rsidRPr="00932F5A">
        <w:rPr>
          <w:lang w:val="es-ES_tradnl"/>
        </w:rPr>
        <w:t>ensamblaje</w:t>
      </w:r>
      <w:r w:rsidR="00936784" w:rsidRPr="00932F5A">
        <w:rPr>
          <w:lang w:val="es-ES_tradnl"/>
        </w:rPr>
        <w:t xml:space="preserve"> </w:t>
      </w:r>
      <w:r w:rsidR="00480DAB" w:rsidRPr="00932F5A">
        <w:rPr>
          <w:lang w:val="es-ES_tradnl"/>
        </w:rPr>
        <w:t>e</w:t>
      </w:r>
      <w:r w:rsidR="00936784" w:rsidRPr="00932F5A">
        <w:rPr>
          <w:lang w:val="es-ES_tradnl"/>
        </w:rPr>
        <w:t xml:space="preserve"> </w:t>
      </w:r>
      <w:r w:rsidR="00480DAB" w:rsidRPr="00932F5A">
        <w:rPr>
          <w:lang w:val="es-ES_tradnl"/>
        </w:rPr>
        <w:t>i</w:t>
      </w:r>
      <w:r w:rsidR="00A66CB0" w:rsidRPr="00932F5A">
        <w:rPr>
          <w:lang w:val="es-ES_tradnl"/>
        </w:rPr>
        <w:t>nstalación</w:t>
      </w:r>
      <w:r w:rsidR="003847D9" w:rsidRPr="00932F5A">
        <w:rPr>
          <w:lang w:val="es-ES_tradnl"/>
        </w:rPr>
        <w:t>;</w:t>
      </w:r>
      <w:r w:rsidR="00936784" w:rsidRPr="00932F5A">
        <w:rPr>
          <w:lang w:val="es-ES_tradnl"/>
        </w:rPr>
        <w:t xml:space="preserve"> </w:t>
      </w:r>
      <w:r w:rsidR="00A70A51">
        <w:rPr>
          <w:lang w:val="es-ES_tradnl"/>
        </w:rPr>
        <w:t xml:space="preserve">potenciar </w:t>
      </w:r>
      <w:r w:rsidR="003543D0" w:rsidRPr="00932F5A">
        <w:rPr>
          <w:lang w:val="es-ES_tradnl"/>
        </w:rPr>
        <w:t>y</w:t>
      </w:r>
      <w:r w:rsidR="003847D9" w:rsidRPr="00932F5A">
        <w:rPr>
          <w:lang w:val="es-ES_tradnl"/>
        </w:rPr>
        <w:t>/</w:t>
      </w:r>
      <w:r w:rsidR="003543D0" w:rsidRPr="00932F5A">
        <w:rPr>
          <w:lang w:val="es-ES_tradnl"/>
        </w:rPr>
        <w:t>o</w:t>
      </w:r>
      <w:r w:rsidR="00936784" w:rsidRPr="00932F5A">
        <w:rPr>
          <w:lang w:val="es-ES_tradnl"/>
        </w:rPr>
        <w:t xml:space="preserve"> </w:t>
      </w:r>
      <w:r w:rsidR="00BD76CA" w:rsidRPr="00932F5A">
        <w:rPr>
          <w:lang w:val="es-ES_tradnl"/>
        </w:rPr>
        <w:t>mantener</w:t>
      </w:r>
      <w:r w:rsidR="00936784" w:rsidRPr="00932F5A">
        <w:rPr>
          <w:lang w:val="es-ES_tradnl"/>
        </w:rPr>
        <w:t xml:space="preserve"> </w:t>
      </w:r>
      <w:r w:rsidR="00BD76CA" w:rsidRPr="00932F5A">
        <w:rPr>
          <w:lang w:val="es-ES_tradnl"/>
        </w:rPr>
        <w:t>la</w:t>
      </w:r>
      <w:r w:rsidR="00936784" w:rsidRPr="00932F5A">
        <w:rPr>
          <w:lang w:val="es-ES_tradnl"/>
        </w:rPr>
        <w:t xml:space="preserve"> </w:t>
      </w:r>
      <w:r w:rsidR="00BD76CA" w:rsidRPr="00932F5A">
        <w:rPr>
          <w:lang w:val="es-ES_tradnl"/>
        </w:rPr>
        <w:t>eficiencia</w:t>
      </w:r>
      <w:r w:rsidR="00936784" w:rsidRPr="00932F5A">
        <w:rPr>
          <w:lang w:val="es-ES_tradnl"/>
        </w:rPr>
        <w:t xml:space="preserve"> </w:t>
      </w:r>
      <w:r w:rsidR="005F1C91" w:rsidRPr="00932F5A">
        <w:rPr>
          <w:lang w:val="es-ES_tradnl"/>
        </w:rPr>
        <w:t>energética</w:t>
      </w:r>
      <w:r w:rsidR="00936784" w:rsidRPr="00932F5A">
        <w:rPr>
          <w:lang w:val="es-ES_tradnl"/>
        </w:rPr>
        <w:t xml:space="preserve"> </w:t>
      </w:r>
      <w:r w:rsidR="005E7D21" w:rsidRPr="00932F5A">
        <w:rPr>
          <w:lang w:val="es-ES_tradnl"/>
        </w:rPr>
        <w:t>durante</w:t>
      </w:r>
      <w:r w:rsidR="00936784" w:rsidRPr="00932F5A">
        <w:rPr>
          <w:lang w:val="es-ES_tradnl"/>
        </w:rPr>
        <w:t xml:space="preserve"> </w:t>
      </w:r>
      <w:r w:rsidR="00584915" w:rsidRPr="00932F5A">
        <w:rPr>
          <w:lang w:val="es-ES_tradnl"/>
        </w:rPr>
        <w:t>la</w:t>
      </w:r>
      <w:r w:rsidR="00936784" w:rsidRPr="00932F5A">
        <w:rPr>
          <w:lang w:val="es-ES_tradnl"/>
        </w:rPr>
        <w:t xml:space="preserve"> </w:t>
      </w:r>
      <w:r w:rsidR="00584915" w:rsidRPr="00932F5A">
        <w:rPr>
          <w:lang w:val="es-ES_tradnl"/>
        </w:rPr>
        <w:t>instalación,</w:t>
      </w:r>
      <w:r w:rsidR="00936784" w:rsidRPr="00932F5A">
        <w:rPr>
          <w:lang w:val="es-ES_tradnl"/>
        </w:rPr>
        <w:t xml:space="preserve"> </w:t>
      </w:r>
      <w:r w:rsidR="00584915" w:rsidRPr="00932F5A">
        <w:rPr>
          <w:lang w:val="es-ES_tradnl"/>
        </w:rPr>
        <w:t>servicio</w:t>
      </w:r>
      <w:r w:rsidR="00936784" w:rsidRPr="00932F5A">
        <w:rPr>
          <w:lang w:val="es-ES_tradnl"/>
        </w:rPr>
        <w:t xml:space="preserve"> </w:t>
      </w:r>
      <w:r w:rsidR="00584915" w:rsidRPr="00932F5A">
        <w:rPr>
          <w:lang w:val="es-ES_tradnl"/>
        </w:rPr>
        <w:t>y</w:t>
      </w:r>
      <w:r w:rsidR="00936784" w:rsidRPr="00932F5A">
        <w:rPr>
          <w:lang w:val="es-ES_tradnl"/>
        </w:rPr>
        <w:t xml:space="preserve"> </w:t>
      </w:r>
      <w:r w:rsidR="00584915" w:rsidRPr="00932F5A">
        <w:rPr>
          <w:lang w:val="es-ES_tradnl"/>
        </w:rPr>
        <w:t>mantenimiento</w:t>
      </w:r>
      <w:r w:rsidR="00241BC8">
        <w:rPr>
          <w:lang w:val="es-ES_tradnl"/>
        </w:rPr>
        <w:t>,</w:t>
      </w:r>
      <w:r w:rsidR="00936784" w:rsidRPr="00932F5A">
        <w:rPr>
          <w:lang w:val="es-ES_tradnl"/>
        </w:rPr>
        <w:t xml:space="preserve"> </w:t>
      </w:r>
      <w:r w:rsidR="003543D0" w:rsidRPr="00932F5A">
        <w:rPr>
          <w:lang w:val="es-ES_tradnl"/>
        </w:rPr>
        <w:t>y</w:t>
      </w:r>
      <w:r w:rsidR="00936784" w:rsidRPr="00932F5A">
        <w:rPr>
          <w:lang w:val="es-ES_tradnl"/>
        </w:rPr>
        <w:t xml:space="preserve"> </w:t>
      </w:r>
      <w:r w:rsidR="00FF6B62">
        <w:rPr>
          <w:lang w:val="es-ES_tradnl"/>
        </w:rPr>
        <w:t xml:space="preserve">asegurar la </w:t>
      </w:r>
      <w:r w:rsidR="00EA4DA0" w:rsidRPr="00932F5A">
        <w:rPr>
          <w:lang w:val="es-ES_tradnl"/>
        </w:rPr>
        <w:t>regeneración</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FF6B62">
        <w:rPr>
          <w:lang w:val="es-ES_tradnl"/>
        </w:rPr>
        <w:t>un</w:t>
      </w:r>
      <w:r w:rsidR="003847D9" w:rsidRPr="00932F5A">
        <w:rPr>
          <w:lang w:val="es-ES_tradnl"/>
        </w:rPr>
        <w:t>a</w:t>
      </w:r>
      <w:r w:rsidR="00936784" w:rsidRPr="00932F5A">
        <w:rPr>
          <w:lang w:val="es-ES_tradnl"/>
        </w:rPr>
        <w:t xml:space="preserve"> </w:t>
      </w:r>
      <w:r w:rsidR="00FF6B62">
        <w:rPr>
          <w:lang w:val="es-ES_tradnl"/>
        </w:rPr>
        <w:t xml:space="preserve">mayor variedad </w:t>
      </w:r>
      <w:r w:rsidR="003543D0" w:rsidRPr="00932F5A">
        <w:rPr>
          <w:lang w:val="es-ES_tradnl"/>
        </w:rPr>
        <w:t>de</w:t>
      </w:r>
      <w:r w:rsidR="00936784" w:rsidRPr="00932F5A">
        <w:rPr>
          <w:lang w:val="es-ES_tradnl"/>
        </w:rPr>
        <w:t xml:space="preserve"> </w:t>
      </w:r>
      <w:r w:rsidR="003543D0" w:rsidRPr="00932F5A">
        <w:rPr>
          <w:lang w:val="es-ES_tradnl"/>
        </w:rPr>
        <w:t>refrigerantes</w:t>
      </w:r>
      <w:r w:rsidR="003847D9" w:rsidRPr="00932F5A">
        <w:rPr>
          <w:lang w:val="es-ES_tradnl"/>
        </w:rPr>
        <w:t>,</w:t>
      </w:r>
      <w:r w:rsidR="00936784" w:rsidRPr="00932F5A">
        <w:rPr>
          <w:lang w:val="es-ES_tradnl"/>
        </w:rPr>
        <w:t xml:space="preserve"> </w:t>
      </w:r>
      <w:r w:rsidR="002767C5">
        <w:rPr>
          <w:lang w:val="es-ES_tradnl"/>
        </w:rPr>
        <w:t xml:space="preserve">considerando </w:t>
      </w:r>
      <w:r w:rsidR="0057058A">
        <w:rPr>
          <w:lang w:val="es-ES_tradnl"/>
        </w:rPr>
        <w:t xml:space="preserve">una posible </w:t>
      </w:r>
      <w:r w:rsidR="00072C5A">
        <w:rPr>
          <w:lang w:val="es-ES_tradnl"/>
        </w:rPr>
        <w:t xml:space="preserve">mayor </w:t>
      </w:r>
      <w:r w:rsidR="000E53AB">
        <w:rPr>
          <w:lang w:val="es-ES_tradnl"/>
        </w:rPr>
        <w:t>cantidad</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A66CB0" w:rsidRPr="00932F5A">
        <w:rPr>
          <w:lang w:val="es-ES_tradnl"/>
        </w:rPr>
        <w:t>mezclas</w:t>
      </w:r>
      <w:r w:rsidR="00936784" w:rsidRPr="00932F5A">
        <w:rPr>
          <w:lang w:val="es-ES_tradnl"/>
        </w:rPr>
        <w:t xml:space="preserve"> </w:t>
      </w:r>
      <w:r w:rsidR="00932F5A">
        <w:rPr>
          <w:lang w:val="es-ES_tradnl"/>
        </w:rPr>
        <w:t>para eliminación</w:t>
      </w:r>
      <w:r w:rsidR="003847D9" w:rsidRPr="00932F5A">
        <w:rPr>
          <w:lang w:val="es-ES_tradnl"/>
        </w:rPr>
        <w:t>.</w:t>
      </w:r>
      <w:r w:rsidR="00936784" w:rsidRPr="00932F5A">
        <w:rPr>
          <w:lang w:val="es-ES_tradnl"/>
        </w:rPr>
        <w:t xml:space="preserve"> </w:t>
      </w:r>
      <w:r w:rsidR="00197A00" w:rsidRPr="00932F5A">
        <w:rPr>
          <w:lang w:val="es-ES_tradnl"/>
        </w:rPr>
        <w:t>En</w:t>
      </w:r>
      <w:r w:rsidR="00936784" w:rsidRPr="00932F5A">
        <w:rPr>
          <w:lang w:val="es-ES_tradnl"/>
        </w:rPr>
        <w:t xml:space="preserve"> </w:t>
      </w:r>
      <w:r w:rsidR="00197A00" w:rsidRPr="00932F5A">
        <w:rPr>
          <w:lang w:val="es-ES_tradnl"/>
        </w:rPr>
        <w:t>cuanto</w:t>
      </w:r>
      <w:r w:rsidR="00936784" w:rsidRPr="00932F5A">
        <w:rPr>
          <w:lang w:val="es-ES_tradnl"/>
        </w:rPr>
        <w:t xml:space="preserve"> </w:t>
      </w:r>
      <w:r w:rsidR="00197A00" w:rsidRPr="00932F5A">
        <w:rPr>
          <w:lang w:val="es-ES_tradnl"/>
        </w:rPr>
        <w:t>a</w:t>
      </w:r>
      <w:r w:rsidR="00936784" w:rsidRPr="00932F5A">
        <w:rPr>
          <w:lang w:val="es-ES_tradnl"/>
        </w:rPr>
        <w:t xml:space="preserve"> </w:t>
      </w:r>
      <w:r w:rsidR="00A975E1">
        <w:rPr>
          <w:lang w:val="es-ES_tradnl"/>
        </w:rPr>
        <w:t>aumentar</w:t>
      </w:r>
      <w:r w:rsidR="009E5B0A">
        <w:rPr>
          <w:lang w:val="es-ES_tradnl"/>
        </w:rPr>
        <w:t xml:space="preserve"> el </w:t>
      </w:r>
      <w:r w:rsidR="003543D0" w:rsidRPr="00932F5A">
        <w:rPr>
          <w:lang w:val="es-ES_tradnl"/>
        </w:rPr>
        <w:t>financiamiento</w:t>
      </w:r>
      <w:r w:rsidR="00936784" w:rsidRPr="00932F5A">
        <w:rPr>
          <w:lang w:val="es-ES_tradnl"/>
        </w:rPr>
        <w:t xml:space="preserve"> </w:t>
      </w:r>
      <w:r w:rsidR="00BD76CA" w:rsidRPr="00932F5A">
        <w:rPr>
          <w:lang w:val="es-ES_tradnl"/>
        </w:rPr>
        <w:t>para</w:t>
      </w:r>
      <w:r w:rsidR="00936784" w:rsidRPr="00932F5A">
        <w:rPr>
          <w:lang w:val="es-ES_tradnl"/>
        </w:rPr>
        <w:t xml:space="preserve"> </w:t>
      </w:r>
      <w:r w:rsidR="00BD76CA" w:rsidRPr="00932F5A">
        <w:rPr>
          <w:lang w:val="es-ES_tradnl"/>
        </w:rPr>
        <w:t>países</w:t>
      </w:r>
      <w:r w:rsidR="00936784" w:rsidRPr="00932F5A">
        <w:rPr>
          <w:lang w:val="es-ES_tradnl"/>
        </w:rPr>
        <w:t xml:space="preserve"> </w:t>
      </w:r>
      <w:r w:rsidR="00A66CB0" w:rsidRPr="00932F5A">
        <w:rPr>
          <w:lang w:val="es-ES_tradnl"/>
        </w:rPr>
        <w:t>de</w:t>
      </w:r>
      <w:r w:rsidR="00936784" w:rsidRPr="00932F5A">
        <w:rPr>
          <w:lang w:val="es-ES_tradnl"/>
        </w:rPr>
        <w:t xml:space="preserve"> </w:t>
      </w:r>
      <w:r w:rsidR="00A66CB0" w:rsidRPr="00932F5A">
        <w:rPr>
          <w:lang w:val="es-ES_tradnl"/>
        </w:rPr>
        <w:t>bajo</w:t>
      </w:r>
      <w:r w:rsidR="00936784" w:rsidRPr="00932F5A">
        <w:rPr>
          <w:lang w:val="es-ES_tradnl"/>
        </w:rPr>
        <w:t xml:space="preserve"> </w:t>
      </w:r>
      <w:r w:rsidR="00A66CB0" w:rsidRPr="00932F5A">
        <w:rPr>
          <w:lang w:val="es-ES_tradnl"/>
        </w:rPr>
        <w:t>consumo</w:t>
      </w:r>
      <w:r w:rsidR="00936784" w:rsidRPr="00932F5A">
        <w:rPr>
          <w:lang w:val="es-ES_tradnl"/>
        </w:rPr>
        <w:t xml:space="preserve"> </w:t>
      </w:r>
      <w:r w:rsidR="007E491A">
        <w:rPr>
          <w:lang w:val="es-ES_tradnl"/>
        </w:rPr>
        <w:t xml:space="preserve">que reemplacen </w:t>
      </w:r>
      <w:r w:rsidR="005E7D21" w:rsidRPr="00932F5A">
        <w:rPr>
          <w:lang w:val="es-ES_tradnl"/>
        </w:rPr>
        <w:t>HCFC</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F35602">
        <w:rPr>
          <w:lang w:val="es-ES_tradnl"/>
        </w:rPr>
        <w:t xml:space="preserve">el sector </w:t>
      </w:r>
      <w:r w:rsidR="003543D0" w:rsidRPr="00932F5A">
        <w:rPr>
          <w:lang w:val="es-ES_tradnl"/>
        </w:rPr>
        <w:t>servicio</w:t>
      </w:r>
      <w:r w:rsidR="00936784" w:rsidRPr="00932F5A">
        <w:rPr>
          <w:lang w:val="es-ES_tradnl"/>
        </w:rPr>
        <w:t xml:space="preserve"> </w:t>
      </w:r>
      <w:r w:rsidR="00752D9F">
        <w:rPr>
          <w:lang w:val="es-ES_tradnl"/>
        </w:rPr>
        <w:t xml:space="preserve">técnico </w:t>
      </w:r>
      <w:r w:rsidRPr="00932F5A">
        <w:rPr>
          <w:lang w:val="es-ES_tradnl"/>
        </w:rPr>
        <w:t>de</w:t>
      </w:r>
      <w:r w:rsidR="00936784" w:rsidRPr="00932F5A">
        <w:rPr>
          <w:lang w:val="es-ES_tradnl"/>
        </w:rPr>
        <w:t xml:space="preserve"> </w:t>
      </w:r>
      <w:r w:rsidRPr="00932F5A">
        <w:rPr>
          <w:lang w:val="es-ES_tradnl"/>
        </w:rPr>
        <w:t>conformidad</w:t>
      </w:r>
      <w:r w:rsidR="00936784" w:rsidRPr="00932F5A">
        <w:rPr>
          <w:lang w:val="es-ES_tradnl"/>
        </w:rPr>
        <w:t xml:space="preserve"> </w:t>
      </w:r>
      <w:r w:rsidRPr="00932F5A">
        <w:rPr>
          <w:lang w:val="es-ES_tradnl"/>
        </w:rPr>
        <w:t>con</w:t>
      </w:r>
      <w:r w:rsidR="00936784" w:rsidRPr="00932F5A">
        <w:rPr>
          <w:lang w:val="es-ES_tradnl"/>
        </w:rPr>
        <w:t xml:space="preserve"> </w:t>
      </w:r>
      <w:r w:rsidR="00327693">
        <w:rPr>
          <w:lang w:val="es-ES_tradnl"/>
        </w:rPr>
        <w:t xml:space="preserve">el </w:t>
      </w:r>
      <w:r w:rsidR="00EA4DA0" w:rsidRPr="00932F5A">
        <w:rPr>
          <w:lang w:val="es-ES_tradnl"/>
        </w:rPr>
        <w:t>párrafo</w:t>
      </w:r>
      <w:r w:rsidR="00936784" w:rsidRPr="00932F5A">
        <w:rPr>
          <w:lang w:val="es-ES_tradnl"/>
        </w:rPr>
        <w:t xml:space="preserve"> </w:t>
      </w:r>
      <w:r w:rsidR="003847D9" w:rsidRPr="00932F5A">
        <w:rPr>
          <w:lang w:val="es-ES_tradnl"/>
        </w:rPr>
        <w:t>16</w:t>
      </w:r>
      <w:r w:rsidR="00936784" w:rsidRPr="00932F5A">
        <w:rPr>
          <w:lang w:val="es-ES_tradnl"/>
        </w:rPr>
        <w:t xml:space="preserve"> </w:t>
      </w:r>
      <w:r w:rsidRPr="00932F5A">
        <w:rPr>
          <w:lang w:val="es-ES_tradnl"/>
        </w:rPr>
        <w:t>de</w:t>
      </w:r>
      <w:r w:rsidR="00936784" w:rsidRPr="00932F5A">
        <w:rPr>
          <w:lang w:val="es-ES_tradnl"/>
        </w:rPr>
        <w:t xml:space="preserve"> </w:t>
      </w:r>
      <w:r w:rsidRPr="00932F5A">
        <w:rPr>
          <w:lang w:val="es-ES_tradnl"/>
        </w:rPr>
        <w:t>la</w:t>
      </w:r>
      <w:r w:rsidR="00936784" w:rsidRPr="00932F5A">
        <w:rPr>
          <w:lang w:val="es-ES_tradnl"/>
        </w:rPr>
        <w:t xml:space="preserve"> </w:t>
      </w:r>
      <w:r w:rsidRPr="00932F5A">
        <w:rPr>
          <w:lang w:val="es-ES_tradnl"/>
        </w:rPr>
        <w:t>decisión</w:t>
      </w:r>
      <w:r w:rsidR="00936784" w:rsidRPr="00932F5A">
        <w:rPr>
          <w:lang w:val="es-ES_tradnl"/>
        </w:rPr>
        <w:t xml:space="preserve"> </w:t>
      </w:r>
      <w:r w:rsidR="003847D9" w:rsidRPr="00932F5A">
        <w:rPr>
          <w:lang w:val="es-ES_tradnl"/>
        </w:rPr>
        <w:t>XXVIII/</w:t>
      </w:r>
      <w:r w:rsidR="003543D0" w:rsidRPr="00932F5A">
        <w:rPr>
          <w:lang w:val="es-ES_tradnl"/>
        </w:rPr>
        <w:t>2</w:t>
      </w:r>
      <w:r w:rsidR="00192281">
        <w:rPr>
          <w:lang w:val="es-ES_tradnl"/>
        </w:rPr>
        <w:t>, e</w:t>
      </w:r>
      <w:r w:rsidR="00480DAB" w:rsidRPr="00932F5A">
        <w:rPr>
          <w:lang w:val="es-ES_tradnl"/>
        </w:rPr>
        <w:t>l</w:t>
      </w:r>
      <w:r w:rsidR="00936784" w:rsidRPr="00932F5A">
        <w:rPr>
          <w:lang w:val="es-ES_tradnl"/>
        </w:rPr>
        <w:t xml:space="preserve"> </w:t>
      </w:r>
      <w:r w:rsidR="00C66431">
        <w:rPr>
          <w:lang w:val="es-ES_tradnl"/>
        </w:rPr>
        <w:t>Comité acordó</w:t>
      </w:r>
      <w:r w:rsidR="00936784" w:rsidRPr="00932F5A">
        <w:rPr>
          <w:lang w:val="es-ES_tradnl"/>
        </w:rPr>
        <w:t xml:space="preserve"> </w:t>
      </w:r>
      <w:r w:rsidR="00E70416" w:rsidRPr="00E70416">
        <w:rPr>
          <w:lang w:val="es-ES_tradnl"/>
        </w:rPr>
        <w:t>discutirlo bajo la rúbrica de eficiencia energética como tema relacionado</w:t>
      </w:r>
      <w:r w:rsidR="00E70416">
        <w:rPr>
          <w:lang w:val="es-ES_tradnl"/>
        </w:rPr>
        <w:t xml:space="preserve"> con</w:t>
      </w:r>
      <w:r w:rsidR="006A343D">
        <w:rPr>
          <w:lang w:val="es-ES_tradnl"/>
        </w:rPr>
        <w:t xml:space="preserve"> </w:t>
      </w:r>
      <w:r w:rsidR="00310F20">
        <w:rPr>
          <w:lang w:val="es-ES_tradnl"/>
        </w:rPr>
        <w:t>la</w:t>
      </w:r>
      <w:r w:rsidR="00936784" w:rsidRPr="00932F5A">
        <w:rPr>
          <w:lang w:val="es-ES_tradnl"/>
        </w:rPr>
        <w:t xml:space="preserve"> </w:t>
      </w:r>
      <w:r w:rsidR="00D352E8" w:rsidRPr="00932F5A">
        <w:rPr>
          <w:lang w:val="es-ES_tradnl"/>
        </w:rPr>
        <w:t>decisión</w:t>
      </w:r>
      <w:r w:rsidR="00936784" w:rsidRPr="00932F5A">
        <w:rPr>
          <w:lang w:val="es-ES_tradnl"/>
        </w:rPr>
        <w:t xml:space="preserve"> </w:t>
      </w:r>
      <w:r w:rsidR="003847D9" w:rsidRPr="00932F5A">
        <w:rPr>
          <w:lang w:val="es-ES_tradnl"/>
        </w:rPr>
        <w:t>XXX/5.</w:t>
      </w:r>
    </w:p>
    <w:p w14:paraId="17E48F82" w14:textId="32ADD55B" w:rsidR="003847D9" w:rsidRPr="00932F5A" w:rsidRDefault="004F5E03" w:rsidP="00437CD6">
      <w:pPr>
        <w:pStyle w:val="Heading1"/>
        <w:rPr>
          <w:lang w:val="es-ES_tradnl"/>
        </w:rPr>
      </w:pPr>
      <w:r>
        <w:rPr>
          <w:lang w:val="es-ES_tradnl"/>
        </w:rPr>
        <w:t>E</w:t>
      </w:r>
      <w:r w:rsidR="00E069F2">
        <w:rPr>
          <w:lang w:val="es-ES_tradnl"/>
        </w:rPr>
        <w:t>l Comité Ejecutivo</w:t>
      </w:r>
      <w:r w:rsidR="00936784" w:rsidRPr="00932F5A">
        <w:rPr>
          <w:lang w:val="es-ES_tradnl"/>
        </w:rPr>
        <w:t xml:space="preserve"> </w:t>
      </w:r>
      <w:r w:rsidR="005F1C91" w:rsidRPr="00932F5A">
        <w:rPr>
          <w:lang w:val="es-ES_tradnl"/>
        </w:rPr>
        <w:t>podrá</w:t>
      </w:r>
      <w:r w:rsidR="00936784" w:rsidRPr="00932F5A">
        <w:rPr>
          <w:lang w:val="es-ES_tradnl"/>
        </w:rPr>
        <w:t xml:space="preserve"> </w:t>
      </w:r>
      <w:r w:rsidR="005F1C91" w:rsidRPr="00932F5A">
        <w:rPr>
          <w:lang w:val="es-ES_tradnl"/>
        </w:rPr>
        <w:t>estimar</w:t>
      </w:r>
      <w:r w:rsidR="00936784" w:rsidRPr="00932F5A">
        <w:rPr>
          <w:lang w:val="es-ES_tradnl"/>
        </w:rPr>
        <w:t xml:space="preserve"> </w:t>
      </w:r>
      <w:r w:rsidR="005F1C91" w:rsidRPr="00932F5A">
        <w:rPr>
          <w:lang w:val="es-ES_tradnl"/>
        </w:rPr>
        <w:t>oportuno</w:t>
      </w:r>
      <w:r w:rsidR="00936784" w:rsidRPr="00932F5A">
        <w:rPr>
          <w:lang w:val="es-ES_tradnl"/>
        </w:rPr>
        <w:t xml:space="preserve"> </w:t>
      </w:r>
      <w:r w:rsidR="00471626">
        <w:rPr>
          <w:lang w:val="es-ES_tradnl"/>
        </w:rPr>
        <w:t>reanudar</w:t>
      </w:r>
      <w:r w:rsidR="001668CF">
        <w:rPr>
          <w:lang w:val="es-ES_tradnl"/>
        </w:rPr>
        <w:t>,</w:t>
      </w:r>
      <w:r w:rsidR="00936784" w:rsidRPr="00932F5A">
        <w:rPr>
          <w:lang w:val="es-ES_tradnl"/>
        </w:rPr>
        <w:t xml:space="preserve"> </w:t>
      </w:r>
      <w:r w:rsidR="00FB0323">
        <w:rPr>
          <w:lang w:val="es-ES_tradnl"/>
        </w:rPr>
        <w:t xml:space="preserve">en </w:t>
      </w:r>
      <w:r w:rsidR="007E1C56">
        <w:rPr>
          <w:lang w:val="es-ES_tradnl"/>
        </w:rPr>
        <w:t xml:space="preserve">el marco de </w:t>
      </w:r>
      <w:r w:rsidR="00FB0323" w:rsidRPr="00FB0323">
        <w:rPr>
          <w:lang w:val="es-ES_tradnl"/>
        </w:rPr>
        <w:t>la 83</w:t>
      </w:r>
      <w:r w:rsidR="005F33A5">
        <w:rPr>
          <w:lang w:val="es-ES_tradnl"/>
        </w:rPr>
        <w:t>ª reunión</w:t>
      </w:r>
      <w:r w:rsidR="001668CF">
        <w:rPr>
          <w:lang w:val="es-ES_tradnl"/>
        </w:rPr>
        <w:t>,</w:t>
      </w:r>
      <w:r w:rsidR="00FB0323" w:rsidRPr="00FB0323">
        <w:rPr>
          <w:lang w:val="es-ES_tradnl"/>
        </w:rPr>
        <w:t xml:space="preserve"> </w:t>
      </w:r>
      <w:r w:rsidR="002F6625" w:rsidRPr="002F6625">
        <w:rPr>
          <w:lang w:val="es-ES_tradnl"/>
        </w:rPr>
        <w:t xml:space="preserve">la discusión </w:t>
      </w:r>
      <w:r w:rsidR="004B4929">
        <w:rPr>
          <w:lang w:val="es-ES_tradnl"/>
        </w:rPr>
        <w:t xml:space="preserve">sobre </w:t>
      </w:r>
      <w:r w:rsidR="00D352E8" w:rsidRPr="00932F5A">
        <w:rPr>
          <w:lang w:val="es-ES_tradnl"/>
        </w:rPr>
        <w:t>el</w:t>
      </w:r>
      <w:r w:rsidR="00936784" w:rsidRPr="00932F5A">
        <w:rPr>
          <w:lang w:val="es-ES_tradnl"/>
        </w:rPr>
        <w:t xml:space="preserve"> </w:t>
      </w:r>
      <w:r w:rsidR="00D352E8" w:rsidRPr="00932F5A">
        <w:rPr>
          <w:lang w:val="es-ES_tradnl"/>
        </w:rPr>
        <w:t>nivel</w:t>
      </w:r>
      <w:r w:rsidR="00936784" w:rsidRPr="00932F5A">
        <w:rPr>
          <w:lang w:val="es-ES_tradnl"/>
        </w:rPr>
        <w:t xml:space="preserve"> </w:t>
      </w:r>
      <w:r w:rsidR="003543D0" w:rsidRPr="00932F5A">
        <w:rPr>
          <w:lang w:val="es-ES_tradnl"/>
        </w:rPr>
        <w:t>y</w:t>
      </w:r>
      <w:r w:rsidR="00936784" w:rsidRPr="00932F5A">
        <w:rPr>
          <w:lang w:val="es-ES_tradnl"/>
        </w:rPr>
        <w:t xml:space="preserve"> </w:t>
      </w:r>
      <w:r w:rsidR="00762C85" w:rsidRPr="00932F5A">
        <w:rPr>
          <w:lang w:val="es-ES_tradnl"/>
        </w:rPr>
        <w:t>modalidades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financiamiento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EB43C3" w:rsidRPr="00932F5A">
        <w:rPr>
          <w:lang w:val="es-ES_tradnl"/>
        </w:rPr>
        <w:t>sobrecostos</w:t>
      </w:r>
      <w:r w:rsidR="00936784" w:rsidRPr="00932F5A">
        <w:rPr>
          <w:lang w:val="es-ES_tradnl"/>
        </w:rPr>
        <w:t xml:space="preserve"> </w:t>
      </w:r>
      <w:r w:rsidR="00EB43C3" w:rsidRPr="00932F5A">
        <w:rPr>
          <w:lang w:val="es-ES_tradnl"/>
        </w:rPr>
        <w:t>admisibles</w:t>
      </w:r>
      <w:r w:rsidR="00936784" w:rsidRPr="00932F5A">
        <w:rPr>
          <w:lang w:val="es-ES_tradnl"/>
        </w:rPr>
        <w:t xml:space="preserve"> </w:t>
      </w:r>
      <w:r w:rsidR="00A66CB0" w:rsidRPr="00932F5A">
        <w:rPr>
          <w:lang w:val="es-ES_tradnl"/>
        </w:rPr>
        <w:t>para</w:t>
      </w:r>
      <w:r w:rsidR="00936784" w:rsidRPr="00932F5A">
        <w:rPr>
          <w:lang w:val="es-ES_tradnl"/>
        </w:rPr>
        <w:t xml:space="preserve"> </w:t>
      </w:r>
      <w:r w:rsidR="00A66CB0" w:rsidRPr="00932F5A">
        <w:rPr>
          <w:lang w:val="es-ES_tradnl"/>
        </w:rPr>
        <w:t>la</w:t>
      </w:r>
      <w:r w:rsidR="00936784" w:rsidRPr="00932F5A">
        <w:rPr>
          <w:lang w:val="es-ES_tradnl"/>
        </w:rPr>
        <w:t xml:space="preserve"> </w:t>
      </w:r>
      <w:r w:rsidR="00A66CB0" w:rsidRPr="00932F5A">
        <w:rPr>
          <w:lang w:val="es-ES_tradnl"/>
        </w:rPr>
        <w:t>reducción</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A66CB0" w:rsidRPr="00932F5A">
        <w:rPr>
          <w:lang w:val="es-ES_tradnl"/>
        </w:rPr>
        <w:t>HFC</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197A00" w:rsidRPr="00932F5A">
        <w:rPr>
          <w:lang w:val="es-ES_tradnl"/>
        </w:rPr>
        <w:t>el</w:t>
      </w:r>
      <w:r w:rsidR="00936784" w:rsidRPr="00932F5A">
        <w:rPr>
          <w:lang w:val="es-ES_tradnl"/>
        </w:rPr>
        <w:t xml:space="preserve"> </w:t>
      </w:r>
      <w:r w:rsidR="00197A00" w:rsidRPr="00932F5A">
        <w:rPr>
          <w:lang w:val="es-ES_tradnl"/>
        </w:rPr>
        <w:t>sector</w:t>
      </w:r>
      <w:r w:rsidR="00936784" w:rsidRPr="00932F5A">
        <w:rPr>
          <w:lang w:val="es-ES_tradnl"/>
        </w:rPr>
        <w:t xml:space="preserve"> </w:t>
      </w:r>
      <w:r w:rsidR="003543D0" w:rsidRPr="00932F5A">
        <w:rPr>
          <w:lang w:val="es-ES_tradnl"/>
        </w:rPr>
        <w:t>servicio</w:t>
      </w:r>
      <w:r w:rsidR="00936784" w:rsidRPr="00932F5A">
        <w:rPr>
          <w:lang w:val="es-ES_tradnl"/>
        </w:rPr>
        <w:t xml:space="preserve"> </w:t>
      </w:r>
      <w:r w:rsidR="003543D0" w:rsidRPr="00932F5A">
        <w:rPr>
          <w:lang w:val="es-ES_tradnl"/>
        </w:rPr>
        <w:t>técnico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equipos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refrigeración</w:t>
      </w:r>
      <w:r w:rsidR="00836FE8">
        <w:rPr>
          <w:lang w:val="es-ES_tradnl"/>
        </w:rPr>
        <w:t xml:space="preserve">, </w:t>
      </w:r>
      <w:r w:rsidR="005E7D21" w:rsidRPr="00932F5A">
        <w:rPr>
          <w:lang w:val="es-ES_tradnl"/>
        </w:rPr>
        <w:t>a</w:t>
      </w:r>
      <w:r w:rsidR="00936784" w:rsidRPr="00932F5A">
        <w:rPr>
          <w:lang w:val="es-ES_tradnl"/>
        </w:rPr>
        <w:t xml:space="preserve"> </w:t>
      </w:r>
      <w:r w:rsidR="005E7D21" w:rsidRPr="00932F5A">
        <w:rPr>
          <w:lang w:val="es-ES_tradnl"/>
        </w:rPr>
        <w:t>la</w:t>
      </w:r>
      <w:r w:rsidR="00936784" w:rsidRPr="00932F5A">
        <w:rPr>
          <w:lang w:val="es-ES_tradnl"/>
        </w:rPr>
        <w:t xml:space="preserve"> </w:t>
      </w:r>
      <w:r w:rsidR="005E7D21" w:rsidRPr="00932F5A">
        <w:rPr>
          <w:lang w:val="es-ES_tradnl"/>
        </w:rPr>
        <w:t>luz</w:t>
      </w:r>
      <w:r w:rsidR="00936784" w:rsidRPr="00932F5A">
        <w:rPr>
          <w:lang w:val="es-ES_tradnl"/>
        </w:rPr>
        <w:t xml:space="preserve"> </w:t>
      </w:r>
      <w:r w:rsidR="00836FE8">
        <w:rPr>
          <w:lang w:val="es-ES_tradnl"/>
        </w:rPr>
        <w:t xml:space="preserve">de la </w:t>
      </w:r>
      <w:r w:rsidR="00BD76CA" w:rsidRPr="00932F5A">
        <w:rPr>
          <w:lang w:val="es-ES_tradnl"/>
        </w:rPr>
        <w:t>información</w:t>
      </w:r>
      <w:r w:rsidR="00936784" w:rsidRPr="00932F5A">
        <w:rPr>
          <w:lang w:val="es-ES_tradnl"/>
        </w:rPr>
        <w:t xml:space="preserve"> </w:t>
      </w:r>
      <w:r w:rsidR="00BD76CA" w:rsidRPr="00932F5A">
        <w:rPr>
          <w:lang w:val="es-ES_tradnl"/>
        </w:rPr>
        <w:t>contenida</w:t>
      </w:r>
      <w:r w:rsidR="00936784" w:rsidRPr="00932F5A">
        <w:rPr>
          <w:lang w:val="es-ES_tradnl"/>
        </w:rPr>
        <w:t xml:space="preserve"> </w:t>
      </w:r>
      <w:r w:rsidR="00EB43C3" w:rsidRPr="00932F5A">
        <w:rPr>
          <w:lang w:val="es-ES_tradnl"/>
        </w:rPr>
        <w:t>en</w:t>
      </w:r>
      <w:r w:rsidR="00936784" w:rsidRPr="00932F5A">
        <w:rPr>
          <w:lang w:val="es-ES_tradnl"/>
        </w:rPr>
        <w:t xml:space="preserve"> </w:t>
      </w:r>
      <w:r w:rsidR="00EB43C3" w:rsidRPr="00932F5A">
        <w:rPr>
          <w:lang w:val="es-ES_tradnl"/>
        </w:rPr>
        <w:t>el</w:t>
      </w:r>
      <w:r w:rsidR="00936784" w:rsidRPr="00932F5A">
        <w:rPr>
          <w:lang w:val="es-ES_tradnl"/>
        </w:rPr>
        <w:t xml:space="preserve"> </w:t>
      </w:r>
      <w:r w:rsidR="00EB43C3" w:rsidRPr="00932F5A">
        <w:rPr>
          <w:lang w:val="es-ES_tradnl"/>
        </w:rPr>
        <w:t>documento</w:t>
      </w:r>
      <w:r w:rsidR="00936784" w:rsidRPr="00932F5A">
        <w:rPr>
          <w:lang w:val="es-ES_tradnl"/>
        </w:rPr>
        <w:t xml:space="preserve"> </w:t>
      </w:r>
      <w:r w:rsidR="00EA4DA0" w:rsidRPr="00932F5A">
        <w:rPr>
          <w:lang w:val="es-ES_tradnl"/>
        </w:rPr>
        <w:t>UNEP/OzL.Pro</w:t>
      </w:r>
      <w:r w:rsidR="003847D9" w:rsidRPr="00932F5A">
        <w:rPr>
          <w:lang w:val="es-ES_tradnl"/>
        </w:rPr>
        <w:t>/ExCom/82/64.</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3847D9" w:rsidRPr="00932F5A">
        <w:rPr>
          <w:lang w:val="es-ES_tradnl"/>
        </w:rPr>
        <w:t>particular:</w:t>
      </w:r>
    </w:p>
    <w:p w14:paraId="5B04B1D7" w14:textId="0462BF95" w:rsidR="00FF6784" w:rsidRPr="00932F5A" w:rsidRDefault="00197A00" w:rsidP="004D70C9">
      <w:pPr>
        <w:pStyle w:val="Heading2"/>
        <w:numPr>
          <w:ilvl w:val="1"/>
          <w:numId w:val="35"/>
        </w:numPr>
        <w:ind w:left="1417" w:hanging="708"/>
        <w:rPr>
          <w:lang w:val="es-ES_tradnl"/>
        </w:rPr>
      </w:pPr>
      <w:r w:rsidRPr="00932F5A">
        <w:rPr>
          <w:lang w:val="es-ES_tradnl"/>
        </w:rPr>
        <w:t>Oportunidades</w:t>
      </w:r>
      <w:r w:rsidR="00936784" w:rsidRPr="00932F5A">
        <w:rPr>
          <w:lang w:val="es-ES_tradnl"/>
        </w:rPr>
        <w:t xml:space="preserve"> </w:t>
      </w:r>
      <w:r w:rsidR="003543D0" w:rsidRPr="00932F5A">
        <w:rPr>
          <w:lang w:val="es-ES_tradnl"/>
        </w:rPr>
        <w:t>y</w:t>
      </w:r>
      <w:r w:rsidR="00936784" w:rsidRPr="00932F5A">
        <w:rPr>
          <w:lang w:val="es-ES_tradnl"/>
        </w:rPr>
        <w:t xml:space="preserve"> </w:t>
      </w:r>
      <w:r w:rsidR="00584915" w:rsidRPr="00932F5A">
        <w:rPr>
          <w:lang w:val="es-ES_tradnl"/>
        </w:rPr>
        <w:t>sinergias</w:t>
      </w:r>
      <w:r w:rsidR="00936784" w:rsidRPr="00932F5A">
        <w:rPr>
          <w:lang w:val="es-ES_tradnl"/>
        </w:rPr>
        <w:t xml:space="preserve"> </w:t>
      </w:r>
      <w:r w:rsidR="005702BD">
        <w:rPr>
          <w:lang w:val="es-ES_tradnl"/>
        </w:rPr>
        <w:t xml:space="preserve">que surjan </w:t>
      </w:r>
      <w:r w:rsidR="005B0DA5">
        <w:rPr>
          <w:lang w:val="es-ES_tradnl"/>
        </w:rPr>
        <w:t>de la ejecución de actividades que favorecen</w:t>
      </w:r>
      <w:r w:rsidR="00010623">
        <w:rPr>
          <w:lang w:val="es-ES_tradnl"/>
        </w:rPr>
        <w:t xml:space="preserve"> tanto </w:t>
      </w:r>
      <w:r w:rsidR="005E7D21" w:rsidRPr="00932F5A">
        <w:rPr>
          <w:lang w:val="es-ES_tradnl"/>
        </w:rPr>
        <w:t>la</w:t>
      </w:r>
      <w:r w:rsidR="00936784" w:rsidRPr="00932F5A">
        <w:rPr>
          <w:lang w:val="es-ES_tradnl"/>
        </w:rPr>
        <w:t xml:space="preserve"> </w:t>
      </w:r>
      <w:r w:rsidR="005E7D21" w:rsidRPr="00932F5A">
        <w:rPr>
          <w:lang w:val="es-ES_tradnl"/>
        </w:rPr>
        <w:t>eliminación</w:t>
      </w:r>
      <w:r w:rsidR="00936784" w:rsidRPr="00932F5A">
        <w:rPr>
          <w:lang w:val="es-ES_tradnl"/>
        </w:rPr>
        <w:t xml:space="preserve"> </w:t>
      </w:r>
      <w:r w:rsidR="005E7D21" w:rsidRPr="00932F5A">
        <w:rPr>
          <w:lang w:val="es-ES_tradnl"/>
        </w:rPr>
        <w:t>de</w:t>
      </w:r>
      <w:r w:rsidR="00936784" w:rsidRPr="00932F5A">
        <w:rPr>
          <w:lang w:val="es-ES_tradnl"/>
        </w:rPr>
        <w:t xml:space="preserve"> </w:t>
      </w:r>
      <w:r w:rsidR="005E7D21" w:rsidRPr="00932F5A">
        <w:rPr>
          <w:lang w:val="es-ES_tradnl"/>
        </w:rPr>
        <w:t>HCFC</w:t>
      </w:r>
      <w:r w:rsidR="00936784" w:rsidRPr="00932F5A">
        <w:rPr>
          <w:lang w:val="es-ES_tradnl"/>
        </w:rPr>
        <w:t xml:space="preserve"> </w:t>
      </w:r>
      <w:r w:rsidR="00010623">
        <w:rPr>
          <w:lang w:val="es-ES_tradnl"/>
        </w:rPr>
        <w:t xml:space="preserve">como la </w:t>
      </w:r>
      <w:r w:rsidR="005F1C91" w:rsidRPr="00932F5A">
        <w:rPr>
          <w:lang w:val="es-ES_tradnl"/>
        </w:rPr>
        <w:t>reducción</w:t>
      </w:r>
      <w:r w:rsidR="00936784" w:rsidRPr="00932F5A">
        <w:rPr>
          <w:lang w:val="es-ES_tradnl"/>
        </w:rPr>
        <w:t xml:space="preserve"> </w:t>
      </w:r>
      <w:r w:rsidR="005F1C91" w:rsidRPr="00932F5A">
        <w:rPr>
          <w:lang w:val="es-ES_tradnl"/>
        </w:rPr>
        <w:t>de</w:t>
      </w:r>
      <w:r w:rsidR="00936784" w:rsidRPr="00932F5A">
        <w:rPr>
          <w:lang w:val="es-ES_tradnl"/>
        </w:rPr>
        <w:t xml:space="preserve"> </w:t>
      </w:r>
      <w:r w:rsidR="005F1C91" w:rsidRPr="00932F5A">
        <w:rPr>
          <w:lang w:val="es-ES_tradnl"/>
        </w:rPr>
        <w:t>los</w:t>
      </w:r>
      <w:r w:rsidR="00936784" w:rsidRPr="00932F5A">
        <w:rPr>
          <w:lang w:val="es-ES_tradnl"/>
        </w:rPr>
        <w:t xml:space="preserve"> </w:t>
      </w:r>
      <w:r w:rsidR="005F1C91" w:rsidRPr="00932F5A">
        <w:rPr>
          <w:lang w:val="es-ES_tradnl"/>
        </w:rPr>
        <w:t>HFC</w:t>
      </w:r>
      <w:r w:rsidR="003847D9" w:rsidRPr="00932F5A">
        <w:rPr>
          <w:lang w:val="es-ES_tradnl"/>
        </w:rPr>
        <w:t>,</w:t>
      </w:r>
    </w:p>
    <w:p w14:paraId="6C88D583" w14:textId="7D9D544E" w:rsidR="003847D9" w:rsidRPr="00932F5A" w:rsidRDefault="00807F4C" w:rsidP="004D70C9">
      <w:pPr>
        <w:pStyle w:val="Heading2"/>
        <w:numPr>
          <w:ilvl w:val="1"/>
          <w:numId w:val="35"/>
        </w:numPr>
        <w:ind w:left="1417" w:hanging="708"/>
        <w:rPr>
          <w:lang w:val="es-ES_tradnl"/>
        </w:rPr>
      </w:pPr>
      <w:r>
        <w:rPr>
          <w:lang w:val="es-ES_tradnl"/>
        </w:rPr>
        <w:t xml:space="preserve">Desafíos </w:t>
      </w:r>
      <w:r w:rsidR="00B80F1C">
        <w:rPr>
          <w:lang w:val="es-ES_tradnl"/>
        </w:rPr>
        <w:t>detectados</w:t>
      </w:r>
      <w:r w:rsidR="00936784" w:rsidRPr="00932F5A">
        <w:rPr>
          <w:lang w:val="es-ES_tradnl"/>
        </w:rPr>
        <w:t xml:space="preserve"> </w:t>
      </w:r>
      <w:r w:rsidR="00592E63" w:rsidRPr="00932F5A">
        <w:rPr>
          <w:lang w:val="es-ES_tradnl"/>
        </w:rPr>
        <w:t xml:space="preserve">para la </w:t>
      </w:r>
      <w:r w:rsidR="00EB43C3" w:rsidRPr="00932F5A">
        <w:rPr>
          <w:lang w:val="es-ES_tradnl"/>
        </w:rPr>
        <w:t>introducción</w:t>
      </w:r>
      <w:r w:rsidR="00936784" w:rsidRPr="00932F5A">
        <w:rPr>
          <w:lang w:val="es-ES_tradnl"/>
        </w:rPr>
        <w:t xml:space="preserve"> </w:t>
      </w:r>
      <w:r w:rsidR="00730EF9" w:rsidRPr="00730EF9">
        <w:rPr>
          <w:lang w:val="es-ES_tradnl"/>
        </w:rPr>
        <w:t>de alternativas de bajo PCA</w:t>
      </w:r>
      <w:r w:rsidR="00E4557C" w:rsidRPr="001A712A">
        <w:rPr>
          <w:lang w:val="es-ES"/>
        </w:rPr>
        <w:t xml:space="preserve"> </w:t>
      </w:r>
      <w:r w:rsidR="00E4557C" w:rsidRPr="00E4557C">
        <w:rPr>
          <w:lang w:val="es-ES_tradnl"/>
        </w:rPr>
        <w:t>a mayor escala</w:t>
      </w:r>
      <w:r w:rsidR="003847D9" w:rsidRPr="00932F5A">
        <w:rPr>
          <w:lang w:val="es-ES_tradnl"/>
        </w:rPr>
        <w:t>;</w:t>
      </w:r>
      <w:r w:rsidR="00936784" w:rsidRPr="00932F5A">
        <w:rPr>
          <w:lang w:val="es-ES_tradnl"/>
        </w:rPr>
        <w:t xml:space="preserve"> </w:t>
      </w:r>
      <w:r w:rsidR="003543D0" w:rsidRPr="00932F5A">
        <w:rPr>
          <w:lang w:val="es-ES_tradnl"/>
        </w:rPr>
        <w:t>y</w:t>
      </w:r>
    </w:p>
    <w:p w14:paraId="5873E292" w14:textId="6E9933FA" w:rsidR="003847D9" w:rsidRPr="00932F5A" w:rsidRDefault="00B85341" w:rsidP="004D70C9">
      <w:pPr>
        <w:pStyle w:val="Heading2"/>
        <w:numPr>
          <w:ilvl w:val="1"/>
          <w:numId w:val="35"/>
        </w:numPr>
        <w:ind w:left="1417" w:hanging="708"/>
        <w:rPr>
          <w:lang w:val="es-ES_tradnl"/>
        </w:rPr>
      </w:pPr>
      <w:r w:rsidRPr="00932F5A">
        <w:rPr>
          <w:lang w:val="es-ES_tradnl"/>
        </w:rPr>
        <w:t xml:space="preserve">Niveles </w:t>
      </w:r>
      <w:r w:rsidR="00EB43C3" w:rsidRPr="00932F5A">
        <w:rPr>
          <w:lang w:val="es-ES_tradnl"/>
        </w:rPr>
        <w:t>de</w:t>
      </w:r>
      <w:r w:rsidR="00936784" w:rsidRPr="00932F5A">
        <w:rPr>
          <w:lang w:val="es-ES_tradnl"/>
        </w:rPr>
        <w:t xml:space="preserve"> </w:t>
      </w:r>
      <w:r w:rsidR="00EB43C3" w:rsidRPr="00932F5A">
        <w:rPr>
          <w:lang w:val="es-ES_tradnl"/>
        </w:rPr>
        <w:t>financiamiento</w:t>
      </w:r>
      <w:r w:rsidR="00936784" w:rsidRPr="00932F5A">
        <w:rPr>
          <w:lang w:val="es-ES_tradnl"/>
        </w:rPr>
        <w:t xml:space="preserve"> </w:t>
      </w:r>
      <w:r>
        <w:rPr>
          <w:lang w:val="es-ES_tradnl"/>
        </w:rPr>
        <w:t xml:space="preserve">necesarios </w:t>
      </w:r>
      <w:r w:rsidR="00F96E28">
        <w:rPr>
          <w:lang w:val="es-ES_tradnl"/>
        </w:rPr>
        <w:t xml:space="preserve">para </w:t>
      </w:r>
      <w:r w:rsidR="00A75D0D">
        <w:rPr>
          <w:lang w:val="es-ES_tradnl"/>
        </w:rPr>
        <w:t xml:space="preserve">cumplir </w:t>
      </w:r>
      <w:r w:rsidR="00D352E8" w:rsidRPr="00932F5A">
        <w:rPr>
          <w:lang w:val="es-ES_tradnl"/>
        </w:rPr>
        <w:t>con</w:t>
      </w:r>
      <w:r w:rsidR="00936784" w:rsidRPr="00932F5A">
        <w:rPr>
          <w:lang w:val="es-ES_tradnl"/>
        </w:rPr>
        <w:t xml:space="preserve"> </w:t>
      </w:r>
      <w:r w:rsidR="00EB0685">
        <w:rPr>
          <w:lang w:val="es-ES_tradnl"/>
        </w:rPr>
        <w:t xml:space="preserve">las etapas de </w:t>
      </w:r>
      <w:r w:rsidR="00EB43C3" w:rsidRPr="00932F5A">
        <w:rPr>
          <w:lang w:val="es-ES_tradnl"/>
        </w:rPr>
        <w:t>reducción</w:t>
      </w:r>
      <w:r w:rsidR="00936784" w:rsidRPr="00932F5A">
        <w:rPr>
          <w:lang w:val="es-ES_tradnl"/>
        </w:rPr>
        <w:t xml:space="preserve"> </w:t>
      </w:r>
      <w:r w:rsidR="00EB43C3" w:rsidRPr="00932F5A">
        <w:rPr>
          <w:lang w:val="es-ES_tradnl"/>
        </w:rPr>
        <w:t>y</w:t>
      </w:r>
      <w:r w:rsidR="00936784" w:rsidRPr="00932F5A">
        <w:rPr>
          <w:lang w:val="es-ES_tradnl"/>
        </w:rPr>
        <w:t xml:space="preserve"> </w:t>
      </w:r>
      <w:r w:rsidR="00197A00" w:rsidRPr="00932F5A">
        <w:rPr>
          <w:lang w:val="es-ES_tradnl"/>
        </w:rPr>
        <w:t>la</w:t>
      </w:r>
      <w:r w:rsidR="00936784" w:rsidRPr="00932F5A">
        <w:rPr>
          <w:lang w:val="es-ES_tradnl"/>
        </w:rPr>
        <w:t xml:space="preserve"> </w:t>
      </w:r>
      <w:r w:rsidR="005C33D0">
        <w:rPr>
          <w:lang w:val="es-ES_tradnl"/>
        </w:rPr>
        <w:lastRenderedPageBreak/>
        <w:t>flexibilidad que requieren</w:t>
      </w:r>
      <w:r w:rsidR="00307BEC">
        <w:rPr>
          <w:lang w:val="es-ES_tradnl"/>
        </w:rPr>
        <w:t xml:space="preserve"> los </w:t>
      </w:r>
      <w:r w:rsidR="00BD76CA" w:rsidRPr="00932F5A">
        <w:rPr>
          <w:lang w:val="es-ES_tradnl"/>
        </w:rPr>
        <w:t>país</w:t>
      </w:r>
      <w:r w:rsidR="005F1C91" w:rsidRPr="00932F5A">
        <w:rPr>
          <w:lang w:val="es-ES_tradnl"/>
        </w:rPr>
        <w:t>es</w:t>
      </w:r>
      <w:r w:rsidR="00936784" w:rsidRPr="00932F5A">
        <w:rPr>
          <w:lang w:val="es-ES_tradnl"/>
        </w:rPr>
        <w:t xml:space="preserve"> </w:t>
      </w:r>
      <w:r w:rsidR="005F1C91" w:rsidRPr="00932F5A">
        <w:rPr>
          <w:lang w:val="es-ES_tradnl"/>
        </w:rPr>
        <w:t>del</w:t>
      </w:r>
      <w:r w:rsidR="00936784" w:rsidRPr="00932F5A">
        <w:rPr>
          <w:lang w:val="es-ES_tradnl"/>
        </w:rPr>
        <w:t xml:space="preserve"> </w:t>
      </w:r>
      <w:r w:rsidR="005F1C91" w:rsidRPr="00932F5A">
        <w:rPr>
          <w:lang w:val="es-ES_tradnl"/>
        </w:rPr>
        <w:t>artículo</w:t>
      </w:r>
      <w:r w:rsidR="00936784" w:rsidRPr="00932F5A">
        <w:rPr>
          <w:lang w:val="es-ES_tradnl"/>
        </w:rPr>
        <w:t xml:space="preserve"> </w:t>
      </w:r>
      <w:r w:rsidR="005F1C91" w:rsidRPr="00932F5A">
        <w:rPr>
          <w:lang w:val="es-ES_tradnl"/>
        </w:rPr>
        <w:t>5</w:t>
      </w:r>
      <w:r w:rsidR="00936784" w:rsidRPr="00932F5A">
        <w:rPr>
          <w:lang w:val="es-ES_tradnl"/>
        </w:rPr>
        <w:t xml:space="preserve"> </w:t>
      </w:r>
      <w:r w:rsidR="00794D6E">
        <w:rPr>
          <w:lang w:val="es-ES_tradnl"/>
        </w:rPr>
        <w:t xml:space="preserve">para destinar </w:t>
      </w:r>
      <w:r w:rsidR="00C243D6">
        <w:rPr>
          <w:lang w:val="es-ES_tradnl"/>
        </w:rPr>
        <w:t xml:space="preserve">fondos a </w:t>
      </w:r>
      <w:r w:rsidR="00EB43C3" w:rsidRPr="00932F5A">
        <w:rPr>
          <w:lang w:val="es-ES_tradnl"/>
        </w:rPr>
        <w:t>prioridades</w:t>
      </w:r>
      <w:r w:rsidR="00936784" w:rsidRPr="00932F5A">
        <w:rPr>
          <w:lang w:val="es-ES_tradnl"/>
        </w:rPr>
        <w:t xml:space="preserve"> </w:t>
      </w:r>
      <w:r w:rsidR="00C243D6">
        <w:rPr>
          <w:lang w:val="es-ES_tradnl"/>
        </w:rPr>
        <w:t xml:space="preserve">estratégicas </w:t>
      </w:r>
      <w:r w:rsidR="00592E63" w:rsidRPr="00932F5A">
        <w:rPr>
          <w:lang w:val="es-ES_tradnl"/>
        </w:rPr>
        <w:t xml:space="preserve">sobre la base de </w:t>
      </w:r>
      <w:r w:rsidR="00431F01">
        <w:rPr>
          <w:lang w:val="es-ES_tradnl"/>
        </w:rPr>
        <w:t>sus</w:t>
      </w:r>
      <w:r w:rsidR="00936784" w:rsidRPr="00932F5A">
        <w:rPr>
          <w:lang w:val="es-ES_tradnl"/>
        </w:rPr>
        <w:t xml:space="preserve"> </w:t>
      </w:r>
      <w:r w:rsidR="005E7D21" w:rsidRPr="00932F5A">
        <w:rPr>
          <w:lang w:val="es-ES_tradnl"/>
        </w:rPr>
        <w:t>niveles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D352E8" w:rsidRPr="00932F5A">
        <w:rPr>
          <w:lang w:val="es-ES_tradnl"/>
        </w:rPr>
        <w:t>consumo</w:t>
      </w:r>
      <w:r w:rsidR="00936784" w:rsidRPr="00932F5A">
        <w:rPr>
          <w:lang w:val="es-ES_tradnl"/>
        </w:rPr>
        <w:t xml:space="preserve"> </w:t>
      </w:r>
      <w:r w:rsidR="003847D9" w:rsidRPr="00932F5A">
        <w:rPr>
          <w:lang w:val="es-ES_tradnl"/>
        </w:rPr>
        <w:t>(</w:t>
      </w:r>
      <w:r w:rsidR="005E7D21" w:rsidRPr="00932F5A">
        <w:rPr>
          <w:lang w:val="es-ES_tradnl"/>
        </w:rPr>
        <w:t>p.</w:t>
      </w:r>
      <w:r w:rsidR="00936784" w:rsidRPr="00932F5A">
        <w:rPr>
          <w:lang w:val="es-ES_tradnl"/>
        </w:rPr>
        <w:t xml:space="preserve"> </w:t>
      </w:r>
      <w:r w:rsidR="005E7D21" w:rsidRPr="00932F5A">
        <w:rPr>
          <w:lang w:val="es-ES_tradnl"/>
        </w:rPr>
        <w:t>ej.</w:t>
      </w:r>
      <w:r w:rsidR="003847D9" w:rsidRPr="00932F5A">
        <w:rPr>
          <w:lang w:val="es-ES_tradnl"/>
        </w:rPr>
        <w:t>,</w:t>
      </w:r>
      <w:r w:rsidR="00936784" w:rsidRPr="00932F5A">
        <w:rPr>
          <w:lang w:val="es-ES_tradnl"/>
        </w:rPr>
        <w:t xml:space="preserve"> </w:t>
      </w:r>
      <w:r w:rsidR="00813B62">
        <w:rPr>
          <w:lang w:val="es-ES_tradnl"/>
        </w:rPr>
        <w:t xml:space="preserve">apoyar </w:t>
      </w:r>
      <w:r w:rsidR="00592E63" w:rsidRPr="00932F5A">
        <w:rPr>
          <w:lang w:val="es-ES_tradnl"/>
        </w:rPr>
        <w:t xml:space="preserve">la </w:t>
      </w:r>
      <w:r w:rsidR="00EB43C3" w:rsidRPr="00932F5A">
        <w:rPr>
          <w:lang w:val="es-ES_tradnl"/>
        </w:rPr>
        <w:t>introducción</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D352E8" w:rsidRPr="00932F5A">
        <w:rPr>
          <w:lang w:val="es-ES_tradnl"/>
        </w:rPr>
        <w:t>tecnologías</w:t>
      </w:r>
      <w:r w:rsidR="00936784" w:rsidRPr="00932F5A">
        <w:rPr>
          <w:lang w:val="es-ES_tradnl"/>
        </w:rPr>
        <w:t xml:space="preserve"> </w:t>
      </w:r>
      <w:r w:rsidR="00EC38A4" w:rsidRPr="00EC38A4">
        <w:rPr>
          <w:lang w:val="es-ES_tradnl"/>
        </w:rPr>
        <w:t xml:space="preserve">específicas </w:t>
      </w:r>
      <w:r w:rsidR="00D352E8" w:rsidRPr="00932F5A">
        <w:rPr>
          <w:lang w:val="es-ES_tradnl"/>
        </w:rPr>
        <w:t>en</w:t>
      </w:r>
      <w:r w:rsidR="00936784" w:rsidRPr="00932F5A">
        <w:rPr>
          <w:lang w:val="es-ES_tradnl"/>
        </w:rPr>
        <w:t xml:space="preserve"> </w:t>
      </w:r>
      <w:r w:rsidR="005E7D21" w:rsidRPr="00932F5A">
        <w:rPr>
          <w:lang w:val="es-ES_tradnl"/>
        </w:rPr>
        <w:t>sectores</w:t>
      </w:r>
      <w:r w:rsidR="007229E1" w:rsidRPr="001A712A">
        <w:rPr>
          <w:lang w:val="es-ES"/>
        </w:rPr>
        <w:t xml:space="preserve"> </w:t>
      </w:r>
      <w:r w:rsidR="007229E1">
        <w:rPr>
          <w:lang w:val="es-ES_tradnl"/>
        </w:rPr>
        <w:t>específicos</w:t>
      </w:r>
      <w:r w:rsidR="003847D9" w:rsidRPr="00932F5A">
        <w:rPr>
          <w:lang w:val="es-ES_tradnl"/>
        </w:rPr>
        <w:t>,</w:t>
      </w:r>
      <w:r w:rsidR="00936784" w:rsidRPr="00932F5A">
        <w:rPr>
          <w:lang w:val="es-ES_tradnl"/>
        </w:rPr>
        <w:t xml:space="preserve"> </w:t>
      </w:r>
      <w:r w:rsidR="00B9334D">
        <w:rPr>
          <w:lang w:val="es-ES_tradnl"/>
        </w:rPr>
        <w:t>ocuparse de</w:t>
      </w:r>
      <w:r w:rsidR="00936784" w:rsidRPr="00932F5A">
        <w:rPr>
          <w:lang w:val="es-ES_tradnl"/>
        </w:rPr>
        <w:t xml:space="preserve"> </w:t>
      </w:r>
      <w:r w:rsidR="00504774">
        <w:rPr>
          <w:lang w:val="es-ES_tradnl"/>
        </w:rPr>
        <w:t xml:space="preserve">los </w:t>
      </w:r>
      <w:r w:rsidR="00E77050">
        <w:rPr>
          <w:lang w:val="es-ES_tradnl"/>
        </w:rPr>
        <w:t>ensambladores</w:t>
      </w:r>
      <w:r w:rsidR="00435C89" w:rsidRPr="00932F5A">
        <w:rPr>
          <w:lang w:val="es-ES_tradnl"/>
        </w:rPr>
        <w:t>,</w:t>
      </w:r>
      <w:r w:rsidR="00936784" w:rsidRPr="00932F5A">
        <w:rPr>
          <w:lang w:val="es-ES_tradnl"/>
        </w:rPr>
        <w:t xml:space="preserve"> </w:t>
      </w:r>
      <w:r w:rsidR="00080ED3">
        <w:rPr>
          <w:lang w:val="es-ES_tradnl"/>
        </w:rPr>
        <w:t>priorizar la reducción de</w:t>
      </w:r>
      <w:r w:rsidR="00936784" w:rsidRPr="00932F5A">
        <w:rPr>
          <w:lang w:val="es-ES_tradnl"/>
        </w:rPr>
        <w:t xml:space="preserve"> </w:t>
      </w:r>
      <w:r w:rsidR="003543D0" w:rsidRPr="00932F5A">
        <w:rPr>
          <w:lang w:val="es-ES_tradnl"/>
        </w:rPr>
        <w:t>refrigerantes</w:t>
      </w:r>
      <w:r w:rsidR="00936784" w:rsidRPr="00932F5A">
        <w:rPr>
          <w:lang w:val="es-ES_tradnl"/>
        </w:rPr>
        <w:t xml:space="preserve"> </w:t>
      </w:r>
      <w:r w:rsidR="00FF0376" w:rsidRPr="00FF0376">
        <w:rPr>
          <w:lang w:val="es-ES_tradnl"/>
        </w:rPr>
        <w:t>específicos</w:t>
      </w:r>
      <w:r w:rsidR="003847D9" w:rsidRPr="00932F5A">
        <w:rPr>
          <w:lang w:val="es-ES_tradnl"/>
        </w:rPr>
        <w:t>).</w:t>
      </w:r>
    </w:p>
    <w:p w14:paraId="70C7EF1A" w14:textId="1DE34647" w:rsidR="003847D9" w:rsidRPr="00932F5A" w:rsidRDefault="005E7D21" w:rsidP="00437CD6">
      <w:pPr>
        <w:pStyle w:val="Heading1"/>
        <w:rPr>
          <w:lang w:val="es-ES_tradnl"/>
        </w:rPr>
      </w:pPr>
      <w:r w:rsidRPr="00932F5A">
        <w:rPr>
          <w:lang w:val="es-ES_tradnl"/>
        </w:rPr>
        <w:t>Durante</w:t>
      </w:r>
      <w:r w:rsidR="00936784" w:rsidRPr="00932F5A">
        <w:rPr>
          <w:lang w:val="es-ES_tradnl"/>
        </w:rPr>
        <w:t xml:space="preserve"> </w:t>
      </w:r>
      <w:r w:rsidR="00592E63" w:rsidRPr="00932F5A">
        <w:rPr>
          <w:lang w:val="es-ES_tradnl"/>
        </w:rPr>
        <w:t>su</w:t>
      </w:r>
      <w:r w:rsidR="00596F76">
        <w:rPr>
          <w:lang w:val="es-ES_tradnl"/>
        </w:rPr>
        <w:t>s</w:t>
      </w:r>
      <w:r w:rsidR="00936784" w:rsidRPr="00932F5A">
        <w:rPr>
          <w:lang w:val="es-ES_tradnl"/>
        </w:rPr>
        <w:t xml:space="preserve"> </w:t>
      </w:r>
      <w:r w:rsidR="004C2DD1">
        <w:rPr>
          <w:lang w:val="es-ES_tradnl"/>
        </w:rPr>
        <w:t>deliberaciones</w:t>
      </w:r>
      <w:r w:rsidR="003847D9" w:rsidRPr="00932F5A">
        <w:rPr>
          <w:lang w:val="es-ES_tradnl"/>
        </w:rPr>
        <w:t>,</w:t>
      </w:r>
      <w:r w:rsidR="00936784" w:rsidRPr="00932F5A">
        <w:rPr>
          <w:lang w:val="es-ES_tradnl"/>
        </w:rPr>
        <w:t xml:space="preserve"> </w:t>
      </w:r>
      <w:r w:rsidR="00D352E8" w:rsidRPr="00932F5A">
        <w:rPr>
          <w:lang w:val="es-ES_tradnl"/>
        </w:rPr>
        <w:t>el</w:t>
      </w:r>
      <w:r w:rsidR="00936784" w:rsidRPr="00932F5A">
        <w:rPr>
          <w:lang w:val="es-ES_tradnl"/>
        </w:rPr>
        <w:t xml:space="preserve"> </w:t>
      </w:r>
      <w:r w:rsidR="00D352E8" w:rsidRPr="00932F5A">
        <w:rPr>
          <w:lang w:val="es-ES_tradnl"/>
        </w:rPr>
        <w:t>Comité</w:t>
      </w:r>
      <w:r w:rsidR="00936784" w:rsidRPr="00932F5A">
        <w:rPr>
          <w:lang w:val="es-ES_tradnl"/>
        </w:rPr>
        <w:t xml:space="preserve"> </w:t>
      </w:r>
      <w:r w:rsidR="005F1C91" w:rsidRPr="00932F5A">
        <w:rPr>
          <w:lang w:val="es-ES_tradnl"/>
        </w:rPr>
        <w:t>Ejecutivo</w:t>
      </w:r>
      <w:r w:rsidR="00936784" w:rsidRPr="00932F5A">
        <w:rPr>
          <w:lang w:val="es-ES_tradnl"/>
        </w:rPr>
        <w:t xml:space="preserve"> </w:t>
      </w:r>
      <w:r w:rsidR="005F1C91" w:rsidRPr="00932F5A">
        <w:rPr>
          <w:lang w:val="es-ES_tradnl"/>
        </w:rPr>
        <w:t>podrá</w:t>
      </w:r>
      <w:r w:rsidR="00936784" w:rsidRPr="00932F5A">
        <w:rPr>
          <w:lang w:val="es-ES_tradnl"/>
        </w:rPr>
        <w:t xml:space="preserve"> </w:t>
      </w:r>
      <w:r w:rsidR="005F1C91" w:rsidRPr="00932F5A">
        <w:rPr>
          <w:lang w:val="es-ES_tradnl"/>
        </w:rPr>
        <w:t>estimar</w:t>
      </w:r>
      <w:r w:rsidR="00936784" w:rsidRPr="00932F5A">
        <w:rPr>
          <w:lang w:val="es-ES_tradnl"/>
        </w:rPr>
        <w:t xml:space="preserve"> </w:t>
      </w:r>
      <w:r w:rsidR="005F1C91" w:rsidRPr="00932F5A">
        <w:rPr>
          <w:lang w:val="es-ES_tradnl"/>
        </w:rPr>
        <w:t>oportuno</w:t>
      </w:r>
      <w:r w:rsidR="00936784" w:rsidRPr="00932F5A">
        <w:rPr>
          <w:lang w:val="es-ES_tradnl"/>
        </w:rPr>
        <w:t xml:space="preserve"> </w:t>
      </w:r>
      <w:r w:rsidR="004717A8">
        <w:rPr>
          <w:lang w:val="es-ES_tradnl"/>
        </w:rPr>
        <w:t xml:space="preserve">tomar nota de que </w:t>
      </w:r>
      <w:r w:rsidR="00592E63" w:rsidRPr="00932F5A">
        <w:rPr>
          <w:lang w:val="es-ES_tradnl"/>
        </w:rPr>
        <w:t>actualmente</w:t>
      </w:r>
      <w:r w:rsidR="00936784" w:rsidRPr="00932F5A">
        <w:rPr>
          <w:lang w:val="es-ES_tradnl"/>
        </w:rPr>
        <w:t xml:space="preserve"> </w:t>
      </w:r>
      <w:r w:rsidR="00261256">
        <w:rPr>
          <w:lang w:val="es-ES_tradnl"/>
        </w:rPr>
        <w:t>un</w:t>
      </w:r>
      <w:r w:rsidR="00936784" w:rsidRPr="00932F5A">
        <w:rPr>
          <w:lang w:val="es-ES_tradnl"/>
        </w:rPr>
        <w:t xml:space="preserve"> </w:t>
      </w:r>
      <w:r w:rsidR="00584915" w:rsidRPr="00932F5A">
        <w:rPr>
          <w:lang w:val="es-ES_tradnl"/>
        </w:rPr>
        <w:t>gran</w:t>
      </w:r>
      <w:r w:rsidR="00936784" w:rsidRPr="00932F5A">
        <w:rPr>
          <w:lang w:val="es-ES_tradnl"/>
        </w:rPr>
        <w:t xml:space="preserve"> </w:t>
      </w:r>
      <w:r w:rsidR="00584915" w:rsidRPr="00932F5A">
        <w:rPr>
          <w:lang w:val="es-ES_tradnl"/>
        </w:rPr>
        <w:t>número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FF6784" w:rsidRPr="00932F5A">
        <w:rPr>
          <w:lang w:val="es-ES_tradnl"/>
        </w:rPr>
        <w:t>países</w:t>
      </w:r>
      <w:r w:rsidR="00936784" w:rsidRPr="00932F5A">
        <w:rPr>
          <w:lang w:val="es-ES_tradnl"/>
        </w:rPr>
        <w:t xml:space="preserve"> </w:t>
      </w:r>
      <w:r w:rsidR="00FF6784" w:rsidRPr="00932F5A">
        <w:rPr>
          <w:lang w:val="es-ES_tradnl"/>
        </w:rPr>
        <w:t>de</w:t>
      </w:r>
      <w:r w:rsidR="00936784" w:rsidRPr="00932F5A">
        <w:rPr>
          <w:lang w:val="es-ES_tradnl"/>
        </w:rPr>
        <w:t xml:space="preserve"> </w:t>
      </w:r>
      <w:r w:rsidR="00FF6784" w:rsidRPr="00932F5A">
        <w:rPr>
          <w:lang w:val="es-ES_tradnl"/>
        </w:rPr>
        <w:t>bajo</w:t>
      </w:r>
      <w:r w:rsidR="00936784" w:rsidRPr="00932F5A">
        <w:rPr>
          <w:lang w:val="es-ES_tradnl"/>
        </w:rPr>
        <w:t xml:space="preserve"> </w:t>
      </w:r>
      <w:r w:rsidR="00FF6784" w:rsidRPr="00932F5A">
        <w:rPr>
          <w:lang w:val="es-ES_tradnl"/>
        </w:rPr>
        <w:t>consumo</w:t>
      </w:r>
      <w:r w:rsidR="00936784" w:rsidRPr="00932F5A">
        <w:rPr>
          <w:lang w:val="es-ES_tradnl"/>
        </w:rPr>
        <w:t xml:space="preserve"> </w:t>
      </w:r>
      <w:r w:rsidR="00F16B7E" w:rsidRPr="00F16B7E">
        <w:rPr>
          <w:lang w:val="es-ES_tradnl"/>
        </w:rPr>
        <w:t xml:space="preserve">preparan </w:t>
      </w:r>
      <w:r w:rsidR="0082033B">
        <w:rPr>
          <w:lang w:val="es-ES_tradnl"/>
        </w:rPr>
        <w:t xml:space="preserve">o </w:t>
      </w:r>
      <w:r w:rsidR="00EB2A80">
        <w:rPr>
          <w:lang w:val="es-ES_tradnl"/>
        </w:rPr>
        <w:t>comienzan</w:t>
      </w:r>
      <w:r w:rsidR="00992CBC">
        <w:rPr>
          <w:lang w:val="es-ES_tradnl"/>
        </w:rPr>
        <w:t xml:space="preserve"> a preparar</w:t>
      </w:r>
      <w:r w:rsidR="00992CBC" w:rsidRPr="00992CBC">
        <w:rPr>
          <w:lang w:val="es-ES_tradnl"/>
        </w:rPr>
        <w:t xml:space="preserve"> </w:t>
      </w:r>
      <w:r w:rsidR="00762C85" w:rsidRPr="00932F5A">
        <w:rPr>
          <w:lang w:val="es-ES_tradnl"/>
        </w:rPr>
        <w:t>la</w:t>
      </w:r>
      <w:r w:rsidR="00936784" w:rsidRPr="00932F5A">
        <w:rPr>
          <w:lang w:val="es-ES_tradnl"/>
        </w:rPr>
        <w:t xml:space="preserve"> </w:t>
      </w:r>
      <w:r w:rsidR="00762C85" w:rsidRPr="00932F5A">
        <w:rPr>
          <w:lang w:val="es-ES_tradnl"/>
        </w:rPr>
        <w:t>etapa</w:t>
      </w:r>
      <w:r w:rsidR="00936784" w:rsidRPr="00932F5A">
        <w:rPr>
          <w:lang w:val="es-ES_tradnl"/>
        </w:rPr>
        <w:t xml:space="preserve"> </w:t>
      </w:r>
      <w:r w:rsidR="00762C85" w:rsidRPr="00932F5A">
        <w:rPr>
          <w:lang w:val="es-ES_tradnl"/>
        </w:rPr>
        <w:t>I</w:t>
      </w:r>
      <w:r w:rsidR="003847D9" w:rsidRPr="00932F5A">
        <w:rPr>
          <w:lang w:val="es-ES_tradnl"/>
        </w:rPr>
        <w:t>I</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431F01">
        <w:rPr>
          <w:lang w:val="es-ES_tradnl"/>
        </w:rPr>
        <w:t>sus</w:t>
      </w:r>
      <w:r w:rsidR="00936784" w:rsidRPr="00932F5A">
        <w:rPr>
          <w:lang w:val="es-ES_tradnl"/>
        </w:rPr>
        <w:t xml:space="preserve"> </w:t>
      </w:r>
      <w:r w:rsidR="007B464B" w:rsidRPr="00932F5A">
        <w:rPr>
          <w:lang w:val="es-ES_tradnl"/>
        </w:rPr>
        <w:t>plan</w:t>
      </w:r>
      <w:r w:rsidR="007B464B">
        <w:rPr>
          <w:lang w:val="es-ES_tradnl"/>
        </w:rPr>
        <w:t>es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gestión</w:t>
      </w:r>
      <w:r w:rsidR="00936784" w:rsidRPr="00932F5A">
        <w:rPr>
          <w:lang w:val="es-ES_tradnl"/>
        </w:rPr>
        <w:t xml:space="preserve"> </w:t>
      </w:r>
      <w:r w:rsidR="003543D0" w:rsidRPr="00932F5A">
        <w:rPr>
          <w:lang w:val="es-ES_tradnl"/>
        </w:rPr>
        <w:t>para</w:t>
      </w:r>
      <w:r w:rsidR="00936784" w:rsidRPr="00932F5A">
        <w:rPr>
          <w:lang w:val="es-ES_tradnl"/>
        </w:rPr>
        <w:t xml:space="preserve"> </w:t>
      </w:r>
      <w:r w:rsidR="003543D0" w:rsidRPr="00932F5A">
        <w:rPr>
          <w:lang w:val="es-ES_tradnl"/>
        </w:rPr>
        <w:t>la</w:t>
      </w:r>
      <w:r w:rsidR="00936784" w:rsidRPr="00932F5A">
        <w:rPr>
          <w:lang w:val="es-ES_tradnl"/>
        </w:rPr>
        <w:t xml:space="preserve"> </w:t>
      </w:r>
      <w:r w:rsidR="003543D0" w:rsidRPr="00932F5A">
        <w:rPr>
          <w:lang w:val="es-ES_tradnl"/>
        </w:rPr>
        <w:t>eliminación</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C7007A">
        <w:rPr>
          <w:lang w:val="es-ES_tradnl"/>
        </w:rPr>
        <w:t xml:space="preserve">HCFC, </w:t>
      </w:r>
      <w:r w:rsidR="00EB43C3" w:rsidRPr="00932F5A">
        <w:rPr>
          <w:lang w:val="es-ES_tradnl"/>
        </w:rPr>
        <w:t>y</w:t>
      </w:r>
      <w:r w:rsidR="00936784" w:rsidRPr="00932F5A">
        <w:rPr>
          <w:lang w:val="es-ES_tradnl"/>
        </w:rPr>
        <w:t xml:space="preserve"> </w:t>
      </w:r>
      <w:r w:rsidR="00EB43C3" w:rsidRPr="00932F5A">
        <w:rPr>
          <w:lang w:val="es-ES_tradnl"/>
        </w:rPr>
        <w:t>que</w:t>
      </w:r>
      <w:r w:rsidR="00936784" w:rsidRPr="00932F5A">
        <w:rPr>
          <w:lang w:val="es-ES_tradnl"/>
        </w:rPr>
        <w:t xml:space="preserve"> </w:t>
      </w:r>
      <w:r w:rsidR="0068325E" w:rsidRPr="0068325E">
        <w:rPr>
          <w:lang w:val="es-ES_tradnl"/>
        </w:rPr>
        <w:t xml:space="preserve">en </w:t>
      </w:r>
      <w:r w:rsidR="00C805C3">
        <w:rPr>
          <w:lang w:val="es-ES_tradnl"/>
        </w:rPr>
        <w:t xml:space="preserve">el año </w:t>
      </w:r>
      <w:r w:rsidR="0068325E" w:rsidRPr="0068325E">
        <w:rPr>
          <w:lang w:val="es-ES_tradnl"/>
        </w:rPr>
        <w:t xml:space="preserve">2019 </w:t>
      </w:r>
      <w:r w:rsidR="00A66CB0" w:rsidRPr="00932F5A">
        <w:rPr>
          <w:lang w:val="es-ES_tradnl"/>
        </w:rPr>
        <w:t>más</w:t>
      </w:r>
      <w:r w:rsidR="00936784" w:rsidRPr="00932F5A">
        <w:rPr>
          <w:lang w:val="es-ES_tradnl"/>
        </w:rPr>
        <w:t xml:space="preserve"> </w:t>
      </w:r>
      <w:r w:rsidR="00A66CB0" w:rsidRPr="00932F5A">
        <w:rPr>
          <w:lang w:val="es-ES_tradnl"/>
        </w:rPr>
        <w:t>de</w:t>
      </w:r>
      <w:r w:rsidR="00936784" w:rsidRPr="00932F5A">
        <w:rPr>
          <w:lang w:val="es-ES_tradnl"/>
        </w:rPr>
        <w:t xml:space="preserve"> </w:t>
      </w:r>
      <w:r w:rsidR="003847D9" w:rsidRPr="00932F5A">
        <w:rPr>
          <w:lang w:val="es-ES_tradnl"/>
        </w:rPr>
        <w:t>35</w:t>
      </w:r>
      <w:r w:rsidR="00936784" w:rsidRPr="00932F5A">
        <w:rPr>
          <w:lang w:val="es-ES_tradnl"/>
        </w:rPr>
        <w:t xml:space="preserve"> </w:t>
      </w:r>
      <w:r w:rsidR="005F1C91" w:rsidRPr="00932F5A">
        <w:rPr>
          <w:lang w:val="es-ES_tradnl"/>
        </w:rPr>
        <w:t>países</w:t>
      </w:r>
      <w:r w:rsidR="00936784" w:rsidRPr="00932F5A">
        <w:rPr>
          <w:lang w:val="es-ES_tradnl"/>
        </w:rPr>
        <w:t xml:space="preserve"> </w:t>
      </w:r>
      <w:r w:rsidR="005F1C91" w:rsidRPr="00932F5A">
        <w:rPr>
          <w:lang w:val="es-ES_tradnl"/>
        </w:rPr>
        <w:t>del</w:t>
      </w:r>
      <w:r w:rsidR="00936784" w:rsidRPr="00932F5A">
        <w:rPr>
          <w:lang w:val="es-ES_tradnl"/>
        </w:rPr>
        <w:t xml:space="preserve"> </w:t>
      </w:r>
      <w:r w:rsidR="005F1C91" w:rsidRPr="00932F5A">
        <w:rPr>
          <w:lang w:val="es-ES_tradnl"/>
        </w:rPr>
        <w:t>artículo</w:t>
      </w:r>
      <w:r w:rsidR="00936784" w:rsidRPr="00932F5A">
        <w:rPr>
          <w:lang w:val="es-ES_tradnl"/>
        </w:rPr>
        <w:t xml:space="preserve"> </w:t>
      </w:r>
      <w:r w:rsidR="005F1C91" w:rsidRPr="00932F5A">
        <w:rPr>
          <w:lang w:val="es-ES_tradnl"/>
        </w:rPr>
        <w:t>5</w:t>
      </w:r>
      <w:r w:rsidR="00936784" w:rsidRPr="00932F5A">
        <w:rPr>
          <w:lang w:val="es-ES_tradnl"/>
        </w:rPr>
        <w:t xml:space="preserve"> </w:t>
      </w:r>
      <w:r w:rsidR="0042766B">
        <w:rPr>
          <w:lang w:val="es-ES_tradnl"/>
        </w:rPr>
        <w:t xml:space="preserve">que han ratificado </w:t>
      </w:r>
      <w:r w:rsidR="00A66CB0" w:rsidRPr="00932F5A">
        <w:rPr>
          <w:lang w:val="es-ES_tradnl"/>
        </w:rPr>
        <w:t>la</w:t>
      </w:r>
      <w:r w:rsidR="00936784" w:rsidRPr="00932F5A">
        <w:rPr>
          <w:lang w:val="es-ES_tradnl"/>
        </w:rPr>
        <w:t xml:space="preserve"> Enmienda de Kigali </w:t>
      </w:r>
      <w:r w:rsidR="005846C4">
        <w:rPr>
          <w:lang w:val="es-ES_tradnl"/>
        </w:rPr>
        <w:t>qued</w:t>
      </w:r>
      <w:r w:rsidR="008F7044">
        <w:rPr>
          <w:lang w:val="es-ES_tradnl"/>
        </w:rPr>
        <w:t>arán facultados</w:t>
      </w:r>
      <w:r w:rsidR="00936784" w:rsidRPr="00932F5A">
        <w:rPr>
          <w:lang w:val="es-ES_tradnl"/>
        </w:rPr>
        <w:t xml:space="preserve"> </w:t>
      </w:r>
      <w:r w:rsidR="00115CF7">
        <w:rPr>
          <w:lang w:val="es-ES_tradnl"/>
        </w:rPr>
        <w:t xml:space="preserve">para </w:t>
      </w:r>
      <w:r w:rsidR="00B31CDB">
        <w:rPr>
          <w:lang w:val="es-ES_tradnl"/>
        </w:rPr>
        <w:t xml:space="preserve">solicitar </w:t>
      </w:r>
      <w:r w:rsidR="00FD6193" w:rsidRPr="00FD6193">
        <w:rPr>
          <w:lang w:val="es-ES_tradnl"/>
        </w:rPr>
        <w:t xml:space="preserve">financiamiento </w:t>
      </w:r>
      <w:r w:rsidR="00940D58">
        <w:rPr>
          <w:lang w:val="es-ES_tradnl"/>
        </w:rPr>
        <w:t>preparatorio</w:t>
      </w:r>
      <w:r w:rsidR="00936784" w:rsidRPr="00932F5A">
        <w:rPr>
          <w:lang w:val="es-ES_tradnl"/>
        </w:rPr>
        <w:t xml:space="preserve"> </w:t>
      </w:r>
      <w:r w:rsidR="00932F5A">
        <w:rPr>
          <w:lang w:val="es-ES_tradnl"/>
        </w:rPr>
        <w:t xml:space="preserve">para </w:t>
      </w:r>
      <w:r w:rsidR="00BE09B5">
        <w:rPr>
          <w:lang w:val="es-ES_tradnl"/>
        </w:rPr>
        <w:t xml:space="preserve">planes de </w:t>
      </w:r>
      <w:r w:rsidR="00932F5A">
        <w:rPr>
          <w:lang w:val="es-ES_tradnl"/>
        </w:rPr>
        <w:t>reducción</w:t>
      </w:r>
      <w:r w:rsidR="00936784" w:rsidRPr="00932F5A">
        <w:rPr>
          <w:lang w:val="es-ES_tradnl"/>
        </w:rPr>
        <w:t xml:space="preserve"> </w:t>
      </w:r>
      <w:r w:rsidR="005F1C91" w:rsidRPr="00932F5A">
        <w:rPr>
          <w:lang w:val="es-ES_tradnl"/>
        </w:rPr>
        <w:t>de</w:t>
      </w:r>
      <w:r w:rsidR="00936784" w:rsidRPr="00932F5A">
        <w:rPr>
          <w:lang w:val="es-ES_tradnl"/>
        </w:rPr>
        <w:t xml:space="preserve"> </w:t>
      </w:r>
      <w:r w:rsidR="005F1C91" w:rsidRPr="00932F5A">
        <w:rPr>
          <w:lang w:val="es-ES_tradnl"/>
        </w:rPr>
        <w:t>los</w:t>
      </w:r>
      <w:r w:rsidR="00936784" w:rsidRPr="00932F5A">
        <w:rPr>
          <w:lang w:val="es-ES_tradnl"/>
        </w:rPr>
        <w:t xml:space="preserve"> </w:t>
      </w:r>
      <w:r w:rsidR="005F1C91" w:rsidRPr="00932F5A">
        <w:rPr>
          <w:lang w:val="es-ES_tradnl"/>
        </w:rPr>
        <w:t>HFC</w:t>
      </w:r>
      <w:r w:rsidR="003847D9" w:rsidRPr="00932F5A">
        <w:rPr>
          <w:lang w:val="es-ES_tradnl"/>
        </w:rPr>
        <w:t>.</w:t>
      </w:r>
      <w:r w:rsidR="00936784" w:rsidRPr="00932F5A">
        <w:rPr>
          <w:lang w:val="es-ES_tradnl"/>
        </w:rPr>
        <w:t xml:space="preserve"> </w:t>
      </w:r>
      <w:r w:rsidR="00831F40">
        <w:rPr>
          <w:lang w:val="es-ES_tradnl"/>
        </w:rPr>
        <w:t xml:space="preserve">Discutir </w:t>
      </w:r>
      <w:r w:rsidR="00194EDD">
        <w:rPr>
          <w:lang w:val="es-ES_tradnl"/>
        </w:rPr>
        <w:t xml:space="preserve">un </w:t>
      </w:r>
      <w:r w:rsidR="003543D0" w:rsidRPr="00932F5A">
        <w:rPr>
          <w:lang w:val="es-ES_tradnl"/>
        </w:rPr>
        <w:t>punto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592E63" w:rsidRPr="00932F5A">
        <w:rPr>
          <w:lang w:val="es-ES_tradnl"/>
        </w:rPr>
        <w:t xml:space="preserve">partida para </w:t>
      </w:r>
      <w:r w:rsidR="00B462E7">
        <w:rPr>
          <w:lang w:val="es-ES_tradnl"/>
        </w:rPr>
        <w:t xml:space="preserve">las </w:t>
      </w:r>
      <w:r w:rsidR="00592E63" w:rsidRPr="00932F5A">
        <w:rPr>
          <w:lang w:val="es-ES_tradnl"/>
        </w:rPr>
        <w:t>reducciones</w:t>
      </w:r>
      <w:r w:rsidR="00936784" w:rsidRPr="00932F5A">
        <w:rPr>
          <w:lang w:val="es-ES_tradnl"/>
        </w:rPr>
        <w:t xml:space="preserve"> </w:t>
      </w:r>
      <w:r w:rsidR="00BD76CA" w:rsidRPr="00932F5A">
        <w:rPr>
          <w:lang w:val="es-ES_tradnl"/>
        </w:rPr>
        <w:t>sostenidas</w:t>
      </w:r>
      <w:r w:rsidR="00936784" w:rsidRPr="00932F5A">
        <w:rPr>
          <w:lang w:val="es-ES_tradnl"/>
        </w:rPr>
        <w:t xml:space="preserve"> </w:t>
      </w:r>
      <w:r w:rsidR="00EB43C3" w:rsidRPr="00932F5A">
        <w:rPr>
          <w:lang w:val="es-ES_tradnl"/>
        </w:rPr>
        <w:t>en</w:t>
      </w:r>
      <w:r w:rsidR="00936784" w:rsidRPr="00932F5A">
        <w:rPr>
          <w:lang w:val="es-ES_tradnl"/>
        </w:rPr>
        <w:t xml:space="preserve"> </w:t>
      </w:r>
      <w:r w:rsidR="00EB43C3" w:rsidRPr="00932F5A">
        <w:rPr>
          <w:lang w:val="es-ES_tradnl"/>
        </w:rPr>
        <w:t>el</w:t>
      </w:r>
      <w:r w:rsidR="00936784" w:rsidRPr="00932F5A">
        <w:rPr>
          <w:lang w:val="es-ES_tradnl"/>
        </w:rPr>
        <w:t xml:space="preserve"> </w:t>
      </w:r>
      <w:r w:rsidR="00EB43C3" w:rsidRPr="00932F5A">
        <w:rPr>
          <w:lang w:val="es-ES_tradnl"/>
        </w:rPr>
        <w:t>consumo</w:t>
      </w:r>
      <w:r w:rsidR="00936784" w:rsidRPr="00932F5A">
        <w:rPr>
          <w:lang w:val="es-ES_tradnl"/>
        </w:rPr>
        <w:t xml:space="preserve"> </w:t>
      </w:r>
      <w:r w:rsidR="00A66CB0" w:rsidRPr="00932F5A">
        <w:rPr>
          <w:lang w:val="es-ES_tradnl"/>
        </w:rPr>
        <w:t>de</w:t>
      </w:r>
      <w:r w:rsidR="00936784" w:rsidRPr="00932F5A">
        <w:rPr>
          <w:lang w:val="es-ES_tradnl"/>
        </w:rPr>
        <w:t xml:space="preserve"> </w:t>
      </w:r>
      <w:r w:rsidR="00A66CB0" w:rsidRPr="00932F5A">
        <w:rPr>
          <w:lang w:val="es-ES_tradnl"/>
        </w:rPr>
        <w:t>HFC</w:t>
      </w:r>
      <w:r w:rsidR="00936784" w:rsidRPr="00932F5A">
        <w:rPr>
          <w:lang w:val="es-ES_tradnl"/>
        </w:rPr>
        <w:t xml:space="preserve"> </w:t>
      </w:r>
      <w:r w:rsidR="00BD76CA" w:rsidRPr="00932F5A">
        <w:rPr>
          <w:lang w:val="es-ES_tradnl"/>
        </w:rPr>
        <w:t>para</w:t>
      </w:r>
      <w:r w:rsidR="00936784" w:rsidRPr="00932F5A">
        <w:rPr>
          <w:lang w:val="es-ES_tradnl"/>
        </w:rPr>
        <w:t xml:space="preserve"> </w:t>
      </w:r>
      <w:r w:rsidR="00BD76CA" w:rsidRPr="00932F5A">
        <w:rPr>
          <w:lang w:val="es-ES_tradnl"/>
        </w:rPr>
        <w:t>el</w:t>
      </w:r>
      <w:r w:rsidR="00936784" w:rsidRPr="00932F5A">
        <w:rPr>
          <w:lang w:val="es-ES_tradnl"/>
        </w:rPr>
        <w:t xml:space="preserve"> </w:t>
      </w:r>
      <w:r w:rsidR="00BD76CA" w:rsidRPr="00932F5A">
        <w:rPr>
          <w:lang w:val="es-ES_tradnl"/>
        </w:rPr>
        <w:t>sector</w:t>
      </w:r>
      <w:r w:rsidR="00936784" w:rsidRPr="00932F5A">
        <w:rPr>
          <w:lang w:val="es-ES_tradnl"/>
        </w:rPr>
        <w:t xml:space="preserve"> </w:t>
      </w:r>
      <w:r w:rsidR="003543D0" w:rsidRPr="00932F5A">
        <w:rPr>
          <w:lang w:val="es-ES_tradnl"/>
        </w:rPr>
        <w:t>servicio</w:t>
      </w:r>
      <w:r w:rsidR="00936784" w:rsidRPr="00932F5A">
        <w:rPr>
          <w:lang w:val="es-ES_tradnl"/>
        </w:rPr>
        <w:t xml:space="preserve"> </w:t>
      </w:r>
      <w:r w:rsidR="003543D0" w:rsidRPr="00932F5A">
        <w:rPr>
          <w:lang w:val="es-ES_tradnl"/>
        </w:rPr>
        <w:t>técnico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equipos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refrigeración</w:t>
      </w:r>
      <w:r w:rsidR="00936784" w:rsidRPr="00932F5A">
        <w:rPr>
          <w:lang w:val="es-ES_tradnl"/>
        </w:rPr>
        <w:t xml:space="preserve"> </w:t>
      </w:r>
      <w:r w:rsidR="00720DB8">
        <w:rPr>
          <w:lang w:val="es-ES_tradnl"/>
        </w:rPr>
        <w:t xml:space="preserve">tendría </w:t>
      </w:r>
      <w:r w:rsidR="00431F01">
        <w:rPr>
          <w:lang w:val="es-ES_tradnl"/>
        </w:rPr>
        <w:t>también</w:t>
      </w:r>
      <w:r w:rsidR="00936784" w:rsidRPr="00932F5A">
        <w:rPr>
          <w:lang w:val="es-ES_tradnl"/>
        </w:rPr>
        <w:t xml:space="preserve"> </w:t>
      </w:r>
      <w:r w:rsidR="00436AB8">
        <w:rPr>
          <w:lang w:val="es-ES_tradnl"/>
        </w:rPr>
        <w:t xml:space="preserve">beneficios </w:t>
      </w:r>
      <w:r w:rsidR="00FF6784" w:rsidRPr="00932F5A">
        <w:rPr>
          <w:lang w:val="es-ES_tradnl"/>
        </w:rPr>
        <w:t>para</w:t>
      </w:r>
      <w:r w:rsidR="00936784" w:rsidRPr="00932F5A">
        <w:rPr>
          <w:lang w:val="es-ES_tradnl"/>
        </w:rPr>
        <w:t xml:space="preserve"> </w:t>
      </w:r>
      <w:r w:rsidR="00FF6784" w:rsidRPr="00932F5A">
        <w:rPr>
          <w:lang w:val="es-ES_tradnl"/>
        </w:rPr>
        <w:t>la</w:t>
      </w:r>
      <w:r w:rsidR="00936784" w:rsidRPr="00932F5A">
        <w:rPr>
          <w:lang w:val="es-ES_tradnl"/>
        </w:rPr>
        <w:t xml:space="preserve"> </w:t>
      </w:r>
      <w:r w:rsidRPr="00932F5A">
        <w:rPr>
          <w:lang w:val="es-ES_tradnl"/>
        </w:rPr>
        <w:t>mayoría</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5F1C91" w:rsidRPr="00932F5A">
        <w:rPr>
          <w:lang w:val="es-ES_tradnl"/>
        </w:rPr>
        <w:t>países</w:t>
      </w:r>
      <w:r w:rsidR="00936784" w:rsidRPr="00932F5A">
        <w:rPr>
          <w:lang w:val="es-ES_tradnl"/>
        </w:rPr>
        <w:t xml:space="preserve"> </w:t>
      </w:r>
      <w:r w:rsidR="005F1C91" w:rsidRPr="00932F5A">
        <w:rPr>
          <w:lang w:val="es-ES_tradnl"/>
        </w:rPr>
        <w:t>del</w:t>
      </w:r>
      <w:r w:rsidR="00936784" w:rsidRPr="00932F5A">
        <w:rPr>
          <w:lang w:val="es-ES_tradnl"/>
        </w:rPr>
        <w:t xml:space="preserve"> </w:t>
      </w:r>
      <w:r w:rsidR="005F1C91" w:rsidRPr="00932F5A">
        <w:rPr>
          <w:lang w:val="es-ES_tradnl"/>
        </w:rPr>
        <w:t>artículo</w:t>
      </w:r>
      <w:r w:rsidR="00936784" w:rsidRPr="00932F5A">
        <w:rPr>
          <w:lang w:val="es-ES_tradnl"/>
        </w:rPr>
        <w:t xml:space="preserve"> </w:t>
      </w:r>
      <w:r w:rsidR="005F1C91" w:rsidRPr="00932F5A">
        <w:rPr>
          <w:lang w:val="es-ES_tradnl"/>
        </w:rPr>
        <w:t>5</w:t>
      </w:r>
      <w:r w:rsidR="003847D9" w:rsidRPr="00932F5A">
        <w:rPr>
          <w:lang w:val="es-ES_tradnl"/>
        </w:rPr>
        <w:t>,</w:t>
      </w:r>
      <w:r w:rsidR="00936784" w:rsidRPr="00932F5A">
        <w:rPr>
          <w:lang w:val="es-ES_tradnl"/>
        </w:rPr>
        <w:t xml:space="preserve"> </w:t>
      </w:r>
      <w:r w:rsidR="00C558F8">
        <w:rPr>
          <w:lang w:val="es-ES_tradnl"/>
        </w:rPr>
        <w:t xml:space="preserve">cuyo consumo </w:t>
      </w:r>
      <w:r w:rsidR="00A66CB0" w:rsidRPr="00932F5A">
        <w:rPr>
          <w:lang w:val="es-ES_tradnl"/>
        </w:rPr>
        <w:t>de</w:t>
      </w:r>
      <w:r w:rsidR="00936784" w:rsidRPr="00932F5A">
        <w:rPr>
          <w:lang w:val="es-ES_tradnl"/>
        </w:rPr>
        <w:t xml:space="preserve"> </w:t>
      </w:r>
      <w:r w:rsidR="00A66CB0" w:rsidRPr="00932F5A">
        <w:rPr>
          <w:lang w:val="es-ES_tradnl"/>
        </w:rPr>
        <w:t>HFC</w:t>
      </w:r>
      <w:r w:rsidR="00936784" w:rsidRPr="00932F5A">
        <w:rPr>
          <w:lang w:val="es-ES_tradnl"/>
        </w:rPr>
        <w:t xml:space="preserve"> </w:t>
      </w:r>
      <w:r w:rsidR="001950EC">
        <w:rPr>
          <w:lang w:val="es-ES_tradnl"/>
        </w:rPr>
        <w:t xml:space="preserve">parece </w:t>
      </w:r>
      <w:r w:rsidR="008A1E37">
        <w:rPr>
          <w:lang w:val="es-ES_tradnl"/>
        </w:rPr>
        <w:t>limitarse</w:t>
      </w:r>
      <w:r w:rsidR="001950EC">
        <w:rPr>
          <w:lang w:val="es-ES_tradnl"/>
        </w:rPr>
        <w:t xml:space="preserve"> a </w:t>
      </w:r>
      <w:r w:rsidR="00197A00" w:rsidRPr="00932F5A">
        <w:rPr>
          <w:lang w:val="es-ES_tradnl"/>
        </w:rPr>
        <w:t>este</w:t>
      </w:r>
      <w:r w:rsidR="00936784" w:rsidRPr="00932F5A">
        <w:rPr>
          <w:lang w:val="es-ES_tradnl"/>
        </w:rPr>
        <w:t xml:space="preserve"> </w:t>
      </w:r>
      <w:r w:rsidR="00197A00" w:rsidRPr="00932F5A">
        <w:rPr>
          <w:lang w:val="es-ES_tradnl"/>
        </w:rPr>
        <w:t>sector</w:t>
      </w:r>
      <w:r w:rsidR="003847D9" w:rsidRPr="00932F5A">
        <w:rPr>
          <w:lang w:val="es-ES_tradnl"/>
        </w:rPr>
        <w:t>.</w:t>
      </w:r>
    </w:p>
    <w:p w14:paraId="412CA025" w14:textId="30112E84" w:rsidR="003847D9" w:rsidRPr="00932F5A" w:rsidRDefault="00ED5671" w:rsidP="00437CD6">
      <w:pPr>
        <w:pStyle w:val="Heading1"/>
        <w:rPr>
          <w:lang w:val="es-ES_tradnl"/>
        </w:rPr>
      </w:pPr>
      <w:r>
        <w:rPr>
          <w:lang w:val="es-ES_tradnl"/>
        </w:rPr>
        <w:t xml:space="preserve">Mientras se espera el resultado </w:t>
      </w:r>
      <w:r w:rsidR="003543D0" w:rsidRPr="00932F5A">
        <w:rPr>
          <w:lang w:val="es-ES_tradnl"/>
        </w:rPr>
        <w:t>de</w:t>
      </w:r>
      <w:r w:rsidR="00936784" w:rsidRPr="00932F5A">
        <w:rPr>
          <w:lang w:val="es-ES_tradnl"/>
        </w:rPr>
        <w:t xml:space="preserve"> </w:t>
      </w:r>
      <w:r w:rsidR="00474540">
        <w:rPr>
          <w:lang w:val="es-ES_tradnl"/>
        </w:rPr>
        <w:t xml:space="preserve">las </w:t>
      </w:r>
      <w:r w:rsidR="005F1C91" w:rsidRPr="00932F5A">
        <w:rPr>
          <w:lang w:val="es-ES_tradnl"/>
        </w:rPr>
        <w:t>conversaciones</w:t>
      </w:r>
      <w:r w:rsidR="00431F01">
        <w:rPr>
          <w:lang w:val="es-ES_tradnl"/>
        </w:rPr>
        <w:t xml:space="preserve"> </w:t>
      </w:r>
      <w:r w:rsidR="00B57CB4">
        <w:rPr>
          <w:lang w:val="es-ES_tradnl"/>
        </w:rPr>
        <w:t>a sostener durante</w:t>
      </w:r>
      <w:r w:rsidR="00431F01">
        <w:rPr>
          <w:lang w:val="es-ES_tradnl"/>
        </w:rPr>
        <w:t xml:space="preserve"> la 8</w:t>
      </w:r>
      <w:r w:rsidR="005E7D21" w:rsidRPr="00932F5A">
        <w:rPr>
          <w:lang w:val="es-ES_tradnl"/>
        </w:rPr>
        <w:t>3</w:t>
      </w:r>
      <w:r w:rsidR="005F33A5">
        <w:rPr>
          <w:lang w:val="es-ES_tradnl"/>
        </w:rPr>
        <w:t>ª reunión</w:t>
      </w:r>
      <w:r w:rsidR="006B0EEB">
        <w:rPr>
          <w:lang w:val="es-ES_tradnl"/>
        </w:rPr>
        <w:t xml:space="preserve">, </w:t>
      </w:r>
      <w:r w:rsidR="00E069F2">
        <w:rPr>
          <w:lang w:val="es-ES_tradnl"/>
        </w:rPr>
        <w:t>el Comité Ejecutivo</w:t>
      </w:r>
      <w:r w:rsidR="00936784" w:rsidRPr="00932F5A">
        <w:rPr>
          <w:lang w:val="es-ES_tradnl"/>
        </w:rPr>
        <w:t xml:space="preserve"> </w:t>
      </w:r>
      <w:r w:rsidR="005F1C91" w:rsidRPr="00932F5A">
        <w:rPr>
          <w:lang w:val="es-ES_tradnl"/>
        </w:rPr>
        <w:t>podrá</w:t>
      </w:r>
      <w:r w:rsidR="00936784" w:rsidRPr="00932F5A">
        <w:rPr>
          <w:lang w:val="es-ES_tradnl"/>
        </w:rPr>
        <w:t xml:space="preserve"> </w:t>
      </w:r>
      <w:r w:rsidR="005F1C91" w:rsidRPr="00932F5A">
        <w:rPr>
          <w:lang w:val="es-ES_tradnl"/>
        </w:rPr>
        <w:t>estimar</w:t>
      </w:r>
      <w:r w:rsidR="00936784" w:rsidRPr="00932F5A">
        <w:rPr>
          <w:lang w:val="es-ES_tradnl"/>
        </w:rPr>
        <w:t xml:space="preserve"> </w:t>
      </w:r>
      <w:r w:rsidR="005F1C91" w:rsidRPr="00932F5A">
        <w:rPr>
          <w:lang w:val="es-ES_tradnl"/>
        </w:rPr>
        <w:t>oportuno</w:t>
      </w:r>
      <w:r w:rsidR="00936784" w:rsidRPr="00932F5A">
        <w:rPr>
          <w:lang w:val="es-ES_tradnl"/>
        </w:rPr>
        <w:t xml:space="preserve"> </w:t>
      </w:r>
      <w:r w:rsidR="00197A00" w:rsidRPr="00932F5A">
        <w:rPr>
          <w:lang w:val="es-ES_tradnl"/>
        </w:rPr>
        <w:t>solicitar</w:t>
      </w:r>
      <w:r w:rsidR="00936784" w:rsidRPr="00932F5A">
        <w:rPr>
          <w:lang w:val="es-ES_tradnl"/>
        </w:rPr>
        <w:t xml:space="preserve"> </w:t>
      </w:r>
      <w:r w:rsidR="00197A00" w:rsidRPr="00932F5A">
        <w:rPr>
          <w:lang w:val="es-ES_tradnl"/>
        </w:rPr>
        <w:t>a</w:t>
      </w:r>
      <w:r w:rsidR="00936784" w:rsidRPr="00932F5A">
        <w:rPr>
          <w:lang w:val="es-ES_tradnl"/>
        </w:rPr>
        <w:t xml:space="preserve"> </w:t>
      </w:r>
      <w:r w:rsidR="00197A00" w:rsidRPr="00932F5A">
        <w:rPr>
          <w:lang w:val="es-ES_tradnl"/>
        </w:rPr>
        <w:t>la</w:t>
      </w:r>
      <w:r w:rsidR="00936784" w:rsidRPr="00932F5A">
        <w:rPr>
          <w:lang w:val="es-ES_tradnl"/>
        </w:rPr>
        <w:t xml:space="preserve"> </w:t>
      </w:r>
      <w:r w:rsidR="00197A00" w:rsidRPr="00932F5A">
        <w:rPr>
          <w:lang w:val="es-ES_tradnl"/>
        </w:rPr>
        <w:t>Secretaría</w:t>
      </w:r>
      <w:r w:rsidR="00936784" w:rsidRPr="00932F5A">
        <w:rPr>
          <w:lang w:val="es-ES_tradnl"/>
        </w:rPr>
        <w:t xml:space="preserve"> </w:t>
      </w:r>
      <w:r w:rsidR="003B5DE6">
        <w:rPr>
          <w:lang w:val="es-ES_tradnl"/>
        </w:rPr>
        <w:t xml:space="preserve">elaborar </w:t>
      </w:r>
      <w:r w:rsidR="00BD76CA" w:rsidRPr="00932F5A">
        <w:rPr>
          <w:lang w:val="es-ES_tradnl"/>
        </w:rPr>
        <w:t>un</w:t>
      </w:r>
      <w:r w:rsidR="00936784" w:rsidRPr="00932F5A">
        <w:rPr>
          <w:lang w:val="es-ES_tradnl"/>
        </w:rPr>
        <w:t xml:space="preserve"> </w:t>
      </w:r>
      <w:r w:rsidR="00BD76CA" w:rsidRPr="00932F5A">
        <w:rPr>
          <w:lang w:val="es-ES_tradnl"/>
        </w:rPr>
        <w:t>documento</w:t>
      </w:r>
      <w:r w:rsidR="00936784" w:rsidRPr="00932F5A">
        <w:rPr>
          <w:lang w:val="es-ES_tradnl"/>
        </w:rPr>
        <w:t xml:space="preserve"> </w:t>
      </w:r>
      <w:r w:rsidR="00FF13BB">
        <w:rPr>
          <w:lang w:val="es-ES_tradnl"/>
        </w:rPr>
        <w:t xml:space="preserve">con antecedentes </w:t>
      </w:r>
      <w:r w:rsidR="00A66CB0" w:rsidRPr="00932F5A">
        <w:rPr>
          <w:lang w:val="es-ES_tradnl"/>
        </w:rPr>
        <w:t>sobre</w:t>
      </w:r>
      <w:r w:rsidR="00936784" w:rsidRPr="00932F5A">
        <w:rPr>
          <w:lang w:val="es-ES_tradnl"/>
        </w:rPr>
        <w:t xml:space="preserve"> </w:t>
      </w:r>
      <w:r w:rsidR="00D352E8" w:rsidRPr="00932F5A">
        <w:rPr>
          <w:lang w:val="es-ES_tradnl"/>
        </w:rPr>
        <w:t>nivel</w:t>
      </w:r>
      <w:r w:rsidR="00936784" w:rsidRPr="00932F5A">
        <w:rPr>
          <w:lang w:val="es-ES_tradnl"/>
        </w:rPr>
        <w:t xml:space="preserve"> </w:t>
      </w:r>
      <w:r w:rsidR="003543D0" w:rsidRPr="00932F5A">
        <w:rPr>
          <w:lang w:val="es-ES_tradnl"/>
        </w:rPr>
        <w:t>y</w:t>
      </w:r>
      <w:r w:rsidR="00936784" w:rsidRPr="00932F5A">
        <w:rPr>
          <w:lang w:val="es-ES_tradnl"/>
        </w:rPr>
        <w:t xml:space="preserve"> </w:t>
      </w:r>
      <w:r w:rsidR="00762C85" w:rsidRPr="00932F5A">
        <w:rPr>
          <w:lang w:val="es-ES_tradnl"/>
        </w:rPr>
        <w:t>modalidades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financiamiento</w:t>
      </w:r>
      <w:r w:rsidR="00936784" w:rsidRPr="00932F5A">
        <w:rPr>
          <w:lang w:val="es-ES_tradnl"/>
        </w:rPr>
        <w:t xml:space="preserve"> </w:t>
      </w:r>
      <w:r w:rsidR="00BD76CA" w:rsidRPr="00932F5A">
        <w:rPr>
          <w:lang w:val="es-ES_tradnl"/>
        </w:rPr>
        <w:t>para</w:t>
      </w:r>
      <w:r w:rsidR="00936784" w:rsidRPr="00932F5A">
        <w:rPr>
          <w:lang w:val="es-ES_tradnl"/>
        </w:rPr>
        <w:t xml:space="preserve"> </w:t>
      </w:r>
      <w:r w:rsidR="00BD76CA" w:rsidRPr="00932F5A">
        <w:rPr>
          <w:lang w:val="es-ES_tradnl"/>
        </w:rPr>
        <w:t>el</w:t>
      </w:r>
      <w:r w:rsidR="00936784" w:rsidRPr="00932F5A">
        <w:rPr>
          <w:lang w:val="es-ES_tradnl"/>
        </w:rPr>
        <w:t xml:space="preserve"> </w:t>
      </w:r>
      <w:r w:rsidR="00BD76CA" w:rsidRPr="00932F5A">
        <w:rPr>
          <w:lang w:val="es-ES_tradnl"/>
        </w:rPr>
        <w:t>sector</w:t>
      </w:r>
      <w:r w:rsidR="00936784" w:rsidRPr="00932F5A">
        <w:rPr>
          <w:lang w:val="es-ES_tradnl"/>
        </w:rPr>
        <w:t xml:space="preserve"> </w:t>
      </w:r>
      <w:r w:rsidR="003543D0" w:rsidRPr="00932F5A">
        <w:rPr>
          <w:lang w:val="es-ES_tradnl"/>
        </w:rPr>
        <w:t>servicio</w:t>
      </w:r>
      <w:r w:rsidR="00936784" w:rsidRPr="00932F5A">
        <w:rPr>
          <w:lang w:val="es-ES_tradnl"/>
        </w:rPr>
        <w:t xml:space="preserve"> </w:t>
      </w:r>
      <w:r w:rsidR="003543D0" w:rsidRPr="00932F5A">
        <w:rPr>
          <w:lang w:val="es-ES_tradnl"/>
        </w:rPr>
        <w:t>técnico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equipos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refrigeración</w:t>
      </w:r>
      <w:r w:rsidR="003847D9" w:rsidRPr="00932F5A">
        <w:rPr>
          <w:lang w:val="es-ES_tradnl"/>
        </w:rPr>
        <w:t>.</w:t>
      </w:r>
    </w:p>
    <w:p w14:paraId="68089444" w14:textId="2CF2451D" w:rsidR="003847D9" w:rsidRPr="00932F5A" w:rsidRDefault="005F1C91" w:rsidP="00E23AEF">
      <w:pPr>
        <w:keepNext/>
        <w:keepLines/>
        <w:tabs>
          <w:tab w:val="left" w:pos="8280"/>
        </w:tabs>
        <w:rPr>
          <w:u w:val="single"/>
          <w:lang w:val="es-ES_tradnl"/>
        </w:rPr>
      </w:pPr>
      <w:r w:rsidRPr="00932F5A">
        <w:rPr>
          <w:u w:val="single"/>
          <w:lang w:val="es-ES_tradnl"/>
        </w:rPr>
        <w:t>Eficiencia</w:t>
      </w:r>
      <w:r w:rsidR="00936784" w:rsidRPr="00932F5A">
        <w:rPr>
          <w:u w:val="single"/>
          <w:lang w:val="es-ES_tradnl"/>
        </w:rPr>
        <w:t xml:space="preserve"> </w:t>
      </w:r>
      <w:r w:rsidRPr="00932F5A">
        <w:rPr>
          <w:u w:val="single"/>
          <w:lang w:val="es-ES_tradnl"/>
        </w:rPr>
        <w:t>energética</w:t>
      </w:r>
    </w:p>
    <w:p w14:paraId="2C2CD2F7" w14:textId="77777777" w:rsidR="003847D9" w:rsidRPr="00932F5A" w:rsidRDefault="003847D9" w:rsidP="00E23AEF">
      <w:pPr>
        <w:keepNext/>
        <w:keepLines/>
        <w:tabs>
          <w:tab w:val="left" w:pos="8280"/>
        </w:tabs>
        <w:rPr>
          <w:lang w:val="es-ES_tradnl"/>
        </w:rPr>
      </w:pPr>
    </w:p>
    <w:p w14:paraId="2B017297" w14:textId="2CEC2469" w:rsidR="00FF6784" w:rsidRPr="00932F5A" w:rsidRDefault="00932F5A" w:rsidP="00E23AEF">
      <w:pPr>
        <w:pStyle w:val="Heading1"/>
        <w:keepNext/>
        <w:keepLines/>
        <w:rPr>
          <w:lang w:val="es-ES_tradnl"/>
        </w:rPr>
      </w:pPr>
      <w:r>
        <w:rPr>
          <w:lang w:val="es-ES_tradnl"/>
        </w:rPr>
        <w:t xml:space="preserve">En la </w:t>
      </w:r>
      <w:r w:rsidR="003847D9" w:rsidRPr="00932F5A">
        <w:rPr>
          <w:lang w:val="es-ES_tradnl"/>
        </w:rPr>
        <w:t>8</w:t>
      </w:r>
      <w:r w:rsidR="005E7D21" w:rsidRPr="00932F5A">
        <w:rPr>
          <w:lang w:val="es-ES_tradnl"/>
        </w:rPr>
        <w:t>1</w:t>
      </w:r>
      <w:r w:rsidR="005F33A5">
        <w:rPr>
          <w:lang w:val="es-ES_tradnl"/>
        </w:rPr>
        <w:t>ª reunión</w:t>
      </w:r>
      <w:r w:rsidR="009905FD">
        <w:rPr>
          <w:lang w:val="es-ES_tradnl"/>
        </w:rPr>
        <w:t>,</w:t>
      </w:r>
      <w:r w:rsidR="00E069F2">
        <w:rPr>
          <w:lang w:val="es-ES_tradnl"/>
        </w:rPr>
        <w:t xml:space="preserve"> </w:t>
      </w:r>
      <w:r w:rsidR="00B349A8">
        <w:rPr>
          <w:lang w:val="es-ES_tradnl"/>
        </w:rPr>
        <w:t xml:space="preserve">tras </w:t>
      </w:r>
      <w:r w:rsidR="003E133B">
        <w:rPr>
          <w:lang w:val="es-ES_tradnl"/>
        </w:rPr>
        <w:t>abord</w:t>
      </w:r>
      <w:r w:rsidR="00B349A8">
        <w:rPr>
          <w:lang w:val="es-ES_tradnl"/>
        </w:rPr>
        <w:t>ar</w:t>
      </w:r>
      <w:r w:rsidR="003E133B">
        <w:rPr>
          <w:lang w:val="es-ES_tradnl"/>
        </w:rPr>
        <w:t xml:space="preserve"> </w:t>
      </w:r>
      <w:r w:rsidR="00B62114">
        <w:rPr>
          <w:lang w:val="es-ES_tradnl"/>
        </w:rPr>
        <w:t>materias relativas a</w:t>
      </w:r>
      <w:r w:rsidR="00936784" w:rsidRPr="00932F5A">
        <w:rPr>
          <w:lang w:val="es-ES_tradnl"/>
        </w:rPr>
        <w:t xml:space="preserve"> </w:t>
      </w:r>
      <w:r w:rsidR="000D5733">
        <w:rPr>
          <w:lang w:val="es-ES_tradnl"/>
        </w:rPr>
        <w:t xml:space="preserve">la </w:t>
      </w:r>
      <w:r w:rsidR="005F1C91" w:rsidRPr="00932F5A">
        <w:rPr>
          <w:lang w:val="es-ES_tradnl"/>
        </w:rPr>
        <w:t>eficiencia</w:t>
      </w:r>
      <w:r w:rsidR="00936784" w:rsidRPr="00932F5A">
        <w:rPr>
          <w:lang w:val="es-ES_tradnl"/>
        </w:rPr>
        <w:t xml:space="preserve"> </w:t>
      </w:r>
      <w:r w:rsidR="005F1C91" w:rsidRPr="00932F5A">
        <w:rPr>
          <w:lang w:val="es-ES_tradnl"/>
        </w:rPr>
        <w:t>energética</w:t>
      </w:r>
      <w:r w:rsidR="00125B96">
        <w:rPr>
          <w:lang w:val="es-ES_tradnl"/>
        </w:rPr>
        <w:t>,</w:t>
      </w:r>
      <w:r w:rsidR="00F94834">
        <w:rPr>
          <w:lang w:val="es-ES_tradnl"/>
        </w:rPr>
        <w:t xml:space="preserve"> </w:t>
      </w:r>
      <w:r w:rsidR="0065499D" w:rsidRPr="0065499D">
        <w:rPr>
          <w:lang w:val="es-ES_tradnl"/>
        </w:rPr>
        <w:t xml:space="preserve">el Comité Ejecutivo </w:t>
      </w:r>
      <w:r w:rsidR="0065499D">
        <w:rPr>
          <w:lang w:val="es-ES_tradnl"/>
        </w:rPr>
        <w:t>solicitó</w:t>
      </w:r>
      <w:r w:rsidR="00936784" w:rsidRPr="00932F5A">
        <w:rPr>
          <w:lang w:val="es-ES_tradnl"/>
        </w:rPr>
        <w:t xml:space="preserve"> </w:t>
      </w:r>
      <w:r w:rsidR="00125B96">
        <w:rPr>
          <w:lang w:val="es-ES_tradnl"/>
        </w:rPr>
        <w:t xml:space="preserve">a </w:t>
      </w:r>
      <w:r w:rsidR="00D352E8" w:rsidRPr="00932F5A">
        <w:rPr>
          <w:lang w:val="es-ES_tradnl"/>
        </w:rPr>
        <w:t>la</w:t>
      </w:r>
      <w:r w:rsidR="00936784" w:rsidRPr="00932F5A">
        <w:rPr>
          <w:lang w:val="es-ES_tradnl"/>
        </w:rPr>
        <w:t xml:space="preserve"> </w:t>
      </w:r>
      <w:r w:rsidR="00D352E8" w:rsidRPr="00932F5A">
        <w:rPr>
          <w:lang w:val="es-ES_tradnl"/>
        </w:rPr>
        <w:t>Secretaría</w:t>
      </w:r>
      <w:r w:rsidR="00936784" w:rsidRPr="00932F5A">
        <w:rPr>
          <w:lang w:val="es-ES_tradnl"/>
        </w:rPr>
        <w:t xml:space="preserve"> </w:t>
      </w:r>
      <w:r w:rsidR="001E4AC5">
        <w:rPr>
          <w:lang w:val="es-ES_tradnl"/>
        </w:rPr>
        <w:t xml:space="preserve">presentar </w:t>
      </w:r>
      <w:r w:rsidR="00E366F9">
        <w:rPr>
          <w:lang w:val="es-ES_tradnl"/>
        </w:rPr>
        <w:t>a</w:t>
      </w:r>
      <w:r w:rsidR="001E4AC5">
        <w:rPr>
          <w:lang w:val="es-ES_tradnl"/>
        </w:rPr>
        <w:t xml:space="preserve"> </w:t>
      </w:r>
      <w:r w:rsidR="00936784" w:rsidRPr="00932F5A">
        <w:rPr>
          <w:lang w:val="es-ES_tradnl"/>
        </w:rPr>
        <w:t>la 82</w:t>
      </w:r>
      <w:r w:rsidR="005F33A5">
        <w:rPr>
          <w:lang w:val="es-ES_tradnl"/>
        </w:rPr>
        <w:t>ª reunión</w:t>
      </w:r>
      <w:r w:rsidR="00936784" w:rsidRPr="00932F5A">
        <w:rPr>
          <w:lang w:val="es-ES_tradnl"/>
        </w:rPr>
        <w:t xml:space="preserve"> </w:t>
      </w:r>
      <w:r w:rsidR="00054C98">
        <w:rPr>
          <w:lang w:val="es-ES_tradnl"/>
        </w:rPr>
        <w:t>un</w:t>
      </w:r>
      <w:r w:rsidR="00936784" w:rsidRPr="00932F5A">
        <w:rPr>
          <w:lang w:val="es-ES_tradnl"/>
        </w:rPr>
        <w:t xml:space="preserve"> </w:t>
      </w:r>
      <w:r w:rsidR="005F1C91" w:rsidRPr="00932F5A">
        <w:rPr>
          <w:lang w:val="es-ES_tradnl"/>
        </w:rPr>
        <w:t>resumen</w:t>
      </w:r>
      <w:r w:rsidR="00936784" w:rsidRPr="00932F5A">
        <w:rPr>
          <w:lang w:val="es-ES_tradnl"/>
        </w:rPr>
        <w:t xml:space="preserve"> </w:t>
      </w:r>
      <w:r w:rsidR="00A66CB0" w:rsidRPr="00932F5A">
        <w:rPr>
          <w:lang w:val="es-ES_tradnl"/>
        </w:rPr>
        <w:t>de</w:t>
      </w:r>
      <w:r w:rsidR="00936784" w:rsidRPr="00932F5A">
        <w:rPr>
          <w:lang w:val="es-ES_tradnl"/>
        </w:rPr>
        <w:t xml:space="preserve"> </w:t>
      </w:r>
      <w:r w:rsidR="00A66CB0" w:rsidRPr="00932F5A">
        <w:rPr>
          <w:lang w:val="es-ES_tradnl"/>
        </w:rPr>
        <w:t>las</w:t>
      </w:r>
      <w:r w:rsidR="00936784" w:rsidRPr="00932F5A">
        <w:rPr>
          <w:lang w:val="es-ES_tradnl"/>
        </w:rPr>
        <w:t xml:space="preserve"> </w:t>
      </w:r>
      <w:r w:rsidR="00996B20" w:rsidRPr="00996B20">
        <w:rPr>
          <w:lang w:val="es-ES_tradnl"/>
        </w:rPr>
        <w:t xml:space="preserve">deliberaciones </w:t>
      </w:r>
      <w:r w:rsidR="00020811">
        <w:rPr>
          <w:lang w:val="es-ES_tradnl"/>
        </w:rPr>
        <w:t>que sostuvieron</w:t>
      </w:r>
      <w:r w:rsidR="00EA2B67">
        <w:rPr>
          <w:lang w:val="es-ES_tradnl"/>
        </w:rPr>
        <w:t xml:space="preserve"> </w:t>
      </w:r>
      <w:r w:rsidR="00996B20">
        <w:rPr>
          <w:lang w:val="es-ES_tradnl"/>
        </w:rPr>
        <w:t xml:space="preserve">las </w:t>
      </w:r>
      <w:r w:rsidR="00A66CB0" w:rsidRPr="00932F5A">
        <w:rPr>
          <w:lang w:val="es-ES_tradnl"/>
        </w:rPr>
        <w:t>Partes</w:t>
      </w:r>
      <w:r w:rsidR="00936784" w:rsidRPr="00932F5A">
        <w:rPr>
          <w:lang w:val="es-ES_tradnl"/>
        </w:rPr>
        <w:t xml:space="preserve"> </w:t>
      </w:r>
      <w:r w:rsidR="001C3CBB">
        <w:rPr>
          <w:lang w:val="es-ES_tradnl"/>
        </w:rPr>
        <w:t xml:space="preserve">durante la </w:t>
      </w:r>
      <w:r w:rsidR="003847D9" w:rsidRPr="00932F5A">
        <w:rPr>
          <w:lang w:val="es-ES_tradnl"/>
        </w:rPr>
        <w:t>4</w:t>
      </w:r>
      <w:r w:rsidR="005E7D21" w:rsidRPr="00932F5A">
        <w:rPr>
          <w:lang w:val="es-ES_tradnl"/>
        </w:rPr>
        <w:t>0</w:t>
      </w:r>
      <w:r w:rsidR="00592E63" w:rsidRPr="00932F5A">
        <w:rPr>
          <w:lang w:val="es-ES_tradnl"/>
        </w:rPr>
        <w:t>ª Reunión</w:t>
      </w:r>
      <w:r w:rsidR="00936784" w:rsidRPr="00932F5A">
        <w:rPr>
          <w:lang w:val="es-ES_tradnl"/>
        </w:rPr>
        <w:t xml:space="preserve"> </w:t>
      </w:r>
      <w:r w:rsidR="005E7D21" w:rsidRPr="00932F5A">
        <w:rPr>
          <w:lang w:val="es-ES_tradnl"/>
        </w:rPr>
        <w:t>del</w:t>
      </w:r>
      <w:r w:rsidR="00936784" w:rsidRPr="00932F5A">
        <w:rPr>
          <w:lang w:val="es-ES_tradnl"/>
        </w:rPr>
        <w:t xml:space="preserve"> </w:t>
      </w:r>
      <w:r w:rsidR="005F1C91" w:rsidRPr="00932F5A">
        <w:rPr>
          <w:lang w:val="es-ES_tradnl"/>
        </w:rPr>
        <w:t>Grupo</w:t>
      </w:r>
      <w:r w:rsidR="00936784" w:rsidRPr="00932F5A">
        <w:rPr>
          <w:lang w:val="es-ES_tradnl"/>
        </w:rPr>
        <w:t xml:space="preserve"> </w:t>
      </w:r>
      <w:r w:rsidR="005F1C91" w:rsidRPr="00932F5A">
        <w:rPr>
          <w:lang w:val="es-ES_tradnl"/>
        </w:rPr>
        <w:t>de</w:t>
      </w:r>
      <w:r w:rsidR="00936784" w:rsidRPr="00932F5A">
        <w:rPr>
          <w:lang w:val="es-ES_tradnl"/>
        </w:rPr>
        <w:t xml:space="preserve"> </w:t>
      </w:r>
      <w:r w:rsidR="005F1C91" w:rsidRPr="00932F5A">
        <w:rPr>
          <w:lang w:val="es-ES_tradnl"/>
        </w:rPr>
        <w:t>trabajo</w:t>
      </w:r>
      <w:r w:rsidR="00936784" w:rsidRPr="00932F5A">
        <w:rPr>
          <w:lang w:val="es-ES_tradnl"/>
        </w:rPr>
        <w:t xml:space="preserve"> </w:t>
      </w:r>
      <w:r w:rsidR="005F1C91" w:rsidRPr="00932F5A">
        <w:rPr>
          <w:lang w:val="es-ES_tradnl"/>
        </w:rPr>
        <w:t>de</w:t>
      </w:r>
      <w:r w:rsidR="00936784" w:rsidRPr="00932F5A">
        <w:rPr>
          <w:lang w:val="es-ES_tradnl"/>
        </w:rPr>
        <w:t xml:space="preserve"> </w:t>
      </w:r>
      <w:r w:rsidR="005F1C91" w:rsidRPr="00932F5A">
        <w:rPr>
          <w:lang w:val="es-ES_tradnl"/>
        </w:rPr>
        <w:t>composición</w:t>
      </w:r>
      <w:r w:rsidR="00936784" w:rsidRPr="00932F5A">
        <w:rPr>
          <w:lang w:val="es-ES_tradnl"/>
        </w:rPr>
        <w:t xml:space="preserve"> </w:t>
      </w:r>
      <w:r w:rsidR="005F1C91" w:rsidRPr="00932F5A">
        <w:rPr>
          <w:lang w:val="es-ES_tradnl"/>
        </w:rPr>
        <w:t>abierta</w:t>
      </w:r>
      <w:r w:rsidR="00936784" w:rsidRPr="00932F5A">
        <w:rPr>
          <w:lang w:val="es-ES_tradnl"/>
        </w:rPr>
        <w:t xml:space="preserve"> </w:t>
      </w:r>
      <w:r w:rsidR="003543D0" w:rsidRPr="00932F5A">
        <w:rPr>
          <w:lang w:val="es-ES_tradnl"/>
        </w:rPr>
        <w:t>y</w:t>
      </w:r>
      <w:r w:rsidR="00E35B3A">
        <w:rPr>
          <w:lang w:val="es-ES_tradnl"/>
        </w:rPr>
        <w:t xml:space="preserve"> la </w:t>
      </w:r>
      <w:r w:rsidR="00272BB5" w:rsidRPr="00932F5A">
        <w:rPr>
          <w:lang w:val="es-ES_tradnl"/>
        </w:rPr>
        <w:t>30</w:t>
      </w:r>
      <w:r w:rsidR="00592E63" w:rsidRPr="00932F5A">
        <w:rPr>
          <w:lang w:val="es-ES_tradnl"/>
        </w:rPr>
        <w:t xml:space="preserve">ª </w:t>
      </w:r>
      <w:r w:rsidR="00667294">
        <w:rPr>
          <w:lang w:val="es-ES_tradnl"/>
        </w:rPr>
        <w:t>Reunión de las Partes</w:t>
      </w:r>
      <w:r w:rsidR="00936784" w:rsidRPr="00932F5A">
        <w:rPr>
          <w:lang w:val="es-ES_tradnl"/>
        </w:rPr>
        <w:t xml:space="preserve"> </w:t>
      </w:r>
      <w:r w:rsidR="009F6F22" w:rsidRPr="009F6F22">
        <w:rPr>
          <w:lang w:val="es-ES_tradnl"/>
        </w:rPr>
        <w:t>en relación con</w:t>
      </w:r>
      <w:r w:rsidR="009F6F22">
        <w:rPr>
          <w:lang w:val="es-ES_tradnl"/>
        </w:rPr>
        <w:t xml:space="preserve"> </w:t>
      </w:r>
      <w:r w:rsidR="00962A27">
        <w:rPr>
          <w:lang w:val="es-ES_tradnl"/>
        </w:rPr>
        <w:t>e</w:t>
      </w:r>
      <w:r w:rsidR="00EB43C3" w:rsidRPr="00932F5A">
        <w:rPr>
          <w:lang w:val="es-ES_tradnl"/>
        </w:rPr>
        <w:t>l</w:t>
      </w:r>
      <w:r w:rsidR="00936784" w:rsidRPr="00932F5A">
        <w:rPr>
          <w:lang w:val="es-ES_tradnl"/>
        </w:rPr>
        <w:t xml:space="preserve"> </w:t>
      </w:r>
      <w:r w:rsidR="00FF6784" w:rsidRPr="00932F5A">
        <w:rPr>
          <w:lang w:val="es-ES_tradnl"/>
        </w:rPr>
        <w:t>informe</w:t>
      </w:r>
      <w:r w:rsidR="00936784" w:rsidRPr="00932F5A">
        <w:rPr>
          <w:lang w:val="es-ES_tradnl"/>
        </w:rPr>
        <w:t xml:space="preserve"> </w:t>
      </w:r>
      <w:r w:rsidR="00B13B07" w:rsidRPr="00B13B07">
        <w:rPr>
          <w:lang w:val="es-ES_tradnl"/>
        </w:rPr>
        <w:t xml:space="preserve">sobre eficiencia energética </w:t>
      </w:r>
      <w:r w:rsidR="00E67BB6">
        <w:rPr>
          <w:lang w:val="es-ES_tradnl"/>
        </w:rPr>
        <w:t xml:space="preserve">elaborado por </w:t>
      </w:r>
      <w:r w:rsidR="005556DA">
        <w:rPr>
          <w:lang w:val="es-ES_tradnl"/>
        </w:rPr>
        <w:t xml:space="preserve">el </w:t>
      </w:r>
      <w:r w:rsidR="00A66CB0" w:rsidRPr="00932F5A">
        <w:rPr>
          <w:lang w:val="es-ES_tradnl"/>
        </w:rPr>
        <w:t>GETE</w:t>
      </w:r>
      <w:r w:rsidR="00936784" w:rsidRPr="00932F5A">
        <w:rPr>
          <w:lang w:val="es-ES_tradnl"/>
        </w:rPr>
        <w:t xml:space="preserve"> </w:t>
      </w:r>
      <w:r w:rsidR="00EB43C3" w:rsidRPr="00932F5A">
        <w:rPr>
          <w:lang w:val="es-ES_tradnl"/>
        </w:rPr>
        <w:t>en</w:t>
      </w:r>
      <w:r w:rsidR="00936784" w:rsidRPr="00932F5A">
        <w:rPr>
          <w:lang w:val="es-ES_tradnl"/>
        </w:rPr>
        <w:t xml:space="preserve"> </w:t>
      </w:r>
      <w:r w:rsidR="00EB43C3" w:rsidRPr="00932F5A">
        <w:rPr>
          <w:lang w:val="es-ES_tradnl"/>
        </w:rPr>
        <w:t>respuesta</w:t>
      </w:r>
      <w:r w:rsidR="00936784" w:rsidRPr="00932F5A">
        <w:rPr>
          <w:lang w:val="es-ES_tradnl"/>
        </w:rPr>
        <w:t xml:space="preserve"> </w:t>
      </w:r>
      <w:r w:rsidR="00EB43C3" w:rsidRPr="00932F5A">
        <w:rPr>
          <w:lang w:val="es-ES_tradnl"/>
        </w:rPr>
        <w:t>a</w:t>
      </w:r>
      <w:r w:rsidR="00936784" w:rsidRPr="00932F5A">
        <w:rPr>
          <w:lang w:val="es-ES_tradnl"/>
        </w:rPr>
        <w:t xml:space="preserve"> </w:t>
      </w:r>
      <w:r w:rsidR="00EB43C3" w:rsidRPr="00932F5A">
        <w:rPr>
          <w:lang w:val="es-ES_tradnl"/>
        </w:rPr>
        <w:t>la</w:t>
      </w:r>
      <w:r w:rsidR="00936784" w:rsidRPr="00932F5A">
        <w:rPr>
          <w:lang w:val="es-ES_tradnl"/>
        </w:rPr>
        <w:t xml:space="preserve"> </w:t>
      </w:r>
      <w:r w:rsidR="00EB43C3" w:rsidRPr="00932F5A">
        <w:rPr>
          <w:lang w:val="es-ES_tradnl"/>
        </w:rPr>
        <w:t>decisión</w:t>
      </w:r>
      <w:r w:rsidR="00936784" w:rsidRPr="00932F5A">
        <w:rPr>
          <w:lang w:val="es-ES_tradnl"/>
        </w:rPr>
        <w:t xml:space="preserve"> </w:t>
      </w:r>
      <w:r w:rsidR="003847D9" w:rsidRPr="00932F5A">
        <w:rPr>
          <w:lang w:val="es-ES_tradnl"/>
        </w:rPr>
        <w:t>XXIX/10</w:t>
      </w:r>
      <w:r w:rsidR="00936784" w:rsidRPr="00932F5A">
        <w:rPr>
          <w:lang w:val="es-ES_tradnl"/>
        </w:rPr>
        <w:t xml:space="preserve"> </w:t>
      </w:r>
      <w:r w:rsidR="003847D9" w:rsidRPr="00932F5A">
        <w:rPr>
          <w:lang w:val="es-ES_tradnl"/>
        </w:rPr>
        <w:t>(</w:t>
      </w:r>
      <w:r w:rsidR="00D352E8" w:rsidRPr="00932F5A">
        <w:rPr>
          <w:lang w:val="es-ES_tradnl"/>
        </w:rPr>
        <w:t>decisión</w:t>
      </w:r>
      <w:r w:rsidR="00936784" w:rsidRPr="00932F5A">
        <w:rPr>
          <w:lang w:val="es-ES_tradnl"/>
        </w:rPr>
        <w:t xml:space="preserve"> </w:t>
      </w:r>
      <w:r w:rsidR="003847D9" w:rsidRPr="00932F5A">
        <w:rPr>
          <w:lang w:val="es-ES_tradnl"/>
        </w:rPr>
        <w:t>81/67(b)).</w:t>
      </w:r>
    </w:p>
    <w:p w14:paraId="1E14769B" w14:textId="2733E250" w:rsidR="00FF6784" w:rsidRPr="00932F5A" w:rsidRDefault="00EB43C3" w:rsidP="00FA2FD5">
      <w:pPr>
        <w:pStyle w:val="Heading1"/>
        <w:rPr>
          <w:lang w:val="es-ES_tradnl"/>
        </w:rPr>
      </w:pPr>
      <w:r w:rsidRPr="00932F5A">
        <w:rPr>
          <w:lang w:val="es-ES_tradnl"/>
        </w:rPr>
        <w:t>En</w:t>
      </w:r>
      <w:r w:rsidR="00936784" w:rsidRPr="00932F5A">
        <w:rPr>
          <w:lang w:val="es-ES_tradnl"/>
        </w:rPr>
        <w:t xml:space="preserve"> </w:t>
      </w:r>
      <w:r w:rsidRPr="00932F5A">
        <w:rPr>
          <w:lang w:val="es-ES_tradnl"/>
        </w:rPr>
        <w:t>respuesta</w:t>
      </w:r>
      <w:r w:rsidR="00936784" w:rsidRPr="00932F5A">
        <w:rPr>
          <w:lang w:val="es-ES_tradnl"/>
        </w:rPr>
        <w:t xml:space="preserve"> </w:t>
      </w:r>
      <w:r w:rsidRPr="00932F5A">
        <w:rPr>
          <w:lang w:val="es-ES_tradnl"/>
        </w:rPr>
        <w:t>a</w:t>
      </w:r>
      <w:r w:rsidR="00936784" w:rsidRPr="00932F5A">
        <w:rPr>
          <w:lang w:val="es-ES_tradnl"/>
        </w:rPr>
        <w:t xml:space="preserve"> </w:t>
      </w:r>
      <w:r w:rsidRPr="00932F5A">
        <w:rPr>
          <w:lang w:val="es-ES_tradnl"/>
        </w:rPr>
        <w:t>la</w:t>
      </w:r>
      <w:r w:rsidR="00936784" w:rsidRPr="00932F5A">
        <w:rPr>
          <w:lang w:val="es-ES_tradnl"/>
        </w:rPr>
        <w:t xml:space="preserve"> </w:t>
      </w:r>
      <w:r w:rsidRPr="00932F5A">
        <w:rPr>
          <w:lang w:val="es-ES_tradnl"/>
        </w:rPr>
        <w:t>decisión</w:t>
      </w:r>
      <w:r w:rsidR="00936784" w:rsidRPr="00932F5A">
        <w:rPr>
          <w:lang w:val="es-ES_tradnl"/>
        </w:rPr>
        <w:t xml:space="preserve"> </w:t>
      </w:r>
      <w:r w:rsidR="003847D9" w:rsidRPr="00932F5A">
        <w:rPr>
          <w:lang w:val="es-ES_tradnl"/>
        </w:rPr>
        <w:t>81/67(b),</w:t>
      </w:r>
      <w:r w:rsidR="00936784" w:rsidRPr="00932F5A">
        <w:rPr>
          <w:lang w:val="es-ES_tradnl"/>
        </w:rPr>
        <w:t xml:space="preserve"> </w:t>
      </w:r>
      <w:r w:rsidR="00D352E8" w:rsidRPr="00932F5A">
        <w:rPr>
          <w:lang w:val="es-ES_tradnl"/>
        </w:rPr>
        <w:t>la</w:t>
      </w:r>
      <w:r w:rsidR="00936784" w:rsidRPr="00932F5A">
        <w:rPr>
          <w:lang w:val="es-ES_tradnl"/>
        </w:rPr>
        <w:t xml:space="preserve"> </w:t>
      </w:r>
      <w:r w:rsidR="00E14490">
        <w:rPr>
          <w:lang w:val="es-ES_tradnl"/>
        </w:rPr>
        <w:t>Secretaría presentó</w:t>
      </w:r>
      <w:r w:rsidR="00936784" w:rsidRPr="00932F5A">
        <w:rPr>
          <w:lang w:val="es-ES_tradnl"/>
        </w:rPr>
        <w:t xml:space="preserve"> </w:t>
      </w:r>
      <w:r w:rsidR="00C6497D" w:rsidRPr="00C6497D">
        <w:rPr>
          <w:lang w:val="es-ES_tradnl"/>
        </w:rPr>
        <w:t>a la 82</w:t>
      </w:r>
      <w:r w:rsidR="005F33A5">
        <w:rPr>
          <w:lang w:val="es-ES_tradnl"/>
        </w:rPr>
        <w:t>ª reunión</w:t>
      </w:r>
      <w:r w:rsidR="00C6497D" w:rsidRPr="00C6497D">
        <w:rPr>
          <w:lang w:val="es-ES_tradnl"/>
        </w:rPr>
        <w:t xml:space="preserve"> </w:t>
      </w:r>
      <w:r w:rsidR="006F1429">
        <w:rPr>
          <w:lang w:val="es-ES_tradnl"/>
        </w:rPr>
        <w:t xml:space="preserve">los </w:t>
      </w:r>
      <w:r w:rsidR="00FF6784" w:rsidRPr="00932F5A">
        <w:rPr>
          <w:lang w:val="es-ES_tradnl"/>
        </w:rPr>
        <w:t>documentos</w:t>
      </w:r>
      <w:r w:rsidR="00936784" w:rsidRPr="00932F5A">
        <w:rPr>
          <w:lang w:val="es-ES_tradnl"/>
        </w:rPr>
        <w:t xml:space="preserve"> </w:t>
      </w:r>
      <w:r w:rsidR="00EA4DA0" w:rsidRPr="00932F5A">
        <w:rPr>
          <w:lang w:val="es-ES_tradnl"/>
        </w:rPr>
        <w:t>UNEP/OzL.Pro</w:t>
      </w:r>
      <w:r w:rsidR="00FA06D7" w:rsidRPr="00932F5A">
        <w:rPr>
          <w:lang w:val="es-ES_tradnl"/>
        </w:rPr>
        <w:t>/ExCom/82/65</w:t>
      </w:r>
      <w:r w:rsidR="00936784" w:rsidRPr="00932F5A">
        <w:rPr>
          <w:lang w:val="es-ES_tradnl"/>
        </w:rPr>
        <w:t xml:space="preserve"> </w:t>
      </w:r>
      <w:r w:rsidR="003543D0" w:rsidRPr="00932F5A">
        <w:rPr>
          <w:lang w:val="es-ES_tradnl"/>
        </w:rPr>
        <w:t>y</w:t>
      </w:r>
      <w:r w:rsidR="00936784" w:rsidRPr="00932F5A">
        <w:rPr>
          <w:lang w:val="es-ES_tradnl"/>
        </w:rPr>
        <w:t xml:space="preserve"> </w:t>
      </w:r>
      <w:r w:rsidR="00FA06D7" w:rsidRPr="00932F5A">
        <w:rPr>
          <w:lang w:val="es-ES_tradnl"/>
        </w:rPr>
        <w:t>Add.1</w:t>
      </w:r>
      <w:r w:rsidR="00097C68">
        <w:rPr>
          <w:lang w:val="es-ES_tradnl"/>
        </w:rPr>
        <w:t>,</w:t>
      </w:r>
      <w:r w:rsidR="00936784" w:rsidRPr="00932F5A">
        <w:rPr>
          <w:lang w:val="es-ES_tradnl"/>
        </w:rPr>
        <w:t xml:space="preserve"> </w:t>
      </w:r>
      <w:r w:rsidR="00C67FD5">
        <w:rPr>
          <w:lang w:val="es-ES_tradnl"/>
        </w:rPr>
        <w:t xml:space="preserve">tras lo cual </w:t>
      </w:r>
      <w:r w:rsidR="00EA4DA0" w:rsidRPr="00932F5A">
        <w:rPr>
          <w:lang w:val="es-ES_tradnl"/>
        </w:rPr>
        <w:t>el</w:t>
      </w:r>
      <w:r w:rsidR="00936784" w:rsidRPr="00932F5A">
        <w:rPr>
          <w:lang w:val="es-ES_tradnl"/>
        </w:rPr>
        <w:t xml:space="preserve"> </w:t>
      </w:r>
      <w:r w:rsidR="00EA4DA0" w:rsidRPr="00932F5A">
        <w:rPr>
          <w:lang w:val="es-ES_tradnl"/>
        </w:rPr>
        <w:t>Comité</w:t>
      </w:r>
      <w:r w:rsidR="00936784" w:rsidRPr="00932F5A">
        <w:rPr>
          <w:lang w:val="es-ES_tradnl"/>
        </w:rPr>
        <w:t xml:space="preserve"> </w:t>
      </w:r>
      <w:r w:rsidR="00BD550F">
        <w:rPr>
          <w:lang w:val="es-ES_tradnl"/>
        </w:rPr>
        <w:t xml:space="preserve">optó por </w:t>
      </w:r>
      <w:r w:rsidR="00084461">
        <w:rPr>
          <w:lang w:val="es-ES_tradnl"/>
        </w:rPr>
        <w:t>discutir</w:t>
      </w:r>
      <w:r w:rsidR="00936784" w:rsidRPr="00932F5A">
        <w:rPr>
          <w:lang w:val="es-ES_tradnl"/>
        </w:rPr>
        <w:t xml:space="preserve"> </w:t>
      </w:r>
      <w:r w:rsidR="008E2990">
        <w:rPr>
          <w:lang w:val="es-ES_tradnl"/>
        </w:rPr>
        <w:t xml:space="preserve">los temas de </w:t>
      </w:r>
      <w:r w:rsidR="005F1C91" w:rsidRPr="00932F5A">
        <w:rPr>
          <w:lang w:val="es-ES_tradnl"/>
        </w:rPr>
        <w:t>eficiencia</w:t>
      </w:r>
      <w:r w:rsidR="00936784" w:rsidRPr="00932F5A">
        <w:rPr>
          <w:lang w:val="es-ES_tradnl"/>
        </w:rPr>
        <w:t xml:space="preserve"> </w:t>
      </w:r>
      <w:r w:rsidR="005F1C91" w:rsidRPr="00932F5A">
        <w:rPr>
          <w:lang w:val="es-ES_tradnl"/>
        </w:rPr>
        <w:t>energética</w:t>
      </w:r>
      <w:r w:rsidR="00936784" w:rsidRPr="00932F5A">
        <w:rPr>
          <w:lang w:val="es-ES_tradnl"/>
        </w:rPr>
        <w:t xml:space="preserve"> </w:t>
      </w:r>
      <w:r w:rsidR="00FF7EF9" w:rsidRPr="00FF7EF9">
        <w:rPr>
          <w:lang w:val="es-ES_tradnl"/>
        </w:rPr>
        <w:t xml:space="preserve">por separado </w:t>
      </w:r>
      <w:r w:rsidR="00FF7EF9">
        <w:rPr>
          <w:lang w:val="es-ES_tradnl"/>
        </w:rPr>
        <w:t xml:space="preserve">de </w:t>
      </w:r>
      <w:r w:rsidR="007F25F1">
        <w:rPr>
          <w:lang w:val="es-ES_tradnl"/>
        </w:rPr>
        <w:t xml:space="preserve">los </w:t>
      </w:r>
      <w:r w:rsidR="00F92142">
        <w:rPr>
          <w:lang w:val="es-ES_tradnl"/>
        </w:rPr>
        <w:t>parámetros de costos para la reducción de HFC</w:t>
      </w:r>
      <w:r w:rsidR="003847D9" w:rsidRPr="00932F5A">
        <w:rPr>
          <w:lang w:val="es-ES_tradnl"/>
        </w:rPr>
        <w:t>.</w:t>
      </w:r>
      <w:r w:rsidR="00936784" w:rsidRPr="00932F5A">
        <w:rPr>
          <w:lang w:val="es-ES_tradnl"/>
        </w:rPr>
        <w:t xml:space="preserve"> </w:t>
      </w:r>
      <w:r w:rsidR="004B159F">
        <w:rPr>
          <w:lang w:val="es-ES_tradnl"/>
        </w:rPr>
        <w:t>Asimismo</w:t>
      </w:r>
      <w:r w:rsidR="003847D9" w:rsidRPr="00932F5A">
        <w:rPr>
          <w:lang w:val="es-ES_tradnl"/>
        </w:rPr>
        <w:t>,</w:t>
      </w:r>
      <w:r w:rsidR="00936784" w:rsidRPr="00932F5A">
        <w:rPr>
          <w:lang w:val="es-ES_tradnl"/>
        </w:rPr>
        <w:t xml:space="preserve"> </w:t>
      </w:r>
      <w:r w:rsidR="001F0B82">
        <w:rPr>
          <w:lang w:val="es-ES_tradnl"/>
        </w:rPr>
        <w:t>en cuanto a</w:t>
      </w:r>
      <w:r w:rsidR="00F40A0C">
        <w:rPr>
          <w:lang w:val="es-ES_tradnl"/>
        </w:rPr>
        <w:t xml:space="preserve"> </w:t>
      </w:r>
      <w:r w:rsidR="001F0B82">
        <w:rPr>
          <w:lang w:val="es-ES_tradnl"/>
        </w:rPr>
        <w:t>aumentar</w:t>
      </w:r>
      <w:r w:rsidR="00936784" w:rsidRPr="00932F5A">
        <w:rPr>
          <w:lang w:val="es-ES_tradnl"/>
        </w:rPr>
        <w:t xml:space="preserve"> </w:t>
      </w:r>
      <w:r w:rsidR="00D62C6E">
        <w:rPr>
          <w:lang w:val="es-ES_tradnl"/>
        </w:rPr>
        <w:t xml:space="preserve">el </w:t>
      </w:r>
      <w:r w:rsidR="003543D0" w:rsidRPr="00932F5A">
        <w:rPr>
          <w:lang w:val="es-ES_tradnl"/>
        </w:rPr>
        <w:t>financiamiento</w:t>
      </w:r>
      <w:r w:rsidR="00936784" w:rsidRPr="00932F5A">
        <w:rPr>
          <w:lang w:val="es-ES_tradnl"/>
        </w:rPr>
        <w:t xml:space="preserve"> </w:t>
      </w:r>
      <w:r w:rsidR="00BD76CA" w:rsidRPr="00932F5A">
        <w:rPr>
          <w:lang w:val="es-ES_tradnl"/>
        </w:rPr>
        <w:t>para</w:t>
      </w:r>
      <w:r w:rsidR="00936784" w:rsidRPr="00932F5A">
        <w:rPr>
          <w:lang w:val="es-ES_tradnl"/>
        </w:rPr>
        <w:t xml:space="preserve"> </w:t>
      </w:r>
      <w:r w:rsidR="00BD76CA" w:rsidRPr="00932F5A">
        <w:rPr>
          <w:lang w:val="es-ES_tradnl"/>
        </w:rPr>
        <w:t>países</w:t>
      </w:r>
      <w:r w:rsidR="00936784" w:rsidRPr="00932F5A">
        <w:rPr>
          <w:lang w:val="es-ES_tradnl"/>
        </w:rPr>
        <w:t xml:space="preserve"> </w:t>
      </w:r>
      <w:r w:rsidR="00FF6784" w:rsidRPr="00932F5A">
        <w:rPr>
          <w:lang w:val="es-ES_tradnl"/>
        </w:rPr>
        <w:t>de</w:t>
      </w:r>
      <w:r w:rsidR="00936784" w:rsidRPr="00932F5A">
        <w:rPr>
          <w:lang w:val="es-ES_tradnl"/>
        </w:rPr>
        <w:t xml:space="preserve"> </w:t>
      </w:r>
      <w:r w:rsidR="00FF6784" w:rsidRPr="00932F5A">
        <w:rPr>
          <w:lang w:val="es-ES_tradnl"/>
        </w:rPr>
        <w:t>bajo</w:t>
      </w:r>
      <w:r w:rsidR="00936784" w:rsidRPr="00932F5A">
        <w:rPr>
          <w:lang w:val="es-ES_tradnl"/>
        </w:rPr>
        <w:t xml:space="preserve"> </w:t>
      </w:r>
      <w:r w:rsidR="00FF6784" w:rsidRPr="00932F5A">
        <w:rPr>
          <w:lang w:val="es-ES_tradnl"/>
        </w:rPr>
        <w:t>consumo</w:t>
      </w:r>
      <w:r w:rsidR="00936784" w:rsidRPr="00932F5A">
        <w:rPr>
          <w:lang w:val="es-ES_tradnl"/>
        </w:rPr>
        <w:t xml:space="preserve"> </w:t>
      </w:r>
      <w:r w:rsidR="00375403">
        <w:rPr>
          <w:lang w:val="es-ES_tradnl"/>
        </w:rPr>
        <w:t xml:space="preserve">que reemplacen </w:t>
      </w:r>
      <w:r w:rsidR="005E7D21" w:rsidRPr="00932F5A">
        <w:rPr>
          <w:lang w:val="es-ES_tradnl"/>
        </w:rPr>
        <w:t>HCFC</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3543D0" w:rsidRPr="00932F5A">
        <w:rPr>
          <w:lang w:val="es-ES_tradnl"/>
        </w:rPr>
        <w:t>el</w:t>
      </w:r>
      <w:r w:rsidR="00936784" w:rsidRPr="00932F5A">
        <w:rPr>
          <w:lang w:val="es-ES_tradnl"/>
        </w:rPr>
        <w:t xml:space="preserve"> </w:t>
      </w:r>
      <w:r w:rsidR="003543D0" w:rsidRPr="00932F5A">
        <w:rPr>
          <w:lang w:val="es-ES_tradnl"/>
        </w:rPr>
        <w:t>sector</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servicio</w:t>
      </w:r>
      <w:r w:rsidR="00936784" w:rsidRPr="00932F5A">
        <w:rPr>
          <w:lang w:val="es-ES_tradnl"/>
        </w:rPr>
        <w:t xml:space="preserve"> </w:t>
      </w:r>
      <w:r w:rsidR="003543D0" w:rsidRPr="00932F5A">
        <w:rPr>
          <w:lang w:val="es-ES_tradnl"/>
        </w:rPr>
        <w:t>técnico</w:t>
      </w:r>
      <w:r w:rsidR="00936784" w:rsidRPr="00932F5A">
        <w:rPr>
          <w:lang w:val="es-ES_tradnl"/>
        </w:rPr>
        <w:t xml:space="preserve"> </w:t>
      </w:r>
      <w:r w:rsidRPr="00932F5A">
        <w:rPr>
          <w:lang w:val="es-ES_tradnl"/>
        </w:rPr>
        <w:t>de</w:t>
      </w:r>
      <w:r w:rsidR="00936784" w:rsidRPr="00932F5A">
        <w:rPr>
          <w:lang w:val="es-ES_tradnl"/>
        </w:rPr>
        <w:t xml:space="preserve"> </w:t>
      </w:r>
      <w:r w:rsidRPr="00932F5A">
        <w:rPr>
          <w:lang w:val="es-ES_tradnl"/>
        </w:rPr>
        <w:t>conformidad</w:t>
      </w:r>
      <w:r w:rsidR="00936784" w:rsidRPr="00932F5A">
        <w:rPr>
          <w:lang w:val="es-ES_tradnl"/>
        </w:rPr>
        <w:t xml:space="preserve"> </w:t>
      </w:r>
      <w:r w:rsidR="00F40A0C">
        <w:rPr>
          <w:lang w:val="es-ES_tradnl"/>
        </w:rPr>
        <w:t>con el párrafo</w:t>
      </w:r>
      <w:r w:rsidR="00936784" w:rsidRPr="00932F5A">
        <w:rPr>
          <w:lang w:val="es-ES_tradnl"/>
        </w:rPr>
        <w:t xml:space="preserve"> </w:t>
      </w:r>
      <w:r w:rsidR="003847D9" w:rsidRPr="00932F5A">
        <w:rPr>
          <w:lang w:val="es-ES_tradnl"/>
        </w:rPr>
        <w:t>16</w:t>
      </w:r>
      <w:r w:rsidR="00936784" w:rsidRPr="00932F5A">
        <w:rPr>
          <w:lang w:val="es-ES_tradnl"/>
        </w:rPr>
        <w:t xml:space="preserve"> </w:t>
      </w:r>
      <w:r w:rsidRPr="00932F5A">
        <w:rPr>
          <w:lang w:val="es-ES_tradnl"/>
        </w:rPr>
        <w:t>de</w:t>
      </w:r>
      <w:r w:rsidR="00936784" w:rsidRPr="00932F5A">
        <w:rPr>
          <w:lang w:val="es-ES_tradnl"/>
        </w:rPr>
        <w:t xml:space="preserve"> </w:t>
      </w:r>
      <w:r w:rsidRPr="00932F5A">
        <w:rPr>
          <w:lang w:val="es-ES_tradnl"/>
        </w:rPr>
        <w:t>la</w:t>
      </w:r>
      <w:r w:rsidR="00936784" w:rsidRPr="00932F5A">
        <w:rPr>
          <w:lang w:val="es-ES_tradnl"/>
        </w:rPr>
        <w:t xml:space="preserve"> </w:t>
      </w:r>
      <w:r w:rsidRPr="00932F5A">
        <w:rPr>
          <w:lang w:val="es-ES_tradnl"/>
        </w:rPr>
        <w:t>decisión</w:t>
      </w:r>
      <w:r w:rsidR="00936784" w:rsidRPr="00932F5A">
        <w:rPr>
          <w:lang w:val="es-ES_tradnl"/>
        </w:rPr>
        <w:t xml:space="preserve"> </w:t>
      </w:r>
      <w:r w:rsidR="003847D9" w:rsidRPr="00932F5A">
        <w:rPr>
          <w:lang w:val="es-ES_tradnl"/>
        </w:rPr>
        <w:t>XXVIII/2</w:t>
      </w:r>
      <w:r w:rsidR="000A341E">
        <w:rPr>
          <w:lang w:val="es-ES_tradnl"/>
        </w:rPr>
        <w:t>,</w:t>
      </w:r>
      <w:r w:rsidR="00936784" w:rsidRPr="00932F5A">
        <w:rPr>
          <w:lang w:val="es-ES_tradnl"/>
        </w:rPr>
        <w:t xml:space="preserve"> </w:t>
      </w:r>
      <w:r w:rsidR="00613282" w:rsidRPr="00613282">
        <w:rPr>
          <w:lang w:val="es-ES_tradnl"/>
        </w:rPr>
        <w:t xml:space="preserve">el Comité acordó </w:t>
      </w:r>
      <w:r w:rsidR="0099172F" w:rsidRPr="0099172F">
        <w:rPr>
          <w:lang w:val="es-ES_tradnl"/>
        </w:rPr>
        <w:t>discutir</w:t>
      </w:r>
      <w:r w:rsidR="0001239F">
        <w:rPr>
          <w:lang w:val="es-ES_tradnl"/>
        </w:rPr>
        <w:t>lo</w:t>
      </w:r>
      <w:r w:rsidR="0099172F" w:rsidRPr="0099172F">
        <w:rPr>
          <w:lang w:val="es-ES_tradnl"/>
        </w:rPr>
        <w:t xml:space="preserve"> bajo la rúbrica de </w:t>
      </w:r>
      <w:r w:rsidR="005F1C91" w:rsidRPr="00932F5A">
        <w:rPr>
          <w:lang w:val="es-ES_tradnl"/>
        </w:rPr>
        <w:t>eficiencia</w:t>
      </w:r>
      <w:r w:rsidR="00936784" w:rsidRPr="00932F5A">
        <w:rPr>
          <w:lang w:val="es-ES_tradnl"/>
        </w:rPr>
        <w:t xml:space="preserve"> </w:t>
      </w:r>
      <w:r w:rsidR="005F1C91" w:rsidRPr="00932F5A">
        <w:rPr>
          <w:lang w:val="es-ES_tradnl"/>
        </w:rPr>
        <w:t>energética</w:t>
      </w:r>
      <w:r w:rsidR="00936784" w:rsidRPr="00932F5A">
        <w:rPr>
          <w:lang w:val="es-ES_tradnl"/>
        </w:rPr>
        <w:t xml:space="preserve"> </w:t>
      </w:r>
      <w:r w:rsidR="000B109D">
        <w:rPr>
          <w:lang w:val="es-ES_tradnl"/>
        </w:rPr>
        <w:t>como tema relacionado</w:t>
      </w:r>
      <w:r w:rsidR="00A72A7F">
        <w:rPr>
          <w:lang w:val="es-ES_tradnl"/>
        </w:rPr>
        <w:t xml:space="preserve"> con el </w:t>
      </w:r>
      <w:r w:rsidR="00EA4DA0" w:rsidRPr="00932F5A">
        <w:rPr>
          <w:lang w:val="es-ES_tradnl"/>
        </w:rPr>
        <w:t>párrafo</w:t>
      </w:r>
      <w:r w:rsidR="00936784" w:rsidRPr="00932F5A">
        <w:rPr>
          <w:lang w:val="es-ES_tradnl"/>
        </w:rPr>
        <w:t xml:space="preserve"> </w:t>
      </w:r>
      <w:r w:rsidR="003847D9" w:rsidRPr="00932F5A">
        <w:rPr>
          <w:lang w:val="es-ES_tradnl"/>
        </w:rPr>
        <w:t>2</w:t>
      </w:r>
      <w:r w:rsidR="00936784" w:rsidRPr="00932F5A">
        <w:rPr>
          <w:lang w:val="es-ES_tradnl"/>
        </w:rPr>
        <w:t xml:space="preserve"> </w:t>
      </w:r>
      <w:r w:rsidRPr="00932F5A">
        <w:rPr>
          <w:lang w:val="es-ES_tradnl"/>
        </w:rPr>
        <w:t>de</w:t>
      </w:r>
      <w:r w:rsidR="00936784" w:rsidRPr="00932F5A">
        <w:rPr>
          <w:lang w:val="es-ES_tradnl"/>
        </w:rPr>
        <w:t xml:space="preserve"> </w:t>
      </w:r>
      <w:r w:rsidRPr="00932F5A">
        <w:rPr>
          <w:lang w:val="es-ES_tradnl"/>
        </w:rPr>
        <w:t>la</w:t>
      </w:r>
      <w:r w:rsidR="00936784" w:rsidRPr="00932F5A">
        <w:rPr>
          <w:lang w:val="es-ES_tradnl"/>
        </w:rPr>
        <w:t xml:space="preserve"> </w:t>
      </w:r>
      <w:r w:rsidRPr="00932F5A">
        <w:rPr>
          <w:lang w:val="es-ES_tradnl"/>
        </w:rPr>
        <w:t>decisión</w:t>
      </w:r>
      <w:r w:rsidR="00936784" w:rsidRPr="00932F5A">
        <w:rPr>
          <w:lang w:val="es-ES_tradnl"/>
        </w:rPr>
        <w:t xml:space="preserve"> </w:t>
      </w:r>
      <w:r w:rsidR="003847D9" w:rsidRPr="00932F5A">
        <w:rPr>
          <w:lang w:val="es-ES_tradnl"/>
        </w:rPr>
        <w:t>XXX/5.</w:t>
      </w:r>
      <w:r w:rsidR="006100BE" w:rsidRPr="00932F5A">
        <w:rPr>
          <w:rStyle w:val="FootnoteReference"/>
          <w:lang w:val="es-ES_tradnl"/>
        </w:rPr>
        <w:footnoteReference w:id="7"/>
      </w:r>
    </w:p>
    <w:p w14:paraId="37915847" w14:textId="52794EAA" w:rsidR="003847D9" w:rsidRPr="00932F5A" w:rsidRDefault="005A075E" w:rsidP="00FA2FD5">
      <w:pPr>
        <w:pStyle w:val="Heading1"/>
        <w:rPr>
          <w:lang w:val="es-ES_tradnl"/>
        </w:rPr>
      </w:pPr>
      <w:r>
        <w:rPr>
          <w:lang w:val="es-ES_tradnl"/>
        </w:rPr>
        <w:t>E</w:t>
      </w:r>
      <w:r w:rsidR="00D352E8" w:rsidRPr="00932F5A">
        <w:rPr>
          <w:lang w:val="es-ES_tradnl"/>
        </w:rPr>
        <w:t>l</w:t>
      </w:r>
      <w:r w:rsidR="00936784" w:rsidRPr="00932F5A">
        <w:rPr>
          <w:lang w:val="es-ES_tradnl"/>
        </w:rPr>
        <w:t xml:space="preserve"> </w:t>
      </w:r>
      <w:r w:rsidR="00EB43C3" w:rsidRPr="00932F5A">
        <w:rPr>
          <w:lang w:val="es-ES_tradnl"/>
        </w:rPr>
        <w:t>Comité</w:t>
      </w:r>
      <w:r w:rsidR="00936784" w:rsidRPr="00932F5A">
        <w:rPr>
          <w:lang w:val="es-ES_tradnl"/>
        </w:rPr>
        <w:t xml:space="preserve"> </w:t>
      </w:r>
      <w:r w:rsidR="00A927A6">
        <w:rPr>
          <w:lang w:val="es-ES_tradnl"/>
        </w:rPr>
        <w:t>Ejecutivo resolvió</w:t>
      </w:r>
      <w:r w:rsidR="00F11908">
        <w:rPr>
          <w:lang w:val="es-ES_tradnl"/>
        </w:rPr>
        <w:t xml:space="preserve"> además</w:t>
      </w:r>
      <w:r w:rsidR="00994E5D">
        <w:rPr>
          <w:lang w:val="es-ES_tradnl"/>
        </w:rPr>
        <w:t xml:space="preserve">, </w:t>
      </w:r>
      <w:r w:rsidR="00994E5D" w:rsidRPr="00994E5D">
        <w:rPr>
          <w:lang w:val="es-ES_tradnl"/>
        </w:rPr>
        <w:t>entre otros</w:t>
      </w:r>
      <w:r w:rsidR="00994E5D">
        <w:rPr>
          <w:lang w:val="es-ES_tradnl"/>
        </w:rPr>
        <w:t xml:space="preserve">, </w:t>
      </w:r>
      <w:r w:rsidR="004A0DC5" w:rsidRPr="004A0DC5">
        <w:rPr>
          <w:lang w:val="es-ES_tradnl"/>
        </w:rPr>
        <w:t xml:space="preserve">discutir </w:t>
      </w:r>
      <w:r w:rsidR="00431F01">
        <w:rPr>
          <w:lang w:val="es-ES_tradnl"/>
        </w:rPr>
        <w:t>en la 8</w:t>
      </w:r>
      <w:r w:rsidR="005E7D21" w:rsidRPr="00932F5A">
        <w:rPr>
          <w:lang w:val="es-ES_tradnl"/>
        </w:rPr>
        <w:t>3</w:t>
      </w:r>
      <w:r w:rsidR="005F33A5">
        <w:rPr>
          <w:lang w:val="es-ES_tradnl"/>
        </w:rPr>
        <w:t>ª reunión</w:t>
      </w:r>
      <w:r w:rsidR="004A0DC5">
        <w:rPr>
          <w:lang w:val="es-ES_tradnl"/>
        </w:rPr>
        <w:t xml:space="preserve"> </w:t>
      </w:r>
      <w:r w:rsidR="003847D9" w:rsidRPr="00932F5A">
        <w:rPr>
          <w:lang w:val="es-ES_tradnl"/>
        </w:rPr>
        <w:t>(</w:t>
      </w:r>
      <w:r w:rsidR="00D352E8" w:rsidRPr="00932F5A">
        <w:rPr>
          <w:lang w:val="es-ES_tradnl"/>
        </w:rPr>
        <w:t>decisión</w:t>
      </w:r>
      <w:r w:rsidR="00936784" w:rsidRPr="00932F5A">
        <w:rPr>
          <w:lang w:val="es-ES_tradnl"/>
        </w:rPr>
        <w:t xml:space="preserve"> </w:t>
      </w:r>
      <w:r w:rsidR="003847D9" w:rsidRPr="00932F5A">
        <w:rPr>
          <w:lang w:val="es-ES_tradnl"/>
        </w:rPr>
        <w:t>82/83):</w:t>
      </w:r>
    </w:p>
    <w:p w14:paraId="5DF47DF3" w14:textId="7B5A7037" w:rsidR="003847D9" w:rsidRPr="00932F5A" w:rsidRDefault="00EB760F" w:rsidP="00686CB5">
      <w:pPr>
        <w:pStyle w:val="Heading2"/>
        <w:numPr>
          <w:ilvl w:val="1"/>
          <w:numId w:val="32"/>
        </w:numPr>
        <w:ind w:left="1276" w:hanging="507"/>
        <w:rPr>
          <w:lang w:val="es-ES_tradnl"/>
        </w:rPr>
      </w:pPr>
      <w:r>
        <w:rPr>
          <w:lang w:val="es-ES_tradnl"/>
        </w:rPr>
        <w:t xml:space="preserve">Un </w:t>
      </w:r>
      <w:r w:rsidR="00FF6784" w:rsidRPr="00932F5A">
        <w:rPr>
          <w:lang w:val="es-ES_tradnl"/>
        </w:rPr>
        <w:t>documento</w:t>
      </w:r>
      <w:r w:rsidR="00936784" w:rsidRPr="00932F5A">
        <w:rPr>
          <w:lang w:val="es-ES_tradnl"/>
        </w:rPr>
        <w:t xml:space="preserve"> </w:t>
      </w:r>
      <w:r w:rsidR="00AC769A">
        <w:rPr>
          <w:lang w:val="es-ES_tradnl"/>
        </w:rPr>
        <w:t xml:space="preserve">sobre </w:t>
      </w:r>
      <w:r w:rsidR="00356C20">
        <w:rPr>
          <w:lang w:val="es-ES_tradnl"/>
        </w:rPr>
        <w:t>formas de</w:t>
      </w:r>
      <w:r w:rsidR="00936784" w:rsidRPr="00932F5A">
        <w:rPr>
          <w:lang w:val="es-ES_tradnl"/>
        </w:rPr>
        <w:t xml:space="preserve"> </w:t>
      </w:r>
      <w:r w:rsidR="00581CEA">
        <w:rPr>
          <w:lang w:val="es-ES_tradnl"/>
        </w:rPr>
        <w:t>llevar a la práctica</w:t>
      </w:r>
      <w:r w:rsidR="00936784" w:rsidRPr="00932F5A">
        <w:rPr>
          <w:lang w:val="es-ES_tradnl"/>
        </w:rPr>
        <w:t xml:space="preserve"> </w:t>
      </w:r>
      <w:r w:rsidR="00E1300E">
        <w:rPr>
          <w:lang w:val="es-ES_tradnl"/>
        </w:rPr>
        <w:t>los</w:t>
      </w:r>
      <w:r w:rsidR="00341E3C">
        <w:rPr>
          <w:lang w:val="es-ES_tradnl"/>
        </w:rPr>
        <w:t xml:space="preserve"> </w:t>
      </w:r>
      <w:r w:rsidR="00EA4DA0" w:rsidRPr="00932F5A">
        <w:rPr>
          <w:lang w:val="es-ES_tradnl"/>
        </w:rPr>
        <w:t>párrafo</w:t>
      </w:r>
      <w:r w:rsidR="00E1300E">
        <w:rPr>
          <w:lang w:val="es-ES_tradnl"/>
        </w:rPr>
        <w:t>s</w:t>
      </w:r>
      <w:r w:rsidR="00936784" w:rsidRPr="00932F5A">
        <w:rPr>
          <w:lang w:val="es-ES_tradnl"/>
        </w:rPr>
        <w:t xml:space="preserve"> </w:t>
      </w:r>
      <w:r w:rsidR="003847D9" w:rsidRPr="00932F5A">
        <w:rPr>
          <w:lang w:val="es-ES_tradnl"/>
        </w:rPr>
        <w:t>16</w:t>
      </w:r>
      <w:r w:rsidR="00936784" w:rsidRPr="00932F5A">
        <w:rPr>
          <w:lang w:val="es-ES_tradnl"/>
        </w:rPr>
        <w:t xml:space="preserve"> </w:t>
      </w:r>
      <w:r w:rsidR="00EB43C3" w:rsidRPr="00932F5A">
        <w:rPr>
          <w:lang w:val="es-ES_tradnl"/>
        </w:rPr>
        <w:t>de</w:t>
      </w:r>
      <w:r w:rsidR="00936784" w:rsidRPr="00932F5A">
        <w:rPr>
          <w:lang w:val="es-ES_tradnl"/>
        </w:rPr>
        <w:t xml:space="preserve"> </w:t>
      </w:r>
      <w:r w:rsidR="00EB43C3" w:rsidRPr="00932F5A">
        <w:rPr>
          <w:lang w:val="es-ES_tradnl"/>
        </w:rPr>
        <w:t>la</w:t>
      </w:r>
      <w:r w:rsidR="00936784" w:rsidRPr="00932F5A">
        <w:rPr>
          <w:lang w:val="es-ES_tradnl"/>
        </w:rPr>
        <w:t xml:space="preserve"> </w:t>
      </w:r>
      <w:r w:rsidR="00EB43C3" w:rsidRPr="00932F5A">
        <w:rPr>
          <w:lang w:val="es-ES_tradnl"/>
        </w:rPr>
        <w:t>decisión</w:t>
      </w:r>
      <w:r w:rsidR="00936784" w:rsidRPr="00932F5A">
        <w:rPr>
          <w:lang w:val="es-ES_tradnl"/>
        </w:rPr>
        <w:t xml:space="preserve"> </w:t>
      </w:r>
      <w:r w:rsidR="003847D9" w:rsidRPr="00932F5A">
        <w:rPr>
          <w:lang w:val="es-ES_tradnl"/>
        </w:rPr>
        <w:t>XXVIII/</w:t>
      </w:r>
      <w:r w:rsidR="00EE16D4">
        <w:rPr>
          <w:lang w:val="es-ES_tradnl"/>
        </w:rPr>
        <w:t>2</w:t>
      </w:r>
      <w:r w:rsidR="00936784" w:rsidRPr="00932F5A">
        <w:rPr>
          <w:lang w:val="es-ES_tradnl"/>
        </w:rPr>
        <w:t xml:space="preserve"> </w:t>
      </w:r>
      <w:r w:rsidR="0045071D">
        <w:rPr>
          <w:lang w:val="es-ES_tradnl"/>
        </w:rPr>
        <w:t xml:space="preserve">y </w:t>
      </w:r>
      <w:r w:rsidR="003847D9" w:rsidRPr="00932F5A">
        <w:rPr>
          <w:lang w:val="es-ES_tradnl"/>
        </w:rPr>
        <w:t>2</w:t>
      </w:r>
      <w:r w:rsidR="00936784" w:rsidRPr="00932F5A">
        <w:rPr>
          <w:lang w:val="es-ES_tradnl"/>
        </w:rPr>
        <w:t xml:space="preserve"> </w:t>
      </w:r>
      <w:r w:rsidR="00EB43C3" w:rsidRPr="00932F5A">
        <w:rPr>
          <w:lang w:val="es-ES_tradnl"/>
        </w:rPr>
        <w:t>de</w:t>
      </w:r>
      <w:r w:rsidR="00936784" w:rsidRPr="00932F5A">
        <w:rPr>
          <w:lang w:val="es-ES_tradnl"/>
        </w:rPr>
        <w:t xml:space="preserve"> </w:t>
      </w:r>
      <w:r w:rsidR="00EB43C3" w:rsidRPr="00932F5A">
        <w:rPr>
          <w:lang w:val="es-ES_tradnl"/>
        </w:rPr>
        <w:t>la</w:t>
      </w:r>
      <w:r w:rsidR="00936784" w:rsidRPr="00932F5A">
        <w:rPr>
          <w:lang w:val="es-ES_tradnl"/>
        </w:rPr>
        <w:t xml:space="preserve"> </w:t>
      </w:r>
      <w:r w:rsidR="00EB43C3" w:rsidRPr="00932F5A">
        <w:rPr>
          <w:lang w:val="es-ES_tradnl"/>
        </w:rPr>
        <w:t>decisión</w:t>
      </w:r>
      <w:r w:rsidR="00936784" w:rsidRPr="00932F5A">
        <w:rPr>
          <w:lang w:val="es-ES_tradnl"/>
        </w:rPr>
        <w:t xml:space="preserve"> </w:t>
      </w:r>
      <w:r w:rsidR="003847D9" w:rsidRPr="00932F5A">
        <w:rPr>
          <w:lang w:val="es-ES_tradnl"/>
        </w:rPr>
        <w:t>XXX/5;</w:t>
      </w:r>
    </w:p>
    <w:p w14:paraId="0790AB2C" w14:textId="188E2407" w:rsidR="003847D9" w:rsidRPr="00932F5A" w:rsidRDefault="0002673C" w:rsidP="00686CB5">
      <w:pPr>
        <w:pStyle w:val="Heading2"/>
        <w:numPr>
          <w:ilvl w:val="1"/>
          <w:numId w:val="32"/>
        </w:numPr>
        <w:ind w:left="1276" w:hanging="507"/>
        <w:rPr>
          <w:lang w:val="es-ES_tradnl"/>
        </w:rPr>
      </w:pPr>
      <w:r>
        <w:rPr>
          <w:lang w:val="es-ES_tradnl"/>
        </w:rPr>
        <w:t xml:space="preserve">Un </w:t>
      </w:r>
      <w:r w:rsidR="00FF6784" w:rsidRPr="00932F5A">
        <w:rPr>
          <w:lang w:val="es-ES_tradnl"/>
        </w:rPr>
        <w:t>documento</w:t>
      </w:r>
      <w:r w:rsidR="00936784" w:rsidRPr="00932F5A">
        <w:rPr>
          <w:lang w:val="es-ES_tradnl"/>
        </w:rPr>
        <w:t xml:space="preserve"> </w:t>
      </w:r>
      <w:r w:rsidR="00C27535">
        <w:rPr>
          <w:lang w:val="es-ES_tradnl"/>
        </w:rPr>
        <w:t>sobre</w:t>
      </w:r>
      <w:r w:rsidR="00936784" w:rsidRPr="00932F5A">
        <w:rPr>
          <w:lang w:val="es-ES_tradnl"/>
        </w:rPr>
        <w:t xml:space="preserve"> </w:t>
      </w:r>
      <w:r w:rsidR="00C27535" w:rsidRPr="00C27535">
        <w:rPr>
          <w:lang w:val="es-ES_tradnl"/>
        </w:rPr>
        <w:t xml:space="preserve">fondos e instituciones financieras que movilicen recursos para eficiencia energética </w:t>
      </w:r>
      <w:r w:rsidR="00D92551">
        <w:rPr>
          <w:lang w:val="es-ES_tradnl"/>
        </w:rPr>
        <w:t xml:space="preserve">que el </w:t>
      </w:r>
      <w:r w:rsidR="00D92551" w:rsidRPr="00D92551">
        <w:rPr>
          <w:lang w:val="es-ES_tradnl"/>
        </w:rPr>
        <w:t xml:space="preserve">Fondo Multilateral </w:t>
      </w:r>
      <w:r w:rsidR="00F0247B">
        <w:rPr>
          <w:lang w:val="es-ES_tradnl"/>
        </w:rPr>
        <w:t xml:space="preserve">pueda </w:t>
      </w:r>
      <w:r w:rsidR="00C27535" w:rsidRPr="00C27535">
        <w:rPr>
          <w:lang w:val="es-ES_tradnl"/>
        </w:rPr>
        <w:t xml:space="preserve">utilizar </w:t>
      </w:r>
      <w:r w:rsidR="00C2275B">
        <w:rPr>
          <w:lang w:val="es-ES_tradnl"/>
        </w:rPr>
        <w:t>para</w:t>
      </w:r>
      <w:r w:rsidR="00C27535" w:rsidRPr="00C27535">
        <w:rPr>
          <w:lang w:val="es-ES_tradnl"/>
        </w:rPr>
        <w:t xml:space="preserve"> la reducción de </w:t>
      </w:r>
      <w:r w:rsidR="00293A20">
        <w:rPr>
          <w:lang w:val="es-ES_tradnl"/>
        </w:rPr>
        <w:t>HFC</w:t>
      </w:r>
      <w:r w:rsidR="003847D9" w:rsidRPr="00932F5A">
        <w:rPr>
          <w:lang w:val="es-ES_tradnl"/>
        </w:rPr>
        <w:t>;</w:t>
      </w:r>
    </w:p>
    <w:p w14:paraId="54036CEF" w14:textId="44C5F472" w:rsidR="003847D9" w:rsidRPr="00932F5A" w:rsidRDefault="00356C20" w:rsidP="00686CB5">
      <w:pPr>
        <w:pStyle w:val="Heading2"/>
        <w:numPr>
          <w:ilvl w:val="1"/>
          <w:numId w:val="32"/>
        </w:numPr>
        <w:ind w:left="1276" w:hanging="507"/>
        <w:rPr>
          <w:lang w:val="es-ES_tradnl"/>
        </w:rPr>
      </w:pPr>
      <w:r>
        <w:rPr>
          <w:lang w:val="es-ES_tradnl"/>
        </w:rPr>
        <w:t>Formas de</w:t>
      </w:r>
      <w:r w:rsidR="00936784" w:rsidRPr="00932F5A">
        <w:rPr>
          <w:lang w:val="es-ES_tradnl"/>
        </w:rPr>
        <w:t xml:space="preserve"> </w:t>
      </w:r>
      <w:r w:rsidR="00581CEA">
        <w:rPr>
          <w:lang w:val="es-ES_tradnl"/>
        </w:rPr>
        <w:t>llevar a la práctica</w:t>
      </w:r>
      <w:r w:rsidR="00936784" w:rsidRPr="00932F5A">
        <w:rPr>
          <w:lang w:val="es-ES_tradnl"/>
        </w:rPr>
        <w:t xml:space="preserve"> </w:t>
      </w:r>
      <w:r w:rsidR="00E224C2">
        <w:rPr>
          <w:lang w:val="es-ES_tradnl"/>
        </w:rPr>
        <w:t xml:space="preserve">los </w:t>
      </w:r>
      <w:r w:rsidR="00EA4DA0" w:rsidRPr="00932F5A">
        <w:rPr>
          <w:lang w:val="es-ES_tradnl"/>
        </w:rPr>
        <w:t>párrafo</w:t>
      </w:r>
      <w:r w:rsidR="00E224C2">
        <w:rPr>
          <w:lang w:val="es-ES_tradnl"/>
        </w:rPr>
        <w:t>s</w:t>
      </w:r>
      <w:r w:rsidR="00936784" w:rsidRPr="00932F5A">
        <w:rPr>
          <w:lang w:val="es-ES_tradnl"/>
        </w:rPr>
        <w:t xml:space="preserve"> </w:t>
      </w:r>
      <w:r w:rsidR="003847D9" w:rsidRPr="00932F5A">
        <w:rPr>
          <w:lang w:val="es-ES_tradnl"/>
        </w:rPr>
        <w:t>22</w:t>
      </w:r>
      <w:r w:rsidR="00936784" w:rsidRPr="00932F5A">
        <w:rPr>
          <w:lang w:val="es-ES_tradnl"/>
        </w:rPr>
        <w:t xml:space="preserve"> </w:t>
      </w:r>
      <w:r w:rsidR="00EB43C3" w:rsidRPr="00932F5A">
        <w:rPr>
          <w:lang w:val="es-ES_tradnl"/>
        </w:rPr>
        <w:t>de</w:t>
      </w:r>
      <w:r w:rsidR="00936784" w:rsidRPr="00932F5A">
        <w:rPr>
          <w:lang w:val="es-ES_tradnl"/>
        </w:rPr>
        <w:t xml:space="preserve"> </w:t>
      </w:r>
      <w:r w:rsidR="00EB43C3" w:rsidRPr="00932F5A">
        <w:rPr>
          <w:lang w:val="es-ES_tradnl"/>
        </w:rPr>
        <w:t>la</w:t>
      </w:r>
      <w:r w:rsidR="00936784" w:rsidRPr="00932F5A">
        <w:rPr>
          <w:lang w:val="es-ES_tradnl"/>
        </w:rPr>
        <w:t xml:space="preserve"> </w:t>
      </w:r>
      <w:r w:rsidR="00EB43C3" w:rsidRPr="00932F5A">
        <w:rPr>
          <w:lang w:val="es-ES_tradnl"/>
        </w:rPr>
        <w:t>decisión</w:t>
      </w:r>
      <w:r w:rsidR="00936784" w:rsidRPr="00932F5A">
        <w:rPr>
          <w:lang w:val="es-ES_tradnl"/>
        </w:rPr>
        <w:t xml:space="preserve"> </w:t>
      </w:r>
      <w:r w:rsidR="003847D9" w:rsidRPr="00932F5A">
        <w:rPr>
          <w:lang w:val="es-ES_tradnl"/>
        </w:rPr>
        <w:t>XXVIII/</w:t>
      </w:r>
      <w:r w:rsidR="00E224C2">
        <w:rPr>
          <w:lang w:val="es-ES_tradnl"/>
        </w:rPr>
        <w:t>2</w:t>
      </w:r>
      <w:r w:rsidR="00936784" w:rsidRPr="00932F5A">
        <w:rPr>
          <w:lang w:val="es-ES_tradnl"/>
        </w:rPr>
        <w:t xml:space="preserve"> </w:t>
      </w:r>
      <w:r w:rsidR="0045071D">
        <w:rPr>
          <w:lang w:val="es-ES_tradnl"/>
        </w:rPr>
        <w:t xml:space="preserve">y </w:t>
      </w:r>
      <w:r w:rsidR="003847D9" w:rsidRPr="00932F5A">
        <w:rPr>
          <w:lang w:val="es-ES_tradnl"/>
        </w:rPr>
        <w:t>5</w:t>
      </w:r>
      <w:r w:rsidR="00936784" w:rsidRPr="00932F5A">
        <w:rPr>
          <w:lang w:val="es-ES_tradnl"/>
        </w:rPr>
        <w:t xml:space="preserve"> </w:t>
      </w:r>
      <w:r w:rsidR="003543D0" w:rsidRPr="00932F5A">
        <w:rPr>
          <w:lang w:val="es-ES_tradnl"/>
        </w:rPr>
        <w:t>y</w:t>
      </w:r>
      <w:r w:rsidR="00936784" w:rsidRPr="00932F5A">
        <w:rPr>
          <w:lang w:val="es-ES_tradnl"/>
        </w:rPr>
        <w:t xml:space="preserve"> </w:t>
      </w:r>
      <w:r w:rsidR="003847D9" w:rsidRPr="00932F5A">
        <w:rPr>
          <w:lang w:val="es-ES_tradnl"/>
        </w:rPr>
        <w:t>6</w:t>
      </w:r>
      <w:r w:rsidR="00936784" w:rsidRPr="00932F5A">
        <w:rPr>
          <w:lang w:val="es-ES_tradnl"/>
        </w:rPr>
        <w:t xml:space="preserve"> </w:t>
      </w:r>
      <w:r w:rsidR="00EB43C3" w:rsidRPr="00932F5A">
        <w:rPr>
          <w:lang w:val="es-ES_tradnl"/>
        </w:rPr>
        <w:t>de</w:t>
      </w:r>
      <w:r w:rsidR="00936784" w:rsidRPr="00932F5A">
        <w:rPr>
          <w:lang w:val="es-ES_tradnl"/>
        </w:rPr>
        <w:t xml:space="preserve"> </w:t>
      </w:r>
      <w:r w:rsidR="00EB43C3" w:rsidRPr="00932F5A">
        <w:rPr>
          <w:lang w:val="es-ES_tradnl"/>
        </w:rPr>
        <w:t>la</w:t>
      </w:r>
      <w:r w:rsidR="00936784" w:rsidRPr="00932F5A">
        <w:rPr>
          <w:lang w:val="es-ES_tradnl"/>
        </w:rPr>
        <w:t xml:space="preserve"> </w:t>
      </w:r>
      <w:r w:rsidR="00EB43C3" w:rsidRPr="00932F5A">
        <w:rPr>
          <w:lang w:val="es-ES_tradnl"/>
        </w:rPr>
        <w:t>decisión</w:t>
      </w:r>
      <w:r w:rsidR="00936784" w:rsidRPr="00932F5A">
        <w:rPr>
          <w:lang w:val="es-ES_tradnl"/>
        </w:rPr>
        <w:t xml:space="preserve"> </w:t>
      </w:r>
      <w:r w:rsidR="003847D9" w:rsidRPr="00932F5A">
        <w:rPr>
          <w:lang w:val="es-ES_tradnl"/>
        </w:rPr>
        <w:t>XXX/5;</w:t>
      </w:r>
      <w:r w:rsidR="00936784" w:rsidRPr="00932F5A">
        <w:rPr>
          <w:lang w:val="es-ES_tradnl"/>
        </w:rPr>
        <w:t xml:space="preserve"> </w:t>
      </w:r>
      <w:r w:rsidR="003543D0" w:rsidRPr="00932F5A">
        <w:rPr>
          <w:lang w:val="es-ES_tradnl"/>
        </w:rPr>
        <w:t>y</w:t>
      </w:r>
    </w:p>
    <w:p w14:paraId="12A84C42" w14:textId="327B3937" w:rsidR="00FF6784" w:rsidRPr="00932F5A" w:rsidRDefault="00762C85" w:rsidP="00686CB5">
      <w:pPr>
        <w:pStyle w:val="Heading2"/>
        <w:numPr>
          <w:ilvl w:val="1"/>
          <w:numId w:val="32"/>
        </w:numPr>
        <w:ind w:left="1276" w:hanging="507"/>
        <w:rPr>
          <w:lang w:val="es-ES_tradnl"/>
        </w:rPr>
      </w:pPr>
      <w:r w:rsidRPr="00932F5A">
        <w:rPr>
          <w:lang w:val="es-ES_tradnl"/>
        </w:rPr>
        <w:t>Un</w:t>
      </w:r>
      <w:r w:rsidR="00936784" w:rsidRPr="00932F5A">
        <w:rPr>
          <w:lang w:val="es-ES_tradnl"/>
        </w:rPr>
        <w:t xml:space="preserve"> </w:t>
      </w:r>
      <w:r w:rsidRPr="00932F5A">
        <w:rPr>
          <w:lang w:val="es-ES_tradnl"/>
        </w:rPr>
        <w:t>resumen</w:t>
      </w:r>
      <w:r w:rsidR="00936784" w:rsidRPr="00932F5A">
        <w:rPr>
          <w:lang w:val="es-ES_tradnl"/>
        </w:rPr>
        <w:t xml:space="preserve"> </w:t>
      </w:r>
      <w:r w:rsidR="005E7D21" w:rsidRPr="00932F5A">
        <w:rPr>
          <w:lang w:val="es-ES_tradnl"/>
        </w:rPr>
        <w:t>del</w:t>
      </w:r>
      <w:r w:rsidR="00936784" w:rsidRPr="00932F5A">
        <w:rPr>
          <w:lang w:val="es-ES_tradnl"/>
        </w:rPr>
        <w:t xml:space="preserve"> </w:t>
      </w:r>
      <w:r w:rsidR="00BA5A96">
        <w:rPr>
          <w:lang w:val="es-ES_tradnl"/>
        </w:rPr>
        <w:t>informe</w:t>
      </w:r>
      <w:r w:rsidR="00936784" w:rsidRPr="00932F5A">
        <w:rPr>
          <w:lang w:val="es-ES_tradnl"/>
        </w:rPr>
        <w:t xml:space="preserve"> </w:t>
      </w:r>
      <w:r w:rsidR="00B47E53">
        <w:rPr>
          <w:lang w:val="es-ES_tradnl"/>
        </w:rPr>
        <w:t xml:space="preserve">del </w:t>
      </w:r>
      <w:r w:rsidR="00A66CB0" w:rsidRPr="00932F5A">
        <w:rPr>
          <w:lang w:val="es-ES_tradnl"/>
        </w:rPr>
        <w:t>GETE</w:t>
      </w:r>
      <w:r w:rsidR="00936784" w:rsidRPr="00932F5A">
        <w:rPr>
          <w:lang w:val="es-ES_tradnl"/>
        </w:rPr>
        <w:t xml:space="preserve"> </w:t>
      </w:r>
      <w:r w:rsidR="00B47E53">
        <w:rPr>
          <w:lang w:val="es-ES_tradnl"/>
        </w:rPr>
        <w:t xml:space="preserve">sobre </w:t>
      </w:r>
      <w:r w:rsidR="005F1C91" w:rsidRPr="00932F5A">
        <w:rPr>
          <w:lang w:val="es-ES_tradnl"/>
        </w:rPr>
        <w:t>eficiencia</w:t>
      </w:r>
      <w:r w:rsidR="00936784" w:rsidRPr="00932F5A">
        <w:rPr>
          <w:lang w:val="es-ES_tradnl"/>
        </w:rPr>
        <w:t xml:space="preserve"> </w:t>
      </w:r>
      <w:r w:rsidR="005F1C91" w:rsidRPr="00932F5A">
        <w:rPr>
          <w:lang w:val="es-ES_tradnl"/>
        </w:rPr>
        <w:t>energética</w:t>
      </w:r>
      <w:r w:rsidR="00936784" w:rsidRPr="00932F5A">
        <w:rPr>
          <w:lang w:val="es-ES_tradnl"/>
        </w:rPr>
        <w:t xml:space="preserve"> </w:t>
      </w:r>
      <w:r w:rsidR="0075080C">
        <w:rPr>
          <w:lang w:val="es-ES_tradnl"/>
        </w:rPr>
        <w:t xml:space="preserve">respecto de </w:t>
      </w:r>
      <w:r w:rsidR="004B70F7">
        <w:rPr>
          <w:lang w:val="es-ES_tradnl"/>
        </w:rPr>
        <w:t xml:space="preserve">los temas </w:t>
      </w:r>
      <w:r w:rsidR="000B26CC">
        <w:rPr>
          <w:lang w:val="es-ES_tradnl"/>
        </w:rPr>
        <w:lastRenderedPageBreak/>
        <w:t xml:space="preserve">señalados en el </w:t>
      </w:r>
      <w:r w:rsidR="00A66CB0" w:rsidRPr="00932F5A">
        <w:rPr>
          <w:lang w:val="es-ES_tradnl"/>
        </w:rPr>
        <w:t>inciso</w:t>
      </w:r>
      <w:r w:rsidR="00936784" w:rsidRPr="00932F5A">
        <w:rPr>
          <w:lang w:val="es-ES_tradnl"/>
        </w:rPr>
        <w:t xml:space="preserve"> </w:t>
      </w:r>
      <w:r w:rsidR="003847D9" w:rsidRPr="00932F5A">
        <w:rPr>
          <w:lang w:val="es-ES_tradnl"/>
        </w:rPr>
        <w:t>e)</w:t>
      </w:r>
      <w:r w:rsidR="00936784" w:rsidRPr="00932F5A">
        <w:rPr>
          <w:lang w:val="es-ES_tradnl"/>
        </w:rPr>
        <w:t xml:space="preserve"> </w:t>
      </w:r>
      <w:r w:rsidR="00EB43C3" w:rsidRPr="00932F5A">
        <w:rPr>
          <w:lang w:val="es-ES_tradnl"/>
        </w:rPr>
        <w:t>de</w:t>
      </w:r>
      <w:r w:rsidR="00936784" w:rsidRPr="00932F5A">
        <w:rPr>
          <w:lang w:val="es-ES_tradnl"/>
        </w:rPr>
        <w:t xml:space="preserve"> </w:t>
      </w:r>
      <w:r w:rsidR="00EB43C3" w:rsidRPr="00932F5A">
        <w:rPr>
          <w:lang w:val="es-ES_tradnl"/>
        </w:rPr>
        <w:t>la</w:t>
      </w:r>
      <w:r w:rsidR="00936784" w:rsidRPr="00932F5A">
        <w:rPr>
          <w:lang w:val="es-ES_tradnl"/>
        </w:rPr>
        <w:t xml:space="preserve"> </w:t>
      </w:r>
      <w:r w:rsidR="00EB43C3" w:rsidRPr="00932F5A">
        <w:rPr>
          <w:lang w:val="es-ES_tradnl"/>
        </w:rPr>
        <w:t>decisión</w:t>
      </w:r>
      <w:r w:rsidR="00936784" w:rsidRPr="00932F5A">
        <w:rPr>
          <w:lang w:val="es-ES_tradnl"/>
        </w:rPr>
        <w:t xml:space="preserve"> </w:t>
      </w:r>
      <w:r w:rsidR="003847D9" w:rsidRPr="00932F5A">
        <w:rPr>
          <w:lang w:val="es-ES_tradnl"/>
        </w:rPr>
        <w:t>82/83.</w:t>
      </w:r>
      <w:r w:rsidR="006100BE" w:rsidRPr="00932F5A">
        <w:rPr>
          <w:rStyle w:val="FootnoteReference"/>
          <w:lang w:val="es-ES_tradnl"/>
        </w:rPr>
        <w:footnoteReference w:id="8"/>
      </w:r>
    </w:p>
    <w:p w14:paraId="4539E7EA" w14:textId="2ABA5E4E" w:rsidR="003847D9" w:rsidRPr="00932F5A" w:rsidRDefault="00EB43C3" w:rsidP="00FA2FD5">
      <w:pPr>
        <w:pStyle w:val="Heading1"/>
        <w:rPr>
          <w:lang w:val="es-ES_tradnl"/>
        </w:rPr>
      </w:pPr>
      <w:r w:rsidRPr="00932F5A">
        <w:rPr>
          <w:lang w:val="es-ES_tradnl"/>
        </w:rPr>
        <w:t>En</w:t>
      </w:r>
      <w:r w:rsidR="00936784" w:rsidRPr="00932F5A">
        <w:rPr>
          <w:lang w:val="es-ES_tradnl"/>
        </w:rPr>
        <w:t xml:space="preserve"> </w:t>
      </w:r>
      <w:r w:rsidRPr="00932F5A">
        <w:rPr>
          <w:lang w:val="es-ES_tradnl"/>
        </w:rPr>
        <w:t>respuesta</w:t>
      </w:r>
      <w:r w:rsidR="00936784" w:rsidRPr="00932F5A">
        <w:rPr>
          <w:lang w:val="es-ES_tradnl"/>
        </w:rPr>
        <w:t xml:space="preserve"> </w:t>
      </w:r>
      <w:r w:rsidRPr="00932F5A">
        <w:rPr>
          <w:lang w:val="es-ES_tradnl"/>
        </w:rPr>
        <w:t>a</w:t>
      </w:r>
      <w:r w:rsidR="00936784" w:rsidRPr="00932F5A">
        <w:rPr>
          <w:lang w:val="es-ES_tradnl"/>
        </w:rPr>
        <w:t xml:space="preserve"> </w:t>
      </w:r>
      <w:r w:rsidRPr="00932F5A">
        <w:rPr>
          <w:lang w:val="es-ES_tradnl"/>
        </w:rPr>
        <w:t>la</w:t>
      </w:r>
      <w:r w:rsidR="00936784" w:rsidRPr="00932F5A">
        <w:rPr>
          <w:lang w:val="es-ES_tradnl"/>
        </w:rPr>
        <w:t xml:space="preserve"> </w:t>
      </w:r>
      <w:r w:rsidRPr="00932F5A">
        <w:rPr>
          <w:lang w:val="es-ES_tradnl"/>
        </w:rPr>
        <w:t>decisión</w:t>
      </w:r>
      <w:r w:rsidR="00936784" w:rsidRPr="00932F5A">
        <w:rPr>
          <w:lang w:val="es-ES_tradnl"/>
        </w:rPr>
        <w:t xml:space="preserve"> </w:t>
      </w:r>
      <w:r w:rsidR="003847D9" w:rsidRPr="00932F5A">
        <w:rPr>
          <w:lang w:val="es-ES_tradnl"/>
        </w:rPr>
        <w:t>82/8</w:t>
      </w:r>
      <w:r w:rsidR="00823B3B">
        <w:rPr>
          <w:lang w:val="es-ES_tradnl"/>
        </w:rPr>
        <w:t>3,</w:t>
      </w:r>
      <w:r w:rsidR="00936784" w:rsidRPr="00932F5A">
        <w:rPr>
          <w:lang w:val="es-ES_tradnl"/>
        </w:rPr>
        <w:t xml:space="preserve"> </w:t>
      </w:r>
      <w:r w:rsidR="00D352E8" w:rsidRPr="00932F5A">
        <w:rPr>
          <w:lang w:val="es-ES_tradnl"/>
        </w:rPr>
        <w:t>la</w:t>
      </w:r>
      <w:r w:rsidR="00936784" w:rsidRPr="00932F5A">
        <w:rPr>
          <w:lang w:val="es-ES_tradnl"/>
        </w:rPr>
        <w:t xml:space="preserve"> </w:t>
      </w:r>
      <w:r w:rsidR="00D352E8" w:rsidRPr="00932F5A">
        <w:rPr>
          <w:lang w:val="es-ES_tradnl"/>
        </w:rPr>
        <w:t>Secretaría</w:t>
      </w:r>
      <w:r w:rsidR="00936784" w:rsidRPr="00932F5A">
        <w:rPr>
          <w:lang w:val="es-ES_tradnl"/>
        </w:rPr>
        <w:t xml:space="preserve"> </w:t>
      </w:r>
      <w:r w:rsidR="00CE1580">
        <w:rPr>
          <w:lang w:val="es-ES_tradnl"/>
        </w:rPr>
        <w:t>present</w:t>
      </w:r>
      <w:r w:rsidR="00C56F1D">
        <w:rPr>
          <w:lang w:val="es-ES_tradnl"/>
        </w:rPr>
        <w:t>a</w:t>
      </w:r>
      <w:r w:rsidR="00CE1580">
        <w:rPr>
          <w:lang w:val="es-ES_tradnl"/>
        </w:rPr>
        <w:t xml:space="preserve"> </w:t>
      </w:r>
      <w:r w:rsidR="00431F01">
        <w:rPr>
          <w:lang w:val="es-ES_tradnl"/>
        </w:rPr>
        <w:t>a la 8</w:t>
      </w:r>
      <w:r w:rsidR="005E7D21" w:rsidRPr="00932F5A">
        <w:rPr>
          <w:lang w:val="es-ES_tradnl"/>
        </w:rPr>
        <w:t>3</w:t>
      </w:r>
      <w:r w:rsidR="005F33A5">
        <w:rPr>
          <w:lang w:val="es-ES_tradnl"/>
        </w:rPr>
        <w:t>ª reunión</w:t>
      </w:r>
      <w:r w:rsidR="006100BE" w:rsidRPr="00932F5A">
        <w:rPr>
          <w:rStyle w:val="FootnoteReference"/>
          <w:lang w:val="es-ES_tradnl"/>
        </w:rPr>
        <w:footnoteReference w:id="9"/>
      </w:r>
      <w:r w:rsidR="00936784" w:rsidRPr="00932F5A">
        <w:rPr>
          <w:lang w:val="es-ES_tradnl"/>
        </w:rPr>
        <w:t xml:space="preserve"> </w:t>
      </w:r>
      <w:r w:rsidR="00630834" w:rsidRPr="00630834">
        <w:rPr>
          <w:lang w:val="es-ES_tradnl"/>
        </w:rPr>
        <w:t xml:space="preserve">los documentos solicitados </w:t>
      </w:r>
      <w:r w:rsidR="00C04DA5">
        <w:rPr>
          <w:lang w:val="es-ES_tradnl"/>
        </w:rPr>
        <w:t xml:space="preserve">para su discusión </w:t>
      </w:r>
      <w:r w:rsidR="004E12CE">
        <w:rPr>
          <w:lang w:val="es-ES_tradnl"/>
        </w:rPr>
        <w:t xml:space="preserve">en el marco </w:t>
      </w:r>
      <w:r w:rsidR="002F1A8E">
        <w:rPr>
          <w:lang w:val="es-ES_tradnl"/>
        </w:rPr>
        <w:t xml:space="preserve">del </w:t>
      </w:r>
      <w:r w:rsidR="00822BB6">
        <w:rPr>
          <w:lang w:val="es-ES_tradnl"/>
        </w:rPr>
        <w:t>orden del día</w:t>
      </w:r>
      <w:r w:rsidR="00FA056F">
        <w:rPr>
          <w:lang w:val="es-ES_tradnl"/>
        </w:rPr>
        <w:t xml:space="preserve"> </w:t>
      </w:r>
      <w:r w:rsidR="003847D9" w:rsidRPr="00932F5A">
        <w:rPr>
          <w:lang w:val="es-ES_tradnl"/>
        </w:rPr>
        <w:t>12(a)</w:t>
      </w:r>
      <w:r w:rsidR="00936784" w:rsidRPr="00932F5A">
        <w:rPr>
          <w:lang w:val="es-ES_tradnl"/>
        </w:rPr>
        <w:t xml:space="preserve"> </w:t>
      </w:r>
      <w:r w:rsidR="0082708F">
        <w:rPr>
          <w:lang w:val="es-ES_tradnl"/>
        </w:rPr>
        <w:t xml:space="preserve">sobre </w:t>
      </w:r>
      <w:r w:rsidR="008B2E22" w:rsidRPr="00932F5A">
        <w:rPr>
          <w:lang w:val="es-ES_tradnl"/>
        </w:rPr>
        <w:t>Cuestiones</w:t>
      </w:r>
      <w:r w:rsidR="00936784" w:rsidRPr="00932F5A">
        <w:rPr>
          <w:lang w:val="es-ES_tradnl"/>
        </w:rPr>
        <w:t xml:space="preserve"> </w:t>
      </w:r>
      <w:r w:rsidR="008B2E22" w:rsidRPr="00932F5A">
        <w:rPr>
          <w:lang w:val="es-ES_tradnl"/>
        </w:rPr>
        <w:t>relacionadas</w:t>
      </w:r>
      <w:r w:rsidR="00936784" w:rsidRPr="00932F5A">
        <w:rPr>
          <w:lang w:val="es-ES_tradnl"/>
        </w:rPr>
        <w:t xml:space="preserve"> </w:t>
      </w:r>
      <w:r w:rsidR="008B2E22" w:rsidRPr="00932F5A">
        <w:rPr>
          <w:lang w:val="es-ES_tradnl"/>
        </w:rPr>
        <w:t>con</w:t>
      </w:r>
      <w:r w:rsidR="00936784" w:rsidRPr="00932F5A">
        <w:rPr>
          <w:lang w:val="es-ES_tradnl"/>
        </w:rPr>
        <w:t xml:space="preserve"> </w:t>
      </w:r>
      <w:r w:rsidRPr="00932F5A">
        <w:rPr>
          <w:lang w:val="es-ES_tradnl"/>
        </w:rPr>
        <w:t>la</w:t>
      </w:r>
      <w:r w:rsidR="00936784" w:rsidRPr="00932F5A">
        <w:rPr>
          <w:lang w:val="es-ES_tradnl"/>
        </w:rPr>
        <w:t xml:space="preserve"> Enmienda de Kigali </w:t>
      </w:r>
      <w:r w:rsidRPr="00932F5A">
        <w:rPr>
          <w:lang w:val="es-ES_tradnl"/>
        </w:rPr>
        <w:t>al</w:t>
      </w:r>
      <w:r w:rsidR="00936784" w:rsidRPr="00932F5A">
        <w:rPr>
          <w:lang w:val="es-ES_tradnl"/>
        </w:rPr>
        <w:t xml:space="preserve"> </w:t>
      </w:r>
      <w:r w:rsidR="003543D0" w:rsidRPr="00932F5A">
        <w:rPr>
          <w:lang w:val="es-ES_tradnl"/>
        </w:rPr>
        <w:t>Protocolo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Montreal</w:t>
      </w:r>
      <w:r w:rsidR="003847D9" w:rsidRPr="00932F5A">
        <w:rPr>
          <w:lang w:val="es-ES_tradnl"/>
        </w:rPr>
        <w:t>:</w:t>
      </w:r>
      <w:r w:rsidR="00936784" w:rsidRPr="00932F5A">
        <w:rPr>
          <w:lang w:val="es-ES_tradnl"/>
        </w:rPr>
        <w:t xml:space="preserve"> </w:t>
      </w:r>
      <w:r w:rsidR="005F1C91" w:rsidRPr="00932F5A">
        <w:rPr>
          <w:lang w:val="es-ES_tradnl"/>
        </w:rPr>
        <w:t>Eficiencia</w:t>
      </w:r>
      <w:r w:rsidR="00936784" w:rsidRPr="00932F5A">
        <w:rPr>
          <w:lang w:val="es-ES_tradnl"/>
        </w:rPr>
        <w:t xml:space="preserve"> </w:t>
      </w:r>
      <w:r w:rsidR="005F1C91" w:rsidRPr="00932F5A">
        <w:rPr>
          <w:lang w:val="es-ES_tradnl"/>
        </w:rPr>
        <w:t>energética</w:t>
      </w:r>
      <w:r w:rsidR="003847D9" w:rsidRPr="00932F5A">
        <w:rPr>
          <w:lang w:val="es-ES_tradnl"/>
        </w:rPr>
        <w:t>.</w:t>
      </w:r>
    </w:p>
    <w:p w14:paraId="5982D698" w14:textId="2ADDE549" w:rsidR="003847D9" w:rsidRPr="00932F5A" w:rsidRDefault="00D352E8" w:rsidP="00FA2FD5">
      <w:pPr>
        <w:pStyle w:val="Heading1"/>
        <w:rPr>
          <w:lang w:val="es-ES_tradnl"/>
        </w:rPr>
      </w:pPr>
      <w:r w:rsidRPr="00932F5A">
        <w:rPr>
          <w:lang w:val="es-ES_tradnl"/>
        </w:rPr>
        <w:t>El</w:t>
      </w:r>
      <w:r w:rsidR="00936784" w:rsidRPr="00932F5A">
        <w:rPr>
          <w:lang w:val="es-ES_tradnl"/>
        </w:rPr>
        <w:t xml:space="preserve"> </w:t>
      </w:r>
      <w:r w:rsidRPr="00932F5A">
        <w:rPr>
          <w:lang w:val="es-ES_tradnl"/>
        </w:rPr>
        <w:t>Comité</w:t>
      </w:r>
      <w:r w:rsidR="00936784" w:rsidRPr="00932F5A">
        <w:rPr>
          <w:lang w:val="es-ES_tradnl"/>
        </w:rPr>
        <w:t xml:space="preserve"> </w:t>
      </w:r>
      <w:r w:rsidR="003543D0" w:rsidRPr="00932F5A">
        <w:rPr>
          <w:lang w:val="es-ES_tradnl"/>
        </w:rPr>
        <w:t>Ejecutivo</w:t>
      </w:r>
      <w:r w:rsidR="00936784" w:rsidRPr="00932F5A">
        <w:rPr>
          <w:lang w:val="es-ES_tradnl"/>
        </w:rPr>
        <w:t xml:space="preserve"> </w:t>
      </w:r>
      <w:r w:rsidR="005E7D21" w:rsidRPr="00932F5A">
        <w:rPr>
          <w:lang w:val="es-ES_tradnl"/>
        </w:rPr>
        <w:t>podrá</w:t>
      </w:r>
      <w:r w:rsidR="00936784" w:rsidRPr="00932F5A">
        <w:rPr>
          <w:lang w:val="es-ES_tradnl"/>
        </w:rPr>
        <w:t xml:space="preserve"> estimar oportuno </w:t>
      </w:r>
      <w:r w:rsidR="003151A6">
        <w:rPr>
          <w:lang w:val="es-ES_tradnl"/>
        </w:rPr>
        <w:t>considerar</w:t>
      </w:r>
      <w:r w:rsidR="00936784" w:rsidRPr="00932F5A">
        <w:rPr>
          <w:lang w:val="es-ES_tradnl"/>
        </w:rPr>
        <w:t xml:space="preserve"> </w:t>
      </w:r>
      <w:r w:rsidR="000F42CD">
        <w:rPr>
          <w:lang w:val="es-ES_tradnl"/>
        </w:rPr>
        <w:t xml:space="preserve">la </w:t>
      </w:r>
      <w:r w:rsidR="00F97EDD">
        <w:rPr>
          <w:lang w:val="es-ES_tradnl"/>
        </w:rPr>
        <w:t xml:space="preserve">posible </w:t>
      </w:r>
      <w:r w:rsidR="000F42CD">
        <w:rPr>
          <w:lang w:val="es-ES_tradnl"/>
        </w:rPr>
        <w:t xml:space="preserve">inclusión </w:t>
      </w:r>
      <w:r w:rsidRPr="00932F5A">
        <w:rPr>
          <w:lang w:val="es-ES_tradnl"/>
        </w:rPr>
        <w:t>en</w:t>
      </w:r>
      <w:r w:rsidR="00936784" w:rsidRPr="00932F5A">
        <w:rPr>
          <w:lang w:val="es-ES_tradnl"/>
        </w:rPr>
        <w:t xml:space="preserve"> </w:t>
      </w:r>
      <w:r w:rsidR="00197A00" w:rsidRPr="00932F5A">
        <w:rPr>
          <w:lang w:val="es-ES_tradnl"/>
        </w:rPr>
        <w:t>los</w:t>
      </w:r>
      <w:r w:rsidR="00936784" w:rsidRPr="00932F5A">
        <w:rPr>
          <w:lang w:val="es-ES_tradnl"/>
        </w:rPr>
        <w:t xml:space="preserve"> </w:t>
      </w:r>
      <w:r w:rsidR="00197A00" w:rsidRPr="00932F5A">
        <w:rPr>
          <w:lang w:val="es-ES_tradnl"/>
        </w:rPr>
        <w:t>parámetros</w:t>
      </w:r>
      <w:r w:rsidR="00936784" w:rsidRPr="00932F5A">
        <w:rPr>
          <w:lang w:val="es-ES_tradnl"/>
        </w:rPr>
        <w:t xml:space="preserve"> </w:t>
      </w:r>
      <w:r w:rsidR="00EB43C3" w:rsidRPr="00932F5A">
        <w:rPr>
          <w:lang w:val="es-ES_tradnl"/>
        </w:rPr>
        <w:t>de</w:t>
      </w:r>
      <w:r w:rsidR="00936784" w:rsidRPr="00932F5A">
        <w:rPr>
          <w:lang w:val="es-ES_tradnl"/>
        </w:rPr>
        <w:t xml:space="preserve"> </w:t>
      </w:r>
      <w:r w:rsidR="00EB43C3" w:rsidRPr="00932F5A">
        <w:rPr>
          <w:lang w:val="es-ES_tradnl"/>
        </w:rPr>
        <w:t>costos</w:t>
      </w:r>
      <w:r w:rsidR="00592E63" w:rsidRPr="00932F5A">
        <w:rPr>
          <w:lang w:val="es-ES_tradnl"/>
        </w:rPr>
        <w:t xml:space="preserve"> para la </w:t>
      </w:r>
      <w:r w:rsidR="0040566D">
        <w:rPr>
          <w:lang w:val="es-ES_tradnl"/>
        </w:rPr>
        <w:t>reducción gradual de HFC</w:t>
      </w:r>
      <w:r w:rsidR="00936784" w:rsidRPr="00932F5A">
        <w:rPr>
          <w:lang w:val="es-ES_tradnl"/>
        </w:rPr>
        <w:t xml:space="preserve"> </w:t>
      </w:r>
      <w:r w:rsidRPr="00932F5A">
        <w:rPr>
          <w:lang w:val="es-ES_tradnl"/>
        </w:rPr>
        <w:t>en</w:t>
      </w:r>
      <w:r w:rsidR="00936784" w:rsidRPr="00932F5A">
        <w:rPr>
          <w:lang w:val="es-ES_tradnl"/>
        </w:rPr>
        <w:t xml:space="preserve"> </w:t>
      </w:r>
      <w:r w:rsidR="005F1C91" w:rsidRPr="00932F5A">
        <w:rPr>
          <w:lang w:val="es-ES_tradnl"/>
        </w:rPr>
        <w:t>países</w:t>
      </w:r>
      <w:r w:rsidR="00936784" w:rsidRPr="00932F5A">
        <w:rPr>
          <w:lang w:val="es-ES_tradnl"/>
        </w:rPr>
        <w:t xml:space="preserve"> </w:t>
      </w:r>
      <w:r w:rsidR="005F1C91" w:rsidRPr="00932F5A">
        <w:rPr>
          <w:lang w:val="es-ES_tradnl"/>
        </w:rPr>
        <w:t>del</w:t>
      </w:r>
      <w:r w:rsidR="00936784" w:rsidRPr="00932F5A">
        <w:rPr>
          <w:lang w:val="es-ES_tradnl"/>
        </w:rPr>
        <w:t xml:space="preserve"> </w:t>
      </w:r>
      <w:r w:rsidR="005F1C91" w:rsidRPr="00932F5A">
        <w:rPr>
          <w:lang w:val="es-ES_tradnl"/>
        </w:rPr>
        <w:t>artículo</w:t>
      </w:r>
      <w:r w:rsidR="00936784" w:rsidRPr="00932F5A">
        <w:rPr>
          <w:lang w:val="es-ES_tradnl"/>
        </w:rPr>
        <w:t xml:space="preserve"> </w:t>
      </w:r>
      <w:r w:rsidR="005F1C91" w:rsidRPr="00932F5A">
        <w:rPr>
          <w:lang w:val="es-ES_tradnl"/>
        </w:rPr>
        <w:t>5</w:t>
      </w:r>
      <w:r w:rsidR="00936784" w:rsidRPr="00932F5A">
        <w:rPr>
          <w:lang w:val="es-ES_tradnl"/>
        </w:rPr>
        <w:t xml:space="preserve"> </w:t>
      </w:r>
      <w:r w:rsidR="0040566D">
        <w:rPr>
          <w:lang w:val="es-ES_tradnl"/>
        </w:rPr>
        <w:t xml:space="preserve">de cualquier </w:t>
      </w:r>
      <w:r w:rsidRPr="00932F5A">
        <w:rPr>
          <w:lang w:val="es-ES_tradnl"/>
        </w:rPr>
        <w:t>decisión</w:t>
      </w:r>
      <w:r w:rsidR="00936784" w:rsidRPr="00932F5A">
        <w:rPr>
          <w:lang w:val="es-ES_tradnl"/>
        </w:rPr>
        <w:t xml:space="preserve"> </w:t>
      </w:r>
      <w:r w:rsidR="0040566D">
        <w:rPr>
          <w:lang w:val="es-ES_tradnl"/>
        </w:rPr>
        <w:t xml:space="preserve">sobre </w:t>
      </w:r>
      <w:r w:rsidR="005F1C91" w:rsidRPr="00932F5A">
        <w:rPr>
          <w:lang w:val="es-ES_tradnl"/>
        </w:rPr>
        <w:t>eficiencia</w:t>
      </w:r>
      <w:r w:rsidR="00936784" w:rsidRPr="00932F5A">
        <w:rPr>
          <w:lang w:val="es-ES_tradnl"/>
        </w:rPr>
        <w:t xml:space="preserve"> </w:t>
      </w:r>
      <w:r w:rsidR="005F1C91" w:rsidRPr="00932F5A">
        <w:rPr>
          <w:lang w:val="es-ES_tradnl"/>
        </w:rPr>
        <w:t>energética</w:t>
      </w:r>
      <w:r w:rsidR="00936784" w:rsidRPr="00932F5A">
        <w:rPr>
          <w:lang w:val="es-ES_tradnl"/>
        </w:rPr>
        <w:t xml:space="preserve"> </w:t>
      </w:r>
      <w:r w:rsidR="00121259" w:rsidRPr="00121259">
        <w:rPr>
          <w:lang w:val="es-ES_tradnl"/>
        </w:rPr>
        <w:t xml:space="preserve">que adopte </w:t>
      </w:r>
      <w:r w:rsidR="00EA68BD" w:rsidRPr="00EA68BD">
        <w:rPr>
          <w:lang w:val="es-ES_tradnl"/>
        </w:rPr>
        <w:t xml:space="preserve">en el marco del </w:t>
      </w:r>
      <w:r w:rsidR="00822BB6">
        <w:rPr>
          <w:lang w:val="es-ES_tradnl"/>
        </w:rPr>
        <w:t>orden del día</w:t>
      </w:r>
      <w:r w:rsidR="00EA68BD">
        <w:rPr>
          <w:lang w:val="es-ES_tradnl"/>
        </w:rPr>
        <w:t xml:space="preserve"> </w:t>
      </w:r>
      <w:r w:rsidR="003847D9" w:rsidRPr="00932F5A">
        <w:rPr>
          <w:lang w:val="es-ES_tradnl"/>
        </w:rPr>
        <w:t>12(a).</w:t>
      </w:r>
    </w:p>
    <w:p w14:paraId="0B6F7637" w14:textId="0098326A" w:rsidR="003847D9" w:rsidRPr="00932F5A" w:rsidRDefault="00EB43C3" w:rsidP="003847D9">
      <w:pPr>
        <w:tabs>
          <w:tab w:val="left" w:pos="8280"/>
        </w:tabs>
        <w:rPr>
          <w:u w:val="single"/>
          <w:lang w:val="es-ES_tradnl"/>
        </w:rPr>
      </w:pPr>
      <w:r w:rsidRPr="00932F5A">
        <w:rPr>
          <w:u w:val="single"/>
          <w:lang w:val="es-ES_tradnl"/>
        </w:rPr>
        <w:t>Eliminación</w:t>
      </w:r>
      <w:r w:rsidR="001307D0">
        <w:rPr>
          <w:u w:val="single"/>
          <w:lang w:val="es-ES_tradnl"/>
        </w:rPr>
        <w:t xml:space="preserve"> de HFC</w:t>
      </w:r>
    </w:p>
    <w:p w14:paraId="4E16CC29" w14:textId="77777777" w:rsidR="00DF3A22" w:rsidRPr="00932F5A" w:rsidRDefault="00DF3A22" w:rsidP="003847D9">
      <w:pPr>
        <w:tabs>
          <w:tab w:val="left" w:pos="8280"/>
        </w:tabs>
        <w:rPr>
          <w:lang w:val="es-ES_tradnl"/>
        </w:rPr>
      </w:pPr>
    </w:p>
    <w:p w14:paraId="5BA312DD" w14:textId="75D25958" w:rsidR="003847D9" w:rsidRPr="00932F5A" w:rsidRDefault="00932F5A" w:rsidP="00DF3A22">
      <w:pPr>
        <w:pStyle w:val="Heading1"/>
        <w:rPr>
          <w:lang w:val="es-ES_tradnl"/>
        </w:rPr>
      </w:pPr>
      <w:r>
        <w:rPr>
          <w:lang w:val="es-ES_tradnl"/>
        </w:rPr>
        <w:t xml:space="preserve">En la </w:t>
      </w:r>
      <w:r w:rsidR="003847D9" w:rsidRPr="00932F5A">
        <w:rPr>
          <w:lang w:val="es-ES_tradnl"/>
        </w:rPr>
        <w:t>8</w:t>
      </w:r>
      <w:r w:rsidR="005E7D21" w:rsidRPr="00932F5A">
        <w:rPr>
          <w:lang w:val="es-ES_tradnl"/>
        </w:rPr>
        <w:t>1</w:t>
      </w:r>
      <w:r w:rsidR="005F33A5">
        <w:rPr>
          <w:lang w:val="es-ES_tradnl"/>
        </w:rPr>
        <w:t>ª reunión</w:t>
      </w:r>
      <w:r w:rsidR="00E069F2">
        <w:rPr>
          <w:lang w:val="es-ES_tradnl"/>
        </w:rPr>
        <w:t xml:space="preserve"> </w:t>
      </w:r>
      <w:r w:rsidR="00AC3A2C">
        <w:rPr>
          <w:lang w:val="es-ES_tradnl"/>
        </w:rPr>
        <w:t xml:space="preserve">se </w:t>
      </w:r>
      <w:r w:rsidR="00A927A6">
        <w:rPr>
          <w:lang w:val="es-ES_tradnl"/>
        </w:rPr>
        <w:t>resolvió</w:t>
      </w:r>
      <w:r w:rsidR="00BD32DD">
        <w:rPr>
          <w:lang w:val="es-ES_tradnl"/>
        </w:rPr>
        <w:t xml:space="preserve"> </w:t>
      </w:r>
      <w:r w:rsidR="00C46EA7">
        <w:rPr>
          <w:lang w:val="es-ES_tradnl"/>
        </w:rPr>
        <w:t xml:space="preserve">que </w:t>
      </w:r>
      <w:r w:rsidR="00BD32DD">
        <w:rPr>
          <w:lang w:val="es-ES_tradnl"/>
        </w:rPr>
        <w:t>durante la 82</w:t>
      </w:r>
      <w:r w:rsidR="005F33A5">
        <w:rPr>
          <w:lang w:val="es-ES_tradnl"/>
        </w:rPr>
        <w:t>ª reunión</w:t>
      </w:r>
      <w:r w:rsidR="00936784" w:rsidRPr="00932F5A">
        <w:rPr>
          <w:lang w:val="es-ES_tradnl"/>
        </w:rPr>
        <w:t xml:space="preserve"> </w:t>
      </w:r>
      <w:r w:rsidR="009657E3">
        <w:rPr>
          <w:lang w:val="es-ES_tradnl"/>
        </w:rPr>
        <w:t xml:space="preserve">el </w:t>
      </w:r>
      <w:r w:rsidR="009657E3" w:rsidRPr="009657E3">
        <w:rPr>
          <w:lang w:val="es-ES_tradnl"/>
        </w:rPr>
        <w:t xml:space="preserve">Comité Ejecutivo </w:t>
      </w:r>
      <w:r w:rsidR="000A3C03">
        <w:rPr>
          <w:lang w:val="es-ES_tradnl"/>
        </w:rPr>
        <w:t xml:space="preserve">abordaría </w:t>
      </w:r>
      <w:r w:rsidR="00A6123A">
        <w:rPr>
          <w:lang w:val="es-ES_tradnl"/>
        </w:rPr>
        <w:t xml:space="preserve">las </w:t>
      </w:r>
      <w:r w:rsidR="00762C85" w:rsidRPr="00932F5A">
        <w:rPr>
          <w:lang w:val="es-ES_tradnl"/>
        </w:rPr>
        <w:t>cuestiones</w:t>
      </w:r>
      <w:r w:rsidR="00936784" w:rsidRPr="00932F5A">
        <w:rPr>
          <w:lang w:val="es-ES_tradnl"/>
        </w:rPr>
        <w:t xml:space="preserve"> </w:t>
      </w:r>
      <w:r w:rsidR="00762C85" w:rsidRPr="00932F5A">
        <w:rPr>
          <w:lang w:val="es-ES_tradnl"/>
        </w:rPr>
        <w:t>relativas</w:t>
      </w:r>
      <w:r w:rsidR="00936784" w:rsidRPr="00932F5A">
        <w:rPr>
          <w:lang w:val="es-ES_tradnl"/>
        </w:rPr>
        <w:t xml:space="preserve"> </w:t>
      </w:r>
      <w:r w:rsidR="00A80A04">
        <w:rPr>
          <w:lang w:val="es-ES_tradnl"/>
        </w:rPr>
        <w:t>al</w:t>
      </w:r>
      <w:r w:rsidR="00936784" w:rsidRPr="00932F5A">
        <w:rPr>
          <w:lang w:val="es-ES_tradnl"/>
        </w:rPr>
        <w:t xml:space="preserve"> </w:t>
      </w:r>
      <w:r w:rsidR="003543D0" w:rsidRPr="00932F5A">
        <w:rPr>
          <w:lang w:val="es-ES_tradnl"/>
        </w:rPr>
        <w:t>financiamiento</w:t>
      </w:r>
      <w:r w:rsidR="00936784" w:rsidRPr="00932F5A">
        <w:rPr>
          <w:lang w:val="es-ES_tradnl"/>
        </w:rPr>
        <w:t xml:space="preserve"> </w:t>
      </w:r>
      <w:r w:rsidR="00A80A04">
        <w:rPr>
          <w:lang w:val="es-ES_tradnl"/>
        </w:rPr>
        <w:t xml:space="preserve">de </w:t>
      </w:r>
      <w:r w:rsidR="006D1078">
        <w:rPr>
          <w:lang w:val="es-ES_tradnl"/>
        </w:rPr>
        <w:t>la gestión económica</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431F01">
        <w:rPr>
          <w:lang w:val="es-ES_tradnl"/>
        </w:rPr>
        <w:t>acopios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B3181A" w:rsidRPr="00B3181A">
        <w:rPr>
          <w:lang w:val="es-ES_tradnl"/>
        </w:rPr>
        <w:t xml:space="preserve">sustancias controladas </w:t>
      </w:r>
      <w:r w:rsidR="0060361F">
        <w:rPr>
          <w:lang w:val="es-ES_tradnl"/>
        </w:rPr>
        <w:t>agotadas o desechadas</w:t>
      </w:r>
      <w:r w:rsidR="003847D9" w:rsidRPr="00932F5A">
        <w:rPr>
          <w:lang w:val="es-ES_tradnl"/>
        </w:rPr>
        <w:t>,</w:t>
      </w:r>
      <w:r w:rsidR="00936784" w:rsidRPr="00932F5A">
        <w:rPr>
          <w:lang w:val="es-ES_tradnl"/>
        </w:rPr>
        <w:t xml:space="preserve"> </w:t>
      </w:r>
      <w:r w:rsidR="00A179C5">
        <w:rPr>
          <w:lang w:val="es-ES_tradnl"/>
        </w:rPr>
        <w:t>incluyendo su destrucción</w:t>
      </w:r>
      <w:r w:rsidR="003847D9" w:rsidRPr="00932F5A">
        <w:rPr>
          <w:lang w:val="es-ES_tradnl"/>
        </w:rPr>
        <w:t>,</w:t>
      </w:r>
      <w:r w:rsidR="00936784" w:rsidRPr="00932F5A">
        <w:rPr>
          <w:lang w:val="es-ES_tradnl"/>
        </w:rPr>
        <w:t xml:space="preserve"> </w:t>
      </w:r>
      <w:r w:rsidR="005E7D21" w:rsidRPr="00932F5A">
        <w:rPr>
          <w:lang w:val="es-ES_tradnl"/>
        </w:rPr>
        <w:t>a</w:t>
      </w:r>
      <w:r w:rsidR="00936784" w:rsidRPr="00932F5A">
        <w:rPr>
          <w:lang w:val="es-ES_tradnl"/>
        </w:rPr>
        <w:t xml:space="preserve"> </w:t>
      </w:r>
      <w:r w:rsidR="005E7D21" w:rsidRPr="00932F5A">
        <w:rPr>
          <w:lang w:val="es-ES_tradnl"/>
        </w:rPr>
        <w:t>la</w:t>
      </w:r>
      <w:r w:rsidR="00936784" w:rsidRPr="00932F5A">
        <w:rPr>
          <w:lang w:val="es-ES_tradnl"/>
        </w:rPr>
        <w:t xml:space="preserve"> </w:t>
      </w:r>
      <w:r w:rsidR="005E7D21" w:rsidRPr="00932F5A">
        <w:rPr>
          <w:lang w:val="es-ES_tradnl"/>
        </w:rPr>
        <w:t>luz</w:t>
      </w:r>
      <w:r w:rsidR="00936784" w:rsidRPr="00932F5A">
        <w:rPr>
          <w:lang w:val="es-ES_tradnl"/>
        </w:rPr>
        <w:t xml:space="preserve"> </w:t>
      </w:r>
      <w:r w:rsidR="005E7D21" w:rsidRPr="00932F5A">
        <w:rPr>
          <w:lang w:val="es-ES_tradnl"/>
        </w:rPr>
        <w:t>del</w:t>
      </w:r>
      <w:r w:rsidR="00936784" w:rsidRPr="00932F5A">
        <w:rPr>
          <w:lang w:val="es-ES_tradnl"/>
        </w:rPr>
        <w:t xml:space="preserve"> </w:t>
      </w:r>
      <w:r w:rsidR="007379ED">
        <w:rPr>
          <w:lang w:val="es-ES_tradnl"/>
        </w:rPr>
        <w:t xml:space="preserve">documento </w:t>
      </w:r>
      <w:r w:rsidR="005A51E3">
        <w:rPr>
          <w:lang w:val="es-ES_tradnl"/>
        </w:rPr>
        <w:t xml:space="preserve">sobre </w:t>
      </w:r>
      <w:r w:rsidR="00E05DDA">
        <w:rPr>
          <w:lang w:val="es-ES_tradnl"/>
        </w:rPr>
        <w:t>e</w:t>
      </w:r>
      <w:r>
        <w:rPr>
          <w:lang w:val="es-ES_tradnl"/>
        </w:rPr>
        <w:t>liminación de SAO</w:t>
      </w:r>
      <w:r w:rsidR="00936784" w:rsidRPr="00932F5A">
        <w:rPr>
          <w:lang w:val="es-ES_tradnl"/>
        </w:rPr>
        <w:t xml:space="preserve"> </w:t>
      </w:r>
      <w:r w:rsidR="0096330C">
        <w:rPr>
          <w:lang w:val="es-ES_tradnl"/>
        </w:rPr>
        <w:t xml:space="preserve">que elabora </w:t>
      </w:r>
      <w:r w:rsidR="00D352E8" w:rsidRPr="00932F5A">
        <w:rPr>
          <w:lang w:val="es-ES_tradnl"/>
        </w:rPr>
        <w:t>la</w:t>
      </w:r>
      <w:r w:rsidR="00936784" w:rsidRPr="00932F5A">
        <w:rPr>
          <w:lang w:val="es-ES_tradnl"/>
        </w:rPr>
        <w:t xml:space="preserve"> </w:t>
      </w:r>
      <w:r w:rsidR="00D352E8" w:rsidRPr="00932F5A">
        <w:rPr>
          <w:lang w:val="es-ES_tradnl"/>
        </w:rPr>
        <w:t>Secretaría</w:t>
      </w:r>
      <w:r w:rsidR="00936784" w:rsidRPr="00932F5A">
        <w:rPr>
          <w:lang w:val="es-ES_tradnl"/>
        </w:rPr>
        <w:t xml:space="preserve"> </w:t>
      </w:r>
      <w:r w:rsidR="00EB43C3" w:rsidRPr="00932F5A">
        <w:rPr>
          <w:lang w:val="es-ES_tradnl"/>
        </w:rPr>
        <w:t>en</w:t>
      </w:r>
      <w:r w:rsidR="00936784" w:rsidRPr="00932F5A">
        <w:rPr>
          <w:lang w:val="es-ES_tradnl"/>
        </w:rPr>
        <w:t xml:space="preserve"> </w:t>
      </w:r>
      <w:r w:rsidR="00EB43C3" w:rsidRPr="00932F5A">
        <w:rPr>
          <w:lang w:val="es-ES_tradnl"/>
        </w:rPr>
        <w:t>respuesta</w:t>
      </w:r>
      <w:r w:rsidR="00936784" w:rsidRPr="00932F5A">
        <w:rPr>
          <w:lang w:val="es-ES_tradnl"/>
        </w:rPr>
        <w:t xml:space="preserve"> </w:t>
      </w:r>
      <w:r w:rsidR="00EB43C3" w:rsidRPr="00932F5A">
        <w:rPr>
          <w:lang w:val="es-ES_tradnl"/>
        </w:rPr>
        <w:t>a</w:t>
      </w:r>
      <w:r w:rsidR="00936784" w:rsidRPr="00932F5A">
        <w:rPr>
          <w:lang w:val="es-ES_tradnl"/>
        </w:rPr>
        <w:t xml:space="preserve"> </w:t>
      </w:r>
      <w:r w:rsidR="00EB43C3" w:rsidRPr="00932F5A">
        <w:rPr>
          <w:lang w:val="es-ES_tradnl"/>
        </w:rPr>
        <w:t>la</w:t>
      </w:r>
      <w:r w:rsidR="00936784" w:rsidRPr="00932F5A">
        <w:rPr>
          <w:lang w:val="es-ES_tradnl"/>
        </w:rPr>
        <w:t xml:space="preserve"> </w:t>
      </w:r>
      <w:r w:rsidR="00EB43C3" w:rsidRPr="00932F5A">
        <w:rPr>
          <w:lang w:val="es-ES_tradnl"/>
        </w:rPr>
        <w:t>decisión</w:t>
      </w:r>
      <w:r w:rsidR="00936784" w:rsidRPr="00932F5A">
        <w:rPr>
          <w:lang w:val="es-ES_tradnl"/>
        </w:rPr>
        <w:t xml:space="preserve"> </w:t>
      </w:r>
      <w:r w:rsidR="003847D9" w:rsidRPr="00932F5A">
        <w:rPr>
          <w:lang w:val="es-ES_tradnl"/>
        </w:rPr>
        <w:t>79/18(e)</w:t>
      </w:r>
      <w:r w:rsidR="00936784" w:rsidRPr="00932F5A">
        <w:rPr>
          <w:lang w:val="es-ES_tradnl"/>
        </w:rPr>
        <w:t xml:space="preserve"> </w:t>
      </w:r>
      <w:r w:rsidR="003847D9" w:rsidRPr="00932F5A">
        <w:rPr>
          <w:lang w:val="es-ES_tradnl"/>
        </w:rPr>
        <w:t>(</w:t>
      </w:r>
      <w:r w:rsidR="00D352E8" w:rsidRPr="00932F5A">
        <w:rPr>
          <w:lang w:val="es-ES_tradnl"/>
        </w:rPr>
        <w:t>decisión</w:t>
      </w:r>
      <w:r w:rsidR="00936784" w:rsidRPr="00932F5A">
        <w:rPr>
          <w:lang w:val="es-ES_tradnl"/>
        </w:rPr>
        <w:t xml:space="preserve"> </w:t>
      </w:r>
      <w:r w:rsidR="003847D9" w:rsidRPr="00932F5A">
        <w:rPr>
          <w:lang w:val="es-ES_tradnl"/>
        </w:rPr>
        <w:t>81/67(d)).</w:t>
      </w:r>
    </w:p>
    <w:p w14:paraId="6A2D1615" w14:textId="653FEB1D" w:rsidR="00FF6784" w:rsidRPr="00932F5A" w:rsidRDefault="00EB43C3" w:rsidP="00DF3A22">
      <w:pPr>
        <w:pStyle w:val="Heading1"/>
        <w:rPr>
          <w:lang w:val="es-ES_tradnl"/>
        </w:rPr>
      </w:pPr>
      <w:r w:rsidRPr="00932F5A">
        <w:rPr>
          <w:lang w:val="es-ES_tradnl"/>
        </w:rPr>
        <w:t>En</w:t>
      </w:r>
      <w:r w:rsidR="00936784" w:rsidRPr="00932F5A">
        <w:rPr>
          <w:lang w:val="es-ES_tradnl"/>
        </w:rPr>
        <w:t xml:space="preserve"> </w:t>
      </w:r>
      <w:r w:rsidRPr="00932F5A">
        <w:rPr>
          <w:lang w:val="es-ES_tradnl"/>
        </w:rPr>
        <w:t>respuesta</w:t>
      </w:r>
      <w:r w:rsidR="00936784" w:rsidRPr="00932F5A">
        <w:rPr>
          <w:lang w:val="es-ES_tradnl"/>
        </w:rPr>
        <w:t xml:space="preserve"> </w:t>
      </w:r>
      <w:r w:rsidRPr="00932F5A">
        <w:rPr>
          <w:lang w:val="es-ES_tradnl"/>
        </w:rPr>
        <w:t>a</w:t>
      </w:r>
      <w:r w:rsidR="00936784" w:rsidRPr="00932F5A">
        <w:rPr>
          <w:lang w:val="es-ES_tradnl"/>
        </w:rPr>
        <w:t xml:space="preserve"> </w:t>
      </w:r>
      <w:r w:rsidRPr="00932F5A">
        <w:rPr>
          <w:lang w:val="es-ES_tradnl"/>
        </w:rPr>
        <w:t>la</w:t>
      </w:r>
      <w:r w:rsidR="00936784" w:rsidRPr="00932F5A">
        <w:rPr>
          <w:lang w:val="es-ES_tradnl"/>
        </w:rPr>
        <w:t xml:space="preserve"> </w:t>
      </w:r>
      <w:r w:rsidRPr="00932F5A">
        <w:rPr>
          <w:lang w:val="es-ES_tradnl"/>
        </w:rPr>
        <w:t>decisión</w:t>
      </w:r>
      <w:r w:rsidR="00936784" w:rsidRPr="00932F5A">
        <w:rPr>
          <w:lang w:val="es-ES_tradnl"/>
        </w:rPr>
        <w:t xml:space="preserve"> </w:t>
      </w:r>
      <w:r w:rsidR="003847D9" w:rsidRPr="00932F5A">
        <w:rPr>
          <w:lang w:val="es-ES_tradnl"/>
        </w:rPr>
        <w:t>81/67(d),</w:t>
      </w:r>
      <w:r w:rsidR="00936784" w:rsidRPr="00932F5A">
        <w:rPr>
          <w:lang w:val="es-ES_tradnl"/>
        </w:rPr>
        <w:t xml:space="preserve"> </w:t>
      </w:r>
      <w:r w:rsidR="00D352E8" w:rsidRPr="00932F5A">
        <w:rPr>
          <w:lang w:val="es-ES_tradnl"/>
        </w:rPr>
        <w:t>la</w:t>
      </w:r>
      <w:r w:rsidR="00936784" w:rsidRPr="00932F5A">
        <w:rPr>
          <w:lang w:val="es-ES_tradnl"/>
        </w:rPr>
        <w:t xml:space="preserve"> </w:t>
      </w:r>
      <w:r w:rsidR="00D352E8" w:rsidRPr="00932F5A">
        <w:rPr>
          <w:lang w:val="es-ES_tradnl"/>
        </w:rPr>
        <w:t>Secretaría</w:t>
      </w:r>
      <w:r w:rsidR="00936784" w:rsidRPr="00932F5A">
        <w:rPr>
          <w:lang w:val="es-ES_tradnl"/>
        </w:rPr>
        <w:t xml:space="preserve"> </w:t>
      </w:r>
      <w:r w:rsidR="00BB4305">
        <w:rPr>
          <w:lang w:val="es-ES_tradnl"/>
        </w:rPr>
        <w:t>presentó</w:t>
      </w:r>
      <w:r w:rsidR="00936784" w:rsidRPr="00932F5A">
        <w:rPr>
          <w:lang w:val="es-ES_tradnl"/>
        </w:rPr>
        <w:t xml:space="preserve"> </w:t>
      </w:r>
      <w:r w:rsidR="008B2E22" w:rsidRPr="00932F5A">
        <w:rPr>
          <w:lang w:val="es-ES_tradnl"/>
        </w:rPr>
        <w:t>a</w:t>
      </w:r>
      <w:r w:rsidR="00936784" w:rsidRPr="00932F5A">
        <w:rPr>
          <w:lang w:val="es-ES_tradnl"/>
        </w:rPr>
        <w:t xml:space="preserve"> </w:t>
      </w:r>
      <w:r w:rsidR="008B2E22" w:rsidRPr="00932F5A">
        <w:rPr>
          <w:lang w:val="es-ES_tradnl"/>
        </w:rPr>
        <w:t>la</w:t>
      </w:r>
      <w:r w:rsidR="00936784" w:rsidRPr="00932F5A">
        <w:rPr>
          <w:lang w:val="es-ES_tradnl"/>
        </w:rPr>
        <w:t xml:space="preserve"> </w:t>
      </w:r>
      <w:r w:rsidR="008B2E22" w:rsidRPr="00932F5A">
        <w:rPr>
          <w:lang w:val="es-ES_tradnl"/>
        </w:rPr>
        <w:t>8</w:t>
      </w:r>
      <w:r w:rsidR="005E7D21" w:rsidRPr="00932F5A">
        <w:rPr>
          <w:lang w:val="es-ES_tradnl"/>
        </w:rPr>
        <w:t>2</w:t>
      </w:r>
      <w:r w:rsidR="005F33A5">
        <w:rPr>
          <w:lang w:val="es-ES_tradnl"/>
        </w:rPr>
        <w:t>ª reunión</w:t>
      </w:r>
      <w:r w:rsidR="00936784" w:rsidRPr="00932F5A">
        <w:rPr>
          <w:lang w:val="es-ES_tradnl"/>
        </w:rPr>
        <w:t xml:space="preserve"> </w:t>
      </w:r>
      <w:r w:rsidR="00F64C06">
        <w:rPr>
          <w:lang w:val="es-ES_tradnl"/>
        </w:rPr>
        <w:t xml:space="preserve">el </w:t>
      </w:r>
      <w:r w:rsidR="00FF6784" w:rsidRPr="00932F5A">
        <w:rPr>
          <w:lang w:val="es-ES_tradnl"/>
        </w:rPr>
        <w:t>documento</w:t>
      </w:r>
      <w:r w:rsidR="00936784" w:rsidRPr="00932F5A">
        <w:rPr>
          <w:lang w:val="es-ES_tradnl"/>
        </w:rPr>
        <w:t xml:space="preserve"> </w:t>
      </w:r>
      <w:r w:rsidR="00EA4DA0" w:rsidRPr="00932F5A">
        <w:rPr>
          <w:lang w:val="es-ES_tradnl"/>
        </w:rPr>
        <w:t>UNEP/OzL.Pro</w:t>
      </w:r>
      <w:r w:rsidR="003847D9" w:rsidRPr="00932F5A">
        <w:rPr>
          <w:lang w:val="es-ES_tradnl"/>
        </w:rPr>
        <w:t>/ExCom/82/21.</w:t>
      </w:r>
      <w:r w:rsidR="006100BE" w:rsidRPr="00932F5A">
        <w:rPr>
          <w:rStyle w:val="FootnoteReference"/>
          <w:lang w:val="es-ES_tradnl"/>
        </w:rPr>
        <w:footnoteReference w:id="10"/>
      </w:r>
      <w:r w:rsidR="00936784" w:rsidRPr="00932F5A">
        <w:rPr>
          <w:lang w:val="es-ES_tradnl"/>
        </w:rPr>
        <w:t xml:space="preserve"> </w:t>
      </w:r>
      <w:r w:rsidR="005E7D21" w:rsidRPr="00932F5A">
        <w:rPr>
          <w:lang w:val="es-ES_tradnl"/>
        </w:rPr>
        <w:t>Durante</w:t>
      </w:r>
      <w:r w:rsidR="00936784" w:rsidRPr="00932F5A">
        <w:rPr>
          <w:lang w:val="es-ES_tradnl"/>
        </w:rPr>
        <w:t xml:space="preserve"> </w:t>
      </w:r>
      <w:r w:rsidR="004331A4">
        <w:rPr>
          <w:lang w:val="es-ES_tradnl"/>
        </w:rPr>
        <w:t>las conversaciones</w:t>
      </w:r>
      <w:r w:rsidR="003847D9" w:rsidRPr="00932F5A">
        <w:rPr>
          <w:lang w:val="es-ES_tradnl"/>
        </w:rPr>
        <w:t>,</w:t>
      </w:r>
      <w:r w:rsidR="00936784" w:rsidRPr="00932F5A">
        <w:rPr>
          <w:lang w:val="es-ES_tradnl"/>
        </w:rPr>
        <w:t xml:space="preserve"> </w:t>
      </w:r>
      <w:r w:rsidR="00431F01">
        <w:rPr>
          <w:lang w:val="es-ES_tradnl"/>
        </w:rPr>
        <w:t>algunos</w:t>
      </w:r>
      <w:r w:rsidR="00936784" w:rsidRPr="00932F5A">
        <w:rPr>
          <w:lang w:val="es-ES_tradnl"/>
        </w:rPr>
        <w:t xml:space="preserve"> </w:t>
      </w:r>
      <w:r w:rsidR="00431F01">
        <w:rPr>
          <w:lang w:val="es-ES_tradnl"/>
        </w:rPr>
        <w:t>miembros</w:t>
      </w:r>
      <w:r w:rsidR="003847D9" w:rsidRPr="00932F5A">
        <w:rPr>
          <w:lang w:val="es-ES_tradnl"/>
        </w:rPr>
        <w:t>,</w:t>
      </w:r>
      <w:r w:rsidR="00936784" w:rsidRPr="00932F5A">
        <w:rPr>
          <w:lang w:val="es-ES_tradnl"/>
        </w:rPr>
        <w:t xml:space="preserve"> </w:t>
      </w:r>
      <w:r w:rsidR="005368C9">
        <w:rPr>
          <w:lang w:val="es-ES_tradnl"/>
        </w:rPr>
        <w:t xml:space="preserve">aunque conscientes de la importancia de la </w:t>
      </w:r>
      <w:r w:rsidRPr="00932F5A">
        <w:rPr>
          <w:lang w:val="es-ES_tradnl"/>
        </w:rPr>
        <w:t>eliminación</w:t>
      </w:r>
      <w:r w:rsidR="00936784" w:rsidRPr="00932F5A">
        <w:rPr>
          <w:lang w:val="es-ES_tradnl"/>
        </w:rPr>
        <w:t xml:space="preserve"> </w:t>
      </w:r>
      <w:r w:rsidR="00092CA9">
        <w:rPr>
          <w:lang w:val="es-ES_tradnl"/>
        </w:rPr>
        <w:t xml:space="preserve">mandatada </w:t>
      </w:r>
      <w:r w:rsidR="00E31477">
        <w:rPr>
          <w:lang w:val="es-ES_tradnl"/>
        </w:rPr>
        <w:t xml:space="preserve">en la </w:t>
      </w:r>
      <w:r w:rsidR="00D352E8" w:rsidRPr="00932F5A">
        <w:rPr>
          <w:lang w:val="es-ES_tradnl"/>
        </w:rPr>
        <w:t>decisión</w:t>
      </w:r>
      <w:r w:rsidR="00936784" w:rsidRPr="00932F5A">
        <w:rPr>
          <w:lang w:val="es-ES_tradnl"/>
        </w:rPr>
        <w:t xml:space="preserve"> </w:t>
      </w:r>
      <w:r w:rsidR="003847D9" w:rsidRPr="00932F5A">
        <w:rPr>
          <w:lang w:val="es-ES_tradnl"/>
        </w:rPr>
        <w:t>XXVIII/</w:t>
      </w:r>
      <w:r w:rsidR="0056208F">
        <w:rPr>
          <w:lang w:val="es-ES_tradnl"/>
        </w:rPr>
        <w:t>2,</w:t>
      </w:r>
      <w:r w:rsidR="00936784" w:rsidRPr="00932F5A">
        <w:rPr>
          <w:lang w:val="es-ES_tradnl"/>
        </w:rPr>
        <w:t xml:space="preserve"> </w:t>
      </w:r>
      <w:r w:rsidR="0065722E">
        <w:rPr>
          <w:lang w:val="es-ES_tradnl"/>
        </w:rPr>
        <w:t xml:space="preserve">fueron de la opinión </w:t>
      </w:r>
      <w:r w:rsidR="0058326D">
        <w:rPr>
          <w:lang w:val="es-ES_tradnl"/>
        </w:rPr>
        <w:t>de que</w:t>
      </w:r>
      <w:r w:rsidR="003847D9" w:rsidRPr="00932F5A">
        <w:rPr>
          <w:lang w:val="es-ES_tradnl"/>
        </w:rPr>
        <w:t>,</w:t>
      </w:r>
      <w:r w:rsidR="00936784" w:rsidRPr="00932F5A">
        <w:rPr>
          <w:lang w:val="es-ES_tradnl"/>
        </w:rPr>
        <w:t xml:space="preserve"> </w:t>
      </w:r>
      <w:r w:rsidR="00172A8B">
        <w:rPr>
          <w:lang w:val="es-ES_tradnl"/>
        </w:rPr>
        <w:t xml:space="preserve">dado que </w:t>
      </w:r>
      <w:r w:rsidR="00224515">
        <w:rPr>
          <w:lang w:val="es-ES_tradnl"/>
        </w:rPr>
        <w:t>no era</w:t>
      </w:r>
      <w:r w:rsidR="0039261A">
        <w:rPr>
          <w:lang w:val="es-ES_tradnl"/>
        </w:rPr>
        <w:t xml:space="preserve"> </w:t>
      </w:r>
      <w:r w:rsidR="007402E1">
        <w:rPr>
          <w:lang w:val="es-ES_tradnl"/>
        </w:rPr>
        <w:t xml:space="preserve">requisito </w:t>
      </w:r>
      <w:r w:rsidR="003811FC">
        <w:rPr>
          <w:lang w:val="es-ES_tradnl"/>
        </w:rPr>
        <w:t xml:space="preserve">para fines de </w:t>
      </w:r>
      <w:r w:rsidR="00FF6784" w:rsidRPr="00932F5A">
        <w:rPr>
          <w:lang w:val="es-ES_tradnl"/>
        </w:rPr>
        <w:t>cumplimiento</w:t>
      </w:r>
      <w:r w:rsidR="00936784" w:rsidRPr="00932F5A">
        <w:rPr>
          <w:lang w:val="es-ES_tradnl"/>
        </w:rPr>
        <w:t xml:space="preserve"> </w:t>
      </w:r>
      <w:r w:rsidR="003543D0" w:rsidRPr="00932F5A">
        <w:rPr>
          <w:lang w:val="es-ES_tradnl"/>
        </w:rPr>
        <w:t>y</w:t>
      </w:r>
      <w:r w:rsidR="00936784" w:rsidRPr="00932F5A">
        <w:rPr>
          <w:lang w:val="es-ES_tradnl"/>
        </w:rPr>
        <w:t xml:space="preserve"> </w:t>
      </w:r>
      <w:r w:rsidR="00991ED7">
        <w:rPr>
          <w:lang w:val="es-ES_tradnl"/>
        </w:rPr>
        <w:t xml:space="preserve">no constituía </w:t>
      </w:r>
      <w:r w:rsidR="00592E63" w:rsidRPr="00932F5A">
        <w:rPr>
          <w:lang w:val="es-ES_tradnl"/>
        </w:rPr>
        <w:t>un</w:t>
      </w:r>
      <w:r w:rsidR="00936784" w:rsidRPr="00932F5A">
        <w:rPr>
          <w:lang w:val="es-ES_tradnl"/>
        </w:rPr>
        <w:t xml:space="preserve"> </w:t>
      </w:r>
      <w:r w:rsidR="00FF6784" w:rsidRPr="00932F5A">
        <w:rPr>
          <w:lang w:val="es-ES_tradnl"/>
        </w:rPr>
        <w:t>sobrecosto</w:t>
      </w:r>
      <w:r w:rsidR="003847D9" w:rsidRPr="00932F5A">
        <w:rPr>
          <w:lang w:val="es-ES_tradnl"/>
        </w:rPr>
        <w:t>,</w:t>
      </w:r>
      <w:r w:rsidR="00936784" w:rsidRPr="00932F5A">
        <w:rPr>
          <w:lang w:val="es-ES_tradnl"/>
        </w:rPr>
        <w:t xml:space="preserve"> </w:t>
      </w:r>
      <w:r w:rsidR="007E218D" w:rsidRPr="007E218D">
        <w:rPr>
          <w:lang w:val="es-ES_tradnl"/>
        </w:rPr>
        <w:t xml:space="preserve">la eliminación </w:t>
      </w:r>
      <w:r w:rsidR="002471A1">
        <w:rPr>
          <w:lang w:val="es-ES_tradnl"/>
        </w:rPr>
        <w:t xml:space="preserve">no debiese </w:t>
      </w:r>
      <w:r w:rsidR="008D6B25">
        <w:rPr>
          <w:lang w:val="es-ES_tradnl"/>
        </w:rPr>
        <w:t xml:space="preserve">discutirse </w:t>
      </w:r>
      <w:r w:rsidR="000A1066">
        <w:rPr>
          <w:lang w:val="es-ES_tradnl"/>
        </w:rPr>
        <w:t xml:space="preserve">en el marco </w:t>
      </w:r>
      <w:r w:rsidR="00764AE1">
        <w:rPr>
          <w:lang w:val="es-ES_tradnl"/>
        </w:rPr>
        <w:t xml:space="preserve">de los </w:t>
      </w:r>
      <w:r w:rsidR="00716BF9">
        <w:rPr>
          <w:lang w:val="es-ES_tradnl"/>
        </w:rPr>
        <w:t>parámetros del costo de reducir</w:t>
      </w:r>
      <w:r w:rsidR="00764AE1">
        <w:rPr>
          <w:lang w:val="es-ES_tradnl"/>
        </w:rPr>
        <w:t xml:space="preserve"> los HFC</w:t>
      </w:r>
      <w:r w:rsidR="003847D9" w:rsidRPr="00932F5A">
        <w:rPr>
          <w:lang w:val="es-ES_tradnl"/>
        </w:rPr>
        <w:t>.</w:t>
      </w:r>
      <w:r w:rsidR="00936784" w:rsidRPr="00932F5A">
        <w:rPr>
          <w:lang w:val="es-ES_tradnl"/>
        </w:rPr>
        <w:t xml:space="preserve"> </w:t>
      </w:r>
      <w:r w:rsidR="00A66CB0" w:rsidRPr="00932F5A">
        <w:rPr>
          <w:lang w:val="es-ES_tradnl"/>
        </w:rPr>
        <w:t>Otros</w:t>
      </w:r>
      <w:r w:rsidR="00936784" w:rsidRPr="00932F5A">
        <w:rPr>
          <w:lang w:val="es-ES_tradnl"/>
        </w:rPr>
        <w:t xml:space="preserve"> </w:t>
      </w:r>
      <w:r w:rsidR="00431F01">
        <w:rPr>
          <w:lang w:val="es-ES_tradnl"/>
        </w:rPr>
        <w:t>miembros</w:t>
      </w:r>
      <w:r w:rsidR="00936784" w:rsidRPr="00932F5A">
        <w:rPr>
          <w:lang w:val="es-ES_tradnl"/>
        </w:rPr>
        <w:t xml:space="preserve"> </w:t>
      </w:r>
      <w:r w:rsidR="00C8473E">
        <w:rPr>
          <w:lang w:val="es-ES_tradnl"/>
        </w:rPr>
        <w:t xml:space="preserve">replicaron </w:t>
      </w:r>
      <w:r w:rsidR="00F8334E">
        <w:rPr>
          <w:lang w:val="es-ES_tradnl"/>
        </w:rPr>
        <w:t>que</w:t>
      </w:r>
      <w:r w:rsidR="00936784" w:rsidRPr="00932F5A">
        <w:rPr>
          <w:lang w:val="es-ES_tradnl"/>
        </w:rPr>
        <w:t xml:space="preserve"> </w:t>
      </w:r>
      <w:r w:rsidR="00F8334E">
        <w:rPr>
          <w:lang w:val="es-ES_tradnl"/>
        </w:rPr>
        <w:t xml:space="preserve">la </w:t>
      </w:r>
      <w:r w:rsidRPr="00932F5A">
        <w:rPr>
          <w:lang w:val="es-ES_tradnl"/>
        </w:rPr>
        <w:t>eliminación</w:t>
      </w:r>
      <w:r w:rsidR="00936784" w:rsidRPr="00932F5A">
        <w:rPr>
          <w:lang w:val="es-ES_tradnl"/>
        </w:rPr>
        <w:t xml:space="preserve"> </w:t>
      </w:r>
      <w:r w:rsidR="00651D80">
        <w:rPr>
          <w:lang w:val="es-ES_tradnl"/>
        </w:rPr>
        <w:t xml:space="preserve">era de </w:t>
      </w:r>
      <w:r w:rsidR="00936784" w:rsidRPr="00932F5A">
        <w:rPr>
          <w:lang w:val="es-ES_tradnl"/>
        </w:rPr>
        <w:t>importancia</w:t>
      </w:r>
      <w:r w:rsidR="00427332" w:rsidRPr="001A712A">
        <w:rPr>
          <w:lang w:val="es-ES"/>
        </w:rPr>
        <w:t xml:space="preserve"> </w:t>
      </w:r>
      <w:r w:rsidR="00427332" w:rsidRPr="00427332">
        <w:rPr>
          <w:lang w:val="es-ES_tradnl"/>
        </w:rPr>
        <w:t>fundamental</w:t>
      </w:r>
      <w:r w:rsidR="003847D9" w:rsidRPr="00932F5A">
        <w:rPr>
          <w:lang w:val="es-ES_tradnl"/>
        </w:rPr>
        <w:t>,</w:t>
      </w:r>
      <w:r w:rsidR="00936784" w:rsidRPr="00932F5A">
        <w:rPr>
          <w:lang w:val="es-ES_tradnl"/>
        </w:rPr>
        <w:t xml:space="preserve"> </w:t>
      </w:r>
      <w:r w:rsidR="00FF6784" w:rsidRPr="00932F5A">
        <w:rPr>
          <w:lang w:val="es-ES_tradnl"/>
        </w:rPr>
        <w:t>especialmente</w:t>
      </w:r>
      <w:r w:rsidR="00936784" w:rsidRPr="00932F5A">
        <w:rPr>
          <w:lang w:val="es-ES_tradnl"/>
        </w:rPr>
        <w:t xml:space="preserve"> </w:t>
      </w:r>
      <w:r w:rsidR="00210042">
        <w:rPr>
          <w:lang w:val="es-ES_tradnl"/>
        </w:rPr>
        <w:t xml:space="preserve">en </w:t>
      </w:r>
      <w:r w:rsidR="00BD76CA" w:rsidRPr="00932F5A">
        <w:rPr>
          <w:lang w:val="es-ES_tradnl"/>
        </w:rPr>
        <w:t>países</w:t>
      </w:r>
      <w:r w:rsidR="00936784" w:rsidRPr="00932F5A">
        <w:rPr>
          <w:lang w:val="es-ES_tradnl"/>
        </w:rPr>
        <w:t xml:space="preserve"> </w:t>
      </w:r>
      <w:r w:rsidR="00FF6784" w:rsidRPr="00932F5A">
        <w:rPr>
          <w:lang w:val="es-ES_tradnl"/>
        </w:rPr>
        <w:t>de</w:t>
      </w:r>
      <w:r w:rsidR="00936784" w:rsidRPr="00932F5A">
        <w:rPr>
          <w:lang w:val="es-ES_tradnl"/>
        </w:rPr>
        <w:t xml:space="preserve"> </w:t>
      </w:r>
      <w:r w:rsidR="00FF6784" w:rsidRPr="00932F5A">
        <w:rPr>
          <w:lang w:val="es-ES_tradnl"/>
        </w:rPr>
        <w:t>bajo</w:t>
      </w:r>
      <w:r w:rsidR="00936784" w:rsidRPr="00932F5A">
        <w:rPr>
          <w:lang w:val="es-ES_tradnl"/>
        </w:rPr>
        <w:t xml:space="preserve"> </w:t>
      </w:r>
      <w:r w:rsidR="00FF6784" w:rsidRPr="00932F5A">
        <w:rPr>
          <w:lang w:val="es-ES_tradnl"/>
        </w:rPr>
        <w:t>consumo</w:t>
      </w:r>
      <w:r w:rsidR="0046662C">
        <w:rPr>
          <w:lang w:val="es-ES_tradnl"/>
        </w:rPr>
        <w:t xml:space="preserve">, </w:t>
      </w:r>
      <w:r w:rsidRPr="00932F5A">
        <w:rPr>
          <w:lang w:val="es-ES_tradnl"/>
        </w:rPr>
        <w:t>y</w:t>
      </w:r>
      <w:r w:rsidR="00936784" w:rsidRPr="00932F5A">
        <w:rPr>
          <w:lang w:val="es-ES_tradnl"/>
        </w:rPr>
        <w:t xml:space="preserve"> </w:t>
      </w:r>
      <w:r w:rsidR="000D7716">
        <w:rPr>
          <w:lang w:val="es-ES_tradnl"/>
        </w:rPr>
        <w:t xml:space="preserve">que </w:t>
      </w:r>
      <w:r w:rsidR="0069012C">
        <w:rPr>
          <w:lang w:val="es-ES_tradnl"/>
        </w:rPr>
        <w:t xml:space="preserve">por ende </w:t>
      </w:r>
      <w:r w:rsidR="000D7716">
        <w:rPr>
          <w:lang w:val="es-ES_tradnl"/>
        </w:rPr>
        <w:t xml:space="preserve">la consideraban </w:t>
      </w:r>
      <w:r w:rsidR="00584915" w:rsidRPr="00932F5A">
        <w:rPr>
          <w:lang w:val="es-ES_tradnl"/>
        </w:rPr>
        <w:t>parte</w:t>
      </w:r>
      <w:r w:rsidR="00936784" w:rsidRPr="00932F5A">
        <w:rPr>
          <w:lang w:val="es-ES_tradnl"/>
        </w:rPr>
        <w:t xml:space="preserve"> </w:t>
      </w:r>
      <w:r w:rsidR="00584915" w:rsidRPr="00932F5A">
        <w:rPr>
          <w:lang w:val="es-ES_tradnl"/>
        </w:rPr>
        <w:t>integral</w:t>
      </w:r>
      <w:r w:rsidR="00936784" w:rsidRPr="00932F5A">
        <w:rPr>
          <w:lang w:val="es-ES_tradnl"/>
        </w:rPr>
        <w:t xml:space="preserve"> </w:t>
      </w:r>
      <w:r w:rsidR="0020356E">
        <w:rPr>
          <w:lang w:val="es-ES_tradnl"/>
        </w:rPr>
        <w:t>de los parámetros</w:t>
      </w:r>
      <w:r w:rsidR="00936784" w:rsidRPr="00932F5A">
        <w:rPr>
          <w:lang w:val="es-ES_tradnl"/>
        </w:rPr>
        <w:t xml:space="preserve"> </w:t>
      </w:r>
      <w:r w:rsidRPr="00932F5A">
        <w:rPr>
          <w:lang w:val="es-ES_tradnl"/>
        </w:rPr>
        <w:t>de</w:t>
      </w:r>
      <w:r w:rsidR="00936784" w:rsidRPr="00932F5A">
        <w:rPr>
          <w:lang w:val="es-ES_tradnl"/>
        </w:rPr>
        <w:t xml:space="preserve"> </w:t>
      </w:r>
      <w:r w:rsidRPr="00932F5A">
        <w:rPr>
          <w:lang w:val="es-ES_tradnl"/>
        </w:rPr>
        <w:t>costos</w:t>
      </w:r>
      <w:r w:rsidR="003847D9" w:rsidRPr="00932F5A">
        <w:rPr>
          <w:lang w:val="es-ES_tradnl"/>
        </w:rPr>
        <w:t>.</w:t>
      </w:r>
      <w:r w:rsidR="00936784" w:rsidRPr="00932F5A">
        <w:rPr>
          <w:lang w:val="es-ES_tradnl"/>
        </w:rPr>
        <w:t xml:space="preserve"> </w:t>
      </w:r>
      <w:r w:rsidR="00053A9C">
        <w:rPr>
          <w:lang w:val="es-ES_tradnl"/>
        </w:rPr>
        <w:t>Los m</w:t>
      </w:r>
      <w:r w:rsidR="00431F01">
        <w:rPr>
          <w:lang w:val="es-ES_tradnl"/>
        </w:rPr>
        <w:t>iembros</w:t>
      </w:r>
      <w:r w:rsidR="00936784" w:rsidRPr="00932F5A">
        <w:rPr>
          <w:lang w:val="es-ES_tradnl"/>
        </w:rPr>
        <w:t xml:space="preserve"> </w:t>
      </w:r>
      <w:r w:rsidR="00053A9C">
        <w:rPr>
          <w:lang w:val="es-ES_tradnl"/>
        </w:rPr>
        <w:t xml:space="preserve">plantearon además </w:t>
      </w:r>
      <w:r w:rsidR="0097598C">
        <w:rPr>
          <w:lang w:val="es-ES_tradnl"/>
        </w:rPr>
        <w:t>otras materias</w:t>
      </w:r>
      <w:r w:rsidR="00FA06D7" w:rsidRPr="00932F5A">
        <w:rPr>
          <w:lang w:val="es-ES_tradnl"/>
        </w:rPr>
        <w:t>,</w:t>
      </w:r>
      <w:r w:rsidR="00936784" w:rsidRPr="00932F5A">
        <w:rPr>
          <w:lang w:val="es-ES_tradnl"/>
        </w:rPr>
        <w:t xml:space="preserve"> </w:t>
      </w:r>
      <w:r w:rsidR="00053A9C">
        <w:rPr>
          <w:lang w:val="es-ES_tradnl"/>
        </w:rPr>
        <w:t>entre ellas la relevancia</w:t>
      </w:r>
      <w:r w:rsidR="00936784" w:rsidRPr="00932F5A">
        <w:rPr>
          <w:lang w:val="es-ES_tradnl"/>
        </w:rPr>
        <w:t xml:space="preserve"> </w:t>
      </w:r>
      <w:r w:rsidR="00213811">
        <w:rPr>
          <w:lang w:val="es-ES_tradnl"/>
        </w:rPr>
        <w:t xml:space="preserve">del </w:t>
      </w:r>
      <w:r w:rsidR="00213811" w:rsidRPr="00213811">
        <w:rPr>
          <w:lang w:val="es-ES_tradnl"/>
        </w:rPr>
        <w:t xml:space="preserve">informe de síntesis </w:t>
      </w:r>
      <w:r w:rsidR="00E97634">
        <w:rPr>
          <w:lang w:val="es-ES_tradnl"/>
        </w:rPr>
        <w:t>sobre</w:t>
      </w:r>
      <w:r w:rsidR="00053A9C">
        <w:rPr>
          <w:lang w:val="es-ES_tradnl"/>
        </w:rPr>
        <w:t xml:space="preserve"> e</w:t>
      </w:r>
      <w:r w:rsidR="00932F5A">
        <w:rPr>
          <w:lang w:val="es-ES_tradnl"/>
        </w:rPr>
        <w:t>liminación de SAO</w:t>
      </w:r>
      <w:r w:rsidR="00FA06D7" w:rsidRPr="00932F5A">
        <w:rPr>
          <w:lang w:val="es-ES_tradnl"/>
        </w:rPr>
        <w:t>;</w:t>
      </w:r>
      <w:r w:rsidR="00936784" w:rsidRPr="00932F5A">
        <w:rPr>
          <w:lang w:val="es-ES_tradnl"/>
        </w:rPr>
        <w:t xml:space="preserve"> </w:t>
      </w:r>
      <w:r w:rsidR="00B24AC0">
        <w:rPr>
          <w:lang w:val="es-ES_tradnl"/>
        </w:rPr>
        <w:t>pautas provisorias</w:t>
      </w:r>
      <w:r w:rsidR="00936784" w:rsidRPr="00932F5A">
        <w:rPr>
          <w:lang w:val="es-ES_tradnl"/>
        </w:rPr>
        <w:t xml:space="preserve"> </w:t>
      </w:r>
      <w:r w:rsidR="007E06C6">
        <w:rPr>
          <w:lang w:val="es-ES_tradnl"/>
        </w:rPr>
        <w:t xml:space="preserve">para los </w:t>
      </w:r>
      <w:r w:rsidR="00197A00" w:rsidRPr="00932F5A">
        <w:rPr>
          <w:lang w:val="es-ES_tradnl"/>
        </w:rPr>
        <w:t>proyecto</w:t>
      </w:r>
      <w:r w:rsidRPr="00932F5A">
        <w:rPr>
          <w:lang w:val="es-ES_tradnl"/>
        </w:rPr>
        <w:t>s</w:t>
      </w:r>
      <w:r w:rsidR="00936784" w:rsidRPr="00932F5A">
        <w:rPr>
          <w:lang w:val="es-ES_tradnl"/>
        </w:rPr>
        <w:t xml:space="preserve"> </w:t>
      </w:r>
      <w:r w:rsidRPr="00932F5A">
        <w:rPr>
          <w:lang w:val="es-ES_tradnl"/>
        </w:rPr>
        <w:t>piloto</w:t>
      </w:r>
      <w:r w:rsidR="00936784" w:rsidRPr="00932F5A">
        <w:rPr>
          <w:lang w:val="es-ES_tradnl"/>
        </w:rPr>
        <w:t xml:space="preserve"> </w:t>
      </w:r>
      <w:r w:rsidR="003543D0" w:rsidRPr="00932F5A">
        <w:rPr>
          <w:lang w:val="es-ES_tradnl"/>
        </w:rPr>
        <w:t>aprobado</w:t>
      </w:r>
      <w:r w:rsidR="00AE2DBD">
        <w:rPr>
          <w:lang w:val="es-ES_tradnl"/>
        </w:rPr>
        <w:t>s</w:t>
      </w:r>
      <w:r w:rsidR="00936784" w:rsidRPr="00932F5A">
        <w:rPr>
          <w:lang w:val="es-ES_tradnl"/>
        </w:rPr>
        <w:t xml:space="preserve"> </w:t>
      </w:r>
      <w:r w:rsidR="00AE2DBD">
        <w:rPr>
          <w:lang w:val="es-ES_tradnl"/>
        </w:rPr>
        <w:t xml:space="preserve">en la </w:t>
      </w:r>
      <w:r w:rsidR="003847D9" w:rsidRPr="00932F5A">
        <w:rPr>
          <w:lang w:val="es-ES_tradnl"/>
        </w:rPr>
        <w:t>5</w:t>
      </w:r>
      <w:r w:rsidR="005E7D21" w:rsidRPr="00932F5A">
        <w:rPr>
          <w:lang w:val="es-ES_tradnl"/>
        </w:rPr>
        <w:t>8</w:t>
      </w:r>
      <w:r w:rsidR="005F33A5">
        <w:rPr>
          <w:lang w:val="es-ES_tradnl"/>
        </w:rPr>
        <w:t>ª reunión</w:t>
      </w:r>
      <w:r w:rsidR="004D6AD6">
        <w:rPr>
          <w:lang w:val="es-ES_tradnl"/>
        </w:rPr>
        <w:t>,</w:t>
      </w:r>
      <w:r w:rsidR="00936784" w:rsidRPr="00932F5A">
        <w:rPr>
          <w:lang w:val="es-ES_tradnl"/>
        </w:rPr>
        <w:t xml:space="preserve"> </w:t>
      </w:r>
      <w:r w:rsidR="003543D0" w:rsidRPr="00932F5A">
        <w:rPr>
          <w:lang w:val="es-ES_tradnl"/>
        </w:rPr>
        <w:t>y</w:t>
      </w:r>
      <w:r w:rsidR="00936784" w:rsidRPr="00932F5A">
        <w:rPr>
          <w:lang w:val="es-ES_tradnl"/>
        </w:rPr>
        <w:t xml:space="preserve"> </w:t>
      </w:r>
      <w:r w:rsidRPr="00932F5A">
        <w:rPr>
          <w:lang w:val="es-ES_tradnl"/>
        </w:rPr>
        <w:t>políticas</w:t>
      </w:r>
      <w:r w:rsidR="00936784" w:rsidRPr="00932F5A">
        <w:rPr>
          <w:lang w:val="es-ES_tradnl"/>
        </w:rPr>
        <w:t xml:space="preserve"> </w:t>
      </w:r>
      <w:r w:rsidR="00A4303C">
        <w:rPr>
          <w:lang w:val="es-ES_tradnl"/>
        </w:rPr>
        <w:t xml:space="preserve">de </w:t>
      </w:r>
      <w:r w:rsidR="004D6AD6">
        <w:rPr>
          <w:lang w:val="es-ES_tradnl"/>
        </w:rPr>
        <w:t>manejo de refrigerantes</w:t>
      </w:r>
      <w:r w:rsidR="00936784" w:rsidRPr="00932F5A">
        <w:rPr>
          <w:lang w:val="es-ES_tradnl"/>
        </w:rPr>
        <w:t xml:space="preserve"> </w:t>
      </w:r>
      <w:r w:rsidR="002D7D97">
        <w:rPr>
          <w:lang w:val="es-ES_tradnl"/>
        </w:rPr>
        <w:t xml:space="preserve">orientadas a minimizar los </w:t>
      </w:r>
      <w:r w:rsidR="00932F5A">
        <w:rPr>
          <w:lang w:val="es-ES_tradnl"/>
        </w:rPr>
        <w:t>desecho</w:t>
      </w:r>
      <w:r w:rsidR="00396BDC">
        <w:rPr>
          <w:lang w:val="es-ES_tradnl"/>
        </w:rPr>
        <w:t>s</w:t>
      </w:r>
      <w:r w:rsidR="003847D9" w:rsidRPr="00932F5A">
        <w:rPr>
          <w:lang w:val="es-ES_tradnl"/>
        </w:rPr>
        <w:t>.</w:t>
      </w:r>
    </w:p>
    <w:p w14:paraId="632FD673" w14:textId="6A8C9969" w:rsidR="00FF6784" w:rsidRPr="00932F5A" w:rsidRDefault="00D352E8" w:rsidP="00DF3A22">
      <w:pPr>
        <w:pStyle w:val="Heading1"/>
        <w:rPr>
          <w:lang w:val="es-ES_tradnl"/>
        </w:rPr>
      </w:pPr>
      <w:r w:rsidRPr="00932F5A">
        <w:rPr>
          <w:lang w:val="es-ES_tradnl"/>
        </w:rPr>
        <w:t>El</w:t>
      </w:r>
      <w:r w:rsidR="00936784" w:rsidRPr="00932F5A">
        <w:rPr>
          <w:lang w:val="es-ES_tradnl"/>
        </w:rPr>
        <w:t xml:space="preserve"> </w:t>
      </w:r>
      <w:r w:rsidRPr="00932F5A">
        <w:rPr>
          <w:lang w:val="es-ES_tradnl"/>
        </w:rPr>
        <w:t>Comité</w:t>
      </w:r>
      <w:r w:rsidR="00936784" w:rsidRPr="00932F5A">
        <w:rPr>
          <w:lang w:val="es-ES_tradnl"/>
        </w:rPr>
        <w:t xml:space="preserve"> </w:t>
      </w:r>
      <w:r w:rsidR="005F1C91" w:rsidRPr="00932F5A">
        <w:rPr>
          <w:lang w:val="es-ES_tradnl"/>
        </w:rPr>
        <w:t>Ejecutivo</w:t>
      </w:r>
      <w:r w:rsidR="00936784" w:rsidRPr="00932F5A">
        <w:rPr>
          <w:lang w:val="es-ES_tradnl"/>
        </w:rPr>
        <w:t xml:space="preserve"> </w:t>
      </w:r>
      <w:r w:rsidR="005F1C91" w:rsidRPr="00932F5A">
        <w:rPr>
          <w:lang w:val="es-ES_tradnl"/>
        </w:rPr>
        <w:t>podrá</w:t>
      </w:r>
      <w:r w:rsidR="00936784" w:rsidRPr="00932F5A">
        <w:rPr>
          <w:lang w:val="es-ES_tradnl"/>
        </w:rPr>
        <w:t xml:space="preserve"> </w:t>
      </w:r>
      <w:r w:rsidR="005F1C91" w:rsidRPr="00932F5A">
        <w:rPr>
          <w:lang w:val="es-ES_tradnl"/>
        </w:rPr>
        <w:t>estimar</w:t>
      </w:r>
      <w:r w:rsidR="00936784" w:rsidRPr="00932F5A">
        <w:rPr>
          <w:lang w:val="es-ES_tradnl"/>
        </w:rPr>
        <w:t xml:space="preserve"> </w:t>
      </w:r>
      <w:r w:rsidR="005F1C91" w:rsidRPr="00932F5A">
        <w:rPr>
          <w:lang w:val="es-ES_tradnl"/>
        </w:rPr>
        <w:t>oportuno</w:t>
      </w:r>
      <w:r w:rsidR="00936784" w:rsidRPr="00932F5A">
        <w:rPr>
          <w:lang w:val="es-ES_tradnl"/>
        </w:rPr>
        <w:t xml:space="preserve"> </w:t>
      </w:r>
      <w:r w:rsidR="00471626">
        <w:rPr>
          <w:lang w:val="es-ES_tradnl"/>
        </w:rPr>
        <w:t>reanudar</w:t>
      </w:r>
      <w:r w:rsidR="00936784" w:rsidRPr="00932F5A">
        <w:rPr>
          <w:lang w:val="es-ES_tradnl"/>
        </w:rPr>
        <w:t xml:space="preserve"> </w:t>
      </w:r>
      <w:r w:rsidR="00810265">
        <w:rPr>
          <w:lang w:val="es-ES_tradnl"/>
        </w:rPr>
        <w:t xml:space="preserve">la </w:t>
      </w:r>
      <w:r w:rsidR="00A66CB0" w:rsidRPr="00932F5A">
        <w:rPr>
          <w:lang w:val="es-ES_tradnl"/>
        </w:rPr>
        <w:t>discusión</w:t>
      </w:r>
      <w:r w:rsidR="00936784" w:rsidRPr="00932F5A">
        <w:rPr>
          <w:lang w:val="es-ES_tradnl"/>
        </w:rPr>
        <w:t xml:space="preserve"> </w:t>
      </w:r>
      <w:r w:rsidR="009D037A">
        <w:rPr>
          <w:lang w:val="es-ES_tradnl"/>
        </w:rPr>
        <w:t>sobre</w:t>
      </w:r>
      <w:r w:rsidR="00936784" w:rsidRPr="00932F5A">
        <w:rPr>
          <w:lang w:val="es-ES_tradnl"/>
        </w:rPr>
        <w:t xml:space="preserve"> </w:t>
      </w:r>
      <w:r w:rsidR="00F44F39">
        <w:rPr>
          <w:lang w:val="es-ES_tradnl"/>
        </w:rPr>
        <w:t>esta materia</w:t>
      </w:r>
      <w:r w:rsidR="00936784" w:rsidRPr="00932F5A">
        <w:rPr>
          <w:lang w:val="es-ES_tradnl"/>
        </w:rPr>
        <w:t xml:space="preserve"> </w:t>
      </w:r>
      <w:r w:rsidR="005E7D21" w:rsidRPr="00932F5A">
        <w:rPr>
          <w:lang w:val="es-ES_tradnl"/>
        </w:rPr>
        <w:t>durante</w:t>
      </w:r>
      <w:r w:rsidR="00936784" w:rsidRPr="00932F5A">
        <w:rPr>
          <w:lang w:val="es-ES_tradnl"/>
        </w:rPr>
        <w:t xml:space="preserve"> </w:t>
      </w:r>
      <w:r w:rsidR="001A2C2F">
        <w:rPr>
          <w:lang w:val="es-ES_tradnl"/>
        </w:rPr>
        <w:t>la 83</w:t>
      </w:r>
      <w:r w:rsidR="005F33A5">
        <w:rPr>
          <w:lang w:val="es-ES_tradnl"/>
        </w:rPr>
        <w:t>ª reunión</w:t>
      </w:r>
      <w:r w:rsidR="003847D9" w:rsidRPr="00932F5A">
        <w:rPr>
          <w:lang w:val="es-ES_tradnl"/>
        </w:rPr>
        <w:t>.</w:t>
      </w:r>
    </w:p>
    <w:p w14:paraId="4AF900D3" w14:textId="05CE1AAC" w:rsidR="00FF6784" w:rsidRPr="00932F5A" w:rsidRDefault="00E44707" w:rsidP="006F74B1">
      <w:pPr>
        <w:keepNext/>
        <w:keepLines/>
        <w:tabs>
          <w:tab w:val="left" w:pos="8280"/>
        </w:tabs>
        <w:rPr>
          <w:u w:val="single"/>
          <w:lang w:val="es-ES_tradnl"/>
        </w:rPr>
      </w:pPr>
      <w:r>
        <w:rPr>
          <w:u w:val="single"/>
          <w:lang w:val="es-ES_tradnl"/>
        </w:rPr>
        <w:t>Otra</w:t>
      </w:r>
      <w:r w:rsidR="00A66CB0" w:rsidRPr="00932F5A">
        <w:rPr>
          <w:u w:val="single"/>
          <w:lang w:val="es-ES_tradnl"/>
        </w:rPr>
        <w:t>s</w:t>
      </w:r>
      <w:r w:rsidR="00936784" w:rsidRPr="00932F5A">
        <w:rPr>
          <w:u w:val="single"/>
          <w:lang w:val="es-ES_tradnl"/>
        </w:rPr>
        <w:t xml:space="preserve"> </w:t>
      </w:r>
      <w:r>
        <w:rPr>
          <w:u w:val="single"/>
          <w:lang w:val="es-ES_tradnl"/>
        </w:rPr>
        <w:t>materias generales</w:t>
      </w:r>
      <w:r w:rsidR="00936784" w:rsidRPr="00932F5A">
        <w:rPr>
          <w:u w:val="single"/>
          <w:lang w:val="es-ES_tradnl"/>
        </w:rPr>
        <w:t xml:space="preserve"> </w:t>
      </w:r>
      <w:r w:rsidR="00FB4DFF">
        <w:rPr>
          <w:u w:val="single"/>
          <w:lang w:val="es-ES_tradnl"/>
        </w:rPr>
        <w:t xml:space="preserve">relativas a la </w:t>
      </w:r>
      <w:r w:rsidR="005F1C91" w:rsidRPr="00932F5A">
        <w:rPr>
          <w:u w:val="single"/>
          <w:lang w:val="es-ES_tradnl"/>
        </w:rPr>
        <w:t>reducción</w:t>
      </w:r>
      <w:r w:rsidR="00936784" w:rsidRPr="00932F5A">
        <w:rPr>
          <w:u w:val="single"/>
          <w:lang w:val="es-ES_tradnl"/>
        </w:rPr>
        <w:t xml:space="preserve"> </w:t>
      </w:r>
      <w:r w:rsidR="005F1C91" w:rsidRPr="00932F5A">
        <w:rPr>
          <w:u w:val="single"/>
          <w:lang w:val="es-ES_tradnl"/>
        </w:rPr>
        <w:t>de</w:t>
      </w:r>
      <w:r w:rsidR="00936784" w:rsidRPr="00932F5A">
        <w:rPr>
          <w:u w:val="single"/>
          <w:lang w:val="es-ES_tradnl"/>
        </w:rPr>
        <w:t xml:space="preserve"> </w:t>
      </w:r>
      <w:r w:rsidR="005F1C91" w:rsidRPr="00932F5A">
        <w:rPr>
          <w:u w:val="single"/>
          <w:lang w:val="es-ES_tradnl"/>
        </w:rPr>
        <w:t>los</w:t>
      </w:r>
      <w:r w:rsidR="00936784" w:rsidRPr="00932F5A">
        <w:rPr>
          <w:u w:val="single"/>
          <w:lang w:val="es-ES_tradnl"/>
        </w:rPr>
        <w:t xml:space="preserve"> </w:t>
      </w:r>
      <w:r w:rsidR="005F1C91" w:rsidRPr="00932F5A">
        <w:rPr>
          <w:u w:val="single"/>
          <w:lang w:val="es-ES_tradnl"/>
        </w:rPr>
        <w:t>HFC</w:t>
      </w:r>
    </w:p>
    <w:p w14:paraId="2DC67070" w14:textId="3D42E932" w:rsidR="003847D9" w:rsidRPr="00932F5A" w:rsidRDefault="003847D9" w:rsidP="006F74B1">
      <w:pPr>
        <w:keepNext/>
        <w:keepLines/>
        <w:tabs>
          <w:tab w:val="left" w:pos="8280"/>
        </w:tabs>
        <w:rPr>
          <w:lang w:val="es-ES_tradnl"/>
        </w:rPr>
      </w:pPr>
    </w:p>
    <w:p w14:paraId="46E30815" w14:textId="05887E1E" w:rsidR="00FF6784" w:rsidRPr="00932F5A" w:rsidRDefault="00FF6784" w:rsidP="006F74B1">
      <w:pPr>
        <w:pStyle w:val="Heading1"/>
        <w:keepNext/>
        <w:keepLines/>
        <w:rPr>
          <w:lang w:val="es-ES_tradnl"/>
        </w:rPr>
      </w:pPr>
      <w:r w:rsidRPr="00932F5A">
        <w:rPr>
          <w:lang w:val="es-ES_tradnl"/>
        </w:rPr>
        <w:t>El</w:t>
      </w:r>
      <w:r w:rsidR="00936784" w:rsidRPr="00932F5A">
        <w:rPr>
          <w:lang w:val="es-ES_tradnl"/>
        </w:rPr>
        <w:t xml:space="preserve"> </w:t>
      </w:r>
      <w:r w:rsidRPr="00932F5A">
        <w:rPr>
          <w:lang w:val="es-ES_tradnl"/>
        </w:rPr>
        <w:t>documento</w:t>
      </w:r>
      <w:r w:rsidR="00936784" w:rsidRPr="00932F5A">
        <w:rPr>
          <w:lang w:val="es-ES_tradnl"/>
        </w:rPr>
        <w:t xml:space="preserve"> </w:t>
      </w:r>
      <w:r w:rsidR="00C934CE">
        <w:rPr>
          <w:lang w:val="es-ES_tradnl"/>
        </w:rPr>
        <w:t xml:space="preserve">sobre </w:t>
      </w:r>
      <w:r w:rsidR="00716BF9">
        <w:rPr>
          <w:lang w:val="es-ES_tradnl"/>
        </w:rPr>
        <w:t>parámetros del costo de reducir</w:t>
      </w:r>
      <w:r w:rsidR="00C8517F">
        <w:rPr>
          <w:lang w:val="es-ES_tradnl"/>
        </w:rPr>
        <w:t xml:space="preserve"> los HFC</w:t>
      </w:r>
      <w:r w:rsidR="00936784" w:rsidRPr="00932F5A">
        <w:rPr>
          <w:lang w:val="es-ES_tradnl"/>
        </w:rPr>
        <w:t xml:space="preserve"> </w:t>
      </w:r>
      <w:r w:rsidR="005F1C91" w:rsidRPr="00932F5A">
        <w:rPr>
          <w:lang w:val="es-ES_tradnl"/>
        </w:rPr>
        <w:t>presentado</w:t>
      </w:r>
      <w:r w:rsidR="00936784" w:rsidRPr="00932F5A">
        <w:rPr>
          <w:lang w:val="es-ES_tradnl"/>
        </w:rPr>
        <w:t xml:space="preserve"> </w:t>
      </w:r>
      <w:r w:rsidR="008B2E22" w:rsidRPr="00932F5A">
        <w:rPr>
          <w:lang w:val="es-ES_tradnl"/>
        </w:rPr>
        <w:t>a</w:t>
      </w:r>
      <w:r w:rsidR="00936784" w:rsidRPr="00932F5A">
        <w:rPr>
          <w:lang w:val="es-ES_tradnl"/>
        </w:rPr>
        <w:t xml:space="preserve"> </w:t>
      </w:r>
      <w:r w:rsidR="008B2E22" w:rsidRPr="00932F5A">
        <w:rPr>
          <w:lang w:val="es-ES_tradnl"/>
        </w:rPr>
        <w:t>la</w:t>
      </w:r>
      <w:r w:rsidR="00936784" w:rsidRPr="00932F5A">
        <w:rPr>
          <w:lang w:val="es-ES_tradnl"/>
        </w:rPr>
        <w:t xml:space="preserve"> </w:t>
      </w:r>
      <w:r w:rsidR="008B2E22" w:rsidRPr="00932F5A">
        <w:rPr>
          <w:lang w:val="es-ES_tradnl"/>
        </w:rPr>
        <w:t>8</w:t>
      </w:r>
      <w:r w:rsidR="005E7D21" w:rsidRPr="00932F5A">
        <w:rPr>
          <w:lang w:val="es-ES_tradnl"/>
        </w:rPr>
        <w:t>0</w:t>
      </w:r>
      <w:r w:rsidR="005F33A5">
        <w:rPr>
          <w:lang w:val="es-ES_tradnl"/>
        </w:rPr>
        <w:t>ª reunión</w:t>
      </w:r>
      <w:r w:rsidR="00936784" w:rsidRPr="00932F5A">
        <w:rPr>
          <w:lang w:val="es-ES_tradnl"/>
        </w:rPr>
        <w:t xml:space="preserve"> </w:t>
      </w:r>
      <w:r w:rsidR="002C2043">
        <w:rPr>
          <w:lang w:val="es-ES_tradnl"/>
        </w:rPr>
        <w:t>incluía ciertos</w:t>
      </w:r>
      <w:r w:rsidR="00936784" w:rsidRPr="00932F5A">
        <w:rPr>
          <w:lang w:val="es-ES_tradnl"/>
        </w:rPr>
        <w:t xml:space="preserve"> </w:t>
      </w:r>
      <w:r w:rsidR="0046569F">
        <w:rPr>
          <w:lang w:val="es-ES_tradnl"/>
        </w:rPr>
        <w:t>aspectos transversales</w:t>
      </w:r>
      <w:r w:rsidR="002E03A7" w:rsidRPr="00932F5A">
        <w:rPr>
          <w:rStyle w:val="FootnoteReference"/>
          <w:lang w:val="es-ES_tradnl"/>
        </w:rPr>
        <w:footnoteReference w:id="11"/>
      </w:r>
      <w:r w:rsidR="00936784" w:rsidRPr="00932F5A">
        <w:rPr>
          <w:lang w:val="es-ES_tradnl"/>
        </w:rPr>
        <w:t xml:space="preserve"> </w:t>
      </w:r>
      <w:r w:rsidR="00471CB0">
        <w:rPr>
          <w:lang w:val="es-ES_tradnl"/>
        </w:rPr>
        <w:t xml:space="preserve">en </w:t>
      </w:r>
      <w:r w:rsidR="007C4DB9">
        <w:rPr>
          <w:lang w:val="es-ES_tradnl"/>
        </w:rPr>
        <w:t>a</w:t>
      </w:r>
      <w:r w:rsidR="00471CB0">
        <w:rPr>
          <w:lang w:val="es-ES_tradnl"/>
        </w:rPr>
        <w:t>ctual</w:t>
      </w:r>
      <w:r w:rsidR="007C4DB9">
        <w:rPr>
          <w:lang w:val="es-ES_tradnl"/>
        </w:rPr>
        <w:t xml:space="preserve"> </w:t>
      </w:r>
      <w:r w:rsidR="00342C50">
        <w:rPr>
          <w:lang w:val="es-ES_tradnl"/>
        </w:rPr>
        <w:t>aplicación</w:t>
      </w:r>
      <w:r w:rsidR="007C4DB9">
        <w:rPr>
          <w:lang w:val="es-ES_tradnl"/>
        </w:rPr>
        <w:t xml:space="preserve"> </w:t>
      </w:r>
      <w:r w:rsidR="00EB43C3" w:rsidRPr="00932F5A">
        <w:rPr>
          <w:lang w:val="es-ES_tradnl"/>
        </w:rPr>
        <w:t>en</w:t>
      </w:r>
      <w:r w:rsidR="00936784" w:rsidRPr="00932F5A">
        <w:rPr>
          <w:lang w:val="es-ES_tradnl"/>
        </w:rPr>
        <w:t xml:space="preserve"> </w:t>
      </w:r>
      <w:r w:rsidR="00EB43C3" w:rsidRPr="00932F5A">
        <w:rPr>
          <w:lang w:val="es-ES_tradnl"/>
        </w:rPr>
        <w:t>el</w:t>
      </w:r>
      <w:r w:rsidR="00936784" w:rsidRPr="00932F5A">
        <w:rPr>
          <w:lang w:val="es-ES_tradnl"/>
        </w:rPr>
        <w:t xml:space="preserve"> </w:t>
      </w:r>
      <w:r w:rsidR="00EB43C3" w:rsidRPr="00932F5A">
        <w:rPr>
          <w:lang w:val="es-ES_tradnl"/>
        </w:rPr>
        <w:t>marco</w:t>
      </w:r>
      <w:r w:rsidR="00936784" w:rsidRPr="00932F5A">
        <w:rPr>
          <w:lang w:val="es-ES_tradnl"/>
        </w:rPr>
        <w:t xml:space="preserve"> </w:t>
      </w:r>
      <w:r w:rsidR="00EB43C3" w:rsidRPr="00932F5A">
        <w:rPr>
          <w:lang w:val="es-ES_tradnl"/>
        </w:rPr>
        <w:t>de</w:t>
      </w:r>
      <w:r w:rsidR="00936784" w:rsidRPr="00932F5A">
        <w:rPr>
          <w:lang w:val="es-ES_tradnl"/>
        </w:rPr>
        <w:t xml:space="preserve"> </w:t>
      </w:r>
      <w:r w:rsidR="00CA0240">
        <w:rPr>
          <w:lang w:val="es-ES_tradnl"/>
        </w:rPr>
        <w:t xml:space="preserve">las </w:t>
      </w:r>
      <w:r w:rsidR="005E7D21" w:rsidRPr="00932F5A">
        <w:rPr>
          <w:lang w:val="es-ES_tradnl"/>
        </w:rPr>
        <w:t>actividades</w:t>
      </w:r>
      <w:r w:rsidR="00936784" w:rsidRPr="00932F5A">
        <w:rPr>
          <w:lang w:val="es-ES_tradnl"/>
        </w:rPr>
        <w:t xml:space="preserve"> </w:t>
      </w:r>
      <w:r w:rsidR="005E7D21" w:rsidRPr="00932F5A">
        <w:rPr>
          <w:lang w:val="es-ES_tradnl"/>
        </w:rPr>
        <w:t>de</w:t>
      </w:r>
      <w:r w:rsidR="00936784" w:rsidRPr="00932F5A">
        <w:rPr>
          <w:lang w:val="es-ES_tradnl"/>
        </w:rPr>
        <w:t xml:space="preserve"> </w:t>
      </w:r>
      <w:r w:rsidR="005E7D21" w:rsidRPr="00932F5A">
        <w:rPr>
          <w:lang w:val="es-ES_tradnl"/>
        </w:rPr>
        <w:t>apoyo</w:t>
      </w:r>
      <w:r w:rsidR="00936784" w:rsidRPr="00932F5A">
        <w:rPr>
          <w:lang w:val="es-ES_tradnl"/>
        </w:rPr>
        <w:t xml:space="preserve"> </w:t>
      </w:r>
      <w:r w:rsidR="003543D0" w:rsidRPr="00932F5A">
        <w:rPr>
          <w:lang w:val="es-ES_tradnl"/>
        </w:rPr>
        <w:t>y</w:t>
      </w:r>
      <w:r w:rsidR="00936784" w:rsidRPr="00932F5A">
        <w:rPr>
          <w:lang w:val="es-ES_tradnl"/>
        </w:rPr>
        <w:t xml:space="preserve"> proyectos autónomos </w:t>
      </w:r>
      <w:r w:rsidR="00A40361">
        <w:rPr>
          <w:lang w:val="es-ES_tradnl"/>
        </w:rPr>
        <w:t>de inversión en HFC</w:t>
      </w:r>
      <w:r w:rsidR="00936784" w:rsidRPr="00932F5A">
        <w:rPr>
          <w:lang w:val="es-ES_tradnl"/>
        </w:rPr>
        <w:t xml:space="preserve"> </w:t>
      </w:r>
      <w:r w:rsidR="00592E63" w:rsidRPr="00932F5A">
        <w:rPr>
          <w:lang w:val="es-ES_tradnl"/>
        </w:rPr>
        <w:t xml:space="preserve">en </w:t>
      </w:r>
      <w:r w:rsidR="00E60EF7">
        <w:rPr>
          <w:lang w:val="es-ES_tradnl"/>
        </w:rPr>
        <w:t xml:space="preserve">curso </w:t>
      </w:r>
      <w:r w:rsidR="003847D9" w:rsidRPr="00932F5A">
        <w:rPr>
          <w:lang w:val="es-ES_tradnl"/>
        </w:rPr>
        <w:t>(</w:t>
      </w:r>
      <w:r w:rsidR="00A13A04">
        <w:rPr>
          <w:lang w:val="es-ES_tradnl"/>
        </w:rPr>
        <w:t xml:space="preserve">ver </w:t>
      </w:r>
      <w:r w:rsidR="006F3524">
        <w:rPr>
          <w:lang w:val="es-ES_tradnl"/>
        </w:rPr>
        <w:t>estos</w:t>
      </w:r>
      <w:r w:rsidR="00936784" w:rsidRPr="00932F5A">
        <w:rPr>
          <w:lang w:val="es-ES_tradnl"/>
        </w:rPr>
        <w:t xml:space="preserve"> </w:t>
      </w:r>
      <w:r w:rsidR="008B2E22" w:rsidRPr="00932F5A">
        <w:rPr>
          <w:lang w:val="es-ES_tradnl"/>
        </w:rPr>
        <w:t>aspecto</w:t>
      </w:r>
      <w:r w:rsidR="003847D9" w:rsidRPr="00932F5A">
        <w:rPr>
          <w:lang w:val="es-ES_tradnl"/>
        </w:rPr>
        <w:t>s</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930185">
        <w:rPr>
          <w:lang w:val="es-ES_tradnl"/>
        </w:rPr>
        <w:t xml:space="preserve">la </w:t>
      </w:r>
      <w:r w:rsidR="00EB43C3" w:rsidRPr="00932F5A">
        <w:rPr>
          <w:lang w:val="es-ES_tradnl"/>
        </w:rPr>
        <w:t>Parte</w:t>
      </w:r>
      <w:r w:rsidR="00936784" w:rsidRPr="00932F5A">
        <w:rPr>
          <w:lang w:val="es-ES_tradnl"/>
        </w:rPr>
        <w:t xml:space="preserve"> </w:t>
      </w:r>
      <w:r w:rsidR="003847D9" w:rsidRPr="00932F5A">
        <w:rPr>
          <w:lang w:val="es-ES_tradnl"/>
        </w:rPr>
        <w:t>III</w:t>
      </w:r>
      <w:r w:rsidR="00936784" w:rsidRPr="00932F5A">
        <w:rPr>
          <w:lang w:val="es-ES_tradnl"/>
        </w:rPr>
        <w:t xml:space="preserve"> </w:t>
      </w:r>
      <w:r w:rsidR="003543D0" w:rsidRPr="00932F5A">
        <w:rPr>
          <w:lang w:val="es-ES_tradnl"/>
        </w:rPr>
        <w:t>de</w:t>
      </w:r>
      <w:r w:rsidR="00930185">
        <w:rPr>
          <w:lang w:val="es-ES_tradnl"/>
        </w:rPr>
        <w:t>l</w:t>
      </w:r>
      <w:r w:rsidR="00936784" w:rsidRPr="00932F5A">
        <w:rPr>
          <w:lang w:val="es-ES_tradnl"/>
        </w:rPr>
        <w:t xml:space="preserve"> </w:t>
      </w:r>
      <w:r w:rsidR="00D352E8" w:rsidRPr="00932F5A">
        <w:rPr>
          <w:lang w:val="es-ES_tradnl"/>
        </w:rPr>
        <w:t>Anexo</w:t>
      </w:r>
      <w:r w:rsidR="00936784" w:rsidRPr="00932F5A">
        <w:rPr>
          <w:lang w:val="es-ES_tradnl"/>
        </w:rPr>
        <w:t xml:space="preserve"> </w:t>
      </w:r>
      <w:r w:rsidR="003847D9" w:rsidRPr="00932F5A">
        <w:rPr>
          <w:lang w:val="es-ES_tradnl"/>
        </w:rPr>
        <w:t>II</w:t>
      </w:r>
      <w:r w:rsidR="00936784" w:rsidRPr="00932F5A">
        <w:rPr>
          <w:lang w:val="es-ES_tradnl"/>
        </w:rPr>
        <w:t xml:space="preserve"> </w:t>
      </w:r>
      <w:r w:rsidR="00EA4DA0" w:rsidRPr="00932F5A">
        <w:rPr>
          <w:lang w:val="es-ES_tradnl"/>
        </w:rPr>
        <w:t>al</w:t>
      </w:r>
      <w:r w:rsidR="00936784" w:rsidRPr="00932F5A">
        <w:rPr>
          <w:lang w:val="es-ES_tradnl"/>
        </w:rPr>
        <w:t xml:space="preserve"> </w:t>
      </w:r>
      <w:r w:rsidR="00EA4DA0" w:rsidRPr="00932F5A">
        <w:rPr>
          <w:lang w:val="es-ES_tradnl"/>
        </w:rPr>
        <w:t>presente</w:t>
      </w:r>
      <w:r w:rsidR="00936784" w:rsidRPr="00932F5A">
        <w:rPr>
          <w:lang w:val="es-ES_tradnl"/>
        </w:rPr>
        <w:t xml:space="preserve"> </w:t>
      </w:r>
      <w:r w:rsidRPr="00932F5A">
        <w:rPr>
          <w:lang w:val="es-ES_tradnl"/>
        </w:rPr>
        <w:t>documento</w:t>
      </w:r>
      <w:r w:rsidR="003847D9" w:rsidRPr="00932F5A">
        <w:rPr>
          <w:lang w:val="es-ES_tradnl"/>
        </w:rPr>
        <w:t>).</w:t>
      </w:r>
      <w:r w:rsidR="00936784" w:rsidRPr="00932F5A">
        <w:rPr>
          <w:lang w:val="es-ES_tradnl"/>
        </w:rPr>
        <w:t xml:space="preserve"> </w:t>
      </w:r>
      <w:r w:rsidR="008C7805">
        <w:rPr>
          <w:lang w:val="es-ES_tradnl"/>
        </w:rPr>
        <w:t>Ello n</w:t>
      </w:r>
      <w:r w:rsidR="000B31FF">
        <w:rPr>
          <w:lang w:val="es-ES_tradnl"/>
        </w:rPr>
        <w:t>o obstante</w:t>
      </w:r>
      <w:r w:rsidR="003847D9" w:rsidRPr="00932F5A">
        <w:rPr>
          <w:lang w:val="es-ES_tradnl"/>
        </w:rPr>
        <w:t>,</w:t>
      </w:r>
      <w:r w:rsidR="00936784" w:rsidRPr="00932F5A">
        <w:rPr>
          <w:lang w:val="es-ES_tradnl"/>
        </w:rPr>
        <w:t xml:space="preserve"> </w:t>
      </w:r>
      <w:r w:rsidR="004F6944">
        <w:rPr>
          <w:lang w:val="es-ES_tradnl"/>
        </w:rPr>
        <w:t xml:space="preserve">cabe destacar que </w:t>
      </w:r>
      <w:r w:rsidR="00D352E8" w:rsidRPr="00932F5A">
        <w:rPr>
          <w:lang w:val="es-ES_tradnl"/>
        </w:rPr>
        <w:t>el</w:t>
      </w:r>
      <w:r w:rsidR="00936784" w:rsidRPr="00932F5A">
        <w:rPr>
          <w:lang w:val="es-ES_tradnl"/>
        </w:rPr>
        <w:t xml:space="preserve"> </w:t>
      </w:r>
      <w:r w:rsidR="00D352E8" w:rsidRPr="00932F5A">
        <w:rPr>
          <w:lang w:val="es-ES_tradnl"/>
        </w:rPr>
        <w:t>Comité</w:t>
      </w:r>
      <w:r w:rsidR="00936784" w:rsidRPr="00932F5A">
        <w:rPr>
          <w:lang w:val="es-ES_tradnl"/>
        </w:rPr>
        <w:t xml:space="preserve"> </w:t>
      </w:r>
      <w:r w:rsidR="003543D0" w:rsidRPr="00932F5A">
        <w:rPr>
          <w:lang w:val="es-ES_tradnl"/>
        </w:rPr>
        <w:t>Ejecutivo</w:t>
      </w:r>
      <w:r w:rsidR="00936784" w:rsidRPr="00932F5A">
        <w:rPr>
          <w:lang w:val="es-ES_tradnl"/>
        </w:rPr>
        <w:t xml:space="preserve"> </w:t>
      </w:r>
      <w:r w:rsidR="004E25E1">
        <w:rPr>
          <w:lang w:val="es-ES_tradnl"/>
        </w:rPr>
        <w:t xml:space="preserve">no ha </w:t>
      </w:r>
      <w:r w:rsidR="00FB26E9">
        <w:rPr>
          <w:lang w:val="es-ES_tradnl"/>
        </w:rPr>
        <w:t xml:space="preserve">llegado a </w:t>
      </w:r>
      <w:r w:rsidR="002D510E" w:rsidRPr="00932F5A">
        <w:rPr>
          <w:lang w:val="es-ES_tradnl"/>
        </w:rPr>
        <w:t>acuerdo</w:t>
      </w:r>
      <w:r w:rsidR="00936784" w:rsidRPr="00932F5A">
        <w:rPr>
          <w:lang w:val="es-ES_tradnl"/>
        </w:rPr>
        <w:t xml:space="preserve"> </w:t>
      </w:r>
      <w:r w:rsidR="00EC0B2D">
        <w:rPr>
          <w:lang w:val="es-ES_tradnl"/>
        </w:rPr>
        <w:t xml:space="preserve">sobre dichos </w:t>
      </w:r>
      <w:r w:rsidR="0046569F">
        <w:rPr>
          <w:lang w:val="es-ES_tradnl"/>
        </w:rPr>
        <w:t>aspectos transversales</w:t>
      </w:r>
      <w:r w:rsidR="003847D9" w:rsidRPr="00932F5A">
        <w:rPr>
          <w:lang w:val="es-ES_tradnl"/>
        </w:rPr>
        <w:t>.</w:t>
      </w:r>
    </w:p>
    <w:p w14:paraId="5CA29463" w14:textId="1A67EA09" w:rsidR="003847D9" w:rsidRPr="00932F5A" w:rsidRDefault="00762C85" w:rsidP="00DF3A22">
      <w:pPr>
        <w:pStyle w:val="Heading1"/>
        <w:rPr>
          <w:lang w:val="es-ES_tradnl"/>
        </w:rPr>
      </w:pPr>
      <w:r w:rsidRPr="00932F5A">
        <w:rPr>
          <w:lang w:val="es-ES_tradnl"/>
        </w:rPr>
        <w:t>Tomando</w:t>
      </w:r>
      <w:r w:rsidR="00936784" w:rsidRPr="00932F5A">
        <w:rPr>
          <w:lang w:val="es-ES_tradnl"/>
        </w:rPr>
        <w:t xml:space="preserve"> </w:t>
      </w:r>
      <w:r w:rsidRPr="00932F5A">
        <w:rPr>
          <w:lang w:val="es-ES_tradnl"/>
        </w:rPr>
        <w:t>nota</w:t>
      </w:r>
      <w:r w:rsidR="00936784" w:rsidRPr="00932F5A">
        <w:rPr>
          <w:lang w:val="es-ES_tradnl"/>
        </w:rPr>
        <w:t xml:space="preserve"> </w:t>
      </w:r>
      <w:r w:rsidRPr="00932F5A">
        <w:rPr>
          <w:lang w:val="es-ES_tradnl"/>
        </w:rPr>
        <w:t>de</w:t>
      </w:r>
      <w:r w:rsidR="00936784" w:rsidRPr="00932F5A">
        <w:rPr>
          <w:lang w:val="es-ES_tradnl"/>
        </w:rPr>
        <w:t xml:space="preserve"> </w:t>
      </w:r>
      <w:r w:rsidRPr="00932F5A">
        <w:rPr>
          <w:lang w:val="es-ES_tradnl"/>
        </w:rPr>
        <w:t>que</w:t>
      </w:r>
      <w:r w:rsidR="00936784" w:rsidRPr="00932F5A">
        <w:rPr>
          <w:lang w:val="es-ES_tradnl"/>
        </w:rPr>
        <w:t xml:space="preserve"> </w:t>
      </w:r>
      <w:r w:rsidR="00E44B1B">
        <w:rPr>
          <w:lang w:val="es-ES_tradnl"/>
        </w:rPr>
        <w:t>los aspectos</w:t>
      </w:r>
      <w:r w:rsidR="0046569F">
        <w:rPr>
          <w:lang w:val="es-ES_tradnl"/>
        </w:rPr>
        <w:t xml:space="preserve"> transversales</w:t>
      </w:r>
      <w:r w:rsidR="00936784" w:rsidRPr="00932F5A">
        <w:rPr>
          <w:lang w:val="es-ES_tradnl"/>
        </w:rPr>
        <w:t xml:space="preserve"> </w:t>
      </w:r>
      <w:r w:rsidR="00431A01">
        <w:rPr>
          <w:lang w:val="es-ES_tradnl"/>
        </w:rPr>
        <w:t xml:space="preserve">están </w:t>
      </w:r>
      <w:r w:rsidR="00184008">
        <w:rPr>
          <w:lang w:val="es-ES_tradnl"/>
        </w:rPr>
        <w:t xml:space="preserve">actualmente </w:t>
      </w:r>
      <w:r w:rsidR="009F583C">
        <w:rPr>
          <w:lang w:val="es-ES_tradnl"/>
        </w:rPr>
        <w:t>siendo aplicados</w:t>
      </w:r>
      <w:r w:rsidR="003847D9" w:rsidRPr="00932F5A">
        <w:rPr>
          <w:lang w:val="es-ES_tradnl"/>
        </w:rPr>
        <w:t>,</w:t>
      </w:r>
      <w:r w:rsidR="00936784" w:rsidRPr="00932F5A">
        <w:rPr>
          <w:lang w:val="es-ES_tradnl"/>
        </w:rPr>
        <w:t xml:space="preserve"> </w:t>
      </w:r>
      <w:r w:rsidR="00D352E8" w:rsidRPr="00932F5A">
        <w:rPr>
          <w:lang w:val="es-ES_tradnl"/>
        </w:rPr>
        <w:t>el</w:t>
      </w:r>
      <w:r w:rsidR="00936784" w:rsidRPr="00932F5A">
        <w:rPr>
          <w:lang w:val="es-ES_tradnl"/>
        </w:rPr>
        <w:t xml:space="preserve"> </w:t>
      </w:r>
      <w:r w:rsidR="00D352E8" w:rsidRPr="00932F5A">
        <w:rPr>
          <w:lang w:val="es-ES_tradnl"/>
        </w:rPr>
        <w:t>Comité</w:t>
      </w:r>
      <w:r w:rsidR="00936784" w:rsidRPr="00932F5A">
        <w:rPr>
          <w:lang w:val="es-ES_tradnl"/>
        </w:rPr>
        <w:t xml:space="preserve"> </w:t>
      </w:r>
      <w:r w:rsidR="003543D0" w:rsidRPr="00932F5A">
        <w:rPr>
          <w:lang w:val="es-ES_tradnl"/>
        </w:rPr>
        <w:t>Ejecutivo</w:t>
      </w:r>
      <w:r w:rsidR="00936784" w:rsidRPr="00932F5A">
        <w:rPr>
          <w:lang w:val="es-ES_tradnl"/>
        </w:rPr>
        <w:t xml:space="preserve"> </w:t>
      </w:r>
      <w:r w:rsidR="005E7D21" w:rsidRPr="00932F5A">
        <w:rPr>
          <w:lang w:val="es-ES_tradnl"/>
        </w:rPr>
        <w:t>podrá</w:t>
      </w:r>
      <w:r w:rsidR="00936784" w:rsidRPr="00932F5A">
        <w:rPr>
          <w:lang w:val="es-ES_tradnl"/>
        </w:rPr>
        <w:t xml:space="preserve"> estimar oportuno </w:t>
      </w:r>
      <w:r w:rsidR="00E5736C">
        <w:rPr>
          <w:lang w:val="es-ES_tradnl"/>
        </w:rPr>
        <w:t>considerar</w:t>
      </w:r>
      <w:r w:rsidR="00936784" w:rsidRPr="00932F5A">
        <w:rPr>
          <w:lang w:val="es-ES_tradnl"/>
        </w:rPr>
        <w:t xml:space="preserve"> </w:t>
      </w:r>
      <w:r w:rsidR="00A44171">
        <w:rPr>
          <w:lang w:val="es-ES_tradnl"/>
        </w:rPr>
        <w:t xml:space="preserve">la </w:t>
      </w:r>
      <w:r w:rsidR="00023B2C">
        <w:rPr>
          <w:lang w:val="es-ES_tradnl"/>
        </w:rPr>
        <w:t xml:space="preserve">posible </w:t>
      </w:r>
      <w:r w:rsidR="00633CA0">
        <w:rPr>
          <w:lang w:val="es-ES_tradnl"/>
        </w:rPr>
        <w:t>incorporación d</w:t>
      </w:r>
      <w:r w:rsidR="008C09B3">
        <w:rPr>
          <w:lang w:val="es-ES_tradnl"/>
        </w:rPr>
        <w:t>el texto</w:t>
      </w:r>
      <w:r w:rsidR="00936784" w:rsidRPr="00932F5A">
        <w:rPr>
          <w:lang w:val="es-ES_tradnl"/>
        </w:rPr>
        <w:t xml:space="preserve"> que figura en el Anexo </w:t>
      </w:r>
      <w:r w:rsidR="003847D9" w:rsidRPr="00932F5A">
        <w:rPr>
          <w:lang w:val="es-ES_tradnl"/>
        </w:rPr>
        <w:t>II</w:t>
      </w:r>
      <w:r w:rsidR="00936784" w:rsidRPr="00932F5A">
        <w:rPr>
          <w:lang w:val="es-ES_tradnl"/>
        </w:rPr>
        <w:t xml:space="preserve"> </w:t>
      </w:r>
      <w:r w:rsidR="00446670">
        <w:rPr>
          <w:lang w:val="es-ES_tradnl"/>
        </w:rPr>
        <w:t>a</w:t>
      </w:r>
      <w:r w:rsidR="00936784" w:rsidRPr="00932F5A">
        <w:rPr>
          <w:lang w:val="es-ES_tradnl"/>
        </w:rPr>
        <w:t xml:space="preserve"> </w:t>
      </w:r>
      <w:r w:rsidR="00C844E0">
        <w:rPr>
          <w:lang w:val="es-ES_tradnl"/>
        </w:rPr>
        <w:t>la plantilla</w:t>
      </w:r>
      <w:r w:rsidR="006D7387">
        <w:rPr>
          <w:lang w:val="es-ES_tradnl"/>
        </w:rPr>
        <w:t xml:space="preserve"> preliminar</w:t>
      </w:r>
      <w:r w:rsidR="00936784" w:rsidRPr="00932F5A">
        <w:rPr>
          <w:lang w:val="es-ES_tradnl"/>
        </w:rPr>
        <w:t xml:space="preserve"> </w:t>
      </w:r>
      <w:r w:rsidR="00EE72B1">
        <w:rPr>
          <w:lang w:val="es-ES_tradnl"/>
        </w:rPr>
        <w:t xml:space="preserve">sobre </w:t>
      </w:r>
      <w:r w:rsidR="00716BF9">
        <w:rPr>
          <w:lang w:val="es-ES_tradnl"/>
        </w:rPr>
        <w:t>parámetros del costo de reducir</w:t>
      </w:r>
      <w:r w:rsidR="00243AB6">
        <w:rPr>
          <w:lang w:val="es-ES_tradnl"/>
        </w:rPr>
        <w:t xml:space="preserve"> los HFC</w:t>
      </w:r>
      <w:r w:rsidR="00936784" w:rsidRPr="00932F5A">
        <w:rPr>
          <w:lang w:val="es-ES_tradnl"/>
        </w:rPr>
        <w:t xml:space="preserve"> que figura en el Anexo </w:t>
      </w:r>
      <w:r w:rsidR="003847D9" w:rsidRPr="00932F5A">
        <w:rPr>
          <w:lang w:val="es-ES_tradnl"/>
        </w:rPr>
        <w:t>I,</w:t>
      </w:r>
      <w:r w:rsidR="00936784" w:rsidRPr="00932F5A">
        <w:rPr>
          <w:lang w:val="es-ES_tradnl"/>
        </w:rPr>
        <w:t xml:space="preserve"> </w:t>
      </w:r>
      <w:r w:rsidR="003543D0" w:rsidRPr="00932F5A">
        <w:rPr>
          <w:lang w:val="es-ES_tradnl"/>
        </w:rPr>
        <w:t>o</w:t>
      </w:r>
      <w:r w:rsidR="00936784" w:rsidRPr="00932F5A">
        <w:rPr>
          <w:lang w:val="es-ES_tradnl"/>
        </w:rPr>
        <w:t xml:space="preserve"> </w:t>
      </w:r>
      <w:r w:rsidR="000A2408">
        <w:rPr>
          <w:lang w:val="es-ES_tradnl"/>
        </w:rPr>
        <w:t xml:space="preserve">bien </w:t>
      </w:r>
      <w:r w:rsidR="00E03C6A">
        <w:rPr>
          <w:lang w:val="es-ES_tradnl"/>
        </w:rPr>
        <w:lastRenderedPageBreak/>
        <w:t xml:space="preserve">diferir la </w:t>
      </w:r>
      <w:r w:rsidR="00A66CB0" w:rsidRPr="00932F5A">
        <w:rPr>
          <w:lang w:val="es-ES_tradnl"/>
        </w:rPr>
        <w:t>discusión</w:t>
      </w:r>
      <w:r w:rsidR="00936784" w:rsidRPr="00932F5A">
        <w:rPr>
          <w:lang w:val="es-ES_tradnl"/>
        </w:rPr>
        <w:t xml:space="preserve"> </w:t>
      </w:r>
      <w:r w:rsidR="006421C0">
        <w:rPr>
          <w:lang w:val="es-ES_tradnl"/>
        </w:rPr>
        <w:t>de</w:t>
      </w:r>
      <w:r w:rsidR="009D169A">
        <w:rPr>
          <w:lang w:val="es-ES_tradnl"/>
        </w:rPr>
        <w:t xml:space="preserve"> dichos </w:t>
      </w:r>
      <w:r w:rsidR="008B2E22" w:rsidRPr="00932F5A">
        <w:rPr>
          <w:lang w:val="es-ES_tradnl"/>
        </w:rPr>
        <w:t>aspecto</w:t>
      </w:r>
      <w:r w:rsidR="003847D9" w:rsidRPr="00932F5A">
        <w:rPr>
          <w:lang w:val="es-ES_tradnl"/>
        </w:rPr>
        <w:t>s</w:t>
      </w:r>
      <w:r w:rsidR="00936784" w:rsidRPr="00932F5A">
        <w:rPr>
          <w:lang w:val="es-ES_tradnl"/>
        </w:rPr>
        <w:t xml:space="preserve"> </w:t>
      </w:r>
      <w:r w:rsidR="00272BB5" w:rsidRPr="00932F5A">
        <w:rPr>
          <w:lang w:val="es-ES_tradnl"/>
        </w:rPr>
        <w:t>hasta</w:t>
      </w:r>
      <w:r w:rsidR="00936784" w:rsidRPr="00932F5A">
        <w:rPr>
          <w:lang w:val="es-ES_tradnl"/>
        </w:rPr>
        <w:t xml:space="preserve"> </w:t>
      </w:r>
      <w:r w:rsidR="00E6095C">
        <w:rPr>
          <w:lang w:val="es-ES_tradnl"/>
        </w:rPr>
        <w:t>que</w:t>
      </w:r>
      <w:r w:rsidR="00AB17B0">
        <w:rPr>
          <w:lang w:val="es-ES_tradnl"/>
        </w:rPr>
        <w:t xml:space="preserve"> se convengan </w:t>
      </w:r>
      <w:r w:rsidR="00A718E6">
        <w:rPr>
          <w:lang w:val="es-ES_tradnl"/>
        </w:rPr>
        <w:t xml:space="preserve">otros </w:t>
      </w:r>
      <w:r w:rsidR="00BA0B5E">
        <w:rPr>
          <w:lang w:val="es-ES_tradnl"/>
        </w:rPr>
        <w:t>elementos de los parámetros</w:t>
      </w:r>
      <w:r w:rsidR="00936784" w:rsidRPr="00932F5A">
        <w:rPr>
          <w:lang w:val="es-ES_tradnl"/>
        </w:rPr>
        <w:t xml:space="preserve"> </w:t>
      </w:r>
      <w:r w:rsidR="00EB43C3" w:rsidRPr="00932F5A">
        <w:rPr>
          <w:lang w:val="es-ES_tradnl"/>
        </w:rPr>
        <w:t>de</w:t>
      </w:r>
      <w:r w:rsidR="00936784" w:rsidRPr="00932F5A">
        <w:rPr>
          <w:lang w:val="es-ES_tradnl"/>
        </w:rPr>
        <w:t xml:space="preserve"> </w:t>
      </w:r>
      <w:r w:rsidR="00EB43C3" w:rsidRPr="00932F5A">
        <w:rPr>
          <w:lang w:val="es-ES_tradnl"/>
        </w:rPr>
        <w:t>costos</w:t>
      </w:r>
      <w:r w:rsidR="003847D9" w:rsidRPr="00932F5A">
        <w:rPr>
          <w:lang w:val="es-ES_tradnl"/>
        </w:rPr>
        <w:t>.</w:t>
      </w:r>
    </w:p>
    <w:p w14:paraId="642375E6" w14:textId="12D4EB18" w:rsidR="003847D9" w:rsidRPr="00932F5A" w:rsidRDefault="003543D0" w:rsidP="00C87FAF">
      <w:pPr>
        <w:keepNext/>
        <w:tabs>
          <w:tab w:val="left" w:pos="8280"/>
        </w:tabs>
        <w:rPr>
          <w:u w:val="single"/>
          <w:lang w:val="es-ES_tradnl"/>
        </w:rPr>
      </w:pPr>
      <w:r w:rsidRPr="00932F5A">
        <w:rPr>
          <w:u w:val="single"/>
          <w:lang w:val="es-ES_tradnl"/>
        </w:rPr>
        <w:t>Recomendación</w:t>
      </w:r>
    </w:p>
    <w:p w14:paraId="3F6EF3E3" w14:textId="77777777" w:rsidR="00DF3A22" w:rsidRPr="00932F5A" w:rsidRDefault="00DF3A22" w:rsidP="00C87FAF">
      <w:pPr>
        <w:keepNext/>
        <w:tabs>
          <w:tab w:val="left" w:pos="8280"/>
        </w:tabs>
        <w:rPr>
          <w:lang w:val="es-ES_tradnl"/>
        </w:rPr>
      </w:pPr>
    </w:p>
    <w:p w14:paraId="1E8F248F" w14:textId="50542B37" w:rsidR="003847D9" w:rsidRPr="00932F5A" w:rsidRDefault="00D352E8" w:rsidP="00DF3A22">
      <w:pPr>
        <w:pStyle w:val="Heading1"/>
        <w:rPr>
          <w:lang w:val="es-ES_tradnl"/>
        </w:rPr>
      </w:pPr>
      <w:r w:rsidRPr="00932F5A">
        <w:rPr>
          <w:lang w:val="es-ES_tradnl"/>
        </w:rPr>
        <w:t>El</w:t>
      </w:r>
      <w:r w:rsidR="00936784" w:rsidRPr="00932F5A">
        <w:rPr>
          <w:lang w:val="es-ES_tradnl"/>
        </w:rPr>
        <w:t xml:space="preserve"> </w:t>
      </w:r>
      <w:r w:rsidRPr="00932F5A">
        <w:rPr>
          <w:lang w:val="es-ES_tradnl"/>
        </w:rPr>
        <w:t>Comité</w:t>
      </w:r>
      <w:r w:rsidR="00936784" w:rsidRPr="00932F5A">
        <w:rPr>
          <w:lang w:val="es-ES_tradnl"/>
        </w:rPr>
        <w:t xml:space="preserve"> </w:t>
      </w:r>
      <w:r w:rsidR="005F1C91" w:rsidRPr="00932F5A">
        <w:rPr>
          <w:lang w:val="es-ES_tradnl"/>
        </w:rPr>
        <w:t>Ejecutivo</w:t>
      </w:r>
      <w:r w:rsidR="00936784" w:rsidRPr="00932F5A">
        <w:rPr>
          <w:lang w:val="es-ES_tradnl"/>
        </w:rPr>
        <w:t xml:space="preserve"> </w:t>
      </w:r>
      <w:r w:rsidR="005F1C91" w:rsidRPr="00932F5A">
        <w:rPr>
          <w:lang w:val="es-ES_tradnl"/>
        </w:rPr>
        <w:t>podrá</w:t>
      </w:r>
      <w:r w:rsidR="00936784" w:rsidRPr="00932F5A">
        <w:rPr>
          <w:lang w:val="es-ES_tradnl"/>
        </w:rPr>
        <w:t xml:space="preserve"> </w:t>
      </w:r>
      <w:r w:rsidR="005F1C91" w:rsidRPr="00932F5A">
        <w:rPr>
          <w:lang w:val="es-ES_tradnl"/>
        </w:rPr>
        <w:t>estimar</w:t>
      </w:r>
      <w:r w:rsidR="00936784" w:rsidRPr="00932F5A">
        <w:rPr>
          <w:lang w:val="es-ES_tradnl"/>
        </w:rPr>
        <w:t xml:space="preserve"> </w:t>
      </w:r>
      <w:r w:rsidR="005F1C91" w:rsidRPr="00932F5A">
        <w:rPr>
          <w:lang w:val="es-ES_tradnl"/>
        </w:rPr>
        <w:t>oportuno</w:t>
      </w:r>
      <w:r w:rsidR="003847D9" w:rsidRPr="00932F5A">
        <w:rPr>
          <w:lang w:val="es-ES_tradnl"/>
        </w:rPr>
        <w:t>:</w:t>
      </w:r>
    </w:p>
    <w:p w14:paraId="0E112B56" w14:textId="654FE31D" w:rsidR="00FF6784" w:rsidRPr="00932F5A" w:rsidRDefault="00592E63" w:rsidP="007E5E11">
      <w:pPr>
        <w:pStyle w:val="Heading2"/>
        <w:numPr>
          <w:ilvl w:val="1"/>
          <w:numId w:val="33"/>
        </w:numPr>
        <w:ind w:left="1417" w:hanging="708"/>
        <w:rPr>
          <w:lang w:val="es-ES_tradnl"/>
        </w:rPr>
      </w:pPr>
      <w:r w:rsidRPr="00932F5A">
        <w:rPr>
          <w:lang w:val="es-ES_tradnl"/>
        </w:rPr>
        <w:t>Tomar nota de</w:t>
      </w:r>
      <w:r w:rsidR="00040E32">
        <w:rPr>
          <w:lang w:val="es-ES_tradnl"/>
        </w:rPr>
        <w:t>l</w:t>
      </w:r>
      <w:r w:rsidR="00936784" w:rsidRPr="00932F5A">
        <w:rPr>
          <w:lang w:val="es-ES_tradnl"/>
        </w:rPr>
        <w:t xml:space="preserve"> </w:t>
      </w:r>
      <w:r w:rsidR="00AF58F4">
        <w:rPr>
          <w:lang w:val="es-ES_tradnl"/>
        </w:rPr>
        <w:t xml:space="preserve">presente </w:t>
      </w:r>
      <w:r w:rsidR="00FF6784" w:rsidRPr="00932F5A">
        <w:rPr>
          <w:lang w:val="es-ES_tradnl"/>
        </w:rPr>
        <w:t>documento</w:t>
      </w:r>
      <w:r w:rsidR="00936784" w:rsidRPr="00932F5A">
        <w:rPr>
          <w:lang w:val="es-ES_tradnl"/>
        </w:rPr>
        <w:t xml:space="preserve"> </w:t>
      </w:r>
      <w:r w:rsidR="00EA4DA0" w:rsidRPr="00932F5A">
        <w:rPr>
          <w:lang w:val="es-ES_tradnl"/>
        </w:rPr>
        <w:t>UNEP/OzL.Pro</w:t>
      </w:r>
      <w:r w:rsidR="003847D9" w:rsidRPr="00932F5A">
        <w:rPr>
          <w:lang w:val="es-ES_tradnl"/>
        </w:rPr>
        <w:t>/ExCom/</w:t>
      </w:r>
      <w:r w:rsidR="00834009" w:rsidRPr="00932F5A">
        <w:rPr>
          <w:lang w:val="es-ES_tradnl"/>
        </w:rPr>
        <w:t>83/43</w:t>
      </w:r>
      <w:r w:rsidR="00936784" w:rsidRPr="00932F5A">
        <w:rPr>
          <w:lang w:val="es-ES_tradnl"/>
        </w:rPr>
        <w:t xml:space="preserve"> </w:t>
      </w:r>
      <w:r w:rsidR="0009185C">
        <w:rPr>
          <w:lang w:val="es-ES_tradnl"/>
        </w:rPr>
        <w:t xml:space="preserve">sobre </w:t>
      </w:r>
      <w:r w:rsidR="00913A15">
        <w:rPr>
          <w:lang w:val="es-ES_tradnl"/>
        </w:rPr>
        <w:t xml:space="preserve">elaboración de </w:t>
      </w:r>
      <w:r w:rsidR="00A066D8">
        <w:rPr>
          <w:lang w:val="es-ES_tradnl"/>
        </w:rPr>
        <w:t xml:space="preserve">directrices </w:t>
      </w:r>
      <w:r w:rsidR="00EB43C3" w:rsidRPr="00932F5A">
        <w:rPr>
          <w:lang w:val="es-ES_tradnl"/>
        </w:rPr>
        <w:t>de</w:t>
      </w:r>
      <w:r w:rsidR="00936784" w:rsidRPr="00932F5A">
        <w:rPr>
          <w:lang w:val="es-ES_tradnl"/>
        </w:rPr>
        <w:t xml:space="preserve"> </w:t>
      </w:r>
      <w:r w:rsidR="00EB43C3" w:rsidRPr="00932F5A">
        <w:rPr>
          <w:lang w:val="es-ES_tradnl"/>
        </w:rPr>
        <w:t>costos</w:t>
      </w:r>
      <w:r w:rsidR="00936784" w:rsidRPr="00932F5A">
        <w:rPr>
          <w:lang w:val="es-ES_tradnl"/>
        </w:rPr>
        <w:t xml:space="preserve"> </w:t>
      </w:r>
      <w:r w:rsidR="00A66CB0" w:rsidRPr="00932F5A">
        <w:rPr>
          <w:lang w:val="es-ES_tradnl"/>
        </w:rPr>
        <w:t>para</w:t>
      </w:r>
      <w:r w:rsidR="00936784" w:rsidRPr="00932F5A">
        <w:rPr>
          <w:lang w:val="es-ES_tradnl"/>
        </w:rPr>
        <w:t xml:space="preserve"> </w:t>
      </w:r>
      <w:r w:rsidR="00A66CB0" w:rsidRPr="00932F5A">
        <w:rPr>
          <w:lang w:val="es-ES_tradnl"/>
        </w:rPr>
        <w:t>la</w:t>
      </w:r>
      <w:r w:rsidR="00936784" w:rsidRPr="00932F5A">
        <w:rPr>
          <w:lang w:val="es-ES_tradnl"/>
        </w:rPr>
        <w:t xml:space="preserve"> </w:t>
      </w:r>
      <w:r w:rsidR="00A66CB0" w:rsidRPr="00932F5A">
        <w:rPr>
          <w:lang w:val="es-ES_tradnl"/>
        </w:rPr>
        <w:t>reducción</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A66CB0" w:rsidRPr="00932F5A">
        <w:rPr>
          <w:lang w:val="es-ES_tradnl"/>
        </w:rPr>
        <w:t>HFC</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5F1C91" w:rsidRPr="00932F5A">
        <w:rPr>
          <w:lang w:val="es-ES_tradnl"/>
        </w:rPr>
        <w:t>países</w:t>
      </w:r>
      <w:r w:rsidR="00936784" w:rsidRPr="00932F5A">
        <w:rPr>
          <w:lang w:val="es-ES_tradnl"/>
        </w:rPr>
        <w:t xml:space="preserve"> </w:t>
      </w:r>
      <w:r w:rsidR="005F1C91" w:rsidRPr="00932F5A">
        <w:rPr>
          <w:lang w:val="es-ES_tradnl"/>
        </w:rPr>
        <w:t>del</w:t>
      </w:r>
      <w:r w:rsidR="00936784" w:rsidRPr="00932F5A">
        <w:rPr>
          <w:lang w:val="es-ES_tradnl"/>
        </w:rPr>
        <w:t xml:space="preserve"> </w:t>
      </w:r>
      <w:r w:rsidR="005F1C91" w:rsidRPr="00932F5A">
        <w:rPr>
          <w:lang w:val="es-ES_tradnl"/>
        </w:rPr>
        <w:t>artículo</w:t>
      </w:r>
      <w:r w:rsidR="00936784" w:rsidRPr="00932F5A">
        <w:rPr>
          <w:lang w:val="es-ES_tradnl"/>
        </w:rPr>
        <w:t xml:space="preserve"> </w:t>
      </w:r>
      <w:r w:rsidR="005F1C91" w:rsidRPr="00932F5A">
        <w:rPr>
          <w:lang w:val="es-ES_tradnl"/>
        </w:rPr>
        <w:t>5</w:t>
      </w:r>
      <w:r w:rsidR="00834009" w:rsidRPr="00932F5A">
        <w:rPr>
          <w:lang w:val="es-ES_tradnl"/>
        </w:rPr>
        <w:t>:</w:t>
      </w:r>
      <w:r w:rsidR="00936784" w:rsidRPr="00932F5A">
        <w:rPr>
          <w:lang w:val="es-ES_tradnl"/>
        </w:rPr>
        <w:t xml:space="preserve"> </w:t>
      </w:r>
      <w:r w:rsidR="00197A00" w:rsidRPr="00932F5A">
        <w:rPr>
          <w:lang w:val="es-ES_tradnl"/>
        </w:rPr>
        <w:t>Propuesta</w:t>
      </w:r>
      <w:r w:rsidR="00936784" w:rsidRPr="00932F5A">
        <w:rPr>
          <w:lang w:val="es-ES_tradnl"/>
        </w:rPr>
        <w:t xml:space="preserve"> </w:t>
      </w:r>
      <w:r w:rsidR="00197A00" w:rsidRPr="00932F5A">
        <w:rPr>
          <w:lang w:val="es-ES_tradnl"/>
        </w:rPr>
        <w:t>de</w:t>
      </w:r>
      <w:r w:rsidR="00936784" w:rsidRPr="00932F5A">
        <w:rPr>
          <w:lang w:val="es-ES_tradnl"/>
        </w:rPr>
        <w:t xml:space="preserve"> </w:t>
      </w:r>
      <w:r w:rsidR="00197A00" w:rsidRPr="00932F5A">
        <w:rPr>
          <w:lang w:val="es-ES_tradnl"/>
        </w:rPr>
        <w:t>criterios</w:t>
      </w:r>
      <w:r w:rsidR="00936784" w:rsidRPr="00932F5A">
        <w:rPr>
          <w:lang w:val="es-ES_tradnl"/>
        </w:rPr>
        <w:t xml:space="preserve"> </w:t>
      </w:r>
      <w:r w:rsidR="00561BEE">
        <w:rPr>
          <w:lang w:val="es-ES_tradnl"/>
        </w:rPr>
        <w:t>de</w:t>
      </w:r>
      <w:r w:rsidR="00936784" w:rsidRPr="00932F5A">
        <w:rPr>
          <w:lang w:val="es-ES_tradnl"/>
        </w:rPr>
        <w:t xml:space="preserve"> </w:t>
      </w:r>
      <w:r w:rsidR="003543D0" w:rsidRPr="00932F5A">
        <w:rPr>
          <w:lang w:val="es-ES_tradnl"/>
        </w:rPr>
        <w:t>financiamiento</w:t>
      </w:r>
      <w:r w:rsidR="003847D9" w:rsidRPr="00932F5A">
        <w:rPr>
          <w:lang w:val="es-ES_tradnl"/>
        </w:rPr>
        <w:t>;</w:t>
      </w:r>
    </w:p>
    <w:p w14:paraId="0F354A36" w14:textId="112F8DA7" w:rsidR="003847D9" w:rsidRPr="00932F5A" w:rsidRDefault="002B12F4" w:rsidP="007E5E11">
      <w:pPr>
        <w:pStyle w:val="Heading2"/>
        <w:keepNext/>
        <w:keepLines/>
        <w:numPr>
          <w:ilvl w:val="1"/>
          <w:numId w:val="33"/>
        </w:numPr>
        <w:ind w:left="1417" w:hanging="708"/>
        <w:rPr>
          <w:lang w:val="es-ES_tradnl"/>
        </w:rPr>
      </w:pPr>
      <w:r>
        <w:rPr>
          <w:lang w:val="es-ES_tradnl"/>
        </w:rPr>
        <w:t xml:space="preserve">Al </w:t>
      </w:r>
      <w:r w:rsidR="00471626">
        <w:rPr>
          <w:lang w:val="es-ES_tradnl"/>
        </w:rPr>
        <w:t>reanudar</w:t>
      </w:r>
      <w:r w:rsidR="00936784" w:rsidRPr="00932F5A">
        <w:rPr>
          <w:lang w:val="es-ES_tradnl"/>
        </w:rPr>
        <w:t xml:space="preserve"> </w:t>
      </w:r>
      <w:r w:rsidR="00CF4924">
        <w:rPr>
          <w:lang w:val="es-ES_tradnl"/>
        </w:rPr>
        <w:t>las</w:t>
      </w:r>
      <w:r w:rsidR="00A35D1B">
        <w:rPr>
          <w:lang w:val="es-ES_tradnl"/>
        </w:rPr>
        <w:t xml:space="preserve"> deliberaciones</w:t>
      </w:r>
      <w:r w:rsidR="00936784" w:rsidRPr="00932F5A">
        <w:rPr>
          <w:lang w:val="es-ES_tradnl"/>
        </w:rPr>
        <w:t xml:space="preserve"> </w:t>
      </w:r>
      <w:r w:rsidR="00D04361">
        <w:rPr>
          <w:lang w:val="es-ES_tradnl"/>
        </w:rPr>
        <w:t xml:space="preserve">sobre </w:t>
      </w:r>
      <w:r w:rsidR="005455D8">
        <w:rPr>
          <w:lang w:val="es-ES_tradnl"/>
        </w:rPr>
        <w:t xml:space="preserve">los </w:t>
      </w:r>
      <w:r w:rsidR="00716BF9">
        <w:rPr>
          <w:lang w:val="es-ES_tradnl"/>
        </w:rPr>
        <w:t>parámetros del costo de reducir</w:t>
      </w:r>
      <w:r w:rsidR="00C8517F">
        <w:rPr>
          <w:lang w:val="es-ES_tradnl"/>
        </w:rPr>
        <w:t xml:space="preserve"> los HFC</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5F1C91" w:rsidRPr="00932F5A">
        <w:rPr>
          <w:lang w:val="es-ES_tradnl"/>
        </w:rPr>
        <w:t>países</w:t>
      </w:r>
      <w:r w:rsidR="00936784" w:rsidRPr="00932F5A">
        <w:rPr>
          <w:lang w:val="es-ES_tradnl"/>
        </w:rPr>
        <w:t xml:space="preserve"> </w:t>
      </w:r>
      <w:r w:rsidR="005F1C91" w:rsidRPr="00932F5A">
        <w:rPr>
          <w:lang w:val="es-ES_tradnl"/>
        </w:rPr>
        <w:t>del</w:t>
      </w:r>
      <w:r w:rsidR="00936784" w:rsidRPr="00932F5A">
        <w:rPr>
          <w:lang w:val="es-ES_tradnl"/>
        </w:rPr>
        <w:t xml:space="preserve"> </w:t>
      </w:r>
      <w:r w:rsidR="005F1C91" w:rsidRPr="00932F5A">
        <w:rPr>
          <w:lang w:val="es-ES_tradnl"/>
        </w:rPr>
        <w:t>artículo</w:t>
      </w:r>
      <w:r w:rsidR="00936784" w:rsidRPr="00932F5A">
        <w:rPr>
          <w:lang w:val="es-ES_tradnl"/>
        </w:rPr>
        <w:t xml:space="preserve"> </w:t>
      </w:r>
      <w:r w:rsidR="005F1C91" w:rsidRPr="00932F5A">
        <w:rPr>
          <w:lang w:val="es-ES_tradnl"/>
        </w:rPr>
        <w:t>5</w:t>
      </w:r>
      <w:r w:rsidR="003847D9" w:rsidRPr="00932F5A">
        <w:rPr>
          <w:lang w:val="es-ES_tradnl"/>
        </w:rPr>
        <w:t>:</w:t>
      </w:r>
    </w:p>
    <w:p w14:paraId="0A6CC42D" w14:textId="6F22FFF1" w:rsidR="003847D9" w:rsidRPr="00932F5A" w:rsidRDefault="00B62300" w:rsidP="00F560C3">
      <w:pPr>
        <w:tabs>
          <w:tab w:val="left" w:pos="8280"/>
        </w:tabs>
        <w:ind w:left="720"/>
        <w:rPr>
          <w:u w:val="single"/>
          <w:lang w:val="es-ES_tradnl"/>
        </w:rPr>
      </w:pPr>
      <w:r>
        <w:rPr>
          <w:u w:val="single"/>
          <w:lang w:val="es-ES_tradnl"/>
        </w:rPr>
        <w:t xml:space="preserve">Respecto de </w:t>
      </w:r>
      <w:r w:rsidR="00EB43C3" w:rsidRPr="00932F5A">
        <w:rPr>
          <w:u w:val="single"/>
          <w:lang w:val="es-ES_tradnl"/>
        </w:rPr>
        <w:t>reducciones</w:t>
      </w:r>
      <w:r w:rsidR="00936784" w:rsidRPr="00932F5A">
        <w:rPr>
          <w:u w:val="single"/>
          <w:lang w:val="es-ES_tradnl"/>
        </w:rPr>
        <w:t xml:space="preserve"> </w:t>
      </w:r>
      <w:r w:rsidR="00EB43C3" w:rsidRPr="00932F5A">
        <w:rPr>
          <w:u w:val="single"/>
          <w:lang w:val="es-ES_tradnl"/>
        </w:rPr>
        <w:t>acumulativas</w:t>
      </w:r>
      <w:r w:rsidR="00936784" w:rsidRPr="00932F5A">
        <w:rPr>
          <w:u w:val="single"/>
          <w:lang w:val="es-ES_tradnl"/>
        </w:rPr>
        <w:t xml:space="preserve"> </w:t>
      </w:r>
      <w:r w:rsidR="00EB43C3" w:rsidRPr="00932F5A">
        <w:rPr>
          <w:u w:val="single"/>
          <w:lang w:val="es-ES_tradnl"/>
        </w:rPr>
        <w:t>sostenidas</w:t>
      </w:r>
      <w:r w:rsidR="00936784" w:rsidRPr="00932F5A">
        <w:rPr>
          <w:u w:val="single"/>
          <w:lang w:val="es-ES_tradnl"/>
        </w:rPr>
        <w:t xml:space="preserve"> </w:t>
      </w:r>
      <w:r w:rsidR="00EB43C3" w:rsidRPr="00932F5A">
        <w:rPr>
          <w:u w:val="single"/>
          <w:lang w:val="es-ES_tradnl"/>
        </w:rPr>
        <w:t>en</w:t>
      </w:r>
      <w:r w:rsidR="00936784" w:rsidRPr="00932F5A">
        <w:rPr>
          <w:u w:val="single"/>
          <w:lang w:val="es-ES_tradnl"/>
        </w:rPr>
        <w:t xml:space="preserve"> </w:t>
      </w:r>
      <w:r w:rsidR="00EB43C3" w:rsidRPr="00932F5A">
        <w:rPr>
          <w:u w:val="single"/>
          <w:lang w:val="es-ES_tradnl"/>
        </w:rPr>
        <w:t>el</w:t>
      </w:r>
      <w:r w:rsidR="00936784" w:rsidRPr="00932F5A">
        <w:rPr>
          <w:u w:val="single"/>
          <w:lang w:val="es-ES_tradnl"/>
        </w:rPr>
        <w:t xml:space="preserve"> </w:t>
      </w:r>
      <w:r w:rsidR="00EB43C3" w:rsidRPr="00932F5A">
        <w:rPr>
          <w:u w:val="single"/>
          <w:lang w:val="es-ES_tradnl"/>
        </w:rPr>
        <w:t>consumo</w:t>
      </w:r>
      <w:r w:rsidR="00936784" w:rsidRPr="00932F5A">
        <w:rPr>
          <w:u w:val="single"/>
          <w:lang w:val="es-ES_tradnl"/>
        </w:rPr>
        <w:t xml:space="preserve"> </w:t>
      </w:r>
      <w:r w:rsidR="00A66CB0" w:rsidRPr="00932F5A">
        <w:rPr>
          <w:u w:val="single"/>
          <w:lang w:val="es-ES_tradnl"/>
        </w:rPr>
        <w:t>y</w:t>
      </w:r>
      <w:r w:rsidR="00936784" w:rsidRPr="00932F5A">
        <w:rPr>
          <w:u w:val="single"/>
          <w:lang w:val="es-ES_tradnl"/>
        </w:rPr>
        <w:t xml:space="preserve"> </w:t>
      </w:r>
      <w:r w:rsidR="00A66CB0" w:rsidRPr="00932F5A">
        <w:rPr>
          <w:u w:val="single"/>
          <w:lang w:val="es-ES_tradnl"/>
        </w:rPr>
        <w:t>producción</w:t>
      </w:r>
      <w:r w:rsidR="00936784" w:rsidRPr="00932F5A">
        <w:rPr>
          <w:u w:val="single"/>
          <w:lang w:val="es-ES_tradnl"/>
        </w:rPr>
        <w:t xml:space="preserve"> </w:t>
      </w:r>
      <w:r w:rsidR="00A66CB0" w:rsidRPr="00932F5A">
        <w:rPr>
          <w:u w:val="single"/>
          <w:lang w:val="es-ES_tradnl"/>
        </w:rPr>
        <w:t>de</w:t>
      </w:r>
      <w:r w:rsidR="00936784" w:rsidRPr="00932F5A">
        <w:rPr>
          <w:u w:val="single"/>
          <w:lang w:val="es-ES_tradnl"/>
        </w:rPr>
        <w:t xml:space="preserve"> </w:t>
      </w:r>
      <w:r w:rsidR="00A66CB0" w:rsidRPr="00932F5A">
        <w:rPr>
          <w:u w:val="single"/>
          <w:lang w:val="es-ES_tradnl"/>
        </w:rPr>
        <w:t>HFC</w:t>
      </w:r>
    </w:p>
    <w:p w14:paraId="09AE9B90" w14:textId="77777777" w:rsidR="00F560C3" w:rsidRPr="00932F5A" w:rsidRDefault="00F560C3" w:rsidP="00F560C3">
      <w:pPr>
        <w:tabs>
          <w:tab w:val="left" w:pos="8280"/>
        </w:tabs>
        <w:ind w:left="720"/>
        <w:rPr>
          <w:u w:val="single"/>
          <w:lang w:val="es-ES_tradnl"/>
        </w:rPr>
      </w:pPr>
    </w:p>
    <w:p w14:paraId="0A92930C" w14:textId="71E91F07" w:rsidR="003847D9" w:rsidRPr="00932F5A" w:rsidRDefault="00431F01" w:rsidP="007E5E11">
      <w:pPr>
        <w:pStyle w:val="Heading3"/>
        <w:rPr>
          <w:lang w:val="es-ES_tradnl"/>
        </w:rPr>
      </w:pPr>
      <w:r>
        <w:rPr>
          <w:lang w:val="es-ES_tradnl"/>
        </w:rPr>
        <w:t>Considerar</w:t>
      </w:r>
      <w:r w:rsidR="00936784" w:rsidRPr="00932F5A">
        <w:rPr>
          <w:lang w:val="es-ES_tradnl"/>
        </w:rPr>
        <w:t xml:space="preserve"> </w:t>
      </w:r>
      <w:r w:rsidR="00C435BA">
        <w:rPr>
          <w:lang w:val="es-ES_tradnl"/>
        </w:rPr>
        <w:t xml:space="preserve">las </w:t>
      </w:r>
      <w:r w:rsidR="00EA4DA0" w:rsidRPr="00932F5A">
        <w:rPr>
          <w:lang w:val="es-ES_tradnl"/>
        </w:rPr>
        <w:t>propuesta</w:t>
      </w:r>
      <w:r w:rsidR="003847D9" w:rsidRPr="00932F5A">
        <w:rPr>
          <w:lang w:val="es-ES_tradnl"/>
        </w:rPr>
        <w:t>s</w:t>
      </w:r>
      <w:r w:rsidR="00936784" w:rsidRPr="00932F5A">
        <w:rPr>
          <w:lang w:val="es-ES_tradnl"/>
        </w:rPr>
        <w:t xml:space="preserve"> </w:t>
      </w:r>
      <w:r w:rsidR="004F251C">
        <w:rPr>
          <w:lang w:val="es-ES_tradnl"/>
        </w:rPr>
        <w:t xml:space="preserve">específicas de </w:t>
      </w:r>
      <w:r w:rsidR="00770888">
        <w:rPr>
          <w:lang w:val="es-ES_tradnl"/>
        </w:rPr>
        <w:t xml:space="preserve">los </w:t>
      </w:r>
      <w:r w:rsidR="00FC360E" w:rsidRPr="00932F5A">
        <w:rPr>
          <w:lang w:val="es-ES_tradnl"/>
        </w:rPr>
        <w:t>miembros</w:t>
      </w:r>
      <w:r w:rsidR="00FC360E">
        <w:rPr>
          <w:lang w:val="es-ES_tradnl"/>
        </w:rPr>
        <w:t xml:space="preserve"> </w:t>
      </w:r>
      <w:r w:rsidR="00EB43C3" w:rsidRPr="00932F5A">
        <w:rPr>
          <w:lang w:val="es-ES_tradnl"/>
        </w:rPr>
        <w:t>del</w:t>
      </w:r>
      <w:r w:rsidR="00936784" w:rsidRPr="00932F5A">
        <w:rPr>
          <w:lang w:val="es-ES_tradnl"/>
        </w:rPr>
        <w:t xml:space="preserve"> </w:t>
      </w:r>
      <w:r w:rsidR="00EB43C3" w:rsidRPr="00932F5A">
        <w:rPr>
          <w:lang w:val="es-ES_tradnl"/>
        </w:rPr>
        <w:t>Comité</w:t>
      </w:r>
      <w:r w:rsidR="00936784" w:rsidRPr="00932F5A">
        <w:rPr>
          <w:lang w:val="es-ES_tradnl"/>
        </w:rPr>
        <w:t xml:space="preserve"> </w:t>
      </w:r>
      <w:r w:rsidR="000040A0">
        <w:rPr>
          <w:lang w:val="es-ES_tradnl"/>
        </w:rPr>
        <w:t xml:space="preserve">en cuanto a una </w:t>
      </w:r>
      <w:r w:rsidR="00DE05ED">
        <w:rPr>
          <w:lang w:val="es-ES_tradnl"/>
        </w:rPr>
        <w:t>metodología para fijar el punto</w:t>
      </w:r>
      <w:r w:rsidR="007F5E41">
        <w:rPr>
          <w:lang w:val="es-ES_tradnl"/>
        </w:rPr>
        <w:t xml:space="preserve"> de partida de las reducciones acumulativas</w:t>
      </w:r>
      <w:r w:rsidR="00936784" w:rsidRPr="00932F5A">
        <w:rPr>
          <w:lang w:val="es-ES_tradnl"/>
        </w:rPr>
        <w:t xml:space="preserve"> </w:t>
      </w:r>
      <w:r w:rsidR="003543D0" w:rsidRPr="00932F5A">
        <w:rPr>
          <w:lang w:val="es-ES_tradnl"/>
        </w:rPr>
        <w:t>sostenidas</w:t>
      </w:r>
      <w:r w:rsidR="00936784" w:rsidRPr="00932F5A">
        <w:rPr>
          <w:lang w:val="es-ES_tradnl"/>
        </w:rPr>
        <w:t xml:space="preserve"> </w:t>
      </w:r>
      <w:r w:rsidR="005B5DCF">
        <w:rPr>
          <w:lang w:val="es-ES_tradnl"/>
        </w:rPr>
        <w:t>de</w:t>
      </w:r>
      <w:r w:rsidR="00936784" w:rsidRPr="00932F5A">
        <w:rPr>
          <w:lang w:val="es-ES_tradnl"/>
        </w:rPr>
        <w:t xml:space="preserve"> </w:t>
      </w:r>
      <w:r w:rsidR="00A66CB0" w:rsidRPr="00932F5A">
        <w:rPr>
          <w:lang w:val="es-ES_tradnl"/>
        </w:rPr>
        <w:t>HFC</w:t>
      </w:r>
      <w:r w:rsidR="00936784" w:rsidRPr="00932F5A">
        <w:rPr>
          <w:lang w:val="es-ES_tradnl"/>
        </w:rPr>
        <w:t xml:space="preserve"> </w:t>
      </w:r>
      <w:r w:rsidR="00585C68">
        <w:rPr>
          <w:lang w:val="es-ES_tradnl"/>
        </w:rPr>
        <w:t>sobre la base</w:t>
      </w:r>
      <w:r w:rsidR="0077641E">
        <w:rPr>
          <w:lang w:val="es-ES_tradnl"/>
        </w:rPr>
        <w:t xml:space="preserve"> </w:t>
      </w:r>
      <w:r w:rsidR="00592E63" w:rsidRPr="00932F5A">
        <w:rPr>
          <w:lang w:val="es-ES_tradnl"/>
        </w:rPr>
        <w:t xml:space="preserve">de </w:t>
      </w:r>
      <w:r w:rsidR="008A1C09">
        <w:rPr>
          <w:lang w:val="es-ES_tradnl"/>
        </w:rPr>
        <w:t xml:space="preserve">las </w:t>
      </w:r>
      <w:r w:rsidR="00C555DE">
        <w:rPr>
          <w:lang w:val="es-ES_tradnl"/>
        </w:rPr>
        <w:t>principales consideraciones</w:t>
      </w:r>
      <w:r w:rsidR="00936784" w:rsidRPr="00932F5A">
        <w:rPr>
          <w:lang w:val="es-ES_tradnl"/>
        </w:rPr>
        <w:t xml:space="preserve"> </w:t>
      </w:r>
      <w:r w:rsidR="002559A3">
        <w:rPr>
          <w:lang w:val="es-ES_tradnl"/>
        </w:rPr>
        <w:t>descritas</w:t>
      </w:r>
      <w:r w:rsidR="00936784" w:rsidRPr="00932F5A">
        <w:rPr>
          <w:lang w:val="es-ES_tradnl"/>
        </w:rPr>
        <w:t xml:space="preserve"> </w:t>
      </w:r>
      <w:r w:rsidR="00EB43C3" w:rsidRPr="00932F5A">
        <w:rPr>
          <w:lang w:val="es-ES_tradnl"/>
        </w:rPr>
        <w:t>en</w:t>
      </w:r>
      <w:r w:rsidR="00936784" w:rsidRPr="00932F5A">
        <w:rPr>
          <w:lang w:val="es-ES_tradnl"/>
        </w:rPr>
        <w:t xml:space="preserve"> </w:t>
      </w:r>
      <w:r w:rsidR="00EB43C3" w:rsidRPr="00932F5A">
        <w:rPr>
          <w:lang w:val="es-ES_tradnl"/>
        </w:rPr>
        <w:t>el</w:t>
      </w:r>
      <w:r w:rsidR="00936784" w:rsidRPr="00932F5A">
        <w:rPr>
          <w:lang w:val="es-ES_tradnl"/>
        </w:rPr>
        <w:t xml:space="preserve"> </w:t>
      </w:r>
      <w:r w:rsidR="00EB43C3" w:rsidRPr="00932F5A">
        <w:rPr>
          <w:lang w:val="es-ES_tradnl"/>
        </w:rPr>
        <w:t>documento</w:t>
      </w:r>
      <w:r w:rsidR="00936784" w:rsidRPr="00932F5A">
        <w:rPr>
          <w:lang w:val="es-ES_tradnl"/>
        </w:rPr>
        <w:t xml:space="preserve"> </w:t>
      </w:r>
      <w:r w:rsidR="00EA4DA0" w:rsidRPr="00932F5A">
        <w:rPr>
          <w:lang w:val="es-ES_tradnl"/>
        </w:rPr>
        <w:t>UNEP/OzL.Pro</w:t>
      </w:r>
      <w:r w:rsidR="003847D9" w:rsidRPr="00932F5A">
        <w:rPr>
          <w:lang w:val="es-ES_tradnl"/>
        </w:rPr>
        <w:t>/ExCom/82/66</w:t>
      </w:r>
      <w:r w:rsidR="00936784" w:rsidRPr="00932F5A">
        <w:rPr>
          <w:lang w:val="es-ES_tradnl"/>
        </w:rPr>
        <w:t xml:space="preserve"> </w:t>
      </w:r>
      <w:r w:rsidR="00AA3B74">
        <w:rPr>
          <w:lang w:val="es-ES_tradnl"/>
        </w:rPr>
        <w:t xml:space="preserve">y </w:t>
      </w:r>
      <w:r w:rsidR="00F7731A">
        <w:rPr>
          <w:lang w:val="es-ES_tradnl"/>
        </w:rPr>
        <w:t xml:space="preserve">de </w:t>
      </w:r>
      <w:r w:rsidR="00DD5C83">
        <w:rPr>
          <w:lang w:val="es-ES_tradnl"/>
        </w:rPr>
        <w:t>las</w:t>
      </w:r>
      <w:r w:rsidR="00AB42E4">
        <w:rPr>
          <w:lang w:val="es-ES_tradnl"/>
        </w:rPr>
        <w:t xml:space="preserve"> </w:t>
      </w:r>
      <w:r w:rsidR="004C2DD1">
        <w:rPr>
          <w:lang w:val="es-ES_tradnl"/>
        </w:rPr>
        <w:t>deliberaciones</w:t>
      </w:r>
      <w:r w:rsidR="00936784" w:rsidRPr="00932F5A">
        <w:rPr>
          <w:lang w:val="es-ES_tradnl"/>
        </w:rPr>
        <w:t xml:space="preserve"> </w:t>
      </w:r>
      <w:r w:rsidR="00C17956">
        <w:rPr>
          <w:lang w:val="es-ES_tradnl"/>
        </w:rPr>
        <w:t xml:space="preserve">sobre </w:t>
      </w:r>
      <w:r w:rsidR="0075174D">
        <w:rPr>
          <w:lang w:val="es-ES_tradnl"/>
        </w:rPr>
        <w:t>l</w:t>
      </w:r>
      <w:r w:rsidR="00F44F39">
        <w:rPr>
          <w:lang w:val="es-ES_tradnl"/>
        </w:rPr>
        <w:t>a materia</w:t>
      </w:r>
      <w:r>
        <w:rPr>
          <w:lang w:val="es-ES_tradnl"/>
        </w:rPr>
        <w:t xml:space="preserve"> </w:t>
      </w:r>
      <w:r w:rsidR="00F80133">
        <w:rPr>
          <w:lang w:val="es-ES_tradnl"/>
        </w:rPr>
        <w:t>sos</w:t>
      </w:r>
      <w:r w:rsidR="00FF4805">
        <w:rPr>
          <w:lang w:val="es-ES_tradnl"/>
        </w:rPr>
        <w:t xml:space="preserve">tenidas </w:t>
      </w:r>
      <w:r>
        <w:rPr>
          <w:lang w:val="es-ES_tradnl"/>
        </w:rPr>
        <w:t>en la 8</w:t>
      </w:r>
      <w:r w:rsidR="005E7D21" w:rsidRPr="00932F5A">
        <w:rPr>
          <w:lang w:val="es-ES_tradnl"/>
        </w:rPr>
        <w:t>3</w:t>
      </w:r>
      <w:r w:rsidR="005F33A5">
        <w:rPr>
          <w:lang w:val="es-ES_tradnl"/>
        </w:rPr>
        <w:t>ª reunión</w:t>
      </w:r>
      <w:r w:rsidR="003847D9" w:rsidRPr="00932F5A">
        <w:rPr>
          <w:lang w:val="es-ES_tradnl"/>
        </w:rPr>
        <w:t>;</w:t>
      </w:r>
    </w:p>
    <w:p w14:paraId="0E5BD539" w14:textId="2EC58263" w:rsidR="00FF6784" w:rsidRPr="00932F5A" w:rsidRDefault="00051E2A" w:rsidP="00F560C3">
      <w:pPr>
        <w:pStyle w:val="Heading3"/>
        <w:rPr>
          <w:lang w:val="es-ES_tradnl"/>
        </w:rPr>
      </w:pPr>
      <w:r>
        <w:rPr>
          <w:lang w:val="es-ES_tradnl"/>
        </w:rPr>
        <w:t xml:space="preserve">Una vez acordada </w:t>
      </w:r>
      <w:r w:rsidR="00BD76CA" w:rsidRPr="00932F5A">
        <w:rPr>
          <w:lang w:val="es-ES_tradnl"/>
        </w:rPr>
        <w:t>la</w:t>
      </w:r>
      <w:r w:rsidR="00936784" w:rsidRPr="00932F5A">
        <w:rPr>
          <w:lang w:val="es-ES_tradnl"/>
        </w:rPr>
        <w:t xml:space="preserve"> </w:t>
      </w:r>
      <w:r w:rsidR="00DE05ED">
        <w:rPr>
          <w:lang w:val="es-ES_tradnl"/>
        </w:rPr>
        <w:t>metodología para fijar el punto</w:t>
      </w:r>
      <w:r w:rsidR="007F5E41">
        <w:rPr>
          <w:lang w:val="es-ES_tradnl"/>
        </w:rPr>
        <w:t xml:space="preserve"> de partida de las reducciones acumulativas</w:t>
      </w:r>
      <w:r w:rsidR="00936784" w:rsidRPr="00932F5A">
        <w:rPr>
          <w:lang w:val="es-ES_tradnl"/>
        </w:rPr>
        <w:t xml:space="preserve"> </w:t>
      </w:r>
      <w:r w:rsidR="003543D0" w:rsidRPr="00932F5A">
        <w:rPr>
          <w:lang w:val="es-ES_tradnl"/>
        </w:rPr>
        <w:t>sostenidas</w:t>
      </w:r>
      <w:r w:rsidR="00936784" w:rsidRPr="00932F5A">
        <w:rPr>
          <w:lang w:val="es-ES_tradnl"/>
        </w:rPr>
        <w:t xml:space="preserve"> </w:t>
      </w:r>
      <w:r w:rsidR="00C11B88">
        <w:rPr>
          <w:lang w:val="es-ES_tradnl"/>
        </w:rPr>
        <w:t>de</w:t>
      </w:r>
      <w:r w:rsidR="00AD58C9">
        <w:rPr>
          <w:lang w:val="es-ES_tradnl"/>
        </w:rPr>
        <w:t xml:space="preserve"> </w:t>
      </w:r>
      <w:r w:rsidR="00724471">
        <w:rPr>
          <w:lang w:val="es-ES_tradnl"/>
        </w:rPr>
        <w:t>HFC,</w:t>
      </w:r>
      <w:r w:rsidR="00880CC1">
        <w:rPr>
          <w:lang w:val="es-ES_tradnl"/>
        </w:rPr>
        <w:t xml:space="preserve"> inco</w:t>
      </w:r>
      <w:r w:rsidR="00724471">
        <w:rPr>
          <w:lang w:val="es-ES_tradnl"/>
        </w:rPr>
        <w:t xml:space="preserve">rporarla al </w:t>
      </w:r>
      <w:r w:rsidR="00D352E8" w:rsidRPr="00932F5A">
        <w:rPr>
          <w:lang w:val="es-ES_tradnl"/>
        </w:rPr>
        <w:t>Anexo</w:t>
      </w:r>
      <w:r w:rsidR="00936784" w:rsidRPr="00932F5A">
        <w:rPr>
          <w:lang w:val="es-ES_tradnl"/>
        </w:rPr>
        <w:t xml:space="preserve"> </w:t>
      </w:r>
      <w:r w:rsidR="003847D9" w:rsidRPr="00932F5A">
        <w:rPr>
          <w:lang w:val="es-ES_tradnl"/>
        </w:rPr>
        <w:t>I</w:t>
      </w:r>
      <w:r w:rsidR="00936784" w:rsidRPr="00932F5A">
        <w:rPr>
          <w:lang w:val="es-ES_tradnl"/>
        </w:rPr>
        <w:t xml:space="preserve"> </w:t>
      </w:r>
      <w:r w:rsidR="00EA4DA0" w:rsidRPr="00932F5A">
        <w:rPr>
          <w:lang w:val="es-ES_tradnl"/>
        </w:rPr>
        <w:t>al</w:t>
      </w:r>
      <w:r w:rsidR="00936784" w:rsidRPr="00932F5A">
        <w:rPr>
          <w:lang w:val="es-ES_tradnl"/>
        </w:rPr>
        <w:t xml:space="preserve"> </w:t>
      </w:r>
      <w:r w:rsidR="00EA4DA0" w:rsidRPr="00932F5A">
        <w:rPr>
          <w:lang w:val="es-ES_tradnl"/>
        </w:rPr>
        <w:t>presente</w:t>
      </w:r>
      <w:r w:rsidR="00936784" w:rsidRPr="00932F5A">
        <w:rPr>
          <w:lang w:val="es-ES_tradnl"/>
        </w:rPr>
        <w:t xml:space="preserve"> </w:t>
      </w:r>
      <w:r w:rsidR="00FF6784" w:rsidRPr="00932F5A">
        <w:rPr>
          <w:lang w:val="es-ES_tradnl"/>
        </w:rPr>
        <w:t>documento</w:t>
      </w:r>
      <w:r w:rsidR="00936784" w:rsidRPr="00932F5A">
        <w:rPr>
          <w:lang w:val="es-ES_tradnl"/>
        </w:rPr>
        <w:t xml:space="preserve"> </w:t>
      </w:r>
      <w:r w:rsidR="00EB43C3" w:rsidRPr="00932F5A">
        <w:rPr>
          <w:lang w:val="es-ES_tradnl"/>
        </w:rPr>
        <w:t>y</w:t>
      </w:r>
      <w:r w:rsidR="00936784" w:rsidRPr="00932F5A">
        <w:rPr>
          <w:lang w:val="es-ES_tradnl"/>
        </w:rPr>
        <w:t xml:space="preserve"> </w:t>
      </w:r>
      <w:r w:rsidR="00187347">
        <w:rPr>
          <w:lang w:val="es-ES_tradnl"/>
        </w:rPr>
        <w:t>suprimir el texto</w:t>
      </w:r>
      <w:r w:rsidR="00936784" w:rsidRPr="00932F5A">
        <w:rPr>
          <w:lang w:val="es-ES_tradnl"/>
        </w:rPr>
        <w:t xml:space="preserve"> </w:t>
      </w:r>
      <w:r w:rsidR="009655D6">
        <w:rPr>
          <w:lang w:val="es-ES_tradnl"/>
        </w:rPr>
        <w:t xml:space="preserve">sobre </w:t>
      </w:r>
      <w:r w:rsidR="00EB43C3" w:rsidRPr="00932F5A">
        <w:rPr>
          <w:lang w:val="es-ES_tradnl"/>
        </w:rPr>
        <w:t>reducciones</w:t>
      </w:r>
      <w:r w:rsidR="00936784" w:rsidRPr="00932F5A">
        <w:rPr>
          <w:lang w:val="es-ES_tradnl"/>
        </w:rPr>
        <w:t xml:space="preserve"> </w:t>
      </w:r>
      <w:r w:rsidR="00EB43C3" w:rsidRPr="00932F5A">
        <w:rPr>
          <w:lang w:val="es-ES_tradnl"/>
        </w:rPr>
        <w:t>acumulativas</w:t>
      </w:r>
      <w:r w:rsidR="00936784" w:rsidRPr="00932F5A">
        <w:rPr>
          <w:lang w:val="es-ES_tradnl"/>
        </w:rPr>
        <w:t xml:space="preserve"> </w:t>
      </w:r>
      <w:r w:rsidR="00EB43C3" w:rsidRPr="00932F5A">
        <w:rPr>
          <w:lang w:val="es-ES_tradnl"/>
        </w:rPr>
        <w:t>sostenidas</w:t>
      </w:r>
      <w:r w:rsidR="00936784" w:rsidRPr="00932F5A">
        <w:rPr>
          <w:lang w:val="es-ES_tradnl"/>
        </w:rPr>
        <w:t xml:space="preserve"> </w:t>
      </w:r>
      <w:r w:rsidR="00024616">
        <w:rPr>
          <w:lang w:val="es-ES_tradnl"/>
        </w:rPr>
        <w:t xml:space="preserve">que figura </w:t>
      </w:r>
      <w:r w:rsidR="00D40F59">
        <w:rPr>
          <w:lang w:val="es-ES_tradnl"/>
        </w:rPr>
        <w:t>en el Anexo</w:t>
      </w:r>
      <w:r w:rsidR="00936784" w:rsidRPr="00932F5A">
        <w:rPr>
          <w:lang w:val="es-ES_tradnl"/>
        </w:rPr>
        <w:t xml:space="preserve"> </w:t>
      </w:r>
      <w:r w:rsidR="003847D9" w:rsidRPr="00932F5A">
        <w:rPr>
          <w:lang w:val="es-ES_tradnl"/>
        </w:rPr>
        <w:t>II;</w:t>
      </w:r>
    </w:p>
    <w:p w14:paraId="453564F1" w14:textId="56DEAF84" w:rsidR="003847D9" w:rsidRPr="00932F5A" w:rsidRDefault="00B62300" w:rsidP="00F560C3">
      <w:pPr>
        <w:tabs>
          <w:tab w:val="left" w:pos="8280"/>
        </w:tabs>
        <w:ind w:left="720"/>
        <w:rPr>
          <w:u w:val="single"/>
          <w:lang w:val="es-ES_tradnl"/>
        </w:rPr>
      </w:pPr>
      <w:r>
        <w:rPr>
          <w:u w:val="single"/>
          <w:lang w:val="es-ES_tradnl"/>
        </w:rPr>
        <w:t>Respecto del</w:t>
      </w:r>
      <w:r w:rsidR="00936784" w:rsidRPr="00932F5A">
        <w:rPr>
          <w:u w:val="single"/>
          <w:lang w:val="es-ES_tradnl"/>
        </w:rPr>
        <w:t xml:space="preserve"> </w:t>
      </w:r>
      <w:r w:rsidR="00841337">
        <w:rPr>
          <w:u w:val="single"/>
          <w:lang w:val="es-ES_tradnl"/>
        </w:rPr>
        <w:t>consumo en el sector manufacturero</w:t>
      </w:r>
    </w:p>
    <w:p w14:paraId="2C6E5369" w14:textId="77777777" w:rsidR="003847D9" w:rsidRPr="00932F5A" w:rsidRDefault="003847D9" w:rsidP="003847D9">
      <w:pPr>
        <w:tabs>
          <w:tab w:val="left" w:pos="8280"/>
        </w:tabs>
        <w:rPr>
          <w:lang w:val="es-ES_tradnl"/>
        </w:rPr>
      </w:pPr>
    </w:p>
    <w:p w14:paraId="18F581BF" w14:textId="7861F466" w:rsidR="00FF6784" w:rsidRPr="00932F5A" w:rsidRDefault="00431F01" w:rsidP="00F560C3">
      <w:pPr>
        <w:pStyle w:val="Heading3"/>
        <w:rPr>
          <w:lang w:val="es-ES_tradnl"/>
        </w:rPr>
      </w:pPr>
      <w:r>
        <w:rPr>
          <w:lang w:val="es-ES_tradnl"/>
        </w:rPr>
        <w:t>Considerar</w:t>
      </w:r>
      <w:r w:rsidR="00936784" w:rsidRPr="00932F5A">
        <w:rPr>
          <w:lang w:val="es-ES_tradnl"/>
        </w:rPr>
        <w:t xml:space="preserve"> </w:t>
      </w:r>
      <w:r w:rsidR="00DF7E30">
        <w:rPr>
          <w:lang w:val="es-ES_tradnl"/>
        </w:rPr>
        <w:t xml:space="preserve">la fijación de </w:t>
      </w:r>
      <w:r w:rsidR="00236FFD">
        <w:rPr>
          <w:lang w:val="es-ES_tradnl"/>
        </w:rPr>
        <w:t>límites</w:t>
      </w:r>
      <w:r w:rsidR="00726447">
        <w:rPr>
          <w:lang w:val="es-ES_tradnl"/>
        </w:rPr>
        <w:t xml:space="preserve"> costo-beneficio</w:t>
      </w:r>
      <w:r w:rsidR="00936784" w:rsidRPr="00932F5A">
        <w:rPr>
          <w:lang w:val="es-ES_tradnl"/>
        </w:rPr>
        <w:t xml:space="preserve"> </w:t>
      </w:r>
      <w:r w:rsidR="003543D0" w:rsidRPr="00932F5A">
        <w:rPr>
          <w:lang w:val="es-ES_tradnl"/>
        </w:rPr>
        <w:t>y</w:t>
      </w:r>
      <w:r w:rsidR="00936784" w:rsidRPr="00932F5A">
        <w:rPr>
          <w:lang w:val="es-ES_tradnl"/>
        </w:rPr>
        <w:t xml:space="preserve"> </w:t>
      </w:r>
      <w:r w:rsidR="00B230BD">
        <w:rPr>
          <w:lang w:val="es-ES_tradnl"/>
        </w:rPr>
        <w:t xml:space="preserve">de </w:t>
      </w:r>
      <w:r w:rsidR="003543D0" w:rsidRPr="00932F5A">
        <w:rPr>
          <w:lang w:val="es-ES_tradnl"/>
        </w:rPr>
        <w:t>sobrecostos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operación</w:t>
      </w:r>
      <w:r w:rsidR="00936784" w:rsidRPr="00932F5A">
        <w:rPr>
          <w:lang w:val="es-ES_tradnl"/>
        </w:rPr>
        <w:t xml:space="preserve"> </w:t>
      </w:r>
      <w:r w:rsidR="008D37D9">
        <w:rPr>
          <w:lang w:val="es-ES_tradnl"/>
        </w:rPr>
        <w:t xml:space="preserve">para </w:t>
      </w:r>
      <w:r w:rsidR="00272BB5" w:rsidRPr="00932F5A">
        <w:rPr>
          <w:lang w:val="es-ES_tradnl"/>
        </w:rPr>
        <w:t>actividades de reducción de</w:t>
      </w:r>
      <w:r w:rsidR="00617B20">
        <w:rPr>
          <w:lang w:val="es-ES_tradnl"/>
        </w:rPr>
        <w:t>l</w:t>
      </w:r>
      <w:r w:rsidR="00617B20" w:rsidRPr="001A712A">
        <w:rPr>
          <w:lang w:val="es-ES"/>
        </w:rPr>
        <w:t xml:space="preserve"> </w:t>
      </w:r>
      <w:r w:rsidR="00617B20" w:rsidRPr="00617B20">
        <w:rPr>
          <w:lang w:val="es-ES_tradnl"/>
        </w:rPr>
        <w:t>consumo</w:t>
      </w:r>
      <w:r w:rsidR="00272BB5" w:rsidRPr="00932F5A">
        <w:rPr>
          <w:lang w:val="es-ES_tradnl"/>
        </w:rPr>
        <w:t xml:space="preserve"> </w:t>
      </w:r>
      <w:r w:rsidR="00617B20">
        <w:rPr>
          <w:lang w:val="es-ES_tradnl"/>
        </w:rPr>
        <w:t xml:space="preserve">de </w:t>
      </w:r>
      <w:r w:rsidR="00272BB5" w:rsidRPr="00932F5A">
        <w:rPr>
          <w:lang w:val="es-ES_tradnl"/>
        </w:rPr>
        <w:t>HFC</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D352E8" w:rsidRPr="00932F5A">
        <w:rPr>
          <w:lang w:val="es-ES_tradnl"/>
        </w:rPr>
        <w:t>el</w:t>
      </w:r>
      <w:r w:rsidR="00936784" w:rsidRPr="00932F5A">
        <w:rPr>
          <w:lang w:val="es-ES_tradnl"/>
        </w:rPr>
        <w:t xml:space="preserve"> </w:t>
      </w:r>
      <w:r w:rsidR="00841337">
        <w:rPr>
          <w:lang w:val="es-ES_tradnl"/>
        </w:rPr>
        <w:t>sector manufacturero</w:t>
      </w:r>
      <w:r w:rsidR="00936784" w:rsidRPr="00932F5A">
        <w:rPr>
          <w:lang w:val="es-ES_tradnl"/>
        </w:rPr>
        <w:t xml:space="preserve"> </w:t>
      </w:r>
      <w:r w:rsidR="005A75AE">
        <w:rPr>
          <w:lang w:val="es-ES_tradnl"/>
        </w:rPr>
        <w:t xml:space="preserve">sobre la base </w:t>
      </w:r>
      <w:r w:rsidR="00B75710">
        <w:rPr>
          <w:lang w:val="es-ES_tradnl"/>
        </w:rPr>
        <w:t xml:space="preserve">de </w:t>
      </w:r>
      <w:r w:rsidR="00BD76CA" w:rsidRPr="00932F5A">
        <w:rPr>
          <w:lang w:val="es-ES_tradnl"/>
        </w:rPr>
        <w:t>los</w:t>
      </w:r>
      <w:r w:rsidR="00936784" w:rsidRPr="00932F5A">
        <w:rPr>
          <w:lang w:val="es-ES_tradnl"/>
        </w:rPr>
        <w:t xml:space="preserve"> </w:t>
      </w:r>
      <w:r w:rsidR="00BD76CA" w:rsidRPr="00932F5A">
        <w:rPr>
          <w:lang w:val="es-ES_tradnl"/>
        </w:rPr>
        <w:t>resultados</w:t>
      </w:r>
      <w:r w:rsidR="00936784" w:rsidRPr="00932F5A">
        <w:rPr>
          <w:lang w:val="es-ES_tradnl"/>
        </w:rPr>
        <w:t xml:space="preserve"> </w:t>
      </w:r>
      <w:r w:rsidR="00F4040F">
        <w:rPr>
          <w:lang w:val="es-ES_tradnl"/>
        </w:rPr>
        <w:t xml:space="preserve">de </w:t>
      </w:r>
      <w:r w:rsidR="003A051C">
        <w:rPr>
          <w:lang w:val="es-ES_tradnl"/>
        </w:rPr>
        <w:t xml:space="preserve">los </w:t>
      </w:r>
      <w:r w:rsidR="005F1C91" w:rsidRPr="00932F5A">
        <w:rPr>
          <w:lang w:val="es-ES_tradnl"/>
        </w:rPr>
        <w:t>proyectos</w:t>
      </w:r>
      <w:r w:rsidR="00936784" w:rsidRPr="00932F5A">
        <w:rPr>
          <w:lang w:val="es-ES_tradnl"/>
        </w:rPr>
        <w:t xml:space="preserve"> </w:t>
      </w:r>
      <w:r w:rsidR="005F1C91" w:rsidRPr="00932F5A">
        <w:rPr>
          <w:lang w:val="es-ES_tradnl"/>
        </w:rPr>
        <w:t>de</w:t>
      </w:r>
      <w:r w:rsidR="00936784" w:rsidRPr="00932F5A">
        <w:rPr>
          <w:lang w:val="es-ES_tradnl"/>
        </w:rPr>
        <w:t xml:space="preserve"> </w:t>
      </w:r>
      <w:r w:rsidR="005F1C91" w:rsidRPr="00932F5A">
        <w:rPr>
          <w:lang w:val="es-ES_tradnl"/>
        </w:rPr>
        <w:t>inversión</w:t>
      </w:r>
      <w:r w:rsidR="0089324F">
        <w:rPr>
          <w:lang w:val="es-ES_tradnl"/>
        </w:rPr>
        <w:t xml:space="preserve"> </w:t>
      </w:r>
      <w:r w:rsidR="00820703">
        <w:rPr>
          <w:lang w:val="es-ES_tradnl"/>
        </w:rPr>
        <w:t>ejecutados</w:t>
      </w:r>
      <w:r w:rsidR="003847D9" w:rsidRPr="00932F5A">
        <w:rPr>
          <w:lang w:val="es-ES_tradnl"/>
        </w:rPr>
        <w:t>;</w:t>
      </w:r>
    </w:p>
    <w:p w14:paraId="7120D4B0" w14:textId="6B7AC48F" w:rsidR="003847D9" w:rsidRPr="00932F5A" w:rsidRDefault="00846D69" w:rsidP="00C87FAF">
      <w:pPr>
        <w:pStyle w:val="Heading3"/>
        <w:rPr>
          <w:lang w:val="es-ES_tradnl"/>
        </w:rPr>
      </w:pPr>
      <w:r>
        <w:rPr>
          <w:lang w:val="es-ES_tradnl"/>
        </w:rPr>
        <w:t xml:space="preserve">Una vez acordados los </w:t>
      </w:r>
      <w:r w:rsidR="00236FFD">
        <w:rPr>
          <w:lang w:val="es-ES_tradnl"/>
        </w:rPr>
        <w:t>límites</w:t>
      </w:r>
      <w:r w:rsidR="00726447">
        <w:rPr>
          <w:lang w:val="es-ES_tradnl"/>
        </w:rPr>
        <w:t xml:space="preserve"> costo-beneficio</w:t>
      </w:r>
      <w:r w:rsidR="00936784" w:rsidRPr="00932F5A">
        <w:rPr>
          <w:lang w:val="es-ES_tradnl"/>
        </w:rPr>
        <w:t xml:space="preserve"> </w:t>
      </w:r>
      <w:r w:rsidR="003543D0" w:rsidRPr="00932F5A">
        <w:rPr>
          <w:lang w:val="es-ES_tradnl"/>
        </w:rPr>
        <w:t>y</w:t>
      </w:r>
      <w:r w:rsidR="00936784" w:rsidRPr="00932F5A">
        <w:rPr>
          <w:lang w:val="es-ES_tradnl"/>
        </w:rPr>
        <w:t xml:space="preserve"> </w:t>
      </w:r>
      <w:r w:rsidR="00C91101">
        <w:rPr>
          <w:lang w:val="es-ES_tradnl"/>
        </w:rPr>
        <w:t xml:space="preserve">de </w:t>
      </w:r>
      <w:r w:rsidR="003543D0" w:rsidRPr="00932F5A">
        <w:rPr>
          <w:lang w:val="es-ES_tradnl"/>
        </w:rPr>
        <w:t>sobrecostos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operación</w:t>
      </w:r>
      <w:r w:rsidR="00936784" w:rsidRPr="00932F5A">
        <w:rPr>
          <w:lang w:val="es-ES_tradnl"/>
        </w:rPr>
        <w:t xml:space="preserve"> </w:t>
      </w:r>
      <w:r w:rsidR="00FA751D">
        <w:rPr>
          <w:lang w:val="es-ES_tradnl"/>
        </w:rPr>
        <w:t>para</w:t>
      </w:r>
      <w:r w:rsidR="00936784" w:rsidRPr="00932F5A">
        <w:rPr>
          <w:lang w:val="es-ES_tradnl"/>
        </w:rPr>
        <w:t xml:space="preserve"> </w:t>
      </w:r>
      <w:r w:rsidR="00272BB5" w:rsidRPr="00932F5A">
        <w:rPr>
          <w:lang w:val="es-ES_tradnl"/>
        </w:rPr>
        <w:t xml:space="preserve">actividades de reducción </w:t>
      </w:r>
      <w:r w:rsidR="00C61052" w:rsidRPr="00C61052">
        <w:rPr>
          <w:lang w:val="es-ES_tradnl"/>
        </w:rPr>
        <w:t>del consumo de HFC en el sector manufacturero</w:t>
      </w:r>
      <w:r w:rsidR="0076275E">
        <w:rPr>
          <w:lang w:val="es-ES_tradnl"/>
        </w:rPr>
        <w:t>,</w:t>
      </w:r>
      <w:r w:rsidR="00936784" w:rsidRPr="00932F5A">
        <w:rPr>
          <w:lang w:val="es-ES_tradnl"/>
        </w:rPr>
        <w:t xml:space="preserve"> </w:t>
      </w:r>
      <w:r w:rsidR="0076275E">
        <w:rPr>
          <w:lang w:val="es-ES_tradnl"/>
        </w:rPr>
        <w:t xml:space="preserve">incorporarlos al </w:t>
      </w:r>
      <w:r w:rsidR="00D352E8" w:rsidRPr="00932F5A">
        <w:rPr>
          <w:lang w:val="es-ES_tradnl"/>
        </w:rPr>
        <w:t>Anexo</w:t>
      </w:r>
      <w:r w:rsidR="00936784" w:rsidRPr="00932F5A">
        <w:rPr>
          <w:lang w:val="es-ES_tradnl"/>
        </w:rPr>
        <w:t xml:space="preserve"> </w:t>
      </w:r>
      <w:r w:rsidR="003847D9" w:rsidRPr="00932F5A">
        <w:rPr>
          <w:lang w:val="es-ES_tradnl"/>
        </w:rPr>
        <w:t>I</w:t>
      </w:r>
      <w:r w:rsidR="00936784" w:rsidRPr="00932F5A">
        <w:rPr>
          <w:lang w:val="es-ES_tradnl"/>
        </w:rPr>
        <w:t xml:space="preserve"> </w:t>
      </w:r>
      <w:r w:rsidR="00EA4DA0" w:rsidRPr="00932F5A">
        <w:rPr>
          <w:lang w:val="es-ES_tradnl"/>
        </w:rPr>
        <w:t>al</w:t>
      </w:r>
      <w:r w:rsidR="00936784" w:rsidRPr="00932F5A">
        <w:rPr>
          <w:lang w:val="es-ES_tradnl"/>
        </w:rPr>
        <w:t xml:space="preserve"> </w:t>
      </w:r>
      <w:r w:rsidR="00EA4DA0" w:rsidRPr="00932F5A">
        <w:rPr>
          <w:lang w:val="es-ES_tradnl"/>
        </w:rPr>
        <w:t>presente</w:t>
      </w:r>
      <w:r w:rsidR="00936784" w:rsidRPr="00932F5A">
        <w:rPr>
          <w:lang w:val="es-ES_tradnl"/>
        </w:rPr>
        <w:t xml:space="preserve"> </w:t>
      </w:r>
      <w:r w:rsidR="00FF6784" w:rsidRPr="00932F5A">
        <w:rPr>
          <w:lang w:val="es-ES_tradnl"/>
        </w:rPr>
        <w:t>documento</w:t>
      </w:r>
      <w:r w:rsidR="00936784" w:rsidRPr="00932F5A">
        <w:rPr>
          <w:lang w:val="es-ES_tradnl"/>
        </w:rPr>
        <w:t xml:space="preserve"> </w:t>
      </w:r>
      <w:r w:rsidR="00EB43C3" w:rsidRPr="00932F5A">
        <w:rPr>
          <w:lang w:val="es-ES_tradnl"/>
        </w:rPr>
        <w:t>y</w:t>
      </w:r>
      <w:r w:rsidR="00936784" w:rsidRPr="00932F5A">
        <w:rPr>
          <w:lang w:val="es-ES_tradnl"/>
        </w:rPr>
        <w:t xml:space="preserve"> </w:t>
      </w:r>
      <w:r w:rsidR="00187347">
        <w:rPr>
          <w:lang w:val="es-ES_tradnl"/>
        </w:rPr>
        <w:t>suprimir el texto</w:t>
      </w:r>
      <w:r w:rsidR="003A7BDA" w:rsidRPr="003A7BDA">
        <w:rPr>
          <w:lang w:val="es-ES_tradnl"/>
        </w:rPr>
        <w:t xml:space="preserve"> sobre </w:t>
      </w:r>
      <w:r w:rsidR="00862579">
        <w:rPr>
          <w:lang w:val="es-ES_tradnl"/>
        </w:rPr>
        <w:t>estudios</w:t>
      </w:r>
      <w:r w:rsidR="005C4EB8">
        <w:rPr>
          <w:lang w:val="es-ES_tradnl"/>
        </w:rPr>
        <w:t xml:space="preserve"> </w:t>
      </w:r>
      <w:r w:rsidR="00936784" w:rsidRPr="00932F5A">
        <w:rPr>
          <w:lang w:val="es-ES_tradnl"/>
        </w:rPr>
        <w:t>adicional</w:t>
      </w:r>
      <w:r w:rsidR="005C4EB8">
        <w:rPr>
          <w:lang w:val="es-ES_tradnl"/>
        </w:rPr>
        <w:t>es</w:t>
      </w:r>
      <w:r w:rsidR="00936784" w:rsidRPr="00932F5A">
        <w:rPr>
          <w:lang w:val="es-ES_tradnl"/>
        </w:rPr>
        <w:t xml:space="preserve"> </w:t>
      </w:r>
      <w:r w:rsidR="000B3696">
        <w:rPr>
          <w:lang w:val="es-ES_tradnl"/>
        </w:rPr>
        <w:t xml:space="preserve">a solicitar a </w:t>
      </w:r>
      <w:r w:rsidR="00EB43C3" w:rsidRPr="00932F5A">
        <w:rPr>
          <w:lang w:val="es-ES_tradnl"/>
        </w:rPr>
        <w:t>la</w:t>
      </w:r>
      <w:r w:rsidR="00936784" w:rsidRPr="00932F5A">
        <w:rPr>
          <w:lang w:val="es-ES_tradnl"/>
        </w:rPr>
        <w:t xml:space="preserve"> </w:t>
      </w:r>
      <w:r w:rsidR="00D352E8" w:rsidRPr="00932F5A">
        <w:rPr>
          <w:lang w:val="es-ES_tradnl"/>
        </w:rPr>
        <w:t>Secretaría</w:t>
      </w:r>
      <w:r w:rsidR="00936784" w:rsidRPr="00932F5A">
        <w:rPr>
          <w:lang w:val="es-ES_tradnl"/>
        </w:rPr>
        <w:t xml:space="preserve"> </w:t>
      </w:r>
      <w:r w:rsidR="005D345C">
        <w:rPr>
          <w:lang w:val="es-ES_tradnl"/>
        </w:rPr>
        <w:t>r</w:t>
      </w:r>
      <w:r w:rsidR="00B62300">
        <w:rPr>
          <w:lang w:val="es-ES_tradnl"/>
        </w:rPr>
        <w:t>especto del</w:t>
      </w:r>
      <w:r w:rsidR="00936784" w:rsidRPr="00932F5A">
        <w:rPr>
          <w:lang w:val="es-ES_tradnl"/>
        </w:rPr>
        <w:t xml:space="preserve"> </w:t>
      </w:r>
      <w:r w:rsidR="00841337">
        <w:rPr>
          <w:lang w:val="es-ES_tradnl"/>
        </w:rPr>
        <w:t xml:space="preserve">consumo </w:t>
      </w:r>
      <w:r w:rsidR="00827C0D">
        <w:rPr>
          <w:lang w:val="es-ES_tradnl"/>
        </w:rPr>
        <w:t xml:space="preserve">sectorial </w:t>
      </w:r>
      <w:r w:rsidR="00936784" w:rsidRPr="00932F5A">
        <w:rPr>
          <w:lang w:val="es-ES_tradnl"/>
        </w:rPr>
        <w:t xml:space="preserve">que figura en el Anexo </w:t>
      </w:r>
      <w:r w:rsidR="003847D9" w:rsidRPr="00932F5A">
        <w:rPr>
          <w:lang w:val="es-ES_tradnl"/>
        </w:rPr>
        <w:t>II;</w:t>
      </w:r>
    </w:p>
    <w:p w14:paraId="138C5A41" w14:textId="096CF1CF" w:rsidR="003847D9" w:rsidRPr="00932F5A" w:rsidRDefault="000F0C62" w:rsidP="00C87FAF">
      <w:pPr>
        <w:tabs>
          <w:tab w:val="left" w:pos="8280"/>
        </w:tabs>
        <w:ind w:left="720"/>
        <w:rPr>
          <w:u w:val="single"/>
          <w:lang w:val="es-ES_tradnl"/>
        </w:rPr>
      </w:pPr>
      <w:r>
        <w:rPr>
          <w:u w:val="single"/>
          <w:lang w:val="es-ES_tradnl"/>
        </w:rPr>
        <w:t>Respecto de</w:t>
      </w:r>
      <w:r w:rsidR="00936784" w:rsidRPr="00932F5A">
        <w:rPr>
          <w:u w:val="single"/>
          <w:lang w:val="es-ES_tradnl"/>
        </w:rPr>
        <w:t xml:space="preserve"> </w:t>
      </w:r>
      <w:r w:rsidR="00EB43C3" w:rsidRPr="00932F5A">
        <w:rPr>
          <w:u w:val="single"/>
          <w:lang w:val="es-ES_tradnl"/>
        </w:rPr>
        <w:t>sobrecostos</w:t>
      </w:r>
      <w:r w:rsidR="00936784" w:rsidRPr="00932F5A">
        <w:rPr>
          <w:u w:val="single"/>
          <w:lang w:val="es-ES_tradnl"/>
        </w:rPr>
        <w:t xml:space="preserve"> </w:t>
      </w:r>
      <w:r w:rsidR="00EB43C3" w:rsidRPr="00932F5A">
        <w:rPr>
          <w:u w:val="single"/>
          <w:lang w:val="es-ES_tradnl"/>
        </w:rPr>
        <w:t>admisibles</w:t>
      </w:r>
      <w:r w:rsidR="00936784" w:rsidRPr="00932F5A">
        <w:rPr>
          <w:u w:val="single"/>
          <w:lang w:val="es-ES_tradnl"/>
        </w:rPr>
        <w:t xml:space="preserve"> </w:t>
      </w:r>
      <w:r w:rsidR="00BD76CA" w:rsidRPr="00932F5A">
        <w:rPr>
          <w:u w:val="single"/>
          <w:lang w:val="es-ES_tradnl"/>
        </w:rPr>
        <w:t>para</w:t>
      </w:r>
      <w:r w:rsidR="00936784" w:rsidRPr="00932F5A">
        <w:rPr>
          <w:u w:val="single"/>
          <w:lang w:val="es-ES_tradnl"/>
        </w:rPr>
        <w:t xml:space="preserve"> </w:t>
      </w:r>
      <w:r w:rsidR="00BD76CA" w:rsidRPr="00932F5A">
        <w:rPr>
          <w:u w:val="single"/>
          <w:lang w:val="es-ES_tradnl"/>
        </w:rPr>
        <w:t>el</w:t>
      </w:r>
      <w:r w:rsidR="00936784" w:rsidRPr="00932F5A">
        <w:rPr>
          <w:u w:val="single"/>
          <w:lang w:val="es-ES_tradnl"/>
        </w:rPr>
        <w:t xml:space="preserve"> </w:t>
      </w:r>
      <w:r w:rsidR="00BD76CA" w:rsidRPr="00932F5A">
        <w:rPr>
          <w:u w:val="single"/>
          <w:lang w:val="es-ES_tradnl"/>
        </w:rPr>
        <w:t>sector</w:t>
      </w:r>
      <w:r w:rsidR="00936784" w:rsidRPr="00932F5A">
        <w:rPr>
          <w:u w:val="single"/>
          <w:lang w:val="es-ES_tradnl"/>
        </w:rPr>
        <w:t xml:space="preserve"> </w:t>
      </w:r>
      <w:r w:rsidR="003543D0" w:rsidRPr="00932F5A">
        <w:rPr>
          <w:u w:val="single"/>
          <w:lang w:val="es-ES_tradnl"/>
        </w:rPr>
        <w:t>servicio</w:t>
      </w:r>
      <w:r w:rsidR="00936784" w:rsidRPr="00932F5A">
        <w:rPr>
          <w:u w:val="single"/>
          <w:lang w:val="es-ES_tradnl"/>
        </w:rPr>
        <w:t xml:space="preserve"> </w:t>
      </w:r>
      <w:r w:rsidR="003543D0" w:rsidRPr="00932F5A">
        <w:rPr>
          <w:u w:val="single"/>
          <w:lang w:val="es-ES_tradnl"/>
        </w:rPr>
        <w:t>técnico</w:t>
      </w:r>
      <w:r w:rsidR="00936784" w:rsidRPr="00932F5A">
        <w:rPr>
          <w:u w:val="single"/>
          <w:lang w:val="es-ES_tradnl"/>
        </w:rPr>
        <w:t xml:space="preserve"> </w:t>
      </w:r>
      <w:r w:rsidR="003543D0" w:rsidRPr="00932F5A">
        <w:rPr>
          <w:u w:val="single"/>
          <w:lang w:val="es-ES_tradnl"/>
        </w:rPr>
        <w:t>de</w:t>
      </w:r>
      <w:r w:rsidR="00936784" w:rsidRPr="00932F5A">
        <w:rPr>
          <w:u w:val="single"/>
          <w:lang w:val="es-ES_tradnl"/>
        </w:rPr>
        <w:t xml:space="preserve"> </w:t>
      </w:r>
      <w:r w:rsidR="003543D0" w:rsidRPr="00932F5A">
        <w:rPr>
          <w:u w:val="single"/>
          <w:lang w:val="es-ES_tradnl"/>
        </w:rPr>
        <w:t>equipos</w:t>
      </w:r>
      <w:r w:rsidR="00936784" w:rsidRPr="00932F5A">
        <w:rPr>
          <w:u w:val="single"/>
          <w:lang w:val="es-ES_tradnl"/>
        </w:rPr>
        <w:t xml:space="preserve"> </w:t>
      </w:r>
      <w:r w:rsidR="003543D0" w:rsidRPr="00932F5A">
        <w:rPr>
          <w:u w:val="single"/>
          <w:lang w:val="es-ES_tradnl"/>
        </w:rPr>
        <w:t>de</w:t>
      </w:r>
      <w:r w:rsidR="00936784" w:rsidRPr="00932F5A">
        <w:rPr>
          <w:u w:val="single"/>
          <w:lang w:val="es-ES_tradnl"/>
        </w:rPr>
        <w:t xml:space="preserve"> </w:t>
      </w:r>
      <w:r w:rsidR="003543D0" w:rsidRPr="00932F5A">
        <w:rPr>
          <w:u w:val="single"/>
          <w:lang w:val="es-ES_tradnl"/>
        </w:rPr>
        <w:t>refrigeración</w:t>
      </w:r>
    </w:p>
    <w:p w14:paraId="0A6F1BE6" w14:textId="77777777" w:rsidR="00F560C3" w:rsidRPr="00932F5A" w:rsidRDefault="00F560C3" w:rsidP="00C87FAF">
      <w:pPr>
        <w:tabs>
          <w:tab w:val="left" w:pos="8280"/>
        </w:tabs>
        <w:rPr>
          <w:lang w:val="es-ES_tradnl"/>
        </w:rPr>
      </w:pPr>
    </w:p>
    <w:p w14:paraId="33C37E4D" w14:textId="1A5884FD" w:rsidR="00FF6784" w:rsidRPr="00932F5A" w:rsidRDefault="00084461" w:rsidP="00C87FAF">
      <w:pPr>
        <w:pStyle w:val="Heading3"/>
        <w:rPr>
          <w:lang w:val="es-ES_tradnl"/>
        </w:rPr>
      </w:pPr>
      <w:r>
        <w:rPr>
          <w:lang w:val="es-ES_tradnl"/>
        </w:rPr>
        <w:t>Discutir</w:t>
      </w:r>
      <w:r w:rsidR="00936784" w:rsidRPr="00932F5A">
        <w:rPr>
          <w:lang w:val="es-ES_tradnl"/>
        </w:rPr>
        <w:t xml:space="preserve"> </w:t>
      </w:r>
      <w:r w:rsidR="00D352E8" w:rsidRPr="00932F5A">
        <w:rPr>
          <w:lang w:val="es-ES_tradnl"/>
        </w:rPr>
        <w:t>el</w:t>
      </w:r>
      <w:r w:rsidR="00936784" w:rsidRPr="00932F5A">
        <w:rPr>
          <w:lang w:val="es-ES_tradnl"/>
        </w:rPr>
        <w:t xml:space="preserve"> </w:t>
      </w:r>
      <w:r w:rsidR="00D352E8" w:rsidRPr="00932F5A">
        <w:rPr>
          <w:lang w:val="es-ES_tradnl"/>
        </w:rPr>
        <w:t>nivel</w:t>
      </w:r>
      <w:r w:rsidR="00936784" w:rsidRPr="00932F5A">
        <w:rPr>
          <w:lang w:val="es-ES_tradnl"/>
        </w:rPr>
        <w:t xml:space="preserve"> </w:t>
      </w:r>
      <w:r w:rsidR="003543D0" w:rsidRPr="00932F5A">
        <w:rPr>
          <w:lang w:val="es-ES_tradnl"/>
        </w:rPr>
        <w:t>y</w:t>
      </w:r>
      <w:r w:rsidR="00936784" w:rsidRPr="00932F5A">
        <w:rPr>
          <w:lang w:val="es-ES_tradnl"/>
        </w:rPr>
        <w:t xml:space="preserve"> </w:t>
      </w:r>
      <w:r w:rsidR="00762C85" w:rsidRPr="00932F5A">
        <w:rPr>
          <w:lang w:val="es-ES_tradnl"/>
        </w:rPr>
        <w:t>modalidades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financiamiento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EB43C3" w:rsidRPr="00932F5A">
        <w:rPr>
          <w:lang w:val="es-ES_tradnl"/>
        </w:rPr>
        <w:t>sobrecostos</w:t>
      </w:r>
      <w:r w:rsidR="00936784" w:rsidRPr="00932F5A">
        <w:rPr>
          <w:lang w:val="es-ES_tradnl"/>
        </w:rPr>
        <w:t xml:space="preserve"> </w:t>
      </w:r>
      <w:r w:rsidR="00EB43C3" w:rsidRPr="00932F5A">
        <w:rPr>
          <w:lang w:val="es-ES_tradnl"/>
        </w:rPr>
        <w:t>admisibles</w:t>
      </w:r>
      <w:r w:rsidR="00936784" w:rsidRPr="00932F5A">
        <w:rPr>
          <w:lang w:val="es-ES_tradnl"/>
        </w:rPr>
        <w:t xml:space="preserve"> </w:t>
      </w:r>
      <w:r w:rsidR="00A66CB0" w:rsidRPr="00932F5A">
        <w:rPr>
          <w:lang w:val="es-ES_tradnl"/>
        </w:rPr>
        <w:t>para</w:t>
      </w:r>
      <w:r w:rsidR="00936784" w:rsidRPr="00932F5A">
        <w:rPr>
          <w:lang w:val="es-ES_tradnl"/>
        </w:rPr>
        <w:t xml:space="preserve"> </w:t>
      </w:r>
      <w:r w:rsidR="00A66CB0" w:rsidRPr="00932F5A">
        <w:rPr>
          <w:lang w:val="es-ES_tradnl"/>
        </w:rPr>
        <w:t>la</w:t>
      </w:r>
      <w:r w:rsidR="00936784" w:rsidRPr="00932F5A">
        <w:rPr>
          <w:lang w:val="es-ES_tradnl"/>
        </w:rPr>
        <w:t xml:space="preserve"> </w:t>
      </w:r>
      <w:r w:rsidR="00A66CB0" w:rsidRPr="00932F5A">
        <w:rPr>
          <w:lang w:val="es-ES_tradnl"/>
        </w:rPr>
        <w:t>reducción</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A66CB0" w:rsidRPr="00932F5A">
        <w:rPr>
          <w:lang w:val="es-ES_tradnl"/>
        </w:rPr>
        <w:t>HFC</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197A00" w:rsidRPr="00932F5A">
        <w:rPr>
          <w:lang w:val="es-ES_tradnl"/>
        </w:rPr>
        <w:t>el</w:t>
      </w:r>
      <w:r w:rsidR="00936784" w:rsidRPr="00932F5A">
        <w:rPr>
          <w:lang w:val="es-ES_tradnl"/>
        </w:rPr>
        <w:t xml:space="preserve"> </w:t>
      </w:r>
      <w:r w:rsidR="00197A00" w:rsidRPr="00932F5A">
        <w:rPr>
          <w:lang w:val="es-ES_tradnl"/>
        </w:rPr>
        <w:t>sector</w:t>
      </w:r>
      <w:r w:rsidR="00936784" w:rsidRPr="00932F5A">
        <w:rPr>
          <w:lang w:val="es-ES_tradnl"/>
        </w:rPr>
        <w:t xml:space="preserve"> </w:t>
      </w:r>
      <w:r w:rsidR="003543D0" w:rsidRPr="00932F5A">
        <w:rPr>
          <w:lang w:val="es-ES_tradnl"/>
        </w:rPr>
        <w:t>servicio</w:t>
      </w:r>
      <w:r w:rsidR="00936784" w:rsidRPr="00932F5A">
        <w:rPr>
          <w:lang w:val="es-ES_tradnl"/>
        </w:rPr>
        <w:t xml:space="preserve"> </w:t>
      </w:r>
      <w:r w:rsidR="003543D0" w:rsidRPr="00932F5A">
        <w:rPr>
          <w:lang w:val="es-ES_tradnl"/>
        </w:rPr>
        <w:t>técnico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equipos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refrigeración</w:t>
      </w:r>
      <w:r w:rsidR="00936784" w:rsidRPr="00932F5A">
        <w:rPr>
          <w:lang w:val="es-ES_tradnl"/>
        </w:rPr>
        <w:t xml:space="preserve"> </w:t>
      </w:r>
      <w:r w:rsidR="005E7D21" w:rsidRPr="00932F5A">
        <w:rPr>
          <w:lang w:val="es-ES_tradnl"/>
        </w:rPr>
        <w:t>a</w:t>
      </w:r>
      <w:r w:rsidR="00936784" w:rsidRPr="00932F5A">
        <w:rPr>
          <w:lang w:val="es-ES_tradnl"/>
        </w:rPr>
        <w:t xml:space="preserve"> </w:t>
      </w:r>
      <w:r w:rsidR="005E7D21" w:rsidRPr="00932F5A">
        <w:rPr>
          <w:lang w:val="es-ES_tradnl"/>
        </w:rPr>
        <w:t>la</w:t>
      </w:r>
      <w:r w:rsidR="00936784" w:rsidRPr="00932F5A">
        <w:rPr>
          <w:lang w:val="es-ES_tradnl"/>
        </w:rPr>
        <w:t xml:space="preserve"> </w:t>
      </w:r>
      <w:r w:rsidR="005E7D21" w:rsidRPr="00932F5A">
        <w:rPr>
          <w:lang w:val="es-ES_tradnl"/>
        </w:rPr>
        <w:t>luz</w:t>
      </w:r>
      <w:r w:rsidR="00936784" w:rsidRPr="00932F5A">
        <w:rPr>
          <w:lang w:val="es-ES_tradnl"/>
        </w:rPr>
        <w:t xml:space="preserve"> </w:t>
      </w:r>
      <w:r w:rsidR="008C2677">
        <w:rPr>
          <w:lang w:val="es-ES_tradnl"/>
        </w:rPr>
        <w:t>de la información</w:t>
      </w:r>
      <w:r w:rsidR="00936784" w:rsidRPr="00932F5A">
        <w:rPr>
          <w:lang w:val="es-ES_tradnl"/>
        </w:rPr>
        <w:t xml:space="preserve"> </w:t>
      </w:r>
      <w:r w:rsidR="00B22E57">
        <w:rPr>
          <w:lang w:val="es-ES_tradnl"/>
        </w:rPr>
        <w:t>presentada</w:t>
      </w:r>
      <w:r w:rsidR="00936784" w:rsidRPr="00932F5A">
        <w:rPr>
          <w:lang w:val="es-ES_tradnl"/>
        </w:rPr>
        <w:t xml:space="preserve"> </w:t>
      </w:r>
      <w:r w:rsidR="00EB43C3" w:rsidRPr="00932F5A">
        <w:rPr>
          <w:lang w:val="es-ES_tradnl"/>
        </w:rPr>
        <w:t>en</w:t>
      </w:r>
      <w:r w:rsidR="00936784" w:rsidRPr="00932F5A">
        <w:rPr>
          <w:lang w:val="es-ES_tradnl"/>
        </w:rPr>
        <w:t xml:space="preserve"> </w:t>
      </w:r>
      <w:r w:rsidR="00EB43C3" w:rsidRPr="00932F5A">
        <w:rPr>
          <w:lang w:val="es-ES_tradnl"/>
        </w:rPr>
        <w:t>el</w:t>
      </w:r>
      <w:r w:rsidR="00936784" w:rsidRPr="00932F5A">
        <w:rPr>
          <w:lang w:val="es-ES_tradnl"/>
        </w:rPr>
        <w:t xml:space="preserve"> </w:t>
      </w:r>
      <w:r w:rsidR="00EB43C3" w:rsidRPr="00932F5A">
        <w:rPr>
          <w:lang w:val="es-ES_tradnl"/>
        </w:rPr>
        <w:t>documento</w:t>
      </w:r>
      <w:r w:rsidR="00936784" w:rsidRPr="00932F5A">
        <w:rPr>
          <w:lang w:val="es-ES_tradnl"/>
        </w:rPr>
        <w:t xml:space="preserve"> </w:t>
      </w:r>
      <w:r w:rsidR="00EA4DA0" w:rsidRPr="00932F5A">
        <w:rPr>
          <w:lang w:val="es-ES_tradnl"/>
        </w:rPr>
        <w:t>UNEP/OzL.Pro</w:t>
      </w:r>
      <w:r w:rsidR="003847D9" w:rsidRPr="00932F5A">
        <w:rPr>
          <w:lang w:val="es-ES_tradnl"/>
        </w:rPr>
        <w:t>/ExCom/82/6</w:t>
      </w:r>
      <w:r w:rsidR="00592E04">
        <w:rPr>
          <w:lang w:val="es-ES_tradnl"/>
        </w:rPr>
        <w:t>4,</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592E04">
        <w:rPr>
          <w:lang w:val="es-ES_tradnl"/>
        </w:rPr>
        <w:t>particular</w:t>
      </w:r>
      <w:r w:rsidR="00936784" w:rsidRPr="00932F5A">
        <w:rPr>
          <w:lang w:val="es-ES_tradnl"/>
        </w:rPr>
        <w:t xml:space="preserve"> </w:t>
      </w:r>
      <w:r w:rsidR="00592E04">
        <w:rPr>
          <w:lang w:val="es-ES_tradnl"/>
        </w:rPr>
        <w:t xml:space="preserve">las </w:t>
      </w:r>
      <w:r w:rsidR="00197A00" w:rsidRPr="00932F5A">
        <w:rPr>
          <w:lang w:val="es-ES_tradnl"/>
        </w:rPr>
        <w:t>oportunidades</w:t>
      </w:r>
      <w:r w:rsidR="00936784" w:rsidRPr="00932F5A">
        <w:rPr>
          <w:lang w:val="es-ES_tradnl"/>
        </w:rPr>
        <w:t xml:space="preserve"> </w:t>
      </w:r>
      <w:r w:rsidR="003543D0" w:rsidRPr="00932F5A">
        <w:rPr>
          <w:lang w:val="es-ES_tradnl"/>
        </w:rPr>
        <w:t>y</w:t>
      </w:r>
      <w:r w:rsidR="00936784" w:rsidRPr="00932F5A">
        <w:rPr>
          <w:lang w:val="es-ES_tradnl"/>
        </w:rPr>
        <w:t xml:space="preserve"> </w:t>
      </w:r>
      <w:r w:rsidR="00584915" w:rsidRPr="00932F5A">
        <w:rPr>
          <w:lang w:val="es-ES_tradnl"/>
        </w:rPr>
        <w:t>sinergias</w:t>
      </w:r>
      <w:r w:rsidR="00936784" w:rsidRPr="00932F5A">
        <w:rPr>
          <w:lang w:val="es-ES_tradnl"/>
        </w:rPr>
        <w:t xml:space="preserve"> </w:t>
      </w:r>
      <w:r w:rsidR="00240728" w:rsidRPr="00240728">
        <w:rPr>
          <w:lang w:val="es-ES_tradnl"/>
        </w:rPr>
        <w:t xml:space="preserve">que surjan </w:t>
      </w:r>
      <w:r w:rsidR="005B0DA5">
        <w:rPr>
          <w:lang w:val="es-ES_tradnl"/>
        </w:rPr>
        <w:t>de la ejecución de actividades que favorecen</w:t>
      </w:r>
      <w:r w:rsidR="00240728" w:rsidRPr="00240728">
        <w:rPr>
          <w:lang w:val="es-ES_tradnl"/>
        </w:rPr>
        <w:t xml:space="preserve"> tanto la eliminación de HCFC como la reducción de los </w:t>
      </w:r>
      <w:r w:rsidR="00DD7E17">
        <w:rPr>
          <w:lang w:val="es-ES_tradnl"/>
        </w:rPr>
        <w:t>HFC;</w:t>
      </w:r>
      <w:r w:rsidR="00936784" w:rsidRPr="00932F5A">
        <w:rPr>
          <w:lang w:val="es-ES_tradnl"/>
        </w:rPr>
        <w:t xml:space="preserve"> </w:t>
      </w:r>
      <w:r w:rsidR="00955E67">
        <w:rPr>
          <w:lang w:val="es-ES_tradnl"/>
        </w:rPr>
        <w:t xml:space="preserve">los desafíos </w:t>
      </w:r>
      <w:r w:rsidR="00B80F1C">
        <w:rPr>
          <w:lang w:val="es-ES_tradnl"/>
        </w:rPr>
        <w:t>detectados</w:t>
      </w:r>
      <w:r w:rsidR="00955E67" w:rsidRPr="00932F5A">
        <w:rPr>
          <w:lang w:val="es-ES_tradnl"/>
        </w:rPr>
        <w:t xml:space="preserve"> para la introducción </w:t>
      </w:r>
      <w:r w:rsidR="00955E67" w:rsidRPr="00730EF9">
        <w:rPr>
          <w:lang w:val="es-ES_tradnl"/>
        </w:rPr>
        <w:t>de alternativas de bajo PCA</w:t>
      </w:r>
      <w:r w:rsidR="00F36E7A">
        <w:rPr>
          <w:lang w:val="es-ES_tradnl"/>
        </w:rPr>
        <w:t>;</w:t>
      </w:r>
      <w:r w:rsidR="00936784" w:rsidRPr="00932F5A">
        <w:rPr>
          <w:lang w:val="es-ES_tradnl"/>
        </w:rPr>
        <w:t xml:space="preserve"> </w:t>
      </w:r>
      <w:r w:rsidR="00ED3E59">
        <w:rPr>
          <w:lang w:val="es-ES_tradnl"/>
        </w:rPr>
        <w:t xml:space="preserve">los </w:t>
      </w:r>
      <w:r w:rsidR="00ED3E59" w:rsidRPr="00932F5A">
        <w:rPr>
          <w:lang w:val="es-ES_tradnl"/>
        </w:rPr>
        <w:t xml:space="preserve">niveles de financiamiento </w:t>
      </w:r>
      <w:r w:rsidR="00ED3E59">
        <w:rPr>
          <w:lang w:val="es-ES_tradnl"/>
        </w:rPr>
        <w:t>necesarios</w:t>
      </w:r>
      <w:r w:rsidR="00F36E7A">
        <w:rPr>
          <w:lang w:val="es-ES_tradnl"/>
        </w:rPr>
        <w:t>,</w:t>
      </w:r>
      <w:r w:rsidR="00ED3E59" w:rsidRPr="00932F5A">
        <w:rPr>
          <w:lang w:val="es-ES_tradnl"/>
        </w:rPr>
        <w:t xml:space="preserve"> </w:t>
      </w:r>
      <w:r w:rsidR="00EB43C3" w:rsidRPr="00932F5A">
        <w:rPr>
          <w:lang w:val="es-ES_tradnl"/>
        </w:rPr>
        <w:t>y</w:t>
      </w:r>
      <w:r w:rsidR="00936784" w:rsidRPr="00932F5A">
        <w:rPr>
          <w:lang w:val="es-ES_tradnl"/>
        </w:rPr>
        <w:t xml:space="preserve"> </w:t>
      </w:r>
      <w:r w:rsidR="00197A00" w:rsidRPr="00932F5A">
        <w:rPr>
          <w:lang w:val="es-ES_tradnl"/>
        </w:rPr>
        <w:t>la</w:t>
      </w:r>
      <w:r w:rsidR="00936784" w:rsidRPr="00932F5A">
        <w:rPr>
          <w:lang w:val="es-ES_tradnl"/>
        </w:rPr>
        <w:t xml:space="preserve"> </w:t>
      </w:r>
      <w:r w:rsidR="005C33D0">
        <w:rPr>
          <w:lang w:val="es-ES_tradnl"/>
        </w:rPr>
        <w:t>flexibilidad que requieren</w:t>
      </w:r>
      <w:r w:rsidR="007E21B1">
        <w:rPr>
          <w:lang w:val="es-ES_tradnl"/>
        </w:rPr>
        <w:t xml:space="preserve"> los </w:t>
      </w:r>
      <w:r w:rsidR="00BD76CA" w:rsidRPr="00932F5A">
        <w:rPr>
          <w:lang w:val="es-ES_tradnl"/>
        </w:rPr>
        <w:t>país</w:t>
      </w:r>
      <w:r w:rsidR="005F1C91" w:rsidRPr="00932F5A">
        <w:rPr>
          <w:lang w:val="es-ES_tradnl"/>
        </w:rPr>
        <w:t>es</w:t>
      </w:r>
      <w:r w:rsidR="00936784" w:rsidRPr="00932F5A">
        <w:rPr>
          <w:lang w:val="es-ES_tradnl"/>
        </w:rPr>
        <w:t xml:space="preserve"> </w:t>
      </w:r>
      <w:r w:rsidR="005F1C91" w:rsidRPr="00932F5A">
        <w:rPr>
          <w:lang w:val="es-ES_tradnl"/>
        </w:rPr>
        <w:t>del</w:t>
      </w:r>
      <w:r w:rsidR="00936784" w:rsidRPr="00932F5A">
        <w:rPr>
          <w:lang w:val="es-ES_tradnl"/>
        </w:rPr>
        <w:t xml:space="preserve"> </w:t>
      </w:r>
      <w:r w:rsidR="005F1C91" w:rsidRPr="00932F5A">
        <w:rPr>
          <w:lang w:val="es-ES_tradnl"/>
        </w:rPr>
        <w:t>artículo</w:t>
      </w:r>
      <w:r w:rsidR="00936784" w:rsidRPr="00932F5A">
        <w:rPr>
          <w:lang w:val="es-ES_tradnl"/>
        </w:rPr>
        <w:t xml:space="preserve"> </w:t>
      </w:r>
      <w:r w:rsidR="005F1C91" w:rsidRPr="00932F5A">
        <w:rPr>
          <w:lang w:val="es-ES_tradnl"/>
        </w:rPr>
        <w:t>5</w:t>
      </w:r>
      <w:r w:rsidR="00936784" w:rsidRPr="00932F5A">
        <w:rPr>
          <w:lang w:val="es-ES_tradnl"/>
        </w:rPr>
        <w:t xml:space="preserve"> </w:t>
      </w:r>
      <w:r w:rsidR="000C4CF6" w:rsidRPr="000C4CF6">
        <w:rPr>
          <w:lang w:val="es-ES_tradnl"/>
        </w:rPr>
        <w:t>para destinar fondos a prioridades estratégicas sobre la base de sus niveles de consumo</w:t>
      </w:r>
      <w:r w:rsidR="003847D9" w:rsidRPr="00932F5A">
        <w:rPr>
          <w:lang w:val="es-ES_tradnl"/>
        </w:rPr>
        <w:t>;</w:t>
      </w:r>
    </w:p>
    <w:p w14:paraId="5AC05F6D" w14:textId="0A38A631" w:rsidR="003847D9" w:rsidRPr="00932F5A" w:rsidRDefault="00431F01" w:rsidP="00F560C3">
      <w:pPr>
        <w:pStyle w:val="Heading3"/>
        <w:rPr>
          <w:lang w:val="es-ES_tradnl"/>
        </w:rPr>
      </w:pPr>
      <w:r>
        <w:rPr>
          <w:lang w:val="es-ES_tradnl"/>
        </w:rPr>
        <w:t>Considerar</w:t>
      </w:r>
      <w:r w:rsidR="00936784" w:rsidRPr="00932F5A">
        <w:rPr>
          <w:lang w:val="es-ES_tradnl"/>
        </w:rPr>
        <w:t xml:space="preserve"> </w:t>
      </w:r>
      <w:r w:rsidR="009050DC">
        <w:rPr>
          <w:lang w:val="es-ES_tradnl"/>
        </w:rPr>
        <w:t xml:space="preserve">si </w:t>
      </w:r>
      <w:r w:rsidR="003A7958">
        <w:rPr>
          <w:lang w:val="es-ES_tradnl"/>
        </w:rPr>
        <w:t xml:space="preserve">procede </w:t>
      </w:r>
      <w:r w:rsidR="00197A00" w:rsidRPr="00932F5A">
        <w:rPr>
          <w:lang w:val="es-ES_tradnl"/>
        </w:rPr>
        <w:t>solicitar</w:t>
      </w:r>
      <w:r w:rsidR="00936784" w:rsidRPr="00932F5A">
        <w:rPr>
          <w:lang w:val="es-ES_tradnl"/>
        </w:rPr>
        <w:t xml:space="preserve"> </w:t>
      </w:r>
      <w:r w:rsidR="00197A00" w:rsidRPr="00932F5A">
        <w:rPr>
          <w:lang w:val="es-ES_tradnl"/>
        </w:rPr>
        <w:t>a</w:t>
      </w:r>
      <w:r w:rsidR="00936784" w:rsidRPr="00932F5A">
        <w:rPr>
          <w:lang w:val="es-ES_tradnl"/>
        </w:rPr>
        <w:t xml:space="preserve"> </w:t>
      </w:r>
      <w:r w:rsidR="00197A00" w:rsidRPr="00932F5A">
        <w:rPr>
          <w:lang w:val="es-ES_tradnl"/>
        </w:rPr>
        <w:t>la</w:t>
      </w:r>
      <w:r w:rsidR="00936784" w:rsidRPr="00932F5A">
        <w:rPr>
          <w:lang w:val="es-ES_tradnl"/>
        </w:rPr>
        <w:t xml:space="preserve"> </w:t>
      </w:r>
      <w:r w:rsidR="00197A00" w:rsidRPr="00932F5A">
        <w:rPr>
          <w:lang w:val="es-ES_tradnl"/>
        </w:rPr>
        <w:t>Secretaría</w:t>
      </w:r>
      <w:r w:rsidR="00936784" w:rsidRPr="00932F5A">
        <w:rPr>
          <w:lang w:val="es-ES_tradnl"/>
        </w:rPr>
        <w:t xml:space="preserve"> </w:t>
      </w:r>
      <w:r w:rsidR="00392F6A">
        <w:rPr>
          <w:lang w:val="es-ES_tradnl"/>
        </w:rPr>
        <w:t xml:space="preserve">un </w:t>
      </w:r>
      <w:r w:rsidR="00197A00" w:rsidRPr="00932F5A">
        <w:rPr>
          <w:lang w:val="es-ES_tradnl"/>
        </w:rPr>
        <w:t>análisis</w:t>
      </w:r>
      <w:r w:rsidR="00936784" w:rsidRPr="00932F5A">
        <w:rPr>
          <w:lang w:val="es-ES_tradnl"/>
        </w:rPr>
        <w:t xml:space="preserve"> </w:t>
      </w:r>
      <w:r w:rsidR="00D27B7D">
        <w:rPr>
          <w:lang w:val="es-ES_tradnl"/>
        </w:rPr>
        <w:t xml:space="preserve">del </w:t>
      </w:r>
      <w:r w:rsidR="00D352E8" w:rsidRPr="00932F5A">
        <w:rPr>
          <w:lang w:val="es-ES_tradnl"/>
        </w:rPr>
        <w:t>nivel</w:t>
      </w:r>
      <w:r w:rsidR="00936784" w:rsidRPr="00932F5A">
        <w:rPr>
          <w:lang w:val="es-ES_tradnl"/>
        </w:rPr>
        <w:t xml:space="preserve"> </w:t>
      </w:r>
      <w:r w:rsidR="003543D0" w:rsidRPr="00932F5A">
        <w:rPr>
          <w:lang w:val="es-ES_tradnl"/>
        </w:rPr>
        <w:t>y</w:t>
      </w:r>
      <w:r w:rsidR="00936784" w:rsidRPr="00932F5A">
        <w:rPr>
          <w:lang w:val="es-ES_tradnl"/>
        </w:rPr>
        <w:t xml:space="preserve"> </w:t>
      </w:r>
      <w:r w:rsidR="00762C85" w:rsidRPr="00932F5A">
        <w:rPr>
          <w:lang w:val="es-ES_tradnl"/>
        </w:rPr>
        <w:t>modalidades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financiamiento</w:t>
      </w:r>
      <w:r w:rsidR="00936784" w:rsidRPr="00932F5A">
        <w:rPr>
          <w:lang w:val="es-ES_tradnl"/>
        </w:rPr>
        <w:t xml:space="preserve"> </w:t>
      </w:r>
      <w:r w:rsidR="00BD76CA" w:rsidRPr="00932F5A">
        <w:rPr>
          <w:lang w:val="es-ES_tradnl"/>
        </w:rPr>
        <w:t>para</w:t>
      </w:r>
      <w:r w:rsidR="00936784" w:rsidRPr="00932F5A">
        <w:rPr>
          <w:lang w:val="es-ES_tradnl"/>
        </w:rPr>
        <w:t xml:space="preserve"> </w:t>
      </w:r>
      <w:r w:rsidR="00BD76CA" w:rsidRPr="00932F5A">
        <w:rPr>
          <w:lang w:val="es-ES_tradnl"/>
        </w:rPr>
        <w:t>el</w:t>
      </w:r>
      <w:r w:rsidR="00936784" w:rsidRPr="00932F5A">
        <w:rPr>
          <w:lang w:val="es-ES_tradnl"/>
        </w:rPr>
        <w:t xml:space="preserve"> </w:t>
      </w:r>
      <w:r w:rsidR="00BD76CA" w:rsidRPr="00932F5A">
        <w:rPr>
          <w:lang w:val="es-ES_tradnl"/>
        </w:rPr>
        <w:t>sector</w:t>
      </w:r>
      <w:r w:rsidR="00936784" w:rsidRPr="00932F5A">
        <w:rPr>
          <w:lang w:val="es-ES_tradnl"/>
        </w:rPr>
        <w:t xml:space="preserve"> </w:t>
      </w:r>
      <w:r w:rsidR="003543D0" w:rsidRPr="00932F5A">
        <w:rPr>
          <w:lang w:val="es-ES_tradnl"/>
        </w:rPr>
        <w:t>servicio</w:t>
      </w:r>
      <w:r w:rsidR="00936784" w:rsidRPr="00932F5A">
        <w:rPr>
          <w:lang w:val="es-ES_tradnl"/>
        </w:rPr>
        <w:t xml:space="preserve"> </w:t>
      </w:r>
      <w:r w:rsidR="003543D0" w:rsidRPr="00932F5A">
        <w:rPr>
          <w:lang w:val="es-ES_tradnl"/>
        </w:rPr>
        <w:t>técnico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equipos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refrigeración</w:t>
      </w:r>
      <w:r w:rsidR="003847D9" w:rsidRPr="00932F5A">
        <w:rPr>
          <w:lang w:val="es-ES_tradnl"/>
        </w:rPr>
        <w:t>;</w:t>
      </w:r>
    </w:p>
    <w:p w14:paraId="2119CF96" w14:textId="076B59B7" w:rsidR="003847D9" w:rsidRPr="00932F5A" w:rsidRDefault="00712D2A" w:rsidP="00F560C3">
      <w:pPr>
        <w:pStyle w:val="Heading3"/>
        <w:rPr>
          <w:lang w:val="es-ES_tradnl"/>
        </w:rPr>
      </w:pPr>
      <w:r>
        <w:rPr>
          <w:lang w:val="es-ES_tradnl"/>
        </w:rPr>
        <w:lastRenderedPageBreak/>
        <w:t xml:space="preserve">Una vez acordados los </w:t>
      </w:r>
      <w:r w:rsidR="00236FFD">
        <w:rPr>
          <w:lang w:val="es-ES_tradnl"/>
        </w:rPr>
        <w:t>límites</w:t>
      </w:r>
      <w:r>
        <w:rPr>
          <w:lang w:val="es-ES_tradnl"/>
        </w:rPr>
        <w:t xml:space="preserve"> costo-beneficio</w:t>
      </w:r>
      <w:r w:rsidR="00936784" w:rsidRPr="00932F5A">
        <w:rPr>
          <w:lang w:val="es-ES_tradnl"/>
        </w:rPr>
        <w:t xml:space="preserve"> </w:t>
      </w:r>
      <w:r w:rsidR="00BD76CA" w:rsidRPr="00932F5A">
        <w:rPr>
          <w:lang w:val="es-ES_tradnl"/>
        </w:rPr>
        <w:t>para</w:t>
      </w:r>
      <w:r w:rsidR="00936784" w:rsidRPr="00932F5A">
        <w:rPr>
          <w:lang w:val="es-ES_tradnl"/>
        </w:rPr>
        <w:t xml:space="preserve"> </w:t>
      </w:r>
      <w:r w:rsidR="00BD76CA" w:rsidRPr="00932F5A">
        <w:rPr>
          <w:lang w:val="es-ES_tradnl"/>
        </w:rPr>
        <w:t>el</w:t>
      </w:r>
      <w:r w:rsidR="00936784" w:rsidRPr="00932F5A">
        <w:rPr>
          <w:lang w:val="es-ES_tradnl"/>
        </w:rPr>
        <w:t xml:space="preserve"> </w:t>
      </w:r>
      <w:r w:rsidR="00BD76CA" w:rsidRPr="00932F5A">
        <w:rPr>
          <w:lang w:val="es-ES_tradnl"/>
        </w:rPr>
        <w:t>sector</w:t>
      </w:r>
      <w:r w:rsidR="00936784" w:rsidRPr="00932F5A">
        <w:rPr>
          <w:lang w:val="es-ES_tradnl"/>
        </w:rPr>
        <w:t xml:space="preserve"> </w:t>
      </w:r>
      <w:r w:rsidR="003543D0" w:rsidRPr="00932F5A">
        <w:rPr>
          <w:lang w:val="es-ES_tradnl"/>
        </w:rPr>
        <w:t>servicio</w:t>
      </w:r>
      <w:r w:rsidR="00936784" w:rsidRPr="00932F5A">
        <w:rPr>
          <w:lang w:val="es-ES_tradnl"/>
        </w:rPr>
        <w:t xml:space="preserve"> </w:t>
      </w:r>
      <w:r w:rsidR="003543D0" w:rsidRPr="00932F5A">
        <w:rPr>
          <w:lang w:val="es-ES_tradnl"/>
        </w:rPr>
        <w:t>técnico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equipos</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543D0" w:rsidRPr="00932F5A">
        <w:rPr>
          <w:lang w:val="es-ES_tradnl"/>
        </w:rPr>
        <w:t>refrigeración</w:t>
      </w:r>
      <w:r w:rsidR="00851778">
        <w:rPr>
          <w:lang w:val="es-ES_tradnl"/>
        </w:rPr>
        <w:t xml:space="preserve">, incorporarlos al </w:t>
      </w:r>
      <w:r w:rsidR="00D352E8" w:rsidRPr="00932F5A">
        <w:rPr>
          <w:lang w:val="es-ES_tradnl"/>
        </w:rPr>
        <w:t>Anexo</w:t>
      </w:r>
      <w:r w:rsidR="00936784" w:rsidRPr="00932F5A">
        <w:rPr>
          <w:lang w:val="es-ES_tradnl"/>
        </w:rPr>
        <w:t xml:space="preserve"> </w:t>
      </w:r>
      <w:r w:rsidR="003847D9" w:rsidRPr="00932F5A">
        <w:rPr>
          <w:lang w:val="es-ES_tradnl"/>
        </w:rPr>
        <w:t>I</w:t>
      </w:r>
      <w:r w:rsidR="00936784" w:rsidRPr="00932F5A">
        <w:rPr>
          <w:lang w:val="es-ES_tradnl"/>
        </w:rPr>
        <w:t xml:space="preserve"> </w:t>
      </w:r>
      <w:r w:rsidR="00EA4DA0" w:rsidRPr="00932F5A">
        <w:rPr>
          <w:lang w:val="es-ES_tradnl"/>
        </w:rPr>
        <w:t>al</w:t>
      </w:r>
      <w:r w:rsidR="00936784" w:rsidRPr="00932F5A">
        <w:rPr>
          <w:lang w:val="es-ES_tradnl"/>
        </w:rPr>
        <w:t xml:space="preserve"> </w:t>
      </w:r>
      <w:r w:rsidR="00EA4DA0" w:rsidRPr="00932F5A">
        <w:rPr>
          <w:lang w:val="es-ES_tradnl"/>
        </w:rPr>
        <w:t>presente</w:t>
      </w:r>
      <w:r w:rsidR="00936784" w:rsidRPr="00932F5A">
        <w:rPr>
          <w:lang w:val="es-ES_tradnl"/>
        </w:rPr>
        <w:t xml:space="preserve"> </w:t>
      </w:r>
      <w:r w:rsidR="00FF6784" w:rsidRPr="00932F5A">
        <w:rPr>
          <w:lang w:val="es-ES_tradnl"/>
        </w:rPr>
        <w:t>documento</w:t>
      </w:r>
      <w:r w:rsidR="00936784" w:rsidRPr="00932F5A">
        <w:rPr>
          <w:lang w:val="es-ES_tradnl"/>
        </w:rPr>
        <w:t xml:space="preserve"> </w:t>
      </w:r>
      <w:r w:rsidR="003543D0" w:rsidRPr="00932F5A">
        <w:rPr>
          <w:lang w:val="es-ES_tradnl"/>
        </w:rPr>
        <w:t>y</w:t>
      </w:r>
      <w:r w:rsidR="00936784" w:rsidRPr="00932F5A">
        <w:rPr>
          <w:lang w:val="es-ES_tradnl"/>
        </w:rPr>
        <w:t xml:space="preserve"> </w:t>
      </w:r>
      <w:r w:rsidR="00187347">
        <w:rPr>
          <w:lang w:val="es-ES_tradnl"/>
        </w:rPr>
        <w:t>suprimir el texto</w:t>
      </w:r>
      <w:r w:rsidR="00936784" w:rsidRPr="00932F5A">
        <w:rPr>
          <w:lang w:val="es-ES_tradnl"/>
        </w:rPr>
        <w:t xml:space="preserve"> </w:t>
      </w:r>
      <w:r w:rsidR="00077A31" w:rsidRPr="00077A31">
        <w:rPr>
          <w:lang w:val="es-ES_tradnl"/>
        </w:rPr>
        <w:t>relacionado</w:t>
      </w:r>
      <w:r w:rsidR="00771AAA">
        <w:rPr>
          <w:lang w:val="es-ES_tradnl"/>
        </w:rPr>
        <w:t xml:space="preserve"> </w:t>
      </w:r>
      <w:r w:rsidR="005F6939">
        <w:rPr>
          <w:lang w:val="es-ES_tradnl"/>
        </w:rPr>
        <w:t xml:space="preserve">que figura en </w:t>
      </w:r>
      <w:r w:rsidR="00D40F59">
        <w:rPr>
          <w:lang w:val="es-ES_tradnl"/>
        </w:rPr>
        <w:t>el Anexo</w:t>
      </w:r>
      <w:r w:rsidR="00936784" w:rsidRPr="00932F5A">
        <w:rPr>
          <w:lang w:val="es-ES_tradnl"/>
        </w:rPr>
        <w:t xml:space="preserve"> </w:t>
      </w:r>
      <w:r w:rsidR="003847D9" w:rsidRPr="00932F5A">
        <w:rPr>
          <w:lang w:val="es-ES_tradnl"/>
        </w:rPr>
        <w:t>II;</w:t>
      </w:r>
    </w:p>
    <w:p w14:paraId="763D720C" w14:textId="1049AF67" w:rsidR="003847D9" w:rsidRPr="00932F5A" w:rsidRDefault="00703736" w:rsidP="00F560C3">
      <w:pPr>
        <w:tabs>
          <w:tab w:val="left" w:pos="8280"/>
        </w:tabs>
        <w:ind w:left="720"/>
        <w:rPr>
          <w:u w:val="single"/>
          <w:lang w:val="es-ES_tradnl"/>
        </w:rPr>
      </w:pPr>
      <w:r w:rsidRPr="00703736">
        <w:rPr>
          <w:u w:val="single"/>
          <w:lang w:val="es-ES_tradnl"/>
        </w:rPr>
        <w:t>Respecto de</w:t>
      </w:r>
      <w:r w:rsidR="00164CA2">
        <w:rPr>
          <w:u w:val="single"/>
          <w:lang w:val="es-ES_tradnl"/>
        </w:rPr>
        <w:t xml:space="preserve"> </w:t>
      </w:r>
      <w:r w:rsidR="00841036">
        <w:rPr>
          <w:u w:val="single"/>
          <w:lang w:val="es-ES_tradnl"/>
        </w:rPr>
        <w:t xml:space="preserve">la </w:t>
      </w:r>
      <w:r w:rsidR="005F1C91" w:rsidRPr="00932F5A">
        <w:rPr>
          <w:u w:val="single"/>
          <w:lang w:val="es-ES_tradnl"/>
        </w:rPr>
        <w:t>eficiencia</w:t>
      </w:r>
      <w:r w:rsidR="00936784" w:rsidRPr="00932F5A">
        <w:rPr>
          <w:u w:val="single"/>
          <w:lang w:val="es-ES_tradnl"/>
        </w:rPr>
        <w:t xml:space="preserve"> </w:t>
      </w:r>
      <w:r w:rsidR="005F1C91" w:rsidRPr="00932F5A">
        <w:rPr>
          <w:u w:val="single"/>
          <w:lang w:val="es-ES_tradnl"/>
        </w:rPr>
        <w:t>energética</w:t>
      </w:r>
    </w:p>
    <w:p w14:paraId="2E4D3E48" w14:textId="77777777" w:rsidR="00F560C3" w:rsidRPr="00932F5A" w:rsidRDefault="00F560C3" w:rsidP="003847D9">
      <w:pPr>
        <w:tabs>
          <w:tab w:val="left" w:pos="8280"/>
        </w:tabs>
        <w:rPr>
          <w:lang w:val="es-ES_tradnl"/>
        </w:rPr>
      </w:pPr>
    </w:p>
    <w:p w14:paraId="645B16D0" w14:textId="46748D6B" w:rsidR="003847D9" w:rsidRPr="00932F5A" w:rsidRDefault="00C83151" w:rsidP="00F560C3">
      <w:pPr>
        <w:pStyle w:val="Heading3"/>
        <w:rPr>
          <w:lang w:val="es-ES_tradnl"/>
        </w:rPr>
      </w:pPr>
      <w:r>
        <w:rPr>
          <w:lang w:val="es-ES_tradnl"/>
        </w:rPr>
        <w:t>Una vez acordada</w:t>
      </w:r>
      <w:r w:rsidR="00561264">
        <w:rPr>
          <w:lang w:val="es-ES_tradnl"/>
        </w:rPr>
        <w:t xml:space="preserve">, considerar la incorporación </w:t>
      </w:r>
      <w:r w:rsidR="00D62CE8" w:rsidRPr="00D62CE8">
        <w:rPr>
          <w:lang w:val="es-ES_tradnl"/>
        </w:rPr>
        <w:t xml:space="preserve">al Anexo I al presente documento </w:t>
      </w:r>
      <w:r w:rsidR="00561264">
        <w:rPr>
          <w:lang w:val="es-ES_tradnl"/>
        </w:rPr>
        <w:t>de cualquier decisión</w:t>
      </w:r>
      <w:r w:rsidR="00936784" w:rsidRPr="00932F5A">
        <w:rPr>
          <w:lang w:val="es-ES_tradnl"/>
        </w:rPr>
        <w:t xml:space="preserve"> </w:t>
      </w:r>
      <w:r w:rsidR="00561264">
        <w:rPr>
          <w:lang w:val="es-ES_tradnl"/>
        </w:rPr>
        <w:t>relativa</w:t>
      </w:r>
      <w:r w:rsidR="00310F20">
        <w:rPr>
          <w:lang w:val="es-ES_tradnl"/>
        </w:rPr>
        <w:t xml:space="preserve"> a la</w:t>
      </w:r>
      <w:r w:rsidR="00936784" w:rsidRPr="00932F5A">
        <w:rPr>
          <w:lang w:val="es-ES_tradnl"/>
        </w:rPr>
        <w:t xml:space="preserve"> </w:t>
      </w:r>
      <w:r w:rsidR="005F1C91" w:rsidRPr="00932F5A">
        <w:rPr>
          <w:lang w:val="es-ES_tradnl"/>
        </w:rPr>
        <w:t>eficiencia</w:t>
      </w:r>
      <w:r w:rsidR="00936784" w:rsidRPr="00932F5A">
        <w:rPr>
          <w:lang w:val="es-ES_tradnl"/>
        </w:rPr>
        <w:t xml:space="preserve"> </w:t>
      </w:r>
      <w:r w:rsidR="005F1C91" w:rsidRPr="00932F5A">
        <w:rPr>
          <w:lang w:val="es-ES_tradnl"/>
        </w:rPr>
        <w:t>energética</w:t>
      </w:r>
      <w:r w:rsidR="00936784" w:rsidRPr="00932F5A">
        <w:rPr>
          <w:lang w:val="es-ES_tradnl"/>
        </w:rPr>
        <w:t xml:space="preserve"> </w:t>
      </w:r>
      <w:r w:rsidR="007971A6">
        <w:rPr>
          <w:lang w:val="es-ES_tradnl"/>
        </w:rPr>
        <w:t xml:space="preserve">adoptada </w:t>
      </w:r>
      <w:r w:rsidR="00CB5635">
        <w:rPr>
          <w:lang w:val="es-ES_tradnl"/>
        </w:rPr>
        <w:t xml:space="preserve">en </w:t>
      </w:r>
      <w:r w:rsidR="002520DB">
        <w:rPr>
          <w:lang w:val="es-ES_tradnl"/>
        </w:rPr>
        <w:t xml:space="preserve">el marco </w:t>
      </w:r>
      <w:r w:rsidR="00CB5635">
        <w:rPr>
          <w:lang w:val="es-ES_tradnl"/>
        </w:rPr>
        <w:t>de</w:t>
      </w:r>
      <w:r w:rsidR="002F1A8E">
        <w:rPr>
          <w:lang w:val="es-ES_tradnl"/>
        </w:rPr>
        <w:t xml:space="preserve"> </w:t>
      </w:r>
      <w:r w:rsidR="00815B8E">
        <w:rPr>
          <w:lang w:val="es-ES_tradnl"/>
        </w:rPr>
        <w:t xml:space="preserve">la </w:t>
      </w:r>
      <w:r w:rsidR="002F1A8E">
        <w:rPr>
          <w:lang w:val="es-ES_tradnl"/>
        </w:rPr>
        <w:t>cuestión del orden</w:t>
      </w:r>
      <w:r w:rsidR="00936784" w:rsidRPr="00932F5A">
        <w:rPr>
          <w:lang w:val="es-ES_tradnl"/>
        </w:rPr>
        <w:t xml:space="preserve"> </w:t>
      </w:r>
      <w:r w:rsidR="00A66CB0" w:rsidRPr="00932F5A">
        <w:rPr>
          <w:lang w:val="es-ES_tradnl"/>
        </w:rPr>
        <w:t>del</w:t>
      </w:r>
      <w:r w:rsidR="00936784" w:rsidRPr="00932F5A">
        <w:rPr>
          <w:lang w:val="es-ES_tradnl"/>
        </w:rPr>
        <w:t xml:space="preserve"> </w:t>
      </w:r>
      <w:r w:rsidR="00A66CB0" w:rsidRPr="00932F5A">
        <w:rPr>
          <w:lang w:val="es-ES_tradnl"/>
        </w:rPr>
        <w:t>día</w:t>
      </w:r>
      <w:r w:rsidR="00936784" w:rsidRPr="00932F5A">
        <w:rPr>
          <w:lang w:val="es-ES_tradnl"/>
        </w:rPr>
        <w:t xml:space="preserve"> </w:t>
      </w:r>
      <w:r w:rsidR="003847D9" w:rsidRPr="00932F5A">
        <w:rPr>
          <w:lang w:val="es-ES_tradnl"/>
        </w:rPr>
        <w:t>12(a)</w:t>
      </w:r>
      <w:r w:rsidR="00936784" w:rsidRPr="00932F5A">
        <w:rPr>
          <w:lang w:val="es-ES_tradnl"/>
        </w:rPr>
        <w:t xml:space="preserve"> </w:t>
      </w:r>
      <w:r w:rsidR="00B1294D">
        <w:rPr>
          <w:lang w:val="es-ES_tradnl"/>
        </w:rPr>
        <w:t>de la presente reunión</w:t>
      </w:r>
      <w:r w:rsidR="003847D9" w:rsidRPr="00932F5A">
        <w:rPr>
          <w:lang w:val="es-ES_tradnl"/>
        </w:rPr>
        <w:t>;</w:t>
      </w:r>
    </w:p>
    <w:p w14:paraId="0CF01A38" w14:textId="2BBE67CC" w:rsidR="00FF6784" w:rsidRPr="00932F5A" w:rsidRDefault="00187347" w:rsidP="00F560C3">
      <w:pPr>
        <w:pStyle w:val="Heading3"/>
        <w:rPr>
          <w:lang w:val="es-ES_tradnl"/>
        </w:rPr>
      </w:pPr>
      <w:r>
        <w:rPr>
          <w:lang w:val="es-ES_tradnl"/>
        </w:rPr>
        <w:t xml:space="preserve">Suprimir </w:t>
      </w:r>
      <w:r w:rsidR="00CE38AD" w:rsidRPr="00CE38AD">
        <w:rPr>
          <w:lang w:val="es-ES_tradnl"/>
        </w:rPr>
        <w:t xml:space="preserve">del Anexo II al presente documento </w:t>
      </w:r>
      <w:r>
        <w:rPr>
          <w:lang w:val="es-ES_tradnl"/>
        </w:rPr>
        <w:t>el texto</w:t>
      </w:r>
      <w:r w:rsidR="00936784" w:rsidRPr="00932F5A">
        <w:rPr>
          <w:lang w:val="es-ES_tradnl"/>
        </w:rPr>
        <w:t xml:space="preserve"> </w:t>
      </w:r>
      <w:r w:rsidR="002B7006">
        <w:rPr>
          <w:lang w:val="es-ES_tradnl"/>
        </w:rPr>
        <w:t>sobre</w:t>
      </w:r>
      <w:r w:rsidR="00936784" w:rsidRPr="00932F5A">
        <w:rPr>
          <w:lang w:val="es-ES_tradnl"/>
        </w:rPr>
        <w:t xml:space="preserve"> </w:t>
      </w:r>
      <w:r w:rsidR="005F1C91" w:rsidRPr="00932F5A">
        <w:rPr>
          <w:lang w:val="es-ES_tradnl"/>
        </w:rPr>
        <w:t>eficiencia</w:t>
      </w:r>
      <w:r w:rsidR="00936784" w:rsidRPr="00932F5A">
        <w:rPr>
          <w:lang w:val="es-ES_tradnl"/>
        </w:rPr>
        <w:t xml:space="preserve"> </w:t>
      </w:r>
      <w:r w:rsidR="005F1C91" w:rsidRPr="00932F5A">
        <w:rPr>
          <w:lang w:val="es-ES_tradnl"/>
        </w:rPr>
        <w:t>energética</w:t>
      </w:r>
      <w:r w:rsidR="003847D9" w:rsidRPr="00932F5A">
        <w:rPr>
          <w:lang w:val="es-ES_tradnl"/>
        </w:rPr>
        <w:t>,</w:t>
      </w:r>
      <w:r w:rsidR="00936784" w:rsidRPr="00932F5A">
        <w:rPr>
          <w:lang w:val="es-ES_tradnl"/>
        </w:rPr>
        <w:t xml:space="preserve"> </w:t>
      </w:r>
      <w:r w:rsidR="005E7D21" w:rsidRPr="00932F5A">
        <w:rPr>
          <w:lang w:val="es-ES_tradnl"/>
        </w:rPr>
        <w:t>incluyendo</w:t>
      </w:r>
      <w:r w:rsidR="00936784" w:rsidRPr="00932F5A">
        <w:rPr>
          <w:lang w:val="es-ES_tradnl"/>
        </w:rPr>
        <w:t xml:space="preserve"> </w:t>
      </w:r>
      <w:r w:rsidR="00B2346E">
        <w:rPr>
          <w:lang w:val="es-ES_tradnl"/>
        </w:rPr>
        <w:t>el documento</w:t>
      </w:r>
      <w:r w:rsidR="00936784" w:rsidRPr="00932F5A">
        <w:rPr>
          <w:lang w:val="es-ES_tradnl"/>
        </w:rPr>
        <w:t xml:space="preserve"> </w:t>
      </w:r>
      <w:r w:rsidR="005F1C91" w:rsidRPr="00932F5A">
        <w:rPr>
          <w:lang w:val="es-ES_tradnl"/>
        </w:rPr>
        <w:t>de</w:t>
      </w:r>
      <w:r w:rsidR="00936784" w:rsidRPr="00932F5A">
        <w:rPr>
          <w:lang w:val="es-ES_tradnl"/>
        </w:rPr>
        <w:t xml:space="preserve"> </w:t>
      </w:r>
      <w:r w:rsidR="005F1C91" w:rsidRPr="00932F5A">
        <w:rPr>
          <w:lang w:val="es-ES_tradnl"/>
        </w:rPr>
        <w:t>sesión</w:t>
      </w:r>
      <w:r w:rsidR="00936784" w:rsidRPr="00932F5A">
        <w:rPr>
          <w:lang w:val="es-ES_tradnl"/>
        </w:rPr>
        <w:t xml:space="preserve"> </w:t>
      </w:r>
      <w:r w:rsidR="005F1C91" w:rsidRPr="00932F5A">
        <w:rPr>
          <w:lang w:val="es-ES_tradnl"/>
        </w:rPr>
        <w:t>presentado</w:t>
      </w:r>
      <w:r w:rsidR="00936784" w:rsidRPr="00932F5A">
        <w:rPr>
          <w:lang w:val="es-ES_tradnl"/>
        </w:rPr>
        <w:t xml:space="preserve"> </w:t>
      </w:r>
      <w:r w:rsidR="005F1C91" w:rsidRPr="00932F5A">
        <w:rPr>
          <w:lang w:val="es-ES_tradnl"/>
        </w:rPr>
        <w:t>por</w:t>
      </w:r>
      <w:r w:rsidR="00936784" w:rsidRPr="00932F5A">
        <w:rPr>
          <w:lang w:val="es-ES_tradnl"/>
        </w:rPr>
        <w:t xml:space="preserve"> </w:t>
      </w:r>
      <w:r w:rsidR="003543D0" w:rsidRPr="00932F5A">
        <w:rPr>
          <w:lang w:val="es-ES_tradnl"/>
        </w:rPr>
        <w:t>el</w:t>
      </w:r>
      <w:r w:rsidR="00936784" w:rsidRPr="00932F5A">
        <w:rPr>
          <w:lang w:val="es-ES_tradnl"/>
        </w:rPr>
        <w:t xml:space="preserve"> </w:t>
      </w:r>
      <w:r w:rsidR="003543D0" w:rsidRPr="00932F5A">
        <w:rPr>
          <w:lang w:val="es-ES_tradnl"/>
        </w:rPr>
        <w:t>Gobierno</w:t>
      </w:r>
      <w:r w:rsidR="00936784" w:rsidRPr="00932F5A">
        <w:rPr>
          <w:lang w:val="es-ES_tradnl"/>
        </w:rPr>
        <w:t xml:space="preserve"> </w:t>
      </w:r>
      <w:r w:rsidR="003543D0" w:rsidRPr="00932F5A">
        <w:rPr>
          <w:lang w:val="es-ES_tradnl"/>
        </w:rPr>
        <w:t>de</w:t>
      </w:r>
      <w:r w:rsidR="00936784" w:rsidRPr="00932F5A">
        <w:rPr>
          <w:lang w:val="es-ES_tradnl"/>
        </w:rPr>
        <w:t xml:space="preserve"> </w:t>
      </w:r>
      <w:r w:rsidR="003847D9" w:rsidRPr="00932F5A">
        <w:rPr>
          <w:lang w:val="es-ES_tradnl"/>
        </w:rPr>
        <w:t>Austria</w:t>
      </w:r>
      <w:r w:rsidR="00936784" w:rsidRPr="00932F5A">
        <w:rPr>
          <w:lang w:val="es-ES_tradnl"/>
        </w:rPr>
        <w:t xml:space="preserve"> </w:t>
      </w:r>
      <w:r w:rsidR="008B2E22" w:rsidRPr="00932F5A">
        <w:rPr>
          <w:lang w:val="es-ES_tradnl"/>
        </w:rPr>
        <w:t>a</w:t>
      </w:r>
      <w:r w:rsidR="00936784" w:rsidRPr="00932F5A">
        <w:rPr>
          <w:lang w:val="es-ES_tradnl"/>
        </w:rPr>
        <w:t xml:space="preserve"> </w:t>
      </w:r>
      <w:r w:rsidR="008B2E22" w:rsidRPr="00932F5A">
        <w:rPr>
          <w:lang w:val="es-ES_tradnl"/>
        </w:rPr>
        <w:t>la</w:t>
      </w:r>
      <w:r w:rsidR="00936784" w:rsidRPr="00932F5A">
        <w:rPr>
          <w:lang w:val="es-ES_tradnl"/>
        </w:rPr>
        <w:t xml:space="preserve"> </w:t>
      </w:r>
      <w:r w:rsidR="008B2E22" w:rsidRPr="00932F5A">
        <w:rPr>
          <w:lang w:val="es-ES_tradnl"/>
        </w:rPr>
        <w:t>80</w:t>
      </w:r>
      <w:r w:rsidR="005F33A5">
        <w:rPr>
          <w:lang w:val="es-ES_tradnl"/>
        </w:rPr>
        <w:t>ª reunión</w:t>
      </w:r>
      <w:r w:rsidR="003847D9" w:rsidRPr="00932F5A">
        <w:rPr>
          <w:lang w:val="es-ES_tradnl"/>
        </w:rPr>
        <w:t>;</w:t>
      </w:r>
    </w:p>
    <w:p w14:paraId="7940E513" w14:textId="1711B7E9" w:rsidR="003847D9" w:rsidRPr="00932F5A" w:rsidRDefault="001D1CBB" w:rsidP="00F560C3">
      <w:pPr>
        <w:tabs>
          <w:tab w:val="left" w:pos="8280"/>
        </w:tabs>
        <w:ind w:left="720"/>
        <w:rPr>
          <w:u w:val="single"/>
          <w:lang w:val="es-ES_tradnl"/>
        </w:rPr>
      </w:pPr>
      <w:r w:rsidRPr="001D1CBB">
        <w:rPr>
          <w:u w:val="single"/>
          <w:lang w:val="es-ES_tradnl"/>
        </w:rPr>
        <w:t>Respecto de</w:t>
      </w:r>
      <w:r w:rsidR="00936784" w:rsidRPr="00932F5A">
        <w:rPr>
          <w:u w:val="single"/>
          <w:lang w:val="es-ES_tradnl"/>
        </w:rPr>
        <w:t xml:space="preserve"> </w:t>
      </w:r>
      <w:r w:rsidR="007642A6">
        <w:rPr>
          <w:u w:val="single"/>
          <w:lang w:val="es-ES_tradnl"/>
        </w:rPr>
        <w:t xml:space="preserve">la </w:t>
      </w:r>
      <w:r w:rsidR="00F475AB">
        <w:rPr>
          <w:u w:val="single"/>
          <w:lang w:val="es-ES_tradnl"/>
        </w:rPr>
        <w:t>eliminación</w:t>
      </w:r>
    </w:p>
    <w:p w14:paraId="49A111AC" w14:textId="77777777" w:rsidR="00F560C3" w:rsidRPr="00932F5A" w:rsidRDefault="00F560C3" w:rsidP="003847D9">
      <w:pPr>
        <w:tabs>
          <w:tab w:val="left" w:pos="8280"/>
        </w:tabs>
        <w:rPr>
          <w:lang w:val="es-ES_tradnl"/>
        </w:rPr>
      </w:pPr>
    </w:p>
    <w:p w14:paraId="432FD26B" w14:textId="597BC8EC" w:rsidR="003847D9" w:rsidRPr="00932F5A" w:rsidRDefault="002876CC" w:rsidP="00F560C3">
      <w:pPr>
        <w:pStyle w:val="Heading3"/>
        <w:rPr>
          <w:lang w:val="es-ES_tradnl"/>
        </w:rPr>
      </w:pPr>
      <w:r>
        <w:rPr>
          <w:lang w:val="es-ES_tradnl"/>
        </w:rPr>
        <w:t xml:space="preserve">En </w:t>
      </w:r>
      <w:r w:rsidR="00AC5F97" w:rsidRPr="00AC5F97">
        <w:rPr>
          <w:lang w:val="es-ES_tradnl"/>
        </w:rPr>
        <w:t>sus conversaciones sobre el elemento eliminación</w:t>
      </w:r>
      <w:r>
        <w:rPr>
          <w:lang w:val="es-ES_tradnl"/>
        </w:rPr>
        <w:t>, t</w:t>
      </w:r>
      <w:r w:rsidRPr="002876CC">
        <w:rPr>
          <w:lang w:val="es-ES_tradnl"/>
        </w:rPr>
        <w:t xml:space="preserve">omar en consideración </w:t>
      </w:r>
      <w:r w:rsidR="00DF3954">
        <w:rPr>
          <w:lang w:val="es-ES_tradnl"/>
        </w:rPr>
        <w:t xml:space="preserve">las </w:t>
      </w:r>
      <w:r w:rsidR="00762C85" w:rsidRPr="00932F5A">
        <w:rPr>
          <w:lang w:val="es-ES_tradnl"/>
        </w:rPr>
        <w:t>cuestiones</w:t>
      </w:r>
      <w:r w:rsidR="00936784" w:rsidRPr="00932F5A">
        <w:rPr>
          <w:lang w:val="es-ES_tradnl"/>
        </w:rPr>
        <w:t xml:space="preserve"> </w:t>
      </w:r>
      <w:r w:rsidR="00762C85" w:rsidRPr="00932F5A">
        <w:rPr>
          <w:lang w:val="es-ES_tradnl"/>
        </w:rPr>
        <w:t>relativas</w:t>
      </w:r>
      <w:r w:rsidR="00936784" w:rsidRPr="00932F5A">
        <w:rPr>
          <w:lang w:val="es-ES_tradnl"/>
        </w:rPr>
        <w:t xml:space="preserve"> </w:t>
      </w:r>
      <w:r w:rsidR="00F06D94">
        <w:rPr>
          <w:lang w:val="es-ES_tradnl"/>
        </w:rPr>
        <w:t xml:space="preserve">al </w:t>
      </w:r>
      <w:r w:rsidR="003543D0" w:rsidRPr="00932F5A">
        <w:rPr>
          <w:lang w:val="es-ES_tradnl"/>
        </w:rPr>
        <w:t>financiamiento</w:t>
      </w:r>
      <w:r w:rsidR="00936784" w:rsidRPr="00932F5A">
        <w:rPr>
          <w:lang w:val="es-ES_tradnl"/>
        </w:rPr>
        <w:t xml:space="preserve"> </w:t>
      </w:r>
      <w:r w:rsidR="00F06D94">
        <w:rPr>
          <w:lang w:val="es-ES_tradnl"/>
        </w:rPr>
        <w:t xml:space="preserve">de la </w:t>
      </w:r>
      <w:r w:rsidR="006D1078">
        <w:rPr>
          <w:lang w:val="es-ES_tradnl"/>
        </w:rPr>
        <w:t>gestión económica</w:t>
      </w:r>
      <w:r w:rsidR="00936784" w:rsidRPr="00932F5A">
        <w:rPr>
          <w:lang w:val="es-ES_tradnl"/>
        </w:rPr>
        <w:t xml:space="preserve"> </w:t>
      </w:r>
      <w:r w:rsidR="0060361F" w:rsidRPr="0060361F">
        <w:rPr>
          <w:lang w:val="es-ES_tradnl"/>
        </w:rPr>
        <w:t xml:space="preserve">de acopios de sustancias controladas agotadas o desechadas, </w:t>
      </w:r>
      <w:r w:rsidR="00A179C5">
        <w:rPr>
          <w:lang w:val="es-ES_tradnl"/>
        </w:rPr>
        <w:t>incluyendo su destrucción</w:t>
      </w:r>
      <w:r w:rsidR="0060361F" w:rsidRPr="0060361F">
        <w:rPr>
          <w:lang w:val="es-ES_tradnl"/>
        </w:rPr>
        <w:t xml:space="preserve">, a la luz del documento sobre eliminación de SAO que elabora la Secretaría en respuesta a la decisión </w:t>
      </w:r>
      <w:r w:rsidR="00430B11">
        <w:rPr>
          <w:lang w:val="es-ES_tradnl"/>
        </w:rPr>
        <w:t>79/18(e)</w:t>
      </w:r>
      <w:r w:rsidR="000040AC">
        <w:rPr>
          <w:lang w:val="es-ES_tradnl"/>
        </w:rPr>
        <w:t>,</w:t>
      </w:r>
      <w:r w:rsidR="00430B11">
        <w:rPr>
          <w:lang w:val="es-ES_tradnl"/>
        </w:rPr>
        <w:t xml:space="preserve"> </w:t>
      </w:r>
      <w:r w:rsidR="00E40FDC">
        <w:rPr>
          <w:lang w:val="es-ES_tradnl"/>
        </w:rPr>
        <w:t>según se</w:t>
      </w:r>
      <w:r w:rsidR="00430B11">
        <w:rPr>
          <w:lang w:val="es-ES_tradnl"/>
        </w:rPr>
        <w:t xml:space="preserve"> recoge </w:t>
      </w:r>
      <w:r w:rsidR="00E40FDC">
        <w:rPr>
          <w:lang w:val="es-ES_tradnl"/>
        </w:rPr>
        <w:t xml:space="preserve">en </w:t>
      </w:r>
      <w:r w:rsidR="00936784" w:rsidRPr="00932F5A">
        <w:rPr>
          <w:lang w:val="es-ES_tradnl"/>
        </w:rPr>
        <w:t xml:space="preserve">el documento </w:t>
      </w:r>
      <w:r w:rsidR="00EA4DA0" w:rsidRPr="00932F5A">
        <w:rPr>
          <w:lang w:val="es-ES_tradnl"/>
        </w:rPr>
        <w:t>UNEP/OzL.Pro</w:t>
      </w:r>
      <w:r w:rsidR="00C2751B">
        <w:rPr>
          <w:lang w:val="es-ES_tradnl"/>
        </w:rPr>
        <w:t>/ExCom/82/2</w:t>
      </w:r>
      <w:r w:rsidR="00DD2791">
        <w:rPr>
          <w:lang w:val="es-ES_tradnl"/>
        </w:rPr>
        <w:t>1</w:t>
      </w:r>
      <w:r w:rsidR="003847D9" w:rsidRPr="00932F5A">
        <w:rPr>
          <w:lang w:val="es-ES_tradnl"/>
        </w:rPr>
        <w:t>;</w:t>
      </w:r>
    </w:p>
    <w:p w14:paraId="1CA83208" w14:textId="0206313D" w:rsidR="003847D9" w:rsidRPr="00932F5A" w:rsidRDefault="00A4641B" w:rsidP="00F560C3">
      <w:pPr>
        <w:pStyle w:val="Heading3"/>
        <w:rPr>
          <w:lang w:val="es-ES_tradnl"/>
        </w:rPr>
      </w:pPr>
      <w:r>
        <w:rPr>
          <w:lang w:val="es-ES_tradnl"/>
        </w:rPr>
        <w:t>Una vez acordada</w:t>
      </w:r>
      <w:r w:rsidR="00561264">
        <w:rPr>
          <w:lang w:val="es-ES_tradnl"/>
        </w:rPr>
        <w:t xml:space="preserve">, considerar la incorporación </w:t>
      </w:r>
      <w:r w:rsidR="00FB401A" w:rsidRPr="00FB401A">
        <w:rPr>
          <w:lang w:val="es-ES_tradnl"/>
        </w:rPr>
        <w:t xml:space="preserve">al Anexo I al presente documento </w:t>
      </w:r>
      <w:r w:rsidR="00561264">
        <w:rPr>
          <w:lang w:val="es-ES_tradnl"/>
        </w:rPr>
        <w:t>de cualquier decisión</w:t>
      </w:r>
      <w:r w:rsidR="00936784" w:rsidRPr="00932F5A">
        <w:rPr>
          <w:lang w:val="es-ES_tradnl"/>
        </w:rPr>
        <w:t xml:space="preserve"> </w:t>
      </w:r>
      <w:r w:rsidR="008460AF">
        <w:rPr>
          <w:lang w:val="es-ES_tradnl"/>
        </w:rPr>
        <w:t>relativa</w:t>
      </w:r>
      <w:r w:rsidR="00932F5A">
        <w:rPr>
          <w:lang w:val="es-ES_tradnl"/>
        </w:rPr>
        <w:t xml:space="preserve"> a</w:t>
      </w:r>
      <w:r w:rsidR="00936784" w:rsidRPr="00932F5A">
        <w:rPr>
          <w:lang w:val="es-ES_tradnl"/>
        </w:rPr>
        <w:t xml:space="preserve"> </w:t>
      </w:r>
      <w:r w:rsidR="00437948">
        <w:rPr>
          <w:lang w:val="es-ES_tradnl"/>
        </w:rPr>
        <w:t xml:space="preserve">eliminación </w:t>
      </w:r>
      <w:r w:rsidR="003543D0" w:rsidRPr="00932F5A">
        <w:rPr>
          <w:lang w:val="es-ES_tradnl"/>
        </w:rPr>
        <w:t>y</w:t>
      </w:r>
      <w:r w:rsidR="003847D9" w:rsidRPr="00932F5A">
        <w:rPr>
          <w:lang w:val="es-ES_tradnl"/>
        </w:rPr>
        <w:t>,</w:t>
      </w:r>
      <w:r w:rsidR="00936784" w:rsidRPr="00932F5A">
        <w:rPr>
          <w:lang w:val="es-ES_tradnl"/>
        </w:rPr>
        <w:t xml:space="preserve"> </w:t>
      </w:r>
      <w:r w:rsidR="00D352E8" w:rsidRPr="00932F5A">
        <w:rPr>
          <w:lang w:val="es-ES_tradnl"/>
        </w:rPr>
        <w:t>en</w:t>
      </w:r>
      <w:r w:rsidR="00936784" w:rsidRPr="00932F5A">
        <w:rPr>
          <w:lang w:val="es-ES_tradnl"/>
        </w:rPr>
        <w:t xml:space="preserve"> </w:t>
      </w:r>
      <w:r w:rsidR="00D352E8" w:rsidRPr="00932F5A">
        <w:rPr>
          <w:lang w:val="es-ES_tradnl"/>
        </w:rPr>
        <w:t>consecuencia,</w:t>
      </w:r>
      <w:r w:rsidR="00936784" w:rsidRPr="00932F5A">
        <w:rPr>
          <w:lang w:val="es-ES_tradnl"/>
        </w:rPr>
        <w:t xml:space="preserve"> </w:t>
      </w:r>
      <w:r w:rsidR="00032327" w:rsidRPr="00032327">
        <w:rPr>
          <w:lang w:val="es-ES_tradnl"/>
        </w:rPr>
        <w:t>suprimir el texto relacionado que figura en el Anexo II</w:t>
      </w:r>
      <w:r w:rsidR="003847D9" w:rsidRPr="00932F5A">
        <w:rPr>
          <w:lang w:val="es-ES_tradnl"/>
        </w:rPr>
        <w:t>;</w:t>
      </w:r>
      <w:r w:rsidR="00936784" w:rsidRPr="00932F5A">
        <w:rPr>
          <w:lang w:val="es-ES_tradnl"/>
        </w:rPr>
        <w:t xml:space="preserve"> </w:t>
      </w:r>
      <w:r w:rsidR="003543D0" w:rsidRPr="00932F5A">
        <w:rPr>
          <w:lang w:val="es-ES_tradnl"/>
        </w:rPr>
        <w:t>y</w:t>
      </w:r>
    </w:p>
    <w:p w14:paraId="7B942A9B" w14:textId="071D6E6E" w:rsidR="003847D9" w:rsidRPr="00932F5A" w:rsidRDefault="008257F0" w:rsidP="00F560C3">
      <w:pPr>
        <w:tabs>
          <w:tab w:val="left" w:pos="8280"/>
        </w:tabs>
        <w:ind w:left="720"/>
        <w:rPr>
          <w:u w:val="single"/>
          <w:lang w:val="es-ES_tradnl"/>
        </w:rPr>
      </w:pPr>
      <w:r w:rsidRPr="008257F0">
        <w:rPr>
          <w:u w:val="single"/>
          <w:lang w:val="es-ES_tradnl"/>
        </w:rPr>
        <w:t xml:space="preserve">Respecto de </w:t>
      </w:r>
      <w:r w:rsidR="0097598C">
        <w:rPr>
          <w:u w:val="single"/>
          <w:lang w:val="es-ES_tradnl"/>
        </w:rPr>
        <w:t>otras materias</w:t>
      </w:r>
      <w:r w:rsidR="00E44707">
        <w:rPr>
          <w:u w:val="single"/>
          <w:lang w:val="es-ES_tradnl"/>
        </w:rPr>
        <w:t xml:space="preserve"> generales</w:t>
      </w:r>
      <w:r w:rsidR="00936784" w:rsidRPr="00932F5A">
        <w:rPr>
          <w:u w:val="single"/>
          <w:lang w:val="es-ES_tradnl"/>
        </w:rPr>
        <w:t xml:space="preserve"> </w:t>
      </w:r>
      <w:r w:rsidR="0097598C">
        <w:rPr>
          <w:u w:val="single"/>
          <w:lang w:val="es-ES_tradnl"/>
        </w:rPr>
        <w:t>relativa</w:t>
      </w:r>
      <w:r w:rsidR="00310F20">
        <w:rPr>
          <w:u w:val="single"/>
          <w:lang w:val="es-ES_tradnl"/>
        </w:rPr>
        <w:t>s a la</w:t>
      </w:r>
      <w:r w:rsidR="00936784" w:rsidRPr="00932F5A">
        <w:rPr>
          <w:u w:val="single"/>
          <w:lang w:val="es-ES_tradnl"/>
        </w:rPr>
        <w:t xml:space="preserve"> </w:t>
      </w:r>
      <w:r w:rsidR="005F1C91" w:rsidRPr="00932F5A">
        <w:rPr>
          <w:u w:val="single"/>
          <w:lang w:val="es-ES_tradnl"/>
        </w:rPr>
        <w:t>reducción</w:t>
      </w:r>
      <w:r w:rsidR="00936784" w:rsidRPr="00932F5A">
        <w:rPr>
          <w:u w:val="single"/>
          <w:lang w:val="es-ES_tradnl"/>
        </w:rPr>
        <w:t xml:space="preserve"> </w:t>
      </w:r>
      <w:r w:rsidR="005F1C91" w:rsidRPr="00932F5A">
        <w:rPr>
          <w:u w:val="single"/>
          <w:lang w:val="es-ES_tradnl"/>
        </w:rPr>
        <w:t>de</w:t>
      </w:r>
      <w:r w:rsidR="00936784" w:rsidRPr="00932F5A">
        <w:rPr>
          <w:u w:val="single"/>
          <w:lang w:val="es-ES_tradnl"/>
        </w:rPr>
        <w:t xml:space="preserve"> </w:t>
      </w:r>
      <w:r w:rsidR="005F1C91" w:rsidRPr="00932F5A">
        <w:rPr>
          <w:u w:val="single"/>
          <w:lang w:val="es-ES_tradnl"/>
        </w:rPr>
        <w:t>los</w:t>
      </w:r>
      <w:r w:rsidR="00936784" w:rsidRPr="00932F5A">
        <w:rPr>
          <w:u w:val="single"/>
          <w:lang w:val="es-ES_tradnl"/>
        </w:rPr>
        <w:t xml:space="preserve"> </w:t>
      </w:r>
      <w:r w:rsidR="005F1C91" w:rsidRPr="00932F5A">
        <w:rPr>
          <w:u w:val="single"/>
          <w:lang w:val="es-ES_tradnl"/>
        </w:rPr>
        <w:t>HFC</w:t>
      </w:r>
    </w:p>
    <w:p w14:paraId="7E336402" w14:textId="77777777" w:rsidR="00F560C3" w:rsidRPr="00932F5A" w:rsidRDefault="00F560C3" w:rsidP="003847D9">
      <w:pPr>
        <w:tabs>
          <w:tab w:val="left" w:pos="8280"/>
        </w:tabs>
        <w:rPr>
          <w:lang w:val="es-ES_tradnl"/>
        </w:rPr>
      </w:pPr>
    </w:p>
    <w:p w14:paraId="07F9C490" w14:textId="4EE5A8A5" w:rsidR="00052C5C" w:rsidRPr="00601B6F" w:rsidRDefault="00431F01" w:rsidP="001C3C80">
      <w:pPr>
        <w:pStyle w:val="Heading3"/>
        <w:tabs>
          <w:tab w:val="left" w:pos="8280"/>
        </w:tabs>
        <w:rPr>
          <w:lang w:val="es-ES_tradnl"/>
        </w:rPr>
      </w:pPr>
      <w:r w:rsidRPr="00601B6F">
        <w:rPr>
          <w:lang w:val="es-ES_tradnl"/>
        </w:rPr>
        <w:t>Considerar</w:t>
      </w:r>
      <w:r w:rsidR="00936784" w:rsidRPr="00601B6F">
        <w:rPr>
          <w:lang w:val="es-ES_tradnl"/>
        </w:rPr>
        <w:t xml:space="preserve"> </w:t>
      </w:r>
      <w:r w:rsidR="00956228" w:rsidRPr="00601B6F">
        <w:rPr>
          <w:lang w:val="es-ES_tradnl"/>
        </w:rPr>
        <w:t xml:space="preserve">la incorporación </w:t>
      </w:r>
      <w:r w:rsidR="00AC616E" w:rsidRPr="00601B6F">
        <w:rPr>
          <w:lang w:val="es-ES_tradnl"/>
        </w:rPr>
        <w:t xml:space="preserve">al Anexo I </w:t>
      </w:r>
      <w:r w:rsidR="005C530B" w:rsidRPr="00601B6F">
        <w:rPr>
          <w:lang w:val="es-ES_tradnl"/>
        </w:rPr>
        <w:t>d</w:t>
      </w:r>
      <w:r w:rsidR="008C09B3" w:rsidRPr="00601B6F">
        <w:rPr>
          <w:lang w:val="es-ES_tradnl"/>
        </w:rPr>
        <w:t xml:space="preserve">el texto relativo a </w:t>
      </w:r>
      <w:r w:rsidR="0072505B" w:rsidRPr="00601B6F">
        <w:rPr>
          <w:lang w:val="es-ES_tradnl"/>
        </w:rPr>
        <w:t>“</w:t>
      </w:r>
      <w:r w:rsidR="0097598C" w:rsidRPr="00601B6F">
        <w:rPr>
          <w:lang w:val="es-ES_tradnl"/>
        </w:rPr>
        <w:t>otras materias</w:t>
      </w:r>
      <w:r w:rsidR="00E44707" w:rsidRPr="00601B6F">
        <w:rPr>
          <w:lang w:val="es-ES_tradnl"/>
        </w:rPr>
        <w:t xml:space="preserve"> generales</w:t>
      </w:r>
      <w:r w:rsidR="00936784" w:rsidRPr="00601B6F">
        <w:rPr>
          <w:lang w:val="es-ES_tradnl"/>
        </w:rPr>
        <w:t xml:space="preserve"> </w:t>
      </w:r>
      <w:r w:rsidR="00DB1B07" w:rsidRPr="00601B6F">
        <w:rPr>
          <w:lang w:val="es-ES_tradnl"/>
        </w:rPr>
        <w:t>relativa</w:t>
      </w:r>
      <w:r w:rsidR="00310F20" w:rsidRPr="00601B6F">
        <w:rPr>
          <w:lang w:val="es-ES_tradnl"/>
        </w:rPr>
        <w:t>s a la</w:t>
      </w:r>
      <w:r w:rsidR="00936784" w:rsidRPr="00601B6F">
        <w:rPr>
          <w:lang w:val="es-ES_tradnl"/>
        </w:rPr>
        <w:t xml:space="preserve"> </w:t>
      </w:r>
      <w:r w:rsidR="005F1C91" w:rsidRPr="00601B6F">
        <w:rPr>
          <w:lang w:val="es-ES_tradnl"/>
        </w:rPr>
        <w:t>reducción</w:t>
      </w:r>
      <w:r w:rsidR="00936784" w:rsidRPr="00601B6F">
        <w:rPr>
          <w:lang w:val="es-ES_tradnl"/>
        </w:rPr>
        <w:t xml:space="preserve"> </w:t>
      </w:r>
      <w:r w:rsidR="005F1C91" w:rsidRPr="00601B6F">
        <w:rPr>
          <w:lang w:val="es-ES_tradnl"/>
        </w:rPr>
        <w:t>de</w:t>
      </w:r>
      <w:r w:rsidR="00936784" w:rsidRPr="00601B6F">
        <w:rPr>
          <w:lang w:val="es-ES_tradnl"/>
        </w:rPr>
        <w:t xml:space="preserve"> </w:t>
      </w:r>
      <w:r w:rsidR="005F1C91" w:rsidRPr="00601B6F">
        <w:rPr>
          <w:lang w:val="es-ES_tradnl"/>
        </w:rPr>
        <w:t>los</w:t>
      </w:r>
      <w:r w:rsidR="00936784" w:rsidRPr="00601B6F">
        <w:rPr>
          <w:lang w:val="es-ES_tradnl"/>
        </w:rPr>
        <w:t xml:space="preserve"> </w:t>
      </w:r>
      <w:r w:rsidR="005F1C91" w:rsidRPr="00601B6F">
        <w:rPr>
          <w:lang w:val="es-ES_tradnl"/>
        </w:rPr>
        <w:t>HFC</w:t>
      </w:r>
      <w:r w:rsidR="0072505B" w:rsidRPr="00601B6F">
        <w:rPr>
          <w:lang w:val="es-ES_tradnl"/>
        </w:rPr>
        <w:t>”</w:t>
      </w:r>
      <w:r w:rsidR="00936784" w:rsidRPr="00601B6F">
        <w:rPr>
          <w:lang w:val="es-ES_tradnl"/>
        </w:rPr>
        <w:t xml:space="preserve"> que figura en el Anexo </w:t>
      </w:r>
      <w:r w:rsidR="003847D9" w:rsidRPr="00601B6F">
        <w:rPr>
          <w:lang w:val="es-ES_tradnl"/>
        </w:rPr>
        <w:t>II,</w:t>
      </w:r>
      <w:r w:rsidR="00936784" w:rsidRPr="00601B6F">
        <w:rPr>
          <w:lang w:val="es-ES_tradnl"/>
        </w:rPr>
        <w:t xml:space="preserve"> </w:t>
      </w:r>
      <w:r w:rsidR="003543D0" w:rsidRPr="00601B6F">
        <w:rPr>
          <w:lang w:val="es-ES_tradnl"/>
        </w:rPr>
        <w:t>o</w:t>
      </w:r>
      <w:r w:rsidR="00936784" w:rsidRPr="00601B6F">
        <w:rPr>
          <w:lang w:val="es-ES_tradnl"/>
        </w:rPr>
        <w:t xml:space="preserve"> </w:t>
      </w:r>
      <w:r w:rsidR="00443C56" w:rsidRPr="00601B6F">
        <w:rPr>
          <w:lang w:val="es-ES_tradnl"/>
        </w:rPr>
        <w:t>en su defecto</w:t>
      </w:r>
      <w:r w:rsidR="00C5527D" w:rsidRPr="00601B6F">
        <w:rPr>
          <w:lang w:val="es-ES_tradnl"/>
        </w:rPr>
        <w:t xml:space="preserve"> diferir su </w:t>
      </w:r>
      <w:r w:rsidR="00EA4DA0" w:rsidRPr="00601B6F">
        <w:rPr>
          <w:lang w:val="es-ES_tradnl"/>
        </w:rPr>
        <w:t>consideración</w:t>
      </w:r>
      <w:r w:rsidR="00936784" w:rsidRPr="00601B6F">
        <w:rPr>
          <w:lang w:val="es-ES_tradnl"/>
        </w:rPr>
        <w:t xml:space="preserve"> </w:t>
      </w:r>
      <w:r w:rsidR="003847D9" w:rsidRPr="00601B6F">
        <w:rPr>
          <w:lang w:val="es-ES_tradnl"/>
        </w:rPr>
        <w:t>a</w:t>
      </w:r>
      <w:r w:rsidR="00936784" w:rsidRPr="00601B6F">
        <w:rPr>
          <w:lang w:val="es-ES_tradnl"/>
        </w:rPr>
        <w:t xml:space="preserve"> </w:t>
      </w:r>
      <w:r w:rsidR="009B31D2" w:rsidRPr="00601B6F">
        <w:rPr>
          <w:lang w:val="es-ES_tradnl"/>
        </w:rPr>
        <w:t xml:space="preserve">una </w:t>
      </w:r>
      <w:r w:rsidR="00197A00" w:rsidRPr="00601B6F">
        <w:rPr>
          <w:lang w:val="es-ES_tradnl"/>
        </w:rPr>
        <w:t>futura</w:t>
      </w:r>
      <w:r w:rsidR="00936784" w:rsidRPr="00601B6F">
        <w:rPr>
          <w:lang w:val="es-ES_tradnl"/>
        </w:rPr>
        <w:t xml:space="preserve"> </w:t>
      </w:r>
      <w:r w:rsidR="00EE37B0" w:rsidRPr="00601B6F">
        <w:rPr>
          <w:lang w:val="es-ES_tradnl"/>
        </w:rPr>
        <w:t>reunión</w:t>
      </w:r>
      <w:r w:rsidR="003847D9" w:rsidRPr="00601B6F">
        <w:rPr>
          <w:lang w:val="es-ES_tradnl"/>
        </w:rPr>
        <w:t>.</w:t>
      </w:r>
    </w:p>
    <w:p w14:paraId="13F66FBA" w14:textId="7542D2AF" w:rsidR="00F560C3" w:rsidRDefault="00F560C3" w:rsidP="001C3C80">
      <w:pPr>
        <w:tabs>
          <w:tab w:val="left" w:pos="8280"/>
        </w:tabs>
        <w:rPr>
          <w:lang w:val="es-ES_tradnl"/>
        </w:rPr>
      </w:pPr>
    </w:p>
    <w:p w14:paraId="1F998AAC" w14:textId="77777777" w:rsidR="001A732C" w:rsidRPr="00932F5A" w:rsidRDefault="001A732C" w:rsidP="001C3C80">
      <w:pPr>
        <w:tabs>
          <w:tab w:val="left" w:pos="8280"/>
        </w:tabs>
        <w:rPr>
          <w:lang w:val="es-ES_tradnl"/>
        </w:rPr>
        <w:sectPr w:rsidR="001A732C" w:rsidRPr="00932F5A" w:rsidSect="00834009">
          <w:headerReference w:type="even" r:id="rId10"/>
          <w:headerReference w:type="default" r:id="rId11"/>
          <w:footerReference w:type="even" r:id="rId12"/>
          <w:footerReference w:type="default" r:id="rId13"/>
          <w:footerReference w:type="first" r:id="rId14"/>
          <w:footnotePr>
            <w:pos w:val="beneathText"/>
            <w:numRestart w:val="eachSect"/>
          </w:footnotePr>
          <w:pgSz w:w="12240" w:h="15840" w:code="1"/>
          <w:pgMar w:top="720" w:right="1440" w:bottom="862" w:left="1440" w:header="720" w:footer="476" w:gutter="0"/>
          <w:cols w:space="720"/>
          <w:titlePg/>
        </w:sectPr>
      </w:pPr>
    </w:p>
    <w:p w14:paraId="7028FAE0" w14:textId="6C3EB6DF" w:rsidR="00F560C3" w:rsidRPr="00932F5A" w:rsidRDefault="00D352E8" w:rsidP="00F560C3">
      <w:pPr>
        <w:tabs>
          <w:tab w:val="left" w:pos="8280"/>
        </w:tabs>
        <w:jc w:val="center"/>
        <w:rPr>
          <w:b/>
          <w:lang w:val="es-ES_tradnl"/>
        </w:rPr>
      </w:pPr>
      <w:r w:rsidRPr="00932F5A">
        <w:rPr>
          <w:b/>
          <w:lang w:val="es-ES_tradnl"/>
        </w:rPr>
        <w:lastRenderedPageBreak/>
        <w:t>Anexo</w:t>
      </w:r>
      <w:r w:rsidR="00936784" w:rsidRPr="00932F5A">
        <w:rPr>
          <w:b/>
          <w:lang w:val="es-ES_tradnl"/>
        </w:rPr>
        <w:t xml:space="preserve"> </w:t>
      </w:r>
      <w:r w:rsidR="00F560C3" w:rsidRPr="00932F5A">
        <w:rPr>
          <w:b/>
          <w:lang w:val="es-ES_tradnl"/>
        </w:rPr>
        <w:t>I</w:t>
      </w:r>
    </w:p>
    <w:p w14:paraId="33F94BB2" w14:textId="77777777" w:rsidR="00B97F67" w:rsidRDefault="00B97F67" w:rsidP="00F560C3">
      <w:pPr>
        <w:tabs>
          <w:tab w:val="left" w:pos="8280"/>
        </w:tabs>
        <w:jc w:val="center"/>
        <w:rPr>
          <w:b/>
          <w:lang w:val="es-ES_tradnl"/>
        </w:rPr>
      </w:pPr>
    </w:p>
    <w:p w14:paraId="36A1B3CF" w14:textId="0B3CBBB2" w:rsidR="00435B11" w:rsidRPr="00932F5A" w:rsidRDefault="00435B11" w:rsidP="00A768E3">
      <w:pPr>
        <w:pStyle w:val="Heading2"/>
        <w:keepNext/>
        <w:widowControl/>
        <w:numPr>
          <w:ilvl w:val="0"/>
          <w:numId w:val="0"/>
        </w:numPr>
        <w:spacing w:after="120"/>
        <w:ind w:left="1440"/>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932F5A" w14:paraId="0576E8B3" w14:textId="77777777" w:rsidTr="008456EF">
        <w:tc>
          <w:tcPr>
            <w:tcW w:w="1871" w:type="dxa"/>
          </w:tcPr>
          <w:p w14:paraId="747BE9DB" w14:textId="77777777" w:rsidR="00052C5C" w:rsidRPr="00932F5A" w:rsidRDefault="00052C5C" w:rsidP="00052C5C">
            <w:pPr>
              <w:tabs>
                <w:tab w:val="left" w:pos="8280"/>
              </w:tabs>
              <w:rPr>
                <w:lang w:val="es-ES_tradnl"/>
              </w:rPr>
            </w:pPr>
          </w:p>
        </w:tc>
        <w:tc>
          <w:tcPr>
            <w:tcW w:w="1872" w:type="dxa"/>
          </w:tcPr>
          <w:p w14:paraId="50C778B5" w14:textId="77777777" w:rsidR="00052C5C" w:rsidRPr="00932F5A" w:rsidRDefault="00052C5C" w:rsidP="00052C5C">
            <w:pPr>
              <w:tabs>
                <w:tab w:val="left" w:pos="8280"/>
              </w:tabs>
              <w:rPr>
                <w:lang w:val="es-ES_tradnl"/>
              </w:rPr>
            </w:pPr>
          </w:p>
        </w:tc>
        <w:tc>
          <w:tcPr>
            <w:tcW w:w="1872" w:type="dxa"/>
            <w:tcBorders>
              <w:bottom w:val="single" w:sz="4" w:space="0" w:color="auto"/>
            </w:tcBorders>
          </w:tcPr>
          <w:p w14:paraId="0F6EA53A" w14:textId="77777777" w:rsidR="00052C5C" w:rsidRPr="00932F5A" w:rsidRDefault="00052C5C" w:rsidP="00052C5C">
            <w:pPr>
              <w:tabs>
                <w:tab w:val="left" w:pos="8280"/>
              </w:tabs>
              <w:rPr>
                <w:lang w:val="es-ES_tradnl"/>
              </w:rPr>
            </w:pPr>
          </w:p>
        </w:tc>
        <w:tc>
          <w:tcPr>
            <w:tcW w:w="1872" w:type="dxa"/>
          </w:tcPr>
          <w:p w14:paraId="22C56402" w14:textId="77777777" w:rsidR="00052C5C" w:rsidRPr="00932F5A" w:rsidRDefault="00052C5C" w:rsidP="00052C5C">
            <w:pPr>
              <w:tabs>
                <w:tab w:val="left" w:pos="8280"/>
              </w:tabs>
              <w:rPr>
                <w:lang w:val="es-ES_tradnl"/>
              </w:rPr>
            </w:pPr>
          </w:p>
        </w:tc>
        <w:tc>
          <w:tcPr>
            <w:tcW w:w="1873" w:type="dxa"/>
          </w:tcPr>
          <w:p w14:paraId="099A7493" w14:textId="77777777" w:rsidR="00052C5C" w:rsidRPr="00932F5A" w:rsidRDefault="00052C5C" w:rsidP="00052C5C">
            <w:pPr>
              <w:tabs>
                <w:tab w:val="left" w:pos="8280"/>
              </w:tabs>
              <w:rPr>
                <w:lang w:val="es-ES_tradnl"/>
              </w:rPr>
            </w:pPr>
          </w:p>
        </w:tc>
      </w:tr>
    </w:tbl>
    <w:p w14:paraId="3DC9BE78" w14:textId="77777777" w:rsidR="00052C5C" w:rsidRPr="00932F5A" w:rsidRDefault="00052C5C" w:rsidP="00052C5C">
      <w:pPr>
        <w:tabs>
          <w:tab w:val="left" w:pos="8280"/>
        </w:tabs>
        <w:rPr>
          <w:lang w:val="es-ES_tradnl"/>
        </w:rPr>
      </w:pPr>
    </w:p>
    <w:sectPr w:rsidR="00052C5C" w:rsidRPr="00932F5A" w:rsidSect="00E8201A">
      <w:headerReference w:type="even" r:id="rId15"/>
      <w:headerReference w:type="default" r:id="rId16"/>
      <w:footerReference w:type="even" r:id="rId17"/>
      <w:footnotePr>
        <w:numRestart w:val="eachSect"/>
      </w:footnotePr>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97E60" w14:textId="77777777" w:rsidR="001D2F48" w:rsidRDefault="001D2F48" w:rsidP="004A504B">
      <w:r>
        <w:separator/>
      </w:r>
    </w:p>
  </w:endnote>
  <w:endnote w:type="continuationSeparator" w:id="0">
    <w:p w14:paraId="328EA749" w14:textId="77777777" w:rsidR="001D2F48" w:rsidRDefault="001D2F4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A3AF3" w14:textId="3533E161" w:rsidR="004517FC" w:rsidRPr="0033525D" w:rsidRDefault="004517FC">
    <w:pPr>
      <w:jc w:val="center"/>
    </w:pPr>
    <w:r>
      <w:fldChar w:fldCharType="begin"/>
    </w:r>
    <w:r>
      <w:instrText xml:space="preserve"> PAGE </w:instrText>
    </w:r>
    <w:r>
      <w:fldChar w:fldCharType="separate"/>
    </w:r>
    <w:r w:rsidR="006945DC">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FA58" w14:textId="58649F5B" w:rsidR="004517FC" w:rsidRPr="00B12D1E" w:rsidRDefault="004517FC">
    <w:pPr>
      <w:jc w:val="center"/>
      <w:rPr>
        <w:lang w:val="es-ES_tradnl"/>
      </w:rPr>
    </w:pPr>
    <w:r w:rsidRPr="00B12D1E">
      <w:rPr>
        <w:lang w:val="es-ES_tradnl"/>
      </w:rPr>
      <w:fldChar w:fldCharType="begin"/>
    </w:r>
    <w:r w:rsidRPr="00B12D1E">
      <w:rPr>
        <w:lang w:val="es-ES_tradnl"/>
      </w:rPr>
      <w:instrText xml:space="preserve"> PAGE </w:instrText>
    </w:r>
    <w:r w:rsidRPr="00B12D1E">
      <w:rPr>
        <w:lang w:val="es-ES_tradnl"/>
      </w:rPr>
      <w:fldChar w:fldCharType="separate"/>
    </w:r>
    <w:r w:rsidR="006945DC">
      <w:rPr>
        <w:noProof/>
        <w:lang w:val="es-ES_tradnl"/>
      </w:rPr>
      <w:t>5</w:t>
    </w:r>
    <w:r w:rsidRPr="00B12D1E">
      <w:rPr>
        <w:noProof/>
        <w:lang w:val="es-ES_tradn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209C" w14:textId="0C2342C8" w:rsidR="004517FC" w:rsidRPr="00B86E1F" w:rsidRDefault="00BF1A55" w:rsidP="004E7F9C">
    <w:pPr>
      <w:pBdr>
        <w:top w:val="single" w:sz="4" w:space="1" w:color="auto"/>
        <w:left w:val="single" w:sz="4" w:space="4" w:color="auto"/>
        <w:bottom w:val="single" w:sz="4" w:space="1" w:color="auto"/>
        <w:right w:val="single" w:sz="4" w:space="4" w:color="auto"/>
      </w:pBdr>
      <w:jc w:val="center"/>
      <w:rPr>
        <w:sz w:val="18"/>
        <w:szCs w:val="18"/>
        <w:lang w:val="es-ES_tradnl"/>
      </w:rPr>
    </w:pPr>
    <w:r w:rsidRPr="00B86E1F">
      <w:rPr>
        <w:sz w:val="18"/>
        <w:szCs w:val="18"/>
        <w:lang w:val="es-ES_tradnl"/>
      </w:rPr>
      <w:t>Los documentos previos al período de sesiones del Comité Ejecutivo del Fondo Multilateral para la Aplicación del Protocolo de Montreal no van en perjuicio de las decisiones que el Comité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C06D" w14:textId="77777777" w:rsidR="00E8201A" w:rsidRPr="0033525D" w:rsidRDefault="00E8201A">
    <w:pPr>
      <w:jc w:val="center"/>
    </w:pPr>
    <w:r>
      <w:fldChar w:fldCharType="begin"/>
    </w:r>
    <w:r>
      <w:instrText xml:space="preserve"> PAGE </w:instrText>
    </w:r>
    <w:r>
      <w:fldChar w:fldCharType="separate"/>
    </w:r>
    <w:r w:rsidR="008456E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10C21" w14:textId="77777777" w:rsidR="001D2F48" w:rsidRDefault="001D2F48" w:rsidP="004A504B">
      <w:r>
        <w:separator/>
      </w:r>
    </w:p>
  </w:footnote>
  <w:footnote w:type="continuationSeparator" w:id="0">
    <w:p w14:paraId="7F8B432E" w14:textId="77777777" w:rsidR="001D2F48" w:rsidRDefault="001D2F48" w:rsidP="004A504B">
      <w:r>
        <w:continuationSeparator/>
      </w:r>
    </w:p>
  </w:footnote>
  <w:footnote w:id="1">
    <w:p w14:paraId="039A5E51" w14:textId="561CF860" w:rsidR="006100BE" w:rsidRPr="00AF79F1" w:rsidRDefault="006100BE" w:rsidP="00B12D1E">
      <w:pPr>
        <w:pStyle w:val="FootnoteText"/>
        <w:jc w:val="left"/>
        <w:rPr>
          <w:lang w:val="es-ES_tradnl"/>
        </w:rPr>
      </w:pPr>
      <w:r w:rsidRPr="00AF79F1">
        <w:rPr>
          <w:rStyle w:val="FootnoteReference"/>
          <w:lang w:val="es-ES_tradnl"/>
        </w:rPr>
        <w:footnoteRef/>
      </w:r>
      <w:r w:rsidR="00F60BFA" w:rsidRPr="00AF79F1">
        <w:rPr>
          <w:lang w:val="es-ES_tradnl"/>
        </w:rPr>
        <w:t xml:space="preserve"> </w:t>
      </w:r>
      <w:r w:rsidR="000D1776" w:rsidRPr="00AF79F1">
        <w:rPr>
          <w:lang w:val="es-ES_tradnl"/>
        </w:rPr>
        <w:t>Párrafo</w:t>
      </w:r>
      <w:r w:rsidR="00F60BFA" w:rsidRPr="00AF79F1">
        <w:rPr>
          <w:lang w:val="es-ES_tradnl"/>
        </w:rPr>
        <w:t xml:space="preserve"> </w:t>
      </w:r>
      <w:r w:rsidRPr="00AF79F1">
        <w:rPr>
          <w:lang w:val="es-ES_tradnl"/>
        </w:rPr>
        <w:t>10</w:t>
      </w:r>
      <w:r w:rsidR="00F60BFA" w:rsidRPr="00AF79F1">
        <w:rPr>
          <w:lang w:val="es-ES_tradnl"/>
        </w:rPr>
        <w:t xml:space="preserve"> </w:t>
      </w:r>
      <w:r w:rsidR="00407FBC" w:rsidRPr="00AF79F1">
        <w:rPr>
          <w:lang w:val="es-ES_tradnl"/>
        </w:rPr>
        <w:t>de</w:t>
      </w:r>
      <w:r w:rsidR="00F60BFA" w:rsidRPr="00AF79F1">
        <w:rPr>
          <w:lang w:val="es-ES_tradnl"/>
        </w:rPr>
        <w:t xml:space="preserve"> </w:t>
      </w:r>
      <w:r w:rsidR="00407FBC" w:rsidRPr="00AF79F1">
        <w:rPr>
          <w:lang w:val="es-ES_tradnl"/>
        </w:rPr>
        <w:t>la</w:t>
      </w:r>
      <w:r w:rsidR="00F60BFA" w:rsidRPr="00AF79F1">
        <w:rPr>
          <w:lang w:val="es-ES_tradnl"/>
        </w:rPr>
        <w:t xml:space="preserve"> </w:t>
      </w:r>
      <w:r w:rsidR="00407FBC" w:rsidRPr="00AF79F1">
        <w:rPr>
          <w:lang w:val="es-ES_tradnl"/>
        </w:rPr>
        <w:t>decisión</w:t>
      </w:r>
      <w:r w:rsidR="00F60BFA" w:rsidRPr="00AF79F1">
        <w:rPr>
          <w:lang w:val="es-ES_tradnl"/>
        </w:rPr>
        <w:t xml:space="preserve"> </w:t>
      </w:r>
      <w:r w:rsidRPr="00AF79F1">
        <w:rPr>
          <w:lang w:val="es-ES_tradnl"/>
        </w:rPr>
        <w:t>XXVIII/2.</w:t>
      </w:r>
    </w:p>
  </w:footnote>
  <w:footnote w:id="2">
    <w:p w14:paraId="0DA1DD7A" w14:textId="1814AF28" w:rsidR="006100BE" w:rsidRDefault="006100BE" w:rsidP="0073363A">
      <w:pPr>
        <w:pStyle w:val="FootnoteText"/>
        <w:jc w:val="left"/>
        <w:rPr>
          <w:rFonts w:eastAsiaTheme="majorEastAsia"/>
          <w:lang w:val="es-ES_tradnl"/>
        </w:rPr>
      </w:pPr>
      <w:r w:rsidRPr="00AF79F1">
        <w:rPr>
          <w:rStyle w:val="FootnoteReference"/>
          <w:lang w:val="es-ES_tradnl"/>
        </w:rPr>
        <w:footnoteRef/>
      </w:r>
      <w:r w:rsidR="00F60BFA" w:rsidRPr="00AF79F1">
        <w:rPr>
          <w:lang w:val="es-ES_tradnl"/>
        </w:rPr>
        <w:t xml:space="preserve"> </w:t>
      </w:r>
      <w:r w:rsidR="000D1776" w:rsidRPr="00AF79F1">
        <w:rPr>
          <w:rStyle w:val="FootnoteReference"/>
          <w:rFonts w:eastAsiaTheme="majorEastAsia"/>
          <w:vertAlign w:val="baseline"/>
          <w:lang w:val="es-ES_tradnl"/>
        </w:rPr>
        <w:t>UNEP/OzL.Pro</w:t>
      </w:r>
      <w:r w:rsidRPr="00AF79F1">
        <w:rPr>
          <w:rStyle w:val="FootnoteReference"/>
          <w:rFonts w:eastAsiaTheme="majorEastAsia"/>
          <w:vertAlign w:val="baseline"/>
          <w:lang w:val="es-ES_tradnl"/>
        </w:rPr>
        <w:t>/ExCom/77/7</w:t>
      </w:r>
      <w:r w:rsidR="00B12D1E" w:rsidRPr="00AF79F1">
        <w:rPr>
          <w:rStyle w:val="FootnoteReference"/>
          <w:rFonts w:eastAsiaTheme="majorEastAsia"/>
          <w:vertAlign w:val="baseline"/>
          <w:lang w:val="es-ES_tradnl"/>
        </w:rPr>
        <w:t>0</w:t>
      </w:r>
      <w:r w:rsidR="00F562BB">
        <w:rPr>
          <w:rStyle w:val="FootnoteReference"/>
          <w:rFonts w:eastAsiaTheme="majorEastAsia"/>
          <w:vertAlign w:val="baseline"/>
          <w:lang w:val="es-ES_tradnl"/>
        </w:rPr>
        <w:t>,</w:t>
      </w:r>
      <w:r w:rsidR="00F60BFA" w:rsidRPr="00AF79F1">
        <w:rPr>
          <w:rStyle w:val="FootnoteReference"/>
          <w:rFonts w:eastAsiaTheme="majorEastAsia"/>
          <w:vertAlign w:val="baseline"/>
          <w:lang w:val="es-ES_tradnl"/>
        </w:rPr>
        <w:t xml:space="preserve"> </w:t>
      </w:r>
      <w:r w:rsidR="000D1776" w:rsidRPr="00AF79F1">
        <w:rPr>
          <w:rStyle w:val="FootnoteReference"/>
          <w:rFonts w:eastAsiaTheme="majorEastAsia"/>
          <w:vertAlign w:val="baseline"/>
          <w:lang w:val="es-ES_tradnl"/>
        </w:rPr>
        <w:t>UNEP/OzL.Pro</w:t>
      </w:r>
      <w:r w:rsidRPr="00AF79F1">
        <w:rPr>
          <w:rStyle w:val="FootnoteReference"/>
          <w:rFonts w:eastAsiaTheme="majorEastAsia"/>
          <w:vertAlign w:val="baseline"/>
          <w:lang w:val="es-ES_tradnl"/>
        </w:rPr>
        <w:t>/ExCom/78/5</w:t>
      </w:r>
      <w:r w:rsidR="00F60BFA" w:rsidRPr="00AF79F1">
        <w:rPr>
          <w:rStyle w:val="FootnoteReference"/>
          <w:rFonts w:eastAsiaTheme="majorEastAsia"/>
          <w:vertAlign w:val="baseline"/>
          <w:lang w:val="es-ES_tradnl"/>
        </w:rPr>
        <w:t xml:space="preserve"> </w:t>
      </w:r>
      <w:r w:rsidR="00B12D1E" w:rsidRPr="00AF79F1">
        <w:rPr>
          <w:rStyle w:val="FootnoteReference"/>
          <w:rFonts w:eastAsiaTheme="majorEastAsia"/>
          <w:vertAlign w:val="baseline"/>
          <w:lang w:val="es-ES_tradnl"/>
        </w:rPr>
        <w:t>y</w:t>
      </w:r>
      <w:r w:rsidR="00F60BFA" w:rsidRPr="00AF79F1">
        <w:rPr>
          <w:rStyle w:val="FootnoteReference"/>
          <w:rFonts w:eastAsiaTheme="majorEastAsia"/>
          <w:vertAlign w:val="baseline"/>
          <w:lang w:val="es-ES_tradnl"/>
        </w:rPr>
        <w:t xml:space="preserve"> </w:t>
      </w:r>
      <w:r w:rsidRPr="00AF79F1">
        <w:rPr>
          <w:rStyle w:val="FootnoteReference"/>
          <w:rFonts w:eastAsiaTheme="majorEastAsia"/>
          <w:vertAlign w:val="baseline"/>
          <w:lang w:val="es-ES_tradnl"/>
        </w:rPr>
        <w:t>Corr.</w:t>
      </w:r>
      <w:r w:rsidR="00B12D1E" w:rsidRPr="00AF79F1">
        <w:rPr>
          <w:rStyle w:val="FootnoteReference"/>
          <w:rFonts w:eastAsiaTheme="majorEastAsia"/>
          <w:vertAlign w:val="baseline"/>
          <w:lang w:val="es-ES_tradnl"/>
        </w:rPr>
        <w:t>1</w:t>
      </w:r>
      <w:r w:rsidR="00F562BB">
        <w:rPr>
          <w:rStyle w:val="FootnoteReference"/>
          <w:rFonts w:eastAsiaTheme="majorEastAsia"/>
          <w:vertAlign w:val="baseline"/>
          <w:lang w:val="es-ES_tradnl"/>
        </w:rPr>
        <w:t>,</w:t>
      </w:r>
      <w:r w:rsidR="00F60BFA" w:rsidRPr="00AF79F1">
        <w:rPr>
          <w:rStyle w:val="FootnoteReference"/>
          <w:rFonts w:eastAsiaTheme="majorEastAsia"/>
          <w:vertAlign w:val="baseline"/>
          <w:lang w:val="es-ES_tradnl"/>
        </w:rPr>
        <w:t xml:space="preserve"> </w:t>
      </w:r>
      <w:r w:rsidR="000D1776" w:rsidRPr="00AF79F1">
        <w:rPr>
          <w:rStyle w:val="FootnoteReference"/>
          <w:rFonts w:eastAsiaTheme="majorEastAsia"/>
          <w:vertAlign w:val="baseline"/>
          <w:lang w:val="es-ES_tradnl"/>
        </w:rPr>
        <w:t>UNEP/OzL.Pro</w:t>
      </w:r>
      <w:r w:rsidRPr="00AF79F1">
        <w:rPr>
          <w:rStyle w:val="FootnoteReference"/>
          <w:rFonts w:eastAsiaTheme="majorEastAsia"/>
          <w:vertAlign w:val="baseline"/>
          <w:lang w:val="es-ES_tradnl"/>
        </w:rPr>
        <w:t>/ExCom/79/4</w:t>
      </w:r>
      <w:r w:rsidR="005229E1" w:rsidRPr="00AF79F1">
        <w:rPr>
          <w:rStyle w:val="FootnoteReference"/>
          <w:rFonts w:eastAsiaTheme="majorEastAsia"/>
          <w:vertAlign w:val="baseline"/>
          <w:lang w:val="es-ES_tradnl"/>
        </w:rPr>
        <w:t>6</w:t>
      </w:r>
      <w:r w:rsidR="00F562BB">
        <w:rPr>
          <w:rStyle w:val="FootnoteReference"/>
          <w:rFonts w:eastAsiaTheme="majorEastAsia"/>
          <w:vertAlign w:val="baseline"/>
          <w:lang w:val="es-ES_tradnl"/>
        </w:rPr>
        <w:t>,</w:t>
      </w:r>
      <w:r w:rsidR="00F60BFA" w:rsidRPr="00AF79F1">
        <w:rPr>
          <w:rStyle w:val="FootnoteReference"/>
          <w:rFonts w:eastAsiaTheme="majorEastAsia"/>
          <w:vertAlign w:val="baseline"/>
          <w:lang w:val="es-ES_tradnl"/>
        </w:rPr>
        <w:t xml:space="preserve"> </w:t>
      </w:r>
      <w:r w:rsidR="000D1776" w:rsidRPr="00AF79F1">
        <w:rPr>
          <w:rStyle w:val="FootnoteReference"/>
          <w:rFonts w:eastAsiaTheme="majorEastAsia"/>
          <w:vertAlign w:val="baseline"/>
          <w:lang w:val="es-ES_tradnl"/>
        </w:rPr>
        <w:t>UNEP/OzL.Pro</w:t>
      </w:r>
      <w:r w:rsidRPr="00AF79F1">
        <w:rPr>
          <w:rStyle w:val="FootnoteReference"/>
          <w:rFonts w:eastAsiaTheme="majorEastAsia"/>
          <w:vertAlign w:val="baseline"/>
          <w:lang w:val="es-ES_tradnl"/>
        </w:rPr>
        <w:t>/ExCom/80/5</w:t>
      </w:r>
      <w:r w:rsidR="005229E1" w:rsidRPr="00AF79F1">
        <w:rPr>
          <w:rStyle w:val="FootnoteReference"/>
          <w:rFonts w:eastAsiaTheme="majorEastAsia"/>
          <w:vertAlign w:val="baseline"/>
          <w:lang w:val="es-ES_tradnl"/>
        </w:rPr>
        <w:t>5</w:t>
      </w:r>
      <w:r w:rsidR="00F562BB">
        <w:rPr>
          <w:rStyle w:val="FootnoteReference"/>
          <w:rFonts w:eastAsiaTheme="majorEastAsia"/>
          <w:vertAlign w:val="baseline"/>
          <w:lang w:val="es-ES_tradnl"/>
        </w:rPr>
        <w:t>,</w:t>
      </w:r>
      <w:r w:rsidR="00F60BFA" w:rsidRPr="00AF79F1">
        <w:rPr>
          <w:rStyle w:val="FootnoteReference"/>
          <w:rFonts w:eastAsiaTheme="majorEastAsia"/>
          <w:vertAlign w:val="baseline"/>
          <w:lang w:val="es-ES_tradnl"/>
        </w:rPr>
        <w:t xml:space="preserve"> </w:t>
      </w:r>
      <w:r w:rsidR="000D1776" w:rsidRPr="00AF79F1">
        <w:rPr>
          <w:rStyle w:val="FootnoteReference"/>
          <w:rFonts w:eastAsiaTheme="majorEastAsia"/>
          <w:vertAlign w:val="baseline"/>
          <w:lang w:val="es-ES_tradnl"/>
        </w:rPr>
        <w:t>UNEP/OzL.Pro</w:t>
      </w:r>
      <w:r w:rsidRPr="00AF79F1">
        <w:rPr>
          <w:rStyle w:val="FootnoteReference"/>
          <w:rFonts w:eastAsiaTheme="majorEastAsia"/>
          <w:vertAlign w:val="baseline"/>
          <w:lang w:val="es-ES_tradnl"/>
        </w:rPr>
        <w:t>/ExCom/81/53</w:t>
      </w:r>
      <w:r w:rsidR="00F60BFA" w:rsidRPr="00AF79F1">
        <w:rPr>
          <w:lang w:val="es-ES_tradnl"/>
        </w:rPr>
        <w:t xml:space="preserve"> </w:t>
      </w:r>
      <w:r w:rsidR="00B12D1E" w:rsidRPr="00AF79F1">
        <w:rPr>
          <w:lang w:val="es-ES_tradnl"/>
        </w:rPr>
        <w:t>y</w:t>
      </w:r>
      <w:r w:rsidR="00F60BFA" w:rsidRPr="00AF79F1">
        <w:rPr>
          <w:lang w:val="es-ES_tradnl"/>
        </w:rPr>
        <w:t xml:space="preserve"> </w:t>
      </w:r>
      <w:r w:rsidR="000D1776" w:rsidRPr="00AF79F1">
        <w:rPr>
          <w:rStyle w:val="FootnoteReference"/>
          <w:rFonts w:eastAsiaTheme="majorEastAsia"/>
          <w:vertAlign w:val="baseline"/>
          <w:lang w:val="es-ES_tradnl"/>
        </w:rPr>
        <w:t>UNEP/OzL.Pro</w:t>
      </w:r>
      <w:r w:rsidRPr="00AF79F1">
        <w:rPr>
          <w:rStyle w:val="FootnoteReference"/>
          <w:rFonts w:eastAsiaTheme="majorEastAsia"/>
          <w:vertAlign w:val="baseline"/>
          <w:lang w:val="es-ES_tradnl"/>
        </w:rPr>
        <w:t>/ExCom/8</w:t>
      </w:r>
      <w:r w:rsidRPr="00AF79F1">
        <w:rPr>
          <w:rFonts w:eastAsiaTheme="majorEastAsia"/>
          <w:lang w:val="es-ES_tradnl"/>
        </w:rPr>
        <w:t>2</w:t>
      </w:r>
      <w:r w:rsidRPr="00AF79F1">
        <w:rPr>
          <w:rStyle w:val="FootnoteReference"/>
          <w:rFonts w:eastAsiaTheme="majorEastAsia"/>
          <w:vertAlign w:val="baseline"/>
          <w:lang w:val="es-ES_tradnl"/>
        </w:rPr>
        <w:t>/6</w:t>
      </w:r>
      <w:r w:rsidRPr="00AF79F1">
        <w:rPr>
          <w:rFonts w:eastAsiaTheme="majorEastAsia"/>
          <w:lang w:val="es-ES_tradnl"/>
        </w:rPr>
        <w:t>7.</w:t>
      </w:r>
    </w:p>
    <w:p w14:paraId="3FC5BB0A" w14:textId="77777777" w:rsidR="00541E20" w:rsidRPr="0073363A" w:rsidRDefault="00541E20" w:rsidP="0073363A">
      <w:pPr>
        <w:pStyle w:val="FootnoteText"/>
        <w:jc w:val="left"/>
        <w:rPr>
          <w:rFonts w:eastAsiaTheme="majorEastAsia"/>
          <w:lang w:val="es-ES_tradnl"/>
        </w:rPr>
      </w:pPr>
    </w:p>
  </w:footnote>
  <w:footnote w:id="3">
    <w:p w14:paraId="15BA49E5" w14:textId="7C5549D3" w:rsidR="006100BE" w:rsidRPr="00AF79F1" w:rsidRDefault="006100BE">
      <w:pPr>
        <w:pStyle w:val="FootnoteText"/>
        <w:rPr>
          <w:lang w:val="es-ES_tradnl"/>
        </w:rPr>
      </w:pPr>
      <w:r w:rsidRPr="00AF79F1">
        <w:rPr>
          <w:rStyle w:val="FootnoteReference"/>
          <w:lang w:val="es-ES_tradnl"/>
        </w:rPr>
        <w:footnoteRef/>
      </w:r>
      <w:r w:rsidR="00F60BFA" w:rsidRPr="00AF79F1">
        <w:rPr>
          <w:lang w:val="es-ES_tradnl"/>
        </w:rPr>
        <w:t xml:space="preserve"> </w:t>
      </w:r>
      <w:r w:rsidR="00C86EC2">
        <w:rPr>
          <w:lang w:val="es-ES_tradnl"/>
        </w:rPr>
        <w:t xml:space="preserve">El plazo </w:t>
      </w:r>
      <w:r w:rsidR="009C63DF" w:rsidRPr="009C63DF">
        <w:rPr>
          <w:lang w:val="es-ES_tradnl"/>
        </w:rPr>
        <w:t>máximo</w:t>
      </w:r>
      <w:r w:rsidR="008403D4">
        <w:rPr>
          <w:lang w:val="es-ES_tradnl"/>
        </w:rPr>
        <w:t xml:space="preserve"> </w:t>
      </w:r>
      <w:r w:rsidR="00C86EC2">
        <w:rPr>
          <w:lang w:val="es-ES_tradnl"/>
        </w:rPr>
        <w:t xml:space="preserve">de presentación de estos </w:t>
      </w:r>
      <w:r w:rsidR="00374AE5">
        <w:rPr>
          <w:lang w:val="es-ES_tradnl"/>
        </w:rPr>
        <w:t>p</w:t>
      </w:r>
      <w:r w:rsidR="005229E1" w:rsidRPr="00AF79F1">
        <w:rPr>
          <w:lang w:val="es-ES_tradnl"/>
        </w:rPr>
        <w:t>royectos</w:t>
      </w:r>
      <w:r w:rsidR="00F60BFA" w:rsidRPr="00AF79F1">
        <w:rPr>
          <w:lang w:val="es-ES_tradnl"/>
        </w:rPr>
        <w:t xml:space="preserve"> </w:t>
      </w:r>
      <w:r w:rsidR="00057512">
        <w:rPr>
          <w:lang w:val="es-ES_tradnl"/>
        </w:rPr>
        <w:t>es</w:t>
      </w:r>
      <w:r w:rsidR="00596ECA">
        <w:rPr>
          <w:lang w:val="es-ES_tradnl"/>
        </w:rPr>
        <w:t xml:space="preserve"> </w:t>
      </w:r>
      <w:r w:rsidR="00374AE5">
        <w:rPr>
          <w:lang w:val="es-ES_tradnl"/>
        </w:rPr>
        <w:t xml:space="preserve">la </w:t>
      </w:r>
      <w:r w:rsidRPr="00AF79F1">
        <w:rPr>
          <w:lang w:val="es-ES_tradnl"/>
        </w:rPr>
        <w:t>8</w:t>
      </w:r>
      <w:r w:rsidR="00A26E71" w:rsidRPr="00AF79F1">
        <w:rPr>
          <w:lang w:val="es-ES_tradnl"/>
        </w:rPr>
        <w:t>4</w:t>
      </w:r>
      <w:r w:rsidR="005F33A5">
        <w:rPr>
          <w:lang w:val="es-ES_tradnl"/>
        </w:rPr>
        <w:t>ª reunión</w:t>
      </w:r>
      <w:r w:rsidRPr="00AF79F1">
        <w:rPr>
          <w:lang w:val="es-ES_tradnl"/>
        </w:rPr>
        <w:t>,</w:t>
      </w:r>
      <w:r w:rsidR="00F60BFA" w:rsidRPr="00AF79F1">
        <w:rPr>
          <w:lang w:val="es-ES_tradnl"/>
        </w:rPr>
        <w:t xml:space="preserve"> </w:t>
      </w:r>
      <w:r w:rsidR="00BA4D22">
        <w:rPr>
          <w:lang w:val="es-ES_tradnl"/>
        </w:rPr>
        <w:t>especialmente</w:t>
      </w:r>
      <w:r w:rsidR="00F60BFA" w:rsidRPr="00AF79F1">
        <w:rPr>
          <w:lang w:val="es-ES_tradnl"/>
        </w:rPr>
        <w:t xml:space="preserve"> </w:t>
      </w:r>
      <w:r w:rsidR="000F1E96">
        <w:rPr>
          <w:lang w:val="es-ES_tradnl"/>
        </w:rPr>
        <w:t>respecto de</w:t>
      </w:r>
      <w:r w:rsidR="00F60BFA" w:rsidRPr="00AF79F1">
        <w:rPr>
          <w:lang w:val="es-ES_tradnl"/>
        </w:rPr>
        <w:t xml:space="preserve"> </w:t>
      </w:r>
      <w:r w:rsidR="00A26E71" w:rsidRPr="00AF79F1">
        <w:rPr>
          <w:lang w:val="es-ES_tradnl"/>
        </w:rPr>
        <w:t>sectores</w:t>
      </w:r>
      <w:r w:rsidR="00F60BFA" w:rsidRPr="00AF79F1">
        <w:rPr>
          <w:lang w:val="es-ES_tradnl"/>
        </w:rPr>
        <w:t xml:space="preserve"> </w:t>
      </w:r>
      <w:r w:rsidR="00B12D1E" w:rsidRPr="00AF79F1">
        <w:rPr>
          <w:lang w:val="es-ES_tradnl"/>
        </w:rPr>
        <w:t>y</w:t>
      </w:r>
      <w:r w:rsidR="00F60BFA" w:rsidRPr="00AF79F1">
        <w:rPr>
          <w:lang w:val="es-ES_tradnl"/>
        </w:rPr>
        <w:t xml:space="preserve"> </w:t>
      </w:r>
      <w:r w:rsidR="00BA4D22">
        <w:rPr>
          <w:lang w:val="es-ES_tradnl"/>
        </w:rPr>
        <w:t>regiones</w:t>
      </w:r>
      <w:r w:rsidR="00F60BFA" w:rsidRPr="00AF79F1">
        <w:rPr>
          <w:lang w:val="es-ES_tradnl"/>
        </w:rPr>
        <w:t xml:space="preserve"> </w:t>
      </w:r>
      <w:r w:rsidR="00230A11">
        <w:rPr>
          <w:lang w:val="es-ES_tradnl"/>
        </w:rPr>
        <w:t xml:space="preserve">no comprendidas en los </w:t>
      </w:r>
      <w:r w:rsidR="005A1DCF" w:rsidRPr="00AF79F1">
        <w:rPr>
          <w:lang w:val="es-ES_tradnl"/>
        </w:rPr>
        <w:t>proyectos</w:t>
      </w:r>
      <w:r w:rsidR="00F60BFA" w:rsidRPr="00AF79F1">
        <w:rPr>
          <w:lang w:val="es-ES_tradnl"/>
        </w:rPr>
        <w:t xml:space="preserve"> </w:t>
      </w:r>
      <w:r w:rsidR="005A1DCF" w:rsidRPr="00AF79F1">
        <w:rPr>
          <w:lang w:val="es-ES_tradnl"/>
        </w:rPr>
        <w:t>aprobados</w:t>
      </w:r>
      <w:r w:rsidR="00F60BFA" w:rsidRPr="00AF79F1">
        <w:rPr>
          <w:lang w:val="es-ES_tradnl"/>
        </w:rPr>
        <w:t xml:space="preserve"> </w:t>
      </w:r>
      <w:r w:rsidR="002A6C92">
        <w:rPr>
          <w:lang w:val="es-ES_tradnl"/>
        </w:rPr>
        <w:t xml:space="preserve">hasta </w:t>
      </w:r>
      <w:r w:rsidR="00F60BFA" w:rsidRPr="00AF79F1">
        <w:rPr>
          <w:lang w:val="es-ES_tradnl"/>
        </w:rPr>
        <w:t>la 81</w:t>
      </w:r>
      <w:r w:rsidR="005F33A5">
        <w:rPr>
          <w:lang w:val="es-ES_tradnl"/>
        </w:rPr>
        <w:t>ª reunión</w:t>
      </w:r>
      <w:r w:rsidR="002A6C92">
        <w:rPr>
          <w:lang w:val="es-ES_tradnl"/>
        </w:rPr>
        <w:t xml:space="preserve"> </w:t>
      </w:r>
      <w:r w:rsidRPr="00AF79F1">
        <w:rPr>
          <w:lang w:val="es-ES_tradnl"/>
        </w:rPr>
        <w:t>(</w:t>
      </w:r>
      <w:r w:rsidR="005229E1" w:rsidRPr="00AF79F1">
        <w:rPr>
          <w:lang w:val="es-ES_tradnl"/>
        </w:rPr>
        <w:t>decisión</w:t>
      </w:r>
      <w:r w:rsidR="00F60BFA" w:rsidRPr="00AF79F1">
        <w:rPr>
          <w:lang w:val="es-ES_tradnl"/>
        </w:rPr>
        <w:t xml:space="preserve"> </w:t>
      </w:r>
      <w:r w:rsidRPr="00AF79F1">
        <w:rPr>
          <w:lang w:val="es-ES_tradnl"/>
        </w:rPr>
        <w:t>81/53(b)).</w:t>
      </w:r>
    </w:p>
  </w:footnote>
  <w:footnote w:id="4">
    <w:p w14:paraId="26B18EFD" w14:textId="3998566F" w:rsidR="006100BE" w:rsidRPr="00AF79F1" w:rsidRDefault="006100BE">
      <w:pPr>
        <w:pStyle w:val="FootnoteText"/>
        <w:rPr>
          <w:lang w:val="es-ES_tradnl"/>
        </w:rPr>
      </w:pPr>
      <w:r w:rsidRPr="00AF79F1">
        <w:rPr>
          <w:rStyle w:val="FootnoteReference"/>
          <w:lang w:val="es-ES_tradnl"/>
        </w:rPr>
        <w:footnoteRef/>
      </w:r>
      <w:r w:rsidR="00F60BFA" w:rsidRPr="00AF79F1">
        <w:rPr>
          <w:lang w:val="es-ES_tradnl"/>
        </w:rPr>
        <w:t xml:space="preserve"> </w:t>
      </w:r>
      <w:r w:rsidR="0014061B">
        <w:rPr>
          <w:lang w:val="es-ES_tradnl"/>
        </w:rPr>
        <w:t xml:space="preserve">En </w:t>
      </w:r>
      <w:r w:rsidRPr="00AF79F1">
        <w:rPr>
          <w:lang w:val="es-ES_tradnl"/>
        </w:rPr>
        <w:t>Argentina,</w:t>
      </w:r>
      <w:r w:rsidR="00F60BFA" w:rsidRPr="00AF79F1">
        <w:rPr>
          <w:lang w:val="es-ES_tradnl"/>
        </w:rPr>
        <w:t xml:space="preserve"> </w:t>
      </w:r>
      <w:r w:rsidR="002568A9">
        <w:rPr>
          <w:lang w:val="es-ES_tradnl"/>
        </w:rPr>
        <w:t>Bangladesh</w:t>
      </w:r>
      <w:r w:rsidRPr="00AF79F1">
        <w:rPr>
          <w:lang w:val="es-ES_tradnl"/>
        </w:rPr>
        <w:t>,</w:t>
      </w:r>
      <w:r w:rsidR="00F60BFA" w:rsidRPr="00AF79F1">
        <w:rPr>
          <w:lang w:val="es-ES_tradnl"/>
        </w:rPr>
        <w:t xml:space="preserve"> </w:t>
      </w:r>
      <w:r w:rsidRPr="00AF79F1">
        <w:rPr>
          <w:lang w:val="es-ES_tradnl"/>
        </w:rPr>
        <w:t>China,</w:t>
      </w:r>
      <w:r w:rsidR="00F60BFA" w:rsidRPr="00AF79F1">
        <w:rPr>
          <w:lang w:val="es-ES_tradnl"/>
        </w:rPr>
        <w:t xml:space="preserve"> </w:t>
      </w:r>
      <w:r w:rsidR="00407FBC" w:rsidRPr="00AF79F1">
        <w:rPr>
          <w:lang w:val="es-ES_tradnl"/>
        </w:rPr>
        <w:t>República</w:t>
      </w:r>
      <w:r w:rsidR="00F60BFA" w:rsidRPr="00AF79F1">
        <w:rPr>
          <w:lang w:val="es-ES_tradnl"/>
        </w:rPr>
        <w:t xml:space="preserve"> </w:t>
      </w:r>
      <w:r w:rsidR="000D1776" w:rsidRPr="00AF79F1">
        <w:rPr>
          <w:lang w:val="es-ES_tradnl"/>
        </w:rPr>
        <w:t>Dominicana</w:t>
      </w:r>
      <w:r w:rsidRPr="00AF79F1">
        <w:rPr>
          <w:lang w:val="es-ES_tradnl"/>
        </w:rPr>
        <w:t>,</w:t>
      </w:r>
      <w:r w:rsidR="00F60BFA" w:rsidRPr="00AF79F1">
        <w:rPr>
          <w:lang w:val="es-ES_tradnl"/>
        </w:rPr>
        <w:t xml:space="preserve"> </w:t>
      </w:r>
      <w:r w:rsidR="000D1776" w:rsidRPr="00AF79F1">
        <w:rPr>
          <w:lang w:val="es-ES_tradnl"/>
        </w:rPr>
        <w:t>Jordania</w:t>
      </w:r>
      <w:r w:rsidRPr="00AF79F1">
        <w:rPr>
          <w:lang w:val="es-ES_tradnl"/>
        </w:rPr>
        <w:t>,</w:t>
      </w:r>
      <w:r w:rsidR="00F60BFA" w:rsidRPr="00AF79F1">
        <w:rPr>
          <w:lang w:val="es-ES_tradnl"/>
        </w:rPr>
        <w:t xml:space="preserve"> </w:t>
      </w:r>
      <w:r w:rsidR="00356CF6" w:rsidRPr="00AF79F1">
        <w:rPr>
          <w:lang w:val="es-ES_tradnl"/>
        </w:rPr>
        <w:t>Líbano</w:t>
      </w:r>
      <w:r w:rsidRPr="00AF79F1">
        <w:rPr>
          <w:lang w:val="es-ES_tradnl"/>
        </w:rPr>
        <w:t>,</w:t>
      </w:r>
      <w:r w:rsidR="00F60BFA" w:rsidRPr="00AF79F1">
        <w:rPr>
          <w:lang w:val="es-ES_tradnl"/>
        </w:rPr>
        <w:t xml:space="preserve"> </w:t>
      </w:r>
      <w:r w:rsidR="000D1776" w:rsidRPr="00AF79F1">
        <w:rPr>
          <w:lang w:val="es-ES_tradnl"/>
        </w:rPr>
        <w:t>México</w:t>
      </w:r>
      <w:r w:rsidR="00F60BFA" w:rsidRPr="00AF79F1">
        <w:rPr>
          <w:lang w:val="es-ES_tradnl"/>
        </w:rPr>
        <w:t xml:space="preserve"> </w:t>
      </w:r>
      <w:r w:rsidRPr="00AF79F1">
        <w:rPr>
          <w:lang w:val="es-ES_tradnl"/>
        </w:rPr>
        <w:t>(</w:t>
      </w:r>
      <w:r w:rsidR="00B12D1E" w:rsidRPr="00AF79F1">
        <w:rPr>
          <w:lang w:val="es-ES_tradnl"/>
        </w:rPr>
        <w:t>dos</w:t>
      </w:r>
      <w:r w:rsidRPr="00AF79F1">
        <w:rPr>
          <w:lang w:val="es-ES_tradnl"/>
        </w:rPr>
        <w:t>),</w:t>
      </w:r>
      <w:r w:rsidR="00F60BFA" w:rsidRPr="00AF79F1">
        <w:rPr>
          <w:lang w:val="es-ES_tradnl"/>
        </w:rPr>
        <w:t xml:space="preserve"> </w:t>
      </w:r>
      <w:r w:rsidR="008E0416" w:rsidRPr="00AF79F1">
        <w:rPr>
          <w:lang w:val="es-ES_tradnl"/>
        </w:rPr>
        <w:t>Tailandia</w:t>
      </w:r>
      <w:r w:rsidR="00F60BFA" w:rsidRPr="00AF79F1">
        <w:rPr>
          <w:lang w:val="es-ES_tradnl"/>
        </w:rPr>
        <w:t xml:space="preserve"> </w:t>
      </w:r>
      <w:r w:rsidR="00B12D1E" w:rsidRPr="00AF79F1">
        <w:rPr>
          <w:lang w:val="es-ES_tradnl"/>
        </w:rPr>
        <w:t>y</w:t>
      </w:r>
      <w:r w:rsidR="00F60BFA" w:rsidRPr="00AF79F1">
        <w:rPr>
          <w:lang w:val="es-ES_tradnl"/>
        </w:rPr>
        <w:t xml:space="preserve"> </w:t>
      </w:r>
      <w:r w:rsidRPr="00AF79F1">
        <w:rPr>
          <w:lang w:val="es-ES_tradnl"/>
        </w:rPr>
        <w:t>Zimbabwe.</w:t>
      </w:r>
    </w:p>
  </w:footnote>
  <w:footnote w:id="5">
    <w:p w14:paraId="04C74D9D" w14:textId="7C030119" w:rsidR="006100BE" w:rsidRPr="00AF79F1" w:rsidRDefault="006100BE">
      <w:pPr>
        <w:pStyle w:val="FootnoteText"/>
        <w:rPr>
          <w:lang w:val="es-ES_tradnl"/>
        </w:rPr>
      </w:pPr>
      <w:r w:rsidRPr="00AF79F1">
        <w:rPr>
          <w:rStyle w:val="FootnoteReference"/>
          <w:lang w:val="es-ES_tradnl"/>
        </w:rPr>
        <w:footnoteRef/>
      </w:r>
      <w:r w:rsidR="00F60BFA" w:rsidRPr="00AF79F1">
        <w:rPr>
          <w:lang w:val="es-ES_tradnl"/>
        </w:rPr>
        <w:t xml:space="preserve"> </w:t>
      </w:r>
      <w:r w:rsidR="00E951D7">
        <w:rPr>
          <w:lang w:val="es-ES_tradnl"/>
        </w:rPr>
        <w:t xml:space="preserve">Dicho </w:t>
      </w:r>
      <w:r w:rsidR="00132C4F" w:rsidRPr="00AF79F1">
        <w:rPr>
          <w:lang w:val="es-ES_tradnl"/>
        </w:rPr>
        <w:t>documento</w:t>
      </w:r>
      <w:r w:rsidR="00F60BFA" w:rsidRPr="00AF79F1">
        <w:rPr>
          <w:lang w:val="es-ES_tradnl"/>
        </w:rPr>
        <w:t xml:space="preserve"> </w:t>
      </w:r>
      <w:r w:rsidR="00E951D7">
        <w:rPr>
          <w:lang w:val="es-ES_tradnl"/>
        </w:rPr>
        <w:t xml:space="preserve">debía </w:t>
      </w:r>
      <w:r w:rsidR="00964C1B">
        <w:rPr>
          <w:lang w:val="es-ES_tradnl"/>
        </w:rPr>
        <w:t>basarse en</w:t>
      </w:r>
      <w:r w:rsidR="0090217A">
        <w:rPr>
          <w:lang w:val="es-ES_tradnl"/>
        </w:rPr>
        <w:t xml:space="preserve"> </w:t>
      </w:r>
      <w:r w:rsidR="00D83BF9">
        <w:rPr>
          <w:lang w:val="es-ES_tradnl"/>
        </w:rPr>
        <w:t xml:space="preserve">informes </w:t>
      </w:r>
      <w:r w:rsidR="00677513" w:rsidRPr="00677513">
        <w:rPr>
          <w:lang w:val="es-ES_tradnl"/>
        </w:rPr>
        <w:t>propositivo</w:t>
      </w:r>
      <w:r w:rsidR="00D83BF9">
        <w:rPr>
          <w:lang w:val="es-ES_tradnl"/>
        </w:rPr>
        <w:t>s</w:t>
      </w:r>
      <w:r w:rsidRPr="00AF79F1">
        <w:rPr>
          <w:lang w:val="es-ES_tradnl"/>
        </w:rPr>
        <w:t>,</w:t>
      </w:r>
      <w:r w:rsidR="00F60BFA" w:rsidRPr="00AF79F1">
        <w:rPr>
          <w:lang w:val="es-ES_tradnl"/>
        </w:rPr>
        <w:t xml:space="preserve"> </w:t>
      </w:r>
      <w:r w:rsidR="005C652D" w:rsidRPr="00AF79F1">
        <w:rPr>
          <w:lang w:val="es-ES_tradnl"/>
        </w:rPr>
        <w:t>estudios</w:t>
      </w:r>
      <w:r w:rsidR="00FF35CD">
        <w:rPr>
          <w:lang w:val="es-ES_tradnl"/>
        </w:rPr>
        <w:t xml:space="preserve"> de </w:t>
      </w:r>
      <w:r w:rsidR="00FF35CD" w:rsidRPr="00FF35CD">
        <w:rPr>
          <w:lang w:val="es-ES_tradnl"/>
        </w:rPr>
        <w:t>caso</w:t>
      </w:r>
      <w:r w:rsidRPr="00AF79F1">
        <w:rPr>
          <w:lang w:val="es-ES_tradnl"/>
        </w:rPr>
        <w:t>,</w:t>
      </w:r>
      <w:r w:rsidR="00F60BFA" w:rsidRPr="00AF79F1">
        <w:rPr>
          <w:lang w:val="es-ES_tradnl"/>
        </w:rPr>
        <w:t xml:space="preserve"> </w:t>
      </w:r>
      <w:r w:rsidR="00D76CCA">
        <w:rPr>
          <w:lang w:val="es-ES_tradnl"/>
        </w:rPr>
        <w:t xml:space="preserve">análisis </w:t>
      </w:r>
      <w:r w:rsidR="00AF256B">
        <w:rPr>
          <w:lang w:val="es-ES_tradnl"/>
        </w:rPr>
        <w:t xml:space="preserve">de </w:t>
      </w:r>
      <w:r w:rsidR="008E0416" w:rsidRPr="00AF79F1">
        <w:rPr>
          <w:lang w:val="es-ES_tradnl"/>
        </w:rPr>
        <w:t>supervisión</w:t>
      </w:r>
      <w:r w:rsidR="00F60BFA" w:rsidRPr="00AF79F1">
        <w:rPr>
          <w:lang w:val="es-ES_tradnl"/>
        </w:rPr>
        <w:t xml:space="preserve"> </w:t>
      </w:r>
      <w:r w:rsidR="008E0416" w:rsidRPr="00AF79F1">
        <w:rPr>
          <w:lang w:val="es-ES_tradnl"/>
        </w:rPr>
        <w:t>y</w:t>
      </w:r>
      <w:r w:rsidR="00F60BFA" w:rsidRPr="00AF79F1">
        <w:rPr>
          <w:lang w:val="es-ES_tradnl"/>
        </w:rPr>
        <w:t xml:space="preserve"> </w:t>
      </w:r>
      <w:r w:rsidR="008E0416" w:rsidRPr="00AF79F1">
        <w:rPr>
          <w:lang w:val="es-ES_tradnl"/>
        </w:rPr>
        <w:t>evaluación</w:t>
      </w:r>
      <w:r w:rsidR="00F60BFA" w:rsidRPr="00AF79F1">
        <w:rPr>
          <w:lang w:val="es-ES_tradnl"/>
        </w:rPr>
        <w:t xml:space="preserve"> </w:t>
      </w:r>
      <w:r w:rsidR="00407FBC" w:rsidRPr="00AF79F1">
        <w:rPr>
          <w:lang w:val="es-ES_tradnl"/>
        </w:rPr>
        <w:t>y</w:t>
      </w:r>
      <w:r w:rsidR="00F60BFA" w:rsidRPr="00AF79F1">
        <w:rPr>
          <w:lang w:val="es-ES_tradnl"/>
        </w:rPr>
        <w:t xml:space="preserve"> </w:t>
      </w:r>
      <w:r w:rsidR="0060569C">
        <w:rPr>
          <w:lang w:val="es-ES_tradnl"/>
        </w:rPr>
        <w:t xml:space="preserve">la labor realizada </w:t>
      </w:r>
      <w:r w:rsidR="005229E1" w:rsidRPr="00AF79F1">
        <w:rPr>
          <w:lang w:val="es-ES_tradnl"/>
        </w:rPr>
        <w:t>en</w:t>
      </w:r>
      <w:r w:rsidR="00F60BFA" w:rsidRPr="00AF79F1">
        <w:rPr>
          <w:lang w:val="es-ES_tradnl"/>
        </w:rPr>
        <w:t xml:space="preserve"> </w:t>
      </w:r>
      <w:r w:rsidR="005D7128">
        <w:rPr>
          <w:lang w:val="es-ES_tradnl"/>
        </w:rPr>
        <w:t xml:space="preserve">cuanto al desarrollo y puesta en práctica de programas de </w:t>
      </w:r>
      <w:r w:rsidR="005229E1" w:rsidRPr="00AF79F1">
        <w:rPr>
          <w:lang w:val="es-ES_tradnl"/>
        </w:rPr>
        <w:t>capacitación</w:t>
      </w:r>
      <w:r w:rsidR="00F60BFA" w:rsidRPr="00AF79F1">
        <w:rPr>
          <w:lang w:val="es-ES_tradnl"/>
        </w:rPr>
        <w:t xml:space="preserve"> </w:t>
      </w:r>
      <w:r w:rsidR="00B12D1E" w:rsidRPr="00AF79F1">
        <w:rPr>
          <w:lang w:val="es-ES_tradnl"/>
        </w:rPr>
        <w:t>y</w:t>
      </w:r>
      <w:r w:rsidR="00F60BFA" w:rsidRPr="00AF79F1">
        <w:rPr>
          <w:lang w:val="es-ES_tradnl"/>
        </w:rPr>
        <w:t xml:space="preserve"> </w:t>
      </w:r>
      <w:r w:rsidR="005229E1" w:rsidRPr="00AF79F1">
        <w:rPr>
          <w:lang w:val="es-ES_tradnl"/>
        </w:rPr>
        <w:t>asistencia</w:t>
      </w:r>
      <w:r w:rsidR="00F60BFA" w:rsidRPr="00AF79F1">
        <w:rPr>
          <w:lang w:val="es-ES_tradnl"/>
        </w:rPr>
        <w:t xml:space="preserve"> </w:t>
      </w:r>
      <w:r w:rsidR="005229E1" w:rsidRPr="00AF79F1">
        <w:rPr>
          <w:lang w:val="es-ES_tradnl"/>
        </w:rPr>
        <w:t>técnica</w:t>
      </w:r>
      <w:r w:rsidRPr="00AF79F1">
        <w:rPr>
          <w:lang w:val="es-ES_tradnl"/>
        </w:rPr>
        <w:t>;</w:t>
      </w:r>
      <w:r w:rsidR="00F60BFA" w:rsidRPr="00AF79F1">
        <w:rPr>
          <w:lang w:val="es-ES_tradnl"/>
        </w:rPr>
        <w:t xml:space="preserve"> </w:t>
      </w:r>
      <w:r w:rsidR="004D37F0">
        <w:rPr>
          <w:lang w:val="es-ES_tradnl"/>
        </w:rPr>
        <w:t xml:space="preserve">analizar las </w:t>
      </w:r>
      <w:r w:rsidR="004D37F0" w:rsidRPr="004D37F0">
        <w:rPr>
          <w:lang w:val="es-ES_tradnl"/>
        </w:rPr>
        <w:t xml:space="preserve">capacidades </w:t>
      </w:r>
      <w:r w:rsidR="00994093" w:rsidRPr="00994093">
        <w:rPr>
          <w:lang w:val="es-ES_tradnl"/>
        </w:rPr>
        <w:t xml:space="preserve">financiadas </w:t>
      </w:r>
      <w:r w:rsidR="00994093">
        <w:rPr>
          <w:lang w:val="es-ES_tradnl"/>
        </w:rPr>
        <w:t xml:space="preserve">en </w:t>
      </w:r>
      <w:r w:rsidR="008E0416" w:rsidRPr="00AF79F1">
        <w:rPr>
          <w:lang w:val="es-ES_tradnl"/>
        </w:rPr>
        <w:t>países</w:t>
      </w:r>
      <w:r w:rsidR="00F60BFA" w:rsidRPr="00AF79F1">
        <w:rPr>
          <w:lang w:val="es-ES_tradnl"/>
        </w:rPr>
        <w:t xml:space="preserve"> </w:t>
      </w:r>
      <w:r w:rsidR="008E0416" w:rsidRPr="00AF79F1">
        <w:rPr>
          <w:lang w:val="es-ES_tradnl"/>
        </w:rPr>
        <w:t>del</w:t>
      </w:r>
      <w:r w:rsidR="00F60BFA" w:rsidRPr="00AF79F1">
        <w:rPr>
          <w:lang w:val="es-ES_tradnl"/>
        </w:rPr>
        <w:t xml:space="preserve"> </w:t>
      </w:r>
      <w:r w:rsidR="008E0416" w:rsidRPr="00AF79F1">
        <w:rPr>
          <w:lang w:val="es-ES_tradnl"/>
        </w:rPr>
        <w:t>artículo</w:t>
      </w:r>
      <w:r w:rsidR="00F60BFA" w:rsidRPr="00AF79F1">
        <w:rPr>
          <w:lang w:val="es-ES_tradnl"/>
        </w:rPr>
        <w:t xml:space="preserve"> </w:t>
      </w:r>
      <w:r w:rsidR="008E0416" w:rsidRPr="00AF79F1">
        <w:rPr>
          <w:lang w:val="es-ES_tradnl"/>
        </w:rPr>
        <w:t>5</w:t>
      </w:r>
      <w:r w:rsidR="00F60BFA" w:rsidRPr="00AF79F1">
        <w:rPr>
          <w:lang w:val="es-ES_tradnl"/>
        </w:rPr>
        <w:t xml:space="preserve"> </w:t>
      </w:r>
      <w:r w:rsidR="00920DE1">
        <w:rPr>
          <w:lang w:val="es-ES_tradnl"/>
        </w:rPr>
        <w:t xml:space="preserve">en </w:t>
      </w:r>
      <w:r w:rsidR="005C652D" w:rsidRPr="00AF79F1">
        <w:rPr>
          <w:lang w:val="es-ES_tradnl"/>
        </w:rPr>
        <w:t>el</w:t>
      </w:r>
      <w:r w:rsidR="00F60BFA" w:rsidRPr="00AF79F1">
        <w:rPr>
          <w:lang w:val="es-ES_tradnl"/>
        </w:rPr>
        <w:t xml:space="preserve"> </w:t>
      </w:r>
      <w:r w:rsidR="005C652D" w:rsidRPr="00AF79F1">
        <w:rPr>
          <w:lang w:val="es-ES_tradnl"/>
        </w:rPr>
        <w:t>sector</w:t>
      </w:r>
      <w:r w:rsidR="00F60BFA" w:rsidRPr="00AF79F1">
        <w:rPr>
          <w:lang w:val="es-ES_tradnl"/>
        </w:rPr>
        <w:t xml:space="preserve"> </w:t>
      </w:r>
      <w:r w:rsidR="00B12D1E" w:rsidRPr="00AF79F1">
        <w:rPr>
          <w:lang w:val="es-ES_tradnl"/>
        </w:rPr>
        <w:t>servicio</w:t>
      </w:r>
      <w:r w:rsidR="00F60BFA" w:rsidRPr="00AF79F1">
        <w:rPr>
          <w:lang w:val="es-ES_tradnl"/>
        </w:rPr>
        <w:t xml:space="preserve"> </w:t>
      </w:r>
      <w:r w:rsidR="00B12D1E" w:rsidRPr="00AF79F1">
        <w:rPr>
          <w:lang w:val="es-ES_tradnl"/>
        </w:rPr>
        <w:t>técnico</w:t>
      </w:r>
      <w:r w:rsidR="00F60BFA" w:rsidRPr="00AF79F1">
        <w:rPr>
          <w:lang w:val="es-ES_tradnl"/>
        </w:rPr>
        <w:t xml:space="preserve"> </w:t>
      </w:r>
      <w:r w:rsidR="00B12D1E" w:rsidRPr="00AF79F1">
        <w:rPr>
          <w:lang w:val="es-ES_tradnl"/>
        </w:rPr>
        <w:t>de</w:t>
      </w:r>
      <w:r w:rsidR="00F60BFA" w:rsidRPr="00AF79F1">
        <w:rPr>
          <w:lang w:val="es-ES_tradnl"/>
        </w:rPr>
        <w:t xml:space="preserve"> </w:t>
      </w:r>
      <w:r w:rsidR="00B12D1E" w:rsidRPr="00AF79F1">
        <w:rPr>
          <w:lang w:val="es-ES_tradnl"/>
        </w:rPr>
        <w:t>equipos</w:t>
      </w:r>
      <w:r w:rsidR="00F60BFA" w:rsidRPr="00AF79F1">
        <w:rPr>
          <w:lang w:val="es-ES_tradnl"/>
        </w:rPr>
        <w:t xml:space="preserve"> </w:t>
      </w:r>
      <w:r w:rsidR="00B12D1E" w:rsidRPr="00AF79F1">
        <w:rPr>
          <w:lang w:val="es-ES_tradnl"/>
        </w:rPr>
        <w:t>de</w:t>
      </w:r>
      <w:r w:rsidR="00F60BFA" w:rsidRPr="00AF79F1">
        <w:rPr>
          <w:lang w:val="es-ES_tradnl"/>
        </w:rPr>
        <w:t xml:space="preserve"> </w:t>
      </w:r>
      <w:r w:rsidR="00B12D1E" w:rsidRPr="00AF79F1">
        <w:rPr>
          <w:lang w:val="es-ES_tradnl"/>
        </w:rPr>
        <w:t>refrigeración</w:t>
      </w:r>
      <w:r w:rsidR="00F60BFA" w:rsidRPr="00AF79F1">
        <w:rPr>
          <w:lang w:val="es-ES_tradnl"/>
        </w:rPr>
        <w:t xml:space="preserve"> </w:t>
      </w:r>
      <w:r w:rsidR="00B12D1E" w:rsidRPr="00AF79F1">
        <w:rPr>
          <w:lang w:val="es-ES_tradnl"/>
        </w:rPr>
        <w:t>y</w:t>
      </w:r>
      <w:r w:rsidR="00F60BFA" w:rsidRPr="00AF79F1">
        <w:rPr>
          <w:lang w:val="es-ES_tradnl"/>
        </w:rPr>
        <w:t xml:space="preserve"> </w:t>
      </w:r>
      <w:r w:rsidR="009B7769">
        <w:rPr>
          <w:lang w:val="es-ES_tradnl"/>
        </w:rPr>
        <w:t xml:space="preserve">forma de </w:t>
      </w:r>
      <w:r w:rsidR="00AE737B">
        <w:rPr>
          <w:lang w:val="es-ES_tradnl"/>
        </w:rPr>
        <w:t xml:space="preserve">utilizarlas en </w:t>
      </w:r>
      <w:r w:rsidR="008D301F">
        <w:rPr>
          <w:lang w:val="es-ES_tradnl"/>
        </w:rPr>
        <w:t xml:space="preserve">la </w:t>
      </w:r>
      <w:r w:rsidR="00853A73">
        <w:rPr>
          <w:lang w:val="es-ES_tradnl"/>
        </w:rPr>
        <w:t>reducción de los HFC,</w:t>
      </w:r>
      <w:r w:rsidR="00F60BFA" w:rsidRPr="00AF79F1">
        <w:rPr>
          <w:lang w:val="es-ES_tradnl"/>
        </w:rPr>
        <w:t xml:space="preserve"> </w:t>
      </w:r>
      <w:r w:rsidR="000C0504">
        <w:rPr>
          <w:lang w:val="es-ES_tradnl"/>
        </w:rPr>
        <w:t>y la</w:t>
      </w:r>
      <w:r w:rsidR="00F60BFA" w:rsidRPr="00AF79F1">
        <w:rPr>
          <w:lang w:val="es-ES_tradnl"/>
        </w:rPr>
        <w:t xml:space="preserve"> </w:t>
      </w:r>
      <w:r w:rsidR="00B62673" w:rsidRPr="00AF79F1">
        <w:rPr>
          <w:lang w:val="es-ES_tradnl"/>
        </w:rPr>
        <w:t>i</w:t>
      </w:r>
      <w:r w:rsidR="005229E1" w:rsidRPr="00AF79F1">
        <w:rPr>
          <w:lang w:val="es-ES_tradnl"/>
        </w:rPr>
        <w:t>nformación</w:t>
      </w:r>
      <w:r w:rsidR="00F60BFA" w:rsidRPr="00AF79F1">
        <w:rPr>
          <w:lang w:val="es-ES_tradnl"/>
        </w:rPr>
        <w:t xml:space="preserve"> </w:t>
      </w:r>
      <w:r w:rsidR="00224D83">
        <w:rPr>
          <w:lang w:val="es-ES_tradnl"/>
        </w:rPr>
        <w:t xml:space="preserve">necesaria para </w:t>
      </w:r>
      <w:r w:rsidR="00C97DA2">
        <w:rPr>
          <w:lang w:val="es-ES_tradnl"/>
        </w:rPr>
        <w:t>desarrollar</w:t>
      </w:r>
      <w:r w:rsidR="00F60BFA" w:rsidRPr="00AF79F1">
        <w:rPr>
          <w:lang w:val="es-ES_tradnl"/>
        </w:rPr>
        <w:t xml:space="preserve"> </w:t>
      </w:r>
      <w:r w:rsidR="009150C0">
        <w:rPr>
          <w:lang w:val="es-ES_tradnl"/>
        </w:rPr>
        <w:t xml:space="preserve">programas </w:t>
      </w:r>
      <w:r w:rsidR="00C51DCC">
        <w:rPr>
          <w:lang w:val="es-ES_tradnl"/>
        </w:rPr>
        <w:t xml:space="preserve">y módulos </w:t>
      </w:r>
      <w:r w:rsidR="00BD5160">
        <w:rPr>
          <w:lang w:val="es-ES_tradnl"/>
        </w:rPr>
        <w:t xml:space="preserve">de </w:t>
      </w:r>
      <w:r w:rsidR="005229E1" w:rsidRPr="00AF79F1">
        <w:rPr>
          <w:lang w:val="es-ES_tradnl"/>
        </w:rPr>
        <w:t>capacitación</w:t>
      </w:r>
      <w:r w:rsidR="00F60BFA" w:rsidRPr="00AF79F1">
        <w:rPr>
          <w:lang w:val="es-ES_tradnl"/>
        </w:rPr>
        <w:t xml:space="preserve"> </w:t>
      </w:r>
      <w:r w:rsidR="00B12D1E" w:rsidRPr="00AF79F1">
        <w:rPr>
          <w:lang w:val="es-ES_tradnl"/>
        </w:rPr>
        <w:t>y</w:t>
      </w:r>
      <w:r w:rsidR="00F60BFA" w:rsidRPr="00AF79F1">
        <w:rPr>
          <w:lang w:val="es-ES_tradnl"/>
        </w:rPr>
        <w:t xml:space="preserve"> </w:t>
      </w:r>
      <w:r w:rsidR="000975C6">
        <w:rPr>
          <w:lang w:val="es-ES_tradnl"/>
        </w:rPr>
        <w:t xml:space="preserve">acreditación </w:t>
      </w:r>
      <w:r w:rsidR="00B97571">
        <w:rPr>
          <w:lang w:val="es-ES_tradnl"/>
        </w:rPr>
        <w:t>de</w:t>
      </w:r>
      <w:r w:rsidR="00673103">
        <w:rPr>
          <w:lang w:val="es-ES_tradnl"/>
        </w:rPr>
        <w:t xml:space="preserve"> </w:t>
      </w:r>
      <w:r w:rsidR="000D1776" w:rsidRPr="00AF79F1">
        <w:rPr>
          <w:lang w:val="es-ES_tradnl"/>
        </w:rPr>
        <w:t>técnicos</w:t>
      </w:r>
      <w:r w:rsidR="00F60BFA" w:rsidRPr="00AF79F1">
        <w:rPr>
          <w:lang w:val="es-ES_tradnl"/>
        </w:rPr>
        <w:t xml:space="preserve"> </w:t>
      </w:r>
      <w:r w:rsidR="009A2985">
        <w:rPr>
          <w:lang w:val="es-ES_tradnl"/>
        </w:rPr>
        <w:t xml:space="preserve">de servicio </w:t>
      </w:r>
      <w:r w:rsidR="00B12D1E" w:rsidRPr="00AF79F1">
        <w:rPr>
          <w:lang w:val="es-ES_tradnl"/>
        </w:rPr>
        <w:t>y</w:t>
      </w:r>
      <w:r w:rsidR="00F60BFA" w:rsidRPr="00AF79F1">
        <w:rPr>
          <w:lang w:val="es-ES_tradnl"/>
        </w:rPr>
        <w:t xml:space="preserve"> </w:t>
      </w:r>
      <w:r w:rsidR="00132C4F" w:rsidRPr="00AF79F1">
        <w:rPr>
          <w:lang w:val="es-ES_tradnl"/>
        </w:rPr>
        <w:t>funcionarios</w:t>
      </w:r>
      <w:r w:rsidR="00F60BFA" w:rsidRPr="00AF79F1">
        <w:rPr>
          <w:lang w:val="es-ES_tradnl"/>
        </w:rPr>
        <w:t xml:space="preserve"> </w:t>
      </w:r>
      <w:r w:rsidR="00132C4F" w:rsidRPr="00AF79F1">
        <w:rPr>
          <w:lang w:val="es-ES_tradnl"/>
        </w:rPr>
        <w:t>aduaneros</w:t>
      </w:r>
      <w:r w:rsidR="00BD2720" w:rsidRPr="00AF79F1">
        <w:rPr>
          <w:lang w:val="es-ES_tradnl"/>
        </w:rPr>
        <w:t xml:space="preserve"> </w:t>
      </w:r>
      <w:r w:rsidR="00286699">
        <w:rPr>
          <w:lang w:val="es-ES_tradnl"/>
        </w:rPr>
        <w:t xml:space="preserve">en el marco de </w:t>
      </w:r>
      <w:r w:rsidR="00BD2720" w:rsidRPr="00AF79F1">
        <w:rPr>
          <w:lang w:val="es-ES_tradnl"/>
        </w:rPr>
        <w:t xml:space="preserve">la </w:t>
      </w:r>
      <w:r w:rsidR="00407FBC" w:rsidRPr="00AF79F1">
        <w:rPr>
          <w:lang w:val="es-ES_tradnl"/>
        </w:rPr>
        <w:t>transición</w:t>
      </w:r>
      <w:r w:rsidR="00F60BFA" w:rsidRPr="00AF79F1">
        <w:rPr>
          <w:lang w:val="es-ES_tradnl"/>
        </w:rPr>
        <w:t xml:space="preserve"> </w:t>
      </w:r>
      <w:r w:rsidR="00764C03">
        <w:rPr>
          <w:lang w:val="es-ES_tradnl"/>
        </w:rPr>
        <w:t>a tecnologías</w:t>
      </w:r>
      <w:r w:rsidR="00AC7700">
        <w:rPr>
          <w:lang w:val="es-ES_tradnl"/>
        </w:rPr>
        <w:t xml:space="preserve"> </w:t>
      </w:r>
      <w:r w:rsidR="008E0416" w:rsidRPr="00AF79F1">
        <w:rPr>
          <w:lang w:val="es-ES_tradnl"/>
        </w:rPr>
        <w:t>alternativa</w:t>
      </w:r>
      <w:r w:rsidRPr="00AF79F1">
        <w:rPr>
          <w:lang w:val="es-ES_tradnl"/>
        </w:rPr>
        <w:t>s.</w:t>
      </w:r>
    </w:p>
  </w:footnote>
  <w:footnote w:id="6">
    <w:p w14:paraId="6CF9415F" w14:textId="7B5C43D5" w:rsidR="006100BE" w:rsidRPr="00AF79F1" w:rsidRDefault="006100BE">
      <w:pPr>
        <w:pStyle w:val="FootnoteText"/>
        <w:rPr>
          <w:lang w:val="es-ES_tradnl"/>
        </w:rPr>
      </w:pPr>
      <w:r w:rsidRPr="00AF79F1">
        <w:rPr>
          <w:rStyle w:val="FootnoteReference"/>
          <w:lang w:val="es-ES_tradnl"/>
        </w:rPr>
        <w:footnoteRef/>
      </w:r>
      <w:r w:rsidR="00F60BFA" w:rsidRPr="00AF79F1">
        <w:rPr>
          <w:lang w:val="es-ES_tradnl"/>
        </w:rPr>
        <w:t xml:space="preserve"> </w:t>
      </w:r>
      <w:r w:rsidR="000D1776" w:rsidRPr="00AF79F1">
        <w:rPr>
          <w:lang w:val="es-ES_tradnl"/>
        </w:rPr>
        <w:t>Párrafo</w:t>
      </w:r>
      <w:r w:rsidR="00F60BFA" w:rsidRPr="00AF79F1">
        <w:rPr>
          <w:lang w:val="es-ES_tradnl"/>
        </w:rPr>
        <w:t xml:space="preserve"> </w:t>
      </w:r>
      <w:r w:rsidRPr="00AF79F1">
        <w:rPr>
          <w:lang w:val="es-ES_tradnl"/>
        </w:rPr>
        <w:t>23</w:t>
      </w:r>
      <w:r w:rsidR="00F60BFA" w:rsidRPr="00AF79F1">
        <w:rPr>
          <w:lang w:val="es-ES_tradnl"/>
        </w:rPr>
        <w:t xml:space="preserve"> </w:t>
      </w:r>
      <w:r w:rsidR="00407FBC" w:rsidRPr="00AF79F1">
        <w:rPr>
          <w:lang w:val="es-ES_tradnl"/>
        </w:rPr>
        <w:t>de</w:t>
      </w:r>
      <w:r w:rsidR="00F60BFA" w:rsidRPr="00AF79F1">
        <w:rPr>
          <w:lang w:val="es-ES_tradnl"/>
        </w:rPr>
        <w:t xml:space="preserve"> </w:t>
      </w:r>
      <w:r w:rsidR="00407FBC" w:rsidRPr="00AF79F1">
        <w:rPr>
          <w:lang w:val="es-ES_tradnl"/>
        </w:rPr>
        <w:t>la</w:t>
      </w:r>
      <w:r w:rsidR="00F60BFA" w:rsidRPr="00AF79F1">
        <w:rPr>
          <w:lang w:val="es-ES_tradnl"/>
        </w:rPr>
        <w:t xml:space="preserve"> </w:t>
      </w:r>
      <w:r w:rsidR="00407FBC" w:rsidRPr="00AF79F1">
        <w:rPr>
          <w:lang w:val="es-ES_tradnl"/>
        </w:rPr>
        <w:t>decisión</w:t>
      </w:r>
      <w:r w:rsidR="00F60BFA" w:rsidRPr="00AF79F1">
        <w:rPr>
          <w:lang w:val="es-ES_tradnl"/>
        </w:rPr>
        <w:t xml:space="preserve"> </w:t>
      </w:r>
      <w:r w:rsidRPr="00AF79F1">
        <w:rPr>
          <w:lang w:val="es-ES_tradnl"/>
        </w:rPr>
        <w:t>XXVIII/2.</w:t>
      </w:r>
    </w:p>
  </w:footnote>
  <w:footnote w:id="7">
    <w:p w14:paraId="314DC256" w14:textId="2CAA0EB8" w:rsidR="006100BE" w:rsidRPr="00AF79F1" w:rsidRDefault="006100BE">
      <w:pPr>
        <w:pStyle w:val="FootnoteText"/>
        <w:rPr>
          <w:lang w:val="es-ES_tradnl"/>
        </w:rPr>
      </w:pPr>
      <w:r w:rsidRPr="00AF79F1">
        <w:rPr>
          <w:rStyle w:val="FootnoteReference"/>
          <w:lang w:val="es-ES_tradnl"/>
        </w:rPr>
        <w:footnoteRef/>
      </w:r>
      <w:r w:rsidR="00F60BFA" w:rsidRPr="00AF79F1">
        <w:rPr>
          <w:lang w:val="es-ES_tradnl"/>
        </w:rPr>
        <w:t xml:space="preserve"> </w:t>
      </w:r>
      <w:r w:rsidR="00744CB9">
        <w:rPr>
          <w:lang w:val="es-ES_tradnl"/>
        </w:rPr>
        <w:t>El p</w:t>
      </w:r>
      <w:r w:rsidR="000D1776" w:rsidRPr="00AF79F1">
        <w:rPr>
          <w:lang w:val="es-ES_tradnl"/>
        </w:rPr>
        <w:t>árrafo</w:t>
      </w:r>
      <w:r w:rsidR="00F60BFA" w:rsidRPr="00AF79F1">
        <w:rPr>
          <w:lang w:val="es-ES_tradnl"/>
        </w:rPr>
        <w:t xml:space="preserve"> </w:t>
      </w:r>
      <w:r w:rsidRPr="00AF79F1">
        <w:rPr>
          <w:lang w:val="es-ES_tradnl"/>
        </w:rPr>
        <w:t>2</w:t>
      </w:r>
      <w:r w:rsidR="00F60BFA" w:rsidRPr="00AF79F1">
        <w:rPr>
          <w:lang w:val="es-ES_tradnl"/>
        </w:rPr>
        <w:t xml:space="preserve"> </w:t>
      </w:r>
      <w:r w:rsidR="00407FBC" w:rsidRPr="00AF79F1">
        <w:rPr>
          <w:lang w:val="es-ES_tradnl"/>
        </w:rPr>
        <w:t>de</w:t>
      </w:r>
      <w:r w:rsidR="00F60BFA" w:rsidRPr="00AF79F1">
        <w:rPr>
          <w:lang w:val="es-ES_tradnl"/>
        </w:rPr>
        <w:t xml:space="preserve"> </w:t>
      </w:r>
      <w:r w:rsidR="00407FBC" w:rsidRPr="00AF79F1">
        <w:rPr>
          <w:lang w:val="es-ES_tradnl"/>
        </w:rPr>
        <w:t>la</w:t>
      </w:r>
      <w:r w:rsidR="00F60BFA" w:rsidRPr="00AF79F1">
        <w:rPr>
          <w:lang w:val="es-ES_tradnl"/>
        </w:rPr>
        <w:t xml:space="preserve"> </w:t>
      </w:r>
      <w:r w:rsidR="00407FBC" w:rsidRPr="00AF79F1">
        <w:rPr>
          <w:lang w:val="es-ES_tradnl"/>
        </w:rPr>
        <w:t>decisión</w:t>
      </w:r>
      <w:r w:rsidR="00F60BFA" w:rsidRPr="00AF79F1">
        <w:rPr>
          <w:lang w:val="es-ES_tradnl"/>
        </w:rPr>
        <w:t xml:space="preserve"> </w:t>
      </w:r>
      <w:r w:rsidRPr="00AF79F1">
        <w:rPr>
          <w:lang w:val="es-ES_tradnl"/>
        </w:rPr>
        <w:t>XXX/5</w:t>
      </w:r>
      <w:r w:rsidR="00F60BFA" w:rsidRPr="00AF79F1">
        <w:rPr>
          <w:lang w:val="es-ES_tradnl"/>
        </w:rPr>
        <w:t xml:space="preserve"> </w:t>
      </w:r>
      <w:r w:rsidR="005913AC">
        <w:rPr>
          <w:lang w:val="es-ES_tradnl"/>
        </w:rPr>
        <w:t>solicitaba</w:t>
      </w:r>
      <w:r w:rsidR="00F60BFA" w:rsidRPr="00AF79F1">
        <w:rPr>
          <w:lang w:val="es-ES_tradnl"/>
        </w:rPr>
        <w:t xml:space="preserve"> </w:t>
      </w:r>
      <w:r w:rsidR="00E72A92">
        <w:rPr>
          <w:lang w:val="es-ES_tradnl"/>
        </w:rPr>
        <w:t>a</w:t>
      </w:r>
      <w:r w:rsidR="005229E1" w:rsidRPr="00AF79F1">
        <w:rPr>
          <w:lang w:val="es-ES_tradnl"/>
        </w:rPr>
        <w:t>l</w:t>
      </w:r>
      <w:r w:rsidR="00F60BFA" w:rsidRPr="00AF79F1">
        <w:rPr>
          <w:lang w:val="es-ES_tradnl"/>
        </w:rPr>
        <w:t xml:space="preserve"> </w:t>
      </w:r>
      <w:r w:rsidR="005229E1" w:rsidRPr="00AF79F1">
        <w:rPr>
          <w:lang w:val="es-ES_tradnl"/>
        </w:rPr>
        <w:t>Comité</w:t>
      </w:r>
      <w:r w:rsidR="00F60BFA" w:rsidRPr="00AF79F1">
        <w:rPr>
          <w:lang w:val="es-ES_tradnl"/>
        </w:rPr>
        <w:t xml:space="preserve"> </w:t>
      </w:r>
      <w:r w:rsidR="00B12D1E" w:rsidRPr="00AF79F1">
        <w:rPr>
          <w:lang w:val="es-ES_tradnl"/>
        </w:rPr>
        <w:t>Ejecutivo</w:t>
      </w:r>
      <w:r w:rsidRPr="00AF79F1">
        <w:rPr>
          <w:lang w:val="es-ES_tradnl"/>
        </w:rPr>
        <w:t>,</w:t>
      </w:r>
      <w:r w:rsidR="00F60BFA" w:rsidRPr="00AF79F1">
        <w:rPr>
          <w:lang w:val="es-ES_tradnl"/>
        </w:rPr>
        <w:t xml:space="preserve"> </w:t>
      </w:r>
      <w:r w:rsidR="00853A6A">
        <w:rPr>
          <w:lang w:val="es-ES_tradnl"/>
        </w:rPr>
        <w:t xml:space="preserve">en el </w:t>
      </w:r>
      <w:r w:rsidR="004E6F56">
        <w:rPr>
          <w:lang w:val="es-ES_tradnl"/>
        </w:rPr>
        <w:t xml:space="preserve">contexto </w:t>
      </w:r>
      <w:r w:rsidR="00853A6A">
        <w:rPr>
          <w:lang w:val="es-ES_tradnl"/>
        </w:rPr>
        <w:t xml:space="preserve">del </w:t>
      </w:r>
      <w:r w:rsidR="000D1776" w:rsidRPr="00AF79F1">
        <w:rPr>
          <w:lang w:val="es-ES_tradnl"/>
        </w:rPr>
        <w:t>párrafo</w:t>
      </w:r>
      <w:r w:rsidR="00F60BFA" w:rsidRPr="00AF79F1">
        <w:rPr>
          <w:lang w:val="es-ES_tradnl"/>
        </w:rPr>
        <w:t xml:space="preserve"> </w:t>
      </w:r>
      <w:r w:rsidRPr="00AF79F1">
        <w:rPr>
          <w:lang w:val="es-ES_tradnl"/>
        </w:rPr>
        <w:t>16</w:t>
      </w:r>
      <w:r w:rsidR="00F60BFA" w:rsidRPr="00AF79F1">
        <w:rPr>
          <w:lang w:val="es-ES_tradnl"/>
        </w:rPr>
        <w:t xml:space="preserve"> </w:t>
      </w:r>
      <w:r w:rsidR="00407FBC" w:rsidRPr="00AF79F1">
        <w:rPr>
          <w:lang w:val="es-ES_tradnl"/>
        </w:rPr>
        <w:t>de</w:t>
      </w:r>
      <w:r w:rsidR="00F60BFA" w:rsidRPr="00AF79F1">
        <w:rPr>
          <w:lang w:val="es-ES_tradnl"/>
        </w:rPr>
        <w:t xml:space="preserve"> </w:t>
      </w:r>
      <w:r w:rsidR="00407FBC" w:rsidRPr="00AF79F1">
        <w:rPr>
          <w:lang w:val="es-ES_tradnl"/>
        </w:rPr>
        <w:t>la</w:t>
      </w:r>
      <w:r w:rsidR="00F60BFA" w:rsidRPr="00AF79F1">
        <w:rPr>
          <w:lang w:val="es-ES_tradnl"/>
        </w:rPr>
        <w:t xml:space="preserve"> </w:t>
      </w:r>
      <w:r w:rsidR="00407FBC" w:rsidRPr="00AF79F1">
        <w:rPr>
          <w:lang w:val="es-ES_tradnl"/>
        </w:rPr>
        <w:t>decisión</w:t>
      </w:r>
      <w:r w:rsidR="00F60BFA" w:rsidRPr="00AF79F1">
        <w:rPr>
          <w:lang w:val="es-ES_tradnl"/>
        </w:rPr>
        <w:t xml:space="preserve"> </w:t>
      </w:r>
      <w:r w:rsidRPr="00AF79F1">
        <w:rPr>
          <w:lang w:val="es-ES_tradnl"/>
        </w:rPr>
        <w:t>XXVIII/</w:t>
      </w:r>
      <w:r w:rsidR="00C42CD7">
        <w:rPr>
          <w:lang w:val="es-ES_tradnl"/>
        </w:rPr>
        <w:t>2,</w:t>
      </w:r>
      <w:r w:rsidR="00F60BFA" w:rsidRPr="00AF79F1">
        <w:rPr>
          <w:lang w:val="es-ES_tradnl"/>
        </w:rPr>
        <w:t xml:space="preserve"> </w:t>
      </w:r>
      <w:r w:rsidR="00F01087">
        <w:rPr>
          <w:lang w:val="es-ES_tradnl"/>
        </w:rPr>
        <w:t xml:space="preserve">estudiar </w:t>
      </w:r>
      <w:r w:rsidR="0015538C">
        <w:rPr>
          <w:lang w:val="es-ES_tradnl"/>
        </w:rPr>
        <w:t>un</w:t>
      </w:r>
      <w:r w:rsidR="00FB5833">
        <w:rPr>
          <w:lang w:val="es-ES_tradnl"/>
        </w:rPr>
        <w:t xml:space="preserve"> aumento </w:t>
      </w:r>
      <w:r w:rsidR="00D705BE">
        <w:rPr>
          <w:lang w:val="es-ES_tradnl"/>
        </w:rPr>
        <w:t>de</w:t>
      </w:r>
      <w:r w:rsidR="00A87EB4">
        <w:rPr>
          <w:lang w:val="es-ES_tradnl"/>
        </w:rPr>
        <w:t xml:space="preserve"> </w:t>
      </w:r>
      <w:r w:rsidR="007A1FEF">
        <w:rPr>
          <w:lang w:val="es-ES_tradnl"/>
        </w:rPr>
        <w:t xml:space="preserve">los fondos asignados </w:t>
      </w:r>
      <w:r w:rsidR="00A775AE">
        <w:rPr>
          <w:lang w:val="es-ES_tradnl"/>
        </w:rPr>
        <w:t xml:space="preserve">a </w:t>
      </w:r>
      <w:r w:rsidR="00132C4F" w:rsidRPr="00AF79F1">
        <w:rPr>
          <w:lang w:val="es-ES_tradnl"/>
        </w:rPr>
        <w:t>países</w:t>
      </w:r>
      <w:r w:rsidR="00F60BFA" w:rsidRPr="00AF79F1">
        <w:rPr>
          <w:lang w:val="es-ES_tradnl"/>
        </w:rPr>
        <w:t xml:space="preserve"> </w:t>
      </w:r>
      <w:r w:rsidR="00132C4F" w:rsidRPr="00AF79F1">
        <w:rPr>
          <w:lang w:val="es-ES_tradnl"/>
        </w:rPr>
        <w:t>de</w:t>
      </w:r>
      <w:r w:rsidR="00F60BFA" w:rsidRPr="00AF79F1">
        <w:rPr>
          <w:lang w:val="es-ES_tradnl"/>
        </w:rPr>
        <w:t xml:space="preserve"> </w:t>
      </w:r>
      <w:r w:rsidR="00132C4F" w:rsidRPr="00AF79F1">
        <w:rPr>
          <w:lang w:val="es-ES_tradnl"/>
        </w:rPr>
        <w:t>bajo</w:t>
      </w:r>
      <w:r w:rsidR="00F60BFA" w:rsidRPr="00AF79F1">
        <w:rPr>
          <w:lang w:val="es-ES_tradnl"/>
        </w:rPr>
        <w:t xml:space="preserve"> </w:t>
      </w:r>
      <w:r w:rsidR="00132C4F" w:rsidRPr="00AF79F1">
        <w:rPr>
          <w:lang w:val="es-ES_tradnl"/>
        </w:rPr>
        <w:t>consumo</w:t>
      </w:r>
      <w:r w:rsidR="00F60BFA" w:rsidRPr="00AF79F1">
        <w:rPr>
          <w:lang w:val="es-ES_tradnl"/>
        </w:rPr>
        <w:t xml:space="preserve"> </w:t>
      </w:r>
      <w:r w:rsidR="00785F0F">
        <w:rPr>
          <w:lang w:val="es-ES_tradnl"/>
        </w:rPr>
        <w:t xml:space="preserve">que implementen </w:t>
      </w:r>
      <w:r w:rsidR="00A26E71" w:rsidRPr="00AF79F1">
        <w:rPr>
          <w:lang w:val="es-ES_tradnl"/>
        </w:rPr>
        <w:t>las</w:t>
      </w:r>
      <w:r w:rsidR="00F60BFA" w:rsidRPr="00AF79F1">
        <w:rPr>
          <w:lang w:val="es-ES_tradnl"/>
        </w:rPr>
        <w:t xml:space="preserve"> </w:t>
      </w:r>
      <w:r w:rsidR="00A26E71" w:rsidRPr="00AF79F1">
        <w:rPr>
          <w:lang w:val="es-ES_tradnl"/>
        </w:rPr>
        <w:t>actividades</w:t>
      </w:r>
      <w:r w:rsidR="00F60BFA" w:rsidRPr="00AF79F1">
        <w:rPr>
          <w:lang w:val="es-ES_tradnl"/>
        </w:rPr>
        <w:t xml:space="preserve"> </w:t>
      </w:r>
      <w:r w:rsidR="006A71E4">
        <w:rPr>
          <w:lang w:val="es-ES_tradnl"/>
        </w:rPr>
        <w:t xml:space="preserve">descritas </w:t>
      </w:r>
      <w:r w:rsidR="005C652D" w:rsidRPr="00AF79F1">
        <w:rPr>
          <w:lang w:val="es-ES_tradnl"/>
        </w:rPr>
        <w:t>en</w:t>
      </w:r>
      <w:r w:rsidR="00F60BFA" w:rsidRPr="00AF79F1">
        <w:rPr>
          <w:lang w:val="es-ES_tradnl"/>
        </w:rPr>
        <w:t xml:space="preserve"> </w:t>
      </w:r>
      <w:r w:rsidR="005C652D" w:rsidRPr="00AF79F1">
        <w:rPr>
          <w:lang w:val="es-ES_tradnl"/>
        </w:rPr>
        <w:t>el</w:t>
      </w:r>
      <w:r w:rsidR="00F60BFA" w:rsidRPr="00AF79F1">
        <w:rPr>
          <w:lang w:val="es-ES_tradnl"/>
        </w:rPr>
        <w:t xml:space="preserve"> </w:t>
      </w:r>
      <w:r w:rsidR="005C652D" w:rsidRPr="00AF79F1">
        <w:rPr>
          <w:lang w:val="es-ES_tradnl"/>
        </w:rPr>
        <w:t>párrafo</w:t>
      </w:r>
      <w:r w:rsidR="00F60BFA" w:rsidRPr="00AF79F1">
        <w:rPr>
          <w:lang w:val="es-ES_tradnl"/>
        </w:rPr>
        <w:t xml:space="preserve"> </w:t>
      </w:r>
      <w:r w:rsidRPr="00AF79F1">
        <w:rPr>
          <w:lang w:val="es-ES_tradnl"/>
        </w:rPr>
        <w:t>1</w:t>
      </w:r>
      <w:r w:rsidR="00F60BFA" w:rsidRPr="00AF79F1">
        <w:rPr>
          <w:lang w:val="es-ES_tradnl"/>
        </w:rPr>
        <w:t xml:space="preserve"> </w:t>
      </w:r>
      <w:r w:rsidR="00B12D1E" w:rsidRPr="00AF79F1">
        <w:rPr>
          <w:lang w:val="es-ES_tradnl"/>
        </w:rPr>
        <w:t>de</w:t>
      </w:r>
      <w:r w:rsidR="00F60BFA" w:rsidRPr="00AF79F1">
        <w:rPr>
          <w:lang w:val="es-ES_tradnl"/>
        </w:rPr>
        <w:t xml:space="preserve"> </w:t>
      </w:r>
      <w:r w:rsidR="00C01439">
        <w:rPr>
          <w:lang w:val="es-ES_tradnl"/>
        </w:rPr>
        <w:t xml:space="preserve">dicha </w:t>
      </w:r>
      <w:r w:rsidR="005229E1" w:rsidRPr="00AF79F1">
        <w:rPr>
          <w:lang w:val="es-ES_tradnl"/>
        </w:rPr>
        <w:t>decisión</w:t>
      </w:r>
      <w:r w:rsidR="00F60BFA" w:rsidRPr="00AF79F1">
        <w:rPr>
          <w:lang w:val="es-ES_tradnl"/>
        </w:rPr>
        <w:t xml:space="preserve"> </w:t>
      </w:r>
      <w:r w:rsidRPr="00AF79F1">
        <w:rPr>
          <w:lang w:val="es-ES_tradnl"/>
        </w:rPr>
        <w:t>(</w:t>
      </w:r>
      <w:r w:rsidR="00BA2F72">
        <w:rPr>
          <w:lang w:val="es-ES_tradnl"/>
        </w:rPr>
        <w:t xml:space="preserve">elaborar </w:t>
      </w:r>
      <w:r w:rsidR="00B12D1E" w:rsidRPr="00AF79F1">
        <w:rPr>
          <w:lang w:val="es-ES_tradnl"/>
        </w:rPr>
        <w:t>y</w:t>
      </w:r>
      <w:r w:rsidR="00F60BFA" w:rsidRPr="00AF79F1">
        <w:rPr>
          <w:lang w:val="es-ES_tradnl"/>
        </w:rPr>
        <w:t xml:space="preserve"> </w:t>
      </w:r>
      <w:r w:rsidR="00BA2F72">
        <w:rPr>
          <w:lang w:val="es-ES_tradnl"/>
        </w:rPr>
        <w:t>aplicar</w:t>
      </w:r>
      <w:r w:rsidR="00F60BFA" w:rsidRPr="00AF79F1">
        <w:rPr>
          <w:lang w:val="es-ES_tradnl"/>
        </w:rPr>
        <w:t xml:space="preserve"> </w:t>
      </w:r>
      <w:r w:rsidR="00407FBC" w:rsidRPr="00AF79F1">
        <w:rPr>
          <w:lang w:val="es-ES_tradnl"/>
        </w:rPr>
        <w:t>políticas</w:t>
      </w:r>
      <w:r w:rsidR="00F60BFA" w:rsidRPr="00AF79F1">
        <w:rPr>
          <w:lang w:val="es-ES_tradnl"/>
        </w:rPr>
        <w:t xml:space="preserve"> </w:t>
      </w:r>
      <w:r w:rsidR="00B12D1E" w:rsidRPr="00AF79F1">
        <w:rPr>
          <w:lang w:val="es-ES_tradnl"/>
        </w:rPr>
        <w:t>y</w:t>
      </w:r>
      <w:r w:rsidR="00F60BFA" w:rsidRPr="00AF79F1">
        <w:rPr>
          <w:lang w:val="es-ES_tradnl"/>
        </w:rPr>
        <w:t xml:space="preserve"> </w:t>
      </w:r>
      <w:r w:rsidR="000D1776" w:rsidRPr="00AF79F1">
        <w:rPr>
          <w:lang w:val="es-ES_tradnl"/>
        </w:rPr>
        <w:t>normas</w:t>
      </w:r>
      <w:r w:rsidR="00F60BFA" w:rsidRPr="00AF79F1">
        <w:rPr>
          <w:lang w:val="es-ES_tradnl"/>
        </w:rPr>
        <w:t xml:space="preserve"> </w:t>
      </w:r>
      <w:r w:rsidR="0053719D">
        <w:rPr>
          <w:lang w:val="es-ES_tradnl"/>
        </w:rPr>
        <w:t>para evitar</w:t>
      </w:r>
      <w:r w:rsidR="009A7CC7">
        <w:rPr>
          <w:lang w:val="es-ES_tradnl"/>
        </w:rPr>
        <w:t xml:space="preserve"> </w:t>
      </w:r>
      <w:r w:rsidR="00C44620">
        <w:rPr>
          <w:lang w:val="es-ES_tradnl"/>
        </w:rPr>
        <w:t xml:space="preserve">el ingreso al </w:t>
      </w:r>
      <w:r w:rsidR="00B62673" w:rsidRPr="00AF79F1">
        <w:rPr>
          <w:lang w:val="es-ES_tradnl"/>
        </w:rPr>
        <w:t>mercado</w:t>
      </w:r>
      <w:r w:rsidR="00F60BFA" w:rsidRPr="00AF79F1">
        <w:rPr>
          <w:lang w:val="es-ES_tradnl"/>
        </w:rPr>
        <w:t xml:space="preserve"> </w:t>
      </w:r>
      <w:r w:rsidR="00B12D1E" w:rsidRPr="00AF79F1">
        <w:rPr>
          <w:lang w:val="es-ES_tradnl"/>
        </w:rPr>
        <w:t>de</w:t>
      </w:r>
      <w:r w:rsidR="00F60BFA" w:rsidRPr="00AF79F1">
        <w:rPr>
          <w:lang w:val="es-ES_tradnl"/>
        </w:rPr>
        <w:t xml:space="preserve"> </w:t>
      </w:r>
      <w:r w:rsidR="006654D3">
        <w:rPr>
          <w:lang w:val="es-ES_tradnl"/>
        </w:rPr>
        <w:t xml:space="preserve">equipos </w:t>
      </w:r>
      <w:r w:rsidR="00861A20">
        <w:rPr>
          <w:lang w:val="es-ES_tradnl"/>
        </w:rPr>
        <w:t xml:space="preserve">de </w:t>
      </w:r>
      <w:r w:rsidR="00B12D1E" w:rsidRPr="00AF79F1">
        <w:rPr>
          <w:lang w:val="es-ES_tradnl"/>
        </w:rPr>
        <w:t>refrigeración</w:t>
      </w:r>
      <w:r w:rsidRPr="00AF79F1">
        <w:rPr>
          <w:lang w:val="es-ES_tradnl"/>
        </w:rPr>
        <w:t>,</w:t>
      </w:r>
      <w:r w:rsidR="00F60BFA" w:rsidRPr="00AF79F1">
        <w:rPr>
          <w:lang w:val="es-ES_tradnl"/>
        </w:rPr>
        <w:t xml:space="preserve"> </w:t>
      </w:r>
      <w:r w:rsidR="00356CF6" w:rsidRPr="00AF79F1">
        <w:rPr>
          <w:lang w:val="es-ES_tradnl"/>
        </w:rPr>
        <w:t>aire</w:t>
      </w:r>
      <w:r w:rsidR="00F60BFA" w:rsidRPr="00AF79F1">
        <w:rPr>
          <w:lang w:val="es-ES_tradnl"/>
        </w:rPr>
        <w:t xml:space="preserve"> </w:t>
      </w:r>
      <w:r w:rsidR="00356CF6" w:rsidRPr="00AF79F1">
        <w:rPr>
          <w:lang w:val="es-ES_tradnl"/>
        </w:rPr>
        <w:t>acondicionado</w:t>
      </w:r>
      <w:r w:rsidR="00F60BFA" w:rsidRPr="00AF79F1">
        <w:rPr>
          <w:lang w:val="es-ES_tradnl"/>
        </w:rPr>
        <w:t xml:space="preserve"> </w:t>
      </w:r>
      <w:r w:rsidR="00B12D1E" w:rsidRPr="00AF79F1">
        <w:rPr>
          <w:lang w:val="es-ES_tradnl"/>
        </w:rPr>
        <w:t>y</w:t>
      </w:r>
      <w:r w:rsidR="00F60BFA" w:rsidRPr="00AF79F1">
        <w:rPr>
          <w:lang w:val="es-ES_tradnl"/>
        </w:rPr>
        <w:t xml:space="preserve"> </w:t>
      </w:r>
      <w:r w:rsidR="00C63B5F">
        <w:rPr>
          <w:lang w:val="es-ES_tradnl"/>
        </w:rPr>
        <w:t>bombas de calor</w:t>
      </w:r>
      <w:r w:rsidR="00F60BFA" w:rsidRPr="00AF79F1">
        <w:rPr>
          <w:lang w:val="es-ES_tradnl"/>
        </w:rPr>
        <w:t xml:space="preserve"> </w:t>
      </w:r>
      <w:r w:rsidR="00C63B5F">
        <w:rPr>
          <w:lang w:val="es-ES_tradnl"/>
        </w:rPr>
        <w:t xml:space="preserve">de </w:t>
      </w:r>
      <w:r w:rsidR="00861A20" w:rsidRPr="00861A20">
        <w:rPr>
          <w:lang w:val="es-ES_tradnl"/>
        </w:rPr>
        <w:t>consumo energético ineficiente</w:t>
      </w:r>
      <w:r w:rsidRPr="00AF79F1">
        <w:rPr>
          <w:lang w:val="es-ES_tradnl"/>
        </w:rPr>
        <w:t>;</w:t>
      </w:r>
      <w:r w:rsidR="00F60BFA" w:rsidRPr="00AF79F1">
        <w:rPr>
          <w:lang w:val="es-ES_tradnl"/>
        </w:rPr>
        <w:t xml:space="preserve"> </w:t>
      </w:r>
      <w:r w:rsidR="00E778A4" w:rsidRPr="00E778A4">
        <w:rPr>
          <w:lang w:val="es-ES_tradnl"/>
        </w:rPr>
        <w:t>impulsar</w:t>
      </w:r>
      <w:r w:rsidR="0081296B">
        <w:rPr>
          <w:lang w:val="es-ES_tradnl"/>
        </w:rPr>
        <w:t xml:space="preserve"> </w:t>
      </w:r>
      <w:r w:rsidR="003B2872">
        <w:rPr>
          <w:lang w:val="es-ES_tradnl"/>
        </w:rPr>
        <w:t xml:space="preserve">el acceso </w:t>
      </w:r>
      <w:r w:rsidR="008C189B">
        <w:rPr>
          <w:lang w:val="es-ES_tradnl"/>
        </w:rPr>
        <w:t xml:space="preserve">de estos </w:t>
      </w:r>
      <w:r w:rsidR="008C189B" w:rsidRPr="008C189B">
        <w:rPr>
          <w:lang w:val="es-ES_tradnl"/>
        </w:rPr>
        <w:t xml:space="preserve">sectores </w:t>
      </w:r>
      <w:r w:rsidR="00D609A0">
        <w:rPr>
          <w:lang w:val="es-ES_tradnl"/>
        </w:rPr>
        <w:t xml:space="preserve">a </w:t>
      </w:r>
      <w:r w:rsidR="005229E1" w:rsidRPr="00AF79F1">
        <w:rPr>
          <w:lang w:val="es-ES_tradnl"/>
        </w:rPr>
        <w:t>tecnologías</w:t>
      </w:r>
      <w:r w:rsidR="00F60BFA" w:rsidRPr="00AF79F1">
        <w:rPr>
          <w:lang w:val="es-ES_tradnl"/>
        </w:rPr>
        <w:t xml:space="preserve"> </w:t>
      </w:r>
      <w:r w:rsidR="008C189B" w:rsidRPr="008C189B">
        <w:rPr>
          <w:lang w:val="es-ES_tradnl"/>
        </w:rPr>
        <w:t>de consumo energético eficiente</w:t>
      </w:r>
      <w:r w:rsidR="002D4A81">
        <w:rPr>
          <w:lang w:val="es-ES_tradnl"/>
        </w:rPr>
        <w:t xml:space="preserve">, </w:t>
      </w:r>
      <w:r w:rsidR="007770E4">
        <w:rPr>
          <w:lang w:val="es-ES_tradnl"/>
        </w:rPr>
        <w:t xml:space="preserve">hacer capacitaciones </w:t>
      </w:r>
      <w:r w:rsidR="00AD55BE">
        <w:rPr>
          <w:lang w:val="es-ES_tradnl"/>
        </w:rPr>
        <w:t xml:space="preserve">selectivas </w:t>
      </w:r>
      <w:r w:rsidR="002D2863">
        <w:rPr>
          <w:lang w:val="es-ES_tradnl"/>
        </w:rPr>
        <w:t>en</w:t>
      </w:r>
      <w:r w:rsidR="00AD55BE">
        <w:rPr>
          <w:lang w:val="es-ES_tradnl"/>
        </w:rPr>
        <w:t xml:space="preserve"> </w:t>
      </w:r>
      <w:r w:rsidR="00A26E71" w:rsidRPr="00AF79F1">
        <w:rPr>
          <w:lang w:val="es-ES_tradnl"/>
        </w:rPr>
        <w:t>acreditación</w:t>
      </w:r>
      <w:r w:rsidRPr="00AF79F1">
        <w:rPr>
          <w:lang w:val="es-ES_tradnl"/>
        </w:rPr>
        <w:t>,</w:t>
      </w:r>
      <w:r w:rsidR="00F60BFA" w:rsidRPr="00AF79F1">
        <w:rPr>
          <w:lang w:val="es-ES_tradnl"/>
        </w:rPr>
        <w:t xml:space="preserve"> </w:t>
      </w:r>
      <w:r w:rsidR="00A26E71" w:rsidRPr="00AF79F1">
        <w:rPr>
          <w:lang w:val="es-ES_tradnl"/>
        </w:rPr>
        <w:t>seguridad</w:t>
      </w:r>
      <w:r w:rsidR="001C2DB4">
        <w:rPr>
          <w:lang w:val="es-ES_tradnl"/>
        </w:rPr>
        <w:t xml:space="preserve">, </w:t>
      </w:r>
      <w:r w:rsidR="005A1DCF" w:rsidRPr="00AF79F1">
        <w:rPr>
          <w:lang w:val="es-ES_tradnl"/>
        </w:rPr>
        <w:t>normas</w:t>
      </w:r>
      <w:r w:rsidR="00F60BFA" w:rsidRPr="00AF79F1">
        <w:rPr>
          <w:lang w:val="es-ES_tradnl"/>
        </w:rPr>
        <w:t xml:space="preserve"> </w:t>
      </w:r>
      <w:r w:rsidR="001C2DB4">
        <w:rPr>
          <w:lang w:val="es-ES_tradnl"/>
        </w:rPr>
        <w:t xml:space="preserve">y </w:t>
      </w:r>
      <w:r w:rsidR="00BC7194">
        <w:rPr>
          <w:lang w:val="es-ES_tradnl"/>
        </w:rPr>
        <w:t>sensibilización</w:t>
      </w:r>
      <w:r w:rsidR="00E23E44">
        <w:rPr>
          <w:lang w:val="es-ES_tradnl"/>
        </w:rPr>
        <w:t>,</w:t>
      </w:r>
      <w:r w:rsidR="00F60BFA" w:rsidRPr="00AF79F1">
        <w:rPr>
          <w:lang w:val="es-ES_tradnl"/>
        </w:rPr>
        <w:t xml:space="preserve"> </w:t>
      </w:r>
      <w:r w:rsidR="00B12D1E" w:rsidRPr="00AF79F1">
        <w:rPr>
          <w:lang w:val="es-ES_tradnl"/>
        </w:rPr>
        <w:t>y</w:t>
      </w:r>
      <w:r w:rsidR="00F60BFA" w:rsidRPr="00AF79F1">
        <w:rPr>
          <w:lang w:val="es-ES_tradnl"/>
        </w:rPr>
        <w:t xml:space="preserve"> </w:t>
      </w:r>
      <w:r w:rsidR="00B62673" w:rsidRPr="00AF79F1">
        <w:rPr>
          <w:lang w:val="es-ES_tradnl"/>
        </w:rPr>
        <w:t>fortalec</w:t>
      </w:r>
      <w:r w:rsidR="001C2DB4">
        <w:rPr>
          <w:lang w:val="es-ES_tradnl"/>
        </w:rPr>
        <w:t>er</w:t>
      </w:r>
      <w:r w:rsidR="00F60BFA" w:rsidRPr="00AF79F1">
        <w:rPr>
          <w:lang w:val="es-ES_tradnl"/>
        </w:rPr>
        <w:t xml:space="preserve"> </w:t>
      </w:r>
      <w:r w:rsidR="001C2DB4">
        <w:rPr>
          <w:lang w:val="es-ES_tradnl"/>
        </w:rPr>
        <w:t xml:space="preserve">la </w:t>
      </w:r>
      <w:r w:rsidR="001E35B5">
        <w:rPr>
          <w:lang w:val="es-ES_tradnl"/>
        </w:rPr>
        <w:t>mantención</w:t>
      </w:r>
      <w:r w:rsidR="001C2DB4">
        <w:rPr>
          <w:lang w:val="es-ES_tradnl"/>
        </w:rPr>
        <w:t xml:space="preserve"> y </w:t>
      </w:r>
      <w:r w:rsidR="001E35B5">
        <w:rPr>
          <w:lang w:val="es-ES_tradnl"/>
        </w:rPr>
        <w:t xml:space="preserve">mejora de </w:t>
      </w:r>
      <w:r w:rsidR="005C652D" w:rsidRPr="00AF79F1">
        <w:rPr>
          <w:lang w:val="es-ES_tradnl"/>
        </w:rPr>
        <w:t>la</w:t>
      </w:r>
      <w:r w:rsidR="00F60BFA" w:rsidRPr="00AF79F1">
        <w:rPr>
          <w:lang w:val="es-ES_tradnl"/>
        </w:rPr>
        <w:t xml:space="preserve"> </w:t>
      </w:r>
      <w:r w:rsidR="005C652D" w:rsidRPr="00AF79F1">
        <w:rPr>
          <w:lang w:val="es-ES_tradnl"/>
        </w:rPr>
        <w:t>eficiencia</w:t>
      </w:r>
      <w:r w:rsidR="00F60BFA" w:rsidRPr="00AF79F1">
        <w:rPr>
          <w:lang w:val="es-ES_tradnl"/>
        </w:rPr>
        <w:t xml:space="preserve"> </w:t>
      </w:r>
      <w:r w:rsidR="008E0416" w:rsidRPr="00AF79F1">
        <w:rPr>
          <w:lang w:val="es-ES_tradnl"/>
        </w:rPr>
        <w:t>energética</w:t>
      </w:r>
      <w:r w:rsidRPr="00AF79F1">
        <w:rPr>
          <w:lang w:val="es-ES_tradnl"/>
        </w:rPr>
        <w:t>).</w:t>
      </w:r>
    </w:p>
  </w:footnote>
  <w:footnote w:id="8">
    <w:p w14:paraId="226B6A8B" w14:textId="26996D33" w:rsidR="006100BE" w:rsidRPr="00AF79F1" w:rsidRDefault="006100BE">
      <w:pPr>
        <w:pStyle w:val="FootnoteText"/>
        <w:rPr>
          <w:lang w:val="es-ES_tradnl"/>
        </w:rPr>
      </w:pPr>
      <w:r w:rsidRPr="00AF79F1">
        <w:rPr>
          <w:rStyle w:val="FootnoteReference"/>
          <w:lang w:val="es-ES_tradnl"/>
        </w:rPr>
        <w:footnoteRef/>
      </w:r>
      <w:r w:rsidR="00F60BFA" w:rsidRPr="00AF79F1">
        <w:rPr>
          <w:lang w:val="es-ES_tradnl"/>
        </w:rPr>
        <w:t xml:space="preserve"> </w:t>
      </w:r>
      <w:r w:rsidR="00756B65">
        <w:rPr>
          <w:lang w:val="es-ES_tradnl"/>
        </w:rPr>
        <w:t>Abordar e</w:t>
      </w:r>
      <w:r w:rsidR="00085F1C">
        <w:rPr>
          <w:lang w:val="es-ES_tradnl"/>
        </w:rPr>
        <w:t xml:space="preserve">n </w:t>
      </w:r>
      <w:r w:rsidR="00BA4D22">
        <w:rPr>
          <w:lang w:val="es-ES_tradnl"/>
        </w:rPr>
        <w:t>la 8</w:t>
      </w:r>
      <w:r w:rsidR="00A26E71" w:rsidRPr="00AF79F1">
        <w:rPr>
          <w:lang w:val="es-ES_tradnl"/>
        </w:rPr>
        <w:t>3</w:t>
      </w:r>
      <w:r w:rsidR="005F33A5">
        <w:rPr>
          <w:lang w:val="es-ES_tradnl"/>
        </w:rPr>
        <w:t>ª reunión</w:t>
      </w:r>
      <w:r w:rsidR="00085F1C">
        <w:rPr>
          <w:lang w:val="es-ES_tradnl"/>
        </w:rPr>
        <w:t xml:space="preserve"> </w:t>
      </w:r>
      <w:r w:rsidR="00F911FD">
        <w:rPr>
          <w:lang w:val="es-ES_tradnl"/>
        </w:rPr>
        <w:t xml:space="preserve">las </w:t>
      </w:r>
      <w:r w:rsidR="00356C20">
        <w:rPr>
          <w:lang w:val="es-ES_tradnl"/>
        </w:rPr>
        <w:t>formas de</w:t>
      </w:r>
      <w:r w:rsidR="00F60BFA" w:rsidRPr="00AF79F1">
        <w:rPr>
          <w:lang w:val="es-ES_tradnl"/>
        </w:rPr>
        <w:t xml:space="preserve"> </w:t>
      </w:r>
      <w:r w:rsidR="00581CEA">
        <w:rPr>
          <w:lang w:val="es-ES_tradnl"/>
        </w:rPr>
        <w:t>llevar a la práctica</w:t>
      </w:r>
      <w:r w:rsidR="00F60BFA" w:rsidRPr="00AF79F1">
        <w:rPr>
          <w:lang w:val="es-ES_tradnl"/>
        </w:rPr>
        <w:t xml:space="preserve"> </w:t>
      </w:r>
      <w:r w:rsidR="00DD687E">
        <w:rPr>
          <w:lang w:val="es-ES_tradnl"/>
        </w:rPr>
        <w:t xml:space="preserve">los </w:t>
      </w:r>
      <w:r w:rsidR="000D1776" w:rsidRPr="00AF79F1">
        <w:rPr>
          <w:lang w:val="es-ES_tradnl"/>
        </w:rPr>
        <w:t>párrafo</w:t>
      </w:r>
      <w:r w:rsidR="00DD687E">
        <w:rPr>
          <w:lang w:val="es-ES_tradnl"/>
        </w:rPr>
        <w:t>s</w:t>
      </w:r>
      <w:r w:rsidR="00F60BFA" w:rsidRPr="00AF79F1">
        <w:rPr>
          <w:lang w:val="es-ES_tradnl"/>
        </w:rPr>
        <w:t xml:space="preserve"> </w:t>
      </w:r>
      <w:r w:rsidRPr="00AF79F1">
        <w:rPr>
          <w:lang w:val="es-ES_tradnl"/>
        </w:rPr>
        <w:t>22</w:t>
      </w:r>
      <w:r w:rsidR="00F60BFA" w:rsidRPr="00AF79F1">
        <w:rPr>
          <w:lang w:val="es-ES_tradnl"/>
        </w:rPr>
        <w:t xml:space="preserve"> </w:t>
      </w:r>
      <w:r w:rsidR="00407FBC" w:rsidRPr="00AF79F1">
        <w:rPr>
          <w:lang w:val="es-ES_tradnl"/>
        </w:rPr>
        <w:t>de</w:t>
      </w:r>
      <w:r w:rsidR="00F60BFA" w:rsidRPr="00AF79F1">
        <w:rPr>
          <w:lang w:val="es-ES_tradnl"/>
        </w:rPr>
        <w:t xml:space="preserve"> </w:t>
      </w:r>
      <w:r w:rsidR="00407FBC" w:rsidRPr="00AF79F1">
        <w:rPr>
          <w:lang w:val="es-ES_tradnl"/>
        </w:rPr>
        <w:t>la</w:t>
      </w:r>
      <w:r w:rsidR="00F60BFA" w:rsidRPr="00AF79F1">
        <w:rPr>
          <w:lang w:val="es-ES_tradnl"/>
        </w:rPr>
        <w:t xml:space="preserve"> </w:t>
      </w:r>
      <w:r w:rsidR="00407FBC" w:rsidRPr="00AF79F1">
        <w:rPr>
          <w:lang w:val="es-ES_tradnl"/>
        </w:rPr>
        <w:t>decisión</w:t>
      </w:r>
      <w:r w:rsidR="00F60BFA" w:rsidRPr="00AF79F1">
        <w:rPr>
          <w:lang w:val="es-ES_tradnl"/>
        </w:rPr>
        <w:t xml:space="preserve"> </w:t>
      </w:r>
      <w:r w:rsidRPr="00AF79F1">
        <w:rPr>
          <w:lang w:val="es-ES_tradnl"/>
        </w:rPr>
        <w:t>XXVIII/</w:t>
      </w:r>
      <w:r w:rsidR="00EB7B79">
        <w:rPr>
          <w:lang w:val="es-ES_tradnl"/>
        </w:rPr>
        <w:t>2</w:t>
      </w:r>
      <w:r w:rsidR="00F60BFA" w:rsidRPr="00AF79F1">
        <w:rPr>
          <w:lang w:val="es-ES_tradnl"/>
        </w:rPr>
        <w:t xml:space="preserve"> </w:t>
      </w:r>
      <w:r w:rsidR="0045071D">
        <w:rPr>
          <w:lang w:val="es-ES_tradnl"/>
        </w:rPr>
        <w:t xml:space="preserve">y </w:t>
      </w:r>
      <w:r w:rsidRPr="00AF79F1">
        <w:rPr>
          <w:lang w:val="es-ES_tradnl"/>
        </w:rPr>
        <w:t>5</w:t>
      </w:r>
      <w:r w:rsidR="00F60BFA" w:rsidRPr="00AF79F1">
        <w:rPr>
          <w:lang w:val="es-ES_tradnl"/>
        </w:rPr>
        <w:t xml:space="preserve"> </w:t>
      </w:r>
      <w:r w:rsidR="00B12D1E" w:rsidRPr="00AF79F1">
        <w:rPr>
          <w:lang w:val="es-ES_tradnl"/>
        </w:rPr>
        <w:t>y</w:t>
      </w:r>
      <w:r w:rsidR="00F60BFA" w:rsidRPr="00AF79F1">
        <w:rPr>
          <w:lang w:val="es-ES_tradnl"/>
        </w:rPr>
        <w:t xml:space="preserve"> </w:t>
      </w:r>
      <w:r w:rsidRPr="00AF79F1">
        <w:rPr>
          <w:lang w:val="es-ES_tradnl"/>
        </w:rPr>
        <w:t>6</w:t>
      </w:r>
      <w:r w:rsidR="00F60BFA" w:rsidRPr="00AF79F1">
        <w:rPr>
          <w:lang w:val="es-ES_tradnl"/>
        </w:rPr>
        <w:t xml:space="preserve"> </w:t>
      </w:r>
      <w:r w:rsidR="00407FBC" w:rsidRPr="00AF79F1">
        <w:rPr>
          <w:lang w:val="es-ES_tradnl"/>
        </w:rPr>
        <w:t>de</w:t>
      </w:r>
      <w:r w:rsidR="00F60BFA" w:rsidRPr="00AF79F1">
        <w:rPr>
          <w:lang w:val="es-ES_tradnl"/>
        </w:rPr>
        <w:t xml:space="preserve"> </w:t>
      </w:r>
      <w:r w:rsidR="00407FBC" w:rsidRPr="00AF79F1">
        <w:rPr>
          <w:lang w:val="es-ES_tradnl"/>
        </w:rPr>
        <w:t>la</w:t>
      </w:r>
      <w:r w:rsidR="00F60BFA" w:rsidRPr="00AF79F1">
        <w:rPr>
          <w:lang w:val="es-ES_tradnl"/>
        </w:rPr>
        <w:t xml:space="preserve"> </w:t>
      </w:r>
      <w:r w:rsidR="00407FBC" w:rsidRPr="00AF79F1">
        <w:rPr>
          <w:lang w:val="es-ES_tradnl"/>
        </w:rPr>
        <w:t>decisión</w:t>
      </w:r>
      <w:r w:rsidR="00F60BFA" w:rsidRPr="00AF79F1">
        <w:rPr>
          <w:lang w:val="es-ES_tradnl"/>
        </w:rPr>
        <w:t xml:space="preserve"> </w:t>
      </w:r>
      <w:r w:rsidRPr="00AF79F1">
        <w:rPr>
          <w:lang w:val="es-ES_tradnl"/>
        </w:rPr>
        <w:t>XXX/</w:t>
      </w:r>
      <w:r w:rsidR="00EB7B79">
        <w:rPr>
          <w:lang w:val="es-ES_tradnl"/>
        </w:rPr>
        <w:t>5,</w:t>
      </w:r>
      <w:r w:rsidR="00F60BFA" w:rsidRPr="00AF79F1">
        <w:rPr>
          <w:lang w:val="es-ES_tradnl"/>
        </w:rPr>
        <w:t xml:space="preserve"> </w:t>
      </w:r>
      <w:r w:rsidR="00A26E71" w:rsidRPr="00AF79F1">
        <w:rPr>
          <w:lang w:val="es-ES_tradnl"/>
        </w:rPr>
        <w:t>incluyendo</w:t>
      </w:r>
      <w:r w:rsidRPr="00AF79F1">
        <w:rPr>
          <w:lang w:val="es-ES_tradnl"/>
        </w:rPr>
        <w:t>:</w:t>
      </w:r>
      <w:r w:rsidR="00F60BFA" w:rsidRPr="00AF79F1">
        <w:rPr>
          <w:lang w:val="es-ES_tradnl"/>
        </w:rPr>
        <w:t xml:space="preserve"> </w:t>
      </w:r>
      <w:r w:rsidRPr="00AF79F1">
        <w:rPr>
          <w:lang w:val="es-ES_tradnl"/>
        </w:rPr>
        <w:t>i)</w:t>
      </w:r>
      <w:r w:rsidR="00F60BFA" w:rsidRPr="00AF79F1">
        <w:rPr>
          <w:lang w:val="es-ES_tradnl"/>
        </w:rPr>
        <w:t xml:space="preserve"> </w:t>
      </w:r>
      <w:r w:rsidR="00A26E71" w:rsidRPr="00AF79F1">
        <w:rPr>
          <w:lang w:val="es-ES_tradnl"/>
        </w:rPr>
        <w:t>Iniciativa</w:t>
      </w:r>
      <w:r w:rsidRPr="00AF79F1">
        <w:rPr>
          <w:lang w:val="es-ES_tradnl"/>
        </w:rPr>
        <w:t>s</w:t>
      </w:r>
      <w:r w:rsidR="00F60BFA" w:rsidRPr="00AF79F1">
        <w:rPr>
          <w:lang w:val="es-ES_tradnl"/>
        </w:rPr>
        <w:t xml:space="preserve"> </w:t>
      </w:r>
      <w:r w:rsidR="004A78CA">
        <w:rPr>
          <w:lang w:val="es-ES_tradnl"/>
        </w:rPr>
        <w:t xml:space="preserve">relativas </w:t>
      </w:r>
      <w:r w:rsidR="00AF79F1">
        <w:rPr>
          <w:lang w:val="es-ES_tradnl"/>
        </w:rPr>
        <w:t>a</w:t>
      </w:r>
      <w:r w:rsidR="00F60BFA" w:rsidRPr="00AF79F1">
        <w:rPr>
          <w:lang w:val="es-ES_tradnl"/>
        </w:rPr>
        <w:t xml:space="preserve"> </w:t>
      </w:r>
      <w:r w:rsidR="0031638D">
        <w:rPr>
          <w:lang w:val="es-ES_tradnl"/>
        </w:rPr>
        <w:t xml:space="preserve">mantener </w:t>
      </w:r>
      <w:r w:rsidR="00B12D1E" w:rsidRPr="00AF79F1">
        <w:rPr>
          <w:lang w:val="es-ES_tradnl"/>
        </w:rPr>
        <w:t>y</w:t>
      </w:r>
      <w:r w:rsidRPr="00AF79F1">
        <w:rPr>
          <w:lang w:val="es-ES_tradnl"/>
        </w:rPr>
        <w:t>/</w:t>
      </w:r>
      <w:r w:rsidR="00B12D1E" w:rsidRPr="00AF79F1">
        <w:rPr>
          <w:lang w:val="es-ES_tradnl"/>
        </w:rPr>
        <w:t>o</w:t>
      </w:r>
      <w:r w:rsidR="00F60BFA" w:rsidRPr="00AF79F1">
        <w:rPr>
          <w:lang w:val="es-ES_tradnl"/>
        </w:rPr>
        <w:t xml:space="preserve"> </w:t>
      </w:r>
      <w:r w:rsidR="0086301B">
        <w:rPr>
          <w:lang w:val="es-ES_tradnl"/>
        </w:rPr>
        <w:t>mejorar</w:t>
      </w:r>
      <w:r w:rsidR="0031638D">
        <w:rPr>
          <w:lang w:val="es-ES_tradnl"/>
        </w:rPr>
        <w:t xml:space="preserve"> </w:t>
      </w:r>
      <w:r w:rsidR="005C652D" w:rsidRPr="00AF79F1">
        <w:rPr>
          <w:lang w:val="es-ES_tradnl"/>
        </w:rPr>
        <w:t>la</w:t>
      </w:r>
      <w:r w:rsidR="00F60BFA" w:rsidRPr="00AF79F1">
        <w:rPr>
          <w:lang w:val="es-ES_tradnl"/>
        </w:rPr>
        <w:t xml:space="preserve"> </w:t>
      </w:r>
      <w:r w:rsidR="005C652D" w:rsidRPr="00AF79F1">
        <w:rPr>
          <w:lang w:val="es-ES_tradnl"/>
        </w:rPr>
        <w:t>eficiencia</w:t>
      </w:r>
      <w:r w:rsidR="00F60BFA" w:rsidRPr="00AF79F1">
        <w:rPr>
          <w:lang w:val="es-ES_tradnl"/>
        </w:rPr>
        <w:t xml:space="preserve"> </w:t>
      </w:r>
      <w:r w:rsidR="008E0416" w:rsidRPr="00AF79F1">
        <w:rPr>
          <w:lang w:val="es-ES_tradnl"/>
        </w:rPr>
        <w:t>energética</w:t>
      </w:r>
      <w:r w:rsidR="00F60BFA" w:rsidRPr="00AF79F1">
        <w:rPr>
          <w:lang w:val="es-ES_tradnl"/>
        </w:rPr>
        <w:t xml:space="preserve"> </w:t>
      </w:r>
      <w:r w:rsidR="00B12D1E" w:rsidRPr="00AF79F1">
        <w:rPr>
          <w:lang w:val="es-ES_tradnl"/>
        </w:rPr>
        <w:t>de</w:t>
      </w:r>
      <w:r w:rsidR="00F60BFA" w:rsidRPr="00AF79F1">
        <w:rPr>
          <w:lang w:val="es-ES_tradnl"/>
        </w:rPr>
        <w:t xml:space="preserve"> </w:t>
      </w:r>
      <w:r w:rsidR="005229E1" w:rsidRPr="00AF79F1">
        <w:rPr>
          <w:lang w:val="es-ES_tradnl"/>
        </w:rPr>
        <w:t>tecnologías</w:t>
      </w:r>
      <w:r w:rsidR="00F60BFA" w:rsidRPr="00AF79F1">
        <w:rPr>
          <w:lang w:val="es-ES_tradnl"/>
        </w:rPr>
        <w:t xml:space="preserve"> </w:t>
      </w:r>
      <w:r w:rsidR="00292400">
        <w:rPr>
          <w:lang w:val="es-ES_tradnl"/>
        </w:rPr>
        <w:t xml:space="preserve">sustitutivas </w:t>
      </w:r>
      <w:r w:rsidR="000A79D7">
        <w:rPr>
          <w:lang w:val="es-ES_tradnl"/>
        </w:rPr>
        <w:t xml:space="preserve">de bajo o </w:t>
      </w:r>
      <w:r w:rsidR="00E97A90">
        <w:rPr>
          <w:lang w:val="es-ES_tradnl"/>
        </w:rPr>
        <w:t>nulo</w:t>
      </w:r>
      <w:r w:rsidR="000A79D7">
        <w:rPr>
          <w:lang w:val="es-ES_tradnl"/>
        </w:rPr>
        <w:t xml:space="preserve"> </w:t>
      </w:r>
      <w:r w:rsidR="00356CF6" w:rsidRPr="00AF79F1">
        <w:rPr>
          <w:lang w:val="es-ES_tradnl"/>
        </w:rPr>
        <w:t>PCA</w:t>
      </w:r>
      <w:r w:rsidR="00F60BFA" w:rsidRPr="00AF79F1">
        <w:rPr>
          <w:lang w:val="es-ES_tradnl"/>
        </w:rPr>
        <w:t xml:space="preserve"> </w:t>
      </w:r>
      <w:r w:rsidR="005229E1" w:rsidRPr="00AF79F1">
        <w:rPr>
          <w:lang w:val="es-ES_tradnl"/>
        </w:rPr>
        <w:t>en</w:t>
      </w:r>
      <w:r w:rsidR="00F60BFA" w:rsidRPr="00AF79F1">
        <w:rPr>
          <w:lang w:val="es-ES_tradnl"/>
        </w:rPr>
        <w:t xml:space="preserve"> </w:t>
      </w:r>
      <w:r w:rsidR="00994CCD">
        <w:rPr>
          <w:lang w:val="es-ES_tradnl"/>
        </w:rPr>
        <w:t xml:space="preserve">los sectores </w:t>
      </w:r>
      <w:r w:rsidR="00303E6D" w:rsidRPr="00AF79F1">
        <w:rPr>
          <w:lang w:val="es-ES_tradnl"/>
        </w:rPr>
        <w:t>refrigeración</w:t>
      </w:r>
      <w:r w:rsidRPr="00AF79F1">
        <w:rPr>
          <w:lang w:val="es-ES_tradnl"/>
        </w:rPr>
        <w:t>,</w:t>
      </w:r>
      <w:r w:rsidR="00F60BFA" w:rsidRPr="00AF79F1">
        <w:rPr>
          <w:lang w:val="es-ES_tradnl"/>
        </w:rPr>
        <w:t xml:space="preserve"> </w:t>
      </w:r>
      <w:r w:rsidR="00356CF6" w:rsidRPr="00AF79F1">
        <w:rPr>
          <w:lang w:val="es-ES_tradnl"/>
        </w:rPr>
        <w:t>aire</w:t>
      </w:r>
      <w:r w:rsidR="00F60BFA" w:rsidRPr="00AF79F1">
        <w:rPr>
          <w:lang w:val="es-ES_tradnl"/>
        </w:rPr>
        <w:t xml:space="preserve"> </w:t>
      </w:r>
      <w:r w:rsidR="00356CF6" w:rsidRPr="00AF79F1">
        <w:rPr>
          <w:lang w:val="es-ES_tradnl"/>
        </w:rPr>
        <w:t>acondicionado</w:t>
      </w:r>
      <w:r w:rsidR="00F60BFA" w:rsidRPr="00AF79F1">
        <w:rPr>
          <w:lang w:val="es-ES_tradnl"/>
        </w:rPr>
        <w:t xml:space="preserve"> </w:t>
      </w:r>
      <w:r w:rsidR="00B12D1E" w:rsidRPr="00AF79F1">
        <w:rPr>
          <w:lang w:val="es-ES_tradnl"/>
        </w:rPr>
        <w:t>y</w:t>
      </w:r>
      <w:r w:rsidR="00F60BFA" w:rsidRPr="00AF79F1">
        <w:rPr>
          <w:lang w:val="es-ES_tradnl"/>
        </w:rPr>
        <w:t xml:space="preserve"> </w:t>
      </w:r>
      <w:r w:rsidR="00994CCD">
        <w:rPr>
          <w:lang w:val="es-ES_tradnl"/>
        </w:rPr>
        <w:t>bombas de calor</w:t>
      </w:r>
      <w:r w:rsidRPr="00AF79F1">
        <w:rPr>
          <w:lang w:val="es-ES_tradnl"/>
        </w:rPr>
        <w:t>,</w:t>
      </w:r>
      <w:r w:rsidR="00F60BFA" w:rsidRPr="00AF79F1">
        <w:rPr>
          <w:lang w:val="es-ES_tradnl"/>
        </w:rPr>
        <w:t xml:space="preserve"> </w:t>
      </w:r>
      <w:r w:rsidR="002D6621">
        <w:rPr>
          <w:lang w:val="es-ES_tradnl"/>
        </w:rPr>
        <w:t>entre ellas</w:t>
      </w:r>
      <w:r w:rsidR="00E2520E">
        <w:rPr>
          <w:lang w:val="es-ES_tradnl"/>
        </w:rPr>
        <w:t>:</w:t>
      </w:r>
      <w:r w:rsidR="002D6621">
        <w:rPr>
          <w:lang w:val="es-ES_tradnl"/>
        </w:rPr>
        <w:t xml:space="preserve"> </w:t>
      </w:r>
      <w:r w:rsidRPr="00AF79F1">
        <w:rPr>
          <w:lang w:val="es-ES_tradnl"/>
        </w:rPr>
        <w:t>a.</w:t>
      </w:r>
      <w:r w:rsidR="00F60BFA" w:rsidRPr="00AF79F1">
        <w:rPr>
          <w:lang w:val="es-ES_tradnl"/>
        </w:rPr>
        <w:t xml:space="preserve"> </w:t>
      </w:r>
      <w:r w:rsidR="000D1776" w:rsidRPr="00AF79F1">
        <w:rPr>
          <w:lang w:val="es-ES_tradnl"/>
        </w:rPr>
        <w:t>Metodologías</w:t>
      </w:r>
      <w:r w:rsidR="00F60BFA" w:rsidRPr="00AF79F1">
        <w:rPr>
          <w:lang w:val="es-ES_tradnl"/>
        </w:rPr>
        <w:t xml:space="preserve"> </w:t>
      </w:r>
      <w:r w:rsidR="007A109B">
        <w:rPr>
          <w:lang w:val="es-ES_tradnl"/>
        </w:rPr>
        <w:t xml:space="preserve">de cuantificación de </w:t>
      </w:r>
      <w:r w:rsidR="008E0416" w:rsidRPr="00AF79F1">
        <w:rPr>
          <w:lang w:val="es-ES_tradnl"/>
        </w:rPr>
        <w:t>cambios</w:t>
      </w:r>
      <w:r w:rsidR="00F60BFA" w:rsidRPr="00AF79F1">
        <w:rPr>
          <w:lang w:val="es-ES_tradnl"/>
        </w:rPr>
        <w:t xml:space="preserve"> </w:t>
      </w:r>
      <w:r w:rsidR="005229E1" w:rsidRPr="00AF79F1">
        <w:rPr>
          <w:lang w:val="es-ES_tradnl"/>
        </w:rPr>
        <w:t>en</w:t>
      </w:r>
      <w:r w:rsidR="00F60BFA" w:rsidRPr="00AF79F1">
        <w:rPr>
          <w:lang w:val="es-ES_tradnl"/>
        </w:rPr>
        <w:t xml:space="preserve"> </w:t>
      </w:r>
      <w:r w:rsidR="008E0416" w:rsidRPr="00AF79F1">
        <w:rPr>
          <w:lang w:val="es-ES_tradnl"/>
        </w:rPr>
        <w:t>eficiencia</w:t>
      </w:r>
      <w:r w:rsidR="00F60BFA" w:rsidRPr="00AF79F1">
        <w:rPr>
          <w:lang w:val="es-ES_tradnl"/>
        </w:rPr>
        <w:t xml:space="preserve"> </w:t>
      </w:r>
      <w:r w:rsidR="008E0416" w:rsidRPr="00AF79F1">
        <w:rPr>
          <w:lang w:val="es-ES_tradnl"/>
        </w:rPr>
        <w:t>energética</w:t>
      </w:r>
      <w:r w:rsidR="00960E96">
        <w:rPr>
          <w:lang w:val="es-ES_tradnl"/>
        </w:rPr>
        <w:t>,</w:t>
      </w:r>
      <w:r w:rsidR="00F60BFA" w:rsidRPr="00AF79F1">
        <w:rPr>
          <w:lang w:val="es-ES_tradnl"/>
        </w:rPr>
        <w:t xml:space="preserve"> </w:t>
      </w:r>
      <w:r w:rsidR="00B12D1E" w:rsidRPr="00AF79F1">
        <w:rPr>
          <w:lang w:val="es-ES_tradnl"/>
        </w:rPr>
        <w:t>y</w:t>
      </w:r>
      <w:r w:rsidR="00F60BFA" w:rsidRPr="00AF79F1">
        <w:rPr>
          <w:lang w:val="es-ES_tradnl"/>
        </w:rPr>
        <w:t xml:space="preserve"> </w:t>
      </w:r>
      <w:r w:rsidRPr="00AF79F1">
        <w:rPr>
          <w:lang w:val="es-ES_tradnl"/>
        </w:rPr>
        <w:t>b.</w:t>
      </w:r>
      <w:r w:rsidR="00F60BFA" w:rsidRPr="00AF79F1">
        <w:rPr>
          <w:lang w:val="es-ES_tradnl"/>
        </w:rPr>
        <w:t xml:space="preserve"> </w:t>
      </w:r>
      <w:r w:rsidR="00825B02">
        <w:rPr>
          <w:lang w:val="es-ES_tradnl"/>
        </w:rPr>
        <w:t xml:space="preserve">Intervenciones técnicas </w:t>
      </w:r>
      <w:r w:rsidR="009F13B1">
        <w:rPr>
          <w:lang w:val="es-ES_tradnl"/>
        </w:rPr>
        <w:t xml:space="preserve">para </w:t>
      </w:r>
      <w:r w:rsidR="00E731E7" w:rsidRPr="00E731E7">
        <w:rPr>
          <w:lang w:val="es-ES_tradnl"/>
        </w:rPr>
        <w:t xml:space="preserve">mantener y/o </w:t>
      </w:r>
      <w:r w:rsidR="000145D1" w:rsidRPr="000145D1">
        <w:rPr>
          <w:lang w:val="es-ES_tradnl"/>
        </w:rPr>
        <w:t>mejorar</w:t>
      </w:r>
      <w:r w:rsidR="00F60BFA" w:rsidRPr="00AF79F1">
        <w:rPr>
          <w:lang w:val="es-ES_tradnl"/>
        </w:rPr>
        <w:t xml:space="preserve"> </w:t>
      </w:r>
      <w:r w:rsidR="00C2482C">
        <w:rPr>
          <w:lang w:val="es-ES_tradnl"/>
        </w:rPr>
        <w:t xml:space="preserve">la </w:t>
      </w:r>
      <w:r w:rsidR="008E0416" w:rsidRPr="00AF79F1">
        <w:rPr>
          <w:lang w:val="es-ES_tradnl"/>
        </w:rPr>
        <w:t>eficiencia</w:t>
      </w:r>
      <w:r w:rsidR="00F60BFA" w:rsidRPr="00AF79F1">
        <w:rPr>
          <w:lang w:val="es-ES_tradnl"/>
        </w:rPr>
        <w:t xml:space="preserve"> </w:t>
      </w:r>
      <w:r w:rsidR="008E0416" w:rsidRPr="00AF79F1">
        <w:rPr>
          <w:lang w:val="es-ES_tradnl"/>
        </w:rPr>
        <w:t>energética</w:t>
      </w:r>
      <w:r w:rsidRPr="00AF79F1">
        <w:rPr>
          <w:lang w:val="es-ES_tradnl"/>
        </w:rPr>
        <w:t>;</w:t>
      </w:r>
      <w:r w:rsidR="00F60BFA" w:rsidRPr="00AF79F1">
        <w:rPr>
          <w:lang w:val="es-ES_tradnl"/>
        </w:rPr>
        <w:t xml:space="preserve"> </w:t>
      </w:r>
      <w:r w:rsidRPr="00AF79F1">
        <w:rPr>
          <w:lang w:val="es-ES_tradnl"/>
        </w:rPr>
        <w:t>ii)</w:t>
      </w:r>
      <w:r w:rsidR="00F60BFA" w:rsidRPr="00AF79F1">
        <w:rPr>
          <w:lang w:val="es-ES_tradnl"/>
        </w:rPr>
        <w:t xml:space="preserve"> </w:t>
      </w:r>
      <w:r w:rsidR="007A4E6A" w:rsidRPr="00AF79F1">
        <w:rPr>
          <w:lang w:val="es-ES_tradnl"/>
        </w:rPr>
        <w:t>Cuestiones</w:t>
      </w:r>
      <w:r w:rsidR="00F60BFA" w:rsidRPr="00AF79F1">
        <w:rPr>
          <w:lang w:val="es-ES_tradnl"/>
        </w:rPr>
        <w:t xml:space="preserve"> </w:t>
      </w:r>
      <w:r w:rsidR="007A4E6A" w:rsidRPr="00AF79F1">
        <w:rPr>
          <w:lang w:val="es-ES_tradnl"/>
        </w:rPr>
        <w:t>relativas</w:t>
      </w:r>
      <w:r w:rsidR="00F60BFA" w:rsidRPr="00AF79F1">
        <w:rPr>
          <w:lang w:val="es-ES_tradnl"/>
        </w:rPr>
        <w:t xml:space="preserve"> </w:t>
      </w:r>
      <w:r w:rsidR="007A4E6A" w:rsidRPr="00AF79F1">
        <w:rPr>
          <w:lang w:val="es-ES_tradnl"/>
        </w:rPr>
        <w:t>a</w:t>
      </w:r>
      <w:r w:rsidR="00F60BFA" w:rsidRPr="00AF79F1">
        <w:rPr>
          <w:lang w:val="es-ES_tradnl"/>
        </w:rPr>
        <w:t xml:space="preserve"> </w:t>
      </w:r>
      <w:r w:rsidR="00F8532C">
        <w:rPr>
          <w:lang w:val="es-ES_tradnl"/>
        </w:rPr>
        <w:t xml:space="preserve">los </w:t>
      </w:r>
      <w:r w:rsidR="00B12D1E" w:rsidRPr="00AF79F1">
        <w:rPr>
          <w:lang w:val="es-ES_tradnl"/>
        </w:rPr>
        <w:t>sobrecostos</w:t>
      </w:r>
      <w:r w:rsidR="003F1554" w:rsidRPr="001A712A">
        <w:rPr>
          <w:lang w:val="es-ES"/>
        </w:rPr>
        <w:t xml:space="preserve"> </w:t>
      </w:r>
      <w:r w:rsidR="00106F4C" w:rsidRPr="00106F4C">
        <w:rPr>
          <w:lang w:val="es-ES_tradnl"/>
        </w:rPr>
        <w:t>derivado</w:t>
      </w:r>
      <w:r w:rsidR="00106F4C">
        <w:rPr>
          <w:lang w:val="es-ES_tradnl"/>
        </w:rPr>
        <w:t>s</w:t>
      </w:r>
      <w:r w:rsidRPr="00AF79F1">
        <w:rPr>
          <w:lang w:val="es-ES_tradnl"/>
        </w:rPr>
        <w:t>,</w:t>
      </w:r>
      <w:r w:rsidR="00F60BFA" w:rsidRPr="00AF79F1">
        <w:rPr>
          <w:lang w:val="es-ES_tradnl"/>
        </w:rPr>
        <w:t xml:space="preserve"> </w:t>
      </w:r>
      <w:r w:rsidR="003379FC">
        <w:rPr>
          <w:lang w:val="es-ES_tradnl"/>
        </w:rPr>
        <w:t>posible</w:t>
      </w:r>
      <w:r w:rsidR="00BB059A">
        <w:rPr>
          <w:lang w:val="es-ES_tradnl"/>
        </w:rPr>
        <w:t xml:space="preserve"> </w:t>
      </w:r>
      <w:r w:rsidR="00AC269E" w:rsidRPr="00AC269E">
        <w:rPr>
          <w:lang w:val="es-ES_tradnl"/>
        </w:rPr>
        <w:t xml:space="preserve">retorno de la inversión </w:t>
      </w:r>
      <w:r w:rsidR="00B12D1E" w:rsidRPr="00AF79F1">
        <w:rPr>
          <w:lang w:val="es-ES_tradnl"/>
        </w:rPr>
        <w:t>y</w:t>
      </w:r>
      <w:r w:rsidR="00F60BFA" w:rsidRPr="00AF79F1">
        <w:rPr>
          <w:lang w:val="es-ES_tradnl"/>
        </w:rPr>
        <w:t xml:space="preserve"> </w:t>
      </w:r>
      <w:r w:rsidR="005229E1" w:rsidRPr="00AF79F1">
        <w:rPr>
          <w:lang w:val="es-ES_tradnl"/>
        </w:rPr>
        <w:t>costos</w:t>
      </w:r>
      <w:r w:rsidR="00F60BFA" w:rsidRPr="00AF79F1">
        <w:rPr>
          <w:lang w:val="es-ES_tradnl"/>
        </w:rPr>
        <w:t xml:space="preserve"> </w:t>
      </w:r>
      <w:r w:rsidR="00B12D1E" w:rsidRPr="00AF79F1">
        <w:rPr>
          <w:lang w:val="es-ES_tradnl"/>
        </w:rPr>
        <w:t>de</w:t>
      </w:r>
      <w:r w:rsidR="00F60BFA" w:rsidRPr="00AF79F1">
        <w:rPr>
          <w:lang w:val="es-ES_tradnl"/>
        </w:rPr>
        <w:t xml:space="preserve"> </w:t>
      </w:r>
      <w:r w:rsidR="00B62673" w:rsidRPr="00AF79F1">
        <w:rPr>
          <w:lang w:val="es-ES_tradnl"/>
        </w:rPr>
        <w:t>supervisión</w:t>
      </w:r>
      <w:r w:rsidR="00F60BFA" w:rsidRPr="00AF79F1">
        <w:rPr>
          <w:lang w:val="es-ES_tradnl"/>
        </w:rPr>
        <w:t xml:space="preserve"> </w:t>
      </w:r>
      <w:r w:rsidR="00B12D1E" w:rsidRPr="00AF79F1">
        <w:rPr>
          <w:lang w:val="es-ES_tradnl"/>
        </w:rPr>
        <w:t>y</w:t>
      </w:r>
      <w:r w:rsidR="00F60BFA" w:rsidRPr="00AF79F1">
        <w:rPr>
          <w:lang w:val="es-ES_tradnl"/>
        </w:rPr>
        <w:t xml:space="preserve"> </w:t>
      </w:r>
      <w:r w:rsidR="00A26E71" w:rsidRPr="00AF79F1">
        <w:rPr>
          <w:lang w:val="es-ES_tradnl"/>
        </w:rPr>
        <w:t>verificación</w:t>
      </w:r>
      <w:r w:rsidRPr="00AF79F1">
        <w:rPr>
          <w:lang w:val="es-ES_tradnl"/>
        </w:rPr>
        <w:t>;</w:t>
      </w:r>
      <w:r w:rsidR="00F60BFA" w:rsidRPr="00AF79F1">
        <w:rPr>
          <w:lang w:val="es-ES_tradnl"/>
        </w:rPr>
        <w:t xml:space="preserve"> </w:t>
      </w:r>
      <w:r w:rsidRPr="00AF79F1">
        <w:rPr>
          <w:lang w:val="es-ES_tradnl"/>
        </w:rPr>
        <w:t>iii)</w:t>
      </w:r>
      <w:r w:rsidR="00F60BFA" w:rsidRPr="00AF79F1">
        <w:rPr>
          <w:lang w:val="es-ES_tradnl"/>
        </w:rPr>
        <w:t xml:space="preserve"> </w:t>
      </w:r>
      <w:r w:rsidR="00A26E71" w:rsidRPr="00AF79F1">
        <w:rPr>
          <w:lang w:val="es-ES_tradnl"/>
        </w:rPr>
        <w:t>Posible</w:t>
      </w:r>
      <w:r w:rsidR="008024F6">
        <w:rPr>
          <w:lang w:val="es-ES_tradnl"/>
        </w:rPr>
        <w:t>s</w:t>
      </w:r>
      <w:r w:rsidR="00F60BFA" w:rsidRPr="00AF79F1">
        <w:rPr>
          <w:lang w:val="es-ES_tradnl"/>
        </w:rPr>
        <w:t xml:space="preserve"> </w:t>
      </w:r>
      <w:r w:rsidR="00BA4D22">
        <w:rPr>
          <w:lang w:val="es-ES_tradnl"/>
        </w:rPr>
        <w:t>beneficios ambientales</w:t>
      </w:r>
      <w:r w:rsidRPr="00AF79F1">
        <w:rPr>
          <w:lang w:val="es-ES_tradnl"/>
        </w:rPr>
        <w:t>,</w:t>
      </w:r>
      <w:r w:rsidR="00F60BFA" w:rsidRPr="00AF79F1">
        <w:rPr>
          <w:lang w:val="es-ES_tradnl"/>
        </w:rPr>
        <w:t xml:space="preserve"> </w:t>
      </w:r>
      <w:r w:rsidR="00132C4F" w:rsidRPr="00AF79F1">
        <w:rPr>
          <w:lang w:val="es-ES_tradnl"/>
        </w:rPr>
        <w:t>especialmente</w:t>
      </w:r>
      <w:r w:rsidR="00F60BFA" w:rsidRPr="00AF79F1">
        <w:rPr>
          <w:lang w:val="es-ES_tradnl"/>
        </w:rPr>
        <w:t xml:space="preserve"> </w:t>
      </w:r>
      <w:r w:rsidR="00D97C50">
        <w:rPr>
          <w:lang w:val="es-ES_tradnl"/>
        </w:rPr>
        <w:t xml:space="preserve">los </w:t>
      </w:r>
      <w:r w:rsidR="00EB643A">
        <w:rPr>
          <w:lang w:val="es-ES_tradnl"/>
        </w:rPr>
        <w:t xml:space="preserve">relativos </w:t>
      </w:r>
      <w:r w:rsidR="00AF79F1">
        <w:rPr>
          <w:lang w:val="es-ES_tradnl"/>
        </w:rPr>
        <w:t>a</w:t>
      </w:r>
      <w:r w:rsidR="00E10B90">
        <w:rPr>
          <w:lang w:val="es-ES_tradnl"/>
        </w:rPr>
        <w:t>l</w:t>
      </w:r>
      <w:r w:rsidR="00F60BFA" w:rsidRPr="00AF79F1">
        <w:rPr>
          <w:lang w:val="es-ES_tradnl"/>
        </w:rPr>
        <w:t xml:space="preserve"> </w:t>
      </w:r>
      <w:r w:rsidR="00E10B90">
        <w:rPr>
          <w:lang w:val="es-ES_tradnl"/>
        </w:rPr>
        <w:t>clima</w:t>
      </w:r>
      <w:r w:rsidRPr="00AF79F1">
        <w:rPr>
          <w:lang w:val="es-ES_tradnl"/>
        </w:rPr>
        <w:t>.</w:t>
      </w:r>
    </w:p>
  </w:footnote>
  <w:footnote w:id="9">
    <w:p w14:paraId="0DE31ECE" w14:textId="6F6DE279" w:rsidR="006100BE" w:rsidRPr="00AF79F1" w:rsidRDefault="006100BE">
      <w:pPr>
        <w:pStyle w:val="FootnoteText"/>
        <w:rPr>
          <w:lang w:val="es-ES_tradnl"/>
        </w:rPr>
      </w:pPr>
      <w:r w:rsidRPr="00AF79F1">
        <w:rPr>
          <w:rStyle w:val="FootnoteReference"/>
          <w:lang w:val="es-ES_tradnl"/>
        </w:rPr>
        <w:footnoteRef/>
      </w:r>
      <w:r w:rsidR="00F60BFA" w:rsidRPr="00AF79F1">
        <w:rPr>
          <w:lang w:val="es-ES_tradnl"/>
        </w:rPr>
        <w:t xml:space="preserve"> </w:t>
      </w:r>
      <w:r w:rsidR="000D1776" w:rsidRPr="00AF79F1">
        <w:rPr>
          <w:lang w:val="es-ES_tradnl"/>
        </w:rPr>
        <w:t>UNEP/OzL.Pro</w:t>
      </w:r>
      <w:r w:rsidR="00834009" w:rsidRPr="00AF79F1">
        <w:rPr>
          <w:lang w:val="es-ES_tradnl"/>
        </w:rPr>
        <w:t>/ExCom/83/4</w:t>
      </w:r>
      <w:r w:rsidR="00B12D1E" w:rsidRPr="00AF79F1">
        <w:rPr>
          <w:lang w:val="es-ES_tradnl"/>
        </w:rPr>
        <w:t>0</w:t>
      </w:r>
      <w:r w:rsidR="00F8189A">
        <w:rPr>
          <w:lang w:val="es-ES_tradnl"/>
        </w:rPr>
        <w:t>,</w:t>
      </w:r>
      <w:r w:rsidR="00F60BFA" w:rsidRPr="00AF79F1">
        <w:rPr>
          <w:lang w:val="es-ES_tradnl"/>
        </w:rPr>
        <w:t xml:space="preserve"> </w:t>
      </w:r>
      <w:r w:rsidR="000D1776" w:rsidRPr="00AF79F1">
        <w:rPr>
          <w:lang w:val="es-ES_tradnl"/>
        </w:rPr>
        <w:t>UNEP/OzL.Pro</w:t>
      </w:r>
      <w:r w:rsidR="00834009" w:rsidRPr="00AF79F1">
        <w:rPr>
          <w:lang w:val="es-ES_tradnl"/>
        </w:rPr>
        <w:t>/ExCom/83/4</w:t>
      </w:r>
      <w:r w:rsidR="00F8189A">
        <w:rPr>
          <w:lang w:val="es-ES_tradnl"/>
        </w:rPr>
        <w:t>1</w:t>
      </w:r>
      <w:r w:rsidR="00F60BFA" w:rsidRPr="00AF79F1">
        <w:rPr>
          <w:lang w:val="es-ES_tradnl"/>
        </w:rPr>
        <w:t xml:space="preserve"> </w:t>
      </w:r>
      <w:r w:rsidR="00B12D1E" w:rsidRPr="00AF79F1">
        <w:rPr>
          <w:lang w:val="es-ES_tradnl"/>
        </w:rPr>
        <w:t>y</w:t>
      </w:r>
      <w:r w:rsidR="00F60BFA" w:rsidRPr="00AF79F1">
        <w:rPr>
          <w:lang w:val="es-ES_tradnl"/>
        </w:rPr>
        <w:t xml:space="preserve"> </w:t>
      </w:r>
      <w:r w:rsidR="000D1776" w:rsidRPr="00AF79F1">
        <w:rPr>
          <w:lang w:val="es-ES_tradnl"/>
        </w:rPr>
        <w:t>UNEP/OzL.Pro</w:t>
      </w:r>
      <w:r w:rsidR="00834009" w:rsidRPr="00AF79F1">
        <w:rPr>
          <w:lang w:val="es-ES_tradnl"/>
        </w:rPr>
        <w:t>/ExCom/83/42</w:t>
      </w:r>
      <w:r w:rsidR="002E03A7" w:rsidRPr="00AF79F1">
        <w:rPr>
          <w:lang w:val="es-ES_tradnl"/>
        </w:rPr>
        <w:t>.</w:t>
      </w:r>
    </w:p>
  </w:footnote>
  <w:footnote w:id="10">
    <w:p w14:paraId="5D21832D" w14:textId="6397C611" w:rsidR="006100BE" w:rsidRPr="00AF79F1" w:rsidRDefault="006100BE">
      <w:pPr>
        <w:pStyle w:val="FootnoteText"/>
        <w:rPr>
          <w:lang w:val="es-ES_tradnl"/>
        </w:rPr>
      </w:pPr>
      <w:r w:rsidRPr="00AF79F1">
        <w:rPr>
          <w:rStyle w:val="FootnoteReference"/>
          <w:lang w:val="es-ES_tradnl"/>
        </w:rPr>
        <w:footnoteRef/>
      </w:r>
      <w:r w:rsidR="00F60BFA" w:rsidRPr="00AF79F1">
        <w:rPr>
          <w:lang w:val="es-ES_tradnl"/>
        </w:rPr>
        <w:t xml:space="preserve"> </w:t>
      </w:r>
      <w:r w:rsidR="00E55ADE">
        <w:rPr>
          <w:lang w:val="es-ES_tradnl"/>
        </w:rPr>
        <w:t>Este</w:t>
      </w:r>
      <w:r w:rsidR="001A01A0">
        <w:rPr>
          <w:lang w:val="es-ES_tradnl"/>
        </w:rPr>
        <w:t xml:space="preserve"> </w:t>
      </w:r>
      <w:r w:rsidR="00132C4F" w:rsidRPr="00AF79F1">
        <w:rPr>
          <w:lang w:val="es-ES_tradnl"/>
        </w:rPr>
        <w:t>documento</w:t>
      </w:r>
      <w:r w:rsidR="00F60BFA" w:rsidRPr="00AF79F1">
        <w:rPr>
          <w:lang w:val="es-ES_tradnl"/>
        </w:rPr>
        <w:t xml:space="preserve"> </w:t>
      </w:r>
      <w:r w:rsidR="00176C18">
        <w:rPr>
          <w:lang w:val="es-ES_tradnl"/>
        </w:rPr>
        <w:t xml:space="preserve">recoge </w:t>
      </w:r>
      <w:r w:rsidR="00132C4F" w:rsidRPr="00AF79F1">
        <w:rPr>
          <w:lang w:val="es-ES_tradnl"/>
        </w:rPr>
        <w:t>la</w:t>
      </w:r>
      <w:r w:rsidR="00C13BFC">
        <w:rPr>
          <w:lang w:val="es-ES_tradnl"/>
        </w:rPr>
        <w:t>s</w:t>
      </w:r>
      <w:r w:rsidR="00F60BFA" w:rsidRPr="00AF79F1">
        <w:rPr>
          <w:lang w:val="es-ES_tradnl"/>
        </w:rPr>
        <w:t xml:space="preserve"> </w:t>
      </w:r>
      <w:r w:rsidR="00DC02E1">
        <w:rPr>
          <w:lang w:val="es-ES_tradnl"/>
        </w:rPr>
        <w:t>experiencia</w:t>
      </w:r>
      <w:r w:rsidR="00C13BFC">
        <w:rPr>
          <w:lang w:val="es-ES_tradnl"/>
        </w:rPr>
        <w:t>s</w:t>
      </w:r>
      <w:r w:rsidR="00DC02E1">
        <w:rPr>
          <w:lang w:val="es-ES_tradnl"/>
        </w:rPr>
        <w:t xml:space="preserve"> de </w:t>
      </w:r>
      <w:r w:rsidRPr="00AF79F1">
        <w:rPr>
          <w:lang w:val="es-ES_tradnl"/>
        </w:rPr>
        <w:t>11</w:t>
      </w:r>
      <w:r w:rsidR="00F60BFA" w:rsidRPr="00AF79F1">
        <w:rPr>
          <w:lang w:val="es-ES_tradnl"/>
        </w:rPr>
        <w:t xml:space="preserve"> </w:t>
      </w:r>
      <w:r w:rsidR="005229E1" w:rsidRPr="00AF79F1">
        <w:rPr>
          <w:lang w:val="es-ES_tradnl"/>
        </w:rPr>
        <w:t>proyectos</w:t>
      </w:r>
      <w:r w:rsidR="00F60BFA" w:rsidRPr="00AF79F1">
        <w:rPr>
          <w:lang w:val="es-ES_tradnl"/>
        </w:rPr>
        <w:t xml:space="preserve"> </w:t>
      </w:r>
      <w:r w:rsidR="00B62673" w:rsidRPr="00AF79F1">
        <w:rPr>
          <w:lang w:val="es-ES_tradnl"/>
        </w:rPr>
        <w:t>e</w:t>
      </w:r>
      <w:r w:rsidR="00F60BFA" w:rsidRPr="00AF79F1">
        <w:rPr>
          <w:lang w:val="es-ES_tradnl"/>
        </w:rPr>
        <w:t xml:space="preserve"> </w:t>
      </w:r>
      <w:r w:rsidR="00B62673" w:rsidRPr="00AF79F1">
        <w:rPr>
          <w:lang w:val="es-ES_tradnl"/>
        </w:rPr>
        <w:t>i</w:t>
      </w:r>
      <w:r w:rsidR="00356CF6" w:rsidRPr="00AF79F1">
        <w:rPr>
          <w:lang w:val="es-ES_tradnl"/>
        </w:rPr>
        <w:t>ncluye</w:t>
      </w:r>
      <w:r w:rsidR="00F60BFA" w:rsidRPr="00AF79F1">
        <w:rPr>
          <w:lang w:val="es-ES_tradnl"/>
        </w:rPr>
        <w:t xml:space="preserve"> </w:t>
      </w:r>
      <w:r w:rsidR="00E14514" w:rsidRPr="00AF79F1">
        <w:rPr>
          <w:lang w:val="es-ES_tradnl"/>
        </w:rPr>
        <w:t>cuestiones</w:t>
      </w:r>
      <w:r w:rsidR="00F60BFA" w:rsidRPr="00AF79F1">
        <w:rPr>
          <w:lang w:val="es-ES_tradnl"/>
        </w:rPr>
        <w:t xml:space="preserve"> </w:t>
      </w:r>
      <w:r w:rsidR="00E14514" w:rsidRPr="00AF79F1">
        <w:rPr>
          <w:lang w:val="es-ES_tradnl"/>
        </w:rPr>
        <w:t>relativas</w:t>
      </w:r>
      <w:r w:rsidR="00F60BFA" w:rsidRPr="00AF79F1">
        <w:rPr>
          <w:lang w:val="es-ES_tradnl"/>
        </w:rPr>
        <w:t xml:space="preserve"> </w:t>
      </w:r>
      <w:r w:rsidR="000E1015">
        <w:rPr>
          <w:lang w:val="es-ES_tradnl"/>
        </w:rPr>
        <w:t>a diseño</w:t>
      </w:r>
      <w:r w:rsidRPr="00AF79F1">
        <w:rPr>
          <w:lang w:val="es-ES_tradnl"/>
        </w:rPr>
        <w:t>,</w:t>
      </w:r>
      <w:r w:rsidR="00F60BFA" w:rsidRPr="00AF79F1">
        <w:rPr>
          <w:lang w:val="es-ES_tradnl"/>
        </w:rPr>
        <w:t xml:space="preserve"> </w:t>
      </w:r>
      <w:r w:rsidR="0035788A">
        <w:rPr>
          <w:lang w:val="es-ES_tradnl"/>
        </w:rPr>
        <w:t>sinergia</w:t>
      </w:r>
      <w:r w:rsidR="00CD736C">
        <w:rPr>
          <w:lang w:val="es-ES_tradnl"/>
        </w:rPr>
        <w:t>s</w:t>
      </w:r>
      <w:r w:rsidR="0035788A">
        <w:rPr>
          <w:lang w:val="es-ES_tradnl"/>
        </w:rPr>
        <w:t xml:space="preserve"> </w:t>
      </w:r>
      <w:r w:rsidR="005229E1" w:rsidRPr="00AF79F1">
        <w:rPr>
          <w:lang w:val="es-ES_tradnl"/>
        </w:rPr>
        <w:t>con</w:t>
      </w:r>
      <w:r w:rsidR="00F60BFA" w:rsidRPr="00AF79F1">
        <w:rPr>
          <w:lang w:val="es-ES_tradnl"/>
        </w:rPr>
        <w:t xml:space="preserve"> </w:t>
      </w:r>
      <w:r w:rsidR="00356CF6" w:rsidRPr="00AF79F1">
        <w:rPr>
          <w:lang w:val="es-ES_tradnl"/>
        </w:rPr>
        <w:t>otros</w:t>
      </w:r>
      <w:r w:rsidR="00F60BFA" w:rsidRPr="00AF79F1">
        <w:rPr>
          <w:lang w:val="es-ES_tradnl"/>
        </w:rPr>
        <w:t xml:space="preserve"> </w:t>
      </w:r>
      <w:r w:rsidR="005229E1" w:rsidRPr="00AF79F1">
        <w:rPr>
          <w:lang w:val="es-ES_tradnl"/>
        </w:rPr>
        <w:t>proyectos</w:t>
      </w:r>
      <w:r w:rsidRPr="00AF79F1">
        <w:rPr>
          <w:lang w:val="es-ES_tradnl"/>
        </w:rPr>
        <w:t>,</w:t>
      </w:r>
      <w:r w:rsidR="00F60BFA" w:rsidRPr="00AF79F1">
        <w:rPr>
          <w:lang w:val="es-ES_tradnl"/>
        </w:rPr>
        <w:t xml:space="preserve"> </w:t>
      </w:r>
      <w:r w:rsidR="005C652D" w:rsidRPr="00AF79F1">
        <w:rPr>
          <w:lang w:val="es-ES_tradnl"/>
        </w:rPr>
        <w:t>oportunidades</w:t>
      </w:r>
      <w:r w:rsidR="00F60BFA" w:rsidRPr="00AF79F1">
        <w:rPr>
          <w:lang w:val="es-ES_tradnl"/>
        </w:rPr>
        <w:t xml:space="preserve"> </w:t>
      </w:r>
      <w:r w:rsidR="00854CD1">
        <w:rPr>
          <w:lang w:val="es-ES_tradnl"/>
        </w:rPr>
        <w:t xml:space="preserve">de movilización de </w:t>
      </w:r>
      <w:r w:rsidR="00AF79F1">
        <w:rPr>
          <w:lang w:val="es-ES_tradnl"/>
        </w:rPr>
        <w:t>recurso</w:t>
      </w:r>
      <w:r w:rsidR="00854CD1">
        <w:rPr>
          <w:lang w:val="es-ES_tradnl"/>
        </w:rPr>
        <w:t>s</w:t>
      </w:r>
      <w:r w:rsidRPr="00AF79F1">
        <w:rPr>
          <w:lang w:val="es-ES_tradnl"/>
        </w:rPr>
        <w:t>,</w:t>
      </w:r>
      <w:r w:rsidR="00F60BFA" w:rsidRPr="00AF79F1">
        <w:rPr>
          <w:lang w:val="es-ES_tradnl"/>
        </w:rPr>
        <w:t xml:space="preserve"> </w:t>
      </w:r>
      <w:r w:rsidR="00132C4F" w:rsidRPr="00AF79F1">
        <w:rPr>
          <w:lang w:val="es-ES_tradnl"/>
        </w:rPr>
        <w:t>relación</w:t>
      </w:r>
      <w:r w:rsidR="00F60BFA" w:rsidRPr="00AF79F1">
        <w:rPr>
          <w:lang w:val="es-ES_tradnl"/>
        </w:rPr>
        <w:t xml:space="preserve"> </w:t>
      </w:r>
      <w:r w:rsidR="00132C4F" w:rsidRPr="00AF79F1">
        <w:rPr>
          <w:lang w:val="es-ES_tradnl"/>
        </w:rPr>
        <w:t>costo-beneficio</w:t>
      </w:r>
      <w:r w:rsidR="00F60BFA" w:rsidRPr="00AF79F1">
        <w:rPr>
          <w:lang w:val="es-ES_tradnl"/>
        </w:rPr>
        <w:t xml:space="preserve"> </w:t>
      </w:r>
      <w:r w:rsidR="00B12D1E" w:rsidRPr="00AF79F1">
        <w:rPr>
          <w:lang w:val="es-ES_tradnl"/>
        </w:rPr>
        <w:t>y</w:t>
      </w:r>
      <w:r w:rsidR="00F60BFA" w:rsidRPr="00AF79F1">
        <w:rPr>
          <w:lang w:val="es-ES_tradnl"/>
        </w:rPr>
        <w:t xml:space="preserve"> </w:t>
      </w:r>
      <w:r w:rsidR="005445F8" w:rsidRPr="00AF79F1">
        <w:rPr>
          <w:lang w:val="es-ES_tradnl"/>
        </w:rPr>
        <w:t>experiencias</w:t>
      </w:r>
      <w:r w:rsidR="00F60BFA" w:rsidRPr="00AF79F1">
        <w:rPr>
          <w:lang w:val="es-ES_tradnl"/>
        </w:rPr>
        <w:t xml:space="preserve"> </w:t>
      </w:r>
      <w:r w:rsidR="005445F8" w:rsidRPr="00AF79F1">
        <w:rPr>
          <w:lang w:val="es-ES_tradnl"/>
        </w:rPr>
        <w:t>recogidas</w:t>
      </w:r>
      <w:r w:rsidRPr="00AF79F1">
        <w:rPr>
          <w:lang w:val="es-ES_tradnl"/>
        </w:rPr>
        <w:t>.</w:t>
      </w:r>
    </w:p>
  </w:footnote>
  <w:footnote w:id="11">
    <w:p w14:paraId="69B233FB" w14:textId="5F7581AC" w:rsidR="002E03A7" w:rsidRPr="00AF79F1" w:rsidRDefault="002E03A7">
      <w:pPr>
        <w:pStyle w:val="FootnoteText"/>
        <w:rPr>
          <w:lang w:val="es-ES_tradnl"/>
        </w:rPr>
      </w:pPr>
      <w:r w:rsidRPr="00AF79F1">
        <w:rPr>
          <w:rStyle w:val="FootnoteReference"/>
          <w:lang w:val="es-ES_tradnl"/>
        </w:rPr>
        <w:footnoteRef/>
      </w:r>
      <w:r w:rsidR="00F60BFA" w:rsidRPr="00AF79F1">
        <w:rPr>
          <w:lang w:val="es-ES_tradnl"/>
        </w:rPr>
        <w:t xml:space="preserve"> </w:t>
      </w:r>
      <w:r w:rsidR="000D1776" w:rsidRPr="00AF79F1">
        <w:rPr>
          <w:lang w:val="es-ES_tradnl"/>
        </w:rPr>
        <w:t>Párrafo</w:t>
      </w:r>
      <w:r w:rsidR="00F60BFA" w:rsidRPr="00AF79F1">
        <w:rPr>
          <w:lang w:val="es-ES_tradnl"/>
        </w:rPr>
        <w:t xml:space="preserve"> </w:t>
      </w:r>
      <w:r w:rsidRPr="00AF79F1">
        <w:rPr>
          <w:lang w:val="es-ES_tradnl"/>
        </w:rPr>
        <w:t>43</w:t>
      </w:r>
      <w:r w:rsidR="00F60BFA" w:rsidRPr="00AF79F1">
        <w:rPr>
          <w:lang w:val="es-ES_tradnl"/>
        </w:rPr>
        <w:t xml:space="preserve"> </w:t>
      </w:r>
      <w:r w:rsidR="00407FBC" w:rsidRPr="00AF79F1">
        <w:rPr>
          <w:lang w:val="es-ES_tradnl"/>
        </w:rPr>
        <w:t>del</w:t>
      </w:r>
      <w:r w:rsidR="00F60BFA" w:rsidRPr="00AF79F1">
        <w:rPr>
          <w:lang w:val="es-ES_tradnl"/>
        </w:rPr>
        <w:t xml:space="preserve"> </w:t>
      </w:r>
      <w:r w:rsidR="00407FBC" w:rsidRPr="00AF79F1">
        <w:rPr>
          <w:lang w:val="es-ES_tradnl"/>
        </w:rPr>
        <w:t>documento</w:t>
      </w:r>
      <w:r w:rsidR="00F60BFA" w:rsidRPr="00AF79F1">
        <w:rPr>
          <w:lang w:val="es-ES_tradnl"/>
        </w:rPr>
        <w:t xml:space="preserve"> </w:t>
      </w:r>
      <w:r w:rsidR="000D1776" w:rsidRPr="00AF79F1">
        <w:rPr>
          <w:lang w:val="es-ES_tradnl"/>
        </w:rPr>
        <w:t>UNEP/OzL.Pro</w:t>
      </w:r>
      <w:r w:rsidRPr="00AF79F1">
        <w:rPr>
          <w:lang w:val="es-ES_tradnl"/>
        </w:rPr>
        <w:t>/ExCom/80/55.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05318" w14:textId="3D60F206" w:rsidR="004517FC" w:rsidRPr="0033525D" w:rsidRDefault="008828A2">
    <w:fldSimple w:instr=" DOCPROPERTY &quot;Document number&quot;  \* MERGEFORMAT ">
      <w:r w:rsidR="00607B5E">
        <w:t>UNEP/OzL.Pro/ExCom/83/43</w:t>
      </w:r>
    </w:fldSimple>
  </w:p>
  <w:p w14:paraId="7C10889F" w14:textId="77777777" w:rsidR="004517FC" w:rsidRPr="0033525D" w:rsidRDefault="004517FC"/>
  <w:p w14:paraId="215631DA" w14:textId="77777777" w:rsidR="004517FC" w:rsidRPr="0033525D" w:rsidRDefault="004517F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62592" w14:textId="48C4F0F9" w:rsidR="004517FC" w:rsidRPr="0033525D" w:rsidRDefault="008828A2">
    <w:pPr>
      <w:jc w:val="right"/>
    </w:pPr>
    <w:fldSimple w:instr=" DOCPROPERTY &quot;Document number&quot;  \* MERGEFORMAT ">
      <w:r w:rsidR="00607B5E">
        <w:t>UNEP/OzL.Pro/ExCom/83/43</w:t>
      </w:r>
    </w:fldSimple>
  </w:p>
  <w:p w14:paraId="1F0C140E" w14:textId="77777777" w:rsidR="004517FC" w:rsidRPr="0033525D" w:rsidRDefault="004517FC"/>
  <w:p w14:paraId="2D6A288A" w14:textId="77777777" w:rsidR="004517FC" w:rsidRPr="0033525D" w:rsidRDefault="004517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5A40" w14:textId="72CB08BC" w:rsidR="00E8201A" w:rsidRPr="001A712A" w:rsidRDefault="00CF4F0D" w:rsidP="00E8201A">
    <w:pPr>
      <w:jc w:val="left"/>
      <w:rPr>
        <w:lang w:val="en-CA"/>
      </w:rPr>
    </w:pPr>
    <w:r w:rsidRPr="00C30FA6">
      <w:rPr>
        <w:lang w:val="es-ES_tradnl"/>
      </w:rPr>
      <w:fldChar w:fldCharType="begin"/>
    </w:r>
    <w:r w:rsidRPr="001A712A">
      <w:rPr>
        <w:lang w:val="en-CA"/>
      </w:rPr>
      <w:instrText xml:space="preserve"> DOCPROPERTY "Document number"  \* MERGEFORMAT </w:instrText>
    </w:r>
    <w:r w:rsidRPr="00C30FA6">
      <w:rPr>
        <w:lang w:val="es-ES_tradnl"/>
      </w:rPr>
      <w:fldChar w:fldCharType="separate"/>
    </w:r>
    <w:r w:rsidR="00607B5E" w:rsidRPr="001A712A">
      <w:rPr>
        <w:lang w:val="en-CA"/>
      </w:rPr>
      <w:t>UNEP/OzL.Pro/ExCom/83/43</w:t>
    </w:r>
    <w:r w:rsidRPr="00C30FA6">
      <w:rPr>
        <w:lang w:val="es-ES_tradnl"/>
      </w:rPr>
      <w:fldChar w:fldCharType="end"/>
    </w:r>
  </w:p>
  <w:p w14:paraId="064EF8C2" w14:textId="2D69E04E" w:rsidR="00E8201A" w:rsidRPr="001A712A" w:rsidRDefault="00631EB5" w:rsidP="00E8201A">
    <w:pPr>
      <w:jc w:val="left"/>
      <w:rPr>
        <w:lang w:val="en-CA"/>
      </w:rPr>
    </w:pPr>
    <w:r w:rsidRPr="001A712A">
      <w:rPr>
        <w:lang w:val="en-CA"/>
      </w:rPr>
      <w:t>Anexo</w:t>
    </w:r>
    <w:r w:rsidR="00E8201A" w:rsidRPr="001A712A">
      <w:rPr>
        <w:lang w:val="en-CA"/>
      </w:rPr>
      <w:t xml:space="preserve"> II</w:t>
    </w:r>
  </w:p>
  <w:p w14:paraId="1EA9E41A" w14:textId="60787A71" w:rsidR="00E8201A" w:rsidRPr="00C30FA6" w:rsidRDefault="00631EB5" w:rsidP="00E8201A">
    <w:pPr>
      <w:jc w:val="left"/>
      <w:rPr>
        <w:lang w:val="es-ES_tradnl"/>
      </w:rPr>
    </w:pPr>
    <w:r w:rsidRPr="00C30FA6">
      <w:rPr>
        <w:lang w:val="es-ES_tradnl"/>
      </w:rPr>
      <w:t>Apéndice</w:t>
    </w:r>
    <w:r w:rsidR="00E8201A" w:rsidRPr="00C30FA6">
      <w:rPr>
        <w:lang w:val="es-ES_tradnl"/>
      </w:rPr>
      <w:t xml:space="preserve"> I</w:t>
    </w:r>
  </w:p>
  <w:p w14:paraId="76A06C34" w14:textId="77777777" w:rsidR="00E8201A" w:rsidRPr="00C30FA6" w:rsidRDefault="00E8201A" w:rsidP="00E8201A">
    <w:pPr>
      <w:jc w:val="left"/>
      <w:rPr>
        <w:lang w:val="es-ES_tradnl"/>
      </w:rPr>
    </w:pPr>
  </w:p>
  <w:p w14:paraId="0363EEA2" w14:textId="77777777" w:rsidR="00E8201A" w:rsidRPr="00C30FA6" w:rsidRDefault="00E8201A" w:rsidP="00E8201A">
    <w:pPr>
      <w:jc w:val="left"/>
      <w:rPr>
        <w:lang w:val="es-ES_tradnl"/>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1938" w14:textId="10C96876" w:rsidR="00E8201A" w:rsidRPr="001A712A" w:rsidRDefault="00CF4F0D">
    <w:pPr>
      <w:jc w:val="right"/>
      <w:rPr>
        <w:lang w:val="en-CA"/>
      </w:rPr>
    </w:pPr>
    <w:r w:rsidRPr="00A6775B">
      <w:rPr>
        <w:lang w:val="es-ES_tradnl"/>
      </w:rPr>
      <w:fldChar w:fldCharType="begin"/>
    </w:r>
    <w:r w:rsidRPr="001A712A">
      <w:rPr>
        <w:lang w:val="en-CA"/>
      </w:rPr>
      <w:instrText xml:space="preserve"> DOCPROPERTY "Document number"  \* MERGEFORMAT </w:instrText>
    </w:r>
    <w:r w:rsidRPr="00A6775B">
      <w:rPr>
        <w:lang w:val="es-ES_tradnl"/>
      </w:rPr>
      <w:fldChar w:fldCharType="separate"/>
    </w:r>
    <w:r w:rsidR="00607B5E" w:rsidRPr="001A712A">
      <w:rPr>
        <w:lang w:val="en-CA"/>
      </w:rPr>
      <w:t>UNEP/OzL.Pro/ExCom/83/43</w:t>
    </w:r>
    <w:r w:rsidRPr="00A6775B">
      <w:rPr>
        <w:lang w:val="es-ES_tradnl"/>
      </w:rPr>
      <w:fldChar w:fldCharType="end"/>
    </w:r>
  </w:p>
  <w:p w14:paraId="360973B4" w14:textId="05C4A285" w:rsidR="00E8201A" w:rsidRPr="001A712A" w:rsidRDefault="00631EB5" w:rsidP="00E8201A">
    <w:pPr>
      <w:jc w:val="right"/>
      <w:rPr>
        <w:lang w:val="en-CA"/>
      </w:rPr>
    </w:pPr>
    <w:r w:rsidRPr="001A712A">
      <w:rPr>
        <w:lang w:val="en-CA"/>
      </w:rPr>
      <w:t>Anexo</w:t>
    </w:r>
    <w:r w:rsidR="00E8201A" w:rsidRPr="001A712A">
      <w:rPr>
        <w:lang w:val="en-CA"/>
      </w:rPr>
      <w:t xml:space="preserve"> II</w:t>
    </w:r>
  </w:p>
  <w:p w14:paraId="23A88BB2" w14:textId="17ADCAC1" w:rsidR="00E8201A" w:rsidRPr="00A6775B" w:rsidRDefault="00631EB5" w:rsidP="00E8201A">
    <w:pPr>
      <w:jc w:val="right"/>
      <w:rPr>
        <w:lang w:val="es-ES_tradnl"/>
      </w:rPr>
    </w:pPr>
    <w:r w:rsidRPr="00A6775B">
      <w:rPr>
        <w:lang w:val="es-ES_tradnl"/>
      </w:rPr>
      <w:t>Apéndice</w:t>
    </w:r>
    <w:r w:rsidR="00E8201A" w:rsidRPr="00A6775B">
      <w:rPr>
        <w:lang w:val="es-ES_tradnl"/>
      </w:rPr>
      <w:t xml:space="preserve"> I</w:t>
    </w:r>
  </w:p>
  <w:p w14:paraId="1403F433" w14:textId="77777777" w:rsidR="00E8201A" w:rsidRPr="00A6775B" w:rsidRDefault="00E8201A" w:rsidP="00E8201A">
    <w:pPr>
      <w:jc w:val="right"/>
      <w:rPr>
        <w:lang w:val="es-ES_tradnl"/>
      </w:rPr>
    </w:pPr>
  </w:p>
  <w:p w14:paraId="76BBF568" w14:textId="77777777" w:rsidR="00E8201A" w:rsidRPr="00A6775B" w:rsidRDefault="00E8201A">
    <w:pPr>
      <w:pStyle w:val="Header"/>
      <w:rPr>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BDCADF0"/>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10315E5E"/>
    <w:multiLevelType w:val="multilevel"/>
    <w:tmpl w:val="FC168DBA"/>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15:restartNumberingAfterBreak="0">
    <w:nsid w:val="1F037F06"/>
    <w:multiLevelType w:val="hybridMultilevel"/>
    <w:tmpl w:val="E2545CC2"/>
    <w:lvl w:ilvl="0" w:tplc="EA3E0192">
      <w:start w:val="1"/>
      <w:numFmt w:val="upperRoman"/>
      <w:lvlText w:val="%1."/>
      <w:lvlJc w:val="left"/>
      <w:pPr>
        <w:ind w:left="720" w:hanging="72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DD3AE7"/>
    <w:multiLevelType w:val="multilevel"/>
    <w:tmpl w:val="C10432F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672705F"/>
    <w:multiLevelType w:val="hybridMultilevel"/>
    <w:tmpl w:val="1AE045CE"/>
    <w:lvl w:ilvl="0" w:tplc="9ABA42CC">
      <w:start w:val="1"/>
      <w:numFmt w:val="upperRoman"/>
      <w:lvlText w:val="%1."/>
      <w:lvlJc w:val="left"/>
      <w:pPr>
        <w:ind w:left="720" w:hanging="72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4535544C"/>
    <w:multiLevelType w:val="multilevel"/>
    <w:tmpl w:val="FC168DBA"/>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49C9591B"/>
    <w:multiLevelType w:val="hybridMultilevel"/>
    <w:tmpl w:val="4B7091D8"/>
    <w:lvl w:ilvl="0" w:tplc="C87022E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5152EA3"/>
    <w:multiLevelType w:val="hybridMultilevel"/>
    <w:tmpl w:val="04360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9C031DB"/>
    <w:multiLevelType w:val="multilevel"/>
    <w:tmpl w:val="FC168DBA"/>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0"/>
  </w:num>
  <w:num w:numId="19">
    <w:abstractNumId w:val="23"/>
  </w:num>
  <w:num w:numId="20">
    <w:abstractNumId w:val="15"/>
  </w:num>
  <w:num w:numId="21">
    <w:abstractNumId w:val="21"/>
  </w:num>
  <w:num w:numId="22">
    <w:abstractNumId w:val="10"/>
  </w:num>
  <w:num w:numId="23">
    <w:abstractNumId w:val="23"/>
    <w:lvlOverride w:ilvl="0">
      <w:startOverride w:val="1"/>
    </w:lvlOverride>
  </w:num>
  <w:num w:numId="24">
    <w:abstractNumId w:val="1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lvlOverride w:ilvl="0">
      <w:startOverride w:val="1"/>
    </w:lvlOverride>
  </w:num>
  <w:num w:numId="27">
    <w:abstractNumId w:val="1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7"/>
  </w:num>
  <w:num w:numId="33">
    <w:abstractNumId w:val="22"/>
  </w:num>
  <w:num w:numId="34">
    <w:abstractNumId w:val="14"/>
  </w:num>
  <w:num w:numId="3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6846B4"/>
    <w:rsid w:val="00000A47"/>
    <w:rsid w:val="00000FED"/>
    <w:rsid w:val="00002AC2"/>
    <w:rsid w:val="0000375E"/>
    <w:rsid w:val="000040A0"/>
    <w:rsid w:val="000040AC"/>
    <w:rsid w:val="0000434E"/>
    <w:rsid w:val="00010623"/>
    <w:rsid w:val="000113EC"/>
    <w:rsid w:val="0001239F"/>
    <w:rsid w:val="000128FA"/>
    <w:rsid w:val="000130E6"/>
    <w:rsid w:val="000145D1"/>
    <w:rsid w:val="00015393"/>
    <w:rsid w:val="00017794"/>
    <w:rsid w:val="00020811"/>
    <w:rsid w:val="000211A9"/>
    <w:rsid w:val="00022277"/>
    <w:rsid w:val="00023B2C"/>
    <w:rsid w:val="00024616"/>
    <w:rsid w:val="000253AE"/>
    <w:rsid w:val="000266EC"/>
    <w:rsid w:val="0002673C"/>
    <w:rsid w:val="00027240"/>
    <w:rsid w:val="000273CC"/>
    <w:rsid w:val="00027A12"/>
    <w:rsid w:val="000310EB"/>
    <w:rsid w:val="00031260"/>
    <w:rsid w:val="0003198A"/>
    <w:rsid w:val="00032327"/>
    <w:rsid w:val="00033C64"/>
    <w:rsid w:val="00033E0A"/>
    <w:rsid w:val="0003591C"/>
    <w:rsid w:val="0003681A"/>
    <w:rsid w:val="00040B02"/>
    <w:rsid w:val="00040E32"/>
    <w:rsid w:val="000429F8"/>
    <w:rsid w:val="00044C63"/>
    <w:rsid w:val="000454AD"/>
    <w:rsid w:val="00045DD6"/>
    <w:rsid w:val="000471E5"/>
    <w:rsid w:val="00050B42"/>
    <w:rsid w:val="00051B42"/>
    <w:rsid w:val="00051E2A"/>
    <w:rsid w:val="00052C5C"/>
    <w:rsid w:val="00053A9C"/>
    <w:rsid w:val="00053AD6"/>
    <w:rsid w:val="00054AB5"/>
    <w:rsid w:val="00054C98"/>
    <w:rsid w:val="00054EE8"/>
    <w:rsid w:val="00055EE6"/>
    <w:rsid w:val="00057512"/>
    <w:rsid w:val="0006027C"/>
    <w:rsid w:val="00061EC2"/>
    <w:rsid w:val="00061F3C"/>
    <w:rsid w:val="0006369B"/>
    <w:rsid w:val="00065028"/>
    <w:rsid w:val="00065178"/>
    <w:rsid w:val="00066B34"/>
    <w:rsid w:val="000673D7"/>
    <w:rsid w:val="0007102F"/>
    <w:rsid w:val="0007150E"/>
    <w:rsid w:val="00072C5A"/>
    <w:rsid w:val="0007497C"/>
    <w:rsid w:val="00074CAE"/>
    <w:rsid w:val="00074E18"/>
    <w:rsid w:val="000778AE"/>
    <w:rsid w:val="00077A31"/>
    <w:rsid w:val="00080B3C"/>
    <w:rsid w:val="00080B6A"/>
    <w:rsid w:val="00080ED0"/>
    <w:rsid w:val="00080ED3"/>
    <w:rsid w:val="000838D8"/>
    <w:rsid w:val="00083AB4"/>
    <w:rsid w:val="00084461"/>
    <w:rsid w:val="000857C7"/>
    <w:rsid w:val="00085B8F"/>
    <w:rsid w:val="00085F1C"/>
    <w:rsid w:val="00086428"/>
    <w:rsid w:val="00087B9E"/>
    <w:rsid w:val="00090481"/>
    <w:rsid w:val="0009185C"/>
    <w:rsid w:val="00092CA9"/>
    <w:rsid w:val="00092D7B"/>
    <w:rsid w:val="000948E9"/>
    <w:rsid w:val="00094CC2"/>
    <w:rsid w:val="0009523C"/>
    <w:rsid w:val="0009608D"/>
    <w:rsid w:val="00096E13"/>
    <w:rsid w:val="000975C6"/>
    <w:rsid w:val="00097C68"/>
    <w:rsid w:val="000A1066"/>
    <w:rsid w:val="000A13B3"/>
    <w:rsid w:val="000A1F85"/>
    <w:rsid w:val="000A23A3"/>
    <w:rsid w:val="000A2408"/>
    <w:rsid w:val="000A341E"/>
    <w:rsid w:val="000A3C03"/>
    <w:rsid w:val="000A6C26"/>
    <w:rsid w:val="000A6CF7"/>
    <w:rsid w:val="000A79D7"/>
    <w:rsid w:val="000B09D2"/>
    <w:rsid w:val="000B109D"/>
    <w:rsid w:val="000B1393"/>
    <w:rsid w:val="000B26CC"/>
    <w:rsid w:val="000B27AC"/>
    <w:rsid w:val="000B31FF"/>
    <w:rsid w:val="000B3696"/>
    <w:rsid w:val="000B4A41"/>
    <w:rsid w:val="000B4DFE"/>
    <w:rsid w:val="000B59A4"/>
    <w:rsid w:val="000B7653"/>
    <w:rsid w:val="000C0458"/>
    <w:rsid w:val="000C0504"/>
    <w:rsid w:val="000C1840"/>
    <w:rsid w:val="000C1921"/>
    <w:rsid w:val="000C1B02"/>
    <w:rsid w:val="000C3D25"/>
    <w:rsid w:val="000C3E53"/>
    <w:rsid w:val="000C4CF6"/>
    <w:rsid w:val="000C5B93"/>
    <w:rsid w:val="000C6459"/>
    <w:rsid w:val="000C6720"/>
    <w:rsid w:val="000C6C40"/>
    <w:rsid w:val="000C6C8D"/>
    <w:rsid w:val="000D1618"/>
    <w:rsid w:val="000D1776"/>
    <w:rsid w:val="000D3077"/>
    <w:rsid w:val="000D3BFE"/>
    <w:rsid w:val="000D4012"/>
    <w:rsid w:val="000D52A4"/>
    <w:rsid w:val="000D5733"/>
    <w:rsid w:val="000D7179"/>
    <w:rsid w:val="000D7716"/>
    <w:rsid w:val="000E07BC"/>
    <w:rsid w:val="000E1015"/>
    <w:rsid w:val="000E240A"/>
    <w:rsid w:val="000E252D"/>
    <w:rsid w:val="000E2706"/>
    <w:rsid w:val="000E271D"/>
    <w:rsid w:val="000E2902"/>
    <w:rsid w:val="000E2F45"/>
    <w:rsid w:val="000E53AB"/>
    <w:rsid w:val="000E53CF"/>
    <w:rsid w:val="000E6B2A"/>
    <w:rsid w:val="000F0C62"/>
    <w:rsid w:val="000F1CD4"/>
    <w:rsid w:val="000F1E96"/>
    <w:rsid w:val="000F2C96"/>
    <w:rsid w:val="000F3254"/>
    <w:rsid w:val="000F4103"/>
    <w:rsid w:val="000F41B9"/>
    <w:rsid w:val="000F42CD"/>
    <w:rsid w:val="000F4B08"/>
    <w:rsid w:val="000F4BC1"/>
    <w:rsid w:val="000F5168"/>
    <w:rsid w:val="000F55AD"/>
    <w:rsid w:val="000F62AA"/>
    <w:rsid w:val="000F677C"/>
    <w:rsid w:val="000F6C02"/>
    <w:rsid w:val="000F70A7"/>
    <w:rsid w:val="00101E08"/>
    <w:rsid w:val="00104395"/>
    <w:rsid w:val="00105D91"/>
    <w:rsid w:val="0010690D"/>
    <w:rsid w:val="00106F4C"/>
    <w:rsid w:val="001074EA"/>
    <w:rsid w:val="00113CCA"/>
    <w:rsid w:val="0011574A"/>
    <w:rsid w:val="00115CF7"/>
    <w:rsid w:val="00115DAB"/>
    <w:rsid w:val="00115E6B"/>
    <w:rsid w:val="00116426"/>
    <w:rsid w:val="00121259"/>
    <w:rsid w:val="001216BD"/>
    <w:rsid w:val="00121F3B"/>
    <w:rsid w:val="001223C2"/>
    <w:rsid w:val="00122F25"/>
    <w:rsid w:val="00124285"/>
    <w:rsid w:val="00124C46"/>
    <w:rsid w:val="00124FC3"/>
    <w:rsid w:val="0012513D"/>
    <w:rsid w:val="00125B96"/>
    <w:rsid w:val="001263DB"/>
    <w:rsid w:val="001307D0"/>
    <w:rsid w:val="001320C9"/>
    <w:rsid w:val="00132C4F"/>
    <w:rsid w:val="00132D59"/>
    <w:rsid w:val="00133666"/>
    <w:rsid w:val="00134F14"/>
    <w:rsid w:val="00135980"/>
    <w:rsid w:val="00135A60"/>
    <w:rsid w:val="00137A5C"/>
    <w:rsid w:val="0014061B"/>
    <w:rsid w:val="001406A1"/>
    <w:rsid w:val="00140D99"/>
    <w:rsid w:val="00141591"/>
    <w:rsid w:val="00143275"/>
    <w:rsid w:val="00143D8B"/>
    <w:rsid w:val="001458E3"/>
    <w:rsid w:val="00145D9B"/>
    <w:rsid w:val="001479F1"/>
    <w:rsid w:val="0015203E"/>
    <w:rsid w:val="00152BC3"/>
    <w:rsid w:val="0015538C"/>
    <w:rsid w:val="001558A5"/>
    <w:rsid w:val="0015710F"/>
    <w:rsid w:val="00157A76"/>
    <w:rsid w:val="00160856"/>
    <w:rsid w:val="00160972"/>
    <w:rsid w:val="00161C06"/>
    <w:rsid w:val="00161E58"/>
    <w:rsid w:val="00163AF4"/>
    <w:rsid w:val="00164719"/>
    <w:rsid w:val="00164CA2"/>
    <w:rsid w:val="001652A0"/>
    <w:rsid w:val="00165CFC"/>
    <w:rsid w:val="001668CF"/>
    <w:rsid w:val="00166FC4"/>
    <w:rsid w:val="001677AC"/>
    <w:rsid w:val="0017083B"/>
    <w:rsid w:val="00171163"/>
    <w:rsid w:val="001718C7"/>
    <w:rsid w:val="00172A8B"/>
    <w:rsid w:val="00174ACF"/>
    <w:rsid w:val="001756EF"/>
    <w:rsid w:val="00176C18"/>
    <w:rsid w:val="001804EA"/>
    <w:rsid w:val="00180B66"/>
    <w:rsid w:val="00181F12"/>
    <w:rsid w:val="00182142"/>
    <w:rsid w:val="00184008"/>
    <w:rsid w:val="00184277"/>
    <w:rsid w:val="00184773"/>
    <w:rsid w:val="00184C36"/>
    <w:rsid w:val="001865AD"/>
    <w:rsid w:val="00186800"/>
    <w:rsid w:val="00187347"/>
    <w:rsid w:val="00190A61"/>
    <w:rsid w:val="00191CCA"/>
    <w:rsid w:val="00192281"/>
    <w:rsid w:val="0019497A"/>
    <w:rsid w:val="00194DBC"/>
    <w:rsid w:val="00194DE4"/>
    <w:rsid w:val="00194EDD"/>
    <w:rsid w:val="001950EC"/>
    <w:rsid w:val="001952B5"/>
    <w:rsid w:val="001954A1"/>
    <w:rsid w:val="0019597C"/>
    <w:rsid w:val="00196EBB"/>
    <w:rsid w:val="001971B4"/>
    <w:rsid w:val="00197A00"/>
    <w:rsid w:val="00197AD3"/>
    <w:rsid w:val="001A01A0"/>
    <w:rsid w:val="001A0AD6"/>
    <w:rsid w:val="001A1887"/>
    <w:rsid w:val="001A2C2F"/>
    <w:rsid w:val="001A2E6B"/>
    <w:rsid w:val="001A3342"/>
    <w:rsid w:val="001A3E3D"/>
    <w:rsid w:val="001A3E91"/>
    <w:rsid w:val="001A4878"/>
    <w:rsid w:val="001A493C"/>
    <w:rsid w:val="001A4AF4"/>
    <w:rsid w:val="001A4CC0"/>
    <w:rsid w:val="001A7049"/>
    <w:rsid w:val="001A712A"/>
    <w:rsid w:val="001A7253"/>
    <w:rsid w:val="001A732C"/>
    <w:rsid w:val="001A7E2A"/>
    <w:rsid w:val="001B0DBA"/>
    <w:rsid w:val="001B1D88"/>
    <w:rsid w:val="001B1E40"/>
    <w:rsid w:val="001B379C"/>
    <w:rsid w:val="001B52C7"/>
    <w:rsid w:val="001B6487"/>
    <w:rsid w:val="001B70EA"/>
    <w:rsid w:val="001C0DF2"/>
    <w:rsid w:val="001C2341"/>
    <w:rsid w:val="001C2DB4"/>
    <w:rsid w:val="001C3C80"/>
    <w:rsid w:val="001C3CBB"/>
    <w:rsid w:val="001C4164"/>
    <w:rsid w:val="001C51A9"/>
    <w:rsid w:val="001C6573"/>
    <w:rsid w:val="001C764E"/>
    <w:rsid w:val="001C7E35"/>
    <w:rsid w:val="001D032D"/>
    <w:rsid w:val="001D0907"/>
    <w:rsid w:val="001D0E4C"/>
    <w:rsid w:val="001D10C1"/>
    <w:rsid w:val="001D12BD"/>
    <w:rsid w:val="001D1702"/>
    <w:rsid w:val="001D1738"/>
    <w:rsid w:val="001D1CBB"/>
    <w:rsid w:val="001D2F48"/>
    <w:rsid w:val="001D44DA"/>
    <w:rsid w:val="001D5399"/>
    <w:rsid w:val="001D7294"/>
    <w:rsid w:val="001E062E"/>
    <w:rsid w:val="001E1052"/>
    <w:rsid w:val="001E1B2D"/>
    <w:rsid w:val="001E1E40"/>
    <w:rsid w:val="001E21B1"/>
    <w:rsid w:val="001E223C"/>
    <w:rsid w:val="001E23B0"/>
    <w:rsid w:val="001E2876"/>
    <w:rsid w:val="001E2F93"/>
    <w:rsid w:val="001E35B5"/>
    <w:rsid w:val="001E4889"/>
    <w:rsid w:val="001E4AC5"/>
    <w:rsid w:val="001E5412"/>
    <w:rsid w:val="001E59A1"/>
    <w:rsid w:val="001E61E5"/>
    <w:rsid w:val="001E6886"/>
    <w:rsid w:val="001E7333"/>
    <w:rsid w:val="001E747E"/>
    <w:rsid w:val="001F0000"/>
    <w:rsid w:val="001F061C"/>
    <w:rsid w:val="001F082C"/>
    <w:rsid w:val="001F0B82"/>
    <w:rsid w:val="001F0C07"/>
    <w:rsid w:val="001F2159"/>
    <w:rsid w:val="001F4770"/>
    <w:rsid w:val="001F5411"/>
    <w:rsid w:val="001F6F12"/>
    <w:rsid w:val="001F7622"/>
    <w:rsid w:val="002006D7"/>
    <w:rsid w:val="00200B25"/>
    <w:rsid w:val="0020124F"/>
    <w:rsid w:val="0020356E"/>
    <w:rsid w:val="0020459F"/>
    <w:rsid w:val="00205740"/>
    <w:rsid w:val="00206E7F"/>
    <w:rsid w:val="0020717B"/>
    <w:rsid w:val="00207D0E"/>
    <w:rsid w:val="00207D1E"/>
    <w:rsid w:val="00210042"/>
    <w:rsid w:val="002113B9"/>
    <w:rsid w:val="0021186A"/>
    <w:rsid w:val="00211F8D"/>
    <w:rsid w:val="00213811"/>
    <w:rsid w:val="00213F70"/>
    <w:rsid w:val="00214863"/>
    <w:rsid w:val="00214ACD"/>
    <w:rsid w:val="00214FD7"/>
    <w:rsid w:val="0021555A"/>
    <w:rsid w:val="002156B4"/>
    <w:rsid w:val="00215E32"/>
    <w:rsid w:val="002174F4"/>
    <w:rsid w:val="00217F0D"/>
    <w:rsid w:val="00220D02"/>
    <w:rsid w:val="00220F2C"/>
    <w:rsid w:val="002214F0"/>
    <w:rsid w:val="00222D54"/>
    <w:rsid w:val="00224515"/>
    <w:rsid w:val="00224D83"/>
    <w:rsid w:val="00225C05"/>
    <w:rsid w:val="00230A11"/>
    <w:rsid w:val="00230A8B"/>
    <w:rsid w:val="00233166"/>
    <w:rsid w:val="002332B7"/>
    <w:rsid w:val="00234B30"/>
    <w:rsid w:val="00235944"/>
    <w:rsid w:val="00236FFD"/>
    <w:rsid w:val="002400A8"/>
    <w:rsid w:val="00240728"/>
    <w:rsid w:val="00241111"/>
    <w:rsid w:val="00241BC8"/>
    <w:rsid w:val="00243AB6"/>
    <w:rsid w:val="00244F89"/>
    <w:rsid w:val="002459D5"/>
    <w:rsid w:val="00245E3B"/>
    <w:rsid w:val="00246010"/>
    <w:rsid w:val="002471A1"/>
    <w:rsid w:val="00247D13"/>
    <w:rsid w:val="00250217"/>
    <w:rsid w:val="00250E19"/>
    <w:rsid w:val="00251347"/>
    <w:rsid w:val="00251B00"/>
    <w:rsid w:val="00251D1F"/>
    <w:rsid w:val="0025208B"/>
    <w:rsid w:val="002520DB"/>
    <w:rsid w:val="00252A68"/>
    <w:rsid w:val="00253222"/>
    <w:rsid w:val="002542E0"/>
    <w:rsid w:val="0025470D"/>
    <w:rsid w:val="002559A3"/>
    <w:rsid w:val="0025614F"/>
    <w:rsid w:val="002568A9"/>
    <w:rsid w:val="00260AEC"/>
    <w:rsid w:val="00260DA8"/>
    <w:rsid w:val="00260E63"/>
    <w:rsid w:val="00261138"/>
    <w:rsid w:val="00261256"/>
    <w:rsid w:val="00262018"/>
    <w:rsid w:val="00262847"/>
    <w:rsid w:val="00263002"/>
    <w:rsid w:val="002630E2"/>
    <w:rsid w:val="00265997"/>
    <w:rsid w:val="00265B11"/>
    <w:rsid w:val="00265C60"/>
    <w:rsid w:val="0026650A"/>
    <w:rsid w:val="00270FDB"/>
    <w:rsid w:val="0027220B"/>
    <w:rsid w:val="00272BB5"/>
    <w:rsid w:val="00272E17"/>
    <w:rsid w:val="002740F0"/>
    <w:rsid w:val="00274950"/>
    <w:rsid w:val="0027595D"/>
    <w:rsid w:val="002767C5"/>
    <w:rsid w:val="0027720C"/>
    <w:rsid w:val="002806F9"/>
    <w:rsid w:val="00281BB2"/>
    <w:rsid w:val="00282494"/>
    <w:rsid w:val="00282DDD"/>
    <w:rsid w:val="00284385"/>
    <w:rsid w:val="00286699"/>
    <w:rsid w:val="002876CC"/>
    <w:rsid w:val="00290522"/>
    <w:rsid w:val="002918EC"/>
    <w:rsid w:val="00292400"/>
    <w:rsid w:val="00293A20"/>
    <w:rsid w:val="002947AD"/>
    <w:rsid w:val="00296F2B"/>
    <w:rsid w:val="0029746F"/>
    <w:rsid w:val="00297D2F"/>
    <w:rsid w:val="002A1867"/>
    <w:rsid w:val="002A18A7"/>
    <w:rsid w:val="002A213D"/>
    <w:rsid w:val="002A2DA6"/>
    <w:rsid w:val="002A314D"/>
    <w:rsid w:val="002A41A4"/>
    <w:rsid w:val="002A6C92"/>
    <w:rsid w:val="002A6E16"/>
    <w:rsid w:val="002B0301"/>
    <w:rsid w:val="002B08D9"/>
    <w:rsid w:val="002B12F4"/>
    <w:rsid w:val="002B19CA"/>
    <w:rsid w:val="002B49E2"/>
    <w:rsid w:val="002B7006"/>
    <w:rsid w:val="002B72DD"/>
    <w:rsid w:val="002B72E9"/>
    <w:rsid w:val="002B7981"/>
    <w:rsid w:val="002C070D"/>
    <w:rsid w:val="002C2043"/>
    <w:rsid w:val="002C219D"/>
    <w:rsid w:val="002C25EF"/>
    <w:rsid w:val="002C2721"/>
    <w:rsid w:val="002C4566"/>
    <w:rsid w:val="002C4B4B"/>
    <w:rsid w:val="002C6267"/>
    <w:rsid w:val="002C797A"/>
    <w:rsid w:val="002C7998"/>
    <w:rsid w:val="002D1548"/>
    <w:rsid w:val="002D2863"/>
    <w:rsid w:val="002D3356"/>
    <w:rsid w:val="002D44EF"/>
    <w:rsid w:val="002D4A81"/>
    <w:rsid w:val="002D50CF"/>
    <w:rsid w:val="002D510E"/>
    <w:rsid w:val="002D5CA2"/>
    <w:rsid w:val="002D6621"/>
    <w:rsid w:val="002D75A2"/>
    <w:rsid w:val="002D7D97"/>
    <w:rsid w:val="002E03A7"/>
    <w:rsid w:val="002E05AF"/>
    <w:rsid w:val="002E292F"/>
    <w:rsid w:val="002E5F81"/>
    <w:rsid w:val="002E62F5"/>
    <w:rsid w:val="002E7836"/>
    <w:rsid w:val="002F08E3"/>
    <w:rsid w:val="002F0DA6"/>
    <w:rsid w:val="002F1A8E"/>
    <w:rsid w:val="002F1E53"/>
    <w:rsid w:val="002F24E6"/>
    <w:rsid w:val="002F263D"/>
    <w:rsid w:val="002F2CAA"/>
    <w:rsid w:val="002F523F"/>
    <w:rsid w:val="002F5ECC"/>
    <w:rsid w:val="002F6625"/>
    <w:rsid w:val="002F7E46"/>
    <w:rsid w:val="0030052C"/>
    <w:rsid w:val="0030193A"/>
    <w:rsid w:val="0030227F"/>
    <w:rsid w:val="00302F41"/>
    <w:rsid w:val="00303E6D"/>
    <w:rsid w:val="00304741"/>
    <w:rsid w:val="00304E2A"/>
    <w:rsid w:val="00305609"/>
    <w:rsid w:val="003057F9"/>
    <w:rsid w:val="003065C3"/>
    <w:rsid w:val="00306BAE"/>
    <w:rsid w:val="00307BEC"/>
    <w:rsid w:val="00307D94"/>
    <w:rsid w:val="00310F20"/>
    <w:rsid w:val="0031189F"/>
    <w:rsid w:val="003126EC"/>
    <w:rsid w:val="003132BA"/>
    <w:rsid w:val="003135E5"/>
    <w:rsid w:val="003151A6"/>
    <w:rsid w:val="0031638D"/>
    <w:rsid w:val="00317290"/>
    <w:rsid w:val="00317885"/>
    <w:rsid w:val="00317F9C"/>
    <w:rsid w:val="00320ECB"/>
    <w:rsid w:val="00322F77"/>
    <w:rsid w:val="00324670"/>
    <w:rsid w:val="00324F18"/>
    <w:rsid w:val="003254A9"/>
    <w:rsid w:val="00325692"/>
    <w:rsid w:val="00325EA7"/>
    <w:rsid w:val="00327693"/>
    <w:rsid w:val="003306E1"/>
    <w:rsid w:val="00330B68"/>
    <w:rsid w:val="003320E4"/>
    <w:rsid w:val="00332194"/>
    <w:rsid w:val="003332CE"/>
    <w:rsid w:val="00333D34"/>
    <w:rsid w:val="0033525D"/>
    <w:rsid w:val="00335AE7"/>
    <w:rsid w:val="00336888"/>
    <w:rsid w:val="003379BB"/>
    <w:rsid w:val="003379FC"/>
    <w:rsid w:val="00337C22"/>
    <w:rsid w:val="00337F95"/>
    <w:rsid w:val="00340E47"/>
    <w:rsid w:val="00340E93"/>
    <w:rsid w:val="003414F3"/>
    <w:rsid w:val="00341E3C"/>
    <w:rsid w:val="00342350"/>
    <w:rsid w:val="00342428"/>
    <w:rsid w:val="00342C50"/>
    <w:rsid w:val="00343146"/>
    <w:rsid w:val="00345188"/>
    <w:rsid w:val="00346CD6"/>
    <w:rsid w:val="0034761F"/>
    <w:rsid w:val="003476F9"/>
    <w:rsid w:val="00347CDC"/>
    <w:rsid w:val="00352F06"/>
    <w:rsid w:val="0035391B"/>
    <w:rsid w:val="00353D19"/>
    <w:rsid w:val="003543D0"/>
    <w:rsid w:val="0035538D"/>
    <w:rsid w:val="0035613E"/>
    <w:rsid w:val="003568D0"/>
    <w:rsid w:val="00356C20"/>
    <w:rsid w:val="00356CF6"/>
    <w:rsid w:val="00357396"/>
    <w:rsid w:val="003575B8"/>
    <w:rsid w:val="0035788A"/>
    <w:rsid w:val="00360A36"/>
    <w:rsid w:val="00360D4E"/>
    <w:rsid w:val="00362F2D"/>
    <w:rsid w:val="003639A2"/>
    <w:rsid w:val="00363EE9"/>
    <w:rsid w:val="00365553"/>
    <w:rsid w:val="003662FB"/>
    <w:rsid w:val="00366702"/>
    <w:rsid w:val="003701E1"/>
    <w:rsid w:val="003707FE"/>
    <w:rsid w:val="003719DF"/>
    <w:rsid w:val="00371DC1"/>
    <w:rsid w:val="00372109"/>
    <w:rsid w:val="00372A6F"/>
    <w:rsid w:val="00374492"/>
    <w:rsid w:val="00374AE5"/>
    <w:rsid w:val="00374E1F"/>
    <w:rsid w:val="003751E4"/>
    <w:rsid w:val="00375360"/>
    <w:rsid w:val="00375403"/>
    <w:rsid w:val="00375773"/>
    <w:rsid w:val="00376128"/>
    <w:rsid w:val="0037742E"/>
    <w:rsid w:val="00377D56"/>
    <w:rsid w:val="003811FC"/>
    <w:rsid w:val="003815E2"/>
    <w:rsid w:val="00381EE4"/>
    <w:rsid w:val="0038245A"/>
    <w:rsid w:val="003827B3"/>
    <w:rsid w:val="003832A9"/>
    <w:rsid w:val="00383A33"/>
    <w:rsid w:val="003840E6"/>
    <w:rsid w:val="003847D9"/>
    <w:rsid w:val="00385CFC"/>
    <w:rsid w:val="003876D2"/>
    <w:rsid w:val="00387E11"/>
    <w:rsid w:val="003919B9"/>
    <w:rsid w:val="003922B9"/>
    <w:rsid w:val="0039261A"/>
    <w:rsid w:val="00392F6A"/>
    <w:rsid w:val="0039337A"/>
    <w:rsid w:val="00393924"/>
    <w:rsid w:val="003940A5"/>
    <w:rsid w:val="00394549"/>
    <w:rsid w:val="00396BDC"/>
    <w:rsid w:val="00396D08"/>
    <w:rsid w:val="0039720C"/>
    <w:rsid w:val="003A051C"/>
    <w:rsid w:val="003A152A"/>
    <w:rsid w:val="003A190D"/>
    <w:rsid w:val="003A2DE8"/>
    <w:rsid w:val="003A3189"/>
    <w:rsid w:val="003A3CA7"/>
    <w:rsid w:val="003A429D"/>
    <w:rsid w:val="003A485C"/>
    <w:rsid w:val="003A6364"/>
    <w:rsid w:val="003A654B"/>
    <w:rsid w:val="003A678F"/>
    <w:rsid w:val="003A7958"/>
    <w:rsid w:val="003A7BDA"/>
    <w:rsid w:val="003A7D74"/>
    <w:rsid w:val="003B0436"/>
    <w:rsid w:val="003B0841"/>
    <w:rsid w:val="003B260F"/>
    <w:rsid w:val="003B2872"/>
    <w:rsid w:val="003B33BD"/>
    <w:rsid w:val="003B4351"/>
    <w:rsid w:val="003B569D"/>
    <w:rsid w:val="003B5A5C"/>
    <w:rsid w:val="003B5DE6"/>
    <w:rsid w:val="003C0998"/>
    <w:rsid w:val="003C0C29"/>
    <w:rsid w:val="003C181F"/>
    <w:rsid w:val="003C1D19"/>
    <w:rsid w:val="003C1ED2"/>
    <w:rsid w:val="003C2CE6"/>
    <w:rsid w:val="003C3410"/>
    <w:rsid w:val="003C3C0E"/>
    <w:rsid w:val="003C3D8F"/>
    <w:rsid w:val="003C4D6D"/>
    <w:rsid w:val="003C626F"/>
    <w:rsid w:val="003C680E"/>
    <w:rsid w:val="003C7289"/>
    <w:rsid w:val="003C78F8"/>
    <w:rsid w:val="003D0AE8"/>
    <w:rsid w:val="003D10F9"/>
    <w:rsid w:val="003D4FAC"/>
    <w:rsid w:val="003D5981"/>
    <w:rsid w:val="003D75B0"/>
    <w:rsid w:val="003D7AE9"/>
    <w:rsid w:val="003E067D"/>
    <w:rsid w:val="003E133B"/>
    <w:rsid w:val="003E18C5"/>
    <w:rsid w:val="003E2713"/>
    <w:rsid w:val="003E3C94"/>
    <w:rsid w:val="003E5D88"/>
    <w:rsid w:val="003E5F5A"/>
    <w:rsid w:val="003E7906"/>
    <w:rsid w:val="003F066F"/>
    <w:rsid w:val="003F1554"/>
    <w:rsid w:val="003F2886"/>
    <w:rsid w:val="003F30FA"/>
    <w:rsid w:val="003F3C50"/>
    <w:rsid w:val="003F4E91"/>
    <w:rsid w:val="003F5FBE"/>
    <w:rsid w:val="003F76B1"/>
    <w:rsid w:val="003F7FA1"/>
    <w:rsid w:val="003F7FE8"/>
    <w:rsid w:val="0040007E"/>
    <w:rsid w:val="00401146"/>
    <w:rsid w:val="00402749"/>
    <w:rsid w:val="00403440"/>
    <w:rsid w:val="00403547"/>
    <w:rsid w:val="00403851"/>
    <w:rsid w:val="00403E13"/>
    <w:rsid w:val="0040475B"/>
    <w:rsid w:val="00404EAD"/>
    <w:rsid w:val="0040566D"/>
    <w:rsid w:val="004059FE"/>
    <w:rsid w:val="00406868"/>
    <w:rsid w:val="00406A6A"/>
    <w:rsid w:val="00406B22"/>
    <w:rsid w:val="00407A36"/>
    <w:rsid w:val="00407E21"/>
    <w:rsid w:val="00407FBC"/>
    <w:rsid w:val="00410197"/>
    <w:rsid w:val="00411732"/>
    <w:rsid w:val="0041213B"/>
    <w:rsid w:val="00413911"/>
    <w:rsid w:val="00414E4D"/>
    <w:rsid w:val="0041537E"/>
    <w:rsid w:val="004174B4"/>
    <w:rsid w:val="0042017F"/>
    <w:rsid w:val="00420EFA"/>
    <w:rsid w:val="004210FB"/>
    <w:rsid w:val="00421586"/>
    <w:rsid w:val="00421A45"/>
    <w:rsid w:val="00423735"/>
    <w:rsid w:val="004249DF"/>
    <w:rsid w:val="00425A55"/>
    <w:rsid w:val="00426588"/>
    <w:rsid w:val="00427006"/>
    <w:rsid w:val="00427332"/>
    <w:rsid w:val="0042766B"/>
    <w:rsid w:val="00427A82"/>
    <w:rsid w:val="00430B11"/>
    <w:rsid w:val="0043171B"/>
    <w:rsid w:val="00431A01"/>
    <w:rsid w:val="00431F01"/>
    <w:rsid w:val="004328A7"/>
    <w:rsid w:val="004331A4"/>
    <w:rsid w:val="00434C74"/>
    <w:rsid w:val="0043570D"/>
    <w:rsid w:val="00435B11"/>
    <w:rsid w:val="00435C89"/>
    <w:rsid w:val="00436410"/>
    <w:rsid w:val="00436A72"/>
    <w:rsid w:val="00436AB8"/>
    <w:rsid w:val="00436C03"/>
    <w:rsid w:val="004370A1"/>
    <w:rsid w:val="00437948"/>
    <w:rsid w:val="00437CD6"/>
    <w:rsid w:val="004401B8"/>
    <w:rsid w:val="00440A1D"/>
    <w:rsid w:val="00440D53"/>
    <w:rsid w:val="00442AD0"/>
    <w:rsid w:val="00443C56"/>
    <w:rsid w:val="00445168"/>
    <w:rsid w:val="00445DE6"/>
    <w:rsid w:val="00446670"/>
    <w:rsid w:val="00447C93"/>
    <w:rsid w:val="0045071D"/>
    <w:rsid w:val="004517FC"/>
    <w:rsid w:val="00451D3B"/>
    <w:rsid w:val="004529ED"/>
    <w:rsid w:val="00452D75"/>
    <w:rsid w:val="00452DFB"/>
    <w:rsid w:val="00453236"/>
    <w:rsid w:val="00454053"/>
    <w:rsid w:val="00454C28"/>
    <w:rsid w:val="004564B4"/>
    <w:rsid w:val="0045660E"/>
    <w:rsid w:val="00456D0D"/>
    <w:rsid w:val="00456EB4"/>
    <w:rsid w:val="00457AC4"/>
    <w:rsid w:val="00461342"/>
    <w:rsid w:val="004623B1"/>
    <w:rsid w:val="00464FC8"/>
    <w:rsid w:val="0046569F"/>
    <w:rsid w:val="0046662C"/>
    <w:rsid w:val="00466D5A"/>
    <w:rsid w:val="004671BA"/>
    <w:rsid w:val="0046734B"/>
    <w:rsid w:val="0046753B"/>
    <w:rsid w:val="00470FBA"/>
    <w:rsid w:val="00471626"/>
    <w:rsid w:val="004717A8"/>
    <w:rsid w:val="004718F3"/>
    <w:rsid w:val="00471CB0"/>
    <w:rsid w:val="004728B2"/>
    <w:rsid w:val="00472DD0"/>
    <w:rsid w:val="00474540"/>
    <w:rsid w:val="00475040"/>
    <w:rsid w:val="004800AD"/>
    <w:rsid w:val="00480DAB"/>
    <w:rsid w:val="00483A98"/>
    <w:rsid w:val="00484A07"/>
    <w:rsid w:val="0048619B"/>
    <w:rsid w:val="00490283"/>
    <w:rsid w:val="0049234A"/>
    <w:rsid w:val="0049342D"/>
    <w:rsid w:val="00493D40"/>
    <w:rsid w:val="004940C8"/>
    <w:rsid w:val="00494EE5"/>
    <w:rsid w:val="00495FBA"/>
    <w:rsid w:val="004962F0"/>
    <w:rsid w:val="004964E4"/>
    <w:rsid w:val="004967B6"/>
    <w:rsid w:val="004A0DC5"/>
    <w:rsid w:val="004A0E88"/>
    <w:rsid w:val="004A1D9D"/>
    <w:rsid w:val="004A1FAB"/>
    <w:rsid w:val="004A22C3"/>
    <w:rsid w:val="004A2DFF"/>
    <w:rsid w:val="004A3440"/>
    <w:rsid w:val="004A504B"/>
    <w:rsid w:val="004A57D0"/>
    <w:rsid w:val="004A6026"/>
    <w:rsid w:val="004A6911"/>
    <w:rsid w:val="004A6D37"/>
    <w:rsid w:val="004A7660"/>
    <w:rsid w:val="004A78CA"/>
    <w:rsid w:val="004B159F"/>
    <w:rsid w:val="004B1A78"/>
    <w:rsid w:val="004B46A1"/>
    <w:rsid w:val="004B4929"/>
    <w:rsid w:val="004B4A60"/>
    <w:rsid w:val="004B54E0"/>
    <w:rsid w:val="004B70F7"/>
    <w:rsid w:val="004B7384"/>
    <w:rsid w:val="004C0F36"/>
    <w:rsid w:val="004C2DD1"/>
    <w:rsid w:val="004C3E4B"/>
    <w:rsid w:val="004C4269"/>
    <w:rsid w:val="004C4C49"/>
    <w:rsid w:val="004C50BC"/>
    <w:rsid w:val="004C54D9"/>
    <w:rsid w:val="004C6B73"/>
    <w:rsid w:val="004C6C5A"/>
    <w:rsid w:val="004C6D78"/>
    <w:rsid w:val="004C6DF5"/>
    <w:rsid w:val="004D175C"/>
    <w:rsid w:val="004D37F0"/>
    <w:rsid w:val="004D496D"/>
    <w:rsid w:val="004D5169"/>
    <w:rsid w:val="004D55E6"/>
    <w:rsid w:val="004D6236"/>
    <w:rsid w:val="004D6AD6"/>
    <w:rsid w:val="004D70C9"/>
    <w:rsid w:val="004D7F90"/>
    <w:rsid w:val="004E0B19"/>
    <w:rsid w:val="004E129B"/>
    <w:rsid w:val="004E12CE"/>
    <w:rsid w:val="004E2454"/>
    <w:rsid w:val="004E25E1"/>
    <w:rsid w:val="004E2AFD"/>
    <w:rsid w:val="004E3815"/>
    <w:rsid w:val="004E456E"/>
    <w:rsid w:val="004E4DBB"/>
    <w:rsid w:val="004E4E41"/>
    <w:rsid w:val="004E554A"/>
    <w:rsid w:val="004E6F56"/>
    <w:rsid w:val="004E7D71"/>
    <w:rsid w:val="004E7F9C"/>
    <w:rsid w:val="004F032F"/>
    <w:rsid w:val="004F21D6"/>
    <w:rsid w:val="004F251C"/>
    <w:rsid w:val="004F25CF"/>
    <w:rsid w:val="004F3493"/>
    <w:rsid w:val="004F3E9A"/>
    <w:rsid w:val="004F5143"/>
    <w:rsid w:val="004F5E03"/>
    <w:rsid w:val="004F6944"/>
    <w:rsid w:val="00500FA2"/>
    <w:rsid w:val="00501B35"/>
    <w:rsid w:val="00501C8B"/>
    <w:rsid w:val="005023FB"/>
    <w:rsid w:val="00504774"/>
    <w:rsid w:val="00510358"/>
    <w:rsid w:val="00510549"/>
    <w:rsid w:val="00511C02"/>
    <w:rsid w:val="00512B09"/>
    <w:rsid w:val="00512DA4"/>
    <w:rsid w:val="0051474F"/>
    <w:rsid w:val="00515AF1"/>
    <w:rsid w:val="00515B2F"/>
    <w:rsid w:val="005168C9"/>
    <w:rsid w:val="005200D0"/>
    <w:rsid w:val="0052032A"/>
    <w:rsid w:val="005229E1"/>
    <w:rsid w:val="0052447D"/>
    <w:rsid w:val="00526B9E"/>
    <w:rsid w:val="00532925"/>
    <w:rsid w:val="00532E75"/>
    <w:rsid w:val="00533105"/>
    <w:rsid w:val="00533796"/>
    <w:rsid w:val="005339FA"/>
    <w:rsid w:val="005368C9"/>
    <w:rsid w:val="0053719D"/>
    <w:rsid w:val="005372B7"/>
    <w:rsid w:val="00541E20"/>
    <w:rsid w:val="005424D2"/>
    <w:rsid w:val="00543AF2"/>
    <w:rsid w:val="00543E01"/>
    <w:rsid w:val="005445F8"/>
    <w:rsid w:val="005446A0"/>
    <w:rsid w:val="005451F4"/>
    <w:rsid w:val="005455D8"/>
    <w:rsid w:val="00546711"/>
    <w:rsid w:val="005472DC"/>
    <w:rsid w:val="005509CE"/>
    <w:rsid w:val="005509EB"/>
    <w:rsid w:val="00552066"/>
    <w:rsid w:val="005532A3"/>
    <w:rsid w:val="005534D5"/>
    <w:rsid w:val="00553768"/>
    <w:rsid w:val="00554D41"/>
    <w:rsid w:val="005555A6"/>
    <w:rsid w:val="005556DA"/>
    <w:rsid w:val="00555D75"/>
    <w:rsid w:val="00556888"/>
    <w:rsid w:val="00560DF0"/>
    <w:rsid w:val="00561264"/>
    <w:rsid w:val="00561A7A"/>
    <w:rsid w:val="00561BEE"/>
    <w:rsid w:val="0056208F"/>
    <w:rsid w:val="00564148"/>
    <w:rsid w:val="00566610"/>
    <w:rsid w:val="005668C9"/>
    <w:rsid w:val="0056720E"/>
    <w:rsid w:val="0056759C"/>
    <w:rsid w:val="005676C0"/>
    <w:rsid w:val="00567FD9"/>
    <w:rsid w:val="005700D4"/>
    <w:rsid w:val="005702BD"/>
    <w:rsid w:val="0057058A"/>
    <w:rsid w:val="00574339"/>
    <w:rsid w:val="00574690"/>
    <w:rsid w:val="00580626"/>
    <w:rsid w:val="0058091E"/>
    <w:rsid w:val="00581CEA"/>
    <w:rsid w:val="00581E3C"/>
    <w:rsid w:val="00582381"/>
    <w:rsid w:val="0058326D"/>
    <w:rsid w:val="005846C4"/>
    <w:rsid w:val="00584915"/>
    <w:rsid w:val="00584F12"/>
    <w:rsid w:val="00585539"/>
    <w:rsid w:val="005856A9"/>
    <w:rsid w:val="00585C68"/>
    <w:rsid w:val="00586E08"/>
    <w:rsid w:val="00586F15"/>
    <w:rsid w:val="00587369"/>
    <w:rsid w:val="005905F1"/>
    <w:rsid w:val="005913AC"/>
    <w:rsid w:val="00591B4E"/>
    <w:rsid w:val="00591BF7"/>
    <w:rsid w:val="00592455"/>
    <w:rsid w:val="00592979"/>
    <w:rsid w:val="00592E04"/>
    <w:rsid w:val="00592E63"/>
    <w:rsid w:val="005944EF"/>
    <w:rsid w:val="005949C5"/>
    <w:rsid w:val="0059513E"/>
    <w:rsid w:val="005954E9"/>
    <w:rsid w:val="005967C2"/>
    <w:rsid w:val="00596ECA"/>
    <w:rsid w:val="00596F76"/>
    <w:rsid w:val="005970F9"/>
    <w:rsid w:val="00597DEE"/>
    <w:rsid w:val="005A0495"/>
    <w:rsid w:val="005A075E"/>
    <w:rsid w:val="005A0863"/>
    <w:rsid w:val="005A12BE"/>
    <w:rsid w:val="005A12C5"/>
    <w:rsid w:val="005A18FF"/>
    <w:rsid w:val="005A1BFF"/>
    <w:rsid w:val="005A1DCF"/>
    <w:rsid w:val="005A491E"/>
    <w:rsid w:val="005A51E3"/>
    <w:rsid w:val="005A5C45"/>
    <w:rsid w:val="005A686F"/>
    <w:rsid w:val="005A6F53"/>
    <w:rsid w:val="005A7402"/>
    <w:rsid w:val="005A7418"/>
    <w:rsid w:val="005A75AE"/>
    <w:rsid w:val="005A7BD4"/>
    <w:rsid w:val="005B0DA5"/>
    <w:rsid w:val="005B0E5A"/>
    <w:rsid w:val="005B1874"/>
    <w:rsid w:val="005B1A2A"/>
    <w:rsid w:val="005B408B"/>
    <w:rsid w:val="005B48FF"/>
    <w:rsid w:val="005B5DCF"/>
    <w:rsid w:val="005B6B2B"/>
    <w:rsid w:val="005B6CD1"/>
    <w:rsid w:val="005C0E65"/>
    <w:rsid w:val="005C2591"/>
    <w:rsid w:val="005C298D"/>
    <w:rsid w:val="005C3262"/>
    <w:rsid w:val="005C33D0"/>
    <w:rsid w:val="005C4EB8"/>
    <w:rsid w:val="005C530B"/>
    <w:rsid w:val="005C5505"/>
    <w:rsid w:val="005C556B"/>
    <w:rsid w:val="005C643C"/>
    <w:rsid w:val="005C652D"/>
    <w:rsid w:val="005C669D"/>
    <w:rsid w:val="005C688C"/>
    <w:rsid w:val="005C78AA"/>
    <w:rsid w:val="005D0065"/>
    <w:rsid w:val="005D047B"/>
    <w:rsid w:val="005D17F1"/>
    <w:rsid w:val="005D3262"/>
    <w:rsid w:val="005D345C"/>
    <w:rsid w:val="005D3DDA"/>
    <w:rsid w:val="005D6851"/>
    <w:rsid w:val="005D7128"/>
    <w:rsid w:val="005D768A"/>
    <w:rsid w:val="005D7C5F"/>
    <w:rsid w:val="005E03A9"/>
    <w:rsid w:val="005E0531"/>
    <w:rsid w:val="005E0B59"/>
    <w:rsid w:val="005E3A5A"/>
    <w:rsid w:val="005E3BE0"/>
    <w:rsid w:val="005E3DE3"/>
    <w:rsid w:val="005E6853"/>
    <w:rsid w:val="005E7D21"/>
    <w:rsid w:val="005F1B32"/>
    <w:rsid w:val="005F1C91"/>
    <w:rsid w:val="005F33A5"/>
    <w:rsid w:val="005F3648"/>
    <w:rsid w:val="005F4765"/>
    <w:rsid w:val="005F6939"/>
    <w:rsid w:val="005F7EB1"/>
    <w:rsid w:val="00600D4D"/>
    <w:rsid w:val="00600FDC"/>
    <w:rsid w:val="00601636"/>
    <w:rsid w:val="00601B6F"/>
    <w:rsid w:val="006033D5"/>
    <w:rsid w:val="0060361F"/>
    <w:rsid w:val="00604383"/>
    <w:rsid w:val="006044F1"/>
    <w:rsid w:val="00604C15"/>
    <w:rsid w:val="0060569C"/>
    <w:rsid w:val="006059D1"/>
    <w:rsid w:val="00607B5E"/>
    <w:rsid w:val="00607FAD"/>
    <w:rsid w:val="006100BE"/>
    <w:rsid w:val="0061091C"/>
    <w:rsid w:val="006119BC"/>
    <w:rsid w:val="00613282"/>
    <w:rsid w:val="00613963"/>
    <w:rsid w:val="006147E2"/>
    <w:rsid w:val="00614BE0"/>
    <w:rsid w:val="006158D5"/>
    <w:rsid w:val="00617B20"/>
    <w:rsid w:val="00620C8D"/>
    <w:rsid w:val="00625D83"/>
    <w:rsid w:val="006278EC"/>
    <w:rsid w:val="00630834"/>
    <w:rsid w:val="006311BA"/>
    <w:rsid w:val="006312CC"/>
    <w:rsid w:val="00631EB5"/>
    <w:rsid w:val="00633CA0"/>
    <w:rsid w:val="006354B2"/>
    <w:rsid w:val="00637DA2"/>
    <w:rsid w:val="00640272"/>
    <w:rsid w:val="0064039E"/>
    <w:rsid w:val="00640571"/>
    <w:rsid w:val="00640C7B"/>
    <w:rsid w:val="00641177"/>
    <w:rsid w:val="006421C0"/>
    <w:rsid w:val="00642F0B"/>
    <w:rsid w:val="006456E9"/>
    <w:rsid w:val="00645848"/>
    <w:rsid w:val="00645D13"/>
    <w:rsid w:val="0065053E"/>
    <w:rsid w:val="0065114B"/>
    <w:rsid w:val="0065189A"/>
    <w:rsid w:val="00651D80"/>
    <w:rsid w:val="00654537"/>
    <w:rsid w:val="00654812"/>
    <w:rsid w:val="0065499D"/>
    <w:rsid w:val="006554F0"/>
    <w:rsid w:val="00655730"/>
    <w:rsid w:val="0065722E"/>
    <w:rsid w:val="00657FFC"/>
    <w:rsid w:val="006623E7"/>
    <w:rsid w:val="00662B80"/>
    <w:rsid w:val="0066437D"/>
    <w:rsid w:val="00664507"/>
    <w:rsid w:val="00665240"/>
    <w:rsid w:val="006654D3"/>
    <w:rsid w:val="006670E2"/>
    <w:rsid w:val="00667294"/>
    <w:rsid w:val="00670DCE"/>
    <w:rsid w:val="00670F6C"/>
    <w:rsid w:val="00673103"/>
    <w:rsid w:val="0067431C"/>
    <w:rsid w:val="00675123"/>
    <w:rsid w:val="006752CD"/>
    <w:rsid w:val="00675907"/>
    <w:rsid w:val="00677513"/>
    <w:rsid w:val="00680390"/>
    <w:rsid w:val="006804DE"/>
    <w:rsid w:val="006805FF"/>
    <w:rsid w:val="006808DE"/>
    <w:rsid w:val="00682400"/>
    <w:rsid w:val="00682EFA"/>
    <w:rsid w:val="0068325E"/>
    <w:rsid w:val="006846B4"/>
    <w:rsid w:val="00684804"/>
    <w:rsid w:val="00684815"/>
    <w:rsid w:val="00684BB6"/>
    <w:rsid w:val="006852C7"/>
    <w:rsid w:val="006852CE"/>
    <w:rsid w:val="0068589B"/>
    <w:rsid w:val="00685D7D"/>
    <w:rsid w:val="006866A7"/>
    <w:rsid w:val="00686CB5"/>
    <w:rsid w:val="00687590"/>
    <w:rsid w:val="00687A47"/>
    <w:rsid w:val="0069012C"/>
    <w:rsid w:val="00690BF9"/>
    <w:rsid w:val="00692A74"/>
    <w:rsid w:val="0069348C"/>
    <w:rsid w:val="0069386A"/>
    <w:rsid w:val="006945DC"/>
    <w:rsid w:val="006958D5"/>
    <w:rsid w:val="00695DFD"/>
    <w:rsid w:val="006972C8"/>
    <w:rsid w:val="006975F6"/>
    <w:rsid w:val="006A151E"/>
    <w:rsid w:val="006A17D5"/>
    <w:rsid w:val="006A2E09"/>
    <w:rsid w:val="006A343D"/>
    <w:rsid w:val="006A3E8D"/>
    <w:rsid w:val="006A4B71"/>
    <w:rsid w:val="006A5DCD"/>
    <w:rsid w:val="006A71E4"/>
    <w:rsid w:val="006B0548"/>
    <w:rsid w:val="006B0EEB"/>
    <w:rsid w:val="006B16A5"/>
    <w:rsid w:val="006B1E36"/>
    <w:rsid w:val="006B2E5D"/>
    <w:rsid w:val="006B2EA5"/>
    <w:rsid w:val="006B473B"/>
    <w:rsid w:val="006B5434"/>
    <w:rsid w:val="006B74EE"/>
    <w:rsid w:val="006C1727"/>
    <w:rsid w:val="006C1C52"/>
    <w:rsid w:val="006C1EFF"/>
    <w:rsid w:val="006C2AA7"/>
    <w:rsid w:val="006C32FD"/>
    <w:rsid w:val="006C39CE"/>
    <w:rsid w:val="006C3C7F"/>
    <w:rsid w:val="006C4AB7"/>
    <w:rsid w:val="006C6153"/>
    <w:rsid w:val="006C6C1A"/>
    <w:rsid w:val="006C79ED"/>
    <w:rsid w:val="006C7ECE"/>
    <w:rsid w:val="006D0FCC"/>
    <w:rsid w:val="006D1078"/>
    <w:rsid w:val="006D1874"/>
    <w:rsid w:val="006D1D2D"/>
    <w:rsid w:val="006D3808"/>
    <w:rsid w:val="006D51AC"/>
    <w:rsid w:val="006D51AF"/>
    <w:rsid w:val="006D6C16"/>
    <w:rsid w:val="006D6CFF"/>
    <w:rsid w:val="006D7387"/>
    <w:rsid w:val="006E038D"/>
    <w:rsid w:val="006E0D8F"/>
    <w:rsid w:val="006E160D"/>
    <w:rsid w:val="006E1FC3"/>
    <w:rsid w:val="006E2013"/>
    <w:rsid w:val="006E32F2"/>
    <w:rsid w:val="006E44F6"/>
    <w:rsid w:val="006E56C7"/>
    <w:rsid w:val="006E7F13"/>
    <w:rsid w:val="006F1429"/>
    <w:rsid w:val="006F1978"/>
    <w:rsid w:val="006F3524"/>
    <w:rsid w:val="006F40C8"/>
    <w:rsid w:val="006F52B1"/>
    <w:rsid w:val="006F74B1"/>
    <w:rsid w:val="00700E40"/>
    <w:rsid w:val="00701314"/>
    <w:rsid w:val="00701B56"/>
    <w:rsid w:val="00701B95"/>
    <w:rsid w:val="007031D0"/>
    <w:rsid w:val="00703736"/>
    <w:rsid w:val="007056C4"/>
    <w:rsid w:val="007060BB"/>
    <w:rsid w:val="0070616B"/>
    <w:rsid w:val="00706FDA"/>
    <w:rsid w:val="0070769A"/>
    <w:rsid w:val="00710C78"/>
    <w:rsid w:val="00711BA4"/>
    <w:rsid w:val="00711BDE"/>
    <w:rsid w:val="00711F9A"/>
    <w:rsid w:val="00712D2A"/>
    <w:rsid w:val="00712FAB"/>
    <w:rsid w:val="00713540"/>
    <w:rsid w:val="00713810"/>
    <w:rsid w:val="0071441D"/>
    <w:rsid w:val="00714D82"/>
    <w:rsid w:val="007154ED"/>
    <w:rsid w:val="0071576A"/>
    <w:rsid w:val="00716BF9"/>
    <w:rsid w:val="007173E4"/>
    <w:rsid w:val="00717FFB"/>
    <w:rsid w:val="00720BE2"/>
    <w:rsid w:val="00720DB8"/>
    <w:rsid w:val="00721E3D"/>
    <w:rsid w:val="007221B2"/>
    <w:rsid w:val="007229E1"/>
    <w:rsid w:val="007233FA"/>
    <w:rsid w:val="00724471"/>
    <w:rsid w:val="007245A0"/>
    <w:rsid w:val="0072505B"/>
    <w:rsid w:val="00725AD7"/>
    <w:rsid w:val="00726447"/>
    <w:rsid w:val="007270E3"/>
    <w:rsid w:val="00727607"/>
    <w:rsid w:val="007303A5"/>
    <w:rsid w:val="00730741"/>
    <w:rsid w:val="00730B3E"/>
    <w:rsid w:val="00730EF9"/>
    <w:rsid w:val="00731E8F"/>
    <w:rsid w:val="00732EDC"/>
    <w:rsid w:val="0073363A"/>
    <w:rsid w:val="00733665"/>
    <w:rsid w:val="00733A96"/>
    <w:rsid w:val="0073420B"/>
    <w:rsid w:val="007345D5"/>
    <w:rsid w:val="00734EC3"/>
    <w:rsid w:val="007358F5"/>
    <w:rsid w:val="007379ED"/>
    <w:rsid w:val="007402E1"/>
    <w:rsid w:val="007422F8"/>
    <w:rsid w:val="00743153"/>
    <w:rsid w:val="007442E8"/>
    <w:rsid w:val="00744CB9"/>
    <w:rsid w:val="00745002"/>
    <w:rsid w:val="00745952"/>
    <w:rsid w:val="007459EF"/>
    <w:rsid w:val="00745D8E"/>
    <w:rsid w:val="00747382"/>
    <w:rsid w:val="0074760E"/>
    <w:rsid w:val="00747ABC"/>
    <w:rsid w:val="0075080C"/>
    <w:rsid w:val="00750BE5"/>
    <w:rsid w:val="0075174D"/>
    <w:rsid w:val="00752660"/>
    <w:rsid w:val="00752D9F"/>
    <w:rsid w:val="007535B3"/>
    <w:rsid w:val="00754ABA"/>
    <w:rsid w:val="00754C4A"/>
    <w:rsid w:val="00755A6F"/>
    <w:rsid w:val="00756AF5"/>
    <w:rsid w:val="00756B65"/>
    <w:rsid w:val="0076083E"/>
    <w:rsid w:val="00760D5C"/>
    <w:rsid w:val="00761539"/>
    <w:rsid w:val="0076275E"/>
    <w:rsid w:val="00762C85"/>
    <w:rsid w:val="00762D08"/>
    <w:rsid w:val="00763C2E"/>
    <w:rsid w:val="007642A6"/>
    <w:rsid w:val="00764AE1"/>
    <w:rsid w:val="00764C03"/>
    <w:rsid w:val="0076543C"/>
    <w:rsid w:val="00765AC4"/>
    <w:rsid w:val="0076709F"/>
    <w:rsid w:val="007677D6"/>
    <w:rsid w:val="00767DAB"/>
    <w:rsid w:val="00770888"/>
    <w:rsid w:val="00771AAA"/>
    <w:rsid w:val="00772738"/>
    <w:rsid w:val="007730B6"/>
    <w:rsid w:val="00773487"/>
    <w:rsid w:val="00774A8F"/>
    <w:rsid w:val="0077641E"/>
    <w:rsid w:val="007770E4"/>
    <w:rsid w:val="0078103F"/>
    <w:rsid w:val="007825AF"/>
    <w:rsid w:val="00783056"/>
    <w:rsid w:val="00785B63"/>
    <w:rsid w:val="00785F0F"/>
    <w:rsid w:val="007861AE"/>
    <w:rsid w:val="007908E5"/>
    <w:rsid w:val="007921CA"/>
    <w:rsid w:val="007939F4"/>
    <w:rsid w:val="007940A6"/>
    <w:rsid w:val="00794D6E"/>
    <w:rsid w:val="007971A6"/>
    <w:rsid w:val="00797C16"/>
    <w:rsid w:val="00797E28"/>
    <w:rsid w:val="007A0517"/>
    <w:rsid w:val="007A0F1B"/>
    <w:rsid w:val="007A109B"/>
    <w:rsid w:val="007A1546"/>
    <w:rsid w:val="007A1FEF"/>
    <w:rsid w:val="007A228C"/>
    <w:rsid w:val="007A338F"/>
    <w:rsid w:val="007A368E"/>
    <w:rsid w:val="007A4D00"/>
    <w:rsid w:val="007A4E6A"/>
    <w:rsid w:val="007A5868"/>
    <w:rsid w:val="007A597B"/>
    <w:rsid w:val="007A5CAA"/>
    <w:rsid w:val="007A5E9F"/>
    <w:rsid w:val="007A626E"/>
    <w:rsid w:val="007B04CE"/>
    <w:rsid w:val="007B2FD5"/>
    <w:rsid w:val="007B34BF"/>
    <w:rsid w:val="007B464B"/>
    <w:rsid w:val="007B4978"/>
    <w:rsid w:val="007B5C57"/>
    <w:rsid w:val="007B64C8"/>
    <w:rsid w:val="007B6871"/>
    <w:rsid w:val="007B72CD"/>
    <w:rsid w:val="007B7A2F"/>
    <w:rsid w:val="007B7CFE"/>
    <w:rsid w:val="007C0696"/>
    <w:rsid w:val="007C227C"/>
    <w:rsid w:val="007C3D33"/>
    <w:rsid w:val="007C4DB9"/>
    <w:rsid w:val="007C5199"/>
    <w:rsid w:val="007C68AC"/>
    <w:rsid w:val="007C6C2A"/>
    <w:rsid w:val="007D0FF8"/>
    <w:rsid w:val="007D1BEF"/>
    <w:rsid w:val="007D294A"/>
    <w:rsid w:val="007D304C"/>
    <w:rsid w:val="007D396F"/>
    <w:rsid w:val="007D3FBB"/>
    <w:rsid w:val="007D47D2"/>
    <w:rsid w:val="007D4B82"/>
    <w:rsid w:val="007D5AD1"/>
    <w:rsid w:val="007D6EC0"/>
    <w:rsid w:val="007D7B18"/>
    <w:rsid w:val="007D7D2B"/>
    <w:rsid w:val="007D7E1D"/>
    <w:rsid w:val="007E029B"/>
    <w:rsid w:val="007E06C6"/>
    <w:rsid w:val="007E1C0A"/>
    <w:rsid w:val="007E1C56"/>
    <w:rsid w:val="007E218D"/>
    <w:rsid w:val="007E21B1"/>
    <w:rsid w:val="007E2B3F"/>
    <w:rsid w:val="007E491A"/>
    <w:rsid w:val="007E4FBE"/>
    <w:rsid w:val="007E5E11"/>
    <w:rsid w:val="007E67AF"/>
    <w:rsid w:val="007F0CF3"/>
    <w:rsid w:val="007F194F"/>
    <w:rsid w:val="007F1A5E"/>
    <w:rsid w:val="007F1DB9"/>
    <w:rsid w:val="007F2268"/>
    <w:rsid w:val="007F25F1"/>
    <w:rsid w:val="007F3CA6"/>
    <w:rsid w:val="007F469C"/>
    <w:rsid w:val="007F4BC8"/>
    <w:rsid w:val="007F4FE9"/>
    <w:rsid w:val="007F56B4"/>
    <w:rsid w:val="007F5E41"/>
    <w:rsid w:val="007F5EC6"/>
    <w:rsid w:val="007F5F08"/>
    <w:rsid w:val="007F64E6"/>
    <w:rsid w:val="0080004F"/>
    <w:rsid w:val="008017B0"/>
    <w:rsid w:val="008024F6"/>
    <w:rsid w:val="00804334"/>
    <w:rsid w:val="00807AC4"/>
    <w:rsid w:val="00807F4C"/>
    <w:rsid w:val="00810265"/>
    <w:rsid w:val="00811496"/>
    <w:rsid w:val="0081164D"/>
    <w:rsid w:val="00811D38"/>
    <w:rsid w:val="0081296B"/>
    <w:rsid w:val="008131E9"/>
    <w:rsid w:val="00813B62"/>
    <w:rsid w:val="008149FD"/>
    <w:rsid w:val="00814DFC"/>
    <w:rsid w:val="00815B8E"/>
    <w:rsid w:val="00816285"/>
    <w:rsid w:val="00816A5F"/>
    <w:rsid w:val="00820310"/>
    <w:rsid w:val="0082033B"/>
    <w:rsid w:val="008203AB"/>
    <w:rsid w:val="00820703"/>
    <w:rsid w:val="0082140D"/>
    <w:rsid w:val="00821E69"/>
    <w:rsid w:val="00822BB6"/>
    <w:rsid w:val="00823B3B"/>
    <w:rsid w:val="00824567"/>
    <w:rsid w:val="00824790"/>
    <w:rsid w:val="008249BB"/>
    <w:rsid w:val="008257F0"/>
    <w:rsid w:val="00825B02"/>
    <w:rsid w:val="0082708F"/>
    <w:rsid w:val="008274A0"/>
    <w:rsid w:val="00827C0D"/>
    <w:rsid w:val="008318EC"/>
    <w:rsid w:val="00831979"/>
    <w:rsid w:val="00831F40"/>
    <w:rsid w:val="00832795"/>
    <w:rsid w:val="0083384A"/>
    <w:rsid w:val="00833BB0"/>
    <w:rsid w:val="00833C03"/>
    <w:rsid w:val="00834009"/>
    <w:rsid w:val="00834D22"/>
    <w:rsid w:val="00835BA2"/>
    <w:rsid w:val="00836DEA"/>
    <w:rsid w:val="00836FE8"/>
    <w:rsid w:val="008403D4"/>
    <w:rsid w:val="00840DE2"/>
    <w:rsid w:val="00841036"/>
    <w:rsid w:val="00841337"/>
    <w:rsid w:val="0084143F"/>
    <w:rsid w:val="008415A2"/>
    <w:rsid w:val="00841E5E"/>
    <w:rsid w:val="00842B72"/>
    <w:rsid w:val="00842C00"/>
    <w:rsid w:val="0084410B"/>
    <w:rsid w:val="008444C7"/>
    <w:rsid w:val="008456EF"/>
    <w:rsid w:val="00845B63"/>
    <w:rsid w:val="008460AF"/>
    <w:rsid w:val="00846D69"/>
    <w:rsid w:val="00850091"/>
    <w:rsid w:val="00851352"/>
    <w:rsid w:val="00851778"/>
    <w:rsid w:val="008525D7"/>
    <w:rsid w:val="008528E2"/>
    <w:rsid w:val="00853A6A"/>
    <w:rsid w:val="00853A73"/>
    <w:rsid w:val="00854CD1"/>
    <w:rsid w:val="00855C81"/>
    <w:rsid w:val="0085609C"/>
    <w:rsid w:val="0085734D"/>
    <w:rsid w:val="00857A13"/>
    <w:rsid w:val="00860322"/>
    <w:rsid w:val="00861230"/>
    <w:rsid w:val="008613F5"/>
    <w:rsid w:val="00861A20"/>
    <w:rsid w:val="00861D0A"/>
    <w:rsid w:val="00862579"/>
    <w:rsid w:val="00862A81"/>
    <w:rsid w:val="0086301B"/>
    <w:rsid w:val="00863230"/>
    <w:rsid w:val="008647F5"/>
    <w:rsid w:val="00865DE0"/>
    <w:rsid w:val="00866216"/>
    <w:rsid w:val="00870651"/>
    <w:rsid w:val="0087156B"/>
    <w:rsid w:val="008717D8"/>
    <w:rsid w:val="0087215C"/>
    <w:rsid w:val="00872DDD"/>
    <w:rsid w:val="00875AB5"/>
    <w:rsid w:val="00880CC1"/>
    <w:rsid w:val="00880E35"/>
    <w:rsid w:val="0088270F"/>
    <w:rsid w:val="008828A2"/>
    <w:rsid w:val="00883989"/>
    <w:rsid w:val="00883CA2"/>
    <w:rsid w:val="00884132"/>
    <w:rsid w:val="00885B77"/>
    <w:rsid w:val="00885C72"/>
    <w:rsid w:val="008875FE"/>
    <w:rsid w:val="00887F8E"/>
    <w:rsid w:val="00892486"/>
    <w:rsid w:val="0089322D"/>
    <w:rsid w:val="0089324F"/>
    <w:rsid w:val="00894766"/>
    <w:rsid w:val="008951B1"/>
    <w:rsid w:val="00896234"/>
    <w:rsid w:val="008973AC"/>
    <w:rsid w:val="008973BD"/>
    <w:rsid w:val="00897ACA"/>
    <w:rsid w:val="00897E43"/>
    <w:rsid w:val="008A1720"/>
    <w:rsid w:val="008A1C09"/>
    <w:rsid w:val="008A1C32"/>
    <w:rsid w:val="008A1E37"/>
    <w:rsid w:val="008A7866"/>
    <w:rsid w:val="008B0432"/>
    <w:rsid w:val="008B15D4"/>
    <w:rsid w:val="008B25C5"/>
    <w:rsid w:val="008B277C"/>
    <w:rsid w:val="008B2E22"/>
    <w:rsid w:val="008B3BC7"/>
    <w:rsid w:val="008B5029"/>
    <w:rsid w:val="008C09B3"/>
    <w:rsid w:val="008C1351"/>
    <w:rsid w:val="008C189B"/>
    <w:rsid w:val="008C2677"/>
    <w:rsid w:val="008C386A"/>
    <w:rsid w:val="008C44AB"/>
    <w:rsid w:val="008C5422"/>
    <w:rsid w:val="008C5520"/>
    <w:rsid w:val="008C5738"/>
    <w:rsid w:val="008C63A2"/>
    <w:rsid w:val="008C6DFC"/>
    <w:rsid w:val="008C7805"/>
    <w:rsid w:val="008C7EAD"/>
    <w:rsid w:val="008D08DA"/>
    <w:rsid w:val="008D0CFE"/>
    <w:rsid w:val="008D12F8"/>
    <w:rsid w:val="008D1AE7"/>
    <w:rsid w:val="008D288C"/>
    <w:rsid w:val="008D301F"/>
    <w:rsid w:val="008D3375"/>
    <w:rsid w:val="008D37D9"/>
    <w:rsid w:val="008D454A"/>
    <w:rsid w:val="008D5803"/>
    <w:rsid w:val="008D6152"/>
    <w:rsid w:val="008D6B25"/>
    <w:rsid w:val="008D74F6"/>
    <w:rsid w:val="008D76A6"/>
    <w:rsid w:val="008D776D"/>
    <w:rsid w:val="008E0416"/>
    <w:rsid w:val="008E1001"/>
    <w:rsid w:val="008E2990"/>
    <w:rsid w:val="008E3096"/>
    <w:rsid w:val="008E379B"/>
    <w:rsid w:val="008E509D"/>
    <w:rsid w:val="008E5828"/>
    <w:rsid w:val="008E5C01"/>
    <w:rsid w:val="008E6768"/>
    <w:rsid w:val="008F0780"/>
    <w:rsid w:val="008F0F81"/>
    <w:rsid w:val="008F1A99"/>
    <w:rsid w:val="008F27BF"/>
    <w:rsid w:val="008F39F3"/>
    <w:rsid w:val="008F4492"/>
    <w:rsid w:val="008F4C51"/>
    <w:rsid w:val="008F4FD0"/>
    <w:rsid w:val="008F57B6"/>
    <w:rsid w:val="008F5F0E"/>
    <w:rsid w:val="008F7044"/>
    <w:rsid w:val="008F7519"/>
    <w:rsid w:val="00901D11"/>
    <w:rsid w:val="00901E38"/>
    <w:rsid w:val="00901FAF"/>
    <w:rsid w:val="0090217A"/>
    <w:rsid w:val="00904140"/>
    <w:rsid w:val="00904222"/>
    <w:rsid w:val="00904CBF"/>
    <w:rsid w:val="00904FE7"/>
    <w:rsid w:val="009050DC"/>
    <w:rsid w:val="00907B50"/>
    <w:rsid w:val="00911284"/>
    <w:rsid w:val="00911369"/>
    <w:rsid w:val="00913A15"/>
    <w:rsid w:val="00913D5B"/>
    <w:rsid w:val="009142EC"/>
    <w:rsid w:val="00914EE8"/>
    <w:rsid w:val="009150C0"/>
    <w:rsid w:val="009154C3"/>
    <w:rsid w:val="00920CDF"/>
    <w:rsid w:val="00920DE1"/>
    <w:rsid w:val="00920EB9"/>
    <w:rsid w:val="00921453"/>
    <w:rsid w:val="00923540"/>
    <w:rsid w:val="00923E3C"/>
    <w:rsid w:val="00926767"/>
    <w:rsid w:val="009268C5"/>
    <w:rsid w:val="00927199"/>
    <w:rsid w:val="0092724F"/>
    <w:rsid w:val="009275C4"/>
    <w:rsid w:val="00927633"/>
    <w:rsid w:val="00927D09"/>
    <w:rsid w:val="00930185"/>
    <w:rsid w:val="009318EC"/>
    <w:rsid w:val="009326BB"/>
    <w:rsid w:val="00932D56"/>
    <w:rsid w:val="00932F5A"/>
    <w:rsid w:val="00932FAA"/>
    <w:rsid w:val="00934EDA"/>
    <w:rsid w:val="009355EB"/>
    <w:rsid w:val="0093596E"/>
    <w:rsid w:val="00935B82"/>
    <w:rsid w:val="009361D5"/>
    <w:rsid w:val="00936784"/>
    <w:rsid w:val="00936865"/>
    <w:rsid w:val="009369F1"/>
    <w:rsid w:val="00937681"/>
    <w:rsid w:val="0094018C"/>
    <w:rsid w:val="00940D58"/>
    <w:rsid w:val="009428A4"/>
    <w:rsid w:val="00942DD0"/>
    <w:rsid w:val="00942E2D"/>
    <w:rsid w:val="00942FAB"/>
    <w:rsid w:val="00943286"/>
    <w:rsid w:val="009458FF"/>
    <w:rsid w:val="009463F1"/>
    <w:rsid w:val="009464D9"/>
    <w:rsid w:val="00946C81"/>
    <w:rsid w:val="00947EC5"/>
    <w:rsid w:val="009519FC"/>
    <w:rsid w:val="00952716"/>
    <w:rsid w:val="009537C5"/>
    <w:rsid w:val="0095444F"/>
    <w:rsid w:val="00954A6A"/>
    <w:rsid w:val="00954A76"/>
    <w:rsid w:val="009559EB"/>
    <w:rsid w:val="00955E67"/>
    <w:rsid w:val="00956228"/>
    <w:rsid w:val="009563BB"/>
    <w:rsid w:val="00956A69"/>
    <w:rsid w:val="00956AFB"/>
    <w:rsid w:val="00960E96"/>
    <w:rsid w:val="00962A27"/>
    <w:rsid w:val="0096330C"/>
    <w:rsid w:val="0096401A"/>
    <w:rsid w:val="009641DB"/>
    <w:rsid w:val="00964C1B"/>
    <w:rsid w:val="00965384"/>
    <w:rsid w:val="009655D6"/>
    <w:rsid w:val="009657E3"/>
    <w:rsid w:val="009659F4"/>
    <w:rsid w:val="00967DF4"/>
    <w:rsid w:val="00970D60"/>
    <w:rsid w:val="00973B5E"/>
    <w:rsid w:val="00974291"/>
    <w:rsid w:val="0097598C"/>
    <w:rsid w:val="0098066F"/>
    <w:rsid w:val="0098083E"/>
    <w:rsid w:val="00982F96"/>
    <w:rsid w:val="00983AC9"/>
    <w:rsid w:val="00984D0B"/>
    <w:rsid w:val="0098507E"/>
    <w:rsid w:val="0098675D"/>
    <w:rsid w:val="00986CF3"/>
    <w:rsid w:val="00987049"/>
    <w:rsid w:val="0098752A"/>
    <w:rsid w:val="009905FD"/>
    <w:rsid w:val="00990BE0"/>
    <w:rsid w:val="009910DA"/>
    <w:rsid w:val="0099172F"/>
    <w:rsid w:val="00991E2D"/>
    <w:rsid w:val="00991ED7"/>
    <w:rsid w:val="00992CBC"/>
    <w:rsid w:val="00994093"/>
    <w:rsid w:val="00994CCD"/>
    <w:rsid w:val="00994E5D"/>
    <w:rsid w:val="009960E5"/>
    <w:rsid w:val="00996B20"/>
    <w:rsid w:val="00996EAD"/>
    <w:rsid w:val="009A157E"/>
    <w:rsid w:val="009A1F08"/>
    <w:rsid w:val="009A2898"/>
    <w:rsid w:val="009A2985"/>
    <w:rsid w:val="009A2D3F"/>
    <w:rsid w:val="009A3360"/>
    <w:rsid w:val="009A338D"/>
    <w:rsid w:val="009A3751"/>
    <w:rsid w:val="009A3CF7"/>
    <w:rsid w:val="009A499A"/>
    <w:rsid w:val="009A64BA"/>
    <w:rsid w:val="009A6786"/>
    <w:rsid w:val="009A7ADC"/>
    <w:rsid w:val="009A7CC7"/>
    <w:rsid w:val="009B0955"/>
    <w:rsid w:val="009B17B5"/>
    <w:rsid w:val="009B20BD"/>
    <w:rsid w:val="009B31D2"/>
    <w:rsid w:val="009B3C21"/>
    <w:rsid w:val="009B4043"/>
    <w:rsid w:val="009B4BB5"/>
    <w:rsid w:val="009B51CD"/>
    <w:rsid w:val="009B52CC"/>
    <w:rsid w:val="009B545D"/>
    <w:rsid w:val="009B62DD"/>
    <w:rsid w:val="009B7769"/>
    <w:rsid w:val="009C0CBA"/>
    <w:rsid w:val="009C1103"/>
    <w:rsid w:val="009C19B7"/>
    <w:rsid w:val="009C1C67"/>
    <w:rsid w:val="009C20FF"/>
    <w:rsid w:val="009C2581"/>
    <w:rsid w:val="009C3ACD"/>
    <w:rsid w:val="009C5105"/>
    <w:rsid w:val="009C63DF"/>
    <w:rsid w:val="009C778D"/>
    <w:rsid w:val="009D037A"/>
    <w:rsid w:val="009D169A"/>
    <w:rsid w:val="009D236F"/>
    <w:rsid w:val="009D29F6"/>
    <w:rsid w:val="009D37DA"/>
    <w:rsid w:val="009D3854"/>
    <w:rsid w:val="009D4EED"/>
    <w:rsid w:val="009D564F"/>
    <w:rsid w:val="009D674C"/>
    <w:rsid w:val="009D7C51"/>
    <w:rsid w:val="009E0301"/>
    <w:rsid w:val="009E0EF4"/>
    <w:rsid w:val="009E12B2"/>
    <w:rsid w:val="009E196C"/>
    <w:rsid w:val="009E1DFF"/>
    <w:rsid w:val="009E4BE4"/>
    <w:rsid w:val="009E5097"/>
    <w:rsid w:val="009E5912"/>
    <w:rsid w:val="009E5B0A"/>
    <w:rsid w:val="009E5C91"/>
    <w:rsid w:val="009E6BD2"/>
    <w:rsid w:val="009F0C01"/>
    <w:rsid w:val="009F0E2B"/>
    <w:rsid w:val="009F13B1"/>
    <w:rsid w:val="009F13C5"/>
    <w:rsid w:val="009F205B"/>
    <w:rsid w:val="009F20FB"/>
    <w:rsid w:val="009F29EA"/>
    <w:rsid w:val="009F308E"/>
    <w:rsid w:val="009F31D0"/>
    <w:rsid w:val="009F36BF"/>
    <w:rsid w:val="009F583C"/>
    <w:rsid w:val="009F6AF8"/>
    <w:rsid w:val="009F6F22"/>
    <w:rsid w:val="009F764A"/>
    <w:rsid w:val="00A002F1"/>
    <w:rsid w:val="00A0067B"/>
    <w:rsid w:val="00A02202"/>
    <w:rsid w:val="00A03C8D"/>
    <w:rsid w:val="00A042A2"/>
    <w:rsid w:val="00A04B61"/>
    <w:rsid w:val="00A066D8"/>
    <w:rsid w:val="00A111B6"/>
    <w:rsid w:val="00A11281"/>
    <w:rsid w:val="00A11376"/>
    <w:rsid w:val="00A113CB"/>
    <w:rsid w:val="00A13121"/>
    <w:rsid w:val="00A13527"/>
    <w:rsid w:val="00A13A04"/>
    <w:rsid w:val="00A13B15"/>
    <w:rsid w:val="00A157F8"/>
    <w:rsid w:val="00A15801"/>
    <w:rsid w:val="00A16A22"/>
    <w:rsid w:val="00A170D1"/>
    <w:rsid w:val="00A179C5"/>
    <w:rsid w:val="00A179E6"/>
    <w:rsid w:val="00A20989"/>
    <w:rsid w:val="00A21901"/>
    <w:rsid w:val="00A23CDC"/>
    <w:rsid w:val="00A2547B"/>
    <w:rsid w:val="00A25C1E"/>
    <w:rsid w:val="00A25E9A"/>
    <w:rsid w:val="00A26AE6"/>
    <w:rsid w:val="00A26D27"/>
    <w:rsid w:val="00A26E71"/>
    <w:rsid w:val="00A27530"/>
    <w:rsid w:val="00A35D1B"/>
    <w:rsid w:val="00A376EE"/>
    <w:rsid w:val="00A37A15"/>
    <w:rsid w:val="00A40361"/>
    <w:rsid w:val="00A4063B"/>
    <w:rsid w:val="00A40FF2"/>
    <w:rsid w:val="00A41C26"/>
    <w:rsid w:val="00A42492"/>
    <w:rsid w:val="00A4282F"/>
    <w:rsid w:val="00A42A99"/>
    <w:rsid w:val="00A4303C"/>
    <w:rsid w:val="00A44171"/>
    <w:rsid w:val="00A45122"/>
    <w:rsid w:val="00A45DBF"/>
    <w:rsid w:val="00A4641B"/>
    <w:rsid w:val="00A46563"/>
    <w:rsid w:val="00A46BFE"/>
    <w:rsid w:val="00A46D06"/>
    <w:rsid w:val="00A46E8D"/>
    <w:rsid w:val="00A46FC2"/>
    <w:rsid w:val="00A479BE"/>
    <w:rsid w:val="00A5082C"/>
    <w:rsid w:val="00A5151A"/>
    <w:rsid w:val="00A518DC"/>
    <w:rsid w:val="00A5393E"/>
    <w:rsid w:val="00A54049"/>
    <w:rsid w:val="00A541A4"/>
    <w:rsid w:val="00A55EF9"/>
    <w:rsid w:val="00A561CA"/>
    <w:rsid w:val="00A56465"/>
    <w:rsid w:val="00A573A9"/>
    <w:rsid w:val="00A578E4"/>
    <w:rsid w:val="00A57E0A"/>
    <w:rsid w:val="00A6024E"/>
    <w:rsid w:val="00A6109E"/>
    <w:rsid w:val="00A6123A"/>
    <w:rsid w:val="00A621EA"/>
    <w:rsid w:val="00A648A2"/>
    <w:rsid w:val="00A64B3F"/>
    <w:rsid w:val="00A65461"/>
    <w:rsid w:val="00A664E3"/>
    <w:rsid w:val="00A669BC"/>
    <w:rsid w:val="00A66CB0"/>
    <w:rsid w:val="00A66F78"/>
    <w:rsid w:val="00A67291"/>
    <w:rsid w:val="00A6775B"/>
    <w:rsid w:val="00A67B7D"/>
    <w:rsid w:val="00A70471"/>
    <w:rsid w:val="00A70598"/>
    <w:rsid w:val="00A70A51"/>
    <w:rsid w:val="00A718E6"/>
    <w:rsid w:val="00A72A7F"/>
    <w:rsid w:val="00A73151"/>
    <w:rsid w:val="00A732E5"/>
    <w:rsid w:val="00A73DEC"/>
    <w:rsid w:val="00A75339"/>
    <w:rsid w:val="00A75B9F"/>
    <w:rsid w:val="00A75D0D"/>
    <w:rsid w:val="00A75E25"/>
    <w:rsid w:val="00A76354"/>
    <w:rsid w:val="00A7656B"/>
    <w:rsid w:val="00A768E3"/>
    <w:rsid w:val="00A76A22"/>
    <w:rsid w:val="00A775AE"/>
    <w:rsid w:val="00A777C1"/>
    <w:rsid w:val="00A80A04"/>
    <w:rsid w:val="00A80A60"/>
    <w:rsid w:val="00A816A2"/>
    <w:rsid w:val="00A8183C"/>
    <w:rsid w:val="00A823A3"/>
    <w:rsid w:val="00A823F6"/>
    <w:rsid w:val="00A82819"/>
    <w:rsid w:val="00A829F3"/>
    <w:rsid w:val="00A84231"/>
    <w:rsid w:val="00A8684A"/>
    <w:rsid w:val="00A87EB4"/>
    <w:rsid w:val="00A91DE1"/>
    <w:rsid w:val="00A927A6"/>
    <w:rsid w:val="00A934A2"/>
    <w:rsid w:val="00A93A52"/>
    <w:rsid w:val="00A93BBA"/>
    <w:rsid w:val="00A975E1"/>
    <w:rsid w:val="00AA06BE"/>
    <w:rsid w:val="00AA0A89"/>
    <w:rsid w:val="00AA1428"/>
    <w:rsid w:val="00AA16D3"/>
    <w:rsid w:val="00AA1710"/>
    <w:rsid w:val="00AA1C09"/>
    <w:rsid w:val="00AA29C4"/>
    <w:rsid w:val="00AA2EF1"/>
    <w:rsid w:val="00AA3B74"/>
    <w:rsid w:val="00AA6429"/>
    <w:rsid w:val="00AA6ED7"/>
    <w:rsid w:val="00AB0217"/>
    <w:rsid w:val="00AB17B0"/>
    <w:rsid w:val="00AB42E4"/>
    <w:rsid w:val="00AB4AFA"/>
    <w:rsid w:val="00AB551D"/>
    <w:rsid w:val="00AB5C2B"/>
    <w:rsid w:val="00AB7568"/>
    <w:rsid w:val="00AC01AA"/>
    <w:rsid w:val="00AC0532"/>
    <w:rsid w:val="00AC141C"/>
    <w:rsid w:val="00AC1942"/>
    <w:rsid w:val="00AC269E"/>
    <w:rsid w:val="00AC3647"/>
    <w:rsid w:val="00AC379A"/>
    <w:rsid w:val="00AC3A2C"/>
    <w:rsid w:val="00AC3D42"/>
    <w:rsid w:val="00AC4EA5"/>
    <w:rsid w:val="00AC4F72"/>
    <w:rsid w:val="00AC58E3"/>
    <w:rsid w:val="00AC5F97"/>
    <w:rsid w:val="00AC616E"/>
    <w:rsid w:val="00AC769A"/>
    <w:rsid w:val="00AC7700"/>
    <w:rsid w:val="00AC7F6B"/>
    <w:rsid w:val="00AD186A"/>
    <w:rsid w:val="00AD36D8"/>
    <w:rsid w:val="00AD45CD"/>
    <w:rsid w:val="00AD470B"/>
    <w:rsid w:val="00AD5572"/>
    <w:rsid w:val="00AD55BE"/>
    <w:rsid w:val="00AD58C9"/>
    <w:rsid w:val="00AD5A11"/>
    <w:rsid w:val="00AD70F0"/>
    <w:rsid w:val="00AE0EBB"/>
    <w:rsid w:val="00AE2DBD"/>
    <w:rsid w:val="00AE34AA"/>
    <w:rsid w:val="00AE3A6D"/>
    <w:rsid w:val="00AE63D8"/>
    <w:rsid w:val="00AE7103"/>
    <w:rsid w:val="00AE737B"/>
    <w:rsid w:val="00AE77AA"/>
    <w:rsid w:val="00AF0463"/>
    <w:rsid w:val="00AF256B"/>
    <w:rsid w:val="00AF2A57"/>
    <w:rsid w:val="00AF3A59"/>
    <w:rsid w:val="00AF58F4"/>
    <w:rsid w:val="00AF62E7"/>
    <w:rsid w:val="00AF6BEF"/>
    <w:rsid w:val="00AF741A"/>
    <w:rsid w:val="00AF79F1"/>
    <w:rsid w:val="00AF7E4E"/>
    <w:rsid w:val="00B01ADB"/>
    <w:rsid w:val="00B0344E"/>
    <w:rsid w:val="00B0397C"/>
    <w:rsid w:val="00B04161"/>
    <w:rsid w:val="00B056F9"/>
    <w:rsid w:val="00B05D29"/>
    <w:rsid w:val="00B069A3"/>
    <w:rsid w:val="00B10D28"/>
    <w:rsid w:val="00B111C8"/>
    <w:rsid w:val="00B11E3D"/>
    <w:rsid w:val="00B1294D"/>
    <w:rsid w:val="00B12D1E"/>
    <w:rsid w:val="00B12FBE"/>
    <w:rsid w:val="00B13B07"/>
    <w:rsid w:val="00B14B29"/>
    <w:rsid w:val="00B15DBF"/>
    <w:rsid w:val="00B15EDE"/>
    <w:rsid w:val="00B17A46"/>
    <w:rsid w:val="00B17E82"/>
    <w:rsid w:val="00B20836"/>
    <w:rsid w:val="00B208D7"/>
    <w:rsid w:val="00B20EAA"/>
    <w:rsid w:val="00B21D5E"/>
    <w:rsid w:val="00B22821"/>
    <w:rsid w:val="00B22E57"/>
    <w:rsid w:val="00B230BD"/>
    <w:rsid w:val="00B2346E"/>
    <w:rsid w:val="00B23E41"/>
    <w:rsid w:val="00B24AC0"/>
    <w:rsid w:val="00B259AF"/>
    <w:rsid w:val="00B25B31"/>
    <w:rsid w:val="00B26638"/>
    <w:rsid w:val="00B27A0A"/>
    <w:rsid w:val="00B27F29"/>
    <w:rsid w:val="00B3181A"/>
    <w:rsid w:val="00B31CDB"/>
    <w:rsid w:val="00B328A5"/>
    <w:rsid w:val="00B33937"/>
    <w:rsid w:val="00B349A8"/>
    <w:rsid w:val="00B3593F"/>
    <w:rsid w:val="00B37660"/>
    <w:rsid w:val="00B37A4C"/>
    <w:rsid w:val="00B401FA"/>
    <w:rsid w:val="00B41201"/>
    <w:rsid w:val="00B41C42"/>
    <w:rsid w:val="00B4309B"/>
    <w:rsid w:val="00B4338E"/>
    <w:rsid w:val="00B45565"/>
    <w:rsid w:val="00B4575A"/>
    <w:rsid w:val="00B462E7"/>
    <w:rsid w:val="00B47E53"/>
    <w:rsid w:val="00B51459"/>
    <w:rsid w:val="00B51EEB"/>
    <w:rsid w:val="00B52928"/>
    <w:rsid w:val="00B534CE"/>
    <w:rsid w:val="00B551FF"/>
    <w:rsid w:val="00B56728"/>
    <w:rsid w:val="00B575BA"/>
    <w:rsid w:val="00B578EF"/>
    <w:rsid w:val="00B57CB4"/>
    <w:rsid w:val="00B60824"/>
    <w:rsid w:val="00B608BD"/>
    <w:rsid w:val="00B61A08"/>
    <w:rsid w:val="00B62114"/>
    <w:rsid w:val="00B62300"/>
    <w:rsid w:val="00B62673"/>
    <w:rsid w:val="00B62DF3"/>
    <w:rsid w:val="00B642DF"/>
    <w:rsid w:val="00B65B9E"/>
    <w:rsid w:val="00B67914"/>
    <w:rsid w:val="00B70AFB"/>
    <w:rsid w:val="00B71BE1"/>
    <w:rsid w:val="00B72DFB"/>
    <w:rsid w:val="00B7425C"/>
    <w:rsid w:val="00B74C46"/>
    <w:rsid w:val="00B75710"/>
    <w:rsid w:val="00B76429"/>
    <w:rsid w:val="00B80B3A"/>
    <w:rsid w:val="00B80F1C"/>
    <w:rsid w:val="00B830DF"/>
    <w:rsid w:val="00B837B8"/>
    <w:rsid w:val="00B84342"/>
    <w:rsid w:val="00B85341"/>
    <w:rsid w:val="00B86CD8"/>
    <w:rsid w:val="00B86E1F"/>
    <w:rsid w:val="00B9086A"/>
    <w:rsid w:val="00B90E82"/>
    <w:rsid w:val="00B92E61"/>
    <w:rsid w:val="00B9334D"/>
    <w:rsid w:val="00B94091"/>
    <w:rsid w:val="00B94E0B"/>
    <w:rsid w:val="00B956D4"/>
    <w:rsid w:val="00B97345"/>
    <w:rsid w:val="00B97371"/>
    <w:rsid w:val="00B97446"/>
    <w:rsid w:val="00B97571"/>
    <w:rsid w:val="00B97F67"/>
    <w:rsid w:val="00BA0B5E"/>
    <w:rsid w:val="00BA0D47"/>
    <w:rsid w:val="00BA1CB7"/>
    <w:rsid w:val="00BA2228"/>
    <w:rsid w:val="00BA2F72"/>
    <w:rsid w:val="00BA32F6"/>
    <w:rsid w:val="00BA4529"/>
    <w:rsid w:val="00BA4D22"/>
    <w:rsid w:val="00BA4D5C"/>
    <w:rsid w:val="00BA51D6"/>
    <w:rsid w:val="00BA57AE"/>
    <w:rsid w:val="00BA58AC"/>
    <w:rsid w:val="00BA5A96"/>
    <w:rsid w:val="00BA63CB"/>
    <w:rsid w:val="00BA64ED"/>
    <w:rsid w:val="00BA7432"/>
    <w:rsid w:val="00BA79C4"/>
    <w:rsid w:val="00BB059A"/>
    <w:rsid w:val="00BB08C1"/>
    <w:rsid w:val="00BB0C56"/>
    <w:rsid w:val="00BB2090"/>
    <w:rsid w:val="00BB214E"/>
    <w:rsid w:val="00BB214F"/>
    <w:rsid w:val="00BB2767"/>
    <w:rsid w:val="00BB3F7E"/>
    <w:rsid w:val="00BB4305"/>
    <w:rsid w:val="00BB51C0"/>
    <w:rsid w:val="00BB539B"/>
    <w:rsid w:val="00BB6E25"/>
    <w:rsid w:val="00BB7BA9"/>
    <w:rsid w:val="00BC0447"/>
    <w:rsid w:val="00BC088C"/>
    <w:rsid w:val="00BC1AA0"/>
    <w:rsid w:val="00BC2495"/>
    <w:rsid w:val="00BC2A6B"/>
    <w:rsid w:val="00BC3F9A"/>
    <w:rsid w:val="00BC5599"/>
    <w:rsid w:val="00BC57EE"/>
    <w:rsid w:val="00BC597F"/>
    <w:rsid w:val="00BC5B3E"/>
    <w:rsid w:val="00BC7194"/>
    <w:rsid w:val="00BC7EB9"/>
    <w:rsid w:val="00BD2643"/>
    <w:rsid w:val="00BD2720"/>
    <w:rsid w:val="00BD29E2"/>
    <w:rsid w:val="00BD32DD"/>
    <w:rsid w:val="00BD5160"/>
    <w:rsid w:val="00BD550F"/>
    <w:rsid w:val="00BD56B1"/>
    <w:rsid w:val="00BD6558"/>
    <w:rsid w:val="00BD732E"/>
    <w:rsid w:val="00BD76CA"/>
    <w:rsid w:val="00BE093A"/>
    <w:rsid w:val="00BE09B5"/>
    <w:rsid w:val="00BE1E33"/>
    <w:rsid w:val="00BE5E3C"/>
    <w:rsid w:val="00BE5F5A"/>
    <w:rsid w:val="00BE74BA"/>
    <w:rsid w:val="00BF0CA6"/>
    <w:rsid w:val="00BF1224"/>
    <w:rsid w:val="00BF1A55"/>
    <w:rsid w:val="00BF1D4F"/>
    <w:rsid w:val="00BF26E4"/>
    <w:rsid w:val="00BF3022"/>
    <w:rsid w:val="00BF3214"/>
    <w:rsid w:val="00BF44D4"/>
    <w:rsid w:val="00BF5573"/>
    <w:rsid w:val="00BF5A9C"/>
    <w:rsid w:val="00C002E8"/>
    <w:rsid w:val="00C01439"/>
    <w:rsid w:val="00C01F08"/>
    <w:rsid w:val="00C04DA5"/>
    <w:rsid w:val="00C1145B"/>
    <w:rsid w:val="00C11559"/>
    <w:rsid w:val="00C1173C"/>
    <w:rsid w:val="00C11B88"/>
    <w:rsid w:val="00C11C40"/>
    <w:rsid w:val="00C13BFC"/>
    <w:rsid w:val="00C1475B"/>
    <w:rsid w:val="00C15867"/>
    <w:rsid w:val="00C15BF5"/>
    <w:rsid w:val="00C17956"/>
    <w:rsid w:val="00C20FCE"/>
    <w:rsid w:val="00C21B61"/>
    <w:rsid w:val="00C2275B"/>
    <w:rsid w:val="00C2296D"/>
    <w:rsid w:val="00C229DD"/>
    <w:rsid w:val="00C23155"/>
    <w:rsid w:val="00C23856"/>
    <w:rsid w:val="00C23C41"/>
    <w:rsid w:val="00C243D6"/>
    <w:rsid w:val="00C2482C"/>
    <w:rsid w:val="00C254A7"/>
    <w:rsid w:val="00C2751B"/>
    <w:rsid w:val="00C27535"/>
    <w:rsid w:val="00C27A4D"/>
    <w:rsid w:val="00C3071A"/>
    <w:rsid w:val="00C30F43"/>
    <w:rsid w:val="00C30FA6"/>
    <w:rsid w:val="00C31592"/>
    <w:rsid w:val="00C32192"/>
    <w:rsid w:val="00C33930"/>
    <w:rsid w:val="00C352B9"/>
    <w:rsid w:val="00C35D6A"/>
    <w:rsid w:val="00C36EBC"/>
    <w:rsid w:val="00C376F3"/>
    <w:rsid w:val="00C37F13"/>
    <w:rsid w:val="00C4027C"/>
    <w:rsid w:val="00C40C41"/>
    <w:rsid w:val="00C414C4"/>
    <w:rsid w:val="00C427A1"/>
    <w:rsid w:val="00C42CD7"/>
    <w:rsid w:val="00C42E43"/>
    <w:rsid w:val="00C435BA"/>
    <w:rsid w:val="00C43614"/>
    <w:rsid w:val="00C43A2E"/>
    <w:rsid w:val="00C44620"/>
    <w:rsid w:val="00C45885"/>
    <w:rsid w:val="00C46EA7"/>
    <w:rsid w:val="00C50F22"/>
    <w:rsid w:val="00C5186F"/>
    <w:rsid w:val="00C51DCC"/>
    <w:rsid w:val="00C51E5C"/>
    <w:rsid w:val="00C52E52"/>
    <w:rsid w:val="00C530A5"/>
    <w:rsid w:val="00C53196"/>
    <w:rsid w:val="00C544CF"/>
    <w:rsid w:val="00C5527D"/>
    <w:rsid w:val="00C555DE"/>
    <w:rsid w:val="00C558F8"/>
    <w:rsid w:val="00C55EB8"/>
    <w:rsid w:val="00C55F22"/>
    <w:rsid w:val="00C56F1D"/>
    <w:rsid w:val="00C57971"/>
    <w:rsid w:val="00C61052"/>
    <w:rsid w:val="00C626FC"/>
    <w:rsid w:val="00C62812"/>
    <w:rsid w:val="00C62A1F"/>
    <w:rsid w:val="00C63B5F"/>
    <w:rsid w:val="00C64304"/>
    <w:rsid w:val="00C64402"/>
    <w:rsid w:val="00C64505"/>
    <w:rsid w:val="00C6497D"/>
    <w:rsid w:val="00C64C0E"/>
    <w:rsid w:val="00C65BD7"/>
    <w:rsid w:val="00C66431"/>
    <w:rsid w:val="00C664E6"/>
    <w:rsid w:val="00C666F8"/>
    <w:rsid w:val="00C67FD5"/>
    <w:rsid w:val="00C7007A"/>
    <w:rsid w:val="00C711E9"/>
    <w:rsid w:val="00C7209F"/>
    <w:rsid w:val="00C741ED"/>
    <w:rsid w:val="00C74CCB"/>
    <w:rsid w:val="00C76BA4"/>
    <w:rsid w:val="00C772A9"/>
    <w:rsid w:val="00C805C3"/>
    <w:rsid w:val="00C8115F"/>
    <w:rsid w:val="00C81859"/>
    <w:rsid w:val="00C81F16"/>
    <w:rsid w:val="00C827B4"/>
    <w:rsid w:val="00C83151"/>
    <w:rsid w:val="00C83A48"/>
    <w:rsid w:val="00C844E0"/>
    <w:rsid w:val="00C8473E"/>
    <w:rsid w:val="00C8517F"/>
    <w:rsid w:val="00C8529B"/>
    <w:rsid w:val="00C85865"/>
    <w:rsid w:val="00C85E85"/>
    <w:rsid w:val="00C86EC2"/>
    <w:rsid w:val="00C87FAF"/>
    <w:rsid w:val="00C906CA"/>
    <w:rsid w:val="00C91101"/>
    <w:rsid w:val="00C929FD"/>
    <w:rsid w:val="00C92EFC"/>
    <w:rsid w:val="00C934CE"/>
    <w:rsid w:val="00C9586C"/>
    <w:rsid w:val="00C9785D"/>
    <w:rsid w:val="00C97DA2"/>
    <w:rsid w:val="00CA0204"/>
    <w:rsid w:val="00CA0240"/>
    <w:rsid w:val="00CA19DA"/>
    <w:rsid w:val="00CA1F02"/>
    <w:rsid w:val="00CA2C4F"/>
    <w:rsid w:val="00CA2EAE"/>
    <w:rsid w:val="00CA2FEF"/>
    <w:rsid w:val="00CA4857"/>
    <w:rsid w:val="00CA48B7"/>
    <w:rsid w:val="00CA4AC1"/>
    <w:rsid w:val="00CA5BC0"/>
    <w:rsid w:val="00CA6182"/>
    <w:rsid w:val="00CA78D7"/>
    <w:rsid w:val="00CA7EDE"/>
    <w:rsid w:val="00CB0316"/>
    <w:rsid w:val="00CB0692"/>
    <w:rsid w:val="00CB0B11"/>
    <w:rsid w:val="00CB35A4"/>
    <w:rsid w:val="00CB5354"/>
    <w:rsid w:val="00CB5635"/>
    <w:rsid w:val="00CB6E67"/>
    <w:rsid w:val="00CB7DB8"/>
    <w:rsid w:val="00CC0DC3"/>
    <w:rsid w:val="00CC1AFD"/>
    <w:rsid w:val="00CC1BAC"/>
    <w:rsid w:val="00CC299E"/>
    <w:rsid w:val="00CC2C93"/>
    <w:rsid w:val="00CC3F02"/>
    <w:rsid w:val="00CC48FE"/>
    <w:rsid w:val="00CC60F9"/>
    <w:rsid w:val="00CC6A14"/>
    <w:rsid w:val="00CC70A3"/>
    <w:rsid w:val="00CC7DFB"/>
    <w:rsid w:val="00CD145D"/>
    <w:rsid w:val="00CD20DF"/>
    <w:rsid w:val="00CD3791"/>
    <w:rsid w:val="00CD4442"/>
    <w:rsid w:val="00CD5092"/>
    <w:rsid w:val="00CD53C3"/>
    <w:rsid w:val="00CD574E"/>
    <w:rsid w:val="00CD6046"/>
    <w:rsid w:val="00CD736C"/>
    <w:rsid w:val="00CE1580"/>
    <w:rsid w:val="00CE2D88"/>
    <w:rsid w:val="00CE3176"/>
    <w:rsid w:val="00CE38AD"/>
    <w:rsid w:val="00CE40FF"/>
    <w:rsid w:val="00CE4C22"/>
    <w:rsid w:val="00CE57AB"/>
    <w:rsid w:val="00CE5B39"/>
    <w:rsid w:val="00CE630A"/>
    <w:rsid w:val="00CF11B1"/>
    <w:rsid w:val="00CF3303"/>
    <w:rsid w:val="00CF3470"/>
    <w:rsid w:val="00CF41EC"/>
    <w:rsid w:val="00CF4924"/>
    <w:rsid w:val="00CF4F0D"/>
    <w:rsid w:val="00CF53CE"/>
    <w:rsid w:val="00CF5D04"/>
    <w:rsid w:val="00CF6BE4"/>
    <w:rsid w:val="00CF7BF9"/>
    <w:rsid w:val="00D000E7"/>
    <w:rsid w:val="00D01728"/>
    <w:rsid w:val="00D026B1"/>
    <w:rsid w:val="00D04361"/>
    <w:rsid w:val="00D04DE4"/>
    <w:rsid w:val="00D05142"/>
    <w:rsid w:val="00D063F1"/>
    <w:rsid w:val="00D11320"/>
    <w:rsid w:val="00D114FD"/>
    <w:rsid w:val="00D11D2E"/>
    <w:rsid w:val="00D13CD0"/>
    <w:rsid w:val="00D145E5"/>
    <w:rsid w:val="00D14A98"/>
    <w:rsid w:val="00D14C25"/>
    <w:rsid w:val="00D14F22"/>
    <w:rsid w:val="00D154FD"/>
    <w:rsid w:val="00D1550A"/>
    <w:rsid w:val="00D1632B"/>
    <w:rsid w:val="00D17C0C"/>
    <w:rsid w:val="00D20505"/>
    <w:rsid w:val="00D20E9D"/>
    <w:rsid w:val="00D2115C"/>
    <w:rsid w:val="00D2140D"/>
    <w:rsid w:val="00D21E8D"/>
    <w:rsid w:val="00D231BB"/>
    <w:rsid w:val="00D25505"/>
    <w:rsid w:val="00D25C23"/>
    <w:rsid w:val="00D26379"/>
    <w:rsid w:val="00D27070"/>
    <w:rsid w:val="00D27B7D"/>
    <w:rsid w:val="00D308E5"/>
    <w:rsid w:val="00D30E5D"/>
    <w:rsid w:val="00D3242E"/>
    <w:rsid w:val="00D32E41"/>
    <w:rsid w:val="00D332AC"/>
    <w:rsid w:val="00D3430C"/>
    <w:rsid w:val="00D3447A"/>
    <w:rsid w:val="00D346B3"/>
    <w:rsid w:val="00D352E8"/>
    <w:rsid w:val="00D35EC9"/>
    <w:rsid w:val="00D3627D"/>
    <w:rsid w:val="00D36567"/>
    <w:rsid w:val="00D36970"/>
    <w:rsid w:val="00D37145"/>
    <w:rsid w:val="00D37A47"/>
    <w:rsid w:val="00D40F59"/>
    <w:rsid w:val="00D4299D"/>
    <w:rsid w:val="00D441F0"/>
    <w:rsid w:val="00D464D3"/>
    <w:rsid w:val="00D4741C"/>
    <w:rsid w:val="00D477AE"/>
    <w:rsid w:val="00D47905"/>
    <w:rsid w:val="00D47F62"/>
    <w:rsid w:val="00D5098E"/>
    <w:rsid w:val="00D51352"/>
    <w:rsid w:val="00D5364F"/>
    <w:rsid w:val="00D57331"/>
    <w:rsid w:val="00D574DA"/>
    <w:rsid w:val="00D57918"/>
    <w:rsid w:val="00D57DA6"/>
    <w:rsid w:val="00D600F6"/>
    <w:rsid w:val="00D609A0"/>
    <w:rsid w:val="00D61474"/>
    <w:rsid w:val="00D61973"/>
    <w:rsid w:val="00D61A3A"/>
    <w:rsid w:val="00D624FB"/>
    <w:rsid w:val="00D62C6E"/>
    <w:rsid w:val="00D62CE8"/>
    <w:rsid w:val="00D62F58"/>
    <w:rsid w:val="00D63D15"/>
    <w:rsid w:val="00D64810"/>
    <w:rsid w:val="00D65B6D"/>
    <w:rsid w:val="00D66DC9"/>
    <w:rsid w:val="00D705BE"/>
    <w:rsid w:val="00D71E6A"/>
    <w:rsid w:val="00D73330"/>
    <w:rsid w:val="00D73452"/>
    <w:rsid w:val="00D73C7B"/>
    <w:rsid w:val="00D73DC6"/>
    <w:rsid w:val="00D74C1A"/>
    <w:rsid w:val="00D7510B"/>
    <w:rsid w:val="00D754C1"/>
    <w:rsid w:val="00D75B91"/>
    <w:rsid w:val="00D76161"/>
    <w:rsid w:val="00D76386"/>
    <w:rsid w:val="00D76CCA"/>
    <w:rsid w:val="00D76DC0"/>
    <w:rsid w:val="00D77393"/>
    <w:rsid w:val="00D77A35"/>
    <w:rsid w:val="00D77CE2"/>
    <w:rsid w:val="00D802AA"/>
    <w:rsid w:val="00D81B3E"/>
    <w:rsid w:val="00D82186"/>
    <w:rsid w:val="00D83A3E"/>
    <w:rsid w:val="00D83BF9"/>
    <w:rsid w:val="00D847AA"/>
    <w:rsid w:val="00D86594"/>
    <w:rsid w:val="00D90595"/>
    <w:rsid w:val="00D90C70"/>
    <w:rsid w:val="00D90E49"/>
    <w:rsid w:val="00D90F0F"/>
    <w:rsid w:val="00D910B0"/>
    <w:rsid w:val="00D91623"/>
    <w:rsid w:val="00D9192B"/>
    <w:rsid w:val="00D91DDF"/>
    <w:rsid w:val="00D92551"/>
    <w:rsid w:val="00D92790"/>
    <w:rsid w:val="00D935D6"/>
    <w:rsid w:val="00D93C61"/>
    <w:rsid w:val="00D942ED"/>
    <w:rsid w:val="00D94554"/>
    <w:rsid w:val="00D95A4F"/>
    <w:rsid w:val="00D96ADE"/>
    <w:rsid w:val="00D97C50"/>
    <w:rsid w:val="00DA0CE2"/>
    <w:rsid w:val="00DA1CDC"/>
    <w:rsid w:val="00DA28E1"/>
    <w:rsid w:val="00DA3504"/>
    <w:rsid w:val="00DA6049"/>
    <w:rsid w:val="00DA70A9"/>
    <w:rsid w:val="00DB06D9"/>
    <w:rsid w:val="00DB0F33"/>
    <w:rsid w:val="00DB1B07"/>
    <w:rsid w:val="00DB240A"/>
    <w:rsid w:val="00DB2895"/>
    <w:rsid w:val="00DB3497"/>
    <w:rsid w:val="00DB3C64"/>
    <w:rsid w:val="00DB3E33"/>
    <w:rsid w:val="00DB5B85"/>
    <w:rsid w:val="00DB5D44"/>
    <w:rsid w:val="00DB69C3"/>
    <w:rsid w:val="00DB6BAA"/>
    <w:rsid w:val="00DC02E1"/>
    <w:rsid w:val="00DC061C"/>
    <w:rsid w:val="00DC0717"/>
    <w:rsid w:val="00DC20F9"/>
    <w:rsid w:val="00DC259E"/>
    <w:rsid w:val="00DC3D00"/>
    <w:rsid w:val="00DC42CF"/>
    <w:rsid w:val="00DC4E0E"/>
    <w:rsid w:val="00DC6A10"/>
    <w:rsid w:val="00DD0D61"/>
    <w:rsid w:val="00DD17FC"/>
    <w:rsid w:val="00DD2791"/>
    <w:rsid w:val="00DD2CF8"/>
    <w:rsid w:val="00DD3B0A"/>
    <w:rsid w:val="00DD4A06"/>
    <w:rsid w:val="00DD5AC7"/>
    <w:rsid w:val="00DD5BF6"/>
    <w:rsid w:val="00DD5C83"/>
    <w:rsid w:val="00DD61BB"/>
    <w:rsid w:val="00DD687E"/>
    <w:rsid w:val="00DD6D01"/>
    <w:rsid w:val="00DD7CED"/>
    <w:rsid w:val="00DD7E17"/>
    <w:rsid w:val="00DE05ED"/>
    <w:rsid w:val="00DE131F"/>
    <w:rsid w:val="00DE2501"/>
    <w:rsid w:val="00DE280D"/>
    <w:rsid w:val="00DE370D"/>
    <w:rsid w:val="00DE5478"/>
    <w:rsid w:val="00DE657E"/>
    <w:rsid w:val="00DF0751"/>
    <w:rsid w:val="00DF0F7D"/>
    <w:rsid w:val="00DF17FA"/>
    <w:rsid w:val="00DF2079"/>
    <w:rsid w:val="00DF289E"/>
    <w:rsid w:val="00DF37E5"/>
    <w:rsid w:val="00DF3954"/>
    <w:rsid w:val="00DF3A22"/>
    <w:rsid w:val="00DF4704"/>
    <w:rsid w:val="00DF58D2"/>
    <w:rsid w:val="00DF5E0C"/>
    <w:rsid w:val="00DF6E5F"/>
    <w:rsid w:val="00DF7722"/>
    <w:rsid w:val="00DF776C"/>
    <w:rsid w:val="00DF7E30"/>
    <w:rsid w:val="00E009A3"/>
    <w:rsid w:val="00E022C4"/>
    <w:rsid w:val="00E024AA"/>
    <w:rsid w:val="00E03C6A"/>
    <w:rsid w:val="00E03EF9"/>
    <w:rsid w:val="00E03F12"/>
    <w:rsid w:val="00E05DDA"/>
    <w:rsid w:val="00E069F2"/>
    <w:rsid w:val="00E074D3"/>
    <w:rsid w:val="00E079D1"/>
    <w:rsid w:val="00E10B90"/>
    <w:rsid w:val="00E12739"/>
    <w:rsid w:val="00E1300E"/>
    <w:rsid w:val="00E14490"/>
    <w:rsid w:val="00E14514"/>
    <w:rsid w:val="00E1559F"/>
    <w:rsid w:val="00E17F7E"/>
    <w:rsid w:val="00E20ECE"/>
    <w:rsid w:val="00E21445"/>
    <w:rsid w:val="00E21572"/>
    <w:rsid w:val="00E224C2"/>
    <w:rsid w:val="00E23814"/>
    <w:rsid w:val="00E23AEF"/>
    <w:rsid w:val="00E23E44"/>
    <w:rsid w:val="00E250F1"/>
    <w:rsid w:val="00E2520E"/>
    <w:rsid w:val="00E253E7"/>
    <w:rsid w:val="00E25B53"/>
    <w:rsid w:val="00E25CF5"/>
    <w:rsid w:val="00E267A5"/>
    <w:rsid w:val="00E27910"/>
    <w:rsid w:val="00E30B5A"/>
    <w:rsid w:val="00E31477"/>
    <w:rsid w:val="00E3203A"/>
    <w:rsid w:val="00E33897"/>
    <w:rsid w:val="00E353E8"/>
    <w:rsid w:val="00E3550D"/>
    <w:rsid w:val="00E35B3A"/>
    <w:rsid w:val="00E35B93"/>
    <w:rsid w:val="00E35EA0"/>
    <w:rsid w:val="00E366F9"/>
    <w:rsid w:val="00E40FDC"/>
    <w:rsid w:val="00E41335"/>
    <w:rsid w:val="00E429AE"/>
    <w:rsid w:val="00E44707"/>
    <w:rsid w:val="00E44B1B"/>
    <w:rsid w:val="00E4557C"/>
    <w:rsid w:val="00E4574A"/>
    <w:rsid w:val="00E467BA"/>
    <w:rsid w:val="00E509C5"/>
    <w:rsid w:val="00E50B18"/>
    <w:rsid w:val="00E50F94"/>
    <w:rsid w:val="00E53808"/>
    <w:rsid w:val="00E54A6E"/>
    <w:rsid w:val="00E55ADE"/>
    <w:rsid w:val="00E5736C"/>
    <w:rsid w:val="00E60345"/>
    <w:rsid w:val="00E6095C"/>
    <w:rsid w:val="00E60E3F"/>
    <w:rsid w:val="00E60EF7"/>
    <w:rsid w:val="00E611AC"/>
    <w:rsid w:val="00E612C9"/>
    <w:rsid w:val="00E614E0"/>
    <w:rsid w:val="00E61F68"/>
    <w:rsid w:val="00E622F4"/>
    <w:rsid w:val="00E62543"/>
    <w:rsid w:val="00E6767B"/>
    <w:rsid w:val="00E67BB6"/>
    <w:rsid w:val="00E70416"/>
    <w:rsid w:val="00E70B56"/>
    <w:rsid w:val="00E71012"/>
    <w:rsid w:val="00E71E63"/>
    <w:rsid w:val="00E72A92"/>
    <w:rsid w:val="00E73007"/>
    <w:rsid w:val="00E731E7"/>
    <w:rsid w:val="00E73F7F"/>
    <w:rsid w:val="00E7419B"/>
    <w:rsid w:val="00E766C1"/>
    <w:rsid w:val="00E767FB"/>
    <w:rsid w:val="00E76EC8"/>
    <w:rsid w:val="00E77050"/>
    <w:rsid w:val="00E77110"/>
    <w:rsid w:val="00E778A4"/>
    <w:rsid w:val="00E8201A"/>
    <w:rsid w:val="00E83076"/>
    <w:rsid w:val="00E846CB"/>
    <w:rsid w:val="00E8497A"/>
    <w:rsid w:val="00E8520F"/>
    <w:rsid w:val="00E85409"/>
    <w:rsid w:val="00E857A2"/>
    <w:rsid w:val="00E9016F"/>
    <w:rsid w:val="00E909D6"/>
    <w:rsid w:val="00E90C51"/>
    <w:rsid w:val="00E91535"/>
    <w:rsid w:val="00E922A5"/>
    <w:rsid w:val="00E9268D"/>
    <w:rsid w:val="00E93D2B"/>
    <w:rsid w:val="00E949F3"/>
    <w:rsid w:val="00E951D7"/>
    <w:rsid w:val="00E95A5C"/>
    <w:rsid w:val="00E97634"/>
    <w:rsid w:val="00E97910"/>
    <w:rsid w:val="00E97A90"/>
    <w:rsid w:val="00EA05CE"/>
    <w:rsid w:val="00EA2B67"/>
    <w:rsid w:val="00EA429F"/>
    <w:rsid w:val="00EA4DA0"/>
    <w:rsid w:val="00EA4F9E"/>
    <w:rsid w:val="00EA5077"/>
    <w:rsid w:val="00EA5DE0"/>
    <w:rsid w:val="00EA63CA"/>
    <w:rsid w:val="00EA68BD"/>
    <w:rsid w:val="00EA6D3B"/>
    <w:rsid w:val="00EA7764"/>
    <w:rsid w:val="00EB00AD"/>
    <w:rsid w:val="00EB0685"/>
    <w:rsid w:val="00EB1310"/>
    <w:rsid w:val="00EB136C"/>
    <w:rsid w:val="00EB29A9"/>
    <w:rsid w:val="00EB2A16"/>
    <w:rsid w:val="00EB2A80"/>
    <w:rsid w:val="00EB3152"/>
    <w:rsid w:val="00EB3FDD"/>
    <w:rsid w:val="00EB43C3"/>
    <w:rsid w:val="00EB480E"/>
    <w:rsid w:val="00EB4D21"/>
    <w:rsid w:val="00EB5397"/>
    <w:rsid w:val="00EB5C6D"/>
    <w:rsid w:val="00EB5EC6"/>
    <w:rsid w:val="00EB643A"/>
    <w:rsid w:val="00EB760F"/>
    <w:rsid w:val="00EB7B79"/>
    <w:rsid w:val="00EB7FC9"/>
    <w:rsid w:val="00EC0B2D"/>
    <w:rsid w:val="00EC16A1"/>
    <w:rsid w:val="00EC2F8E"/>
    <w:rsid w:val="00EC34BF"/>
    <w:rsid w:val="00EC38A4"/>
    <w:rsid w:val="00EC3C96"/>
    <w:rsid w:val="00EC52C2"/>
    <w:rsid w:val="00EC5DF9"/>
    <w:rsid w:val="00ED0068"/>
    <w:rsid w:val="00ED0274"/>
    <w:rsid w:val="00ED1447"/>
    <w:rsid w:val="00ED152C"/>
    <w:rsid w:val="00ED27E8"/>
    <w:rsid w:val="00ED3A84"/>
    <w:rsid w:val="00ED3E59"/>
    <w:rsid w:val="00ED43E3"/>
    <w:rsid w:val="00ED5671"/>
    <w:rsid w:val="00ED5D93"/>
    <w:rsid w:val="00ED7137"/>
    <w:rsid w:val="00EE16D4"/>
    <w:rsid w:val="00EE1F35"/>
    <w:rsid w:val="00EE1F56"/>
    <w:rsid w:val="00EE20C3"/>
    <w:rsid w:val="00EE2A1C"/>
    <w:rsid w:val="00EE2F2E"/>
    <w:rsid w:val="00EE362D"/>
    <w:rsid w:val="00EE37B0"/>
    <w:rsid w:val="00EE4615"/>
    <w:rsid w:val="00EE55D4"/>
    <w:rsid w:val="00EE6276"/>
    <w:rsid w:val="00EE63CA"/>
    <w:rsid w:val="00EE663A"/>
    <w:rsid w:val="00EE66BA"/>
    <w:rsid w:val="00EE72B1"/>
    <w:rsid w:val="00EE7842"/>
    <w:rsid w:val="00EE7EA4"/>
    <w:rsid w:val="00EF01D1"/>
    <w:rsid w:val="00EF02AE"/>
    <w:rsid w:val="00EF03BE"/>
    <w:rsid w:val="00EF1FF3"/>
    <w:rsid w:val="00EF2824"/>
    <w:rsid w:val="00EF52AF"/>
    <w:rsid w:val="00EF6B28"/>
    <w:rsid w:val="00F00C0A"/>
    <w:rsid w:val="00F01087"/>
    <w:rsid w:val="00F0247B"/>
    <w:rsid w:val="00F02E4A"/>
    <w:rsid w:val="00F03872"/>
    <w:rsid w:val="00F03FF7"/>
    <w:rsid w:val="00F046D9"/>
    <w:rsid w:val="00F05AEE"/>
    <w:rsid w:val="00F06D94"/>
    <w:rsid w:val="00F07213"/>
    <w:rsid w:val="00F07214"/>
    <w:rsid w:val="00F07DF3"/>
    <w:rsid w:val="00F10413"/>
    <w:rsid w:val="00F11908"/>
    <w:rsid w:val="00F1264C"/>
    <w:rsid w:val="00F12764"/>
    <w:rsid w:val="00F129FD"/>
    <w:rsid w:val="00F12E72"/>
    <w:rsid w:val="00F13601"/>
    <w:rsid w:val="00F140F3"/>
    <w:rsid w:val="00F14168"/>
    <w:rsid w:val="00F14853"/>
    <w:rsid w:val="00F15948"/>
    <w:rsid w:val="00F16B7E"/>
    <w:rsid w:val="00F201D0"/>
    <w:rsid w:val="00F20A97"/>
    <w:rsid w:val="00F20E02"/>
    <w:rsid w:val="00F21088"/>
    <w:rsid w:val="00F21520"/>
    <w:rsid w:val="00F2224E"/>
    <w:rsid w:val="00F2243D"/>
    <w:rsid w:val="00F2588A"/>
    <w:rsid w:val="00F25D4B"/>
    <w:rsid w:val="00F268BE"/>
    <w:rsid w:val="00F26E2B"/>
    <w:rsid w:val="00F271B3"/>
    <w:rsid w:val="00F27418"/>
    <w:rsid w:val="00F27DBD"/>
    <w:rsid w:val="00F31957"/>
    <w:rsid w:val="00F31E35"/>
    <w:rsid w:val="00F32466"/>
    <w:rsid w:val="00F327E7"/>
    <w:rsid w:val="00F339D3"/>
    <w:rsid w:val="00F33CF1"/>
    <w:rsid w:val="00F35602"/>
    <w:rsid w:val="00F35746"/>
    <w:rsid w:val="00F3694A"/>
    <w:rsid w:val="00F36E7A"/>
    <w:rsid w:val="00F36F90"/>
    <w:rsid w:val="00F37106"/>
    <w:rsid w:val="00F372CB"/>
    <w:rsid w:val="00F378EA"/>
    <w:rsid w:val="00F4040F"/>
    <w:rsid w:val="00F40920"/>
    <w:rsid w:val="00F40A0C"/>
    <w:rsid w:val="00F4165D"/>
    <w:rsid w:val="00F421AF"/>
    <w:rsid w:val="00F429E7"/>
    <w:rsid w:val="00F447C7"/>
    <w:rsid w:val="00F44F39"/>
    <w:rsid w:val="00F45391"/>
    <w:rsid w:val="00F46944"/>
    <w:rsid w:val="00F475AB"/>
    <w:rsid w:val="00F50506"/>
    <w:rsid w:val="00F51ECE"/>
    <w:rsid w:val="00F5211B"/>
    <w:rsid w:val="00F521FB"/>
    <w:rsid w:val="00F554A9"/>
    <w:rsid w:val="00F560C3"/>
    <w:rsid w:val="00F562BB"/>
    <w:rsid w:val="00F57A2E"/>
    <w:rsid w:val="00F57D36"/>
    <w:rsid w:val="00F60B42"/>
    <w:rsid w:val="00F60BFA"/>
    <w:rsid w:val="00F60E30"/>
    <w:rsid w:val="00F61C2F"/>
    <w:rsid w:val="00F61D82"/>
    <w:rsid w:val="00F63B47"/>
    <w:rsid w:val="00F64C06"/>
    <w:rsid w:val="00F67D17"/>
    <w:rsid w:val="00F716FD"/>
    <w:rsid w:val="00F71B62"/>
    <w:rsid w:val="00F73FC8"/>
    <w:rsid w:val="00F752CF"/>
    <w:rsid w:val="00F7639D"/>
    <w:rsid w:val="00F7731A"/>
    <w:rsid w:val="00F77DBA"/>
    <w:rsid w:val="00F77E26"/>
    <w:rsid w:val="00F80133"/>
    <w:rsid w:val="00F80355"/>
    <w:rsid w:val="00F8189A"/>
    <w:rsid w:val="00F81C06"/>
    <w:rsid w:val="00F81C6C"/>
    <w:rsid w:val="00F824A7"/>
    <w:rsid w:val="00F8283A"/>
    <w:rsid w:val="00F82963"/>
    <w:rsid w:val="00F8334E"/>
    <w:rsid w:val="00F8532C"/>
    <w:rsid w:val="00F85626"/>
    <w:rsid w:val="00F85CB2"/>
    <w:rsid w:val="00F87C43"/>
    <w:rsid w:val="00F90D8E"/>
    <w:rsid w:val="00F911FD"/>
    <w:rsid w:val="00F91705"/>
    <w:rsid w:val="00F92142"/>
    <w:rsid w:val="00F9449C"/>
    <w:rsid w:val="00F94834"/>
    <w:rsid w:val="00F96E28"/>
    <w:rsid w:val="00F97EDD"/>
    <w:rsid w:val="00FA056F"/>
    <w:rsid w:val="00FA06D7"/>
    <w:rsid w:val="00FA14E1"/>
    <w:rsid w:val="00FA2F9B"/>
    <w:rsid w:val="00FA2FD5"/>
    <w:rsid w:val="00FA376C"/>
    <w:rsid w:val="00FA451D"/>
    <w:rsid w:val="00FA6A33"/>
    <w:rsid w:val="00FA6FEB"/>
    <w:rsid w:val="00FA751D"/>
    <w:rsid w:val="00FB0323"/>
    <w:rsid w:val="00FB0618"/>
    <w:rsid w:val="00FB08C4"/>
    <w:rsid w:val="00FB0C81"/>
    <w:rsid w:val="00FB143C"/>
    <w:rsid w:val="00FB26E9"/>
    <w:rsid w:val="00FB401A"/>
    <w:rsid w:val="00FB4DFF"/>
    <w:rsid w:val="00FB57C7"/>
    <w:rsid w:val="00FB5833"/>
    <w:rsid w:val="00FC0965"/>
    <w:rsid w:val="00FC18EB"/>
    <w:rsid w:val="00FC1BCE"/>
    <w:rsid w:val="00FC2200"/>
    <w:rsid w:val="00FC2540"/>
    <w:rsid w:val="00FC2CFF"/>
    <w:rsid w:val="00FC2FD2"/>
    <w:rsid w:val="00FC360E"/>
    <w:rsid w:val="00FC5129"/>
    <w:rsid w:val="00FC5259"/>
    <w:rsid w:val="00FC5C98"/>
    <w:rsid w:val="00FC5E33"/>
    <w:rsid w:val="00FD112E"/>
    <w:rsid w:val="00FD3E87"/>
    <w:rsid w:val="00FD47A0"/>
    <w:rsid w:val="00FD6051"/>
    <w:rsid w:val="00FD6193"/>
    <w:rsid w:val="00FD644B"/>
    <w:rsid w:val="00FD6ACF"/>
    <w:rsid w:val="00FD6FFB"/>
    <w:rsid w:val="00FD738D"/>
    <w:rsid w:val="00FE124A"/>
    <w:rsid w:val="00FE13E5"/>
    <w:rsid w:val="00FE38AE"/>
    <w:rsid w:val="00FE53F7"/>
    <w:rsid w:val="00FF0204"/>
    <w:rsid w:val="00FF0376"/>
    <w:rsid w:val="00FF0A76"/>
    <w:rsid w:val="00FF0F42"/>
    <w:rsid w:val="00FF13BB"/>
    <w:rsid w:val="00FF26B9"/>
    <w:rsid w:val="00FF2908"/>
    <w:rsid w:val="00FF35CD"/>
    <w:rsid w:val="00FF3AED"/>
    <w:rsid w:val="00FF4351"/>
    <w:rsid w:val="00FF4517"/>
    <w:rsid w:val="00FF476E"/>
    <w:rsid w:val="00FF4805"/>
    <w:rsid w:val="00FF5B05"/>
    <w:rsid w:val="00FF643D"/>
    <w:rsid w:val="00FF64F2"/>
    <w:rsid w:val="00FF6784"/>
    <w:rsid w:val="00FF67B0"/>
    <w:rsid w:val="00FF6A0C"/>
    <w:rsid w:val="00FF6B62"/>
    <w:rsid w:val="00FF6D8A"/>
    <w:rsid w:val="00FF6DE2"/>
    <w:rsid w:val="00FF7904"/>
    <w:rsid w:val="00FF7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8EE9FB"/>
  <w15:docId w15:val="{2E40D2FA-65D9-4590-8D10-2C95661E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22"/>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22"/>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22"/>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2"/>
      </w:numPr>
      <w:spacing w:before="240" w:after="60"/>
      <w:outlineLvl w:val="5"/>
    </w:pPr>
    <w:rPr>
      <w:rFonts w:ascii="Arial" w:hAnsi="Arial"/>
      <w:i/>
    </w:rPr>
  </w:style>
  <w:style w:type="paragraph" w:styleId="Heading7">
    <w:name w:val="heading 7"/>
    <w:basedOn w:val="Normal"/>
    <w:next w:val="Normal"/>
    <w:qFormat/>
    <w:rsid w:val="00A5151A"/>
    <w:pPr>
      <w:numPr>
        <w:ilvl w:val="6"/>
        <w:numId w:val="22"/>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unhideWhenUsed/>
    <w:qFormat/>
    <w:rsid w:val="00437CD6"/>
    <w:rPr>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437CD6"/>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437CD6"/>
    <w:rPr>
      <w:vertAlign w:val="superscript"/>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437CD6"/>
    <w:pPr>
      <w:ind w:left="720"/>
      <w:contextualSpacing/>
    </w:pPr>
    <w:rPr>
      <w:rFonts w:ascii="Calibri" w:hAnsi="Calibri" w:cs="Calibri"/>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437CD6"/>
    <w:rPr>
      <w:rFonts w:ascii="Calibri" w:hAnsi="Calibri" w:cs="Calibri"/>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435B11"/>
    <w:rPr>
      <w:sz w:val="22"/>
      <w:szCs w:val="22"/>
      <w:lang w:val="en-GB"/>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435B1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786487C9FB6F4EBDAE4F9BF2BADC67" ma:contentTypeVersion="1" ma:contentTypeDescription="Create a new document." ma:contentTypeScope="" ma:versionID="dde0cf08f0de2d5ded6bad66deab1706">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UNEP/OzL.Pro/ExCom/83/43</Document_x0020_Number>
  </documentManagement>
</p:properties>
</file>

<file path=customXml/itemProps1.xml><?xml version="1.0" encoding="utf-8"?>
<ds:datastoreItem xmlns:ds="http://schemas.openxmlformats.org/officeDocument/2006/customXml" ds:itemID="{2A9A6B86-ABD1-4916-A9A6-201855BBCA71}"/>
</file>

<file path=customXml/itemProps2.xml><?xml version="1.0" encoding="utf-8"?>
<ds:datastoreItem xmlns:ds="http://schemas.openxmlformats.org/officeDocument/2006/customXml" ds:itemID="{D5CFBCE8-6AA5-440A-9EF4-00701E76E04B}"/>
</file>

<file path=customXml/itemProps3.xml><?xml version="1.0" encoding="utf-8"?>
<ds:datastoreItem xmlns:ds="http://schemas.openxmlformats.org/officeDocument/2006/customXml" ds:itemID="{D800005B-8CBB-467E-AE3B-9367F677334A}"/>
</file>

<file path=customXml/itemProps4.xml><?xml version="1.0" encoding="utf-8"?>
<ds:datastoreItem xmlns:ds="http://schemas.openxmlformats.org/officeDocument/2006/customXml" ds:itemID="{E9A57F5E-368F-48F6-802C-D2E246482E58}"/>
</file>

<file path=docProps/app.xml><?xml version="1.0" encoding="utf-8"?>
<Properties xmlns="http://schemas.openxmlformats.org/officeDocument/2006/extended-properties" xmlns:vt="http://schemas.openxmlformats.org/officeDocument/2006/docPropsVTypes">
  <Template>normal</Template>
  <TotalTime>454</TotalTime>
  <Pages>9</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Elaboración de directrices sobre costos para la reducción de HCFC en países del articulo 5: proyecto de criterios para la financiación</vt:lpstr>
    </vt:vector>
  </TitlesOfParts>
  <Company>UNMFS</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Elaboración de directrices sobre costos para la reducción de HFC en países del articulo 5: proyecto de criterios para la financiación</dc:title>
  <dc:subject>83rd</dc:subject>
  <dc:creator>Patricia Chau</dc:creator>
  <dc:description>ARP/FSM</dc:description>
  <cp:lastModifiedBy>HBE</cp:lastModifiedBy>
  <cp:revision>2542</cp:revision>
  <cp:lastPrinted>2019-04-25T21:07:00Z</cp:lastPrinted>
  <dcterms:created xsi:type="dcterms:W3CDTF">2019-04-25T21:15:00Z</dcterms:created>
  <dcterms:modified xsi:type="dcterms:W3CDTF">2019-05-16T14:39:00Z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UNEP/OzL.Pro/ExCom/83/43</vt:lpwstr>
  </property>
  <property fmtid="{D5CDD505-2E9C-101B-9397-08002B2CF9AE}" pid="3" name="Revision date">
    <vt:lpwstr>04/18/2019</vt:lpwstr>
  </property>
  <property fmtid="{D5CDD505-2E9C-101B-9397-08002B2CF9AE}" pid="4" name="ContentTypeId">
    <vt:lpwstr>0x010100AA786487C9FB6F4EBDAE4F9BF2BADC67</vt:lpwstr>
  </property>
</Properties>
</file>