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A971FF" w14:paraId="1C0BE5CF" w14:textId="77777777" w:rsidTr="00A971FF">
        <w:trPr>
          <w:trHeight w:val="720"/>
        </w:trPr>
        <w:tc>
          <w:tcPr>
            <w:tcW w:w="7061" w:type="dxa"/>
            <w:gridSpan w:val="2"/>
            <w:tcBorders>
              <w:bottom w:val="single" w:sz="18" w:space="0" w:color="auto"/>
            </w:tcBorders>
          </w:tcPr>
          <w:p w14:paraId="3D2B11F7" w14:textId="77777777" w:rsidR="00A971FF" w:rsidRDefault="00A971FF" w:rsidP="00A971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bookmarkStart w:id="0" w:name="_GoBack"/>
            <w:bookmarkEnd w:id="0"/>
            <w:r>
              <w:rPr>
                <w:rFonts w:ascii="Univers" w:hAnsi="Univers"/>
                <w:b/>
                <w:sz w:val="28"/>
                <w:szCs w:val="28"/>
              </w:rPr>
              <w:t>NATIONS</w:t>
            </w:r>
          </w:p>
          <w:p w14:paraId="385D1296" w14:textId="77777777" w:rsidR="00A971FF" w:rsidRDefault="00A971FF" w:rsidP="00A971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659EE6DF" w14:textId="77777777" w:rsidR="00A971FF" w:rsidRDefault="00A971FF" w:rsidP="00A971FF">
            <w:pPr>
              <w:tabs>
                <w:tab w:val="left" w:pos="3010"/>
              </w:tabs>
              <w:jc w:val="center"/>
              <w:rPr>
                <w:sz w:val="52"/>
                <w:szCs w:val="52"/>
              </w:rPr>
            </w:pPr>
            <w:r>
              <w:rPr>
                <w:rFonts w:ascii="Univers Bold" w:hAnsi="Univers Bold"/>
                <w:b/>
                <w:sz w:val="72"/>
              </w:rPr>
              <w:t xml:space="preserve">          EP</w:t>
            </w:r>
          </w:p>
        </w:tc>
      </w:tr>
      <w:tr w:rsidR="00A971FF" w14:paraId="2B756D14" w14:textId="77777777" w:rsidTr="00A9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F7C0627" w14:textId="77777777" w:rsidR="00A971FF" w:rsidRDefault="00A971FF" w:rsidP="00A971FF">
            <w:pPr>
              <w:spacing w:before="120"/>
            </w:pPr>
            <w:r>
              <w:rPr>
                <w:noProof/>
                <w:lang w:val="en-CA" w:eastAsia="en-CA"/>
              </w:rPr>
              <w:drawing>
                <wp:anchor distT="0" distB="0" distL="114300" distR="114300" simplePos="0" relativeHeight="251659264" behindDoc="0" locked="0" layoutInCell="1" allowOverlap="1" wp14:anchorId="7B55F279" wp14:editId="2B4410F5">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0288" behindDoc="1" locked="0" layoutInCell="0" allowOverlap="1" wp14:anchorId="6D4B4A5D" wp14:editId="7C70B6EF">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2404B261" w14:textId="77777777" w:rsidR="00A971FF" w:rsidRDefault="00A971FF" w:rsidP="00A971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633BED28" w14:textId="77777777" w:rsidR="00A971FF" w:rsidRDefault="00A971FF" w:rsidP="00A971F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Pr>
                <w:rFonts w:ascii="Univers" w:hAnsi="Univers"/>
                <w:b/>
                <w:sz w:val="32"/>
              </w:rPr>
              <w:t>Programme des</w:t>
            </w:r>
          </w:p>
          <w:p w14:paraId="0D060109" w14:textId="77777777" w:rsidR="00A971FF" w:rsidRDefault="00A971FF" w:rsidP="00A971FF">
            <w:pPr>
              <w:rPr>
                <w:rFonts w:ascii="Univers" w:hAnsi="Univers"/>
                <w:b/>
                <w:sz w:val="32"/>
              </w:rPr>
            </w:pPr>
            <w:r>
              <w:rPr>
                <w:rFonts w:ascii="Univers" w:hAnsi="Univers"/>
                <w:b/>
                <w:sz w:val="32"/>
              </w:rPr>
              <w:t>Nations Unies pour</w:t>
            </w:r>
          </w:p>
          <w:p w14:paraId="3A626028" w14:textId="09A70572" w:rsidR="00A971FF" w:rsidRDefault="00A971FF" w:rsidP="00A971FF">
            <w:pPr>
              <w:rPr>
                <w:rFonts w:ascii="Univers" w:hAnsi="Univers"/>
                <w:b/>
                <w:sz w:val="32"/>
              </w:rPr>
            </w:pPr>
            <w:r>
              <w:rPr>
                <w:rFonts w:ascii="Univers" w:hAnsi="Univers"/>
                <w:b/>
                <w:sz w:val="32"/>
              </w:rPr>
              <w:t>l</w:t>
            </w:r>
            <w:r w:rsidR="00435DA0">
              <w:rPr>
                <w:rFonts w:ascii="Univers" w:hAnsi="Univers"/>
                <w:b/>
                <w:sz w:val="32"/>
              </w:rPr>
              <w:t>’</w:t>
            </w:r>
            <w:r>
              <w:rPr>
                <w:rFonts w:ascii="Univers" w:hAnsi="Univers"/>
                <w:b/>
                <w:sz w:val="32"/>
              </w:rPr>
              <w:t>environnement</w:t>
            </w:r>
          </w:p>
          <w:p w14:paraId="6B0FA69C" w14:textId="77777777" w:rsidR="00A971FF" w:rsidRDefault="00A971FF" w:rsidP="00A971FF">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5277A4D5" w14:textId="77777777" w:rsidR="00A971FF" w:rsidRDefault="00A971FF" w:rsidP="00A971FF">
            <w:pPr>
              <w:rPr>
                <w:lang w:val="fr-FR"/>
              </w:rPr>
            </w:pPr>
          </w:p>
          <w:p w14:paraId="52FB6A73" w14:textId="77777777" w:rsidR="00A971FF" w:rsidRPr="001D4CE7" w:rsidRDefault="00A971FF" w:rsidP="00A971FF">
            <w:pPr>
              <w:rPr>
                <w:lang w:val="en-CA"/>
              </w:rPr>
            </w:pPr>
            <w:r w:rsidRPr="001D4CE7">
              <w:rPr>
                <w:lang w:val="en-CA"/>
              </w:rPr>
              <w:t>Distr.</w:t>
            </w:r>
          </w:p>
          <w:p w14:paraId="122FAD46" w14:textId="77777777" w:rsidR="00A971FF" w:rsidRPr="001D4CE7" w:rsidRDefault="00A971FF" w:rsidP="00A971FF">
            <w:pPr>
              <w:rPr>
                <w:lang w:val="en-CA"/>
              </w:rPr>
            </w:pPr>
            <w:r w:rsidRPr="001D4CE7">
              <w:rPr>
                <w:lang w:val="en-CA"/>
              </w:rPr>
              <w:t>GENERAL</w:t>
            </w:r>
          </w:p>
          <w:p w14:paraId="4A1714B2" w14:textId="77777777" w:rsidR="00A971FF" w:rsidRPr="001D4CE7" w:rsidRDefault="00A971FF" w:rsidP="00A971FF">
            <w:pPr>
              <w:rPr>
                <w:lang w:val="en-CA"/>
              </w:rPr>
            </w:pPr>
          </w:p>
          <w:p w14:paraId="7281C854" w14:textId="1EAE3E75" w:rsidR="00A971FF" w:rsidRDefault="00A971FF" w:rsidP="00A971FF">
            <w:pPr>
              <w:rPr>
                <w:lang w:val="en-CA"/>
              </w:rPr>
            </w:pPr>
            <w:r w:rsidRPr="00166851">
              <w:fldChar w:fldCharType="begin"/>
            </w:r>
            <w:r w:rsidRPr="00A971FF">
              <w:rPr>
                <w:lang w:val="en-CA"/>
              </w:rPr>
              <w:instrText xml:space="preserve"> DOCPROPERTY "Document number"  \* MERGEFORMAT </w:instrText>
            </w:r>
            <w:r w:rsidRPr="00166851">
              <w:fldChar w:fldCharType="separate"/>
            </w:r>
            <w:r w:rsidR="00FB6BFA">
              <w:rPr>
                <w:lang w:val="en-CA"/>
              </w:rPr>
              <w:t>UNEP/OzL.Pro/ExCom/83/33</w:t>
            </w:r>
            <w:r w:rsidRPr="00166851">
              <w:fldChar w:fldCharType="end"/>
            </w:r>
          </w:p>
          <w:p w14:paraId="77EF2C48" w14:textId="769E4932" w:rsidR="00A971FF" w:rsidRPr="00A971FF" w:rsidRDefault="00A971FF" w:rsidP="00A971FF">
            <w:pPr>
              <w:rPr>
                <w:lang w:val="en-CA"/>
              </w:rPr>
            </w:pPr>
            <w:r>
              <w:fldChar w:fldCharType="begin"/>
            </w:r>
            <w:r w:rsidRPr="00A971FF">
              <w:rPr>
                <w:lang w:val="en-CA"/>
              </w:rPr>
              <w:instrText xml:space="preserve"> DOCPROPERTY "Revision date" \@ "d MMMM YYYY"  \* MERGEFORMAT </w:instrText>
            </w:r>
            <w:r>
              <w:fldChar w:fldCharType="separate"/>
            </w:r>
            <w:r>
              <w:rPr>
                <w:lang w:val="en-CA"/>
              </w:rPr>
              <w:t>4</w:t>
            </w:r>
            <w:r w:rsidRPr="00A971FF">
              <w:rPr>
                <w:lang w:val="en-CA"/>
              </w:rPr>
              <w:t xml:space="preserve"> </w:t>
            </w:r>
            <w:r>
              <w:rPr>
                <w:lang w:val="en-CA"/>
              </w:rPr>
              <w:t>mai</w:t>
            </w:r>
            <w:r w:rsidRPr="00A971FF">
              <w:rPr>
                <w:lang w:val="en-CA"/>
              </w:rPr>
              <w:t xml:space="preserve"> 2019</w:t>
            </w:r>
            <w:r>
              <w:fldChar w:fldCharType="end"/>
            </w:r>
          </w:p>
          <w:p w14:paraId="2D82CA68" w14:textId="77777777" w:rsidR="00A971FF" w:rsidRDefault="00A971FF" w:rsidP="00A971FF">
            <w:pPr>
              <w:rPr>
                <w:caps/>
                <w:lang w:val="fr-FR"/>
              </w:rPr>
            </w:pPr>
            <w:r w:rsidRPr="00AE63D8">
              <w:rPr>
                <w:caps/>
                <w:lang w:val="en-CA"/>
              </w:rPr>
              <w:br/>
            </w:r>
            <w:r>
              <w:rPr>
                <w:caps/>
                <w:lang w:val="fr-FR"/>
              </w:rPr>
              <w:t>FRANÇAIS</w:t>
            </w:r>
          </w:p>
          <w:p w14:paraId="0D9BC230" w14:textId="77777777" w:rsidR="00A971FF" w:rsidRDefault="00A971FF" w:rsidP="00A971FF">
            <w:r>
              <w:t>ORIGINAL: ANGLAIS</w:t>
            </w:r>
          </w:p>
        </w:tc>
      </w:tr>
    </w:tbl>
    <w:p w14:paraId="68A101EF" w14:textId="7E67D2CA" w:rsidR="00A971FF" w:rsidRDefault="00A971FF" w:rsidP="00A971FF">
      <w:pPr>
        <w:jc w:val="left"/>
      </w:pPr>
      <w:r>
        <w:t xml:space="preserve">COMITE EXECUTIF </w:t>
      </w:r>
      <w:r>
        <w:br/>
        <w:t xml:space="preserve">  DU FONDS MULTILATERAL AUX FINS </w:t>
      </w:r>
      <w:r>
        <w:br/>
        <w:t xml:space="preserve">  D</w:t>
      </w:r>
      <w:r w:rsidR="00435DA0">
        <w:t>’</w:t>
      </w:r>
      <w:r>
        <w:t>APPLICATION DU PROTOCOLE DE MONTREAL</w:t>
      </w:r>
      <w:r>
        <w:br/>
        <w:t>Quatre-vingt-troisième</w:t>
      </w:r>
      <w:r w:rsidRPr="00FC5578">
        <w:t xml:space="preserve"> </w:t>
      </w:r>
      <w:r>
        <w:t>réunion</w:t>
      </w:r>
    </w:p>
    <w:p w14:paraId="630363C3" w14:textId="56644380" w:rsidR="00C15867" w:rsidRPr="00A971FF" w:rsidRDefault="00A971FF" w:rsidP="00A971FF">
      <w:pPr>
        <w:jc w:val="left"/>
      </w:pPr>
      <w:r>
        <w:t>Montr</w:t>
      </w:r>
      <w:r w:rsidRPr="00A971FF">
        <w:t>é</w:t>
      </w:r>
      <w:r>
        <w:t>al, 27– 31 mai 2019</w:t>
      </w:r>
    </w:p>
    <w:p w14:paraId="14172A80" w14:textId="5C4E81C5" w:rsidR="004E7F9C" w:rsidRDefault="004E7F9C" w:rsidP="00284998">
      <w:pPr>
        <w:pStyle w:val="Title1"/>
      </w:pPr>
    </w:p>
    <w:p w14:paraId="4AD54698" w14:textId="77777777" w:rsidR="00F2732B" w:rsidRDefault="00F2732B" w:rsidP="00284998">
      <w:pPr>
        <w:pStyle w:val="Title1"/>
      </w:pPr>
    </w:p>
    <w:p w14:paraId="2FE8E22B" w14:textId="77777777" w:rsidR="00760F4D" w:rsidRPr="00A971FF" w:rsidRDefault="00760F4D" w:rsidP="00284998">
      <w:pPr>
        <w:pStyle w:val="Title1"/>
      </w:pPr>
    </w:p>
    <w:p w14:paraId="012B94D0" w14:textId="7D1255A3" w:rsidR="00FE3307" w:rsidRDefault="00C27E9F" w:rsidP="00284998">
      <w:pPr>
        <w:jc w:val="center"/>
        <w:rPr>
          <w:b/>
        </w:rPr>
      </w:pPr>
      <w:r>
        <w:rPr>
          <w:b/>
        </w:rPr>
        <w:t>PROPOSITION DE PROJET : MOZAMBIQUE</w:t>
      </w:r>
    </w:p>
    <w:p w14:paraId="436C55C3" w14:textId="2636F4C4" w:rsidR="00F2732B" w:rsidRDefault="00F2732B" w:rsidP="00284998">
      <w:pPr>
        <w:jc w:val="center"/>
        <w:rPr>
          <w:b/>
        </w:rPr>
      </w:pPr>
    </w:p>
    <w:p w14:paraId="2558D1A8" w14:textId="77777777" w:rsidR="00F2732B" w:rsidRPr="00166851" w:rsidRDefault="00F2732B" w:rsidP="00284998">
      <w:pPr>
        <w:jc w:val="center"/>
      </w:pPr>
    </w:p>
    <w:p w14:paraId="7FF8B35E" w14:textId="77777777" w:rsidR="00FE3307" w:rsidRPr="00A971FF" w:rsidRDefault="00FE3307" w:rsidP="00284998"/>
    <w:p w14:paraId="03062C1E" w14:textId="77777777" w:rsidR="00FE3307" w:rsidRPr="00166851" w:rsidRDefault="00FE3307" w:rsidP="00284998">
      <w:pPr>
        <w:ind w:firstLine="720"/>
      </w:pPr>
      <w:r>
        <w:t xml:space="preserve">Le présent document contient les commentaires et la recommandation du Secrétariat du Fonds sur la proposition de projet suivante : </w:t>
      </w:r>
    </w:p>
    <w:p w14:paraId="1ED7296E" w14:textId="77777777" w:rsidR="00FE3307" w:rsidRPr="00A971FF" w:rsidRDefault="00FE3307" w:rsidP="00284998"/>
    <w:p w14:paraId="3F5D3316" w14:textId="10BA2026" w:rsidR="00FE3307" w:rsidRPr="00166851" w:rsidRDefault="00A971FF" w:rsidP="00284998">
      <w:pPr>
        <w:rPr>
          <w:u w:val="single"/>
        </w:rPr>
      </w:pPr>
      <w:r>
        <w:rPr>
          <w:u w:val="single"/>
        </w:rPr>
        <w:t>Élimination </w:t>
      </w:r>
      <w:r w:rsidR="00FE3307">
        <w:rPr>
          <w:u w:val="single"/>
        </w:rPr>
        <w:t>:</w:t>
      </w:r>
    </w:p>
    <w:p w14:paraId="757DA077" w14:textId="77777777" w:rsidR="00FE3307" w:rsidRPr="00166851" w:rsidRDefault="00FE3307" w:rsidP="00284998">
      <w:pPr>
        <w:rPr>
          <w:lang w:val="en-CA"/>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1"/>
      </w:tblGrid>
      <w:tr w:rsidR="00FE3307" w:rsidRPr="00166851" w14:paraId="200A3240" w14:textId="77777777" w:rsidTr="00FD1299">
        <w:tc>
          <w:tcPr>
            <w:tcW w:w="7088" w:type="dxa"/>
          </w:tcPr>
          <w:p w14:paraId="6F81EE63" w14:textId="73FE562A" w:rsidR="00FE3307" w:rsidRPr="00166851" w:rsidRDefault="00FE3307" w:rsidP="00284998">
            <w:pPr>
              <w:pStyle w:val="ListParagraph"/>
              <w:numPr>
                <w:ilvl w:val="0"/>
                <w:numId w:val="21"/>
              </w:numPr>
              <w:ind w:hanging="830"/>
            </w:pPr>
            <w:r>
              <w:t>Plan de gestion de l</w:t>
            </w:r>
            <w:r w:rsidR="00435DA0">
              <w:t>’</w:t>
            </w:r>
            <w:r>
              <w:t>élimination des HCFC (phase I, troisième et quatrième tranches)</w:t>
            </w:r>
          </w:p>
        </w:tc>
        <w:tc>
          <w:tcPr>
            <w:tcW w:w="2551" w:type="dxa"/>
          </w:tcPr>
          <w:p w14:paraId="66A3413A" w14:textId="77777777" w:rsidR="00FE3307" w:rsidRPr="00166851" w:rsidRDefault="007165A1" w:rsidP="00FD1299">
            <w:pPr>
              <w:jc w:val="right"/>
            </w:pPr>
            <w:r>
              <w:t>PNUE, ONUDI</w:t>
            </w:r>
          </w:p>
        </w:tc>
      </w:tr>
    </w:tbl>
    <w:p w14:paraId="42369578" w14:textId="77777777" w:rsidR="00FE3307" w:rsidRPr="00166851" w:rsidRDefault="00FE3307" w:rsidP="00284998">
      <w:pPr>
        <w:rPr>
          <w:lang w:val="en-CA"/>
        </w:rPr>
      </w:pPr>
    </w:p>
    <w:p w14:paraId="4310FCBA" w14:textId="77777777" w:rsidR="00FE3307" w:rsidRPr="00166851" w:rsidRDefault="00FE3307" w:rsidP="00284998">
      <w:pPr>
        <w:rPr>
          <w:lang w:val="en-CA"/>
        </w:rPr>
      </w:pPr>
    </w:p>
    <w:p w14:paraId="7DBC4721" w14:textId="77777777" w:rsidR="00FE3307" w:rsidRPr="00166851" w:rsidRDefault="00FE3307" w:rsidP="00284998">
      <w:pPr>
        <w:rPr>
          <w:lang w:val="en-CA"/>
        </w:rPr>
      </w:pPr>
    </w:p>
    <w:p w14:paraId="3B01BBD8" w14:textId="77777777" w:rsidR="00FE3307" w:rsidRPr="00166851" w:rsidRDefault="00FE3307" w:rsidP="00284998">
      <w:r>
        <w:br w:type="page"/>
      </w:r>
    </w:p>
    <w:p w14:paraId="4C9014E0" w14:textId="4F41AA40" w:rsidR="006D25F1" w:rsidRPr="00FB6BFA" w:rsidRDefault="006D25F1" w:rsidP="00284998">
      <w:pPr>
        <w:spacing w:after="80"/>
        <w:jc w:val="center"/>
        <w:rPr>
          <w:b/>
        </w:rPr>
      </w:pPr>
      <w:r w:rsidRPr="00FB6BFA">
        <w:rPr>
          <w:b/>
        </w:rPr>
        <w:lastRenderedPageBreak/>
        <w:t>FICHE D</w:t>
      </w:r>
      <w:r w:rsidR="00435DA0" w:rsidRPr="00FB6BFA">
        <w:rPr>
          <w:b/>
        </w:rPr>
        <w:t>’</w:t>
      </w:r>
      <w:r w:rsidRPr="00FB6BFA">
        <w:rPr>
          <w:b/>
        </w:rPr>
        <w:t>ÉVALUATION DU PROJET – PROJETS PLURIANNUELS</w:t>
      </w:r>
    </w:p>
    <w:p w14:paraId="4E7DB32F" w14:textId="2ABA76CE" w:rsidR="006D25F1" w:rsidRPr="00FB6BFA" w:rsidRDefault="006D25F1" w:rsidP="00284998">
      <w:pPr>
        <w:spacing w:after="80"/>
        <w:jc w:val="center"/>
        <w:rPr>
          <w:b/>
        </w:rPr>
      </w:pPr>
      <w:r w:rsidRPr="00FB6BFA">
        <w:rPr>
          <w:b/>
        </w:rPr>
        <w:t>Mozambique</w:t>
      </w:r>
    </w:p>
    <w:p w14:paraId="2FAFE851" w14:textId="77777777" w:rsidR="00377434" w:rsidRPr="00FB6BFA" w:rsidRDefault="00377434" w:rsidP="00377434"/>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59"/>
        <w:gridCol w:w="2357"/>
        <w:gridCol w:w="2553"/>
        <w:gridCol w:w="2830"/>
      </w:tblGrid>
      <w:tr w:rsidR="00377434" w:rsidRPr="00166851" w14:paraId="71E72E3F" w14:textId="77777777" w:rsidTr="00377434">
        <w:trPr>
          <w:trHeight w:val="265"/>
        </w:trPr>
        <w:tc>
          <w:tcPr>
            <w:tcW w:w="3459" w:type="dxa"/>
            <w:shd w:val="clear" w:color="auto" w:fill="auto"/>
          </w:tcPr>
          <w:p w14:paraId="0A70353C" w14:textId="77777777" w:rsidR="00377434" w:rsidRPr="00A971FF" w:rsidRDefault="00377434" w:rsidP="00377434">
            <w:pPr>
              <w:spacing w:after="80"/>
              <w:jc w:val="left"/>
              <w:rPr>
                <w:b/>
                <w:sz w:val="18"/>
              </w:rPr>
            </w:pPr>
            <w:r w:rsidRPr="00A971FF">
              <w:rPr>
                <w:b/>
                <w:sz w:val="18"/>
              </w:rPr>
              <w:t>(I) TITRE DU PROJET</w:t>
            </w:r>
          </w:p>
        </w:tc>
        <w:tc>
          <w:tcPr>
            <w:tcW w:w="2357" w:type="dxa"/>
            <w:shd w:val="clear" w:color="auto" w:fill="auto"/>
          </w:tcPr>
          <w:p w14:paraId="0DB6EF0E" w14:textId="77777777" w:rsidR="00377434" w:rsidRPr="00A971FF" w:rsidRDefault="00377434" w:rsidP="00377434">
            <w:pPr>
              <w:spacing w:after="80"/>
              <w:jc w:val="center"/>
              <w:rPr>
                <w:b/>
                <w:sz w:val="18"/>
              </w:rPr>
            </w:pPr>
            <w:r w:rsidRPr="00A971FF">
              <w:rPr>
                <w:b/>
                <w:sz w:val="18"/>
              </w:rPr>
              <w:t>AGENCE</w:t>
            </w:r>
          </w:p>
        </w:tc>
        <w:tc>
          <w:tcPr>
            <w:tcW w:w="2553" w:type="dxa"/>
            <w:shd w:val="clear" w:color="auto" w:fill="auto"/>
          </w:tcPr>
          <w:p w14:paraId="3DFD9EAA" w14:textId="77777777" w:rsidR="00377434" w:rsidRPr="00A971FF" w:rsidRDefault="00377434" w:rsidP="00377434">
            <w:pPr>
              <w:spacing w:after="80"/>
              <w:jc w:val="center"/>
              <w:rPr>
                <w:b/>
                <w:sz w:val="18"/>
              </w:rPr>
            </w:pPr>
            <w:r w:rsidRPr="00A971FF">
              <w:rPr>
                <w:b/>
                <w:sz w:val="18"/>
              </w:rPr>
              <w:t>RÉUNION APPROUVÉE</w:t>
            </w:r>
          </w:p>
        </w:tc>
        <w:tc>
          <w:tcPr>
            <w:tcW w:w="2830" w:type="dxa"/>
            <w:shd w:val="clear" w:color="auto" w:fill="auto"/>
          </w:tcPr>
          <w:p w14:paraId="45BCAA89" w14:textId="77777777" w:rsidR="00377434" w:rsidRPr="00A971FF" w:rsidRDefault="00377434" w:rsidP="00377434">
            <w:pPr>
              <w:spacing w:after="80"/>
              <w:jc w:val="center"/>
              <w:rPr>
                <w:b/>
                <w:sz w:val="18"/>
              </w:rPr>
            </w:pPr>
            <w:r w:rsidRPr="00A971FF">
              <w:rPr>
                <w:b/>
                <w:sz w:val="18"/>
              </w:rPr>
              <w:t>MESURE DE CONTRÔLE</w:t>
            </w:r>
          </w:p>
        </w:tc>
      </w:tr>
      <w:tr w:rsidR="00377434" w:rsidRPr="00166851" w14:paraId="073F9925" w14:textId="77777777" w:rsidTr="00377434">
        <w:trPr>
          <w:trHeight w:val="265"/>
        </w:trPr>
        <w:tc>
          <w:tcPr>
            <w:tcW w:w="3459" w:type="dxa"/>
            <w:shd w:val="clear" w:color="auto" w:fill="auto"/>
          </w:tcPr>
          <w:p w14:paraId="4CE616FB" w14:textId="52DCC1B7" w:rsidR="00377434" w:rsidRPr="00166851" w:rsidRDefault="00377434" w:rsidP="00377434">
            <w:pPr>
              <w:spacing w:after="80"/>
              <w:jc w:val="center"/>
              <w:rPr>
                <w:sz w:val="18"/>
              </w:rPr>
            </w:pPr>
            <w:r>
              <w:rPr>
                <w:sz w:val="18"/>
              </w:rPr>
              <w:t>Plan de l</w:t>
            </w:r>
            <w:r w:rsidR="00435DA0">
              <w:rPr>
                <w:sz w:val="18"/>
              </w:rPr>
              <w:t>’</w:t>
            </w:r>
            <w:r>
              <w:rPr>
                <w:sz w:val="18"/>
              </w:rPr>
              <w:t>élimination des HCFC (Phase I)</w:t>
            </w:r>
          </w:p>
        </w:tc>
        <w:tc>
          <w:tcPr>
            <w:tcW w:w="2357" w:type="dxa"/>
            <w:shd w:val="clear" w:color="auto" w:fill="auto"/>
          </w:tcPr>
          <w:p w14:paraId="320C6AD5" w14:textId="77777777" w:rsidR="00377434" w:rsidRPr="00166851" w:rsidRDefault="00377434" w:rsidP="00377434">
            <w:pPr>
              <w:spacing w:after="80"/>
              <w:jc w:val="center"/>
              <w:rPr>
                <w:sz w:val="18"/>
              </w:rPr>
            </w:pPr>
            <w:r>
              <w:rPr>
                <w:sz w:val="18"/>
              </w:rPr>
              <w:t>PNUE (principale), ONUDI</w:t>
            </w:r>
          </w:p>
        </w:tc>
        <w:tc>
          <w:tcPr>
            <w:tcW w:w="2553" w:type="dxa"/>
            <w:shd w:val="clear" w:color="auto" w:fill="auto"/>
          </w:tcPr>
          <w:p w14:paraId="216B4A71" w14:textId="77777777" w:rsidR="00377434" w:rsidRPr="00166851" w:rsidRDefault="00377434" w:rsidP="00377434">
            <w:pPr>
              <w:spacing w:after="80"/>
              <w:jc w:val="center"/>
              <w:rPr>
                <w:sz w:val="18"/>
              </w:rPr>
            </w:pPr>
            <w:r>
              <w:rPr>
                <w:sz w:val="18"/>
              </w:rPr>
              <w:t>66</w:t>
            </w:r>
            <w:r>
              <w:rPr>
                <w:sz w:val="18"/>
                <w:vertAlign w:val="superscript"/>
              </w:rPr>
              <w:t>e</w:t>
            </w:r>
          </w:p>
        </w:tc>
        <w:tc>
          <w:tcPr>
            <w:tcW w:w="2830" w:type="dxa"/>
            <w:shd w:val="clear" w:color="auto" w:fill="auto"/>
          </w:tcPr>
          <w:p w14:paraId="2C139B75" w14:textId="7D64C1A5" w:rsidR="00377434" w:rsidRPr="00166851" w:rsidRDefault="00377434" w:rsidP="00377434">
            <w:pPr>
              <w:spacing w:after="80"/>
              <w:jc w:val="center"/>
              <w:rPr>
                <w:sz w:val="18"/>
              </w:rPr>
            </w:pPr>
            <w:r>
              <w:rPr>
                <w:sz w:val="18"/>
              </w:rPr>
              <w:t>35 % d</w:t>
            </w:r>
            <w:r w:rsidR="00435DA0">
              <w:rPr>
                <w:sz w:val="18"/>
              </w:rPr>
              <w:t>’</w:t>
            </w:r>
            <w:r>
              <w:rPr>
                <w:sz w:val="18"/>
              </w:rPr>
              <w:t>ici 2020</w:t>
            </w:r>
          </w:p>
        </w:tc>
      </w:tr>
    </w:tbl>
    <w:p w14:paraId="2DE2D86A" w14:textId="77777777" w:rsidR="00377434" w:rsidRPr="00FB6BFA" w:rsidRDefault="00377434" w:rsidP="00377434">
      <w:pPr>
        <w:spacing w:after="60"/>
        <w:jc w:val="center"/>
        <w:rPr>
          <w:sz w:val="16"/>
          <w:szCs w:val="16"/>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017"/>
        <w:gridCol w:w="2447"/>
        <w:gridCol w:w="2735"/>
      </w:tblGrid>
      <w:tr w:rsidR="00377434" w:rsidRPr="00166851" w14:paraId="625C3890" w14:textId="77777777" w:rsidTr="00377434">
        <w:trPr>
          <w:trHeight w:val="293"/>
        </w:trPr>
        <w:tc>
          <w:tcPr>
            <w:tcW w:w="6017" w:type="dxa"/>
            <w:shd w:val="clear" w:color="auto" w:fill="auto"/>
          </w:tcPr>
          <w:p w14:paraId="72952848" w14:textId="671DF6A2" w:rsidR="00377434" w:rsidRPr="00A971FF" w:rsidRDefault="00377434" w:rsidP="00377434">
            <w:pPr>
              <w:spacing w:after="60"/>
              <w:jc w:val="left"/>
              <w:rPr>
                <w:b/>
                <w:sz w:val="18"/>
              </w:rPr>
            </w:pPr>
            <w:r w:rsidRPr="00A971FF">
              <w:rPr>
                <w:b/>
                <w:sz w:val="18"/>
              </w:rPr>
              <w:t>(II) DERNIÈRES DONNÉES DE L</w:t>
            </w:r>
            <w:r w:rsidR="00435DA0">
              <w:rPr>
                <w:b/>
                <w:sz w:val="18"/>
              </w:rPr>
              <w:t>’</w:t>
            </w:r>
            <w:r w:rsidRPr="00A971FF">
              <w:rPr>
                <w:b/>
                <w:sz w:val="18"/>
              </w:rPr>
              <w:t>ARTICLE 7 (Annexe C groupe l)</w:t>
            </w:r>
          </w:p>
        </w:tc>
        <w:tc>
          <w:tcPr>
            <w:tcW w:w="2447" w:type="dxa"/>
            <w:shd w:val="clear" w:color="auto" w:fill="auto"/>
          </w:tcPr>
          <w:p w14:paraId="5F3740D3" w14:textId="77777777" w:rsidR="00377434" w:rsidRPr="00166851" w:rsidRDefault="00377434" w:rsidP="00377434">
            <w:pPr>
              <w:spacing w:after="60"/>
              <w:jc w:val="center"/>
              <w:rPr>
                <w:sz w:val="18"/>
              </w:rPr>
            </w:pPr>
            <w:r>
              <w:rPr>
                <w:sz w:val="18"/>
              </w:rPr>
              <w:t>Année : 2017</w:t>
            </w:r>
          </w:p>
        </w:tc>
        <w:tc>
          <w:tcPr>
            <w:tcW w:w="2735" w:type="dxa"/>
            <w:shd w:val="clear" w:color="auto" w:fill="auto"/>
          </w:tcPr>
          <w:p w14:paraId="65BEC36E" w14:textId="77777777" w:rsidR="00377434" w:rsidRPr="00166851" w:rsidRDefault="00377434" w:rsidP="00377434">
            <w:pPr>
              <w:spacing w:after="60"/>
              <w:jc w:val="right"/>
              <w:rPr>
                <w:sz w:val="18"/>
              </w:rPr>
            </w:pPr>
            <w:r>
              <w:rPr>
                <w:sz w:val="18"/>
              </w:rPr>
              <w:t>5,03 (tonnes PAO)</w:t>
            </w:r>
          </w:p>
        </w:tc>
      </w:tr>
    </w:tbl>
    <w:p w14:paraId="06F2D1D8" w14:textId="77777777" w:rsidR="00377434" w:rsidRPr="00FB6BFA" w:rsidRDefault="00377434" w:rsidP="00377434">
      <w:pPr>
        <w:spacing w:after="60"/>
        <w:jc w:val="center"/>
        <w:rPr>
          <w:b/>
          <w:sz w:val="16"/>
          <w:szCs w:val="16"/>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86"/>
        <w:gridCol w:w="825"/>
        <w:gridCol w:w="784"/>
        <w:gridCol w:w="1589"/>
        <w:gridCol w:w="1036"/>
        <w:gridCol w:w="876"/>
        <w:gridCol w:w="837"/>
        <w:gridCol w:w="1276"/>
        <w:gridCol w:w="996"/>
        <w:gridCol w:w="1694"/>
      </w:tblGrid>
      <w:tr w:rsidR="00377434" w:rsidRPr="00A971FF" w14:paraId="4C5F71FE" w14:textId="77777777" w:rsidTr="00A971FF">
        <w:trPr>
          <w:trHeight w:val="246"/>
        </w:trPr>
        <w:tc>
          <w:tcPr>
            <w:tcW w:w="8189" w:type="dxa"/>
            <w:gridSpan w:val="8"/>
            <w:shd w:val="clear" w:color="auto" w:fill="auto"/>
          </w:tcPr>
          <w:p w14:paraId="2C6903AB" w14:textId="77777777" w:rsidR="00377434" w:rsidRPr="00A971FF" w:rsidRDefault="00377434" w:rsidP="00377434">
            <w:pPr>
              <w:spacing w:after="60"/>
              <w:jc w:val="left"/>
              <w:rPr>
                <w:b/>
                <w:sz w:val="18"/>
              </w:rPr>
            </w:pPr>
            <w:r w:rsidRPr="00A971FF">
              <w:rPr>
                <w:b/>
                <w:sz w:val="18"/>
              </w:rPr>
              <w:t>(III) DERNIÈRES DONNÉES SECTORIELLES DU PROGRAMME DU PAYS (tonnes PAO)</w:t>
            </w:r>
          </w:p>
        </w:tc>
        <w:tc>
          <w:tcPr>
            <w:tcW w:w="3010" w:type="dxa"/>
            <w:gridSpan w:val="2"/>
            <w:shd w:val="clear" w:color="auto" w:fill="auto"/>
          </w:tcPr>
          <w:p w14:paraId="53BE7370" w14:textId="77777777" w:rsidR="00377434" w:rsidRPr="00A971FF" w:rsidRDefault="00377434" w:rsidP="00377434">
            <w:pPr>
              <w:spacing w:after="60"/>
              <w:jc w:val="right"/>
              <w:rPr>
                <w:b/>
                <w:sz w:val="18"/>
              </w:rPr>
            </w:pPr>
            <w:r w:rsidRPr="00A971FF">
              <w:rPr>
                <w:b/>
                <w:sz w:val="18"/>
              </w:rPr>
              <w:t>Année : 2017</w:t>
            </w:r>
          </w:p>
        </w:tc>
      </w:tr>
      <w:tr w:rsidR="00377434" w:rsidRPr="00166851" w14:paraId="37C301E7" w14:textId="77777777" w:rsidTr="00A971FF">
        <w:trPr>
          <w:trHeight w:val="246"/>
        </w:trPr>
        <w:tc>
          <w:tcPr>
            <w:tcW w:w="1511" w:type="dxa"/>
            <w:shd w:val="clear" w:color="auto" w:fill="auto"/>
          </w:tcPr>
          <w:p w14:paraId="04A5031B" w14:textId="77777777" w:rsidR="00377434" w:rsidRPr="00166851" w:rsidRDefault="00377434" w:rsidP="00377434">
            <w:pPr>
              <w:spacing w:after="60"/>
              <w:jc w:val="center"/>
              <w:rPr>
                <w:sz w:val="18"/>
              </w:rPr>
            </w:pPr>
            <w:r>
              <w:rPr>
                <w:sz w:val="18"/>
              </w:rPr>
              <w:t>Produits chimiques</w:t>
            </w:r>
          </w:p>
        </w:tc>
        <w:tc>
          <w:tcPr>
            <w:tcW w:w="851" w:type="dxa"/>
            <w:shd w:val="clear" w:color="auto" w:fill="auto"/>
          </w:tcPr>
          <w:p w14:paraId="4974D084" w14:textId="77777777" w:rsidR="00377434" w:rsidRPr="00166851" w:rsidRDefault="00377434" w:rsidP="00377434">
            <w:pPr>
              <w:spacing w:after="60"/>
              <w:jc w:val="center"/>
              <w:rPr>
                <w:sz w:val="18"/>
              </w:rPr>
            </w:pPr>
            <w:r>
              <w:rPr>
                <w:sz w:val="18"/>
              </w:rPr>
              <w:t>Aérosol</w:t>
            </w:r>
          </w:p>
        </w:tc>
        <w:tc>
          <w:tcPr>
            <w:tcW w:w="789" w:type="dxa"/>
            <w:shd w:val="clear" w:color="auto" w:fill="auto"/>
          </w:tcPr>
          <w:p w14:paraId="21702A27" w14:textId="77777777" w:rsidR="00377434" w:rsidRPr="00166851" w:rsidRDefault="00377434" w:rsidP="00377434">
            <w:pPr>
              <w:spacing w:after="60"/>
              <w:jc w:val="center"/>
              <w:rPr>
                <w:sz w:val="18"/>
              </w:rPr>
            </w:pPr>
            <w:r>
              <w:rPr>
                <w:sz w:val="18"/>
              </w:rPr>
              <w:t>Mousse</w:t>
            </w:r>
          </w:p>
        </w:tc>
        <w:tc>
          <w:tcPr>
            <w:tcW w:w="0" w:type="auto"/>
            <w:shd w:val="clear" w:color="auto" w:fill="auto"/>
          </w:tcPr>
          <w:p w14:paraId="670DD79B" w14:textId="77777777" w:rsidR="00377434" w:rsidRPr="00166851" w:rsidRDefault="00377434" w:rsidP="00377434">
            <w:pPr>
              <w:spacing w:after="60"/>
              <w:jc w:val="center"/>
              <w:rPr>
                <w:sz w:val="18"/>
              </w:rPr>
            </w:pPr>
            <w:r>
              <w:rPr>
                <w:sz w:val="18"/>
              </w:rPr>
              <w:t>Lutte contre les incendies</w:t>
            </w:r>
          </w:p>
        </w:tc>
        <w:tc>
          <w:tcPr>
            <w:tcW w:w="0" w:type="auto"/>
            <w:gridSpan w:val="2"/>
            <w:shd w:val="clear" w:color="auto" w:fill="auto"/>
          </w:tcPr>
          <w:p w14:paraId="1915536A" w14:textId="77777777" w:rsidR="00377434" w:rsidRPr="00166851" w:rsidRDefault="00377434" w:rsidP="00377434">
            <w:pPr>
              <w:spacing w:after="60"/>
              <w:jc w:val="center"/>
              <w:rPr>
                <w:sz w:val="18"/>
              </w:rPr>
            </w:pPr>
            <w:r>
              <w:rPr>
                <w:sz w:val="18"/>
              </w:rPr>
              <w:t>Réfrigération</w:t>
            </w:r>
          </w:p>
        </w:tc>
        <w:tc>
          <w:tcPr>
            <w:tcW w:w="0" w:type="auto"/>
            <w:shd w:val="clear" w:color="auto" w:fill="auto"/>
          </w:tcPr>
          <w:p w14:paraId="622DD7E2" w14:textId="77777777" w:rsidR="00377434" w:rsidRPr="00166851" w:rsidRDefault="00377434" w:rsidP="00377434">
            <w:pPr>
              <w:spacing w:after="60"/>
              <w:jc w:val="center"/>
              <w:rPr>
                <w:sz w:val="18"/>
              </w:rPr>
            </w:pPr>
            <w:r>
              <w:rPr>
                <w:sz w:val="18"/>
              </w:rPr>
              <w:t>Solvants</w:t>
            </w:r>
          </w:p>
        </w:tc>
        <w:tc>
          <w:tcPr>
            <w:tcW w:w="0" w:type="auto"/>
            <w:shd w:val="clear" w:color="auto" w:fill="auto"/>
          </w:tcPr>
          <w:p w14:paraId="13BFD2CB" w14:textId="77777777" w:rsidR="00377434" w:rsidRPr="00166851" w:rsidRDefault="00377434" w:rsidP="00377434">
            <w:pPr>
              <w:spacing w:after="60"/>
              <w:jc w:val="center"/>
              <w:rPr>
                <w:sz w:val="18"/>
              </w:rPr>
            </w:pPr>
            <w:r>
              <w:rPr>
                <w:sz w:val="18"/>
              </w:rPr>
              <w:t>Agent de transformation</w:t>
            </w:r>
          </w:p>
        </w:tc>
        <w:tc>
          <w:tcPr>
            <w:tcW w:w="0" w:type="auto"/>
            <w:shd w:val="clear" w:color="auto" w:fill="auto"/>
          </w:tcPr>
          <w:p w14:paraId="4106797B" w14:textId="77777777" w:rsidR="00377434" w:rsidRPr="00166851" w:rsidRDefault="00377434" w:rsidP="00377434">
            <w:pPr>
              <w:spacing w:after="60"/>
              <w:jc w:val="center"/>
              <w:rPr>
                <w:sz w:val="18"/>
              </w:rPr>
            </w:pPr>
            <w:r>
              <w:rPr>
                <w:sz w:val="18"/>
              </w:rPr>
              <w:t>Utilisation en laboratoire</w:t>
            </w:r>
          </w:p>
        </w:tc>
        <w:tc>
          <w:tcPr>
            <w:tcW w:w="1950" w:type="dxa"/>
            <w:shd w:val="clear" w:color="auto" w:fill="auto"/>
          </w:tcPr>
          <w:p w14:paraId="306F4551" w14:textId="77777777" w:rsidR="00377434" w:rsidRPr="00166851" w:rsidRDefault="00377434" w:rsidP="00377434">
            <w:pPr>
              <w:spacing w:after="60"/>
              <w:jc w:val="center"/>
              <w:rPr>
                <w:sz w:val="18"/>
              </w:rPr>
            </w:pPr>
            <w:r>
              <w:rPr>
                <w:sz w:val="18"/>
              </w:rPr>
              <w:t>Consommation totale pour le secteur</w:t>
            </w:r>
          </w:p>
        </w:tc>
      </w:tr>
      <w:tr w:rsidR="00377434" w:rsidRPr="00166851" w14:paraId="07B8FA66" w14:textId="77777777" w:rsidTr="00A971FF">
        <w:trPr>
          <w:trHeight w:val="246"/>
        </w:trPr>
        <w:tc>
          <w:tcPr>
            <w:tcW w:w="4120" w:type="dxa"/>
            <w:gridSpan w:val="4"/>
            <w:shd w:val="clear" w:color="auto" w:fill="auto"/>
          </w:tcPr>
          <w:p w14:paraId="4F2CCDB7" w14:textId="77777777" w:rsidR="00377434" w:rsidRPr="00166851" w:rsidRDefault="00377434" w:rsidP="00377434">
            <w:pPr>
              <w:spacing w:after="60"/>
              <w:jc w:val="center"/>
              <w:rPr>
                <w:sz w:val="18"/>
              </w:rPr>
            </w:pPr>
            <w:r>
              <w:rPr>
                <w:sz w:val="18"/>
              </w:rPr>
              <w:t xml:space="preserve"> </w:t>
            </w:r>
          </w:p>
        </w:tc>
        <w:tc>
          <w:tcPr>
            <w:tcW w:w="0" w:type="auto"/>
            <w:shd w:val="clear" w:color="auto" w:fill="auto"/>
          </w:tcPr>
          <w:p w14:paraId="04DCB44F" w14:textId="77777777" w:rsidR="00377434" w:rsidRPr="00166851" w:rsidRDefault="00377434" w:rsidP="00377434">
            <w:pPr>
              <w:spacing w:after="60"/>
              <w:jc w:val="center"/>
              <w:rPr>
                <w:sz w:val="18"/>
              </w:rPr>
            </w:pPr>
            <w:r>
              <w:rPr>
                <w:sz w:val="18"/>
              </w:rPr>
              <w:t>Fabrication</w:t>
            </w:r>
          </w:p>
        </w:tc>
        <w:tc>
          <w:tcPr>
            <w:tcW w:w="0" w:type="auto"/>
            <w:shd w:val="clear" w:color="auto" w:fill="auto"/>
          </w:tcPr>
          <w:p w14:paraId="21FDF179" w14:textId="77777777" w:rsidR="00377434" w:rsidRPr="00166851" w:rsidRDefault="00377434" w:rsidP="00377434">
            <w:pPr>
              <w:spacing w:after="60"/>
              <w:jc w:val="center"/>
              <w:rPr>
                <w:sz w:val="18"/>
              </w:rPr>
            </w:pPr>
            <w:r>
              <w:rPr>
                <w:sz w:val="18"/>
              </w:rPr>
              <w:t>Entretien</w:t>
            </w:r>
          </w:p>
        </w:tc>
        <w:tc>
          <w:tcPr>
            <w:tcW w:w="5167" w:type="dxa"/>
            <w:gridSpan w:val="4"/>
            <w:shd w:val="clear" w:color="auto" w:fill="auto"/>
          </w:tcPr>
          <w:p w14:paraId="26258055" w14:textId="77777777" w:rsidR="00377434" w:rsidRPr="00166851" w:rsidRDefault="00377434" w:rsidP="00377434">
            <w:pPr>
              <w:spacing w:after="60"/>
              <w:jc w:val="center"/>
              <w:rPr>
                <w:sz w:val="18"/>
                <w:lang w:val="en-CA"/>
              </w:rPr>
            </w:pPr>
          </w:p>
        </w:tc>
      </w:tr>
      <w:tr w:rsidR="00377434" w:rsidRPr="00166851" w14:paraId="5E853A85" w14:textId="77777777" w:rsidTr="00A971FF">
        <w:trPr>
          <w:trHeight w:val="246"/>
        </w:trPr>
        <w:tc>
          <w:tcPr>
            <w:tcW w:w="1511" w:type="dxa"/>
            <w:shd w:val="clear" w:color="auto" w:fill="auto"/>
          </w:tcPr>
          <w:p w14:paraId="5E6AD366" w14:textId="77777777" w:rsidR="00377434" w:rsidRPr="00166851" w:rsidRDefault="00377434" w:rsidP="00377434">
            <w:pPr>
              <w:spacing w:after="60"/>
              <w:jc w:val="left"/>
              <w:rPr>
                <w:sz w:val="18"/>
              </w:rPr>
            </w:pPr>
            <w:r>
              <w:rPr>
                <w:sz w:val="18"/>
              </w:rPr>
              <w:t>HCFC-22</w:t>
            </w:r>
          </w:p>
        </w:tc>
        <w:tc>
          <w:tcPr>
            <w:tcW w:w="851" w:type="dxa"/>
            <w:shd w:val="clear" w:color="auto" w:fill="auto"/>
          </w:tcPr>
          <w:p w14:paraId="433CE0AC" w14:textId="77777777" w:rsidR="00377434" w:rsidRPr="00166851" w:rsidRDefault="00377434" w:rsidP="00377434">
            <w:pPr>
              <w:spacing w:after="60"/>
              <w:jc w:val="right"/>
              <w:rPr>
                <w:sz w:val="18"/>
                <w:lang w:val="en-CA"/>
              </w:rPr>
            </w:pPr>
          </w:p>
        </w:tc>
        <w:tc>
          <w:tcPr>
            <w:tcW w:w="0" w:type="auto"/>
            <w:shd w:val="clear" w:color="auto" w:fill="auto"/>
          </w:tcPr>
          <w:p w14:paraId="1184008D" w14:textId="77777777" w:rsidR="00377434" w:rsidRPr="00166851" w:rsidRDefault="00377434" w:rsidP="00377434">
            <w:pPr>
              <w:spacing w:after="60"/>
              <w:jc w:val="right"/>
              <w:rPr>
                <w:sz w:val="18"/>
                <w:lang w:val="en-CA"/>
              </w:rPr>
            </w:pPr>
          </w:p>
        </w:tc>
        <w:tc>
          <w:tcPr>
            <w:tcW w:w="0" w:type="auto"/>
            <w:shd w:val="clear" w:color="auto" w:fill="auto"/>
          </w:tcPr>
          <w:p w14:paraId="1015E171" w14:textId="77777777" w:rsidR="00377434" w:rsidRPr="00166851" w:rsidRDefault="00377434" w:rsidP="00377434">
            <w:pPr>
              <w:spacing w:after="60"/>
              <w:jc w:val="right"/>
              <w:rPr>
                <w:sz w:val="18"/>
                <w:lang w:val="en-CA"/>
              </w:rPr>
            </w:pPr>
          </w:p>
        </w:tc>
        <w:tc>
          <w:tcPr>
            <w:tcW w:w="0" w:type="auto"/>
            <w:shd w:val="clear" w:color="auto" w:fill="auto"/>
          </w:tcPr>
          <w:p w14:paraId="327652B7" w14:textId="77777777" w:rsidR="00377434" w:rsidRPr="00166851" w:rsidRDefault="00377434" w:rsidP="00377434">
            <w:pPr>
              <w:spacing w:after="60"/>
              <w:jc w:val="right"/>
              <w:rPr>
                <w:sz w:val="18"/>
                <w:lang w:val="en-CA"/>
              </w:rPr>
            </w:pPr>
          </w:p>
        </w:tc>
        <w:tc>
          <w:tcPr>
            <w:tcW w:w="0" w:type="auto"/>
            <w:shd w:val="clear" w:color="auto" w:fill="auto"/>
          </w:tcPr>
          <w:p w14:paraId="005005D5" w14:textId="77777777" w:rsidR="00377434" w:rsidRPr="00166851" w:rsidRDefault="00377434" w:rsidP="00377434">
            <w:pPr>
              <w:spacing w:after="60"/>
              <w:jc w:val="right"/>
              <w:rPr>
                <w:sz w:val="18"/>
              </w:rPr>
            </w:pPr>
            <w:r>
              <w:rPr>
                <w:sz w:val="18"/>
              </w:rPr>
              <w:t>5,01</w:t>
            </w:r>
          </w:p>
        </w:tc>
        <w:tc>
          <w:tcPr>
            <w:tcW w:w="0" w:type="auto"/>
            <w:shd w:val="clear" w:color="auto" w:fill="auto"/>
          </w:tcPr>
          <w:p w14:paraId="18FC7D92" w14:textId="77777777" w:rsidR="00377434" w:rsidRPr="00166851" w:rsidRDefault="00377434" w:rsidP="00377434">
            <w:pPr>
              <w:spacing w:after="60"/>
              <w:jc w:val="right"/>
              <w:rPr>
                <w:sz w:val="18"/>
                <w:lang w:val="en-CA"/>
              </w:rPr>
            </w:pPr>
          </w:p>
        </w:tc>
        <w:tc>
          <w:tcPr>
            <w:tcW w:w="0" w:type="auto"/>
            <w:shd w:val="clear" w:color="auto" w:fill="auto"/>
          </w:tcPr>
          <w:p w14:paraId="2969FE91" w14:textId="77777777" w:rsidR="00377434" w:rsidRPr="00166851" w:rsidRDefault="00377434" w:rsidP="00377434">
            <w:pPr>
              <w:spacing w:after="60"/>
              <w:jc w:val="right"/>
              <w:rPr>
                <w:sz w:val="18"/>
                <w:lang w:val="en-CA"/>
              </w:rPr>
            </w:pPr>
          </w:p>
        </w:tc>
        <w:tc>
          <w:tcPr>
            <w:tcW w:w="0" w:type="auto"/>
            <w:shd w:val="clear" w:color="auto" w:fill="auto"/>
          </w:tcPr>
          <w:p w14:paraId="6257CF2E" w14:textId="77777777" w:rsidR="00377434" w:rsidRPr="00166851" w:rsidRDefault="00377434" w:rsidP="00377434">
            <w:pPr>
              <w:spacing w:after="60"/>
              <w:jc w:val="right"/>
              <w:rPr>
                <w:sz w:val="18"/>
                <w:lang w:val="en-CA"/>
              </w:rPr>
            </w:pPr>
          </w:p>
        </w:tc>
        <w:tc>
          <w:tcPr>
            <w:tcW w:w="1950" w:type="dxa"/>
            <w:shd w:val="clear" w:color="auto" w:fill="auto"/>
          </w:tcPr>
          <w:p w14:paraId="5DB40734" w14:textId="77777777" w:rsidR="00377434" w:rsidRPr="00166851" w:rsidRDefault="00377434" w:rsidP="00377434">
            <w:pPr>
              <w:spacing w:after="60"/>
              <w:jc w:val="right"/>
              <w:rPr>
                <w:sz w:val="18"/>
              </w:rPr>
            </w:pPr>
            <w:r>
              <w:rPr>
                <w:sz w:val="18"/>
              </w:rPr>
              <w:t>5,01</w:t>
            </w:r>
          </w:p>
        </w:tc>
      </w:tr>
    </w:tbl>
    <w:p w14:paraId="3822D7FC" w14:textId="77777777" w:rsidR="00377434" w:rsidRPr="00FB6BFA" w:rsidRDefault="00377434" w:rsidP="00377434">
      <w:pPr>
        <w:spacing w:after="60"/>
        <w:jc w:val="center"/>
        <w:rPr>
          <w:sz w:val="16"/>
          <w:szCs w:val="16"/>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025"/>
        <w:gridCol w:w="569"/>
        <w:gridCol w:w="4055"/>
        <w:gridCol w:w="2550"/>
      </w:tblGrid>
      <w:tr w:rsidR="00377434" w:rsidRPr="00166851" w14:paraId="321F5F74" w14:textId="77777777" w:rsidTr="00377434">
        <w:trPr>
          <w:trHeight w:val="250"/>
        </w:trPr>
        <w:tc>
          <w:tcPr>
            <w:tcW w:w="11199" w:type="dxa"/>
            <w:gridSpan w:val="4"/>
            <w:shd w:val="clear" w:color="auto" w:fill="auto"/>
          </w:tcPr>
          <w:p w14:paraId="2BC4A5F5" w14:textId="77777777" w:rsidR="00377434" w:rsidRPr="00A971FF" w:rsidRDefault="00377434" w:rsidP="00377434">
            <w:pPr>
              <w:spacing w:after="60"/>
              <w:jc w:val="left"/>
              <w:rPr>
                <w:b/>
                <w:sz w:val="18"/>
              </w:rPr>
            </w:pPr>
            <w:r w:rsidRPr="00A971FF">
              <w:rPr>
                <w:b/>
                <w:sz w:val="18"/>
              </w:rPr>
              <w:t>(IV) DONNÉES SUR LA CONSOMMATION (tonnes PAO)</w:t>
            </w:r>
          </w:p>
        </w:tc>
      </w:tr>
      <w:tr w:rsidR="00377434" w:rsidRPr="00166851" w14:paraId="0DE4A7B4" w14:textId="77777777" w:rsidTr="00377434">
        <w:trPr>
          <w:trHeight w:val="250"/>
        </w:trPr>
        <w:tc>
          <w:tcPr>
            <w:tcW w:w="3752" w:type="dxa"/>
            <w:shd w:val="clear" w:color="auto" w:fill="auto"/>
          </w:tcPr>
          <w:p w14:paraId="789DA87F" w14:textId="77777777" w:rsidR="00377434" w:rsidRPr="00166851" w:rsidRDefault="00377434" w:rsidP="00377434">
            <w:pPr>
              <w:spacing w:after="60"/>
              <w:jc w:val="center"/>
              <w:rPr>
                <w:sz w:val="18"/>
              </w:rPr>
            </w:pPr>
            <w:r>
              <w:rPr>
                <w:sz w:val="18"/>
              </w:rPr>
              <w:t>Référence 2009–2010 :</w:t>
            </w:r>
          </w:p>
        </w:tc>
        <w:tc>
          <w:tcPr>
            <w:tcW w:w="0" w:type="auto"/>
            <w:shd w:val="clear" w:color="auto" w:fill="auto"/>
          </w:tcPr>
          <w:p w14:paraId="53561BA7" w14:textId="77777777" w:rsidR="00377434" w:rsidRPr="00166851" w:rsidRDefault="00377434" w:rsidP="00377434">
            <w:pPr>
              <w:spacing w:after="60"/>
              <w:jc w:val="right"/>
              <w:rPr>
                <w:sz w:val="18"/>
              </w:rPr>
            </w:pPr>
            <w:r>
              <w:rPr>
                <w:sz w:val="18"/>
              </w:rPr>
              <w:t>8,69</w:t>
            </w:r>
          </w:p>
        </w:tc>
        <w:tc>
          <w:tcPr>
            <w:tcW w:w="0" w:type="auto"/>
            <w:shd w:val="clear" w:color="auto" w:fill="auto"/>
          </w:tcPr>
          <w:p w14:paraId="296FB7E7" w14:textId="7266291E" w:rsidR="00377434" w:rsidRPr="00166851" w:rsidRDefault="00377434" w:rsidP="00377434">
            <w:pPr>
              <w:spacing w:after="60"/>
              <w:jc w:val="center"/>
              <w:rPr>
                <w:sz w:val="18"/>
              </w:rPr>
            </w:pPr>
            <w:r>
              <w:rPr>
                <w:sz w:val="18"/>
              </w:rPr>
              <w:t>Point de départ d</w:t>
            </w:r>
            <w:r w:rsidR="00A971FF">
              <w:rPr>
                <w:sz w:val="18"/>
              </w:rPr>
              <w:t>es réductions globales durables</w:t>
            </w:r>
            <w:r>
              <w:rPr>
                <w:sz w:val="18"/>
              </w:rPr>
              <w:t> :</w:t>
            </w:r>
          </w:p>
        </w:tc>
        <w:tc>
          <w:tcPr>
            <w:tcW w:w="2378" w:type="dxa"/>
            <w:shd w:val="clear" w:color="auto" w:fill="auto"/>
          </w:tcPr>
          <w:p w14:paraId="3DEED16A" w14:textId="77777777" w:rsidR="00377434" w:rsidRPr="00166851" w:rsidRDefault="00377434" w:rsidP="00377434">
            <w:pPr>
              <w:spacing w:after="60"/>
              <w:jc w:val="right"/>
              <w:rPr>
                <w:sz w:val="18"/>
              </w:rPr>
            </w:pPr>
            <w:r>
              <w:rPr>
                <w:sz w:val="18"/>
              </w:rPr>
              <w:t>8,69</w:t>
            </w:r>
          </w:p>
        </w:tc>
      </w:tr>
      <w:tr w:rsidR="00377434" w:rsidRPr="00166851" w14:paraId="2BBE1F29" w14:textId="77777777" w:rsidTr="00377434">
        <w:trPr>
          <w:trHeight w:val="250"/>
        </w:trPr>
        <w:tc>
          <w:tcPr>
            <w:tcW w:w="11199" w:type="dxa"/>
            <w:gridSpan w:val="4"/>
            <w:shd w:val="clear" w:color="auto" w:fill="auto"/>
          </w:tcPr>
          <w:p w14:paraId="18024FDA" w14:textId="77777777" w:rsidR="00377434" w:rsidRPr="00A971FF" w:rsidRDefault="00377434" w:rsidP="00377434">
            <w:pPr>
              <w:spacing w:after="60"/>
              <w:jc w:val="center"/>
              <w:rPr>
                <w:b/>
                <w:sz w:val="18"/>
              </w:rPr>
            </w:pPr>
            <w:r w:rsidRPr="00A971FF">
              <w:rPr>
                <w:b/>
                <w:sz w:val="18"/>
              </w:rPr>
              <w:t>CONSOMMATION ADMISSIBLE AU FINANCEMENT (tonnes PAO)</w:t>
            </w:r>
          </w:p>
        </w:tc>
      </w:tr>
      <w:tr w:rsidR="00377434" w:rsidRPr="00166851" w14:paraId="081BAC67" w14:textId="77777777" w:rsidTr="00377434">
        <w:trPr>
          <w:trHeight w:val="250"/>
        </w:trPr>
        <w:tc>
          <w:tcPr>
            <w:tcW w:w="3752" w:type="dxa"/>
            <w:shd w:val="clear" w:color="auto" w:fill="auto"/>
          </w:tcPr>
          <w:p w14:paraId="37BE2DE1" w14:textId="77777777" w:rsidR="00377434" w:rsidRPr="00166851" w:rsidRDefault="00377434" w:rsidP="00377434">
            <w:pPr>
              <w:spacing w:after="60"/>
              <w:jc w:val="center"/>
              <w:rPr>
                <w:sz w:val="18"/>
              </w:rPr>
            </w:pPr>
            <w:r>
              <w:rPr>
                <w:sz w:val="18"/>
              </w:rPr>
              <w:t>Déjà approuvée :</w:t>
            </w:r>
          </w:p>
        </w:tc>
        <w:tc>
          <w:tcPr>
            <w:tcW w:w="0" w:type="auto"/>
            <w:shd w:val="clear" w:color="auto" w:fill="auto"/>
          </w:tcPr>
          <w:p w14:paraId="15F2DD3E" w14:textId="77777777" w:rsidR="00377434" w:rsidRPr="00166851" w:rsidRDefault="00377434" w:rsidP="00377434">
            <w:pPr>
              <w:spacing w:after="60"/>
              <w:jc w:val="right"/>
              <w:rPr>
                <w:sz w:val="18"/>
              </w:rPr>
            </w:pPr>
            <w:r>
              <w:rPr>
                <w:sz w:val="18"/>
              </w:rPr>
              <w:t>3,04</w:t>
            </w:r>
          </w:p>
        </w:tc>
        <w:tc>
          <w:tcPr>
            <w:tcW w:w="0" w:type="auto"/>
            <w:shd w:val="clear" w:color="auto" w:fill="auto"/>
          </w:tcPr>
          <w:p w14:paraId="211E5876" w14:textId="77777777" w:rsidR="00377434" w:rsidRPr="00166851" w:rsidRDefault="00377434" w:rsidP="00377434">
            <w:pPr>
              <w:spacing w:after="60"/>
              <w:jc w:val="center"/>
              <w:rPr>
                <w:sz w:val="18"/>
              </w:rPr>
            </w:pPr>
            <w:r>
              <w:rPr>
                <w:sz w:val="18"/>
              </w:rPr>
              <w:t>Restante :</w:t>
            </w:r>
          </w:p>
        </w:tc>
        <w:tc>
          <w:tcPr>
            <w:tcW w:w="2378" w:type="dxa"/>
            <w:shd w:val="clear" w:color="auto" w:fill="auto"/>
          </w:tcPr>
          <w:p w14:paraId="24345E8A" w14:textId="77777777" w:rsidR="00377434" w:rsidRPr="00166851" w:rsidRDefault="00377434" w:rsidP="00377434">
            <w:pPr>
              <w:spacing w:after="60"/>
              <w:jc w:val="right"/>
              <w:rPr>
                <w:sz w:val="18"/>
              </w:rPr>
            </w:pPr>
            <w:r>
              <w:rPr>
                <w:sz w:val="18"/>
              </w:rPr>
              <w:t>5,65</w:t>
            </w:r>
          </w:p>
        </w:tc>
      </w:tr>
    </w:tbl>
    <w:p w14:paraId="28B19DD9" w14:textId="77777777" w:rsidR="00377434" w:rsidRPr="00FB6BFA" w:rsidRDefault="00377434" w:rsidP="00377434">
      <w:pPr>
        <w:spacing w:after="60"/>
        <w:jc w:val="center"/>
        <w:rPr>
          <w:sz w:val="16"/>
          <w:szCs w:val="16"/>
          <w:lang w:val="en-CA"/>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65"/>
        <w:gridCol w:w="4512"/>
        <w:gridCol w:w="1415"/>
        <w:gridCol w:w="1416"/>
        <w:gridCol w:w="1791"/>
      </w:tblGrid>
      <w:tr w:rsidR="00377434" w:rsidRPr="00166851" w14:paraId="298A9252" w14:textId="77777777" w:rsidTr="00377434">
        <w:trPr>
          <w:trHeight w:val="246"/>
        </w:trPr>
        <w:tc>
          <w:tcPr>
            <w:tcW w:w="6577" w:type="dxa"/>
            <w:gridSpan w:val="2"/>
            <w:shd w:val="clear" w:color="auto" w:fill="auto"/>
          </w:tcPr>
          <w:p w14:paraId="41014AAD" w14:textId="1E9883A6" w:rsidR="00377434" w:rsidRPr="00166851" w:rsidRDefault="00377434" w:rsidP="00377434">
            <w:pPr>
              <w:spacing w:after="60"/>
              <w:jc w:val="left"/>
              <w:rPr>
                <w:sz w:val="18"/>
              </w:rPr>
            </w:pPr>
            <w:r>
              <w:rPr>
                <w:sz w:val="18"/>
              </w:rPr>
              <w:t>(V) PLAN D</w:t>
            </w:r>
            <w:r w:rsidR="00435DA0">
              <w:rPr>
                <w:sz w:val="18"/>
              </w:rPr>
              <w:t>’</w:t>
            </w:r>
            <w:r>
              <w:rPr>
                <w:sz w:val="18"/>
              </w:rPr>
              <w:t>ACTIVITÉS</w:t>
            </w:r>
          </w:p>
        </w:tc>
        <w:tc>
          <w:tcPr>
            <w:tcW w:w="1415" w:type="dxa"/>
            <w:shd w:val="clear" w:color="auto" w:fill="auto"/>
          </w:tcPr>
          <w:p w14:paraId="699A9534" w14:textId="77777777" w:rsidR="00377434" w:rsidRPr="00166851" w:rsidRDefault="00377434" w:rsidP="00377434">
            <w:pPr>
              <w:spacing w:after="60"/>
              <w:jc w:val="center"/>
              <w:rPr>
                <w:sz w:val="18"/>
              </w:rPr>
            </w:pPr>
            <w:r>
              <w:rPr>
                <w:sz w:val="18"/>
              </w:rPr>
              <w:t>2019</w:t>
            </w:r>
          </w:p>
        </w:tc>
        <w:tc>
          <w:tcPr>
            <w:tcW w:w="1416" w:type="dxa"/>
            <w:shd w:val="clear" w:color="auto" w:fill="auto"/>
          </w:tcPr>
          <w:p w14:paraId="6A5ADB3B" w14:textId="77777777" w:rsidR="00377434" w:rsidRPr="00166851" w:rsidRDefault="00377434" w:rsidP="00377434">
            <w:pPr>
              <w:spacing w:after="60"/>
              <w:jc w:val="center"/>
              <w:rPr>
                <w:sz w:val="18"/>
              </w:rPr>
            </w:pPr>
            <w:r>
              <w:rPr>
                <w:sz w:val="18"/>
              </w:rPr>
              <w:t>2020</w:t>
            </w:r>
          </w:p>
        </w:tc>
        <w:tc>
          <w:tcPr>
            <w:tcW w:w="1791" w:type="dxa"/>
            <w:shd w:val="clear" w:color="auto" w:fill="auto"/>
          </w:tcPr>
          <w:p w14:paraId="3A99637D" w14:textId="77777777" w:rsidR="00377434" w:rsidRPr="00166851" w:rsidRDefault="00377434" w:rsidP="00377434">
            <w:pPr>
              <w:spacing w:after="60"/>
              <w:jc w:val="center"/>
              <w:rPr>
                <w:sz w:val="18"/>
              </w:rPr>
            </w:pPr>
            <w:r>
              <w:rPr>
                <w:sz w:val="18"/>
              </w:rPr>
              <w:t>Total</w:t>
            </w:r>
          </w:p>
        </w:tc>
      </w:tr>
      <w:tr w:rsidR="00377434" w:rsidRPr="00166851" w14:paraId="1B1F8702" w14:textId="77777777" w:rsidTr="00377434">
        <w:trPr>
          <w:trHeight w:val="246"/>
        </w:trPr>
        <w:tc>
          <w:tcPr>
            <w:tcW w:w="2065" w:type="dxa"/>
            <w:vMerge w:val="restart"/>
            <w:shd w:val="clear" w:color="auto" w:fill="auto"/>
          </w:tcPr>
          <w:p w14:paraId="441C1A72" w14:textId="77777777" w:rsidR="00377434" w:rsidRPr="00166851" w:rsidRDefault="00377434" w:rsidP="00377434">
            <w:pPr>
              <w:spacing w:after="60"/>
              <w:jc w:val="center"/>
              <w:rPr>
                <w:sz w:val="18"/>
              </w:rPr>
            </w:pPr>
            <w:r>
              <w:rPr>
                <w:sz w:val="18"/>
              </w:rPr>
              <w:t>ONUDI</w:t>
            </w:r>
          </w:p>
        </w:tc>
        <w:tc>
          <w:tcPr>
            <w:tcW w:w="0" w:type="auto"/>
            <w:shd w:val="clear" w:color="auto" w:fill="auto"/>
          </w:tcPr>
          <w:p w14:paraId="052F6C45" w14:textId="77777777" w:rsidR="00377434" w:rsidRPr="00166851" w:rsidRDefault="00377434" w:rsidP="00377434">
            <w:pPr>
              <w:spacing w:after="60"/>
              <w:jc w:val="left"/>
              <w:rPr>
                <w:sz w:val="18"/>
              </w:rPr>
            </w:pPr>
            <w:r>
              <w:rPr>
                <w:sz w:val="18"/>
              </w:rPr>
              <w:t>Élimination des SAO (tonnes PAO)</w:t>
            </w:r>
          </w:p>
        </w:tc>
        <w:tc>
          <w:tcPr>
            <w:tcW w:w="1415" w:type="dxa"/>
            <w:shd w:val="clear" w:color="auto" w:fill="auto"/>
          </w:tcPr>
          <w:p w14:paraId="07595947" w14:textId="77777777" w:rsidR="00377434" w:rsidRPr="00166851" w:rsidRDefault="00377434" w:rsidP="00377434">
            <w:pPr>
              <w:spacing w:after="60"/>
              <w:jc w:val="right"/>
              <w:rPr>
                <w:sz w:val="18"/>
              </w:rPr>
            </w:pPr>
            <w:r>
              <w:rPr>
                <w:sz w:val="18"/>
              </w:rPr>
              <w:t>0,54</w:t>
            </w:r>
          </w:p>
        </w:tc>
        <w:tc>
          <w:tcPr>
            <w:tcW w:w="1416" w:type="dxa"/>
            <w:shd w:val="clear" w:color="auto" w:fill="auto"/>
          </w:tcPr>
          <w:p w14:paraId="09C2B3D7" w14:textId="77777777" w:rsidR="00377434" w:rsidRPr="00166851" w:rsidRDefault="00377434" w:rsidP="00377434">
            <w:pPr>
              <w:spacing w:after="60"/>
              <w:jc w:val="right"/>
              <w:rPr>
                <w:sz w:val="18"/>
                <w:lang w:val="en-CA"/>
              </w:rPr>
            </w:pPr>
          </w:p>
        </w:tc>
        <w:tc>
          <w:tcPr>
            <w:tcW w:w="1791" w:type="dxa"/>
            <w:shd w:val="clear" w:color="auto" w:fill="auto"/>
          </w:tcPr>
          <w:p w14:paraId="0D79F7AE" w14:textId="77777777" w:rsidR="00377434" w:rsidRPr="00166851" w:rsidRDefault="00377434" w:rsidP="00377434">
            <w:pPr>
              <w:spacing w:after="60"/>
              <w:jc w:val="right"/>
              <w:rPr>
                <w:sz w:val="18"/>
              </w:rPr>
            </w:pPr>
            <w:r>
              <w:rPr>
                <w:sz w:val="18"/>
              </w:rPr>
              <w:t>0,54</w:t>
            </w:r>
          </w:p>
        </w:tc>
      </w:tr>
      <w:tr w:rsidR="00377434" w:rsidRPr="00166851" w14:paraId="2E76FD67" w14:textId="77777777" w:rsidTr="00377434">
        <w:trPr>
          <w:trHeight w:val="246"/>
        </w:trPr>
        <w:tc>
          <w:tcPr>
            <w:tcW w:w="2065" w:type="dxa"/>
            <w:vMerge/>
            <w:shd w:val="clear" w:color="auto" w:fill="auto"/>
          </w:tcPr>
          <w:p w14:paraId="238B256E" w14:textId="77777777" w:rsidR="00377434" w:rsidRPr="00166851" w:rsidRDefault="00377434" w:rsidP="00377434">
            <w:pPr>
              <w:spacing w:after="60"/>
              <w:jc w:val="center"/>
              <w:rPr>
                <w:sz w:val="18"/>
                <w:lang w:val="en-CA"/>
              </w:rPr>
            </w:pPr>
          </w:p>
        </w:tc>
        <w:tc>
          <w:tcPr>
            <w:tcW w:w="0" w:type="auto"/>
            <w:shd w:val="clear" w:color="auto" w:fill="auto"/>
          </w:tcPr>
          <w:p w14:paraId="2C27AE4D" w14:textId="77892A2C" w:rsidR="00377434" w:rsidRPr="00166851" w:rsidRDefault="00377434" w:rsidP="00377434">
            <w:pPr>
              <w:spacing w:after="60"/>
              <w:jc w:val="left"/>
              <w:rPr>
                <w:sz w:val="18"/>
              </w:rPr>
            </w:pPr>
            <w:r>
              <w:rPr>
                <w:sz w:val="18"/>
              </w:rPr>
              <w:t>Financement ($ US)</w:t>
            </w:r>
          </w:p>
        </w:tc>
        <w:tc>
          <w:tcPr>
            <w:tcW w:w="1415" w:type="dxa"/>
            <w:shd w:val="clear" w:color="auto" w:fill="auto"/>
          </w:tcPr>
          <w:p w14:paraId="09568270" w14:textId="77777777" w:rsidR="00377434" w:rsidRPr="00166851" w:rsidRDefault="00377434" w:rsidP="00377434">
            <w:pPr>
              <w:spacing w:after="60"/>
              <w:jc w:val="right"/>
              <w:rPr>
                <w:sz w:val="18"/>
              </w:rPr>
            </w:pPr>
            <w:r>
              <w:rPr>
                <w:sz w:val="18"/>
              </w:rPr>
              <w:t>81 750</w:t>
            </w:r>
          </w:p>
        </w:tc>
        <w:tc>
          <w:tcPr>
            <w:tcW w:w="1416" w:type="dxa"/>
            <w:shd w:val="clear" w:color="auto" w:fill="auto"/>
          </w:tcPr>
          <w:p w14:paraId="56D6BA95" w14:textId="77777777" w:rsidR="00377434" w:rsidRPr="00166851" w:rsidRDefault="00377434" w:rsidP="00377434">
            <w:pPr>
              <w:spacing w:after="60"/>
              <w:jc w:val="right"/>
              <w:rPr>
                <w:sz w:val="18"/>
                <w:lang w:val="en-CA"/>
              </w:rPr>
            </w:pPr>
          </w:p>
        </w:tc>
        <w:tc>
          <w:tcPr>
            <w:tcW w:w="1791" w:type="dxa"/>
            <w:shd w:val="clear" w:color="auto" w:fill="auto"/>
          </w:tcPr>
          <w:p w14:paraId="06C0D34E" w14:textId="77777777" w:rsidR="00377434" w:rsidRPr="00166851" w:rsidRDefault="00377434" w:rsidP="00377434">
            <w:pPr>
              <w:spacing w:after="60"/>
              <w:jc w:val="right"/>
              <w:rPr>
                <w:sz w:val="18"/>
              </w:rPr>
            </w:pPr>
            <w:r>
              <w:rPr>
                <w:sz w:val="18"/>
              </w:rPr>
              <w:t>81 750</w:t>
            </w:r>
          </w:p>
        </w:tc>
      </w:tr>
      <w:tr w:rsidR="00377434" w:rsidRPr="00166851" w14:paraId="3CC9BAE9" w14:textId="77777777" w:rsidTr="00377434">
        <w:trPr>
          <w:trHeight w:val="246"/>
        </w:trPr>
        <w:tc>
          <w:tcPr>
            <w:tcW w:w="2065" w:type="dxa"/>
            <w:vMerge w:val="restart"/>
            <w:shd w:val="clear" w:color="auto" w:fill="auto"/>
          </w:tcPr>
          <w:p w14:paraId="25E41663" w14:textId="77777777" w:rsidR="00377434" w:rsidRPr="00166851" w:rsidRDefault="00377434" w:rsidP="00377434">
            <w:pPr>
              <w:spacing w:after="60"/>
              <w:jc w:val="center"/>
              <w:rPr>
                <w:sz w:val="18"/>
              </w:rPr>
            </w:pPr>
            <w:r>
              <w:rPr>
                <w:sz w:val="18"/>
              </w:rPr>
              <w:t>PNUE</w:t>
            </w:r>
          </w:p>
        </w:tc>
        <w:tc>
          <w:tcPr>
            <w:tcW w:w="0" w:type="auto"/>
            <w:shd w:val="clear" w:color="auto" w:fill="auto"/>
          </w:tcPr>
          <w:p w14:paraId="3A3B8FC2" w14:textId="77777777" w:rsidR="00377434" w:rsidRPr="00166851" w:rsidRDefault="00377434" w:rsidP="00377434">
            <w:pPr>
              <w:spacing w:after="60"/>
              <w:jc w:val="left"/>
              <w:rPr>
                <w:sz w:val="18"/>
              </w:rPr>
            </w:pPr>
            <w:r>
              <w:rPr>
                <w:sz w:val="18"/>
              </w:rPr>
              <w:t>Élimination des SAO (tonnes PAO)</w:t>
            </w:r>
          </w:p>
        </w:tc>
        <w:tc>
          <w:tcPr>
            <w:tcW w:w="1415" w:type="dxa"/>
            <w:shd w:val="clear" w:color="auto" w:fill="auto"/>
          </w:tcPr>
          <w:p w14:paraId="1A06DD5F" w14:textId="77777777" w:rsidR="00377434" w:rsidRPr="00166851" w:rsidRDefault="00377434" w:rsidP="00377434">
            <w:pPr>
              <w:spacing w:after="60"/>
              <w:jc w:val="right"/>
              <w:rPr>
                <w:sz w:val="18"/>
              </w:rPr>
            </w:pPr>
            <w:r>
              <w:rPr>
                <w:sz w:val="18"/>
              </w:rPr>
              <w:t>0,44</w:t>
            </w:r>
          </w:p>
        </w:tc>
        <w:tc>
          <w:tcPr>
            <w:tcW w:w="1416" w:type="dxa"/>
            <w:shd w:val="clear" w:color="auto" w:fill="auto"/>
          </w:tcPr>
          <w:p w14:paraId="14673B77" w14:textId="77777777" w:rsidR="00377434" w:rsidRPr="00166851" w:rsidRDefault="00377434" w:rsidP="00377434">
            <w:pPr>
              <w:spacing w:after="60"/>
              <w:jc w:val="right"/>
              <w:rPr>
                <w:sz w:val="18"/>
              </w:rPr>
            </w:pPr>
            <w:r>
              <w:rPr>
                <w:sz w:val="18"/>
              </w:rPr>
              <w:t>0,22</w:t>
            </w:r>
          </w:p>
        </w:tc>
        <w:tc>
          <w:tcPr>
            <w:tcW w:w="1791" w:type="dxa"/>
            <w:shd w:val="clear" w:color="auto" w:fill="auto"/>
          </w:tcPr>
          <w:p w14:paraId="5760EF50" w14:textId="77777777" w:rsidR="00377434" w:rsidRPr="00166851" w:rsidRDefault="00377434" w:rsidP="00377434">
            <w:pPr>
              <w:spacing w:after="60"/>
              <w:jc w:val="right"/>
              <w:rPr>
                <w:sz w:val="18"/>
              </w:rPr>
            </w:pPr>
            <w:r>
              <w:rPr>
                <w:sz w:val="18"/>
              </w:rPr>
              <w:t>0,66</w:t>
            </w:r>
          </w:p>
        </w:tc>
      </w:tr>
      <w:tr w:rsidR="00377434" w:rsidRPr="00166851" w14:paraId="73B17F14" w14:textId="77777777" w:rsidTr="00377434">
        <w:trPr>
          <w:trHeight w:val="246"/>
        </w:trPr>
        <w:tc>
          <w:tcPr>
            <w:tcW w:w="2065" w:type="dxa"/>
            <w:vMerge/>
            <w:shd w:val="clear" w:color="auto" w:fill="auto"/>
          </w:tcPr>
          <w:p w14:paraId="2214573C" w14:textId="77777777" w:rsidR="00377434" w:rsidRPr="00166851" w:rsidRDefault="00377434" w:rsidP="00377434">
            <w:pPr>
              <w:spacing w:after="60"/>
              <w:jc w:val="center"/>
              <w:rPr>
                <w:sz w:val="18"/>
                <w:lang w:val="en-CA"/>
              </w:rPr>
            </w:pPr>
          </w:p>
        </w:tc>
        <w:tc>
          <w:tcPr>
            <w:tcW w:w="0" w:type="auto"/>
            <w:shd w:val="clear" w:color="auto" w:fill="auto"/>
          </w:tcPr>
          <w:p w14:paraId="0163636E" w14:textId="4BE6D2AC" w:rsidR="00377434" w:rsidRPr="00166851" w:rsidRDefault="00377434" w:rsidP="00377434">
            <w:pPr>
              <w:spacing w:after="60"/>
              <w:jc w:val="left"/>
              <w:rPr>
                <w:sz w:val="18"/>
              </w:rPr>
            </w:pPr>
            <w:r>
              <w:rPr>
                <w:sz w:val="18"/>
              </w:rPr>
              <w:t>Financement ($ US)</w:t>
            </w:r>
          </w:p>
        </w:tc>
        <w:tc>
          <w:tcPr>
            <w:tcW w:w="1415" w:type="dxa"/>
            <w:shd w:val="clear" w:color="auto" w:fill="auto"/>
          </w:tcPr>
          <w:p w14:paraId="5CEA2323" w14:textId="77777777" w:rsidR="00377434" w:rsidRPr="00166851" w:rsidRDefault="00377434" w:rsidP="00377434">
            <w:pPr>
              <w:spacing w:after="60"/>
              <w:jc w:val="right"/>
              <w:rPr>
                <w:sz w:val="18"/>
              </w:rPr>
            </w:pPr>
            <w:r>
              <w:rPr>
                <w:sz w:val="18"/>
              </w:rPr>
              <w:t>67 800</w:t>
            </w:r>
          </w:p>
        </w:tc>
        <w:tc>
          <w:tcPr>
            <w:tcW w:w="1416" w:type="dxa"/>
            <w:shd w:val="clear" w:color="auto" w:fill="auto"/>
          </w:tcPr>
          <w:p w14:paraId="1D52EE0E" w14:textId="77777777" w:rsidR="00377434" w:rsidRPr="00166851" w:rsidRDefault="00377434" w:rsidP="00377434">
            <w:pPr>
              <w:spacing w:after="60"/>
              <w:jc w:val="right"/>
              <w:rPr>
                <w:sz w:val="18"/>
              </w:rPr>
            </w:pPr>
            <w:r>
              <w:rPr>
                <w:sz w:val="18"/>
              </w:rPr>
              <w:t>33 900</w:t>
            </w:r>
          </w:p>
        </w:tc>
        <w:tc>
          <w:tcPr>
            <w:tcW w:w="1791" w:type="dxa"/>
            <w:shd w:val="clear" w:color="auto" w:fill="auto"/>
          </w:tcPr>
          <w:p w14:paraId="11834317" w14:textId="77777777" w:rsidR="00377434" w:rsidRPr="00166851" w:rsidRDefault="00377434" w:rsidP="00377434">
            <w:pPr>
              <w:spacing w:after="60"/>
              <w:jc w:val="right"/>
              <w:rPr>
                <w:sz w:val="18"/>
              </w:rPr>
            </w:pPr>
            <w:r>
              <w:rPr>
                <w:sz w:val="18"/>
              </w:rPr>
              <w:t>101 700</w:t>
            </w:r>
          </w:p>
        </w:tc>
      </w:tr>
    </w:tbl>
    <w:p w14:paraId="7B65052B" w14:textId="77777777" w:rsidR="00377434" w:rsidRPr="00FB6BFA" w:rsidRDefault="00377434" w:rsidP="00377434">
      <w:pPr>
        <w:spacing w:after="60"/>
        <w:jc w:val="center"/>
        <w:rPr>
          <w:sz w:val="16"/>
          <w:szCs w:val="16"/>
          <w:lang w:val="en-CA"/>
        </w:rPr>
      </w:pPr>
    </w:p>
    <w:tbl>
      <w:tblPr>
        <w:tblStyle w:val="TableGrid"/>
        <w:tblW w:w="11255" w:type="dxa"/>
        <w:tblInd w:w="-7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03"/>
        <w:gridCol w:w="894"/>
        <w:gridCol w:w="888"/>
        <w:gridCol w:w="801"/>
        <w:gridCol w:w="677"/>
        <w:gridCol w:w="711"/>
        <w:gridCol w:w="576"/>
        <w:gridCol w:w="801"/>
        <w:gridCol w:w="790"/>
        <w:gridCol w:w="739"/>
        <w:gridCol w:w="981"/>
        <w:gridCol w:w="947"/>
        <w:gridCol w:w="847"/>
      </w:tblGrid>
      <w:tr w:rsidR="00377434" w:rsidRPr="00A971FF" w14:paraId="0F77A769" w14:textId="77777777" w:rsidTr="00FB6BFA">
        <w:trPr>
          <w:trHeight w:val="267"/>
        </w:trPr>
        <w:tc>
          <w:tcPr>
            <w:tcW w:w="3385" w:type="dxa"/>
            <w:gridSpan w:val="3"/>
            <w:shd w:val="clear" w:color="auto" w:fill="auto"/>
          </w:tcPr>
          <w:p w14:paraId="6D8439D4" w14:textId="3C80EB76" w:rsidR="00377434" w:rsidRPr="00A971FF" w:rsidRDefault="00377434" w:rsidP="00377434">
            <w:pPr>
              <w:spacing w:after="60"/>
              <w:ind w:left="225" w:hanging="225"/>
              <w:jc w:val="left"/>
              <w:rPr>
                <w:b/>
                <w:sz w:val="18"/>
              </w:rPr>
            </w:pPr>
            <w:r w:rsidRPr="00A971FF">
              <w:rPr>
                <w:b/>
                <w:sz w:val="18"/>
              </w:rPr>
              <w:t>(VI) DONNÉES DU PROJET</w:t>
            </w:r>
            <w:r w:rsidR="00760F4D">
              <w:rPr>
                <w:b/>
                <w:sz w:val="18"/>
              </w:rPr>
              <w:t>*</w:t>
            </w:r>
          </w:p>
        </w:tc>
        <w:tc>
          <w:tcPr>
            <w:tcW w:w="801" w:type="dxa"/>
          </w:tcPr>
          <w:p w14:paraId="04AB79EC" w14:textId="77777777" w:rsidR="00377434" w:rsidRPr="00A971FF" w:rsidRDefault="00377434" w:rsidP="00377434">
            <w:pPr>
              <w:spacing w:after="60"/>
              <w:jc w:val="center"/>
              <w:rPr>
                <w:b/>
                <w:sz w:val="18"/>
              </w:rPr>
            </w:pPr>
            <w:r w:rsidRPr="00A971FF">
              <w:rPr>
                <w:b/>
                <w:sz w:val="18"/>
              </w:rPr>
              <w:t>2012</w:t>
            </w:r>
          </w:p>
        </w:tc>
        <w:tc>
          <w:tcPr>
            <w:tcW w:w="677" w:type="dxa"/>
          </w:tcPr>
          <w:p w14:paraId="4171089C" w14:textId="77777777" w:rsidR="00377434" w:rsidRPr="00A971FF" w:rsidRDefault="00377434" w:rsidP="00377434">
            <w:pPr>
              <w:spacing w:after="60"/>
              <w:jc w:val="center"/>
              <w:rPr>
                <w:b/>
                <w:sz w:val="18"/>
              </w:rPr>
            </w:pPr>
            <w:r w:rsidRPr="00A971FF">
              <w:rPr>
                <w:b/>
                <w:sz w:val="18"/>
              </w:rPr>
              <w:t>2013</w:t>
            </w:r>
          </w:p>
        </w:tc>
        <w:tc>
          <w:tcPr>
            <w:tcW w:w="0" w:type="auto"/>
            <w:shd w:val="clear" w:color="auto" w:fill="auto"/>
          </w:tcPr>
          <w:p w14:paraId="28641327" w14:textId="77777777" w:rsidR="00377434" w:rsidRPr="00A971FF" w:rsidRDefault="00377434" w:rsidP="00377434">
            <w:pPr>
              <w:spacing w:after="60"/>
              <w:jc w:val="center"/>
              <w:rPr>
                <w:b/>
                <w:sz w:val="18"/>
              </w:rPr>
            </w:pPr>
            <w:r w:rsidRPr="00A971FF">
              <w:rPr>
                <w:b/>
                <w:sz w:val="18"/>
              </w:rPr>
              <w:t>2014</w:t>
            </w:r>
          </w:p>
        </w:tc>
        <w:tc>
          <w:tcPr>
            <w:tcW w:w="0" w:type="auto"/>
            <w:shd w:val="clear" w:color="auto" w:fill="auto"/>
          </w:tcPr>
          <w:p w14:paraId="223F87C7" w14:textId="77777777" w:rsidR="00377434" w:rsidRPr="00A971FF" w:rsidRDefault="00377434" w:rsidP="00377434">
            <w:pPr>
              <w:spacing w:after="60"/>
              <w:jc w:val="center"/>
              <w:rPr>
                <w:b/>
                <w:sz w:val="18"/>
              </w:rPr>
            </w:pPr>
            <w:r w:rsidRPr="00A971FF">
              <w:rPr>
                <w:b/>
                <w:sz w:val="18"/>
              </w:rPr>
              <w:t>2015</w:t>
            </w:r>
          </w:p>
        </w:tc>
        <w:tc>
          <w:tcPr>
            <w:tcW w:w="0" w:type="auto"/>
            <w:shd w:val="clear" w:color="auto" w:fill="auto"/>
          </w:tcPr>
          <w:p w14:paraId="7A489124" w14:textId="572D42BC" w:rsidR="00377434" w:rsidRPr="00A971FF" w:rsidRDefault="00377434" w:rsidP="00676F74">
            <w:pPr>
              <w:spacing w:after="60"/>
              <w:jc w:val="center"/>
              <w:rPr>
                <w:b/>
                <w:sz w:val="18"/>
              </w:rPr>
            </w:pPr>
            <w:r w:rsidRPr="00A971FF">
              <w:rPr>
                <w:b/>
                <w:sz w:val="18"/>
              </w:rPr>
              <w:t>2016</w:t>
            </w:r>
          </w:p>
        </w:tc>
        <w:tc>
          <w:tcPr>
            <w:tcW w:w="790" w:type="dxa"/>
            <w:shd w:val="clear" w:color="auto" w:fill="auto"/>
          </w:tcPr>
          <w:p w14:paraId="4CF50697" w14:textId="77777777" w:rsidR="00377434" w:rsidRPr="00A971FF" w:rsidRDefault="00377434" w:rsidP="00377434">
            <w:pPr>
              <w:spacing w:after="60"/>
              <w:jc w:val="center"/>
              <w:rPr>
                <w:b/>
                <w:sz w:val="18"/>
              </w:rPr>
            </w:pPr>
            <w:r w:rsidRPr="00A971FF">
              <w:rPr>
                <w:b/>
                <w:sz w:val="18"/>
              </w:rPr>
              <w:t>2017</w:t>
            </w:r>
          </w:p>
        </w:tc>
        <w:tc>
          <w:tcPr>
            <w:tcW w:w="739" w:type="dxa"/>
            <w:shd w:val="clear" w:color="auto" w:fill="auto"/>
          </w:tcPr>
          <w:p w14:paraId="6F0ABA13" w14:textId="3D530858" w:rsidR="00377434" w:rsidRPr="00A971FF" w:rsidRDefault="00377434" w:rsidP="00377434">
            <w:pPr>
              <w:spacing w:after="60"/>
              <w:jc w:val="center"/>
              <w:rPr>
                <w:b/>
                <w:sz w:val="18"/>
              </w:rPr>
            </w:pPr>
            <w:r w:rsidRPr="00A971FF">
              <w:rPr>
                <w:b/>
                <w:sz w:val="18"/>
              </w:rPr>
              <w:t>2018</w:t>
            </w:r>
          </w:p>
        </w:tc>
        <w:tc>
          <w:tcPr>
            <w:tcW w:w="981" w:type="dxa"/>
            <w:shd w:val="clear" w:color="auto" w:fill="auto"/>
          </w:tcPr>
          <w:p w14:paraId="09916856" w14:textId="77777777" w:rsidR="00377434" w:rsidRPr="00A971FF" w:rsidRDefault="00377434" w:rsidP="00377434">
            <w:pPr>
              <w:spacing w:after="60"/>
              <w:jc w:val="center"/>
              <w:rPr>
                <w:b/>
                <w:sz w:val="18"/>
              </w:rPr>
            </w:pPr>
            <w:r w:rsidRPr="00A971FF">
              <w:rPr>
                <w:b/>
                <w:sz w:val="18"/>
              </w:rPr>
              <w:t>2019</w:t>
            </w:r>
          </w:p>
        </w:tc>
        <w:tc>
          <w:tcPr>
            <w:tcW w:w="947" w:type="dxa"/>
            <w:shd w:val="clear" w:color="auto" w:fill="auto"/>
          </w:tcPr>
          <w:p w14:paraId="2A5C616B" w14:textId="77777777" w:rsidR="00377434" w:rsidRPr="00A971FF" w:rsidRDefault="00377434" w:rsidP="00377434">
            <w:pPr>
              <w:spacing w:after="60"/>
              <w:jc w:val="center"/>
              <w:rPr>
                <w:b/>
                <w:sz w:val="18"/>
              </w:rPr>
            </w:pPr>
            <w:r w:rsidRPr="00A971FF">
              <w:rPr>
                <w:b/>
                <w:sz w:val="18"/>
              </w:rPr>
              <w:t>2020</w:t>
            </w:r>
          </w:p>
        </w:tc>
        <w:tc>
          <w:tcPr>
            <w:tcW w:w="847" w:type="dxa"/>
            <w:shd w:val="clear" w:color="auto" w:fill="auto"/>
          </w:tcPr>
          <w:p w14:paraId="351205DC" w14:textId="77777777" w:rsidR="00377434" w:rsidRPr="00A971FF" w:rsidRDefault="00377434" w:rsidP="00377434">
            <w:pPr>
              <w:spacing w:after="60"/>
              <w:jc w:val="center"/>
              <w:rPr>
                <w:b/>
                <w:sz w:val="18"/>
              </w:rPr>
            </w:pPr>
            <w:r w:rsidRPr="00A971FF">
              <w:rPr>
                <w:b/>
                <w:sz w:val="18"/>
              </w:rPr>
              <w:t>Total</w:t>
            </w:r>
          </w:p>
        </w:tc>
      </w:tr>
      <w:tr w:rsidR="00377434" w:rsidRPr="00166851" w14:paraId="606A1EAA" w14:textId="77777777" w:rsidTr="00FB6BFA">
        <w:trPr>
          <w:trHeight w:val="267"/>
        </w:trPr>
        <w:tc>
          <w:tcPr>
            <w:tcW w:w="3385" w:type="dxa"/>
            <w:gridSpan w:val="3"/>
            <w:shd w:val="clear" w:color="auto" w:fill="auto"/>
          </w:tcPr>
          <w:p w14:paraId="7C5E1C7D" w14:textId="77777777" w:rsidR="00377434" w:rsidRPr="00166851" w:rsidRDefault="00377434" w:rsidP="00377434">
            <w:pPr>
              <w:spacing w:after="60"/>
              <w:jc w:val="left"/>
              <w:rPr>
                <w:sz w:val="18"/>
              </w:rPr>
            </w:pPr>
            <w:r>
              <w:rPr>
                <w:sz w:val="18"/>
              </w:rPr>
              <w:t>Limites de consommation en vertu du Protocole de Montréal</w:t>
            </w:r>
          </w:p>
        </w:tc>
        <w:tc>
          <w:tcPr>
            <w:tcW w:w="801" w:type="dxa"/>
          </w:tcPr>
          <w:p w14:paraId="4177F433" w14:textId="77777777" w:rsidR="00377434" w:rsidRPr="00166851" w:rsidRDefault="00377434" w:rsidP="00377434">
            <w:pPr>
              <w:spacing w:after="60"/>
              <w:jc w:val="right"/>
              <w:rPr>
                <w:sz w:val="18"/>
              </w:rPr>
            </w:pPr>
            <w:r>
              <w:rPr>
                <w:sz w:val="18"/>
              </w:rPr>
              <w:t>s. o.</w:t>
            </w:r>
          </w:p>
        </w:tc>
        <w:tc>
          <w:tcPr>
            <w:tcW w:w="677" w:type="dxa"/>
          </w:tcPr>
          <w:p w14:paraId="31E02E0E" w14:textId="77777777" w:rsidR="00377434" w:rsidRPr="00166851" w:rsidRDefault="00377434" w:rsidP="00377434">
            <w:pPr>
              <w:spacing w:after="60"/>
              <w:jc w:val="right"/>
              <w:rPr>
                <w:sz w:val="18"/>
              </w:rPr>
            </w:pPr>
            <w:r>
              <w:rPr>
                <w:sz w:val="18"/>
              </w:rPr>
              <w:t>8,69</w:t>
            </w:r>
          </w:p>
        </w:tc>
        <w:tc>
          <w:tcPr>
            <w:tcW w:w="0" w:type="auto"/>
            <w:shd w:val="clear" w:color="auto" w:fill="auto"/>
          </w:tcPr>
          <w:p w14:paraId="0053ADA6" w14:textId="77777777" w:rsidR="00377434" w:rsidRPr="00166851" w:rsidRDefault="00377434" w:rsidP="00377434">
            <w:pPr>
              <w:spacing w:after="60"/>
              <w:jc w:val="right"/>
              <w:rPr>
                <w:sz w:val="18"/>
              </w:rPr>
            </w:pPr>
            <w:r>
              <w:rPr>
                <w:sz w:val="18"/>
              </w:rPr>
              <w:t>8,69</w:t>
            </w:r>
          </w:p>
        </w:tc>
        <w:tc>
          <w:tcPr>
            <w:tcW w:w="0" w:type="auto"/>
            <w:shd w:val="clear" w:color="auto" w:fill="auto"/>
          </w:tcPr>
          <w:p w14:paraId="253975A0" w14:textId="77777777" w:rsidR="00377434" w:rsidRPr="00166851" w:rsidRDefault="00377434" w:rsidP="00377434">
            <w:pPr>
              <w:spacing w:after="60"/>
              <w:jc w:val="right"/>
              <w:rPr>
                <w:sz w:val="18"/>
              </w:rPr>
            </w:pPr>
            <w:r>
              <w:rPr>
                <w:sz w:val="18"/>
              </w:rPr>
              <w:t>7,82</w:t>
            </w:r>
          </w:p>
        </w:tc>
        <w:tc>
          <w:tcPr>
            <w:tcW w:w="0" w:type="auto"/>
            <w:shd w:val="clear" w:color="auto" w:fill="auto"/>
          </w:tcPr>
          <w:p w14:paraId="28623712" w14:textId="77777777" w:rsidR="00377434" w:rsidRPr="00166851" w:rsidRDefault="00377434" w:rsidP="00377434">
            <w:pPr>
              <w:spacing w:after="60"/>
              <w:jc w:val="right"/>
              <w:rPr>
                <w:sz w:val="18"/>
              </w:rPr>
            </w:pPr>
            <w:r>
              <w:rPr>
                <w:sz w:val="18"/>
              </w:rPr>
              <w:t>7,82</w:t>
            </w:r>
          </w:p>
        </w:tc>
        <w:tc>
          <w:tcPr>
            <w:tcW w:w="790" w:type="dxa"/>
            <w:shd w:val="clear" w:color="auto" w:fill="auto"/>
          </w:tcPr>
          <w:p w14:paraId="5AE77B63" w14:textId="77777777" w:rsidR="00377434" w:rsidRPr="00166851" w:rsidRDefault="00377434" w:rsidP="00377434">
            <w:pPr>
              <w:spacing w:after="60"/>
              <w:jc w:val="right"/>
              <w:rPr>
                <w:sz w:val="18"/>
              </w:rPr>
            </w:pPr>
            <w:r>
              <w:rPr>
                <w:sz w:val="18"/>
              </w:rPr>
              <w:t>7,82</w:t>
            </w:r>
          </w:p>
        </w:tc>
        <w:tc>
          <w:tcPr>
            <w:tcW w:w="739" w:type="dxa"/>
            <w:shd w:val="clear" w:color="auto" w:fill="auto"/>
          </w:tcPr>
          <w:p w14:paraId="7D757A99" w14:textId="77777777" w:rsidR="00377434" w:rsidRPr="00166851" w:rsidRDefault="00377434" w:rsidP="00377434">
            <w:pPr>
              <w:spacing w:after="60"/>
              <w:jc w:val="right"/>
              <w:rPr>
                <w:sz w:val="18"/>
              </w:rPr>
            </w:pPr>
            <w:r>
              <w:rPr>
                <w:sz w:val="18"/>
              </w:rPr>
              <w:t>7,82</w:t>
            </w:r>
          </w:p>
        </w:tc>
        <w:tc>
          <w:tcPr>
            <w:tcW w:w="981" w:type="dxa"/>
            <w:shd w:val="clear" w:color="auto" w:fill="auto"/>
          </w:tcPr>
          <w:p w14:paraId="1EED4688" w14:textId="77777777" w:rsidR="00377434" w:rsidRPr="00166851" w:rsidRDefault="00377434" w:rsidP="00377434">
            <w:pPr>
              <w:spacing w:after="60"/>
              <w:jc w:val="right"/>
              <w:rPr>
                <w:sz w:val="18"/>
              </w:rPr>
            </w:pPr>
            <w:r>
              <w:rPr>
                <w:sz w:val="18"/>
              </w:rPr>
              <w:t>7,82</w:t>
            </w:r>
          </w:p>
        </w:tc>
        <w:tc>
          <w:tcPr>
            <w:tcW w:w="947" w:type="dxa"/>
            <w:shd w:val="clear" w:color="auto" w:fill="auto"/>
          </w:tcPr>
          <w:p w14:paraId="0FB78821" w14:textId="77777777" w:rsidR="00377434" w:rsidRPr="00166851" w:rsidRDefault="00377434" w:rsidP="00377434">
            <w:pPr>
              <w:spacing w:after="60"/>
              <w:jc w:val="right"/>
              <w:rPr>
                <w:sz w:val="18"/>
              </w:rPr>
            </w:pPr>
            <w:r>
              <w:rPr>
                <w:sz w:val="18"/>
              </w:rPr>
              <w:t>5,65</w:t>
            </w:r>
          </w:p>
        </w:tc>
        <w:tc>
          <w:tcPr>
            <w:tcW w:w="847" w:type="dxa"/>
            <w:shd w:val="clear" w:color="auto" w:fill="auto"/>
          </w:tcPr>
          <w:p w14:paraId="0EEE20B9" w14:textId="77777777" w:rsidR="00377434" w:rsidRPr="00166851" w:rsidRDefault="00377434" w:rsidP="00377434">
            <w:pPr>
              <w:spacing w:after="60"/>
              <w:jc w:val="right"/>
              <w:rPr>
                <w:sz w:val="18"/>
              </w:rPr>
            </w:pPr>
            <w:r>
              <w:rPr>
                <w:sz w:val="18"/>
              </w:rPr>
              <w:t>s. o.</w:t>
            </w:r>
          </w:p>
        </w:tc>
      </w:tr>
      <w:tr w:rsidR="00377434" w:rsidRPr="00166851" w14:paraId="1AA74F48" w14:textId="77777777" w:rsidTr="00FB6BFA">
        <w:trPr>
          <w:trHeight w:val="267"/>
        </w:trPr>
        <w:tc>
          <w:tcPr>
            <w:tcW w:w="3385" w:type="dxa"/>
            <w:gridSpan w:val="3"/>
            <w:shd w:val="clear" w:color="auto" w:fill="auto"/>
          </w:tcPr>
          <w:p w14:paraId="62274835" w14:textId="77777777" w:rsidR="00377434" w:rsidRPr="00166851" w:rsidRDefault="00377434" w:rsidP="00377434">
            <w:pPr>
              <w:spacing w:after="60"/>
              <w:jc w:val="left"/>
              <w:rPr>
                <w:sz w:val="18"/>
              </w:rPr>
            </w:pPr>
            <w:r>
              <w:rPr>
                <w:sz w:val="18"/>
              </w:rPr>
              <w:t>Consommation maximale autorisée (tonnes PAO)</w:t>
            </w:r>
          </w:p>
        </w:tc>
        <w:tc>
          <w:tcPr>
            <w:tcW w:w="801" w:type="dxa"/>
          </w:tcPr>
          <w:p w14:paraId="1809FB0A" w14:textId="77777777" w:rsidR="00377434" w:rsidRPr="00166851" w:rsidRDefault="00377434" w:rsidP="00377434">
            <w:pPr>
              <w:spacing w:after="60"/>
              <w:jc w:val="right"/>
              <w:rPr>
                <w:sz w:val="18"/>
              </w:rPr>
            </w:pPr>
            <w:r>
              <w:rPr>
                <w:sz w:val="18"/>
              </w:rPr>
              <w:t>s. o.</w:t>
            </w:r>
          </w:p>
        </w:tc>
        <w:tc>
          <w:tcPr>
            <w:tcW w:w="677" w:type="dxa"/>
          </w:tcPr>
          <w:p w14:paraId="51F063AE" w14:textId="77777777" w:rsidR="00377434" w:rsidRPr="00166851" w:rsidRDefault="00377434" w:rsidP="00377434">
            <w:pPr>
              <w:spacing w:after="60"/>
              <w:jc w:val="right"/>
              <w:rPr>
                <w:sz w:val="18"/>
              </w:rPr>
            </w:pPr>
            <w:r>
              <w:rPr>
                <w:sz w:val="18"/>
              </w:rPr>
              <w:t>8,69</w:t>
            </w:r>
          </w:p>
        </w:tc>
        <w:tc>
          <w:tcPr>
            <w:tcW w:w="0" w:type="auto"/>
            <w:shd w:val="clear" w:color="auto" w:fill="auto"/>
          </w:tcPr>
          <w:p w14:paraId="0E2CFB22" w14:textId="77777777" w:rsidR="00377434" w:rsidRPr="00166851" w:rsidRDefault="00377434" w:rsidP="00377434">
            <w:pPr>
              <w:spacing w:after="60"/>
              <w:jc w:val="right"/>
              <w:rPr>
                <w:sz w:val="18"/>
              </w:rPr>
            </w:pPr>
            <w:r>
              <w:rPr>
                <w:sz w:val="18"/>
              </w:rPr>
              <w:t>8,69</w:t>
            </w:r>
          </w:p>
        </w:tc>
        <w:tc>
          <w:tcPr>
            <w:tcW w:w="0" w:type="auto"/>
            <w:shd w:val="clear" w:color="auto" w:fill="auto"/>
          </w:tcPr>
          <w:p w14:paraId="6EAAF08F" w14:textId="77777777" w:rsidR="00377434" w:rsidRPr="00166851" w:rsidRDefault="00377434" w:rsidP="00377434">
            <w:pPr>
              <w:spacing w:after="60"/>
              <w:jc w:val="right"/>
              <w:rPr>
                <w:sz w:val="18"/>
              </w:rPr>
            </w:pPr>
            <w:r>
              <w:rPr>
                <w:sz w:val="18"/>
              </w:rPr>
              <w:t>7,82</w:t>
            </w:r>
          </w:p>
        </w:tc>
        <w:tc>
          <w:tcPr>
            <w:tcW w:w="0" w:type="auto"/>
            <w:shd w:val="clear" w:color="auto" w:fill="auto"/>
          </w:tcPr>
          <w:p w14:paraId="2EDB9A68" w14:textId="77777777" w:rsidR="00377434" w:rsidRPr="00166851" w:rsidRDefault="00377434" w:rsidP="00377434">
            <w:pPr>
              <w:spacing w:after="60"/>
              <w:jc w:val="right"/>
              <w:rPr>
                <w:sz w:val="18"/>
              </w:rPr>
            </w:pPr>
            <w:r>
              <w:rPr>
                <w:sz w:val="18"/>
              </w:rPr>
              <w:t>7,82</w:t>
            </w:r>
          </w:p>
        </w:tc>
        <w:tc>
          <w:tcPr>
            <w:tcW w:w="790" w:type="dxa"/>
            <w:shd w:val="clear" w:color="auto" w:fill="auto"/>
          </w:tcPr>
          <w:p w14:paraId="39BF5662" w14:textId="77777777" w:rsidR="00377434" w:rsidRPr="00166851" w:rsidRDefault="00377434" w:rsidP="00377434">
            <w:pPr>
              <w:spacing w:after="60"/>
              <w:jc w:val="right"/>
              <w:rPr>
                <w:sz w:val="18"/>
              </w:rPr>
            </w:pPr>
            <w:r>
              <w:rPr>
                <w:sz w:val="18"/>
              </w:rPr>
              <w:t>7,82</w:t>
            </w:r>
          </w:p>
        </w:tc>
        <w:tc>
          <w:tcPr>
            <w:tcW w:w="739" w:type="dxa"/>
            <w:shd w:val="clear" w:color="auto" w:fill="auto"/>
          </w:tcPr>
          <w:p w14:paraId="7C61B5D4" w14:textId="77777777" w:rsidR="00377434" w:rsidRPr="00166851" w:rsidRDefault="00377434" w:rsidP="00377434">
            <w:pPr>
              <w:spacing w:after="60"/>
              <w:jc w:val="right"/>
              <w:rPr>
                <w:sz w:val="18"/>
              </w:rPr>
            </w:pPr>
            <w:r>
              <w:rPr>
                <w:sz w:val="18"/>
              </w:rPr>
              <w:t>7,82</w:t>
            </w:r>
          </w:p>
        </w:tc>
        <w:tc>
          <w:tcPr>
            <w:tcW w:w="981" w:type="dxa"/>
            <w:shd w:val="clear" w:color="auto" w:fill="auto"/>
          </w:tcPr>
          <w:p w14:paraId="4B898A1D" w14:textId="77777777" w:rsidR="00377434" w:rsidRPr="00166851" w:rsidRDefault="00377434" w:rsidP="00377434">
            <w:pPr>
              <w:spacing w:after="60"/>
              <w:jc w:val="right"/>
              <w:rPr>
                <w:sz w:val="18"/>
              </w:rPr>
            </w:pPr>
            <w:r>
              <w:rPr>
                <w:sz w:val="18"/>
              </w:rPr>
              <w:t>7,82</w:t>
            </w:r>
          </w:p>
        </w:tc>
        <w:tc>
          <w:tcPr>
            <w:tcW w:w="947" w:type="dxa"/>
            <w:shd w:val="clear" w:color="auto" w:fill="auto"/>
          </w:tcPr>
          <w:p w14:paraId="76845D5D" w14:textId="77777777" w:rsidR="00377434" w:rsidRPr="00166851" w:rsidRDefault="00377434" w:rsidP="00377434">
            <w:pPr>
              <w:spacing w:after="60"/>
              <w:jc w:val="right"/>
              <w:rPr>
                <w:sz w:val="18"/>
              </w:rPr>
            </w:pPr>
            <w:r>
              <w:rPr>
                <w:sz w:val="18"/>
              </w:rPr>
              <w:t>5,65</w:t>
            </w:r>
          </w:p>
        </w:tc>
        <w:tc>
          <w:tcPr>
            <w:tcW w:w="847" w:type="dxa"/>
            <w:shd w:val="clear" w:color="auto" w:fill="auto"/>
          </w:tcPr>
          <w:p w14:paraId="4EFEA907" w14:textId="77777777" w:rsidR="00377434" w:rsidRPr="00166851" w:rsidRDefault="00377434" w:rsidP="00377434">
            <w:pPr>
              <w:spacing w:after="60"/>
              <w:jc w:val="right"/>
              <w:rPr>
                <w:sz w:val="18"/>
              </w:rPr>
            </w:pPr>
            <w:r>
              <w:rPr>
                <w:sz w:val="18"/>
              </w:rPr>
              <w:t>s. o.</w:t>
            </w:r>
          </w:p>
        </w:tc>
      </w:tr>
      <w:tr w:rsidR="00377434" w:rsidRPr="00166851" w14:paraId="49DF6794" w14:textId="77777777" w:rsidTr="009418BF">
        <w:trPr>
          <w:trHeight w:val="308"/>
        </w:trPr>
        <w:tc>
          <w:tcPr>
            <w:tcW w:w="0" w:type="auto"/>
            <w:vMerge w:val="restart"/>
            <w:shd w:val="clear" w:color="auto" w:fill="auto"/>
          </w:tcPr>
          <w:p w14:paraId="1F99398D" w14:textId="77777777" w:rsidR="00377434" w:rsidRPr="00166851" w:rsidRDefault="00377434" w:rsidP="00377434">
            <w:pPr>
              <w:spacing w:after="60"/>
              <w:jc w:val="left"/>
              <w:rPr>
                <w:sz w:val="18"/>
              </w:rPr>
            </w:pPr>
            <w:r>
              <w:rPr>
                <w:sz w:val="18"/>
              </w:rPr>
              <w:t>Financement convenu ($ US)</w:t>
            </w:r>
          </w:p>
        </w:tc>
        <w:tc>
          <w:tcPr>
            <w:tcW w:w="0" w:type="auto"/>
            <w:vMerge w:val="restart"/>
            <w:shd w:val="clear" w:color="auto" w:fill="auto"/>
          </w:tcPr>
          <w:p w14:paraId="54419922" w14:textId="77777777" w:rsidR="00377434" w:rsidRPr="00166851" w:rsidRDefault="00377434" w:rsidP="00377434">
            <w:pPr>
              <w:spacing w:after="60"/>
              <w:jc w:val="center"/>
              <w:rPr>
                <w:sz w:val="18"/>
              </w:rPr>
            </w:pPr>
            <w:r>
              <w:rPr>
                <w:sz w:val="18"/>
              </w:rPr>
              <w:t>PNUE</w:t>
            </w:r>
          </w:p>
        </w:tc>
        <w:tc>
          <w:tcPr>
            <w:tcW w:w="888" w:type="dxa"/>
            <w:shd w:val="clear" w:color="auto" w:fill="auto"/>
          </w:tcPr>
          <w:p w14:paraId="739C8F0E" w14:textId="77777777" w:rsidR="00377434" w:rsidRPr="00166851" w:rsidRDefault="00377434" w:rsidP="00377434">
            <w:pPr>
              <w:spacing w:after="60"/>
              <w:jc w:val="left"/>
              <w:rPr>
                <w:sz w:val="18"/>
              </w:rPr>
            </w:pPr>
            <w:r>
              <w:rPr>
                <w:sz w:val="18"/>
              </w:rPr>
              <w:t>Coûts du projet</w:t>
            </w:r>
          </w:p>
        </w:tc>
        <w:tc>
          <w:tcPr>
            <w:tcW w:w="801" w:type="dxa"/>
          </w:tcPr>
          <w:p w14:paraId="582906E4" w14:textId="77777777" w:rsidR="00377434" w:rsidRPr="00166851" w:rsidRDefault="00377434" w:rsidP="00377434">
            <w:pPr>
              <w:spacing w:after="60"/>
              <w:jc w:val="right"/>
              <w:rPr>
                <w:sz w:val="18"/>
              </w:rPr>
            </w:pPr>
            <w:r>
              <w:rPr>
                <w:sz w:val="18"/>
              </w:rPr>
              <w:t>40 000</w:t>
            </w:r>
          </w:p>
        </w:tc>
        <w:tc>
          <w:tcPr>
            <w:tcW w:w="677" w:type="dxa"/>
          </w:tcPr>
          <w:p w14:paraId="38FA4DF1" w14:textId="77777777" w:rsidR="00377434" w:rsidRPr="00166851" w:rsidRDefault="00377434" w:rsidP="00377434">
            <w:pPr>
              <w:spacing w:after="60"/>
              <w:jc w:val="right"/>
              <w:rPr>
                <w:sz w:val="18"/>
              </w:rPr>
            </w:pPr>
            <w:r>
              <w:rPr>
                <w:sz w:val="18"/>
              </w:rPr>
              <w:t>0</w:t>
            </w:r>
          </w:p>
        </w:tc>
        <w:tc>
          <w:tcPr>
            <w:tcW w:w="0" w:type="auto"/>
            <w:shd w:val="clear" w:color="auto" w:fill="auto"/>
          </w:tcPr>
          <w:p w14:paraId="758CECB7" w14:textId="77777777" w:rsidR="00377434" w:rsidRPr="00166851" w:rsidRDefault="00377434" w:rsidP="00377434">
            <w:pPr>
              <w:spacing w:after="60"/>
              <w:jc w:val="right"/>
              <w:rPr>
                <w:sz w:val="18"/>
              </w:rPr>
            </w:pPr>
            <w:r>
              <w:rPr>
                <w:sz w:val="18"/>
              </w:rPr>
              <w:t>35 000</w:t>
            </w:r>
          </w:p>
        </w:tc>
        <w:tc>
          <w:tcPr>
            <w:tcW w:w="0" w:type="auto"/>
            <w:shd w:val="clear" w:color="auto" w:fill="auto"/>
          </w:tcPr>
          <w:p w14:paraId="3A622456" w14:textId="77777777" w:rsidR="00377434" w:rsidRPr="00166851" w:rsidRDefault="00377434" w:rsidP="00377434">
            <w:pPr>
              <w:spacing w:after="60"/>
              <w:jc w:val="right"/>
              <w:rPr>
                <w:sz w:val="18"/>
              </w:rPr>
            </w:pPr>
            <w:r>
              <w:rPr>
                <w:sz w:val="18"/>
              </w:rPr>
              <w:t>0</w:t>
            </w:r>
          </w:p>
        </w:tc>
        <w:tc>
          <w:tcPr>
            <w:tcW w:w="0" w:type="auto"/>
            <w:shd w:val="clear" w:color="auto" w:fill="auto"/>
          </w:tcPr>
          <w:p w14:paraId="6218DAD2" w14:textId="77777777" w:rsidR="00377434" w:rsidRPr="00166851" w:rsidRDefault="00377434" w:rsidP="00377434">
            <w:pPr>
              <w:spacing w:after="60"/>
              <w:jc w:val="right"/>
              <w:rPr>
                <w:sz w:val="18"/>
              </w:rPr>
            </w:pPr>
            <w:r>
              <w:rPr>
                <w:sz w:val="18"/>
              </w:rPr>
              <w:t>37 500</w:t>
            </w:r>
          </w:p>
        </w:tc>
        <w:tc>
          <w:tcPr>
            <w:tcW w:w="790" w:type="dxa"/>
            <w:shd w:val="clear" w:color="auto" w:fill="auto"/>
          </w:tcPr>
          <w:p w14:paraId="6E8F937C" w14:textId="77777777" w:rsidR="00377434" w:rsidRPr="00166851" w:rsidRDefault="00377434" w:rsidP="00377434">
            <w:pPr>
              <w:spacing w:after="60"/>
              <w:jc w:val="right"/>
              <w:rPr>
                <w:sz w:val="18"/>
              </w:rPr>
            </w:pPr>
            <w:r>
              <w:rPr>
                <w:sz w:val="18"/>
              </w:rPr>
              <w:t>0</w:t>
            </w:r>
          </w:p>
        </w:tc>
        <w:tc>
          <w:tcPr>
            <w:tcW w:w="739" w:type="dxa"/>
            <w:shd w:val="clear" w:color="auto" w:fill="auto"/>
          </w:tcPr>
          <w:p w14:paraId="1519FD27" w14:textId="77777777" w:rsidR="00377434" w:rsidRPr="00166851" w:rsidRDefault="00377434" w:rsidP="00377434">
            <w:pPr>
              <w:spacing w:after="60"/>
              <w:jc w:val="right"/>
              <w:rPr>
                <w:sz w:val="18"/>
              </w:rPr>
            </w:pPr>
            <w:r>
              <w:rPr>
                <w:sz w:val="18"/>
              </w:rPr>
              <w:t>30 000</w:t>
            </w:r>
          </w:p>
        </w:tc>
        <w:tc>
          <w:tcPr>
            <w:tcW w:w="981" w:type="dxa"/>
            <w:shd w:val="clear" w:color="auto" w:fill="auto"/>
          </w:tcPr>
          <w:p w14:paraId="21117372" w14:textId="77777777" w:rsidR="00377434" w:rsidRPr="00166851" w:rsidRDefault="00377434" w:rsidP="00377434">
            <w:pPr>
              <w:spacing w:after="60"/>
              <w:jc w:val="right"/>
              <w:rPr>
                <w:sz w:val="18"/>
              </w:rPr>
            </w:pPr>
            <w:r>
              <w:rPr>
                <w:sz w:val="18"/>
              </w:rPr>
              <w:t>0</w:t>
            </w:r>
          </w:p>
        </w:tc>
        <w:tc>
          <w:tcPr>
            <w:tcW w:w="947" w:type="dxa"/>
            <w:shd w:val="clear" w:color="auto" w:fill="auto"/>
          </w:tcPr>
          <w:p w14:paraId="3586B1AF" w14:textId="77777777" w:rsidR="00377434" w:rsidRPr="00166851" w:rsidRDefault="00377434" w:rsidP="00377434">
            <w:pPr>
              <w:spacing w:after="60"/>
              <w:jc w:val="right"/>
              <w:rPr>
                <w:sz w:val="18"/>
              </w:rPr>
            </w:pPr>
            <w:r>
              <w:rPr>
                <w:sz w:val="18"/>
              </w:rPr>
              <w:t>30 000</w:t>
            </w:r>
          </w:p>
        </w:tc>
        <w:tc>
          <w:tcPr>
            <w:tcW w:w="847" w:type="dxa"/>
            <w:shd w:val="clear" w:color="auto" w:fill="auto"/>
          </w:tcPr>
          <w:p w14:paraId="0B5B552D" w14:textId="77777777" w:rsidR="00377434" w:rsidRPr="00166851" w:rsidRDefault="00377434" w:rsidP="00377434">
            <w:pPr>
              <w:spacing w:after="60"/>
              <w:jc w:val="right"/>
              <w:rPr>
                <w:sz w:val="18"/>
              </w:rPr>
            </w:pPr>
            <w:r>
              <w:rPr>
                <w:sz w:val="18"/>
              </w:rPr>
              <w:t>172 500</w:t>
            </w:r>
          </w:p>
        </w:tc>
      </w:tr>
      <w:tr w:rsidR="00377434" w:rsidRPr="00166851" w14:paraId="5789B345" w14:textId="77777777" w:rsidTr="00FB6BFA">
        <w:trPr>
          <w:trHeight w:val="497"/>
        </w:trPr>
        <w:tc>
          <w:tcPr>
            <w:tcW w:w="0" w:type="auto"/>
            <w:vMerge/>
            <w:shd w:val="clear" w:color="auto" w:fill="auto"/>
          </w:tcPr>
          <w:p w14:paraId="1A957681" w14:textId="77777777" w:rsidR="00377434" w:rsidRPr="00166851" w:rsidRDefault="00377434" w:rsidP="00377434">
            <w:pPr>
              <w:spacing w:after="60"/>
              <w:jc w:val="center"/>
              <w:rPr>
                <w:sz w:val="18"/>
                <w:lang w:val="en-CA"/>
              </w:rPr>
            </w:pPr>
          </w:p>
        </w:tc>
        <w:tc>
          <w:tcPr>
            <w:tcW w:w="0" w:type="auto"/>
            <w:vMerge/>
            <w:shd w:val="clear" w:color="auto" w:fill="auto"/>
          </w:tcPr>
          <w:p w14:paraId="72EFEF41" w14:textId="77777777" w:rsidR="00377434" w:rsidRPr="00166851" w:rsidRDefault="00377434" w:rsidP="00377434">
            <w:pPr>
              <w:spacing w:after="60"/>
              <w:jc w:val="center"/>
              <w:rPr>
                <w:sz w:val="18"/>
                <w:lang w:val="en-CA"/>
              </w:rPr>
            </w:pPr>
          </w:p>
        </w:tc>
        <w:tc>
          <w:tcPr>
            <w:tcW w:w="888" w:type="dxa"/>
            <w:shd w:val="clear" w:color="auto" w:fill="auto"/>
          </w:tcPr>
          <w:p w14:paraId="79BA79E2" w14:textId="6A354881" w:rsidR="00377434" w:rsidRPr="00166851" w:rsidRDefault="00377434" w:rsidP="00377434">
            <w:pPr>
              <w:spacing w:after="60"/>
              <w:jc w:val="left"/>
              <w:rPr>
                <w:sz w:val="18"/>
              </w:rPr>
            </w:pPr>
            <w:r>
              <w:rPr>
                <w:sz w:val="18"/>
              </w:rPr>
              <w:t>Coûts d</w:t>
            </w:r>
            <w:r w:rsidR="00435DA0">
              <w:rPr>
                <w:sz w:val="18"/>
              </w:rPr>
              <w:t>’</w:t>
            </w:r>
            <w:r>
              <w:rPr>
                <w:sz w:val="18"/>
              </w:rPr>
              <w:t>appui</w:t>
            </w:r>
          </w:p>
        </w:tc>
        <w:tc>
          <w:tcPr>
            <w:tcW w:w="801" w:type="dxa"/>
          </w:tcPr>
          <w:p w14:paraId="01E2DB40" w14:textId="77777777" w:rsidR="00377434" w:rsidRPr="00166851" w:rsidRDefault="00377434" w:rsidP="00377434">
            <w:pPr>
              <w:spacing w:after="60"/>
              <w:jc w:val="right"/>
              <w:rPr>
                <w:sz w:val="18"/>
              </w:rPr>
            </w:pPr>
            <w:r>
              <w:rPr>
                <w:sz w:val="18"/>
              </w:rPr>
              <w:t>5 200</w:t>
            </w:r>
          </w:p>
        </w:tc>
        <w:tc>
          <w:tcPr>
            <w:tcW w:w="677" w:type="dxa"/>
          </w:tcPr>
          <w:p w14:paraId="7701DB5F" w14:textId="77777777" w:rsidR="00377434" w:rsidRPr="00166851" w:rsidRDefault="00377434" w:rsidP="00377434">
            <w:pPr>
              <w:spacing w:after="60"/>
              <w:jc w:val="right"/>
              <w:rPr>
                <w:sz w:val="18"/>
              </w:rPr>
            </w:pPr>
            <w:r>
              <w:rPr>
                <w:sz w:val="18"/>
              </w:rPr>
              <w:t>0</w:t>
            </w:r>
          </w:p>
        </w:tc>
        <w:tc>
          <w:tcPr>
            <w:tcW w:w="0" w:type="auto"/>
            <w:shd w:val="clear" w:color="auto" w:fill="auto"/>
          </w:tcPr>
          <w:p w14:paraId="1D49C367" w14:textId="77777777" w:rsidR="00377434" w:rsidRPr="00166851" w:rsidRDefault="00377434" w:rsidP="00377434">
            <w:pPr>
              <w:spacing w:after="60"/>
              <w:jc w:val="right"/>
              <w:rPr>
                <w:sz w:val="18"/>
              </w:rPr>
            </w:pPr>
            <w:r>
              <w:rPr>
                <w:sz w:val="18"/>
              </w:rPr>
              <w:t>4 550</w:t>
            </w:r>
          </w:p>
        </w:tc>
        <w:tc>
          <w:tcPr>
            <w:tcW w:w="0" w:type="auto"/>
            <w:shd w:val="clear" w:color="auto" w:fill="auto"/>
          </w:tcPr>
          <w:p w14:paraId="31DA0296" w14:textId="77777777" w:rsidR="00377434" w:rsidRPr="00166851" w:rsidRDefault="00377434" w:rsidP="00377434">
            <w:pPr>
              <w:spacing w:after="60"/>
              <w:jc w:val="right"/>
              <w:rPr>
                <w:sz w:val="18"/>
              </w:rPr>
            </w:pPr>
            <w:r>
              <w:rPr>
                <w:sz w:val="18"/>
              </w:rPr>
              <w:t>0</w:t>
            </w:r>
          </w:p>
        </w:tc>
        <w:tc>
          <w:tcPr>
            <w:tcW w:w="0" w:type="auto"/>
            <w:shd w:val="clear" w:color="auto" w:fill="auto"/>
          </w:tcPr>
          <w:p w14:paraId="13A208DD" w14:textId="77777777" w:rsidR="00377434" w:rsidRPr="00166851" w:rsidRDefault="00377434" w:rsidP="00377434">
            <w:pPr>
              <w:spacing w:after="60"/>
              <w:jc w:val="right"/>
              <w:rPr>
                <w:sz w:val="18"/>
              </w:rPr>
            </w:pPr>
            <w:r>
              <w:rPr>
                <w:sz w:val="18"/>
              </w:rPr>
              <w:t>4 875</w:t>
            </w:r>
          </w:p>
        </w:tc>
        <w:tc>
          <w:tcPr>
            <w:tcW w:w="790" w:type="dxa"/>
            <w:shd w:val="clear" w:color="auto" w:fill="auto"/>
          </w:tcPr>
          <w:p w14:paraId="4A3ACDFE" w14:textId="77777777" w:rsidR="00377434" w:rsidRPr="00166851" w:rsidRDefault="00377434" w:rsidP="00377434">
            <w:pPr>
              <w:spacing w:after="60"/>
              <w:jc w:val="right"/>
              <w:rPr>
                <w:sz w:val="18"/>
              </w:rPr>
            </w:pPr>
            <w:r>
              <w:rPr>
                <w:sz w:val="18"/>
              </w:rPr>
              <w:t>0</w:t>
            </w:r>
          </w:p>
        </w:tc>
        <w:tc>
          <w:tcPr>
            <w:tcW w:w="739" w:type="dxa"/>
            <w:shd w:val="clear" w:color="auto" w:fill="auto"/>
          </w:tcPr>
          <w:p w14:paraId="4CFD5C98" w14:textId="77777777" w:rsidR="00377434" w:rsidRPr="00166851" w:rsidRDefault="00377434" w:rsidP="00377434">
            <w:pPr>
              <w:spacing w:after="60"/>
              <w:jc w:val="right"/>
              <w:rPr>
                <w:sz w:val="18"/>
              </w:rPr>
            </w:pPr>
            <w:r>
              <w:rPr>
                <w:sz w:val="18"/>
              </w:rPr>
              <w:t>3 900</w:t>
            </w:r>
          </w:p>
        </w:tc>
        <w:tc>
          <w:tcPr>
            <w:tcW w:w="981" w:type="dxa"/>
            <w:shd w:val="clear" w:color="auto" w:fill="auto"/>
          </w:tcPr>
          <w:p w14:paraId="2ED60C76" w14:textId="77777777" w:rsidR="00377434" w:rsidRPr="00166851" w:rsidRDefault="00377434" w:rsidP="00377434">
            <w:pPr>
              <w:spacing w:after="60"/>
              <w:jc w:val="right"/>
              <w:rPr>
                <w:sz w:val="18"/>
              </w:rPr>
            </w:pPr>
            <w:r>
              <w:rPr>
                <w:sz w:val="18"/>
              </w:rPr>
              <w:t>0</w:t>
            </w:r>
          </w:p>
        </w:tc>
        <w:tc>
          <w:tcPr>
            <w:tcW w:w="947" w:type="dxa"/>
            <w:shd w:val="clear" w:color="auto" w:fill="auto"/>
          </w:tcPr>
          <w:p w14:paraId="64A8CB27" w14:textId="77777777" w:rsidR="00377434" w:rsidRPr="00166851" w:rsidRDefault="00377434" w:rsidP="00377434">
            <w:pPr>
              <w:spacing w:after="60"/>
              <w:jc w:val="right"/>
              <w:rPr>
                <w:sz w:val="18"/>
              </w:rPr>
            </w:pPr>
            <w:r>
              <w:rPr>
                <w:sz w:val="18"/>
              </w:rPr>
              <w:t>3 900</w:t>
            </w:r>
          </w:p>
        </w:tc>
        <w:tc>
          <w:tcPr>
            <w:tcW w:w="847" w:type="dxa"/>
            <w:shd w:val="clear" w:color="auto" w:fill="auto"/>
          </w:tcPr>
          <w:p w14:paraId="3A869187" w14:textId="77777777" w:rsidR="00377434" w:rsidRPr="00166851" w:rsidRDefault="00377434" w:rsidP="00377434">
            <w:pPr>
              <w:spacing w:after="60"/>
              <w:jc w:val="right"/>
              <w:rPr>
                <w:sz w:val="18"/>
              </w:rPr>
            </w:pPr>
            <w:r>
              <w:rPr>
                <w:sz w:val="18"/>
              </w:rPr>
              <w:t>22 425</w:t>
            </w:r>
          </w:p>
        </w:tc>
      </w:tr>
      <w:tr w:rsidR="00377434" w:rsidRPr="00166851" w14:paraId="5E3BE795" w14:textId="77777777" w:rsidTr="00FB6BFA">
        <w:trPr>
          <w:trHeight w:val="484"/>
        </w:trPr>
        <w:tc>
          <w:tcPr>
            <w:tcW w:w="0" w:type="auto"/>
            <w:vMerge/>
            <w:shd w:val="clear" w:color="auto" w:fill="auto"/>
          </w:tcPr>
          <w:p w14:paraId="58AF45FE" w14:textId="77777777" w:rsidR="00377434" w:rsidRPr="00166851" w:rsidRDefault="00377434" w:rsidP="00377434">
            <w:pPr>
              <w:spacing w:after="60"/>
              <w:jc w:val="center"/>
              <w:rPr>
                <w:sz w:val="18"/>
                <w:lang w:val="en-CA"/>
              </w:rPr>
            </w:pPr>
          </w:p>
        </w:tc>
        <w:tc>
          <w:tcPr>
            <w:tcW w:w="0" w:type="auto"/>
            <w:vMerge w:val="restart"/>
            <w:shd w:val="clear" w:color="auto" w:fill="auto"/>
          </w:tcPr>
          <w:p w14:paraId="571CF8A4" w14:textId="77777777" w:rsidR="00377434" w:rsidRPr="00166851" w:rsidRDefault="00377434" w:rsidP="00377434">
            <w:pPr>
              <w:spacing w:after="60"/>
              <w:jc w:val="center"/>
              <w:rPr>
                <w:sz w:val="18"/>
              </w:rPr>
            </w:pPr>
            <w:r>
              <w:rPr>
                <w:sz w:val="18"/>
              </w:rPr>
              <w:t>ONUDI</w:t>
            </w:r>
          </w:p>
        </w:tc>
        <w:tc>
          <w:tcPr>
            <w:tcW w:w="888" w:type="dxa"/>
            <w:shd w:val="clear" w:color="auto" w:fill="auto"/>
          </w:tcPr>
          <w:p w14:paraId="0D7B7D7A" w14:textId="77777777" w:rsidR="00377434" w:rsidRPr="00166851" w:rsidRDefault="00377434" w:rsidP="00377434">
            <w:pPr>
              <w:spacing w:after="60"/>
              <w:jc w:val="left"/>
              <w:rPr>
                <w:sz w:val="18"/>
              </w:rPr>
            </w:pPr>
            <w:r>
              <w:rPr>
                <w:sz w:val="18"/>
              </w:rPr>
              <w:t>Coûts du projet</w:t>
            </w:r>
          </w:p>
        </w:tc>
        <w:tc>
          <w:tcPr>
            <w:tcW w:w="801" w:type="dxa"/>
          </w:tcPr>
          <w:p w14:paraId="55897940" w14:textId="77777777" w:rsidR="00377434" w:rsidRPr="00166851" w:rsidRDefault="00377434" w:rsidP="00377434">
            <w:pPr>
              <w:spacing w:after="60"/>
              <w:jc w:val="right"/>
              <w:rPr>
                <w:sz w:val="18"/>
              </w:rPr>
            </w:pPr>
            <w:r>
              <w:rPr>
                <w:sz w:val="18"/>
              </w:rPr>
              <w:t>75 000</w:t>
            </w:r>
          </w:p>
        </w:tc>
        <w:tc>
          <w:tcPr>
            <w:tcW w:w="677" w:type="dxa"/>
          </w:tcPr>
          <w:p w14:paraId="15FD747A" w14:textId="77777777" w:rsidR="00377434" w:rsidRPr="00166851" w:rsidRDefault="00377434" w:rsidP="00377434">
            <w:pPr>
              <w:spacing w:after="60"/>
              <w:jc w:val="right"/>
              <w:rPr>
                <w:sz w:val="18"/>
              </w:rPr>
            </w:pPr>
            <w:r>
              <w:rPr>
                <w:sz w:val="18"/>
              </w:rPr>
              <w:t>0</w:t>
            </w:r>
          </w:p>
        </w:tc>
        <w:tc>
          <w:tcPr>
            <w:tcW w:w="0" w:type="auto"/>
            <w:shd w:val="clear" w:color="auto" w:fill="auto"/>
          </w:tcPr>
          <w:p w14:paraId="376A3933" w14:textId="77777777" w:rsidR="00377434" w:rsidRPr="00166851" w:rsidRDefault="00377434" w:rsidP="00377434">
            <w:pPr>
              <w:spacing w:after="60"/>
              <w:jc w:val="right"/>
              <w:rPr>
                <w:sz w:val="18"/>
              </w:rPr>
            </w:pPr>
            <w:r>
              <w:rPr>
                <w:sz w:val="18"/>
              </w:rPr>
              <w:t>0</w:t>
            </w:r>
          </w:p>
        </w:tc>
        <w:tc>
          <w:tcPr>
            <w:tcW w:w="0" w:type="auto"/>
            <w:shd w:val="clear" w:color="auto" w:fill="auto"/>
          </w:tcPr>
          <w:p w14:paraId="01211AF2" w14:textId="77777777" w:rsidR="00377434" w:rsidRPr="00166851" w:rsidRDefault="00377434" w:rsidP="00377434">
            <w:pPr>
              <w:spacing w:after="60"/>
              <w:jc w:val="right"/>
              <w:rPr>
                <w:sz w:val="18"/>
              </w:rPr>
            </w:pPr>
            <w:r>
              <w:rPr>
                <w:sz w:val="18"/>
              </w:rPr>
              <w:t>0</w:t>
            </w:r>
          </w:p>
        </w:tc>
        <w:tc>
          <w:tcPr>
            <w:tcW w:w="0" w:type="auto"/>
            <w:shd w:val="clear" w:color="auto" w:fill="auto"/>
          </w:tcPr>
          <w:p w14:paraId="6E1358FA" w14:textId="77777777" w:rsidR="00377434" w:rsidRPr="00166851" w:rsidRDefault="00377434" w:rsidP="00377434">
            <w:pPr>
              <w:spacing w:after="60"/>
              <w:jc w:val="right"/>
              <w:rPr>
                <w:sz w:val="18"/>
              </w:rPr>
            </w:pPr>
            <w:r>
              <w:rPr>
                <w:sz w:val="18"/>
              </w:rPr>
              <w:t>85 000</w:t>
            </w:r>
          </w:p>
        </w:tc>
        <w:tc>
          <w:tcPr>
            <w:tcW w:w="790" w:type="dxa"/>
            <w:shd w:val="clear" w:color="auto" w:fill="auto"/>
          </w:tcPr>
          <w:p w14:paraId="77496F52" w14:textId="77777777" w:rsidR="00377434" w:rsidRPr="00166851" w:rsidRDefault="00377434" w:rsidP="00377434">
            <w:pPr>
              <w:spacing w:after="60"/>
              <w:jc w:val="right"/>
              <w:rPr>
                <w:sz w:val="18"/>
              </w:rPr>
            </w:pPr>
            <w:r>
              <w:rPr>
                <w:sz w:val="18"/>
              </w:rPr>
              <w:t>0</w:t>
            </w:r>
          </w:p>
        </w:tc>
        <w:tc>
          <w:tcPr>
            <w:tcW w:w="739" w:type="dxa"/>
            <w:shd w:val="clear" w:color="auto" w:fill="auto"/>
          </w:tcPr>
          <w:p w14:paraId="574095F2" w14:textId="77777777" w:rsidR="00377434" w:rsidRPr="00166851" w:rsidRDefault="00377434" w:rsidP="00377434">
            <w:pPr>
              <w:spacing w:after="60"/>
              <w:jc w:val="right"/>
              <w:rPr>
                <w:sz w:val="18"/>
              </w:rPr>
            </w:pPr>
            <w:r>
              <w:rPr>
                <w:sz w:val="18"/>
              </w:rPr>
              <w:t>0</w:t>
            </w:r>
          </w:p>
        </w:tc>
        <w:tc>
          <w:tcPr>
            <w:tcW w:w="981" w:type="dxa"/>
            <w:shd w:val="clear" w:color="auto" w:fill="auto"/>
          </w:tcPr>
          <w:p w14:paraId="63C55A2D" w14:textId="77777777" w:rsidR="00377434" w:rsidRPr="00166851" w:rsidRDefault="00377434" w:rsidP="00377434">
            <w:pPr>
              <w:spacing w:after="60"/>
              <w:jc w:val="right"/>
              <w:rPr>
                <w:sz w:val="18"/>
              </w:rPr>
            </w:pPr>
            <w:r>
              <w:rPr>
                <w:sz w:val="18"/>
              </w:rPr>
              <w:t>0</w:t>
            </w:r>
          </w:p>
        </w:tc>
        <w:tc>
          <w:tcPr>
            <w:tcW w:w="947" w:type="dxa"/>
            <w:shd w:val="clear" w:color="auto" w:fill="auto"/>
          </w:tcPr>
          <w:p w14:paraId="25215474" w14:textId="77777777" w:rsidR="00377434" w:rsidRPr="00166851" w:rsidRDefault="00377434" w:rsidP="00377434">
            <w:pPr>
              <w:spacing w:after="60"/>
              <w:jc w:val="right"/>
              <w:rPr>
                <w:sz w:val="18"/>
              </w:rPr>
            </w:pPr>
            <w:r>
              <w:rPr>
                <w:sz w:val="18"/>
              </w:rPr>
              <w:t>0</w:t>
            </w:r>
          </w:p>
        </w:tc>
        <w:tc>
          <w:tcPr>
            <w:tcW w:w="847" w:type="dxa"/>
            <w:shd w:val="clear" w:color="auto" w:fill="auto"/>
          </w:tcPr>
          <w:p w14:paraId="0AB1B365" w14:textId="77777777" w:rsidR="00377434" w:rsidRPr="00166851" w:rsidRDefault="00377434" w:rsidP="00377434">
            <w:pPr>
              <w:spacing w:after="60"/>
              <w:jc w:val="right"/>
              <w:rPr>
                <w:sz w:val="18"/>
              </w:rPr>
            </w:pPr>
            <w:r>
              <w:rPr>
                <w:sz w:val="18"/>
              </w:rPr>
              <w:t>160 000</w:t>
            </w:r>
          </w:p>
        </w:tc>
      </w:tr>
      <w:tr w:rsidR="00377434" w:rsidRPr="00166851" w14:paraId="7BA2604E" w14:textId="77777777" w:rsidTr="00FB6BFA">
        <w:trPr>
          <w:trHeight w:val="497"/>
        </w:trPr>
        <w:tc>
          <w:tcPr>
            <w:tcW w:w="0" w:type="auto"/>
            <w:vMerge/>
            <w:shd w:val="clear" w:color="auto" w:fill="auto"/>
          </w:tcPr>
          <w:p w14:paraId="3B301A51" w14:textId="77777777" w:rsidR="00377434" w:rsidRPr="00166851" w:rsidRDefault="00377434" w:rsidP="00377434">
            <w:pPr>
              <w:spacing w:after="60"/>
              <w:jc w:val="center"/>
              <w:rPr>
                <w:sz w:val="18"/>
                <w:lang w:val="en-CA"/>
              </w:rPr>
            </w:pPr>
          </w:p>
        </w:tc>
        <w:tc>
          <w:tcPr>
            <w:tcW w:w="0" w:type="auto"/>
            <w:vMerge/>
            <w:shd w:val="clear" w:color="auto" w:fill="auto"/>
          </w:tcPr>
          <w:p w14:paraId="3F6E7170" w14:textId="77777777" w:rsidR="00377434" w:rsidRPr="00166851" w:rsidRDefault="00377434" w:rsidP="00377434">
            <w:pPr>
              <w:spacing w:after="60"/>
              <w:jc w:val="center"/>
              <w:rPr>
                <w:sz w:val="18"/>
                <w:lang w:val="en-CA"/>
              </w:rPr>
            </w:pPr>
          </w:p>
        </w:tc>
        <w:tc>
          <w:tcPr>
            <w:tcW w:w="888" w:type="dxa"/>
            <w:shd w:val="clear" w:color="auto" w:fill="auto"/>
          </w:tcPr>
          <w:p w14:paraId="0B02B1A1" w14:textId="300019AD" w:rsidR="00377434" w:rsidRPr="00166851" w:rsidRDefault="00377434" w:rsidP="00377434">
            <w:pPr>
              <w:spacing w:after="60"/>
              <w:jc w:val="left"/>
              <w:rPr>
                <w:sz w:val="18"/>
              </w:rPr>
            </w:pPr>
            <w:r>
              <w:rPr>
                <w:sz w:val="18"/>
              </w:rPr>
              <w:t>Coûts d</w:t>
            </w:r>
            <w:r w:rsidR="00435DA0">
              <w:rPr>
                <w:sz w:val="18"/>
              </w:rPr>
              <w:t>’</w:t>
            </w:r>
            <w:r>
              <w:rPr>
                <w:sz w:val="18"/>
              </w:rPr>
              <w:t>appui</w:t>
            </w:r>
          </w:p>
        </w:tc>
        <w:tc>
          <w:tcPr>
            <w:tcW w:w="801" w:type="dxa"/>
          </w:tcPr>
          <w:p w14:paraId="01651C19" w14:textId="77777777" w:rsidR="00377434" w:rsidRPr="00166851" w:rsidRDefault="00377434" w:rsidP="00377434">
            <w:pPr>
              <w:spacing w:after="60"/>
              <w:jc w:val="right"/>
              <w:rPr>
                <w:sz w:val="18"/>
              </w:rPr>
            </w:pPr>
            <w:r>
              <w:rPr>
                <w:sz w:val="18"/>
              </w:rPr>
              <w:t>6 750</w:t>
            </w:r>
          </w:p>
        </w:tc>
        <w:tc>
          <w:tcPr>
            <w:tcW w:w="677" w:type="dxa"/>
          </w:tcPr>
          <w:p w14:paraId="1EF39DD0" w14:textId="77777777" w:rsidR="00377434" w:rsidRPr="00166851" w:rsidRDefault="00377434" w:rsidP="00377434">
            <w:pPr>
              <w:spacing w:after="60"/>
              <w:jc w:val="right"/>
              <w:rPr>
                <w:sz w:val="18"/>
              </w:rPr>
            </w:pPr>
            <w:r>
              <w:rPr>
                <w:sz w:val="18"/>
              </w:rPr>
              <w:t>0</w:t>
            </w:r>
          </w:p>
        </w:tc>
        <w:tc>
          <w:tcPr>
            <w:tcW w:w="0" w:type="auto"/>
            <w:shd w:val="clear" w:color="auto" w:fill="auto"/>
          </w:tcPr>
          <w:p w14:paraId="02F9E6EB" w14:textId="77777777" w:rsidR="00377434" w:rsidRPr="00166851" w:rsidRDefault="00377434" w:rsidP="00377434">
            <w:pPr>
              <w:spacing w:after="60"/>
              <w:jc w:val="right"/>
              <w:rPr>
                <w:sz w:val="18"/>
              </w:rPr>
            </w:pPr>
            <w:r>
              <w:rPr>
                <w:sz w:val="18"/>
              </w:rPr>
              <w:t>0</w:t>
            </w:r>
          </w:p>
        </w:tc>
        <w:tc>
          <w:tcPr>
            <w:tcW w:w="0" w:type="auto"/>
            <w:shd w:val="clear" w:color="auto" w:fill="auto"/>
          </w:tcPr>
          <w:p w14:paraId="481C86BF" w14:textId="77777777" w:rsidR="00377434" w:rsidRPr="00166851" w:rsidRDefault="00377434" w:rsidP="00377434">
            <w:pPr>
              <w:spacing w:after="60"/>
              <w:jc w:val="right"/>
              <w:rPr>
                <w:sz w:val="18"/>
              </w:rPr>
            </w:pPr>
            <w:r>
              <w:rPr>
                <w:sz w:val="18"/>
              </w:rPr>
              <w:t>0</w:t>
            </w:r>
          </w:p>
        </w:tc>
        <w:tc>
          <w:tcPr>
            <w:tcW w:w="0" w:type="auto"/>
            <w:shd w:val="clear" w:color="auto" w:fill="auto"/>
          </w:tcPr>
          <w:p w14:paraId="096A2685" w14:textId="77777777" w:rsidR="00377434" w:rsidRPr="00166851" w:rsidRDefault="00377434" w:rsidP="00377434">
            <w:pPr>
              <w:spacing w:after="60"/>
              <w:jc w:val="right"/>
              <w:rPr>
                <w:sz w:val="18"/>
              </w:rPr>
            </w:pPr>
            <w:r>
              <w:rPr>
                <w:sz w:val="18"/>
              </w:rPr>
              <w:t>7 650</w:t>
            </w:r>
          </w:p>
        </w:tc>
        <w:tc>
          <w:tcPr>
            <w:tcW w:w="790" w:type="dxa"/>
            <w:shd w:val="clear" w:color="auto" w:fill="auto"/>
          </w:tcPr>
          <w:p w14:paraId="485475F0" w14:textId="77777777" w:rsidR="00377434" w:rsidRPr="00166851" w:rsidRDefault="00377434" w:rsidP="00377434">
            <w:pPr>
              <w:spacing w:after="60"/>
              <w:jc w:val="right"/>
              <w:rPr>
                <w:sz w:val="18"/>
              </w:rPr>
            </w:pPr>
            <w:r>
              <w:rPr>
                <w:sz w:val="18"/>
              </w:rPr>
              <w:t>0</w:t>
            </w:r>
          </w:p>
        </w:tc>
        <w:tc>
          <w:tcPr>
            <w:tcW w:w="739" w:type="dxa"/>
            <w:shd w:val="clear" w:color="auto" w:fill="auto"/>
          </w:tcPr>
          <w:p w14:paraId="6B3D45D0" w14:textId="77777777" w:rsidR="00377434" w:rsidRPr="00166851" w:rsidRDefault="00377434" w:rsidP="00377434">
            <w:pPr>
              <w:spacing w:after="60"/>
              <w:jc w:val="right"/>
              <w:rPr>
                <w:sz w:val="18"/>
              </w:rPr>
            </w:pPr>
            <w:r>
              <w:rPr>
                <w:sz w:val="18"/>
              </w:rPr>
              <w:t>0</w:t>
            </w:r>
          </w:p>
        </w:tc>
        <w:tc>
          <w:tcPr>
            <w:tcW w:w="981" w:type="dxa"/>
            <w:shd w:val="clear" w:color="auto" w:fill="auto"/>
          </w:tcPr>
          <w:p w14:paraId="28AC1D4C" w14:textId="77777777" w:rsidR="00377434" w:rsidRPr="00166851" w:rsidRDefault="00377434" w:rsidP="00377434">
            <w:pPr>
              <w:spacing w:after="60"/>
              <w:jc w:val="right"/>
              <w:rPr>
                <w:sz w:val="18"/>
              </w:rPr>
            </w:pPr>
            <w:r>
              <w:rPr>
                <w:sz w:val="18"/>
              </w:rPr>
              <w:t>0</w:t>
            </w:r>
          </w:p>
        </w:tc>
        <w:tc>
          <w:tcPr>
            <w:tcW w:w="947" w:type="dxa"/>
            <w:shd w:val="clear" w:color="auto" w:fill="auto"/>
          </w:tcPr>
          <w:p w14:paraId="6DECB344" w14:textId="77777777" w:rsidR="00377434" w:rsidRPr="00166851" w:rsidRDefault="00377434" w:rsidP="00377434">
            <w:pPr>
              <w:spacing w:after="60"/>
              <w:jc w:val="right"/>
              <w:rPr>
                <w:sz w:val="18"/>
                <w:lang w:val="en-CA"/>
              </w:rPr>
            </w:pPr>
          </w:p>
        </w:tc>
        <w:tc>
          <w:tcPr>
            <w:tcW w:w="847" w:type="dxa"/>
            <w:shd w:val="clear" w:color="auto" w:fill="auto"/>
          </w:tcPr>
          <w:p w14:paraId="2CA61C8F" w14:textId="77777777" w:rsidR="00377434" w:rsidRPr="00166851" w:rsidRDefault="00377434" w:rsidP="00377434">
            <w:pPr>
              <w:spacing w:after="60"/>
              <w:jc w:val="right"/>
              <w:rPr>
                <w:sz w:val="18"/>
              </w:rPr>
            </w:pPr>
            <w:r>
              <w:rPr>
                <w:sz w:val="18"/>
              </w:rPr>
              <w:t>14 400</w:t>
            </w:r>
          </w:p>
        </w:tc>
      </w:tr>
      <w:tr w:rsidR="00377434" w:rsidRPr="00166851" w14:paraId="1AAF016F" w14:textId="77777777" w:rsidTr="00FB6BFA">
        <w:trPr>
          <w:trHeight w:val="484"/>
        </w:trPr>
        <w:tc>
          <w:tcPr>
            <w:tcW w:w="0" w:type="auto"/>
            <w:gridSpan w:val="2"/>
            <w:vMerge w:val="restart"/>
            <w:shd w:val="clear" w:color="auto" w:fill="auto"/>
          </w:tcPr>
          <w:p w14:paraId="1F557FAF" w14:textId="77777777" w:rsidR="00377434" w:rsidRPr="00166851" w:rsidRDefault="00377434" w:rsidP="00377434">
            <w:pPr>
              <w:spacing w:after="60"/>
              <w:jc w:val="left"/>
              <w:rPr>
                <w:sz w:val="18"/>
              </w:rPr>
            </w:pPr>
            <w:r>
              <w:rPr>
                <w:sz w:val="18"/>
              </w:rPr>
              <w:t>Fonds approuvés par ExCom ($ US)</w:t>
            </w:r>
          </w:p>
        </w:tc>
        <w:tc>
          <w:tcPr>
            <w:tcW w:w="888" w:type="dxa"/>
            <w:shd w:val="clear" w:color="auto" w:fill="auto"/>
          </w:tcPr>
          <w:p w14:paraId="2E100D0E" w14:textId="77777777" w:rsidR="00377434" w:rsidRPr="00166851" w:rsidRDefault="00377434" w:rsidP="00377434">
            <w:pPr>
              <w:spacing w:after="60"/>
              <w:jc w:val="left"/>
              <w:rPr>
                <w:sz w:val="18"/>
              </w:rPr>
            </w:pPr>
            <w:r>
              <w:rPr>
                <w:sz w:val="18"/>
              </w:rPr>
              <w:t>Coûts du projet</w:t>
            </w:r>
          </w:p>
        </w:tc>
        <w:tc>
          <w:tcPr>
            <w:tcW w:w="801" w:type="dxa"/>
          </w:tcPr>
          <w:p w14:paraId="38D19991" w14:textId="77777777" w:rsidR="00377434" w:rsidRPr="00166851" w:rsidRDefault="00377434" w:rsidP="00377434">
            <w:pPr>
              <w:spacing w:after="60"/>
              <w:jc w:val="right"/>
              <w:rPr>
                <w:sz w:val="18"/>
              </w:rPr>
            </w:pPr>
            <w:r>
              <w:rPr>
                <w:sz w:val="18"/>
              </w:rPr>
              <w:t>115 000</w:t>
            </w:r>
          </w:p>
        </w:tc>
        <w:tc>
          <w:tcPr>
            <w:tcW w:w="677" w:type="dxa"/>
          </w:tcPr>
          <w:p w14:paraId="5BFD3474" w14:textId="77777777" w:rsidR="00377434" w:rsidRPr="00166851" w:rsidRDefault="00377434" w:rsidP="00377434">
            <w:pPr>
              <w:spacing w:after="60"/>
              <w:jc w:val="right"/>
              <w:rPr>
                <w:sz w:val="18"/>
              </w:rPr>
            </w:pPr>
            <w:r>
              <w:rPr>
                <w:sz w:val="18"/>
              </w:rPr>
              <w:t>0</w:t>
            </w:r>
          </w:p>
        </w:tc>
        <w:tc>
          <w:tcPr>
            <w:tcW w:w="0" w:type="auto"/>
            <w:shd w:val="clear" w:color="auto" w:fill="auto"/>
          </w:tcPr>
          <w:p w14:paraId="1BD22BBF" w14:textId="77777777" w:rsidR="00377434" w:rsidRPr="00166851" w:rsidRDefault="00377434" w:rsidP="00377434">
            <w:pPr>
              <w:spacing w:after="60"/>
              <w:jc w:val="right"/>
              <w:rPr>
                <w:sz w:val="18"/>
              </w:rPr>
            </w:pPr>
            <w:r>
              <w:rPr>
                <w:sz w:val="18"/>
              </w:rPr>
              <w:t>35 000</w:t>
            </w:r>
          </w:p>
        </w:tc>
        <w:tc>
          <w:tcPr>
            <w:tcW w:w="0" w:type="auto"/>
            <w:shd w:val="clear" w:color="auto" w:fill="auto"/>
          </w:tcPr>
          <w:p w14:paraId="68E4FD8D" w14:textId="77777777" w:rsidR="00377434" w:rsidRPr="00166851" w:rsidRDefault="00377434" w:rsidP="00377434">
            <w:pPr>
              <w:spacing w:after="60"/>
              <w:jc w:val="right"/>
              <w:rPr>
                <w:sz w:val="18"/>
              </w:rPr>
            </w:pPr>
            <w:r>
              <w:rPr>
                <w:sz w:val="18"/>
              </w:rPr>
              <w:t>0</w:t>
            </w:r>
          </w:p>
        </w:tc>
        <w:tc>
          <w:tcPr>
            <w:tcW w:w="0" w:type="auto"/>
            <w:shd w:val="clear" w:color="auto" w:fill="auto"/>
          </w:tcPr>
          <w:p w14:paraId="33DFE8C9" w14:textId="77777777" w:rsidR="00377434" w:rsidRPr="00166851" w:rsidRDefault="00377434" w:rsidP="00377434">
            <w:pPr>
              <w:spacing w:after="60"/>
              <w:jc w:val="right"/>
              <w:rPr>
                <w:sz w:val="18"/>
              </w:rPr>
            </w:pPr>
            <w:r>
              <w:rPr>
                <w:sz w:val="18"/>
              </w:rPr>
              <w:t>122 500</w:t>
            </w:r>
          </w:p>
        </w:tc>
        <w:tc>
          <w:tcPr>
            <w:tcW w:w="790" w:type="dxa"/>
            <w:shd w:val="clear" w:color="auto" w:fill="auto"/>
          </w:tcPr>
          <w:p w14:paraId="2FF22357" w14:textId="77777777" w:rsidR="00377434" w:rsidRPr="00166851" w:rsidRDefault="00377434" w:rsidP="00377434">
            <w:pPr>
              <w:spacing w:after="60"/>
              <w:jc w:val="right"/>
              <w:rPr>
                <w:sz w:val="18"/>
              </w:rPr>
            </w:pPr>
            <w:r>
              <w:rPr>
                <w:sz w:val="18"/>
              </w:rPr>
              <w:t>0</w:t>
            </w:r>
          </w:p>
        </w:tc>
        <w:tc>
          <w:tcPr>
            <w:tcW w:w="739" w:type="dxa"/>
            <w:shd w:val="clear" w:color="auto" w:fill="auto"/>
          </w:tcPr>
          <w:p w14:paraId="77427C8C" w14:textId="77777777" w:rsidR="00377434" w:rsidRPr="00166851" w:rsidRDefault="00377434" w:rsidP="00377434">
            <w:pPr>
              <w:spacing w:after="60"/>
              <w:jc w:val="right"/>
              <w:rPr>
                <w:sz w:val="18"/>
              </w:rPr>
            </w:pPr>
            <w:r>
              <w:rPr>
                <w:sz w:val="18"/>
              </w:rPr>
              <w:t>30 000</w:t>
            </w:r>
          </w:p>
        </w:tc>
        <w:tc>
          <w:tcPr>
            <w:tcW w:w="981" w:type="dxa"/>
            <w:shd w:val="clear" w:color="auto" w:fill="auto"/>
          </w:tcPr>
          <w:p w14:paraId="4CB0ECB0" w14:textId="77777777" w:rsidR="00377434" w:rsidRPr="00166851" w:rsidRDefault="00377434" w:rsidP="00377434">
            <w:pPr>
              <w:spacing w:after="60"/>
              <w:jc w:val="right"/>
              <w:rPr>
                <w:sz w:val="18"/>
              </w:rPr>
            </w:pPr>
            <w:r>
              <w:rPr>
                <w:sz w:val="18"/>
              </w:rPr>
              <w:t>0</w:t>
            </w:r>
          </w:p>
        </w:tc>
        <w:tc>
          <w:tcPr>
            <w:tcW w:w="947" w:type="dxa"/>
            <w:shd w:val="clear" w:color="auto" w:fill="auto"/>
          </w:tcPr>
          <w:p w14:paraId="3A74F015" w14:textId="77777777" w:rsidR="00377434" w:rsidRPr="00166851" w:rsidRDefault="00377434" w:rsidP="00377434">
            <w:pPr>
              <w:spacing w:after="60"/>
              <w:jc w:val="right"/>
              <w:rPr>
                <w:sz w:val="18"/>
              </w:rPr>
            </w:pPr>
            <w:r>
              <w:rPr>
                <w:sz w:val="18"/>
              </w:rPr>
              <w:t>30 000</w:t>
            </w:r>
          </w:p>
        </w:tc>
        <w:tc>
          <w:tcPr>
            <w:tcW w:w="847" w:type="dxa"/>
            <w:shd w:val="clear" w:color="auto" w:fill="auto"/>
          </w:tcPr>
          <w:p w14:paraId="332B2ECB" w14:textId="77777777" w:rsidR="00377434" w:rsidRPr="00166851" w:rsidRDefault="00377434" w:rsidP="00377434">
            <w:pPr>
              <w:spacing w:after="60"/>
              <w:jc w:val="right"/>
              <w:rPr>
                <w:sz w:val="18"/>
              </w:rPr>
            </w:pPr>
            <w:r>
              <w:rPr>
                <w:sz w:val="18"/>
              </w:rPr>
              <w:t>332 500</w:t>
            </w:r>
          </w:p>
        </w:tc>
      </w:tr>
      <w:tr w:rsidR="00377434" w:rsidRPr="00166851" w14:paraId="6EB2BEB0" w14:textId="77777777" w:rsidTr="00FB6BFA">
        <w:trPr>
          <w:trHeight w:val="484"/>
        </w:trPr>
        <w:tc>
          <w:tcPr>
            <w:tcW w:w="0" w:type="auto"/>
            <w:gridSpan w:val="2"/>
            <w:vMerge/>
            <w:shd w:val="clear" w:color="auto" w:fill="auto"/>
          </w:tcPr>
          <w:p w14:paraId="46D6B114" w14:textId="77777777" w:rsidR="00377434" w:rsidRPr="00166851" w:rsidRDefault="00377434" w:rsidP="00377434">
            <w:pPr>
              <w:spacing w:after="60"/>
              <w:jc w:val="center"/>
              <w:rPr>
                <w:sz w:val="18"/>
                <w:lang w:val="en-CA"/>
              </w:rPr>
            </w:pPr>
          </w:p>
        </w:tc>
        <w:tc>
          <w:tcPr>
            <w:tcW w:w="888" w:type="dxa"/>
            <w:shd w:val="clear" w:color="auto" w:fill="auto"/>
          </w:tcPr>
          <w:p w14:paraId="3554171F" w14:textId="1E97D53F" w:rsidR="00377434" w:rsidRPr="00166851" w:rsidRDefault="00377434" w:rsidP="00377434">
            <w:pPr>
              <w:spacing w:after="60"/>
              <w:jc w:val="left"/>
              <w:rPr>
                <w:sz w:val="18"/>
              </w:rPr>
            </w:pPr>
            <w:r>
              <w:rPr>
                <w:sz w:val="18"/>
              </w:rPr>
              <w:t>Coûts d</w:t>
            </w:r>
            <w:r w:rsidR="00435DA0">
              <w:rPr>
                <w:sz w:val="18"/>
              </w:rPr>
              <w:t>’</w:t>
            </w:r>
            <w:r>
              <w:rPr>
                <w:sz w:val="18"/>
              </w:rPr>
              <w:t>appui</w:t>
            </w:r>
          </w:p>
        </w:tc>
        <w:tc>
          <w:tcPr>
            <w:tcW w:w="801" w:type="dxa"/>
          </w:tcPr>
          <w:p w14:paraId="7607C558" w14:textId="77777777" w:rsidR="00377434" w:rsidRPr="00166851" w:rsidRDefault="00377434" w:rsidP="00377434">
            <w:pPr>
              <w:spacing w:after="60"/>
              <w:jc w:val="right"/>
              <w:rPr>
                <w:sz w:val="18"/>
              </w:rPr>
            </w:pPr>
            <w:r>
              <w:rPr>
                <w:sz w:val="18"/>
              </w:rPr>
              <w:t>11 950</w:t>
            </w:r>
          </w:p>
        </w:tc>
        <w:tc>
          <w:tcPr>
            <w:tcW w:w="677" w:type="dxa"/>
          </w:tcPr>
          <w:p w14:paraId="232AACF1" w14:textId="77777777" w:rsidR="00377434" w:rsidRPr="00166851" w:rsidRDefault="00377434" w:rsidP="00377434">
            <w:pPr>
              <w:spacing w:after="60"/>
              <w:jc w:val="right"/>
              <w:rPr>
                <w:sz w:val="18"/>
              </w:rPr>
            </w:pPr>
            <w:r>
              <w:rPr>
                <w:sz w:val="18"/>
              </w:rPr>
              <w:t>0</w:t>
            </w:r>
          </w:p>
        </w:tc>
        <w:tc>
          <w:tcPr>
            <w:tcW w:w="0" w:type="auto"/>
            <w:shd w:val="clear" w:color="auto" w:fill="auto"/>
          </w:tcPr>
          <w:p w14:paraId="373969A6" w14:textId="77777777" w:rsidR="00377434" w:rsidRPr="00166851" w:rsidRDefault="00377434" w:rsidP="00377434">
            <w:pPr>
              <w:spacing w:after="60"/>
              <w:jc w:val="right"/>
              <w:rPr>
                <w:sz w:val="18"/>
              </w:rPr>
            </w:pPr>
            <w:r>
              <w:rPr>
                <w:sz w:val="18"/>
              </w:rPr>
              <w:t>4 550</w:t>
            </w:r>
          </w:p>
        </w:tc>
        <w:tc>
          <w:tcPr>
            <w:tcW w:w="0" w:type="auto"/>
            <w:shd w:val="clear" w:color="auto" w:fill="auto"/>
          </w:tcPr>
          <w:p w14:paraId="3096E5D0" w14:textId="77777777" w:rsidR="00377434" w:rsidRPr="00166851" w:rsidRDefault="00377434" w:rsidP="00377434">
            <w:pPr>
              <w:spacing w:after="60"/>
              <w:jc w:val="right"/>
              <w:rPr>
                <w:sz w:val="18"/>
              </w:rPr>
            </w:pPr>
            <w:r>
              <w:rPr>
                <w:sz w:val="18"/>
              </w:rPr>
              <w:t>0</w:t>
            </w:r>
          </w:p>
        </w:tc>
        <w:tc>
          <w:tcPr>
            <w:tcW w:w="0" w:type="auto"/>
            <w:shd w:val="clear" w:color="auto" w:fill="auto"/>
          </w:tcPr>
          <w:p w14:paraId="27FB349B" w14:textId="77777777" w:rsidR="00377434" w:rsidRPr="00166851" w:rsidRDefault="00377434" w:rsidP="00377434">
            <w:pPr>
              <w:spacing w:after="60"/>
              <w:jc w:val="right"/>
              <w:rPr>
                <w:sz w:val="18"/>
              </w:rPr>
            </w:pPr>
            <w:r>
              <w:rPr>
                <w:sz w:val="18"/>
              </w:rPr>
              <w:t>12 525</w:t>
            </w:r>
          </w:p>
        </w:tc>
        <w:tc>
          <w:tcPr>
            <w:tcW w:w="790" w:type="dxa"/>
            <w:shd w:val="clear" w:color="auto" w:fill="auto"/>
          </w:tcPr>
          <w:p w14:paraId="6B1DE231" w14:textId="77777777" w:rsidR="00377434" w:rsidRPr="00166851" w:rsidRDefault="00377434" w:rsidP="00377434">
            <w:pPr>
              <w:spacing w:after="60"/>
              <w:jc w:val="right"/>
              <w:rPr>
                <w:sz w:val="18"/>
              </w:rPr>
            </w:pPr>
            <w:r>
              <w:rPr>
                <w:sz w:val="18"/>
              </w:rPr>
              <w:t>0</w:t>
            </w:r>
          </w:p>
        </w:tc>
        <w:tc>
          <w:tcPr>
            <w:tcW w:w="739" w:type="dxa"/>
            <w:shd w:val="clear" w:color="auto" w:fill="auto"/>
          </w:tcPr>
          <w:p w14:paraId="747B615E" w14:textId="77777777" w:rsidR="00377434" w:rsidRPr="00166851" w:rsidRDefault="00377434" w:rsidP="00377434">
            <w:pPr>
              <w:spacing w:after="60"/>
              <w:jc w:val="right"/>
              <w:rPr>
                <w:sz w:val="18"/>
              </w:rPr>
            </w:pPr>
            <w:r>
              <w:rPr>
                <w:sz w:val="18"/>
              </w:rPr>
              <w:t>3 900</w:t>
            </w:r>
          </w:p>
        </w:tc>
        <w:tc>
          <w:tcPr>
            <w:tcW w:w="981" w:type="dxa"/>
            <w:shd w:val="clear" w:color="auto" w:fill="auto"/>
          </w:tcPr>
          <w:p w14:paraId="3C533ED2" w14:textId="77777777" w:rsidR="00377434" w:rsidRPr="00166851" w:rsidRDefault="00377434" w:rsidP="00377434">
            <w:pPr>
              <w:spacing w:after="60"/>
              <w:jc w:val="right"/>
              <w:rPr>
                <w:sz w:val="18"/>
              </w:rPr>
            </w:pPr>
            <w:r>
              <w:rPr>
                <w:sz w:val="18"/>
              </w:rPr>
              <w:t>0</w:t>
            </w:r>
          </w:p>
        </w:tc>
        <w:tc>
          <w:tcPr>
            <w:tcW w:w="947" w:type="dxa"/>
            <w:shd w:val="clear" w:color="auto" w:fill="auto"/>
          </w:tcPr>
          <w:p w14:paraId="609DD8E0" w14:textId="77777777" w:rsidR="00377434" w:rsidRPr="00166851" w:rsidRDefault="00377434" w:rsidP="00377434">
            <w:pPr>
              <w:spacing w:after="60"/>
              <w:jc w:val="right"/>
              <w:rPr>
                <w:sz w:val="18"/>
              </w:rPr>
            </w:pPr>
            <w:r>
              <w:rPr>
                <w:sz w:val="18"/>
              </w:rPr>
              <w:t>3 900</w:t>
            </w:r>
          </w:p>
        </w:tc>
        <w:tc>
          <w:tcPr>
            <w:tcW w:w="847" w:type="dxa"/>
            <w:shd w:val="clear" w:color="auto" w:fill="auto"/>
          </w:tcPr>
          <w:p w14:paraId="2295FA5E" w14:textId="77777777" w:rsidR="00377434" w:rsidRPr="00166851" w:rsidRDefault="00377434" w:rsidP="00377434">
            <w:pPr>
              <w:spacing w:after="60"/>
              <w:jc w:val="right"/>
              <w:rPr>
                <w:sz w:val="18"/>
              </w:rPr>
            </w:pPr>
            <w:r>
              <w:rPr>
                <w:sz w:val="18"/>
              </w:rPr>
              <w:t>36 825</w:t>
            </w:r>
          </w:p>
        </w:tc>
      </w:tr>
      <w:tr w:rsidR="00377434" w:rsidRPr="00166851" w14:paraId="4D3F9896" w14:textId="77777777" w:rsidTr="00FB6BFA">
        <w:trPr>
          <w:trHeight w:val="484"/>
        </w:trPr>
        <w:tc>
          <w:tcPr>
            <w:tcW w:w="0" w:type="auto"/>
            <w:gridSpan w:val="2"/>
            <w:vMerge w:val="restart"/>
            <w:shd w:val="clear" w:color="auto" w:fill="auto"/>
          </w:tcPr>
          <w:p w14:paraId="5A4A5E45" w14:textId="77777777" w:rsidR="00377434" w:rsidRPr="00166851" w:rsidRDefault="00377434" w:rsidP="00377434">
            <w:pPr>
              <w:spacing w:after="60"/>
              <w:jc w:val="left"/>
              <w:rPr>
                <w:sz w:val="18"/>
              </w:rPr>
            </w:pPr>
            <w:r>
              <w:rPr>
                <w:sz w:val="18"/>
              </w:rPr>
              <w:t>Total du financement demandé pour approbation à la présente réunion ($ US)</w:t>
            </w:r>
          </w:p>
        </w:tc>
        <w:tc>
          <w:tcPr>
            <w:tcW w:w="888" w:type="dxa"/>
            <w:shd w:val="clear" w:color="auto" w:fill="auto"/>
          </w:tcPr>
          <w:p w14:paraId="720F727A" w14:textId="77777777" w:rsidR="00377434" w:rsidRPr="00166851" w:rsidRDefault="00377434" w:rsidP="00377434">
            <w:pPr>
              <w:spacing w:after="60"/>
              <w:jc w:val="left"/>
              <w:rPr>
                <w:sz w:val="18"/>
              </w:rPr>
            </w:pPr>
            <w:r>
              <w:rPr>
                <w:sz w:val="18"/>
              </w:rPr>
              <w:t>Coûts du projet</w:t>
            </w:r>
          </w:p>
        </w:tc>
        <w:tc>
          <w:tcPr>
            <w:tcW w:w="801" w:type="dxa"/>
          </w:tcPr>
          <w:p w14:paraId="55A7A45C" w14:textId="77777777" w:rsidR="00377434" w:rsidRPr="00166851" w:rsidRDefault="00377434" w:rsidP="00377434">
            <w:pPr>
              <w:spacing w:after="60"/>
              <w:jc w:val="right"/>
              <w:rPr>
                <w:sz w:val="18"/>
              </w:rPr>
            </w:pPr>
            <w:r>
              <w:rPr>
                <w:sz w:val="18"/>
              </w:rPr>
              <w:t>0</w:t>
            </w:r>
          </w:p>
        </w:tc>
        <w:tc>
          <w:tcPr>
            <w:tcW w:w="677" w:type="dxa"/>
          </w:tcPr>
          <w:p w14:paraId="1B5948F2" w14:textId="77777777" w:rsidR="00377434" w:rsidRPr="00166851" w:rsidRDefault="00377434" w:rsidP="00377434">
            <w:pPr>
              <w:spacing w:after="60"/>
              <w:jc w:val="right"/>
              <w:rPr>
                <w:sz w:val="18"/>
              </w:rPr>
            </w:pPr>
            <w:r>
              <w:rPr>
                <w:sz w:val="18"/>
              </w:rPr>
              <w:t>0</w:t>
            </w:r>
          </w:p>
        </w:tc>
        <w:tc>
          <w:tcPr>
            <w:tcW w:w="0" w:type="auto"/>
            <w:shd w:val="clear" w:color="auto" w:fill="auto"/>
          </w:tcPr>
          <w:p w14:paraId="4B50387E" w14:textId="77777777" w:rsidR="00377434" w:rsidRPr="00166851" w:rsidRDefault="00377434" w:rsidP="00377434">
            <w:pPr>
              <w:spacing w:after="60"/>
              <w:jc w:val="right"/>
              <w:rPr>
                <w:sz w:val="18"/>
              </w:rPr>
            </w:pPr>
            <w:r>
              <w:rPr>
                <w:sz w:val="18"/>
              </w:rPr>
              <w:t>0</w:t>
            </w:r>
          </w:p>
        </w:tc>
        <w:tc>
          <w:tcPr>
            <w:tcW w:w="0" w:type="auto"/>
            <w:shd w:val="clear" w:color="auto" w:fill="auto"/>
          </w:tcPr>
          <w:p w14:paraId="5F9405AD" w14:textId="77777777" w:rsidR="00377434" w:rsidRPr="00166851" w:rsidRDefault="00377434" w:rsidP="00377434">
            <w:pPr>
              <w:spacing w:after="60"/>
              <w:jc w:val="right"/>
              <w:rPr>
                <w:sz w:val="18"/>
              </w:rPr>
            </w:pPr>
            <w:r>
              <w:rPr>
                <w:sz w:val="18"/>
              </w:rPr>
              <w:t>0</w:t>
            </w:r>
          </w:p>
        </w:tc>
        <w:tc>
          <w:tcPr>
            <w:tcW w:w="0" w:type="auto"/>
            <w:shd w:val="clear" w:color="auto" w:fill="auto"/>
          </w:tcPr>
          <w:p w14:paraId="4CAA97C3" w14:textId="77777777" w:rsidR="00377434" w:rsidRPr="00166851" w:rsidRDefault="00377434" w:rsidP="00377434">
            <w:pPr>
              <w:spacing w:after="60"/>
              <w:jc w:val="right"/>
              <w:rPr>
                <w:sz w:val="18"/>
              </w:rPr>
            </w:pPr>
            <w:r>
              <w:rPr>
                <w:sz w:val="18"/>
              </w:rPr>
              <w:t>0</w:t>
            </w:r>
          </w:p>
        </w:tc>
        <w:tc>
          <w:tcPr>
            <w:tcW w:w="790" w:type="dxa"/>
            <w:shd w:val="clear" w:color="auto" w:fill="auto"/>
          </w:tcPr>
          <w:p w14:paraId="478CEC7B" w14:textId="77777777" w:rsidR="00377434" w:rsidRPr="00166851" w:rsidRDefault="00377434" w:rsidP="00377434">
            <w:pPr>
              <w:spacing w:after="60"/>
              <w:jc w:val="right"/>
              <w:rPr>
                <w:sz w:val="18"/>
              </w:rPr>
            </w:pPr>
            <w:r>
              <w:rPr>
                <w:sz w:val="18"/>
              </w:rPr>
              <w:t>0</w:t>
            </w:r>
          </w:p>
        </w:tc>
        <w:tc>
          <w:tcPr>
            <w:tcW w:w="739" w:type="dxa"/>
            <w:shd w:val="clear" w:color="auto" w:fill="auto"/>
          </w:tcPr>
          <w:p w14:paraId="0458FFF5" w14:textId="77777777" w:rsidR="00377434" w:rsidRPr="00166851" w:rsidRDefault="00377434" w:rsidP="00377434">
            <w:pPr>
              <w:spacing w:after="60"/>
              <w:jc w:val="right"/>
              <w:rPr>
                <w:sz w:val="18"/>
              </w:rPr>
            </w:pPr>
            <w:r>
              <w:rPr>
                <w:sz w:val="18"/>
              </w:rPr>
              <w:t>0</w:t>
            </w:r>
          </w:p>
        </w:tc>
        <w:tc>
          <w:tcPr>
            <w:tcW w:w="981" w:type="dxa"/>
            <w:shd w:val="clear" w:color="auto" w:fill="auto"/>
          </w:tcPr>
          <w:p w14:paraId="6560023D" w14:textId="77777777" w:rsidR="00377434" w:rsidRPr="00166851" w:rsidRDefault="00377434" w:rsidP="00377434">
            <w:pPr>
              <w:spacing w:after="60"/>
              <w:jc w:val="right"/>
              <w:rPr>
                <w:sz w:val="18"/>
              </w:rPr>
            </w:pPr>
            <w:r>
              <w:rPr>
                <w:b/>
                <w:bCs/>
                <w:sz w:val="18"/>
              </w:rPr>
              <w:t>152 500</w:t>
            </w:r>
            <w:r>
              <w:rPr>
                <w:sz w:val="18"/>
              </w:rPr>
              <w:t>**</w:t>
            </w:r>
          </w:p>
        </w:tc>
        <w:tc>
          <w:tcPr>
            <w:tcW w:w="947" w:type="dxa"/>
            <w:shd w:val="clear" w:color="auto" w:fill="auto"/>
          </w:tcPr>
          <w:p w14:paraId="2F42CCC1" w14:textId="77777777" w:rsidR="00377434" w:rsidRPr="00166851" w:rsidRDefault="00377434" w:rsidP="00377434">
            <w:pPr>
              <w:spacing w:after="60"/>
              <w:jc w:val="right"/>
              <w:rPr>
                <w:sz w:val="18"/>
              </w:rPr>
            </w:pPr>
            <w:r>
              <w:rPr>
                <w:sz w:val="18"/>
              </w:rPr>
              <w:t>0</w:t>
            </w:r>
          </w:p>
        </w:tc>
        <w:tc>
          <w:tcPr>
            <w:tcW w:w="847" w:type="dxa"/>
            <w:shd w:val="clear" w:color="auto" w:fill="auto"/>
          </w:tcPr>
          <w:p w14:paraId="30B5E5DA" w14:textId="77777777" w:rsidR="00377434" w:rsidRPr="00166851" w:rsidRDefault="00377434" w:rsidP="00377434">
            <w:pPr>
              <w:spacing w:after="60"/>
              <w:jc w:val="right"/>
              <w:rPr>
                <w:sz w:val="18"/>
              </w:rPr>
            </w:pPr>
            <w:r>
              <w:rPr>
                <w:sz w:val="18"/>
              </w:rPr>
              <w:t>152 500</w:t>
            </w:r>
          </w:p>
        </w:tc>
      </w:tr>
      <w:tr w:rsidR="00377434" w:rsidRPr="00166851" w14:paraId="059E3842" w14:textId="77777777" w:rsidTr="00FB6BFA">
        <w:trPr>
          <w:trHeight w:val="484"/>
        </w:trPr>
        <w:tc>
          <w:tcPr>
            <w:tcW w:w="0" w:type="auto"/>
            <w:gridSpan w:val="2"/>
            <w:vMerge/>
            <w:shd w:val="clear" w:color="auto" w:fill="auto"/>
          </w:tcPr>
          <w:p w14:paraId="1BCD9BC5" w14:textId="77777777" w:rsidR="00377434" w:rsidRPr="00166851" w:rsidRDefault="00377434" w:rsidP="00377434">
            <w:pPr>
              <w:spacing w:after="60"/>
              <w:jc w:val="center"/>
              <w:rPr>
                <w:sz w:val="18"/>
                <w:lang w:val="en-CA"/>
              </w:rPr>
            </w:pPr>
          </w:p>
        </w:tc>
        <w:tc>
          <w:tcPr>
            <w:tcW w:w="888" w:type="dxa"/>
            <w:shd w:val="clear" w:color="auto" w:fill="auto"/>
          </w:tcPr>
          <w:p w14:paraId="39DD8FE9" w14:textId="48088383" w:rsidR="00377434" w:rsidRPr="00166851" w:rsidRDefault="00377434" w:rsidP="00377434">
            <w:pPr>
              <w:spacing w:after="60"/>
              <w:jc w:val="left"/>
              <w:rPr>
                <w:sz w:val="18"/>
              </w:rPr>
            </w:pPr>
            <w:r>
              <w:rPr>
                <w:sz w:val="18"/>
              </w:rPr>
              <w:t>Coûts d</w:t>
            </w:r>
            <w:r w:rsidR="00435DA0">
              <w:rPr>
                <w:sz w:val="18"/>
              </w:rPr>
              <w:t>’</w:t>
            </w:r>
            <w:r>
              <w:rPr>
                <w:sz w:val="18"/>
              </w:rPr>
              <w:t>appui</w:t>
            </w:r>
          </w:p>
        </w:tc>
        <w:tc>
          <w:tcPr>
            <w:tcW w:w="801" w:type="dxa"/>
          </w:tcPr>
          <w:p w14:paraId="03E6B218" w14:textId="77777777" w:rsidR="00377434" w:rsidRPr="00166851" w:rsidRDefault="00377434" w:rsidP="00377434">
            <w:pPr>
              <w:spacing w:after="60"/>
              <w:jc w:val="right"/>
              <w:rPr>
                <w:sz w:val="18"/>
              </w:rPr>
            </w:pPr>
            <w:r>
              <w:rPr>
                <w:sz w:val="18"/>
              </w:rPr>
              <w:t>0</w:t>
            </w:r>
          </w:p>
        </w:tc>
        <w:tc>
          <w:tcPr>
            <w:tcW w:w="677" w:type="dxa"/>
          </w:tcPr>
          <w:p w14:paraId="444AEB08" w14:textId="77777777" w:rsidR="00377434" w:rsidRPr="00166851" w:rsidRDefault="00377434" w:rsidP="00377434">
            <w:pPr>
              <w:spacing w:after="60"/>
              <w:jc w:val="right"/>
              <w:rPr>
                <w:sz w:val="18"/>
              </w:rPr>
            </w:pPr>
            <w:r>
              <w:rPr>
                <w:sz w:val="18"/>
              </w:rPr>
              <w:t>0</w:t>
            </w:r>
          </w:p>
        </w:tc>
        <w:tc>
          <w:tcPr>
            <w:tcW w:w="0" w:type="auto"/>
            <w:shd w:val="clear" w:color="auto" w:fill="auto"/>
          </w:tcPr>
          <w:p w14:paraId="0927611C" w14:textId="77777777" w:rsidR="00377434" w:rsidRPr="00166851" w:rsidRDefault="00377434" w:rsidP="00377434">
            <w:pPr>
              <w:spacing w:after="60"/>
              <w:jc w:val="right"/>
              <w:rPr>
                <w:sz w:val="18"/>
              </w:rPr>
            </w:pPr>
            <w:r>
              <w:rPr>
                <w:sz w:val="18"/>
              </w:rPr>
              <w:t>0</w:t>
            </w:r>
          </w:p>
        </w:tc>
        <w:tc>
          <w:tcPr>
            <w:tcW w:w="0" w:type="auto"/>
            <w:shd w:val="clear" w:color="auto" w:fill="auto"/>
          </w:tcPr>
          <w:p w14:paraId="46C5226C" w14:textId="77777777" w:rsidR="00377434" w:rsidRPr="00166851" w:rsidRDefault="00377434" w:rsidP="00377434">
            <w:pPr>
              <w:spacing w:after="60"/>
              <w:jc w:val="right"/>
              <w:rPr>
                <w:sz w:val="18"/>
              </w:rPr>
            </w:pPr>
            <w:r>
              <w:rPr>
                <w:sz w:val="18"/>
              </w:rPr>
              <w:t>0</w:t>
            </w:r>
          </w:p>
        </w:tc>
        <w:tc>
          <w:tcPr>
            <w:tcW w:w="0" w:type="auto"/>
            <w:shd w:val="clear" w:color="auto" w:fill="auto"/>
          </w:tcPr>
          <w:p w14:paraId="13C66C5E" w14:textId="77777777" w:rsidR="00377434" w:rsidRPr="00166851" w:rsidRDefault="00377434" w:rsidP="00377434">
            <w:pPr>
              <w:spacing w:after="60"/>
              <w:jc w:val="right"/>
              <w:rPr>
                <w:sz w:val="18"/>
              </w:rPr>
            </w:pPr>
            <w:r>
              <w:rPr>
                <w:sz w:val="18"/>
              </w:rPr>
              <w:t>0</w:t>
            </w:r>
          </w:p>
        </w:tc>
        <w:tc>
          <w:tcPr>
            <w:tcW w:w="790" w:type="dxa"/>
            <w:shd w:val="clear" w:color="auto" w:fill="auto"/>
          </w:tcPr>
          <w:p w14:paraId="3E38118A" w14:textId="77777777" w:rsidR="00377434" w:rsidRPr="00166851" w:rsidRDefault="00377434" w:rsidP="00377434">
            <w:pPr>
              <w:spacing w:after="60"/>
              <w:jc w:val="right"/>
              <w:rPr>
                <w:sz w:val="18"/>
              </w:rPr>
            </w:pPr>
            <w:r>
              <w:rPr>
                <w:sz w:val="18"/>
              </w:rPr>
              <w:t>0</w:t>
            </w:r>
          </w:p>
        </w:tc>
        <w:tc>
          <w:tcPr>
            <w:tcW w:w="739" w:type="dxa"/>
            <w:shd w:val="clear" w:color="auto" w:fill="auto"/>
          </w:tcPr>
          <w:p w14:paraId="0805A83D" w14:textId="77777777" w:rsidR="00377434" w:rsidRPr="00166851" w:rsidRDefault="00377434" w:rsidP="00377434">
            <w:pPr>
              <w:spacing w:after="60"/>
              <w:jc w:val="right"/>
              <w:rPr>
                <w:sz w:val="18"/>
              </w:rPr>
            </w:pPr>
            <w:r>
              <w:rPr>
                <w:sz w:val="18"/>
              </w:rPr>
              <w:t>0</w:t>
            </w:r>
          </w:p>
        </w:tc>
        <w:tc>
          <w:tcPr>
            <w:tcW w:w="981" w:type="dxa"/>
            <w:shd w:val="clear" w:color="auto" w:fill="auto"/>
          </w:tcPr>
          <w:p w14:paraId="5C13DC1D" w14:textId="77777777" w:rsidR="00377434" w:rsidRPr="00166851" w:rsidRDefault="00377434" w:rsidP="00377434">
            <w:pPr>
              <w:spacing w:after="60"/>
              <w:jc w:val="right"/>
              <w:rPr>
                <w:sz w:val="18"/>
              </w:rPr>
            </w:pPr>
            <w:r>
              <w:rPr>
                <w:b/>
                <w:bCs/>
                <w:sz w:val="18"/>
              </w:rPr>
              <w:t>16 425</w:t>
            </w:r>
            <w:r>
              <w:rPr>
                <w:sz w:val="18"/>
              </w:rPr>
              <w:t>**</w:t>
            </w:r>
          </w:p>
        </w:tc>
        <w:tc>
          <w:tcPr>
            <w:tcW w:w="947" w:type="dxa"/>
            <w:shd w:val="clear" w:color="auto" w:fill="auto"/>
          </w:tcPr>
          <w:p w14:paraId="00F027F8" w14:textId="77777777" w:rsidR="00377434" w:rsidRPr="00166851" w:rsidRDefault="00377434" w:rsidP="00377434">
            <w:pPr>
              <w:spacing w:after="60"/>
              <w:jc w:val="right"/>
              <w:rPr>
                <w:sz w:val="18"/>
              </w:rPr>
            </w:pPr>
            <w:r>
              <w:rPr>
                <w:sz w:val="18"/>
              </w:rPr>
              <w:t>0</w:t>
            </w:r>
          </w:p>
        </w:tc>
        <w:tc>
          <w:tcPr>
            <w:tcW w:w="847" w:type="dxa"/>
            <w:shd w:val="clear" w:color="auto" w:fill="auto"/>
          </w:tcPr>
          <w:p w14:paraId="183A09FF" w14:textId="77777777" w:rsidR="00377434" w:rsidRPr="00166851" w:rsidRDefault="00377434" w:rsidP="00377434">
            <w:pPr>
              <w:spacing w:after="60"/>
              <w:jc w:val="right"/>
              <w:rPr>
                <w:sz w:val="18"/>
              </w:rPr>
            </w:pPr>
            <w:r>
              <w:rPr>
                <w:sz w:val="18"/>
              </w:rPr>
              <w:t>16,4255</w:t>
            </w:r>
          </w:p>
        </w:tc>
      </w:tr>
    </w:tbl>
    <w:p w14:paraId="4EBAA674" w14:textId="5C893805" w:rsidR="00377434" w:rsidRPr="00AC649C" w:rsidRDefault="00377434" w:rsidP="00377434">
      <w:pPr>
        <w:ind w:left="-709"/>
        <w:jc w:val="left"/>
        <w:rPr>
          <w:sz w:val="16"/>
        </w:rPr>
      </w:pPr>
      <w:r>
        <w:rPr>
          <w:sz w:val="16"/>
          <w:vertAlign w:val="superscript"/>
        </w:rPr>
        <w:t>*</w:t>
      </w:r>
      <w:r>
        <w:rPr>
          <w:sz w:val="16"/>
        </w:rPr>
        <w:t>Conformément à l</w:t>
      </w:r>
      <w:r w:rsidR="00435DA0">
        <w:rPr>
          <w:sz w:val="16"/>
        </w:rPr>
        <w:t>’</w:t>
      </w:r>
      <w:r>
        <w:rPr>
          <w:sz w:val="16"/>
        </w:rPr>
        <w:t>accord révisé qui sera approuvé à la présente réunion.</w:t>
      </w:r>
    </w:p>
    <w:p w14:paraId="6990861E" w14:textId="578AD354" w:rsidR="00377434" w:rsidRDefault="00377434" w:rsidP="00377434">
      <w:pPr>
        <w:ind w:left="-567" w:hanging="142"/>
        <w:jc w:val="left"/>
        <w:rPr>
          <w:sz w:val="16"/>
        </w:rPr>
      </w:pPr>
      <w:r>
        <w:rPr>
          <w:sz w:val="16"/>
          <w:vertAlign w:val="superscript"/>
        </w:rPr>
        <w:t>**</w:t>
      </w:r>
      <w:r>
        <w:rPr>
          <w:sz w:val="16"/>
        </w:rPr>
        <w:t xml:space="preserve"> Englobant les troisième et quatrième tranches qui devaient être présentées en 2016 et 2018 respectivement.</w:t>
      </w:r>
    </w:p>
    <w:p w14:paraId="68762A7A" w14:textId="77777777" w:rsidR="00377434" w:rsidRPr="00A971FF" w:rsidRDefault="00377434" w:rsidP="00377434">
      <w:pPr>
        <w:ind w:left="-567" w:hanging="142"/>
        <w:jc w:val="left"/>
        <w:rPr>
          <w:b/>
          <w:sz w:val="10"/>
          <w:szCs w:val="10"/>
        </w:rPr>
      </w:pPr>
    </w:p>
    <w:tbl>
      <w:tblPr>
        <w:tblStyle w:val="TableGrid"/>
        <w:tblW w:w="11199"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43"/>
        <w:gridCol w:w="7456"/>
      </w:tblGrid>
      <w:tr w:rsidR="00377434" w:rsidRPr="00166851" w14:paraId="24B77603" w14:textId="77777777" w:rsidTr="00760F4D">
        <w:trPr>
          <w:trHeight w:val="146"/>
        </w:trPr>
        <w:tc>
          <w:tcPr>
            <w:tcW w:w="3743" w:type="dxa"/>
            <w:shd w:val="clear" w:color="auto" w:fill="auto"/>
          </w:tcPr>
          <w:p w14:paraId="184874A5" w14:textId="77777777" w:rsidR="00377434" w:rsidRPr="00C538CA" w:rsidRDefault="00377434" w:rsidP="00377434">
            <w:pPr>
              <w:spacing w:after="60"/>
              <w:jc w:val="left"/>
              <w:rPr>
                <w:sz w:val="18"/>
              </w:rPr>
            </w:pPr>
            <w:r w:rsidRPr="00C538CA">
              <w:rPr>
                <w:sz w:val="18"/>
              </w:rPr>
              <w:t>Recommandation du Secrétariat :</w:t>
            </w:r>
          </w:p>
        </w:tc>
        <w:tc>
          <w:tcPr>
            <w:tcW w:w="7456" w:type="dxa"/>
            <w:shd w:val="clear" w:color="auto" w:fill="auto"/>
          </w:tcPr>
          <w:p w14:paraId="2EAFAE1E" w14:textId="77777777" w:rsidR="00377434" w:rsidRPr="00166851" w:rsidRDefault="00377434" w:rsidP="00377434">
            <w:pPr>
              <w:spacing w:after="60"/>
              <w:jc w:val="center"/>
              <w:rPr>
                <w:sz w:val="18"/>
              </w:rPr>
            </w:pPr>
            <w:r>
              <w:rPr>
                <w:sz w:val="18"/>
              </w:rPr>
              <w:t>Approbation globale</w:t>
            </w:r>
          </w:p>
        </w:tc>
      </w:tr>
    </w:tbl>
    <w:p w14:paraId="1FDA00D3" w14:textId="77777777" w:rsidR="009418BF" w:rsidRDefault="00D572DA" w:rsidP="00551BAC">
      <w:pPr>
        <w:jc w:val="center"/>
      </w:pPr>
      <w:r>
        <w:br w:type="page"/>
      </w:r>
    </w:p>
    <w:p w14:paraId="3636D51D" w14:textId="77777777" w:rsidR="009418BF" w:rsidRDefault="009418BF" w:rsidP="00551BAC">
      <w:pPr>
        <w:jc w:val="center"/>
      </w:pPr>
    </w:p>
    <w:p w14:paraId="362561F8" w14:textId="5E672658" w:rsidR="00FE3307" w:rsidRDefault="00D572DA" w:rsidP="00551BAC">
      <w:pPr>
        <w:jc w:val="center"/>
        <w:rPr>
          <w:b/>
        </w:rPr>
      </w:pPr>
      <w:r>
        <w:rPr>
          <w:b/>
        </w:rPr>
        <w:t>DESCRIPTION DU PROJET</w:t>
      </w:r>
    </w:p>
    <w:p w14:paraId="6D620ECE" w14:textId="77777777" w:rsidR="00377434" w:rsidRPr="00166851" w:rsidRDefault="00377434" w:rsidP="00551BAC">
      <w:pPr>
        <w:jc w:val="center"/>
        <w:rPr>
          <w:b/>
          <w:lang w:val="en-CA"/>
        </w:rPr>
      </w:pPr>
    </w:p>
    <w:p w14:paraId="4938C03E" w14:textId="7D1A3C1A" w:rsidR="00377434" w:rsidRDefault="00377434" w:rsidP="00551BAC">
      <w:pPr>
        <w:pStyle w:val="Heading1"/>
        <w:spacing w:before="120" w:after="0"/>
      </w:pPr>
      <w:r>
        <w:t>Lors de la 73</w:t>
      </w:r>
      <w:r>
        <w:rPr>
          <w:vertAlign w:val="superscript"/>
        </w:rPr>
        <w:t>e</w:t>
      </w:r>
      <w:r>
        <w:t xml:space="preserve"> réunion, le Comité exécutif a évalué la demande pour la deuxième tranche de la phase I du plan de gestion de l</w:t>
      </w:r>
      <w:r w:rsidR="00435DA0">
        <w:t>’</w:t>
      </w:r>
      <w:r>
        <w:t>élimination des HCFC (PGEH) pour le Mozambique</w:t>
      </w:r>
      <w:r>
        <w:rPr>
          <w:rStyle w:val="FootnoteReference"/>
        </w:rPr>
        <w:footnoteReference w:id="1"/>
      </w:r>
      <w:r>
        <w:t xml:space="preserve">, en prenant note que le gouvernement avait demandé à la vingt-sixième réunion des Parties au Protocole de Montréal de réviser les données de consommation de HCFC pour 2009, de 4,30 à 8,68 tonnes PAO, ce qui entraînait une modification de la valeur de référence pour la conformité et du point de départ des réductions globales durables pour la consommation de HCFC. Par conséquent, le Comité exécutif a notamment approuvé la deuxième tranche du (PGEH) à la condition que les Parties approuvent, lors de leur vingt-sixième réunion, la modification de la consommation de HCFC pour 2009; et a pris note que le point de départ révisé serait de 8,69 tonnes PAO, </w:t>
      </w:r>
      <w:r w:rsidR="00435DA0">
        <w:t>dont le calcul a été réalisé à partir</w:t>
      </w:r>
      <w:r>
        <w:t xml:space="preserve"> </w:t>
      </w:r>
      <w:r w:rsidR="00435DA0">
        <w:t>d</w:t>
      </w:r>
      <w:r>
        <w:t>es données de consommation révisées de 8,68</w:t>
      </w:r>
      <w:r w:rsidR="00FB6BFA">
        <w:t> </w:t>
      </w:r>
      <w:r>
        <w:t>tonnes PAO pour 2009 et de 8,7 tonnes PAO pour 2010, qui ont été communiquées en vertu de l</w:t>
      </w:r>
      <w:r w:rsidR="00435DA0">
        <w:t>’</w:t>
      </w:r>
      <w:r>
        <w:t>Article 7 du Protocole de Montréal, et que le niveau de financement révisé pour le financement de la phase</w:t>
      </w:r>
      <w:r w:rsidR="00FB6BFA">
        <w:t> </w:t>
      </w:r>
      <w:r>
        <w:t>I du PGEH serait de 332 500 $ US, conformément à la décision 60/44(f)(xii); et a demandé au Secrétariat de mettre à jour l</w:t>
      </w:r>
      <w:r w:rsidR="00435DA0">
        <w:t>’</w:t>
      </w:r>
      <w:r>
        <w:t>Accord entre le gouvernement et le Comité exécutif, selon la valeur de référence établie pour la conformité, puis de le présenter en même temps que la demande de financement pour la troisième tranche du PGEH, si les Parties approuvaient la modification de la consommation de HCFC pour 2009 lors de leur vingt-sixième réunion.</w:t>
      </w:r>
      <w:r w:rsidR="00012F28">
        <w:rPr>
          <w:rStyle w:val="FootnoteReference"/>
        </w:rPr>
        <w:footnoteReference w:id="2"/>
      </w:r>
      <w:r>
        <w:t xml:space="preserve"> </w:t>
      </w:r>
    </w:p>
    <w:p w14:paraId="77B940C5" w14:textId="77777777" w:rsidR="00071837" w:rsidRPr="00071837" w:rsidRDefault="00071837" w:rsidP="00551BAC"/>
    <w:p w14:paraId="79C5BDC2" w14:textId="1D2DB9E7" w:rsidR="00012F28" w:rsidRDefault="000353F7" w:rsidP="00551BAC">
      <w:pPr>
        <w:pStyle w:val="Heading1"/>
      </w:pPr>
      <w:r>
        <w:t>Lors de leur vingt-sixième réunion, les Parties ont approuvé la demande du gouvernement du Mozambique afin de réviser les données de la valeur de référence pour 2009</w:t>
      </w:r>
      <w:r w:rsidR="00C51F82">
        <w:rPr>
          <w:rStyle w:val="FootnoteReference"/>
        </w:rPr>
        <w:footnoteReference w:id="3"/>
      </w:r>
      <w:r>
        <w:t>.</w:t>
      </w:r>
    </w:p>
    <w:p w14:paraId="65A05292" w14:textId="27C586F0" w:rsidR="004419B8" w:rsidRPr="00166851" w:rsidRDefault="00FE3307" w:rsidP="00551BAC">
      <w:pPr>
        <w:pStyle w:val="Heading1"/>
      </w:pPr>
      <w:r>
        <w:t>Au nom du gouvernement du Mozambique, le PNUE, en tant que principale agence d</w:t>
      </w:r>
      <w:r w:rsidR="00435DA0">
        <w:t>’</w:t>
      </w:r>
      <w:r>
        <w:t>exécution, a présenté une demande de financement pour les troisième et quatrième tranches de la phase I du PGEH, d</w:t>
      </w:r>
      <w:r w:rsidR="00435DA0">
        <w:t>’</w:t>
      </w:r>
      <w:r>
        <w:t>un montant total de 168 925 $ US, soit 67 500 $ US, plus les coûts d</w:t>
      </w:r>
      <w:r w:rsidR="00435DA0">
        <w:t>’</w:t>
      </w:r>
      <w:r>
        <w:t>appui d</w:t>
      </w:r>
      <w:r w:rsidR="00435DA0">
        <w:t>’</w:t>
      </w:r>
      <w:r>
        <w:t>agence de 8 775 $ US pour le PNUE, et de 85 000 $ US, plus les coûts d</w:t>
      </w:r>
      <w:r w:rsidR="00435DA0">
        <w:t>’</w:t>
      </w:r>
      <w:r>
        <w:t>appui d</w:t>
      </w:r>
      <w:r w:rsidR="00435DA0">
        <w:t>’</w:t>
      </w:r>
      <w:r>
        <w:t>agence de 7 650 $ US pour l</w:t>
      </w:r>
      <w:r w:rsidR="00435DA0">
        <w:t>’</w:t>
      </w:r>
      <w:r>
        <w:t>ONUDI.</w:t>
      </w:r>
      <w:r w:rsidRPr="00166851">
        <w:rPr>
          <w:rStyle w:val="FootnoteReference"/>
          <w:lang w:val="en-CA"/>
        </w:rPr>
        <w:footnoteReference w:id="4"/>
      </w:r>
      <w:r>
        <w:t xml:space="preserve"> La présentation comprend un rapport périodique sur la mise en œuvre de la deuxième tranche, le rapport de vérification sur la consommation des HCFC pour 2013 à 2018, ainsi que le plan de mise en œuvre des tranches pour 2019 et 2020.</w:t>
      </w:r>
    </w:p>
    <w:p w14:paraId="712F0AEC" w14:textId="67A22524" w:rsidR="00FE3307" w:rsidRPr="00166851" w:rsidRDefault="00FE3307" w:rsidP="00E00B07">
      <w:pPr>
        <w:spacing w:after="240"/>
        <w:rPr>
          <w:u w:val="single"/>
        </w:rPr>
      </w:pPr>
      <w:r>
        <w:rPr>
          <w:u w:val="single"/>
        </w:rPr>
        <w:t>Rapport sur la consommation de HCFC</w:t>
      </w:r>
    </w:p>
    <w:p w14:paraId="3335A1BC" w14:textId="1A1EDE74" w:rsidR="00325F89" w:rsidRPr="00166851" w:rsidRDefault="00FE3307" w:rsidP="00551BAC">
      <w:pPr>
        <w:pStyle w:val="Heading1"/>
        <w:spacing w:after="120"/>
      </w:pPr>
      <w:r>
        <w:t>Le gouvernement du Mozambique a rapporté une consommation de 5,03 tonnes PAO de HCFC en 2017, ce qui est environ 42 % inférieur à la valeur de référence pour la conformité. La consommation de HCFC pour 2014-2018 est indiquée dans le tableau 1.</w:t>
      </w:r>
    </w:p>
    <w:p w14:paraId="7B03D0D3" w14:textId="3FC62464" w:rsidR="00F36556" w:rsidRPr="00166851" w:rsidRDefault="00F36556" w:rsidP="00551BAC">
      <w:pPr>
        <w:rPr>
          <w:b/>
        </w:rPr>
      </w:pPr>
      <w:r>
        <w:rPr>
          <w:b/>
        </w:rPr>
        <w:t>Tableau 1. Consommation de HCFC au Mozambique (2014-2018, données de l</w:t>
      </w:r>
      <w:r w:rsidR="00435DA0">
        <w:rPr>
          <w:b/>
        </w:rPr>
        <w:t>’</w:t>
      </w:r>
      <w:r>
        <w:rPr>
          <w:b/>
        </w:rPr>
        <w:t>Article 7)</w:t>
      </w:r>
    </w:p>
    <w:tbl>
      <w:tblPr>
        <w:tblW w:w="5000" w:type="pct"/>
        <w:tblLook w:val="04A0" w:firstRow="1" w:lastRow="0" w:firstColumn="1" w:lastColumn="0" w:noHBand="0" w:noVBand="1"/>
      </w:tblPr>
      <w:tblGrid>
        <w:gridCol w:w="2940"/>
        <w:gridCol w:w="833"/>
        <w:gridCol w:w="831"/>
        <w:gridCol w:w="831"/>
        <w:gridCol w:w="951"/>
        <w:gridCol w:w="971"/>
        <w:gridCol w:w="1989"/>
      </w:tblGrid>
      <w:tr w:rsidR="00F02414" w:rsidRPr="00CA1B06" w14:paraId="3CB0D636" w14:textId="77777777" w:rsidTr="00CA1B06">
        <w:trPr>
          <w:tblHeader/>
        </w:trPr>
        <w:tc>
          <w:tcPr>
            <w:tcW w:w="164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C6F2856" w14:textId="77777777" w:rsidR="00F02414" w:rsidRPr="00CA1B06" w:rsidRDefault="00F02414" w:rsidP="00551BAC">
            <w:pPr>
              <w:widowControl w:val="0"/>
              <w:jc w:val="left"/>
              <w:rPr>
                <w:b/>
                <w:bCs/>
                <w:color w:val="000000"/>
                <w:sz w:val="21"/>
                <w:szCs w:val="21"/>
              </w:rPr>
            </w:pPr>
            <w:r>
              <w:rPr>
                <w:b/>
                <w:bCs/>
                <w:color w:val="000000"/>
                <w:sz w:val="21"/>
                <w:szCs w:val="21"/>
              </w:rPr>
              <w:t>HCFC-22</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2F6B447C" w14:textId="77777777" w:rsidR="00F02414" w:rsidRPr="00CA1B06" w:rsidRDefault="00F02414" w:rsidP="00551BAC">
            <w:pPr>
              <w:widowControl w:val="0"/>
              <w:jc w:val="center"/>
              <w:rPr>
                <w:b/>
                <w:bCs/>
                <w:color w:val="000000"/>
                <w:sz w:val="21"/>
                <w:szCs w:val="21"/>
              </w:rPr>
            </w:pPr>
            <w:r>
              <w:rPr>
                <w:b/>
                <w:bCs/>
                <w:color w:val="000000"/>
                <w:sz w:val="21"/>
                <w:szCs w:val="21"/>
              </w:rPr>
              <w:t>2014</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412F0956" w14:textId="2EFB27D7" w:rsidR="00F02414" w:rsidRPr="00CA1B06" w:rsidRDefault="00F02414" w:rsidP="00551BAC">
            <w:pPr>
              <w:widowControl w:val="0"/>
              <w:jc w:val="center"/>
              <w:rPr>
                <w:b/>
                <w:bCs/>
                <w:color w:val="000000"/>
                <w:sz w:val="21"/>
                <w:szCs w:val="21"/>
              </w:rPr>
            </w:pPr>
            <w:r>
              <w:rPr>
                <w:b/>
                <w:bCs/>
                <w:color w:val="000000"/>
                <w:sz w:val="21"/>
                <w:szCs w:val="21"/>
              </w:rPr>
              <w:t>2015</w:t>
            </w:r>
          </w:p>
        </w:tc>
        <w:tc>
          <w:tcPr>
            <w:tcW w:w="514" w:type="pct"/>
            <w:tcBorders>
              <w:top w:val="single" w:sz="4" w:space="0" w:color="auto"/>
              <w:left w:val="nil"/>
              <w:bottom w:val="single" w:sz="4" w:space="0" w:color="auto"/>
              <w:right w:val="single" w:sz="4" w:space="0" w:color="auto"/>
            </w:tcBorders>
          </w:tcPr>
          <w:p w14:paraId="4485FC3D" w14:textId="77777777" w:rsidR="00F02414" w:rsidRPr="00CA1B06" w:rsidRDefault="00F02414" w:rsidP="00551BAC">
            <w:pPr>
              <w:widowControl w:val="0"/>
              <w:jc w:val="center"/>
              <w:rPr>
                <w:b/>
                <w:bCs/>
                <w:color w:val="000000"/>
                <w:sz w:val="21"/>
                <w:szCs w:val="21"/>
              </w:rPr>
            </w:pPr>
            <w:r>
              <w:rPr>
                <w:b/>
                <w:bCs/>
                <w:color w:val="000000"/>
                <w:sz w:val="21"/>
                <w:szCs w:val="21"/>
              </w:rPr>
              <w:t>2016</w:t>
            </w:r>
          </w:p>
        </w:tc>
        <w:tc>
          <w:tcPr>
            <w:tcW w:w="515" w:type="pct"/>
            <w:tcBorders>
              <w:top w:val="single" w:sz="4" w:space="0" w:color="auto"/>
              <w:left w:val="single" w:sz="4" w:space="0" w:color="auto"/>
              <w:bottom w:val="single" w:sz="4" w:space="0" w:color="auto"/>
              <w:right w:val="single" w:sz="4" w:space="0" w:color="auto"/>
            </w:tcBorders>
          </w:tcPr>
          <w:p w14:paraId="632A7B63" w14:textId="77777777" w:rsidR="00F02414" w:rsidRPr="00CA1B06" w:rsidRDefault="00F02414" w:rsidP="00551BAC">
            <w:pPr>
              <w:widowControl w:val="0"/>
              <w:jc w:val="center"/>
              <w:rPr>
                <w:b/>
                <w:bCs/>
                <w:color w:val="000000"/>
                <w:sz w:val="21"/>
                <w:szCs w:val="21"/>
              </w:rPr>
            </w:pPr>
            <w:r>
              <w:rPr>
                <w:b/>
                <w:bCs/>
                <w:color w:val="000000"/>
                <w:sz w:val="21"/>
                <w:szCs w:val="21"/>
              </w:rPr>
              <w:t>2017</w:t>
            </w:r>
          </w:p>
        </w:tc>
        <w:tc>
          <w:tcPr>
            <w:tcW w:w="652" w:type="pct"/>
            <w:tcBorders>
              <w:top w:val="single" w:sz="4" w:space="0" w:color="auto"/>
              <w:left w:val="single" w:sz="4" w:space="0" w:color="auto"/>
              <w:bottom w:val="single" w:sz="4" w:space="0" w:color="auto"/>
              <w:right w:val="single" w:sz="4" w:space="0" w:color="auto"/>
            </w:tcBorders>
          </w:tcPr>
          <w:p w14:paraId="6FCC6CE3" w14:textId="77777777" w:rsidR="00F02414" w:rsidRPr="00CA1B06" w:rsidRDefault="00F02414" w:rsidP="00551BAC">
            <w:pPr>
              <w:widowControl w:val="0"/>
              <w:jc w:val="center"/>
              <w:rPr>
                <w:b/>
                <w:bCs/>
                <w:color w:val="000000"/>
                <w:sz w:val="21"/>
                <w:szCs w:val="21"/>
              </w:rPr>
            </w:pPr>
            <w:r>
              <w:rPr>
                <w:b/>
                <w:bCs/>
                <w:color w:val="000000"/>
                <w:sz w:val="21"/>
                <w:szCs w:val="21"/>
              </w:rPr>
              <w:t>2018*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A3E33" w14:textId="77777777" w:rsidR="00F02414" w:rsidRPr="00CA1B06" w:rsidRDefault="00F02414" w:rsidP="00551BAC">
            <w:pPr>
              <w:widowControl w:val="0"/>
              <w:jc w:val="center"/>
              <w:rPr>
                <w:b/>
                <w:bCs/>
                <w:color w:val="000000"/>
                <w:sz w:val="21"/>
                <w:szCs w:val="21"/>
              </w:rPr>
            </w:pPr>
            <w:r>
              <w:rPr>
                <w:b/>
                <w:bCs/>
                <w:color w:val="000000"/>
                <w:sz w:val="21"/>
                <w:szCs w:val="21"/>
              </w:rPr>
              <w:t>Valeur de référence</w:t>
            </w:r>
          </w:p>
        </w:tc>
      </w:tr>
      <w:tr w:rsidR="00F02414" w:rsidRPr="00CA1B06" w14:paraId="18BFB403" w14:textId="77777777" w:rsidTr="00CA1B06">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716AB7C" w14:textId="77777777" w:rsidR="00F02414" w:rsidRPr="00CA1B06" w:rsidRDefault="00F02414" w:rsidP="00551BAC">
            <w:pPr>
              <w:widowControl w:val="0"/>
              <w:jc w:val="left"/>
              <w:rPr>
                <w:bCs/>
                <w:color w:val="000000"/>
                <w:sz w:val="21"/>
                <w:szCs w:val="21"/>
              </w:rPr>
            </w:pPr>
            <w:r>
              <w:rPr>
                <w:bCs/>
                <w:color w:val="000000"/>
                <w:sz w:val="21"/>
                <w:szCs w:val="21"/>
              </w:rPr>
              <w:t>Tonnes métriques</w:t>
            </w:r>
          </w:p>
        </w:tc>
        <w:tc>
          <w:tcPr>
            <w:tcW w:w="515" w:type="pct"/>
            <w:tcBorders>
              <w:top w:val="nil"/>
              <w:left w:val="nil"/>
              <w:bottom w:val="single" w:sz="4" w:space="0" w:color="auto"/>
              <w:right w:val="single" w:sz="4" w:space="0" w:color="auto"/>
            </w:tcBorders>
            <w:shd w:val="clear" w:color="auto" w:fill="auto"/>
            <w:noWrap/>
          </w:tcPr>
          <w:p w14:paraId="6BBD9407" w14:textId="37E3758A" w:rsidR="00F02414" w:rsidRPr="00CA1B06" w:rsidRDefault="00F02414" w:rsidP="00551BAC">
            <w:pPr>
              <w:jc w:val="right"/>
              <w:rPr>
                <w:color w:val="000000"/>
                <w:sz w:val="21"/>
                <w:szCs w:val="21"/>
              </w:rPr>
            </w:pPr>
            <w:r>
              <w:rPr>
                <w:color w:val="000000"/>
                <w:sz w:val="21"/>
                <w:szCs w:val="21"/>
              </w:rPr>
              <w:t>130,00</w:t>
            </w:r>
          </w:p>
        </w:tc>
        <w:tc>
          <w:tcPr>
            <w:tcW w:w="514" w:type="pct"/>
            <w:tcBorders>
              <w:top w:val="nil"/>
              <w:left w:val="nil"/>
              <w:bottom w:val="single" w:sz="4" w:space="0" w:color="auto"/>
              <w:right w:val="single" w:sz="4" w:space="0" w:color="auto"/>
            </w:tcBorders>
            <w:shd w:val="clear" w:color="auto" w:fill="auto"/>
            <w:noWrap/>
          </w:tcPr>
          <w:p w14:paraId="62E4C488" w14:textId="116B2938" w:rsidR="00F02414" w:rsidRPr="00CA1B06" w:rsidRDefault="00F02414" w:rsidP="00551BAC">
            <w:pPr>
              <w:jc w:val="right"/>
              <w:rPr>
                <w:color w:val="000000"/>
                <w:sz w:val="21"/>
                <w:szCs w:val="21"/>
              </w:rPr>
            </w:pPr>
            <w:r>
              <w:rPr>
                <w:color w:val="000000"/>
                <w:sz w:val="21"/>
                <w:szCs w:val="21"/>
              </w:rPr>
              <w:t>130,00</w:t>
            </w:r>
          </w:p>
        </w:tc>
        <w:tc>
          <w:tcPr>
            <w:tcW w:w="514" w:type="pct"/>
            <w:tcBorders>
              <w:top w:val="single" w:sz="4" w:space="0" w:color="auto"/>
              <w:left w:val="nil"/>
              <w:bottom w:val="single" w:sz="4" w:space="0" w:color="auto"/>
              <w:right w:val="single" w:sz="4" w:space="0" w:color="auto"/>
            </w:tcBorders>
          </w:tcPr>
          <w:p w14:paraId="7D547623" w14:textId="55DDF32B" w:rsidR="00F02414" w:rsidRPr="00CA1B06" w:rsidRDefault="00F02414" w:rsidP="00551BAC">
            <w:pPr>
              <w:widowControl w:val="0"/>
              <w:jc w:val="right"/>
              <w:rPr>
                <w:bCs/>
                <w:color w:val="000000"/>
                <w:sz w:val="21"/>
                <w:szCs w:val="21"/>
              </w:rPr>
            </w:pPr>
            <w:r>
              <w:rPr>
                <w:bCs/>
                <w:color w:val="000000"/>
                <w:sz w:val="21"/>
                <w:szCs w:val="21"/>
              </w:rPr>
              <w:t>128,00</w:t>
            </w:r>
          </w:p>
        </w:tc>
        <w:tc>
          <w:tcPr>
            <w:tcW w:w="515" w:type="pct"/>
            <w:tcBorders>
              <w:top w:val="nil"/>
              <w:left w:val="single" w:sz="4" w:space="0" w:color="auto"/>
              <w:bottom w:val="single" w:sz="4" w:space="0" w:color="auto"/>
              <w:right w:val="single" w:sz="4" w:space="0" w:color="auto"/>
            </w:tcBorders>
          </w:tcPr>
          <w:p w14:paraId="2C4509AA" w14:textId="530C7FE6" w:rsidR="00F02414" w:rsidRPr="00CA1B06" w:rsidRDefault="00F02414" w:rsidP="00551BAC">
            <w:pPr>
              <w:widowControl w:val="0"/>
              <w:jc w:val="right"/>
              <w:rPr>
                <w:bCs/>
                <w:color w:val="000000"/>
                <w:sz w:val="21"/>
                <w:szCs w:val="21"/>
              </w:rPr>
            </w:pPr>
            <w:r>
              <w:rPr>
                <w:bCs/>
                <w:color w:val="000000"/>
                <w:sz w:val="21"/>
                <w:szCs w:val="21"/>
              </w:rPr>
              <w:t>91,58,00</w:t>
            </w:r>
          </w:p>
        </w:tc>
        <w:tc>
          <w:tcPr>
            <w:tcW w:w="652" w:type="pct"/>
            <w:tcBorders>
              <w:top w:val="nil"/>
              <w:left w:val="single" w:sz="4" w:space="0" w:color="auto"/>
              <w:bottom w:val="single" w:sz="4" w:space="0" w:color="auto"/>
              <w:right w:val="single" w:sz="4" w:space="0" w:color="auto"/>
            </w:tcBorders>
          </w:tcPr>
          <w:p w14:paraId="6F90766D" w14:textId="5E4C55C0" w:rsidR="00F02414" w:rsidRPr="00CA1B06" w:rsidRDefault="00F02414" w:rsidP="00551BAC">
            <w:pPr>
              <w:widowControl w:val="0"/>
              <w:jc w:val="right"/>
              <w:rPr>
                <w:rFonts w:eastAsiaTheme="minorHAnsi"/>
                <w:color w:val="000000"/>
                <w:sz w:val="21"/>
                <w:szCs w:val="21"/>
              </w:rPr>
            </w:pPr>
            <w:r>
              <w:rPr>
                <w:color w:val="000000"/>
                <w:sz w:val="21"/>
                <w:szCs w:val="21"/>
              </w:rPr>
              <w:t>73,0</w:t>
            </w:r>
          </w:p>
        </w:tc>
        <w:tc>
          <w:tcPr>
            <w:tcW w:w="647" w:type="pct"/>
            <w:tcBorders>
              <w:top w:val="nil"/>
              <w:left w:val="single" w:sz="4" w:space="0" w:color="auto"/>
              <w:bottom w:val="single" w:sz="4" w:space="0" w:color="auto"/>
              <w:right w:val="single" w:sz="4" w:space="0" w:color="auto"/>
            </w:tcBorders>
            <w:shd w:val="clear" w:color="auto" w:fill="auto"/>
            <w:noWrap/>
            <w:vAlign w:val="center"/>
          </w:tcPr>
          <w:p w14:paraId="141C323B" w14:textId="597FA042" w:rsidR="00F02414" w:rsidRPr="00CA1B06" w:rsidRDefault="00DD501D" w:rsidP="00551BAC">
            <w:pPr>
              <w:widowControl w:val="0"/>
              <w:jc w:val="right"/>
              <w:rPr>
                <w:bCs/>
                <w:color w:val="000000"/>
                <w:sz w:val="21"/>
                <w:szCs w:val="21"/>
              </w:rPr>
            </w:pPr>
            <w:r>
              <w:rPr>
                <w:bCs/>
                <w:color w:val="000000"/>
                <w:sz w:val="21"/>
                <w:szCs w:val="21"/>
              </w:rPr>
              <w:t>158,00</w:t>
            </w:r>
          </w:p>
        </w:tc>
      </w:tr>
      <w:tr w:rsidR="00F02414" w:rsidRPr="00CA1B06" w14:paraId="3A32AD97" w14:textId="77777777" w:rsidTr="00CA1B06">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D69A1DF" w14:textId="77777777" w:rsidR="00F02414" w:rsidRPr="00CA1B06" w:rsidRDefault="00F02414" w:rsidP="00551BAC">
            <w:pPr>
              <w:widowControl w:val="0"/>
              <w:jc w:val="left"/>
              <w:rPr>
                <w:color w:val="000000"/>
                <w:sz w:val="21"/>
                <w:szCs w:val="21"/>
              </w:rPr>
            </w:pPr>
            <w:r>
              <w:rPr>
                <w:bCs/>
                <w:color w:val="000000"/>
                <w:sz w:val="21"/>
                <w:szCs w:val="21"/>
              </w:rPr>
              <w:t>Tonnes PAO</w:t>
            </w:r>
          </w:p>
        </w:tc>
        <w:tc>
          <w:tcPr>
            <w:tcW w:w="515" w:type="pct"/>
            <w:tcBorders>
              <w:top w:val="nil"/>
              <w:left w:val="nil"/>
              <w:bottom w:val="single" w:sz="4" w:space="0" w:color="auto"/>
              <w:right w:val="single" w:sz="4" w:space="0" w:color="auto"/>
            </w:tcBorders>
            <w:shd w:val="clear" w:color="auto" w:fill="auto"/>
            <w:noWrap/>
          </w:tcPr>
          <w:p w14:paraId="2873A621" w14:textId="77777777" w:rsidR="00F02414" w:rsidRPr="00CA1B06" w:rsidRDefault="00F02414" w:rsidP="00551BAC">
            <w:pPr>
              <w:jc w:val="right"/>
              <w:rPr>
                <w:rFonts w:eastAsiaTheme="minorHAnsi"/>
                <w:color w:val="000000"/>
                <w:sz w:val="21"/>
                <w:szCs w:val="21"/>
              </w:rPr>
            </w:pPr>
            <w:r>
              <w:rPr>
                <w:color w:val="000000"/>
                <w:sz w:val="21"/>
                <w:szCs w:val="21"/>
              </w:rPr>
              <w:t>7,15</w:t>
            </w:r>
          </w:p>
        </w:tc>
        <w:tc>
          <w:tcPr>
            <w:tcW w:w="514" w:type="pct"/>
            <w:tcBorders>
              <w:top w:val="nil"/>
              <w:left w:val="nil"/>
              <w:bottom w:val="single" w:sz="4" w:space="0" w:color="auto"/>
              <w:right w:val="single" w:sz="4" w:space="0" w:color="auto"/>
            </w:tcBorders>
            <w:shd w:val="clear" w:color="auto" w:fill="auto"/>
            <w:noWrap/>
          </w:tcPr>
          <w:p w14:paraId="77B909B7" w14:textId="0BD2EE36" w:rsidR="00F02414" w:rsidRPr="00CA1B06" w:rsidRDefault="00F02414" w:rsidP="00551BAC">
            <w:pPr>
              <w:jc w:val="right"/>
              <w:rPr>
                <w:color w:val="000000"/>
                <w:sz w:val="21"/>
                <w:szCs w:val="21"/>
              </w:rPr>
            </w:pPr>
            <w:r>
              <w:rPr>
                <w:color w:val="000000"/>
                <w:sz w:val="21"/>
                <w:szCs w:val="21"/>
              </w:rPr>
              <w:t>7,15</w:t>
            </w:r>
          </w:p>
        </w:tc>
        <w:tc>
          <w:tcPr>
            <w:tcW w:w="514" w:type="pct"/>
            <w:tcBorders>
              <w:top w:val="single" w:sz="4" w:space="0" w:color="auto"/>
              <w:left w:val="nil"/>
              <w:bottom w:val="single" w:sz="4" w:space="0" w:color="auto"/>
              <w:right w:val="single" w:sz="4" w:space="0" w:color="auto"/>
            </w:tcBorders>
          </w:tcPr>
          <w:p w14:paraId="10B6A77F" w14:textId="77777777" w:rsidR="00F02414" w:rsidRPr="00CA1B06" w:rsidRDefault="00F02414" w:rsidP="00551BAC">
            <w:pPr>
              <w:jc w:val="right"/>
              <w:rPr>
                <w:color w:val="000000"/>
                <w:sz w:val="21"/>
                <w:szCs w:val="21"/>
              </w:rPr>
            </w:pPr>
            <w:r>
              <w:rPr>
                <w:color w:val="000000"/>
                <w:sz w:val="21"/>
                <w:szCs w:val="21"/>
              </w:rPr>
              <w:t>7,04</w:t>
            </w:r>
          </w:p>
        </w:tc>
        <w:tc>
          <w:tcPr>
            <w:tcW w:w="515" w:type="pct"/>
            <w:tcBorders>
              <w:top w:val="nil"/>
              <w:left w:val="single" w:sz="4" w:space="0" w:color="auto"/>
              <w:bottom w:val="single" w:sz="4" w:space="0" w:color="auto"/>
              <w:right w:val="single" w:sz="4" w:space="0" w:color="auto"/>
            </w:tcBorders>
          </w:tcPr>
          <w:p w14:paraId="4A4469E9" w14:textId="77777777" w:rsidR="00F02414" w:rsidRPr="00CA1B06" w:rsidRDefault="00F02414" w:rsidP="00551BAC">
            <w:pPr>
              <w:jc w:val="right"/>
              <w:rPr>
                <w:sz w:val="21"/>
                <w:szCs w:val="21"/>
              </w:rPr>
            </w:pPr>
            <w:r>
              <w:rPr>
                <w:sz w:val="21"/>
                <w:szCs w:val="21"/>
              </w:rPr>
              <w:t>5,03</w:t>
            </w:r>
          </w:p>
        </w:tc>
        <w:tc>
          <w:tcPr>
            <w:tcW w:w="652" w:type="pct"/>
            <w:tcBorders>
              <w:top w:val="nil"/>
              <w:left w:val="single" w:sz="4" w:space="0" w:color="auto"/>
              <w:bottom w:val="single" w:sz="4" w:space="0" w:color="auto"/>
              <w:right w:val="single" w:sz="4" w:space="0" w:color="auto"/>
            </w:tcBorders>
          </w:tcPr>
          <w:p w14:paraId="3D9FE104" w14:textId="79E55515" w:rsidR="00F02414" w:rsidRPr="00CA1B06" w:rsidRDefault="00F02414" w:rsidP="00551BAC">
            <w:pPr>
              <w:jc w:val="right"/>
              <w:rPr>
                <w:rFonts w:eastAsiaTheme="minorHAnsi"/>
                <w:color w:val="000000"/>
                <w:sz w:val="21"/>
                <w:szCs w:val="21"/>
              </w:rPr>
            </w:pPr>
            <w:r>
              <w:rPr>
                <w:color w:val="000000"/>
                <w:sz w:val="21"/>
                <w:szCs w:val="21"/>
              </w:rPr>
              <w:t>4,02</w:t>
            </w:r>
          </w:p>
        </w:tc>
        <w:tc>
          <w:tcPr>
            <w:tcW w:w="647" w:type="pct"/>
            <w:tcBorders>
              <w:top w:val="nil"/>
              <w:left w:val="single" w:sz="4" w:space="0" w:color="auto"/>
              <w:bottom w:val="single" w:sz="4" w:space="0" w:color="auto"/>
              <w:right w:val="single" w:sz="4" w:space="0" w:color="auto"/>
            </w:tcBorders>
            <w:shd w:val="clear" w:color="auto" w:fill="auto"/>
            <w:noWrap/>
          </w:tcPr>
          <w:p w14:paraId="39883A55" w14:textId="77777777" w:rsidR="00F02414" w:rsidRPr="00CA1B06" w:rsidRDefault="00F02414" w:rsidP="00551BAC">
            <w:pPr>
              <w:jc w:val="right"/>
              <w:rPr>
                <w:rFonts w:eastAsiaTheme="minorHAnsi"/>
                <w:color w:val="000000"/>
                <w:sz w:val="21"/>
                <w:szCs w:val="21"/>
              </w:rPr>
            </w:pPr>
            <w:r>
              <w:rPr>
                <w:color w:val="000000"/>
                <w:sz w:val="21"/>
                <w:szCs w:val="21"/>
              </w:rPr>
              <w:t>8,69</w:t>
            </w:r>
          </w:p>
        </w:tc>
      </w:tr>
    </w:tbl>
    <w:p w14:paraId="453A441C" w14:textId="43B64E75" w:rsidR="00F36556" w:rsidRPr="00A20898" w:rsidRDefault="00A20898" w:rsidP="00551BAC">
      <w:pPr>
        <w:rPr>
          <w:sz w:val="16"/>
          <w:szCs w:val="16"/>
        </w:rPr>
      </w:pPr>
      <w:r>
        <w:rPr>
          <w:sz w:val="16"/>
          <w:szCs w:val="16"/>
          <w:vertAlign w:val="superscript"/>
        </w:rPr>
        <w:t>*</w:t>
      </w:r>
      <w:r>
        <w:rPr>
          <w:sz w:val="16"/>
          <w:szCs w:val="16"/>
        </w:rPr>
        <w:t>Données provenant du rapport de vérification sur la consommation de HCFC.</w:t>
      </w:r>
    </w:p>
    <w:p w14:paraId="6753C03C" w14:textId="77777777" w:rsidR="00041A6F" w:rsidRPr="00A971FF" w:rsidRDefault="00041A6F" w:rsidP="00551BAC">
      <w:pPr>
        <w:rPr>
          <w:b/>
        </w:rPr>
      </w:pPr>
    </w:p>
    <w:p w14:paraId="1302A460" w14:textId="054A41C9" w:rsidR="007B7AEA" w:rsidRPr="00A20898" w:rsidRDefault="007B7AEA" w:rsidP="00551BAC">
      <w:pPr>
        <w:pStyle w:val="Heading1"/>
      </w:pPr>
      <w:r>
        <w:t>Le Mozambique a progressé dans l</w:t>
      </w:r>
      <w:r w:rsidR="00435DA0">
        <w:t>’</w:t>
      </w:r>
      <w:r>
        <w:t>élimination des HCFC, qui sont principalement utilisés dans le secteur de l</w:t>
      </w:r>
      <w:r w:rsidR="00435DA0">
        <w:t>’</w:t>
      </w:r>
      <w:r>
        <w:t>entretien des équipements de réfrigération et de climatisation. La baisse considérable de la consommation depuis 2016 a été attribuée au renforcement du système de quotas et de permis, à la formation des agents douaniers et des techniciens en réfrigération, ainsi qu</w:t>
      </w:r>
      <w:r w:rsidR="00435DA0">
        <w:t>’</w:t>
      </w:r>
      <w:r>
        <w:t xml:space="preserve">aux campagnes de </w:t>
      </w:r>
      <w:r>
        <w:lastRenderedPageBreak/>
        <w:t>sensibilisation du public, ce qui a non seulement contribué à la réduction des importations de HCFC, mais a également augmenté l</w:t>
      </w:r>
      <w:r w:rsidR="00435DA0">
        <w:t>’</w:t>
      </w:r>
      <w:r>
        <w:t>adoption des technologies de remplacement à faible PRG.</w:t>
      </w:r>
    </w:p>
    <w:p w14:paraId="6768C3E6" w14:textId="1EBB56D7" w:rsidR="00FE3307" w:rsidRPr="00166851" w:rsidRDefault="00FE3307" w:rsidP="00CA1B06">
      <w:pPr>
        <w:widowControl w:val="0"/>
        <w:spacing w:after="240"/>
        <w:rPr>
          <w:i/>
        </w:rPr>
      </w:pPr>
      <w:r>
        <w:rPr>
          <w:i/>
        </w:rPr>
        <w:t>Rapport de la mise en œuvre du programme du pays</w:t>
      </w:r>
    </w:p>
    <w:p w14:paraId="0BB7CC42" w14:textId="0EE55833" w:rsidR="001B1502" w:rsidRPr="00166851" w:rsidRDefault="001B1502" w:rsidP="00CA1B06">
      <w:pPr>
        <w:pStyle w:val="Heading1"/>
        <w:widowControl w:val="0"/>
      </w:pPr>
      <w:r>
        <w:t>Le gouvernement du Mozambique a communiqué des données du secteur de la consommation des HCFC dans le cadre du rapport de mise en œuvre du programme du pays de 2017 et ces données correspondent aux données déclarées en vertu de l</w:t>
      </w:r>
      <w:r w:rsidR="00435DA0">
        <w:t>’</w:t>
      </w:r>
      <w:r>
        <w:t>Article 7 du Protocole de Montréal. Les données du programme du pays pour 2018 sont attendues pour la fin d</w:t>
      </w:r>
      <w:r w:rsidR="00435DA0">
        <w:t>’</w:t>
      </w:r>
      <w:r>
        <w:t xml:space="preserve">avril 2019. </w:t>
      </w:r>
    </w:p>
    <w:p w14:paraId="2523B481" w14:textId="77777777" w:rsidR="00FE3307" w:rsidRPr="00166851" w:rsidRDefault="00C051EE" w:rsidP="00551BAC">
      <w:pPr>
        <w:spacing w:after="240"/>
        <w:rPr>
          <w:i/>
        </w:rPr>
      </w:pPr>
      <w:r>
        <w:rPr>
          <w:i/>
        </w:rPr>
        <w:t>Rapport de vérification</w:t>
      </w:r>
    </w:p>
    <w:p w14:paraId="09BEE16D" w14:textId="1EFA9DF1" w:rsidR="002C50DA" w:rsidRPr="00A20898" w:rsidRDefault="002C50DA" w:rsidP="00551BAC">
      <w:pPr>
        <w:pStyle w:val="Heading1"/>
      </w:pPr>
      <w:r>
        <w:t>Le rapport de vérification couvrait la période entre 2013 et 2018. Il confirmait que le gouvernement du Mozambique mettait efficacement en œuvre son système de quotas et de permis et que la consommation vérifiée de HCFC-22 pour 2018 était de 4,02 tonnes PAO, soit environ 54 % sous la valeur de référence pour la conformité des HCFC. La vérification a mis en lumière certains défis, comme la nécessité d</w:t>
      </w:r>
      <w:r w:rsidR="00435DA0">
        <w:t>’</w:t>
      </w:r>
      <w:r>
        <w:t>améliorer la planification et les communications dans la réaffectation des agents douaniers et d</w:t>
      </w:r>
      <w:r w:rsidR="00435DA0">
        <w:t>’</w:t>
      </w:r>
      <w:r>
        <w:t>exécution expérimentés afin de limiter les perturbations des activités d</w:t>
      </w:r>
      <w:r w:rsidR="00435DA0">
        <w:t>’</w:t>
      </w:r>
      <w:r>
        <w:t>exécution; de renforcer l</w:t>
      </w:r>
      <w:r w:rsidR="00435DA0">
        <w:t>’</w:t>
      </w:r>
      <w:r>
        <w:t>engagement et la transparence de l</w:t>
      </w:r>
      <w:r w:rsidR="00435DA0">
        <w:t>’</w:t>
      </w:r>
      <w:r>
        <w:t>Unité nationale de l</w:t>
      </w:r>
      <w:r w:rsidR="00435DA0">
        <w:t>’</w:t>
      </w:r>
      <w:r>
        <w:t>ozone (UNO) face aux importateurs de SAO; et d</w:t>
      </w:r>
      <w:r w:rsidR="00435DA0">
        <w:t>’</w:t>
      </w:r>
      <w:r>
        <w:t>encourager les sociétés d</w:t>
      </w:r>
      <w:r w:rsidR="00435DA0">
        <w:t>’</w:t>
      </w:r>
      <w:r>
        <w:t>entretien en réfrigération et climatisation à utiliser des unités de récupération de frigorigènes.</w:t>
      </w:r>
    </w:p>
    <w:p w14:paraId="7ADABFB4" w14:textId="77777777" w:rsidR="00FE3307" w:rsidRPr="00166851" w:rsidRDefault="00FE3307" w:rsidP="00551BAC">
      <w:pPr>
        <w:spacing w:after="240"/>
        <w:rPr>
          <w:u w:val="single"/>
        </w:rPr>
      </w:pPr>
      <w:r>
        <w:rPr>
          <w:u w:val="single"/>
        </w:rPr>
        <w:t>Rapport périodique sur la mise en œuvre de la deuxième tranche du PGEH</w:t>
      </w:r>
    </w:p>
    <w:p w14:paraId="59A1F029" w14:textId="77777777" w:rsidR="00FE3307" w:rsidRPr="00166851" w:rsidRDefault="00FE3307" w:rsidP="00551BAC">
      <w:pPr>
        <w:spacing w:after="240"/>
        <w:rPr>
          <w:i/>
        </w:rPr>
      </w:pPr>
      <w:r>
        <w:rPr>
          <w:i/>
        </w:rPr>
        <w:t>Cadre juridique</w:t>
      </w:r>
    </w:p>
    <w:p w14:paraId="3FDA4385" w14:textId="25FE1656" w:rsidR="00BF3712" w:rsidRDefault="001E48FD" w:rsidP="00551BAC">
      <w:pPr>
        <w:pStyle w:val="Heading1"/>
      </w:pPr>
      <w:r>
        <w:t>L</w:t>
      </w:r>
      <w:r w:rsidR="00435DA0">
        <w:t>’</w:t>
      </w:r>
      <w:r>
        <w:t>UNO a la responsabilité des quotas annuels, de la délivrance des permis et de l</w:t>
      </w:r>
      <w:r w:rsidR="00435DA0">
        <w:t>’</w:t>
      </w:r>
      <w:r>
        <w:t xml:space="preserve">enregistrement des importateurs autorisés. Le bureau des douanes, qui est contrôlé par le Ministère des </w:t>
      </w:r>
      <w:r w:rsidR="00435DA0">
        <w:t>F</w:t>
      </w:r>
      <w:r>
        <w:t>inances, ainsi que d</w:t>
      </w:r>
      <w:r w:rsidR="00435DA0">
        <w:t>’</w:t>
      </w:r>
      <w:r>
        <w:t>autres agences d</w:t>
      </w:r>
      <w:r w:rsidR="00435DA0">
        <w:t>’</w:t>
      </w:r>
      <w:r>
        <w:t>exécution de la loi, collabore</w:t>
      </w:r>
      <w:r w:rsidR="004759D8">
        <w:t>nt</w:t>
      </w:r>
      <w:r>
        <w:t xml:space="preserve"> étroitement avec l</w:t>
      </w:r>
      <w:r w:rsidR="00435DA0">
        <w:t>’</w:t>
      </w:r>
      <w:r>
        <w:t>UNO afin d</w:t>
      </w:r>
      <w:r w:rsidR="00435DA0">
        <w:t>’</w:t>
      </w:r>
      <w:r>
        <w:t>appliquer le système de quotas et de permis, qui est en vigueur depuis le 1</w:t>
      </w:r>
      <w:r>
        <w:rPr>
          <w:vertAlign w:val="superscript"/>
        </w:rPr>
        <w:t>er</w:t>
      </w:r>
      <w:r>
        <w:t xml:space="preserve"> janvier 2013. Les agents douaniers et les autres agents d</w:t>
      </w:r>
      <w:r w:rsidR="00435DA0">
        <w:t>’</w:t>
      </w:r>
      <w:r>
        <w:t>exécution de la loi ont été formés pour identifier et classer des SAO, ainsi que pour surveiller et rapporter les importations annuelles à l</w:t>
      </w:r>
      <w:r w:rsidR="00435DA0">
        <w:t>’</w:t>
      </w:r>
      <w:r>
        <w:t>UNO.</w:t>
      </w:r>
    </w:p>
    <w:p w14:paraId="507D9727" w14:textId="318CC77E" w:rsidR="00BF3712" w:rsidRDefault="00076369" w:rsidP="00551BAC">
      <w:pPr>
        <w:pStyle w:val="Heading1"/>
      </w:pPr>
      <w:r>
        <w:t xml:space="preserve">Le Ministère des </w:t>
      </w:r>
      <w:r w:rsidR="00435DA0">
        <w:t>R</w:t>
      </w:r>
      <w:r>
        <w:t>essources minérales et de l</w:t>
      </w:r>
      <w:r w:rsidR="00435DA0">
        <w:t>’É</w:t>
      </w:r>
      <w:r>
        <w:t>nergie, qui est membre du Comité directeur du Protocole de Montréal, est responsable des règlementations et politiques en matière d</w:t>
      </w:r>
      <w:r w:rsidR="00435DA0">
        <w:t>’</w:t>
      </w:r>
      <w:r>
        <w:t xml:space="preserve">efficacité énergétique, et il souligne ces enjeux lors des réunions du comité. </w:t>
      </w:r>
    </w:p>
    <w:p w14:paraId="41B343A2" w14:textId="13CED970" w:rsidR="00131802" w:rsidRPr="00BF3712" w:rsidRDefault="00131802" w:rsidP="00551BAC">
      <w:pPr>
        <w:pStyle w:val="Heading1"/>
        <w:keepNext/>
        <w:keepLines/>
      </w:pPr>
      <w:r>
        <w:t>Les règlementations révisées procurent une interdiction sur l</w:t>
      </w:r>
      <w:r w:rsidR="00435DA0">
        <w:t>’</w:t>
      </w:r>
      <w:r>
        <w:t>importation d</w:t>
      </w:r>
      <w:r w:rsidR="00435DA0">
        <w:t>’</w:t>
      </w:r>
      <w:r>
        <w:t>équipements fonctionnant au HCFC à partir du 1</w:t>
      </w:r>
      <w:r>
        <w:rPr>
          <w:vertAlign w:val="superscript"/>
        </w:rPr>
        <w:t>er</w:t>
      </w:r>
      <w:r>
        <w:t xml:space="preserve"> janvier 2020. Actuellement, l</w:t>
      </w:r>
      <w:r w:rsidR="00435DA0">
        <w:t>’</w:t>
      </w:r>
      <w:r>
        <w:t xml:space="preserve">UNO négocie avec le Ministère des </w:t>
      </w:r>
      <w:r w:rsidR="009B6E80">
        <w:t>F</w:t>
      </w:r>
      <w:r>
        <w:t>inances, qui est responsable de l</w:t>
      </w:r>
      <w:r w:rsidR="00435DA0">
        <w:t>’</w:t>
      </w:r>
      <w:r>
        <w:t>approvisionnement et du bureau des douanes, afin de supprimer les droits d</w:t>
      </w:r>
      <w:r w:rsidR="00435DA0">
        <w:t>’</w:t>
      </w:r>
      <w:r>
        <w:t>importation sur les technologies de remplacement à faible PRG et d</w:t>
      </w:r>
      <w:r w:rsidR="00435DA0">
        <w:t>’</w:t>
      </w:r>
      <w:r>
        <w:t>augmenter ceux sur les HCFC.</w:t>
      </w:r>
    </w:p>
    <w:p w14:paraId="309D61C0" w14:textId="1C8A3ED4" w:rsidR="00FE3307" w:rsidRPr="00166851" w:rsidRDefault="00FE3307" w:rsidP="00551BAC">
      <w:pPr>
        <w:keepNext/>
        <w:keepLines/>
        <w:spacing w:after="240"/>
        <w:rPr>
          <w:i/>
        </w:rPr>
      </w:pPr>
      <w:r>
        <w:rPr>
          <w:i/>
        </w:rPr>
        <w:t>Secteur de l</w:t>
      </w:r>
      <w:r w:rsidR="00435DA0">
        <w:rPr>
          <w:i/>
        </w:rPr>
        <w:t>’</w:t>
      </w:r>
      <w:r>
        <w:rPr>
          <w:i/>
        </w:rPr>
        <w:t>entretien en réfrigération</w:t>
      </w:r>
    </w:p>
    <w:p w14:paraId="61B42268" w14:textId="0CB89DEA" w:rsidR="000D62EA" w:rsidRPr="00BF3712" w:rsidRDefault="000D62EA" w:rsidP="00551BAC">
      <w:pPr>
        <w:pStyle w:val="Heading1"/>
        <w:rPr>
          <w:bCs/>
        </w:rPr>
      </w:pPr>
      <w:r>
        <w:t>Les principales activités réalisées incluent :</w:t>
      </w:r>
    </w:p>
    <w:p w14:paraId="5698D1B6" w14:textId="764139C6" w:rsidR="000D62EA" w:rsidRPr="00166851" w:rsidRDefault="000D62EA" w:rsidP="009418BF">
      <w:pPr>
        <w:pStyle w:val="Heading2"/>
      </w:pPr>
      <w:r>
        <w:t>Formation et renforcement des capacités :</w:t>
      </w:r>
      <w:r>
        <w:rPr>
          <w:b/>
        </w:rPr>
        <w:t xml:space="preserve"> </w:t>
      </w:r>
      <w:bookmarkStart w:id="1" w:name="_Hlk3045535"/>
      <w:r>
        <w:t>223 agents douaniers, 15 inspecteurs de l</w:t>
      </w:r>
      <w:r w:rsidR="00435DA0">
        <w:t>’</w:t>
      </w:r>
      <w:r>
        <w:t>environnement, 30 inspecteurs des activités économiques, 52 chefs administratifs et financiers, 85 agents de police municipaux, 13 courtiers des douanes et autres agents d</w:t>
      </w:r>
      <w:r w:rsidR="00435DA0">
        <w:t>’</w:t>
      </w:r>
      <w:r>
        <w:t xml:space="preserve">exécution de la loi </w:t>
      </w:r>
      <w:bookmarkEnd w:id="1"/>
      <w:r>
        <w:t>ont été formés grâce à deux séances de formation concernant la surveillance et le renforcement des politiques et règlements en matière de SAO;</w:t>
      </w:r>
    </w:p>
    <w:p w14:paraId="3FB21C77" w14:textId="2E1451AB" w:rsidR="000D62EA" w:rsidRPr="00166851" w:rsidRDefault="000D62EA" w:rsidP="009418BF">
      <w:pPr>
        <w:pStyle w:val="Heading2"/>
      </w:pPr>
      <w:r>
        <w:t>Formation des techniciens en réfrigération : 345 techniciens ont été formés concernant les bonnes pratiques en réfrigération, notamment sur l</w:t>
      </w:r>
      <w:r w:rsidR="00435DA0">
        <w:t>’</w:t>
      </w:r>
      <w:r>
        <w:t>usage des technologies aux hydrocarbures, et une réunion a été organisée avec l</w:t>
      </w:r>
      <w:r w:rsidR="00435DA0">
        <w:t>’</w:t>
      </w:r>
      <w:r>
        <w:t xml:space="preserve">association en réfrigération et </w:t>
      </w:r>
      <w:r>
        <w:lastRenderedPageBreak/>
        <w:t>climatisation, durant laquelle le code de conduite des techniciens pour la mise en œuvre a été adopté, ainsi qu</w:t>
      </w:r>
      <w:r w:rsidR="00435DA0">
        <w:t>’</w:t>
      </w:r>
      <w:r>
        <w:t>un plan d</w:t>
      </w:r>
      <w:r w:rsidR="00435DA0">
        <w:t>’</w:t>
      </w:r>
      <w:r>
        <w:t>action pour le processus de certification;</w:t>
      </w:r>
    </w:p>
    <w:p w14:paraId="2EFAE9E8" w14:textId="03338853" w:rsidR="000D62EA" w:rsidRPr="00166851" w:rsidRDefault="000D62EA" w:rsidP="00551BAC">
      <w:pPr>
        <w:pStyle w:val="Heading2"/>
      </w:pPr>
      <w:r>
        <w:t>Renforcement des centres d</w:t>
      </w:r>
      <w:r w:rsidR="00435DA0">
        <w:t>’</w:t>
      </w:r>
      <w:r>
        <w:t>excellence et approvisionnement des équipements : cinq identifiants de frigorigènes avancés, des pompes à vide, des collecteurs de jauge, des stations de recharge des hydrocarbures, des stations de brasage et des détecteurs de fuite ont été achetés pour être distribués dans trois centres d</w:t>
      </w:r>
      <w:r w:rsidR="00435DA0">
        <w:t>’</w:t>
      </w:r>
      <w:r>
        <w:t>excellence (Instituto Industrial e Comercial da Matola pour la région du Sud, Instutito Comercial da Beira pour la région centrale, Instituto Industrial e Comercial da Nmapula pour la région du Nord), et la formation a été axée sur la manipulation sûre des solutions de remplacement à faible PRG, sans PRG et inflammables.</w:t>
      </w:r>
    </w:p>
    <w:p w14:paraId="6AEC399A" w14:textId="77777777" w:rsidR="00FE3307" w:rsidRPr="00166851" w:rsidRDefault="00FE3307" w:rsidP="00551BAC">
      <w:pPr>
        <w:spacing w:after="240"/>
        <w:rPr>
          <w:i/>
        </w:rPr>
      </w:pPr>
      <w:r>
        <w:rPr>
          <w:i/>
        </w:rPr>
        <w:t>Groupe de mise en œuvre et de surveillance des projets (PMU)</w:t>
      </w:r>
    </w:p>
    <w:p w14:paraId="31159B2D" w14:textId="4D9F9FF3" w:rsidR="00723CDF" w:rsidRPr="00166851" w:rsidRDefault="00076369" w:rsidP="00551BAC">
      <w:pPr>
        <w:pStyle w:val="Heading1"/>
        <w:rPr>
          <w:u w:val="single"/>
        </w:rPr>
      </w:pPr>
      <w:r>
        <w:t>L</w:t>
      </w:r>
      <w:r w:rsidR="00435DA0">
        <w:t>’</w:t>
      </w:r>
      <w:r>
        <w:t>UNO, qui est contrôlée par la Direction nationale environnementale du Ministère de l</w:t>
      </w:r>
      <w:r w:rsidR="00435DA0">
        <w:t>’A</w:t>
      </w:r>
      <w:r>
        <w:t>ménagement du territoire, de l</w:t>
      </w:r>
      <w:r w:rsidR="00435DA0">
        <w:t>’E</w:t>
      </w:r>
      <w:r>
        <w:t xml:space="preserve">nvironnement et du </w:t>
      </w:r>
      <w:r w:rsidR="00435DA0">
        <w:t>D</w:t>
      </w:r>
      <w:r>
        <w:t>éveloppement rural, dirige la mise en œuvre des activités d</w:t>
      </w:r>
      <w:r w:rsidR="00435DA0">
        <w:t>’</w:t>
      </w:r>
      <w:r>
        <w:t>élimination des SAO au Mozambique et coordonne la mise en œuvre de l</w:t>
      </w:r>
      <w:r w:rsidR="00435DA0">
        <w:t>’</w:t>
      </w:r>
      <w:r>
        <w:t xml:space="preserve">élimination des SAO et la surveillance des activités du PGEH. Les autres institutions concernées par la mise en œuvre du PGEH sont les Ministères du </w:t>
      </w:r>
      <w:r w:rsidR="009B6E80">
        <w:t>C</w:t>
      </w:r>
      <w:r>
        <w:t xml:space="preserve">ommerce ainsi que des </w:t>
      </w:r>
      <w:r w:rsidR="009B6E80">
        <w:t>R</w:t>
      </w:r>
      <w:r>
        <w:t>essources minérales et de l</w:t>
      </w:r>
      <w:r w:rsidR="00435DA0">
        <w:t>’</w:t>
      </w:r>
      <w:r w:rsidR="009B6E80">
        <w:t>É</w:t>
      </w:r>
      <w:r>
        <w:t>nergie, l</w:t>
      </w:r>
      <w:r w:rsidR="00435DA0">
        <w:t>’</w:t>
      </w:r>
      <w:r>
        <w:t>administration fiscale (bureau de douanes), le Comité national de l</w:t>
      </w:r>
      <w:r w:rsidR="00435DA0">
        <w:t>’</w:t>
      </w:r>
      <w:r>
        <w:t>ozone, ainsi que l</w:t>
      </w:r>
      <w:r w:rsidR="00435DA0">
        <w:t>’</w:t>
      </w:r>
      <w:r>
        <w:t>association des techniciens en réfrigération.</w:t>
      </w:r>
    </w:p>
    <w:p w14:paraId="24EED954" w14:textId="77777777" w:rsidR="00FE3307" w:rsidRPr="00166851" w:rsidRDefault="00FE3307" w:rsidP="00551BAC">
      <w:pPr>
        <w:keepNext/>
        <w:keepLines/>
        <w:spacing w:after="240"/>
        <w:rPr>
          <w:u w:val="single"/>
        </w:rPr>
      </w:pPr>
      <w:r>
        <w:rPr>
          <w:u w:val="single"/>
        </w:rPr>
        <w:t>État du décaissement des fonds</w:t>
      </w:r>
    </w:p>
    <w:p w14:paraId="7203FBC9" w14:textId="015AA531" w:rsidR="00FE3307" w:rsidRPr="00166851" w:rsidRDefault="00FE3307" w:rsidP="00551BAC">
      <w:pPr>
        <w:pStyle w:val="Heading1"/>
      </w:pPr>
      <w:r>
        <w:t>En date d</w:t>
      </w:r>
      <w:r w:rsidR="00435DA0">
        <w:t>’</w:t>
      </w:r>
      <w:r>
        <w:t>avril 2019, sur le montant de 150 000 $ US approuvé jusqu</w:t>
      </w:r>
      <w:r w:rsidR="00435DA0">
        <w:t>’</w:t>
      </w:r>
      <w:r>
        <w:t>ici, 135 000 $ US ont été décaissés (100 000 $ US pour le PNUE et 35 000 $ US pour l</w:t>
      </w:r>
      <w:r w:rsidR="00435DA0">
        <w:t>’</w:t>
      </w:r>
      <w:r>
        <w:t>ONUDI) comme l</w:t>
      </w:r>
      <w:r w:rsidR="00435DA0">
        <w:t>’</w:t>
      </w:r>
      <w:r>
        <w:t>indique le tableau 2. Le solde de 15 000 $ US sera décaissé entre 2019 et 2020.</w:t>
      </w:r>
    </w:p>
    <w:p w14:paraId="1DDF4A07" w14:textId="436AD946" w:rsidR="00FE3307" w:rsidRPr="00166851" w:rsidRDefault="00FE3307" w:rsidP="00551BAC">
      <w:pPr>
        <w:keepNext/>
        <w:keepLines/>
        <w:rPr>
          <w:b/>
        </w:rPr>
      </w:pPr>
      <w:r>
        <w:rPr>
          <w:b/>
        </w:rPr>
        <w:t>Tableau 2. Rapport financier de la phase I du PGEH pour le Mozambique ($ US)</w:t>
      </w:r>
    </w:p>
    <w:tbl>
      <w:tblPr>
        <w:tblStyle w:val="TableGrid"/>
        <w:tblW w:w="9690" w:type="dxa"/>
        <w:tblLook w:val="04A0" w:firstRow="1" w:lastRow="0" w:firstColumn="1" w:lastColumn="0" w:noHBand="0" w:noVBand="1"/>
      </w:tblPr>
      <w:tblGrid>
        <w:gridCol w:w="2319"/>
        <w:gridCol w:w="1098"/>
        <w:gridCol w:w="1269"/>
        <w:gridCol w:w="1147"/>
        <w:gridCol w:w="1287"/>
        <w:gridCol w:w="1282"/>
        <w:gridCol w:w="1288"/>
      </w:tblGrid>
      <w:tr w:rsidR="00FE3307" w:rsidRPr="00166851" w14:paraId="56897BD8" w14:textId="77777777" w:rsidTr="00CA1B06">
        <w:tc>
          <w:tcPr>
            <w:tcW w:w="2319" w:type="dxa"/>
            <w:vMerge w:val="restart"/>
          </w:tcPr>
          <w:p w14:paraId="1A27B9B3" w14:textId="77777777" w:rsidR="00FE3307" w:rsidRPr="00166851" w:rsidRDefault="00FE3307" w:rsidP="00551BAC">
            <w:pPr>
              <w:keepNext/>
              <w:keepLines/>
              <w:jc w:val="center"/>
              <w:rPr>
                <w:b/>
                <w:sz w:val="20"/>
                <w:szCs w:val="20"/>
              </w:rPr>
            </w:pPr>
            <w:r>
              <w:rPr>
                <w:b/>
                <w:sz w:val="20"/>
                <w:szCs w:val="20"/>
              </w:rPr>
              <w:t>Agence</w:t>
            </w:r>
          </w:p>
        </w:tc>
        <w:tc>
          <w:tcPr>
            <w:tcW w:w="2367" w:type="dxa"/>
            <w:gridSpan w:val="2"/>
          </w:tcPr>
          <w:p w14:paraId="010BC2A0" w14:textId="77777777" w:rsidR="00FE3307" w:rsidRPr="00166851" w:rsidRDefault="00FE3307" w:rsidP="00551BAC">
            <w:pPr>
              <w:keepNext/>
              <w:keepLines/>
              <w:jc w:val="center"/>
              <w:rPr>
                <w:b/>
                <w:sz w:val="20"/>
                <w:szCs w:val="20"/>
              </w:rPr>
            </w:pPr>
            <w:r>
              <w:rPr>
                <w:b/>
                <w:sz w:val="20"/>
                <w:szCs w:val="20"/>
              </w:rPr>
              <w:t>Première tranche</w:t>
            </w:r>
          </w:p>
        </w:tc>
        <w:tc>
          <w:tcPr>
            <w:tcW w:w="2434" w:type="dxa"/>
            <w:gridSpan w:val="2"/>
          </w:tcPr>
          <w:p w14:paraId="3B362940" w14:textId="77777777" w:rsidR="00FE3307" w:rsidRPr="00166851" w:rsidRDefault="00FE3307" w:rsidP="00551BAC">
            <w:pPr>
              <w:keepNext/>
              <w:keepLines/>
              <w:jc w:val="center"/>
              <w:rPr>
                <w:b/>
                <w:sz w:val="20"/>
                <w:szCs w:val="20"/>
              </w:rPr>
            </w:pPr>
            <w:r>
              <w:rPr>
                <w:b/>
                <w:sz w:val="20"/>
                <w:szCs w:val="20"/>
              </w:rPr>
              <w:t>Deuxième tranche</w:t>
            </w:r>
          </w:p>
        </w:tc>
        <w:tc>
          <w:tcPr>
            <w:tcW w:w="2570" w:type="dxa"/>
            <w:gridSpan w:val="2"/>
          </w:tcPr>
          <w:p w14:paraId="27D94DC6" w14:textId="77777777" w:rsidR="00FE3307" w:rsidRPr="00166851" w:rsidRDefault="00FE3307" w:rsidP="00551BAC">
            <w:pPr>
              <w:keepNext/>
              <w:keepLines/>
              <w:jc w:val="center"/>
              <w:rPr>
                <w:b/>
                <w:sz w:val="20"/>
                <w:szCs w:val="20"/>
              </w:rPr>
            </w:pPr>
            <w:r>
              <w:rPr>
                <w:b/>
                <w:sz w:val="20"/>
                <w:szCs w:val="20"/>
              </w:rPr>
              <w:t>Total global approuvé</w:t>
            </w:r>
          </w:p>
        </w:tc>
      </w:tr>
      <w:tr w:rsidR="00FE3307" w:rsidRPr="00166851" w14:paraId="2C3FF142" w14:textId="77777777" w:rsidTr="00CA1B06">
        <w:tc>
          <w:tcPr>
            <w:tcW w:w="2319" w:type="dxa"/>
            <w:vMerge/>
          </w:tcPr>
          <w:p w14:paraId="73610247" w14:textId="77777777" w:rsidR="00FE3307" w:rsidRPr="00166851" w:rsidRDefault="00FE3307" w:rsidP="00551BAC">
            <w:pPr>
              <w:keepNext/>
              <w:jc w:val="center"/>
              <w:rPr>
                <w:b/>
                <w:sz w:val="20"/>
                <w:szCs w:val="20"/>
                <w:lang w:val="en-CA"/>
              </w:rPr>
            </w:pPr>
          </w:p>
        </w:tc>
        <w:tc>
          <w:tcPr>
            <w:tcW w:w="1098" w:type="dxa"/>
          </w:tcPr>
          <w:p w14:paraId="6BA164D0" w14:textId="77777777" w:rsidR="00FE3307" w:rsidRPr="00166851" w:rsidRDefault="00FE3307" w:rsidP="00551BAC">
            <w:pPr>
              <w:keepNext/>
              <w:jc w:val="center"/>
              <w:rPr>
                <w:b/>
                <w:sz w:val="20"/>
                <w:szCs w:val="20"/>
              </w:rPr>
            </w:pPr>
            <w:r>
              <w:rPr>
                <w:b/>
                <w:sz w:val="20"/>
                <w:szCs w:val="20"/>
              </w:rPr>
              <w:t>Approuvé</w:t>
            </w:r>
          </w:p>
        </w:tc>
        <w:tc>
          <w:tcPr>
            <w:tcW w:w="1268" w:type="dxa"/>
          </w:tcPr>
          <w:p w14:paraId="29A565B1" w14:textId="77777777" w:rsidR="00FE3307" w:rsidRPr="00166851" w:rsidRDefault="00FE3307" w:rsidP="00551BAC">
            <w:pPr>
              <w:keepNext/>
              <w:jc w:val="center"/>
              <w:rPr>
                <w:b/>
                <w:sz w:val="20"/>
                <w:szCs w:val="20"/>
              </w:rPr>
            </w:pPr>
            <w:r>
              <w:rPr>
                <w:b/>
                <w:sz w:val="20"/>
                <w:szCs w:val="20"/>
              </w:rPr>
              <w:t>Décaissé</w:t>
            </w:r>
          </w:p>
        </w:tc>
        <w:tc>
          <w:tcPr>
            <w:tcW w:w="1147" w:type="dxa"/>
          </w:tcPr>
          <w:p w14:paraId="493B00F4" w14:textId="77777777" w:rsidR="00FE3307" w:rsidRPr="00166851" w:rsidRDefault="00FE3307" w:rsidP="00551BAC">
            <w:pPr>
              <w:keepNext/>
              <w:jc w:val="center"/>
              <w:rPr>
                <w:b/>
                <w:sz w:val="20"/>
                <w:szCs w:val="20"/>
              </w:rPr>
            </w:pPr>
            <w:r>
              <w:rPr>
                <w:b/>
                <w:sz w:val="20"/>
                <w:szCs w:val="20"/>
              </w:rPr>
              <w:t>Approuvé</w:t>
            </w:r>
          </w:p>
        </w:tc>
        <w:tc>
          <w:tcPr>
            <w:tcW w:w="1287" w:type="dxa"/>
          </w:tcPr>
          <w:p w14:paraId="77A07FAE" w14:textId="77777777" w:rsidR="00FE3307" w:rsidRPr="00166851" w:rsidRDefault="00FE3307" w:rsidP="00551BAC">
            <w:pPr>
              <w:keepNext/>
              <w:jc w:val="center"/>
              <w:rPr>
                <w:b/>
                <w:sz w:val="20"/>
                <w:szCs w:val="20"/>
              </w:rPr>
            </w:pPr>
            <w:r>
              <w:rPr>
                <w:b/>
                <w:sz w:val="20"/>
                <w:szCs w:val="20"/>
              </w:rPr>
              <w:t>Décaissé</w:t>
            </w:r>
          </w:p>
        </w:tc>
        <w:tc>
          <w:tcPr>
            <w:tcW w:w="1282" w:type="dxa"/>
          </w:tcPr>
          <w:p w14:paraId="634F3DC1" w14:textId="77777777" w:rsidR="00FE3307" w:rsidRPr="00166851" w:rsidRDefault="00FE3307" w:rsidP="00551BAC">
            <w:pPr>
              <w:keepNext/>
              <w:jc w:val="center"/>
              <w:rPr>
                <w:b/>
                <w:sz w:val="20"/>
                <w:szCs w:val="20"/>
              </w:rPr>
            </w:pPr>
            <w:r>
              <w:rPr>
                <w:b/>
                <w:sz w:val="20"/>
                <w:szCs w:val="20"/>
              </w:rPr>
              <w:t>Approuvé</w:t>
            </w:r>
          </w:p>
        </w:tc>
        <w:tc>
          <w:tcPr>
            <w:tcW w:w="1287" w:type="dxa"/>
          </w:tcPr>
          <w:p w14:paraId="72010594" w14:textId="77777777" w:rsidR="00FE3307" w:rsidRPr="00166851" w:rsidRDefault="00FE3307" w:rsidP="00551BAC">
            <w:pPr>
              <w:keepNext/>
              <w:jc w:val="center"/>
              <w:rPr>
                <w:b/>
                <w:sz w:val="20"/>
                <w:szCs w:val="20"/>
              </w:rPr>
            </w:pPr>
            <w:r>
              <w:rPr>
                <w:b/>
                <w:sz w:val="20"/>
                <w:szCs w:val="20"/>
              </w:rPr>
              <w:t>Décaissé</w:t>
            </w:r>
          </w:p>
        </w:tc>
      </w:tr>
      <w:tr w:rsidR="00FE3307" w:rsidRPr="00166851" w14:paraId="033B1965" w14:textId="77777777" w:rsidTr="00CA1B06">
        <w:tc>
          <w:tcPr>
            <w:tcW w:w="2319" w:type="dxa"/>
          </w:tcPr>
          <w:p w14:paraId="2C17396F" w14:textId="77777777" w:rsidR="00FE3307" w:rsidRPr="00166851" w:rsidRDefault="00906870" w:rsidP="00551BAC">
            <w:pPr>
              <w:keepNext/>
              <w:rPr>
                <w:sz w:val="20"/>
                <w:szCs w:val="20"/>
              </w:rPr>
            </w:pPr>
            <w:r>
              <w:rPr>
                <w:sz w:val="20"/>
                <w:szCs w:val="20"/>
              </w:rPr>
              <w:t>PNUE</w:t>
            </w:r>
          </w:p>
        </w:tc>
        <w:tc>
          <w:tcPr>
            <w:tcW w:w="1098" w:type="dxa"/>
          </w:tcPr>
          <w:p w14:paraId="1203239B" w14:textId="77777777" w:rsidR="00FE3307" w:rsidRPr="00166851" w:rsidRDefault="00906870" w:rsidP="00551BAC">
            <w:pPr>
              <w:keepNext/>
              <w:jc w:val="right"/>
              <w:rPr>
                <w:sz w:val="20"/>
                <w:szCs w:val="20"/>
              </w:rPr>
            </w:pPr>
            <w:r>
              <w:rPr>
                <w:sz w:val="20"/>
                <w:szCs w:val="20"/>
              </w:rPr>
              <w:t>40 000</w:t>
            </w:r>
          </w:p>
        </w:tc>
        <w:tc>
          <w:tcPr>
            <w:tcW w:w="1268" w:type="dxa"/>
          </w:tcPr>
          <w:p w14:paraId="1D79A157" w14:textId="77777777" w:rsidR="00FE3307" w:rsidRPr="00166851" w:rsidRDefault="00906870" w:rsidP="00551BAC">
            <w:pPr>
              <w:keepNext/>
              <w:jc w:val="right"/>
              <w:rPr>
                <w:sz w:val="20"/>
                <w:szCs w:val="20"/>
              </w:rPr>
            </w:pPr>
            <w:r>
              <w:rPr>
                <w:sz w:val="20"/>
                <w:szCs w:val="20"/>
              </w:rPr>
              <w:t>40 000</w:t>
            </w:r>
          </w:p>
        </w:tc>
        <w:tc>
          <w:tcPr>
            <w:tcW w:w="1147" w:type="dxa"/>
          </w:tcPr>
          <w:p w14:paraId="5E2F4AA4" w14:textId="77777777" w:rsidR="00FE3307" w:rsidRPr="00166851" w:rsidRDefault="00906870" w:rsidP="00551BAC">
            <w:pPr>
              <w:keepNext/>
              <w:jc w:val="right"/>
              <w:rPr>
                <w:sz w:val="20"/>
                <w:szCs w:val="20"/>
              </w:rPr>
            </w:pPr>
            <w:r>
              <w:rPr>
                <w:sz w:val="20"/>
                <w:szCs w:val="20"/>
              </w:rPr>
              <w:t>35 000</w:t>
            </w:r>
          </w:p>
        </w:tc>
        <w:tc>
          <w:tcPr>
            <w:tcW w:w="1287" w:type="dxa"/>
          </w:tcPr>
          <w:p w14:paraId="574F4CB8" w14:textId="77777777" w:rsidR="00FE3307" w:rsidRPr="00166851" w:rsidRDefault="00906870" w:rsidP="00551BAC">
            <w:pPr>
              <w:keepNext/>
              <w:jc w:val="right"/>
              <w:rPr>
                <w:sz w:val="20"/>
                <w:szCs w:val="20"/>
              </w:rPr>
            </w:pPr>
            <w:r>
              <w:rPr>
                <w:sz w:val="20"/>
                <w:szCs w:val="20"/>
              </w:rPr>
              <w:t>35 000</w:t>
            </w:r>
          </w:p>
        </w:tc>
        <w:tc>
          <w:tcPr>
            <w:tcW w:w="1282" w:type="dxa"/>
          </w:tcPr>
          <w:p w14:paraId="183F1234" w14:textId="77777777" w:rsidR="00FE3307" w:rsidRPr="00166851" w:rsidRDefault="00906870" w:rsidP="00551BAC">
            <w:pPr>
              <w:keepNext/>
              <w:jc w:val="right"/>
              <w:rPr>
                <w:sz w:val="20"/>
                <w:szCs w:val="20"/>
              </w:rPr>
            </w:pPr>
            <w:r>
              <w:rPr>
                <w:sz w:val="20"/>
                <w:szCs w:val="20"/>
              </w:rPr>
              <w:t>75 000</w:t>
            </w:r>
          </w:p>
        </w:tc>
        <w:tc>
          <w:tcPr>
            <w:tcW w:w="1287" w:type="dxa"/>
          </w:tcPr>
          <w:p w14:paraId="46AA02D2" w14:textId="77777777" w:rsidR="00FE3307" w:rsidRPr="00166851" w:rsidRDefault="00906870" w:rsidP="00551BAC">
            <w:pPr>
              <w:keepNext/>
              <w:jc w:val="right"/>
              <w:rPr>
                <w:sz w:val="20"/>
                <w:szCs w:val="20"/>
              </w:rPr>
            </w:pPr>
            <w:r>
              <w:rPr>
                <w:sz w:val="20"/>
                <w:szCs w:val="20"/>
              </w:rPr>
              <w:t>75 000</w:t>
            </w:r>
          </w:p>
        </w:tc>
      </w:tr>
      <w:tr w:rsidR="00FE3307" w:rsidRPr="00166851" w14:paraId="5E36428B" w14:textId="77777777" w:rsidTr="00CA1B06">
        <w:tc>
          <w:tcPr>
            <w:tcW w:w="2319" w:type="dxa"/>
          </w:tcPr>
          <w:p w14:paraId="0D49E8C6" w14:textId="77777777" w:rsidR="00FE3307" w:rsidRPr="00166851" w:rsidRDefault="00906870" w:rsidP="00551BAC">
            <w:pPr>
              <w:rPr>
                <w:sz w:val="20"/>
                <w:szCs w:val="20"/>
              </w:rPr>
            </w:pPr>
            <w:r>
              <w:rPr>
                <w:sz w:val="20"/>
                <w:szCs w:val="20"/>
              </w:rPr>
              <w:t>ONUDI</w:t>
            </w:r>
          </w:p>
        </w:tc>
        <w:tc>
          <w:tcPr>
            <w:tcW w:w="1098" w:type="dxa"/>
          </w:tcPr>
          <w:p w14:paraId="6773A66E" w14:textId="77777777" w:rsidR="00FE3307" w:rsidRPr="00166851" w:rsidRDefault="00906870" w:rsidP="00551BAC">
            <w:pPr>
              <w:jc w:val="right"/>
              <w:rPr>
                <w:sz w:val="20"/>
                <w:szCs w:val="20"/>
              </w:rPr>
            </w:pPr>
            <w:r>
              <w:rPr>
                <w:sz w:val="20"/>
                <w:szCs w:val="20"/>
              </w:rPr>
              <w:t>75 000</w:t>
            </w:r>
          </w:p>
        </w:tc>
        <w:tc>
          <w:tcPr>
            <w:tcW w:w="1268" w:type="dxa"/>
          </w:tcPr>
          <w:p w14:paraId="5AC4CB20" w14:textId="77777777" w:rsidR="00FE3307" w:rsidRPr="00166851" w:rsidRDefault="00906870" w:rsidP="00551BAC">
            <w:pPr>
              <w:jc w:val="right"/>
              <w:rPr>
                <w:sz w:val="20"/>
                <w:szCs w:val="20"/>
              </w:rPr>
            </w:pPr>
            <w:r>
              <w:rPr>
                <w:sz w:val="20"/>
                <w:szCs w:val="20"/>
              </w:rPr>
              <w:t>60 000</w:t>
            </w:r>
          </w:p>
        </w:tc>
        <w:tc>
          <w:tcPr>
            <w:tcW w:w="1147" w:type="dxa"/>
          </w:tcPr>
          <w:p w14:paraId="4AB1813C" w14:textId="77777777" w:rsidR="00FE3307" w:rsidRPr="00166851" w:rsidRDefault="00906870" w:rsidP="00551BAC">
            <w:pPr>
              <w:jc w:val="right"/>
              <w:rPr>
                <w:sz w:val="20"/>
                <w:szCs w:val="20"/>
              </w:rPr>
            </w:pPr>
            <w:r>
              <w:rPr>
                <w:sz w:val="20"/>
                <w:szCs w:val="20"/>
              </w:rPr>
              <w:t>0</w:t>
            </w:r>
          </w:p>
        </w:tc>
        <w:tc>
          <w:tcPr>
            <w:tcW w:w="1287" w:type="dxa"/>
          </w:tcPr>
          <w:p w14:paraId="16B7C93E" w14:textId="77777777" w:rsidR="00FE3307" w:rsidRPr="00166851" w:rsidRDefault="00906870" w:rsidP="00551BAC">
            <w:pPr>
              <w:jc w:val="right"/>
              <w:rPr>
                <w:sz w:val="20"/>
                <w:szCs w:val="20"/>
              </w:rPr>
            </w:pPr>
            <w:r>
              <w:rPr>
                <w:sz w:val="20"/>
                <w:szCs w:val="20"/>
              </w:rPr>
              <w:t>0</w:t>
            </w:r>
          </w:p>
        </w:tc>
        <w:tc>
          <w:tcPr>
            <w:tcW w:w="1282" w:type="dxa"/>
          </w:tcPr>
          <w:p w14:paraId="23B01F53" w14:textId="77777777" w:rsidR="00FE3307" w:rsidRPr="00166851" w:rsidRDefault="00906870" w:rsidP="00551BAC">
            <w:pPr>
              <w:jc w:val="right"/>
              <w:rPr>
                <w:sz w:val="20"/>
                <w:szCs w:val="20"/>
              </w:rPr>
            </w:pPr>
            <w:r>
              <w:rPr>
                <w:sz w:val="20"/>
                <w:szCs w:val="20"/>
              </w:rPr>
              <w:t>75 000</w:t>
            </w:r>
          </w:p>
        </w:tc>
        <w:tc>
          <w:tcPr>
            <w:tcW w:w="1287" w:type="dxa"/>
          </w:tcPr>
          <w:p w14:paraId="36AE77CA" w14:textId="77777777" w:rsidR="00FE3307" w:rsidRPr="00166851" w:rsidRDefault="00906870" w:rsidP="00551BAC">
            <w:pPr>
              <w:jc w:val="right"/>
              <w:rPr>
                <w:sz w:val="20"/>
                <w:szCs w:val="20"/>
              </w:rPr>
            </w:pPr>
            <w:r>
              <w:rPr>
                <w:sz w:val="20"/>
                <w:szCs w:val="20"/>
              </w:rPr>
              <w:t>60 000</w:t>
            </w:r>
          </w:p>
        </w:tc>
      </w:tr>
      <w:tr w:rsidR="00FE3307" w:rsidRPr="00166851" w14:paraId="190EA5D0" w14:textId="77777777" w:rsidTr="00CA1B06">
        <w:tc>
          <w:tcPr>
            <w:tcW w:w="2319" w:type="dxa"/>
          </w:tcPr>
          <w:p w14:paraId="62A3B73E" w14:textId="77777777" w:rsidR="00FE3307" w:rsidRPr="00166851" w:rsidRDefault="00FE3307" w:rsidP="00551BAC">
            <w:pPr>
              <w:rPr>
                <w:b/>
                <w:sz w:val="20"/>
                <w:szCs w:val="20"/>
              </w:rPr>
            </w:pPr>
            <w:r>
              <w:rPr>
                <w:b/>
                <w:sz w:val="20"/>
                <w:szCs w:val="20"/>
              </w:rPr>
              <w:t>Total</w:t>
            </w:r>
          </w:p>
        </w:tc>
        <w:tc>
          <w:tcPr>
            <w:tcW w:w="1098" w:type="dxa"/>
          </w:tcPr>
          <w:p w14:paraId="3DB9C32E" w14:textId="77777777" w:rsidR="00FE3307" w:rsidRPr="00166851" w:rsidRDefault="00906870" w:rsidP="00551BAC">
            <w:pPr>
              <w:jc w:val="right"/>
              <w:rPr>
                <w:sz w:val="20"/>
                <w:szCs w:val="20"/>
              </w:rPr>
            </w:pPr>
            <w:r>
              <w:rPr>
                <w:sz w:val="20"/>
                <w:szCs w:val="20"/>
              </w:rPr>
              <w:t>115 000</w:t>
            </w:r>
          </w:p>
        </w:tc>
        <w:tc>
          <w:tcPr>
            <w:tcW w:w="1268" w:type="dxa"/>
          </w:tcPr>
          <w:p w14:paraId="1A8186A4" w14:textId="77777777" w:rsidR="00FE3307" w:rsidRPr="00166851" w:rsidRDefault="00906870" w:rsidP="00551BAC">
            <w:pPr>
              <w:jc w:val="right"/>
              <w:rPr>
                <w:sz w:val="20"/>
                <w:szCs w:val="20"/>
              </w:rPr>
            </w:pPr>
            <w:r>
              <w:rPr>
                <w:sz w:val="20"/>
                <w:szCs w:val="20"/>
              </w:rPr>
              <w:t>100 000</w:t>
            </w:r>
          </w:p>
        </w:tc>
        <w:tc>
          <w:tcPr>
            <w:tcW w:w="1147" w:type="dxa"/>
          </w:tcPr>
          <w:p w14:paraId="76170DA1" w14:textId="77777777" w:rsidR="00FE3307" w:rsidRPr="00166851" w:rsidRDefault="00906870" w:rsidP="00551BAC">
            <w:pPr>
              <w:jc w:val="right"/>
              <w:rPr>
                <w:sz w:val="20"/>
                <w:szCs w:val="20"/>
              </w:rPr>
            </w:pPr>
            <w:r>
              <w:rPr>
                <w:sz w:val="20"/>
                <w:szCs w:val="20"/>
              </w:rPr>
              <w:t>35 000</w:t>
            </w:r>
          </w:p>
        </w:tc>
        <w:tc>
          <w:tcPr>
            <w:tcW w:w="1287" w:type="dxa"/>
          </w:tcPr>
          <w:p w14:paraId="6D72C156" w14:textId="77777777" w:rsidR="00FE3307" w:rsidRPr="00166851" w:rsidRDefault="00906870" w:rsidP="00551BAC">
            <w:pPr>
              <w:jc w:val="right"/>
              <w:rPr>
                <w:sz w:val="20"/>
                <w:szCs w:val="20"/>
              </w:rPr>
            </w:pPr>
            <w:r>
              <w:rPr>
                <w:sz w:val="20"/>
                <w:szCs w:val="20"/>
              </w:rPr>
              <w:t>35 000</w:t>
            </w:r>
          </w:p>
        </w:tc>
        <w:tc>
          <w:tcPr>
            <w:tcW w:w="1282" w:type="dxa"/>
          </w:tcPr>
          <w:p w14:paraId="666FF727" w14:textId="77777777" w:rsidR="00FE3307" w:rsidRPr="00166851" w:rsidRDefault="00906870" w:rsidP="00551BAC">
            <w:pPr>
              <w:jc w:val="right"/>
              <w:rPr>
                <w:sz w:val="20"/>
                <w:szCs w:val="20"/>
              </w:rPr>
            </w:pPr>
            <w:r>
              <w:rPr>
                <w:sz w:val="20"/>
                <w:szCs w:val="20"/>
              </w:rPr>
              <w:t>150 000</w:t>
            </w:r>
          </w:p>
        </w:tc>
        <w:tc>
          <w:tcPr>
            <w:tcW w:w="1287" w:type="dxa"/>
          </w:tcPr>
          <w:p w14:paraId="70697732" w14:textId="77777777" w:rsidR="00FE3307" w:rsidRPr="00166851" w:rsidRDefault="00906870" w:rsidP="00551BAC">
            <w:pPr>
              <w:jc w:val="right"/>
              <w:rPr>
                <w:sz w:val="20"/>
                <w:szCs w:val="20"/>
              </w:rPr>
            </w:pPr>
            <w:r>
              <w:rPr>
                <w:sz w:val="20"/>
                <w:szCs w:val="20"/>
              </w:rPr>
              <w:t>135 000</w:t>
            </w:r>
          </w:p>
        </w:tc>
      </w:tr>
      <w:tr w:rsidR="00FE3307" w:rsidRPr="00166851" w14:paraId="7902112F" w14:textId="77777777" w:rsidTr="00CA1B06">
        <w:tc>
          <w:tcPr>
            <w:tcW w:w="2319" w:type="dxa"/>
          </w:tcPr>
          <w:p w14:paraId="61FBDEB9" w14:textId="77777777" w:rsidR="00FE3307" w:rsidRPr="00166851" w:rsidRDefault="00FE3307" w:rsidP="00551BAC">
            <w:pPr>
              <w:rPr>
                <w:b/>
                <w:sz w:val="20"/>
                <w:szCs w:val="20"/>
              </w:rPr>
            </w:pPr>
            <w:r>
              <w:rPr>
                <w:b/>
                <w:sz w:val="20"/>
                <w:szCs w:val="20"/>
              </w:rPr>
              <w:t>Taux de décaissement (en %)</w:t>
            </w:r>
          </w:p>
        </w:tc>
        <w:tc>
          <w:tcPr>
            <w:tcW w:w="2367" w:type="dxa"/>
            <w:gridSpan w:val="2"/>
            <w:vAlign w:val="center"/>
          </w:tcPr>
          <w:p w14:paraId="169C47F6" w14:textId="77777777" w:rsidR="00FE3307" w:rsidRPr="00166851" w:rsidRDefault="00906870" w:rsidP="00CA1B06">
            <w:pPr>
              <w:jc w:val="center"/>
              <w:rPr>
                <w:sz w:val="20"/>
                <w:szCs w:val="20"/>
              </w:rPr>
            </w:pPr>
            <w:r>
              <w:rPr>
                <w:sz w:val="20"/>
                <w:szCs w:val="20"/>
              </w:rPr>
              <w:t>87</w:t>
            </w:r>
          </w:p>
        </w:tc>
        <w:tc>
          <w:tcPr>
            <w:tcW w:w="2434" w:type="dxa"/>
            <w:gridSpan w:val="2"/>
            <w:vAlign w:val="center"/>
          </w:tcPr>
          <w:p w14:paraId="0481594D" w14:textId="77777777" w:rsidR="00FE3307" w:rsidRPr="00166851" w:rsidRDefault="00906870" w:rsidP="00CA1B06">
            <w:pPr>
              <w:jc w:val="center"/>
              <w:rPr>
                <w:sz w:val="20"/>
                <w:szCs w:val="20"/>
              </w:rPr>
            </w:pPr>
            <w:r>
              <w:rPr>
                <w:sz w:val="20"/>
                <w:szCs w:val="20"/>
              </w:rPr>
              <w:t>100</w:t>
            </w:r>
          </w:p>
        </w:tc>
        <w:tc>
          <w:tcPr>
            <w:tcW w:w="2570" w:type="dxa"/>
            <w:gridSpan w:val="2"/>
            <w:vAlign w:val="center"/>
          </w:tcPr>
          <w:p w14:paraId="714B8389" w14:textId="77777777" w:rsidR="00FE3307" w:rsidRPr="00166851" w:rsidRDefault="00906870" w:rsidP="00CA1B06">
            <w:pPr>
              <w:jc w:val="center"/>
              <w:rPr>
                <w:sz w:val="20"/>
                <w:szCs w:val="20"/>
              </w:rPr>
            </w:pPr>
            <w:r>
              <w:rPr>
                <w:sz w:val="20"/>
                <w:szCs w:val="20"/>
              </w:rPr>
              <w:t>90</w:t>
            </w:r>
          </w:p>
        </w:tc>
      </w:tr>
    </w:tbl>
    <w:p w14:paraId="5F5A2000" w14:textId="77777777" w:rsidR="00FE3307" w:rsidRPr="00166851" w:rsidRDefault="00FE3307" w:rsidP="00551BAC">
      <w:pPr>
        <w:rPr>
          <w:lang w:val="en-CA"/>
        </w:rPr>
      </w:pPr>
    </w:p>
    <w:p w14:paraId="1F8A7772" w14:textId="77777777" w:rsidR="00FE3307" w:rsidRPr="00166851" w:rsidRDefault="00FE3307" w:rsidP="00551BAC">
      <w:pPr>
        <w:spacing w:after="240"/>
        <w:rPr>
          <w:u w:val="single"/>
        </w:rPr>
      </w:pPr>
      <w:r>
        <w:rPr>
          <w:u w:val="single"/>
        </w:rPr>
        <w:t>Plan de mise en œuvre des troisième et quatrième tranches du PGEH</w:t>
      </w:r>
    </w:p>
    <w:p w14:paraId="271DB52F" w14:textId="77777777" w:rsidR="00FE3307" w:rsidRPr="00166851" w:rsidRDefault="00FE3307" w:rsidP="00551BAC">
      <w:pPr>
        <w:pStyle w:val="Heading1"/>
      </w:pPr>
      <w:r>
        <w:t>Les activités suivantes seront mises en œuvre entre juillet 2019 et décembre 2020 :</w:t>
      </w:r>
    </w:p>
    <w:p w14:paraId="39BC8E50" w14:textId="59ED4D75" w:rsidR="00C33572" w:rsidRPr="00166851" w:rsidRDefault="00C33572" w:rsidP="00551BAC">
      <w:pPr>
        <w:pStyle w:val="Heading2"/>
        <w:widowControl/>
      </w:pPr>
      <w:r>
        <w:t>Formation de 200 agents douaniers et de 100 inspecteurs de l</w:t>
      </w:r>
      <w:r w:rsidR="00435DA0">
        <w:t>’</w:t>
      </w:r>
      <w:r>
        <w:t>environnement par le biais de cinq ateliers sur la surveillance et l</w:t>
      </w:r>
      <w:r w:rsidR="00435DA0">
        <w:t>’</w:t>
      </w:r>
      <w:r>
        <w:t>exécution des politiques et règlements en matière de SAO, et renforcement des écoles de formation régionales grâce à l</w:t>
      </w:r>
      <w:r w:rsidR="00435DA0">
        <w:t>’</w:t>
      </w:r>
      <w:r>
        <w:t>approvisionnement de matériaux de formation (PNUE) (25 000 $ US);</w:t>
      </w:r>
    </w:p>
    <w:p w14:paraId="11AC5C6C" w14:textId="5CB09B2B" w:rsidR="00C33572" w:rsidRPr="00166851" w:rsidRDefault="00C33572" w:rsidP="00551BAC">
      <w:pPr>
        <w:pStyle w:val="Heading2"/>
        <w:widowControl/>
      </w:pPr>
      <w:r>
        <w:t>Formation de 280 techniciens en réfrigération par le biais de six ateliers sur les technologies aux hydrocarbures et la manipulation sûre des frigorigènes, avec un approvisionnement de trousses d</w:t>
      </w:r>
      <w:r w:rsidR="00435DA0">
        <w:t>’</w:t>
      </w:r>
      <w:r>
        <w:t>outils de base destinés au bon entretien pour ces techniciens; et soutien de l</w:t>
      </w:r>
      <w:r w:rsidR="00435DA0">
        <w:t>’</w:t>
      </w:r>
      <w:r>
        <w:t>association en réfrigération et climatisation en organisant trois réunions de l</w:t>
      </w:r>
      <w:r w:rsidR="00435DA0">
        <w:t>’</w:t>
      </w:r>
      <w:r>
        <w:t>association (PNUE) (32 500 $ US);</w:t>
      </w:r>
    </w:p>
    <w:p w14:paraId="1C62480B" w14:textId="0DC2B85B" w:rsidR="00C33572" w:rsidRPr="00166851" w:rsidRDefault="00C33572" w:rsidP="009418BF">
      <w:pPr>
        <w:pStyle w:val="Heading2"/>
        <w:keepNext/>
        <w:keepLines/>
        <w:widowControl/>
      </w:pPr>
      <w:r>
        <w:lastRenderedPageBreak/>
        <w:t>Renforcement des centres régionaux d</w:t>
      </w:r>
      <w:r w:rsidR="00435DA0">
        <w:t>’</w:t>
      </w:r>
      <w:r>
        <w:t>excellence en fournissant des équipements de récupération et de réutilisation des frigorigènes; mise en œuvre d</w:t>
      </w:r>
      <w:r w:rsidR="00435DA0">
        <w:t>’</w:t>
      </w:r>
      <w:r>
        <w:t>un programme incitatif destiné aux utilisateurs finaux en réfrigération commerciale et industrielle pour remplacer environ 100 unités commerciales autonomes fonctionnant au HCFC-22 par des unités à haute efficacité énergétique sans HCFC et à faible PRG ou sans PRG; et développement d</w:t>
      </w:r>
      <w:r w:rsidR="00435DA0">
        <w:t>’</w:t>
      </w:r>
      <w:r>
        <w:t>un programme complet pour la réduction des émissions de HCFC et de gaz carbonique dans le secteur de la réfrigération et de la climatisation (ONUDI) (85 000 $ US et les fonds de la tranche précédente);</w:t>
      </w:r>
      <w:r w:rsidR="00FB6BFA">
        <w:t xml:space="preserve"> et</w:t>
      </w:r>
    </w:p>
    <w:p w14:paraId="0172994E" w14:textId="3F764633" w:rsidR="00C33572" w:rsidRPr="00166851" w:rsidRDefault="00C33572" w:rsidP="00551BAC">
      <w:pPr>
        <w:pStyle w:val="Heading2"/>
        <w:widowControl/>
      </w:pPr>
      <w:r>
        <w:t>Surveillance de la mise en œuvre du PGEH (PNUE) (10 000 $ US).</w:t>
      </w:r>
    </w:p>
    <w:p w14:paraId="45328CFD" w14:textId="77777777" w:rsidR="00FB6BFA" w:rsidRDefault="00FB6BFA" w:rsidP="009418BF"/>
    <w:p w14:paraId="246FE781" w14:textId="3B910326" w:rsidR="00FE3307" w:rsidRPr="00166851" w:rsidRDefault="00FE3307" w:rsidP="00551BAC">
      <w:pPr>
        <w:keepNext/>
        <w:keepLines/>
        <w:spacing w:after="240"/>
        <w:jc w:val="center"/>
        <w:rPr>
          <w:b/>
        </w:rPr>
      </w:pPr>
      <w:r>
        <w:rPr>
          <w:b/>
        </w:rPr>
        <w:t>OBSERVATIONS ET RECOMMANDATION DU SECRÉTARIAT</w:t>
      </w:r>
    </w:p>
    <w:p w14:paraId="4E16F6F2" w14:textId="77777777" w:rsidR="00FE3307" w:rsidRPr="00166851" w:rsidRDefault="00FE3307" w:rsidP="00551BAC">
      <w:pPr>
        <w:keepNext/>
        <w:keepLines/>
        <w:spacing w:after="240"/>
        <w:rPr>
          <w:b/>
        </w:rPr>
      </w:pPr>
      <w:r>
        <w:rPr>
          <w:b/>
        </w:rPr>
        <w:t>OBSERVATIONS</w:t>
      </w:r>
    </w:p>
    <w:p w14:paraId="12F1B86D" w14:textId="50AC8F95" w:rsidR="00FE3307" w:rsidRPr="00166851" w:rsidRDefault="000353F7" w:rsidP="00551BAC">
      <w:pPr>
        <w:keepNext/>
        <w:keepLines/>
        <w:spacing w:after="240"/>
        <w:rPr>
          <w:u w:val="single"/>
        </w:rPr>
      </w:pPr>
      <w:r>
        <w:rPr>
          <w:u w:val="single"/>
        </w:rPr>
        <w:t>Rapport de vérification</w:t>
      </w:r>
    </w:p>
    <w:p w14:paraId="64593C1E" w14:textId="07F60698" w:rsidR="002F787A" w:rsidRPr="00A20898" w:rsidRDefault="001C5BCF" w:rsidP="00551BAC">
      <w:pPr>
        <w:pStyle w:val="Heading1"/>
      </w:pPr>
      <w:r>
        <w:t>Le PNUE a indiqué qu</w:t>
      </w:r>
      <w:r w:rsidR="00435DA0">
        <w:t>’</w:t>
      </w:r>
      <w:r>
        <w:t>il soutiendrait l</w:t>
      </w:r>
      <w:r w:rsidR="00435DA0">
        <w:t>’</w:t>
      </w:r>
      <w:r>
        <w:t>UNO afin de remédier aux défis mis en lumière par la vérification pendant la mise en œuvre du PGEH et par le Programme d</w:t>
      </w:r>
      <w:r w:rsidR="00435DA0">
        <w:t>’</w:t>
      </w:r>
      <w:r>
        <w:t>aide à la conformité. Le plan de travail pour les troisième et quatrième tranches a déjà pris en considération les recommandations du rapport de vérification.</w:t>
      </w:r>
    </w:p>
    <w:p w14:paraId="4E64470E" w14:textId="77777777" w:rsidR="00FE3307" w:rsidRPr="00166851" w:rsidRDefault="00FE3307" w:rsidP="00551BAC">
      <w:pPr>
        <w:keepNext/>
        <w:keepLines/>
        <w:spacing w:after="240"/>
        <w:rPr>
          <w:u w:val="single"/>
        </w:rPr>
      </w:pPr>
      <w:r>
        <w:rPr>
          <w:u w:val="single"/>
        </w:rPr>
        <w:t>Rapport périodique sur la mise en œuvre de la deuxième tranche du PGEH</w:t>
      </w:r>
    </w:p>
    <w:p w14:paraId="35916031" w14:textId="77777777" w:rsidR="00FE3307" w:rsidRPr="00166851" w:rsidRDefault="00FE3307" w:rsidP="00551BAC">
      <w:pPr>
        <w:keepNext/>
        <w:keepLines/>
        <w:spacing w:after="240"/>
        <w:rPr>
          <w:i/>
        </w:rPr>
      </w:pPr>
      <w:r>
        <w:rPr>
          <w:i/>
        </w:rPr>
        <w:t>Cadre juridique</w:t>
      </w:r>
    </w:p>
    <w:p w14:paraId="14D9D60D" w14:textId="2852D40C" w:rsidR="00076369" w:rsidRPr="00076369" w:rsidRDefault="002C470B" w:rsidP="00551BAC">
      <w:pPr>
        <w:pStyle w:val="Heading1"/>
        <w:keepNext/>
        <w:keepLines/>
        <w:rPr>
          <w:i/>
        </w:rPr>
      </w:pPr>
      <w:r>
        <w:t>Le gouvernement du Mozambique a délivré un quota d</w:t>
      </w:r>
      <w:r w:rsidR="00435DA0">
        <w:t>’</w:t>
      </w:r>
      <w:r>
        <w:t>importation de HCFC-22 à 2,75</w:t>
      </w:r>
      <w:r w:rsidR="00FB6BFA">
        <w:t> </w:t>
      </w:r>
      <w:r>
        <w:t xml:space="preserve">tonnes PAO pour 2019 et à 2,2 tonnes PAO pour 2020, des limites qui se trouvent sous la cible de contrôle du Protocole de Montréal. </w:t>
      </w:r>
    </w:p>
    <w:p w14:paraId="65BCE104" w14:textId="33732CFF" w:rsidR="00FE3307" w:rsidRPr="00076369" w:rsidRDefault="00FE3307" w:rsidP="00551BAC">
      <w:pPr>
        <w:pStyle w:val="Heading1"/>
        <w:numPr>
          <w:ilvl w:val="0"/>
          <w:numId w:val="0"/>
        </w:numPr>
        <w:rPr>
          <w:i/>
        </w:rPr>
      </w:pPr>
      <w:r>
        <w:rPr>
          <w:i/>
        </w:rPr>
        <w:t>Secteur de l</w:t>
      </w:r>
      <w:r w:rsidR="00435DA0">
        <w:rPr>
          <w:i/>
        </w:rPr>
        <w:t>’</w:t>
      </w:r>
      <w:r>
        <w:rPr>
          <w:i/>
        </w:rPr>
        <w:t>entretien en réfrigération</w:t>
      </w:r>
    </w:p>
    <w:p w14:paraId="4D61C3B4" w14:textId="01785A75" w:rsidR="00131802" w:rsidRDefault="000353F7" w:rsidP="00551BAC">
      <w:pPr>
        <w:pStyle w:val="Heading1"/>
      </w:pPr>
      <w:r>
        <w:t>Les retards rencontrés dans la mise en œuvre du PGEH, incluant l</w:t>
      </w:r>
      <w:r w:rsidR="00435DA0">
        <w:t>’</w:t>
      </w:r>
      <w:r>
        <w:t>approvisionnement et le décaissement des fonds, ont été réglés de manière satisfaisante. La livraison des équipements est prévue d</w:t>
      </w:r>
      <w:r w:rsidR="00435DA0">
        <w:t>’</w:t>
      </w:r>
      <w:r>
        <w:t>ici la fin de mai 2019, et le volet investissement du PGEH sera accéléré. En ce qui concerne le programme incitatif destiné aux utilisateurs finaux commerciaux et industriels, le PNUE a indiqué que le processus couvrira les coûts différentiels de remplacement des unités commerciales autonomes fonctionnant au HCFC-22 par des équipements à haute efficacité énergétique sans SAO/à faible PRG ou sans PRG (possiblement avec des frigorigènes à base d</w:t>
      </w:r>
      <w:r w:rsidR="00435DA0">
        <w:t>’</w:t>
      </w:r>
      <w:r>
        <w:t>hydrocarbures), qui sera mis en œuvre dans la capitale, Maputo. Le PNUE a en outre confirmé qu</w:t>
      </w:r>
      <w:r w:rsidR="00435DA0">
        <w:t>’</w:t>
      </w:r>
      <w:r>
        <w:t>il n</w:t>
      </w:r>
      <w:r w:rsidR="00435DA0">
        <w:t>’</w:t>
      </w:r>
      <w:r>
        <w:t>y avait aucune conversion d</w:t>
      </w:r>
      <w:r w:rsidR="00435DA0">
        <w:t>’</w:t>
      </w:r>
      <w:r>
        <w:t>équipement de réfrigération et climatisation fonctionnant au HCFC vers des frigorigènes de remplacement inflammables; cependant, la formation des techniciens en réfrigération et climatisation incluait l</w:t>
      </w:r>
      <w:r w:rsidR="00435DA0">
        <w:t>’</w:t>
      </w:r>
      <w:r>
        <w:t>usage et la manipulation sûre des frigorigènes naturels, puisque le gouvernement encourageait l</w:t>
      </w:r>
      <w:r w:rsidR="00435DA0">
        <w:t>’</w:t>
      </w:r>
      <w:r>
        <w:t>introduction des équipements de réfrigération et de climatisation fonctionnant avec des frigorigènes naturels et d</w:t>
      </w:r>
      <w:r w:rsidR="00435DA0">
        <w:t>’</w:t>
      </w:r>
      <w:r>
        <w:t>autres frigorigènes à faible PRG.</w:t>
      </w:r>
    </w:p>
    <w:p w14:paraId="61FBB0AA" w14:textId="04F641F1" w:rsidR="00B30746" w:rsidRPr="00166851" w:rsidRDefault="00B30746" w:rsidP="00E00B07">
      <w:pPr>
        <w:keepNext/>
        <w:keepLines/>
        <w:spacing w:after="240"/>
        <w:rPr>
          <w:u w:val="single"/>
        </w:rPr>
      </w:pPr>
      <w:r>
        <w:rPr>
          <w:u w:val="single"/>
        </w:rPr>
        <w:t>Projet d</w:t>
      </w:r>
      <w:r w:rsidR="00435DA0">
        <w:rPr>
          <w:u w:val="single"/>
        </w:rPr>
        <w:t>’</w:t>
      </w:r>
      <w:r>
        <w:rPr>
          <w:u w:val="single"/>
        </w:rPr>
        <w:t>Accord</w:t>
      </w:r>
    </w:p>
    <w:p w14:paraId="0FB56398" w14:textId="39556998" w:rsidR="00B30746" w:rsidRPr="00166851" w:rsidRDefault="00B30746" w:rsidP="00B30746">
      <w:pPr>
        <w:pStyle w:val="Heading1"/>
      </w:pPr>
      <w:r>
        <w:t>Conformément aux décisions 73/61 et XXVI/14, le Secrétari</w:t>
      </w:r>
      <w:r w:rsidR="009B6E80">
        <w:t>a</w:t>
      </w:r>
      <w:r>
        <w:t>t a mis à jour les paragraphes et Appendices pertinents de l</w:t>
      </w:r>
      <w:r w:rsidR="00435DA0">
        <w:t>’</w:t>
      </w:r>
      <w:r>
        <w:t>Accord entre le gouvernement du Mozambique et le Comité exécutif, comme l</w:t>
      </w:r>
      <w:r w:rsidR="00435DA0">
        <w:t>’</w:t>
      </w:r>
      <w:r>
        <w:t>indique l</w:t>
      </w:r>
      <w:r w:rsidR="00435DA0">
        <w:t>’</w:t>
      </w:r>
      <w:r>
        <w:t>Annexe I du présent document. L</w:t>
      </w:r>
      <w:r w:rsidR="00435DA0">
        <w:t>’</w:t>
      </w:r>
      <w:r>
        <w:t>Accord complet sera joint au rapport de la réunion.</w:t>
      </w:r>
    </w:p>
    <w:p w14:paraId="2F9A237E" w14:textId="7A37E539" w:rsidR="00FE3307" w:rsidRPr="00131802" w:rsidRDefault="00FE3307" w:rsidP="009418BF">
      <w:pPr>
        <w:pStyle w:val="Heading1"/>
        <w:keepNext/>
        <w:keepLines/>
        <w:numPr>
          <w:ilvl w:val="0"/>
          <w:numId w:val="0"/>
        </w:numPr>
        <w:rPr>
          <w:u w:val="single"/>
        </w:rPr>
      </w:pPr>
      <w:r>
        <w:rPr>
          <w:u w:val="single"/>
        </w:rPr>
        <w:lastRenderedPageBreak/>
        <w:t xml:space="preserve">Conclusion </w:t>
      </w:r>
    </w:p>
    <w:p w14:paraId="715B8475" w14:textId="2D926EBD" w:rsidR="00292E30" w:rsidRPr="00166851" w:rsidRDefault="00292E30" w:rsidP="009418BF">
      <w:pPr>
        <w:pStyle w:val="Heading1"/>
        <w:keepNext/>
        <w:keepLines/>
        <w:spacing w:after="120"/>
      </w:pPr>
      <w:r>
        <w:t>Malgré le fait que le Mozambique ait connu des retards dans la mise en œuvre de son PGEH, le gouvernement met actuellement en œuvre la formation des agents douaniers et d</w:t>
      </w:r>
      <w:r w:rsidR="00435DA0">
        <w:t>’</w:t>
      </w:r>
      <w:r>
        <w:t>exécution, le renforcement des centres d</w:t>
      </w:r>
      <w:r w:rsidR="00435DA0">
        <w:t>’</w:t>
      </w:r>
      <w:r>
        <w:t>excellence, la formation des techniciens et le soutien de l</w:t>
      </w:r>
      <w:r w:rsidR="00435DA0">
        <w:t>’</w:t>
      </w:r>
      <w:r>
        <w:t>association en réfrigération et climatisation, ce qui assurera la durabilité des activités du PGEH. Le rapport de vérification du pays confirmait que le système de quotas et de permis est opérationnel, mais mettait en lumière quelques défis comme : l</w:t>
      </w:r>
      <w:r w:rsidR="00435DA0">
        <w:t>’</w:t>
      </w:r>
      <w:r>
        <w:t>amélioration de la planification et de la communication dans la réaffectation des agents douaniers et d</w:t>
      </w:r>
      <w:r w:rsidR="00435DA0">
        <w:t>’</w:t>
      </w:r>
      <w:r>
        <w:t>exécution expérimentés afin de limiter les perturbations des activités d</w:t>
      </w:r>
      <w:r w:rsidR="00435DA0">
        <w:t>’</w:t>
      </w:r>
      <w:r>
        <w:t>exécution; le renforcement de l</w:t>
      </w:r>
      <w:r w:rsidR="00435DA0">
        <w:t>’</w:t>
      </w:r>
      <w:r>
        <w:t>engagement de l</w:t>
      </w:r>
      <w:r w:rsidR="00435DA0">
        <w:t>’</w:t>
      </w:r>
      <w:r>
        <w:t>UNO par rapport aux importateurs de SAO; l</w:t>
      </w:r>
      <w:r w:rsidR="00435DA0">
        <w:t>’</w:t>
      </w:r>
      <w:r>
        <w:t>ouverture de sièges au sein du Comité de direction sur les SAO à des importateurs; et l</w:t>
      </w:r>
      <w:r w:rsidR="00435DA0">
        <w:t>’</w:t>
      </w:r>
      <w:r>
        <w:t>encouragement des sociétés d</w:t>
      </w:r>
      <w:r w:rsidR="00435DA0">
        <w:t>’</w:t>
      </w:r>
      <w:r>
        <w:t>entretien en réfrigération et climatisation afin d</w:t>
      </w:r>
      <w:r w:rsidR="00435DA0">
        <w:t>’</w:t>
      </w:r>
      <w:r>
        <w:t>utiliser des unités de récupération pour récupérer les frigorigènes. Le PNUE a indiqué qu</w:t>
      </w:r>
      <w:r w:rsidR="00435DA0">
        <w:t>’</w:t>
      </w:r>
      <w:r>
        <w:t>il soutiendrait l</w:t>
      </w:r>
      <w:r w:rsidR="00435DA0">
        <w:t>’</w:t>
      </w:r>
      <w:r>
        <w:t>UNO afin de remédier aux recommandations de la vérification par le biais d</w:t>
      </w:r>
      <w:r w:rsidR="00435DA0">
        <w:t>’</w:t>
      </w:r>
      <w:r>
        <w:t>un PAC et de l</w:t>
      </w:r>
      <w:r w:rsidR="00435DA0">
        <w:t>’</w:t>
      </w:r>
      <w:r>
        <w:t>intégration d</w:t>
      </w:r>
      <w:r w:rsidR="00435DA0">
        <w:t>’</w:t>
      </w:r>
      <w:r>
        <w:t xml:space="preserve">activités pertinentes dans le plan de travail des troisième et quatrième tranches. Le rapport périodique sur les activités entreprises </w:t>
      </w:r>
      <w:r w:rsidR="00435DA0">
        <w:t>et</w:t>
      </w:r>
      <w:r>
        <w:t xml:space="preserve"> prévues suggère que le pays atteindra ses objectifs d</w:t>
      </w:r>
      <w:r w:rsidR="00435DA0">
        <w:t>’</w:t>
      </w:r>
      <w:r>
        <w:t>élimination du HCFC.</w:t>
      </w:r>
    </w:p>
    <w:p w14:paraId="1298E28A" w14:textId="77777777" w:rsidR="009418BF" w:rsidRDefault="009418BF" w:rsidP="009418BF"/>
    <w:p w14:paraId="568C5EA1" w14:textId="35121ABF" w:rsidR="00B247B1" w:rsidRPr="00166851" w:rsidRDefault="00B247B1" w:rsidP="00AD4CC5">
      <w:pPr>
        <w:keepNext/>
        <w:spacing w:after="240"/>
      </w:pPr>
      <w:r>
        <w:rPr>
          <w:b/>
        </w:rPr>
        <w:t xml:space="preserve">RECOMMANDATION </w:t>
      </w:r>
    </w:p>
    <w:p w14:paraId="62173408" w14:textId="677C89E1" w:rsidR="00B247B1" w:rsidRPr="0028102F" w:rsidRDefault="00B247B1" w:rsidP="00551BAC">
      <w:pPr>
        <w:pStyle w:val="Heading1"/>
        <w:keepNext/>
      </w:pPr>
      <w:r>
        <w:t xml:space="preserve">Le Secrétariat du Fonds recommande au Comité exécutif : </w:t>
      </w:r>
    </w:p>
    <w:p w14:paraId="2F34062D" w14:textId="5B5951A8" w:rsidR="00B247B1" w:rsidRPr="0028102F" w:rsidRDefault="00435DA0" w:rsidP="00551BAC">
      <w:pPr>
        <w:pStyle w:val="Heading2"/>
        <w:keepNext/>
      </w:pPr>
      <w:r>
        <w:t>De prendre note :</w:t>
      </w:r>
    </w:p>
    <w:p w14:paraId="79DDBC11" w14:textId="073F030B" w:rsidR="00B247B1" w:rsidRDefault="00B247B1" w:rsidP="00551BAC">
      <w:pPr>
        <w:pStyle w:val="Heading3"/>
      </w:pPr>
      <w:r>
        <w:t>Du rapport périodique sur la mise en œuvre de la deuxième tranche de la phase I du plan de gestion de l</w:t>
      </w:r>
      <w:r w:rsidR="00435DA0">
        <w:t>’</w:t>
      </w:r>
      <w:r>
        <w:t xml:space="preserve">élimination du HCFC (PGEH) pour le Mozambique; </w:t>
      </w:r>
    </w:p>
    <w:p w14:paraId="4A84E291" w14:textId="71E13F5D" w:rsidR="00B247B1" w:rsidRPr="00131802" w:rsidRDefault="00B247B1" w:rsidP="00551BAC">
      <w:pPr>
        <w:pStyle w:val="Heading3"/>
      </w:pPr>
      <w:r>
        <w:t>Que le Secrétariat du Fonds a mis à jour l</w:t>
      </w:r>
      <w:r w:rsidR="00435DA0">
        <w:t>’</w:t>
      </w:r>
      <w:r>
        <w:t>Accord entre le gouvernement du Mozambique et du Comité exécutif, de la manière indiquée dans l</w:t>
      </w:r>
      <w:r w:rsidR="00435DA0">
        <w:t>’</w:t>
      </w:r>
      <w:r>
        <w:t>Annexe I du présent document, particulièrement le paragraphe 1, les Appendices 1-A et 2-A, selon les décisions XXVI/14 et 73/61 qui révisaient la valeur de référence du HCFC pour la conformité et le point de départ des réductions globales durables</w:t>
      </w:r>
      <w:r w:rsidR="00435DA0">
        <w:t xml:space="preserve"> pour la consommation de HCFC à </w:t>
      </w:r>
      <w:r>
        <w:t>8,69 tonnes PAO et le niveau de financement de la phase I du PGEH pour le Mozambique à 332 500 $ US, plus des coûts d</w:t>
      </w:r>
      <w:r w:rsidR="00435DA0">
        <w:t>’</w:t>
      </w:r>
      <w:r>
        <w:t>appui d</w:t>
      </w:r>
      <w:r w:rsidR="00435DA0">
        <w:t>’</w:t>
      </w:r>
      <w:r>
        <w:t>agence de 36 825 $ US, conformément à la décision 60/44(f)(xii), et qu</w:t>
      </w:r>
      <w:r w:rsidR="00435DA0">
        <w:t>’</w:t>
      </w:r>
      <w:r>
        <w:t>un nouveau paragraphe 16 a été ajouté pour indiquer que l</w:t>
      </w:r>
      <w:r w:rsidR="00435DA0">
        <w:t>’</w:t>
      </w:r>
      <w:r>
        <w:t>Accord mis à jour a préséance sur celui convenu à la 66</w:t>
      </w:r>
      <w:r>
        <w:rPr>
          <w:vertAlign w:val="superscript"/>
        </w:rPr>
        <w:t>e</w:t>
      </w:r>
      <w:r>
        <w:t> réunion.</w:t>
      </w:r>
    </w:p>
    <w:p w14:paraId="6649DB79" w14:textId="5D0E40C3" w:rsidR="00787ADB" w:rsidRDefault="00FE3307" w:rsidP="00551BAC">
      <w:pPr>
        <w:pStyle w:val="Heading1"/>
      </w:pPr>
      <w:r>
        <w:t>Que le Secrétariat du Fonds recommande en outre l</w:t>
      </w:r>
      <w:r w:rsidR="00435DA0">
        <w:t>’</w:t>
      </w:r>
      <w:r>
        <w:t>approbation générale des troisième et quatrième tranches de la phase I du PGEH pour le Mozambique, et le plan de mise en œuvre des tranches correspondant</w:t>
      </w:r>
      <w:r w:rsidR="00057DD1">
        <w:t>es</w:t>
      </w:r>
      <w:r>
        <w:t xml:space="preserve"> pour 2019-2020 au niveau de financement indiqué dans le tableau ci-dessous, étant entendu que : </w:t>
      </w:r>
    </w:p>
    <w:p w14:paraId="012F1224" w14:textId="2E46E405" w:rsidR="00787ADB" w:rsidRPr="008C34EC" w:rsidRDefault="00787ADB" w:rsidP="00787ADB">
      <w:pPr>
        <w:pStyle w:val="Heading2"/>
      </w:pPr>
      <w:r>
        <w:t>Le Mozambique n</w:t>
      </w:r>
      <w:r w:rsidR="00435DA0">
        <w:t>’</w:t>
      </w:r>
      <w:r>
        <w:t>avait de consommation que dans le secteur de l</w:t>
      </w:r>
      <w:r w:rsidR="00435DA0">
        <w:t>’</w:t>
      </w:r>
      <w:r>
        <w:t xml:space="preserve">entretien; </w:t>
      </w:r>
      <w:r w:rsidR="00760F4D">
        <w:t>et</w:t>
      </w:r>
    </w:p>
    <w:p w14:paraId="05D794FF" w14:textId="06E29670" w:rsidR="00787ADB" w:rsidRPr="008C34EC" w:rsidRDefault="00787ADB" w:rsidP="00787ADB">
      <w:pPr>
        <w:pStyle w:val="Heading2"/>
      </w:pPr>
      <w:r>
        <w:t>Le programme d</w:t>
      </w:r>
      <w:r w:rsidR="00435DA0">
        <w:t>’</w:t>
      </w:r>
      <w:r>
        <w:t>encouragement financier destiné aux utilisateurs finaux rehausserait la durabilité de la formation des techniciens d</w:t>
      </w:r>
      <w:r w:rsidR="00435DA0">
        <w:t>’</w:t>
      </w:r>
      <w:r>
        <w:t>entretien et que les utilisateurs finaux fourniraient le cofinancement afin de participer au programme.</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4382"/>
        <w:gridCol w:w="1643"/>
        <w:gridCol w:w="1399"/>
        <w:gridCol w:w="1613"/>
      </w:tblGrid>
      <w:tr w:rsidR="00FE3307" w:rsidRPr="00166851" w14:paraId="0A9EAE5E" w14:textId="77777777" w:rsidTr="00E00B07">
        <w:tc>
          <w:tcPr>
            <w:tcW w:w="547" w:type="dxa"/>
          </w:tcPr>
          <w:p w14:paraId="475F658F" w14:textId="77777777" w:rsidR="00FE3307" w:rsidRPr="00A971FF" w:rsidRDefault="00FE3307" w:rsidP="00551BAC">
            <w:pPr>
              <w:jc w:val="center"/>
              <w:rPr>
                <w:b/>
                <w:bCs/>
                <w:sz w:val="20"/>
                <w:szCs w:val="20"/>
              </w:rPr>
            </w:pPr>
          </w:p>
        </w:tc>
        <w:tc>
          <w:tcPr>
            <w:tcW w:w="4382" w:type="dxa"/>
            <w:vAlign w:val="center"/>
          </w:tcPr>
          <w:p w14:paraId="31C80860" w14:textId="77777777" w:rsidR="00FE3307" w:rsidRPr="00166851" w:rsidRDefault="00FE3307" w:rsidP="00E00B07">
            <w:pPr>
              <w:jc w:val="left"/>
              <w:rPr>
                <w:b/>
                <w:bCs/>
                <w:sz w:val="20"/>
                <w:szCs w:val="20"/>
              </w:rPr>
            </w:pPr>
            <w:r>
              <w:rPr>
                <w:b/>
                <w:bCs/>
                <w:sz w:val="20"/>
                <w:szCs w:val="20"/>
              </w:rPr>
              <w:t>Titre du projet</w:t>
            </w:r>
          </w:p>
        </w:tc>
        <w:tc>
          <w:tcPr>
            <w:tcW w:w="1643" w:type="dxa"/>
            <w:tcMar>
              <w:left w:w="29" w:type="dxa"/>
              <w:right w:w="29" w:type="dxa"/>
            </w:tcMar>
          </w:tcPr>
          <w:p w14:paraId="61F61427" w14:textId="63A4904C" w:rsidR="00FE3307" w:rsidRPr="00166851" w:rsidRDefault="00FE3307" w:rsidP="00551BAC">
            <w:pPr>
              <w:jc w:val="center"/>
              <w:rPr>
                <w:b/>
                <w:bCs/>
                <w:sz w:val="20"/>
                <w:szCs w:val="20"/>
              </w:rPr>
            </w:pPr>
            <w:r>
              <w:rPr>
                <w:b/>
                <w:bCs/>
                <w:sz w:val="20"/>
                <w:szCs w:val="20"/>
              </w:rPr>
              <w:t>Financement du projet ($ US)</w:t>
            </w:r>
          </w:p>
        </w:tc>
        <w:tc>
          <w:tcPr>
            <w:tcW w:w="1399" w:type="dxa"/>
            <w:tcMar>
              <w:left w:w="29" w:type="dxa"/>
              <w:right w:w="29" w:type="dxa"/>
            </w:tcMar>
          </w:tcPr>
          <w:p w14:paraId="38700EBC" w14:textId="71FED619" w:rsidR="00FE3307" w:rsidRPr="00166851" w:rsidRDefault="00FE3307" w:rsidP="00551BAC">
            <w:pPr>
              <w:jc w:val="center"/>
              <w:rPr>
                <w:b/>
                <w:bCs/>
                <w:sz w:val="20"/>
                <w:szCs w:val="20"/>
              </w:rPr>
            </w:pPr>
            <w:r>
              <w:rPr>
                <w:b/>
                <w:bCs/>
                <w:sz w:val="20"/>
                <w:szCs w:val="20"/>
              </w:rPr>
              <w:t>Coûts d</w:t>
            </w:r>
            <w:r w:rsidR="00435DA0">
              <w:rPr>
                <w:b/>
                <w:bCs/>
                <w:sz w:val="20"/>
                <w:szCs w:val="20"/>
              </w:rPr>
              <w:t>’</w:t>
            </w:r>
            <w:r>
              <w:rPr>
                <w:b/>
                <w:bCs/>
                <w:sz w:val="20"/>
                <w:szCs w:val="20"/>
              </w:rPr>
              <w:t>appui ($ US)</w:t>
            </w:r>
          </w:p>
        </w:tc>
        <w:tc>
          <w:tcPr>
            <w:tcW w:w="1613" w:type="dxa"/>
            <w:tcMar>
              <w:left w:w="29" w:type="dxa"/>
              <w:right w:w="29" w:type="dxa"/>
            </w:tcMar>
          </w:tcPr>
          <w:p w14:paraId="3DF211B9" w14:textId="37F2156D" w:rsidR="00FE3307" w:rsidRPr="00166851" w:rsidRDefault="00FE3307" w:rsidP="00551BAC">
            <w:pPr>
              <w:jc w:val="center"/>
              <w:rPr>
                <w:b/>
                <w:bCs/>
                <w:sz w:val="20"/>
                <w:szCs w:val="20"/>
              </w:rPr>
            </w:pPr>
            <w:r>
              <w:rPr>
                <w:b/>
                <w:bCs/>
                <w:sz w:val="20"/>
                <w:szCs w:val="20"/>
              </w:rPr>
              <w:t>Agence d</w:t>
            </w:r>
            <w:r w:rsidR="00435DA0">
              <w:rPr>
                <w:b/>
                <w:bCs/>
                <w:sz w:val="20"/>
                <w:szCs w:val="20"/>
              </w:rPr>
              <w:t>’</w:t>
            </w:r>
            <w:r>
              <w:rPr>
                <w:b/>
                <w:bCs/>
                <w:sz w:val="20"/>
                <w:szCs w:val="20"/>
              </w:rPr>
              <w:t>exécution</w:t>
            </w:r>
          </w:p>
        </w:tc>
      </w:tr>
      <w:tr w:rsidR="00FE3307" w:rsidRPr="00166851" w14:paraId="107864F8" w14:textId="77777777" w:rsidTr="00E00B07">
        <w:tc>
          <w:tcPr>
            <w:tcW w:w="547" w:type="dxa"/>
          </w:tcPr>
          <w:p w14:paraId="0493FC8E" w14:textId="77777777" w:rsidR="00FE3307" w:rsidRPr="00166851" w:rsidRDefault="00FE3307" w:rsidP="00551BAC">
            <w:pPr>
              <w:rPr>
                <w:sz w:val="20"/>
                <w:szCs w:val="20"/>
              </w:rPr>
            </w:pPr>
            <w:r>
              <w:rPr>
                <w:sz w:val="20"/>
                <w:szCs w:val="20"/>
              </w:rPr>
              <w:t>(a)</w:t>
            </w:r>
          </w:p>
        </w:tc>
        <w:tc>
          <w:tcPr>
            <w:tcW w:w="4382" w:type="dxa"/>
          </w:tcPr>
          <w:p w14:paraId="3C4C941A" w14:textId="1C5BFDD1" w:rsidR="00FE3307" w:rsidRPr="00166851" w:rsidRDefault="00FE3307" w:rsidP="00551BAC">
            <w:pPr>
              <w:rPr>
                <w:sz w:val="20"/>
                <w:szCs w:val="20"/>
              </w:rPr>
            </w:pPr>
            <w:r>
              <w:rPr>
                <w:sz w:val="20"/>
                <w:szCs w:val="20"/>
              </w:rPr>
              <w:t>Plan de gestion de l</w:t>
            </w:r>
            <w:r w:rsidR="00435DA0">
              <w:rPr>
                <w:sz w:val="20"/>
                <w:szCs w:val="20"/>
              </w:rPr>
              <w:t>’</w:t>
            </w:r>
            <w:r>
              <w:rPr>
                <w:sz w:val="20"/>
                <w:szCs w:val="20"/>
              </w:rPr>
              <w:t>élimination des HCFC (phase I, troisième et quatrième tranches)</w:t>
            </w:r>
          </w:p>
        </w:tc>
        <w:tc>
          <w:tcPr>
            <w:tcW w:w="1643" w:type="dxa"/>
          </w:tcPr>
          <w:p w14:paraId="60DA6BFB" w14:textId="65709B94" w:rsidR="00FE3307" w:rsidRPr="00C7481F" w:rsidRDefault="00B9174A" w:rsidP="00551BAC">
            <w:pPr>
              <w:jc w:val="right"/>
              <w:rPr>
                <w:sz w:val="20"/>
                <w:szCs w:val="20"/>
              </w:rPr>
            </w:pPr>
            <w:r>
              <w:rPr>
                <w:sz w:val="20"/>
                <w:szCs w:val="20"/>
              </w:rPr>
              <w:t>67 500</w:t>
            </w:r>
          </w:p>
        </w:tc>
        <w:tc>
          <w:tcPr>
            <w:tcW w:w="1399" w:type="dxa"/>
          </w:tcPr>
          <w:p w14:paraId="366D616A" w14:textId="7D1EA72E" w:rsidR="00FE3307" w:rsidRPr="00C7481F" w:rsidRDefault="00B9174A" w:rsidP="00551BAC">
            <w:pPr>
              <w:jc w:val="right"/>
              <w:rPr>
                <w:sz w:val="20"/>
                <w:szCs w:val="20"/>
              </w:rPr>
            </w:pPr>
            <w:r>
              <w:rPr>
                <w:sz w:val="20"/>
                <w:szCs w:val="20"/>
              </w:rPr>
              <w:t>8 775</w:t>
            </w:r>
          </w:p>
        </w:tc>
        <w:tc>
          <w:tcPr>
            <w:tcW w:w="1613" w:type="dxa"/>
            <w:shd w:val="clear" w:color="auto" w:fill="auto"/>
          </w:tcPr>
          <w:p w14:paraId="1D3EE232" w14:textId="6CE799AD" w:rsidR="00FE3307" w:rsidRPr="00C7481F" w:rsidRDefault="00B9174A" w:rsidP="00551BAC">
            <w:pPr>
              <w:jc w:val="right"/>
              <w:rPr>
                <w:sz w:val="20"/>
                <w:szCs w:val="20"/>
              </w:rPr>
            </w:pPr>
            <w:r>
              <w:rPr>
                <w:sz w:val="20"/>
                <w:szCs w:val="20"/>
              </w:rPr>
              <w:t>PNUE</w:t>
            </w:r>
          </w:p>
        </w:tc>
      </w:tr>
      <w:tr w:rsidR="00FE3307" w:rsidRPr="00166851" w14:paraId="05EDAFAD" w14:textId="77777777" w:rsidTr="00E00B07">
        <w:tc>
          <w:tcPr>
            <w:tcW w:w="547" w:type="dxa"/>
          </w:tcPr>
          <w:p w14:paraId="75C63889" w14:textId="77777777" w:rsidR="00FE3307" w:rsidRPr="00166851" w:rsidRDefault="00FE3307" w:rsidP="00551BAC">
            <w:pPr>
              <w:rPr>
                <w:sz w:val="20"/>
                <w:szCs w:val="20"/>
              </w:rPr>
            </w:pPr>
            <w:r>
              <w:rPr>
                <w:sz w:val="20"/>
                <w:szCs w:val="20"/>
              </w:rPr>
              <w:t>(b)</w:t>
            </w:r>
          </w:p>
        </w:tc>
        <w:tc>
          <w:tcPr>
            <w:tcW w:w="4382" w:type="dxa"/>
          </w:tcPr>
          <w:p w14:paraId="5073D3AF" w14:textId="771F3174" w:rsidR="00FE3307" w:rsidRPr="00166851" w:rsidRDefault="00FE3307" w:rsidP="00551BAC">
            <w:pPr>
              <w:rPr>
                <w:sz w:val="20"/>
                <w:szCs w:val="20"/>
              </w:rPr>
            </w:pPr>
            <w:r>
              <w:rPr>
                <w:sz w:val="20"/>
                <w:szCs w:val="20"/>
              </w:rPr>
              <w:t>Plan de gestion de l</w:t>
            </w:r>
            <w:r w:rsidR="00435DA0">
              <w:rPr>
                <w:sz w:val="20"/>
                <w:szCs w:val="20"/>
              </w:rPr>
              <w:t>’</w:t>
            </w:r>
            <w:r>
              <w:rPr>
                <w:sz w:val="20"/>
                <w:szCs w:val="20"/>
              </w:rPr>
              <w:t>élimination des HCFC (phase I, troisième et quatrième tranches)</w:t>
            </w:r>
          </w:p>
        </w:tc>
        <w:tc>
          <w:tcPr>
            <w:tcW w:w="1643" w:type="dxa"/>
          </w:tcPr>
          <w:p w14:paraId="068CBA6B" w14:textId="36172681" w:rsidR="00FE3307" w:rsidRPr="00C7481F" w:rsidRDefault="00B9174A" w:rsidP="00551BAC">
            <w:pPr>
              <w:jc w:val="right"/>
              <w:rPr>
                <w:sz w:val="20"/>
                <w:szCs w:val="20"/>
              </w:rPr>
            </w:pPr>
            <w:r>
              <w:rPr>
                <w:sz w:val="20"/>
                <w:szCs w:val="20"/>
              </w:rPr>
              <w:t>85 000</w:t>
            </w:r>
          </w:p>
        </w:tc>
        <w:tc>
          <w:tcPr>
            <w:tcW w:w="1399" w:type="dxa"/>
          </w:tcPr>
          <w:p w14:paraId="5FD8462E" w14:textId="7F424911" w:rsidR="00FE3307" w:rsidRPr="00C7481F" w:rsidRDefault="00B9174A" w:rsidP="00551BAC">
            <w:pPr>
              <w:jc w:val="right"/>
              <w:rPr>
                <w:sz w:val="20"/>
                <w:szCs w:val="20"/>
              </w:rPr>
            </w:pPr>
            <w:r>
              <w:rPr>
                <w:sz w:val="20"/>
                <w:szCs w:val="20"/>
              </w:rPr>
              <w:t>7 650</w:t>
            </w:r>
          </w:p>
        </w:tc>
        <w:tc>
          <w:tcPr>
            <w:tcW w:w="1613" w:type="dxa"/>
            <w:shd w:val="clear" w:color="auto" w:fill="auto"/>
          </w:tcPr>
          <w:p w14:paraId="07092C1B" w14:textId="327F4190" w:rsidR="00FE3307" w:rsidRPr="00C7481F" w:rsidRDefault="00B9174A" w:rsidP="00551BAC">
            <w:pPr>
              <w:jc w:val="right"/>
              <w:rPr>
                <w:sz w:val="20"/>
                <w:szCs w:val="20"/>
              </w:rPr>
            </w:pPr>
            <w:r>
              <w:rPr>
                <w:sz w:val="20"/>
                <w:szCs w:val="20"/>
              </w:rPr>
              <w:t>ONUDI</w:t>
            </w:r>
          </w:p>
        </w:tc>
      </w:tr>
    </w:tbl>
    <w:p w14:paraId="3541A719" w14:textId="77777777" w:rsidR="009418BF" w:rsidRPr="00166851" w:rsidRDefault="009418BF" w:rsidP="00551BAC">
      <w:pPr>
        <w:rPr>
          <w:lang w:val="en-CA"/>
        </w:rPr>
        <w:sectPr w:rsidR="009418BF" w:rsidRPr="00166851" w:rsidSect="00071837">
          <w:headerReference w:type="even" r:id="rId10"/>
          <w:headerReference w:type="default" r:id="rId11"/>
          <w:footerReference w:type="even" r:id="rId12"/>
          <w:footerReference w:type="default" r:id="rId13"/>
          <w:footerReference w:type="first" r:id="rId14"/>
          <w:pgSz w:w="12240" w:h="15840" w:code="1"/>
          <w:pgMar w:top="600" w:right="1608" w:bottom="600" w:left="1276" w:header="720" w:footer="475" w:gutter="0"/>
          <w:cols w:space="720"/>
          <w:titlePg/>
          <w:docGrid w:linePitch="299"/>
        </w:sectPr>
      </w:pPr>
    </w:p>
    <w:p w14:paraId="515A59F9" w14:textId="77777777" w:rsidR="00D25C68" w:rsidRPr="00166851" w:rsidRDefault="00D25C68" w:rsidP="00551BAC">
      <w:pPr>
        <w:jc w:val="center"/>
        <w:rPr>
          <w:b/>
        </w:rPr>
      </w:pPr>
      <w:r>
        <w:rPr>
          <w:b/>
        </w:rPr>
        <w:lastRenderedPageBreak/>
        <w:t>Annexe I</w:t>
      </w:r>
    </w:p>
    <w:p w14:paraId="123A7BC7" w14:textId="77777777" w:rsidR="00D25C68" w:rsidRPr="00166851" w:rsidRDefault="00D25C68" w:rsidP="00551BAC">
      <w:pPr>
        <w:jc w:val="center"/>
        <w:rPr>
          <w:lang w:val="en-CA"/>
        </w:rPr>
      </w:pPr>
    </w:p>
    <w:p w14:paraId="68AB3E5B" w14:textId="13CA869F" w:rsidR="00D25C68" w:rsidRPr="00166851" w:rsidRDefault="00D25C68" w:rsidP="00551BAC">
      <w:pPr>
        <w:jc w:val="center"/>
        <w:rPr>
          <w:b/>
        </w:rPr>
      </w:pPr>
      <w:r>
        <w:rPr>
          <w:b/>
        </w:rPr>
        <w:t>TEXTE À INCLURE DANS L</w:t>
      </w:r>
      <w:r w:rsidR="00435DA0">
        <w:rPr>
          <w:b/>
        </w:rPr>
        <w:t>’</w:t>
      </w:r>
      <w:r>
        <w:rPr>
          <w:b/>
        </w:rPr>
        <w:t>ACCORD MIS À JOUR ENTRE LE GOUVERNEMENT DU MOZAMBIQUE ET LE COMITÉ EXÉCUTIF DU FONDS MULTILATÉRAL POUR LA RÉDUCTION DE LA CONSOMMATION DES HYDROCHLOROFLUOROCARBURES</w:t>
      </w:r>
    </w:p>
    <w:p w14:paraId="0C842AB0" w14:textId="6A93D104" w:rsidR="00D25C68" w:rsidRDefault="00D25C68" w:rsidP="00551BAC">
      <w:pPr>
        <w:jc w:val="center"/>
        <w:rPr>
          <w:b/>
        </w:rPr>
      </w:pPr>
      <w:r>
        <w:rPr>
          <w:b/>
        </w:rPr>
        <w:t>(Les changements pertinents sont en caractères gras)</w:t>
      </w:r>
    </w:p>
    <w:p w14:paraId="43C66C22" w14:textId="77777777" w:rsidR="00034254" w:rsidRPr="009418BF" w:rsidRDefault="00034254" w:rsidP="00551BAC">
      <w:pPr>
        <w:jc w:val="center"/>
        <w:rPr>
          <w:sz w:val="16"/>
          <w:szCs w:val="16"/>
        </w:rPr>
      </w:pPr>
    </w:p>
    <w:p w14:paraId="56FFEE10" w14:textId="512B200E" w:rsidR="00D25C68" w:rsidRPr="00166851" w:rsidRDefault="00D25C68" w:rsidP="00551BAC">
      <w:pPr>
        <w:spacing w:after="120"/>
      </w:pPr>
      <w:r>
        <w:t>1.</w:t>
      </w:r>
      <w:r>
        <w:tab/>
        <w:t>Le présent Accord représente l</w:t>
      </w:r>
      <w:r w:rsidR="00435DA0">
        <w:t>’</w:t>
      </w:r>
      <w:r>
        <w:t>entente conclue entre le gouvernement du Mozambique (le « Pays ») et le Comité exécutif concernant la réduction de l</w:t>
      </w:r>
      <w:r w:rsidR="00435DA0">
        <w:t>’</w:t>
      </w:r>
      <w:r>
        <w:t>usage réglementé des substances appauvrissant la couche d</w:t>
      </w:r>
      <w:r w:rsidR="00435DA0">
        <w:t>’</w:t>
      </w:r>
      <w:r>
        <w:t>ozone (SAO) indiquées à l</w:t>
      </w:r>
      <w:r w:rsidR="00435DA0">
        <w:t>’</w:t>
      </w:r>
      <w:r>
        <w:t xml:space="preserve">appendice 1-A (les « Substances ») à un niveau durable de </w:t>
      </w:r>
      <w:r>
        <w:rPr>
          <w:b/>
          <w:bCs/>
        </w:rPr>
        <w:t>5,65</w:t>
      </w:r>
      <w:r>
        <w:t xml:space="preserve"> tonnes PAO d</w:t>
      </w:r>
      <w:r w:rsidR="00435DA0">
        <w:t>’</w:t>
      </w:r>
      <w:r>
        <w:t>ici le 1</w:t>
      </w:r>
      <w:r>
        <w:rPr>
          <w:vertAlign w:val="superscript"/>
        </w:rPr>
        <w:t>er</w:t>
      </w:r>
      <w:r>
        <w:t xml:space="preserve"> janvier 2020, conformément au calendrier du Protocole de Montréal.</w:t>
      </w:r>
    </w:p>
    <w:p w14:paraId="317444CA" w14:textId="1C6798D8" w:rsidR="00166851" w:rsidRPr="009418BF" w:rsidRDefault="00D25C68" w:rsidP="00551BAC">
      <w:pPr>
        <w:pStyle w:val="Heading1"/>
        <w:numPr>
          <w:ilvl w:val="0"/>
          <w:numId w:val="0"/>
        </w:numPr>
        <w:spacing w:after="120"/>
        <w:rPr>
          <w:b/>
        </w:rPr>
      </w:pPr>
      <w:r w:rsidRPr="009418BF">
        <w:rPr>
          <w:b/>
        </w:rPr>
        <w:t>16.</w:t>
      </w:r>
      <w:r w:rsidRPr="009418BF">
        <w:rPr>
          <w:b/>
        </w:rPr>
        <w:tab/>
        <w:t>Le présent Accord révisé remplace l</w:t>
      </w:r>
      <w:r w:rsidR="00435DA0" w:rsidRPr="009418BF">
        <w:rPr>
          <w:b/>
        </w:rPr>
        <w:t>’</w:t>
      </w:r>
      <w:r w:rsidRPr="009418BF">
        <w:rPr>
          <w:b/>
        </w:rPr>
        <w:t>Accord conclu entre le gouvernement du Mozambique et le Comité exécutif à la 66</w:t>
      </w:r>
      <w:r w:rsidRPr="009418BF">
        <w:rPr>
          <w:b/>
          <w:vertAlign w:val="superscript"/>
        </w:rPr>
        <w:t>e</w:t>
      </w:r>
      <w:r w:rsidRPr="009418BF">
        <w:rPr>
          <w:b/>
        </w:rPr>
        <w:t xml:space="preserve"> réunion du Comité exécutif.</w:t>
      </w:r>
    </w:p>
    <w:p w14:paraId="77835384" w14:textId="77777777" w:rsidR="00760F4D" w:rsidRPr="009418BF" w:rsidRDefault="00760F4D" w:rsidP="00760F4D">
      <w:pPr>
        <w:rPr>
          <w:sz w:val="16"/>
          <w:szCs w:val="16"/>
        </w:rPr>
      </w:pPr>
    </w:p>
    <w:p w14:paraId="6F824ED6" w14:textId="55DF6DC7" w:rsidR="00D25C68" w:rsidRPr="00166851" w:rsidRDefault="00D25C68" w:rsidP="00551BAC">
      <w:pPr>
        <w:pStyle w:val="Heading1"/>
        <w:numPr>
          <w:ilvl w:val="0"/>
          <w:numId w:val="0"/>
        </w:numPr>
        <w:rPr>
          <w:b/>
        </w:rPr>
      </w:pPr>
      <w:r>
        <w:rPr>
          <w:b/>
        </w:rPr>
        <w:t>APPENDICE 1-A : SUBSTANCES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500"/>
        <w:gridCol w:w="1500"/>
        <w:gridCol w:w="5139"/>
      </w:tblGrid>
      <w:tr w:rsidR="00D25C68" w:rsidRPr="00166851" w14:paraId="661C5EFD" w14:textId="77777777" w:rsidTr="00E77C14">
        <w:trPr>
          <w:trHeight w:val="734"/>
        </w:trPr>
        <w:tc>
          <w:tcPr>
            <w:tcW w:w="1500" w:type="dxa"/>
          </w:tcPr>
          <w:p w14:paraId="1D7466AB" w14:textId="77777777" w:rsidR="00D25C68" w:rsidRPr="00166851" w:rsidRDefault="00D25C68" w:rsidP="00551BAC">
            <w:pPr>
              <w:keepNext/>
              <w:jc w:val="center"/>
              <w:rPr>
                <w:sz w:val="20"/>
                <w:szCs w:val="20"/>
              </w:rPr>
            </w:pPr>
            <w:r>
              <w:rPr>
                <w:sz w:val="20"/>
                <w:szCs w:val="20"/>
              </w:rPr>
              <w:t>Substance</w:t>
            </w:r>
          </w:p>
        </w:tc>
        <w:tc>
          <w:tcPr>
            <w:tcW w:w="1500" w:type="dxa"/>
          </w:tcPr>
          <w:p w14:paraId="15936319" w14:textId="77777777" w:rsidR="00D25C68" w:rsidRPr="00166851" w:rsidRDefault="00D25C68" w:rsidP="00551BAC">
            <w:pPr>
              <w:keepNext/>
              <w:jc w:val="center"/>
              <w:rPr>
                <w:sz w:val="20"/>
                <w:szCs w:val="20"/>
              </w:rPr>
            </w:pPr>
            <w:r>
              <w:rPr>
                <w:sz w:val="20"/>
                <w:szCs w:val="20"/>
              </w:rPr>
              <w:t>Annexe</w:t>
            </w:r>
          </w:p>
        </w:tc>
        <w:tc>
          <w:tcPr>
            <w:tcW w:w="1500" w:type="dxa"/>
          </w:tcPr>
          <w:p w14:paraId="524D79AB" w14:textId="77777777" w:rsidR="00D25C68" w:rsidRPr="00166851" w:rsidRDefault="00D25C68" w:rsidP="00551BAC">
            <w:pPr>
              <w:keepNext/>
              <w:jc w:val="center"/>
              <w:rPr>
                <w:sz w:val="20"/>
                <w:szCs w:val="20"/>
              </w:rPr>
            </w:pPr>
            <w:r>
              <w:rPr>
                <w:sz w:val="20"/>
                <w:szCs w:val="20"/>
              </w:rPr>
              <w:t>Groupe</w:t>
            </w:r>
          </w:p>
        </w:tc>
        <w:tc>
          <w:tcPr>
            <w:tcW w:w="5139" w:type="dxa"/>
          </w:tcPr>
          <w:p w14:paraId="014168D2" w14:textId="77777777" w:rsidR="00D25C68" w:rsidRPr="00166851" w:rsidRDefault="00D25C68" w:rsidP="00551BAC">
            <w:pPr>
              <w:keepNext/>
              <w:jc w:val="center"/>
              <w:rPr>
                <w:sz w:val="20"/>
                <w:szCs w:val="20"/>
              </w:rPr>
            </w:pPr>
            <w:r>
              <w:rPr>
                <w:sz w:val="20"/>
                <w:szCs w:val="20"/>
              </w:rPr>
              <w:t>Point de départ des réductions globales de la consommation</w:t>
            </w:r>
          </w:p>
          <w:p w14:paraId="455EEFA5" w14:textId="77777777" w:rsidR="00D25C68" w:rsidRPr="00166851" w:rsidRDefault="00D25C68" w:rsidP="00551BAC">
            <w:pPr>
              <w:keepNext/>
              <w:jc w:val="center"/>
              <w:rPr>
                <w:sz w:val="20"/>
                <w:szCs w:val="20"/>
              </w:rPr>
            </w:pPr>
            <w:r>
              <w:rPr>
                <w:sz w:val="20"/>
                <w:szCs w:val="20"/>
              </w:rPr>
              <w:t>(tonnes PAO)</w:t>
            </w:r>
          </w:p>
        </w:tc>
      </w:tr>
      <w:tr w:rsidR="00D25C68" w:rsidRPr="00166851" w14:paraId="71A78558" w14:textId="77777777" w:rsidTr="00E77C14">
        <w:trPr>
          <w:trHeight w:val="239"/>
        </w:trPr>
        <w:tc>
          <w:tcPr>
            <w:tcW w:w="1500" w:type="dxa"/>
            <w:shd w:val="clear" w:color="auto" w:fill="auto"/>
          </w:tcPr>
          <w:p w14:paraId="6974F13D" w14:textId="77777777" w:rsidR="00D25C68" w:rsidRPr="00C7481F" w:rsidRDefault="00D25C68" w:rsidP="00551BAC">
            <w:pPr>
              <w:keepNext/>
              <w:rPr>
                <w:sz w:val="20"/>
                <w:szCs w:val="20"/>
              </w:rPr>
            </w:pPr>
            <w:r>
              <w:rPr>
                <w:sz w:val="20"/>
                <w:szCs w:val="20"/>
              </w:rPr>
              <w:t>HCFC-22</w:t>
            </w:r>
          </w:p>
        </w:tc>
        <w:tc>
          <w:tcPr>
            <w:tcW w:w="1500" w:type="dxa"/>
            <w:shd w:val="clear" w:color="auto" w:fill="auto"/>
          </w:tcPr>
          <w:p w14:paraId="4657AF7D" w14:textId="77777777" w:rsidR="00D25C68" w:rsidRPr="00C7481F" w:rsidRDefault="00D25C68" w:rsidP="00551BAC">
            <w:pPr>
              <w:keepNext/>
              <w:jc w:val="center"/>
              <w:rPr>
                <w:sz w:val="20"/>
                <w:szCs w:val="20"/>
              </w:rPr>
            </w:pPr>
            <w:r>
              <w:rPr>
                <w:sz w:val="20"/>
                <w:szCs w:val="20"/>
              </w:rPr>
              <w:t>C</w:t>
            </w:r>
          </w:p>
        </w:tc>
        <w:tc>
          <w:tcPr>
            <w:tcW w:w="1500" w:type="dxa"/>
            <w:shd w:val="clear" w:color="auto" w:fill="auto"/>
          </w:tcPr>
          <w:p w14:paraId="2CF431B1" w14:textId="4C5287CA" w:rsidR="00D25C68" w:rsidRPr="00C7481F" w:rsidRDefault="00D25C68" w:rsidP="00551BAC">
            <w:pPr>
              <w:keepNext/>
              <w:autoSpaceDE w:val="0"/>
              <w:autoSpaceDN w:val="0"/>
              <w:adjustRightInd w:val="0"/>
              <w:jc w:val="center"/>
              <w:rPr>
                <w:sz w:val="20"/>
                <w:szCs w:val="20"/>
              </w:rPr>
            </w:pPr>
            <w:r>
              <w:rPr>
                <w:sz w:val="20"/>
                <w:szCs w:val="20"/>
              </w:rPr>
              <w:t>I</w:t>
            </w:r>
          </w:p>
        </w:tc>
        <w:tc>
          <w:tcPr>
            <w:tcW w:w="5139" w:type="dxa"/>
            <w:shd w:val="clear" w:color="auto" w:fill="auto"/>
            <w:vAlign w:val="center"/>
          </w:tcPr>
          <w:p w14:paraId="2F2320A1" w14:textId="77777777" w:rsidR="00D25C68" w:rsidRPr="00166851" w:rsidRDefault="00D25C68" w:rsidP="00E77C14">
            <w:pPr>
              <w:pStyle w:val="Default"/>
              <w:keepNext/>
              <w:widowControl/>
              <w:jc w:val="right"/>
              <w:rPr>
                <w:b/>
                <w:sz w:val="20"/>
                <w:szCs w:val="20"/>
              </w:rPr>
            </w:pPr>
            <w:r>
              <w:rPr>
                <w:b/>
                <w:sz w:val="20"/>
                <w:szCs w:val="20"/>
              </w:rPr>
              <w:t>8,69</w:t>
            </w:r>
          </w:p>
        </w:tc>
      </w:tr>
    </w:tbl>
    <w:p w14:paraId="42B37E66" w14:textId="77777777" w:rsidR="00D25C68" w:rsidRPr="00C7481F" w:rsidRDefault="00D25C68" w:rsidP="00551BAC">
      <w:pPr>
        <w:keepNext/>
        <w:keepLines/>
        <w:rPr>
          <w:b/>
          <w:sz w:val="16"/>
          <w:szCs w:val="16"/>
        </w:rPr>
      </w:pPr>
    </w:p>
    <w:p w14:paraId="7B04EB96" w14:textId="77777777" w:rsidR="00D25C68" w:rsidRPr="00166851" w:rsidRDefault="00D25C68" w:rsidP="00551BAC">
      <w:pPr>
        <w:keepNext/>
        <w:keepLines/>
        <w:rPr>
          <w:b/>
        </w:rPr>
      </w:pPr>
      <w:r>
        <w:rPr>
          <w:b/>
        </w:rPr>
        <w:t>APPENDICE 2-A : LES OBJECTIFS ET LE FINANCEMENT</w:t>
      </w:r>
    </w:p>
    <w:p w14:paraId="06CEE636" w14:textId="77777777" w:rsidR="00D25C68" w:rsidRPr="00C7481F" w:rsidRDefault="00D25C68" w:rsidP="00551BAC">
      <w:pPr>
        <w:keepNext/>
        <w:keepLines/>
        <w:rPr>
          <w:b/>
          <w:sz w:val="16"/>
          <w:szCs w:val="16"/>
        </w:rPr>
      </w:pPr>
    </w:p>
    <w:tbl>
      <w:tblPr>
        <w:tblW w:w="5000" w:type="pct"/>
        <w:shd w:val="clear" w:color="auto" w:fill="FFFFFF" w:themeFill="background1"/>
        <w:tblLook w:val="0000" w:firstRow="0" w:lastRow="0" w:firstColumn="0" w:lastColumn="0" w:noHBand="0" w:noVBand="0"/>
      </w:tblPr>
      <w:tblGrid>
        <w:gridCol w:w="676"/>
        <w:gridCol w:w="1676"/>
        <w:gridCol w:w="846"/>
        <w:gridCol w:w="560"/>
        <w:gridCol w:w="838"/>
        <w:gridCol w:w="560"/>
        <w:gridCol w:w="846"/>
        <w:gridCol w:w="558"/>
        <w:gridCol w:w="848"/>
        <w:gridCol w:w="560"/>
        <w:gridCol w:w="850"/>
        <w:gridCol w:w="838"/>
      </w:tblGrid>
      <w:tr w:rsidR="00D25C68" w:rsidRPr="000C0C4B" w14:paraId="3F014250" w14:textId="77777777" w:rsidTr="000C0C4B">
        <w:trPr>
          <w:trHeight w:val="270"/>
          <w:tblHeader/>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3B6CA3D" w14:textId="77777777" w:rsidR="00D25C68" w:rsidRPr="000C0C4B" w:rsidRDefault="00D25C68" w:rsidP="009418BF">
            <w:pPr>
              <w:jc w:val="center"/>
              <w:rPr>
                <w:b/>
                <w:bCs/>
                <w:color w:val="000000"/>
                <w:sz w:val="16"/>
                <w:szCs w:val="16"/>
              </w:rPr>
            </w:pPr>
            <w:r w:rsidRPr="000C0C4B">
              <w:rPr>
                <w:b/>
                <w:bCs/>
                <w:color w:val="000000"/>
                <w:sz w:val="16"/>
                <w:szCs w:val="16"/>
              </w:rPr>
              <w:t>Ligne</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067950FA" w14:textId="5E8C464A" w:rsidR="00D25C68" w:rsidRPr="000C0C4B" w:rsidRDefault="00D25C68" w:rsidP="009418BF">
            <w:pPr>
              <w:jc w:val="center"/>
              <w:rPr>
                <w:b/>
                <w:bCs/>
                <w:color w:val="000000"/>
                <w:sz w:val="16"/>
                <w:szCs w:val="16"/>
              </w:rPr>
            </w:pPr>
            <w:r w:rsidRPr="000C0C4B">
              <w:rPr>
                <w:b/>
                <w:bCs/>
                <w:color w:val="000000"/>
                <w:sz w:val="16"/>
                <w:szCs w:val="16"/>
              </w:rPr>
              <w:t>Particuliers</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77242D98" w14:textId="77777777" w:rsidR="00D25C68" w:rsidRPr="000C0C4B" w:rsidRDefault="00D25C68" w:rsidP="009418BF">
            <w:pPr>
              <w:jc w:val="center"/>
              <w:rPr>
                <w:b/>
                <w:bCs/>
                <w:color w:val="000000"/>
                <w:sz w:val="16"/>
                <w:szCs w:val="16"/>
              </w:rPr>
            </w:pPr>
            <w:r w:rsidRPr="000C0C4B">
              <w:rPr>
                <w:b/>
                <w:bCs/>
                <w:color w:val="000000"/>
                <w:sz w:val="16"/>
                <w:szCs w:val="16"/>
              </w:rPr>
              <w:t>2012</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41F60D34" w14:textId="77777777" w:rsidR="00D25C68" w:rsidRPr="000C0C4B" w:rsidRDefault="00D25C68" w:rsidP="009418BF">
            <w:pPr>
              <w:jc w:val="center"/>
              <w:rPr>
                <w:b/>
                <w:bCs/>
                <w:color w:val="000000"/>
                <w:sz w:val="16"/>
                <w:szCs w:val="16"/>
              </w:rPr>
            </w:pPr>
            <w:r w:rsidRPr="000C0C4B">
              <w:rPr>
                <w:b/>
                <w:bCs/>
                <w:color w:val="000000"/>
                <w:sz w:val="16"/>
                <w:szCs w:val="16"/>
              </w:rPr>
              <w:t>2013</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7655232" w14:textId="77777777" w:rsidR="00D25C68" w:rsidRPr="000C0C4B" w:rsidRDefault="00D25C68" w:rsidP="009418BF">
            <w:pPr>
              <w:jc w:val="center"/>
              <w:rPr>
                <w:b/>
                <w:bCs/>
                <w:color w:val="000000"/>
                <w:sz w:val="16"/>
                <w:szCs w:val="16"/>
              </w:rPr>
            </w:pPr>
            <w:r w:rsidRPr="000C0C4B">
              <w:rPr>
                <w:b/>
                <w:bCs/>
                <w:color w:val="000000"/>
                <w:sz w:val="16"/>
                <w:szCs w:val="16"/>
              </w:rPr>
              <w:t>2014</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250EF486" w14:textId="77777777" w:rsidR="00D25C68" w:rsidRPr="000C0C4B" w:rsidRDefault="00D25C68" w:rsidP="009418BF">
            <w:pPr>
              <w:jc w:val="center"/>
              <w:rPr>
                <w:b/>
                <w:bCs/>
                <w:color w:val="000000"/>
                <w:sz w:val="16"/>
                <w:szCs w:val="16"/>
              </w:rPr>
            </w:pPr>
            <w:r w:rsidRPr="000C0C4B">
              <w:rPr>
                <w:b/>
                <w:bCs/>
                <w:color w:val="000000"/>
                <w:sz w:val="16"/>
                <w:szCs w:val="16"/>
              </w:rPr>
              <w:t>2015</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49C78089" w14:textId="77777777" w:rsidR="00D25C68" w:rsidRPr="000C0C4B" w:rsidRDefault="00D25C68" w:rsidP="009418BF">
            <w:pPr>
              <w:jc w:val="center"/>
              <w:rPr>
                <w:b/>
                <w:bCs/>
                <w:color w:val="000000"/>
                <w:sz w:val="16"/>
                <w:szCs w:val="16"/>
              </w:rPr>
            </w:pPr>
            <w:r w:rsidRPr="000C0C4B">
              <w:rPr>
                <w:b/>
                <w:bCs/>
                <w:color w:val="000000"/>
                <w:sz w:val="16"/>
                <w:szCs w:val="16"/>
              </w:rPr>
              <w:t>2016</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059AE908" w14:textId="77777777" w:rsidR="00D25C68" w:rsidRPr="000C0C4B" w:rsidRDefault="00D25C68" w:rsidP="009418BF">
            <w:pPr>
              <w:jc w:val="center"/>
              <w:rPr>
                <w:b/>
                <w:bCs/>
                <w:color w:val="000000"/>
                <w:sz w:val="16"/>
                <w:szCs w:val="16"/>
              </w:rPr>
            </w:pPr>
            <w:r w:rsidRPr="000C0C4B">
              <w:rPr>
                <w:b/>
                <w:bCs/>
                <w:color w:val="000000"/>
                <w:sz w:val="16"/>
                <w:szCs w:val="16"/>
              </w:rPr>
              <w:t>2017</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22EA828B" w14:textId="77777777" w:rsidR="00D25C68" w:rsidRPr="000C0C4B" w:rsidRDefault="00D25C68" w:rsidP="009418BF">
            <w:pPr>
              <w:jc w:val="center"/>
              <w:rPr>
                <w:b/>
                <w:bCs/>
                <w:color w:val="000000"/>
                <w:sz w:val="16"/>
                <w:szCs w:val="16"/>
              </w:rPr>
            </w:pPr>
            <w:r w:rsidRPr="000C0C4B">
              <w:rPr>
                <w:b/>
                <w:bCs/>
                <w:color w:val="000000"/>
                <w:sz w:val="16"/>
                <w:szCs w:val="16"/>
              </w:rPr>
              <w:t>2018</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199ECF89" w14:textId="77777777" w:rsidR="00D25C68" w:rsidRPr="000C0C4B" w:rsidRDefault="00D25C68" w:rsidP="009418BF">
            <w:pPr>
              <w:jc w:val="center"/>
              <w:rPr>
                <w:b/>
                <w:bCs/>
                <w:color w:val="000000"/>
                <w:sz w:val="16"/>
                <w:szCs w:val="16"/>
              </w:rPr>
            </w:pPr>
            <w:r w:rsidRPr="000C0C4B">
              <w:rPr>
                <w:b/>
                <w:bCs/>
                <w:color w:val="000000"/>
                <w:sz w:val="16"/>
                <w:szCs w:val="16"/>
              </w:rPr>
              <w:t>2019</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7C8C87B8" w14:textId="77777777" w:rsidR="00D25C68" w:rsidRPr="000C0C4B" w:rsidRDefault="00D25C68" w:rsidP="009418BF">
            <w:pPr>
              <w:jc w:val="center"/>
              <w:rPr>
                <w:b/>
                <w:bCs/>
                <w:color w:val="000000"/>
                <w:sz w:val="16"/>
                <w:szCs w:val="16"/>
              </w:rPr>
            </w:pPr>
            <w:r w:rsidRPr="000C0C4B">
              <w:rPr>
                <w:b/>
                <w:bCs/>
                <w:color w:val="000000"/>
                <w:sz w:val="16"/>
                <w:szCs w:val="16"/>
              </w:rPr>
              <w:t>2020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63F8C97" w14:textId="77777777" w:rsidR="00D25C68" w:rsidRPr="000C0C4B" w:rsidRDefault="00D25C68" w:rsidP="009418BF">
            <w:pPr>
              <w:jc w:val="center"/>
              <w:rPr>
                <w:b/>
                <w:bCs/>
                <w:color w:val="000000"/>
                <w:sz w:val="16"/>
                <w:szCs w:val="16"/>
              </w:rPr>
            </w:pPr>
            <w:r w:rsidRPr="000C0C4B">
              <w:rPr>
                <w:b/>
                <w:bCs/>
                <w:color w:val="000000"/>
                <w:sz w:val="16"/>
                <w:szCs w:val="16"/>
              </w:rPr>
              <w:t>Total</w:t>
            </w:r>
          </w:p>
        </w:tc>
      </w:tr>
      <w:tr w:rsidR="00D25C68" w:rsidRPr="00166851" w14:paraId="6FC1E8B9" w14:textId="77777777" w:rsidTr="00C7481F">
        <w:trPr>
          <w:trHeight w:val="700"/>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E59DF84" w14:textId="5080F62E" w:rsidR="00D25C68" w:rsidRPr="00166851" w:rsidRDefault="00435DA0" w:rsidP="00551BAC">
            <w:pPr>
              <w:rPr>
                <w:color w:val="000000"/>
                <w:sz w:val="16"/>
                <w:szCs w:val="16"/>
              </w:rPr>
            </w:pPr>
            <w:r>
              <w:rPr>
                <w:color w:val="000000"/>
                <w:sz w:val="16"/>
                <w:szCs w:val="16"/>
              </w:rPr>
              <w:t>1.</w:t>
            </w:r>
            <w:r w:rsidR="00D25C68">
              <w:rPr>
                <w:color w:val="000000"/>
                <w:sz w:val="16"/>
                <w:szCs w:val="16"/>
              </w:rPr>
              <w:t>1</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48E0865F" w14:textId="7FB2B0B9" w:rsidR="00D25C68" w:rsidRPr="00166851" w:rsidRDefault="00D25C68" w:rsidP="009418BF">
            <w:pPr>
              <w:jc w:val="left"/>
              <w:rPr>
                <w:color w:val="000000"/>
                <w:sz w:val="16"/>
                <w:szCs w:val="16"/>
              </w:rPr>
            </w:pPr>
            <w:r>
              <w:rPr>
                <w:color w:val="000000"/>
                <w:sz w:val="16"/>
                <w:szCs w:val="16"/>
              </w:rPr>
              <w:t>Calendrier de réduction des substances de l</w:t>
            </w:r>
            <w:r w:rsidR="00435DA0">
              <w:rPr>
                <w:color w:val="000000"/>
                <w:sz w:val="16"/>
                <w:szCs w:val="16"/>
              </w:rPr>
              <w:t>’</w:t>
            </w:r>
            <w:r>
              <w:rPr>
                <w:color w:val="000000"/>
                <w:sz w:val="16"/>
                <w:szCs w:val="16"/>
              </w:rPr>
              <w:t>annexe</w:t>
            </w:r>
            <w:r w:rsidR="009418BF">
              <w:rPr>
                <w:color w:val="000000"/>
                <w:sz w:val="16"/>
                <w:szCs w:val="16"/>
              </w:rPr>
              <w:t> </w:t>
            </w:r>
            <w:r>
              <w:rPr>
                <w:color w:val="000000"/>
                <w:sz w:val="16"/>
                <w:szCs w:val="16"/>
              </w:rPr>
              <w:t>C du groupe</w:t>
            </w:r>
            <w:r w:rsidR="009418BF">
              <w:rPr>
                <w:color w:val="000000"/>
                <w:sz w:val="16"/>
                <w:szCs w:val="16"/>
              </w:rPr>
              <w:t> </w:t>
            </w:r>
            <w:r>
              <w:rPr>
                <w:color w:val="000000"/>
                <w:sz w:val="16"/>
                <w:szCs w:val="16"/>
              </w:rPr>
              <w:t>I du Protocole de Montréal (tonnes PAO) </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88FC5EC" w14:textId="77777777" w:rsidR="00D25C68" w:rsidRPr="00166851" w:rsidRDefault="00D25C68" w:rsidP="00551BAC">
            <w:pPr>
              <w:jc w:val="right"/>
              <w:rPr>
                <w:color w:val="000000"/>
                <w:sz w:val="16"/>
                <w:szCs w:val="16"/>
              </w:rPr>
            </w:pPr>
            <w:r>
              <w:rPr>
                <w:color w:val="000000"/>
                <w:sz w:val="16"/>
                <w:szCs w:val="16"/>
              </w:rPr>
              <w:t>s. o.</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6EA8DFA6" w14:textId="77777777" w:rsidR="00D25C68" w:rsidRPr="00034254" w:rsidRDefault="00D25C68" w:rsidP="00551BAC">
            <w:pPr>
              <w:jc w:val="right"/>
              <w:rPr>
                <w:b/>
                <w:color w:val="000000"/>
                <w:sz w:val="16"/>
                <w:szCs w:val="16"/>
              </w:rPr>
            </w:pPr>
            <w:r>
              <w:rPr>
                <w:b/>
                <w:color w:val="000000"/>
                <w:sz w:val="16"/>
                <w:szCs w:val="16"/>
              </w:rPr>
              <w:t>8,69</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5F98D93D" w14:textId="77777777" w:rsidR="00D25C68" w:rsidRPr="00034254" w:rsidRDefault="00D25C68" w:rsidP="00551BAC">
            <w:pPr>
              <w:jc w:val="right"/>
              <w:rPr>
                <w:b/>
                <w:color w:val="000000"/>
                <w:sz w:val="16"/>
                <w:szCs w:val="16"/>
              </w:rPr>
            </w:pPr>
            <w:r>
              <w:rPr>
                <w:b/>
                <w:color w:val="000000"/>
                <w:sz w:val="16"/>
                <w:szCs w:val="16"/>
              </w:rPr>
              <w:t>8,69</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5D2F5C5" w14:textId="77777777" w:rsidR="00D25C68" w:rsidRPr="00034254" w:rsidRDefault="00D25C68" w:rsidP="00551BAC">
            <w:pPr>
              <w:jc w:val="right"/>
              <w:rPr>
                <w:b/>
                <w:color w:val="000000"/>
                <w:sz w:val="16"/>
                <w:szCs w:val="16"/>
              </w:rPr>
            </w:pPr>
            <w:r>
              <w:rPr>
                <w:b/>
                <w:color w:val="000000"/>
                <w:sz w:val="16"/>
                <w:szCs w:val="16"/>
              </w:rPr>
              <w:t>7,82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92B3CAB" w14:textId="77777777" w:rsidR="00D25C68" w:rsidRPr="00034254" w:rsidRDefault="00D25C68" w:rsidP="00551BAC">
            <w:pPr>
              <w:jc w:val="right"/>
              <w:rPr>
                <w:b/>
                <w:color w:val="000000"/>
                <w:sz w:val="16"/>
                <w:szCs w:val="16"/>
              </w:rPr>
            </w:pPr>
            <w:r>
              <w:rPr>
                <w:b/>
                <w:color w:val="000000"/>
                <w:sz w:val="16"/>
                <w:szCs w:val="16"/>
              </w:rPr>
              <w:t>7,82</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AC32524" w14:textId="77777777" w:rsidR="00D25C68" w:rsidRPr="00034254" w:rsidRDefault="00D25C68" w:rsidP="00551BAC">
            <w:pPr>
              <w:jc w:val="right"/>
              <w:rPr>
                <w:b/>
                <w:color w:val="000000"/>
                <w:sz w:val="16"/>
                <w:szCs w:val="16"/>
              </w:rPr>
            </w:pPr>
            <w:r>
              <w:rPr>
                <w:b/>
                <w:color w:val="000000"/>
                <w:sz w:val="16"/>
                <w:szCs w:val="16"/>
              </w:rPr>
              <w:t>7,82</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0B74B8B0" w14:textId="77777777" w:rsidR="00D25C68" w:rsidRPr="00034254" w:rsidRDefault="00D25C68" w:rsidP="00551BAC">
            <w:pPr>
              <w:jc w:val="right"/>
              <w:rPr>
                <w:b/>
                <w:color w:val="000000"/>
                <w:sz w:val="16"/>
                <w:szCs w:val="16"/>
              </w:rPr>
            </w:pPr>
            <w:r>
              <w:rPr>
                <w:b/>
                <w:color w:val="000000"/>
                <w:sz w:val="16"/>
                <w:szCs w:val="16"/>
              </w:rPr>
              <w:t>7,82</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17DDECEA" w14:textId="77777777" w:rsidR="00D25C68" w:rsidRPr="00034254" w:rsidRDefault="00D25C68" w:rsidP="00551BAC">
            <w:pPr>
              <w:jc w:val="right"/>
              <w:rPr>
                <w:b/>
                <w:color w:val="000000"/>
                <w:sz w:val="16"/>
                <w:szCs w:val="16"/>
              </w:rPr>
            </w:pPr>
            <w:r>
              <w:rPr>
                <w:b/>
                <w:color w:val="000000"/>
                <w:sz w:val="16"/>
                <w:szCs w:val="16"/>
              </w:rPr>
              <w:t>7,82</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37D69098" w14:textId="290BC753" w:rsidR="00D25C68" w:rsidRPr="00034254" w:rsidRDefault="00D25C68" w:rsidP="00551BAC">
            <w:pPr>
              <w:jc w:val="right"/>
              <w:rPr>
                <w:b/>
                <w:color w:val="000000"/>
                <w:sz w:val="16"/>
                <w:szCs w:val="16"/>
              </w:rPr>
            </w:pPr>
            <w:r>
              <w:rPr>
                <w:b/>
                <w:color w:val="000000"/>
                <w:sz w:val="16"/>
                <w:szCs w:val="16"/>
              </w:rPr>
              <w:t>5,65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D75EAEA" w14:textId="77777777" w:rsidR="00D25C68" w:rsidRPr="00166851" w:rsidRDefault="00D25C68" w:rsidP="00551BAC">
            <w:pPr>
              <w:jc w:val="right"/>
              <w:rPr>
                <w:color w:val="000000"/>
                <w:sz w:val="16"/>
                <w:szCs w:val="16"/>
              </w:rPr>
            </w:pPr>
            <w:r>
              <w:rPr>
                <w:color w:val="000000"/>
                <w:sz w:val="16"/>
                <w:szCs w:val="16"/>
              </w:rPr>
              <w:t>s. o.</w:t>
            </w:r>
          </w:p>
        </w:tc>
      </w:tr>
      <w:tr w:rsidR="00034254" w:rsidRPr="00166851" w14:paraId="4E418F2E" w14:textId="77777777" w:rsidTr="00C7481F">
        <w:trPr>
          <w:trHeight w:val="870"/>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D09F99D" w14:textId="0132F9E6" w:rsidR="00034254" w:rsidRPr="00166851" w:rsidRDefault="00435DA0" w:rsidP="00034254">
            <w:pPr>
              <w:rPr>
                <w:color w:val="000000"/>
                <w:sz w:val="16"/>
                <w:szCs w:val="16"/>
              </w:rPr>
            </w:pPr>
            <w:r>
              <w:rPr>
                <w:color w:val="000000"/>
                <w:sz w:val="16"/>
                <w:szCs w:val="16"/>
              </w:rPr>
              <w:t>1</w:t>
            </w:r>
            <w:r w:rsidR="00CF252D">
              <w:rPr>
                <w:color w:val="000000"/>
                <w:sz w:val="16"/>
                <w:szCs w:val="16"/>
              </w:rPr>
              <w:t>.</w:t>
            </w:r>
            <w:r w:rsidR="00034254">
              <w:rPr>
                <w:color w:val="000000"/>
                <w:sz w:val="16"/>
                <w:szCs w:val="16"/>
              </w:rPr>
              <w:t>2</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02B9F858" w14:textId="5B1C95C6" w:rsidR="00034254" w:rsidRPr="00166851" w:rsidRDefault="00034254" w:rsidP="009418BF">
            <w:pPr>
              <w:jc w:val="left"/>
              <w:rPr>
                <w:color w:val="000000"/>
                <w:sz w:val="16"/>
                <w:szCs w:val="16"/>
              </w:rPr>
            </w:pPr>
            <w:r>
              <w:rPr>
                <w:color w:val="000000"/>
                <w:sz w:val="16"/>
                <w:szCs w:val="16"/>
              </w:rPr>
              <w:t>Consommation maximale admissible des substances de l</w:t>
            </w:r>
            <w:r w:rsidR="00435DA0">
              <w:rPr>
                <w:color w:val="000000"/>
                <w:sz w:val="16"/>
                <w:szCs w:val="16"/>
              </w:rPr>
              <w:t>’</w:t>
            </w:r>
            <w:r>
              <w:rPr>
                <w:color w:val="000000"/>
                <w:sz w:val="16"/>
                <w:szCs w:val="16"/>
              </w:rPr>
              <w:t>annexe C du groupe</w:t>
            </w:r>
            <w:r w:rsidR="009418BF">
              <w:rPr>
                <w:color w:val="000000"/>
                <w:sz w:val="16"/>
                <w:szCs w:val="16"/>
              </w:rPr>
              <w:t> </w:t>
            </w:r>
            <w:r>
              <w:rPr>
                <w:color w:val="000000"/>
                <w:sz w:val="16"/>
                <w:szCs w:val="16"/>
              </w:rPr>
              <w:t>I (tonnes PAO) </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37908A2" w14:textId="77777777" w:rsidR="00034254" w:rsidRPr="00166851" w:rsidRDefault="00034254" w:rsidP="00034254">
            <w:pPr>
              <w:jc w:val="right"/>
              <w:rPr>
                <w:color w:val="000000"/>
                <w:sz w:val="16"/>
                <w:szCs w:val="16"/>
              </w:rPr>
            </w:pPr>
            <w:r>
              <w:rPr>
                <w:color w:val="000000"/>
                <w:sz w:val="16"/>
                <w:szCs w:val="16"/>
              </w:rPr>
              <w:t>s. o.</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454CFF54" w14:textId="7D5117FC" w:rsidR="00034254" w:rsidRPr="00034254" w:rsidRDefault="00034254" w:rsidP="00034254">
            <w:pPr>
              <w:jc w:val="right"/>
              <w:rPr>
                <w:b/>
                <w:color w:val="000000"/>
                <w:sz w:val="16"/>
                <w:szCs w:val="16"/>
              </w:rPr>
            </w:pPr>
            <w:r>
              <w:rPr>
                <w:b/>
                <w:color w:val="000000"/>
                <w:sz w:val="16"/>
                <w:szCs w:val="16"/>
              </w:rPr>
              <w:t>8,69</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5EC0724" w14:textId="72187326" w:rsidR="00034254" w:rsidRPr="00034254" w:rsidRDefault="00034254" w:rsidP="00034254">
            <w:pPr>
              <w:jc w:val="right"/>
              <w:rPr>
                <w:b/>
                <w:color w:val="000000"/>
                <w:sz w:val="16"/>
                <w:szCs w:val="16"/>
              </w:rPr>
            </w:pPr>
            <w:r>
              <w:rPr>
                <w:b/>
                <w:color w:val="000000"/>
                <w:sz w:val="16"/>
                <w:szCs w:val="16"/>
              </w:rPr>
              <w:t>8,69</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3ADAD0D0" w14:textId="23ED4F9D" w:rsidR="00034254" w:rsidRPr="00034254" w:rsidRDefault="00034254" w:rsidP="00034254">
            <w:pPr>
              <w:jc w:val="right"/>
              <w:rPr>
                <w:b/>
                <w:color w:val="000000"/>
                <w:sz w:val="16"/>
                <w:szCs w:val="16"/>
              </w:rPr>
            </w:pPr>
            <w:r>
              <w:rPr>
                <w:b/>
                <w:color w:val="000000"/>
                <w:sz w:val="16"/>
                <w:szCs w:val="16"/>
              </w:rPr>
              <w:t>7,82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77898224" w14:textId="355A006C" w:rsidR="00034254" w:rsidRPr="00034254" w:rsidRDefault="00034254" w:rsidP="00034254">
            <w:pPr>
              <w:jc w:val="right"/>
              <w:rPr>
                <w:b/>
                <w:color w:val="000000"/>
                <w:sz w:val="16"/>
                <w:szCs w:val="16"/>
              </w:rPr>
            </w:pPr>
            <w:r>
              <w:rPr>
                <w:b/>
                <w:color w:val="000000"/>
                <w:sz w:val="16"/>
                <w:szCs w:val="16"/>
              </w:rPr>
              <w:t>7,82</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7152A353" w14:textId="17266BE6" w:rsidR="00034254" w:rsidRPr="00034254" w:rsidRDefault="00034254" w:rsidP="00034254">
            <w:pPr>
              <w:jc w:val="right"/>
              <w:rPr>
                <w:b/>
                <w:color w:val="000000"/>
                <w:sz w:val="16"/>
                <w:szCs w:val="16"/>
              </w:rPr>
            </w:pPr>
            <w:r>
              <w:rPr>
                <w:b/>
                <w:color w:val="000000"/>
                <w:sz w:val="16"/>
                <w:szCs w:val="16"/>
              </w:rPr>
              <w:t>7,82</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0A5097EC" w14:textId="5DAFA490" w:rsidR="00034254" w:rsidRPr="00034254" w:rsidRDefault="00034254" w:rsidP="00034254">
            <w:pPr>
              <w:jc w:val="right"/>
              <w:rPr>
                <w:b/>
                <w:color w:val="000000"/>
                <w:sz w:val="16"/>
                <w:szCs w:val="16"/>
              </w:rPr>
            </w:pPr>
            <w:r>
              <w:rPr>
                <w:b/>
                <w:color w:val="000000"/>
                <w:sz w:val="16"/>
                <w:szCs w:val="16"/>
              </w:rPr>
              <w:t>7,82</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50E0FA72" w14:textId="2E201316" w:rsidR="00034254" w:rsidRPr="00034254" w:rsidRDefault="00034254" w:rsidP="00034254">
            <w:pPr>
              <w:jc w:val="right"/>
              <w:rPr>
                <w:b/>
                <w:color w:val="000000"/>
                <w:sz w:val="16"/>
                <w:szCs w:val="16"/>
              </w:rPr>
            </w:pPr>
            <w:r>
              <w:rPr>
                <w:b/>
                <w:color w:val="000000"/>
                <w:sz w:val="16"/>
                <w:szCs w:val="16"/>
              </w:rPr>
              <w:t>7,82</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61F4CCB7" w14:textId="64CFDACE" w:rsidR="00034254" w:rsidRPr="00034254" w:rsidRDefault="00034254" w:rsidP="00034254">
            <w:pPr>
              <w:jc w:val="right"/>
              <w:rPr>
                <w:b/>
                <w:color w:val="000000"/>
                <w:sz w:val="16"/>
                <w:szCs w:val="16"/>
              </w:rPr>
            </w:pPr>
            <w:r>
              <w:rPr>
                <w:b/>
                <w:color w:val="000000"/>
                <w:sz w:val="16"/>
                <w:szCs w:val="16"/>
              </w:rPr>
              <w:t>5,65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075E7881" w14:textId="77777777" w:rsidR="00034254" w:rsidRPr="00166851" w:rsidRDefault="00034254" w:rsidP="00034254">
            <w:pPr>
              <w:jc w:val="right"/>
              <w:rPr>
                <w:color w:val="000000"/>
                <w:sz w:val="16"/>
                <w:szCs w:val="16"/>
              </w:rPr>
            </w:pPr>
            <w:r>
              <w:rPr>
                <w:color w:val="000000"/>
                <w:sz w:val="16"/>
                <w:szCs w:val="16"/>
              </w:rPr>
              <w:t>s. o.</w:t>
            </w:r>
          </w:p>
        </w:tc>
      </w:tr>
      <w:tr w:rsidR="00D25C68" w:rsidRPr="00166851" w14:paraId="2E776129" w14:textId="77777777" w:rsidTr="00C7481F">
        <w:trPr>
          <w:trHeight w:val="313"/>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41EB8E5" w14:textId="169F85DC" w:rsidR="00D25C68" w:rsidRPr="00166851" w:rsidRDefault="00435DA0" w:rsidP="00551BAC">
            <w:pPr>
              <w:rPr>
                <w:color w:val="000000"/>
                <w:sz w:val="16"/>
                <w:szCs w:val="16"/>
              </w:rPr>
            </w:pPr>
            <w:r>
              <w:rPr>
                <w:color w:val="000000"/>
                <w:sz w:val="16"/>
                <w:szCs w:val="16"/>
              </w:rPr>
              <w:t>2.</w:t>
            </w:r>
            <w:r w:rsidR="00D25C68">
              <w:rPr>
                <w:color w:val="000000"/>
                <w:sz w:val="16"/>
                <w:szCs w:val="16"/>
              </w:rPr>
              <w:t>1</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69A7F338" w14:textId="1BA9934C" w:rsidR="00D25C68" w:rsidRPr="00166851" w:rsidRDefault="00D25C68" w:rsidP="009418BF">
            <w:pPr>
              <w:jc w:val="left"/>
              <w:rPr>
                <w:color w:val="000000"/>
                <w:sz w:val="16"/>
                <w:szCs w:val="16"/>
              </w:rPr>
            </w:pPr>
            <w:r>
              <w:rPr>
                <w:color w:val="000000"/>
                <w:sz w:val="16"/>
                <w:szCs w:val="16"/>
              </w:rPr>
              <w:t>Financement convenu pour l</w:t>
            </w:r>
            <w:r w:rsidR="00435DA0">
              <w:rPr>
                <w:color w:val="000000"/>
                <w:sz w:val="16"/>
                <w:szCs w:val="16"/>
              </w:rPr>
              <w:t>’</w:t>
            </w:r>
            <w:r>
              <w:rPr>
                <w:color w:val="000000"/>
                <w:sz w:val="16"/>
                <w:szCs w:val="16"/>
              </w:rPr>
              <w:t>agence principale (PNUE) ($</w:t>
            </w:r>
            <w:r w:rsidR="00CF252D">
              <w:rPr>
                <w:color w:val="000000"/>
                <w:sz w:val="16"/>
                <w:szCs w:val="16"/>
              </w:rPr>
              <w:t> </w:t>
            </w:r>
            <w:r>
              <w:rPr>
                <w:color w:val="000000"/>
                <w:sz w:val="16"/>
                <w:szCs w:val="16"/>
              </w:rPr>
              <w:t>US)</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B2A96DD" w14:textId="77777777" w:rsidR="00D25C68" w:rsidRPr="00166851" w:rsidRDefault="00D25C68" w:rsidP="00551BAC">
            <w:pPr>
              <w:jc w:val="right"/>
              <w:rPr>
                <w:color w:val="000000"/>
                <w:sz w:val="16"/>
                <w:szCs w:val="16"/>
              </w:rPr>
            </w:pPr>
            <w:r>
              <w:rPr>
                <w:color w:val="000000"/>
                <w:sz w:val="16"/>
                <w:szCs w:val="16"/>
              </w:rPr>
              <w:t>40 000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5BEA8F39"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5085701F" w14:textId="77777777" w:rsidR="00D25C68" w:rsidRPr="00166851" w:rsidRDefault="00D25C68" w:rsidP="00551BAC">
            <w:pPr>
              <w:jc w:val="right"/>
              <w:rPr>
                <w:color w:val="000000"/>
                <w:sz w:val="16"/>
                <w:szCs w:val="16"/>
              </w:rPr>
            </w:pPr>
            <w:r>
              <w:rPr>
                <w:color w:val="000000"/>
                <w:sz w:val="16"/>
                <w:szCs w:val="16"/>
              </w:rPr>
              <w:t>35 000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2A2B3D1D" w14:textId="77777777" w:rsidR="00D25C68" w:rsidRPr="00166851" w:rsidRDefault="00D25C68" w:rsidP="00551BAC">
            <w:pPr>
              <w:jc w:val="right"/>
              <w:rPr>
                <w:color w:val="000000"/>
                <w:sz w:val="16"/>
                <w:szCs w:val="16"/>
              </w:rPr>
            </w:pPr>
            <w:r>
              <w:rPr>
                <w:color w:val="000000"/>
                <w:sz w:val="16"/>
                <w:szCs w:val="16"/>
              </w:rPr>
              <w:t>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57D451EF" w14:textId="77777777" w:rsidR="00D25C68" w:rsidRPr="00034254" w:rsidRDefault="00D25C68" w:rsidP="00551BAC">
            <w:pPr>
              <w:jc w:val="right"/>
              <w:rPr>
                <w:b/>
                <w:color w:val="000000"/>
                <w:sz w:val="16"/>
                <w:szCs w:val="16"/>
              </w:rPr>
            </w:pPr>
            <w:r>
              <w:rPr>
                <w:b/>
                <w:color w:val="000000"/>
                <w:sz w:val="16"/>
                <w:szCs w:val="16"/>
              </w:rPr>
              <w:t>37 500</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075813D8" w14:textId="77777777" w:rsidR="00D25C68" w:rsidRPr="00166851" w:rsidRDefault="00D25C68" w:rsidP="00551BAC">
            <w:pPr>
              <w:jc w:val="right"/>
              <w:rPr>
                <w:color w:val="000000"/>
                <w:sz w:val="16"/>
                <w:szCs w:val="16"/>
              </w:rPr>
            </w:pPr>
            <w:r>
              <w:rPr>
                <w:color w:val="000000"/>
                <w:sz w:val="16"/>
                <w:szCs w:val="16"/>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58FE0D06" w14:textId="77777777" w:rsidR="00D25C68" w:rsidRPr="00166851" w:rsidRDefault="00D25C68" w:rsidP="00551BAC">
            <w:pPr>
              <w:jc w:val="right"/>
              <w:rPr>
                <w:color w:val="000000"/>
                <w:sz w:val="16"/>
                <w:szCs w:val="16"/>
              </w:rPr>
            </w:pPr>
            <w:r>
              <w:rPr>
                <w:color w:val="000000"/>
                <w:sz w:val="16"/>
                <w:szCs w:val="16"/>
              </w:rPr>
              <w:t>30 000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25468AEE" w14:textId="77777777" w:rsidR="00D25C68" w:rsidRPr="00166851" w:rsidRDefault="00D25C68" w:rsidP="00551BAC">
            <w:pPr>
              <w:jc w:val="right"/>
              <w:rPr>
                <w:color w:val="000000"/>
                <w:sz w:val="16"/>
                <w:szCs w:val="16"/>
              </w:rPr>
            </w:pPr>
            <w:r>
              <w:rPr>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1E4C8795" w14:textId="77777777" w:rsidR="00D25C68" w:rsidRPr="00166851" w:rsidRDefault="00D25C68" w:rsidP="00551BAC">
            <w:pPr>
              <w:jc w:val="right"/>
              <w:rPr>
                <w:color w:val="000000"/>
                <w:sz w:val="16"/>
                <w:szCs w:val="16"/>
              </w:rPr>
            </w:pPr>
            <w:r>
              <w:rPr>
                <w:color w:val="000000"/>
                <w:sz w:val="16"/>
                <w:szCs w:val="16"/>
              </w:rPr>
              <w:t>30 000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78FA1EAA" w14:textId="77777777" w:rsidR="00D25C68" w:rsidRPr="00034254" w:rsidRDefault="00D25C68" w:rsidP="00551BAC">
            <w:pPr>
              <w:jc w:val="right"/>
              <w:rPr>
                <w:b/>
                <w:color w:val="000000"/>
                <w:sz w:val="16"/>
                <w:szCs w:val="16"/>
              </w:rPr>
            </w:pPr>
            <w:r>
              <w:rPr>
                <w:b/>
                <w:color w:val="000000"/>
                <w:sz w:val="16"/>
                <w:szCs w:val="16"/>
              </w:rPr>
              <w:t>172 500</w:t>
            </w:r>
          </w:p>
        </w:tc>
      </w:tr>
      <w:tr w:rsidR="00D25C68" w:rsidRPr="00166851" w14:paraId="42B5F35A" w14:textId="77777777" w:rsidTr="00C7481F">
        <w:trPr>
          <w:trHeight w:val="232"/>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4D7300C" w14:textId="075751C8" w:rsidR="00D25C68" w:rsidRPr="00166851" w:rsidRDefault="00435DA0" w:rsidP="00551BAC">
            <w:pPr>
              <w:rPr>
                <w:color w:val="000000"/>
                <w:sz w:val="16"/>
                <w:szCs w:val="16"/>
              </w:rPr>
            </w:pPr>
            <w:r>
              <w:rPr>
                <w:color w:val="000000"/>
                <w:sz w:val="16"/>
                <w:szCs w:val="16"/>
              </w:rPr>
              <w:t>2.</w:t>
            </w:r>
            <w:r w:rsidR="00D25C68">
              <w:rPr>
                <w:color w:val="000000"/>
                <w:sz w:val="16"/>
                <w:szCs w:val="16"/>
              </w:rPr>
              <w:t>2</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3E5B0125" w14:textId="53848610" w:rsidR="00D25C68" w:rsidRPr="00166851" w:rsidRDefault="00D25C68" w:rsidP="009418BF">
            <w:pPr>
              <w:jc w:val="left"/>
              <w:rPr>
                <w:color w:val="000000"/>
                <w:sz w:val="16"/>
                <w:szCs w:val="16"/>
              </w:rPr>
            </w:pPr>
            <w:r>
              <w:rPr>
                <w:color w:val="000000"/>
                <w:sz w:val="16"/>
                <w:szCs w:val="16"/>
              </w:rPr>
              <w:t>Coûts d</w:t>
            </w:r>
            <w:r w:rsidR="00435DA0">
              <w:rPr>
                <w:color w:val="000000"/>
                <w:sz w:val="16"/>
                <w:szCs w:val="16"/>
              </w:rPr>
              <w:t>’</w:t>
            </w:r>
            <w:r>
              <w:rPr>
                <w:color w:val="000000"/>
                <w:sz w:val="16"/>
                <w:szCs w:val="16"/>
              </w:rPr>
              <w:t>appui pour l</w:t>
            </w:r>
            <w:r w:rsidR="00435DA0">
              <w:rPr>
                <w:color w:val="000000"/>
                <w:sz w:val="16"/>
                <w:szCs w:val="16"/>
              </w:rPr>
              <w:t>’</w:t>
            </w:r>
            <w:r>
              <w:rPr>
                <w:color w:val="000000"/>
                <w:sz w:val="16"/>
                <w:szCs w:val="16"/>
              </w:rPr>
              <w:t>agence principale ($</w:t>
            </w:r>
            <w:r w:rsidR="00CF252D">
              <w:rPr>
                <w:color w:val="000000"/>
                <w:sz w:val="16"/>
                <w:szCs w:val="16"/>
              </w:rPr>
              <w:t> </w:t>
            </w:r>
            <w:r>
              <w:rPr>
                <w:color w:val="000000"/>
                <w:sz w:val="16"/>
                <w:szCs w:val="16"/>
              </w:rPr>
              <w:t>US)</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4447B88A" w14:textId="77777777" w:rsidR="00D25C68" w:rsidRPr="00166851" w:rsidRDefault="00D25C68" w:rsidP="00551BAC">
            <w:pPr>
              <w:jc w:val="right"/>
              <w:rPr>
                <w:color w:val="000000"/>
                <w:sz w:val="16"/>
                <w:szCs w:val="16"/>
              </w:rPr>
            </w:pPr>
            <w:r>
              <w:rPr>
                <w:color w:val="000000"/>
                <w:sz w:val="16"/>
                <w:szCs w:val="16"/>
              </w:rPr>
              <w:t>5 200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E7F66A5"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4891799E" w14:textId="77777777" w:rsidR="00D25C68" w:rsidRPr="00166851" w:rsidRDefault="00D25C68" w:rsidP="00551BAC">
            <w:pPr>
              <w:jc w:val="right"/>
              <w:rPr>
                <w:color w:val="000000"/>
                <w:sz w:val="16"/>
                <w:szCs w:val="16"/>
              </w:rPr>
            </w:pPr>
            <w:r>
              <w:rPr>
                <w:color w:val="000000"/>
                <w:sz w:val="16"/>
                <w:szCs w:val="16"/>
              </w:rPr>
              <w:t>4 550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FF38CA6" w14:textId="77777777" w:rsidR="00D25C68" w:rsidRPr="00166851" w:rsidRDefault="00D25C68" w:rsidP="00551BAC">
            <w:pPr>
              <w:jc w:val="right"/>
              <w:rPr>
                <w:color w:val="000000"/>
                <w:sz w:val="16"/>
                <w:szCs w:val="16"/>
              </w:rPr>
            </w:pPr>
            <w:r>
              <w:rPr>
                <w:color w:val="000000"/>
                <w:sz w:val="16"/>
                <w:szCs w:val="16"/>
              </w:rPr>
              <w:t>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D678583" w14:textId="77777777" w:rsidR="00D25C68" w:rsidRPr="00034254" w:rsidRDefault="00D25C68" w:rsidP="00551BAC">
            <w:pPr>
              <w:jc w:val="right"/>
              <w:rPr>
                <w:b/>
                <w:color w:val="000000"/>
                <w:sz w:val="16"/>
                <w:szCs w:val="16"/>
              </w:rPr>
            </w:pPr>
            <w:r>
              <w:rPr>
                <w:b/>
                <w:color w:val="000000"/>
                <w:sz w:val="16"/>
                <w:szCs w:val="16"/>
              </w:rPr>
              <w:t>4 875</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779B7D3" w14:textId="77777777" w:rsidR="00D25C68" w:rsidRPr="00166851" w:rsidRDefault="00D25C68" w:rsidP="00551BAC">
            <w:pPr>
              <w:jc w:val="right"/>
              <w:rPr>
                <w:color w:val="000000"/>
                <w:sz w:val="16"/>
                <w:szCs w:val="16"/>
              </w:rPr>
            </w:pPr>
            <w:r>
              <w:rPr>
                <w:color w:val="000000"/>
                <w:sz w:val="16"/>
                <w:szCs w:val="16"/>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DED32" w14:textId="77777777" w:rsidR="00D25C68" w:rsidRPr="00166851" w:rsidRDefault="00D25C68" w:rsidP="00551BAC">
            <w:pPr>
              <w:jc w:val="right"/>
              <w:rPr>
                <w:color w:val="000000"/>
                <w:sz w:val="16"/>
                <w:szCs w:val="16"/>
              </w:rPr>
            </w:pPr>
            <w:r>
              <w:rPr>
                <w:color w:val="000000"/>
                <w:sz w:val="16"/>
                <w:szCs w:val="16"/>
              </w:rPr>
              <w:t>3 900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26D1854F" w14:textId="77777777" w:rsidR="00D25C68" w:rsidRPr="00166851" w:rsidRDefault="00D25C68" w:rsidP="00551BAC">
            <w:pPr>
              <w:jc w:val="right"/>
              <w:rPr>
                <w:color w:val="000000"/>
                <w:sz w:val="16"/>
                <w:szCs w:val="16"/>
              </w:rPr>
            </w:pPr>
            <w:r>
              <w:rPr>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4EF40223" w14:textId="77777777" w:rsidR="00D25C68" w:rsidRPr="00166851" w:rsidRDefault="00D25C68" w:rsidP="00551BAC">
            <w:pPr>
              <w:jc w:val="right"/>
              <w:rPr>
                <w:color w:val="000000"/>
                <w:sz w:val="16"/>
                <w:szCs w:val="16"/>
              </w:rPr>
            </w:pPr>
            <w:r>
              <w:rPr>
                <w:color w:val="000000"/>
                <w:sz w:val="16"/>
                <w:szCs w:val="16"/>
              </w:rPr>
              <w:t>3 900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0202DBC6" w14:textId="77777777" w:rsidR="00D25C68" w:rsidRPr="00034254" w:rsidRDefault="00D25C68" w:rsidP="00551BAC">
            <w:pPr>
              <w:jc w:val="right"/>
              <w:rPr>
                <w:b/>
                <w:color w:val="000000"/>
                <w:sz w:val="16"/>
                <w:szCs w:val="16"/>
              </w:rPr>
            </w:pPr>
            <w:r>
              <w:rPr>
                <w:b/>
                <w:color w:val="000000"/>
                <w:sz w:val="16"/>
                <w:szCs w:val="16"/>
              </w:rPr>
              <w:t>22 425</w:t>
            </w:r>
          </w:p>
        </w:tc>
      </w:tr>
      <w:tr w:rsidR="00D25C68" w:rsidRPr="00166851" w14:paraId="1BA405DC" w14:textId="77777777" w:rsidTr="00C7481F">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94594EB" w14:textId="7614A5F0" w:rsidR="00D25C68" w:rsidRPr="00166851" w:rsidRDefault="00435DA0" w:rsidP="00551BAC">
            <w:pPr>
              <w:rPr>
                <w:color w:val="000000"/>
                <w:sz w:val="16"/>
                <w:szCs w:val="16"/>
              </w:rPr>
            </w:pPr>
            <w:r>
              <w:rPr>
                <w:color w:val="000000"/>
                <w:sz w:val="16"/>
                <w:szCs w:val="16"/>
              </w:rPr>
              <w:t>2.</w:t>
            </w:r>
            <w:r w:rsidR="00D25C68">
              <w:rPr>
                <w:color w:val="000000"/>
                <w:sz w:val="16"/>
                <w:szCs w:val="16"/>
              </w:rPr>
              <w:t>3</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5D6EE851" w14:textId="0536D3AD" w:rsidR="00D25C68" w:rsidRPr="00166851" w:rsidRDefault="00D25C68" w:rsidP="009418BF">
            <w:pPr>
              <w:jc w:val="left"/>
              <w:rPr>
                <w:color w:val="000000"/>
                <w:sz w:val="16"/>
                <w:szCs w:val="16"/>
              </w:rPr>
            </w:pPr>
            <w:r>
              <w:rPr>
                <w:color w:val="000000"/>
                <w:sz w:val="16"/>
                <w:szCs w:val="16"/>
              </w:rPr>
              <w:t>Financement convenu pour l</w:t>
            </w:r>
            <w:r w:rsidR="00435DA0">
              <w:rPr>
                <w:color w:val="000000"/>
                <w:sz w:val="16"/>
                <w:szCs w:val="16"/>
              </w:rPr>
              <w:t>’</w:t>
            </w:r>
            <w:r>
              <w:rPr>
                <w:color w:val="000000"/>
                <w:sz w:val="16"/>
                <w:szCs w:val="16"/>
              </w:rPr>
              <w:t>agence coopérative (ONUDI) ($ US)</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D34951" w14:textId="77777777" w:rsidR="00D25C68" w:rsidRPr="00166851" w:rsidRDefault="00D25C68" w:rsidP="00551BAC">
            <w:pPr>
              <w:jc w:val="right"/>
              <w:rPr>
                <w:color w:val="000000"/>
                <w:sz w:val="16"/>
                <w:szCs w:val="16"/>
              </w:rPr>
            </w:pPr>
            <w:r>
              <w:rPr>
                <w:color w:val="000000"/>
                <w:sz w:val="16"/>
                <w:szCs w:val="16"/>
              </w:rPr>
              <w:t>75 000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7EB04C63"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4C6F795D" w14:textId="77777777" w:rsidR="00D25C68" w:rsidRPr="00166851" w:rsidRDefault="00D25C68" w:rsidP="00551BAC">
            <w:pPr>
              <w:jc w:val="right"/>
              <w:rPr>
                <w:color w:val="000000"/>
                <w:sz w:val="16"/>
                <w:szCs w:val="16"/>
              </w:rPr>
            </w:pPr>
            <w:r>
              <w:rPr>
                <w:color w:val="000000"/>
                <w:sz w:val="16"/>
                <w:szCs w:val="16"/>
              </w:rPr>
              <w:t>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6B8FB7E1" w14:textId="77777777" w:rsidR="00D25C68" w:rsidRPr="00166851" w:rsidRDefault="00D25C68" w:rsidP="00551BAC">
            <w:pPr>
              <w:jc w:val="right"/>
              <w:rPr>
                <w:color w:val="000000"/>
                <w:sz w:val="16"/>
                <w:szCs w:val="16"/>
              </w:rPr>
            </w:pPr>
            <w:r>
              <w:rPr>
                <w:color w:val="000000"/>
                <w:sz w:val="16"/>
                <w:szCs w:val="16"/>
              </w:rPr>
              <w:t>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38E1D71" w14:textId="77777777" w:rsidR="00D25C68" w:rsidRPr="00034254" w:rsidRDefault="00D25C68" w:rsidP="00551BAC">
            <w:pPr>
              <w:jc w:val="right"/>
              <w:rPr>
                <w:b/>
                <w:color w:val="000000"/>
                <w:sz w:val="16"/>
                <w:szCs w:val="16"/>
              </w:rPr>
            </w:pPr>
            <w:r>
              <w:rPr>
                <w:b/>
                <w:color w:val="000000"/>
                <w:sz w:val="16"/>
                <w:szCs w:val="16"/>
              </w:rPr>
              <w:t>85 000</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7E0C1E56" w14:textId="77777777" w:rsidR="00D25C68" w:rsidRPr="00166851" w:rsidRDefault="00D25C68" w:rsidP="00551BAC">
            <w:pPr>
              <w:jc w:val="right"/>
              <w:rPr>
                <w:color w:val="000000"/>
                <w:sz w:val="16"/>
                <w:szCs w:val="16"/>
              </w:rPr>
            </w:pPr>
            <w:r>
              <w:rPr>
                <w:color w:val="000000"/>
                <w:sz w:val="16"/>
                <w:szCs w:val="16"/>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31F4C27A" w14:textId="77777777" w:rsidR="00D25C68" w:rsidRPr="00166851" w:rsidRDefault="00D25C68" w:rsidP="00551BAC">
            <w:pPr>
              <w:jc w:val="right"/>
              <w:rPr>
                <w:color w:val="000000"/>
                <w:sz w:val="16"/>
                <w:szCs w:val="16"/>
              </w:rPr>
            </w:pPr>
            <w:r>
              <w:rPr>
                <w:color w:val="000000"/>
                <w:sz w:val="16"/>
                <w:szCs w:val="16"/>
              </w:rPr>
              <w:t>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15D59844" w14:textId="77777777" w:rsidR="00D25C68" w:rsidRPr="00166851" w:rsidRDefault="00D25C68" w:rsidP="00551BAC">
            <w:pPr>
              <w:jc w:val="right"/>
              <w:rPr>
                <w:color w:val="000000"/>
                <w:sz w:val="16"/>
                <w:szCs w:val="16"/>
              </w:rPr>
            </w:pPr>
            <w:r>
              <w:rPr>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3E3F294B"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81FEBC1" w14:textId="77777777" w:rsidR="00D25C68" w:rsidRPr="00034254" w:rsidRDefault="00D25C68" w:rsidP="00551BAC">
            <w:pPr>
              <w:jc w:val="right"/>
              <w:rPr>
                <w:b/>
                <w:color w:val="000000"/>
                <w:sz w:val="16"/>
                <w:szCs w:val="16"/>
              </w:rPr>
            </w:pPr>
            <w:r>
              <w:rPr>
                <w:b/>
                <w:color w:val="000000"/>
                <w:sz w:val="16"/>
                <w:szCs w:val="16"/>
              </w:rPr>
              <w:t>160 000</w:t>
            </w:r>
          </w:p>
        </w:tc>
      </w:tr>
      <w:tr w:rsidR="00D25C68" w:rsidRPr="00166851" w14:paraId="1BCE027B" w14:textId="77777777" w:rsidTr="00C7481F">
        <w:trPr>
          <w:trHeight w:val="178"/>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E818BFB" w14:textId="5067EC8F" w:rsidR="00D25C68" w:rsidRPr="00166851" w:rsidRDefault="00435DA0" w:rsidP="00551BAC">
            <w:pPr>
              <w:rPr>
                <w:color w:val="000000"/>
                <w:sz w:val="16"/>
                <w:szCs w:val="16"/>
              </w:rPr>
            </w:pPr>
            <w:r>
              <w:rPr>
                <w:color w:val="000000"/>
                <w:sz w:val="16"/>
                <w:szCs w:val="16"/>
              </w:rPr>
              <w:t>2.</w:t>
            </w:r>
            <w:r w:rsidR="00D25C68">
              <w:rPr>
                <w:color w:val="000000"/>
                <w:sz w:val="16"/>
                <w:szCs w:val="16"/>
              </w:rPr>
              <w:t>4</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4AE40BD4" w14:textId="62B9BA9E" w:rsidR="00D25C68" w:rsidRPr="00166851" w:rsidRDefault="00D25C68" w:rsidP="009418BF">
            <w:pPr>
              <w:jc w:val="left"/>
              <w:rPr>
                <w:color w:val="000000"/>
                <w:sz w:val="16"/>
                <w:szCs w:val="16"/>
              </w:rPr>
            </w:pPr>
            <w:r>
              <w:rPr>
                <w:color w:val="000000"/>
                <w:sz w:val="16"/>
                <w:szCs w:val="16"/>
              </w:rPr>
              <w:t>Coûts d</w:t>
            </w:r>
            <w:r w:rsidR="00435DA0">
              <w:rPr>
                <w:color w:val="000000"/>
                <w:sz w:val="16"/>
                <w:szCs w:val="16"/>
              </w:rPr>
              <w:t>’</w:t>
            </w:r>
            <w:r>
              <w:rPr>
                <w:color w:val="000000"/>
                <w:sz w:val="16"/>
                <w:szCs w:val="16"/>
              </w:rPr>
              <w:t>appui pour l</w:t>
            </w:r>
            <w:r w:rsidR="00435DA0">
              <w:rPr>
                <w:color w:val="000000"/>
                <w:sz w:val="16"/>
                <w:szCs w:val="16"/>
              </w:rPr>
              <w:t>’</w:t>
            </w:r>
            <w:r>
              <w:rPr>
                <w:color w:val="000000"/>
                <w:sz w:val="16"/>
                <w:szCs w:val="16"/>
              </w:rPr>
              <w:t>agence coopérative ($ US) </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29A6905F" w14:textId="77777777" w:rsidR="00D25C68" w:rsidRPr="00166851" w:rsidRDefault="00D25C68" w:rsidP="00551BAC">
            <w:pPr>
              <w:jc w:val="right"/>
              <w:rPr>
                <w:color w:val="000000"/>
                <w:sz w:val="16"/>
                <w:szCs w:val="16"/>
              </w:rPr>
            </w:pPr>
            <w:r>
              <w:rPr>
                <w:color w:val="000000"/>
                <w:sz w:val="16"/>
                <w:szCs w:val="16"/>
              </w:rPr>
              <w:t>6 750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75FD4382"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013B882" w14:textId="77777777" w:rsidR="00D25C68" w:rsidRPr="00166851" w:rsidRDefault="00D25C68" w:rsidP="00551BAC">
            <w:pPr>
              <w:jc w:val="right"/>
              <w:rPr>
                <w:color w:val="000000"/>
                <w:sz w:val="16"/>
                <w:szCs w:val="16"/>
              </w:rPr>
            </w:pPr>
            <w:r>
              <w:rPr>
                <w:color w:val="000000"/>
                <w:sz w:val="16"/>
                <w:szCs w:val="16"/>
              </w:rPr>
              <w:t>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5F9A0474" w14:textId="77777777" w:rsidR="00D25C68" w:rsidRPr="00166851" w:rsidRDefault="00D25C68" w:rsidP="00551BAC">
            <w:pPr>
              <w:jc w:val="right"/>
              <w:rPr>
                <w:color w:val="000000"/>
                <w:sz w:val="16"/>
                <w:szCs w:val="16"/>
              </w:rPr>
            </w:pPr>
            <w:r>
              <w:rPr>
                <w:color w:val="000000"/>
                <w:sz w:val="16"/>
                <w:szCs w:val="16"/>
              </w:rPr>
              <w:t>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2A9BCF2" w14:textId="77777777" w:rsidR="00D25C68" w:rsidRPr="00034254" w:rsidRDefault="00D25C68" w:rsidP="00551BAC">
            <w:pPr>
              <w:jc w:val="right"/>
              <w:rPr>
                <w:b/>
                <w:color w:val="000000"/>
                <w:sz w:val="16"/>
                <w:szCs w:val="16"/>
              </w:rPr>
            </w:pPr>
            <w:r>
              <w:rPr>
                <w:b/>
                <w:color w:val="000000"/>
                <w:sz w:val="16"/>
                <w:szCs w:val="16"/>
              </w:rPr>
              <w:t>7 650</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34C24B7C" w14:textId="77777777" w:rsidR="00D25C68" w:rsidRPr="00166851" w:rsidRDefault="00D25C68" w:rsidP="00551BAC">
            <w:pPr>
              <w:jc w:val="right"/>
              <w:rPr>
                <w:color w:val="000000"/>
                <w:sz w:val="16"/>
                <w:szCs w:val="16"/>
              </w:rPr>
            </w:pPr>
            <w:r>
              <w:rPr>
                <w:color w:val="000000"/>
                <w:sz w:val="16"/>
                <w:szCs w:val="16"/>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1CD69709" w14:textId="77777777" w:rsidR="00D25C68" w:rsidRPr="00166851" w:rsidRDefault="00D25C68" w:rsidP="00551BAC">
            <w:pPr>
              <w:jc w:val="right"/>
              <w:rPr>
                <w:color w:val="000000"/>
                <w:sz w:val="16"/>
                <w:szCs w:val="16"/>
              </w:rPr>
            </w:pPr>
            <w:r>
              <w:rPr>
                <w:color w:val="000000"/>
                <w:sz w:val="16"/>
                <w:szCs w:val="16"/>
              </w:rPr>
              <w:t>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6F6CF694" w14:textId="77777777" w:rsidR="00D25C68" w:rsidRPr="00166851" w:rsidRDefault="00D25C68" w:rsidP="00551BAC">
            <w:pPr>
              <w:jc w:val="right"/>
              <w:rPr>
                <w:color w:val="000000"/>
                <w:sz w:val="16"/>
                <w:szCs w:val="16"/>
              </w:rPr>
            </w:pPr>
            <w:r>
              <w:rPr>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423C8274"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26656B31" w14:textId="77777777" w:rsidR="00D25C68" w:rsidRPr="00034254" w:rsidRDefault="00D25C68" w:rsidP="00551BAC">
            <w:pPr>
              <w:jc w:val="right"/>
              <w:rPr>
                <w:b/>
                <w:color w:val="000000"/>
                <w:sz w:val="16"/>
                <w:szCs w:val="16"/>
              </w:rPr>
            </w:pPr>
            <w:r>
              <w:rPr>
                <w:b/>
                <w:color w:val="000000"/>
                <w:sz w:val="16"/>
                <w:szCs w:val="16"/>
              </w:rPr>
              <w:t>14 400</w:t>
            </w:r>
          </w:p>
        </w:tc>
      </w:tr>
      <w:tr w:rsidR="00D25C68" w:rsidRPr="00166851" w14:paraId="32F76D0D" w14:textId="77777777" w:rsidTr="00C7481F">
        <w:trPr>
          <w:trHeight w:val="60"/>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1EDB1" w14:textId="7CD4C45A" w:rsidR="00D25C68" w:rsidRPr="00166851" w:rsidRDefault="00435DA0" w:rsidP="00551BAC">
            <w:pPr>
              <w:rPr>
                <w:color w:val="000000"/>
                <w:sz w:val="16"/>
                <w:szCs w:val="16"/>
              </w:rPr>
            </w:pPr>
            <w:r>
              <w:rPr>
                <w:color w:val="000000"/>
                <w:sz w:val="16"/>
                <w:szCs w:val="16"/>
              </w:rPr>
              <w:t>3.</w:t>
            </w:r>
            <w:r w:rsidR="00D25C68">
              <w:rPr>
                <w:color w:val="000000"/>
                <w:sz w:val="16"/>
                <w:szCs w:val="16"/>
              </w:rPr>
              <w:t>1</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0148844F" w14:textId="3C289420" w:rsidR="00D25C68" w:rsidRPr="00166851" w:rsidRDefault="00D25C68" w:rsidP="009418BF">
            <w:pPr>
              <w:jc w:val="left"/>
              <w:rPr>
                <w:color w:val="000000"/>
                <w:sz w:val="16"/>
                <w:szCs w:val="16"/>
              </w:rPr>
            </w:pPr>
            <w:r>
              <w:rPr>
                <w:color w:val="000000"/>
                <w:sz w:val="16"/>
                <w:szCs w:val="16"/>
              </w:rPr>
              <w:t>Financement total convenu ($ US)</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5608787B" w14:textId="77777777" w:rsidR="00D25C68" w:rsidRPr="00166851" w:rsidRDefault="00D25C68" w:rsidP="00551BAC">
            <w:pPr>
              <w:jc w:val="right"/>
              <w:rPr>
                <w:color w:val="000000"/>
                <w:sz w:val="16"/>
                <w:szCs w:val="16"/>
              </w:rPr>
            </w:pPr>
            <w:r>
              <w:rPr>
                <w:color w:val="000000"/>
                <w:sz w:val="16"/>
                <w:szCs w:val="16"/>
              </w:rPr>
              <w:t>115 000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1E02DFDA"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6F5272FA" w14:textId="77777777" w:rsidR="00D25C68" w:rsidRPr="00166851" w:rsidRDefault="00D25C68" w:rsidP="00551BAC">
            <w:pPr>
              <w:jc w:val="right"/>
              <w:rPr>
                <w:color w:val="000000"/>
                <w:sz w:val="16"/>
                <w:szCs w:val="16"/>
              </w:rPr>
            </w:pPr>
            <w:r>
              <w:rPr>
                <w:color w:val="000000"/>
                <w:sz w:val="16"/>
                <w:szCs w:val="16"/>
              </w:rPr>
              <w:t>35 000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4911D748" w14:textId="77777777" w:rsidR="00D25C68" w:rsidRPr="00166851" w:rsidRDefault="00D25C68" w:rsidP="00551BAC">
            <w:pPr>
              <w:jc w:val="right"/>
              <w:rPr>
                <w:color w:val="000000"/>
                <w:sz w:val="16"/>
                <w:szCs w:val="16"/>
              </w:rPr>
            </w:pPr>
            <w:r>
              <w:rPr>
                <w:color w:val="000000"/>
                <w:sz w:val="16"/>
                <w:szCs w:val="16"/>
              </w:rPr>
              <w:t>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4C7CC5BD" w14:textId="77777777" w:rsidR="00D25C68" w:rsidRPr="00034254" w:rsidRDefault="00D25C68" w:rsidP="00551BAC">
            <w:pPr>
              <w:jc w:val="right"/>
              <w:rPr>
                <w:b/>
                <w:color w:val="000000"/>
                <w:sz w:val="16"/>
                <w:szCs w:val="16"/>
              </w:rPr>
            </w:pPr>
            <w:r>
              <w:rPr>
                <w:b/>
                <w:color w:val="000000"/>
                <w:sz w:val="16"/>
                <w:szCs w:val="16"/>
              </w:rPr>
              <w:t>122 500</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69BAC2AB" w14:textId="77777777" w:rsidR="00D25C68" w:rsidRPr="00166851" w:rsidRDefault="00D25C68" w:rsidP="00551BAC">
            <w:pPr>
              <w:jc w:val="right"/>
              <w:rPr>
                <w:color w:val="000000"/>
                <w:sz w:val="16"/>
                <w:szCs w:val="16"/>
              </w:rPr>
            </w:pPr>
            <w:r>
              <w:rPr>
                <w:color w:val="000000"/>
                <w:sz w:val="16"/>
                <w:szCs w:val="16"/>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3CCB0040" w14:textId="77777777" w:rsidR="00D25C68" w:rsidRPr="00166851" w:rsidRDefault="00D25C68" w:rsidP="00551BAC">
            <w:pPr>
              <w:jc w:val="right"/>
              <w:rPr>
                <w:color w:val="000000"/>
                <w:sz w:val="16"/>
                <w:szCs w:val="16"/>
              </w:rPr>
            </w:pPr>
            <w:r>
              <w:rPr>
                <w:color w:val="000000"/>
                <w:sz w:val="16"/>
                <w:szCs w:val="16"/>
              </w:rPr>
              <w:t>30 000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52D560D4" w14:textId="77777777" w:rsidR="00D25C68" w:rsidRPr="00166851" w:rsidRDefault="00D25C68" w:rsidP="00551BAC">
            <w:pPr>
              <w:jc w:val="right"/>
              <w:rPr>
                <w:color w:val="000000"/>
                <w:sz w:val="16"/>
                <w:szCs w:val="16"/>
              </w:rPr>
            </w:pPr>
            <w:r>
              <w:rPr>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5EF08D17" w14:textId="77777777" w:rsidR="00D25C68" w:rsidRPr="00166851" w:rsidRDefault="00D25C68" w:rsidP="00551BAC">
            <w:pPr>
              <w:jc w:val="right"/>
              <w:rPr>
                <w:color w:val="000000"/>
                <w:sz w:val="16"/>
                <w:szCs w:val="16"/>
              </w:rPr>
            </w:pPr>
            <w:r>
              <w:rPr>
                <w:color w:val="000000"/>
                <w:sz w:val="16"/>
                <w:szCs w:val="16"/>
              </w:rPr>
              <w:t>30 000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4D6190A8" w14:textId="77777777" w:rsidR="00D25C68" w:rsidRPr="00034254" w:rsidRDefault="00D25C68" w:rsidP="00551BAC">
            <w:pPr>
              <w:jc w:val="right"/>
              <w:rPr>
                <w:b/>
                <w:color w:val="000000"/>
                <w:sz w:val="16"/>
                <w:szCs w:val="16"/>
              </w:rPr>
            </w:pPr>
            <w:r>
              <w:rPr>
                <w:b/>
                <w:color w:val="000000"/>
                <w:sz w:val="16"/>
                <w:szCs w:val="16"/>
              </w:rPr>
              <w:t>332 500</w:t>
            </w:r>
          </w:p>
        </w:tc>
      </w:tr>
      <w:tr w:rsidR="00D25C68" w:rsidRPr="00166851" w14:paraId="4F089E90" w14:textId="77777777" w:rsidTr="00C7481F">
        <w:trPr>
          <w:trHeight w:val="60"/>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91F5467" w14:textId="35939DC1" w:rsidR="00D25C68" w:rsidRPr="00166851" w:rsidRDefault="00435DA0" w:rsidP="00551BAC">
            <w:pPr>
              <w:rPr>
                <w:color w:val="000000"/>
                <w:sz w:val="16"/>
                <w:szCs w:val="16"/>
              </w:rPr>
            </w:pPr>
            <w:r>
              <w:rPr>
                <w:color w:val="000000"/>
                <w:sz w:val="16"/>
                <w:szCs w:val="16"/>
              </w:rPr>
              <w:t>3.</w:t>
            </w:r>
            <w:r w:rsidR="00D25C68">
              <w:rPr>
                <w:color w:val="000000"/>
                <w:sz w:val="16"/>
                <w:szCs w:val="16"/>
              </w:rPr>
              <w:t>2</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21F5D49A" w14:textId="4BBDC881" w:rsidR="00D25C68" w:rsidRPr="00166851" w:rsidRDefault="00D25C68" w:rsidP="009418BF">
            <w:pPr>
              <w:jc w:val="left"/>
              <w:rPr>
                <w:color w:val="000000"/>
                <w:sz w:val="16"/>
                <w:szCs w:val="16"/>
              </w:rPr>
            </w:pPr>
            <w:r>
              <w:rPr>
                <w:color w:val="000000"/>
                <w:sz w:val="16"/>
                <w:szCs w:val="16"/>
              </w:rPr>
              <w:t>Total des coûts d</w:t>
            </w:r>
            <w:r w:rsidR="00435DA0">
              <w:rPr>
                <w:color w:val="000000"/>
                <w:sz w:val="16"/>
                <w:szCs w:val="16"/>
              </w:rPr>
              <w:t>’</w:t>
            </w:r>
            <w:r>
              <w:rPr>
                <w:color w:val="000000"/>
                <w:sz w:val="16"/>
                <w:szCs w:val="16"/>
              </w:rPr>
              <w:t>appui ($ US)</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EE9E1F9" w14:textId="77777777" w:rsidR="00D25C68" w:rsidRPr="00166851" w:rsidRDefault="00D25C68" w:rsidP="00551BAC">
            <w:pPr>
              <w:jc w:val="right"/>
              <w:rPr>
                <w:color w:val="000000"/>
                <w:sz w:val="16"/>
                <w:szCs w:val="16"/>
              </w:rPr>
            </w:pPr>
            <w:r>
              <w:rPr>
                <w:color w:val="000000"/>
                <w:sz w:val="16"/>
                <w:szCs w:val="16"/>
              </w:rPr>
              <w:t>11 950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1D8EF8FB"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0F281D7" w14:textId="77777777" w:rsidR="00D25C68" w:rsidRPr="00166851" w:rsidRDefault="00D25C68" w:rsidP="00551BAC">
            <w:pPr>
              <w:jc w:val="right"/>
              <w:rPr>
                <w:color w:val="000000"/>
                <w:sz w:val="16"/>
                <w:szCs w:val="16"/>
              </w:rPr>
            </w:pPr>
            <w:r>
              <w:rPr>
                <w:color w:val="000000"/>
                <w:sz w:val="16"/>
                <w:szCs w:val="16"/>
              </w:rPr>
              <w:t>4 550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426BC19D" w14:textId="77777777" w:rsidR="00D25C68" w:rsidRPr="00166851" w:rsidRDefault="00D25C68" w:rsidP="00551BAC">
            <w:pPr>
              <w:jc w:val="right"/>
              <w:rPr>
                <w:color w:val="000000"/>
                <w:sz w:val="16"/>
                <w:szCs w:val="16"/>
              </w:rPr>
            </w:pPr>
            <w:r>
              <w:rPr>
                <w:color w:val="000000"/>
                <w:sz w:val="16"/>
                <w:szCs w:val="16"/>
              </w:rPr>
              <w:t>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AEF79D4" w14:textId="77777777" w:rsidR="00D25C68" w:rsidRPr="00034254" w:rsidRDefault="00D25C68" w:rsidP="00551BAC">
            <w:pPr>
              <w:jc w:val="right"/>
              <w:rPr>
                <w:b/>
                <w:color w:val="000000"/>
                <w:sz w:val="16"/>
                <w:szCs w:val="16"/>
              </w:rPr>
            </w:pPr>
            <w:r>
              <w:rPr>
                <w:b/>
                <w:color w:val="000000"/>
                <w:sz w:val="16"/>
                <w:szCs w:val="16"/>
              </w:rPr>
              <w:t>12 525</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10219309" w14:textId="77777777" w:rsidR="00D25C68" w:rsidRPr="00166851" w:rsidRDefault="00D25C68" w:rsidP="00551BAC">
            <w:pPr>
              <w:jc w:val="right"/>
              <w:rPr>
                <w:color w:val="000000"/>
                <w:sz w:val="16"/>
                <w:szCs w:val="16"/>
              </w:rPr>
            </w:pPr>
            <w:r>
              <w:rPr>
                <w:color w:val="000000"/>
                <w:sz w:val="16"/>
                <w:szCs w:val="16"/>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73126BA6" w14:textId="77777777" w:rsidR="00D25C68" w:rsidRPr="00166851" w:rsidRDefault="00D25C68" w:rsidP="00551BAC">
            <w:pPr>
              <w:jc w:val="right"/>
              <w:rPr>
                <w:color w:val="000000"/>
                <w:sz w:val="16"/>
                <w:szCs w:val="16"/>
              </w:rPr>
            </w:pPr>
            <w:r>
              <w:rPr>
                <w:color w:val="000000"/>
                <w:sz w:val="16"/>
                <w:szCs w:val="16"/>
              </w:rPr>
              <w:t>3 900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24B8C607" w14:textId="77777777" w:rsidR="00D25C68" w:rsidRPr="00166851" w:rsidRDefault="00D25C68" w:rsidP="00551BAC">
            <w:pPr>
              <w:jc w:val="right"/>
              <w:rPr>
                <w:color w:val="000000"/>
                <w:sz w:val="16"/>
                <w:szCs w:val="16"/>
              </w:rPr>
            </w:pPr>
            <w:r>
              <w:rPr>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5F91C4CC" w14:textId="77777777" w:rsidR="00D25C68" w:rsidRPr="00166851" w:rsidRDefault="00D25C68" w:rsidP="00551BAC">
            <w:pPr>
              <w:jc w:val="right"/>
              <w:rPr>
                <w:color w:val="000000"/>
                <w:sz w:val="16"/>
                <w:szCs w:val="16"/>
              </w:rPr>
            </w:pPr>
            <w:r>
              <w:rPr>
                <w:color w:val="000000"/>
                <w:sz w:val="16"/>
                <w:szCs w:val="16"/>
              </w:rPr>
              <w:t>3 900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7637A02C" w14:textId="77777777" w:rsidR="00D25C68" w:rsidRPr="00034254" w:rsidRDefault="00D25C68" w:rsidP="00551BAC">
            <w:pPr>
              <w:jc w:val="right"/>
              <w:rPr>
                <w:b/>
                <w:color w:val="000000"/>
                <w:sz w:val="16"/>
                <w:szCs w:val="16"/>
              </w:rPr>
            </w:pPr>
            <w:r>
              <w:rPr>
                <w:b/>
                <w:color w:val="000000"/>
                <w:sz w:val="16"/>
                <w:szCs w:val="16"/>
              </w:rPr>
              <w:t>36 825</w:t>
            </w:r>
          </w:p>
        </w:tc>
      </w:tr>
      <w:tr w:rsidR="00D25C68" w:rsidRPr="00166851" w14:paraId="08E829BE" w14:textId="77777777" w:rsidTr="00C7481F">
        <w:trPr>
          <w:trHeight w:val="97"/>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8B7C76B" w14:textId="59F868FF" w:rsidR="00D25C68" w:rsidRPr="00166851" w:rsidRDefault="00435DA0" w:rsidP="00551BAC">
            <w:pPr>
              <w:rPr>
                <w:color w:val="000000"/>
                <w:sz w:val="16"/>
                <w:szCs w:val="16"/>
              </w:rPr>
            </w:pPr>
            <w:r>
              <w:rPr>
                <w:color w:val="000000"/>
                <w:sz w:val="16"/>
                <w:szCs w:val="16"/>
              </w:rPr>
              <w:t>3.</w:t>
            </w:r>
            <w:r w:rsidR="00D25C68">
              <w:rPr>
                <w:color w:val="000000"/>
                <w:sz w:val="16"/>
                <w:szCs w:val="16"/>
              </w:rPr>
              <w:t>3</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tcPr>
          <w:p w14:paraId="5D6A03D3" w14:textId="5755204E" w:rsidR="00D25C68" w:rsidRPr="00166851" w:rsidRDefault="00D25C68" w:rsidP="009418BF">
            <w:pPr>
              <w:jc w:val="left"/>
              <w:rPr>
                <w:color w:val="000000"/>
                <w:sz w:val="16"/>
                <w:szCs w:val="16"/>
              </w:rPr>
            </w:pPr>
            <w:r>
              <w:rPr>
                <w:color w:val="000000"/>
                <w:sz w:val="16"/>
                <w:szCs w:val="16"/>
              </w:rPr>
              <w:t>Total des coûts convenus ($ US)</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47219915" w14:textId="77777777" w:rsidR="00D25C68" w:rsidRPr="00166851" w:rsidRDefault="00D25C68" w:rsidP="00551BAC">
            <w:pPr>
              <w:jc w:val="right"/>
              <w:rPr>
                <w:color w:val="000000"/>
                <w:sz w:val="16"/>
                <w:szCs w:val="16"/>
              </w:rPr>
            </w:pPr>
            <w:r>
              <w:rPr>
                <w:color w:val="000000"/>
                <w:sz w:val="16"/>
                <w:szCs w:val="16"/>
              </w:rPr>
              <w:t>126 950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6EFA95E4" w14:textId="77777777" w:rsidR="00D25C68" w:rsidRPr="00166851" w:rsidRDefault="00D25C68" w:rsidP="00551BAC">
            <w:pPr>
              <w:jc w:val="right"/>
              <w:rPr>
                <w:color w:val="000000"/>
                <w:sz w:val="16"/>
                <w:szCs w:val="16"/>
              </w:rPr>
            </w:pPr>
            <w:r>
              <w:rPr>
                <w:color w:val="000000"/>
                <w:sz w:val="16"/>
                <w:szCs w:val="16"/>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E552ED0" w14:textId="77777777" w:rsidR="00D25C68" w:rsidRPr="00166851" w:rsidRDefault="00D25C68" w:rsidP="00551BAC">
            <w:pPr>
              <w:jc w:val="right"/>
              <w:rPr>
                <w:color w:val="000000"/>
                <w:sz w:val="16"/>
                <w:szCs w:val="16"/>
              </w:rPr>
            </w:pPr>
            <w:r>
              <w:rPr>
                <w:color w:val="000000"/>
                <w:sz w:val="16"/>
                <w:szCs w:val="16"/>
              </w:rPr>
              <w:t>39 550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44F19317" w14:textId="77777777" w:rsidR="00D25C68" w:rsidRPr="00166851" w:rsidRDefault="00D25C68" w:rsidP="00551BAC">
            <w:pPr>
              <w:jc w:val="right"/>
              <w:rPr>
                <w:color w:val="000000"/>
                <w:sz w:val="16"/>
                <w:szCs w:val="16"/>
              </w:rPr>
            </w:pPr>
            <w:r>
              <w:rPr>
                <w:color w:val="000000"/>
                <w:sz w:val="16"/>
                <w:szCs w:val="16"/>
              </w:rPr>
              <w:t>0</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A4B5AC" w14:textId="77777777" w:rsidR="00D25C68" w:rsidRPr="00034254" w:rsidRDefault="00D25C68" w:rsidP="00551BAC">
            <w:pPr>
              <w:jc w:val="right"/>
              <w:rPr>
                <w:b/>
                <w:color w:val="000000"/>
                <w:sz w:val="16"/>
                <w:szCs w:val="16"/>
              </w:rPr>
            </w:pPr>
            <w:r>
              <w:rPr>
                <w:b/>
                <w:color w:val="000000"/>
                <w:sz w:val="16"/>
                <w:szCs w:val="16"/>
              </w:rPr>
              <w:t>135 025</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03DA3292" w14:textId="77777777" w:rsidR="00D25C68" w:rsidRPr="00166851" w:rsidRDefault="00D25C68" w:rsidP="00551BAC">
            <w:pPr>
              <w:jc w:val="right"/>
              <w:rPr>
                <w:color w:val="000000"/>
                <w:sz w:val="16"/>
                <w:szCs w:val="16"/>
              </w:rPr>
            </w:pPr>
            <w:r>
              <w:rPr>
                <w:color w:val="000000"/>
                <w:sz w:val="16"/>
                <w:szCs w:val="16"/>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64D2CF86" w14:textId="77777777" w:rsidR="00D25C68" w:rsidRPr="00166851" w:rsidRDefault="00D25C68" w:rsidP="00551BAC">
            <w:pPr>
              <w:jc w:val="right"/>
              <w:rPr>
                <w:color w:val="000000"/>
                <w:sz w:val="16"/>
                <w:szCs w:val="16"/>
              </w:rPr>
            </w:pPr>
            <w:r>
              <w:rPr>
                <w:color w:val="000000"/>
                <w:sz w:val="16"/>
                <w:szCs w:val="16"/>
              </w:rPr>
              <w:t>33 900</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6703944" w14:textId="77777777" w:rsidR="00D25C68" w:rsidRPr="00166851" w:rsidRDefault="00D25C68" w:rsidP="00551BAC">
            <w:pPr>
              <w:jc w:val="right"/>
              <w:rPr>
                <w:color w:val="000000"/>
                <w:sz w:val="16"/>
                <w:szCs w:val="16"/>
              </w:rPr>
            </w:pPr>
            <w:r>
              <w:rPr>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1A5197FC" w14:textId="77777777" w:rsidR="00D25C68" w:rsidRPr="00166851" w:rsidRDefault="00D25C68" w:rsidP="00551BAC">
            <w:pPr>
              <w:jc w:val="right"/>
              <w:rPr>
                <w:color w:val="000000"/>
                <w:sz w:val="16"/>
                <w:szCs w:val="16"/>
              </w:rPr>
            </w:pPr>
            <w:r>
              <w:rPr>
                <w:color w:val="000000"/>
                <w:sz w:val="16"/>
                <w:szCs w:val="16"/>
              </w:rPr>
              <w:t>33 900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47404D74" w14:textId="77777777" w:rsidR="00D25C68" w:rsidRPr="00034254" w:rsidRDefault="00D25C68" w:rsidP="00551BAC">
            <w:pPr>
              <w:jc w:val="right"/>
              <w:rPr>
                <w:b/>
                <w:color w:val="000000"/>
                <w:sz w:val="16"/>
                <w:szCs w:val="16"/>
              </w:rPr>
            </w:pPr>
            <w:r>
              <w:rPr>
                <w:b/>
                <w:color w:val="000000"/>
                <w:sz w:val="16"/>
                <w:szCs w:val="16"/>
              </w:rPr>
              <w:t>369 325</w:t>
            </w:r>
          </w:p>
        </w:tc>
      </w:tr>
      <w:tr w:rsidR="00D25C68" w:rsidRPr="00166851" w14:paraId="15DA5B45" w14:textId="77777777" w:rsidTr="00C7481F">
        <w:trPr>
          <w:trHeight w:val="97"/>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D962641" w14:textId="77777777" w:rsidR="00D25C68" w:rsidRPr="00166851" w:rsidRDefault="00D25C68" w:rsidP="00551BAC">
            <w:pPr>
              <w:rPr>
                <w:color w:val="000000"/>
                <w:sz w:val="16"/>
                <w:szCs w:val="16"/>
              </w:rPr>
            </w:pPr>
            <w:r>
              <w:rPr>
                <w:color w:val="000000"/>
                <w:sz w:val="16"/>
                <w:szCs w:val="16"/>
              </w:rPr>
              <w:t>4.1.1</w:t>
            </w:r>
          </w:p>
        </w:tc>
        <w:tc>
          <w:tcPr>
            <w:tcW w:w="4216"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446695A" w14:textId="6D355167" w:rsidR="00D25C68" w:rsidRPr="00166851" w:rsidRDefault="00D25C68" w:rsidP="00551BAC">
            <w:pPr>
              <w:rPr>
                <w:color w:val="000000"/>
                <w:sz w:val="16"/>
                <w:szCs w:val="16"/>
              </w:rPr>
            </w:pPr>
            <w:r>
              <w:rPr>
                <w:color w:val="000000"/>
                <w:sz w:val="16"/>
                <w:szCs w:val="16"/>
              </w:rPr>
              <w:t>Élimination totale du HCFC</w:t>
            </w:r>
            <w:r w:rsidR="009B6E80">
              <w:rPr>
                <w:color w:val="000000"/>
                <w:sz w:val="16"/>
                <w:szCs w:val="16"/>
              </w:rPr>
              <w:t>-</w:t>
            </w:r>
            <w:r>
              <w:rPr>
                <w:color w:val="000000"/>
                <w:sz w:val="16"/>
                <w:szCs w:val="16"/>
              </w:rPr>
              <w:t>22 convenue à réaliser en vertu du présent Accord (tonnes PAO)</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5E16" w14:textId="4D0A3997" w:rsidR="00D25C68" w:rsidRPr="00034254" w:rsidRDefault="00D25C68" w:rsidP="00551BAC">
            <w:pPr>
              <w:jc w:val="right"/>
              <w:rPr>
                <w:b/>
                <w:color w:val="000000"/>
                <w:sz w:val="16"/>
                <w:szCs w:val="16"/>
              </w:rPr>
            </w:pPr>
            <w:r>
              <w:rPr>
                <w:b/>
                <w:color w:val="000000"/>
                <w:sz w:val="16"/>
                <w:szCs w:val="16"/>
              </w:rPr>
              <w:t>3,04</w:t>
            </w:r>
          </w:p>
        </w:tc>
      </w:tr>
      <w:tr w:rsidR="00D25C68" w:rsidRPr="00166851" w14:paraId="01E888D0" w14:textId="77777777" w:rsidTr="00C7481F">
        <w:trPr>
          <w:trHeight w:val="97"/>
        </w:trPr>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4EC217B" w14:textId="77777777" w:rsidR="00D25C68" w:rsidRPr="00166851" w:rsidRDefault="00D25C68" w:rsidP="00551BAC">
            <w:pPr>
              <w:rPr>
                <w:color w:val="000000"/>
                <w:sz w:val="16"/>
                <w:szCs w:val="16"/>
              </w:rPr>
            </w:pPr>
            <w:r>
              <w:rPr>
                <w:color w:val="000000"/>
                <w:sz w:val="16"/>
                <w:szCs w:val="16"/>
              </w:rPr>
              <w:t>4.1.2</w:t>
            </w:r>
          </w:p>
        </w:tc>
        <w:tc>
          <w:tcPr>
            <w:tcW w:w="4216"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1CD6D76" w14:textId="34C5524E" w:rsidR="00D25C68" w:rsidRPr="00166851" w:rsidRDefault="00D25C68" w:rsidP="00551BAC">
            <w:pPr>
              <w:rPr>
                <w:color w:val="000000"/>
                <w:sz w:val="16"/>
                <w:szCs w:val="16"/>
              </w:rPr>
            </w:pPr>
            <w:r>
              <w:rPr>
                <w:color w:val="000000"/>
                <w:sz w:val="16"/>
                <w:szCs w:val="16"/>
              </w:rPr>
              <w:t>Élimination du HCFC</w:t>
            </w:r>
            <w:r w:rsidR="009B6E80">
              <w:rPr>
                <w:color w:val="000000"/>
                <w:sz w:val="16"/>
                <w:szCs w:val="16"/>
              </w:rPr>
              <w:t>-</w:t>
            </w:r>
            <w:r>
              <w:rPr>
                <w:color w:val="000000"/>
                <w:sz w:val="16"/>
                <w:szCs w:val="16"/>
              </w:rPr>
              <w:t>22 à réaliser dans le cadre de projets approuvés précédemment (tonnes PAO)</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D126B" w14:textId="77777777" w:rsidR="00D25C68" w:rsidRPr="00166851" w:rsidRDefault="00D25C68" w:rsidP="00551BAC">
            <w:pPr>
              <w:jc w:val="right"/>
              <w:rPr>
                <w:color w:val="000000"/>
                <w:sz w:val="16"/>
                <w:szCs w:val="16"/>
              </w:rPr>
            </w:pPr>
            <w:r>
              <w:rPr>
                <w:color w:val="000000"/>
                <w:sz w:val="16"/>
                <w:szCs w:val="16"/>
              </w:rPr>
              <w:t>0</w:t>
            </w:r>
          </w:p>
        </w:tc>
      </w:tr>
      <w:tr w:rsidR="00D25C68" w:rsidRPr="00166851" w14:paraId="6DA03CF4" w14:textId="77777777" w:rsidTr="00C7481F">
        <w:trPr>
          <w:trHeight w:val="97"/>
        </w:trPr>
        <w:tc>
          <w:tcPr>
            <w:tcW w:w="350" w:type="pct"/>
            <w:tcBorders>
              <w:top w:val="single" w:sz="4" w:space="0" w:color="auto"/>
              <w:left w:val="single" w:sz="4" w:space="0" w:color="auto"/>
              <w:bottom w:val="single" w:sz="4" w:space="0" w:color="auto"/>
              <w:right w:val="single" w:sz="4" w:space="0" w:color="auto"/>
            </w:tcBorders>
            <w:shd w:val="clear" w:color="auto" w:fill="auto"/>
          </w:tcPr>
          <w:p w14:paraId="50D5434B" w14:textId="77777777" w:rsidR="00D25C68" w:rsidRPr="004D7B86" w:rsidRDefault="00D25C68" w:rsidP="00551BAC">
            <w:pPr>
              <w:rPr>
                <w:color w:val="000000"/>
                <w:sz w:val="16"/>
                <w:szCs w:val="16"/>
              </w:rPr>
            </w:pPr>
            <w:r>
              <w:rPr>
                <w:color w:val="000000"/>
                <w:sz w:val="16"/>
                <w:szCs w:val="16"/>
              </w:rPr>
              <w:t>4.1.3</w:t>
            </w:r>
          </w:p>
        </w:tc>
        <w:tc>
          <w:tcPr>
            <w:tcW w:w="4216" w:type="pct"/>
            <w:gridSpan w:val="10"/>
            <w:tcBorders>
              <w:top w:val="single" w:sz="4" w:space="0" w:color="auto"/>
              <w:left w:val="single" w:sz="4" w:space="0" w:color="auto"/>
              <w:bottom w:val="single" w:sz="4" w:space="0" w:color="auto"/>
              <w:right w:val="single" w:sz="4" w:space="0" w:color="auto"/>
            </w:tcBorders>
            <w:shd w:val="clear" w:color="auto" w:fill="auto"/>
          </w:tcPr>
          <w:p w14:paraId="208362C7" w14:textId="77777777" w:rsidR="00D25C68" w:rsidRPr="004D7B86" w:rsidRDefault="00D25C68" w:rsidP="00551BAC">
            <w:pPr>
              <w:rPr>
                <w:color w:val="000000"/>
                <w:sz w:val="16"/>
                <w:szCs w:val="16"/>
              </w:rPr>
            </w:pPr>
            <w:r>
              <w:rPr>
                <w:color w:val="000000"/>
                <w:sz w:val="16"/>
                <w:szCs w:val="16"/>
              </w:rPr>
              <w:t>Consommation admissible restante de HCFC-22 (tonnes PAO)</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B711E31" w14:textId="2EE12081" w:rsidR="00D25C68" w:rsidRPr="00166851" w:rsidRDefault="00D25C68" w:rsidP="00551BAC">
            <w:pPr>
              <w:jc w:val="right"/>
              <w:rPr>
                <w:b/>
                <w:color w:val="000000"/>
                <w:sz w:val="16"/>
                <w:szCs w:val="16"/>
              </w:rPr>
            </w:pPr>
            <w:r>
              <w:rPr>
                <w:b/>
                <w:color w:val="000000"/>
                <w:sz w:val="16"/>
                <w:szCs w:val="16"/>
              </w:rPr>
              <w:t>5,65</w:t>
            </w:r>
          </w:p>
        </w:tc>
      </w:tr>
    </w:tbl>
    <w:p w14:paraId="1D42C628" w14:textId="4CCE75EF" w:rsidR="00284998" w:rsidRPr="009418BF" w:rsidRDefault="00284998" w:rsidP="00760F4D">
      <w:pPr>
        <w:rPr>
          <w:sz w:val="16"/>
          <w:szCs w:val="16"/>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931"/>
        <w:gridCol w:w="1931"/>
        <w:gridCol w:w="1931"/>
        <w:gridCol w:w="1932"/>
      </w:tblGrid>
      <w:tr w:rsidR="00760F4D" w14:paraId="5A84C9C7" w14:textId="77777777" w:rsidTr="00760F4D">
        <w:tc>
          <w:tcPr>
            <w:tcW w:w="1931" w:type="dxa"/>
          </w:tcPr>
          <w:p w14:paraId="60236E72" w14:textId="77777777" w:rsidR="00760F4D" w:rsidRDefault="00760F4D" w:rsidP="00760F4D">
            <w:pPr>
              <w:rPr>
                <w:lang w:val="en-CA"/>
              </w:rPr>
            </w:pPr>
          </w:p>
        </w:tc>
        <w:tc>
          <w:tcPr>
            <w:tcW w:w="1931" w:type="dxa"/>
          </w:tcPr>
          <w:p w14:paraId="4A50FCC8" w14:textId="77777777" w:rsidR="00760F4D" w:rsidRDefault="00760F4D" w:rsidP="00760F4D">
            <w:pPr>
              <w:rPr>
                <w:lang w:val="en-CA"/>
              </w:rPr>
            </w:pPr>
          </w:p>
        </w:tc>
        <w:tc>
          <w:tcPr>
            <w:tcW w:w="1931" w:type="dxa"/>
            <w:tcBorders>
              <w:bottom w:val="single" w:sz="4" w:space="0" w:color="auto"/>
            </w:tcBorders>
          </w:tcPr>
          <w:p w14:paraId="1FFE57AE" w14:textId="77777777" w:rsidR="00760F4D" w:rsidRDefault="00760F4D" w:rsidP="00760F4D">
            <w:pPr>
              <w:rPr>
                <w:lang w:val="en-CA"/>
              </w:rPr>
            </w:pPr>
          </w:p>
        </w:tc>
        <w:tc>
          <w:tcPr>
            <w:tcW w:w="1931" w:type="dxa"/>
          </w:tcPr>
          <w:p w14:paraId="7B766B93" w14:textId="77777777" w:rsidR="00760F4D" w:rsidRDefault="00760F4D" w:rsidP="00760F4D">
            <w:pPr>
              <w:rPr>
                <w:lang w:val="en-CA"/>
              </w:rPr>
            </w:pPr>
          </w:p>
        </w:tc>
        <w:tc>
          <w:tcPr>
            <w:tcW w:w="1932" w:type="dxa"/>
          </w:tcPr>
          <w:p w14:paraId="0909DD8B" w14:textId="77777777" w:rsidR="00760F4D" w:rsidRDefault="00760F4D" w:rsidP="00760F4D">
            <w:pPr>
              <w:rPr>
                <w:lang w:val="en-CA"/>
              </w:rPr>
            </w:pPr>
          </w:p>
        </w:tc>
      </w:tr>
    </w:tbl>
    <w:p w14:paraId="278F36AE" w14:textId="3DA95B57" w:rsidR="00760F4D" w:rsidRDefault="00760F4D" w:rsidP="00760F4D">
      <w:pPr>
        <w:rPr>
          <w:lang w:val="en-CA"/>
        </w:rPr>
      </w:pPr>
    </w:p>
    <w:sectPr w:rsidR="00760F4D" w:rsidSect="00A73AF3">
      <w:headerReference w:type="even" r:id="rId15"/>
      <w:headerReference w:type="default" r:id="rId16"/>
      <w:footerReference w:type="even" r:id="rId17"/>
      <w:footerReference w:type="default" r:id="rId18"/>
      <w:headerReference w:type="first" r:id="rId19"/>
      <w:footerReference w:type="first" r:id="rId20"/>
      <w:pgSz w:w="12240" w:h="15840" w:code="1"/>
      <w:pgMar w:top="600" w:right="1440" w:bottom="600" w:left="113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C0B4" w14:textId="77777777" w:rsidR="00FB6BFA" w:rsidRDefault="00FB6BFA" w:rsidP="004A504B">
      <w:r>
        <w:separator/>
      </w:r>
    </w:p>
  </w:endnote>
  <w:endnote w:type="continuationSeparator" w:id="0">
    <w:p w14:paraId="1E9E41F0" w14:textId="77777777" w:rsidR="00FB6BFA" w:rsidRDefault="00FB6BF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91352"/>
      <w:docPartObj>
        <w:docPartGallery w:val="Page Numbers (Bottom of Page)"/>
        <w:docPartUnique/>
      </w:docPartObj>
    </w:sdtPr>
    <w:sdtEndPr>
      <w:rPr>
        <w:noProof/>
      </w:rPr>
    </w:sdtEndPr>
    <w:sdtContent>
      <w:p w14:paraId="32FF3AC7" w14:textId="70946EE9" w:rsidR="00FB6BFA" w:rsidRDefault="00FB6BFA">
        <w:pPr>
          <w:pStyle w:val="Footer"/>
          <w:jc w:val="center"/>
        </w:pPr>
        <w:r>
          <w:fldChar w:fldCharType="begin"/>
        </w:r>
        <w:r>
          <w:instrText xml:space="preserve"> PAGE   \* MERGEFORMAT </w:instrText>
        </w:r>
        <w:r>
          <w:fldChar w:fldCharType="separate"/>
        </w:r>
        <w:r w:rsidR="00EA0279">
          <w:rPr>
            <w:noProof/>
          </w:rPr>
          <w:t>6</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341"/>
      <w:docPartObj>
        <w:docPartGallery w:val="Page Numbers (Bottom of Page)"/>
        <w:docPartUnique/>
      </w:docPartObj>
    </w:sdtPr>
    <w:sdtEndPr>
      <w:rPr>
        <w:noProof/>
      </w:rPr>
    </w:sdtEndPr>
    <w:sdtContent>
      <w:p w14:paraId="75CD2D16" w14:textId="08DD856A" w:rsidR="00FB6BFA" w:rsidRDefault="00FB6BFA">
        <w:pPr>
          <w:pStyle w:val="Footer"/>
          <w:jc w:val="center"/>
        </w:pPr>
        <w:r>
          <w:fldChar w:fldCharType="begin"/>
        </w:r>
        <w:r>
          <w:instrText xml:space="preserve"> PAGE   \* MERGEFORMAT </w:instrText>
        </w:r>
        <w:r>
          <w:fldChar w:fldCharType="separate"/>
        </w:r>
        <w:r w:rsidR="00EA0279">
          <w:rPr>
            <w:noProof/>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9586" w14:textId="7F38F956" w:rsidR="00FB6BFA" w:rsidRDefault="00FB6BFA" w:rsidP="00A971FF">
    <w:pPr>
      <w:pBdr>
        <w:top w:val="single" w:sz="4" w:space="1" w:color="auto"/>
        <w:left w:val="single" w:sz="4" w:space="4" w:color="auto"/>
        <w:bottom w:val="single" w:sz="4" w:space="1" w:color="auto"/>
        <w:right w:val="single" w:sz="4" w:space="4" w:color="auto"/>
      </w:pBdr>
      <w:jc w:val="center"/>
      <w:rPr>
        <w:sz w:val="18"/>
        <w:szCs w:val="18"/>
      </w:rPr>
    </w:pPr>
    <w:r>
      <w:rPr>
        <w:sz w:val="18"/>
        <w:szCs w:val="18"/>
      </w:rPr>
      <w:t>Les documents de présession du Comité exécutif du Fonds multilatéral aux fins d’application du Protocole de</w:t>
    </w:r>
    <w:r>
      <w:rPr>
        <w:sz w:val="18"/>
        <w:szCs w:val="18"/>
      </w:rPr>
      <w:br/>
      <w:t>Montréal sont présentés sous réserve des décisions pouvant être prises par le Comité exécutif après leur publication.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60006"/>
      <w:docPartObj>
        <w:docPartGallery w:val="Page Numbers (Bottom of Page)"/>
        <w:docPartUnique/>
      </w:docPartObj>
    </w:sdtPr>
    <w:sdtEndPr>
      <w:rPr>
        <w:noProof/>
      </w:rPr>
    </w:sdtEndPr>
    <w:sdtContent>
      <w:sdt>
        <w:sdtPr>
          <w:id w:val="-1635240607"/>
          <w:docPartObj>
            <w:docPartGallery w:val="Page Numbers (Bottom of Page)"/>
            <w:docPartUnique/>
          </w:docPartObj>
        </w:sdtPr>
        <w:sdtEndPr>
          <w:rPr>
            <w:noProof/>
          </w:rPr>
        </w:sdtEndPr>
        <w:sdtContent>
          <w:sdt>
            <w:sdtPr>
              <w:id w:val="-1275853370"/>
              <w:docPartObj>
                <w:docPartGallery w:val="Page Numbers (Bottom of Page)"/>
                <w:docPartUnique/>
              </w:docPartObj>
            </w:sdtPr>
            <w:sdtEndPr>
              <w:rPr>
                <w:noProof/>
              </w:rPr>
            </w:sdtEndPr>
            <w:sdtContent>
              <w:p w14:paraId="612F2DF2" w14:textId="5CDEBBAB" w:rsidR="00FB6BFA" w:rsidRDefault="00FB6BFA" w:rsidP="00A73AF3">
                <w:pPr>
                  <w:pStyle w:val="Footer"/>
                  <w:jc w:val="center"/>
                </w:pPr>
                <w:r>
                  <w:fldChar w:fldCharType="begin"/>
                </w:r>
                <w:r>
                  <w:instrText xml:space="preserve"> PAGE   \* MERGEFORMAT </w:instrText>
                </w:r>
                <w:r>
                  <w:fldChar w:fldCharType="separate"/>
                </w:r>
                <w:r w:rsidR="009418BF">
                  <w:rPr>
                    <w:noProof/>
                  </w:rPr>
                  <w:t>2</w:t>
                </w:r>
                <w:r>
                  <w:fldChar w:fldCharType="end"/>
                </w:r>
              </w:p>
            </w:sdtContent>
          </w:sdt>
          <w:p w14:paraId="6CAEF097" w14:textId="71C62808" w:rsidR="00FB6BFA" w:rsidRDefault="00EA0279">
            <w:pPr>
              <w:pStyle w:val="Footer"/>
              <w:jc w:val="center"/>
            </w:pPr>
          </w:p>
        </w:sdtContent>
      </w:sdt>
    </w:sdtContent>
  </w:sdt>
  <w:p w14:paraId="1A9B0E55" w14:textId="77777777" w:rsidR="00FB6BFA" w:rsidRPr="009C63D5" w:rsidRDefault="00FB6BFA" w:rsidP="009C63D5">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46542"/>
      <w:docPartObj>
        <w:docPartGallery w:val="Page Numbers (Bottom of Page)"/>
        <w:docPartUnique/>
      </w:docPartObj>
    </w:sdtPr>
    <w:sdtEndPr>
      <w:rPr>
        <w:noProof/>
      </w:rPr>
    </w:sdtEndPr>
    <w:sdtContent>
      <w:p w14:paraId="1284FEC4" w14:textId="41B0CF6B" w:rsidR="00FB6BFA" w:rsidRDefault="00FB6BFA" w:rsidP="00A73AF3">
        <w:pPr>
          <w:pStyle w:val="Footer"/>
          <w:jc w:val="center"/>
        </w:pPr>
        <w:r>
          <w:fldChar w:fldCharType="begin"/>
        </w:r>
        <w:r>
          <w:instrText xml:space="preserve"> PAGE   \* MERGEFORMAT </w:instrText>
        </w:r>
        <w:r>
          <w:fldChar w:fldCharType="separate"/>
        </w:r>
        <w:r>
          <w:t>5</w:t>
        </w:r>
        <w:r>
          <w:fldChar w:fldCharType="end"/>
        </w:r>
      </w:p>
    </w:sdtContent>
  </w:sdt>
  <w:p w14:paraId="4E4E22D1" w14:textId="72D0ED37" w:rsidR="00FB6BFA" w:rsidRPr="00A73AF3" w:rsidRDefault="00FB6BFA" w:rsidP="00A73AF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471500"/>
      <w:docPartObj>
        <w:docPartGallery w:val="Page Numbers (Bottom of Page)"/>
        <w:docPartUnique/>
      </w:docPartObj>
    </w:sdtPr>
    <w:sdtEndPr>
      <w:rPr>
        <w:noProof/>
      </w:rPr>
    </w:sdtEndPr>
    <w:sdtContent>
      <w:p w14:paraId="08D7B775" w14:textId="71248725" w:rsidR="00FB6BFA" w:rsidRDefault="00FB6BFA">
        <w:pPr>
          <w:pStyle w:val="Footer"/>
          <w:jc w:val="center"/>
        </w:pPr>
        <w:r>
          <w:fldChar w:fldCharType="begin"/>
        </w:r>
        <w:r>
          <w:instrText xml:space="preserve"> PAGE   \* MERGEFORMAT </w:instrText>
        </w:r>
        <w:r>
          <w:fldChar w:fldCharType="separate"/>
        </w:r>
        <w:r w:rsidR="00EA027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C445" w14:textId="77777777" w:rsidR="00FB6BFA" w:rsidRDefault="00FB6BFA" w:rsidP="004A504B">
      <w:r>
        <w:separator/>
      </w:r>
    </w:p>
  </w:footnote>
  <w:footnote w:type="continuationSeparator" w:id="0">
    <w:p w14:paraId="28D4DBAD" w14:textId="77777777" w:rsidR="00FB6BFA" w:rsidRDefault="00FB6BFA" w:rsidP="004A504B">
      <w:r>
        <w:continuationSeparator/>
      </w:r>
    </w:p>
  </w:footnote>
  <w:footnote w:id="1">
    <w:p w14:paraId="57EA5204" w14:textId="1B8AB897" w:rsidR="00FB6BFA" w:rsidRPr="00012F28" w:rsidRDefault="00FB6BFA">
      <w:pPr>
        <w:pStyle w:val="FootnoteText"/>
        <w:rPr>
          <w:sz w:val="18"/>
          <w:szCs w:val="18"/>
        </w:rPr>
      </w:pPr>
      <w:r>
        <w:rPr>
          <w:rStyle w:val="FootnoteReference"/>
        </w:rPr>
        <w:footnoteRef/>
      </w:r>
      <w:r>
        <w:t xml:space="preserve"> UNEP/OzL.Pro/ExCom/73/44</w:t>
      </w:r>
    </w:p>
  </w:footnote>
  <w:footnote w:id="2">
    <w:p w14:paraId="32E09B34" w14:textId="76C23066" w:rsidR="00FB6BFA" w:rsidRPr="00012F28" w:rsidRDefault="00FB6BFA">
      <w:pPr>
        <w:pStyle w:val="FootnoteText"/>
        <w:rPr>
          <w:sz w:val="18"/>
          <w:szCs w:val="18"/>
        </w:rPr>
      </w:pPr>
      <w:r>
        <w:rPr>
          <w:rStyle w:val="FootnoteReference"/>
          <w:sz w:val="18"/>
          <w:szCs w:val="18"/>
        </w:rPr>
        <w:footnoteRef/>
      </w:r>
      <w:r>
        <w:t xml:space="preserve"> Décision 73/61</w:t>
      </w:r>
    </w:p>
  </w:footnote>
  <w:footnote w:id="3">
    <w:p w14:paraId="7E418E2F" w14:textId="26C7BB81" w:rsidR="00FB6BFA" w:rsidRPr="00C51F82" w:rsidRDefault="00FB6BFA">
      <w:pPr>
        <w:pStyle w:val="FootnoteText"/>
      </w:pPr>
      <w:r>
        <w:rPr>
          <w:rStyle w:val="FootnoteReference"/>
        </w:rPr>
        <w:footnoteRef/>
      </w:r>
      <w:r>
        <w:t xml:space="preserve"> Décision XXVI/14</w:t>
      </w:r>
    </w:p>
  </w:footnote>
  <w:footnote w:id="4">
    <w:p w14:paraId="0E517327" w14:textId="76742C15" w:rsidR="00FB6BFA" w:rsidRPr="00FE3307" w:rsidRDefault="00FB6BFA" w:rsidP="00FE3307">
      <w:pPr>
        <w:pStyle w:val="FootnoteText"/>
      </w:pPr>
      <w:r>
        <w:rPr>
          <w:rStyle w:val="FootnoteReference"/>
          <w:sz w:val="18"/>
          <w:szCs w:val="18"/>
        </w:rPr>
        <w:footnoteRef/>
      </w:r>
      <w:r>
        <w:t xml:space="preserve"> Conformément à la lettre du 21 mars 2019 adressée au Secrétariat par le Ministère de l’Aménagement du territoire, de l’Environnement et du Développement rural du Mozambique.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3CCC" w14:textId="1309E7E6" w:rsidR="00FB6BFA" w:rsidRPr="0033525D" w:rsidRDefault="00FB6BFA">
    <w:fldSimple w:instr=" DOCPROPERTY &quot;Document number&quot;  \* MERGEFORMAT ">
      <w:r>
        <w:t>UNEP/OzL.Pro/ExCom/83/33</w:t>
      </w:r>
    </w:fldSimple>
  </w:p>
  <w:p w14:paraId="4C500F0A" w14:textId="531A2072" w:rsidR="00FB6BFA" w:rsidRPr="0033525D" w:rsidRDefault="00FB6BFA"/>
  <w:p w14:paraId="365DBD90" w14:textId="77777777" w:rsidR="00FB6BFA" w:rsidRPr="0033525D" w:rsidRDefault="00FB6BF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1CA2" w14:textId="3C987020" w:rsidR="00FB6BFA" w:rsidRDefault="00FB6BFA">
    <w:pPr>
      <w:jc w:val="right"/>
    </w:pPr>
    <w:fldSimple w:instr=" DOCPROPERTY &quot;Document number&quot;  \* MERGEFORMAT ">
      <w:r>
        <w:t>UNEP/OzL.Pro/ExCom/83/33</w:t>
      </w:r>
    </w:fldSimple>
  </w:p>
  <w:p w14:paraId="3F125E28" w14:textId="77777777" w:rsidR="009418BF" w:rsidRDefault="009418BF">
    <w:pPr>
      <w:jc w:val="right"/>
    </w:pPr>
  </w:p>
  <w:p w14:paraId="3CC58221" w14:textId="77777777" w:rsidR="00FB6BFA" w:rsidRPr="0033525D" w:rsidRDefault="00FB6B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DEBE" w14:textId="1C83C374" w:rsidR="00FB6BFA" w:rsidRPr="00A971FF" w:rsidRDefault="00FB6BFA">
    <w:pPr>
      <w:rPr>
        <w:lang w:val="en-CA"/>
      </w:rPr>
    </w:pPr>
    <w:r>
      <w:fldChar w:fldCharType="begin"/>
    </w:r>
    <w:r w:rsidRPr="00A971FF">
      <w:rPr>
        <w:lang w:val="en-CA"/>
      </w:rPr>
      <w:instrText xml:space="preserve"> DOCPROPERTY "Document number"  \* MERGEFORMAT </w:instrText>
    </w:r>
    <w:r>
      <w:fldChar w:fldCharType="separate"/>
    </w:r>
    <w:r w:rsidRPr="00A971FF">
      <w:rPr>
        <w:lang w:val="en-CA"/>
      </w:rPr>
      <w:t>UNEP/OzL.Pro/ExCom/83/33</w:t>
    </w:r>
    <w:r>
      <w:fldChar w:fldCharType="end"/>
    </w:r>
  </w:p>
  <w:p w14:paraId="5EC60D17" w14:textId="19BB9C4D" w:rsidR="00FB6BFA" w:rsidRPr="00A971FF" w:rsidRDefault="00FB6BFA">
    <w:pPr>
      <w:rPr>
        <w:lang w:val="en-CA"/>
      </w:rPr>
    </w:pPr>
    <w:r w:rsidRPr="00A971FF">
      <w:rPr>
        <w:lang w:val="en-CA"/>
      </w:rPr>
      <w:t>Annexe I</w:t>
    </w:r>
  </w:p>
  <w:p w14:paraId="6EF12509" w14:textId="77777777" w:rsidR="00FB6BFA" w:rsidRPr="00A971FF" w:rsidRDefault="00FB6BFA">
    <w:pPr>
      <w:rPr>
        <w:lang w:val="en-C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BF0A" w14:textId="17724ED8" w:rsidR="00FB6BFA" w:rsidRPr="00A971FF" w:rsidRDefault="00FB6BFA">
    <w:pPr>
      <w:jc w:val="right"/>
      <w:rPr>
        <w:lang w:val="en-CA"/>
      </w:rPr>
    </w:pPr>
    <w:r>
      <w:fldChar w:fldCharType="begin"/>
    </w:r>
    <w:r w:rsidRPr="00A971FF">
      <w:rPr>
        <w:lang w:val="en-CA"/>
      </w:rPr>
      <w:instrText xml:space="preserve"> DOCPROPERTY "Document number"  \* MERGEFORMAT </w:instrText>
    </w:r>
    <w:r>
      <w:fldChar w:fldCharType="separate"/>
    </w:r>
    <w:r w:rsidRPr="00A971FF">
      <w:rPr>
        <w:lang w:val="en-CA"/>
      </w:rPr>
      <w:t>UNEP/OzL.Pro/ExCom/83/33</w:t>
    </w:r>
    <w:r>
      <w:fldChar w:fldCharType="end"/>
    </w:r>
  </w:p>
  <w:p w14:paraId="0E8FDED1" w14:textId="4C09E767" w:rsidR="00FB6BFA" w:rsidRPr="00A971FF" w:rsidRDefault="00FB6BFA">
    <w:pPr>
      <w:jc w:val="right"/>
      <w:rPr>
        <w:lang w:val="en-CA"/>
      </w:rPr>
    </w:pPr>
    <w:r w:rsidRPr="00A971FF">
      <w:rPr>
        <w:lang w:val="en-CA"/>
      </w:rPr>
      <w:t>Annexe I</w:t>
    </w:r>
  </w:p>
  <w:p w14:paraId="13B9E576" w14:textId="77777777" w:rsidR="00FB6BFA" w:rsidRPr="00A971FF" w:rsidRDefault="00FB6BFA">
    <w:pPr>
      <w:pStyle w:val="Header"/>
      <w:rPr>
        <w:lang w:val="en-C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F966" w14:textId="2ADB7009" w:rsidR="00FB6BFA" w:rsidRPr="00A971FF" w:rsidRDefault="00FB6BFA" w:rsidP="00724974">
    <w:pPr>
      <w:jc w:val="right"/>
      <w:rPr>
        <w:lang w:val="en-CA"/>
      </w:rPr>
    </w:pPr>
    <w:r>
      <w:fldChar w:fldCharType="begin"/>
    </w:r>
    <w:r w:rsidRPr="00A971FF">
      <w:rPr>
        <w:lang w:val="en-CA"/>
      </w:rPr>
      <w:instrText xml:space="preserve"> DOCPROPERTY "Document number"  \* MERGEFORMAT </w:instrText>
    </w:r>
    <w:r>
      <w:fldChar w:fldCharType="separate"/>
    </w:r>
    <w:r w:rsidRPr="00A971FF">
      <w:rPr>
        <w:lang w:val="en-CA"/>
      </w:rPr>
      <w:t>UNEP/OzL.Pro/ExCom/83/33</w:t>
    </w:r>
    <w:r>
      <w:fldChar w:fldCharType="end"/>
    </w:r>
  </w:p>
  <w:p w14:paraId="032482EB" w14:textId="77777777" w:rsidR="00FB6BFA" w:rsidRPr="00A971FF" w:rsidRDefault="00FB6BFA" w:rsidP="00724974">
    <w:pPr>
      <w:jc w:val="right"/>
      <w:rPr>
        <w:lang w:val="en-CA"/>
      </w:rPr>
    </w:pPr>
    <w:r w:rsidRPr="00A971FF">
      <w:rPr>
        <w:lang w:val="en-CA"/>
      </w:rPr>
      <w:t>Annexe I</w:t>
    </w:r>
  </w:p>
  <w:p w14:paraId="6C7F989F" w14:textId="77777777" w:rsidR="00FB6BFA" w:rsidRPr="00A971FF" w:rsidRDefault="00FB6BFA" w:rsidP="00724974">
    <w:pPr>
      <w:pStyle w:val="Header"/>
      <w:jc w:val="right"/>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E6C2E34"/>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1AE45D5"/>
    <w:multiLevelType w:val="multilevel"/>
    <w:tmpl w:val="B4B2C02E"/>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66" w:hanging="706"/>
      </w:pPr>
      <w:rPr>
        <w:rFonts w:cs="Times New Roman" w:hint="default"/>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0"/>
        </w:tabs>
        <w:ind w:left="4291" w:hanging="720"/>
      </w:pPr>
      <w:rPr>
        <w:rFonts w:cs="Times New Roman" w:hint="default"/>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C1E52"/>
    <w:rsid w:val="00000FED"/>
    <w:rsid w:val="0000434E"/>
    <w:rsid w:val="00006FDB"/>
    <w:rsid w:val="00010BB0"/>
    <w:rsid w:val="00012F28"/>
    <w:rsid w:val="00015E32"/>
    <w:rsid w:val="000211A9"/>
    <w:rsid w:val="00022693"/>
    <w:rsid w:val="00031260"/>
    <w:rsid w:val="00034254"/>
    <w:rsid w:val="000353F7"/>
    <w:rsid w:val="000367CF"/>
    <w:rsid w:val="0003681A"/>
    <w:rsid w:val="00041A6F"/>
    <w:rsid w:val="00042CFD"/>
    <w:rsid w:val="000457B7"/>
    <w:rsid w:val="000477A8"/>
    <w:rsid w:val="00057DD1"/>
    <w:rsid w:val="00060F11"/>
    <w:rsid w:val="00061EC2"/>
    <w:rsid w:val="00067709"/>
    <w:rsid w:val="00071837"/>
    <w:rsid w:val="00076369"/>
    <w:rsid w:val="00080ED0"/>
    <w:rsid w:val="00085B8F"/>
    <w:rsid w:val="00090481"/>
    <w:rsid w:val="00091D8A"/>
    <w:rsid w:val="00094CB3"/>
    <w:rsid w:val="0009736F"/>
    <w:rsid w:val="0009785B"/>
    <w:rsid w:val="000A6C26"/>
    <w:rsid w:val="000B7814"/>
    <w:rsid w:val="000C0C4B"/>
    <w:rsid w:val="000C2DB5"/>
    <w:rsid w:val="000D08DD"/>
    <w:rsid w:val="000D0A70"/>
    <w:rsid w:val="000D52A4"/>
    <w:rsid w:val="000D5AE6"/>
    <w:rsid w:val="000D62EA"/>
    <w:rsid w:val="000E07BC"/>
    <w:rsid w:val="000E2BF7"/>
    <w:rsid w:val="000E5961"/>
    <w:rsid w:val="000E686F"/>
    <w:rsid w:val="000F1A5D"/>
    <w:rsid w:val="000F1CD4"/>
    <w:rsid w:val="000F4103"/>
    <w:rsid w:val="000F6828"/>
    <w:rsid w:val="000F70A7"/>
    <w:rsid w:val="00113CCA"/>
    <w:rsid w:val="00121954"/>
    <w:rsid w:val="00122F25"/>
    <w:rsid w:val="00131802"/>
    <w:rsid w:val="00135980"/>
    <w:rsid w:val="001407D8"/>
    <w:rsid w:val="00164719"/>
    <w:rsid w:val="001648F0"/>
    <w:rsid w:val="00166851"/>
    <w:rsid w:val="00166FC4"/>
    <w:rsid w:val="00167659"/>
    <w:rsid w:val="001677AC"/>
    <w:rsid w:val="001730AD"/>
    <w:rsid w:val="00176A90"/>
    <w:rsid w:val="001804EA"/>
    <w:rsid w:val="00182A96"/>
    <w:rsid w:val="00183F7D"/>
    <w:rsid w:val="00190A61"/>
    <w:rsid w:val="0019307E"/>
    <w:rsid w:val="001A3342"/>
    <w:rsid w:val="001A3E3D"/>
    <w:rsid w:val="001A7049"/>
    <w:rsid w:val="001B1502"/>
    <w:rsid w:val="001B1E40"/>
    <w:rsid w:val="001B6BB9"/>
    <w:rsid w:val="001C4A43"/>
    <w:rsid w:val="001C5BCF"/>
    <w:rsid w:val="001C764E"/>
    <w:rsid w:val="001D1775"/>
    <w:rsid w:val="001D78DB"/>
    <w:rsid w:val="001E1052"/>
    <w:rsid w:val="001E21B1"/>
    <w:rsid w:val="001E29F5"/>
    <w:rsid w:val="001E2F93"/>
    <w:rsid w:val="001E48FD"/>
    <w:rsid w:val="001E51FB"/>
    <w:rsid w:val="001E61E5"/>
    <w:rsid w:val="001F2159"/>
    <w:rsid w:val="001F549E"/>
    <w:rsid w:val="001F7927"/>
    <w:rsid w:val="00201B29"/>
    <w:rsid w:val="0020254F"/>
    <w:rsid w:val="00203EF7"/>
    <w:rsid w:val="0020775D"/>
    <w:rsid w:val="00214863"/>
    <w:rsid w:val="00214FAC"/>
    <w:rsid w:val="002156B4"/>
    <w:rsid w:val="002157F6"/>
    <w:rsid w:val="00222EEB"/>
    <w:rsid w:val="0023716C"/>
    <w:rsid w:val="00253222"/>
    <w:rsid w:val="002613F7"/>
    <w:rsid w:val="00262847"/>
    <w:rsid w:val="00281BB2"/>
    <w:rsid w:val="00284998"/>
    <w:rsid w:val="00292E30"/>
    <w:rsid w:val="00297CEE"/>
    <w:rsid w:val="002A1EBC"/>
    <w:rsid w:val="002B72E9"/>
    <w:rsid w:val="002C470B"/>
    <w:rsid w:val="002C50DA"/>
    <w:rsid w:val="002C7998"/>
    <w:rsid w:val="002D2A2C"/>
    <w:rsid w:val="002E2A19"/>
    <w:rsid w:val="002F1E53"/>
    <w:rsid w:val="002F2CAA"/>
    <w:rsid w:val="002F787A"/>
    <w:rsid w:val="0030052C"/>
    <w:rsid w:val="00310DD3"/>
    <w:rsid w:val="003117E1"/>
    <w:rsid w:val="003131F2"/>
    <w:rsid w:val="00325F89"/>
    <w:rsid w:val="0032765A"/>
    <w:rsid w:val="003306E1"/>
    <w:rsid w:val="003320E4"/>
    <w:rsid w:val="00333BED"/>
    <w:rsid w:val="0033525D"/>
    <w:rsid w:val="003414F3"/>
    <w:rsid w:val="00354EE2"/>
    <w:rsid w:val="0035613E"/>
    <w:rsid w:val="00363EE9"/>
    <w:rsid w:val="00365899"/>
    <w:rsid w:val="00372B14"/>
    <w:rsid w:val="00376128"/>
    <w:rsid w:val="0037742E"/>
    <w:rsid w:val="00377434"/>
    <w:rsid w:val="00377D56"/>
    <w:rsid w:val="0038245A"/>
    <w:rsid w:val="003840E6"/>
    <w:rsid w:val="00385CFC"/>
    <w:rsid w:val="0039337A"/>
    <w:rsid w:val="00395BF7"/>
    <w:rsid w:val="00397FCD"/>
    <w:rsid w:val="003A0CCB"/>
    <w:rsid w:val="003A3189"/>
    <w:rsid w:val="003A3CA7"/>
    <w:rsid w:val="003A3F95"/>
    <w:rsid w:val="003B33BD"/>
    <w:rsid w:val="003B569D"/>
    <w:rsid w:val="003C3C0E"/>
    <w:rsid w:val="003C48DA"/>
    <w:rsid w:val="003C6C3E"/>
    <w:rsid w:val="003D03ED"/>
    <w:rsid w:val="003D4FAC"/>
    <w:rsid w:val="003E7906"/>
    <w:rsid w:val="003F3C50"/>
    <w:rsid w:val="003F6C4C"/>
    <w:rsid w:val="003F7E27"/>
    <w:rsid w:val="00406A6A"/>
    <w:rsid w:val="00406B22"/>
    <w:rsid w:val="00406BE2"/>
    <w:rsid w:val="00410C9A"/>
    <w:rsid w:val="0041723C"/>
    <w:rsid w:val="004172F8"/>
    <w:rsid w:val="004174B4"/>
    <w:rsid w:val="004226D2"/>
    <w:rsid w:val="00425645"/>
    <w:rsid w:val="00430658"/>
    <w:rsid w:val="004328A7"/>
    <w:rsid w:val="00434C74"/>
    <w:rsid w:val="00435DA0"/>
    <w:rsid w:val="004419B8"/>
    <w:rsid w:val="00445D59"/>
    <w:rsid w:val="00447EA6"/>
    <w:rsid w:val="00456EB4"/>
    <w:rsid w:val="00465B73"/>
    <w:rsid w:val="004718F3"/>
    <w:rsid w:val="00475040"/>
    <w:rsid w:val="004759D8"/>
    <w:rsid w:val="00482A7F"/>
    <w:rsid w:val="00490BCB"/>
    <w:rsid w:val="00491C0E"/>
    <w:rsid w:val="00493D40"/>
    <w:rsid w:val="004967B6"/>
    <w:rsid w:val="004A504B"/>
    <w:rsid w:val="004A596C"/>
    <w:rsid w:val="004A6911"/>
    <w:rsid w:val="004B54E0"/>
    <w:rsid w:val="004B7384"/>
    <w:rsid w:val="004C02A7"/>
    <w:rsid w:val="004C4269"/>
    <w:rsid w:val="004D6236"/>
    <w:rsid w:val="004D7B86"/>
    <w:rsid w:val="004D7F90"/>
    <w:rsid w:val="004E2BBF"/>
    <w:rsid w:val="004E4DBB"/>
    <w:rsid w:val="004E4E41"/>
    <w:rsid w:val="004E7F9C"/>
    <w:rsid w:val="004F3493"/>
    <w:rsid w:val="004F3C95"/>
    <w:rsid w:val="004F5143"/>
    <w:rsid w:val="0050496F"/>
    <w:rsid w:val="00510F5A"/>
    <w:rsid w:val="00512B09"/>
    <w:rsid w:val="005163DB"/>
    <w:rsid w:val="00525E27"/>
    <w:rsid w:val="0052710A"/>
    <w:rsid w:val="00533796"/>
    <w:rsid w:val="00547AEF"/>
    <w:rsid w:val="00551BAC"/>
    <w:rsid w:val="00555D75"/>
    <w:rsid w:val="00560DF0"/>
    <w:rsid w:val="00563E46"/>
    <w:rsid w:val="0056759C"/>
    <w:rsid w:val="0057455E"/>
    <w:rsid w:val="0057500A"/>
    <w:rsid w:val="00577C7B"/>
    <w:rsid w:val="00586411"/>
    <w:rsid w:val="00587FEB"/>
    <w:rsid w:val="00591B75"/>
    <w:rsid w:val="0059513E"/>
    <w:rsid w:val="005A2663"/>
    <w:rsid w:val="005A68AC"/>
    <w:rsid w:val="005B4576"/>
    <w:rsid w:val="005B48FF"/>
    <w:rsid w:val="005D4022"/>
    <w:rsid w:val="005E5835"/>
    <w:rsid w:val="005E67C0"/>
    <w:rsid w:val="005F1E54"/>
    <w:rsid w:val="00604C15"/>
    <w:rsid w:val="0060558E"/>
    <w:rsid w:val="00614BE0"/>
    <w:rsid w:val="006158D5"/>
    <w:rsid w:val="00625D83"/>
    <w:rsid w:val="006343F9"/>
    <w:rsid w:val="006345C7"/>
    <w:rsid w:val="006416E7"/>
    <w:rsid w:val="0065789C"/>
    <w:rsid w:val="006623E7"/>
    <w:rsid w:val="00662B80"/>
    <w:rsid w:val="00670F6C"/>
    <w:rsid w:val="00676F74"/>
    <w:rsid w:val="0067717F"/>
    <w:rsid w:val="0068148C"/>
    <w:rsid w:val="006852C7"/>
    <w:rsid w:val="006852CE"/>
    <w:rsid w:val="006945CB"/>
    <w:rsid w:val="006960D6"/>
    <w:rsid w:val="006B09BB"/>
    <w:rsid w:val="006B479A"/>
    <w:rsid w:val="006B5613"/>
    <w:rsid w:val="006C1727"/>
    <w:rsid w:val="006C32FD"/>
    <w:rsid w:val="006C39CE"/>
    <w:rsid w:val="006D0FCC"/>
    <w:rsid w:val="006D25F1"/>
    <w:rsid w:val="006E1FC3"/>
    <w:rsid w:val="006E2B51"/>
    <w:rsid w:val="006E3B39"/>
    <w:rsid w:val="007035EF"/>
    <w:rsid w:val="00703F04"/>
    <w:rsid w:val="0070616B"/>
    <w:rsid w:val="00706FDA"/>
    <w:rsid w:val="00710DFF"/>
    <w:rsid w:val="00711F9A"/>
    <w:rsid w:val="00713810"/>
    <w:rsid w:val="007165A1"/>
    <w:rsid w:val="00723CDF"/>
    <w:rsid w:val="00724974"/>
    <w:rsid w:val="007303A5"/>
    <w:rsid w:val="00730B3E"/>
    <w:rsid w:val="0073420B"/>
    <w:rsid w:val="00742B93"/>
    <w:rsid w:val="0074760E"/>
    <w:rsid w:val="00754ABA"/>
    <w:rsid w:val="00760F4D"/>
    <w:rsid w:val="00787ADB"/>
    <w:rsid w:val="007A1546"/>
    <w:rsid w:val="007A228C"/>
    <w:rsid w:val="007A368E"/>
    <w:rsid w:val="007A5868"/>
    <w:rsid w:val="007A6C21"/>
    <w:rsid w:val="007B04CE"/>
    <w:rsid w:val="007B6871"/>
    <w:rsid w:val="007B7A2F"/>
    <w:rsid w:val="007B7AEA"/>
    <w:rsid w:val="007C3D33"/>
    <w:rsid w:val="007C77D7"/>
    <w:rsid w:val="007C793C"/>
    <w:rsid w:val="007D294A"/>
    <w:rsid w:val="007D47D2"/>
    <w:rsid w:val="007D4F4E"/>
    <w:rsid w:val="007D6EC0"/>
    <w:rsid w:val="007D7801"/>
    <w:rsid w:val="007D7E1D"/>
    <w:rsid w:val="0080348C"/>
    <w:rsid w:val="00807B06"/>
    <w:rsid w:val="00831979"/>
    <w:rsid w:val="00834954"/>
    <w:rsid w:val="00835BAE"/>
    <w:rsid w:val="00836932"/>
    <w:rsid w:val="00851352"/>
    <w:rsid w:val="00853891"/>
    <w:rsid w:val="00862D50"/>
    <w:rsid w:val="00863230"/>
    <w:rsid w:val="00864D68"/>
    <w:rsid w:val="00865F52"/>
    <w:rsid w:val="008717D8"/>
    <w:rsid w:val="0087215C"/>
    <w:rsid w:val="00876833"/>
    <w:rsid w:val="00880E35"/>
    <w:rsid w:val="008867A1"/>
    <w:rsid w:val="008871C9"/>
    <w:rsid w:val="008875FE"/>
    <w:rsid w:val="00887F8E"/>
    <w:rsid w:val="00896234"/>
    <w:rsid w:val="00897E43"/>
    <w:rsid w:val="008A3CA8"/>
    <w:rsid w:val="008C033D"/>
    <w:rsid w:val="008C5381"/>
    <w:rsid w:val="008C5738"/>
    <w:rsid w:val="008C7EAD"/>
    <w:rsid w:val="008D0CFE"/>
    <w:rsid w:val="008D2AA0"/>
    <w:rsid w:val="008D6152"/>
    <w:rsid w:val="008E3CDA"/>
    <w:rsid w:val="008F0F81"/>
    <w:rsid w:val="008F27BF"/>
    <w:rsid w:val="008F4114"/>
    <w:rsid w:val="0090148F"/>
    <w:rsid w:val="00904BF9"/>
    <w:rsid w:val="00906870"/>
    <w:rsid w:val="009142EC"/>
    <w:rsid w:val="009154C3"/>
    <w:rsid w:val="00917540"/>
    <w:rsid w:val="00923540"/>
    <w:rsid w:val="00926767"/>
    <w:rsid w:val="009304BE"/>
    <w:rsid w:val="009361D5"/>
    <w:rsid w:val="009418BF"/>
    <w:rsid w:val="009428A4"/>
    <w:rsid w:val="00956033"/>
    <w:rsid w:val="0095604A"/>
    <w:rsid w:val="009659F4"/>
    <w:rsid w:val="0096788A"/>
    <w:rsid w:val="00970D60"/>
    <w:rsid w:val="009960E5"/>
    <w:rsid w:val="009973B9"/>
    <w:rsid w:val="009A7ADC"/>
    <w:rsid w:val="009A7D61"/>
    <w:rsid w:val="009B6E80"/>
    <w:rsid w:val="009C19B7"/>
    <w:rsid w:val="009C63D5"/>
    <w:rsid w:val="009D7C51"/>
    <w:rsid w:val="009E1769"/>
    <w:rsid w:val="009E196C"/>
    <w:rsid w:val="009E38EF"/>
    <w:rsid w:val="009F1F33"/>
    <w:rsid w:val="009F36BF"/>
    <w:rsid w:val="00A00967"/>
    <w:rsid w:val="00A050B5"/>
    <w:rsid w:val="00A05558"/>
    <w:rsid w:val="00A0769C"/>
    <w:rsid w:val="00A111B6"/>
    <w:rsid w:val="00A20898"/>
    <w:rsid w:val="00A229E0"/>
    <w:rsid w:val="00A26D27"/>
    <w:rsid w:val="00A376EE"/>
    <w:rsid w:val="00A40456"/>
    <w:rsid w:val="00A42A99"/>
    <w:rsid w:val="00A5151A"/>
    <w:rsid w:val="00A57E0A"/>
    <w:rsid w:val="00A57F83"/>
    <w:rsid w:val="00A619E7"/>
    <w:rsid w:val="00A6265D"/>
    <w:rsid w:val="00A73AF3"/>
    <w:rsid w:val="00A823F6"/>
    <w:rsid w:val="00A8484D"/>
    <w:rsid w:val="00A923ED"/>
    <w:rsid w:val="00A93BBA"/>
    <w:rsid w:val="00A971FF"/>
    <w:rsid w:val="00AA0A89"/>
    <w:rsid w:val="00AA1BC5"/>
    <w:rsid w:val="00AA6429"/>
    <w:rsid w:val="00AB39F5"/>
    <w:rsid w:val="00AC01AA"/>
    <w:rsid w:val="00AC4F72"/>
    <w:rsid w:val="00AD216E"/>
    <w:rsid w:val="00AD4CC5"/>
    <w:rsid w:val="00AE276E"/>
    <w:rsid w:val="00AE2AA5"/>
    <w:rsid w:val="00AF741A"/>
    <w:rsid w:val="00B01ADB"/>
    <w:rsid w:val="00B04161"/>
    <w:rsid w:val="00B056F9"/>
    <w:rsid w:val="00B07BF1"/>
    <w:rsid w:val="00B11E3D"/>
    <w:rsid w:val="00B12DEE"/>
    <w:rsid w:val="00B13FB2"/>
    <w:rsid w:val="00B17E82"/>
    <w:rsid w:val="00B22C89"/>
    <w:rsid w:val="00B247B1"/>
    <w:rsid w:val="00B30746"/>
    <w:rsid w:val="00B32CA0"/>
    <w:rsid w:val="00B4491F"/>
    <w:rsid w:val="00B4575A"/>
    <w:rsid w:val="00B45886"/>
    <w:rsid w:val="00B5315C"/>
    <w:rsid w:val="00B53B45"/>
    <w:rsid w:val="00B575BA"/>
    <w:rsid w:val="00B70BEC"/>
    <w:rsid w:val="00B76429"/>
    <w:rsid w:val="00B8032C"/>
    <w:rsid w:val="00B87EFF"/>
    <w:rsid w:val="00B9174A"/>
    <w:rsid w:val="00B956D4"/>
    <w:rsid w:val="00B97446"/>
    <w:rsid w:val="00BA20E6"/>
    <w:rsid w:val="00BA2C55"/>
    <w:rsid w:val="00BA508C"/>
    <w:rsid w:val="00BA7432"/>
    <w:rsid w:val="00BB3C14"/>
    <w:rsid w:val="00BB4CF9"/>
    <w:rsid w:val="00BB7B85"/>
    <w:rsid w:val="00BC1AA0"/>
    <w:rsid w:val="00BC1E52"/>
    <w:rsid w:val="00BC2495"/>
    <w:rsid w:val="00BC375B"/>
    <w:rsid w:val="00BC4CD6"/>
    <w:rsid w:val="00BC7EB9"/>
    <w:rsid w:val="00BD2643"/>
    <w:rsid w:val="00BD56B1"/>
    <w:rsid w:val="00BD6558"/>
    <w:rsid w:val="00BE43BA"/>
    <w:rsid w:val="00BF3022"/>
    <w:rsid w:val="00BF3214"/>
    <w:rsid w:val="00BF3712"/>
    <w:rsid w:val="00BF5573"/>
    <w:rsid w:val="00C051EE"/>
    <w:rsid w:val="00C15867"/>
    <w:rsid w:val="00C2296D"/>
    <w:rsid w:val="00C23155"/>
    <w:rsid w:val="00C259EF"/>
    <w:rsid w:val="00C27E9F"/>
    <w:rsid w:val="00C33572"/>
    <w:rsid w:val="00C40C41"/>
    <w:rsid w:val="00C45885"/>
    <w:rsid w:val="00C50F22"/>
    <w:rsid w:val="00C51F82"/>
    <w:rsid w:val="00C538CA"/>
    <w:rsid w:val="00C57971"/>
    <w:rsid w:val="00C57C6C"/>
    <w:rsid w:val="00C57CE0"/>
    <w:rsid w:val="00C65BD7"/>
    <w:rsid w:val="00C660AD"/>
    <w:rsid w:val="00C67B15"/>
    <w:rsid w:val="00C7481F"/>
    <w:rsid w:val="00C74C88"/>
    <w:rsid w:val="00C76BA4"/>
    <w:rsid w:val="00C77EFA"/>
    <w:rsid w:val="00C83A48"/>
    <w:rsid w:val="00C85865"/>
    <w:rsid w:val="00C85E85"/>
    <w:rsid w:val="00C97F29"/>
    <w:rsid w:val="00CA1386"/>
    <w:rsid w:val="00CA1B06"/>
    <w:rsid w:val="00CA2EAE"/>
    <w:rsid w:val="00CA4AC1"/>
    <w:rsid w:val="00CA642A"/>
    <w:rsid w:val="00CB0316"/>
    <w:rsid w:val="00CB0B11"/>
    <w:rsid w:val="00CB3367"/>
    <w:rsid w:val="00CB5354"/>
    <w:rsid w:val="00CB611C"/>
    <w:rsid w:val="00CC0201"/>
    <w:rsid w:val="00CC6A14"/>
    <w:rsid w:val="00CC70A3"/>
    <w:rsid w:val="00CD050A"/>
    <w:rsid w:val="00CD4442"/>
    <w:rsid w:val="00CD53C3"/>
    <w:rsid w:val="00CD574E"/>
    <w:rsid w:val="00CE4C22"/>
    <w:rsid w:val="00CE6E22"/>
    <w:rsid w:val="00CF252D"/>
    <w:rsid w:val="00CF2558"/>
    <w:rsid w:val="00CF41EC"/>
    <w:rsid w:val="00CF5D04"/>
    <w:rsid w:val="00D01E56"/>
    <w:rsid w:val="00D04DE4"/>
    <w:rsid w:val="00D063F1"/>
    <w:rsid w:val="00D07AF3"/>
    <w:rsid w:val="00D13CD0"/>
    <w:rsid w:val="00D14F22"/>
    <w:rsid w:val="00D15E03"/>
    <w:rsid w:val="00D16DC1"/>
    <w:rsid w:val="00D25C68"/>
    <w:rsid w:val="00D276A0"/>
    <w:rsid w:val="00D4741C"/>
    <w:rsid w:val="00D47C1A"/>
    <w:rsid w:val="00D55F4C"/>
    <w:rsid w:val="00D56453"/>
    <w:rsid w:val="00D572DA"/>
    <w:rsid w:val="00D57918"/>
    <w:rsid w:val="00D73DC6"/>
    <w:rsid w:val="00D74C1A"/>
    <w:rsid w:val="00D754C1"/>
    <w:rsid w:val="00D77393"/>
    <w:rsid w:val="00D77A35"/>
    <w:rsid w:val="00D80BB4"/>
    <w:rsid w:val="00D818D8"/>
    <w:rsid w:val="00D81B3E"/>
    <w:rsid w:val="00D90C70"/>
    <w:rsid w:val="00D90E49"/>
    <w:rsid w:val="00D93B98"/>
    <w:rsid w:val="00D96ADE"/>
    <w:rsid w:val="00DA0CE2"/>
    <w:rsid w:val="00DA36F5"/>
    <w:rsid w:val="00DA3C87"/>
    <w:rsid w:val="00DB4092"/>
    <w:rsid w:val="00DC0071"/>
    <w:rsid w:val="00DC2506"/>
    <w:rsid w:val="00DC6A10"/>
    <w:rsid w:val="00DC6E5D"/>
    <w:rsid w:val="00DD0BF3"/>
    <w:rsid w:val="00DD501D"/>
    <w:rsid w:val="00DE4980"/>
    <w:rsid w:val="00DE657E"/>
    <w:rsid w:val="00DF2DF0"/>
    <w:rsid w:val="00DF410B"/>
    <w:rsid w:val="00DF4704"/>
    <w:rsid w:val="00DF5AE3"/>
    <w:rsid w:val="00E00B07"/>
    <w:rsid w:val="00E024AA"/>
    <w:rsid w:val="00E044F8"/>
    <w:rsid w:val="00E250F1"/>
    <w:rsid w:val="00E26AD5"/>
    <w:rsid w:val="00E34F16"/>
    <w:rsid w:val="00E3550D"/>
    <w:rsid w:val="00E406A0"/>
    <w:rsid w:val="00E52999"/>
    <w:rsid w:val="00E56411"/>
    <w:rsid w:val="00E614E0"/>
    <w:rsid w:val="00E66439"/>
    <w:rsid w:val="00E70364"/>
    <w:rsid w:val="00E73DEC"/>
    <w:rsid w:val="00E73F7F"/>
    <w:rsid w:val="00E77C14"/>
    <w:rsid w:val="00E85409"/>
    <w:rsid w:val="00E95CF7"/>
    <w:rsid w:val="00EA0279"/>
    <w:rsid w:val="00EA429F"/>
    <w:rsid w:val="00EA4F9E"/>
    <w:rsid w:val="00EA63CA"/>
    <w:rsid w:val="00EA64F2"/>
    <w:rsid w:val="00EA6D3B"/>
    <w:rsid w:val="00EB00AD"/>
    <w:rsid w:val="00EB136C"/>
    <w:rsid w:val="00EB1B17"/>
    <w:rsid w:val="00EB480E"/>
    <w:rsid w:val="00EB5EC6"/>
    <w:rsid w:val="00EB7FC9"/>
    <w:rsid w:val="00EC621C"/>
    <w:rsid w:val="00ED27E8"/>
    <w:rsid w:val="00ED6CE6"/>
    <w:rsid w:val="00ED7137"/>
    <w:rsid w:val="00EE789D"/>
    <w:rsid w:val="00F02414"/>
    <w:rsid w:val="00F0700E"/>
    <w:rsid w:val="00F16238"/>
    <w:rsid w:val="00F21088"/>
    <w:rsid w:val="00F2686F"/>
    <w:rsid w:val="00F2732B"/>
    <w:rsid w:val="00F32323"/>
    <w:rsid w:val="00F327E7"/>
    <w:rsid w:val="00F35746"/>
    <w:rsid w:val="00F36556"/>
    <w:rsid w:val="00F447C7"/>
    <w:rsid w:val="00F51B67"/>
    <w:rsid w:val="00F5211B"/>
    <w:rsid w:val="00F554A9"/>
    <w:rsid w:val="00F716FD"/>
    <w:rsid w:val="00F748A9"/>
    <w:rsid w:val="00F80355"/>
    <w:rsid w:val="00F87C43"/>
    <w:rsid w:val="00FA12F6"/>
    <w:rsid w:val="00FB0C81"/>
    <w:rsid w:val="00FB6BFA"/>
    <w:rsid w:val="00FC2200"/>
    <w:rsid w:val="00FC2540"/>
    <w:rsid w:val="00FC2BFA"/>
    <w:rsid w:val="00FD1299"/>
    <w:rsid w:val="00FD54A4"/>
    <w:rsid w:val="00FE0A2D"/>
    <w:rsid w:val="00FE3307"/>
    <w:rsid w:val="00FF0204"/>
    <w:rsid w:val="00FF3AED"/>
    <w:rsid w:val="00FF5D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A908"/>
  <w15:docId w15:val="{1B25B86A-7385-4FE8-943E-F8F3FE68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fr-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CA"/>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fr-CA"/>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CA"/>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FE3307"/>
    <w:pPr>
      <w:ind w:left="720"/>
      <w:contextualSpacing/>
    </w:pPr>
  </w:style>
  <w:style w:type="paragraph" w:styleId="FootnoteText">
    <w:name w:val="footnote text"/>
    <w:basedOn w:val="Normal"/>
    <w:link w:val="FootnoteTextChar"/>
    <w:uiPriority w:val="99"/>
    <w:semiHidden/>
    <w:unhideWhenUsed/>
    <w:rsid w:val="00FE3307"/>
    <w:rPr>
      <w:sz w:val="20"/>
      <w:szCs w:val="20"/>
    </w:rPr>
  </w:style>
  <w:style w:type="character" w:customStyle="1" w:styleId="FootnoteTextChar">
    <w:name w:val="Footnote Text Char"/>
    <w:basedOn w:val="DefaultParagraphFont"/>
    <w:link w:val="FootnoteText"/>
    <w:uiPriority w:val="99"/>
    <w:semiHidden/>
    <w:rsid w:val="00FE3307"/>
    <w:rPr>
      <w:lang w:val="fr-CA"/>
    </w:rPr>
  </w:style>
  <w:style w:type="character" w:styleId="FootnoteReference">
    <w:name w:val="footnote reference"/>
    <w:basedOn w:val="DefaultParagraphFont"/>
    <w:uiPriority w:val="99"/>
    <w:semiHidden/>
    <w:unhideWhenUsed/>
    <w:rsid w:val="00FE3307"/>
    <w:rPr>
      <w:vertAlign w:val="superscript"/>
    </w:rPr>
  </w:style>
  <w:style w:type="character" w:styleId="PageNumber">
    <w:name w:val="page number"/>
    <w:rsid w:val="00445D59"/>
    <w:rPr>
      <w:sz w:val="22"/>
      <w:szCs w:val="22"/>
    </w:rPr>
  </w:style>
  <w:style w:type="character" w:customStyle="1" w:styleId="FooterChar">
    <w:name w:val="Footer Char"/>
    <w:link w:val="Footer"/>
    <w:uiPriority w:val="99"/>
    <w:rsid w:val="00445D59"/>
    <w:rPr>
      <w:sz w:val="22"/>
      <w:szCs w:val="22"/>
      <w:lang w:val="fr-CA"/>
    </w:rPr>
  </w:style>
  <w:style w:type="character" w:customStyle="1" w:styleId="HeaderChar">
    <w:name w:val="Header Char"/>
    <w:link w:val="Header"/>
    <w:uiPriority w:val="99"/>
    <w:rsid w:val="00445D59"/>
    <w:rPr>
      <w:sz w:val="22"/>
      <w:szCs w:val="22"/>
      <w:lang w:val="fr-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354EE2"/>
    <w:rPr>
      <w:sz w:val="22"/>
      <w:szCs w:val="22"/>
      <w:lang w:val="fr-CA"/>
    </w:rPr>
  </w:style>
  <w:style w:type="paragraph" w:customStyle="1" w:styleId="Default">
    <w:name w:val="Default"/>
    <w:rsid w:val="00284998"/>
    <w:pPr>
      <w:widowControl w:val="0"/>
      <w:autoSpaceDE w:val="0"/>
      <w:autoSpaceDN w:val="0"/>
      <w:adjustRightInd w:val="0"/>
    </w:pPr>
    <w:rPr>
      <w:color w:val="000000"/>
      <w:sz w:val="24"/>
      <w:szCs w:val="24"/>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19307E"/>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UNEP/OzL.Pro/ExCom/83/33</Document_x0020_Number>
  </documentManagement>
</p:properties>
</file>

<file path=customXml/itemProps1.xml><?xml version="1.0" encoding="utf-8"?>
<ds:datastoreItem xmlns:ds="http://schemas.openxmlformats.org/officeDocument/2006/customXml" ds:itemID="{256FFC36-7E4B-4429-AA0E-DD34F32B5AE9}"/>
</file>

<file path=customXml/itemProps2.xml><?xml version="1.0" encoding="utf-8"?>
<ds:datastoreItem xmlns:ds="http://schemas.openxmlformats.org/officeDocument/2006/customXml" ds:itemID="{70297DD9-1233-4248-AA97-5AA2A3A19DC1}"/>
</file>

<file path=customXml/itemProps3.xml><?xml version="1.0" encoding="utf-8"?>
<ds:datastoreItem xmlns:ds="http://schemas.openxmlformats.org/officeDocument/2006/customXml" ds:itemID="{DA5D8D40-C82D-4ABE-A706-05611C79167A}"/>
</file>

<file path=customXml/itemProps4.xml><?xml version="1.0" encoding="utf-8"?>
<ds:datastoreItem xmlns:ds="http://schemas.openxmlformats.org/officeDocument/2006/customXml" ds:itemID="{394A7F92-5D3A-457E-88B2-BAA5745B09E7}"/>
</file>

<file path=docProps/app.xml><?xml version="1.0" encoding="utf-8"?>
<Properties xmlns="http://schemas.openxmlformats.org/officeDocument/2006/extended-properties" xmlns:vt="http://schemas.openxmlformats.org/officeDocument/2006/docPropsVTypes">
  <Template>Eec83G</Template>
  <TotalTime>115</TotalTime>
  <Pages>9</Pages>
  <Words>3509</Words>
  <Characters>17851</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Mozambique</vt:lpstr>
      <vt:lpstr>PROJECT PROOSAL:  MOZAMBIQUE</vt:lpstr>
    </vt:vector>
  </TitlesOfParts>
  <Company>UNMFS</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Mozambique</dc:title>
  <dc:subject>83rd</dc:subject>
  <dc:creator>Martine Chery</dc:creator>
  <cp:keywords/>
  <dc:description/>
  <cp:lastModifiedBy>HBE</cp:lastModifiedBy>
  <cp:revision>35</cp:revision>
  <cp:lastPrinted>2019-05-03T20:05:00Z</cp:lastPrinted>
  <dcterms:created xsi:type="dcterms:W3CDTF">2019-05-08T17:38:00Z</dcterms:created>
  <dcterms:modified xsi:type="dcterms:W3CDTF">2019-05-22T20:22:00Z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UNEP/OzL.Pro/ExCom/83/33</vt:lpwstr>
  </property>
  <property fmtid="{D5CDD505-2E9C-101B-9397-08002B2CF9AE}" pid="3" name="Revision date">
    <vt:lpwstr>5/4/2019</vt:lpwstr>
  </property>
  <property fmtid="{D5CDD505-2E9C-101B-9397-08002B2CF9AE}" pid="4" name="ContentTypeId">
    <vt:lpwstr>0x01010021E4441DB9763A4B9F4793D394AD28DA</vt:lpwstr>
  </property>
</Properties>
</file>