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991"/>
        <w:gridCol w:w="3544"/>
      </w:tblGrid>
      <w:tr w:rsidR="00441083">
        <w:trPr>
          <w:trHeight w:val="720"/>
        </w:trPr>
        <w:tc>
          <w:tcPr>
            <w:tcW w:w="7061" w:type="dxa"/>
            <w:gridSpan w:val="2"/>
            <w:tcBorders>
              <w:bottom w:val="single" w:sz="18" w:space="0" w:color="auto"/>
            </w:tcBorders>
          </w:tcPr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>NATIONS</w:t>
            </w:r>
          </w:p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 xml:space="preserve">UNIES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441083" w:rsidRDefault="00E60D9C">
            <w:pPr>
              <w:tabs>
                <w:tab w:val="left" w:pos="3010"/>
              </w:tabs>
              <w:jc w:val="center"/>
              <w:rPr>
                <w:sz w:val="52"/>
                <w:szCs w:val="52"/>
              </w:rPr>
            </w:pPr>
            <w:r>
              <w:rPr>
                <w:rFonts w:ascii="Univers Bold" w:hAnsi="Univers Bold"/>
                <w:b/>
                <w:sz w:val="72"/>
                <w:lang w:val="fr-CA"/>
              </w:rPr>
              <w:t xml:space="preserve">          EP</w:t>
            </w:r>
          </w:p>
        </w:tc>
      </w:tr>
      <w:tr w:rsidR="00441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C6443E">
            <w:pPr>
              <w:spacing w:before="12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75D1E401" wp14:editId="1024F88C">
                  <wp:simplePos x="0" y="0"/>
                  <wp:positionH relativeFrom="column">
                    <wp:posOffset>321554</wp:posOffset>
                  </wp:positionH>
                  <wp:positionV relativeFrom="paragraph">
                    <wp:posOffset>861500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D0C"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0" allowOverlap="1" wp14:anchorId="244C4231" wp14:editId="1C9406B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112395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44108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Programme des</w:t>
            </w:r>
          </w:p>
          <w:p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Nations Unies pour</w:t>
            </w:r>
          </w:p>
          <w:p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l’environnement</w:t>
            </w:r>
          </w:p>
          <w:p w:rsidR="00441083" w:rsidRDefault="00E60D9C">
            <w:pPr>
              <w:spacing w:before="720"/>
              <w:ind w:left="158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441083">
            <w:pPr>
              <w:rPr>
                <w:lang w:val="fr-FR"/>
              </w:rPr>
            </w:pPr>
          </w:p>
          <w:p w:rsidR="00441083" w:rsidRPr="00143510" w:rsidRDefault="00E60D9C">
            <w:pPr>
              <w:rPr>
                <w:lang w:val="fr-FR"/>
              </w:rPr>
            </w:pPr>
            <w:r w:rsidRPr="00143510">
              <w:rPr>
                <w:lang w:val="fr-FR"/>
              </w:rPr>
              <w:t>Distr.</w:t>
            </w:r>
          </w:p>
          <w:p w:rsidR="00441083" w:rsidRPr="00143510" w:rsidRDefault="00E60D9C">
            <w:pPr>
              <w:rPr>
                <w:lang w:val="fr-FR"/>
              </w:rPr>
            </w:pPr>
            <w:r w:rsidRPr="00143510">
              <w:rPr>
                <w:lang w:val="fr-FR"/>
              </w:rPr>
              <w:t>GENERAL</w:t>
            </w:r>
            <w:r w:rsidR="00085BCB" w:rsidRPr="00143510">
              <w:rPr>
                <w:lang w:val="fr-FR"/>
              </w:rPr>
              <w:t>E</w:t>
            </w:r>
          </w:p>
          <w:p w:rsidR="00441083" w:rsidRPr="00143510" w:rsidRDefault="00441083">
            <w:pPr>
              <w:rPr>
                <w:lang w:val="fr-FR"/>
              </w:rPr>
            </w:pPr>
          </w:p>
          <w:p w:rsidR="00441083" w:rsidRPr="00143510" w:rsidRDefault="00E60D9C">
            <w:pPr>
              <w:rPr>
                <w:lang w:val="fr-FR"/>
              </w:rPr>
            </w:pPr>
            <w:r>
              <w:fldChar w:fldCharType="begin"/>
            </w:r>
            <w:r w:rsidRPr="00143510">
              <w:rPr>
                <w:lang w:val="fr-FR"/>
              </w:rPr>
              <w:instrText xml:space="preserve"> DOCPROPERTY "Document number"  \* MERGEFORMAT </w:instrText>
            </w:r>
            <w:r>
              <w:fldChar w:fldCharType="separate"/>
            </w:r>
            <w:r w:rsidR="001478B7">
              <w:rPr>
                <w:lang w:val="fr-FR"/>
              </w:rPr>
              <w:t>UNEP/OzL.Pro/ExCom/83/26</w:t>
            </w:r>
            <w:r>
              <w:fldChar w:fldCharType="end"/>
            </w:r>
          </w:p>
          <w:p w:rsidR="002F0B57" w:rsidRPr="00143510" w:rsidRDefault="002F0B57" w:rsidP="001D4CE7">
            <w:pPr>
              <w:rPr>
                <w:lang w:val="fr-FR"/>
              </w:rPr>
            </w:pPr>
            <w:r>
              <w:fldChar w:fldCharType="begin"/>
            </w:r>
            <w:r w:rsidRPr="00143510">
              <w:rPr>
                <w:lang w:val="fr-FR"/>
              </w:rPr>
              <w:instrText xml:space="preserve"> DOCPROPERTY "Revision date" \@ "d MMMM YYYY"  \* MERGEFORMAT </w:instrText>
            </w:r>
            <w:r>
              <w:fldChar w:fldCharType="separate"/>
            </w:r>
            <w:r w:rsidR="00A34D5C" w:rsidRPr="00143510">
              <w:rPr>
                <w:lang w:val="fr-FR"/>
              </w:rPr>
              <w:t>2</w:t>
            </w:r>
            <w:r w:rsidR="006E2F2D" w:rsidRPr="00143510">
              <w:rPr>
                <w:lang w:val="fr-FR"/>
              </w:rPr>
              <w:t> </w:t>
            </w:r>
            <w:r w:rsidR="00A34D5C" w:rsidRPr="00143510">
              <w:rPr>
                <w:lang w:val="fr-FR"/>
              </w:rPr>
              <w:t>mai </w:t>
            </w:r>
            <w:r w:rsidR="00220DA4" w:rsidRPr="00143510">
              <w:rPr>
                <w:lang w:val="fr-FR"/>
              </w:rPr>
              <w:t>2019</w:t>
            </w:r>
            <w:r>
              <w:fldChar w:fldCharType="end"/>
            </w:r>
          </w:p>
          <w:p w:rsidR="00441083" w:rsidRDefault="00FC5578">
            <w:pPr>
              <w:rPr>
                <w:caps/>
                <w:lang w:val="fr-FR"/>
              </w:rPr>
            </w:pPr>
            <w:r w:rsidRPr="00143510">
              <w:rPr>
                <w:caps/>
                <w:lang w:val="fr-FR"/>
              </w:rPr>
              <w:br/>
            </w:r>
            <w:r w:rsidR="00E60D9C">
              <w:rPr>
                <w:caps/>
                <w:lang w:val="fr-FR"/>
              </w:rPr>
              <w:t>FRANÇAIS</w:t>
            </w:r>
          </w:p>
          <w:p w:rsidR="00441083" w:rsidRDefault="00E60D9C">
            <w:r>
              <w:t xml:space="preserve">ORIGINAL: </w:t>
            </w:r>
            <w:r w:rsidR="0091161A">
              <w:t>ANGLAIS</w:t>
            </w:r>
          </w:p>
        </w:tc>
      </w:tr>
    </w:tbl>
    <w:p w:rsidR="00441083" w:rsidRDefault="00441083">
      <w:pPr>
        <w:jc w:val="left"/>
        <w:rPr>
          <w:lang w:val="fr-CA"/>
        </w:rPr>
      </w:pPr>
    </w:p>
    <w:p w:rsidR="00441083" w:rsidRDefault="00E60D9C" w:rsidP="004C2C87">
      <w:pPr>
        <w:jc w:val="left"/>
        <w:rPr>
          <w:lang w:val="fr-CA"/>
        </w:rPr>
      </w:pPr>
      <w:r>
        <w:rPr>
          <w:lang w:val="fr-CA"/>
        </w:rPr>
        <w:t xml:space="preserve">COMITE EXECUTIF </w:t>
      </w:r>
      <w:r>
        <w:rPr>
          <w:lang w:val="fr-CA"/>
        </w:rPr>
        <w:br/>
        <w:t xml:space="preserve">  DU FONDS MULTILATERAL AUX FINS </w:t>
      </w:r>
      <w:r>
        <w:rPr>
          <w:lang w:val="fr-CA"/>
        </w:rPr>
        <w:br/>
        <w:t xml:space="preserve">  D’APPLICATION DU PROTOCOLE DE MONTREAL</w:t>
      </w:r>
      <w:r>
        <w:rPr>
          <w:lang w:val="fr-CA"/>
        </w:rPr>
        <w:br/>
      </w:r>
      <w:r w:rsidR="00E54871">
        <w:rPr>
          <w:lang w:val="fr-CA"/>
        </w:rPr>
        <w:t>Quatre</w:t>
      </w:r>
      <w:r>
        <w:rPr>
          <w:lang w:val="fr-CA"/>
        </w:rPr>
        <w:t>-</w:t>
      </w:r>
      <w:r w:rsidR="00E54871">
        <w:rPr>
          <w:lang w:val="fr-CA"/>
        </w:rPr>
        <w:t>vingt</w:t>
      </w:r>
      <w:r w:rsidR="00AE63D8">
        <w:rPr>
          <w:lang w:val="fr-CA"/>
        </w:rPr>
        <w:t>-</w:t>
      </w:r>
      <w:r w:rsidR="004C2C87">
        <w:rPr>
          <w:lang w:val="fr-CA"/>
        </w:rPr>
        <w:t>troisi</w:t>
      </w:r>
      <w:r w:rsidR="00E54871">
        <w:rPr>
          <w:lang w:val="fr-CA"/>
        </w:rPr>
        <w:t>ème</w:t>
      </w:r>
      <w:r w:rsidR="00FC5578" w:rsidRPr="00FC5578">
        <w:rPr>
          <w:lang w:val="fr-CA"/>
        </w:rPr>
        <w:t xml:space="preserve"> </w:t>
      </w:r>
      <w:r>
        <w:rPr>
          <w:lang w:val="fr-CA"/>
        </w:rPr>
        <w:t>réunion</w:t>
      </w:r>
    </w:p>
    <w:p w:rsidR="00441083" w:rsidRPr="00A142BC" w:rsidRDefault="00E54871" w:rsidP="004C2C87">
      <w:pPr>
        <w:jc w:val="left"/>
        <w:rPr>
          <w:lang w:val="fr-CA"/>
        </w:rPr>
      </w:pPr>
      <w:r w:rsidRPr="00A142BC">
        <w:rPr>
          <w:lang w:val="fr-CA"/>
        </w:rPr>
        <w:t>Montréal,</w:t>
      </w:r>
      <w:r w:rsidR="00FC5578" w:rsidRPr="00A142BC">
        <w:rPr>
          <w:lang w:val="fr-CA"/>
        </w:rPr>
        <w:t xml:space="preserve"> </w:t>
      </w:r>
      <w:r w:rsidR="004C2C87" w:rsidRPr="00A142BC">
        <w:rPr>
          <w:lang w:val="fr-CA"/>
        </w:rPr>
        <w:t>27</w:t>
      </w:r>
      <w:r w:rsidR="00E60D9C" w:rsidRPr="00A142BC">
        <w:rPr>
          <w:lang w:val="fr-CA"/>
        </w:rPr>
        <w:t xml:space="preserve">– </w:t>
      </w:r>
      <w:r w:rsidR="004C2C87" w:rsidRPr="00A142BC">
        <w:rPr>
          <w:lang w:val="fr-CA"/>
        </w:rPr>
        <w:t>31</w:t>
      </w:r>
      <w:r w:rsidR="006E2F2D" w:rsidRPr="00A142BC">
        <w:rPr>
          <w:lang w:val="fr-CA"/>
        </w:rPr>
        <w:t> </w:t>
      </w:r>
      <w:r w:rsidR="004C2C87" w:rsidRPr="00A142BC">
        <w:rPr>
          <w:lang w:val="fr-CA"/>
        </w:rPr>
        <w:t>mai</w:t>
      </w:r>
      <w:r w:rsidR="006E2F2D" w:rsidRPr="00A142BC">
        <w:rPr>
          <w:lang w:val="fr-CA"/>
        </w:rPr>
        <w:t> </w:t>
      </w:r>
      <w:r w:rsidR="004C2C87" w:rsidRPr="00A142BC">
        <w:rPr>
          <w:lang w:val="fr-CA"/>
        </w:rPr>
        <w:t>2019</w:t>
      </w:r>
    </w:p>
    <w:p w:rsidR="00441083" w:rsidRPr="00A142BC" w:rsidRDefault="00441083">
      <w:pPr>
        <w:jc w:val="left"/>
        <w:rPr>
          <w:lang w:val="fr-CA"/>
        </w:rPr>
      </w:pPr>
    </w:p>
    <w:p w:rsidR="00441083" w:rsidRPr="00A142BC" w:rsidRDefault="00441083">
      <w:pPr>
        <w:pStyle w:val="Title1"/>
        <w:rPr>
          <w:lang w:val="fr-CA"/>
        </w:rPr>
      </w:pPr>
    </w:p>
    <w:p w:rsidR="00441083" w:rsidRPr="00A142BC" w:rsidRDefault="00441083">
      <w:pPr>
        <w:pStyle w:val="Title1"/>
        <w:rPr>
          <w:lang w:val="fr-CA"/>
        </w:rPr>
      </w:pPr>
    </w:p>
    <w:p w:rsidR="0050011D" w:rsidRPr="00A34D5C" w:rsidRDefault="00297158" w:rsidP="0050011D">
      <w:pPr>
        <w:jc w:val="center"/>
        <w:rPr>
          <w:b/>
          <w:lang w:val="fr-CA"/>
        </w:rPr>
      </w:pPr>
      <w:r>
        <w:rPr>
          <w:b/>
          <w:lang w:val="fr-CA"/>
        </w:rPr>
        <w:t>PROPOSITION</w:t>
      </w:r>
      <w:r w:rsidR="00A34D5C" w:rsidRPr="00A34D5C">
        <w:rPr>
          <w:b/>
          <w:lang w:val="fr-CA"/>
        </w:rPr>
        <w:t xml:space="preserve"> DE PROJET</w:t>
      </w:r>
      <w:r w:rsidR="006E2F2D">
        <w:rPr>
          <w:b/>
          <w:lang w:val="fr-CA"/>
        </w:rPr>
        <w:t> </w:t>
      </w:r>
      <w:r w:rsidR="00A34D5C" w:rsidRPr="00A34D5C">
        <w:rPr>
          <w:b/>
          <w:lang w:val="fr-CA"/>
        </w:rPr>
        <w:t xml:space="preserve">: </w:t>
      </w:r>
      <w:r w:rsidR="0050011D" w:rsidRPr="00A34D5C">
        <w:rPr>
          <w:b/>
          <w:lang w:val="fr-CA"/>
        </w:rPr>
        <w:t>ESWATINI</w:t>
      </w:r>
      <w:r w:rsidR="00AD4C6A">
        <w:rPr>
          <w:b/>
          <w:lang w:val="fr-CA"/>
        </w:rPr>
        <w:t xml:space="preserve"> (L’)</w:t>
      </w:r>
    </w:p>
    <w:p w:rsidR="0050011D" w:rsidRPr="00A34D5C" w:rsidRDefault="0050011D" w:rsidP="0050011D">
      <w:pPr>
        <w:jc w:val="center"/>
        <w:rPr>
          <w:b/>
          <w:lang w:val="fr-CA"/>
        </w:rPr>
      </w:pPr>
    </w:p>
    <w:p w:rsidR="0050011D" w:rsidRPr="00A34D5C" w:rsidRDefault="0050011D" w:rsidP="0050011D">
      <w:pPr>
        <w:jc w:val="center"/>
        <w:rPr>
          <w:lang w:val="fr-CA"/>
        </w:rPr>
      </w:pPr>
    </w:p>
    <w:p w:rsidR="0050011D" w:rsidRPr="00A34D5C" w:rsidRDefault="0050011D" w:rsidP="0050011D">
      <w:pPr>
        <w:rPr>
          <w:lang w:val="fr-CA"/>
        </w:rPr>
      </w:pPr>
    </w:p>
    <w:p w:rsidR="0050011D" w:rsidRPr="00A34D5C" w:rsidRDefault="00A34D5C" w:rsidP="0050011D">
      <w:pPr>
        <w:ind w:firstLine="720"/>
        <w:rPr>
          <w:lang w:val="fr-CA"/>
        </w:rPr>
      </w:pPr>
      <w:r w:rsidRPr="00A34D5C">
        <w:rPr>
          <w:lang w:val="fr-CA"/>
        </w:rPr>
        <w:t xml:space="preserve">Le présent document renferme les observations et la recommandation du Secrétariat </w:t>
      </w:r>
      <w:r>
        <w:rPr>
          <w:lang w:val="fr-CA"/>
        </w:rPr>
        <w:t>sur la proposition de projet suivante</w:t>
      </w:r>
      <w:r w:rsidR="006E2F2D">
        <w:rPr>
          <w:lang w:val="fr-CA"/>
        </w:rPr>
        <w:t> </w:t>
      </w:r>
      <w:r>
        <w:rPr>
          <w:lang w:val="fr-CA"/>
        </w:rPr>
        <w:t>:</w:t>
      </w:r>
      <w:r w:rsidR="0050011D" w:rsidRPr="00A34D5C">
        <w:rPr>
          <w:lang w:val="fr-CA"/>
        </w:rPr>
        <w:t xml:space="preserve"> </w:t>
      </w:r>
    </w:p>
    <w:p w:rsidR="0050011D" w:rsidRPr="00A34D5C" w:rsidRDefault="0050011D" w:rsidP="0050011D">
      <w:pPr>
        <w:rPr>
          <w:lang w:val="fr-CA"/>
        </w:rPr>
      </w:pPr>
    </w:p>
    <w:p w:rsidR="0050011D" w:rsidRPr="00FE3307" w:rsidRDefault="00A34D5C" w:rsidP="0050011D">
      <w:pPr>
        <w:rPr>
          <w:u w:val="single"/>
          <w:lang w:val="en-CA"/>
        </w:rPr>
      </w:pPr>
      <w:r>
        <w:rPr>
          <w:u w:val="single"/>
          <w:lang w:val="en-CA"/>
        </w:rPr>
        <w:t>Élimination</w:t>
      </w:r>
    </w:p>
    <w:p w:rsidR="0050011D" w:rsidRPr="00FE3307" w:rsidRDefault="0050011D" w:rsidP="0050011D">
      <w:pPr>
        <w:rPr>
          <w:lang w:val="en-CA"/>
        </w:rPr>
      </w:pPr>
    </w:p>
    <w:tbl>
      <w:tblPr>
        <w:tblStyle w:val="TableGrid"/>
        <w:tblW w:w="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6"/>
        <w:gridCol w:w="2379"/>
      </w:tblGrid>
      <w:tr w:rsidR="0050011D" w:rsidRPr="00FE3307" w:rsidTr="00757E67">
        <w:trPr>
          <w:trHeight w:val="276"/>
        </w:trPr>
        <w:tc>
          <w:tcPr>
            <w:tcW w:w="6856" w:type="dxa"/>
          </w:tcPr>
          <w:p w:rsidR="0050011D" w:rsidRPr="00A142BC" w:rsidRDefault="00A34D5C" w:rsidP="0050011D">
            <w:pPr>
              <w:pStyle w:val="ListParagraph"/>
              <w:numPr>
                <w:ilvl w:val="0"/>
                <w:numId w:val="23"/>
              </w:numPr>
              <w:ind w:hanging="830"/>
              <w:rPr>
                <w:lang w:val="fr-CA"/>
              </w:rPr>
            </w:pPr>
            <w:r w:rsidRPr="00A142BC">
              <w:rPr>
                <w:lang w:val="fr-CA"/>
              </w:rPr>
              <w:t>Plan de gestion de l’élimination des HCFC (phase</w:t>
            </w:r>
            <w:r w:rsidR="006E2F2D" w:rsidRPr="00A142BC">
              <w:rPr>
                <w:lang w:val="fr-CA"/>
              </w:rPr>
              <w:t> </w:t>
            </w:r>
            <w:r w:rsidRPr="00A142BC">
              <w:rPr>
                <w:lang w:val="fr-CA"/>
              </w:rPr>
              <w:t xml:space="preserve">I, quatrième tranche) </w:t>
            </w:r>
          </w:p>
        </w:tc>
        <w:tc>
          <w:tcPr>
            <w:tcW w:w="2379" w:type="dxa"/>
          </w:tcPr>
          <w:p w:rsidR="0050011D" w:rsidRPr="00FE3307" w:rsidRDefault="00A34D5C" w:rsidP="00757E67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PNUE et PNUD</w:t>
            </w:r>
          </w:p>
        </w:tc>
      </w:tr>
    </w:tbl>
    <w:p w:rsidR="00441083" w:rsidRDefault="00441083">
      <w:pPr>
        <w:jc w:val="center"/>
        <w:rPr>
          <w:lang w:val="fr-CA"/>
        </w:rPr>
      </w:pPr>
    </w:p>
    <w:p w:rsidR="00441083" w:rsidRDefault="00441083">
      <w:pPr>
        <w:jc w:val="center"/>
        <w:rPr>
          <w:lang w:val="fr-CA"/>
        </w:rPr>
      </w:pPr>
    </w:p>
    <w:p w:rsidR="00441083" w:rsidRDefault="00441083">
      <w:pPr>
        <w:jc w:val="center"/>
        <w:rPr>
          <w:lang w:val="fr-CA"/>
        </w:rPr>
      </w:pPr>
    </w:p>
    <w:p w:rsidR="00441083" w:rsidRDefault="00441083" w:rsidP="004E3A36">
      <w:pPr>
        <w:pStyle w:val="Heading1"/>
        <w:numPr>
          <w:ilvl w:val="0"/>
          <w:numId w:val="0"/>
        </w:numPr>
        <w:rPr>
          <w:lang w:val="fr-FR"/>
        </w:rPr>
      </w:pPr>
    </w:p>
    <w:p w:rsidR="00441083" w:rsidRDefault="00441083">
      <w:pPr>
        <w:pStyle w:val="StyleHeader4Para4Left0Firstline0"/>
        <w:numPr>
          <w:ilvl w:val="0"/>
          <w:numId w:val="0"/>
        </w:numPr>
        <w:rPr>
          <w:lang w:val="fr-FR"/>
        </w:rPr>
      </w:pPr>
    </w:p>
    <w:p w:rsidR="00441083" w:rsidRDefault="00E60D9C">
      <w:pPr>
        <w:pStyle w:val="StyleHeader4Para4Left0Firstline0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p w:rsidR="00085BCB" w:rsidRPr="009C30F9" w:rsidRDefault="00085BCB" w:rsidP="00085BCB">
      <w:pPr>
        <w:spacing w:after="80"/>
        <w:jc w:val="center"/>
        <w:rPr>
          <w:b/>
          <w:sz w:val="24"/>
          <w:lang w:val="fr-CA"/>
        </w:rPr>
      </w:pPr>
      <w:r w:rsidRPr="009C30F9">
        <w:rPr>
          <w:b/>
          <w:sz w:val="24"/>
          <w:lang w:val="fr-CA"/>
        </w:rPr>
        <w:lastRenderedPageBreak/>
        <w:t>FICHE D’ÉVALUATION DU PROJET –</w:t>
      </w:r>
      <w:r>
        <w:rPr>
          <w:b/>
          <w:sz w:val="24"/>
          <w:lang w:val="fr-CA"/>
        </w:rPr>
        <w:t> </w:t>
      </w:r>
      <w:r w:rsidRPr="009C30F9">
        <w:rPr>
          <w:b/>
          <w:sz w:val="24"/>
          <w:lang w:val="fr-CA"/>
        </w:rPr>
        <w:t>PROJETS PLURIA</w:t>
      </w:r>
      <w:r>
        <w:rPr>
          <w:b/>
          <w:sz w:val="24"/>
          <w:lang w:val="fr-CA"/>
        </w:rPr>
        <w:t>NNUELS</w:t>
      </w:r>
    </w:p>
    <w:p w:rsidR="00085BCB" w:rsidRPr="00FE3307" w:rsidRDefault="00757E67" w:rsidP="00085BCB">
      <w:pPr>
        <w:spacing w:after="80"/>
        <w:jc w:val="center"/>
        <w:rPr>
          <w:lang w:val="en-CA"/>
        </w:rPr>
      </w:pPr>
      <w:r>
        <w:rPr>
          <w:b/>
          <w:sz w:val="24"/>
          <w:lang w:val="en-CA"/>
        </w:rPr>
        <w:t>Eswatini</w:t>
      </w:r>
    </w:p>
    <w:tbl>
      <w:tblPr>
        <w:tblStyle w:val="TableGrid"/>
        <w:tblW w:w="10948" w:type="dxa"/>
        <w:tblInd w:w="-85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3365"/>
        <w:gridCol w:w="2506"/>
        <w:gridCol w:w="2508"/>
        <w:gridCol w:w="2569"/>
      </w:tblGrid>
      <w:tr w:rsidR="00085BCB" w:rsidRPr="00721EBF" w:rsidTr="00757E67">
        <w:trPr>
          <w:trHeight w:val="258"/>
        </w:trPr>
        <w:tc>
          <w:tcPr>
            <w:tcW w:w="3365" w:type="dxa"/>
            <w:shd w:val="clear" w:color="auto" w:fill="auto"/>
          </w:tcPr>
          <w:p w:rsidR="00085BCB" w:rsidRPr="00721EBF" w:rsidRDefault="00085BCB" w:rsidP="00757E67">
            <w:pPr>
              <w:spacing w:after="80"/>
              <w:jc w:val="left"/>
              <w:rPr>
                <w:b/>
                <w:sz w:val="18"/>
                <w:lang w:val="en-CA"/>
              </w:rPr>
            </w:pPr>
            <w:bookmarkStart w:id="0" w:name="_Hlk7687031"/>
            <w:r w:rsidRPr="00721EBF">
              <w:rPr>
                <w:b/>
                <w:sz w:val="18"/>
                <w:lang w:val="en-CA"/>
              </w:rPr>
              <w:t xml:space="preserve">(I) </w:t>
            </w:r>
            <w:r>
              <w:rPr>
                <w:b/>
                <w:sz w:val="18"/>
                <w:lang w:val="en-CA"/>
              </w:rPr>
              <w:t>TITRE DU PROJET</w:t>
            </w:r>
          </w:p>
        </w:tc>
        <w:tc>
          <w:tcPr>
            <w:tcW w:w="2506" w:type="dxa"/>
            <w:shd w:val="clear" w:color="auto" w:fill="auto"/>
          </w:tcPr>
          <w:p w:rsidR="00085BCB" w:rsidRPr="00721EBF" w:rsidRDefault="00085BCB" w:rsidP="00757E67">
            <w:pPr>
              <w:spacing w:after="80"/>
              <w:jc w:val="center"/>
              <w:rPr>
                <w:b/>
                <w:sz w:val="18"/>
                <w:lang w:val="en-CA"/>
              </w:rPr>
            </w:pPr>
            <w:r w:rsidRPr="00721EBF">
              <w:rPr>
                <w:b/>
                <w:sz w:val="18"/>
                <w:lang w:val="en-CA"/>
              </w:rPr>
              <w:t>AGENC</w:t>
            </w:r>
            <w:r>
              <w:rPr>
                <w:b/>
                <w:sz w:val="18"/>
                <w:lang w:val="en-CA"/>
              </w:rPr>
              <w:t>E</w:t>
            </w:r>
          </w:p>
        </w:tc>
        <w:tc>
          <w:tcPr>
            <w:tcW w:w="2508" w:type="dxa"/>
            <w:shd w:val="clear" w:color="auto" w:fill="auto"/>
          </w:tcPr>
          <w:p w:rsidR="00085BCB" w:rsidRPr="00721EBF" w:rsidRDefault="00085BCB" w:rsidP="00757E67">
            <w:pPr>
              <w:spacing w:after="80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RÉUNION D’APPROBATION</w:t>
            </w:r>
          </w:p>
        </w:tc>
        <w:tc>
          <w:tcPr>
            <w:tcW w:w="2569" w:type="dxa"/>
            <w:shd w:val="clear" w:color="auto" w:fill="auto"/>
          </w:tcPr>
          <w:p w:rsidR="00085BCB" w:rsidRPr="00721EBF" w:rsidRDefault="00085BCB" w:rsidP="00757E67">
            <w:pPr>
              <w:spacing w:after="80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MESURE DE RÉGLEMENTATION</w:t>
            </w:r>
          </w:p>
        </w:tc>
      </w:tr>
      <w:tr w:rsidR="00085BCB" w:rsidRPr="00721EBF" w:rsidTr="00757E67">
        <w:trPr>
          <w:trHeight w:val="258"/>
        </w:trPr>
        <w:tc>
          <w:tcPr>
            <w:tcW w:w="3365" w:type="dxa"/>
            <w:shd w:val="clear" w:color="auto" w:fill="auto"/>
          </w:tcPr>
          <w:p w:rsidR="00085BCB" w:rsidRPr="00DF2DA2" w:rsidRDefault="00085BCB" w:rsidP="00757E67">
            <w:pPr>
              <w:spacing w:after="80"/>
              <w:jc w:val="center"/>
              <w:rPr>
                <w:sz w:val="18"/>
                <w:lang w:val="fr-CA"/>
              </w:rPr>
            </w:pPr>
            <w:r w:rsidRPr="00DF2DA2">
              <w:rPr>
                <w:sz w:val="18"/>
                <w:lang w:val="fr-CA"/>
              </w:rPr>
              <w:t>Plan de gestion de l’élimination des HCFC (Phase I)</w:t>
            </w:r>
          </w:p>
        </w:tc>
        <w:tc>
          <w:tcPr>
            <w:tcW w:w="2506" w:type="dxa"/>
            <w:shd w:val="clear" w:color="auto" w:fill="auto"/>
          </w:tcPr>
          <w:p w:rsidR="00085BCB" w:rsidRPr="00721EBF" w:rsidRDefault="00085BCB" w:rsidP="00757E67">
            <w:pPr>
              <w:spacing w:after="80"/>
              <w:jc w:val="center"/>
              <w:rPr>
                <w:sz w:val="18"/>
                <w:lang w:val="en-CA"/>
              </w:rPr>
            </w:pPr>
            <w:r w:rsidRPr="0050011D">
              <w:rPr>
                <w:sz w:val="18"/>
                <w:lang w:val="fr-CA"/>
              </w:rPr>
              <w:t xml:space="preserve"> </w:t>
            </w:r>
            <w:r w:rsidR="00757E67">
              <w:rPr>
                <w:sz w:val="18"/>
                <w:lang w:val="fr-CA"/>
              </w:rPr>
              <w:t xml:space="preserve">PNUE </w:t>
            </w:r>
            <w:r>
              <w:rPr>
                <w:sz w:val="18"/>
                <w:lang w:val="en-CA"/>
              </w:rPr>
              <w:t>(principale)</w:t>
            </w:r>
            <w:r w:rsidR="00757E67">
              <w:rPr>
                <w:sz w:val="18"/>
                <w:lang w:val="en-CA"/>
              </w:rPr>
              <w:t>, PNUD</w:t>
            </w:r>
          </w:p>
        </w:tc>
        <w:tc>
          <w:tcPr>
            <w:tcW w:w="2508" w:type="dxa"/>
            <w:shd w:val="clear" w:color="auto" w:fill="auto"/>
          </w:tcPr>
          <w:p w:rsidR="00085BCB" w:rsidRPr="00721EBF" w:rsidRDefault="00085BCB" w:rsidP="00757E67">
            <w:pPr>
              <w:spacing w:after="8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6</w:t>
            </w:r>
            <w:r w:rsidR="00757E67">
              <w:rPr>
                <w:sz w:val="18"/>
                <w:lang w:val="en-CA"/>
              </w:rPr>
              <w:t>3</w:t>
            </w:r>
            <w:r w:rsidRPr="00DF2DA2">
              <w:rPr>
                <w:sz w:val="18"/>
                <w:vertAlign w:val="superscript"/>
                <w:lang w:val="en-CA"/>
              </w:rPr>
              <w:t>e</w:t>
            </w:r>
          </w:p>
        </w:tc>
        <w:tc>
          <w:tcPr>
            <w:tcW w:w="2569" w:type="dxa"/>
            <w:shd w:val="clear" w:color="auto" w:fill="auto"/>
          </w:tcPr>
          <w:p w:rsidR="00085BCB" w:rsidRPr="00721EBF" w:rsidRDefault="00085BCB" w:rsidP="00757E67">
            <w:pPr>
              <w:spacing w:after="8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 </w:t>
            </w:r>
            <w:r w:rsidR="00757E67">
              <w:rPr>
                <w:sz w:val="18"/>
                <w:lang w:val="en-CA"/>
              </w:rPr>
              <w:t>35 </w:t>
            </w:r>
            <w:r>
              <w:rPr>
                <w:sz w:val="18"/>
                <w:lang w:val="en-CA"/>
              </w:rPr>
              <w:t>% d’ici 2020</w:t>
            </w:r>
          </w:p>
        </w:tc>
      </w:tr>
    </w:tbl>
    <w:p w:rsidR="00085BCB" w:rsidRDefault="00085BCB" w:rsidP="00085BCB">
      <w:pPr>
        <w:jc w:val="center"/>
        <w:rPr>
          <w:lang w:val="en-CA"/>
        </w:rPr>
      </w:pPr>
    </w:p>
    <w:tbl>
      <w:tblPr>
        <w:tblStyle w:val="TableGrid"/>
        <w:tblW w:w="10946" w:type="dxa"/>
        <w:tblInd w:w="-85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6247"/>
        <w:gridCol w:w="2475"/>
        <w:gridCol w:w="2224"/>
      </w:tblGrid>
      <w:tr w:rsidR="00085BCB" w:rsidRPr="00721EBF" w:rsidTr="00757E67">
        <w:trPr>
          <w:trHeight w:val="255"/>
        </w:trPr>
        <w:tc>
          <w:tcPr>
            <w:tcW w:w="6247" w:type="dxa"/>
            <w:shd w:val="clear" w:color="auto" w:fill="auto"/>
          </w:tcPr>
          <w:p w:rsidR="00085BCB" w:rsidRPr="00DF2DA2" w:rsidRDefault="00085BCB" w:rsidP="00757E67">
            <w:pPr>
              <w:spacing w:after="60"/>
              <w:jc w:val="left"/>
              <w:rPr>
                <w:b/>
                <w:sz w:val="18"/>
                <w:lang w:val="fr-CA"/>
              </w:rPr>
            </w:pPr>
            <w:r w:rsidRPr="00DF2DA2">
              <w:rPr>
                <w:b/>
                <w:sz w:val="18"/>
                <w:lang w:val="fr-CA"/>
              </w:rPr>
              <w:t xml:space="preserve">(II) DERNIÈRES DONNÉES DE </w:t>
            </w:r>
            <w:r>
              <w:rPr>
                <w:b/>
                <w:sz w:val="18"/>
                <w:lang w:val="fr-CA"/>
              </w:rPr>
              <w:t>L’ARTICLE </w:t>
            </w:r>
            <w:r w:rsidRPr="00DF2DA2">
              <w:rPr>
                <w:b/>
                <w:sz w:val="18"/>
                <w:lang w:val="fr-CA"/>
              </w:rPr>
              <w:t>7</w:t>
            </w:r>
            <w:r>
              <w:rPr>
                <w:b/>
                <w:sz w:val="18"/>
                <w:lang w:val="fr-CA"/>
              </w:rPr>
              <w:t xml:space="preserve"> </w:t>
            </w:r>
            <w:r w:rsidRPr="00DF2DA2">
              <w:rPr>
                <w:b/>
                <w:sz w:val="18"/>
                <w:lang w:val="fr-CA"/>
              </w:rPr>
              <w:t>(</w:t>
            </w:r>
            <w:r>
              <w:rPr>
                <w:b/>
                <w:sz w:val="18"/>
                <w:lang w:val="fr-CA"/>
              </w:rPr>
              <w:t>a</w:t>
            </w:r>
            <w:r w:rsidRPr="00DF2DA2">
              <w:rPr>
                <w:b/>
                <w:sz w:val="18"/>
                <w:lang w:val="fr-CA"/>
              </w:rPr>
              <w:t>nnex</w:t>
            </w:r>
            <w:r>
              <w:rPr>
                <w:b/>
                <w:sz w:val="18"/>
                <w:lang w:val="fr-CA"/>
              </w:rPr>
              <w:t>e </w:t>
            </w:r>
            <w:r w:rsidRPr="00DF2DA2">
              <w:rPr>
                <w:b/>
                <w:sz w:val="18"/>
                <w:lang w:val="fr-CA"/>
              </w:rPr>
              <w:t>C</w:t>
            </w:r>
            <w:r>
              <w:rPr>
                <w:b/>
                <w:sz w:val="18"/>
                <w:lang w:val="fr-CA"/>
              </w:rPr>
              <w:t>, g</w:t>
            </w:r>
            <w:r w:rsidRPr="00DF2DA2">
              <w:rPr>
                <w:b/>
                <w:sz w:val="18"/>
                <w:lang w:val="fr-CA"/>
              </w:rPr>
              <w:t>roup</w:t>
            </w:r>
            <w:r>
              <w:rPr>
                <w:b/>
                <w:sz w:val="18"/>
                <w:lang w:val="fr-CA"/>
              </w:rPr>
              <w:t>e </w:t>
            </w:r>
            <w:r w:rsidRPr="00DF2DA2">
              <w:rPr>
                <w:b/>
                <w:sz w:val="18"/>
                <w:lang w:val="fr-CA"/>
              </w:rPr>
              <w:t>l)</w:t>
            </w:r>
          </w:p>
        </w:tc>
        <w:tc>
          <w:tcPr>
            <w:tcW w:w="2475" w:type="dxa"/>
            <w:shd w:val="clear" w:color="auto" w:fill="auto"/>
          </w:tcPr>
          <w:p w:rsidR="00085BCB" w:rsidRPr="00721EBF" w:rsidRDefault="00085BCB" w:rsidP="00757E67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Année : 2017</w:t>
            </w:r>
          </w:p>
        </w:tc>
        <w:tc>
          <w:tcPr>
            <w:tcW w:w="2224" w:type="dxa"/>
            <w:shd w:val="clear" w:color="auto" w:fill="auto"/>
          </w:tcPr>
          <w:p w:rsidR="00085BCB" w:rsidRPr="00721EB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0,75</w:t>
            </w:r>
            <w:r w:rsidR="00085BCB">
              <w:rPr>
                <w:sz w:val="18"/>
                <w:lang w:val="en-CA"/>
              </w:rPr>
              <w:t xml:space="preserve"> (tonnes PAO)</w:t>
            </w:r>
          </w:p>
        </w:tc>
      </w:tr>
    </w:tbl>
    <w:p w:rsidR="00085BCB" w:rsidRDefault="00085BCB" w:rsidP="00085BCB">
      <w:pPr>
        <w:jc w:val="center"/>
        <w:rPr>
          <w:lang w:val="en-CA"/>
        </w:rPr>
      </w:pPr>
    </w:p>
    <w:tbl>
      <w:tblPr>
        <w:tblStyle w:val="TableGrid"/>
        <w:tblW w:w="11170" w:type="dxa"/>
        <w:tblInd w:w="-85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1923"/>
        <w:gridCol w:w="786"/>
        <w:gridCol w:w="777"/>
        <w:gridCol w:w="936"/>
        <w:gridCol w:w="1036"/>
        <w:gridCol w:w="876"/>
        <w:gridCol w:w="837"/>
        <w:gridCol w:w="1276"/>
        <w:gridCol w:w="996"/>
        <w:gridCol w:w="1727"/>
      </w:tblGrid>
      <w:tr w:rsidR="00085BCB" w:rsidRPr="00721EBF" w:rsidTr="00CB2857">
        <w:trPr>
          <w:trHeight w:val="245"/>
        </w:trPr>
        <w:tc>
          <w:tcPr>
            <w:tcW w:w="8447" w:type="dxa"/>
            <w:gridSpan w:val="8"/>
            <w:shd w:val="clear" w:color="auto" w:fill="auto"/>
          </w:tcPr>
          <w:p w:rsidR="00085BCB" w:rsidRPr="00DF2DA2" w:rsidRDefault="00085BCB" w:rsidP="00757E67">
            <w:pPr>
              <w:spacing w:after="60"/>
              <w:jc w:val="left"/>
              <w:rPr>
                <w:b/>
                <w:sz w:val="18"/>
                <w:lang w:val="fr-CA"/>
              </w:rPr>
            </w:pPr>
            <w:r w:rsidRPr="00DF2DA2">
              <w:rPr>
                <w:b/>
                <w:sz w:val="18"/>
                <w:lang w:val="fr-CA"/>
              </w:rPr>
              <w:t xml:space="preserve">(III) DERNIÈRES DONNÉES SECTORIELLES </w:t>
            </w:r>
            <w:r>
              <w:rPr>
                <w:b/>
                <w:sz w:val="18"/>
                <w:lang w:val="fr-CA"/>
              </w:rPr>
              <w:t>DU PROGRAMME DE PAYS (tonnes PAO)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85BCB" w:rsidRPr="00721EBF" w:rsidRDefault="00085BCB" w:rsidP="00757E67">
            <w:pPr>
              <w:spacing w:after="60"/>
              <w:jc w:val="right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Année </w:t>
            </w:r>
            <w:r w:rsidRPr="007F12DF">
              <w:rPr>
                <w:b/>
                <w:sz w:val="18"/>
                <w:lang w:val="en-CA"/>
              </w:rPr>
              <w:t>: 2017</w:t>
            </w:r>
          </w:p>
        </w:tc>
      </w:tr>
      <w:tr w:rsidR="00085BCB" w:rsidRPr="00721EBF" w:rsidTr="00CB2857">
        <w:trPr>
          <w:trHeight w:val="245"/>
        </w:trPr>
        <w:tc>
          <w:tcPr>
            <w:tcW w:w="1923" w:type="dxa"/>
            <w:shd w:val="clear" w:color="auto" w:fill="auto"/>
          </w:tcPr>
          <w:p w:rsidR="00085BCB" w:rsidRPr="00475DD9" w:rsidRDefault="00085BCB" w:rsidP="00757E67">
            <w:pPr>
              <w:spacing w:after="60"/>
              <w:jc w:val="center"/>
              <w:rPr>
                <w:sz w:val="18"/>
                <w:lang w:val="fr-CA"/>
              </w:rPr>
            </w:pPr>
            <w:r w:rsidRPr="00475DD9">
              <w:rPr>
                <w:sz w:val="18"/>
                <w:lang w:val="fr-CA"/>
              </w:rPr>
              <w:t>Produits chimiques</w:t>
            </w:r>
          </w:p>
        </w:tc>
        <w:tc>
          <w:tcPr>
            <w:tcW w:w="0" w:type="auto"/>
            <w:shd w:val="clear" w:color="auto" w:fill="auto"/>
          </w:tcPr>
          <w:p w:rsidR="00085BCB" w:rsidRPr="00475DD9" w:rsidRDefault="00085BCB" w:rsidP="00757E67">
            <w:pPr>
              <w:spacing w:after="60"/>
              <w:jc w:val="center"/>
              <w:rPr>
                <w:sz w:val="18"/>
                <w:lang w:val="fr-CA"/>
              </w:rPr>
            </w:pPr>
            <w:r w:rsidRPr="00475DD9">
              <w:rPr>
                <w:sz w:val="18"/>
                <w:lang w:val="fr-CA"/>
              </w:rPr>
              <w:t>Aérosol</w:t>
            </w:r>
          </w:p>
        </w:tc>
        <w:tc>
          <w:tcPr>
            <w:tcW w:w="0" w:type="auto"/>
            <w:shd w:val="clear" w:color="auto" w:fill="auto"/>
          </w:tcPr>
          <w:p w:rsidR="00085BCB" w:rsidRPr="00475DD9" w:rsidRDefault="00085BCB" w:rsidP="00757E67">
            <w:pPr>
              <w:spacing w:after="60"/>
              <w:jc w:val="center"/>
              <w:rPr>
                <w:sz w:val="18"/>
                <w:lang w:val="fr-CA"/>
              </w:rPr>
            </w:pPr>
            <w:r w:rsidRPr="00475DD9">
              <w:rPr>
                <w:sz w:val="18"/>
                <w:lang w:val="fr-CA"/>
              </w:rPr>
              <w:t>Mousse</w:t>
            </w:r>
          </w:p>
        </w:tc>
        <w:tc>
          <w:tcPr>
            <w:tcW w:w="0" w:type="auto"/>
            <w:shd w:val="clear" w:color="auto" w:fill="auto"/>
          </w:tcPr>
          <w:p w:rsidR="00085BCB" w:rsidRPr="00475DD9" w:rsidRDefault="00085BCB" w:rsidP="00757E67">
            <w:pPr>
              <w:spacing w:after="60"/>
              <w:jc w:val="center"/>
              <w:rPr>
                <w:sz w:val="18"/>
                <w:lang w:val="fr-CA"/>
              </w:rPr>
            </w:pPr>
            <w:r w:rsidRPr="00475DD9">
              <w:rPr>
                <w:sz w:val="18"/>
                <w:lang w:val="fr-CA"/>
              </w:rPr>
              <w:t>Lutte contre l’incendie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85BCB" w:rsidRPr="00475DD9" w:rsidRDefault="00085BCB" w:rsidP="00757E67">
            <w:pPr>
              <w:spacing w:after="60"/>
              <w:jc w:val="center"/>
              <w:rPr>
                <w:sz w:val="18"/>
                <w:lang w:val="fr-CA"/>
              </w:rPr>
            </w:pPr>
            <w:r w:rsidRPr="00475DD9">
              <w:rPr>
                <w:sz w:val="18"/>
                <w:lang w:val="fr-CA"/>
              </w:rPr>
              <w:t>Réfrigération</w:t>
            </w:r>
          </w:p>
        </w:tc>
        <w:tc>
          <w:tcPr>
            <w:tcW w:w="0" w:type="auto"/>
            <w:shd w:val="clear" w:color="auto" w:fill="auto"/>
          </w:tcPr>
          <w:p w:rsidR="00085BCB" w:rsidRPr="00475DD9" w:rsidRDefault="00085BCB" w:rsidP="00757E67">
            <w:pPr>
              <w:spacing w:after="60"/>
              <w:jc w:val="center"/>
              <w:rPr>
                <w:sz w:val="18"/>
                <w:lang w:val="fr-CA"/>
              </w:rPr>
            </w:pPr>
            <w:r w:rsidRPr="00475DD9">
              <w:rPr>
                <w:sz w:val="18"/>
                <w:lang w:val="fr-CA"/>
              </w:rPr>
              <w:t>Solvants</w:t>
            </w:r>
          </w:p>
        </w:tc>
        <w:tc>
          <w:tcPr>
            <w:tcW w:w="0" w:type="auto"/>
            <w:shd w:val="clear" w:color="auto" w:fill="auto"/>
          </w:tcPr>
          <w:p w:rsidR="00085BCB" w:rsidRPr="00475DD9" w:rsidRDefault="00085BCB" w:rsidP="00757E67">
            <w:pPr>
              <w:spacing w:after="60"/>
              <w:jc w:val="center"/>
              <w:rPr>
                <w:sz w:val="18"/>
                <w:lang w:val="fr-CA"/>
              </w:rPr>
            </w:pPr>
            <w:r w:rsidRPr="00475DD9">
              <w:rPr>
                <w:sz w:val="18"/>
                <w:lang w:val="fr-CA"/>
              </w:rPr>
              <w:t>Agent de transformation</w:t>
            </w:r>
          </w:p>
        </w:tc>
        <w:tc>
          <w:tcPr>
            <w:tcW w:w="0" w:type="auto"/>
            <w:shd w:val="clear" w:color="auto" w:fill="auto"/>
          </w:tcPr>
          <w:p w:rsidR="00085BCB" w:rsidRPr="00475DD9" w:rsidRDefault="00085BCB" w:rsidP="00757E67">
            <w:pPr>
              <w:spacing w:after="60"/>
              <w:jc w:val="center"/>
              <w:rPr>
                <w:sz w:val="18"/>
                <w:lang w:val="fr-CA"/>
              </w:rPr>
            </w:pPr>
            <w:r w:rsidRPr="00475DD9">
              <w:rPr>
                <w:sz w:val="18"/>
                <w:lang w:val="fr-CA"/>
              </w:rPr>
              <w:t>Utilisation en laboratoire</w:t>
            </w:r>
          </w:p>
        </w:tc>
        <w:tc>
          <w:tcPr>
            <w:tcW w:w="1727" w:type="dxa"/>
            <w:shd w:val="clear" w:color="auto" w:fill="auto"/>
          </w:tcPr>
          <w:p w:rsidR="00085BCB" w:rsidRPr="00475DD9" w:rsidRDefault="00085BCB" w:rsidP="00757E67">
            <w:pPr>
              <w:spacing w:after="60"/>
              <w:jc w:val="center"/>
              <w:rPr>
                <w:sz w:val="18"/>
                <w:lang w:val="fr-CA"/>
              </w:rPr>
            </w:pPr>
            <w:r w:rsidRPr="00475DD9">
              <w:rPr>
                <w:sz w:val="18"/>
                <w:lang w:val="fr-CA"/>
              </w:rPr>
              <w:t>Consommation totale du secteur</w:t>
            </w:r>
          </w:p>
        </w:tc>
      </w:tr>
      <w:tr w:rsidR="00085BCB" w:rsidRPr="00721EBF" w:rsidTr="00CB2857">
        <w:trPr>
          <w:trHeight w:val="245"/>
        </w:trPr>
        <w:tc>
          <w:tcPr>
            <w:tcW w:w="4422" w:type="dxa"/>
            <w:gridSpan w:val="4"/>
            <w:shd w:val="clear" w:color="auto" w:fill="auto"/>
          </w:tcPr>
          <w:p w:rsidR="00085BCB" w:rsidRPr="00475DD9" w:rsidRDefault="00085BCB" w:rsidP="00757E67">
            <w:pPr>
              <w:spacing w:after="60"/>
              <w:jc w:val="center"/>
              <w:rPr>
                <w:sz w:val="18"/>
                <w:lang w:val="fr-CA"/>
              </w:rPr>
            </w:pPr>
            <w:r w:rsidRPr="00475DD9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85BCB" w:rsidRPr="00475DD9" w:rsidRDefault="00085BCB" w:rsidP="00757E67">
            <w:pPr>
              <w:spacing w:after="60"/>
              <w:jc w:val="center"/>
              <w:rPr>
                <w:sz w:val="18"/>
                <w:lang w:val="fr-CA"/>
              </w:rPr>
            </w:pPr>
            <w:r w:rsidRPr="00475DD9">
              <w:rPr>
                <w:sz w:val="18"/>
                <w:lang w:val="fr-CA"/>
              </w:rPr>
              <w:t>Fabrication</w:t>
            </w:r>
          </w:p>
        </w:tc>
        <w:tc>
          <w:tcPr>
            <w:tcW w:w="0" w:type="auto"/>
            <w:shd w:val="clear" w:color="auto" w:fill="auto"/>
          </w:tcPr>
          <w:p w:rsidR="00085BCB" w:rsidRPr="00475DD9" w:rsidRDefault="00085BCB" w:rsidP="00757E67">
            <w:pPr>
              <w:spacing w:after="60"/>
              <w:jc w:val="center"/>
              <w:rPr>
                <w:sz w:val="18"/>
                <w:lang w:val="fr-CA"/>
              </w:rPr>
            </w:pPr>
            <w:r w:rsidRPr="00475DD9">
              <w:rPr>
                <w:sz w:val="18"/>
                <w:lang w:val="fr-CA"/>
              </w:rPr>
              <w:t>Entretien</w:t>
            </w:r>
          </w:p>
        </w:tc>
        <w:tc>
          <w:tcPr>
            <w:tcW w:w="4836" w:type="dxa"/>
            <w:gridSpan w:val="4"/>
            <w:shd w:val="clear" w:color="auto" w:fill="auto"/>
          </w:tcPr>
          <w:p w:rsidR="00085BCB" w:rsidRPr="00475DD9" w:rsidRDefault="00085BCB" w:rsidP="00757E67">
            <w:pPr>
              <w:spacing w:after="60"/>
              <w:jc w:val="center"/>
              <w:rPr>
                <w:sz w:val="18"/>
                <w:lang w:val="fr-CA"/>
              </w:rPr>
            </w:pPr>
          </w:p>
        </w:tc>
      </w:tr>
      <w:tr w:rsidR="00085BCB" w:rsidRPr="00721EBF" w:rsidTr="00CB2857">
        <w:trPr>
          <w:trHeight w:val="245"/>
        </w:trPr>
        <w:tc>
          <w:tcPr>
            <w:tcW w:w="1923" w:type="dxa"/>
            <w:shd w:val="clear" w:color="auto" w:fill="auto"/>
          </w:tcPr>
          <w:p w:rsidR="00085BCB" w:rsidRPr="007F12DF" w:rsidRDefault="00085BCB" w:rsidP="00757E67">
            <w:pPr>
              <w:spacing w:after="60"/>
              <w:jc w:val="left"/>
              <w:rPr>
                <w:sz w:val="18"/>
                <w:lang w:val="en-CA"/>
              </w:rPr>
            </w:pPr>
            <w:r w:rsidRPr="007F12DF">
              <w:rPr>
                <w:sz w:val="18"/>
                <w:lang w:val="en-CA"/>
              </w:rPr>
              <w:t>HCFC-22</w:t>
            </w:r>
          </w:p>
        </w:tc>
        <w:tc>
          <w:tcPr>
            <w:tcW w:w="0" w:type="auto"/>
            <w:shd w:val="clear" w:color="auto" w:fill="auto"/>
          </w:tcPr>
          <w:p w:rsidR="00085BCB" w:rsidRPr="007F12DF" w:rsidRDefault="00085BCB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:rsidR="00085BCB" w:rsidRPr="007F12DF" w:rsidRDefault="00085BCB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:rsidR="00085BCB" w:rsidRPr="007F12DF" w:rsidRDefault="00085BCB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:rsidR="00085BCB" w:rsidRPr="007F12DF" w:rsidRDefault="00085BCB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:rsidR="00085BCB" w:rsidRPr="007F12D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0,75</w:t>
            </w:r>
          </w:p>
        </w:tc>
        <w:tc>
          <w:tcPr>
            <w:tcW w:w="0" w:type="auto"/>
            <w:shd w:val="clear" w:color="auto" w:fill="auto"/>
          </w:tcPr>
          <w:p w:rsidR="00085BCB" w:rsidRPr="007F12DF" w:rsidRDefault="00085BCB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:rsidR="00085BCB" w:rsidRPr="007F12DF" w:rsidRDefault="00085BCB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:rsidR="00085BCB" w:rsidRPr="007F12DF" w:rsidRDefault="00085BCB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1727" w:type="dxa"/>
            <w:shd w:val="clear" w:color="auto" w:fill="auto"/>
          </w:tcPr>
          <w:p w:rsidR="00085BCB" w:rsidRPr="007F12D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0,75</w:t>
            </w:r>
          </w:p>
        </w:tc>
      </w:tr>
    </w:tbl>
    <w:p w:rsidR="00085BCB" w:rsidRDefault="00085BCB" w:rsidP="00085BCB">
      <w:pPr>
        <w:jc w:val="center"/>
        <w:rPr>
          <w:lang w:val="en-CA"/>
        </w:rPr>
      </w:pPr>
    </w:p>
    <w:tbl>
      <w:tblPr>
        <w:tblStyle w:val="TableGrid"/>
        <w:tblW w:w="11170" w:type="dxa"/>
        <w:tblInd w:w="-85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4478"/>
        <w:gridCol w:w="1208"/>
        <w:gridCol w:w="3805"/>
        <w:gridCol w:w="1679"/>
      </w:tblGrid>
      <w:tr w:rsidR="00085BCB" w:rsidRPr="00AD4C6A" w:rsidTr="00CB2857">
        <w:trPr>
          <w:trHeight w:val="232"/>
        </w:trPr>
        <w:tc>
          <w:tcPr>
            <w:tcW w:w="11170" w:type="dxa"/>
            <w:gridSpan w:val="4"/>
            <w:shd w:val="clear" w:color="auto" w:fill="auto"/>
          </w:tcPr>
          <w:p w:rsidR="00085BCB" w:rsidRPr="00AE3104" w:rsidRDefault="00085BCB" w:rsidP="00757E67">
            <w:pPr>
              <w:spacing w:after="60"/>
              <w:jc w:val="left"/>
              <w:rPr>
                <w:b/>
                <w:sz w:val="18"/>
                <w:lang w:val="fr-CA"/>
              </w:rPr>
            </w:pPr>
            <w:r w:rsidRPr="00AE3104">
              <w:rPr>
                <w:b/>
                <w:sz w:val="18"/>
                <w:lang w:val="fr-CA"/>
              </w:rPr>
              <w:t xml:space="preserve">(IV) DONNÉES SUR LA CONSOMMATION </w:t>
            </w:r>
            <w:r>
              <w:rPr>
                <w:b/>
                <w:sz w:val="18"/>
                <w:lang w:val="fr-CA"/>
              </w:rPr>
              <w:t>(</w:t>
            </w:r>
            <w:r w:rsidRPr="00AE3104">
              <w:rPr>
                <w:b/>
                <w:sz w:val="18"/>
                <w:lang w:val="fr-CA"/>
              </w:rPr>
              <w:t>tonnes</w:t>
            </w:r>
            <w:r>
              <w:rPr>
                <w:b/>
                <w:sz w:val="18"/>
                <w:lang w:val="fr-CA"/>
              </w:rPr>
              <w:t xml:space="preserve"> PAO)</w:t>
            </w:r>
          </w:p>
        </w:tc>
      </w:tr>
      <w:tr w:rsidR="00085BCB" w:rsidRPr="0050011D" w:rsidTr="00CB2857">
        <w:trPr>
          <w:trHeight w:val="232"/>
        </w:trPr>
        <w:tc>
          <w:tcPr>
            <w:tcW w:w="4450" w:type="dxa"/>
            <w:shd w:val="clear" w:color="auto" w:fill="auto"/>
          </w:tcPr>
          <w:p w:rsidR="00085BCB" w:rsidRPr="00721EBF" w:rsidRDefault="00085BCB" w:rsidP="00757E67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Référence 2009-2010 :</w:t>
            </w:r>
          </w:p>
        </w:tc>
        <w:tc>
          <w:tcPr>
            <w:tcW w:w="1200" w:type="dxa"/>
            <w:shd w:val="clear" w:color="auto" w:fill="auto"/>
          </w:tcPr>
          <w:p w:rsidR="00085BCB" w:rsidRPr="00721EB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1,73</w:t>
            </w:r>
          </w:p>
        </w:tc>
        <w:tc>
          <w:tcPr>
            <w:tcW w:w="0" w:type="auto"/>
            <w:shd w:val="clear" w:color="auto" w:fill="auto"/>
          </w:tcPr>
          <w:p w:rsidR="00085BCB" w:rsidRPr="00610E05" w:rsidRDefault="00085BCB" w:rsidP="00757E67">
            <w:pPr>
              <w:spacing w:after="60"/>
              <w:jc w:val="center"/>
              <w:rPr>
                <w:sz w:val="18"/>
                <w:lang w:val="fr-CA"/>
              </w:rPr>
            </w:pPr>
            <w:r w:rsidRPr="00610E05">
              <w:rPr>
                <w:sz w:val="18"/>
                <w:lang w:val="fr-CA"/>
              </w:rPr>
              <w:t>Point de départ des réductions globales durables :</w:t>
            </w:r>
          </w:p>
        </w:tc>
        <w:tc>
          <w:tcPr>
            <w:tcW w:w="1668" w:type="dxa"/>
            <w:shd w:val="clear" w:color="auto" w:fill="auto"/>
          </w:tcPr>
          <w:p w:rsidR="00085BCB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7,3</w:t>
            </w:r>
          </w:p>
        </w:tc>
      </w:tr>
      <w:tr w:rsidR="00085BCB" w:rsidRPr="00AD4C6A" w:rsidTr="00CB2857">
        <w:trPr>
          <w:trHeight w:val="232"/>
        </w:trPr>
        <w:tc>
          <w:tcPr>
            <w:tcW w:w="11170" w:type="dxa"/>
            <w:gridSpan w:val="4"/>
            <w:shd w:val="clear" w:color="auto" w:fill="auto"/>
          </w:tcPr>
          <w:p w:rsidR="00085BCB" w:rsidRPr="00610E05" w:rsidRDefault="00085BCB" w:rsidP="00757E67">
            <w:pPr>
              <w:spacing w:after="60"/>
              <w:jc w:val="center"/>
              <w:rPr>
                <w:b/>
                <w:sz w:val="18"/>
                <w:lang w:val="fr-CA"/>
              </w:rPr>
            </w:pPr>
            <w:r w:rsidRPr="00610E05">
              <w:rPr>
                <w:b/>
                <w:sz w:val="18"/>
                <w:lang w:val="fr-CA"/>
              </w:rPr>
              <w:t>CONSOMMATION ADMISSIBLE AU FINANCEMENT (tonnes PAO)</w:t>
            </w:r>
          </w:p>
        </w:tc>
      </w:tr>
      <w:tr w:rsidR="00085BCB" w:rsidRPr="00721EBF" w:rsidTr="00CB2857">
        <w:trPr>
          <w:trHeight w:val="232"/>
        </w:trPr>
        <w:tc>
          <w:tcPr>
            <w:tcW w:w="4450" w:type="dxa"/>
            <w:shd w:val="clear" w:color="auto" w:fill="auto"/>
          </w:tcPr>
          <w:p w:rsidR="00085BCB" w:rsidRPr="007F12DF" w:rsidRDefault="00085BCB" w:rsidP="00757E67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fr-CA"/>
              </w:rPr>
              <w:t>Déjà approuvée </w:t>
            </w:r>
            <w:r w:rsidRPr="007F12DF">
              <w:rPr>
                <w:sz w:val="18"/>
                <w:lang w:val="en-CA"/>
              </w:rPr>
              <w:t>:</w:t>
            </w:r>
          </w:p>
        </w:tc>
        <w:tc>
          <w:tcPr>
            <w:tcW w:w="1200" w:type="dxa"/>
            <w:shd w:val="clear" w:color="auto" w:fill="auto"/>
          </w:tcPr>
          <w:p w:rsidR="00085BCB" w:rsidRPr="007F12D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6,19</w:t>
            </w:r>
          </w:p>
        </w:tc>
        <w:tc>
          <w:tcPr>
            <w:tcW w:w="0" w:type="auto"/>
            <w:shd w:val="clear" w:color="auto" w:fill="auto"/>
          </w:tcPr>
          <w:p w:rsidR="00085BCB" w:rsidRPr="007F12DF" w:rsidRDefault="00085BCB" w:rsidP="00757E67">
            <w:pPr>
              <w:spacing w:after="60"/>
              <w:jc w:val="center"/>
              <w:rPr>
                <w:sz w:val="18"/>
                <w:lang w:val="en-CA"/>
              </w:rPr>
            </w:pPr>
            <w:r w:rsidRPr="007F12DF">
              <w:rPr>
                <w:sz w:val="18"/>
                <w:lang w:val="en-CA"/>
              </w:rPr>
              <w:t>Re</w:t>
            </w:r>
            <w:r>
              <w:rPr>
                <w:sz w:val="18"/>
                <w:lang w:val="en-CA"/>
              </w:rPr>
              <w:t>stante </w:t>
            </w:r>
            <w:r w:rsidRPr="007F12DF">
              <w:rPr>
                <w:sz w:val="18"/>
                <w:lang w:val="en-CA"/>
              </w:rPr>
              <w:t>:</w:t>
            </w:r>
          </w:p>
        </w:tc>
        <w:tc>
          <w:tcPr>
            <w:tcW w:w="1668" w:type="dxa"/>
            <w:shd w:val="clear" w:color="auto" w:fill="auto"/>
          </w:tcPr>
          <w:p w:rsidR="00085BCB" w:rsidRPr="007F12D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1,11</w:t>
            </w:r>
          </w:p>
        </w:tc>
      </w:tr>
    </w:tbl>
    <w:p w:rsidR="00085BCB" w:rsidRDefault="00085BCB" w:rsidP="00085BCB">
      <w:pPr>
        <w:jc w:val="center"/>
        <w:rPr>
          <w:lang w:val="en-CA"/>
        </w:rPr>
      </w:pPr>
    </w:p>
    <w:tbl>
      <w:tblPr>
        <w:tblStyle w:val="TableGrid"/>
        <w:tblW w:w="11170" w:type="dxa"/>
        <w:tblInd w:w="-85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2290"/>
        <w:gridCol w:w="5478"/>
        <w:gridCol w:w="1560"/>
        <w:gridCol w:w="1842"/>
      </w:tblGrid>
      <w:tr w:rsidR="00757E67" w:rsidRPr="00721EBF" w:rsidTr="00CB2857">
        <w:trPr>
          <w:trHeight w:val="280"/>
        </w:trPr>
        <w:tc>
          <w:tcPr>
            <w:tcW w:w="7768" w:type="dxa"/>
            <w:gridSpan w:val="2"/>
            <w:shd w:val="clear" w:color="auto" w:fill="auto"/>
          </w:tcPr>
          <w:p w:rsidR="00757E67" w:rsidRPr="00721EBF" w:rsidRDefault="00757E67" w:rsidP="00757E67">
            <w:pPr>
              <w:spacing w:after="60"/>
              <w:jc w:val="left"/>
              <w:rPr>
                <w:b/>
                <w:sz w:val="18"/>
                <w:lang w:val="en-CA"/>
              </w:rPr>
            </w:pPr>
            <w:r w:rsidRPr="00721EBF">
              <w:rPr>
                <w:b/>
                <w:sz w:val="18"/>
                <w:lang w:val="en-CA"/>
              </w:rPr>
              <w:t xml:space="preserve">(V) </w:t>
            </w:r>
            <w:r>
              <w:rPr>
                <w:b/>
                <w:sz w:val="18"/>
                <w:lang w:val="en-CA"/>
              </w:rPr>
              <w:t>PLAN D’ACTIVITÉS</w:t>
            </w:r>
          </w:p>
        </w:tc>
        <w:tc>
          <w:tcPr>
            <w:tcW w:w="1560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2019</w:t>
            </w:r>
          </w:p>
        </w:tc>
        <w:tc>
          <w:tcPr>
            <w:tcW w:w="1842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Total</w:t>
            </w:r>
          </w:p>
        </w:tc>
      </w:tr>
      <w:tr w:rsidR="00757E67" w:rsidRPr="0050011D" w:rsidTr="00CB2857">
        <w:trPr>
          <w:trHeight w:val="280"/>
        </w:trPr>
        <w:tc>
          <w:tcPr>
            <w:tcW w:w="2290" w:type="dxa"/>
            <w:vMerge w:val="restart"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PNUE</w:t>
            </w:r>
          </w:p>
        </w:tc>
        <w:tc>
          <w:tcPr>
            <w:tcW w:w="5478" w:type="dxa"/>
            <w:shd w:val="clear" w:color="auto" w:fill="auto"/>
          </w:tcPr>
          <w:p w:rsidR="00757E67" w:rsidRPr="00610E05" w:rsidRDefault="00757E67" w:rsidP="00757E67">
            <w:pPr>
              <w:spacing w:after="60"/>
              <w:jc w:val="left"/>
              <w:rPr>
                <w:sz w:val="18"/>
                <w:lang w:val="fr-CA"/>
              </w:rPr>
            </w:pPr>
            <w:r w:rsidRPr="00610E05">
              <w:rPr>
                <w:sz w:val="18"/>
                <w:lang w:val="fr-CA"/>
              </w:rPr>
              <w:t>Élimination des SAO (tonnes PAO)</w:t>
            </w:r>
          </w:p>
        </w:tc>
        <w:tc>
          <w:tcPr>
            <w:tcW w:w="1560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0,21</w:t>
            </w:r>
          </w:p>
        </w:tc>
        <w:tc>
          <w:tcPr>
            <w:tcW w:w="1842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0,21</w:t>
            </w:r>
          </w:p>
        </w:tc>
      </w:tr>
      <w:tr w:rsidR="00757E67" w:rsidRPr="00721EBF" w:rsidTr="00CB2857">
        <w:trPr>
          <w:trHeight w:val="280"/>
        </w:trPr>
        <w:tc>
          <w:tcPr>
            <w:tcW w:w="2290" w:type="dxa"/>
            <w:vMerge/>
            <w:shd w:val="clear" w:color="auto" w:fill="auto"/>
          </w:tcPr>
          <w:p w:rsidR="00757E67" w:rsidRPr="0050011D" w:rsidRDefault="00757E67" w:rsidP="00757E67">
            <w:pPr>
              <w:spacing w:after="60"/>
              <w:jc w:val="center"/>
              <w:rPr>
                <w:sz w:val="18"/>
                <w:lang w:val="fr-CA"/>
              </w:rPr>
            </w:pPr>
          </w:p>
        </w:tc>
        <w:tc>
          <w:tcPr>
            <w:tcW w:w="5478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Financement ($US)</w:t>
            </w:r>
          </w:p>
        </w:tc>
        <w:tc>
          <w:tcPr>
            <w:tcW w:w="1560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33 900</w:t>
            </w:r>
          </w:p>
        </w:tc>
        <w:tc>
          <w:tcPr>
            <w:tcW w:w="1842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33 900</w:t>
            </w:r>
          </w:p>
        </w:tc>
      </w:tr>
    </w:tbl>
    <w:p w:rsidR="00085BCB" w:rsidRPr="00085BCB" w:rsidRDefault="00085BCB" w:rsidP="00085BC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54"/>
        <w:tblW w:w="1113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50"/>
        <w:gridCol w:w="801"/>
        <w:gridCol w:w="576"/>
        <w:gridCol w:w="711"/>
        <w:gridCol w:w="612"/>
        <w:gridCol w:w="612"/>
        <w:gridCol w:w="762"/>
        <w:gridCol w:w="756"/>
        <w:gridCol w:w="684"/>
        <w:gridCol w:w="738"/>
        <w:gridCol w:w="684"/>
        <w:gridCol w:w="801"/>
      </w:tblGrid>
      <w:tr w:rsidR="00757E67" w:rsidRPr="00721EBF" w:rsidTr="00CB2857">
        <w:trPr>
          <w:trHeight w:val="264"/>
        </w:trPr>
        <w:tc>
          <w:tcPr>
            <w:tcW w:w="3401" w:type="dxa"/>
            <w:gridSpan w:val="3"/>
            <w:shd w:val="clear" w:color="auto" w:fill="auto"/>
          </w:tcPr>
          <w:p w:rsidR="00757E67" w:rsidRPr="00610E05" w:rsidRDefault="00757E67" w:rsidP="00757E67">
            <w:pPr>
              <w:spacing w:after="60"/>
              <w:jc w:val="left"/>
              <w:rPr>
                <w:b/>
                <w:sz w:val="18"/>
                <w:lang w:val="fr-CA"/>
              </w:rPr>
            </w:pPr>
            <w:r w:rsidRPr="00610E05">
              <w:rPr>
                <w:b/>
                <w:sz w:val="18"/>
                <w:lang w:val="fr-CA"/>
              </w:rPr>
              <w:t xml:space="preserve"> (VI) DONNÉES DU P</w:t>
            </w:r>
            <w:r>
              <w:rPr>
                <w:b/>
                <w:sz w:val="18"/>
                <w:lang w:val="fr-CA"/>
              </w:rPr>
              <w:t>R</w:t>
            </w:r>
            <w:r w:rsidRPr="00610E05">
              <w:rPr>
                <w:b/>
                <w:sz w:val="18"/>
                <w:lang w:val="fr-CA"/>
              </w:rPr>
              <w:t>OJET</w:t>
            </w:r>
          </w:p>
        </w:tc>
        <w:tc>
          <w:tcPr>
            <w:tcW w:w="801" w:type="dxa"/>
          </w:tcPr>
          <w:p w:rsidR="00757E67" w:rsidRPr="00721EBF" w:rsidRDefault="00757E67" w:rsidP="00757E67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2011</w:t>
            </w:r>
          </w:p>
        </w:tc>
        <w:tc>
          <w:tcPr>
            <w:tcW w:w="576" w:type="dxa"/>
          </w:tcPr>
          <w:p w:rsidR="00757E67" w:rsidRPr="00721EBF" w:rsidRDefault="00757E67" w:rsidP="00757E67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2012</w:t>
            </w:r>
          </w:p>
        </w:tc>
        <w:tc>
          <w:tcPr>
            <w:tcW w:w="711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721EBF">
              <w:rPr>
                <w:b/>
                <w:sz w:val="18"/>
                <w:lang w:val="en-CA"/>
              </w:rPr>
              <w:t>2013</w:t>
            </w:r>
          </w:p>
        </w:tc>
        <w:tc>
          <w:tcPr>
            <w:tcW w:w="612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721EBF">
              <w:rPr>
                <w:b/>
                <w:sz w:val="18"/>
                <w:lang w:val="en-CA"/>
              </w:rPr>
              <w:t>2014</w:t>
            </w:r>
          </w:p>
        </w:tc>
        <w:tc>
          <w:tcPr>
            <w:tcW w:w="612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721EBF">
              <w:rPr>
                <w:b/>
                <w:sz w:val="18"/>
                <w:lang w:val="en-CA"/>
              </w:rPr>
              <w:t>2015</w:t>
            </w:r>
          </w:p>
        </w:tc>
        <w:tc>
          <w:tcPr>
            <w:tcW w:w="762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721EBF">
              <w:rPr>
                <w:b/>
                <w:sz w:val="18"/>
                <w:lang w:val="en-CA"/>
              </w:rPr>
              <w:t>2016</w:t>
            </w:r>
          </w:p>
        </w:tc>
        <w:tc>
          <w:tcPr>
            <w:tcW w:w="756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721EBF">
              <w:rPr>
                <w:b/>
                <w:sz w:val="18"/>
                <w:lang w:val="en-CA"/>
              </w:rPr>
              <w:t>2017</w:t>
            </w:r>
          </w:p>
        </w:tc>
        <w:tc>
          <w:tcPr>
            <w:tcW w:w="684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721EBF">
              <w:rPr>
                <w:b/>
                <w:sz w:val="18"/>
                <w:lang w:val="en-CA"/>
              </w:rPr>
              <w:t>2018</w:t>
            </w:r>
          </w:p>
        </w:tc>
        <w:tc>
          <w:tcPr>
            <w:tcW w:w="738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721EBF">
              <w:rPr>
                <w:b/>
                <w:sz w:val="18"/>
                <w:lang w:val="en-CA"/>
              </w:rPr>
              <w:t>2019</w:t>
            </w:r>
          </w:p>
        </w:tc>
        <w:tc>
          <w:tcPr>
            <w:tcW w:w="684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721EBF">
              <w:rPr>
                <w:b/>
                <w:sz w:val="18"/>
                <w:lang w:val="en-CA"/>
              </w:rPr>
              <w:t>2020</w:t>
            </w:r>
          </w:p>
        </w:tc>
        <w:tc>
          <w:tcPr>
            <w:tcW w:w="801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721EBF">
              <w:rPr>
                <w:b/>
                <w:sz w:val="18"/>
                <w:lang w:val="en-CA"/>
              </w:rPr>
              <w:t>Total</w:t>
            </w:r>
          </w:p>
        </w:tc>
      </w:tr>
      <w:tr w:rsidR="00757E67" w:rsidRPr="0050011D" w:rsidTr="00CB2857">
        <w:trPr>
          <w:trHeight w:val="479"/>
        </w:trPr>
        <w:tc>
          <w:tcPr>
            <w:tcW w:w="3401" w:type="dxa"/>
            <w:gridSpan w:val="3"/>
            <w:shd w:val="clear" w:color="auto" w:fill="auto"/>
          </w:tcPr>
          <w:p w:rsidR="00757E67" w:rsidRPr="00475DD9" w:rsidRDefault="00757E67" w:rsidP="00757E67">
            <w:pPr>
              <w:spacing w:after="60"/>
              <w:jc w:val="left"/>
              <w:rPr>
                <w:sz w:val="16"/>
                <w:szCs w:val="16"/>
                <w:lang w:val="fr-CA"/>
              </w:rPr>
            </w:pPr>
            <w:r w:rsidRPr="00475DD9">
              <w:rPr>
                <w:sz w:val="16"/>
                <w:szCs w:val="16"/>
                <w:lang w:val="fr-CA"/>
              </w:rPr>
              <w:t xml:space="preserve">Limites de consommation du Protocole de Montréal </w:t>
            </w:r>
          </w:p>
        </w:tc>
        <w:tc>
          <w:tcPr>
            <w:tcW w:w="801" w:type="dxa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s.o.</w:t>
            </w:r>
          </w:p>
        </w:tc>
        <w:tc>
          <w:tcPr>
            <w:tcW w:w="576" w:type="dxa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s.o.</w:t>
            </w:r>
          </w:p>
        </w:tc>
        <w:tc>
          <w:tcPr>
            <w:tcW w:w="711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1,73</w:t>
            </w:r>
          </w:p>
        </w:tc>
        <w:tc>
          <w:tcPr>
            <w:tcW w:w="612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1,73</w:t>
            </w:r>
          </w:p>
        </w:tc>
        <w:tc>
          <w:tcPr>
            <w:tcW w:w="612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1,58</w:t>
            </w:r>
          </w:p>
        </w:tc>
        <w:tc>
          <w:tcPr>
            <w:tcW w:w="762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1,58</w:t>
            </w:r>
          </w:p>
        </w:tc>
        <w:tc>
          <w:tcPr>
            <w:tcW w:w="756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1,58</w:t>
            </w:r>
          </w:p>
        </w:tc>
        <w:tc>
          <w:tcPr>
            <w:tcW w:w="684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1,58</w:t>
            </w:r>
          </w:p>
        </w:tc>
        <w:tc>
          <w:tcPr>
            <w:tcW w:w="738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1,58</w:t>
            </w:r>
          </w:p>
        </w:tc>
        <w:tc>
          <w:tcPr>
            <w:tcW w:w="684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1,13</w:t>
            </w:r>
          </w:p>
        </w:tc>
        <w:tc>
          <w:tcPr>
            <w:tcW w:w="801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center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s.o.</w:t>
            </w:r>
          </w:p>
        </w:tc>
      </w:tr>
      <w:tr w:rsidR="00757E67" w:rsidRPr="0050011D" w:rsidTr="00CB2857">
        <w:trPr>
          <w:trHeight w:val="466"/>
        </w:trPr>
        <w:tc>
          <w:tcPr>
            <w:tcW w:w="3401" w:type="dxa"/>
            <w:gridSpan w:val="3"/>
            <w:shd w:val="clear" w:color="auto" w:fill="auto"/>
          </w:tcPr>
          <w:p w:rsidR="00757E67" w:rsidRPr="00475DD9" w:rsidRDefault="00757E67" w:rsidP="00757E67">
            <w:pPr>
              <w:spacing w:after="60"/>
              <w:jc w:val="left"/>
              <w:rPr>
                <w:sz w:val="16"/>
                <w:szCs w:val="16"/>
                <w:lang w:val="fr-CA"/>
              </w:rPr>
            </w:pPr>
            <w:r w:rsidRPr="00475DD9">
              <w:rPr>
                <w:sz w:val="16"/>
                <w:szCs w:val="16"/>
                <w:lang w:val="fr-CA"/>
              </w:rPr>
              <w:t>Consommation maximale admissible (tonnes PAO)</w:t>
            </w:r>
          </w:p>
        </w:tc>
        <w:tc>
          <w:tcPr>
            <w:tcW w:w="801" w:type="dxa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s.o.</w:t>
            </w:r>
          </w:p>
        </w:tc>
        <w:tc>
          <w:tcPr>
            <w:tcW w:w="576" w:type="dxa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s.o.</w:t>
            </w:r>
          </w:p>
        </w:tc>
        <w:tc>
          <w:tcPr>
            <w:tcW w:w="711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1,73</w:t>
            </w:r>
          </w:p>
        </w:tc>
        <w:tc>
          <w:tcPr>
            <w:tcW w:w="612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1,73</w:t>
            </w:r>
          </w:p>
        </w:tc>
        <w:tc>
          <w:tcPr>
            <w:tcW w:w="612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1,58</w:t>
            </w:r>
          </w:p>
        </w:tc>
        <w:tc>
          <w:tcPr>
            <w:tcW w:w="762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1,58</w:t>
            </w:r>
          </w:p>
        </w:tc>
        <w:tc>
          <w:tcPr>
            <w:tcW w:w="756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1,58</w:t>
            </w:r>
          </w:p>
        </w:tc>
        <w:tc>
          <w:tcPr>
            <w:tcW w:w="684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1,58</w:t>
            </w:r>
          </w:p>
        </w:tc>
        <w:tc>
          <w:tcPr>
            <w:tcW w:w="738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1,58</w:t>
            </w:r>
          </w:p>
        </w:tc>
        <w:tc>
          <w:tcPr>
            <w:tcW w:w="684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righ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1,13</w:t>
            </w:r>
          </w:p>
        </w:tc>
        <w:tc>
          <w:tcPr>
            <w:tcW w:w="801" w:type="dxa"/>
            <w:shd w:val="clear" w:color="auto" w:fill="auto"/>
          </w:tcPr>
          <w:p w:rsidR="00757E67" w:rsidRPr="0050011D" w:rsidRDefault="00757E67" w:rsidP="00757E67">
            <w:pPr>
              <w:spacing w:after="60"/>
              <w:jc w:val="center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s.o.</w:t>
            </w:r>
          </w:p>
        </w:tc>
      </w:tr>
      <w:tr w:rsidR="00F23C32" w:rsidRPr="00721EBF" w:rsidTr="00CB2857">
        <w:trPr>
          <w:trHeight w:val="479"/>
        </w:trPr>
        <w:tc>
          <w:tcPr>
            <w:tcW w:w="1242" w:type="dxa"/>
            <w:vMerge w:val="restart"/>
            <w:shd w:val="clear" w:color="auto" w:fill="auto"/>
          </w:tcPr>
          <w:p w:rsidR="00757E67" w:rsidRPr="00721EBF" w:rsidRDefault="00757E67" w:rsidP="00757E67">
            <w:pPr>
              <w:spacing w:after="60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Financement convenu ($US)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PNUD</w:t>
            </w:r>
          </w:p>
        </w:tc>
        <w:tc>
          <w:tcPr>
            <w:tcW w:w="1450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Coûts de projet</w:t>
            </w:r>
          </w:p>
        </w:tc>
        <w:tc>
          <w:tcPr>
            <w:tcW w:w="801" w:type="dxa"/>
          </w:tcPr>
          <w:p w:rsidR="00757E67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667 948</w:t>
            </w:r>
          </w:p>
        </w:tc>
        <w:tc>
          <w:tcPr>
            <w:tcW w:w="576" w:type="dxa"/>
          </w:tcPr>
          <w:p w:rsidR="00757E67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57E67" w:rsidRPr="00350946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667 948</w:t>
            </w:r>
          </w:p>
        </w:tc>
      </w:tr>
      <w:tr w:rsidR="00F23C32" w:rsidRPr="00721EBF" w:rsidTr="00CB2857">
        <w:trPr>
          <w:trHeight w:val="491"/>
        </w:trPr>
        <w:tc>
          <w:tcPr>
            <w:tcW w:w="1242" w:type="dxa"/>
            <w:vMerge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sz w:val="18"/>
                <w:lang w:val="en-C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sz w:val="18"/>
                <w:lang w:val="en-CA"/>
              </w:rPr>
            </w:pPr>
          </w:p>
        </w:tc>
        <w:tc>
          <w:tcPr>
            <w:tcW w:w="1450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Coûts d’appui</w:t>
            </w:r>
          </w:p>
        </w:tc>
        <w:tc>
          <w:tcPr>
            <w:tcW w:w="801" w:type="dxa"/>
          </w:tcPr>
          <w:p w:rsidR="00757E67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50 096</w:t>
            </w:r>
          </w:p>
        </w:tc>
        <w:tc>
          <w:tcPr>
            <w:tcW w:w="576" w:type="dxa"/>
          </w:tcPr>
          <w:p w:rsidR="00757E67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57E67" w:rsidRPr="00350946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50 096</w:t>
            </w:r>
          </w:p>
        </w:tc>
      </w:tr>
      <w:tr w:rsidR="00F23C32" w:rsidRPr="00721EBF" w:rsidTr="00CB2857">
        <w:trPr>
          <w:trHeight w:val="479"/>
        </w:trPr>
        <w:tc>
          <w:tcPr>
            <w:tcW w:w="1242" w:type="dxa"/>
            <w:vMerge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sz w:val="18"/>
                <w:lang w:val="en-C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PNUE</w:t>
            </w:r>
          </w:p>
        </w:tc>
        <w:tc>
          <w:tcPr>
            <w:tcW w:w="1450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Coûts de projet</w:t>
            </w:r>
          </w:p>
        </w:tc>
        <w:tc>
          <w:tcPr>
            <w:tcW w:w="801" w:type="dxa"/>
          </w:tcPr>
          <w:p w:rsidR="00757E67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75 000</w:t>
            </w:r>
          </w:p>
        </w:tc>
        <w:tc>
          <w:tcPr>
            <w:tcW w:w="576" w:type="dxa"/>
          </w:tcPr>
          <w:p w:rsidR="00757E67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55 000</w:t>
            </w:r>
          </w:p>
        </w:tc>
        <w:tc>
          <w:tcPr>
            <w:tcW w:w="61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50 000</w:t>
            </w:r>
          </w:p>
        </w:tc>
        <w:tc>
          <w:tcPr>
            <w:tcW w:w="756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57E67" w:rsidRPr="00F23C32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 w:rsidRPr="00F23C32">
              <w:rPr>
                <w:sz w:val="18"/>
                <w:lang w:val="en-CA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30 000</w:t>
            </w:r>
          </w:p>
        </w:tc>
        <w:tc>
          <w:tcPr>
            <w:tcW w:w="684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210 000</w:t>
            </w:r>
          </w:p>
        </w:tc>
      </w:tr>
      <w:tr w:rsidR="00F23C32" w:rsidRPr="00721EBF" w:rsidTr="00CB2857">
        <w:trPr>
          <w:trHeight w:val="491"/>
        </w:trPr>
        <w:tc>
          <w:tcPr>
            <w:tcW w:w="1242" w:type="dxa"/>
            <w:vMerge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sz w:val="18"/>
                <w:lang w:val="en-C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sz w:val="18"/>
                <w:lang w:val="en-CA"/>
              </w:rPr>
            </w:pPr>
          </w:p>
        </w:tc>
        <w:tc>
          <w:tcPr>
            <w:tcW w:w="1450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Coûts d’appui</w:t>
            </w:r>
          </w:p>
        </w:tc>
        <w:tc>
          <w:tcPr>
            <w:tcW w:w="801" w:type="dxa"/>
          </w:tcPr>
          <w:p w:rsidR="00757E67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9 750</w:t>
            </w:r>
          </w:p>
        </w:tc>
        <w:tc>
          <w:tcPr>
            <w:tcW w:w="576" w:type="dxa"/>
          </w:tcPr>
          <w:p w:rsidR="00757E67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7 150</w:t>
            </w:r>
          </w:p>
        </w:tc>
        <w:tc>
          <w:tcPr>
            <w:tcW w:w="61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6 500</w:t>
            </w:r>
          </w:p>
        </w:tc>
        <w:tc>
          <w:tcPr>
            <w:tcW w:w="756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57E67" w:rsidRPr="00F23C32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 w:rsidRPr="00F23C32">
              <w:rPr>
                <w:sz w:val="18"/>
                <w:lang w:val="en-CA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3 900</w:t>
            </w:r>
          </w:p>
        </w:tc>
        <w:tc>
          <w:tcPr>
            <w:tcW w:w="684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27 300</w:t>
            </w:r>
          </w:p>
        </w:tc>
      </w:tr>
      <w:tr w:rsidR="00F23C32" w:rsidRPr="00721EBF" w:rsidTr="00CB2857">
        <w:trPr>
          <w:trHeight w:val="479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757E67" w:rsidRPr="00610E05" w:rsidRDefault="00757E67" w:rsidP="00757E67">
            <w:pPr>
              <w:spacing w:after="60"/>
              <w:jc w:val="left"/>
              <w:rPr>
                <w:sz w:val="18"/>
                <w:lang w:val="fr-CA"/>
              </w:rPr>
            </w:pPr>
            <w:r w:rsidRPr="00610E05">
              <w:rPr>
                <w:sz w:val="18"/>
                <w:lang w:val="fr-CA"/>
              </w:rPr>
              <w:t>Fonds approuvés par le Comité exécut</w:t>
            </w:r>
            <w:r>
              <w:rPr>
                <w:sz w:val="18"/>
                <w:lang w:val="fr-CA"/>
              </w:rPr>
              <w:t>if</w:t>
            </w:r>
            <w:r w:rsidRPr="00610E05">
              <w:rPr>
                <w:sz w:val="18"/>
                <w:lang w:val="fr-CA"/>
              </w:rPr>
              <w:t xml:space="preserve"> (</w:t>
            </w:r>
            <w:r>
              <w:rPr>
                <w:sz w:val="18"/>
                <w:lang w:val="fr-CA"/>
              </w:rPr>
              <w:t>$</w:t>
            </w:r>
            <w:r w:rsidRPr="00610E05">
              <w:rPr>
                <w:sz w:val="18"/>
                <w:lang w:val="fr-CA"/>
              </w:rPr>
              <w:t>US)</w:t>
            </w:r>
          </w:p>
        </w:tc>
        <w:tc>
          <w:tcPr>
            <w:tcW w:w="1450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Coûts de projet</w:t>
            </w:r>
          </w:p>
        </w:tc>
        <w:tc>
          <w:tcPr>
            <w:tcW w:w="801" w:type="dxa"/>
          </w:tcPr>
          <w:p w:rsidR="00757E67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742 948</w:t>
            </w:r>
          </w:p>
        </w:tc>
        <w:tc>
          <w:tcPr>
            <w:tcW w:w="576" w:type="dxa"/>
          </w:tcPr>
          <w:p w:rsidR="00757E67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55 000</w:t>
            </w:r>
          </w:p>
        </w:tc>
        <w:tc>
          <w:tcPr>
            <w:tcW w:w="61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50 000</w:t>
            </w:r>
          </w:p>
        </w:tc>
        <w:tc>
          <w:tcPr>
            <w:tcW w:w="756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757E67" w:rsidRPr="00A729B5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 w:rsidRPr="00A729B5">
              <w:rPr>
                <w:sz w:val="18"/>
                <w:lang w:val="en-CA"/>
              </w:rPr>
              <w:t>0,0</w:t>
            </w:r>
          </w:p>
        </w:tc>
        <w:tc>
          <w:tcPr>
            <w:tcW w:w="738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847 948</w:t>
            </w:r>
          </w:p>
        </w:tc>
      </w:tr>
      <w:tr w:rsidR="00F23C32" w:rsidRPr="00721EBF" w:rsidTr="00CB2857">
        <w:trPr>
          <w:trHeight w:val="479"/>
        </w:trPr>
        <w:tc>
          <w:tcPr>
            <w:tcW w:w="1951" w:type="dxa"/>
            <w:gridSpan w:val="2"/>
            <w:vMerge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sz w:val="18"/>
                <w:lang w:val="en-CA"/>
              </w:rPr>
            </w:pPr>
          </w:p>
        </w:tc>
        <w:tc>
          <w:tcPr>
            <w:tcW w:w="1450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Coûts d’appui</w:t>
            </w:r>
          </w:p>
        </w:tc>
        <w:tc>
          <w:tcPr>
            <w:tcW w:w="801" w:type="dxa"/>
          </w:tcPr>
          <w:p w:rsidR="00757E67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59 846</w:t>
            </w:r>
          </w:p>
        </w:tc>
        <w:tc>
          <w:tcPr>
            <w:tcW w:w="576" w:type="dxa"/>
          </w:tcPr>
          <w:p w:rsidR="00757E67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7 150</w:t>
            </w:r>
          </w:p>
        </w:tc>
        <w:tc>
          <w:tcPr>
            <w:tcW w:w="61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6 500</w:t>
            </w:r>
          </w:p>
        </w:tc>
        <w:tc>
          <w:tcPr>
            <w:tcW w:w="756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757E67" w:rsidRPr="00A729B5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 w:rsidRPr="00A729B5">
              <w:rPr>
                <w:sz w:val="18"/>
                <w:lang w:val="en-CA"/>
              </w:rPr>
              <w:t>0,0</w:t>
            </w:r>
          </w:p>
        </w:tc>
        <w:tc>
          <w:tcPr>
            <w:tcW w:w="738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57E67" w:rsidRPr="00721EBF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73 496</w:t>
            </w:r>
          </w:p>
        </w:tc>
      </w:tr>
      <w:tr w:rsidR="00F23C32" w:rsidRPr="00721EBF" w:rsidTr="00CB2857">
        <w:trPr>
          <w:trHeight w:val="479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757E67" w:rsidRPr="00610E05" w:rsidRDefault="00757E67" w:rsidP="00297158">
            <w:pPr>
              <w:spacing w:after="60"/>
              <w:jc w:val="lef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</w:t>
            </w:r>
            <w:r w:rsidRPr="00610E05">
              <w:rPr>
                <w:sz w:val="18"/>
                <w:lang w:val="fr-CA"/>
              </w:rPr>
              <w:t>onds</w:t>
            </w:r>
            <w:r>
              <w:rPr>
                <w:sz w:val="18"/>
                <w:lang w:val="fr-CA"/>
              </w:rPr>
              <w:t xml:space="preserve"> totaux</w:t>
            </w:r>
            <w:r w:rsidRPr="00610E05">
              <w:rPr>
                <w:sz w:val="18"/>
                <w:lang w:val="fr-CA"/>
              </w:rPr>
              <w:t xml:space="preserve"> demandés </w:t>
            </w:r>
            <w:r w:rsidR="00297158">
              <w:rPr>
                <w:sz w:val="18"/>
                <w:lang w:val="fr-CA"/>
              </w:rPr>
              <w:t xml:space="preserve">pour </w:t>
            </w:r>
            <w:r>
              <w:rPr>
                <w:sz w:val="18"/>
                <w:lang w:val="fr-CA"/>
              </w:rPr>
              <w:t>approbation</w:t>
            </w:r>
            <w:r w:rsidRPr="00610E05">
              <w:rPr>
                <w:sz w:val="18"/>
                <w:lang w:val="fr-CA"/>
              </w:rPr>
              <w:t xml:space="preserve"> </w:t>
            </w:r>
            <w:r w:rsidR="00297158">
              <w:rPr>
                <w:sz w:val="18"/>
                <w:lang w:val="fr-CA"/>
              </w:rPr>
              <w:t>à la présente</w:t>
            </w:r>
            <w:r w:rsidRPr="00610E05">
              <w:rPr>
                <w:sz w:val="18"/>
                <w:lang w:val="fr-CA"/>
              </w:rPr>
              <w:t xml:space="preserve"> réunion ($US)</w:t>
            </w:r>
          </w:p>
        </w:tc>
        <w:tc>
          <w:tcPr>
            <w:tcW w:w="1450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Coûts de projet</w:t>
            </w:r>
          </w:p>
        </w:tc>
        <w:tc>
          <w:tcPr>
            <w:tcW w:w="801" w:type="dxa"/>
          </w:tcPr>
          <w:p w:rsidR="00757E67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576" w:type="dxa"/>
          </w:tcPr>
          <w:p w:rsidR="00757E67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711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612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612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762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756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684" w:type="dxa"/>
            <w:shd w:val="clear" w:color="auto" w:fill="auto"/>
          </w:tcPr>
          <w:p w:rsidR="00757E67" w:rsidRPr="003670FD" w:rsidRDefault="00757E67" w:rsidP="00757E67">
            <w:pPr>
              <w:spacing w:after="60"/>
              <w:jc w:val="right"/>
              <w:rPr>
                <w:sz w:val="18"/>
                <w:highlight w:val="yellow"/>
                <w:lang w:val="en-CA"/>
              </w:rPr>
            </w:pPr>
          </w:p>
        </w:tc>
        <w:tc>
          <w:tcPr>
            <w:tcW w:w="738" w:type="dxa"/>
            <w:shd w:val="clear" w:color="auto" w:fill="auto"/>
          </w:tcPr>
          <w:p w:rsidR="00757E67" w:rsidRPr="002D36A7" w:rsidRDefault="00A729B5" w:rsidP="00757E67">
            <w:pPr>
              <w:spacing w:after="60"/>
              <w:jc w:val="right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30 000</w:t>
            </w:r>
          </w:p>
        </w:tc>
        <w:tc>
          <w:tcPr>
            <w:tcW w:w="684" w:type="dxa"/>
            <w:shd w:val="clear" w:color="auto" w:fill="auto"/>
          </w:tcPr>
          <w:p w:rsidR="00757E67" w:rsidRPr="009E25CC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801" w:type="dxa"/>
            <w:shd w:val="clear" w:color="auto" w:fill="auto"/>
          </w:tcPr>
          <w:p w:rsidR="00757E67" w:rsidRPr="00CD0728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30 000</w:t>
            </w:r>
          </w:p>
        </w:tc>
      </w:tr>
      <w:tr w:rsidR="00F23C32" w:rsidRPr="00721EBF" w:rsidTr="00CB2857">
        <w:trPr>
          <w:trHeight w:val="479"/>
        </w:trPr>
        <w:tc>
          <w:tcPr>
            <w:tcW w:w="1951" w:type="dxa"/>
            <w:gridSpan w:val="2"/>
            <w:vMerge/>
            <w:shd w:val="clear" w:color="auto" w:fill="auto"/>
          </w:tcPr>
          <w:p w:rsidR="00757E67" w:rsidRPr="00721EBF" w:rsidRDefault="00757E67" w:rsidP="00757E67">
            <w:pPr>
              <w:spacing w:after="60"/>
              <w:jc w:val="center"/>
              <w:rPr>
                <w:sz w:val="18"/>
                <w:lang w:val="en-CA"/>
              </w:rPr>
            </w:pPr>
          </w:p>
        </w:tc>
        <w:tc>
          <w:tcPr>
            <w:tcW w:w="1450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Coûts d’appui</w:t>
            </w:r>
          </w:p>
        </w:tc>
        <w:tc>
          <w:tcPr>
            <w:tcW w:w="801" w:type="dxa"/>
          </w:tcPr>
          <w:p w:rsidR="00757E67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576" w:type="dxa"/>
          </w:tcPr>
          <w:p w:rsidR="00757E67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711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612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612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762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756" w:type="dxa"/>
            <w:shd w:val="clear" w:color="auto" w:fill="auto"/>
          </w:tcPr>
          <w:p w:rsidR="00757E67" w:rsidRPr="00721EBF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684" w:type="dxa"/>
            <w:shd w:val="clear" w:color="auto" w:fill="auto"/>
          </w:tcPr>
          <w:p w:rsidR="00757E67" w:rsidRPr="003670FD" w:rsidRDefault="00757E67" w:rsidP="00757E67">
            <w:pPr>
              <w:spacing w:after="60"/>
              <w:jc w:val="right"/>
              <w:rPr>
                <w:sz w:val="18"/>
                <w:highlight w:val="yellow"/>
                <w:lang w:val="en-CA"/>
              </w:rPr>
            </w:pPr>
          </w:p>
        </w:tc>
        <w:tc>
          <w:tcPr>
            <w:tcW w:w="738" w:type="dxa"/>
            <w:shd w:val="clear" w:color="auto" w:fill="auto"/>
          </w:tcPr>
          <w:p w:rsidR="00757E67" w:rsidRPr="002D36A7" w:rsidRDefault="00A729B5" w:rsidP="00757E67">
            <w:pPr>
              <w:spacing w:after="60"/>
              <w:jc w:val="right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3 900</w:t>
            </w:r>
          </w:p>
        </w:tc>
        <w:tc>
          <w:tcPr>
            <w:tcW w:w="684" w:type="dxa"/>
            <w:shd w:val="clear" w:color="auto" w:fill="auto"/>
          </w:tcPr>
          <w:p w:rsidR="00757E67" w:rsidRPr="009E25CC" w:rsidRDefault="00757E67" w:rsidP="00757E67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801" w:type="dxa"/>
            <w:shd w:val="clear" w:color="auto" w:fill="auto"/>
          </w:tcPr>
          <w:p w:rsidR="00757E67" w:rsidRPr="00CD0728" w:rsidRDefault="00A729B5" w:rsidP="00757E67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3 900</w:t>
            </w:r>
          </w:p>
        </w:tc>
      </w:tr>
    </w:tbl>
    <w:p w:rsidR="00085BCB" w:rsidRPr="002C6859" w:rsidRDefault="00085BCB" w:rsidP="00085BCB">
      <w:pPr>
        <w:ind w:left="-851"/>
        <w:jc w:val="left"/>
        <w:rPr>
          <w:sz w:val="16"/>
          <w:lang w:val="fr-CA"/>
        </w:rPr>
      </w:pPr>
    </w:p>
    <w:tbl>
      <w:tblPr>
        <w:tblStyle w:val="TableGrid"/>
        <w:tblpPr w:leftFromText="180" w:rightFromText="180" w:vertAnchor="text" w:horzAnchor="margin" w:tblpXSpec="center" w:tblpY="239"/>
        <w:tblW w:w="11165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4928"/>
        <w:gridCol w:w="6237"/>
      </w:tblGrid>
      <w:tr w:rsidR="00085BCB" w:rsidRPr="00721EBF" w:rsidTr="00757E67">
        <w:trPr>
          <w:trHeight w:val="340"/>
        </w:trPr>
        <w:tc>
          <w:tcPr>
            <w:tcW w:w="4928" w:type="dxa"/>
            <w:shd w:val="clear" w:color="auto" w:fill="auto"/>
          </w:tcPr>
          <w:p w:rsidR="00085BCB" w:rsidRPr="00721EBF" w:rsidRDefault="00085BCB" w:rsidP="00757E67">
            <w:pPr>
              <w:jc w:val="left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Recommandation du Secrétariat :</w:t>
            </w:r>
          </w:p>
        </w:tc>
        <w:tc>
          <w:tcPr>
            <w:tcW w:w="6237" w:type="dxa"/>
            <w:shd w:val="clear" w:color="auto" w:fill="auto"/>
          </w:tcPr>
          <w:p w:rsidR="00085BCB" w:rsidRPr="00721EBF" w:rsidRDefault="00085BCB" w:rsidP="00757E67">
            <w:pPr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Approbation globale</w:t>
            </w:r>
          </w:p>
        </w:tc>
      </w:tr>
      <w:bookmarkEnd w:id="0"/>
    </w:tbl>
    <w:p w:rsidR="00085BCB" w:rsidRDefault="00085BCB">
      <w:pPr>
        <w:jc w:val="left"/>
        <w:rPr>
          <w:lang w:val="fr-FR"/>
        </w:rPr>
      </w:pPr>
    </w:p>
    <w:p w:rsidR="00441083" w:rsidRDefault="00E60D9C">
      <w:pPr>
        <w:jc w:val="left"/>
        <w:rPr>
          <w:sz w:val="20"/>
          <w:lang w:val="fr-FR"/>
        </w:rPr>
      </w:pPr>
      <w:r>
        <w:rPr>
          <w:lang w:val="fr-FR"/>
        </w:rPr>
        <w:br w:type="page"/>
      </w:r>
    </w:p>
    <w:p w:rsidR="00436527" w:rsidRDefault="00436527" w:rsidP="00436527">
      <w:pPr>
        <w:jc w:val="center"/>
        <w:rPr>
          <w:b/>
          <w:lang w:val="fr-FR"/>
        </w:rPr>
      </w:pPr>
      <w:r w:rsidRPr="00436527">
        <w:rPr>
          <w:b/>
          <w:lang w:val="fr-FR"/>
        </w:rPr>
        <w:lastRenderedPageBreak/>
        <w:t>DESCRIPTION DU PROJET</w:t>
      </w:r>
    </w:p>
    <w:p w:rsidR="00436527" w:rsidRPr="00436527" w:rsidRDefault="00436527" w:rsidP="00436527">
      <w:pPr>
        <w:jc w:val="center"/>
        <w:rPr>
          <w:b/>
          <w:lang w:val="fr-CA"/>
        </w:rPr>
      </w:pPr>
    </w:p>
    <w:p w:rsidR="0050011D" w:rsidRPr="00A142BC" w:rsidRDefault="00A34D5C" w:rsidP="0050011D">
      <w:pPr>
        <w:pStyle w:val="Heading1"/>
        <w:rPr>
          <w:lang w:val="fr-CA"/>
        </w:rPr>
      </w:pPr>
      <w:r w:rsidRPr="00A34D5C">
        <w:rPr>
          <w:lang w:val="fr-CA"/>
        </w:rPr>
        <w:t>Au nom du gouvernement de l’</w:t>
      </w:r>
      <w:r w:rsidR="00F23C32">
        <w:rPr>
          <w:lang w:val="fr-CA"/>
        </w:rPr>
        <w:t>Eswatini,</w:t>
      </w:r>
      <w:r w:rsidRPr="00A34D5C">
        <w:rPr>
          <w:lang w:val="fr-CA"/>
        </w:rPr>
        <w:t xml:space="preserve"> le PNUE a présenté, en sa qualité d’agence d’exécution principale, une demande de financement pour la quatrième et dernière tranche de la phase</w:t>
      </w:r>
      <w:r w:rsidR="00F23C32">
        <w:rPr>
          <w:lang w:val="fr-CA"/>
        </w:rPr>
        <w:t> </w:t>
      </w:r>
      <w:r w:rsidRPr="00A34D5C">
        <w:rPr>
          <w:lang w:val="fr-CA"/>
        </w:rPr>
        <w:t xml:space="preserve">I du plan de gestion de l’élimination des HCFC (PGEH), </w:t>
      </w:r>
      <w:r>
        <w:rPr>
          <w:lang w:val="fr-CA"/>
        </w:rPr>
        <w:t>pour un montant de 30 000</w:t>
      </w:r>
      <w:r w:rsidR="006E2F2D">
        <w:rPr>
          <w:lang w:val="fr-CA"/>
        </w:rPr>
        <w:t> </w:t>
      </w:r>
      <w:r>
        <w:rPr>
          <w:lang w:val="fr-CA"/>
        </w:rPr>
        <w:t>$US, plus les coûts d’appui d’agence de 3</w:t>
      </w:r>
      <w:r w:rsidR="00F23C32">
        <w:rPr>
          <w:lang w:val="fr-CA"/>
        </w:rPr>
        <w:t> </w:t>
      </w:r>
      <w:r>
        <w:rPr>
          <w:lang w:val="fr-CA"/>
        </w:rPr>
        <w:t>900</w:t>
      </w:r>
      <w:r w:rsidR="006E2F2D">
        <w:rPr>
          <w:lang w:val="fr-CA"/>
        </w:rPr>
        <w:t> </w:t>
      </w:r>
      <w:r>
        <w:rPr>
          <w:lang w:val="fr-CA"/>
        </w:rPr>
        <w:t>$US pour le PNUE seulement</w:t>
      </w:r>
      <w:r w:rsidR="0050011D" w:rsidRPr="007810DD">
        <w:rPr>
          <w:rStyle w:val="FootnoteReference"/>
          <w:lang w:val="en-CA"/>
        </w:rPr>
        <w:footnoteReference w:id="1"/>
      </w:r>
      <w:r w:rsidR="0050011D" w:rsidRPr="00A34D5C">
        <w:rPr>
          <w:lang w:val="fr-CA"/>
        </w:rPr>
        <w:t>.</w:t>
      </w:r>
      <w:r w:rsidR="00F23C32">
        <w:rPr>
          <w:lang w:val="fr-CA"/>
        </w:rPr>
        <w:t xml:space="preserve"> </w:t>
      </w:r>
      <w:r w:rsidRPr="00A34D5C">
        <w:rPr>
          <w:lang w:val="fr-CA"/>
        </w:rPr>
        <w:t>La proposition comprend un rapport périodique sur la mise en œuvre de la troisième tranche, un rapport de vérification sur la consommation de HCFC pour</w:t>
      </w:r>
      <w:r w:rsidR="00F23C32">
        <w:rPr>
          <w:lang w:val="fr-CA"/>
        </w:rPr>
        <w:t> </w:t>
      </w:r>
      <w:r w:rsidRPr="00A34D5C">
        <w:rPr>
          <w:lang w:val="fr-CA"/>
        </w:rPr>
        <w:t xml:space="preserve">2014-2018, </w:t>
      </w:r>
      <w:r>
        <w:rPr>
          <w:lang w:val="fr-CA"/>
        </w:rPr>
        <w:t>et le plan de mise en œuvre de la tranche pour</w:t>
      </w:r>
      <w:r w:rsidR="00F23C32">
        <w:rPr>
          <w:lang w:val="fr-CA"/>
        </w:rPr>
        <w:t> 2</w:t>
      </w:r>
      <w:r>
        <w:rPr>
          <w:lang w:val="fr-CA"/>
        </w:rPr>
        <w:t xml:space="preserve">019-2020. </w:t>
      </w:r>
    </w:p>
    <w:p w:rsidR="0050011D" w:rsidRPr="00A34D5C" w:rsidRDefault="00A34D5C" w:rsidP="0050011D">
      <w:pPr>
        <w:spacing w:after="240"/>
        <w:rPr>
          <w:u w:val="single"/>
          <w:lang w:val="fr-CA"/>
        </w:rPr>
      </w:pPr>
      <w:r w:rsidRPr="00A34D5C">
        <w:rPr>
          <w:u w:val="single"/>
          <w:lang w:val="fr-CA"/>
        </w:rPr>
        <w:t>Rapport sur la consommation de HCFC</w:t>
      </w:r>
    </w:p>
    <w:p w:rsidR="0050011D" w:rsidRPr="00F23C32" w:rsidRDefault="002317C1" w:rsidP="0050011D">
      <w:pPr>
        <w:pStyle w:val="Heading1"/>
        <w:rPr>
          <w:lang w:val="fr-CA"/>
        </w:rPr>
      </w:pPr>
      <w:r w:rsidRPr="002317C1">
        <w:rPr>
          <w:lang w:val="fr-CA"/>
        </w:rPr>
        <w:t>Le gouvernement de l’Eswatini a déclaré une consommation de 0,47</w:t>
      </w:r>
      <w:r w:rsidR="006E2F2D">
        <w:rPr>
          <w:lang w:val="fr-CA"/>
        </w:rPr>
        <w:t> tonne</w:t>
      </w:r>
      <w:r w:rsidR="00F23C32">
        <w:rPr>
          <w:lang w:val="fr-CA"/>
        </w:rPr>
        <w:t> </w:t>
      </w:r>
      <w:r w:rsidRPr="002317C1">
        <w:rPr>
          <w:lang w:val="fr-CA"/>
        </w:rPr>
        <w:t>PAO de HCFC</w:t>
      </w:r>
      <w:r w:rsidR="00F23C32">
        <w:rPr>
          <w:lang w:val="fr-CA"/>
        </w:rPr>
        <w:noBreakHyphen/>
      </w:r>
      <w:r w:rsidRPr="002317C1">
        <w:rPr>
          <w:lang w:val="fr-CA"/>
        </w:rPr>
        <w:t>22 pour</w:t>
      </w:r>
      <w:r w:rsidR="00F23C32">
        <w:rPr>
          <w:lang w:val="fr-CA"/>
        </w:rPr>
        <w:t> </w:t>
      </w:r>
      <w:r w:rsidRPr="002317C1">
        <w:rPr>
          <w:lang w:val="fr-CA"/>
        </w:rPr>
        <w:t xml:space="preserve">2018, </w:t>
      </w:r>
      <w:r>
        <w:rPr>
          <w:lang w:val="fr-CA"/>
        </w:rPr>
        <w:t xml:space="preserve">qui </w:t>
      </w:r>
      <w:r w:rsidR="00F23C32">
        <w:rPr>
          <w:lang w:val="fr-CA"/>
        </w:rPr>
        <w:t>est</w:t>
      </w:r>
      <w:r>
        <w:rPr>
          <w:lang w:val="fr-CA"/>
        </w:rPr>
        <w:t xml:space="preserve"> 73</w:t>
      </w:r>
      <w:r w:rsidR="00F23C32">
        <w:rPr>
          <w:lang w:val="fr-CA"/>
        </w:rPr>
        <w:t> </w:t>
      </w:r>
      <w:r>
        <w:rPr>
          <w:lang w:val="fr-CA"/>
        </w:rPr>
        <w:t>pour cent inférieur</w:t>
      </w:r>
      <w:r w:rsidR="00F23C32">
        <w:rPr>
          <w:lang w:val="fr-CA"/>
        </w:rPr>
        <w:t>e</w:t>
      </w:r>
      <w:r>
        <w:rPr>
          <w:lang w:val="fr-CA"/>
        </w:rPr>
        <w:t xml:space="preserve"> à la valeur de référence des HCFC. </w:t>
      </w:r>
      <w:r w:rsidRPr="00F23C32">
        <w:rPr>
          <w:lang w:val="fr-CA"/>
        </w:rPr>
        <w:t>La consommation de H</w:t>
      </w:r>
      <w:r w:rsidR="00F23C32" w:rsidRPr="00F23C32">
        <w:rPr>
          <w:lang w:val="fr-CA"/>
        </w:rPr>
        <w:t>C</w:t>
      </w:r>
      <w:r w:rsidRPr="00F23C32">
        <w:rPr>
          <w:lang w:val="fr-CA"/>
        </w:rPr>
        <w:t>FC pour</w:t>
      </w:r>
      <w:r w:rsidR="00F23C32" w:rsidRPr="00F23C32">
        <w:rPr>
          <w:lang w:val="fr-CA"/>
        </w:rPr>
        <w:t> </w:t>
      </w:r>
      <w:r w:rsidRPr="00F23C32">
        <w:rPr>
          <w:lang w:val="fr-CA"/>
        </w:rPr>
        <w:t xml:space="preserve">2014-2018 </w:t>
      </w:r>
      <w:r w:rsidR="006E2F2D" w:rsidRPr="00F23C32">
        <w:rPr>
          <w:lang w:val="fr-CA"/>
        </w:rPr>
        <w:t>figure</w:t>
      </w:r>
      <w:r w:rsidRPr="00F23C32">
        <w:rPr>
          <w:lang w:val="fr-CA"/>
        </w:rPr>
        <w:t xml:space="preserve"> au tableau</w:t>
      </w:r>
      <w:r w:rsidR="006E2F2D" w:rsidRPr="00F23C32">
        <w:rPr>
          <w:lang w:val="fr-CA"/>
        </w:rPr>
        <w:t> </w:t>
      </w:r>
      <w:r w:rsidRPr="00F23C32">
        <w:rPr>
          <w:lang w:val="fr-CA"/>
        </w:rPr>
        <w:t>1 ci-après</w:t>
      </w:r>
      <w:r w:rsidR="006E2F2D" w:rsidRPr="00F23C32">
        <w:rPr>
          <w:lang w:val="fr-CA"/>
        </w:rPr>
        <w:t> </w:t>
      </w:r>
      <w:r w:rsidRPr="00F23C32">
        <w:rPr>
          <w:lang w:val="fr-CA"/>
        </w:rPr>
        <w:t>:</w:t>
      </w:r>
      <w:r w:rsidR="0050011D" w:rsidRPr="00F23C32">
        <w:rPr>
          <w:lang w:val="fr-CA"/>
        </w:rPr>
        <w:t xml:space="preserve">  </w:t>
      </w:r>
    </w:p>
    <w:p w:rsidR="0050011D" w:rsidRPr="002317C1" w:rsidRDefault="0050011D" w:rsidP="0050011D">
      <w:pPr>
        <w:rPr>
          <w:b/>
          <w:lang w:val="fr-CA"/>
        </w:rPr>
      </w:pPr>
      <w:r w:rsidRPr="006E2F2D">
        <w:rPr>
          <w:b/>
          <w:lang w:val="fr-CA"/>
        </w:rPr>
        <w:t>Table</w:t>
      </w:r>
      <w:r w:rsidR="00F23C32">
        <w:rPr>
          <w:b/>
          <w:lang w:val="fr-CA"/>
        </w:rPr>
        <w:t>au </w:t>
      </w:r>
      <w:r w:rsidRPr="006E2F2D">
        <w:rPr>
          <w:b/>
          <w:lang w:val="fr-CA"/>
        </w:rPr>
        <w:t xml:space="preserve">1. </w:t>
      </w:r>
      <w:r w:rsidR="002317C1" w:rsidRPr="002317C1">
        <w:rPr>
          <w:b/>
          <w:lang w:val="fr-CA"/>
        </w:rPr>
        <w:t xml:space="preserve">Consommation de HCFC en Eswatini </w:t>
      </w:r>
      <w:r w:rsidR="002317C1">
        <w:rPr>
          <w:b/>
          <w:lang w:val="fr-CA"/>
        </w:rPr>
        <w:t>(données de l’article</w:t>
      </w:r>
      <w:r w:rsidR="006E2F2D">
        <w:rPr>
          <w:b/>
          <w:lang w:val="fr-CA"/>
        </w:rPr>
        <w:t> </w:t>
      </w:r>
      <w:r w:rsidR="002317C1">
        <w:rPr>
          <w:b/>
          <w:lang w:val="fr-CA"/>
        </w:rPr>
        <w:t>7 pour</w:t>
      </w:r>
      <w:r w:rsidR="00F23C32">
        <w:rPr>
          <w:lang w:val="fr-CA"/>
        </w:rPr>
        <w:t> </w:t>
      </w:r>
      <w:r w:rsidR="002317C1">
        <w:rPr>
          <w:b/>
          <w:lang w:val="fr-CA"/>
        </w:rPr>
        <w:t>2014-2018)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02"/>
        <w:gridCol w:w="1007"/>
        <w:gridCol w:w="1006"/>
        <w:gridCol w:w="1006"/>
        <w:gridCol w:w="1006"/>
        <w:gridCol w:w="1008"/>
        <w:gridCol w:w="1276"/>
      </w:tblGrid>
      <w:tr w:rsidR="0050011D" w:rsidRPr="00FE3307" w:rsidTr="00F23C32">
        <w:trPr>
          <w:tblHeader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0011D" w:rsidRPr="00FE3307" w:rsidRDefault="0050011D" w:rsidP="00757E67">
            <w:pPr>
              <w:widowControl w:val="0"/>
              <w:jc w:val="left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E3307">
              <w:rPr>
                <w:b/>
                <w:bCs/>
                <w:color w:val="000000"/>
                <w:sz w:val="20"/>
                <w:szCs w:val="20"/>
                <w:lang w:val="en-CA"/>
              </w:rPr>
              <w:t>HCFC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1D" w:rsidRPr="00FE3307" w:rsidRDefault="0050011D" w:rsidP="00757E67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E3307">
              <w:rPr>
                <w:b/>
                <w:bCs/>
                <w:color w:val="000000"/>
                <w:sz w:val="20"/>
                <w:szCs w:val="20"/>
                <w:lang w:val="en-CA"/>
              </w:rPr>
              <w:t>2014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1D" w:rsidRPr="00FE3307" w:rsidRDefault="0050011D" w:rsidP="00757E67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E3307">
              <w:rPr>
                <w:b/>
                <w:bCs/>
                <w:color w:val="000000"/>
                <w:sz w:val="20"/>
                <w:szCs w:val="20"/>
                <w:lang w:val="en-CA"/>
              </w:rPr>
              <w:t>2015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1D" w:rsidRPr="00FE3307" w:rsidRDefault="0050011D" w:rsidP="00757E67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E3307">
              <w:rPr>
                <w:b/>
                <w:bCs/>
                <w:color w:val="000000"/>
                <w:sz w:val="20"/>
                <w:szCs w:val="20"/>
                <w:lang w:val="en-CA"/>
              </w:rPr>
              <w:t>2016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1D" w:rsidRPr="00FE3307" w:rsidRDefault="0050011D" w:rsidP="00F23C32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E3307">
              <w:rPr>
                <w:b/>
                <w:bCs/>
                <w:color w:val="000000"/>
                <w:sz w:val="20"/>
                <w:szCs w:val="20"/>
                <w:lang w:val="en-CA"/>
              </w:rPr>
              <w:t>2017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D" w:rsidRPr="00FE3307" w:rsidRDefault="0050011D" w:rsidP="00F23C32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E3307">
              <w:rPr>
                <w:b/>
                <w:bCs/>
                <w:color w:val="000000"/>
                <w:sz w:val="20"/>
                <w:szCs w:val="20"/>
                <w:lang w:val="en-CA"/>
              </w:rPr>
              <w:t>2018</w:t>
            </w:r>
            <w:r w:rsidRPr="00DF385C">
              <w:rPr>
                <w:b/>
                <w:bCs/>
                <w:color w:val="000000"/>
                <w:sz w:val="20"/>
                <w:szCs w:val="20"/>
                <w:vertAlign w:val="superscript"/>
                <w:lang w:val="en-CA"/>
              </w:rPr>
              <w:t>*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1D" w:rsidRPr="00FE3307" w:rsidRDefault="002317C1" w:rsidP="00757E67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Valeur de référence </w:t>
            </w:r>
          </w:p>
        </w:tc>
      </w:tr>
      <w:tr w:rsidR="0050011D" w:rsidRPr="00FE3307" w:rsidTr="00757E67"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0011D" w:rsidRPr="00FE3307" w:rsidRDefault="002317C1" w:rsidP="00757E67">
            <w:pPr>
              <w:widowControl w:val="0"/>
              <w:jc w:val="left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Tonnes métriques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50011D" w:rsidP="00757E67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50011D" w:rsidP="00757E67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50011D" w:rsidP="00757E67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11D" w:rsidRPr="00FE3307" w:rsidRDefault="0050011D" w:rsidP="00757E67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D" w:rsidRPr="00FE3307" w:rsidRDefault="0050011D" w:rsidP="00757E67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1D" w:rsidRPr="00FE3307" w:rsidRDefault="0050011D" w:rsidP="00757E67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50011D" w:rsidRPr="00FE3307" w:rsidTr="00757E67"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0011D" w:rsidRPr="00FE3307" w:rsidRDefault="0050011D" w:rsidP="00757E67">
            <w:pPr>
              <w:widowControl w:val="0"/>
              <w:jc w:val="left"/>
              <w:rPr>
                <w:color w:val="000000"/>
                <w:sz w:val="20"/>
                <w:szCs w:val="20"/>
                <w:lang w:val="en-CA"/>
              </w:rPr>
            </w:pPr>
            <w:r w:rsidRPr="00FE3307">
              <w:rPr>
                <w:color w:val="000000"/>
                <w:sz w:val="20"/>
                <w:szCs w:val="20"/>
                <w:lang w:val="en-CA"/>
              </w:rPr>
              <w:t>HCFC-22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widowControl w:val="0"/>
              <w:jc w:val="right"/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26,70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widowControl w:val="0"/>
              <w:jc w:val="right"/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18,54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21,20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11D" w:rsidRPr="00FE3307" w:rsidRDefault="006E2F2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13,60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D" w:rsidRPr="00FE3307" w:rsidRDefault="006E2F2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8,50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1D" w:rsidRPr="00FE3307" w:rsidRDefault="006E2F2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31,36</w:t>
            </w:r>
          </w:p>
        </w:tc>
      </w:tr>
      <w:tr w:rsidR="0050011D" w:rsidRPr="00FE3307" w:rsidTr="00757E67"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50011D" w:rsidRPr="002317C1" w:rsidRDefault="0050011D" w:rsidP="00757E67">
            <w:pPr>
              <w:jc w:val="left"/>
              <w:rPr>
                <w:b/>
                <w:bCs/>
                <w:color w:val="000000"/>
                <w:sz w:val="20"/>
                <w:szCs w:val="20"/>
                <w:highlight w:val="magenta"/>
                <w:lang w:val="fr-CA"/>
              </w:rPr>
            </w:pPr>
            <w:r w:rsidRPr="002317C1">
              <w:rPr>
                <w:color w:val="000000"/>
                <w:sz w:val="20"/>
                <w:szCs w:val="20"/>
                <w:lang w:val="fr-CA"/>
              </w:rPr>
              <w:t>HCFC-141b</w:t>
            </w:r>
            <w:r w:rsidR="002317C1" w:rsidRPr="002317C1">
              <w:rPr>
                <w:color w:val="000000"/>
                <w:sz w:val="20"/>
                <w:szCs w:val="20"/>
                <w:lang w:val="fr-CA"/>
              </w:rPr>
              <w:t xml:space="preserve"> dans des polyols prémélangés importés</w:t>
            </w:r>
            <w:r w:rsidRPr="002317C1">
              <w:rPr>
                <w:color w:val="000000"/>
                <w:sz w:val="20"/>
                <w:szCs w:val="20"/>
                <w:vertAlign w:val="superscript"/>
                <w:lang w:val="fr-CA"/>
              </w:rPr>
              <w:t>**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jc w:val="right"/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2,36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jc w:val="right"/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11D" w:rsidRPr="00FE3307" w:rsidRDefault="006E2F2D" w:rsidP="00757E67">
            <w:pPr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D" w:rsidRPr="00FE3307" w:rsidRDefault="006E2F2D" w:rsidP="00757E67">
            <w:pPr>
              <w:jc w:val="right"/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jc w:val="righ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50,90</w:t>
            </w:r>
          </w:p>
        </w:tc>
      </w:tr>
      <w:tr w:rsidR="0050011D" w:rsidRPr="00FE3307" w:rsidTr="00757E67"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0011D" w:rsidRPr="00FE3307" w:rsidRDefault="0050011D" w:rsidP="00757E67">
            <w:pPr>
              <w:widowControl w:val="0"/>
              <w:jc w:val="left"/>
              <w:rPr>
                <w:color w:val="000000"/>
                <w:sz w:val="20"/>
                <w:szCs w:val="20"/>
                <w:lang w:val="en-CA"/>
              </w:rPr>
            </w:pPr>
            <w:r w:rsidRPr="00FE3307">
              <w:rPr>
                <w:color w:val="000000"/>
                <w:sz w:val="20"/>
                <w:szCs w:val="20"/>
                <w:lang w:val="en-CA"/>
              </w:rPr>
              <w:t>Total (t</w:t>
            </w:r>
            <w:r w:rsidR="00F23C32">
              <w:rPr>
                <w:color w:val="000000"/>
                <w:sz w:val="20"/>
                <w:szCs w:val="20"/>
                <w:lang w:val="en-CA"/>
              </w:rPr>
              <w:t>m</w:t>
            </w:r>
            <w:r w:rsidRPr="00FE3307">
              <w:rPr>
                <w:color w:val="000000"/>
                <w:sz w:val="20"/>
                <w:szCs w:val="20"/>
                <w:lang w:val="en-CA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11D" w:rsidRPr="00FE3307" w:rsidRDefault="006E2F2D" w:rsidP="00757E67">
            <w:pPr>
              <w:jc w:val="righ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29,06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11D" w:rsidRPr="00FE3307" w:rsidRDefault="006E2F2D" w:rsidP="00757E67">
            <w:pPr>
              <w:jc w:val="righ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18,54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11D" w:rsidRPr="00FE3307" w:rsidRDefault="006E2F2D" w:rsidP="00757E67">
            <w:pPr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21,20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D" w:rsidRPr="00FE3307" w:rsidRDefault="006E2F2D" w:rsidP="00757E67">
            <w:pPr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13,60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D" w:rsidRPr="00FE3307" w:rsidRDefault="006E2F2D" w:rsidP="00757E67">
            <w:pPr>
              <w:jc w:val="righ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8,50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11D" w:rsidRPr="00FE3307" w:rsidRDefault="006E2F2D" w:rsidP="00757E67">
            <w:pPr>
              <w:jc w:val="righ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s.o.</w:t>
            </w:r>
          </w:p>
        </w:tc>
      </w:tr>
      <w:tr w:rsidR="0050011D" w:rsidRPr="00FE3307" w:rsidTr="00757E67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0011D" w:rsidRPr="00FE3307" w:rsidRDefault="002317C1" w:rsidP="00757E67">
            <w:pPr>
              <w:widowControl w:val="0"/>
              <w:jc w:val="left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Tonnes PAO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1D" w:rsidRPr="00FE3307" w:rsidRDefault="0050011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1D" w:rsidRPr="00FE3307" w:rsidRDefault="0050011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1D" w:rsidRPr="00FE3307" w:rsidRDefault="0050011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D" w:rsidRPr="00FE3307" w:rsidRDefault="0050011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D" w:rsidRPr="00FE3307" w:rsidRDefault="0050011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1D" w:rsidRPr="00FE3307" w:rsidRDefault="0050011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50011D" w:rsidRPr="00FE3307" w:rsidTr="00757E67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0011D" w:rsidRPr="00FE3307" w:rsidRDefault="0050011D" w:rsidP="00757E67">
            <w:pPr>
              <w:widowControl w:val="0"/>
              <w:jc w:val="left"/>
              <w:rPr>
                <w:color w:val="000000"/>
                <w:sz w:val="20"/>
                <w:szCs w:val="20"/>
                <w:lang w:val="en-CA"/>
              </w:rPr>
            </w:pPr>
            <w:r w:rsidRPr="00FE3307">
              <w:rPr>
                <w:color w:val="000000"/>
                <w:sz w:val="20"/>
                <w:szCs w:val="20"/>
                <w:lang w:val="en-CA"/>
              </w:rPr>
              <w:t>HCFC-22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1"/>
                <w:szCs w:val="21"/>
              </w:rPr>
              <w:t>1,47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1,02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1,17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D" w:rsidRPr="00FE3307" w:rsidRDefault="006E2F2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0,75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D" w:rsidRPr="00FE3307" w:rsidRDefault="006E2F2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0,47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1,73</w:t>
            </w:r>
          </w:p>
        </w:tc>
      </w:tr>
      <w:tr w:rsidR="0050011D" w:rsidRPr="00FE3307" w:rsidTr="00757E67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50011D" w:rsidRPr="002317C1" w:rsidRDefault="0050011D" w:rsidP="00757E67">
            <w:pPr>
              <w:jc w:val="left"/>
              <w:rPr>
                <w:color w:val="000000"/>
                <w:sz w:val="20"/>
                <w:szCs w:val="20"/>
                <w:highlight w:val="magenta"/>
                <w:lang w:val="fr-CA"/>
              </w:rPr>
            </w:pPr>
            <w:r w:rsidRPr="002317C1">
              <w:rPr>
                <w:color w:val="000000"/>
                <w:sz w:val="20"/>
                <w:szCs w:val="20"/>
                <w:lang w:val="fr-CA"/>
              </w:rPr>
              <w:t>HCFC-141b</w:t>
            </w:r>
            <w:r w:rsidR="002317C1" w:rsidRPr="002317C1">
              <w:rPr>
                <w:color w:val="000000"/>
                <w:sz w:val="20"/>
                <w:szCs w:val="20"/>
                <w:lang w:val="fr-CA"/>
              </w:rPr>
              <w:t xml:space="preserve"> dans des polyols prémélangés importés</w:t>
            </w:r>
            <w:r w:rsidRPr="002317C1">
              <w:rPr>
                <w:color w:val="000000"/>
                <w:sz w:val="20"/>
                <w:szCs w:val="20"/>
                <w:vertAlign w:val="superscript"/>
                <w:lang w:val="fr-CA"/>
              </w:rPr>
              <w:t>**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jc w:val="right"/>
              <w:rPr>
                <w:rFonts w:eastAsiaTheme="minorHAnsi"/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2,36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jc w:val="right"/>
              <w:rPr>
                <w:rFonts w:eastAsiaTheme="minorHAnsi"/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jc w:val="right"/>
              <w:rPr>
                <w:rFonts w:eastAsiaTheme="minorHAnsi"/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D" w:rsidRPr="00FE3307" w:rsidRDefault="006E2F2D" w:rsidP="00757E67">
            <w:pPr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D" w:rsidRPr="00FE3307" w:rsidRDefault="006E2F2D" w:rsidP="00757E67">
            <w:pPr>
              <w:jc w:val="right"/>
              <w:rPr>
                <w:rFonts w:eastAsiaTheme="minorHAnsi"/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jc w:val="right"/>
              <w:rPr>
                <w:rFonts w:eastAsiaTheme="minorHAnsi"/>
                <w:color w:val="000000"/>
                <w:sz w:val="20"/>
                <w:szCs w:val="20"/>
                <w:lang w:val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en-CA"/>
              </w:rPr>
              <w:t>5,60</w:t>
            </w:r>
          </w:p>
        </w:tc>
      </w:tr>
      <w:tr w:rsidR="0050011D" w:rsidRPr="00FE3307" w:rsidTr="00757E67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0011D" w:rsidRPr="002317C1" w:rsidRDefault="0050011D" w:rsidP="00757E67">
            <w:pPr>
              <w:widowControl w:val="0"/>
              <w:jc w:val="left"/>
              <w:rPr>
                <w:color w:val="000000"/>
                <w:sz w:val="20"/>
                <w:szCs w:val="20"/>
                <w:lang w:val="fr-CA"/>
              </w:rPr>
            </w:pPr>
            <w:r w:rsidRPr="002317C1">
              <w:rPr>
                <w:b/>
                <w:color w:val="000000"/>
                <w:sz w:val="20"/>
                <w:szCs w:val="20"/>
                <w:lang w:val="fr-CA"/>
              </w:rPr>
              <w:t>Total (</w:t>
            </w:r>
            <w:r w:rsidR="002317C1" w:rsidRPr="002317C1">
              <w:rPr>
                <w:b/>
                <w:color w:val="000000"/>
                <w:sz w:val="20"/>
                <w:szCs w:val="20"/>
                <w:lang w:val="fr-CA"/>
              </w:rPr>
              <w:t>tonnes PAO</w:t>
            </w:r>
            <w:r w:rsidRPr="002317C1">
              <w:rPr>
                <w:b/>
                <w:color w:val="000000"/>
                <w:sz w:val="20"/>
                <w:szCs w:val="20"/>
                <w:lang w:val="fr-CA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3,83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1,02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D" w:rsidRPr="00FE3307" w:rsidRDefault="006E2F2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1,17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D" w:rsidRPr="00FE3307" w:rsidRDefault="006E2F2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0,75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D" w:rsidRPr="00FE3307" w:rsidRDefault="006E2F2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0,47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1D" w:rsidRPr="00FE3307" w:rsidRDefault="006E2F2D" w:rsidP="00757E67">
            <w:pPr>
              <w:widowControl w:val="0"/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s.o.</w:t>
            </w:r>
          </w:p>
        </w:tc>
      </w:tr>
    </w:tbl>
    <w:p w:rsidR="0050011D" w:rsidRPr="00A142BC" w:rsidRDefault="0050011D" w:rsidP="0050011D">
      <w:pPr>
        <w:rPr>
          <w:sz w:val="16"/>
          <w:szCs w:val="16"/>
          <w:lang w:val="fr-CA"/>
        </w:rPr>
      </w:pPr>
      <w:r w:rsidRPr="002317C1">
        <w:rPr>
          <w:sz w:val="16"/>
          <w:szCs w:val="16"/>
          <w:vertAlign w:val="superscript"/>
          <w:lang w:val="fr-CA"/>
        </w:rPr>
        <w:t>*</w:t>
      </w:r>
      <w:r w:rsidR="002317C1" w:rsidRPr="002317C1">
        <w:rPr>
          <w:sz w:val="16"/>
          <w:szCs w:val="16"/>
          <w:lang w:val="fr-CA"/>
        </w:rPr>
        <w:t xml:space="preserve"> Données provenant du rapport de vérification </w:t>
      </w:r>
      <w:r w:rsidR="00297158">
        <w:rPr>
          <w:sz w:val="16"/>
          <w:szCs w:val="16"/>
          <w:lang w:val="fr-CA"/>
        </w:rPr>
        <w:t>de</w:t>
      </w:r>
      <w:r w:rsidR="002317C1" w:rsidRPr="002317C1">
        <w:rPr>
          <w:sz w:val="16"/>
          <w:szCs w:val="16"/>
          <w:lang w:val="fr-CA"/>
        </w:rPr>
        <w:t xml:space="preserve"> la consommation de H</w:t>
      </w:r>
      <w:r w:rsidR="00F23C32">
        <w:rPr>
          <w:sz w:val="16"/>
          <w:szCs w:val="16"/>
          <w:lang w:val="fr-CA"/>
        </w:rPr>
        <w:t>C</w:t>
      </w:r>
      <w:r w:rsidR="002317C1" w:rsidRPr="002317C1">
        <w:rPr>
          <w:sz w:val="16"/>
          <w:szCs w:val="16"/>
          <w:lang w:val="fr-CA"/>
        </w:rPr>
        <w:t>FC.</w:t>
      </w:r>
    </w:p>
    <w:p w:rsidR="0050011D" w:rsidRPr="002317C1" w:rsidRDefault="0050011D" w:rsidP="0050011D">
      <w:pPr>
        <w:spacing w:after="240"/>
        <w:rPr>
          <w:sz w:val="16"/>
          <w:szCs w:val="16"/>
          <w:lang w:val="fr-CA"/>
        </w:rPr>
      </w:pPr>
      <w:r w:rsidRPr="002317C1">
        <w:rPr>
          <w:sz w:val="16"/>
          <w:szCs w:val="16"/>
          <w:vertAlign w:val="superscript"/>
          <w:lang w:val="fr-CA"/>
        </w:rPr>
        <w:t>**</w:t>
      </w:r>
      <w:r w:rsidR="002317C1" w:rsidRPr="00F23C32">
        <w:rPr>
          <w:sz w:val="16"/>
          <w:szCs w:val="16"/>
          <w:lang w:val="fr-CA"/>
        </w:rPr>
        <w:t>Fondé</w:t>
      </w:r>
      <w:r w:rsidR="00F23C32">
        <w:rPr>
          <w:sz w:val="16"/>
          <w:szCs w:val="16"/>
          <w:lang w:val="fr-CA"/>
        </w:rPr>
        <w:t>es</w:t>
      </w:r>
      <w:r w:rsidR="002317C1" w:rsidRPr="00F23C32">
        <w:rPr>
          <w:sz w:val="16"/>
          <w:szCs w:val="16"/>
          <w:lang w:val="fr-CA"/>
        </w:rPr>
        <w:t xml:space="preserve"> uniquement sur les données du programme de pays</w:t>
      </w:r>
    </w:p>
    <w:p w:rsidR="0050011D" w:rsidRPr="00D02DCC" w:rsidRDefault="002317C1" w:rsidP="0050011D">
      <w:pPr>
        <w:pStyle w:val="Heading1"/>
        <w:rPr>
          <w:i/>
          <w:lang w:val="fr-CA"/>
        </w:rPr>
      </w:pPr>
      <w:r w:rsidRPr="002317C1">
        <w:rPr>
          <w:lang w:val="fr-CA"/>
        </w:rPr>
        <w:t xml:space="preserve">La consommation de HCFC a diminué en raison de la mise en œuvre d’activités relevant du PGEH, </w:t>
      </w:r>
      <w:r>
        <w:rPr>
          <w:lang w:val="fr-CA"/>
        </w:rPr>
        <w:t xml:space="preserve">en particulier la mise en </w:t>
      </w:r>
      <w:r w:rsidR="00297158">
        <w:rPr>
          <w:lang w:val="fr-CA"/>
        </w:rPr>
        <w:t>place</w:t>
      </w:r>
      <w:r>
        <w:rPr>
          <w:lang w:val="fr-CA"/>
        </w:rPr>
        <w:t xml:space="preserve"> d’un système d’octroi de licences </w:t>
      </w:r>
      <w:r w:rsidR="00D02DCC">
        <w:rPr>
          <w:lang w:val="fr-CA"/>
        </w:rPr>
        <w:t xml:space="preserve">et </w:t>
      </w:r>
      <w:r>
        <w:rPr>
          <w:lang w:val="fr-CA"/>
        </w:rPr>
        <w:t>de quotas, la reconversion d’une entreprise de mousse au cyclopentane en remplacement du H</w:t>
      </w:r>
      <w:r w:rsidR="00D02DCC">
        <w:rPr>
          <w:lang w:val="fr-CA"/>
        </w:rPr>
        <w:t>C</w:t>
      </w:r>
      <w:r>
        <w:rPr>
          <w:lang w:val="fr-CA"/>
        </w:rPr>
        <w:t>FC</w:t>
      </w:r>
      <w:r w:rsidR="00D02DCC">
        <w:rPr>
          <w:lang w:val="fr-CA"/>
        </w:rPr>
        <w:noBreakHyphen/>
      </w:r>
      <w:r>
        <w:rPr>
          <w:lang w:val="fr-CA"/>
        </w:rPr>
        <w:t>141</w:t>
      </w:r>
      <w:r w:rsidR="00D02DCC">
        <w:rPr>
          <w:lang w:val="fr-CA"/>
        </w:rPr>
        <w:t>b</w:t>
      </w:r>
      <w:r>
        <w:rPr>
          <w:lang w:val="fr-CA"/>
        </w:rPr>
        <w:t xml:space="preserve"> contenu dans des polyols prémélangés, et des activités de sensibilisation, qui ont favorisé l’introduction de technologies de remplacement des HCFC</w:t>
      </w:r>
      <w:r w:rsidR="00D02DCC">
        <w:rPr>
          <w:lang w:val="fr-CA"/>
        </w:rPr>
        <w:t>.</w:t>
      </w:r>
      <w:r w:rsidR="009B24AC">
        <w:rPr>
          <w:lang w:val="fr-CA"/>
        </w:rPr>
        <w:t xml:space="preserve"> </w:t>
      </w:r>
      <w:r w:rsidR="00D02DCC">
        <w:rPr>
          <w:lang w:val="fr-CA"/>
        </w:rPr>
        <w:t>S</w:t>
      </w:r>
      <w:r w:rsidR="009B24AC">
        <w:rPr>
          <w:lang w:val="fr-CA"/>
        </w:rPr>
        <w:t>ur tous les frigorigènes importés dans le pays, le pourcentage de frigorigènes à base d’hydrocarbure</w:t>
      </w:r>
      <w:r w:rsidR="00297158">
        <w:rPr>
          <w:lang w:val="fr-CA"/>
        </w:rPr>
        <w:t>s</w:t>
      </w:r>
      <w:r w:rsidR="009B24AC">
        <w:rPr>
          <w:lang w:val="fr-CA"/>
        </w:rPr>
        <w:t xml:space="preserve"> (</w:t>
      </w:r>
      <w:r w:rsidR="00D02DCC">
        <w:rPr>
          <w:lang w:val="fr-CA"/>
        </w:rPr>
        <w:t>R</w:t>
      </w:r>
      <w:r w:rsidR="00D02DCC">
        <w:rPr>
          <w:lang w:val="fr-CA"/>
        </w:rPr>
        <w:noBreakHyphen/>
      </w:r>
      <w:r w:rsidR="009B24AC">
        <w:rPr>
          <w:lang w:val="fr-CA"/>
        </w:rPr>
        <w:t>600</w:t>
      </w:r>
      <w:r w:rsidR="006E2F2D">
        <w:rPr>
          <w:lang w:val="fr-CA"/>
        </w:rPr>
        <w:t> </w:t>
      </w:r>
      <w:r w:rsidR="009B24AC">
        <w:rPr>
          <w:lang w:val="fr-CA"/>
        </w:rPr>
        <w:t>et</w:t>
      </w:r>
      <w:r w:rsidR="00D02DCC">
        <w:rPr>
          <w:lang w:val="fr-CA"/>
        </w:rPr>
        <w:t xml:space="preserve"> R</w:t>
      </w:r>
      <w:r w:rsidR="00D02DCC">
        <w:rPr>
          <w:lang w:val="fr-CA"/>
        </w:rPr>
        <w:noBreakHyphen/>
      </w:r>
      <w:r w:rsidR="009B24AC">
        <w:rPr>
          <w:lang w:val="fr-CA"/>
        </w:rPr>
        <w:t xml:space="preserve">290) est </w:t>
      </w:r>
      <w:r w:rsidR="006E2F2D">
        <w:rPr>
          <w:lang w:val="fr-CA"/>
        </w:rPr>
        <w:t>passé</w:t>
      </w:r>
      <w:r w:rsidR="009B24AC">
        <w:rPr>
          <w:lang w:val="fr-CA"/>
        </w:rPr>
        <w:t xml:space="preserve"> de 13 à 36</w:t>
      </w:r>
      <w:r w:rsidR="00D02DCC">
        <w:rPr>
          <w:lang w:val="fr-CA"/>
        </w:rPr>
        <w:t> </w:t>
      </w:r>
      <w:r w:rsidR="009B24AC">
        <w:rPr>
          <w:lang w:val="fr-CA"/>
        </w:rPr>
        <w:t>pour cent au cours de la période</w:t>
      </w:r>
      <w:r w:rsidR="00D02DCC">
        <w:rPr>
          <w:lang w:val="fr-CA"/>
        </w:rPr>
        <w:t> </w:t>
      </w:r>
      <w:r w:rsidR="009B24AC">
        <w:rPr>
          <w:lang w:val="fr-CA"/>
        </w:rPr>
        <w:t xml:space="preserve">2014-2018. </w:t>
      </w:r>
      <w:r w:rsidR="009B24AC" w:rsidRPr="00D02DCC">
        <w:rPr>
          <w:lang w:val="fr-CA"/>
        </w:rPr>
        <w:t>Les autres solutions de remplacement sont à base de HFC, principalement du</w:t>
      </w:r>
      <w:r w:rsidR="0050011D" w:rsidRPr="00D02DCC">
        <w:rPr>
          <w:lang w:val="fr-CA"/>
        </w:rPr>
        <w:t xml:space="preserve"> R</w:t>
      </w:r>
      <w:r w:rsidR="00D02DCC">
        <w:rPr>
          <w:lang w:val="fr-CA"/>
        </w:rPr>
        <w:noBreakHyphen/>
      </w:r>
      <w:r w:rsidR="0050011D" w:rsidRPr="00D02DCC">
        <w:rPr>
          <w:lang w:val="fr-CA"/>
        </w:rPr>
        <w:t xml:space="preserve">410A, </w:t>
      </w:r>
      <w:r w:rsidR="00D02DCC">
        <w:rPr>
          <w:lang w:val="fr-CA"/>
        </w:rPr>
        <w:t xml:space="preserve">du </w:t>
      </w:r>
      <w:r w:rsidR="0050011D" w:rsidRPr="00D02DCC">
        <w:rPr>
          <w:lang w:val="fr-CA"/>
        </w:rPr>
        <w:t>R</w:t>
      </w:r>
      <w:r w:rsidR="00D02DCC">
        <w:rPr>
          <w:lang w:val="fr-CA"/>
        </w:rPr>
        <w:noBreakHyphen/>
      </w:r>
      <w:r w:rsidR="0050011D" w:rsidRPr="00D02DCC">
        <w:rPr>
          <w:lang w:val="fr-CA"/>
        </w:rPr>
        <w:t>404A</w:t>
      </w:r>
      <w:r w:rsidR="00D02DCC">
        <w:rPr>
          <w:lang w:val="fr-CA"/>
        </w:rPr>
        <w:t xml:space="preserve"> et du</w:t>
      </w:r>
      <w:r w:rsidR="0050011D" w:rsidRPr="00D02DCC">
        <w:rPr>
          <w:lang w:val="fr-CA"/>
        </w:rPr>
        <w:t xml:space="preserve"> HFC</w:t>
      </w:r>
      <w:r w:rsidR="00D02DCC">
        <w:rPr>
          <w:lang w:val="fr-CA"/>
        </w:rPr>
        <w:noBreakHyphen/>
      </w:r>
      <w:r w:rsidR="0050011D" w:rsidRPr="00D02DCC">
        <w:rPr>
          <w:lang w:val="fr-CA"/>
        </w:rPr>
        <w:t xml:space="preserve">134a. </w:t>
      </w:r>
    </w:p>
    <w:p w:rsidR="0050011D" w:rsidRPr="00F4125C" w:rsidRDefault="00F4125C" w:rsidP="0050011D">
      <w:pPr>
        <w:keepNext/>
        <w:keepLines/>
        <w:spacing w:after="240"/>
        <w:rPr>
          <w:i/>
          <w:lang w:val="fr-CA"/>
        </w:rPr>
      </w:pPr>
      <w:r w:rsidRPr="00F4125C">
        <w:rPr>
          <w:i/>
          <w:lang w:val="fr-CA"/>
        </w:rPr>
        <w:t>Rapport sur la mise en œuvre du programme de pays</w:t>
      </w:r>
    </w:p>
    <w:p w:rsidR="0050011D" w:rsidRPr="00A142BC" w:rsidRDefault="00F4125C" w:rsidP="0050011D">
      <w:pPr>
        <w:pStyle w:val="Heading1"/>
        <w:widowControl w:val="0"/>
        <w:rPr>
          <w:lang w:val="fr-CA"/>
        </w:rPr>
      </w:pPr>
      <w:r w:rsidRPr="00F4125C">
        <w:rPr>
          <w:lang w:val="fr-CA"/>
        </w:rPr>
        <w:t xml:space="preserve">Le gouvernement de l’Eswatini a déclaré des données de consommation de HCFC dans le rapport sur la mise en œuvre du programme de pays </w:t>
      </w:r>
      <w:r>
        <w:rPr>
          <w:lang w:val="fr-CA"/>
        </w:rPr>
        <w:t>pour</w:t>
      </w:r>
      <w:r w:rsidR="00D02DCC">
        <w:rPr>
          <w:lang w:val="fr-CA"/>
        </w:rPr>
        <w:t> </w:t>
      </w:r>
      <w:r>
        <w:rPr>
          <w:lang w:val="fr-CA"/>
        </w:rPr>
        <w:t>2017 qui correspondent aux données communiquées en vertu de l’article</w:t>
      </w:r>
      <w:r w:rsidR="006E2F2D">
        <w:rPr>
          <w:lang w:val="fr-CA"/>
        </w:rPr>
        <w:t> </w:t>
      </w:r>
      <w:r>
        <w:rPr>
          <w:lang w:val="fr-CA"/>
        </w:rPr>
        <w:t>7 du Protocole de Montréal. Les données du programme de pays pour</w:t>
      </w:r>
      <w:r w:rsidR="00D02DCC">
        <w:rPr>
          <w:lang w:val="fr-CA"/>
        </w:rPr>
        <w:t> </w:t>
      </w:r>
      <w:r>
        <w:rPr>
          <w:lang w:val="fr-CA"/>
        </w:rPr>
        <w:t>2018 seront présentées en juin</w:t>
      </w:r>
      <w:r w:rsidR="006E2F2D">
        <w:rPr>
          <w:lang w:val="fr-CA"/>
        </w:rPr>
        <w:t> </w:t>
      </w:r>
      <w:r>
        <w:rPr>
          <w:lang w:val="fr-CA"/>
        </w:rPr>
        <w:t xml:space="preserve">2019. </w:t>
      </w:r>
    </w:p>
    <w:p w:rsidR="0050011D" w:rsidRPr="00F4125C" w:rsidRDefault="00F4125C" w:rsidP="0050011D">
      <w:pPr>
        <w:keepNext/>
        <w:keepLines/>
        <w:spacing w:after="240"/>
        <w:rPr>
          <w:i/>
          <w:lang w:val="fr-CA"/>
        </w:rPr>
      </w:pPr>
      <w:r w:rsidRPr="00F4125C">
        <w:rPr>
          <w:i/>
          <w:lang w:val="fr-CA"/>
        </w:rPr>
        <w:lastRenderedPageBreak/>
        <w:t xml:space="preserve">Rapport de vérification </w:t>
      </w:r>
    </w:p>
    <w:p w:rsidR="0050011D" w:rsidRPr="00A142BC" w:rsidRDefault="00F4125C" w:rsidP="00C75EC8">
      <w:pPr>
        <w:pStyle w:val="Heading1"/>
        <w:keepNext/>
        <w:keepLines/>
        <w:rPr>
          <w:lang w:val="fr-CA"/>
        </w:rPr>
      </w:pPr>
      <w:r w:rsidRPr="00D02DCC">
        <w:rPr>
          <w:lang w:val="fr-CA"/>
        </w:rPr>
        <w:t xml:space="preserve">Le rapport de vérification a confirmé que le gouvernement </w:t>
      </w:r>
      <w:r w:rsidR="00297158">
        <w:rPr>
          <w:lang w:val="fr-CA"/>
        </w:rPr>
        <w:t>a mis en place</w:t>
      </w:r>
      <w:r w:rsidRPr="00D02DCC">
        <w:rPr>
          <w:lang w:val="fr-CA"/>
        </w:rPr>
        <w:t xml:space="preserve"> un système d’octroi de licences </w:t>
      </w:r>
      <w:r w:rsidR="00297158">
        <w:rPr>
          <w:lang w:val="fr-CA"/>
        </w:rPr>
        <w:t xml:space="preserve">et </w:t>
      </w:r>
      <w:r w:rsidRPr="00D02DCC">
        <w:rPr>
          <w:lang w:val="fr-CA"/>
        </w:rPr>
        <w:t>de quotas pour les importations et les exportations de HCFC et d’équipement à base de HCFC, et que la consommation totale d</w:t>
      </w:r>
      <w:r w:rsidR="00D02DCC" w:rsidRPr="00D02DCC">
        <w:rPr>
          <w:lang w:val="fr-CA"/>
        </w:rPr>
        <w:t>e</w:t>
      </w:r>
      <w:r w:rsidRPr="00D02DCC">
        <w:rPr>
          <w:lang w:val="fr-CA"/>
        </w:rPr>
        <w:t xml:space="preserve"> HCFC pour</w:t>
      </w:r>
      <w:r w:rsidR="00D02DCC" w:rsidRPr="00D02DCC">
        <w:rPr>
          <w:lang w:val="fr-CA"/>
        </w:rPr>
        <w:t> </w:t>
      </w:r>
      <w:r w:rsidRPr="00D02DCC">
        <w:rPr>
          <w:lang w:val="fr-CA"/>
        </w:rPr>
        <w:t>2018 était de 0,47</w:t>
      </w:r>
      <w:r w:rsidR="006E2F2D" w:rsidRPr="00D02DCC">
        <w:rPr>
          <w:lang w:val="fr-CA"/>
        </w:rPr>
        <w:t> tonne</w:t>
      </w:r>
      <w:r w:rsidR="00D02DCC" w:rsidRPr="00D02DCC">
        <w:rPr>
          <w:lang w:val="fr-CA"/>
        </w:rPr>
        <w:t> </w:t>
      </w:r>
      <w:r w:rsidRPr="00D02DCC">
        <w:rPr>
          <w:lang w:val="fr-CA"/>
        </w:rPr>
        <w:t xml:space="preserve">PAO. Selon la vérification, l’Eswatini respecte les calendriers d’élimination du Protocole de Montréal et </w:t>
      </w:r>
      <w:r w:rsidR="00D02DCC" w:rsidRPr="00D02DCC">
        <w:rPr>
          <w:lang w:val="fr-CA"/>
        </w:rPr>
        <w:t>a</w:t>
      </w:r>
      <w:r w:rsidRPr="00D02DCC">
        <w:rPr>
          <w:lang w:val="fr-CA"/>
        </w:rPr>
        <w:t xml:space="preserve"> satisfai</w:t>
      </w:r>
      <w:r w:rsidR="00D02DCC" w:rsidRPr="00D02DCC">
        <w:rPr>
          <w:lang w:val="fr-CA"/>
        </w:rPr>
        <w:t>t</w:t>
      </w:r>
      <w:r w:rsidRPr="00D02DCC">
        <w:rPr>
          <w:lang w:val="fr-CA"/>
        </w:rPr>
        <w:t xml:space="preserve"> les objectifs pour la période</w:t>
      </w:r>
      <w:r w:rsidR="00D02DCC" w:rsidRPr="00D02DCC">
        <w:rPr>
          <w:lang w:val="fr-CA"/>
        </w:rPr>
        <w:t> </w:t>
      </w:r>
      <w:r w:rsidRPr="00D02DCC">
        <w:rPr>
          <w:lang w:val="fr-CA"/>
        </w:rPr>
        <w:t xml:space="preserve">2014-2018 figurant dans l’Accord avec le Comité exécutif relativement à l’élimination des HCFC. </w:t>
      </w:r>
    </w:p>
    <w:p w:rsidR="0050011D" w:rsidRPr="00F4125C" w:rsidRDefault="00F4125C" w:rsidP="0050011D">
      <w:pPr>
        <w:keepNext/>
        <w:keepLines/>
        <w:spacing w:after="240"/>
        <w:rPr>
          <w:u w:val="single"/>
          <w:lang w:val="fr-CA"/>
        </w:rPr>
      </w:pPr>
      <w:r w:rsidRPr="00F4125C">
        <w:rPr>
          <w:u w:val="single"/>
          <w:lang w:val="fr-CA"/>
        </w:rPr>
        <w:t>Rapport périodique sur la mise en œuvre de la troisième tranche du PGEH</w:t>
      </w:r>
    </w:p>
    <w:p w:rsidR="0050011D" w:rsidRPr="00FE3307" w:rsidRDefault="00F4125C" w:rsidP="0050011D">
      <w:pPr>
        <w:keepNext/>
        <w:keepLines/>
        <w:spacing w:after="240"/>
        <w:rPr>
          <w:i/>
          <w:lang w:val="en-CA"/>
        </w:rPr>
      </w:pPr>
      <w:r>
        <w:rPr>
          <w:i/>
          <w:lang w:val="en-CA"/>
        </w:rPr>
        <w:t>Cadre juridique</w:t>
      </w:r>
    </w:p>
    <w:p w:rsidR="0050011D" w:rsidRPr="0079519C" w:rsidRDefault="00F4125C" w:rsidP="0050011D">
      <w:pPr>
        <w:pStyle w:val="Heading1"/>
        <w:rPr>
          <w:lang w:val="fr-CA"/>
        </w:rPr>
      </w:pPr>
      <w:r w:rsidRPr="00F4125C">
        <w:rPr>
          <w:lang w:val="fr-CA" w:eastAsia="fr-FR"/>
        </w:rPr>
        <w:t xml:space="preserve">L’Eswatini </w:t>
      </w:r>
      <w:r w:rsidR="00C1606A">
        <w:rPr>
          <w:lang w:val="fr-CA" w:eastAsia="fr-FR"/>
        </w:rPr>
        <w:t>a p</w:t>
      </w:r>
      <w:r w:rsidRPr="00F4125C">
        <w:rPr>
          <w:lang w:val="fr-CA" w:eastAsia="fr-FR"/>
        </w:rPr>
        <w:t>romulgu</w:t>
      </w:r>
      <w:r w:rsidR="00C1606A">
        <w:rPr>
          <w:lang w:val="fr-CA" w:eastAsia="fr-FR"/>
        </w:rPr>
        <w:t>é</w:t>
      </w:r>
      <w:r w:rsidRPr="00F4125C">
        <w:rPr>
          <w:lang w:val="fr-CA" w:eastAsia="fr-FR"/>
        </w:rPr>
        <w:t xml:space="preserve"> son règlement sur les SAO en 2003, qui assure notamment le contrôle des importations et des exportations de SAO et d’équipement à base de SAO. Ce règlement a été modifié en</w:t>
      </w:r>
      <w:r w:rsidR="00C1606A">
        <w:rPr>
          <w:lang w:val="fr-CA" w:eastAsia="fr-FR"/>
        </w:rPr>
        <w:t> </w:t>
      </w:r>
      <w:r w:rsidRPr="00F4125C">
        <w:rPr>
          <w:lang w:val="fr-CA" w:eastAsia="fr-FR"/>
        </w:rPr>
        <w:t>2013 de manière à intégrer les H</w:t>
      </w:r>
      <w:r w:rsidR="00C1606A">
        <w:rPr>
          <w:lang w:val="fr-CA" w:eastAsia="fr-FR"/>
        </w:rPr>
        <w:t>C</w:t>
      </w:r>
      <w:r w:rsidRPr="00F4125C">
        <w:rPr>
          <w:lang w:val="fr-CA" w:eastAsia="fr-FR"/>
        </w:rPr>
        <w:t xml:space="preserve">FC. Il prévoit par ailleurs l’enregistrement de tous les intervenants concernés par les SAO, </w:t>
      </w:r>
      <w:r>
        <w:rPr>
          <w:lang w:val="fr-CA" w:eastAsia="fr-FR"/>
        </w:rPr>
        <w:t xml:space="preserve">dont les techniciens en réfrigération, les importateurs et les utilisateurs finaux. </w:t>
      </w:r>
      <w:r w:rsidRPr="00F4125C">
        <w:rPr>
          <w:lang w:val="fr-CA" w:eastAsia="fr-FR"/>
        </w:rPr>
        <w:t xml:space="preserve">Le gouvernement a décrété une interdiction </w:t>
      </w:r>
      <w:r>
        <w:rPr>
          <w:lang w:val="fr-CA" w:eastAsia="fr-FR"/>
        </w:rPr>
        <w:t>frappant l’importation et l’utilisation du HCFC</w:t>
      </w:r>
      <w:r w:rsidR="00C1606A">
        <w:rPr>
          <w:lang w:val="fr-CA" w:eastAsia="fr-FR"/>
        </w:rPr>
        <w:noBreakHyphen/>
      </w:r>
      <w:r>
        <w:rPr>
          <w:lang w:val="fr-CA" w:eastAsia="fr-FR"/>
        </w:rPr>
        <w:t>141</w:t>
      </w:r>
      <w:r w:rsidR="00C1606A">
        <w:rPr>
          <w:lang w:val="fr-CA" w:eastAsia="fr-FR"/>
        </w:rPr>
        <w:t>b</w:t>
      </w:r>
      <w:r>
        <w:rPr>
          <w:lang w:val="fr-CA" w:eastAsia="fr-FR"/>
        </w:rPr>
        <w:t xml:space="preserve">, </w:t>
      </w:r>
      <w:r w:rsidR="00297158">
        <w:rPr>
          <w:lang w:val="fr-CA" w:eastAsia="fr-FR"/>
        </w:rPr>
        <w:t xml:space="preserve">pur </w:t>
      </w:r>
      <w:r>
        <w:rPr>
          <w:lang w:val="fr-CA" w:eastAsia="fr-FR"/>
        </w:rPr>
        <w:t xml:space="preserve">et contenu dans des polyols prémélangés, en vue de soutenir l’élimination de cette substance, lorsque le projet de reconversion </w:t>
      </w:r>
      <w:r w:rsidR="0079519C">
        <w:rPr>
          <w:lang w:val="fr-CA" w:eastAsia="fr-FR"/>
        </w:rPr>
        <w:t xml:space="preserve">de Palfridge </w:t>
      </w:r>
      <w:r>
        <w:rPr>
          <w:lang w:val="fr-CA" w:eastAsia="fr-FR"/>
        </w:rPr>
        <w:t>a été terminé en</w:t>
      </w:r>
      <w:r w:rsidR="0079519C">
        <w:rPr>
          <w:lang w:val="fr-CA" w:eastAsia="fr-FR"/>
        </w:rPr>
        <w:t> </w:t>
      </w:r>
      <w:r>
        <w:rPr>
          <w:lang w:val="fr-CA" w:eastAsia="fr-FR"/>
        </w:rPr>
        <w:t>2015.</w:t>
      </w:r>
    </w:p>
    <w:p w:rsidR="0050011D" w:rsidRPr="004B087F" w:rsidRDefault="00F4125C" w:rsidP="0050011D">
      <w:pPr>
        <w:spacing w:after="240"/>
        <w:rPr>
          <w:i/>
        </w:rPr>
      </w:pPr>
      <w:r>
        <w:rPr>
          <w:i/>
        </w:rPr>
        <w:t xml:space="preserve">Projet </w:t>
      </w:r>
      <w:r w:rsidR="0050011D">
        <w:rPr>
          <w:i/>
        </w:rPr>
        <w:t>Palfridge</w:t>
      </w:r>
    </w:p>
    <w:p w:rsidR="0050011D" w:rsidRPr="00A142BC" w:rsidRDefault="00F4125C" w:rsidP="0050011D">
      <w:pPr>
        <w:pStyle w:val="Heading1"/>
        <w:rPr>
          <w:lang w:val="fr-CA"/>
        </w:rPr>
      </w:pPr>
      <w:r w:rsidRPr="00F4125C">
        <w:rPr>
          <w:lang w:val="fr-CA"/>
        </w:rPr>
        <w:t xml:space="preserve">Le projet </w:t>
      </w:r>
      <w:r w:rsidR="0079519C">
        <w:rPr>
          <w:lang w:val="fr-CA"/>
        </w:rPr>
        <w:t>Palfridge, qui</w:t>
      </w:r>
      <w:r w:rsidRPr="00F4125C">
        <w:rPr>
          <w:lang w:val="fr-CA"/>
        </w:rPr>
        <w:t xml:space="preserve"> a été approuvé lors de la 63</w:t>
      </w:r>
      <w:r w:rsidRPr="0079519C">
        <w:rPr>
          <w:vertAlign w:val="superscript"/>
          <w:lang w:val="fr-CA"/>
        </w:rPr>
        <w:t>e</w:t>
      </w:r>
      <w:r w:rsidR="0079519C">
        <w:rPr>
          <w:lang w:val="fr-CA"/>
        </w:rPr>
        <w:t> </w:t>
      </w:r>
      <w:r w:rsidRPr="00F4125C">
        <w:rPr>
          <w:lang w:val="fr-CA"/>
        </w:rPr>
        <w:t xml:space="preserve">réunion, visait </w:t>
      </w:r>
      <w:r w:rsidR="00297158">
        <w:rPr>
          <w:lang w:val="fr-CA"/>
        </w:rPr>
        <w:t xml:space="preserve">le remplacement du HCFC-141b par le </w:t>
      </w:r>
      <w:r w:rsidRPr="00F4125C">
        <w:rPr>
          <w:lang w:val="fr-CA"/>
        </w:rPr>
        <w:t>cyclopentane</w:t>
      </w:r>
      <w:r w:rsidR="00297158">
        <w:rPr>
          <w:lang w:val="fr-CA"/>
        </w:rPr>
        <w:t>, pour</w:t>
      </w:r>
      <w:r w:rsidRPr="00F4125C">
        <w:rPr>
          <w:lang w:val="fr-CA"/>
        </w:rPr>
        <w:t xml:space="preserve"> </w:t>
      </w:r>
      <w:r w:rsidR="00297158">
        <w:rPr>
          <w:lang w:val="fr-CA"/>
        </w:rPr>
        <w:t>l</w:t>
      </w:r>
      <w:r w:rsidRPr="00F4125C">
        <w:rPr>
          <w:lang w:val="fr-CA"/>
        </w:rPr>
        <w:t xml:space="preserve">es activités de </w:t>
      </w:r>
      <w:r w:rsidR="00297158">
        <w:rPr>
          <w:lang w:val="fr-CA"/>
        </w:rPr>
        <w:t>fabrication</w:t>
      </w:r>
      <w:r w:rsidRPr="00F4125C">
        <w:rPr>
          <w:lang w:val="fr-CA"/>
        </w:rPr>
        <w:t xml:space="preserve"> de mousse, </w:t>
      </w:r>
      <w:r w:rsidR="00297158">
        <w:rPr>
          <w:lang w:val="fr-CA"/>
        </w:rPr>
        <w:t>dans</w:t>
      </w:r>
      <w:r w:rsidRPr="00F4125C">
        <w:rPr>
          <w:lang w:val="fr-CA"/>
        </w:rPr>
        <w:t xml:space="preserve"> la production d’appareils de réfrigération à usage domestique et </w:t>
      </w:r>
      <w:r w:rsidR="006E2F2D">
        <w:rPr>
          <w:lang w:val="fr-CA"/>
        </w:rPr>
        <w:t>commercial</w:t>
      </w:r>
      <w:r w:rsidRPr="00F4125C">
        <w:rPr>
          <w:lang w:val="fr-CA"/>
        </w:rPr>
        <w:t xml:space="preserve">. </w:t>
      </w:r>
      <w:r w:rsidRPr="0077212D">
        <w:rPr>
          <w:lang w:val="fr-CA"/>
        </w:rPr>
        <w:t>Terminé en novembre</w:t>
      </w:r>
      <w:r w:rsidR="006E2F2D">
        <w:rPr>
          <w:lang w:val="fr-CA"/>
        </w:rPr>
        <w:t> </w:t>
      </w:r>
      <w:r w:rsidRPr="0077212D">
        <w:rPr>
          <w:lang w:val="fr-CA"/>
        </w:rPr>
        <w:t xml:space="preserve">2015, </w:t>
      </w:r>
      <w:r w:rsidR="0077212D" w:rsidRPr="0077212D">
        <w:rPr>
          <w:lang w:val="fr-CA"/>
        </w:rPr>
        <w:t>il a permis d’éliminer 5,6</w:t>
      </w:r>
      <w:r w:rsidR="006E2F2D">
        <w:rPr>
          <w:lang w:val="fr-CA"/>
        </w:rPr>
        <w:t> </w:t>
      </w:r>
      <w:r w:rsidR="0077212D" w:rsidRPr="0077212D">
        <w:rPr>
          <w:lang w:val="fr-CA"/>
        </w:rPr>
        <w:t>tonnes</w:t>
      </w:r>
      <w:r w:rsidR="0079519C">
        <w:rPr>
          <w:lang w:val="fr-CA"/>
        </w:rPr>
        <w:t> </w:t>
      </w:r>
      <w:r w:rsidR="0077212D" w:rsidRPr="0077212D">
        <w:rPr>
          <w:lang w:val="fr-CA"/>
        </w:rPr>
        <w:t>PAO de HCFC</w:t>
      </w:r>
      <w:r w:rsidR="0079519C">
        <w:rPr>
          <w:lang w:val="fr-CA"/>
        </w:rPr>
        <w:noBreakHyphen/>
      </w:r>
      <w:r w:rsidR="00C1606A">
        <w:rPr>
          <w:lang w:val="fr-CA"/>
        </w:rPr>
        <w:t>141b</w:t>
      </w:r>
      <w:r w:rsidR="0077212D" w:rsidRPr="0077212D">
        <w:rPr>
          <w:lang w:val="fr-CA"/>
        </w:rPr>
        <w:t xml:space="preserve"> contenu dans des polyols prémélangés importés. La consommation de HCFC</w:t>
      </w:r>
      <w:r w:rsidR="0079519C">
        <w:rPr>
          <w:lang w:val="fr-CA"/>
        </w:rPr>
        <w:noBreakHyphen/>
      </w:r>
      <w:r w:rsidR="00C1606A">
        <w:rPr>
          <w:lang w:val="fr-CA"/>
        </w:rPr>
        <w:t>141b</w:t>
      </w:r>
      <w:r w:rsidR="0077212D" w:rsidRPr="0077212D">
        <w:rPr>
          <w:lang w:val="fr-CA"/>
        </w:rPr>
        <w:t xml:space="preserve"> contenu dans des polyols prémélangés importés, qui était de 2,36</w:t>
      </w:r>
      <w:r w:rsidR="006E2F2D">
        <w:rPr>
          <w:lang w:val="fr-CA"/>
        </w:rPr>
        <w:t> </w:t>
      </w:r>
      <w:r w:rsidR="0077212D" w:rsidRPr="0077212D">
        <w:rPr>
          <w:lang w:val="fr-CA"/>
        </w:rPr>
        <w:t>tonnes</w:t>
      </w:r>
      <w:r w:rsidR="0079519C">
        <w:rPr>
          <w:lang w:val="fr-CA"/>
        </w:rPr>
        <w:t> </w:t>
      </w:r>
      <w:r w:rsidR="0077212D" w:rsidRPr="0077212D">
        <w:rPr>
          <w:lang w:val="fr-CA"/>
        </w:rPr>
        <w:t>PAO en</w:t>
      </w:r>
      <w:r w:rsidR="0079519C">
        <w:rPr>
          <w:lang w:val="fr-CA"/>
        </w:rPr>
        <w:t> </w:t>
      </w:r>
      <w:r w:rsidR="0077212D" w:rsidRPr="0077212D">
        <w:rPr>
          <w:lang w:val="fr-CA"/>
        </w:rPr>
        <w:t>2014, e</w:t>
      </w:r>
      <w:r w:rsidR="0079519C">
        <w:rPr>
          <w:lang w:val="fr-CA"/>
        </w:rPr>
        <w:t>s</w:t>
      </w:r>
      <w:r w:rsidR="0077212D" w:rsidRPr="0077212D">
        <w:rPr>
          <w:lang w:val="fr-CA"/>
        </w:rPr>
        <w:t xml:space="preserve">t nulle depuis 2015; </w:t>
      </w:r>
      <w:r w:rsidR="006E2F2D">
        <w:rPr>
          <w:lang w:val="fr-CA"/>
        </w:rPr>
        <w:t>aucun</w:t>
      </w:r>
      <w:r w:rsidR="0077212D" w:rsidRPr="0077212D">
        <w:rPr>
          <w:lang w:val="fr-CA"/>
        </w:rPr>
        <w:t xml:space="preserve"> </w:t>
      </w:r>
      <w:r w:rsidR="006E2F2D">
        <w:rPr>
          <w:lang w:val="fr-CA"/>
        </w:rPr>
        <w:t>quota</w:t>
      </w:r>
      <w:r w:rsidR="0077212D" w:rsidRPr="0077212D">
        <w:rPr>
          <w:lang w:val="fr-CA"/>
        </w:rPr>
        <w:t xml:space="preserve"> </w:t>
      </w:r>
      <w:r w:rsidR="0077212D">
        <w:rPr>
          <w:lang w:val="fr-CA"/>
        </w:rPr>
        <w:t>pour cette substance n’a été émis depuis</w:t>
      </w:r>
      <w:r w:rsidR="0079519C">
        <w:rPr>
          <w:lang w:val="fr-CA"/>
        </w:rPr>
        <w:t> </w:t>
      </w:r>
      <w:r w:rsidR="0077212D">
        <w:rPr>
          <w:lang w:val="fr-CA"/>
        </w:rPr>
        <w:t xml:space="preserve">2016. </w:t>
      </w:r>
    </w:p>
    <w:p w:rsidR="0050011D" w:rsidRPr="00F371D0" w:rsidRDefault="00F371D0" w:rsidP="0050011D">
      <w:pPr>
        <w:keepNext/>
        <w:keepLines/>
        <w:spacing w:after="240"/>
        <w:rPr>
          <w:i/>
          <w:lang w:val="fr-CA"/>
        </w:rPr>
      </w:pPr>
      <w:r w:rsidRPr="00F371D0">
        <w:rPr>
          <w:i/>
          <w:lang w:val="fr-CA"/>
        </w:rPr>
        <w:t xml:space="preserve">Secteur de l’entretien des appareils de réfrigération et de climatisation </w:t>
      </w:r>
    </w:p>
    <w:p w:rsidR="0050011D" w:rsidRPr="00F371D0" w:rsidRDefault="00F371D0" w:rsidP="0050011D">
      <w:pPr>
        <w:pStyle w:val="Heading1"/>
        <w:keepNext/>
        <w:keepLines/>
        <w:rPr>
          <w:lang w:val="fr-CA"/>
        </w:rPr>
      </w:pPr>
      <w:r w:rsidRPr="00F371D0">
        <w:rPr>
          <w:lang w:val="fr-CA"/>
        </w:rPr>
        <w:t>Les activités suivantes ont été menées</w:t>
      </w:r>
      <w:r w:rsidR="006E2F2D">
        <w:rPr>
          <w:lang w:val="fr-CA"/>
        </w:rPr>
        <w:t> </w:t>
      </w:r>
      <w:r>
        <w:rPr>
          <w:lang w:val="fr-CA"/>
        </w:rPr>
        <w:t xml:space="preserve">: </w:t>
      </w:r>
    </w:p>
    <w:p w:rsidR="0050011D" w:rsidRPr="00F371D0" w:rsidRDefault="00F371D0" w:rsidP="00972ED2">
      <w:pPr>
        <w:pStyle w:val="Heading2"/>
        <w:rPr>
          <w:lang w:val="fr-CA"/>
        </w:rPr>
      </w:pPr>
      <w:r w:rsidRPr="00F371D0">
        <w:rPr>
          <w:lang w:val="fr-CA"/>
        </w:rPr>
        <w:t xml:space="preserve">Deux réunions ont été tenues à l’intention des représentants gouvernementaux, des importateurs et des agents de dédouanement, en vue d’introduire le </w:t>
      </w:r>
      <w:r w:rsidR="00972ED2">
        <w:rPr>
          <w:lang w:val="fr-CA"/>
        </w:rPr>
        <w:t>s</w:t>
      </w:r>
      <w:r w:rsidRPr="00F371D0">
        <w:rPr>
          <w:lang w:val="fr-CA"/>
        </w:rPr>
        <w:t>ystème mondial d’enregistrement automatisé des données de douane</w:t>
      </w:r>
      <w:r w:rsidR="00972ED2">
        <w:rPr>
          <w:lang w:val="fr-CA"/>
        </w:rPr>
        <w:t>s</w:t>
      </w:r>
      <w:r w:rsidR="0050011D" w:rsidRPr="00F371D0">
        <w:rPr>
          <w:lang w:val="fr-CA"/>
        </w:rPr>
        <w:t xml:space="preserve"> (ASYCUDA) </w:t>
      </w:r>
      <w:r w:rsidR="00972ED2">
        <w:rPr>
          <w:lang w:val="fr-CA"/>
        </w:rPr>
        <w:t>a</w:t>
      </w:r>
      <w:r>
        <w:rPr>
          <w:lang w:val="fr-CA"/>
        </w:rPr>
        <w:t>dopt</w:t>
      </w:r>
      <w:r w:rsidR="00972ED2">
        <w:rPr>
          <w:lang w:val="fr-CA"/>
        </w:rPr>
        <w:t>é</w:t>
      </w:r>
      <w:r>
        <w:rPr>
          <w:lang w:val="fr-CA"/>
        </w:rPr>
        <w:t xml:space="preserve"> par modification </w:t>
      </w:r>
      <w:r w:rsidR="00297158">
        <w:rPr>
          <w:lang w:val="fr-CA"/>
        </w:rPr>
        <w:t>réglementaire</w:t>
      </w:r>
      <w:r>
        <w:rPr>
          <w:lang w:val="fr-CA"/>
        </w:rPr>
        <w:t xml:space="preserve">; d’attribuer des quotas annuels; et d’accroître la sensibilisation au respect des objectifs de contrôle; </w:t>
      </w:r>
    </w:p>
    <w:p w:rsidR="0050011D" w:rsidRPr="00A142BC" w:rsidRDefault="00F371D0" w:rsidP="0050011D">
      <w:pPr>
        <w:pStyle w:val="Heading2"/>
        <w:rPr>
          <w:lang w:val="fr-CA"/>
        </w:rPr>
      </w:pPr>
      <w:r w:rsidRPr="00F371D0">
        <w:rPr>
          <w:lang w:val="fr-CA"/>
        </w:rPr>
        <w:t>Trois ateliers de formation à l’intention de 70</w:t>
      </w:r>
      <w:r w:rsidR="006E2F2D">
        <w:rPr>
          <w:lang w:val="fr-CA"/>
        </w:rPr>
        <w:t> </w:t>
      </w:r>
      <w:r w:rsidRPr="00F371D0">
        <w:rPr>
          <w:lang w:val="fr-CA"/>
        </w:rPr>
        <w:t>agents des douanes et formation</w:t>
      </w:r>
      <w:r w:rsidR="00297158">
        <w:rPr>
          <w:lang w:val="fr-CA"/>
        </w:rPr>
        <w:t>s</w:t>
      </w:r>
      <w:r w:rsidRPr="00F371D0">
        <w:rPr>
          <w:lang w:val="fr-CA"/>
        </w:rPr>
        <w:t xml:space="preserve"> sur place à trois postes</w:t>
      </w:r>
      <w:r w:rsidR="006E2F2D">
        <w:rPr>
          <w:lang w:val="fr-CA"/>
        </w:rPr>
        <w:t>-frontière</w:t>
      </w:r>
      <w:r w:rsidRPr="00F371D0">
        <w:rPr>
          <w:lang w:val="fr-CA"/>
        </w:rPr>
        <w:t xml:space="preserve"> commerciaux </w:t>
      </w:r>
      <w:r w:rsidR="00297158">
        <w:rPr>
          <w:lang w:val="fr-CA"/>
        </w:rPr>
        <w:t>(</w:t>
      </w:r>
      <w:r w:rsidR="0050011D" w:rsidRPr="00F371D0">
        <w:rPr>
          <w:lang w:val="fr-CA"/>
        </w:rPr>
        <w:t xml:space="preserve">Ngwenya, Mananga </w:t>
      </w:r>
      <w:r w:rsidR="00972ED2">
        <w:rPr>
          <w:lang w:val="fr-CA"/>
        </w:rPr>
        <w:t>et</w:t>
      </w:r>
      <w:r w:rsidR="0050011D" w:rsidRPr="00F371D0">
        <w:rPr>
          <w:lang w:val="fr-CA"/>
        </w:rPr>
        <w:t xml:space="preserve"> Mahamba</w:t>
      </w:r>
      <w:r w:rsidR="00297158">
        <w:rPr>
          <w:lang w:val="fr-CA"/>
        </w:rPr>
        <w:t>)</w:t>
      </w:r>
      <w:r w:rsidR="0050011D" w:rsidRPr="00F371D0">
        <w:rPr>
          <w:lang w:val="fr-CA"/>
        </w:rPr>
        <w:t xml:space="preserve"> </w:t>
      </w:r>
      <w:r>
        <w:rPr>
          <w:lang w:val="fr-CA"/>
        </w:rPr>
        <w:t xml:space="preserve">sur la surveillance et l’application des politiques et règlements concernant les SAO. La surveillance des importations et exportations de SAO était intégrée au cours de formation sur les douanes; </w:t>
      </w:r>
    </w:p>
    <w:p w:rsidR="0050011D" w:rsidRPr="00A142BC" w:rsidRDefault="00F371D0" w:rsidP="0050011D">
      <w:pPr>
        <w:pStyle w:val="Heading2"/>
        <w:rPr>
          <w:lang w:val="fr-CA"/>
        </w:rPr>
      </w:pPr>
      <w:r w:rsidRPr="00F371D0">
        <w:rPr>
          <w:lang w:val="fr-CA"/>
        </w:rPr>
        <w:t>Deux ateliers de formation à l’intention de 62</w:t>
      </w:r>
      <w:r w:rsidR="006E2F2D">
        <w:rPr>
          <w:lang w:val="fr-CA"/>
        </w:rPr>
        <w:t> </w:t>
      </w:r>
      <w:r w:rsidRPr="00F371D0">
        <w:rPr>
          <w:lang w:val="fr-CA"/>
        </w:rPr>
        <w:t>techniciens sur les pratiques exemplaires d’entretien, dont l’utilisation en toute sécurité des frigorigènes inflammables; et des outils achetés lors des tranches précédentes (régulateurs, jeux de clés, pinces, outils à évaser et à r</w:t>
      </w:r>
      <w:r w:rsidR="00972ED2">
        <w:rPr>
          <w:lang w:val="fr-CA"/>
        </w:rPr>
        <w:t>é</w:t>
      </w:r>
      <w:r w:rsidRPr="00F371D0">
        <w:rPr>
          <w:lang w:val="fr-CA"/>
        </w:rPr>
        <w:t xml:space="preserve">treindre, manomètres à vide, détecteurs de fuite, etc.) </w:t>
      </w:r>
      <w:r>
        <w:rPr>
          <w:lang w:val="fr-CA"/>
        </w:rPr>
        <w:t xml:space="preserve">ont été remis aux techniciens formés. </w:t>
      </w:r>
    </w:p>
    <w:p w:rsidR="0050011D" w:rsidRPr="007816F5" w:rsidRDefault="007816F5" w:rsidP="0050011D">
      <w:pPr>
        <w:keepNext/>
        <w:keepLines/>
        <w:spacing w:after="240"/>
        <w:rPr>
          <w:i/>
          <w:lang w:val="fr-CA"/>
        </w:rPr>
      </w:pPr>
      <w:r w:rsidRPr="007816F5">
        <w:rPr>
          <w:i/>
          <w:lang w:val="fr-CA"/>
        </w:rPr>
        <w:lastRenderedPageBreak/>
        <w:t xml:space="preserve">Unité de mise en </w:t>
      </w:r>
      <w:r w:rsidR="006E2F2D">
        <w:rPr>
          <w:i/>
          <w:lang w:val="fr-CA"/>
        </w:rPr>
        <w:t>œuvre</w:t>
      </w:r>
      <w:r w:rsidRPr="007816F5">
        <w:rPr>
          <w:i/>
          <w:lang w:val="fr-CA"/>
        </w:rPr>
        <w:t xml:space="preserve"> et de surveillance des projets (PMU)</w:t>
      </w:r>
    </w:p>
    <w:p w:rsidR="0050011D" w:rsidRPr="00A142BC" w:rsidRDefault="007816F5" w:rsidP="0050011D">
      <w:pPr>
        <w:pStyle w:val="Heading1"/>
        <w:keepNext/>
        <w:keepLines/>
        <w:rPr>
          <w:lang w:val="fr-CA"/>
        </w:rPr>
      </w:pPr>
      <w:r w:rsidRPr="007816F5">
        <w:rPr>
          <w:lang w:val="fr-CA"/>
        </w:rPr>
        <w:t xml:space="preserve">L’Unité nationale d’ozone (UNO) surveille l’efficacité des projets </w:t>
      </w:r>
      <w:r>
        <w:rPr>
          <w:lang w:val="fr-CA"/>
        </w:rPr>
        <w:t xml:space="preserve">visant à éliminer les HCFC. </w:t>
      </w:r>
      <w:r w:rsidRPr="007816F5">
        <w:rPr>
          <w:lang w:val="fr-CA"/>
        </w:rPr>
        <w:t xml:space="preserve">On a recruté un consultant pour aider l’UNO à surveiller </w:t>
      </w:r>
      <w:r>
        <w:rPr>
          <w:lang w:val="fr-CA"/>
        </w:rPr>
        <w:t>la mise en œuvre de toutes les activités associées au PGEH, y compris la collecte de données.</w:t>
      </w:r>
      <w:bookmarkStart w:id="1" w:name="_GoBack"/>
      <w:bookmarkEnd w:id="1"/>
    </w:p>
    <w:p w:rsidR="0050011D" w:rsidRPr="007816F5" w:rsidRDefault="007816F5" w:rsidP="0050011D">
      <w:pPr>
        <w:keepNext/>
        <w:keepLines/>
        <w:spacing w:after="240"/>
        <w:rPr>
          <w:u w:val="single"/>
          <w:lang w:val="fr-CA"/>
        </w:rPr>
      </w:pPr>
      <w:r w:rsidRPr="007816F5">
        <w:rPr>
          <w:u w:val="single"/>
          <w:lang w:val="fr-CA"/>
        </w:rPr>
        <w:t>Niveau de décaissement</w:t>
      </w:r>
    </w:p>
    <w:p w:rsidR="0050011D" w:rsidRPr="00185D3D" w:rsidRDefault="007816F5" w:rsidP="00662AEA">
      <w:pPr>
        <w:pStyle w:val="Heading1"/>
        <w:keepNext/>
        <w:keepLines/>
        <w:rPr>
          <w:b/>
          <w:lang w:val="fr-CA"/>
        </w:rPr>
      </w:pPr>
      <w:r w:rsidRPr="00185D3D">
        <w:rPr>
          <w:lang w:val="fr-CA"/>
        </w:rPr>
        <w:t>En date de mars</w:t>
      </w:r>
      <w:r w:rsidR="006E2F2D" w:rsidRPr="00185D3D">
        <w:rPr>
          <w:lang w:val="fr-CA"/>
        </w:rPr>
        <w:t> </w:t>
      </w:r>
      <w:r w:rsidRPr="00185D3D">
        <w:rPr>
          <w:lang w:val="fr-CA"/>
        </w:rPr>
        <w:t>2019, sur le montant de 847 948</w:t>
      </w:r>
      <w:r w:rsidR="006E2F2D" w:rsidRPr="00185D3D">
        <w:rPr>
          <w:lang w:val="fr-CA"/>
        </w:rPr>
        <w:t> </w:t>
      </w:r>
      <w:r w:rsidRPr="00185D3D">
        <w:rPr>
          <w:lang w:val="fr-CA"/>
        </w:rPr>
        <w:t>$US approuvé jusqu’ici, 811 899</w:t>
      </w:r>
      <w:r w:rsidR="006E2F2D" w:rsidRPr="00185D3D">
        <w:rPr>
          <w:lang w:val="fr-CA"/>
        </w:rPr>
        <w:t> </w:t>
      </w:r>
      <w:r w:rsidRPr="00185D3D">
        <w:rPr>
          <w:lang w:val="fr-CA"/>
        </w:rPr>
        <w:t>$US ont été décaissés (143 979</w:t>
      </w:r>
      <w:r w:rsidR="006E2F2D" w:rsidRPr="00185D3D">
        <w:rPr>
          <w:lang w:val="fr-CA"/>
        </w:rPr>
        <w:t> </w:t>
      </w:r>
      <w:r w:rsidRPr="00185D3D">
        <w:rPr>
          <w:lang w:val="fr-CA"/>
        </w:rPr>
        <w:t>$US pour le PNUE et 667 920</w:t>
      </w:r>
      <w:r w:rsidR="006E2F2D" w:rsidRPr="00185D3D">
        <w:rPr>
          <w:lang w:val="fr-CA"/>
        </w:rPr>
        <w:t> </w:t>
      </w:r>
      <w:r w:rsidRPr="00185D3D">
        <w:rPr>
          <w:lang w:val="fr-CA"/>
        </w:rPr>
        <w:t>$US pour le PNUD), comme le montre le tableau</w:t>
      </w:r>
      <w:r w:rsidR="006E2F2D" w:rsidRPr="00185D3D">
        <w:rPr>
          <w:lang w:val="fr-CA"/>
        </w:rPr>
        <w:t> </w:t>
      </w:r>
      <w:r w:rsidRPr="00185D3D">
        <w:rPr>
          <w:lang w:val="fr-CA"/>
        </w:rPr>
        <w:t>2. Le solde de 10 200</w:t>
      </w:r>
      <w:r w:rsidR="006E2F2D" w:rsidRPr="00185D3D">
        <w:rPr>
          <w:lang w:val="fr-CA"/>
        </w:rPr>
        <w:t> </w:t>
      </w:r>
      <w:r w:rsidRPr="00185D3D">
        <w:rPr>
          <w:lang w:val="fr-CA"/>
        </w:rPr>
        <w:t>$US de la troisième tranche sera décaissé d’ici juillet</w:t>
      </w:r>
      <w:r w:rsidR="006E2F2D" w:rsidRPr="00185D3D">
        <w:rPr>
          <w:lang w:val="fr-CA"/>
        </w:rPr>
        <w:t> </w:t>
      </w:r>
      <w:r w:rsidRPr="00185D3D">
        <w:rPr>
          <w:lang w:val="fr-CA"/>
        </w:rPr>
        <w:t>2019.</w:t>
      </w:r>
    </w:p>
    <w:p w:rsidR="0050011D" w:rsidRPr="00A142BC" w:rsidRDefault="0050011D" w:rsidP="0050011D">
      <w:pPr>
        <w:rPr>
          <w:b/>
          <w:lang w:val="fr-CA"/>
        </w:rPr>
      </w:pPr>
      <w:r w:rsidRPr="00A142BC">
        <w:rPr>
          <w:b/>
          <w:lang w:val="fr-CA"/>
        </w:rPr>
        <w:t>Table</w:t>
      </w:r>
      <w:r w:rsidR="00185D3D" w:rsidRPr="00A142BC">
        <w:rPr>
          <w:b/>
          <w:lang w:val="fr-CA"/>
        </w:rPr>
        <w:t>au </w:t>
      </w:r>
      <w:r w:rsidRPr="00A142BC">
        <w:rPr>
          <w:b/>
          <w:lang w:val="fr-CA"/>
        </w:rPr>
        <w:t xml:space="preserve">2. </w:t>
      </w:r>
      <w:r w:rsidR="007816F5" w:rsidRPr="00A142BC">
        <w:rPr>
          <w:b/>
          <w:lang w:val="fr-CA"/>
        </w:rPr>
        <w:t>Rapport financier sur la phase</w:t>
      </w:r>
      <w:r w:rsidR="00185D3D" w:rsidRPr="00A142BC">
        <w:rPr>
          <w:b/>
          <w:lang w:val="fr-CA"/>
        </w:rPr>
        <w:t> </w:t>
      </w:r>
      <w:r w:rsidR="007816F5" w:rsidRPr="00A142BC">
        <w:rPr>
          <w:b/>
          <w:lang w:val="fr-CA"/>
        </w:rPr>
        <w:t>I du PGEH pour l’Eswatini ($US)</w:t>
      </w:r>
    </w:p>
    <w:tbl>
      <w:tblPr>
        <w:tblW w:w="92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123"/>
        <w:gridCol w:w="1400"/>
        <w:gridCol w:w="1400"/>
        <w:gridCol w:w="1401"/>
        <w:gridCol w:w="2382"/>
      </w:tblGrid>
      <w:tr w:rsidR="0050011D" w:rsidRPr="00FE3307" w:rsidTr="00757E67">
        <w:trPr>
          <w:trHeight w:val="432"/>
        </w:trPr>
        <w:tc>
          <w:tcPr>
            <w:tcW w:w="2641" w:type="dxa"/>
            <w:gridSpan w:val="2"/>
            <w:shd w:val="clear" w:color="auto" w:fill="auto"/>
            <w:noWrap/>
            <w:vAlign w:val="center"/>
            <w:hideMark/>
          </w:tcPr>
          <w:p w:rsidR="0050011D" w:rsidRPr="00FE3307" w:rsidRDefault="0050011D" w:rsidP="00757E67">
            <w:pPr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FE3307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Tranche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0011D" w:rsidRPr="00FE3307" w:rsidRDefault="007816F5" w:rsidP="00757E67">
            <w:pPr>
              <w:jc w:val="center"/>
              <w:rPr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/>
                <w:color w:val="000000"/>
                <w:sz w:val="20"/>
                <w:szCs w:val="20"/>
                <w:lang w:val="en-CA" w:eastAsia="en-CA"/>
              </w:rPr>
              <w:t>PNUE</w:t>
            </w:r>
          </w:p>
        </w:tc>
        <w:tc>
          <w:tcPr>
            <w:tcW w:w="1400" w:type="dxa"/>
            <w:vAlign w:val="center"/>
          </w:tcPr>
          <w:p w:rsidR="0050011D" w:rsidRPr="00FE3307" w:rsidRDefault="007816F5" w:rsidP="00757E67">
            <w:pPr>
              <w:jc w:val="center"/>
              <w:rPr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/>
                <w:color w:val="000000"/>
                <w:sz w:val="20"/>
                <w:szCs w:val="20"/>
                <w:lang w:val="en-CA" w:eastAsia="en-CA"/>
              </w:rPr>
              <w:t>PNUD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50011D" w:rsidRPr="00FE3307" w:rsidRDefault="0050011D" w:rsidP="00757E67">
            <w:pPr>
              <w:jc w:val="center"/>
              <w:rPr>
                <w:b/>
                <w:color w:val="000000"/>
                <w:sz w:val="20"/>
                <w:szCs w:val="20"/>
                <w:lang w:val="en-CA" w:eastAsia="en-CA"/>
              </w:rPr>
            </w:pPr>
            <w:r w:rsidRPr="00FE3307">
              <w:rPr>
                <w:b/>
                <w:color w:val="000000"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0011D" w:rsidRPr="00FE3307" w:rsidRDefault="007816F5" w:rsidP="00757E67">
            <w:pPr>
              <w:jc w:val="center"/>
              <w:rPr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/>
                <w:color w:val="000000"/>
                <w:sz w:val="20"/>
                <w:szCs w:val="20"/>
                <w:lang w:val="en-CA" w:eastAsia="en-CA"/>
              </w:rPr>
              <w:t xml:space="preserve">Taux de décaissement </w:t>
            </w:r>
            <w:r w:rsidR="0050011D" w:rsidRPr="00FE3307">
              <w:rPr>
                <w:b/>
                <w:color w:val="000000"/>
                <w:sz w:val="20"/>
                <w:szCs w:val="20"/>
                <w:lang w:val="en-CA" w:eastAsia="en-CA"/>
              </w:rPr>
              <w:t>(%)</w:t>
            </w:r>
          </w:p>
        </w:tc>
      </w:tr>
      <w:tr w:rsidR="0050011D" w:rsidRPr="00FE3307" w:rsidTr="00757E67">
        <w:trPr>
          <w:trHeight w:val="191"/>
        </w:trPr>
        <w:tc>
          <w:tcPr>
            <w:tcW w:w="1518" w:type="dxa"/>
            <w:vMerge w:val="restart"/>
            <w:shd w:val="clear" w:color="auto" w:fill="auto"/>
            <w:noWrap/>
            <w:vAlign w:val="center"/>
            <w:hideMark/>
          </w:tcPr>
          <w:p w:rsidR="0050011D" w:rsidRPr="00FE3307" w:rsidRDefault="007816F5" w:rsidP="00757E67">
            <w:pPr>
              <w:jc w:val="left"/>
              <w:rPr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val="en-CA" w:eastAsia="en-CA"/>
              </w:rPr>
              <w:t>Première tranche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50011D" w:rsidRPr="00FE3307" w:rsidRDefault="007816F5" w:rsidP="00757E67">
            <w:pPr>
              <w:rPr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val="en-CA" w:eastAsia="en-CA"/>
              </w:rPr>
              <w:t xml:space="preserve">Approuvé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50011D" w:rsidRPr="00FE3307" w:rsidRDefault="006E2F2D" w:rsidP="00757E67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75 000</w:t>
            </w:r>
          </w:p>
        </w:tc>
        <w:tc>
          <w:tcPr>
            <w:tcW w:w="1400" w:type="dxa"/>
            <w:vAlign w:val="center"/>
          </w:tcPr>
          <w:p w:rsidR="0050011D" w:rsidRPr="00FE3307" w:rsidRDefault="006E2F2D" w:rsidP="00757E67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667 948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50011D" w:rsidRPr="00FE3307" w:rsidRDefault="006E2F2D" w:rsidP="00757E67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742 948</w:t>
            </w:r>
          </w:p>
        </w:tc>
        <w:tc>
          <w:tcPr>
            <w:tcW w:w="2382" w:type="dxa"/>
            <w:vMerge w:val="restart"/>
            <w:shd w:val="clear" w:color="auto" w:fill="auto"/>
            <w:noWrap/>
            <w:vAlign w:val="center"/>
          </w:tcPr>
          <w:p w:rsidR="0050011D" w:rsidRPr="00FE3307" w:rsidRDefault="0050011D" w:rsidP="00757E67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97</w:t>
            </w:r>
          </w:p>
        </w:tc>
      </w:tr>
      <w:tr w:rsidR="0050011D" w:rsidRPr="00FE3307" w:rsidTr="00757E67">
        <w:trPr>
          <w:trHeight w:val="228"/>
        </w:trPr>
        <w:tc>
          <w:tcPr>
            <w:tcW w:w="1518" w:type="dxa"/>
            <w:vMerge/>
            <w:vAlign w:val="center"/>
            <w:hideMark/>
          </w:tcPr>
          <w:p w:rsidR="0050011D" w:rsidRPr="00FE3307" w:rsidRDefault="0050011D" w:rsidP="00757E67">
            <w:pPr>
              <w:jc w:val="left"/>
              <w:rPr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50011D" w:rsidRPr="00FE3307" w:rsidRDefault="007816F5" w:rsidP="00757E67">
            <w:pPr>
              <w:rPr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val="en-CA" w:eastAsia="en-CA"/>
              </w:rPr>
              <w:t>Décaissé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50011D" w:rsidRPr="00FE3307" w:rsidRDefault="006E2F2D" w:rsidP="00757E67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49 179</w:t>
            </w:r>
          </w:p>
        </w:tc>
        <w:tc>
          <w:tcPr>
            <w:tcW w:w="1400" w:type="dxa"/>
            <w:vAlign w:val="center"/>
          </w:tcPr>
          <w:p w:rsidR="0050011D" w:rsidRPr="00FE3307" w:rsidRDefault="006E2F2D" w:rsidP="00757E67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667 920</w:t>
            </w:r>
            <w:r w:rsidR="0050011D" w:rsidRPr="009A7BD0">
              <w:rPr>
                <w:color w:val="000000"/>
                <w:sz w:val="20"/>
                <w:szCs w:val="20"/>
                <w:vertAlign w:val="superscript"/>
                <w:lang w:val="en-CA" w:eastAsia="en-CA"/>
              </w:rPr>
              <w:t>*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50011D" w:rsidRPr="00FE3307" w:rsidRDefault="006E2F2D" w:rsidP="00757E67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717 099</w:t>
            </w:r>
          </w:p>
        </w:tc>
        <w:tc>
          <w:tcPr>
            <w:tcW w:w="2382" w:type="dxa"/>
            <w:vMerge/>
            <w:vAlign w:val="center"/>
          </w:tcPr>
          <w:p w:rsidR="0050011D" w:rsidRPr="00FE3307" w:rsidRDefault="0050011D" w:rsidP="00757E67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185D3D" w:rsidRPr="00FE3307" w:rsidTr="00757E67">
        <w:trPr>
          <w:trHeight w:val="161"/>
        </w:trPr>
        <w:tc>
          <w:tcPr>
            <w:tcW w:w="1518" w:type="dxa"/>
            <w:vMerge w:val="restart"/>
            <w:shd w:val="clear" w:color="auto" w:fill="auto"/>
            <w:noWrap/>
            <w:vAlign w:val="center"/>
            <w:hideMark/>
          </w:tcPr>
          <w:p w:rsidR="00185D3D" w:rsidRPr="00FE3307" w:rsidRDefault="00185D3D" w:rsidP="00185D3D">
            <w:pPr>
              <w:jc w:val="left"/>
              <w:rPr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val="en-CA" w:eastAsia="en-CA"/>
              </w:rPr>
              <w:t>Deuxième tranche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85D3D" w:rsidRPr="00FE3307" w:rsidRDefault="00185D3D" w:rsidP="00185D3D">
            <w:pPr>
              <w:rPr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val="en-CA" w:eastAsia="en-CA"/>
              </w:rPr>
              <w:t xml:space="preserve">Approuvé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55 000</w:t>
            </w:r>
          </w:p>
        </w:tc>
        <w:tc>
          <w:tcPr>
            <w:tcW w:w="1400" w:type="dxa"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55,000</w:t>
            </w:r>
          </w:p>
        </w:tc>
        <w:tc>
          <w:tcPr>
            <w:tcW w:w="2382" w:type="dxa"/>
            <w:vMerge w:val="restart"/>
            <w:shd w:val="clear" w:color="auto" w:fill="auto"/>
            <w:noWrap/>
            <w:vAlign w:val="center"/>
          </w:tcPr>
          <w:p w:rsidR="00185D3D" w:rsidRPr="00FE3307" w:rsidRDefault="00185D3D" w:rsidP="00185D3D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100</w:t>
            </w:r>
          </w:p>
        </w:tc>
      </w:tr>
      <w:tr w:rsidR="00185D3D" w:rsidRPr="00FE3307" w:rsidTr="00757E67">
        <w:trPr>
          <w:trHeight w:val="191"/>
        </w:trPr>
        <w:tc>
          <w:tcPr>
            <w:tcW w:w="1518" w:type="dxa"/>
            <w:vMerge/>
            <w:vAlign w:val="center"/>
            <w:hideMark/>
          </w:tcPr>
          <w:p w:rsidR="00185D3D" w:rsidRPr="00FE3307" w:rsidRDefault="00185D3D" w:rsidP="00185D3D">
            <w:pPr>
              <w:jc w:val="left"/>
              <w:rPr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85D3D" w:rsidRPr="00FE3307" w:rsidRDefault="00185D3D" w:rsidP="00185D3D">
            <w:pPr>
              <w:rPr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val="en-CA" w:eastAsia="en-CA"/>
              </w:rPr>
              <w:t>Décaissé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55 000</w:t>
            </w:r>
          </w:p>
        </w:tc>
        <w:tc>
          <w:tcPr>
            <w:tcW w:w="1400" w:type="dxa"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55 000</w:t>
            </w:r>
          </w:p>
        </w:tc>
        <w:tc>
          <w:tcPr>
            <w:tcW w:w="2382" w:type="dxa"/>
            <w:vMerge/>
            <w:vAlign w:val="center"/>
          </w:tcPr>
          <w:p w:rsidR="00185D3D" w:rsidRPr="00FE3307" w:rsidRDefault="00185D3D" w:rsidP="00185D3D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185D3D" w:rsidRPr="00FE3307" w:rsidTr="00757E67">
        <w:trPr>
          <w:trHeight w:val="132"/>
        </w:trPr>
        <w:tc>
          <w:tcPr>
            <w:tcW w:w="1518" w:type="dxa"/>
            <w:vMerge w:val="restart"/>
            <w:shd w:val="clear" w:color="auto" w:fill="auto"/>
            <w:noWrap/>
            <w:vAlign w:val="center"/>
            <w:hideMark/>
          </w:tcPr>
          <w:p w:rsidR="00185D3D" w:rsidRPr="00FE3307" w:rsidRDefault="00185D3D" w:rsidP="00185D3D">
            <w:pPr>
              <w:jc w:val="left"/>
              <w:rPr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val="en-CA" w:eastAsia="en-CA"/>
              </w:rPr>
              <w:t>Troisième tranche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85D3D" w:rsidRPr="00FE3307" w:rsidRDefault="00185D3D" w:rsidP="00185D3D">
            <w:pPr>
              <w:rPr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val="en-CA" w:eastAsia="en-CA"/>
              </w:rPr>
              <w:t xml:space="preserve">Approuvé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50 000</w:t>
            </w:r>
          </w:p>
        </w:tc>
        <w:tc>
          <w:tcPr>
            <w:tcW w:w="1400" w:type="dxa"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50 000</w:t>
            </w:r>
          </w:p>
        </w:tc>
        <w:tc>
          <w:tcPr>
            <w:tcW w:w="2382" w:type="dxa"/>
            <w:vMerge w:val="restart"/>
            <w:shd w:val="clear" w:color="auto" w:fill="auto"/>
            <w:noWrap/>
            <w:vAlign w:val="center"/>
          </w:tcPr>
          <w:p w:rsidR="00185D3D" w:rsidRPr="00FE3307" w:rsidRDefault="00185D3D" w:rsidP="00185D3D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80</w:t>
            </w:r>
          </w:p>
        </w:tc>
      </w:tr>
      <w:tr w:rsidR="00185D3D" w:rsidRPr="00FE3307" w:rsidTr="00757E67">
        <w:trPr>
          <w:trHeight w:val="61"/>
        </w:trPr>
        <w:tc>
          <w:tcPr>
            <w:tcW w:w="1518" w:type="dxa"/>
            <w:vMerge/>
            <w:vAlign w:val="center"/>
            <w:hideMark/>
          </w:tcPr>
          <w:p w:rsidR="00185D3D" w:rsidRPr="00FE3307" w:rsidRDefault="00185D3D" w:rsidP="00185D3D">
            <w:pPr>
              <w:jc w:val="left"/>
              <w:rPr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85D3D" w:rsidRPr="00FE3307" w:rsidRDefault="00185D3D" w:rsidP="00185D3D">
            <w:pPr>
              <w:rPr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val="en-CA" w:eastAsia="en-CA"/>
              </w:rPr>
              <w:t>Décaissé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39 800</w:t>
            </w:r>
          </w:p>
        </w:tc>
        <w:tc>
          <w:tcPr>
            <w:tcW w:w="1400" w:type="dxa"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39 800</w:t>
            </w:r>
          </w:p>
        </w:tc>
        <w:tc>
          <w:tcPr>
            <w:tcW w:w="2382" w:type="dxa"/>
            <w:vMerge/>
            <w:vAlign w:val="center"/>
          </w:tcPr>
          <w:p w:rsidR="00185D3D" w:rsidRPr="00FE3307" w:rsidRDefault="00185D3D" w:rsidP="00185D3D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185D3D" w:rsidRPr="00FE3307" w:rsidTr="00757E67">
        <w:trPr>
          <w:trHeight w:val="61"/>
        </w:trPr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185D3D" w:rsidRPr="00FE3307" w:rsidRDefault="00185D3D" w:rsidP="00185D3D">
            <w:pPr>
              <w:jc w:val="left"/>
              <w:rPr>
                <w:bCs/>
                <w:color w:val="000000"/>
                <w:sz w:val="20"/>
                <w:szCs w:val="20"/>
                <w:lang w:val="en-CA" w:eastAsia="en-CA"/>
              </w:rPr>
            </w:pPr>
            <w:r w:rsidRPr="00FE3307">
              <w:rPr>
                <w:bCs/>
                <w:color w:val="000000"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85D3D" w:rsidRPr="00FE3307" w:rsidRDefault="00185D3D" w:rsidP="00185D3D">
            <w:pPr>
              <w:rPr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val="en-CA" w:eastAsia="en-CA"/>
              </w:rPr>
              <w:t xml:space="preserve">Approuvé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180 000</w:t>
            </w:r>
          </w:p>
        </w:tc>
        <w:tc>
          <w:tcPr>
            <w:tcW w:w="1400" w:type="dxa"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667 948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847 948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85D3D" w:rsidRPr="00FE3307" w:rsidRDefault="00185D3D" w:rsidP="00185D3D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96</w:t>
            </w:r>
          </w:p>
        </w:tc>
      </w:tr>
      <w:tr w:rsidR="00185D3D" w:rsidRPr="00FE3307" w:rsidTr="00757E67">
        <w:trPr>
          <w:trHeight w:val="191"/>
        </w:trPr>
        <w:tc>
          <w:tcPr>
            <w:tcW w:w="1518" w:type="dxa"/>
            <w:vMerge/>
            <w:shd w:val="clear" w:color="auto" w:fill="auto"/>
            <w:vAlign w:val="center"/>
          </w:tcPr>
          <w:p w:rsidR="00185D3D" w:rsidRPr="00FE3307" w:rsidRDefault="00185D3D" w:rsidP="00185D3D">
            <w:pPr>
              <w:jc w:val="left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185D3D" w:rsidRPr="00FE3307" w:rsidRDefault="00185D3D" w:rsidP="00185D3D">
            <w:pPr>
              <w:rPr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val="en-CA" w:eastAsia="en-CA"/>
              </w:rPr>
              <w:t>Décaissé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143 979</w:t>
            </w:r>
          </w:p>
        </w:tc>
        <w:tc>
          <w:tcPr>
            <w:tcW w:w="1400" w:type="dxa"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667 920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85D3D" w:rsidRPr="00FE3307" w:rsidRDefault="00185D3D" w:rsidP="00185D3D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811 899</w:t>
            </w: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85D3D" w:rsidRPr="00FE3307" w:rsidRDefault="00185D3D" w:rsidP="00185D3D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</w:tbl>
    <w:p w:rsidR="0050011D" w:rsidRDefault="0050011D" w:rsidP="0050011D">
      <w:pPr>
        <w:rPr>
          <w:sz w:val="16"/>
          <w:szCs w:val="16"/>
          <w:lang w:val="fr-CA"/>
        </w:rPr>
      </w:pPr>
      <w:r w:rsidRPr="007816F5">
        <w:rPr>
          <w:vertAlign w:val="superscript"/>
          <w:lang w:val="fr-CA"/>
        </w:rPr>
        <w:t>*</w:t>
      </w:r>
      <w:r w:rsidR="007816F5" w:rsidRPr="007816F5">
        <w:rPr>
          <w:sz w:val="16"/>
          <w:szCs w:val="16"/>
          <w:lang w:val="fr-CA"/>
        </w:rPr>
        <w:t>Le PNUD a retourné 28</w:t>
      </w:r>
      <w:r w:rsidR="006E2F2D">
        <w:rPr>
          <w:sz w:val="16"/>
          <w:szCs w:val="16"/>
          <w:lang w:val="fr-CA"/>
        </w:rPr>
        <w:t> </w:t>
      </w:r>
      <w:r w:rsidR="007816F5" w:rsidRPr="007816F5">
        <w:rPr>
          <w:sz w:val="16"/>
          <w:szCs w:val="16"/>
          <w:lang w:val="fr-CA"/>
        </w:rPr>
        <w:t>$US à la 74</w:t>
      </w:r>
      <w:r w:rsidR="007816F5" w:rsidRPr="00185D3D">
        <w:rPr>
          <w:sz w:val="16"/>
          <w:szCs w:val="16"/>
          <w:vertAlign w:val="superscript"/>
          <w:lang w:val="fr-CA"/>
        </w:rPr>
        <w:t>e</w:t>
      </w:r>
      <w:r w:rsidR="00185D3D">
        <w:rPr>
          <w:sz w:val="16"/>
          <w:szCs w:val="16"/>
          <w:lang w:val="fr-CA"/>
        </w:rPr>
        <w:t> </w:t>
      </w:r>
      <w:r w:rsidR="007816F5" w:rsidRPr="007816F5">
        <w:rPr>
          <w:sz w:val="16"/>
          <w:szCs w:val="16"/>
          <w:lang w:val="fr-CA"/>
        </w:rPr>
        <w:t>réunion.</w:t>
      </w:r>
    </w:p>
    <w:p w:rsidR="00185D3D" w:rsidRPr="00A142BC" w:rsidRDefault="00185D3D" w:rsidP="0050011D">
      <w:pPr>
        <w:rPr>
          <w:sz w:val="16"/>
          <w:szCs w:val="16"/>
          <w:lang w:val="fr-CA"/>
        </w:rPr>
      </w:pPr>
    </w:p>
    <w:p w:rsidR="0050011D" w:rsidRPr="007816F5" w:rsidRDefault="007816F5" w:rsidP="0050011D">
      <w:pPr>
        <w:spacing w:after="240"/>
        <w:rPr>
          <w:u w:val="single"/>
          <w:lang w:val="fr-CA"/>
        </w:rPr>
      </w:pPr>
      <w:r w:rsidRPr="007816F5">
        <w:rPr>
          <w:u w:val="single"/>
          <w:lang w:val="fr-CA"/>
        </w:rPr>
        <w:t>Plan de mise en œuvre de la quatrième tranche du PGEH</w:t>
      </w:r>
    </w:p>
    <w:p w:rsidR="0050011D" w:rsidRPr="00A142BC" w:rsidRDefault="007816F5" w:rsidP="0050011D">
      <w:pPr>
        <w:pStyle w:val="Heading1"/>
        <w:rPr>
          <w:lang w:val="fr-CA"/>
        </w:rPr>
      </w:pPr>
      <w:r w:rsidRPr="00A142BC">
        <w:rPr>
          <w:lang w:val="fr-CA"/>
        </w:rPr>
        <w:t xml:space="preserve">Les activités suivantes seront menées en 2019 </w:t>
      </w:r>
      <w:r w:rsidRPr="00596080">
        <w:rPr>
          <w:lang w:val="fr-CA"/>
        </w:rPr>
        <w:t>et 2020 :</w:t>
      </w:r>
      <w:r w:rsidRPr="00A142BC">
        <w:rPr>
          <w:lang w:val="fr-CA"/>
        </w:rPr>
        <w:t xml:space="preserve"> </w:t>
      </w:r>
    </w:p>
    <w:p w:rsidR="0050011D" w:rsidRPr="00A142BC" w:rsidRDefault="00AF04DC" w:rsidP="0050011D">
      <w:pPr>
        <w:pStyle w:val="Heading2"/>
        <w:widowControl/>
        <w:rPr>
          <w:lang w:val="fr-CA"/>
        </w:rPr>
      </w:pPr>
      <w:r w:rsidRPr="00A142BC">
        <w:rPr>
          <w:lang w:val="fr-CA"/>
        </w:rPr>
        <w:t>Formation de 55</w:t>
      </w:r>
      <w:r w:rsidR="009D56D8" w:rsidRPr="00A142BC">
        <w:rPr>
          <w:lang w:val="fr-CA"/>
        </w:rPr>
        <w:t> </w:t>
      </w:r>
      <w:r w:rsidRPr="00A142BC">
        <w:rPr>
          <w:lang w:val="fr-CA"/>
        </w:rPr>
        <w:t xml:space="preserve">agents des douanes et d’exécution de la loi par l’entremise de trois ateliers de formation sur l’inspection des HCFC, de l’équipement à base de HCFC </w:t>
      </w:r>
      <w:r w:rsidR="00460F4B" w:rsidRPr="00A142BC">
        <w:rPr>
          <w:lang w:val="fr-CA"/>
        </w:rPr>
        <w:t xml:space="preserve">et </w:t>
      </w:r>
      <w:r w:rsidRPr="00A142BC">
        <w:rPr>
          <w:lang w:val="fr-CA"/>
        </w:rPr>
        <w:t>des frigorigènes de remplacement, en ciblant les agents n’ayant jamais reçu de formation (PNUE) (15 000</w:t>
      </w:r>
      <w:r w:rsidR="009D56D8" w:rsidRPr="00A142BC">
        <w:rPr>
          <w:lang w:val="fr-CA"/>
        </w:rPr>
        <w:t> </w:t>
      </w:r>
      <w:r w:rsidRPr="00A142BC">
        <w:rPr>
          <w:lang w:val="fr-CA"/>
        </w:rPr>
        <w:t xml:space="preserve">$US); </w:t>
      </w:r>
    </w:p>
    <w:p w:rsidR="0050011D" w:rsidRPr="00AF04DC" w:rsidRDefault="00AF04DC" w:rsidP="0050011D">
      <w:pPr>
        <w:pStyle w:val="Heading2"/>
        <w:keepNext/>
        <w:keepLines/>
        <w:widowControl/>
        <w:rPr>
          <w:lang w:val="fr-CA"/>
        </w:rPr>
      </w:pPr>
      <w:r w:rsidRPr="00AF04DC">
        <w:rPr>
          <w:lang w:val="fr-CA"/>
        </w:rPr>
        <w:t xml:space="preserve">Formation de </w:t>
      </w:r>
      <w:r w:rsidR="00460F4B">
        <w:rPr>
          <w:lang w:val="fr-CA"/>
        </w:rPr>
        <w:t>6</w:t>
      </w:r>
      <w:r w:rsidRPr="00AF04DC">
        <w:rPr>
          <w:lang w:val="fr-CA"/>
        </w:rPr>
        <w:t>0</w:t>
      </w:r>
      <w:r w:rsidR="009D56D8">
        <w:rPr>
          <w:lang w:val="fr-CA"/>
        </w:rPr>
        <w:t> </w:t>
      </w:r>
      <w:r w:rsidRPr="00AF04DC">
        <w:rPr>
          <w:lang w:val="fr-CA"/>
        </w:rPr>
        <w:t xml:space="preserve">techniciens en réfrigération et climatisation sur les pratiques exemplaires en matière d’entretien des appareils de réfrigération au moyen de trois ateliers de formation (PNUE) </w:t>
      </w:r>
      <w:r>
        <w:rPr>
          <w:lang w:val="fr-CA"/>
        </w:rPr>
        <w:t>(10 000</w:t>
      </w:r>
      <w:r w:rsidR="009D56D8">
        <w:rPr>
          <w:lang w:val="fr-CA"/>
        </w:rPr>
        <w:t> </w:t>
      </w:r>
      <w:r>
        <w:rPr>
          <w:lang w:val="fr-CA"/>
        </w:rPr>
        <w:t>$US);</w:t>
      </w:r>
    </w:p>
    <w:p w:rsidR="0050011D" w:rsidRPr="00460F4B" w:rsidRDefault="00AF04DC" w:rsidP="0050011D">
      <w:pPr>
        <w:pStyle w:val="Heading2"/>
        <w:rPr>
          <w:lang w:val="fr-CA"/>
        </w:rPr>
      </w:pPr>
      <w:r w:rsidRPr="00AF04DC">
        <w:rPr>
          <w:lang w:val="fr-CA"/>
        </w:rPr>
        <w:t xml:space="preserve">Surveillance et coordination des activités </w:t>
      </w:r>
      <w:r>
        <w:rPr>
          <w:lang w:val="fr-CA"/>
        </w:rPr>
        <w:t xml:space="preserve">menées dans le cadre de la quatrième tranche, </w:t>
      </w:r>
      <w:r w:rsidR="00460F4B">
        <w:rPr>
          <w:lang w:val="fr-CA"/>
        </w:rPr>
        <w:t xml:space="preserve">et </w:t>
      </w:r>
      <w:r>
        <w:rPr>
          <w:lang w:val="fr-CA"/>
        </w:rPr>
        <w:t>présentation de rapport</w:t>
      </w:r>
      <w:r w:rsidR="00596080">
        <w:rPr>
          <w:lang w:val="fr-CA"/>
        </w:rPr>
        <w:t>s</w:t>
      </w:r>
      <w:r>
        <w:rPr>
          <w:lang w:val="fr-CA"/>
        </w:rPr>
        <w:t xml:space="preserve"> à ce sujet (PNUE) (5</w:t>
      </w:r>
      <w:r w:rsidR="00460F4B">
        <w:rPr>
          <w:lang w:val="fr-CA"/>
        </w:rPr>
        <w:t> </w:t>
      </w:r>
      <w:r>
        <w:rPr>
          <w:lang w:val="fr-CA"/>
        </w:rPr>
        <w:t>000</w:t>
      </w:r>
      <w:r w:rsidR="009D56D8">
        <w:rPr>
          <w:lang w:val="fr-CA"/>
        </w:rPr>
        <w:t> </w:t>
      </w:r>
      <w:r>
        <w:rPr>
          <w:lang w:val="fr-CA"/>
        </w:rPr>
        <w:t>$US).</w:t>
      </w:r>
      <w:r w:rsidR="0050011D" w:rsidRPr="00460F4B" w:rsidDel="00B976C8">
        <w:rPr>
          <w:lang w:val="fr-CA"/>
        </w:rPr>
        <w:t xml:space="preserve"> </w:t>
      </w:r>
    </w:p>
    <w:p w:rsidR="0050011D" w:rsidRPr="00AF04DC" w:rsidRDefault="00AF04DC" w:rsidP="0050011D">
      <w:pPr>
        <w:spacing w:after="240"/>
        <w:jc w:val="center"/>
        <w:rPr>
          <w:b/>
          <w:lang w:val="fr-CA"/>
        </w:rPr>
      </w:pPr>
      <w:r w:rsidRPr="00AF04DC">
        <w:rPr>
          <w:b/>
          <w:lang w:val="fr-CA"/>
        </w:rPr>
        <w:t>OBSERVATIONS ET RECOMMANDATION DU SECRÉTARIAT</w:t>
      </w:r>
    </w:p>
    <w:p w:rsidR="0050011D" w:rsidRPr="00AF04DC" w:rsidRDefault="00AF04DC" w:rsidP="0050011D">
      <w:pPr>
        <w:spacing w:after="240"/>
        <w:rPr>
          <w:b/>
          <w:lang w:val="fr-CA"/>
        </w:rPr>
      </w:pPr>
      <w:r w:rsidRPr="00AF04DC">
        <w:rPr>
          <w:b/>
          <w:lang w:val="fr-CA"/>
        </w:rPr>
        <w:t>OBSERVATIONS</w:t>
      </w:r>
    </w:p>
    <w:p w:rsidR="0050011D" w:rsidRPr="00AF04DC" w:rsidRDefault="00AF04DC" w:rsidP="0050011D">
      <w:pPr>
        <w:pStyle w:val="Heading1"/>
        <w:numPr>
          <w:ilvl w:val="0"/>
          <w:numId w:val="0"/>
        </w:numPr>
        <w:rPr>
          <w:u w:val="single"/>
          <w:lang w:val="fr-CA"/>
        </w:rPr>
      </w:pPr>
      <w:r w:rsidRPr="00AF04DC">
        <w:rPr>
          <w:u w:val="single"/>
          <w:lang w:val="fr-CA"/>
        </w:rPr>
        <w:t>Rapport périodique sur la mise en œuvre de la deuxième tranche du PGEH</w:t>
      </w:r>
    </w:p>
    <w:p w:rsidR="0050011D" w:rsidRPr="00C71FB9" w:rsidRDefault="00AF04DC" w:rsidP="0050011D">
      <w:pPr>
        <w:spacing w:after="240"/>
        <w:rPr>
          <w:i/>
          <w:lang w:val="en-CA"/>
        </w:rPr>
      </w:pPr>
      <w:r>
        <w:rPr>
          <w:i/>
          <w:lang w:val="en-CA"/>
        </w:rPr>
        <w:t>Cadre juridique</w:t>
      </w:r>
    </w:p>
    <w:p w:rsidR="0050011D" w:rsidRPr="00A142BC" w:rsidRDefault="00AF04DC" w:rsidP="0050011D">
      <w:pPr>
        <w:pStyle w:val="Heading1"/>
        <w:rPr>
          <w:lang w:val="fr-CA"/>
        </w:rPr>
      </w:pPr>
      <w:r w:rsidRPr="00AF04DC">
        <w:rPr>
          <w:lang w:val="fr-CA"/>
        </w:rPr>
        <w:t xml:space="preserve">Le gouvernement de l’Eswatini a déjà </w:t>
      </w:r>
      <w:r w:rsidR="00596080">
        <w:rPr>
          <w:lang w:val="fr-CA"/>
        </w:rPr>
        <w:t>fixé</w:t>
      </w:r>
      <w:r w:rsidRPr="00AF04DC">
        <w:rPr>
          <w:lang w:val="fr-CA"/>
        </w:rPr>
        <w:t xml:space="preserve"> </w:t>
      </w:r>
      <w:r w:rsidR="00596080">
        <w:rPr>
          <w:lang w:val="fr-CA"/>
        </w:rPr>
        <w:t>le</w:t>
      </w:r>
      <w:r w:rsidRPr="00AF04DC">
        <w:rPr>
          <w:lang w:val="fr-CA"/>
        </w:rPr>
        <w:t xml:space="preserve"> quota d’importation des HCFC pour</w:t>
      </w:r>
      <w:r w:rsidR="00460F4B">
        <w:rPr>
          <w:lang w:val="fr-CA"/>
        </w:rPr>
        <w:t> </w:t>
      </w:r>
      <w:r w:rsidRPr="00AF04DC">
        <w:rPr>
          <w:lang w:val="fr-CA"/>
        </w:rPr>
        <w:t>2019</w:t>
      </w:r>
      <w:r w:rsidR="00460F4B">
        <w:rPr>
          <w:lang w:val="fr-CA"/>
        </w:rPr>
        <w:t xml:space="preserve"> à 0,50 tonne PAO</w:t>
      </w:r>
      <w:r w:rsidRPr="00AF04DC">
        <w:rPr>
          <w:lang w:val="fr-CA"/>
        </w:rPr>
        <w:t xml:space="preserve">, valeur inférieure aux objectifs du Protocole de Montréal. </w:t>
      </w:r>
    </w:p>
    <w:p w:rsidR="0050011D" w:rsidRPr="00A142BC" w:rsidRDefault="00AF04DC" w:rsidP="0050011D">
      <w:pPr>
        <w:pStyle w:val="Heading1"/>
        <w:rPr>
          <w:lang w:val="fr-CA"/>
        </w:rPr>
      </w:pPr>
      <w:r w:rsidRPr="00AF04DC">
        <w:rPr>
          <w:lang w:val="fr-CA"/>
        </w:rPr>
        <w:t xml:space="preserve">Au total, huit identificateurs de frigorigène sont utilisés à divers points d’entrée dans le pays. Vu le budget limité, la priorité a été donnée à l’introduction du système </w:t>
      </w:r>
      <w:r w:rsidR="0050011D" w:rsidRPr="00AF04DC">
        <w:rPr>
          <w:lang w:val="fr-CA"/>
        </w:rPr>
        <w:t xml:space="preserve">ASYCUDA </w:t>
      </w:r>
      <w:r w:rsidRPr="00AF04DC">
        <w:rPr>
          <w:lang w:val="fr-CA"/>
        </w:rPr>
        <w:t xml:space="preserve">et </w:t>
      </w:r>
      <w:r w:rsidR="00460F4B">
        <w:rPr>
          <w:lang w:val="fr-CA"/>
        </w:rPr>
        <w:t xml:space="preserve">à </w:t>
      </w:r>
      <w:r w:rsidRPr="00AF04DC">
        <w:rPr>
          <w:lang w:val="fr-CA"/>
        </w:rPr>
        <w:t xml:space="preserve">la formation des </w:t>
      </w:r>
      <w:r w:rsidRPr="00AF04DC">
        <w:rPr>
          <w:lang w:val="fr-CA"/>
        </w:rPr>
        <w:lastRenderedPageBreak/>
        <w:t xml:space="preserve">agents des douanes; </w:t>
      </w:r>
      <w:r w:rsidR="00460F4B">
        <w:rPr>
          <w:lang w:val="fr-CA"/>
        </w:rPr>
        <w:t>l’</w:t>
      </w:r>
      <w:r w:rsidRPr="00AF04DC">
        <w:rPr>
          <w:lang w:val="fr-CA"/>
        </w:rPr>
        <w:t>achat de deux identificateurs de frigorigène a été retardé en raison de lenteur</w:t>
      </w:r>
      <w:r w:rsidR="00460F4B">
        <w:rPr>
          <w:lang w:val="fr-CA"/>
        </w:rPr>
        <w:t>s</w:t>
      </w:r>
      <w:r w:rsidRPr="00AF04DC">
        <w:rPr>
          <w:lang w:val="fr-CA"/>
        </w:rPr>
        <w:t xml:space="preserve"> dans le processus </w:t>
      </w:r>
      <w:r>
        <w:rPr>
          <w:lang w:val="fr-CA"/>
        </w:rPr>
        <w:t xml:space="preserve">d’acquisition. </w:t>
      </w:r>
      <w:r w:rsidRPr="00AF04DC">
        <w:rPr>
          <w:lang w:val="fr-CA"/>
        </w:rPr>
        <w:t xml:space="preserve">Le pays </w:t>
      </w:r>
      <w:r w:rsidR="00460F4B">
        <w:rPr>
          <w:lang w:val="fr-CA"/>
        </w:rPr>
        <w:t>complètera</w:t>
      </w:r>
      <w:r w:rsidRPr="00AF04DC">
        <w:rPr>
          <w:lang w:val="fr-CA"/>
        </w:rPr>
        <w:t xml:space="preserve"> cet achat lors de la prochaine tranche.</w:t>
      </w:r>
    </w:p>
    <w:p w:rsidR="0050011D" w:rsidRDefault="00AF04DC" w:rsidP="0050011D">
      <w:pPr>
        <w:spacing w:after="240"/>
        <w:rPr>
          <w:i/>
          <w:lang w:val="en-CA"/>
        </w:rPr>
      </w:pPr>
      <w:r>
        <w:rPr>
          <w:i/>
          <w:lang w:val="en-CA"/>
        </w:rPr>
        <w:t>Problèmes techniques</w:t>
      </w:r>
    </w:p>
    <w:p w:rsidR="0050011D" w:rsidRPr="00097406" w:rsidRDefault="00AF04DC" w:rsidP="0050011D">
      <w:pPr>
        <w:pStyle w:val="Heading1"/>
        <w:rPr>
          <w:lang w:val="fr-CA"/>
        </w:rPr>
      </w:pPr>
      <w:r w:rsidRPr="00AF04DC">
        <w:rPr>
          <w:lang w:val="fr-CA"/>
        </w:rPr>
        <w:t>Le PNUD a expliqué que l’augmentation de la consommation de frigorigène</w:t>
      </w:r>
      <w:r w:rsidR="00460F4B">
        <w:rPr>
          <w:lang w:val="fr-CA"/>
        </w:rPr>
        <w:t>s</w:t>
      </w:r>
      <w:r w:rsidRPr="00AF04DC">
        <w:rPr>
          <w:lang w:val="fr-CA"/>
        </w:rPr>
        <w:t xml:space="preserve"> à base d’hydrocarbure dans le pays e</w:t>
      </w:r>
      <w:r w:rsidR="00460F4B">
        <w:rPr>
          <w:lang w:val="fr-CA"/>
        </w:rPr>
        <w:t>s</w:t>
      </w:r>
      <w:r w:rsidRPr="00AF04DC">
        <w:rPr>
          <w:lang w:val="fr-CA"/>
        </w:rPr>
        <w:t xml:space="preserve">t surtout attribuable à la fabrication d’appareils de réfrigération commerciaux à base de </w:t>
      </w:r>
      <w:r w:rsidR="00460F4B">
        <w:rPr>
          <w:lang w:val="fr-CA"/>
        </w:rPr>
        <w:t>R</w:t>
      </w:r>
      <w:r w:rsidR="00460F4B">
        <w:rPr>
          <w:lang w:val="fr-CA"/>
        </w:rPr>
        <w:noBreakHyphen/>
      </w:r>
      <w:r w:rsidRPr="00AF04DC">
        <w:rPr>
          <w:lang w:val="fr-CA"/>
        </w:rPr>
        <w:t>290</w:t>
      </w:r>
      <w:r w:rsidR="00460F4B">
        <w:rPr>
          <w:lang w:val="fr-CA"/>
        </w:rPr>
        <w:t xml:space="preserve"> par Pa</w:t>
      </w:r>
      <w:r w:rsidR="00097406">
        <w:rPr>
          <w:lang w:val="fr-CA"/>
        </w:rPr>
        <w:t>l</w:t>
      </w:r>
      <w:r w:rsidR="00460F4B">
        <w:rPr>
          <w:lang w:val="fr-CA"/>
        </w:rPr>
        <w:t>fridge</w:t>
      </w:r>
      <w:r w:rsidRPr="00AF04DC">
        <w:rPr>
          <w:lang w:val="fr-CA"/>
        </w:rPr>
        <w:t xml:space="preserve">. Les techniciens ne reconvertissent pas l’équipement de réfrigération et de climatisation aux frigorigènes inflammables. </w:t>
      </w:r>
      <w:r w:rsidRPr="005E1FBC">
        <w:rPr>
          <w:lang w:val="fr-CA"/>
        </w:rPr>
        <w:t xml:space="preserve">Afin d’assurer la sécurité des activités d’entretien </w:t>
      </w:r>
      <w:r w:rsidR="005E1FBC" w:rsidRPr="005E1FBC">
        <w:rPr>
          <w:lang w:val="fr-CA"/>
        </w:rPr>
        <w:t xml:space="preserve">des appareils utilisant des hydrocarbures, les programmes de formation à l’intention des techniciens d’entretien </w:t>
      </w:r>
      <w:r w:rsidR="005E1FBC">
        <w:rPr>
          <w:lang w:val="fr-CA"/>
        </w:rPr>
        <w:t xml:space="preserve">couvrent les aspects relatifs à l’utilisation en toute sécurité des frigorigènes inflammables. </w:t>
      </w:r>
      <w:r w:rsidR="005E1FBC" w:rsidRPr="005E1FBC">
        <w:rPr>
          <w:lang w:val="fr-CA"/>
        </w:rPr>
        <w:t xml:space="preserve">Les mesures de sécurité touchant l’utilisation des frigorigènes inflammables font également </w:t>
      </w:r>
      <w:r w:rsidR="009D56D8">
        <w:rPr>
          <w:lang w:val="fr-CA"/>
        </w:rPr>
        <w:t>partie</w:t>
      </w:r>
      <w:r w:rsidR="005E1FBC" w:rsidRPr="005E1FBC">
        <w:rPr>
          <w:lang w:val="fr-CA"/>
        </w:rPr>
        <w:t xml:space="preserve"> des ateliers de formation sur les douanes, </w:t>
      </w:r>
      <w:r w:rsidR="005E1FBC">
        <w:rPr>
          <w:lang w:val="fr-CA"/>
        </w:rPr>
        <w:t xml:space="preserve">car les agents des douanes doivent tester certaines substances importées qui sont consignées ou confisquées. </w:t>
      </w:r>
      <w:r w:rsidR="005E1FBC" w:rsidRPr="005E1FBC">
        <w:rPr>
          <w:lang w:val="fr-CA"/>
        </w:rPr>
        <w:t xml:space="preserve">Par ailleurs, le gouvernement s’efforce d’élaborer et d’adopter des normes de sécurité. </w:t>
      </w:r>
      <w:r w:rsidR="005E1FBC" w:rsidRPr="000A7E19">
        <w:rPr>
          <w:lang w:val="fr-CA"/>
        </w:rPr>
        <w:t xml:space="preserve">L’Eswatini </w:t>
      </w:r>
      <w:r w:rsidR="00460F4B" w:rsidRPr="000A7E19">
        <w:rPr>
          <w:lang w:val="fr-CA"/>
        </w:rPr>
        <w:t>a</w:t>
      </w:r>
      <w:r w:rsidR="005E1FBC" w:rsidRPr="000A7E19">
        <w:rPr>
          <w:lang w:val="fr-CA"/>
        </w:rPr>
        <w:t xml:space="preserve"> adopt</w:t>
      </w:r>
      <w:r w:rsidR="00460F4B" w:rsidRPr="000A7E19">
        <w:rPr>
          <w:lang w:val="fr-CA"/>
        </w:rPr>
        <w:t>é</w:t>
      </w:r>
      <w:r w:rsidR="005E1FBC" w:rsidRPr="000A7E19">
        <w:rPr>
          <w:lang w:val="fr-CA"/>
        </w:rPr>
        <w:t xml:space="preserve"> jusqu’ici la norme relative à la désignation des formulations et </w:t>
      </w:r>
      <w:r w:rsidR="00460F4B" w:rsidRPr="000A7E19">
        <w:rPr>
          <w:lang w:val="fr-CA"/>
        </w:rPr>
        <w:t>à l’</w:t>
      </w:r>
      <w:r w:rsidR="005E1FBC" w:rsidRPr="000A7E19">
        <w:rPr>
          <w:lang w:val="fr-CA"/>
        </w:rPr>
        <w:t>attribution de pr</w:t>
      </w:r>
      <w:r w:rsidR="000A7E19" w:rsidRPr="000A7E19">
        <w:rPr>
          <w:lang w:val="fr-CA"/>
        </w:rPr>
        <w:t>éfixes</w:t>
      </w:r>
      <w:r w:rsidR="005E1FBC" w:rsidRPr="000A7E19">
        <w:rPr>
          <w:lang w:val="fr-CA"/>
        </w:rPr>
        <w:t xml:space="preserve"> aux frigorigènes </w:t>
      </w:r>
      <w:r w:rsidR="0050011D" w:rsidRPr="000A7E19">
        <w:rPr>
          <w:lang w:val="fr-CA"/>
        </w:rPr>
        <w:t>(SZNS</w:t>
      </w:r>
      <w:r w:rsidR="000A7E19">
        <w:rPr>
          <w:lang w:val="fr-CA"/>
        </w:rPr>
        <w:t> </w:t>
      </w:r>
      <w:r w:rsidR="0050011D" w:rsidRPr="000A7E19">
        <w:rPr>
          <w:lang w:val="fr-CA"/>
        </w:rPr>
        <w:t>ISO</w:t>
      </w:r>
      <w:r w:rsidR="000A7E19">
        <w:rPr>
          <w:lang w:val="fr-CA"/>
        </w:rPr>
        <w:t> </w:t>
      </w:r>
      <w:r w:rsidR="0050011D" w:rsidRPr="000A7E19">
        <w:rPr>
          <w:lang w:val="fr-CA"/>
        </w:rPr>
        <w:t>817</w:t>
      </w:r>
      <w:r w:rsidR="000A7E19">
        <w:rPr>
          <w:lang w:val="fr-CA"/>
        </w:rPr>
        <w:t> </w:t>
      </w:r>
      <w:r w:rsidR="000A7E19" w:rsidRPr="000A7E19">
        <w:rPr>
          <w:lang w:val="fr-CA"/>
        </w:rPr>
        <w:t>d</w:t>
      </w:r>
      <w:r w:rsidR="000A7E19">
        <w:rPr>
          <w:lang w:val="fr-CA"/>
        </w:rPr>
        <w:t>e </w:t>
      </w:r>
      <w:r w:rsidR="0050011D" w:rsidRPr="000A7E19">
        <w:rPr>
          <w:lang w:val="fr-CA"/>
        </w:rPr>
        <w:t xml:space="preserve">2005), </w:t>
      </w:r>
      <w:r w:rsidR="005E1FBC" w:rsidRPr="000A7E19">
        <w:rPr>
          <w:lang w:val="fr-CA"/>
        </w:rPr>
        <w:t>qui jette les bases pour l’adoption d’autres normes concernant les frigorigènes inflammables.</w:t>
      </w:r>
      <w:r w:rsidR="0050011D" w:rsidRPr="00097406">
        <w:rPr>
          <w:lang w:val="fr-CA"/>
        </w:rPr>
        <w:t xml:space="preserve"> </w:t>
      </w:r>
    </w:p>
    <w:p w:rsidR="0050011D" w:rsidRPr="00097406" w:rsidRDefault="005E1FBC" w:rsidP="0050011D">
      <w:pPr>
        <w:pStyle w:val="Heading1"/>
        <w:rPr>
          <w:lang w:val="fr-CA"/>
        </w:rPr>
      </w:pPr>
      <w:r w:rsidRPr="005E1FBC">
        <w:rPr>
          <w:lang w:val="fr-CA"/>
        </w:rPr>
        <w:t xml:space="preserve">L’UNO prévoit collaborer de près avec le ministère concerné en vue de mettre en place un système réglementaire visant à mettre en </w:t>
      </w:r>
      <w:r w:rsidR="00596080">
        <w:rPr>
          <w:lang w:val="fr-CA"/>
        </w:rPr>
        <w:t>place</w:t>
      </w:r>
      <w:r w:rsidRPr="005E1FBC">
        <w:rPr>
          <w:lang w:val="fr-CA"/>
        </w:rPr>
        <w:t xml:space="preserve"> et</w:t>
      </w:r>
      <w:r w:rsidR="00097406">
        <w:rPr>
          <w:lang w:val="fr-CA"/>
        </w:rPr>
        <w:t xml:space="preserve"> ap</w:t>
      </w:r>
      <w:r w:rsidRPr="005E1FBC">
        <w:rPr>
          <w:lang w:val="fr-CA"/>
        </w:rPr>
        <w:t>pliqu</w:t>
      </w:r>
      <w:r w:rsidR="00097406">
        <w:rPr>
          <w:lang w:val="fr-CA"/>
        </w:rPr>
        <w:t>er</w:t>
      </w:r>
      <w:r w:rsidRPr="005E1FBC">
        <w:rPr>
          <w:lang w:val="fr-CA"/>
        </w:rPr>
        <w:t xml:space="preserve"> </w:t>
      </w:r>
      <w:r w:rsidR="00596080">
        <w:rPr>
          <w:lang w:val="fr-CA"/>
        </w:rPr>
        <w:t>un système de</w:t>
      </w:r>
      <w:r w:rsidRPr="005E1FBC">
        <w:rPr>
          <w:lang w:val="fr-CA"/>
        </w:rPr>
        <w:t xml:space="preserve"> certification des techniciens </w:t>
      </w:r>
      <w:r w:rsidR="00097406">
        <w:rPr>
          <w:lang w:val="fr-CA"/>
        </w:rPr>
        <w:t xml:space="preserve">en </w:t>
      </w:r>
      <w:r w:rsidRPr="005E1FBC">
        <w:rPr>
          <w:lang w:val="fr-CA"/>
        </w:rPr>
        <w:t xml:space="preserve">réfrigération et climatisation de manière à s’assurer que ceux-ci possèdent les compétences voulues </w:t>
      </w:r>
      <w:r>
        <w:rPr>
          <w:lang w:val="fr-CA"/>
        </w:rPr>
        <w:t xml:space="preserve">pour l’entretien de l’équipement à base de frigorigènes inflammables. </w:t>
      </w:r>
      <w:r w:rsidRPr="005E1FBC">
        <w:rPr>
          <w:lang w:val="fr-CA"/>
        </w:rPr>
        <w:t>Au cours de la quatrième tranche, l’UNO travaillera avec le ministère du Travail pour inclure</w:t>
      </w:r>
      <w:r w:rsidR="00097406">
        <w:rPr>
          <w:lang w:val="fr-CA"/>
        </w:rPr>
        <w:t xml:space="preserve"> </w:t>
      </w:r>
      <w:r w:rsidRPr="005E1FBC">
        <w:rPr>
          <w:lang w:val="fr-CA"/>
        </w:rPr>
        <w:t xml:space="preserve">la réfrigération et la climatisation </w:t>
      </w:r>
      <w:r>
        <w:rPr>
          <w:lang w:val="fr-CA"/>
        </w:rPr>
        <w:t>dans les secteurs qui nécessitent une certification.</w:t>
      </w:r>
      <w:r w:rsidR="0050011D" w:rsidRPr="00097406">
        <w:rPr>
          <w:lang w:val="fr-CA"/>
        </w:rPr>
        <w:t xml:space="preserve"> </w:t>
      </w:r>
    </w:p>
    <w:p w:rsidR="0050011D" w:rsidRPr="00EC3499" w:rsidRDefault="0050011D" w:rsidP="0050011D">
      <w:pPr>
        <w:keepNext/>
        <w:keepLines/>
        <w:spacing w:after="240"/>
        <w:rPr>
          <w:u w:val="single"/>
          <w:lang w:val="en-CA"/>
        </w:rPr>
      </w:pPr>
      <w:r w:rsidRPr="00EC3499">
        <w:rPr>
          <w:u w:val="single"/>
          <w:lang w:val="en-CA"/>
        </w:rPr>
        <w:t xml:space="preserve">Conclusion </w:t>
      </w:r>
    </w:p>
    <w:p w:rsidR="0050011D" w:rsidRPr="008C65BE" w:rsidRDefault="005E1FBC" w:rsidP="0050011D">
      <w:pPr>
        <w:pStyle w:val="Heading1"/>
        <w:rPr>
          <w:lang w:val="fr-CA"/>
        </w:rPr>
      </w:pPr>
      <w:r w:rsidRPr="005E1FBC">
        <w:rPr>
          <w:lang w:val="fr-CA"/>
        </w:rPr>
        <w:t xml:space="preserve">Le gouvernement de l’Eswatini confirme que le système d’octroi de licences et de quotas en place </w:t>
      </w:r>
      <w:r w:rsidR="009D56D8">
        <w:rPr>
          <w:lang w:val="fr-CA"/>
        </w:rPr>
        <w:t>empêche</w:t>
      </w:r>
      <w:r w:rsidRPr="005E1FBC">
        <w:rPr>
          <w:lang w:val="fr-CA"/>
        </w:rPr>
        <w:t xml:space="preserve"> les importations </w:t>
      </w:r>
      <w:r w:rsidR="00596080">
        <w:rPr>
          <w:lang w:val="fr-CA"/>
        </w:rPr>
        <w:t xml:space="preserve">de SAO et </w:t>
      </w:r>
      <w:r w:rsidRPr="005E1FBC">
        <w:rPr>
          <w:lang w:val="fr-CA"/>
        </w:rPr>
        <w:t xml:space="preserve">d’équipement à base de SAO qui ont déjà été éliminés </w:t>
      </w:r>
      <w:r>
        <w:rPr>
          <w:lang w:val="fr-CA"/>
        </w:rPr>
        <w:t xml:space="preserve">dans le cadre du Protocole de Montréal. </w:t>
      </w:r>
      <w:r w:rsidRPr="005E1FBC">
        <w:rPr>
          <w:lang w:val="fr-CA"/>
        </w:rPr>
        <w:t xml:space="preserve">Les activités régulières de surveillance et d’inspection des importateurs et des détaillants de gros équipements comprennent également </w:t>
      </w:r>
      <w:r>
        <w:rPr>
          <w:lang w:val="fr-CA"/>
        </w:rPr>
        <w:t>les SAO déjà éliminé</w:t>
      </w:r>
      <w:r w:rsidR="00491E49">
        <w:rPr>
          <w:lang w:val="fr-CA"/>
        </w:rPr>
        <w:t>e</w:t>
      </w:r>
      <w:r>
        <w:rPr>
          <w:lang w:val="fr-CA"/>
        </w:rPr>
        <w:t xml:space="preserve">s. </w:t>
      </w:r>
      <w:r w:rsidR="00097406">
        <w:rPr>
          <w:lang w:val="fr-CA"/>
        </w:rPr>
        <w:t>D</w:t>
      </w:r>
      <w:r w:rsidRPr="005E1FBC">
        <w:rPr>
          <w:lang w:val="fr-CA"/>
        </w:rPr>
        <w:t>es inspections périodiques des fabricants (</w:t>
      </w:r>
      <w:r w:rsidR="00097406">
        <w:rPr>
          <w:lang w:val="fr-CA"/>
        </w:rPr>
        <w:t>Palfridge</w:t>
      </w:r>
      <w:r w:rsidRPr="005E1FBC">
        <w:rPr>
          <w:lang w:val="fr-CA"/>
        </w:rPr>
        <w:t xml:space="preserve">) et des produits finis ont été </w:t>
      </w:r>
      <w:r w:rsidR="009D56D8">
        <w:rPr>
          <w:lang w:val="fr-CA"/>
        </w:rPr>
        <w:t>menées</w:t>
      </w:r>
      <w:r w:rsidRPr="005E1FBC">
        <w:rPr>
          <w:lang w:val="fr-CA"/>
        </w:rPr>
        <w:t xml:space="preserve"> en vue d’assurer la viabilité à long terme de l’élimination. </w:t>
      </w:r>
      <w:r w:rsidRPr="009D56D8">
        <w:rPr>
          <w:lang w:val="fr-CA"/>
        </w:rPr>
        <w:t>La consommation de HCFC de 0,47</w:t>
      </w:r>
      <w:r w:rsidR="00097406">
        <w:rPr>
          <w:lang w:val="fr-CA"/>
        </w:rPr>
        <w:t> </w:t>
      </w:r>
      <w:r w:rsidR="009D56D8">
        <w:rPr>
          <w:lang w:val="fr-CA"/>
        </w:rPr>
        <w:t>tonne</w:t>
      </w:r>
      <w:r w:rsidR="00097406">
        <w:rPr>
          <w:lang w:val="fr-CA"/>
        </w:rPr>
        <w:t> </w:t>
      </w:r>
      <w:r w:rsidRPr="009D56D8">
        <w:rPr>
          <w:lang w:val="fr-CA"/>
        </w:rPr>
        <w:t>PAO en</w:t>
      </w:r>
      <w:r w:rsidR="00097406">
        <w:rPr>
          <w:lang w:val="fr-CA"/>
        </w:rPr>
        <w:t> </w:t>
      </w:r>
      <w:r w:rsidRPr="009D56D8">
        <w:rPr>
          <w:lang w:val="fr-CA"/>
        </w:rPr>
        <w:t xml:space="preserve">2018 </w:t>
      </w:r>
      <w:r w:rsidR="009D56D8" w:rsidRPr="009D56D8">
        <w:rPr>
          <w:lang w:val="fr-CA"/>
        </w:rPr>
        <w:t>e</w:t>
      </w:r>
      <w:r w:rsidR="00097406">
        <w:rPr>
          <w:lang w:val="fr-CA"/>
        </w:rPr>
        <w:t>s</w:t>
      </w:r>
      <w:r w:rsidR="009D56D8" w:rsidRPr="009D56D8">
        <w:rPr>
          <w:lang w:val="fr-CA"/>
        </w:rPr>
        <w:t>t 73</w:t>
      </w:r>
      <w:r w:rsidR="00097406">
        <w:rPr>
          <w:lang w:val="fr-CA"/>
        </w:rPr>
        <w:t> </w:t>
      </w:r>
      <w:r w:rsidR="009D56D8" w:rsidRPr="009D56D8">
        <w:rPr>
          <w:lang w:val="fr-CA"/>
        </w:rPr>
        <w:t>pour</w:t>
      </w:r>
      <w:r w:rsidR="00CB2857">
        <w:rPr>
          <w:lang w:val="fr-CA"/>
        </w:rPr>
        <w:t> </w:t>
      </w:r>
      <w:r w:rsidR="009D56D8" w:rsidRPr="009D56D8">
        <w:rPr>
          <w:lang w:val="fr-CA"/>
        </w:rPr>
        <w:t xml:space="preserve">cent </w:t>
      </w:r>
      <w:r w:rsidR="009D56D8">
        <w:rPr>
          <w:lang w:val="fr-CA"/>
        </w:rPr>
        <w:t>inférieure</w:t>
      </w:r>
      <w:r w:rsidR="009D56D8" w:rsidRPr="009D56D8">
        <w:rPr>
          <w:lang w:val="fr-CA"/>
        </w:rPr>
        <w:t xml:space="preserve"> à l’objectif de</w:t>
      </w:r>
      <w:r w:rsidR="00097406">
        <w:rPr>
          <w:lang w:val="fr-CA"/>
        </w:rPr>
        <w:t xml:space="preserve"> 1</w:t>
      </w:r>
      <w:r w:rsidR="009D56D8" w:rsidRPr="009D56D8">
        <w:rPr>
          <w:lang w:val="fr-CA"/>
        </w:rPr>
        <w:t>,56</w:t>
      </w:r>
      <w:r w:rsidR="00097406">
        <w:rPr>
          <w:lang w:val="fr-CA"/>
        </w:rPr>
        <w:t> </w:t>
      </w:r>
      <w:r w:rsidR="009D56D8" w:rsidRPr="009D56D8">
        <w:rPr>
          <w:lang w:val="fr-CA"/>
        </w:rPr>
        <w:t>tonne</w:t>
      </w:r>
      <w:r w:rsidR="00097406">
        <w:rPr>
          <w:lang w:val="fr-CA"/>
        </w:rPr>
        <w:t> </w:t>
      </w:r>
      <w:r w:rsidR="009D56D8" w:rsidRPr="009D56D8">
        <w:rPr>
          <w:lang w:val="fr-CA"/>
        </w:rPr>
        <w:t>PAO pour cette année. Les agents des douanes ont été formés sur le contrôle des importations de SAO et l’utilisation en toute sécurité des frigorigènes inflammables. Le gouvernement a annoncé une interdiction frappant l’importation du HCFC-141</w:t>
      </w:r>
      <w:r w:rsidR="00097406">
        <w:rPr>
          <w:lang w:val="fr-CA"/>
        </w:rPr>
        <w:t>b</w:t>
      </w:r>
      <w:r w:rsidR="009D56D8" w:rsidRPr="009D56D8">
        <w:rPr>
          <w:lang w:val="fr-CA"/>
        </w:rPr>
        <w:t>, pur et contenu dans des polyols prémélangés importés, dans le but de soutenir l’élimination de cette substance. La formation des techniciens et la distribution d’outils a permis à ce</w:t>
      </w:r>
      <w:r w:rsidR="00097406">
        <w:rPr>
          <w:lang w:val="fr-CA"/>
        </w:rPr>
        <w:t>ux-</w:t>
      </w:r>
      <w:r w:rsidR="009D56D8" w:rsidRPr="009D56D8">
        <w:rPr>
          <w:lang w:val="fr-CA"/>
        </w:rPr>
        <w:t xml:space="preserve">ci de suivre les bonnes pratiques en matière d’entretien de l’équipement de réfrigération et de climatisation, </w:t>
      </w:r>
      <w:r w:rsidR="009D56D8">
        <w:rPr>
          <w:lang w:val="fr-CA"/>
        </w:rPr>
        <w:t xml:space="preserve">et le gouvernement s’efforce de mettre en place un système de certification des techniciens pour assurer la durabilité de la formation qui leur est destinée. </w:t>
      </w:r>
      <w:r w:rsidR="009D56D8" w:rsidRPr="009D56D8">
        <w:rPr>
          <w:lang w:val="fr-CA"/>
        </w:rPr>
        <w:t>Le décaissement des fonds au titre de la troisième tranche a atteint 80</w:t>
      </w:r>
      <w:r w:rsidR="00097406">
        <w:rPr>
          <w:lang w:val="fr-CA"/>
        </w:rPr>
        <w:t> </w:t>
      </w:r>
      <w:r w:rsidR="009D56D8" w:rsidRPr="009D56D8">
        <w:rPr>
          <w:lang w:val="fr-CA"/>
        </w:rPr>
        <w:t>pour cent du financement approuvé. On est en train de préparer le PGEH, qui sera soumis à la 84</w:t>
      </w:r>
      <w:r w:rsidR="009D56D8" w:rsidRPr="008C65BE">
        <w:rPr>
          <w:vertAlign w:val="superscript"/>
          <w:lang w:val="fr-CA"/>
        </w:rPr>
        <w:t>e</w:t>
      </w:r>
      <w:r w:rsidR="008C65BE">
        <w:rPr>
          <w:lang w:val="fr-CA"/>
        </w:rPr>
        <w:t> </w:t>
      </w:r>
      <w:r w:rsidR="009D56D8" w:rsidRPr="009D56D8">
        <w:rPr>
          <w:lang w:val="fr-CA"/>
        </w:rPr>
        <w:t>réunion.</w:t>
      </w:r>
    </w:p>
    <w:p w:rsidR="0050011D" w:rsidRPr="008A076D" w:rsidRDefault="0050011D" w:rsidP="0050011D">
      <w:pPr>
        <w:pStyle w:val="sub-title"/>
        <w:spacing w:after="240"/>
        <w:rPr>
          <w:noProof w:val="0"/>
          <w:lang w:val="en-GB"/>
        </w:rPr>
      </w:pPr>
      <w:r w:rsidRPr="008A076D">
        <w:rPr>
          <w:noProof w:val="0"/>
          <w:lang w:val="en-GB"/>
        </w:rPr>
        <w:t>RECOMM</w:t>
      </w:r>
      <w:r w:rsidR="008C65BE">
        <w:rPr>
          <w:noProof w:val="0"/>
          <w:lang w:val="en-GB"/>
        </w:rPr>
        <w:t>A</w:t>
      </w:r>
      <w:r w:rsidRPr="008A076D">
        <w:rPr>
          <w:noProof w:val="0"/>
          <w:lang w:val="en-GB"/>
        </w:rPr>
        <w:t>NDATION</w:t>
      </w:r>
    </w:p>
    <w:p w:rsidR="0050011D" w:rsidRPr="008C65BE" w:rsidRDefault="009D56D8" w:rsidP="0050011D">
      <w:pPr>
        <w:pStyle w:val="Heading1"/>
        <w:rPr>
          <w:lang w:val="fr-CA"/>
        </w:rPr>
      </w:pPr>
      <w:r w:rsidRPr="008C65BE">
        <w:rPr>
          <w:lang w:val="fr-CA"/>
        </w:rPr>
        <w:t>Le Secrétariat du Fonds recommande que le Comité exécutif :</w:t>
      </w:r>
      <w:r w:rsidR="0050011D" w:rsidRPr="008C65BE">
        <w:rPr>
          <w:lang w:val="fr-CA"/>
        </w:rPr>
        <w:t xml:space="preserve"> </w:t>
      </w:r>
    </w:p>
    <w:p w:rsidR="0050011D" w:rsidRPr="009D56D8" w:rsidRDefault="009D56D8" w:rsidP="0050011D">
      <w:pPr>
        <w:pStyle w:val="Heading2"/>
        <w:rPr>
          <w:lang w:val="fr-CA"/>
        </w:rPr>
      </w:pPr>
      <w:r w:rsidRPr="009D56D8">
        <w:rPr>
          <w:lang w:val="fr-CA"/>
        </w:rPr>
        <w:t>Prenne note du rapport périodique sur la mise en œuvre de la troisième tranche de la phase</w:t>
      </w:r>
      <w:r w:rsidR="008C65BE">
        <w:rPr>
          <w:lang w:val="fr-CA"/>
        </w:rPr>
        <w:t> </w:t>
      </w:r>
      <w:r w:rsidRPr="009D56D8">
        <w:rPr>
          <w:lang w:val="fr-CA"/>
        </w:rPr>
        <w:t>I du plan de gestion de l’élimination des H</w:t>
      </w:r>
      <w:r w:rsidR="008C65BE">
        <w:rPr>
          <w:lang w:val="fr-CA"/>
        </w:rPr>
        <w:t>C</w:t>
      </w:r>
      <w:r w:rsidRPr="009D56D8">
        <w:rPr>
          <w:lang w:val="fr-CA"/>
        </w:rPr>
        <w:t xml:space="preserve">FC </w:t>
      </w:r>
      <w:r>
        <w:rPr>
          <w:lang w:val="fr-CA"/>
        </w:rPr>
        <w:t>(PGEH) pour l’Eswatini;</w:t>
      </w:r>
      <w:r w:rsidR="0050011D" w:rsidRPr="009D56D8">
        <w:rPr>
          <w:lang w:val="fr-CA"/>
        </w:rPr>
        <w:t xml:space="preserve"> </w:t>
      </w:r>
    </w:p>
    <w:p w:rsidR="0050011D" w:rsidRPr="009D56D8" w:rsidRDefault="009D56D8" w:rsidP="00CB2857">
      <w:pPr>
        <w:pStyle w:val="Heading2"/>
        <w:keepNext/>
        <w:widowControl/>
        <w:rPr>
          <w:lang w:val="fr-CA"/>
        </w:rPr>
      </w:pPr>
      <w:r w:rsidRPr="009D56D8">
        <w:rPr>
          <w:lang w:val="fr-CA"/>
        </w:rPr>
        <w:t xml:space="preserve">Demande au gouvernement de l’Eswatini, au PNUE et au PNUD de présenter </w:t>
      </w:r>
      <w:r w:rsidR="008C65BE">
        <w:rPr>
          <w:lang w:val="fr-CA"/>
        </w:rPr>
        <w:t>à la première réunion de </w:t>
      </w:r>
      <w:r w:rsidRPr="009D56D8">
        <w:rPr>
          <w:lang w:val="fr-CA"/>
        </w:rPr>
        <w:t xml:space="preserve">2021 un </w:t>
      </w:r>
      <w:r>
        <w:rPr>
          <w:lang w:val="fr-CA"/>
        </w:rPr>
        <w:t>rapport</w:t>
      </w:r>
      <w:r w:rsidRPr="009D56D8">
        <w:rPr>
          <w:lang w:val="fr-CA"/>
        </w:rPr>
        <w:t xml:space="preserve"> </w:t>
      </w:r>
      <w:r>
        <w:rPr>
          <w:lang w:val="fr-CA"/>
        </w:rPr>
        <w:t>périodique</w:t>
      </w:r>
      <w:r w:rsidRPr="009D56D8">
        <w:rPr>
          <w:lang w:val="fr-CA"/>
        </w:rPr>
        <w:t xml:space="preserve"> sur la mise en œuvre du programme de </w:t>
      </w:r>
      <w:r w:rsidRPr="009D56D8">
        <w:rPr>
          <w:lang w:val="fr-CA"/>
        </w:rPr>
        <w:lastRenderedPageBreak/>
        <w:t xml:space="preserve">travail associé </w:t>
      </w:r>
      <w:r>
        <w:rPr>
          <w:lang w:val="fr-CA"/>
        </w:rPr>
        <w:t>à la dernière tranche, ainsi que le rapport d’achèvement du projet lors de la deuxième réunion du Comité exécutif en 202</w:t>
      </w:r>
      <w:r w:rsidR="008C65BE">
        <w:rPr>
          <w:lang w:val="fr-CA"/>
        </w:rPr>
        <w:t>2</w:t>
      </w:r>
      <w:r w:rsidR="0050011D" w:rsidRPr="009D56D8">
        <w:rPr>
          <w:lang w:val="fr-CA"/>
        </w:rPr>
        <w:t>.</w:t>
      </w:r>
    </w:p>
    <w:p w:rsidR="0050011D" w:rsidRPr="00A142BC" w:rsidRDefault="009D56D8" w:rsidP="0050011D">
      <w:pPr>
        <w:pStyle w:val="Heading1"/>
        <w:spacing w:after="120"/>
        <w:rPr>
          <w:lang w:val="fr-CA"/>
        </w:rPr>
      </w:pPr>
      <w:r w:rsidRPr="009D56D8">
        <w:rPr>
          <w:lang w:val="fr-CA"/>
        </w:rPr>
        <w:t xml:space="preserve">Le Secrétariat du Fonds recommande </w:t>
      </w:r>
      <w:r w:rsidR="008C65BE">
        <w:rPr>
          <w:lang w:val="fr-CA"/>
        </w:rPr>
        <w:t xml:space="preserve">par </w:t>
      </w:r>
      <w:r w:rsidRPr="009D56D8">
        <w:rPr>
          <w:lang w:val="fr-CA"/>
        </w:rPr>
        <w:t>ailleurs l’approbation globale de la quatrième et dernière tranche de la phase</w:t>
      </w:r>
      <w:r w:rsidR="008C65BE">
        <w:rPr>
          <w:lang w:val="fr-CA"/>
        </w:rPr>
        <w:t> </w:t>
      </w:r>
      <w:r w:rsidRPr="009D56D8">
        <w:rPr>
          <w:lang w:val="fr-CA"/>
        </w:rPr>
        <w:t xml:space="preserve">I du PGEH pour l’Eswatini, avec le plan de mise en œuvre de la tranche correspondant </w:t>
      </w:r>
      <w:r>
        <w:rPr>
          <w:lang w:val="fr-CA"/>
        </w:rPr>
        <w:t>pour</w:t>
      </w:r>
      <w:r w:rsidR="008C65BE">
        <w:rPr>
          <w:lang w:val="fr-CA"/>
        </w:rPr>
        <w:t> </w:t>
      </w:r>
      <w:r>
        <w:rPr>
          <w:lang w:val="fr-CA"/>
        </w:rPr>
        <w:t xml:space="preserve">2019-2020, au coût d’appui et au niveau de financement figurant au tableau ci-après. </w:t>
      </w:r>
    </w:p>
    <w:p w:rsidR="0050011D" w:rsidRPr="00A142BC" w:rsidRDefault="0050011D" w:rsidP="0050011D">
      <w:pPr>
        <w:rPr>
          <w:lang w:val="fr-CA"/>
        </w:rPr>
      </w:pP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3765"/>
        <w:gridCol w:w="1517"/>
        <w:gridCol w:w="1518"/>
        <w:gridCol w:w="1518"/>
      </w:tblGrid>
      <w:tr w:rsidR="0050011D" w:rsidRPr="00C01B50" w:rsidTr="00757E67">
        <w:trPr>
          <w:trHeight w:val="406"/>
        </w:trPr>
        <w:tc>
          <w:tcPr>
            <w:tcW w:w="787" w:type="dxa"/>
          </w:tcPr>
          <w:p w:rsidR="0050011D" w:rsidRPr="00A142BC" w:rsidRDefault="0050011D" w:rsidP="00757E67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765" w:type="dxa"/>
          </w:tcPr>
          <w:p w:rsidR="0050011D" w:rsidRPr="00C01B50" w:rsidRDefault="00A06302" w:rsidP="00757E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Titre du projet</w:t>
            </w:r>
          </w:p>
        </w:tc>
        <w:tc>
          <w:tcPr>
            <w:tcW w:w="1517" w:type="dxa"/>
          </w:tcPr>
          <w:p w:rsidR="0050011D" w:rsidRPr="00C01B50" w:rsidRDefault="00A06302" w:rsidP="00757E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Financement du projet ($US)</w:t>
            </w:r>
          </w:p>
        </w:tc>
        <w:tc>
          <w:tcPr>
            <w:tcW w:w="1518" w:type="dxa"/>
          </w:tcPr>
          <w:p w:rsidR="0050011D" w:rsidRPr="00C01B50" w:rsidRDefault="00A06302" w:rsidP="00757E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Coût d’appui ($US)</w:t>
            </w:r>
          </w:p>
        </w:tc>
        <w:tc>
          <w:tcPr>
            <w:tcW w:w="1518" w:type="dxa"/>
          </w:tcPr>
          <w:p w:rsidR="0050011D" w:rsidRPr="00C01B50" w:rsidRDefault="00A06302" w:rsidP="00757E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Agence d’exécution</w:t>
            </w:r>
          </w:p>
        </w:tc>
      </w:tr>
      <w:tr w:rsidR="0050011D" w:rsidRPr="00211E7D" w:rsidTr="00757E67">
        <w:trPr>
          <w:trHeight w:val="395"/>
        </w:trPr>
        <w:tc>
          <w:tcPr>
            <w:tcW w:w="787" w:type="dxa"/>
          </w:tcPr>
          <w:p w:rsidR="0050011D" w:rsidRPr="00C01B50" w:rsidRDefault="0050011D" w:rsidP="00757E67">
            <w:pPr>
              <w:keepNext/>
              <w:keepLines/>
              <w:rPr>
                <w:sz w:val="20"/>
                <w:szCs w:val="20"/>
              </w:rPr>
            </w:pPr>
            <w:r w:rsidRPr="00C01B50">
              <w:rPr>
                <w:sz w:val="20"/>
                <w:szCs w:val="20"/>
              </w:rPr>
              <w:t>a)</w:t>
            </w:r>
          </w:p>
        </w:tc>
        <w:tc>
          <w:tcPr>
            <w:tcW w:w="3765" w:type="dxa"/>
          </w:tcPr>
          <w:p w:rsidR="0050011D" w:rsidRPr="009D56D8" w:rsidRDefault="009D56D8" w:rsidP="00757E67">
            <w:pPr>
              <w:widowControl w:val="0"/>
              <w:rPr>
                <w:sz w:val="20"/>
                <w:szCs w:val="20"/>
                <w:lang w:val="fr-CA"/>
              </w:rPr>
            </w:pPr>
            <w:r w:rsidRPr="009D56D8">
              <w:rPr>
                <w:sz w:val="20"/>
                <w:szCs w:val="20"/>
                <w:lang w:val="fr-CA"/>
              </w:rPr>
              <w:t xml:space="preserve">Plan de gestion de l’élimination des HCFC (phase I, deuxième tranche) </w:t>
            </w:r>
          </w:p>
        </w:tc>
        <w:tc>
          <w:tcPr>
            <w:tcW w:w="1517" w:type="dxa"/>
          </w:tcPr>
          <w:p w:rsidR="0050011D" w:rsidRPr="00C01B50" w:rsidRDefault="006E2F2D" w:rsidP="00757E6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</w:t>
            </w:r>
          </w:p>
        </w:tc>
        <w:tc>
          <w:tcPr>
            <w:tcW w:w="1518" w:type="dxa"/>
          </w:tcPr>
          <w:p w:rsidR="0050011D" w:rsidRPr="00C01B50" w:rsidRDefault="006E2F2D" w:rsidP="00757E6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</w:t>
            </w:r>
          </w:p>
        </w:tc>
        <w:tc>
          <w:tcPr>
            <w:tcW w:w="1518" w:type="dxa"/>
          </w:tcPr>
          <w:p w:rsidR="0050011D" w:rsidRPr="00C01B50" w:rsidRDefault="00A06302" w:rsidP="00757E6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PNUE</w:t>
            </w:r>
          </w:p>
        </w:tc>
      </w:tr>
    </w:tbl>
    <w:p w:rsidR="0050011D" w:rsidRDefault="0050011D" w:rsidP="0050011D">
      <w:pPr>
        <w:jc w:val="center"/>
      </w:pPr>
    </w:p>
    <w:p w:rsidR="0050011D" w:rsidRDefault="0050011D" w:rsidP="0050011D">
      <w:pPr>
        <w:jc w:val="center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1914"/>
        <w:gridCol w:w="1914"/>
        <w:gridCol w:w="1914"/>
        <w:gridCol w:w="1915"/>
      </w:tblGrid>
      <w:tr w:rsidR="0050011D" w:rsidRPr="00FE3307" w:rsidTr="00757E67">
        <w:trPr>
          <w:trHeight w:val="274"/>
        </w:trPr>
        <w:tc>
          <w:tcPr>
            <w:tcW w:w="1893" w:type="dxa"/>
          </w:tcPr>
          <w:p w:rsidR="0050011D" w:rsidRPr="00FE3307" w:rsidRDefault="0050011D" w:rsidP="00757E67">
            <w:pPr>
              <w:rPr>
                <w:lang w:val="en-CA"/>
              </w:rPr>
            </w:pPr>
          </w:p>
        </w:tc>
        <w:tc>
          <w:tcPr>
            <w:tcW w:w="2002" w:type="dxa"/>
          </w:tcPr>
          <w:p w:rsidR="0050011D" w:rsidRPr="00FE3307" w:rsidRDefault="0050011D" w:rsidP="00757E67">
            <w:pPr>
              <w:rPr>
                <w:lang w:val="en-C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50011D" w:rsidRPr="00FE3307" w:rsidRDefault="0050011D" w:rsidP="00757E67">
            <w:pPr>
              <w:rPr>
                <w:lang w:val="en-CA"/>
              </w:rPr>
            </w:pPr>
          </w:p>
        </w:tc>
        <w:tc>
          <w:tcPr>
            <w:tcW w:w="2002" w:type="dxa"/>
          </w:tcPr>
          <w:p w:rsidR="0050011D" w:rsidRPr="00FE3307" w:rsidRDefault="0050011D" w:rsidP="00757E67">
            <w:pPr>
              <w:rPr>
                <w:lang w:val="en-CA"/>
              </w:rPr>
            </w:pPr>
          </w:p>
        </w:tc>
        <w:tc>
          <w:tcPr>
            <w:tcW w:w="2003" w:type="dxa"/>
          </w:tcPr>
          <w:p w:rsidR="0050011D" w:rsidRPr="00FE3307" w:rsidRDefault="0050011D" w:rsidP="00757E67">
            <w:pPr>
              <w:rPr>
                <w:lang w:val="en-CA"/>
              </w:rPr>
            </w:pPr>
          </w:p>
        </w:tc>
      </w:tr>
    </w:tbl>
    <w:p w:rsidR="0050011D" w:rsidRDefault="0050011D" w:rsidP="0050011D">
      <w:pPr>
        <w:jc w:val="center"/>
      </w:pPr>
    </w:p>
    <w:p w:rsidR="00436527" w:rsidRDefault="00436527">
      <w:pPr>
        <w:pStyle w:val="StyleHeader4Para4Left0Firstline0"/>
        <w:numPr>
          <w:ilvl w:val="0"/>
          <w:numId w:val="0"/>
        </w:numPr>
        <w:rPr>
          <w:lang w:val="fr-FR"/>
        </w:rPr>
      </w:pPr>
    </w:p>
    <w:p w:rsidR="00441083" w:rsidRDefault="00441083">
      <w:pPr>
        <w:rPr>
          <w:lang w:val="fr-FR"/>
        </w:rPr>
      </w:pPr>
    </w:p>
    <w:sectPr w:rsidR="004410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44" w:rsidRDefault="00353044">
      <w:r>
        <w:separator/>
      </w:r>
    </w:p>
  </w:endnote>
  <w:endnote w:type="continuationSeparator" w:id="0">
    <w:p w:rsidR="00353044" w:rsidRDefault="0035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573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2CB" w:rsidRDefault="00AD12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9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D12CB" w:rsidRDefault="00AD1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230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2CB" w:rsidRDefault="00AD12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9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12CB" w:rsidRDefault="00AD1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08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E67" w:rsidRDefault="00757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9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E67" w:rsidRDefault="00757E67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44" w:rsidRDefault="00353044">
      <w:r>
        <w:separator/>
      </w:r>
    </w:p>
  </w:footnote>
  <w:footnote w:type="continuationSeparator" w:id="0">
    <w:p w:rsidR="00353044" w:rsidRDefault="00353044">
      <w:r>
        <w:continuationSeparator/>
      </w:r>
    </w:p>
  </w:footnote>
  <w:footnote w:id="1">
    <w:p w:rsidR="00757E67" w:rsidRPr="00A142BC" w:rsidRDefault="00757E67" w:rsidP="0050011D">
      <w:pPr>
        <w:pStyle w:val="FootnoteText"/>
        <w:rPr>
          <w:lang w:val="fr-CA"/>
        </w:rPr>
      </w:pPr>
      <w:r w:rsidRPr="00FE3307">
        <w:rPr>
          <w:rStyle w:val="FootnoteReference"/>
        </w:rPr>
        <w:footnoteRef/>
      </w:r>
      <w:r w:rsidRPr="00F23C32">
        <w:rPr>
          <w:lang w:val="fr-CA"/>
        </w:rPr>
        <w:t xml:space="preserve"> </w:t>
      </w:r>
      <w:r w:rsidR="00F23C32" w:rsidRPr="00A34D5C">
        <w:rPr>
          <w:lang w:val="fr-CA"/>
        </w:rPr>
        <w:t>Conformément à la lettre adressée le 18</w:t>
      </w:r>
      <w:r w:rsidR="00F23C32">
        <w:rPr>
          <w:lang w:val="fr-CA"/>
        </w:rPr>
        <w:t> </w:t>
      </w:r>
      <w:r w:rsidR="00F23C32" w:rsidRPr="00A34D5C">
        <w:rPr>
          <w:lang w:val="fr-CA"/>
        </w:rPr>
        <w:t>mars</w:t>
      </w:r>
      <w:r w:rsidR="00F23C32">
        <w:rPr>
          <w:lang w:val="fr-CA"/>
        </w:rPr>
        <w:t> </w:t>
      </w:r>
      <w:r w:rsidR="00F23C32" w:rsidRPr="00A34D5C">
        <w:rPr>
          <w:lang w:val="fr-CA"/>
        </w:rPr>
        <w:t xml:space="preserve">2019 par </w:t>
      </w:r>
      <w:r w:rsidR="00F23C32">
        <w:rPr>
          <w:lang w:val="fr-CA"/>
        </w:rPr>
        <w:t>l’</w:t>
      </w:r>
      <w:r w:rsidR="00F23C32" w:rsidRPr="00F23C32">
        <w:rPr>
          <w:lang w:val="fr-CA"/>
        </w:rPr>
        <w:t>Eswatini Environment Authority</w:t>
      </w:r>
      <w:r w:rsidR="00F23C32">
        <w:rPr>
          <w:lang w:val="fr-CA"/>
        </w:rPr>
        <w:t xml:space="preserve"> au Secrétariat.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CB" w:rsidRDefault="00AD12CB" w:rsidP="00AD12CB">
    <w:r>
      <w:fldChar w:fldCharType="begin"/>
    </w:r>
    <w:r w:rsidRPr="00143510">
      <w:rPr>
        <w:lang w:val="fr-FR"/>
      </w:rPr>
      <w:instrText xml:space="preserve"> DOCPROPERTY "Document number"  \* MERGEFORMAT </w:instrText>
    </w:r>
    <w:r>
      <w:fldChar w:fldCharType="separate"/>
    </w:r>
    <w:r>
      <w:rPr>
        <w:lang w:val="fr-FR"/>
      </w:rPr>
      <w:t>UNEP/OzL.Pro/ExCom/83/26</w:t>
    </w:r>
    <w:r>
      <w:fldChar w:fldCharType="end"/>
    </w:r>
  </w:p>
  <w:p w:rsidR="00AD12CB" w:rsidRPr="00143510" w:rsidRDefault="00AD12CB" w:rsidP="00AD12CB">
    <w:pPr>
      <w:rPr>
        <w:lang w:val="fr-FR"/>
      </w:rPr>
    </w:pPr>
  </w:p>
  <w:p w:rsidR="00AD12CB" w:rsidRDefault="00AD1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CB" w:rsidRPr="00143510" w:rsidRDefault="00AD12CB" w:rsidP="00AD12CB">
    <w:pPr>
      <w:jc w:val="right"/>
      <w:rPr>
        <w:lang w:val="fr-FR"/>
      </w:rPr>
    </w:pPr>
    <w:r>
      <w:fldChar w:fldCharType="begin"/>
    </w:r>
    <w:r w:rsidRPr="00143510">
      <w:rPr>
        <w:lang w:val="fr-FR"/>
      </w:rPr>
      <w:instrText xml:space="preserve"> DOCPROPERTY "Document number"  \* MERGEFORMAT </w:instrText>
    </w:r>
    <w:r>
      <w:fldChar w:fldCharType="separate"/>
    </w:r>
    <w:r>
      <w:rPr>
        <w:lang w:val="fr-FR"/>
      </w:rPr>
      <w:t>UNEP/OzL.Pro/ExCom/83/26</w:t>
    </w:r>
    <w:r>
      <w:fldChar w:fldCharType="end"/>
    </w:r>
  </w:p>
  <w:p w:rsidR="00AD12CB" w:rsidRDefault="00AD12CB">
    <w:pPr>
      <w:pStyle w:val="Header"/>
    </w:pPr>
  </w:p>
  <w:p w:rsidR="00AD12CB" w:rsidRDefault="00AD1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67" w:rsidRDefault="00757E67">
    <w:pPr>
      <w:jc w:val="right"/>
    </w:pPr>
  </w:p>
  <w:p w:rsidR="00757E67" w:rsidRDefault="00757E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83E0C6C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pStyle w:val="Heading2"/>
      <w:lvlText w:val="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5E00F85"/>
    <w:multiLevelType w:val="hybridMultilevel"/>
    <w:tmpl w:val="0262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37CD"/>
    <w:multiLevelType w:val="hybridMultilevel"/>
    <w:tmpl w:val="EA741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5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FD4054B"/>
    <w:multiLevelType w:val="hybridMultilevel"/>
    <w:tmpl w:val="6A888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  <w:num w:numId="20">
    <w:abstractNumId w:val="14"/>
  </w:num>
  <w:num w:numId="21">
    <w:abstractNumId w:val="11"/>
  </w:num>
  <w:num w:numId="22">
    <w:abstractNumId w:val="12"/>
  </w:num>
  <w:num w:numId="2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11816B2-76BB-4DC4-BEB2-1BA4594C05F8}"/>
    <w:docVar w:name="dgnword-eventsink" w:val="451161336"/>
  </w:docVars>
  <w:rsids>
    <w:rsidRoot w:val="00220DA4"/>
    <w:rsid w:val="000575DA"/>
    <w:rsid w:val="00085BCB"/>
    <w:rsid w:val="00097406"/>
    <w:rsid w:val="000A7E19"/>
    <w:rsid w:val="00143510"/>
    <w:rsid w:val="001478B7"/>
    <w:rsid w:val="00185D3D"/>
    <w:rsid w:val="001C3D0C"/>
    <w:rsid w:val="001D4CE7"/>
    <w:rsid w:val="00220DA4"/>
    <w:rsid w:val="002317C1"/>
    <w:rsid w:val="00265AF0"/>
    <w:rsid w:val="00297158"/>
    <w:rsid w:val="002A576D"/>
    <w:rsid w:val="002F0B57"/>
    <w:rsid w:val="00353044"/>
    <w:rsid w:val="00436527"/>
    <w:rsid w:val="00441083"/>
    <w:rsid w:val="00460F4B"/>
    <w:rsid w:val="00491E49"/>
    <w:rsid w:val="004C2C87"/>
    <w:rsid w:val="004E3A36"/>
    <w:rsid w:val="0050011D"/>
    <w:rsid w:val="00596080"/>
    <w:rsid w:val="005E1FBC"/>
    <w:rsid w:val="00605093"/>
    <w:rsid w:val="0068523D"/>
    <w:rsid w:val="006D3631"/>
    <w:rsid w:val="006E2F2D"/>
    <w:rsid w:val="007034FA"/>
    <w:rsid w:val="0075750B"/>
    <w:rsid w:val="00757E67"/>
    <w:rsid w:val="0077212D"/>
    <w:rsid w:val="007816F5"/>
    <w:rsid w:val="00783F71"/>
    <w:rsid w:val="0079519C"/>
    <w:rsid w:val="008629D7"/>
    <w:rsid w:val="0089176C"/>
    <w:rsid w:val="008C65BE"/>
    <w:rsid w:val="0091161A"/>
    <w:rsid w:val="00972848"/>
    <w:rsid w:val="00972ED2"/>
    <w:rsid w:val="009A5180"/>
    <w:rsid w:val="009B24AC"/>
    <w:rsid w:val="009D56D8"/>
    <w:rsid w:val="00A06302"/>
    <w:rsid w:val="00A142BC"/>
    <w:rsid w:val="00A34D5C"/>
    <w:rsid w:val="00A729B5"/>
    <w:rsid w:val="00AA61C1"/>
    <w:rsid w:val="00AD12CB"/>
    <w:rsid w:val="00AD4C6A"/>
    <w:rsid w:val="00AE63D8"/>
    <w:rsid w:val="00AF04DC"/>
    <w:rsid w:val="00B811F2"/>
    <w:rsid w:val="00BC3C7D"/>
    <w:rsid w:val="00C1606A"/>
    <w:rsid w:val="00C6443E"/>
    <w:rsid w:val="00CB2857"/>
    <w:rsid w:val="00D02DCC"/>
    <w:rsid w:val="00E54871"/>
    <w:rsid w:val="00E60D9C"/>
    <w:rsid w:val="00F23C32"/>
    <w:rsid w:val="00F371D0"/>
    <w:rsid w:val="00F37A42"/>
    <w:rsid w:val="00F4125C"/>
    <w:rsid w:val="00F557F5"/>
    <w:rsid w:val="00FC5578"/>
    <w:rsid w:val="00F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67990"/>
  <w15:docId w15:val="{48B92FFC-C6A1-4797-B3B0-EC58C68D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Título 11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qFormat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,Heading 3 Char1 Char,Heading 3 Char Char Char,Char Char Char Char,Char Char1 Char,Heading 3 Char2,Char Char2,Char Char Char1,Heading 3 Char Char1 Char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0011D"/>
    <w:pPr>
      <w:ind w:left="720"/>
      <w:contextualSpacing/>
    </w:pPr>
    <w:rPr>
      <w:rFonts w:eastAsia="SimSu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011D"/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11D"/>
    <w:rPr>
      <w:rFonts w:eastAsia="SimSu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00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pclient\Downloads\F83-Template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4441DB9763A4B9F4793D394AD28DA" ma:contentTypeVersion="2" ma:contentTypeDescription="Create a new document." ma:contentTypeScope="" ma:versionID="171df64618d6dd1096111a941a4c869d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1af4cf771546dc1ce13f690658318891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6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UNEP/OzL.Pro/ExCom/83/26</Document_x0020_Number>
  </documentManagement>
</p:properties>
</file>

<file path=customXml/itemProps1.xml><?xml version="1.0" encoding="utf-8"?>
<ds:datastoreItem xmlns:ds="http://schemas.openxmlformats.org/officeDocument/2006/customXml" ds:itemID="{A771F562-A607-46CC-A4D7-55084A504986}"/>
</file>

<file path=customXml/itemProps2.xml><?xml version="1.0" encoding="utf-8"?>
<ds:datastoreItem xmlns:ds="http://schemas.openxmlformats.org/officeDocument/2006/customXml" ds:itemID="{78713355-E5B3-4151-94C2-9CF93133C627}"/>
</file>

<file path=customXml/itemProps3.xml><?xml version="1.0" encoding="utf-8"?>
<ds:datastoreItem xmlns:ds="http://schemas.openxmlformats.org/officeDocument/2006/customXml" ds:itemID="{600C2CCC-C000-45BA-ADC5-D10FED1B330B}"/>
</file>

<file path=customXml/itemProps4.xml><?xml version="1.0" encoding="utf-8"?>
<ds:datastoreItem xmlns:ds="http://schemas.openxmlformats.org/officeDocument/2006/customXml" ds:itemID="{421F9DD0-6743-4336-9135-2F64016477E1}"/>
</file>

<file path=docProps/app.xml><?xml version="1.0" encoding="utf-8"?>
<Properties xmlns="http://schemas.openxmlformats.org/officeDocument/2006/extended-properties" xmlns:vt="http://schemas.openxmlformats.org/officeDocument/2006/docPropsVTypes">
  <Template>F83-Template (2)</Template>
  <TotalTime>39</TotalTime>
  <Pages>7</Pages>
  <Words>2259</Words>
  <Characters>12878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Proposition de projet: Eswatini (L')</vt:lpstr>
      <vt:lpstr/>
    </vt:vector>
  </TitlesOfParts>
  <Company>UNMFS</Company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projet: Eswatini (L')</dc:title>
  <dc:creator>vipclient</dc:creator>
  <cp:lastModifiedBy>HBE</cp:lastModifiedBy>
  <cp:revision>15</cp:revision>
  <cp:lastPrinted>2001-05-26T16:40:00Z</cp:lastPrinted>
  <dcterms:created xsi:type="dcterms:W3CDTF">2019-05-03T18:54:00Z</dcterms:created>
  <dcterms:modified xsi:type="dcterms:W3CDTF">2019-05-20T15:53:00Z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UNEP/OzL.Pro/ExCom/83/26</vt:lpwstr>
  </property>
  <property fmtid="{D5CDD505-2E9C-101B-9397-08002B2CF9AE}" pid="3" name="Revision date">
    <vt:lpwstr>5/15/2019</vt:lpwstr>
  </property>
  <property fmtid="{D5CDD505-2E9C-101B-9397-08002B2CF9AE}" pid="4" name="ContentTypeId">
    <vt:lpwstr>0x01010021E4441DB9763A4B9F4793D394AD28DA</vt:lpwstr>
  </property>
</Properties>
</file>