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trPr>
          <w:trHeight w:val="720"/>
        </w:trPr>
        <w:tc>
          <w:tcPr>
            <w:tcW w:w="7061" w:type="dxa"/>
            <w:gridSpan w:val="2"/>
            <w:tcBorders>
              <w:bottom w:val="single" w:sz="18" w:space="0" w:color="auto"/>
            </w:tcBorders>
          </w:tcPr>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rsidR="00441083" w:rsidRDefault="00E60D9C">
            <w:pPr>
              <w:tabs>
                <w:tab w:val="left" w:pos="3010"/>
              </w:tabs>
              <w:jc w:val="center"/>
              <w:rPr>
                <w:sz w:val="52"/>
                <w:szCs w:val="52"/>
              </w:rPr>
            </w:pPr>
            <w:r>
              <w:rPr>
                <w:rFonts w:ascii="Univers Bold" w:hAnsi="Univers Bold"/>
                <w:b/>
                <w:sz w:val="72"/>
                <w:lang w:val="fr-CA"/>
              </w:rPr>
              <w:t xml:space="preserve">          EP</w:t>
            </w:r>
          </w:p>
        </w:tc>
      </w:tr>
      <w:tr w:rsidR="0044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Default="00C6443E">
            <w:pPr>
              <w:spacing w:before="120"/>
            </w:pPr>
            <w:r>
              <w:rPr>
                <w:noProof/>
                <w:lang w:val="en-CA" w:eastAsia="en-CA"/>
              </w:rPr>
              <w:drawing>
                <wp:anchor distT="0" distB="0" distL="114300" distR="114300" simplePos="0" relativeHeight="251660288" behindDoc="0" locked="0" layoutInCell="1" allowOverlap="1" wp14:anchorId="75D1E401" wp14:editId="1024F88C">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61312" behindDoc="1" locked="0" layoutInCell="0" allowOverlap="1" wp14:anchorId="244C4231" wp14:editId="1C9406B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rsidR="00441083" w:rsidRDefault="00E60D9C">
            <w:pPr>
              <w:rPr>
                <w:rFonts w:ascii="Univers" w:hAnsi="Univers"/>
                <w:b/>
                <w:sz w:val="32"/>
                <w:lang w:val="fr-CA"/>
              </w:rPr>
            </w:pPr>
            <w:r>
              <w:rPr>
                <w:rFonts w:ascii="Univers" w:hAnsi="Univers"/>
                <w:b/>
                <w:sz w:val="32"/>
                <w:lang w:val="fr-CA"/>
              </w:rPr>
              <w:t>Nations Unies pour</w:t>
            </w:r>
          </w:p>
          <w:p w:rsidR="00441083" w:rsidRDefault="00E60D9C">
            <w:pPr>
              <w:rPr>
                <w:rFonts w:ascii="Univers" w:hAnsi="Univers"/>
                <w:b/>
                <w:sz w:val="32"/>
                <w:lang w:val="fr-CA"/>
              </w:rPr>
            </w:pPr>
            <w:proofErr w:type="gramStart"/>
            <w:r>
              <w:rPr>
                <w:rFonts w:ascii="Univers" w:hAnsi="Univers"/>
                <w:b/>
                <w:sz w:val="32"/>
                <w:lang w:val="fr-CA"/>
              </w:rPr>
              <w:t>l’environnement</w:t>
            </w:r>
            <w:proofErr w:type="gramEnd"/>
          </w:p>
          <w:p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rsidR="00441083" w:rsidRDefault="00441083">
            <w:pPr>
              <w:rPr>
                <w:lang w:val="fr-FR"/>
              </w:rPr>
            </w:pPr>
          </w:p>
          <w:p w:rsidR="00441083" w:rsidRPr="00E63FCA" w:rsidRDefault="00E60D9C">
            <w:pPr>
              <w:rPr>
                <w:lang w:val="fr-FR"/>
              </w:rPr>
            </w:pPr>
            <w:proofErr w:type="spellStart"/>
            <w:r w:rsidRPr="00E63FCA">
              <w:rPr>
                <w:lang w:val="fr-FR"/>
              </w:rPr>
              <w:t>Distr</w:t>
            </w:r>
            <w:proofErr w:type="spellEnd"/>
            <w:r w:rsidRPr="00E63FCA">
              <w:rPr>
                <w:lang w:val="fr-FR"/>
              </w:rPr>
              <w:t>.</w:t>
            </w:r>
          </w:p>
          <w:p w:rsidR="00441083" w:rsidRPr="00B21C9A" w:rsidRDefault="00B21C9A">
            <w:pPr>
              <w:rPr>
                <w:lang w:val="fr-CA"/>
              </w:rPr>
            </w:pPr>
            <w:r w:rsidRPr="00B21C9A">
              <w:rPr>
                <w:lang w:val="fr-CA"/>
              </w:rPr>
              <w:t>GÉNÉRALE</w:t>
            </w:r>
          </w:p>
          <w:p w:rsidR="00441083" w:rsidRPr="00B21C9A" w:rsidRDefault="00441083">
            <w:pPr>
              <w:rPr>
                <w:lang w:val="fr-CA"/>
              </w:rPr>
            </w:pPr>
          </w:p>
          <w:p w:rsidR="00441083" w:rsidRPr="00E63FCA" w:rsidRDefault="00E60D9C">
            <w:pPr>
              <w:rPr>
                <w:lang w:val="fr-FR"/>
              </w:rPr>
            </w:pPr>
            <w:r>
              <w:fldChar w:fldCharType="begin"/>
            </w:r>
            <w:r w:rsidRPr="00E63FCA">
              <w:rPr>
                <w:lang w:val="fr-FR"/>
              </w:rPr>
              <w:instrText xml:space="preserve"> DOCPROPERTY "Document number"  \* MERGEFORMAT </w:instrText>
            </w:r>
            <w:r>
              <w:fldChar w:fldCharType="separate"/>
            </w:r>
            <w:r w:rsidR="00E63FCA" w:rsidRPr="00E63FCA">
              <w:rPr>
                <w:lang w:val="fr-FR"/>
              </w:rPr>
              <w:t>UNEP/</w:t>
            </w:r>
            <w:proofErr w:type="spellStart"/>
            <w:r w:rsidR="00E63FCA" w:rsidRPr="00E63FCA">
              <w:rPr>
                <w:lang w:val="fr-FR"/>
              </w:rPr>
              <w:t>OzL.Pro</w:t>
            </w:r>
            <w:proofErr w:type="spellEnd"/>
            <w:r w:rsidR="00E63FCA" w:rsidRPr="00E63FCA">
              <w:rPr>
                <w:lang w:val="fr-FR"/>
              </w:rPr>
              <w:t>/</w:t>
            </w:r>
            <w:proofErr w:type="spellStart"/>
            <w:r w:rsidR="00E63FCA" w:rsidRPr="00E63FCA">
              <w:rPr>
                <w:lang w:val="fr-FR"/>
              </w:rPr>
              <w:t>ExCom</w:t>
            </w:r>
            <w:proofErr w:type="spellEnd"/>
            <w:r w:rsidR="00E63FCA" w:rsidRPr="00E63FCA">
              <w:rPr>
                <w:lang w:val="fr-FR"/>
              </w:rPr>
              <w:t>/83/21</w:t>
            </w:r>
            <w:r>
              <w:fldChar w:fldCharType="end"/>
            </w:r>
          </w:p>
          <w:p w:rsidR="002F0B57" w:rsidRPr="005F7ECE" w:rsidRDefault="002F0B57" w:rsidP="00B74552">
            <w:pPr>
              <w:rPr>
                <w:lang w:val="fr-CA"/>
              </w:rPr>
            </w:pPr>
            <w:r>
              <w:fldChar w:fldCharType="begin"/>
            </w:r>
            <w:r w:rsidRPr="005F7ECE">
              <w:rPr>
                <w:lang w:val="fr-CA"/>
              </w:rPr>
              <w:instrText xml:space="preserve"> DOCPROPERTY "Revision date" \@ "d MMMM YYYY"  \* MERGEFORMAT </w:instrText>
            </w:r>
            <w:r>
              <w:fldChar w:fldCharType="separate"/>
            </w:r>
            <w:r w:rsidR="005F7ECE">
              <w:rPr>
                <w:lang w:val="fr-CA"/>
              </w:rPr>
              <w:t>30 a</w:t>
            </w:r>
            <w:bookmarkStart w:id="0" w:name="_GoBack"/>
            <w:bookmarkEnd w:id="0"/>
            <w:r w:rsidR="00B74552" w:rsidRPr="005F7ECE">
              <w:rPr>
                <w:lang w:val="fr-CA"/>
              </w:rPr>
              <w:t>v</w:t>
            </w:r>
            <w:r w:rsidR="00954070" w:rsidRPr="005F7ECE">
              <w:rPr>
                <w:lang w:val="fr-CA"/>
              </w:rPr>
              <w:t>ril 2019</w:t>
            </w:r>
            <w:r>
              <w:fldChar w:fldCharType="end"/>
            </w:r>
          </w:p>
          <w:p w:rsidR="00441083" w:rsidRDefault="00FC5578">
            <w:pPr>
              <w:rPr>
                <w:caps/>
                <w:lang w:val="fr-FR"/>
              </w:rPr>
            </w:pPr>
            <w:r w:rsidRPr="005F7ECE">
              <w:rPr>
                <w:caps/>
                <w:lang w:val="fr-CA"/>
              </w:rPr>
              <w:br/>
            </w:r>
            <w:r w:rsidR="00E60D9C">
              <w:rPr>
                <w:caps/>
                <w:lang w:val="fr-FR"/>
              </w:rPr>
              <w:t>FRANÇAIS</w:t>
            </w:r>
          </w:p>
          <w:p w:rsidR="00441083" w:rsidRDefault="00E60D9C">
            <w:r>
              <w:t xml:space="preserve">ORIGINAL: </w:t>
            </w:r>
            <w:r w:rsidR="0091161A">
              <w:t>ANGLAIS</w:t>
            </w:r>
          </w:p>
        </w:tc>
      </w:tr>
    </w:tbl>
    <w:p w:rsidR="00441083" w:rsidRDefault="00441083">
      <w:pPr>
        <w:jc w:val="left"/>
        <w:rPr>
          <w:lang w:val="fr-CA"/>
        </w:rPr>
      </w:pPr>
    </w:p>
    <w:p w:rsidR="00441083" w:rsidRDefault="00E60D9C" w:rsidP="004C2C87">
      <w:pPr>
        <w:jc w:val="left"/>
        <w:rPr>
          <w:lang w:val="fr-CA"/>
        </w:rPr>
      </w:pPr>
      <w:r>
        <w:rPr>
          <w:lang w:val="fr-CA"/>
        </w:rPr>
        <w:t xml:space="preserve">COMITE EXECUTIF </w:t>
      </w:r>
      <w:r>
        <w:rPr>
          <w:lang w:val="fr-CA"/>
        </w:rPr>
        <w:br/>
        <w:t xml:space="preserve">  DU FONDS MULTILATERAL AUX FINS </w:t>
      </w:r>
      <w:r>
        <w:rPr>
          <w:lang w:val="fr-CA"/>
        </w:rPr>
        <w:br/>
        <w:t xml:space="preserve">  D’APPLICATION DU PROTOCOLE DE MONTREAL</w:t>
      </w:r>
      <w:r>
        <w:rPr>
          <w:lang w:val="fr-CA"/>
        </w:rPr>
        <w:br/>
      </w:r>
      <w:r w:rsidR="00E54871">
        <w:rPr>
          <w:lang w:val="fr-CA"/>
        </w:rPr>
        <w:t>Quatre</w:t>
      </w:r>
      <w:r>
        <w:rPr>
          <w:lang w:val="fr-CA"/>
        </w:rPr>
        <w:t>-</w:t>
      </w:r>
      <w:r w:rsidR="00E54871">
        <w:rPr>
          <w:lang w:val="fr-CA"/>
        </w:rPr>
        <w:t>vingt</w:t>
      </w:r>
      <w:r w:rsidR="00AE63D8">
        <w:rPr>
          <w:lang w:val="fr-CA"/>
        </w:rPr>
        <w:t>-</w:t>
      </w:r>
      <w:r w:rsidR="004C2C87">
        <w:rPr>
          <w:lang w:val="fr-CA"/>
        </w:rPr>
        <w:t>troisi</w:t>
      </w:r>
      <w:r w:rsidR="00E54871">
        <w:rPr>
          <w:lang w:val="fr-CA"/>
        </w:rPr>
        <w:t>ème</w:t>
      </w:r>
      <w:r w:rsidR="00FC5578" w:rsidRPr="00FC5578">
        <w:rPr>
          <w:lang w:val="fr-CA"/>
        </w:rPr>
        <w:t xml:space="preserve"> </w:t>
      </w:r>
      <w:r>
        <w:rPr>
          <w:lang w:val="fr-CA"/>
        </w:rPr>
        <w:t>réunion</w:t>
      </w:r>
    </w:p>
    <w:p w:rsidR="00441083" w:rsidRPr="004E7BA6" w:rsidRDefault="00E54871" w:rsidP="004C2C87">
      <w:pPr>
        <w:jc w:val="left"/>
        <w:rPr>
          <w:lang w:val="fr-FR"/>
        </w:rPr>
      </w:pPr>
      <w:r w:rsidRPr="004E7BA6">
        <w:rPr>
          <w:lang w:val="fr-FR"/>
        </w:rPr>
        <w:t>Montréal,</w:t>
      </w:r>
      <w:r w:rsidR="00FC5578" w:rsidRPr="004E7BA6">
        <w:rPr>
          <w:lang w:val="fr-FR"/>
        </w:rPr>
        <w:t xml:space="preserve"> </w:t>
      </w:r>
      <w:r w:rsidR="004C2C87" w:rsidRPr="004E7BA6">
        <w:rPr>
          <w:lang w:val="fr-FR"/>
        </w:rPr>
        <w:t>27</w:t>
      </w:r>
      <w:r w:rsidR="00E60D9C" w:rsidRPr="004E7BA6">
        <w:rPr>
          <w:lang w:val="fr-FR"/>
        </w:rPr>
        <w:t xml:space="preserve">– </w:t>
      </w:r>
      <w:r w:rsidR="004C2C87" w:rsidRPr="004E7BA6">
        <w:rPr>
          <w:lang w:val="fr-FR"/>
        </w:rPr>
        <w:t>31</w:t>
      </w:r>
      <w:r w:rsidR="00E60D9C" w:rsidRPr="004E7BA6">
        <w:rPr>
          <w:lang w:val="fr-FR"/>
        </w:rPr>
        <w:t xml:space="preserve"> </w:t>
      </w:r>
      <w:r w:rsidR="004C2C87" w:rsidRPr="004E7BA6">
        <w:rPr>
          <w:lang w:val="fr-FR"/>
        </w:rPr>
        <w:t>mai 2019</w:t>
      </w:r>
    </w:p>
    <w:p w:rsidR="00441083" w:rsidRPr="004E7BA6" w:rsidRDefault="00441083">
      <w:pPr>
        <w:jc w:val="left"/>
        <w:rPr>
          <w:lang w:val="fr-FR"/>
        </w:rPr>
      </w:pPr>
    </w:p>
    <w:p w:rsidR="00441083" w:rsidRPr="004E7BA6" w:rsidRDefault="00441083">
      <w:pPr>
        <w:pStyle w:val="Heading3"/>
        <w:numPr>
          <w:ilvl w:val="0"/>
          <w:numId w:val="0"/>
        </w:numPr>
        <w:spacing w:after="0"/>
        <w:rPr>
          <w:lang w:val="fr-FR"/>
        </w:rPr>
      </w:pPr>
    </w:p>
    <w:p w:rsidR="001D2840" w:rsidRPr="00143C85" w:rsidRDefault="00143C85" w:rsidP="001D2840">
      <w:pPr>
        <w:jc w:val="center"/>
        <w:rPr>
          <w:b/>
          <w:lang w:val="fr-CA"/>
        </w:rPr>
      </w:pPr>
      <w:r w:rsidRPr="00143C85">
        <w:rPr>
          <w:b/>
          <w:lang w:val="fr-CA"/>
        </w:rPr>
        <w:t>PROPOSITION DE PROJET : CAMBODGE</w:t>
      </w:r>
    </w:p>
    <w:p w:rsidR="001D2840" w:rsidRPr="00143C85" w:rsidRDefault="001D2840" w:rsidP="001D2840">
      <w:pPr>
        <w:rPr>
          <w:lang w:val="fr-CA"/>
        </w:rPr>
      </w:pPr>
    </w:p>
    <w:p w:rsidR="001D2840" w:rsidRPr="00143C85" w:rsidRDefault="001D2840" w:rsidP="001D2840">
      <w:pPr>
        <w:rPr>
          <w:lang w:val="fr-CA"/>
        </w:rPr>
      </w:pPr>
    </w:p>
    <w:p w:rsidR="001D2840" w:rsidRPr="00143C85" w:rsidRDefault="00143C85" w:rsidP="001D2840">
      <w:pPr>
        <w:ind w:firstLine="720"/>
        <w:rPr>
          <w:lang w:val="fr-CA"/>
        </w:rPr>
      </w:pPr>
      <w:r>
        <w:rPr>
          <w:lang w:val="fr-CA"/>
        </w:rPr>
        <w:t xml:space="preserve">Ce document comprend les observations et les recommandations du Secrétariat sur la proposition de projet suivante </w:t>
      </w:r>
      <w:r w:rsidR="001D2840" w:rsidRPr="00143C85">
        <w:rPr>
          <w:lang w:val="fr-CA"/>
        </w:rPr>
        <w:t xml:space="preserve">: </w:t>
      </w:r>
    </w:p>
    <w:p w:rsidR="001D2840" w:rsidRPr="00143C85" w:rsidRDefault="001D2840" w:rsidP="001D2840">
      <w:pPr>
        <w:rPr>
          <w:lang w:val="fr-CA"/>
        </w:rPr>
      </w:pPr>
    </w:p>
    <w:p w:rsidR="001D2840" w:rsidRPr="00143C85" w:rsidRDefault="00143C85" w:rsidP="001D2840">
      <w:pPr>
        <w:rPr>
          <w:u w:val="single"/>
          <w:lang w:val="fr-CA"/>
        </w:rPr>
      </w:pPr>
      <w:r>
        <w:rPr>
          <w:u w:val="single"/>
          <w:lang w:val="fr-CA"/>
        </w:rPr>
        <w:t>Élimination</w:t>
      </w:r>
    </w:p>
    <w:p w:rsidR="001D2840" w:rsidRPr="00143C85" w:rsidRDefault="001D2840" w:rsidP="001D284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120"/>
      </w:tblGrid>
      <w:tr w:rsidR="001D2840" w:rsidRPr="00143C85" w:rsidTr="00166EAE">
        <w:tc>
          <w:tcPr>
            <w:tcW w:w="7230" w:type="dxa"/>
          </w:tcPr>
          <w:p w:rsidR="001D2840" w:rsidRPr="00143C85" w:rsidRDefault="00143C85" w:rsidP="001D2840">
            <w:pPr>
              <w:pStyle w:val="ListParagraph"/>
              <w:numPr>
                <w:ilvl w:val="0"/>
                <w:numId w:val="23"/>
              </w:numPr>
              <w:ind w:hanging="830"/>
              <w:rPr>
                <w:lang w:val="fr-CA"/>
              </w:rPr>
            </w:pPr>
            <w:r>
              <w:rPr>
                <w:lang w:val="fr-CA"/>
              </w:rPr>
              <w:t>Plan de gestion de l’élimination des HCFC (phase I, quatrième tranche</w:t>
            </w:r>
            <w:r w:rsidR="001D2840" w:rsidRPr="00143C85">
              <w:rPr>
                <w:lang w:val="fr-CA"/>
              </w:rPr>
              <w:t>)</w:t>
            </w:r>
          </w:p>
        </w:tc>
        <w:tc>
          <w:tcPr>
            <w:tcW w:w="2120" w:type="dxa"/>
          </w:tcPr>
          <w:p w:rsidR="001D2840" w:rsidRPr="00143C85" w:rsidRDefault="00143C85" w:rsidP="00143C85">
            <w:pPr>
              <w:jc w:val="right"/>
              <w:rPr>
                <w:lang w:val="fr-CA"/>
              </w:rPr>
            </w:pPr>
            <w:r>
              <w:rPr>
                <w:lang w:val="fr-CA"/>
              </w:rPr>
              <w:t>PNUE et PNUD</w:t>
            </w:r>
          </w:p>
        </w:tc>
      </w:tr>
    </w:tbl>
    <w:p w:rsidR="001D2840" w:rsidRPr="00143C85" w:rsidRDefault="001D2840" w:rsidP="001D2840">
      <w:pPr>
        <w:jc w:val="right"/>
        <w:rPr>
          <w:lang w:val="fr-CA"/>
        </w:rPr>
      </w:pPr>
    </w:p>
    <w:p w:rsidR="001D2840" w:rsidRPr="00143C85" w:rsidRDefault="001D2840" w:rsidP="001D2840">
      <w:pPr>
        <w:rPr>
          <w:lang w:val="fr-CA"/>
        </w:rPr>
      </w:pPr>
    </w:p>
    <w:p w:rsidR="001D2840" w:rsidRPr="00143C85" w:rsidRDefault="001D2840" w:rsidP="001D2840">
      <w:pPr>
        <w:rPr>
          <w:lang w:val="fr-CA"/>
        </w:rPr>
      </w:pPr>
    </w:p>
    <w:p w:rsidR="001D2840" w:rsidRPr="00143C85" w:rsidRDefault="001D2840" w:rsidP="001D2840">
      <w:pPr>
        <w:rPr>
          <w:lang w:val="fr-CA"/>
        </w:rPr>
      </w:pPr>
      <w:r w:rsidRPr="00143C85">
        <w:rPr>
          <w:lang w:val="fr-CA"/>
        </w:rPr>
        <w:br w:type="page"/>
      </w:r>
    </w:p>
    <w:p w:rsidR="001D2840" w:rsidRPr="00143C85" w:rsidRDefault="00143C85" w:rsidP="001D2840">
      <w:pPr>
        <w:jc w:val="center"/>
        <w:rPr>
          <w:b/>
          <w:lang w:val="fr-CA"/>
        </w:rPr>
      </w:pPr>
      <w:r>
        <w:rPr>
          <w:b/>
          <w:lang w:val="fr-CA"/>
        </w:rPr>
        <w:lastRenderedPageBreak/>
        <w:t>FICHE D’ÉVALUATION DE PROJET – PROJETS PLURIANNUELS</w:t>
      </w:r>
    </w:p>
    <w:p w:rsidR="001D2840" w:rsidRPr="00143C85" w:rsidRDefault="001D2840" w:rsidP="001D2840">
      <w:pPr>
        <w:jc w:val="center"/>
        <w:rPr>
          <w:lang w:val="fr-CA"/>
        </w:rPr>
      </w:pPr>
    </w:p>
    <w:p w:rsidR="001D2840" w:rsidRPr="00143C85" w:rsidRDefault="00143C85" w:rsidP="001D2840">
      <w:pPr>
        <w:jc w:val="center"/>
        <w:rPr>
          <w:b/>
          <w:lang w:val="fr-CA"/>
        </w:rPr>
      </w:pPr>
      <w:r>
        <w:rPr>
          <w:b/>
          <w:lang w:val="fr-CA"/>
        </w:rPr>
        <w:t>Cambodge</w:t>
      </w:r>
    </w:p>
    <w:p w:rsidR="001D2840" w:rsidRPr="00143C85" w:rsidRDefault="001D2840" w:rsidP="001D2840">
      <w:pPr>
        <w:jc w:val="center"/>
        <w:rPr>
          <w:lang w:val="fr-CA"/>
        </w:rPr>
      </w:pPr>
    </w:p>
    <w:p w:rsidR="001D2840" w:rsidRPr="00143C85" w:rsidRDefault="001D2840" w:rsidP="001D2840">
      <w:pPr>
        <w:spacing w:after="80"/>
        <w:jc w:val="center"/>
        <w:rPr>
          <w:lang w:val="fr-CA"/>
        </w:rPr>
      </w:pPr>
      <w:r w:rsidRPr="00143C85">
        <w:rPr>
          <w:b/>
          <w:sz w:val="24"/>
          <w:lang w:val="fr-CA"/>
        </w:rPr>
        <w:t xml:space="preserve">                                          </w:t>
      </w:r>
    </w:p>
    <w:tbl>
      <w:tblPr>
        <w:tblStyle w:val="TableGrid"/>
        <w:tblW w:w="5000" w:type="pct"/>
        <w:tblLook w:val="04A0" w:firstRow="1" w:lastRow="0" w:firstColumn="1" w:lastColumn="0" w:noHBand="0" w:noVBand="1"/>
      </w:tblPr>
      <w:tblGrid>
        <w:gridCol w:w="2830"/>
        <w:gridCol w:w="1986"/>
        <w:gridCol w:w="2195"/>
        <w:gridCol w:w="2339"/>
      </w:tblGrid>
      <w:tr w:rsidR="001D2840" w:rsidRPr="00143C85" w:rsidTr="00143C85">
        <w:trPr>
          <w:trHeight w:val="240"/>
        </w:trPr>
        <w:tc>
          <w:tcPr>
            <w:tcW w:w="1513" w:type="pct"/>
            <w:shd w:val="clear" w:color="auto" w:fill="auto"/>
          </w:tcPr>
          <w:p w:rsidR="001D2840" w:rsidRPr="00143C85" w:rsidRDefault="001D2840" w:rsidP="00C27E6C">
            <w:pPr>
              <w:spacing w:after="80"/>
              <w:jc w:val="left"/>
              <w:rPr>
                <w:b/>
                <w:sz w:val="18"/>
                <w:lang w:val="fr-CA"/>
              </w:rPr>
            </w:pPr>
            <w:r w:rsidRPr="00143C85">
              <w:rPr>
                <w:b/>
                <w:sz w:val="18"/>
                <w:lang w:val="fr-CA"/>
              </w:rPr>
              <w:t xml:space="preserve">I) </w:t>
            </w:r>
            <w:r w:rsidR="00C27E6C">
              <w:rPr>
                <w:b/>
                <w:sz w:val="18"/>
                <w:lang w:val="fr-CA"/>
              </w:rPr>
              <w:t>TITRE DU PROJET</w:t>
            </w:r>
          </w:p>
        </w:tc>
        <w:tc>
          <w:tcPr>
            <w:tcW w:w="1062" w:type="pct"/>
            <w:shd w:val="clear" w:color="auto" w:fill="auto"/>
          </w:tcPr>
          <w:p w:rsidR="001D2840" w:rsidRPr="00143C85" w:rsidRDefault="00C27E6C" w:rsidP="00143C85">
            <w:pPr>
              <w:spacing w:after="80"/>
              <w:jc w:val="center"/>
              <w:rPr>
                <w:b/>
                <w:sz w:val="18"/>
                <w:lang w:val="fr-CA"/>
              </w:rPr>
            </w:pPr>
            <w:r>
              <w:rPr>
                <w:b/>
                <w:sz w:val="18"/>
                <w:lang w:val="fr-CA"/>
              </w:rPr>
              <w:t>AGENCE</w:t>
            </w:r>
          </w:p>
        </w:tc>
        <w:tc>
          <w:tcPr>
            <w:tcW w:w="1174" w:type="pct"/>
            <w:shd w:val="clear" w:color="auto" w:fill="auto"/>
          </w:tcPr>
          <w:p w:rsidR="001D2840" w:rsidRPr="00143C85" w:rsidRDefault="00C27E6C" w:rsidP="00143C85">
            <w:pPr>
              <w:spacing w:after="80"/>
              <w:jc w:val="center"/>
              <w:rPr>
                <w:b/>
                <w:sz w:val="18"/>
                <w:lang w:val="fr-CA"/>
              </w:rPr>
            </w:pPr>
            <w:r>
              <w:rPr>
                <w:b/>
                <w:sz w:val="18"/>
                <w:lang w:val="fr-CA"/>
              </w:rPr>
              <w:t>RÉUNION D’APPROBATION</w:t>
            </w:r>
          </w:p>
        </w:tc>
        <w:tc>
          <w:tcPr>
            <w:tcW w:w="1251" w:type="pct"/>
            <w:shd w:val="clear" w:color="auto" w:fill="auto"/>
          </w:tcPr>
          <w:p w:rsidR="001D2840" w:rsidRPr="00143C85" w:rsidRDefault="00C27E6C" w:rsidP="00143C85">
            <w:pPr>
              <w:spacing w:after="80"/>
              <w:jc w:val="center"/>
              <w:rPr>
                <w:b/>
                <w:sz w:val="18"/>
                <w:lang w:val="fr-CA"/>
              </w:rPr>
            </w:pPr>
            <w:r>
              <w:rPr>
                <w:b/>
                <w:sz w:val="18"/>
                <w:lang w:val="fr-CA"/>
              </w:rPr>
              <w:t>MESURE DE RÉGLEMENTATION</w:t>
            </w:r>
          </w:p>
        </w:tc>
      </w:tr>
      <w:tr w:rsidR="001D2840" w:rsidRPr="00143C85" w:rsidTr="00143C85">
        <w:trPr>
          <w:trHeight w:val="240"/>
        </w:trPr>
        <w:tc>
          <w:tcPr>
            <w:tcW w:w="1513" w:type="pct"/>
            <w:shd w:val="clear" w:color="auto" w:fill="auto"/>
          </w:tcPr>
          <w:p w:rsidR="001D2840" w:rsidRPr="00143C85" w:rsidRDefault="00C27E6C" w:rsidP="00143C85">
            <w:pPr>
              <w:spacing w:after="80"/>
              <w:jc w:val="center"/>
              <w:rPr>
                <w:sz w:val="18"/>
                <w:lang w:val="fr-CA"/>
              </w:rPr>
            </w:pPr>
            <w:r>
              <w:rPr>
                <w:sz w:val="18"/>
                <w:lang w:val="fr-CA"/>
              </w:rPr>
              <w:t>Plan de gestion de l’élimination des HCFC (phase</w:t>
            </w:r>
            <w:r w:rsidR="00B21C9A">
              <w:rPr>
                <w:sz w:val="18"/>
                <w:lang w:val="fr-CA"/>
              </w:rPr>
              <w:t xml:space="preserve"> </w:t>
            </w:r>
            <w:r>
              <w:rPr>
                <w:sz w:val="18"/>
                <w:lang w:val="fr-CA"/>
              </w:rPr>
              <w:t>I)</w:t>
            </w:r>
          </w:p>
        </w:tc>
        <w:tc>
          <w:tcPr>
            <w:tcW w:w="1062" w:type="pct"/>
            <w:shd w:val="clear" w:color="auto" w:fill="auto"/>
          </w:tcPr>
          <w:p w:rsidR="001D2840" w:rsidRPr="00143C85" w:rsidRDefault="00C27E6C" w:rsidP="00143C85">
            <w:pPr>
              <w:spacing w:after="80"/>
              <w:jc w:val="center"/>
              <w:rPr>
                <w:sz w:val="18"/>
                <w:lang w:val="fr-CA"/>
              </w:rPr>
            </w:pPr>
            <w:r>
              <w:rPr>
                <w:sz w:val="18"/>
                <w:lang w:val="fr-CA"/>
              </w:rPr>
              <w:t>PNUD, PNUE (principale)</w:t>
            </w:r>
          </w:p>
        </w:tc>
        <w:tc>
          <w:tcPr>
            <w:tcW w:w="1174" w:type="pct"/>
            <w:shd w:val="clear" w:color="auto" w:fill="auto"/>
          </w:tcPr>
          <w:p w:rsidR="001D2840" w:rsidRPr="00143C85" w:rsidRDefault="00C27E6C" w:rsidP="00143C85">
            <w:pPr>
              <w:spacing w:after="80"/>
              <w:jc w:val="center"/>
              <w:rPr>
                <w:sz w:val="18"/>
                <w:lang w:val="fr-CA"/>
              </w:rPr>
            </w:pPr>
            <w:r>
              <w:rPr>
                <w:sz w:val="18"/>
                <w:lang w:val="fr-CA"/>
              </w:rPr>
              <w:t>61</w:t>
            </w:r>
            <w:r w:rsidRPr="00C27E6C">
              <w:rPr>
                <w:sz w:val="18"/>
                <w:vertAlign w:val="superscript"/>
                <w:lang w:val="fr-CA"/>
              </w:rPr>
              <w:t>e</w:t>
            </w:r>
            <w:r>
              <w:rPr>
                <w:sz w:val="18"/>
                <w:lang w:val="fr-CA"/>
              </w:rPr>
              <w:t xml:space="preserve"> </w:t>
            </w:r>
          </w:p>
        </w:tc>
        <w:tc>
          <w:tcPr>
            <w:tcW w:w="1251" w:type="pct"/>
            <w:shd w:val="clear" w:color="auto" w:fill="auto"/>
          </w:tcPr>
          <w:p w:rsidR="001D2840" w:rsidRPr="00143C85" w:rsidRDefault="003F6D47" w:rsidP="00C27E6C">
            <w:pPr>
              <w:spacing w:after="80"/>
              <w:jc w:val="center"/>
              <w:rPr>
                <w:sz w:val="18"/>
                <w:lang w:val="fr-CA"/>
              </w:rPr>
            </w:pPr>
            <w:r>
              <w:rPr>
                <w:sz w:val="18"/>
                <w:lang w:val="fr-CA"/>
              </w:rPr>
              <w:t>Élimination complète</w:t>
            </w:r>
            <w:r w:rsidR="00C27E6C">
              <w:rPr>
                <w:sz w:val="18"/>
                <w:lang w:val="fr-CA"/>
              </w:rPr>
              <w:t xml:space="preserve"> d’ici à</w:t>
            </w:r>
            <w:r w:rsidR="001D2840" w:rsidRPr="00143C85">
              <w:rPr>
                <w:sz w:val="18"/>
                <w:lang w:val="fr-CA"/>
              </w:rPr>
              <w:t xml:space="preserve"> 2035</w:t>
            </w:r>
          </w:p>
        </w:tc>
      </w:tr>
    </w:tbl>
    <w:p w:rsidR="001D2840" w:rsidRPr="00143C85" w:rsidRDefault="001D2840" w:rsidP="001D2840">
      <w:pPr>
        <w:spacing w:after="60"/>
        <w:jc w:val="center"/>
        <w:rPr>
          <w:lang w:val="fr-CA"/>
        </w:rPr>
      </w:pPr>
    </w:p>
    <w:tbl>
      <w:tblPr>
        <w:tblStyle w:val="TableGrid"/>
        <w:tblW w:w="5000" w:type="pct"/>
        <w:tblLook w:val="04A0" w:firstRow="1" w:lastRow="0" w:firstColumn="1" w:lastColumn="0" w:noHBand="0" w:noVBand="1"/>
      </w:tblPr>
      <w:tblGrid>
        <w:gridCol w:w="4862"/>
        <w:gridCol w:w="2244"/>
        <w:gridCol w:w="2244"/>
      </w:tblGrid>
      <w:tr w:rsidR="001D2840" w:rsidRPr="00143C85" w:rsidTr="00143C85">
        <w:trPr>
          <w:trHeight w:val="240"/>
        </w:trPr>
        <w:tc>
          <w:tcPr>
            <w:tcW w:w="2600" w:type="pct"/>
            <w:shd w:val="clear" w:color="auto" w:fill="auto"/>
          </w:tcPr>
          <w:p w:rsidR="001D2840" w:rsidRPr="00C27E6C" w:rsidRDefault="001D2840" w:rsidP="00C27E6C">
            <w:pPr>
              <w:spacing w:after="60"/>
              <w:jc w:val="left"/>
              <w:rPr>
                <w:b/>
                <w:sz w:val="18"/>
                <w:lang w:val="fr-CA"/>
              </w:rPr>
            </w:pPr>
            <w:r w:rsidRPr="00C27E6C">
              <w:rPr>
                <w:b/>
                <w:sz w:val="18"/>
                <w:lang w:val="fr-CA"/>
              </w:rPr>
              <w:t xml:space="preserve">II) </w:t>
            </w:r>
            <w:r w:rsidR="00C27E6C" w:rsidRPr="00C27E6C">
              <w:rPr>
                <w:b/>
                <w:sz w:val="18"/>
                <w:lang w:val="fr-CA"/>
              </w:rPr>
              <w:t>DERNIÈRE</w:t>
            </w:r>
            <w:r w:rsidR="003F6D47">
              <w:rPr>
                <w:b/>
                <w:sz w:val="18"/>
                <w:lang w:val="fr-CA"/>
              </w:rPr>
              <w:t>S DONNÉES RELATIVES À L’ARTICLE </w:t>
            </w:r>
            <w:r w:rsidR="00C27E6C" w:rsidRPr="00C27E6C">
              <w:rPr>
                <w:b/>
                <w:sz w:val="18"/>
                <w:lang w:val="fr-CA"/>
              </w:rPr>
              <w:t>7 (groupe 1 de l’annexe C)</w:t>
            </w:r>
          </w:p>
        </w:tc>
        <w:tc>
          <w:tcPr>
            <w:tcW w:w="1200" w:type="pct"/>
            <w:shd w:val="clear" w:color="auto" w:fill="auto"/>
          </w:tcPr>
          <w:p w:rsidR="001D2840" w:rsidRPr="00143C85" w:rsidRDefault="00C27E6C" w:rsidP="00143C85">
            <w:pPr>
              <w:spacing w:after="60"/>
              <w:jc w:val="center"/>
              <w:rPr>
                <w:sz w:val="18"/>
                <w:lang w:val="fr-CA"/>
              </w:rPr>
            </w:pPr>
            <w:r>
              <w:rPr>
                <w:sz w:val="18"/>
                <w:lang w:val="fr-CA"/>
              </w:rPr>
              <w:t>Année : 2017</w:t>
            </w:r>
          </w:p>
        </w:tc>
        <w:tc>
          <w:tcPr>
            <w:tcW w:w="1200" w:type="pct"/>
            <w:shd w:val="clear" w:color="auto" w:fill="auto"/>
          </w:tcPr>
          <w:p w:rsidR="001D2840" w:rsidRPr="00143C85" w:rsidRDefault="00C27E6C" w:rsidP="00143C85">
            <w:pPr>
              <w:spacing w:after="60"/>
              <w:jc w:val="right"/>
              <w:rPr>
                <w:sz w:val="18"/>
                <w:lang w:val="fr-CA"/>
              </w:rPr>
            </w:pPr>
            <w:r>
              <w:rPr>
                <w:sz w:val="18"/>
                <w:lang w:val="fr-CA"/>
              </w:rPr>
              <w:t>4,64 tonnes PAO</w:t>
            </w:r>
          </w:p>
        </w:tc>
      </w:tr>
    </w:tbl>
    <w:p w:rsidR="001D2840" w:rsidRPr="00143C85" w:rsidRDefault="001D2840" w:rsidP="001D2840">
      <w:pPr>
        <w:spacing w:after="60"/>
        <w:jc w:val="center"/>
        <w:rPr>
          <w:lang w:val="fr-CA"/>
        </w:rPr>
      </w:pPr>
    </w:p>
    <w:tbl>
      <w:tblPr>
        <w:tblStyle w:val="TableGrid"/>
        <w:tblW w:w="5000" w:type="pct"/>
        <w:tblLook w:val="04A0" w:firstRow="1" w:lastRow="0" w:firstColumn="1" w:lastColumn="0" w:noHBand="0" w:noVBand="1"/>
      </w:tblPr>
      <w:tblGrid>
        <w:gridCol w:w="1126"/>
        <w:gridCol w:w="723"/>
        <w:gridCol w:w="714"/>
        <w:gridCol w:w="856"/>
        <w:gridCol w:w="945"/>
        <w:gridCol w:w="803"/>
        <w:gridCol w:w="768"/>
        <w:gridCol w:w="1158"/>
        <w:gridCol w:w="909"/>
        <w:gridCol w:w="1348"/>
      </w:tblGrid>
      <w:tr w:rsidR="001D2840" w:rsidRPr="00143C85" w:rsidTr="00FB299D">
        <w:trPr>
          <w:trHeight w:val="240"/>
        </w:trPr>
        <w:tc>
          <w:tcPr>
            <w:tcW w:w="3879" w:type="pct"/>
            <w:gridSpan w:val="8"/>
            <w:shd w:val="clear" w:color="auto" w:fill="auto"/>
          </w:tcPr>
          <w:p w:rsidR="001D2840" w:rsidRPr="00C27E6C" w:rsidRDefault="001D2840" w:rsidP="00FB299D">
            <w:pPr>
              <w:spacing w:after="60"/>
              <w:jc w:val="left"/>
              <w:rPr>
                <w:b/>
                <w:sz w:val="18"/>
                <w:lang w:val="fr-CA"/>
              </w:rPr>
            </w:pPr>
            <w:r w:rsidRPr="00C27E6C">
              <w:rPr>
                <w:b/>
                <w:sz w:val="18"/>
                <w:lang w:val="fr-CA"/>
              </w:rPr>
              <w:t xml:space="preserve">III) </w:t>
            </w:r>
            <w:r w:rsidR="00C27E6C" w:rsidRPr="00C27E6C">
              <w:rPr>
                <w:b/>
                <w:sz w:val="18"/>
                <w:lang w:val="fr-CA"/>
              </w:rPr>
              <w:t>DERNIÈRES DONNÉES SECTORIELLES DU PROGRAMME DE PAYS</w:t>
            </w:r>
            <w:r w:rsidR="00FB299D">
              <w:rPr>
                <w:b/>
                <w:sz w:val="18"/>
                <w:lang w:val="fr-CA"/>
              </w:rPr>
              <w:t xml:space="preserve"> (</w:t>
            </w:r>
            <w:r w:rsidRPr="00C27E6C">
              <w:rPr>
                <w:b/>
                <w:sz w:val="18"/>
                <w:lang w:val="fr-CA"/>
              </w:rPr>
              <w:t>tonnes</w:t>
            </w:r>
            <w:r w:rsidR="00FB299D">
              <w:rPr>
                <w:b/>
                <w:sz w:val="18"/>
                <w:lang w:val="fr-CA"/>
              </w:rPr>
              <w:t xml:space="preserve"> PAO</w:t>
            </w:r>
            <w:r w:rsidRPr="00C27E6C">
              <w:rPr>
                <w:b/>
                <w:sz w:val="18"/>
                <w:lang w:val="fr-CA"/>
              </w:rPr>
              <w:t>)</w:t>
            </w:r>
          </w:p>
        </w:tc>
        <w:tc>
          <w:tcPr>
            <w:tcW w:w="1121" w:type="pct"/>
            <w:gridSpan w:val="2"/>
            <w:shd w:val="clear" w:color="auto" w:fill="auto"/>
          </w:tcPr>
          <w:p w:rsidR="001D2840" w:rsidRPr="00143C85" w:rsidRDefault="00FB299D" w:rsidP="00143C85">
            <w:pPr>
              <w:spacing w:after="60"/>
              <w:jc w:val="right"/>
              <w:rPr>
                <w:b/>
                <w:sz w:val="18"/>
                <w:lang w:val="fr-CA"/>
              </w:rPr>
            </w:pPr>
            <w:r>
              <w:rPr>
                <w:b/>
                <w:sz w:val="18"/>
                <w:lang w:val="fr-CA"/>
              </w:rPr>
              <w:t>Année : 2018</w:t>
            </w:r>
          </w:p>
        </w:tc>
      </w:tr>
      <w:tr w:rsidR="00FB299D" w:rsidRPr="00143C85" w:rsidTr="00FB299D">
        <w:trPr>
          <w:trHeight w:val="240"/>
        </w:trPr>
        <w:tc>
          <w:tcPr>
            <w:tcW w:w="598" w:type="pct"/>
            <w:shd w:val="clear" w:color="auto" w:fill="auto"/>
          </w:tcPr>
          <w:p w:rsidR="00FB299D" w:rsidRPr="00FB299D" w:rsidRDefault="00FB299D" w:rsidP="00FB299D">
            <w:pPr>
              <w:spacing w:after="60"/>
              <w:jc w:val="center"/>
              <w:rPr>
                <w:sz w:val="16"/>
                <w:lang w:val="fr-CA"/>
              </w:rPr>
            </w:pPr>
            <w:r w:rsidRPr="00FB299D">
              <w:rPr>
                <w:sz w:val="16"/>
                <w:lang w:val="fr-CA"/>
              </w:rPr>
              <w:t>Produits chimiques</w:t>
            </w:r>
          </w:p>
        </w:tc>
        <w:tc>
          <w:tcPr>
            <w:tcW w:w="420" w:type="pct"/>
            <w:shd w:val="clear" w:color="auto" w:fill="auto"/>
          </w:tcPr>
          <w:p w:rsidR="00FB299D" w:rsidRPr="00FB299D" w:rsidRDefault="00FB299D" w:rsidP="00FB299D">
            <w:pPr>
              <w:spacing w:after="60"/>
              <w:jc w:val="center"/>
              <w:rPr>
                <w:sz w:val="16"/>
                <w:lang w:val="fr-CA"/>
              </w:rPr>
            </w:pPr>
            <w:r w:rsidRPr="00FB299D">
              <w:rPr>
                <w:sz w:val="16"/>
                <w:lang w:val="fr-CA"/>
              </w:rPr>
              <w:t>Aérosol</w:t>
            </w:r>
          </w:p>
        </w:tc>
        <w:tc>
          <w:tcPr>
            <w:tcW w:w="335" w:type="pct"/>
            <w:shd w:val="clear" w:color="auto" w:fill="auto"/>
          </w:tcPr>
          <w:p w:rsidR="00FB299D" w:rsidRPr="00FB299D" w:rsidRDefault="00FB299D" w:rsidP="00FB299D">
            <w:pPr>
              <w:spacing w:after="60"/>
              <w:jc w:val="center"/>
              <w:rPr>
                <w:sz w:val="16"/>
                <w:lang w:val="fr-CA"/>
              </w:rPr>
            </w:pPr>
            <w:r w:rsidRPr="00FB299D">
              <w:rPr>
                <w:sz w:val="16"/>
                <w:lang w:val="fr-CA"/>
              </w:rPr>
              <w:t>Mousse</w:t>
            </w:r>
          </w:p>
        </w:tc>
        <w:tc>
          <w:tcPr>
            <w:tcW w:w="463" w:type="pct"/>
            <w:shd w:val="clear" w:color="auto" w:fill="auto"/>
          </w:tcPr>
          <w:p w:rsidR="00FB299D" w:rsidRPr="00FB299D" w:rsidRDefault="00FB299D" w:rsidP="00FB299D">
            <w:pPr>
              <w:spacing w:after="60"/>
              <w:jc w:val="center"/>
              <w:rPr>
                <w:sz w:val="16"/>
                <w:lang w:val="fr-CA"/>
              </w:rPr>
            </w:pPr>
            <w:r w:rsidRPr="00FB299D">
              <w:rPr>
                <w:sz w:val="16"/>
                <w:lang w:val="fr-CA"/>
              </w:rPr>
              <w:t>Lutte contre l’incendie</w:t>
            </w:r>
          </w:p>
        </w:tc>
        <w:tc>
          <w:tcPr>
            <w:tcW w:w="1172" w:type="pct"/>
            <w:gridSpan w:val="2"/>
            <w:shd w:val="clear" w:color="auto" w:fill="auto"/>
          </w:tcPr>
          <w:p w:rsidR="00FB299D" w:rsidRPr="00FB299D" w:rsidRDefault="00FB299D" w:rsidP="00FB299D">
            <w:pPr>
              <w:spacing w:after="60"/>
              <w:jc w:val="center"/>
              <w:rPr>
                <w:sz w:val="16"/>
                <w:lang w:val="fr-CA"/>
              </w:rPr>
            </w:pPr>
            <w:r w:rsidRPr="00FB299D">
              <w:rPr>
                <w:sz w:val="16"/>
                <w:lang w:val="fr-CA"/>
              </w:rPr>
              <w:t>Réfrigération</w:t>
            </w:r>
          </w:p>
        </w:tc>
        <w:tc>
          <w:tcPr>
            <w:tcW w:w="410" w:type="pct"/>
            <w:shd w:val="clear" w:color="auto" w:fill="auto"/>
          </w:tcPr>
          <w:p w:rsidR="00FB299D" w:rsidRPr="00FB299D" w:rsidRDefault="00FB299D" w:rsidP="00FB299D">
            <w:pPr>
              <w:spacing w:after="60"/>
              <w:jc w:val="center"/>
              <w:rPr>
                <w:sz w:val="16"/>
                <w:lang w:val="fr-CA"/>
              </w:rPr>
            </w:pPr>
            <w:r w:rsidRPr="00FB299D">
              <w:rPr>
                <w:sz w:val="16"/>
                <w:lang w:val="fr-CA"/>
              </w:rPr>
              <w:t>Solvants</w:t>
            </w:r>
          </w:p>
        </w:tc>
        <w:tc>
          <w:tcPr>
            <w:tcW w:w="480" w:type="pct"/>
            <w:shd w:val="clear" w:color="auto" w:fill="auto"/>
          </w:tcPr>
          <w:p w:rsidR="00FB299D" w:rsidRPr="00FB299D" w:rsidRDefault="00FB299D" w:rsidP="00FB299D">
            <w:pPr>
              <w:spacing w:after="60"/>
              <w:jc w:val="center"/>
              <w:rPr>
                <w:sz w:val="16"/>
                <w:lang w:val="fr-CA"/>
              </w:rPr>
            </w:pPr>
            <w:r w:rsidRPr="00FB299D">
              <w:rPr>
                <w:sz w:val="16"/>
                <w:lang w:val="fr-CA"/>
              </w:rPr>
              <w:t>Agent de transformation</w:t>
            </w:r>
          </w:p>
        </w:tc>
        <w:tc>
          <w:tcPr>
            <w:tcW w:w="302" w:type="pct"/>
            <w:shd w:val="clear" w:color="auto" w:fill="auto"/>
          </w:tcPr>
          <w:p w:rsidR="00FB299D" w:rsidRPr="00FB299D" w:rsidRDefault="00FB299D" w:rsidP="00FB299D">
            <w:pPr>
              <w:spacing w:after="60"/>
              <w:jc w:val="center"/>
              <w:rPr>
                <w:sz w:val="16"/>
                <w:lang w:val="fr-CA"/>
              </w:rPr>
            </w:pPr>
            <w:r w:rsidRPr="00FB299D">
              <w:rPr>
                <w:sz w:val="16"/>
                <w:lang w:val="fr-CA"/>
              </w:rPr>
              <w:t>Utilisation en laboratoire</w:t>
            </w:r>
          </w:p>
        </w:tc>
        <w:tc>
          <w:tcPr>
            <w:tcW w:w="819" w:type="pct"/>
            <w:shd w:val="clear" w:color="auto" w:fill="auto"/>
          </w:tcPr>
          <w:p w:rsidR="00FB299D" w:rsidRPr="00FB299D" w:rsidRDefault="00FB299D" w:rsidP="00FB299D">
            <w:pPr>
              <w:spacing w:after="60"/>
              <w:jc w:val="center"/>
              <w:rPr>
                <w:sz w:val="16"/>
                <w:lang w:val="fr-CA"/>
              </w:rPr>
            </w:pPr>
            <w:r w:rsidRPr="00FB299D">
              <w:rPr>
                <w:sz w:val="16"/>
                <w:lang w:val="fr-CA"/>
              </w:rPr>
              <w:t>Consommation totale du secteur</w:t>
            </w:r>
          </w:p>
        </w:tc>
      </w:tr>
      <w:tr w:rsidR="001D2840" w:rsidRPr="00143C85" w:rsidTr="00FB299D">
        <w:trPr>
          <w:trHeight w:val="240"/>
        </w:trPr>
        <w:tc>
          <w:tcPr>
            <w:tcW w:w="1817" w:type="pct"/>
            <w:gridSpan w:val="4"/>
            <w:shd w:val="clear" w:color="auto" w:fill="auto"/>
          </w:tcPr>
          <w:p w:rsidR="001D2840" w:rsidRPr="00143C85" w:rsidRDefault="001D2840" w:rsidP="00143C85">
            <w:pPr>
              <w:spacing w:after="60"/>
              <w:jc w:val="center"/>
              <w:rPr>
                <w:sz w:val="18"/>
                <w:lang w:val="fr-CA"/>
              </w:rPr>
            </w:pPr>
            <w:r w:rsidRPr="00143C85">
              <w:rPr>
                <w:sz w:val="18"/>
                <w:lang w:val="fr-CA"/>
              </w:rPr>
              <w:t xml:space="preserve"> </w:t>
            </w:r>
          </w:p>
        </w:tc>
        <w:tc>
          <w:tcPr>
            <w:tcW w:w="688" w:type="pct"/>
            <w:shd w:val="clear" w:color="auto" w:fill="auto"/>
          </w:tcPr>
          <w:p w:rsidR="001D2840" w:rsidRPr="00FB299D" w:rsidRDefault="00FB299D" w:rsidP="00143C85">
            <w:pPr>
              <w:spacing w:after="60"/>
              <w:jc w:val="center"/>
              <w:rPr>
                <w:sz w:val="16"/>
                <w:lang w:val="fr-CA"/>
              </w:rPr>
            </w:pPr>
            <w:r w:rsidRPr="00FB299D">
              <w:rPr>
                <w:sz w:val="16"/>
                <w:lang w:val="fr-CA"/>
              </w:rPr>
              <w:t>Fabrication</w:t>
            </w:r>
          </w:p>
        </w:tc>
        <w:tc>
          <w:tcPr>
            <w:tcW w:w="484" w:type="pct"/>
            <w:shd w:val="clear" w:color="auto" w:fill="auto"/>
          </w:tcPr>
          <w:p w:rsidR="001D2840" w:rsidRPr="00FB299D" w:rsidRDefault="00FB299D" w:rsidP="00143C85">
            <w:pPr>
              <w:spacing w:after="60"/>
              <w:jc w:val="center"/>
              <w:rPr>
                <w:sz w:val="16"/>
                <w:lang w:val="fr-CA"/>
              </w:rPr>
            </w:pPr>
            <w:r w:rsidRPr="00FB299D">
              <w:rPr>
                <w:sz w:val="16"/>
                <w:lang w:val="fr-CA"/>
              </w:rPr>
              <w:t>Entretien</w:t>
            </w:r>
          </w:p>
        </w:tc>
        <w:tc>
          <w:tcPr>
            <w:tcW w:w="2011" w:type="pct"/>
            <w:gridSpan w:val="4"/>
            <w:shd w:val="clear" w:color="auto" w:fill="auto"/>
          </w:tcPr>
          <w:p w:rsidR="001D2840" w:rsidRPr="00143C85" w:rsidRDefault="001D2840" w:rsidP="00143C85">
            <w:pPr>
              <w:spacing w:after="60"/>
              <w:jc w:val="center"/>
              <w:rPr>
                <w:sz w:val="18"/>
                <w:lang w:val="fr-CA"/>
              </w:rPr>
            </w:pPr>
          </w:p>
        </w:tc>
      </w:tr>
      <w:tr w:rsidR="001D2840" w:rsidRPr="00143C85" w:rsidTr="00FB299D">
        <w:trPr>
          <w:trHeight w:val="240"/>
        </w:trPr>
        <w:tc>
          <w:tcPr>
            <w:tcW w:w="598" w:type="pct"/>
            <w:shd w:val="clear" w:color="auto" w:fill="auto"/>
          </w:tcPr>
          <w:p w:rsidR="001D2840" w:rsidRPr="00143C85" w:rsidRDefault="001D2840" w:rsidP="00143C85">
            <w:pPr>
              <w:spacing w:after="60"/>
              <w:jc w:val="left"/>
              <w:rPr>
                <w:sz w:val="18"/>
                <w:lang w:val="fr-CA"/>
              </w:rPr>
            </w:pPr>
            <w:r w:rsidRPr="00143C85">
              <w:rPr>
                <w:sz w:val="18"/>
                <w:lang w:val="fr-CA"/>
              </w:rPr>
              <w:t>HCFC-22</w:t>
            </w:r>
          </w:p>
        </w:tc>
        <w:tc>
          <w:tcPr>
            <w:tcW w:w="420" w:type="pct"/>
            <w:shd w:val="clear" w:color="auto" w:fill="auto"/>
          </w:tcPr>
          <w:p w:rsidR="001D2840" w:rsidRPr="00143C85" w:rsidRDefault="001D2840" w:rsidP="00143C85">
            <w:pPr>
              <w:spacing w:after="60"/>
              <w:jc w:val="right"/>
              <w:rPr>
                <w:sz w:val="18"/>
                <w:lang w:val="fr-CA"/>
              </w:rPr>
            </w:pPr>
          </w:p>
        </w:tc>
        <w:tc>
          <w:tcPr>
            <w:tcW w:w="335" w:type="pct"/>
            <w:shd w:val="clear" w:color="auto" w:fill="auto"/>
          </w:tcPr>
          <w:p w:rsidR="001D2840" w:rsidRPr="00143C85" w:rsidRDefault="001D2840" w:rsidP="00143C85">
            <w:pPr>
              <w:spacing w:after="60"/>
              <w:jc w:val="right"/>
              <w:rPr>
                <w:sz w:val="18"/>
                <w:lang w:val="fr-CA"/>
              </w:rPr>
            </w:pPr>
          </w:p>
        </w:tc>
        <w:tc>
          <w:tcPr>
            <w:tcW w:w="463" w:type="pct"/>
            <w:shd w:val="clear" w:color="auto" w:fill="auto"/>
          </w:tcPr>
          <w:p w:rsidR="001D2840" w:rsidRPr="00143C85" w:rsidRDefault="001D2840" w:rsidP="00143C85">
            <w:pPr>
              <w:spacing w:after="60"/>
              <w:jc w:val="right"/>
              <w:rPr>
                <w:sz w:val="18"/>
                <w:lang w:val="fr-CA"/>
              </w:rPr>
            </w:pPr>
          </w:p>
        </w:tc>
        <w:tc>
          <w:tcPr>
            <w:tcW w:w="688" w:type="pct"/>
            <w:shd w:val="clear" w:color="auto" w:fill="auto"/>
          </w:tcPr>
          <w:p w:rsidR="001D2840" w:rsidRPr="00143C85" w:rsidRDefault="001D2840" w:rsidP="00143C85">
            <w:pPr>
              <w:spacing w:after="60"/>
              <w:jc w:val="right"/>
              <w:rPr>
                <w:sz w:val="18"/>
                <w:lang w:val="fr-CA"/>
              </w:rPr>
            </w:pPr>
          </w:p>
        </w:tc>
        <w:tc>
          <w:tcPr>
            <w:tcW w:w="484" w:type="pct"/>
            <w:shd w:val="clear" w:color="auto" w:fill="auto"/>
          </w:tcPr>
          <w:p w:rsidR="001D2840" w:rsidRPr="00143C85" w:rsidRDefault="003F6D47" w:rsidP="00143C85">
            <w:pPr>
              <w:spacing w:after="60"/>
              <w:jc w:val="right"/>
              <w:rPr>
                <w:sz w:val="18"/>
                <w:lang w:val="fr-CA"/>
              </w:rPr>
            </w:pPr>
            <w:r>
              <w:rPr>
                <w:sz w:val="18"/>
                <w:lang w:val="fr-CA"/>
              </w:rPr>
              <w:t>4,</w:t>
            </w:r>
            <w:r w:rsidR="001D2840" w:rsidRPr="00143C85">
              <w:rPr>
                <w:sz w:val="18"/>
                <w:lang w:val="fr-CA"/>
              </w:rPr>
              <w:t>98</w:t>
            </w:r>
          </w:p>
        </w:tc>
        <w:tc>
          <w:tcPr>
            <w:tcW w:w="410" w:type="pct"/>
            <w:shd w:val="clear" w:color="auto" w:fill="auto"/>
          </w:tcPr>
          <w:p w:rsidR="001D2840" w:rsidRPr="00143C85" w:rsidRDefault="001D2840" w:rsidP="00143C85">
            <w:pPr>
              <w:spacing w:after="60"/>
              <w:jc w:val="right"/>
              <w:rPr>
                <w:sz w:val="18"/>
                <w:lang w:val="fr-CA"/>
              </w:rPr>
            </w:pPr>
          </w:p>
        </w:tc>
        <w:tc>
          <w:tcPr>
            <w:tcW w:w="480" w:type="pct"/>
            <w:shd w:val="clear" w:color="auto" w:fill="auto"/>
          </w:tcPr>
          <w:p w:rsidR="001D2840" w:rsidRPr="00143C85" w:rsidRDefault="001D2840" w:rsidP="00143C85">
            <w:pPr>
              <w:spacing w:after="60"/>
              <w:jc w:val="right"/>
              <w:rPr>
                <w:sz w:val="18"/>
                <w:lang w:val="fr-CA"/>
              </w:rPr>
            </w:pPr>
          </w:p>
        </w:tc>
        <w:tc>
          <w:tcPr>
            <w:tcW w:w="302" w:type="pct"/>
            <w:shd w:val="clear" w:color="auto" w:fill="auto"/>
          </w:tcPr>
          <w:p w:rsidR="001D2840" w:rsidRPr="00143C85" w:rsidRDefault="001D2840" w:rsidP="00143C85">
            <w:pPr>
              <w:spacing w:after="60"/>
              <w:jc w:val="right"/>
              <w:rPr>
                <w:sz w:val="18"/>
                <w:lang w:val="fr-CA"/>
              </w:rPr>
            </w:pPr>
          </w:p>
        </w:tc>
        <w:tc>
          <w:tcPr>
            <w:tcW w:w="819" w:type="pct"/>
            <w:shd w:val="clear" w:color="auto" w:fill="auto"/>
          </w:tcPr>
          <w:p w:rsidR="001D2840" w:rsidRPr="00143C85" w:rsidRDefault="003F6D47" w:rsidP="00143C85">
            <w:pPr>
              <w:spacing w:after="60"/>
              <w:jc w:val="right"/>
              <w:rPr>
                <w:sz w:val="18"/>
                <w:lang w:val="fr-CA"/>
              </w:rPr>
            </w:pPr>
            <w:r>
              <w:rPr>
                <w:sz w:val="18"/>
                <w:lang w:val="fr-CA"/>
              </w:rPr>
              <w:t>4,98</w:t>
            </w:r>
          </w:p>
        </w:tc>
      </w:tr>
      <w:tr w:rsidR="001D2840" w:rsidRPr="00143C85" w:rsidTr="00FB299D">
        <w:trPr>
          <w:trHeight w:val="800"/>
        </w:trPr>
        <w:tc>
          <w:tcPr>
            <w:tcW w:w="598" w:type="pct"/>
            <w:shd w:val="clear" w:color="auto" w:fill="auto"/>
          </w:tcPr>
          <w:p w:rsidR="001D2840" w:rsidRPr="00143C85" w:rsidRDefault="001D2840" w:rsidP="00FB299D">
            <w:pPr>
              <w:spacing w:after="60"/>
              <w:jc w:val="left"/>
              <w:rPr>
                <w:sz w:val="18"/>
                <w:lang w:val="fr-CA"/>
              </w:rPr>
            </w:pPr>
            <w:r w:rsidRPr="00143C85">
              <w:rPr>
                <w:sz w:val="18"/>
                <w:lang w:val="fr-CA"/>
              </w:rPr>
              <w:t xml:space="preserve">HCFC-141b </w:t>
            </w:r>
            <w:r w:rsidR="00FB299D">
              <w:rPr>
                <w:sz w:val="18"/>
                <w:lang w:val="fr-CA"/>
              </w:rPr>
              <w:t xml:space="preserve">contenu dans les polyols </w:t>
            </w:r>
            <w:proofErr w:type="spellStart"/>
            <w:r w:rsidR="00FB299D">
              <w:rPr>
                <w:sz w:val="18"/>
                <w:lang w:val="fr-CA"/>
              </w:rPr>
              <w:t>prémélangés</w:t>
            </w:r>
            <w:proofErr w:type="spellEnd"/>
            <w:r w:rsidR="00FB299D">
              <w:rPr>
                <w:sz w:val="18"/>
                <w:lang w:val="fr-CA"/>
              </w:rPr>
              <w:t xml:space="preserve"> importés</w:t>
            </w:r>
          </w:p>
        </w:tc>
        <w:tc>
          <w:tcPr>
            <w:tcW w:w="420" w:type="pct"/>
            <w:shd w:val="clear" w:color="auto" w:fill="auto"/>
          </w:tcPr>
          <w:p w:rsidR="001D2840" w:rsidRPr="00143C85" w:rsidRDefault="001D2840" w:rsidP="00143C85">
            <w:pPr>
              <w:spacing w:after="60"/>
              <w:jc w:val="right"/>
              <w:rPr>
                <w:sz w:val="18"/>
                <w:lang w:val="fr-CA"/>
              </w:rPr>
            </w:pPr>
          </w:p>
        </w:tc>
        <w:tc>
          <w:tcPr>
            <w:tcW w:w="335" w:type="pct"/>
            <w:shd w:val="clear" w:color="auto" w:fill="auto"/>
          </w:tcPr>
          <w:p w:rsidR="001D2840" w:rsidRPr="00143C85" w:rsidRDefault="003F6D47" w:rsidP="00143C85">
            <w:pPr>
              <w:spacing w:after="60"/>
              <w:jc w:val="right"/>
              <w:rPr>
                <w:sz w:val="18"/>
                <w:lang w:val="fr-CA"/>
              </w:rPr>
            </w:pPr>
            <w:r>
              <w:rPr>
                <w:sz w:val="18"/>
                <w:lang w:val="fr-CA"/>
              </w:rPr>
              <w:t>3,</w:t>
            </w:r>
            <w:r w:rsidR="001D2840" w:rsidRPr="00143C85">
              <w:rPr>
                <w:sz w:val="18"/>
                <w:lang w:val="fr-CA"/>
              </w:rPr>
              <w:t>15</w:t>
            </w:r>
          </w:p>
        </w:tc>
        <w:tc>
          <w:tcPr>
            <w:tcW w:w="463" w:type="pct"/>
            <w:shd w:val="clear" w:color="auto" w:fill="auto"/>
          </w:tcPr>
          <w:p w:rsidR="001D2840" w:rsidRPr="00143C85" w:rsidRDefault="001D2840" w:rsidP="00143C85">
            <w:pPr>
              <w:spacing w:after="60"/>
              <w:jc w:val="right"/>
              <w:rPr>
                <w:sz w:val="18"/>
                <w:lang w:val="fr-CA"/>
              </w:rPr>
            </w:pPr>
          </w:p>
        </w:tc>
        <w:tc>
          <w:tcPr>
            <w:tcW w:w="688" w:type="pct"/>
            <w:shd w:val="clear" w:color="auto" w:fill="auto"/>
          </w:tcPr>
          <w:p w:rsidR="001D2840" w:rsidRPr="00143C85" w:rsidRDefault="001D2840" w:rsidP="00143C85">
            <w:pPr>
              <w:spacing w:after="60"/>
              <w:jc w:val="right"/>
              <w:rPr>
                <w:sz w:val="18"/>
                <w:lang w:val="fr-CA"/>
              </w:rPr>
            </w:pPr>
          </w:p>
        </w:tc>
        <w:tc>
          <w:tcPr>
            <w:tcW w:w="484" w:type="pct"/>
            <w:shd w:val="clear" w:color="auto" w:fill="auto"/>
          </w:tcPr>
          <w:p w:rsidR="001D2840" w:rsidRPr="00143C85" w:rsidRDefault="001D2840" w:rsidP="00143C85">
            <w:pPr>
              <w:spacing w:after="60"/>
              <w:jc w:val="right"/>
              <w:rPr>
                <w:sz w:val="18"/>
                <w:lang w:val="fr-CA"/>
              </w:rPr>
            </w:pPr>
          </w:p>
        </w:tc>
        <w:tc>
          <w:tcPr>
            <w:tcW w:w="410" w:type="pct"/>
            <w:shd w:val="clear" w:color="auto" w:fill="auto"/>
          </w:tcPr>
          <w:p w:rsidR="001D2840" w:rsidRPr="00143C85" w:rsidRDefault="001D2840" w:rsidP="00143C85">
            <w:pPr>
              <w:spacing w:after="60"/>
              <w:jc w:val="right"/>
              <w:rPr>
                <w:sz w:val="18"/>
                <w:lang w:val="fr-CA"/>
              </w:rPr>
            </w:pPr>
          </w:p>
        </w:tc>
        <w:tc>
          <w:tcPr>
            <w:tcW w:w="480" w:type="pct"/>
            <w:shd w:val="clear" w:color="auto" w:fill="auto"/>
          </w:tcPr>
          <w:p w:rsidR="001D2840" w:rsidRPr="00143C85" w:rsidRDefault="001D2840" w:rsidP="00143C85">
            <w:pPr>
              <w:spacing w:after="60"/>
              <w:jc w:val="right"/>
              <w:rPr>
                <w:sz w:val="18"/>
                <w:lang w:val="fr-CA"/>
              </w:rPr>
            </w:pPr>
          </w:p>
        </w:tc>
        <w:tc>
          <w:tcPr>
            <w:tcW w:w="302" w:type="pct"/>
            <w:shd w:val="clear" w:color="auto" w:fill="auto"/>
          </w:tcPr>
          <w:p w:rsidR="001D2840" w:rsidRPr="00143C85" w:rsidRDefault="001D2840" w:rsidP="00143C85">
            <w:pPr>
              <w:spacing w:after="60"/>
              <w:jc w:val="right"/>
              <w:rPr>
                <w:sz w:val="18"/>
                <w:lang w:val="fr-CA"/>
              </w:rPr>
            </w:pPr>
          </w:p>
        </w:tc>
        <w:tc>
          <w:tcPr>
            <w:tcW w:w="819" w:type="pct"/>
            <w:shd w:val="clear" w:color="auto" w:fill="auto"/>
          </w:tcPr>
          <w:p w:rsidR="001D2840" w:rsidRPr="00143C85" w:rsidRDefault="003F6D47" w:rsidP="00143C85">
            <w:pPr>
              <w:spacing w:after="60"/>
              <w:jc w:val="right"/>
              <w:rPr>
                <w:sz w:val="18"/>
                <w:lang w:val="fr-CA"/>
              </w:rPr>
            </w:pPr>
            <w:r>
              <w:rPr>
                <w:sz w:val="18"/>
                <w:lang w:val="fr-CA"/>
              </w:rPr>
              <w:t>3,</w:t>
            </w:r>
            <w:r w:rsidR="001D2840" w:rsidRPr="00143C85">
              <w:rPr>
                <w:sz w:val="18"/>
                <w:lang w:val="fr-CA"/>
              </w:rPr>
              <w:t>15</w:t>
            </w:r>
          </w:p>
        </w:tc>
      </w:tr>
    </w:tbl>
    <w:p w:rsidR="001D2840" w:rsidRPr="00143C85" w:rsidRDefault="001D2840" w:rsidP="001D2840">
      <w:pPr>
        <w:spacing w:after="60"/>
        <w:jc w:val="center"/>
        <w:rPr>
          <w:lang w:val="fr-CA"/>
        </w:rPr>
      </w:pPr>
    </w:p>
    <w:tbl>
      <w:tblPr>
        <w:tblStyle w:val="TableGrid"/>
        <w:tblW w:w="5000" w:type="pct"/>
        <w:tblLook w:val="04A0" w:firstRow="1" w:lastRow="0" w:firstColumn="1" w:lastColumn="0" w:noHBand="0" w:noVBand="1"/>
      </w:tblPr>
      <w:tblGrid>
        <w:gridCol w:w="2511"/>
        <w:gridCol w:w="754"/>
        <w:gridCol w:w="5333"/>
        <w:gridCol w:w="752"/>
      </w:tblGrid>
      <w:tr w:rsidR="001D2840" w:rsidRPr="005F7ECE" w:rsidTr="00143C85">
        <w:trPr>
          <w:trHeight w:val="240"/>
        </w:trPr>
        <w:tc>
          <w:tcPr>
            <w:tcW w:w="5000" w:type="pct"/>
            <w:gridSpan w:val="4"/>
            <w:shd w:val="clear" w:color="auto" w:fill="auto"/>
          </w:tcPr>
          <w:p w:rsidR="001D2840" w:rsidRPr="00FB299D" w:rsidRDefault="001D2840" w:rsidP="00FB299D">
            <w:pPr>
              <w:spacing w:after="60"/>
              <w:jc w:val="left"/>
              <w:rPr>
                <w:b/>
                <w:sz w:val="18"/>
                <w:lang w:val="fr-CA"/>
              </w:rPr>
            </w:pPr>
            <w:r w:rsidRPr="00FB299D">
              <w:rPr>
                <w:b/>
                <w:sz w:val="18"/>
                <w:lang w:val="fr-CA"/>
              </w:rPr>
              <w:t xml:space="preserve">IV) </w:t>
            </w:r>
            <w:r w:rsidR="00FB299D" w:rsidRPr="00FB299D">
              <w:rPr>
                <w:b/>
                <w:sz w:val="18"/>
                <w:lang w:val="fr-CA"/>
              </w:rPr>
              <w:t>DONNÉES SUR LA CONSOMMATION</w:t>
            </w:r>
            <w:r w:rsidRPr="00FB299D">
              <w:rPr>
                <w:b/>
                <w:sz w:val="18"/>
                <w:lang w:val="fr-CA"/>
              </w:rPr>
              <w:t xml:space="preserve"> (tonnes</w:t>
            </w:r>
            <w:r w:rsidR="00FB299D">
              <w:rPr>
                <w:b/>
                <w:sz w:val="18"/>
                <w:lang w:val="fr-CA"/>
              </w:rPr>
              <w:t xml:space="preserve"> PAO</w:t>
            </w:r>
            <w:r w:rsidRPr="00FB299D">
              <w:rPr>
                <w:b/>
                <w:sz w:val="18"/>
                <w:lang w:val="fr-CA"/>
              </w:rPr>
              <w:t>)</w:t>
            </w:r>
          </w:p>
        </w:tc>
      </w:tr>
      <w:tr w:rsidR="001D2840" w:rsidRPr="00143C85" w:rsidTr="00EF62F7">
        <w:trPr>
          <w:trHeight w:val="240"/>
        </w:trPr>
        <w:tc>
          <w:tcPr>
            <w:tcW w:w="1343" w:type="pct"/>
            <w:shd w:val="clear" w:color="auto" w:fill="auto"/>
          </w:tcPr>
          <w:p w:rsidR="001D2840" w:rsidRPr="00143C85" w:rsidRDefault="00FB299D" w:rsidP="00143C85">
            <w:pPr>
              <w:spacing w:after="60"/>
              <w:jc w:val="center"/>
              <w:rPr>
                <w:sz w:val="18"/>
                <w:lang w:val="fr-CA"/>
              </w:rPr>
            </w:pPr>
            <w:r>
              <w:rPr>
                <w:sz w:val="18"/>
                <w:lang w:val="fr-CA"/>
              </w:rPr>
              <w:t xml:space="preserve">Valeur de référence </w:t>
            </w:r>
            <w:r>
              <w:rPr>
                <w:sz w:val="18"/>
                <w:lang w:val="fr-CA"/>
              </w:rPr>
              <w:br/>
              <w:t xml:space="preserve">2009 - 2010 </w:t>
            </w:r>
            <w:r w:rsidR="001D2840" w:rsidRPr="00143C85">
              <w:rPr>
                <w:sz w:val="18"/>
                <w:lang w:val="fr-CA"/>
              </w:rPr>
              <w:t>:</w:t>
            </w:r>
          </w:p>
        </w:tc>
        <w:tc>
          <w:tcPr>
            <w:tcW w:w="403" w:type="pct"/>
            <w:shd w:val="clear" w:color="auto" w:fill="auto"/>
          </w:tcPr>
          <w:p w:rsidR="001D2840" w:rsidRPr="00143C85" w:rsidRDefault="001D2840" w:rsidP="00FB299D">
            <w:pPr>
              <w:spacing w:after="60"/>
              <w:jc w:val="right"/>
              <w:rPr>
                <w:sz w:val="18"/>
                <w:lang w:val="fr-CA"/>
              </w:rPr>
            </w:pPr>
            <w:r w:rsidRPr="00143C85">
              <w:rPr>
                <w:sz w:val="18"/>
                <w:lang w:val="fr-CA"/>
              </w:rPr>
              <w:t>15</w:t>
            </w:r>
            <w:r w:rsidR="00FB299D">
              <w:rPr>
                <w:sz w:val="18"/>
                <w:lang w:val="fr-CA"/>
              </w:rPr>
              <w:t>.</w:t>
            </w:r>
            <w:r w:rsidRPr="00143C85">
              <w:rPr>
                <w:sz w:val="18"/>
                <w:lang w:val="fr-CA"/>
              </w:rPr>
              <w:t>0</w:t>
            </w:r>
          </w:p>
        </w:tc>
        <w:tc>
          <w:tcPr>
            <w:tcW w:w="2852" w:type="pct"/>
            <w:shd w:val="clear" w:color="auto" w:fill="auto"/>
          </w:tcPr>
          <w:p w:rsidR="001D2840" w:rsidRPr="00143C85" w:rsidRDefault="00FB299D" w:rsidP="00143C85">
            <w:pPr>
              <w:spacing w:after="60"/>
              <w:jc w:val="center"/>
              <w:rPr>
                <w:sz w:val="18"/>
                <w:lang w:val="fr-CA"/>
              </w:rPr>
            </w:pPr>
            <w:r>
              <w:rPr>
                <w:sz w:val="18"/>
                <w:lang w:val="fr-CA"/>
              </w:rPr>
              <w:t xml:space="preserve">Point de départ de la réduction globale durable </w:t>
            </w:r>
            <w:r w:rsidR="001D2840" w:rsidRPr="00143C85">
              <w:rPr>
                <w:sz w:val="18"/>
                <w:lang w:val="fr-CA"/>
              </w:rPr>
              <w:t>:</w:t>
            </w:r>
          </w:p>
        </w:tc>
        <w:tc>
          <w:tcPr>
            <w:tcW w:w="402" w:type="pct"/>
            <w:shd w:val="clear" w:color="auto" w:fill="auto"/>
          </w:tcPr>
          <w:p w:rsidR="001D2840" w:rsidRPr="00143C85" w:rsidRDefault="00FB299D" w:rsidP="00143C85">
            <w:pPr>
              <w:spacing w:after="60"/>
              <w:jc w:val="right"/>
              <w:rPr>
                <w:sz w:val="18"/>
                <w:lang w:val="fr-CA"/>
              </w:rPr>
            </w:pPr>
            <w:r>
              <w:rPr>
                <w:sz w:val="18"/>
                <w:lang w:val="fr-CA"/>
              </w:rPr>
              <w:t>15,</w:t>
            </w:r>
            <w:r w:rsidR="001D2840" w:rsidRPr="00143C85">
              <w:rPr>
                <w:sz w:val="18"/>
                <w:lang w:val="fr-CA"/>
              </w:rPr>
              <w:t>0</w:t>
            </w:r>
          </w:p>
        </w:tc>
      </w:tr>
      <w:tr w:rsidR="001D2840" w:rsidRPr="005F7ECE" w:rsidTr="00143C85">
        <w:trPr>
          <w:trHeight w:val="240"/>
        </w:trPr>
        <w:tc>
          <w:tcPr>
            <w:tcW w:w="5000" w:type="pct"/>
            <w:gridSpan w:val="4"/>
            <w:shd w:val="clear" w:color="auto" w:fill="auto"/>
          </w:tcPr>
          <w:p w:rsidR="001D2840" w:rsidRPr="00143C85" w:rsidRDefault="00FB299D" w:rsidP="00FB299D">
            <w:pPr>
              <w:spacing w:after="60"/>
              <w:jc w:val="center"/>
              <w:rPr>
                <w:b/>
                <w:sz w:val="18"/>
                <w:lang w:val="fr-CA"/>
              </w:rPr>
            </w:pPr>
            <w:r>
              <w:rPr>
                <w:b/>
                <w:sz w:val="18"/>
                <w:lang w:val="fr-CA"/>
              </w:rPr>
              <w:t>CONSOMMATION ADMISSIBLE AU FINANCEMENT</w:t>
            </w:r>
            <w:r w:rsidR="001D2840" w:rsidRPr="00143C85">
              <w:rPr>
                <w:b/>
                <w:sz w:val="18"/>
                <w:lang w:val="fr-CA"/>
              </w:rPr>
              <w:t xml:space="preserve"> (</w:t>
            </w:r>
            <w:r>
              <w:rPr>
                <w:b/>
                <w:sz w:val="18"/>
                <w:lang w:val="fr-CA"/>
              </w:rPr>
              <w:t xml:space="preserve">tonnes </w:t>
            </w:r>
            <w:r w:rsidR="001D2840" w:rsidRPr="00143C85">
              <w:rPr>
                <w:b/>
                <w:sz w:val="18"/>
                <w:lang w:val="fr-CA"/>
              </w:rPr>
              <w:t>ODP)</w:t>
            </w:r>
          </w:p>
        </w:tc>
      </w:tr>
      <w:tr w:rsidR="001D2840" w:rsidRPr="00143C85" w:rsidTr="00EF62F7">
        <w:trPr>
          <w:trHeight w:val="240"/>
        </w:trPr>
        <w:tc>
          <w:tcPr>
            <w:tcW w:w="1343" w:type="pct"/>
            <w:shd w:val="clear" w:color="auto" w:fill="auto"/>
          </w:tcPr>
          <w:p w:rsidR="001D2840" w:rsidRPr="00143C85" w:rsidRDefault="00EF62F7" w:rsidP="00143C85">
            <w:pPr>
              <w:spacing w:after="60"/>
              <w:jc w:val="center"/>
              <w:rPr>
                <w:sz w:val="18"/>
                <w:lang w:val="fr-CA"/>
              </w:rPr>
            </w:pPr>
            <w:r>
              <w:rPr>
                <w:sz w:val="18"/>
                <w:lang w:val="fr-CA"/>
              </w:rPr>
              <w:t xml:space="preserve">Déjà approuvée </w:t>
            </w:r>
          </w:p>
        </w:tc>
        <w:tc>
          <w:tcPr>
            <w:tcW w:w="403" w:type="pct"/>
            <w:shd w:val="clear" w:color="auto" w:fill="auto"/>
          </w:tcPr>
          <w:p w:rsidR="001D2840" w:rsidRPr="00143C85" w:rsidRDefault="00EF62F7" w:rsidP="00143C85">
            <w:pPr>
              <w:spacing w:after="60"/>
              <w:jc w:val="right"/>
              <w:rPr>
                <w:sz w:val="18"/>
                <w:lang w:val="fr-CA"/>
              </w:rPr>
            </w:pPr>
            <w:r>
              <w:rPr>
                <w:sz w:val="18"/>
                <w:lang w:val="fr-CA"/>
              </w:rPr>
              <w:t>15,0</w:t>
            </w:r>
          </w:p>
        </w:tc>
        <w:tc>
          <w:tcPr>
            <w:tcW w:w="2852" w:type="pct"/>
            <w:shd w:val="clear" w:color="auto" w:fill="auto"/>
          </w:tcPr>
          <w:p w:rsidR="001D2840" w:rsidRPr="00143C85" w:rsidRDefault="00EF62F7" w:rsidP="00143C85">
            <w:pPr>
              <w:spacing w:after="60"/>
              <w:jc w:val="center"/>
              <w:rPr>
                <w:sz w:val="18"/>
                <w:lang w:val="fr-CA"/>
              </w:rPr>
            </w:pPr>
            <w:r>
              <w:rPr>
                <w:sz w:val="18"/>
                <w:lang w:val="fr-CA"/>
              </w:rPr>
              <w:t>Restante</w:t>
            </w:r>
          </w:p>
        </w:tc>
        <w:tc>
          <w:tcPr>
            <w:tcW w:w="402" w:type="pct"/>
            <w:shd w:val="clear" w:color="auto" w:fill="auto"/>
          </w:tcPr>
          <w:p w:rsidR="001D2840" w:rsidRPr="00143C85" w:rsidRDefault="001D2840" w:rsidP="00143C85">
            <w:pPr>
              <w:spacing w:after="60"/>
              <w:jc w:val="right"/>
              <w:rPr>
                <w:sz w:val="18"/>
                <w:lang w:val="fr-CA"/>
              </w:rPr>
            </w:pPr>
            <w:r w:rsidRPr="00143C85">
              <w:rPr>
                <w:sz w:val="18"/>
                <w:lang w:val="fr-CA"/>
              </w:rPr>
              <w:t>0</w:t>
            </w:r>
          </w:p>
        </w:tc>
      </w:tr>
    </w:tbl>
    <w:p w:rsidR="001D2840" w:rsidRPr="00143C85" w:rsidRDefault="001D2840" w:rsidP="001D2840">
      <w:pPr>
        <w:spacing w:after="60"/>
        <w:jc w:val="center"/>
        <w:rPr>
          <w:lang w:val="fr-CA"/>
        </w:rPr>
      </w:pPr>
    </w:p>
    <w:tbl>
      <w:tblPr>
        <w:tblStyle w:val="TableGrid"/>
        <w:tblW w:w="5000" w:type="pct"/>
        <w:tblLook w:val="04A0" w:firstRow="1" w:lastRow="0" w:firstColumn="1" w:lastColumn="0" w:noHBand="0" w:noVBand="1"/>
      </w:tblPr>
      <w:tblGrid>
        <w:gridCol w:w="1134"/>
        <w:gridCol w:w="3798"/>
        <w:gridCol w:w="1105"/>
        <w:gridCol w:w="1105"/>
        <w:gridCol w:w="1105"/>
        <w:gridCol w:w="1103"/>
      </w:tblGrid>
      <w:tr w:rsidR="001D2840" w:rsidRPr="00143C85" w:rsidTr="00143C85">
        <w:trPr>
          <w:trHeight w:val="240"/>
        </w:trPr>
        <w:tc>
          <w:tcPr>
            <w:tcW w:w="2637" w:type="pct"/>
            <w:gridSpan w:val="2"/>
            <w:shd w:val="clear" w:color="auto" w:fill="auto"/>
          </w:tcPr>
          <w:p w:rsidR="001D2840" w:rsidRPr="00143C85" w:rsidRDefault="001D2840" w:rsidP="00EF62F7">
            <w:pPr>
              <w:spacing w:after="60"/>
              <w:jc w:val="left"/>
              <w:rPr>
                <w:b/>
                <w:sz w:val="18"/>
                <w:lang w:val="fr-CA"/>
              </w:rPr>
            </w:pPr>
            <w:r w:rsidRPr="00143C85">
              <w:rPr>
                <w:b/>
                <w:sz w:val="18"/>
                <w:lang w:val="fr-CA"/>
              </w:rPr>
              <w:t xml:space="preserve">V) </w:t>
            </w:r>
            <w:r w:rsidR="00EF62F7">
              <w:rPr>
                <w:b/>
                <w:sz w:val="18"/>
                <w:lang w:val="fr-CA"/>
              </w:rPr>
              <w:t>PLAN D’ACTIVITÉS</w:t>
            </w:r>
          </w:p>
        </w:tc>
        <w:tc>
          <w:tcPr>
            <w:tcW w:w="591" w:type="pct"/>
            <w:shd w:val="clear" w:color="auto" w:fill="auto"/>
          </w:tcPr>
          <w:p w:rsidR="001D2840" w:rsidRPr="00143C85" w:rsidRDefault="001D2840" w:rsidP="00143C85">
            <w:pPr>
              <w:spacing w:after="60"/>
              <w:jc w:val="center"/>
              <w:rPr>
                <w:b/>
                <w:sz w:val="18"/>
                <w:lang w:val="fr-CA"/>
              </w:rPr>
            </w:pPr>
            <w:r w:rsidRPr="00143C85">
              <w:rPr>
                <w:b/>
                <w:sz w:val="18"/>
                <w:lang w:val="fr-CA"/>
              </w:rPr>
              <w:t>2019</w:t>
            </w:r>
          </w:p>
        </w:tc>
        <w:tc>
          <w:tcPr>
            <w:tcW w:w="591" w:type="pct"/>
            <w:shd w:val="clear" w:color="auto" w:fill="auto"/>
          </w:tcPr>
          <w:p w:rsidR="001D2840" w:rsidRPr="00143C85" w:rsidRDefault="001D2840" w:rsidP="00143C85">
            <w:pPr>
              <w:spacing w:after="60"/>
              <w:jc w:val="center"/>
              <w:rPr>
                <w:b/>
                <w:sz w:val="18"/>
                <w:lang w:val="fr-CA"/>
              </w:rPr>
            </w:pPr>
            <w:r w:rsidRPr="00143C85">
              <w:rPr>
                <w:b/>
                <w:sz w:val="18"/>
                <w:lang w:val="fr-CA"/>
              </w:rPr>
              <w:t>2020</w:t>
            </w:r>
          </w:p>
        </w:tc>
        <w:tc>
          <w:tcPr>
            <w:tcW w:w="591" w:type="pct"/>
          </w:tcPr>
          <w:p w:rsidR="001D2840" w:rsidRPr="00143C85" w:rsidRDefault="001D2840" w:rsidP="00143C85">
            <w:pPr>
              <w:spacing w:after="60"/>
              <w:jc w:val="center"/>
              <w:rPr>
                <w:b/>
                <w:sz w:val="18"/>
                <w:lang w:val="fr-CA"/>
              </w:rPr>
            </w:pPr>
            <w:r w:rsidRPr="00143C85">
              <w:rPr>
                <w:b/>
                <w:sz w:val="18"/>
                <w:lang w:val="fr-CA"/>
              </w:rPr>
              <w:t>2021</w:t>
            </w:r>
          </w:p>
        </w:tc>
        <w:tc>
          <w:tcPr>
            <w:tcW w:w="590" w:type="pct"/>
            <w:shd w:val="clear" w:color="auto" w:fill="auto"/>
          </w:tcPr>
          <w:p w:rsidR="001D2840" w:rsidRPr="00143C85" w:rsidRDefault="001D2840" w:rsidP="00143C85">
            <w:pPr>
              <w:spacing w:after="60"/>
              <w:jc w:val="center"/>
              <w:rPr>
                <w:b/>
                <w:sz w:val="18"/>
                <w:lang w:val="fr-CA"/>
              </w:rPr>
            </w:pPr>
            <w:r w:rsidRPr="00143C85">
              <w:rPr>
                <w:b/>
                <w:sz w:val="18"/>
                <w:lang w:val="fr-CA"/>
              </w:rPr>
              <w:t>Total</w:t>
            </w:r>
          </w:p>
        </w:tc>
      </w:tr>
      <w:tr w:rsidR="001D2840" w:rsidRPr="00143C85" w:rsidTr="00143C85">
        <w:trPr>
          <w:trHeight w:val="240"/>
        </w:trPr>
        <w:tc>
          <w:tcPr>
            <w:tcW w:w="606" w:type="pct"/>
            <w:vMerge w:val="restart"/>
            <w:shd w:val="clear" w:color="auto" w:fill="auto"/>
          </w:tcPr>
          <w:p w:rsidR="001D2840" w:rsidRPr="00143C85" w:rsidRDefault="00EF62F7" w:rsidP="00143C85">
            <w:pPr>
              <w:spacing w:after="60"/>
              <w:jc w:val="center"/>
              <w:rPr>
                <w:sz w:val="18"/>
                <w:lang w:val="fr-CA"/>
              </w:rPr>
            </w:pPr>
            <w:r>
              <w:rPr>
                <w:sz w:val="18"/>
                <w:lang w:val="fr-CA"/>
              </w:rPr>
              <w:t>PNUE</w:t>
            </w:r>
          </w:p>
        </w:tc>
        <w:tc>
          <w:tcPr>
            <w:tcW w:w="2031" w:type="pct"/>
            <w:shd w:val="clear" w:color="auto" w:fill="auto"/>
          </w:tcPr>
          <w:p w:rsidR="001D2840" w:rsidRPr="00143C85" w:rsidRDefault="00EF62F7" w:rsidP="00143C85">
            <w:pPr>
              <w:spacing w:after="60"/>
              <w:jc w:val="left"/>
              <w:rPr>
                <w:sz w:val="18"/>
                <w:lang w:val="fr-CA"/>
              </w:rPr>
            </w:pPr>
            <w:r>
              <w:rPr>
                <w:sz w:val="18"/>
                <w:lang w:val="fr-CA"/>
              </w:rPr>
              <w:t>Élimination des SAO (tonnes PAO</w:t>
            </w:r>
            <w:r w:rsidR="001D2840" w:rsidRPr="00143C85">
              <w:rPr>
                <w:sz w:val="18"/>
                <w:lang w:val="fr-CA"/>
              </w:rPr>
              <w:t>)</w:t>
            </w:r>
          </w:p>
        </w:tc>
        <w:tc>
          <w:tcPr>
            <w:tcW w:w="591" w:type="pct"/>
            <w:shd w:val="clear" w:color="auto" w:fill="auto"/>
          </w:tcPr>
          <w:p w:rsidR="001D2840" w:rsidRPr="00143C85" w:rsidRDefault="001D2840" w:rsidP="00143C85">
            <w:pPr>
              <w:spacing w:after="60"/>
              <w:jc w:val="right"/>
              <w:rPr>
                <w:sz w:val="18"/>
                <w:lang w:val="fr-CA"/>
              </w:rPr>
            </w:pPr>
            <w:r w:rsidRPr="00143C85">
              <w:rPr>
                <w:sz w:val="18"/>
                <w:lang w:val="fr-CA"/>
              </w:rPr>
              <w:t>0</w:t>
            </w:r>
            <w:r w:rsidR="00EF62F7">
              <w:rPr>
                <w:sz w:val="18"/>
                <w:lang w:val="fr-CA"/>
              </w:rPr>
              <w:t>,</w:t>
            </w:r>
            <w:r w:rsidRPr="00143C85">
              <w:rPr>
                <w:sz w:val="18"/>
                <w:lang w:val="fr-CA"/>
              </w:rPr>
              <w:t>94</w:t>
            </w:r>
          </w:p>
        </w:tc>
        <w:tc>
          <w:tcPr>
            <w:tcW w:w="591" w:type="pct"/>
            <w:shd w:val="clear" w:color="auto" w:fill="auto"/>
          </w:tcPr>
          <w:p w:rsidR="001D2840" w:rsidRPr="00143C85" w:rsidRDefault="001D2840" w:rsidP="00143C85">
            <w:pPr>
              <w:spacing w:after="60"/>
              <w:jc w:val="right"/>
              <w:rPr>
                <w:sz w:val="18"/>
                <w:lang w:val="fr-CA"/>
              </w:rPr>
            </w:pPr>
            <w:r w:rsidRPr="00143C85">
              <w:rPr>
                <w:sz w:val="18"/>
                <w:lang w:val="fr-CA"/>
              </w:rPr>
              <w:t>0</w:t>
            </w:r>
            <w:r w:rsidR="00EF62F7">
              <w:rPr>
                <w:sz w:val="18"/>
                <w:lang w:val="fr-CA"/>
              </w:rPr>
              <w:t>,</w:t>
            </w:r>
            <w:r w:rsidRPr="00143C85">
              <w:rPr>
                <w:sz w:val="18"/>
                <w:lang w:val="fr-CA"/>
              </w:rPr>
              <w:t>00</w:t>
            </w:r>
          </w:p>
        </w:tc>
        <w:tc>
          <w:tcPr>
            <w:tcW w:w="591" w:type="pct"/>
          </w:tcPr>
          <w:p w:rsidR="001D2840" w:rsidRPr="00143C85" w:rsidRDefault="001D2840" w:rsidP="00143C85">
            <w:pPr>
              <w:spacing w:after="60"/>
              <w:jc w:val="right"/>
              <w:rPr>
                <w:sz w:val="18"/>
                <w:lang w:val="fr-CA"/>
              </w:rPr>
            </w:pPr>
            <w:r w:rsidRPr="00143C85">
              <w:rPr>
                <w:sz w:val="18"/>
                <w:lang w:val="fr-CA"/>
              </w:rPr>
              <w:t>0</w:t>
            </w:r>
            <w:r w:rsidR="00EF62F7">
              <w:rPr>
                <w:sz w:val="18"/>
                <w:lang w:val="fr-CA"/>
              </w:rPr>
              <w:t>,</w:t>
            </w:r>
            <w:r w:rsidRPr="00143C85">
              <w:rPr>
                <w:sz w:val="18"/>
                <w:lang w:val="fr-CA"/>
              </w:rPr>
              <w:t>00</w:t>
            </w:r>
          </w:p>
        </w:tc>
        <w:tc>
          <w:tcPr>
            <w:tcW w:w="590" w:type="pct"/>
            <w:shd w:val="clear" w:color="auto" w:fill="auto"/>
          </w:tcPr>
          <w:p w:rsidR="001D2840" w:rsidRPr="00143C85" w:rsidRDefault="001D2840" w:rsidP="00143C85">
            <w:pPr>
              <w:spacing w:after="60"/>
              <w:jc w:val="right"/>
              <w:rPr>
                <w:sz w:val="18"/>
                <w:lang w:val="fr-CA"/>
              </w:rPr>
            </w:pPr>
            <w:r w:rsidRPr="00143C85">
              <w:rPr>
                <w:sz w:val="18"/>
                <w:lang w:val="fr-CA"/>
              </w:rPr>
              <w:t>0</w:t>
            </w:r>
            <w:r w:rsidR="00EF62F7">
              <w:rPr>
                <w:sz w:val="18"/>
                <w:lang w:val="fr-CA"/>
              </w:rPr>
              <w:t>,</w:t>
            </w:r>
            <w:r w:rsidRPr="00143C85">
              <w:rPr>
                <w:sz w:val="18"/>
                <w:lang w:val="fr-CA"/>
              </w:rPr>
              <w:t>94</w:t>
            </w:r>
          </w:p>
        </w:tc>
      </w:tr>
      <w:tr w:rsidR="001D2840" w:rsidRPr="00143C85" w:rsidTr="00143C85">
        <w:trPr>
          <w:trHeight w:val="240"/>
        </w:trPr>
        <w:tc>
          <w:tcPr>
            <w:tcW w:w="606" w:type="pct"/>
            <w:vMerge/>
            <w:shd w:val="clear" w:color="auto" w:fill="auto"/>
          </w:tcPr>
          <w:p w:rsidR="001D2840" w:rsidRPr="00143C85" w:rsidRDefault="001D2840" w:rsidP="00143C85">
            <w:pPr>
              <w:spacing w:after="60"/>
              <w:jc w:val="center"/>
              <w:rPr>
                <w:sz w:val="18"/>
                <w:lang w:val="fr-CA"/>
              </w:rPr>
            </w:pPr>
          </w:p>
        </w:tc>
        <w:tc>
          <w:tcPr>
            <w:tcW w:w="2031" w:type="pct"/>
            <w:shd w:val="clear" w:color="auto" w:fill="auto"/>
          </w:tcPr>
          <w:p w:rsidR="001D2840" w:rsidRPr="00143C85" w:rsidRDefault="00EF62F7" w:rsidP="00143C85">
            <w:pPr>
              <w:spacing w:after="60"/>
              <w:jc w:val="left"/>
              <w:rPr>
                <w:sz w:val="18"/>
                <w:lang w:val="fr-CA"/>
              </w:rPr>
            </w:pPr>
            <w:r>
              <w:rPr>
                <w:sz w:val="18"/>
                <w:lang w:val="fr-CA"/>
              </w:rPr>
              <w:t>Financement ($US)</w:t>
            </w:r>
          </w:p>
        </w:tc>
        <w:tc>
          <w:tcPr>
            <w:tcW w:w="591" w:type="pct"/>
            <w:shd w:val="clear" w:color="auto" w:fill="auto"/>
          </w:tcPr>
          <w:p w:rsidR="001D2840" w:rsidRPr="00143C85" w:rsidRDefault="001D2840" w:rsidP="00143C85">
            <w:pPr>
              <w:spacing w:after="60"/>
              <w:jc w:val="right"/>
              <w:rPr>
                <w:sz w:val="18"/>
                <w:lang w:val="fr-CA"/>
              </w:rPr>
            </w:pPr>
            <w:r w:rsidRPr="00143C85">
              <w:rPr>
                <w:sz w:val="18"/>
                <w:lang w:val="fr-CA"/>
              </w:rPr>
              <w:t>113</w:t>
            </w:r>
            <w:r w:rsidR="00EF62F7">
              <w:rPr>
                <w:sz w:val="18"/>
                <w:lang w:val="fr-CA"/>
              </w:rPr>
              <w:t xml:space="preserve"> </w:t>
            </w:r>
            <w:r w:rsidRPr="00143C85">
              <w:rPr>
                <w:sz w:val="18"/>
                <w:lang w:val="fr-CA"/>
              </w:rPr>
              <w:t>000</w:t>
            </w:r>
          </w:p>
        </w:tc>
        <w:tc>
          <w:tcPr>
            <w:tcW w:w="591" w:type="pct"/>
            <w:shd w:val="clear" w:color="auto" w:fill="auto"/>
          </w:tcPr>
          <w:p w:rsidR="001D2840" w:rsidRPr="00143C85" w:rsidRDefault="001D2840" w:rsidP="00143C85">
            <w:pPr>
              <w:spacing w:after="60"/>
              <w:jc w:val="right"/>
              <w:rPr>
                <w:sz w:val="18"/>
                <w:lang w:val="fr-CA"/>
              </w:rPr>
            </w:pPr>
            <w:r w:rsidRPr="00143C85">
              <w:rPr>
                <w:sz w:val="18"/>
                <w:lang w:val="fr-CA"/>
              </w:rPr>
              <w:t>0</w:t>
            </w:r>
          </w:p>
        </w:tc>
        <w:tc>
          <w:tcPr>
            <w:tcW w:w="591" w:type="pct"/>
          </w:tcPr>
          <w:p w:rsidR="001D2840" w:rsidRPr="00143C85" w:rsidRDefault="001D2840" w:rsidP="00143C85">
            <w:pPr>
              <w:spacing w:after="60"/>
              <w:jc w:val="right"/>
              <w:rPr>
                <w:sz w:val="18"/>
                <w:lang w:val="fr-CA"/>
              </w:rPr>
            </w:pPr>
            <w:r w:rsidRPr="00143C85">
              <w:rPr>
                <w:sz w:val="18"/>
                <w:lang w:val="fr-CA"/>
              </w:rPr>
              <w:t>0</w:t>
            </w:r>
          </w:p>
        </w:tc>
        <w:tc>
          <w:tcPr>
            <w:tcW w:w="590" w:type="pct"/>
            <w:shd w:val="clear" w:color="auto" w:fill="auto"/>
          </w:tcPr>
          <w:p w:rsidR="001D2840" w:rsidRPr="00143C85" w:rsidRDefault="001D2840" w:rsidP="00143C85">
            <w:pPr>
              <w:spacing w:after="60"/>
              <w:jc w:val="right"/>
              <w:rPr>
                <w:sz w:val="18"/>
                <w:lang w:val="fr-CA"/>
              </w:rPr>
            </w:pPr>
            <w:r w:rsidRPr="00143C85">
              <w:rPr>
                <w:sz w:val="18"/>
                <w:lang w:val="fr-CA"/>
              </w:rPr>
              <w:t>113</w:t>
            </w:r>
            <w:r w:rsidR="00EF62F7">
              <w:rPr>
                <w:sz w:val="18"/>
                <w:lang w:val="fr-CA"/>
              </w:rPr>
              <w:t xml:space="preserve"> </w:t>
            </w:r>
            <w:r w:rsidRPr="00143C85">
              <w:rPr>
                <w:sz w:val="18"/>
                <w:lang w:val="fr-CA"/>
              </w:rPr>
              <w:t>000</w:t>
            </w:r>
          </w:p>
        </w:tc>
      </w:tr>
      <w:tr w:rsidR="001D2840" w:rsidRPr="00143C85" w:rsidTr="00143C85">
        <w:trPr>
          <w:trHeight w:val="240"/>
        </w:trPr>
        <w:tc>
          <w:tcPr>
            <w:tcW w:w="606" w:type="pct"/>
            <w:vMerge w:val="restart"/>
            <w:shd w:val="clear" w:color="auto" w:fill="auto"/>
          </w:tcPr>
          <w:p w:rsidR="001D2840" w:rsidRPr="00143C85" w:rsidRDefault="00EF62F7" w:rsidP="00143C85">
            <w:pPr>
              <w:spacing w:after="60"/>
              <w:jc w:val="center"/>
              <w:rPr>
                <w:sz w:val="18"/>
                <w:lang w:val="fr-CA"/>
              </w:rPr>
            </w:pPr>
            <w:r>
              <w:rPr>
                <w:sz w:val="18"/>
                <w:lang w:val="fr-CA"/>
              </w:rPr>
              <w:t>PNUD</w:t>
            </w:r>
          </w:p>
        </w:tc>
        <w:tc>
          <w:tcPr>
            <w:tcW w:w="2031" w:type="pct"/>
            <w:shd w:val="clear" w:color="auto" w:fill="auto"/>
          </w:tcPr>
          <w:p w:rsidR="001D2840" w:rsidRPr="00143C85" w:rsidRDefault="00EF62F7" w:rsidP="00143C85">
            <w:pPr>
              <w:spacing w:after="60"/>
              <w:jc w:val="left"/>
              <w:rPr>
                <w:sz w:val="18"/>
                <w:lang w:val="fr-CA"/>
              </w:rPr>
            </w:pPr>
            <w:r>
              <w:rPr>
                <w:sz w:val="18"/>
                <w:lang w:val="fr-CA"/>
              </w:rPr>
              <w:t>Élimination des SAO (tonnes PAO)</w:t>
            </w:r>
          </w:p>
        </w:tc>
        <w:tc>
          <w:tcPr>
            <w:tcW w:w="591" w:type="pct"/>
            <w:shd w:val="clear" w:color="auto" w:fill="auto"/>
          </w:tcPr>
          <w:p w:rsidR="001D2840" w:rsidRPr="00143C85" w:rsidRDefault="001D2840" w:rsidP="00143C85">
            <w:pPr>
              <w:spacing w:after="60"/>
              <w:jc w:val="right"/>
              <w:rPr>
                <w:sz w:val="18"/>
                <w:lang w:val="fr-CA"/>
              </w:rPr>
            </w:pPr>
            <w:r w:rsidRPr="00143C85">
              <w:rPr>
                <w:sz w:val="18"/>
                <w:lang w:val="fr-CA"/>
              </w:rPr>
              <w:t>1</w:t>
            </w:r>
            <w:r w:rsidR="00EF62F7">
              <w:rPr>
                <w:sz w:val="18"/>
                <w:lang w:val="fr-CA"/>
              </w:rPr>
              <w:t>,</w:t>
            </w:r>
            <w:r w:rsidRPr="00143C85">
              <w:rPr>
                <w:sz w:val="18"/>
                <w:lang w:val="fr-CA"/>
              </w:rPr>
              <w:t>41</w:t>
            </w:r>
          </w:p>
        </w:tc>
        <w:tc>
          <w:tcPr>
            <w:tcW w:w="591" w:type="pct"/>
            <w:shd w:val="clear" w:color="auto" w:fill="auto"/>
          </w:tcPr>
          <w:p w:rsidR="001D2840" w:rsidRPr="00143C85" w:rsidRDefault="001D2840" w:rsidP="00143C85">
            <w:pPr>
              <w:spacing w:after="60"/>
              <w:jc w:val="right"/>
              <w:rPr>
                <w:sz w:val="18"/>
                <w:lang w:val="fr-CA"/>
              </w:rPr>
            </w:pPr>
            <w:r w:rsidRPr="00143C85">
              <w:rPr>
                <w:sz w:val="18"/>
                <w:lang w:val="fr-CA"/>
              </w:rPr>
              <w:t>0</w:t>
            </w:r>
            <w:r w:rsidR="00EF62F7">
              <w:rPr>
                <w:sz w:val="18"/>
                <w:lang w:val="fr-CA"/>
              </w:rPr>
              <w:t>,</w:t>
            </w:r>
            <w:r w:rsidRPr="00143C85">
              <w:rPr>
                <w:sz w:val="18"/>
                <w:lang w:val="fr-CA"/>
              </w:rPr>
              <w:t xml:space="preserve">00 </w:t>
            </w:r>
          </w:p>
        </w:tc>
        <w:tc>
          <w:tcPr>
            <w:tcW w:w="591" w:type="pct"/>
          </w:tcPr>
          <w:p w:rsidR="001D2840" w:rsidRPr="00143C85" w:rsidRDefault="001D2840" w:rsidP="00143C85">
            <w:pPr>
              <w:spacing w:after="60"/>
              <w:jc w:val="right"/>
              <w:rPr>
                <w:sz w:val="18"/>
                <w:lang w:val="fr-CA"/>
              </w:rPr>
            </w:pPr>
            <w:r w:rsidRPr="00143C85">
              <w:rPr>
                <w:sz w:val="18"/>
                <w:lang w:val="fr-CA"/>
              </w:rPr>
              <w:t>0</w:t>
            </w:r>
            <w:r w:rsidR="00EF62F7">
              <w:rPr>
                <w:sz w:val="18"/>
                <w:lang w:val="fr-CA"/>
              </w:rPr>
              <w:t>,</w:t>
            </w:r>
            <w:r w:rsidRPr="00143C85">
              <w:rPr>
                <w:sz w:val="18"/>
                <w:lang w:val="fr-CA"/>
              </w:rPr>
              <w:t>00</w:t>
            </w:r>
          </w:p>
        </w:tc>
        <w:tc>
          <w:tcPr>
            <w:tcW w:w="590" w:type="pct"/>
            <w:shd w:val="clear" w:color="auto" w:fill="auto"/>
          </w:tcPr>
          <w:p w:rsidR="001D2840" w:rsidRPr="00143C85" w:rsidRDefault="001D2840" w:rsidP="00143C85">
            <w:pPr>
              <w:spacing w:after="60"/>
              <w:jc w:val="right"/>
              <w:rPr>
                <w:sz w:val="18"/>
                <w:lang w:val="fr-CA"/>
              </w:rPr>
            </w:pPr>
            <w:r w:rsidRPr="00143C85">
              <w:rPr>
                <w:sz w:val="18"/>
                <w:lang w:val="fr-CA"/>
              </w:rPr>
              <w:t>1</w:t>
            </w:r>
            <w:r w:rsidR="00EF62F7">
              <w:rPr>
                <w:sz w:val="18"/>
                <w:lang w:val="fr-CA"/>
              </w:rPr>
              <w:t>,</w:t>
            </w:r>
            <w:r w:rsidRPr="00143C85">
              <w:rPr>
                <w:sz w:val="18"/>
                <w:lang w:val="fr-CA"/>
              </w:rPr>
              <w:t>41</w:t>
            </w:r>
          </w:p>
        </w:tc>
      </w:tr>
      <w:tr w:rsidR="001D2840" w:rsidRPr="00143C85" w:rsidTr="00143C85">
        <w:trPr>
          <w:trHeight w:val="240"/>
        </w:trPr>
        <w:tc>
          <w:tcPr>
            <w:tcW w:w="606" w:type="pct"/>
            <w:vMerge/>
            <w:shd w:val="clear" w:color="auto" w:fill="auto"/>
          </w:tcPr>
          <w:p w:rsidR="001D2840" w:rsidRPr="00143C85" w:rsidRDefault="001D2840" w:rsidP="00143C85">
            <w:pPr>
              <w:spacing w:after="60"/>
              <w:jc w:val="center"/>
              <w:rPr>
                <w:sz w:val="18"/>
                <w:lang w:val="fr-CA"/>
              </w:rPr>
            </w:pPr>
          </w:p>
        </w:tc>
        <w:tc>
          <w:tcPr>
            <w:tcW w:w="2031" w:type="pct"/>
            <w:shd w:val="clear" w:color="auto" w:fill="auto"/>
          </w:tcPr>
          <w:p w:rsidR="001D2840" w:rsidRPr="00143C85" w:rsidRDefault="00EF62F7" w:rsidP="00143C85">
            <w:pPr>
              <w:spacing w:after="60"/>
              <w:jc w:val="left"/>
              <w:rPr>
                <w:sz w:val="18"/>
                <w:lang w:val="fr-CA"/>
              </w:rPr>
            </w:pPr>
            <w:r>
              <w:rPr>
                <w:sz w:val="18"/>
                <w:lang w:val="fr-CA"/>
              </w:rPr>
              <w:t>Financement ($US)</w:t>
            </w:r>
          </w:p>
        </w:tc>
        <w:tc>
          <w:tcPr>
            <w:tcW w:w="591" w:type="pct"/>
            <w:shd w:val="clear" w:color="auto" w:fill="auto"/>
          </w:tcPr>
          <w:p w:rsidR="001D2840" w:rsidRPr="00143C85" w:rsidRDefault="001D2840" w:rsidP="00143C85">
            <w:pPr>
              <w:spacing w:after="60"/>
              <w:jc w:val="right"/>
              <w:rPr>
                <w:sz w:val="18"/>
                <w:lang w:val="fr-CA"/>
              </w:rPr>
            </w:pPr>
            <w:r w:rsidRPr="00143C85">
              <w:rPr>
                <w:sz w:val="18"/>
                <w:lang w:val="fr-CA"/>
              </w:rPr>
              <w:t>161</w:t>
            </w:r>
            <w:r w:rsidR="00EF62F7">
              <w:rPr>
                <w:sz w:val="18"/>
                <w:lang w:val="fr-CA"/>
              </w:rPr>
              <w:t xml:space="preserve"> </w:t>
            </w:r>
            <w:r w:rsidRPr="00143C85">
              <w:rPr>
                <w:sz w:val="18"/>
                <w:lang w:val="fr-CA"/>
              </w:rPr>
              <w:t>250</w:t>
            </w:r>
          </w:p>
        </w:tc>
        <w:tc>
          <w:tcPr>
            <w:tcW w:w="591" w:type="pct"/>
            <w:shd w:val="clear" w:color="auto" w:fill="auto"/>
          </w:tcPr>
          <w:p w:rsidR="001D2840" w:rsidRPr="00143C85" w:rsidRDefault="001D2840" w:rsidP="00143C85">
            <w:pPr>
              <w:spacing w:after="60"/>
              <w:jc w:val="right"/>
              <w:rPr>
                <w:sz w:val="18"/>
                <w:lang w:val="fr-CA"/>
              </w:rPr>
            </w:pPr>
            <w:r w:rsidRPr="00143C85">
              <w:rPr>
                <w:sz w:val="18"/>
                <w:lang w:val="fr-CA"/>
              </w:rPr>
              <w:t>0</w:t>
            </w:r>
          </w:p>
        </w:tc>
        <w:tc>
          <w:tcPr>
            <w:tcW w:w="591" w:type="pct"/>
          </w:tcPr>
          <w:p w:rsidR="001D2840" w:rsidRPr="00143C85" w:rsidRDefault="001D2840" w:rsidP="00143C85">
            <w:pPr>
              <w:spacing w:after="60"/>
              <w:jc w:val="right"/>
              <w:rPr>
                <w:sz w:val="18"/>
                <w:lang w:val="fr-CA"/>
              </w:rPr>
            </w:pPr>
            <w:r w:rsidRPr="00143C85">
              <w:rPr>
                <w:sz w:val="18"/>
                <w:lang w:val="fr-CA"/>
              </w:rPr>
              <w:t>0</w:t>
            </w:r>
          </w:p>
        </w:tc>
        <w:tc>
          <w:tcPr>
            <w:tcW w:w="590" w:type="pct"/>
            <w:shd w:val="clear" w:color="auto" w:fill="auto"/>
          </w:tcPr>
          <w:p w:rsidR="001D2840" w:rsidRPr="00143C85" w:rsidRDefault="001D2840" w:rsidP="00143C85">
            <w:pPr>
              <w:spacing w:after="60"/>
              <w:jc w:val="right"/>
              <w:rPr>
                <w:sz w:val="18"/>
                <w:lang w:val="fr-CA"/>
              </w:rPr>
            </w:pPr>
            <w:r w:rsidRPr="00143C85">
              <w:rPr>
                <w:sz w:val="18"/>
                <w:lang w:val="fr-CA"/>
              </w:rPr>
              <w:t>161</w:t>
            </w:r>
            <w:r w:rsidR="00EF62F7">
              <w:rPr>
                <w:sz w:val="18"/>
                <w:lang w:val="fr-CA"/>
              </w:rPr>
              <w:t xml:space="preserve"> </w:t>
            </w:r>
            <w:r w:rsidRPr="00143C85">
              <w:rPr>
                <w:sz w:val="18"/>
                <w:lang w:val="fr-CA"/>
              </w:rPr>
              <w:t>250</w:t>
            </w:r>
          </w:p>
        </w:tc>
      </w:tr>
    </w:tbl>
    <w:p w:rsidR="001D2840" w:rsidRPr="00143C85" w:rsidRDefault="001D2840" w:rsidP="001D2840">
      <w:pPr>
        <w:jc w:val="center"/>
        <w:rPr>
          <w:lang w:val="fr-CA"/>
        </w:rPr>
      </w:pPr>
    </w:p>
    <w:p w:rsidR="001D2840" w:rsidRPr="00143C85" w:rsidRDefault="001D2840" w:rsidP="001D2840">
      <w:pPr>
        <w:jc w:val="center"/>
        <w:rPr>
          <w:lang w:val="fr-CA"/>
        </w:rPr>
        <w:sectPr w:rsidR="001D2840" w:rsidRPr="00143C85" w:rsidSect="004744EB">
          <w:headerReference w:type="even" r:id="rId10"/>
          <w:headerReference w:type="default" r:id="rId11"/>
          <w:footerReference w:type="even" r:id="rId12"/>
          <w:footerReference w:type="default" r:id="rId13"/>
          <w:headerReference w:type="first" r:id="rId14"/>
          <w:pgSz w:w="12240" w:h="15840" w:code="1"/>
          <w:pgMar w:top="720" w:right="1440" w:bottom="864" w:left="1440" w:header="720" w:footer="475" w:gutter="0"/>
          <w:cols w:space="720"/>
          <w:docGrid w:linePitch="299"/>
        </w:sectPr>
      </w:pPr>
    </w:p>
    <w:tbl>
      <w:tblPr>
        <w:tblStyle w:val="TableGrid"/>
        <w:tblW w:w="5000" w:type="pct"/>
        <w:tblLook w:val="04A0" w:firstRow="1" w:lastRow="0" w:firstColumn="1" w:lastColumn="0" w:noHBand="0" w:noVBand="1"/>
      </w:tblPr>
      <w:tblGrid>
        <w:gridCol w:w="1147"/>
        <w:gridCol w:w="732"/>
        <w:gridCol w:w="815"/>
        <w:gridCol w:w="829"/>
        <w:gridCol w:w="655"/>
        <w:gridCol w:w="829"/>
        <w:gridCol w:w="590"/>
        <w:gridCol w:w="590"/>
        <w:gridCol w:w="829"/>
        <w:gridCol w:w="655"/>
        <w:gridCol w:w="829"/>
        <w:gridCol w:w="655"/>
        <w:gridCol w:w="829"/>
        <w:gridCol w:w="655"/>
        <w:gridCol w:w="829"/>
        <w:gridCol w:w="655"/>
        <w:gridCol w:w="590"/>
        <w:gridCol w:w="732"/>
        <w:gridCol w:w="801"/>
      </w:tblGrid>
      <w:tr w:rsidR="00EF62F7" w:rsidRPr="00143C85" w:rsidTr="008D2B35">
        <w:tc>
          <w:tcPr>
            <w:tcW w:w="946" w:type="pct"/>
            <w:gridSpan w:val="3"/>
            <w:shd w:val="clear" w:color="auto" w:fill="auto"/>
          </w:tcPr>
          <w:p w:rsidR="001D2840" w:rsidRPr="00143C85" w:rsidRDefault="001D2840" w:rsidP="00EF62F7">
            <w:pPr>
              <w:spacing w:after="60"/>
              <w:jc w:val="left"/>
              <w:rPr>
                <w:b/>
                <w:sz w:val="18"/>
                <w:szCs w:val="18"/>
                <w:lang w:val="fr-CA"/>
              </w:rPr>
            </w:pPr>
            <w:r w:rsidRPr="00143C85">
              <w:rPr>
                <w:b/>
                <w:sz w:val="18"/>
                <w:szCs w:val="18"/>
                <w:lang w:val="fr-CA"/>
              </w:rPr>
              <w:lastRenderedPageBreak/>
              <w:t xml:space="preserve">VI) </w:t>
            </w:r>
            <w:r w:rsidR="00EF62F7">
              <w:rPr>
                <w:b/>
                <w:sz w:val="18"/>
                <w:szCs w:val="18"/>
                <w:lang w:val="fr-CA"/>
              </w:rPr>
              <w:t>DONNÉES DU PROJET</w:t>
            </w:r>
          </w:p>
        </w:tc>
        <w:tc>
          <w:tcPr>
            <w:tcW w:w="291" w:type="pct"/>
          </w:tcPr>
          <w:p w:rsidR="001D2840" w:rsidRPr="00143C85" w:rsidRDefault="001D2840" w:rsidP="00143C85">
            <w:pPr>
              <w:spacing w:after="60"/>
              <w:jc w:val="center"/>
              <w:rPr>
                <w:b/>
                <w:sz w:val="18"/>
                <w:szCs w:val="18"/>
                <w:lang w:val="fr-CA"/>
              </w:rPr>
            </w:pPr>
            <w:r w:rsidRPr="00143C85">
              <w:rPr>
                <w:b/>
                <w:sz w:val="18"/>
                <w:szCs w:val="18"/>
                <w:lang w:val="fr-CA"/>
              </w:rPr>
              <w:t>2010</w:t>
            </w:r>
          </w:p>
        </w:tc>
        <w:tc>
          <w:tcPr>
            <w:tcW w:w="230" w:type="pct"/>
          </w:tcPr>
          <w:p w:rsidR="001D2840" w:rsidRPr="00143C85" w:rsidRDefault="001D2840" w:rsidP="00143C85">
            <w:pPr>
              <w:spacing w:after="60"/>
              <w:jc w:val="center"/>
              <w:rPr>
                <w:b/>
                <w:sz w:val="18"/>
                <w:szCs w:val="18"/>
                <w:lang w:val="fr-CA"/>
              </w:rPr>
            </w:pPr>
            <w:r w:rsidRPr="00143C85">
              <w:rPr>
                <w:b/>
                <w:sz w:val="18"/>
                <w:szCs w:val="18"/>
                <w:lang w:val="fr-CA"/>
              </w:rPr>
              <w:t>2011-2012</w:t>
            </w:r>
          </w:p>
        </w:tc>
        <w:tc>
          <w:tcPr>
            <w:tcW w:w="291" w:type="pct"/>
            <w:shd w:val="clear" w:color="auto" w:fill="auto"/>
          </w:tcPr>
          <w:p w:rsidR="001D2840" w:rsidRPr="00143C85" w:rsidRDefault="001D2840" w:rsidP="00143C85">
            <w:pPr>
              <w:spacing w:after="60"/>
              <w:jc w:val="center"/>
              <w:rPr>
                <w:b/>
                <w:sz w:val="18"/>
                <w:szCs w:val="18"/>
                <w:lang w:val="fr-CA"/>
              </w:rPr>
            </w:pPr>
            <w:r w:rsidRPr="00143C85">
              <w:rPr>
                <w:b/>
                <w:sz w:val="18"/>
                <w:szCs w:val="18"/>
                <w:lang w:val="fr-CA"/>
              </w:rPr>
              <w:t>2013</w:t>
            </w:r>
          </w:p>
        </w:tc>
        <w:tc>
          <w:tcPr>
            <w:tcW w:w="207" w:type="pct"/>
            <w:shd w:val="clear" w:color="auto" w:fill="auto"/>
          </w:tcPr>
          <w:p w:rsidR="001D2840" w:rsidRPr="00143C85" w:rsidRDefault="001D2840" w:rsidP="00143C85">
            <w:pPr>
              <w:spacing w:after="60"/>
              <w:jc w:val="center"/>
              <w:rPr>
                <w:b/>
                <w:sz w:val="18"/>
                <w:szCs w:val="18"/>
                <w:lang w:val="fr-CA"/>
              </w:rPr>
            </w:pPr>
            <w:r w:rsidRPr="00143C85">
              <w:rPr>
                <w:b/>
                <w:sz w:val="18"/>
                <w:szCs w:val="18"/>
                <w:lang w:val="fr-CA"/>
              </w:rPr>
              <w:t>2014</w:t>
            </w:r>
          </w:p>
        </w:tc>
        <w:tc>
          <w:tcPr>
            <w:tcW w:w="207" w:type="pct"/>
            <w:shd w:val="clear" w:color="auto" w:fill="auto"/>
          </w:tcPr>
          <w:p w:rsidR="001D2840" w:rsidRPr="00143C85" w:rsidRDefault="001D2840" w:rsidP="00143C85">
            <w:pPr>
              <w:spacing w:after="60"/>
              <w:jc w:val="center"/>
              <w:rPr>
                <w:b/>
                <w:sz w:val="18"/>
                <w:szCs w:val="18"/>
                <w:lang w:val="fr-CA"/>
              </w:rPr>
            </w:pPr>
            <w:r w:rsidRPr="00143C85">
              <w:rPr>
                <w:b/>
                <w:sz w:val="18"/>
                <w:szCs w:val="18"/>
                <w:lang w:val="fr-CA"/>
              </w:rPr>
              <w:t>2015</w:t>
            </w:r>
          </w:p>
        </w:tc>
        <w:tc>
          <w:tcPr>
            <w:tcW w:w="291" w:type="pct"/>
            <w:shd w:val="clear" w:color="auto" w:fill="auto"/>
          </w:tcPr>
          <w:p w:rsidR="001D2840" w:rsidRPr="00143C85" w:rsidRDefault="001D2840" w:rsidP="00143C85">
            <w:pPr>
              <w:spacing w:after="60"/>
              <w:jc w:val="center"/>
              <w:rPr>
                <w:b/>
                <w:sz w:val="18"/>
                <w:szCs w:val="18"/>
                <w:lang w:val="fr-CA"/>
              </w:rPr>
            </w:pPr>
            <w:r w:rsidRPr="00143C85">
              <w:rPr>
                <w:b/>
                <w:sz w:val="18"/>
                <w:szCs w:val="18"/>
                <w:lang w:val="fr-CA"/>
              </w:rPr>
              <w:t>2016</w:t>
            </w:r>
          </w:p>
        </w:tc>
        <w:tc>
          <w:tcPr>
            <w:tcW w:w="230" w:type="pct"/>
            <w:shd w:val="clear" w:color="auto" w:fill="auto"/>
          </w:tcPr>
          <w:p w:rsidR="001D2840" w:rsidRPr="00143C85" w:rsidRDefault="001D2840" w:rsidP="00143C85">
            <w:pPr>
              <w:spacing w:after="60"/>
              <w:jc w:val="center"/>
              <w:rPr>
                <w:b/>
                <w:sz w:val="18"/>
                <w:szCs w:val="18"/>
                <w:lang w:val="fr-CA"/>
              </w:rPr>
            </w:pPr>
            <w:r w:rsidRPr="00143C85">
              <w:rPr>
                <w:b/>
                <w:sz w:val="18"/>
                <w:szCs w:val="18"/>
                <w:lang w:val="fr-CA"/>
              </w:rPr>
              <w:t>2017-2018</w:t>
            </w:r>
          </w:p>
        </w:tc>
        <w:tc>
          <w:tcPr>
            <w:tcW w:w="291" w:type="pct"/>
            <w:shd w:val="clear" w:color="auto" w:fill="auto"/>
          </w:tcPr>
          <w:p w:rsidR="001D2840" w:rsidRPr="00143C85" w:rsidRDefault="001D2840" w:rsidP="00143C85">
            <w:pPr>
              <w:spacing w:after="60"/>
              <w:jc w:val="center"/>
              <w:rPr>
                <w:b/>
                <w:sz w:val="18"/>
                <w:szCs w:val="18"/>
                <w:lang w:val="fr-CA"/>
              </w:rPr>
            </w:pPr>
            <w:r w:rsidRPr="00143C85">
              <w:rPr>
                <w:b/>
                <w:sz w:val="18"/>
                <w:szCs w:val="18"/>
                <w:lang w:val="fr-CA"/>
              </w:rPr>
              <w:t>2019</w:t>
            </w:r>
          </w:p>
        </w:tc>
        <w:tc>
          <w:tcPr>
            <w:tcW w:w="230" w:type="pct"/>
            <w:shd w:val="clear" w:color="auto" w:fill="auto"/>
          </w:tcPr>
          <w:p w:rsidR="001D2840" w:rsidRPr="00143C85" w:rsidRDefault="001D2840" w:rsidP="00143C85">
            <w:pPr>
              <w:spacing w:after="60"/>
              <w:jc w:val="center"/>
              <w:rPr>
                <w:b/>
                <w:sz w:val="18"/>
                <w:szCs w:val="18"/>
                <w:lang w:val="fr-CA"/>
              </w:rPr>
            </w:pPr>
            <w:r w:rsidRPr="00143C85">
              <w:rPr>
                <w:b/>
                <w:sz w:val="18"/>
                <w:szCs w:val="18"/>
                <w:lang w:val="fr-CA"/>
              </w:rPr>
              <w:t>2020-2021</w:t>
            </w:r>
          </w:p>
        </w:tc>
        <w:tc>
          <w:tcPr>
            <w:tcW w:w="291" w:type="pct"/>
            <w:shd w:val="clear" w:color="auto" w:fill="auto"/>
          </w:tcPr>
          <w:p w:rsidR="001D2840" w:rsidRPr="00143C85" w:rsidRDefault="001D2840" w:rsidP="00143C85">
            <w:pPr>
              <w:spacing w:after="60"/>
              <w:jc w:val="center"/>
              <w:rPr>
                <w:b/>
                <w:sz w:val="18"/>
                <w:szCs w:val="18"/>
                <w:lang w:val="fr-CA"/>
              </w:rPr>
            </w:pPr>
            <w:r w:rsidRPr="00143C85">
              <w:rPr>
                <w:b/>
                <w:sz w:val="18"/>
                <w:szCs w:val="18"/>
                <w:lang w:val="fr-CA"/>
              </w:rPr>
              <w:t>2022</w:t>
            </w:r>
          </w:p>
        </w:tc>
        <w:tc>
          <w:tcPr>
            <w:tcW w:w="230" w:type="pct"/>
            <w:shd w:val="clear" w:color="auto" w:fill="auto"/>
          </w:tcPr>
          <w:p w:rsidR="001D2840" w:rsidRPr="00143C85" w:rsidRDefault="001D2840" w:rsidP="00143C85">
            <w:pPr>
              <w:spacing w:after="60"/>
              <w:jc w:val="center"/>
              <w:rPr>
                <w:b/>
                <w:sz w:val="18"/>
                <w:szCs w:val="18"/>
                <w:lang w:val="fr-CA"/>
              </w:rPr>
            </w:pPr>
            <w:r w:rsidRPr="00143C85">
              <w:rPr>
                <w:b/>
                <w:sz w:val="18"/>
                <w:szCs w:val="18"/>
                <w:lang w:val="fr-CA"/>
              </w:rPr>
              <w:t>2023-2024</w:t>
            </w:r>
          </w:p>
        </w:tc>
        <w:tc>
          <w:tcPr>
            <w:tcW w:w="291" w:type="pct"/>
            <w:shd w:val="clear" w:color="auto" w:fill="auto"/>
          </w:tcPr>
          <w:p w:rsidR="001D2840" w:rsidRPr="00143C85" w:rsidRDefault="001D2840" w:rsidP="00143C85">
            <w:pPr>
              <w:spacing w:after="60"/>
              <w:jc w:val="center"/>
              <w:rPr>
                <w:b/>
                <w:sz w:val="18"/>
                <w:szCs w:val="18"/>
                <w:lang w:val="fr-CA"/>
              </w:rPr>
            </w:pPr>
            <w:r w:rsidRPr="00143C85">
              <w:rPr>
                <w:b/>
                <w:sz w:val="18"/>
                <w:szCs w:val="18"/>
                <w:lang w:val="fr-CA"/>
              </w:rPr>
              <w:t>2025</w:t>
            </w:r>
          </w:p>
        </w:tc>
        <w:tc>
          <w:tcPr>
            <w:tcW w:w="230" w:type="pct"/>
            <w:shd w:val="clear" w:color="auto" w:fill="auto"/>
          </w:tcPr>
          <w:p w:rsidR="001D2840" w:rsidRPr="00143C85" w:rsidRDefault="001D2840" w:rsidP="00143C85">
            <w:pPr>
              <w:spacing w:after="60"/>
              <w:jc w:val="center"/>
              <w:rPr>
                <w:b/>
                <w:sz w:val="18"/>
                <w:szCs w:val="18"/>
                <w:lang w:val="fr-CA"/>
              </w:rPr>
            </w:pPr>
            <w:r w:rsidRPr="00143C85">
              <w:rPr>
                <w:b/>
                <w:sz w:val="18"/>
                <w:szCs w:val="18"/>
                <w:lang w:val="fr-CA"/>
              </w:rPr>
              <w:t>2026-2029</w:t>
            </w:r>
          </w:p>
        </w:tc>
        <w:tc>
          <w:tcPr>
            <w:tcW w:w="207" w:type="pct"/>
            <w:shd w:val="clear" w:color="auto" w:fill="auto"/>
          </w:tcPr>
          <w:p w:rsidR="001D2840" w:rsidRPr="00143C85" w:rsidRDefault="001D2840" w:rsidP="00143C85">
            <w:pPr>
              <w:spacing w:after="60"/>
              <w:jc w:val="center"/>
              <w:rPr>
                <w:b/>
                <w:sz w:val="18"/>
                <w:szCs w:val="18"/>
                <w:lang w:val="fr-CA"/>
              </w:rPr>
            </w:pPr>
            <w:r w:rsidRPr="00143C85">
              <w:rPr>
                <w:b/>
                <w:sz w:val="18"/>
                <w:szCs w:val="18"/>
                <w:lang w:val="fr-CA"/>
              </w:rPr>
              <w:t>2030</w:t>
            </w:r>
          </w:p>
        </w:tc>
        <w:tc>
          <w:tcPr>
            <w:tcW w:w="257" w:type="pct"/>
            <w:shd w:val="clear" w:color="auto" w:fill="auto"/>
          </w:tcPr>
          <w:p w:rsidR="001D2840" w:rsidRPr="00143C85" w:rsidRDefault="001D2840" w:rsidP="00143C85">
            <w:pPr>
              <w:spacing w:after="60"/>
              <w:jc w:val="center"/>
              <w:rPr>
                <w:b/>
                <w:sz w:val="18"/>
                <w:szCs w:val="18"/>
                <w:lang w:val="fr-CA"/>
              </w:rPr>
            </w:pPr>
            <w:r w:rsidRPr="00143C85">
              <w:rPr>
                <w:b/>
                <w:sz w:val="18"/>
                <w:szCs w:val="18"/>
                <w:lang w:val="fr-CA"/>
              </w:rPr>
              <w:t>2031</w:t>
            </w:r>
          </w:p>
        </w:tc>
        <w:tc>
          <w:tcPr>
            <w:tcW w:w="281" w:type="pct"/>
            <w:shd w:val="clear" w:color="auto" w:fill="auto"/>
          </w:tcPr>
          <w:p w:rsidR="001D2840" w:rsidRPr="00143C85" w:rsidRDefault="001D2840" w:rsidP="00143C85">
            <w:pPr>
              <w:spacing w:after="60"/>
              <w:jc w:val="center"/>
              <w:rPr>
                <w:b/>
                <w:sz w:val="18"/>
                <w:szCs w:val="18"/>
                <w:lang w:val="fr-CA"/>
              </w:rPr>
            </w:pPr>
            <w:r w:rsidRPr="00143C85">
              <w:rPr>
                <w:b/>
                <w:sz w:val="18"/>
                <w:szCs w:val="18"/>
                <w:lang w:val="fr-CA"/>
              </w:rPr>
              <w:t>Total</w:t>
            </w:r>
          </w:p>
        </w:tc>
      </w:tr>
      <w:tr w:rsidR="00EF62F7" w:rsidRPr="00143C85" w:rsidTr="008D2B35">
        <w:tc>
          <w:tcPr>
            <w:tcW w:w="946" w:type="pct"/>
            <w:gridSpan w:val="3"/>
            <w:shd w:val="clear" w:color="auto" w:fill="auto"/>
          </w:tcPr>
          <w:p w:rsidR="00EF62F7" w:rsidRPr="003F6D47" w:rsidRDefault="00EF62F7" w:rsidP="00EF62F7">
            <w:pPr>
              <w:spacing w:after="60"/>
              <w:rPr>
                <w:sz w:val="16"/>
                <w:szCs w:val="16"/>
                <w:lang w:val="fr-CA"/>
              </w:rPr>
            </w:pPr>
            <w:r w:rsidRPr="003F6D47">
              <w:rPr>
                <w:sz w:val="16"/>
                <w:szCs w:val="16"/>
                <w:lang w:val="fr-CA"/>
              </w:rPr>
              <w:t>Limites de consommation du Protocole de Montréal (estimation)</w:t>
            </w:r>
          </w:p>
        </w:tc>
        <w:tc>
          <w:tcPr>
            <w:tcW w:w="291" w:type="pct"/>
          </w:tcPr>
          <w:p w:rsidR="00EF62F7" w:rsidRPr="00143C85" w:rsidRDefault="00EF62F7" w:rsidP="00EF62F7">
            <w:pPr>
              <w:spacing w:after="60"/>
              <w:jc w:val="right"/>
              <w:rPr>
                <w:sz w:val="18"/>
                <w:szCs w:val="18"/>
                <w:lang w:val="fr-CA"/>
              </w:rPr>
            </w:pPr>
            <w:r w:rsidRPr="00143C85">
              <w:rPr>
                <w:sz w:val="18"/>
                <w:szCs w:val="18"/>
                <w:lang w:val="fr-CA"/>
              </w:rPr>
              <w:t>n/a</w:t>
            </w:r>
          </w:p>
        </w:tc>
        <w:tc>
          <w:tcPr>
            <w:tcW w:w="230" w:type="pct"/>
          </w:tcPr>
          <w:p w:rsidR="00EF62F7" w:rsidRPr="00143C85" w:rsidRDefault="00EF62F7" w:rsidP="00EF62F7">
            <w:pPr>
              <w:spacing w:after="60"/>
              <w:jc w:val="right"/>
              <w:rPr>
                <w:sz w:val="18"/>
                <w:szCs w:val="18"/>
                <w:lang w:val="fr-CA"/>
              </w:rPr>
            </w:pPr>
            <w:r w:rsidRPr="00143C85">
              <w:rPr>
                <w:sz w:val="18"/>
                <w:szCs w:val="18"/>
                <w:lang w:val="fr-CA"/>
              </w:rPr>
              <w:t>n/a</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15</w:t>
            </w:r>
            <w:r w:rsidR="008D2B35">
              <w:rPr>
                <w:sz w:val="18"/>
                <w:szCs w:val="18"/>
                <w:lang w:val="fr-CA"/>
              </w:rPr>
              <w:t>,</w:t>
            </w:r>
            <w:r w:rsidRPr="00143C85">
              <w:rPr>
                <w:sz w:val="18"/>
                <w:szCs w:val="18"/>
                <w:lang w:val="fr-CA"/>
              </w:rPr>
              <w:t>0</w:t>
            </w:r>
          </w:p>
        </w:tc>
        <w:tc>
          <w:tcPr>
            <w:tcW w:w="20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15</w:t>
            </w:r>
            <w:r w:rsidR="008D2B35">
              <w:rPr>
                <w:sz w:val="18"/>
                <w:szCs w:val="18"/>
                <w:lang w:val="fr-CA"/>
              </w:rPr>
              <w:t>,</w:t>
            </w:r>
            <w:r w:rsidRPr="00143C85">
              <w:rPr>
                <w:sz w:val="18"/>
                <w:szCs w:val="18"/>
                <w:lang w:val="fr-CA"/>
              </w:rPr>
              <w:t>0</w:t>
            </w:r>
          </w:p>
        </w:tc>
        <w:tc>
          <w:tcPr>
            <w:tcW w:w="20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13</w:t>
            </w:r>
            <w:r w:rsidR="008D2B35">
              <w:rPr>
                <w:sz w:val="18"/>
                <w:szCs w:val="18"/>
                <w:lang w:val="fr-CA"/>
              </w:rPr>
              <w:t>,</w:t>
            </w:r>
            <w:r w:rsidRPr="00143C85">
              <w:rPr>
                <w:sz w:val="18"/>
                <w:szCs w:val="18"/>
                <w:lang w:val="fr-CA"/>
              </w:rPr>
              <w:t>5</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13</w:t>
            </w:r>
            <w:r w:rsidR="008D2B35">
              <w:rPr>
                <w:sz w:val="18"/>
                <w:szCs w:val="18"/>
                <w:lang w:val="fr-CA"/>
              </w:rPr>
              <w:t>,</w:t>
            </w:r>
            <w:r w:rsidRPr="00143C85">
              <w:rPr>
                <w:sz w:val="18"/>
                <w:szCs w:val="18"/>
                <w:lang w:val="fr-CA"/>
              </w:rPr>
              <w:t>5</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13</w:t>
            </w:r>
            <w:r w:rsidR="008D2B35">
              <w:rPr>
                <w:sz w:val="18"/>
                <w:szCs w:val="18"/>
                <w:lang w:val="fr-CA"/>
              </w:rPr>
              <w:t>,</w:t>
            </w:r>
            <w:r w:rsidRPr="00143C85">
              <w:rPr>
                <w:sz w:val="18"/>
                <w:szCs w:val="18"/>
                <w:lang w:val="fr-CA"/>
              </w:rPr>
              <w:t>5</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13</w:t>
            </w:r>
            <w:r w:rsidR="008D2B35">
              <w:rPr>
                <w:sz w:val="18"/>
                <w:szCs w:val="18"/>
                <w:lang w:val="fr-CA"/>
              </w:rPr>
              <w:t>,</w:t>
            </w:r>
            <w:r w:rsidRPr="00143C85">
              <w:rPr>
                <w:sz w:val="18"/>
                <w:szCs w:val="18"/>
                <w:lang w:val="fr-CA"/>
              </w:rPr>
              <w:t>5</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9</w:t>
            </w:r>
            <w:r w:rsidR="008D2B35">
              <w:rPr>
                <w:sz w:val="18"/>
                <w:szCs w:val="18"/>
                <w:lang w:val="fr-CA"/>
              </w:rPr>
              <w:t>,</w:t>
            </w:r>
            <w:r w:rsidRPr="00143C85">
              <w:rPr>
                <w:sz w:val="18"/>
                <w:szCs w:val="18"/>
                <w:lang w:val="fr-CA"/>
              </w:rPr>
              <w:t>75</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9</w:t>
            </w:r>
            <w:r w:rsidR="008D2B35">
              <w:rPr>
                <w:sz w:val="18"/>
                <w:szCs w:val="18"/>
                <w:lang w:val="fr-CA"/>
              </w:rPr>
              <w:t>,</w:t>
            </w:r>
            <w:r w:rsidRPr="00143C85">
              <w:rPr>
                <w:sz w:val="18"/>
                <w:szCs w:val="18"/>
                <w:lang w:val="fr-CA"/>
              </w:rPr>
              <w:t>75</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9</w:t>
            </w:r>
            <w:r w:rsidR="008D2B35">
              <w:rPr>
                <w:sz w:val="18"/>
                <w:szCs w:val="18"/>
                <w:lang w:val="fr-CA"/>
              </w:rPr>
              <w:t>,</w:t>
            </w:r>
            <w:r w:rsidRPr="00143C85">
              <w:rPr>
                <w:sz w:val="18"/>
                <w:szCs w:val="18"/>
                <w:lang w:val="fr-CA"/>
              </w:rPr>
              <w:t>75</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4</w:t>
            </w:r>
            <w:r w:rsidR="008D2B35">
              <w:rPr>
                <w:sz w:val="18"/>
                <w:szCs w:val="18"/>
                <w:lang w:val="fr-CA"/>
              </w:rPr>
              <w:t>,</w:t>
            </w:r>
            <w:r w:rsidRPr="00143C85">
              <w:rPr>
                <w:sz w:val="18"/>
                <w:szCs w:val="18"/>
                <w:lang w:val="fr-CA"/>
              </w:rPr>
              <w:t>88</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4</w:t>
            </w:r>
            <w:r w:rsidR="008D2B35">
              <w:rPr>
                <w:sz w:val="18"/>
                <w:szCs w:val="18"/>
                <w:lang w:val="fr-CA"/>
              </w:rPr>
              <w:t>,</w:t>
            </w:r>
            <w:r w:rsidRPr="00143C85">
              <w:rPr>
                <w:sz w:val="18"/>
                <w:szCs w:val="18"/>
                <w:lang w:val="fr-CA"/>
              </w:rPr>
              <w:t>88</w:t>
            </w:r>
          </w:p>
        </w:tc>
        <w:tc>
          <w:tcPr>
            <w:tcW w:w="20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r w:rsidR="008D2B35">
              <w:rPr>
                <w:sz w:val="18"/>
                <w:szCs w:val="18"/>
                <w:lang w:val="fr-CA"/>
              </w:rPr>
              <w:t>,</w:t>
            </w:r>
            <w:r w:rsidRPr="00143C85">
              <w:rPr>
                <w:sz w:val="18"/>
                <w:szCs w:val="18"/>
                <w:lang w:val="fr-CA"/>
              </w:rPr>
              <w:t>38</w:t>
            </w:r>
          </w:p>
        </w:tc>
        <w:tc>
          <w:tcPr>
            <w:tcW w:w="25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r w:rsidR="008D2B35">
              <w:rPr>
                <w:sz w:val="18"/>
                <w:szCs w:val="18"/>
                <w:lang w:val="fr-CA"/>
              </w:rPr>
              <w:t>,</w:t>
            </w:r>
            <w:r w:rsidRPr="00143C85">
              <w:rPr>
                <w:sz w:val="18"/>
                <w:szCs w:val="18"/>
                <w:lang w:val="fr-CA"/>
              </w:rPr>
              <w:t>38</w:t>
            </w:r>
          </w:p>
        </w:tc>
        <w:tc>
          <w:tcPr>
            <w:tcW w:w="281" w:type="pct"/>
            <w:shd w:val="clear" w:color="auto" w:fill="auto"/>
          </w:tcPr>
          <w:p w:rsidR="00EF62F7" w:rsidRPr="00143C85" w:rsidRDefault="00EF62F7" w:rsidP="00EF62F7">
            <w:pPr>
              <w:spacing w:after="60"/>
              <w:jc w:val="center"/>
              <w:rPr>
                <w:sz w:val="18"/>
                <w:szCs w:val="18"/>
                <w:lang w:val="fr-CA"/>
              </w:rPr>
            </w:pPr>
            <w:r w:rsidRPr="00143C85">
              <w:rPr>
                <w:sz w:val="18"/>
                <w:szCs w:val="18"/>
                <w:lang w:val="fr-CA"/>
              </w:rPr>
              <w:t>n/a</w:t>
            </w:r>
          </w:p>
        </w:tc>
      </w:tr>
      <w:tr w:rsidR="00EF62F7" w:rsidRPr="00143C85" w:rsidTr="008D2B35">
        <w:tc>
          <w:tcPr>
            <w:tcW w:w="946" w:type="pct"/>
            <w:gridSpan w:val="3"/>
            <w:shd w:val="clear" w:color="auto" w:fill="auto"/>
          </w:tcPr>
          <w:p w:rsidR="00EF62F7" w:rsidRPr="003F6D47" w:rsidRDefault="00EF62F7" w:rsidP="00EF62F7">
            <w:pPr>
              <w:spacing w:after="60"/>
              <w:rPr>
                <w:sz w:val="16"/>
                <w:szCs w:val="16"/>
                <w:lang w:val="fr-CA"/>
              </w:rPr>
            </w:pPr>
            <w:r w:rsidRPr="003F6D47">
              <w:rPr>
                <w:sz w:val="16"/>
                <w:szCs w:val="16"/>
                <w:lang w:val="fr-CA"/>
              </w:rPr>
              <w:t>Consommation maximale admissible (tonnes PAO)</w:t>
            </w:r>
          </w:p>
        </w:tc>
        <w:tc>
          <w:tcPr>
            <w:tcW w:w="291" w:type="pct"/>
          </w:tcPr>
          <w:p w:rsidR="00EF62F7" w:rsidRPr="00143C85" w:rsidRDefault="00EF62F7" w:rsidP="00EF62F7">
            <w:pPr>
              <w:spacing w:after="60"/>
              <w:jc w:val="right"/>
              <w:rPr>
                <w:sz w:val="18"/>
                <w:szCs w:val="18"/>
                <w:lang w:val="fr-CA"/>
              </w:rPr>
            </w:pPr>
            <w:r w:rsidRPr="00143C85">
              <w:rPr>
                <w:sz w:val="18"/>
                <w:szCs w:val="18"/>
                <w:lang w:val="fr-CA"/>
              </w:rPr>
              <w:t>n/a</w:t>
            </w:r>
          </w:p>
        </w:tc>
        <w:tc>
          <w:tcPr>
            <w:tcW w:w="230" w:type="pct"/>
          </w:tcPr>
          <w:p w:rsidR="00EF62F7" w:rsidRPr="00143C85" w:rsidRDefault="00EF62F7" w:rsidP="00EF62F7">
            <w:pPr>
              <w:spacing w:after="60"/>
              <w:jc w:val="right"/>
              <w:rPr>
                <w:sz w:val="18"/>
                <w:szCs w:val="18"/>
                <w:lang w:val="fr-CA"/>
              </w:rPr>
            </w:pPr>
            <w:r w:rsidRPr="00143C85">
              <w:rPr>
                <w:sz w:val="18"/>
                <w:szCs w:val="18"/>
                <w:lang w:val="fr-CA"/>
              </w:rPr>
              <w:t>n/a</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15</w:t>
            </w:r>
            <w:r w:rsidR="008D2B35">
              <w:rPr>
                <w:sz w:val="18"/>
                <w:szCs w:val="18"/>
                <w:lang w:val="fr-CA"/>
              </w:rPr>
              <w:t>,</w:t>
            </w:r>
            <w:r w:rsidRPr="00143C85">
              <w:rPr>
                <w:sz w:val="18"/>
                <w:szCs w:val="18"/>
                <w:lang w:val="fr-CA"/>
              </w:rPr>
              <w:t>0</w:t>
            </w:r>
          </w:p>
        </w:tc>
        <w:tc>
          <w:tcPr>
            <w:tcW w:w="20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15</w:t>
            </w:r>
            <w:r w:rsidR="008D2B35">
              <w:rPr>
                <w:sz w:val="18"/>
                <w:szCs w:val="18"/>
                <w:lang w:val="fr-CA"/>
              </w:rPr>
              <w:t>,</w:t>
            </w:r>
            <w:r w:rsidRPr="00143C85">
              <w:rPr>
                <w:sz w:val="18"/>
                <w:szCs w:val="18"/>
                <w:lang w:val="fr-CA"/>
              </w:rPr>
              <w:t>0</w:t>
            </w:r>
          </w:p>
        </w:tc>
        <w:tc>
          <w:tcPr>
            <w:tcW w:w="20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13</w:t>
            </w:r>
            <w:r w:rsidR="008D2B35">
              <w:rPr>
                <w:sz w:val="18"/>
                <w:szCs w:val="18"/>
                <w:lang w:val="fr-CA"/>
              </w:rPr>
              <w:t>,</w:t>
            </w:r>
            <w:r w:rsidRPr="00143C85">
              <w:rPr>
                <w:sz w:val="18"/>
                <w:szCs w:val="18"/>
                <w:lang w:val="fr-CA"/>
              </w:rPr>
              <w:t>5</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13</w:t>
            </w:r>
            <w:r w:rsidR="008D2B35">
              <w:rPr>
                <w:sz w:val="18"/>
                <w:szCs w:val="18"/>
                <w:lang w:val="fr-CA"/>
              </w:rPr>
              <w:t>,</w:t>
            </w:r>
            <w:r w:rsidRPr="00143C85">
              <w:rPr>
                <w:sz w:val="18"/>
                <w:szCs w:val="18"/>
                <w:lang w:val="fr-CA"/>
              </w:rPr>
              <w:t>5</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13</w:t>
            </w:r>
            <w:r w:rsidR="008D2B35">
              <w:rPr>
                <w:sz w:val="18"/>
                <w:szCs w:val="18"/>
                <w:lang w:val="fr-CA"/>
              </w:rPr>
              <w:t>,</w:t>
            </w:r>
            <w:r w:rsidRPr="00143C85">
              <w:rPr>
                <w:sz w:val="18"/>
                <w:szCs w:val="18"/>
                <w:lang w:val="fr-CA"/>
              </w:rPr>
              <w:t>5</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13</w:t>
            </w:r>
            <w:r w:rsidR="008D2B35">
              <w:rPr>
                <w:sz w:val="18"/>
                <w:szCs w:val="18"/>
                <w:lang w:val="fr-CA"/>
              </w:rPr>
              <w:t>,</w:t>
            </w:r>
            <w:r w:rsidRPr="00143C85">
              <w:rPr>
                <w:sz w:val="18"/>
                <w:szCs w:val="18"/>
                <w:lang w:val="fr-CA"/>
              </w:rPr>
              <w:t>5</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9</w:t>
            </w:r>
            <w:r w:rsidR="008D2B35">
              <w:rPr>
                <w:sz w:val="18"/>
                <w:szCs w:val="18"/>
                <w:lang w:val="fr-CA"/>
              </w:rPr>
              <w:t>,</w:t>
            </w:r>
            <w:r w:rsidRPr="00143C85">
              <w:rPr>
                <w:sz w:val="18"/>
                <w:szCs w:val="18"/>
                <w:lang w:val="fr-CA"/>
              </w:rPr>
              <w:t>75</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9</w:t>
            </w:r>
            <w:r w:rsidR="008D2B35">
              <w:rPr>
                <w:sz w:val="18"/>
                <w:szCs w:val="18"/>
                <w:lang w:val="fr-CA"/>
              </w:rPr>
              <w:t>,</w:t>
            </w:r>
            <w:r w:rsidRPr="00143C85">
              <w:rPr>
                <w:sz w:val="18"/>
                <w:szCs w:val="18"/>
                <w:lang w:val="fr-CA"/>
              </w:rPr>
              <w:t>75</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9</w:t>
            </w:r>
            <w:r w:rsidR="008D2B35">
              <w:rPr>
                <w:sz w:val="18"/>
                <w:szCs w:val="18"/>
                <w:lang w:val="fr-CA"/>
              </w:rPr>
              <w:t>,</w:t>
            </w:r>
            <w:r w:rsidRPr="00143C85">
              <w:rPr>
                <w:sz w:val="18"/>
                <w:szCs w:val="18"/>
                <w:lang w:val="fr-CA"/>
              </w:rPr>
              <w:t>75</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4</w:t>
            </w:r>
            <w:r w:rsidR="008D2B35">
              <w:rPr>
                <w:sz w:val="18"/>
                <w:szCs w:val="18"/>
                <w:lang w:val="fr-CA"/>
              </w:rPr>
              <w:t>,</w:t>
            </w:r>
            <w:r w:rsidRPr="00143C85">
              <w:rPr>
                <w:sz w:val="18"/>
                <w:szCs w:val="18"/>
                <w:lang w:val="fr-CA"/>
              </w:rPr>
              <w:t>88</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4</w:t>
            </w:r>
            <w:r w:rsidR="008D2B35">
              <w:rPr>
                <w:sz w:val="18"/>
                <w:szCs w:val="18"/>
                <w:lang w:val="fr-CA"/>
              </w:rPr>
              <w:t>,</w:t>
            </w:r>
            <w:r w:rsidRPr="00143C85">
              <w:rPr>
                <w:sz w:val="18"/>
                <w:szCs w:val="18"/>
                <w:lang w:val="fr-CA"/>
              </w:rPr>
              <w:t>88</w:t>
            </w:r>
          </w:p>
        </w:tc>
        <w:tc>
          <w:tcPr>
            <w:tcW w:w="20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r w:rsidR="008D2B35">
              <w:rPr>
                <w:sz w:val="18"/>
                <w:szCs w:val="18"/>
                <w:lang w:val="fr-CA"/>
              </w:rPr>
              <w:t>,</w:t>
            </w:r>
            <w:r w:rsidRPr="00143C85">
              <w:rPr>
                <w:sz w:val="18"/>
                <w:szCs w:val="18"/>
                <w:lang w:val="fr-CA"/>
              </w:rPr>
              <w:t>38</w:t>
            </w:r>
          </w:p>
        </w:tc>
        <w:tc>
          <w:tcPr>
            <w:tcW w:w="25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r w:rsidR="008D2B35">
              <w:rPr>
                <w:sz w:val="18"/>
                <w:szCs w:val="18"/>
                <w:lang w:val="fr-CA"/>
              </w:rPr>
              <w:t>,</w:t>
            </w:r>
            <w:r w:rsidRPr="00143C85">
              <w:rPr>
                <w:sz w:val="18"/>
                <w:szCs w:val="18"/>
                <w:lang w:val="fr-CA"/>
              </w:rPr>
              <w:t>38</w:t>
            </w:r>
          </w:p>
        </w:tc>
        <w:tc>
          <w:tcPr>
            <w:tcW w:w="281" w:type="pct"/>
            <w:shd w:val="clear" w:color="auto" w:fill="auto"/>
          </w:tcPr>
          <w:p w:rsidR="00EF62F7" w:rsidRPr="00143C85" w:rsidRDefault="00EF62F7" w:rsidP="00EF62F7">
            <w:pPr>
              <w:spacing w:after="60"/>
              <w:jc w:val="center"/>
              <w:rPr>
                <w:sz w:val="18"/>
                <w:szCs w:val="18"/>
                <w:lang w:val="fr-CA"/>
              </w:rPr>
            </w:pPr>
            <w:r w:rsidRPr="00143C85">
              <w:rPr>
                <w:sz w:val="18"/>
                <w:szCs w:val="18"/>
                <w:lang w:val="fr-CA"/>
              </w:rPr>
              <w:t>n/a</w:t>
            </w:r>
          </w:p>
        </w:tc>
      </w:tr>
      <w:tr w:rsidR="00EF62F7" w:rsidRPr="00143C85" w:rsidTr="008D2B35">
        <w:tc>
          <w:tcPr>
            <w:tcW w:w="403" w:type="pct"/>
            <w:vMerge w:val="restart"/>
            <w:shd w:val="clear" w:color="auto" w:fill="auto"/>
          </w:tcPr>
          <w:p w:rsidR="00EF62F7" w:rsidRPr="00143C85" w:rsidRDefault="00EF62F7" w:rsidP="00EF62F7">
            <w:pPr>
              <w:spacing w:after="60"/>
              <w:jc w:val="left"/>
              <w:rPr>
                <w:sz w:val="18"/>
                <w:szCs w:val="18"/>
                <w:lang w:val="fr-CA"/>
              </w:rPr>
            </w:pPr>
            <w:r>
              <w:rPr>
                <w:sz w:val="18"/>
                <w:szCs w:val="18"/>
                <w:lang w:val="fr-CA"/>
              </w:rPr>
              <w:t>Financement convenu ($US)</w:t>
            </w:r>
          </w:p>
        </w:tc>
        <w:tc>
          <w:tcPr>
            <w:tcW w:w="257" w:type="pct"/>
            <w:vMerge w:val="restart"/>
            <w:shd w:val="clear" w:color="auto" w:fill="auto"/>
          </w:tcPr>
          <w:p w:rsidR="00EF62F7" w:rsidRPr="00143C85" w:rsidRDefault="00EF62F7" w:rsidP="00EF62F7">
            <w:pPr>
              <w:spacing w:after="60"/>
              <w:jc w:val="center"/>
              <w:rPr>
                <w:sz w:val="18"/>
                <w:szCs w:val="18"/>
                <w:lang w:val="fr-CA"/>
              </w:rPr>
            </w:pPr>
            <w:r>
              <w:rPr>
                <w:sz w:val="18"/>
                <w:szCs w:val="18"/>
                <w:lang w:val="fr-CA"/>
              </w:rPr>
              <w:t>PNUD</w:t>
            </w:r>
          </w:p>
        </w:tc>
        <w:tc>
          <w:tcPr>
            <w:tcW w:w="286" w:type="pct"/>
            <w:shd w:val="clear" w:color="auto" w:fill="auto"/>
          </w:tcPr>
          <w:p w:rsidR="00EF62F7" w:rsidRPr="00475DD9" w:rsidRDefault="00EF62F7" w:rsidP="00EF62F7">
            <w:pPr>
              <w:spacing w:after="60"/>
              <w:rPr>
                <w:sz w:val="16"/>
                <w:szCs w:val="16"/>
                <w:lang w:val="fr-CA"/>
              </w:rPr>
            </w:pPr>
            <w:r w:rsidRPr="00475DD9">
              <w:rPr>
                <w:sz w:val="16"/>
                <w:szCs w:val="16"/>
                <w:lang w:val="fr-CA"/>
              </w:rPr>
              <w:t>Coûts d</w:t>
            </w:r>
            <w:r>
              <w:rPr>
                <w:sz w:val="16"/>
                <w:szCs w:val="16"/>
                <w:lang w:val="fr-CA"/>
              </w:rPr>
              <w:t>u</w:t>
            </w:r>
            <w:r w:rsidRPr="00475DD9">
              <w:rPr>
                <w:sz w:val="16"/>
                <w:szCs w:val="16"/>
                <w:lang w:val="fr-CA"/>
              </w:rPr>
              <w:t xml:space="preserve"> projet</w:t>
            </w:r>
          </w:p>
        </w:tc>
        <w:tc>
          <w:tcPr>
            <w:tcW w:w="291" w:type="pct"/>
          </w:tcPr>
          <w:p w:rsidR="00EF62F7" w:rsidRPr="00143C85" w:rsidRDefault="00EF62F7" w:rsidP="00EF62F7">
            <w:pPr>
              <w:spacing w:after="60"/>
              <w:jc w:val="right"/>
              <w:rPr>
                <w:sz w:val="18"/>
                <w:szCs w:val="18"/>
                <w:lang w:val="fr-CA"/>
              </w:rPr>
            </w:pPr>
            <w:r w:rsidRPr="00143C85">
              <w:rPr>
                <w:sz w:val="18"/>
                <w:szCs w:val="18"/>
                <w:lang w:val="fr-CA"/>
              </w:rPr>
              <w:t>200</w:t>
            </w:r>
            <w:r w:rsidR="008D2B35">
              <w:rPr>
                <w:sz w:val="18"/>
                <w:szCs w:val="18"/>
                <w:lang w:val="fr-CA"/>
              </w:rPr>
              <w:t xml:space="preserve"> </w:t>
            </w:r>
            <w:r w:rsidRPr="00143C85">
              <w:rPr>
                <w:sz w:val="18"/>
                <w:szCs w:val="18"/>
                <w:lang w:val="fr-CA"/>
              </w:rPr>
              <w:t>000</w:t>
            </w:r>
          </w:p>
        </w:tc>
        <w:tc>
          <w:tcPr>
            <w:tcW w:w="230" w:type="pct"/>
          </w:tcPr>
          <w:p w:rsidR="00EF62F7" w:rsidRPr="00143C85" w:rsidRDefault="00EF62F7" w:rsidP="00EF62F7">
            <w:pPr>
              <w:spacing w:after="60"/>
              <w:jc w:val="right"/>
              <w:rPr>
                <w:sz w:val="18"/>
                <w:szCs w:val="18"/>
                <w:lang w:val="fr-CA"/>
              </w:rPr>
            </w:pPr>
            <w:r w:rsidRPr="00143C85">
              <w:rPr>
                <w:sz w:val="18"/>
                <w:szCs w:val="18"/>
                <w:lang w:val="fr-CA"/>
              </w:rPr>
              <w:t>0</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200</w:t>
            </w:r>
            <w:r w:rsidR="008D2B35">
              <w:rPr>
                <w:sz w:val="18"/>
                <w:szCs w:val="18"/>
                <w:lang w:val="fr-CA"/>
              </w:rPr>
              <w:t xml:space="preserve"> </w:t>
            </w:r>
            <w:r w:rsidRPr="00143C85">
              <w:rPr>
                <w:sz w:val="18"/>
                <w:szCs w:val="18"/>
                <w:lang w:val="fr-CA"/>
              </w:rPr>
              <w:t>000</w:t>
            </w:r>
          </w:p>
        </w:tc>
        <w:tc>
          <w:tcPr>
            <w:tcW w:w="20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0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100</w:t>
            </w:r>
            <w:r w:rsidR="008D2B35">
              <w:rPr>
                <w:sz w:val="18"/>
                <w:szCs w:val="18"/>
                <w:lang w:val="fr-CA"/>
              </w:rPr>
              <w:t xml:space="preserve"> </w:t>
            </w:r>
            <w:r w:rsidRPr="00143C85">
              <w:rPr>
                <w:sz w:val="18"/>
                <w:szCs w:val="18"/>
                <w:lang w:val="fr-CA"/>
              </w:rPr>
              <w:t>000</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150</w:t>
            </w:r>
            <w:r w:rsidR="008D2B35">
              <w:rPr>
                <w:sz w:val="18"/>
                <w:szCs w:val="18"/>
                <w:lang w:val="fr-CA"/>
              </w:rPr>
              <w:t xml:space="preserve"> </w:t>
            </w:r>
            <w:r w:rsidRPr="00143C85">
              <w:rPr>
                <w:sz w:val="18"/>
                <w:szCs w:val="18"/>
                <w:lang w:val="fr-CA"/>
              </w:rPr>
              <w:t>000</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0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5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8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650,000</w:t>
            </w:r>
          </w:p>
        </w:tc>
      </w:tr>
      <w:tr w:rsidR="00EF62F7" w:rsidRPr="00143C85" w:rsidTr="008D2B35">
        <w:tc>
          <w:tcPr>
            <w:tcW w:w="403" w:type="pct"/>
            <w:vMerge/>
            <w:shd w:val="clear" w:color="auto" w:fill="auto"/>
          </w:tcPr>
          <w:p w:rsidR="00EF62F7" w:rsidRPr="00143C85" w:rsidRDefault="00EF62F7" w:rsidP="00EF62F7">
            <w:pPr>
              <w:spacing w:after="60"/>
              <w:jc w:val="center"/>
              <w:rPr>
                <w:sz w:val="18"/>
                <w:szCs w:val="18"/>
                <w:lang w:val="fr-CA"/>
              </w:rPr>
            </w:pPr>
          </w:p>
        </w:tc>
        <w:tc>
          <w:tcPr>
            <w:tcW w:w="257" w:type="pct"/>
            <w:vMerge/>
            <w:shd w:val="clear" w:color="auto" w:fill="auto"/>
          </w:tcPr>
          <w:p w:rsidR="00EF62F7" w:rsidRPr="00143C85" w:rsidRDefault="00EF62F7" w:rsidP="00EF62F7">
            <w:pPr>
              <w:spacing w:after="60"/>
              <w:jc w:val="center"/>
              <w:rPr>
                <w:sz w:val="18"/>
                <w:szCs w:val="18"/>
                <w:lang w:val="fr-CA"/>
              </w:rPr>
            </w:pPr>
          </w:p>
        </w:tc>
        <w:tc>
          <w:tcPr>
            <w:tcW w:w="286" w:type="pct"/>
            <w:shd w:val="clear" w:color="auto" w:fill="auto"/>
          </w:tcPr>
          <w:p w:rsidR="00EF62F7" w:rsidRPr="00475DD9" w:rsidRDefault="00EF62F7" w:rsidP="00EF62F7">
            <w:pPr>
              <w:spacing w:after="60"/>
              <w:rPr>
                <w:sz w:val="16"/>
                <w:szCs w:val="16"/>
                <w:lang w:val="fr-CA"/>
              </w:rPr>
            </w:pPr>
            <w:r w:rsidRPr="00475DD9">
              <w:rPr>
                <w:sz w:val="16"/>
                <w:szCs w:val="16"/>
                <w:lang w:val="fr-CA"/>
              </w:rPr>
              <w:t>Coûts d’appui</w:t>
            </w:r>
          </w:p>
        </w:tc>
        <w:tc>
          <w:tcPr>
            <w:tcW w:w="291" w:type="pct"/>
          </w:tcPr>
          <w:p w:rsidR="00EF62F7" w:rsidRPr="00143C85" w:rsidRDefault="00EF62F7" w:rsidP="00EF62F7">
            <w:pPr>
              <w:spacing w:after="60"/>
              <w:jc w:val="right"/>
              <w:rPr>
                <w:sz w:val="18"/>
                <w:szCs w:val="18"/>
                <w:lang w:val="fr-CA"/>
              </w:rPr>
            </w:pPr>
            <w:r w:rsidRPr="00143C85">
              <w:rPr>
                <w:sz w:val="18"/>
                <w:szCs w:val="18"/>
                <w:lang w:val="fr-CA"/>
              </w:rPr>
              <w:t>15</w:t>
            </w:r>
            <w:r w:rsidR="008D2B35">
              <w:rPr>
                <w:sz w:val="18"/>
                <w:szCs w:val="18"/>
                <w:lang w:val="fr-CA"/>
              </w:rPr>
              <w:t xml:space="preserve"> </w:t>
            </w:r>
            <w:r w:rsidRPr="00143C85">
              <w:rPr>
                <w:sz w:val="18"/>
                <w:szCs w:val="18"/>
                <w:lang w:val="fr-CA"/>
              </w:rPr>
              <w:t>000</w:t>
            </w:r>
          </w:p>
        </w:tc>
        <w:tc>
          <w:tcPr>
            <w:tcW w:w="230" w:type="pct"/>
          </w:tcPr>
          <w:p w:rsidR="00EF62F7" w:rsidRPr="00143C85" w:rsidRDefault="00EF62F7" w:rsidP="00EF62F7">
            <w:pPr>
              <w:spacing w:after="60"/>
              <w:jc w:val="right"/>
              <w:rPr>
                <w:sz w:val="18"/>
                <w:szCs w:val="18"/>
                <w:lang w:val="fr-CA"/>
              </w:rPr>
            </w:pPr>
            <w:r w:rsidRPr="00143C85">
              <w:rPr>
                <w:sz w:val="18"/>
                <w:szCs w:val="18"/>
                <w:lang w:val="fr-CA"/>
              </w:rPr>
              <w:t>0</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15</w:t>
            </w:r>
            <w:r w:rsidR="008D2B35">
              <w:rPr>
                <w:sz w:val="18"/>
                <w:szCs w:val="18"/>
                <w:lang w:val="fr-CA"/>
              </w:rPr>
              <w:t xml:space="preserve"> </w:t>
            </w:r>
            <w:r w:rsidRPr="00143C85">
              <w:rPr>
                <w:sz w:val="18"/>
                <w:szCs w:val="18"/>
                <w:lang w:val="fr-CA"/>
              </w:rPr>
              <w:t>000</w:t>
            </w:r>
          </w:p>
        </w:tc>
        <w:tc>
          <w:tcPr>
            <w:tcW w:w="20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0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7</w:t>
            </w:r>
            <w:r w:rsidR="008D2B35">
              <w:rPr>
                <w:sz w:val="18"/>
                <w:szCs w:val="18"/>
                <w:lang w:val="fr-CA"/>
              </w:rPr>
              <w:t xml:space="preserve"> </w:t>
            </w:r>
            <w:r w:rsidRPr="00143C85">
              <w:rPr>
                <w:sz w:val="18"/>
                <w:szCs w:val="18"/>
                <w:lang w:val="fr-CA"/>
              </w:rPr>
              <w:t>500</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11</w:t>
            </w:r>
            <w:r w:rsidR="008D2B35">
              <w:rPr>
                <w:sz w:val="18"/>
                <w:szCs w:val="18"/>
                <w:lang w:val="fr-CA"/>
              </w:rPr>
              <w:t xml:space="preserve"> </w:t>
            </w:r>
            <w:r w:rsidRPr="00143C85">
              <w:rPr>
                <w:sz w:val="18"/>
                <w:szCs w:val="18"/>
                <w:lang w:val="fr-CA"/>
              </w:rPr>
              <w:t>250</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9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30"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0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57"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0</w:t>
            </w:r>
          </w:p>
        </w:tc>
        <w:tc>
          <w:tcPr>
            <w:tcW w:w="281" w:type="pct"/>
            <w:shd w:val="clear" w:color="auto" w:fill="auto"/>
          </w:tcPr>
          <w:p w:rsidR="00EF62F7" w:rsidRPr="00143C85" w:rsidRDefault="00EF62F7" w:rsidP="00EF62F7">
            <w:pPr>
              <w:spacing w:after="60"/>
              <w:jc w:val="right"/>
              <w:rPr>
                <w:sz w:val="18"/>
                <w:szCs w:val="18"/>
                <w:lang w:val="fr-CA"/>
              </w:rPr>
            </w:pPr>
            <w:r w:rsidRPr="00143C85">
              <w:rPr>
                <w:sz w:val="18"/>
                <w:szCs w:val="18"/>
                <w:lang w:val="fr-CA"/>
              </w:rPr>
              <w:t>48,750</w:t>
            </w:r>
          </w:p>
        </w:tc>
      </w:tr>
      <w:tr w:rsidR="008D2B35" w:rsidRPr="00143C85" w:rsidTr="008D2B35">
        <w:tc>
          <w:tcPr>
            <w:tcW w:w="403" w:type="pct"/>
            <w:vMerge/>
            <w:shd w:val="clear" w:color="auto" w:fill="auto"/>
          </w:tcPr>
          <w:p w:rsidR="008D2B35" w:rsidRPr="00143C85" w:rsidRDefault="008D2B35" w:rsidP="008D2B35">
            <w:pPr>
              <w:spacing w:after="60"/>
              <w:jc w:val="center"/>
              <w:rPr>
                <w:sz w:val="18"/>
                <w:szCs w:val="18"/>
                <w:lang w:val="fr-CA"/>
              </w:rPr>
            </w:pPr>
          </w:p>
        </w:tc>
        <w:tc>
          <w:tcPr>
            <w:tcW w:w="257" w:type="pct"/>
            <w:vMerge w:val="restart"/>
            <w:shd w:val="clear" w:color="auto" w:fill="auto"/>
          </w:tcPr>
          <w:p w:rsidR="008D2B35" w:rsidRPr="00143C85" w:rsidRDefault="008D2B35" w:rsidP="008D2B35">
            <w:pPr>
              <w:spacing w:after="60"/>
              <w:jc w:val="center"/>
              <w:rPr>
                <w:sz w:val="18"/>
                <w:szCs w:val="18"/>
                <w:lang w:val="fr-CA"/>
              </w:rPr>
            </w:pPr>
            <w:r>
              <w:rPr>
                <w:sz w:val="18"/>
                <w:szCs w:val="18"/>
                <w:lang w:val="fr-CA"/>
              </w:rPr>
              <w:t>PNUE</w:t>
            </w:r>
          </w:p>
        </w:tc>
        <w:tc>
          <w:tcPr>
            <w:tcW w:w="286" w:type="pct"/>
            <w:shd w:val="clear" w:color="auto" w:fill="auto"/>
          </w:tcPr>
          <w:p w:rsidR="008D2B35" w:rsidRPr="00475DD9" w:rsidRDefault="008D2B35" w:rsidP="008D2B35">
            <w:pPr>
              <w:spacing w:after="60"/>
              <w:rPr>
                <w:sz w:val="16"/>
                <w:szCs w:val="16"/>
                <w:lang w:val="fr-CA"/>
              </w:rPr>
            </w:pPr>
            <w:r w:rsidRPr="00475DD9">
              <w:rPr>
                <w:sz w:val="16"/>
                <w:szCs w:val="16"/>
                <w:lang w:val="fr-CA"/>
              </w:rPr>
              <w:t>Coûts d</w:t>
            </w:r>
            <w:r>
              <w:rPr>
                <w:sz w:val="16"/>
                <w:szCs w:val="16"/>
                <w:lang w:val="fr-CA"/>
              </w:rPr>
              <w:t>u</w:t>
            </w:r>
            <w:r w:rsidRPr="00475DD9">
              <w:rPr>
                <w:sz w:val="16"/>
                <w:szCs w:val="16"/>
                <w:lang w:val="fr-CA"/>
              </w:rPr>
              <w:t xml:space="preserve"> projet</w:t>
            </w:r>
          </w:p>
        </w:tc>
        <w:tc>
          <w:tcPr>
            <w:tcW w:w="291" w:type="pct"/>
          </w:tcPr>
          <w:p w:rsidR="008D2B35" w:rsidRPr="00143C85" w:rsidRDefault="008D2B35" w:rsidP="008D2B35">
            <w:pPr>
              <w:spacing w:after="60"/>
              <w:jc w:val="right"/>
              <w:rPr>
                <w:sz w:val="18"/>
                <w:szCs w:val="18"/>
                <w:lang w:val="fr-CA"/>
              </w:rPr>
            </w:pPr>
            <w:r w:rsidRPr="00143C85">
              <w:rPr>
                <w:sz w:val="18"/>
                <w:szCs w:val="18"/>
                <w:lang w:val="fr-CA"/>
              </w:rPr>
              <w:t>150</w:t>
            </w:r>
            <w:r>
              <w:rPr>
                <w:sz w:val="18"/>
                <w:szCs w:val="18"/>
                <w:lang w:val="fr-CA"/>
              </w:rPr>
              <w:t xml:space="preserve"> </w:t>
            </w:r>
            <w:r w:rsidRPr="00143C85">
              <w:rPr>
                <w:sz w:val="18"/>
                <w:szCs w:val="18"/>
                <w:lang w:val="fr-CA"/>
              </w:rPr>
              <w:t>000</w:t>
            </w:r>
          </w:p>
        </w:tc>
        <w:tc>
          <w:tcPr>
            <w:tcW w:w="230" w:type="pct"/>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100</w:t>
            </w:r>
            <w:r>
              <w:rPr>
                <w:sz w:val="18"/>
                <w:szCs w:val="18"/>
                <w:lang w:val="fr-CA"/>
              </w:rPr>
              <w:t xml:space="preserve"> </w:t>
            </w:r>
            <w:r w:rsidRPr="00143C85">
              <w:rPr>
                <w:sz w:val="18"/>
                <w:szCs w:val="18"/>
                <w:lang w:val="fr-CA"/>
              </w:rPr>
              <w:t>000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150</w:t>
            </w:r>
            <w:r>
              <w:rPr>
                <w:sz w:val="18"/>
                <w:szCs w:val="18"/>
                <w:lang w:val="fr-CA"/>
              </w:rPr>
              <w:t xml:space="preserve"> </w:t>
            </w:r>
            <w:r w:rsidRPr="00143C85">
              <w:rPr>
                <w:sz w:val="18"/>
                <w:szCs w:val="18"/>
                <w:lang w:val="fr-CA"/>
              </w:rPr>
              <w:t>000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100</w:t>
            </w:r>
            <w:r>
              <w:rPr>
                <w:sz w:val="18"/>
                <w:szCs w:val="18"/>
                <w:lang w:val="fr-CA"/>
              </w:rPr>
              <w:t xml:space="preserve"> </w:t>
            </w:r>
            <w:r w:rsidRPr="00143C85">
              <w:rPr>
                <w:sz w:val="18"/>
                <w:szCs w:val="18"/>
                <w:lang w:val="fr-CA"/>
              </w:rPr>
              <w:t>000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200</w:t>
            </w:r>
            <w:r>
              <w:rPr>
                <w:sz w:val="18"/>
                <w:szCs w:val="18"/>
                <w:lang w:val="fr-CA"/>
              </w:rPr>
              <w:t xml:space="preserve"> </w:t>
            </w:r>
            <w:r w:rsidRPr="00143C85">
              <w:rPr>
                <w:sz w:val="18"/>
                <w:szCs w:val="18"/>
                <w:lang w:val="fr-CA"/>
              </w:rPr>
              <w:t>000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200</w:t>
            </w:r>
            <w:r>
              <w:rPr>
                <w:sz w:val="18"/>
                <w:szCs w:val="18"/>
                <w:lang w:val="fr-CA"/>
              </w:rPr>
              <w:t xml:space="preserve"> </w:t>
            </w:r>
            <w:r w:rsidRPr="00143C85">
              <w:rPr>
                <w:sz w:val="18"/>
                <w:szCs w:val="18"/>
                <w:lang w:val="fr-CA"/>
              </w:rPr>
              <w:t>000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5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50</w:t>
            </w:r>
            <w:r>
              <w:rPr>
                <w:sz w:val="18"/>
                <w:szCs w:val="18"/>
                <w:lang w:val="fr-CA"/>
              </w:rPr>
              <w:t xml:space="preserve"> </w:t>
            </w:r>
            <w:r w:rsidRPr="00143C85">
              <w:rPr>
                <w:sz w:val="18"/>
                <w:szCs w:val="18"/>
                <w:lang w:val="fr-CA"/>
              </w:rPr>
              <w:t>000</w:t>
            </w:r>
          </w:p>
        </w:tc>
        <w:tc>
          <w:tcPr>
            <w:tcW w:w="28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950,000</w:t>
            </w:r>
          </w:p>
        </w:tc>
      </w:tr>
      <w:tr w:rsidR="008D2B35" w:rsidRPr="00143C85" w:rsidTr="008D2B35">
        <w:tc>
          <w:tcPr>
            <w:tcW w:w="403" w:type="pct"/>
            <w:vMerge/>
            <w:shd w:val="clear" w:color="auto" w:fill="auto"/>
          </w:tcPr>
          <w:p w:rsidR="008D2B35" w:rsidRPr="00143C85" w:rsidRDefault="008D2B35" w:rsidP="008D2B35">
            <w:pPr>
              <w:spacing w:after="60"/>
              <w:jc w:val="center"/>
              <w:rPr>
                <w:sz w:val="18"/>
                <w:szCs w:val="18"/>
                <w:lang w:val="fr-CA"/>
              </w:rPr>
            </w:pPr>
          </w:p>
        </w:tc>
        <w:tc>
          <w:tcPr>
            <w:tcW w:w="257" w:type="pct"/>
            <w:vMerge/>
            <w:shd w:val="clear" w:color="auto" w:fill="auto"/>
          </w:tcPr>
          <w:p w:rsidR="008D2B35" w:rsidRPr="00143C85" w:rsidRDefault="008D2B35" w:rsidP="008D2B35">
            <w:pPr>
              <w:spacing w:after="60"/>
              <w:jc w:val="center"/>
              <w:rPr>
                <w:sz w:val="18"/>
                <w:szCs w:val="18"/>
                <w:lang w:val="fr-CA"/>
              </w:rPr>
            </w:pPr>
          </w:p>
        </w:tc>
        <w:tc>
          <w:tcPr>
            <w:tcW w:w="286" w:type="pct"/>
            <w:shd w:val="clear" w:color="auto" w:fill="auto"/>
          </w:tcPr>
          <w:p w:rsidR="008D2B35" w:rsidRPr="00475DD9" w:rsidRDefault="008D2B35" w:rsidP="008D2B35">
            <w:pPr>
              <w:spacing w:after="60"/>
              <w:rPr>
                <w:sz w:val="16"/>
                <w:szCs w:val="16"/>
                <w:lang w:val="fr-CA"/>
              </w:rPr>
            </w:pPr>
            <w:r w:rsidRPr="00475DD9">
              <w:rPr>
                <w:sz w:val="16"/>
                <w:szCs w:val="16"/>
                <w:lang w:val="fr-CA"/>
              </w:rPr>
              <w:t>Coûts d’appui</w:t>
            </w:r>
          </w:p>
        </w:tc>
        <w:tc>
          <w:tcPr>
            <w:tcW w:w="291" w:type="pct"/>
          </w:tcPr>
          <w:p w:rsidR="008D2B35" w:rsidRPr="00143C85" w:rsidRDefault="008D2B35" w:rsidP="008D2B35">
            <w:pPr>
              <w:spacing w:after="60"/>
              <w:jc w:val="right"/>
              <w:rPr>
                <w:sz w:val="18"/>
                <w:szCs w:val="18"/>
                <w:lang w:val="fr-CA"/>
              </w:rPr>
            </w:pPr>
            <w:r w:rsidRPr="00143C85">
              <w:rPr>
                <w:sz w:val="18"/>
                <w:szCs w:val="18"/>
                <w:lang w:val="fr-CA"/>
              </w:rPr>
              <w:t>19</w:t>
            </w:r>
            <w:r>
              <w:rPr>
                <w:sz w:val="18"/>
                <w:szCs w:val="18"/>
                <w:lang w:val="fr-CA"/>
              </w:rPr>
              <w:t xml:space="preserve"> </w:t>
            </w:r>
            <w:r w:rsidRPr="00143C85">
              <w:rPr>
                <w:sz w:val="18"/>
                <w:szCs w:val="18"/>
                <w:lang w:val="fr-CA"/>
              </w:rPr>
              <w:t>500</w:t>
            </w:r>
          </w:p>
        </w:tc>
        <w:tc>
          <w:tcPr>
            <w:tcW w:w="230" w:type="pct"/>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13</w:t>
            </w:r>
            <w:r>
              <w:rPr>
                <w:sz w:val="18"/>
                <w:szCs w:val="18"/>
                <w:lang w:val="fr-CA"/>
              </w:rPr>
              <w:t xml:space="preserve"> </w:t>
            </w:r>
            <w:r w:rsidRPr="00143C85">
              <w:rPr>
                <w:sz w:val="18"/>
                <w:szCs w:val="18"/>
                <w:lang w:val="fr-CA"/>
              </w:rPr>
              <w:t>000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19</w:t>
            </w:r>
            <w:r>
              <w:rPr>
                <w:sz w:val="18"/>
                <w:szCs w:val="18"/>
                <w:lang w:val="fr-CA"/>
              </w:rPr>
              <w:t xml:space="preserve"> </w:t>
            </w:r>
            <w:r w:rsidRPr="00143C85">
              <w:rPr>
                <w:sz w:val="18"/>
                <w:szCs w:val="18"/>
                <w:lang w:val="fr-CA"/>
              </w:rPr>
              <w:t>500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13</w:t>
            </w:r>
            <w:r>
              <w:rPr>
                <w:sz w:val="18"/>
                <w:szCs w:val="18"/>
                <w:lang w:val="fr-CA"/>
              </w:rPr>
              <w:t xml:space="preserve"> </w:t>
            </w:r>
            <w:r w:rsidRPr="00143C85">
              <w:rPr>
                <w:sz w:val="18"/>
                <w:szCs w:val="18"/>
                <w:lang w:val="fr-CA"/>
              </w:rPr>
              <w:t>000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26</w:t>
            </w:r>
            <w:r>
              <w:rPr>
                <w:sz w:val="18"/>
                <w:szCs w:val="18"/>
                <w:lang w:val="fr-CA"/>
              </w:rPr>
              <w:t xml:space="preserve"> </w:t>
            </w:r>
            <w:r w:rsidRPr="00143C85">
              <w:rPr>
                <w:sz w:val="18"/>
                <w:szCs w:val="18"/>
                <w:lang w:val="fr-CA"/>
              </w:rPr>
              <w:t>000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26</w:t>
            </w:r>
            <w:r>
              <w:rPr>
                <w:sz w:val="18"/>
                <w:szCs w:val="18"/>
                <w:lang w:val="fr-CA"/>
              </w:rPr>
              <w:t xml:space="preserve"> </w:t>
            </w:r>
            <w:r w:rsidRPr="00143C85">
              <w:rPr>
                <w:sz w:val="18"/>
                <w:szCs w:val="18"/>
                <w:lang w:val="fr-CA"/>
              </w:rPr>
              <w:t>000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5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6</w:t>
            </w:r>
            <w:r>
              <w:rPr>
                <w:sz w:val="18"/>
                <w:szCs w:val="18"/>
                <w:lang w:val="fr-CA"/>
              </w:rPr>
              <w:t xml:space="preserve"> </w:t>
            </w:r>
            <w:r w:rsidRPr="00143C85">
              <w:rPr>
                <w:sz w:val="18"/>
                <w:szCs w:val="18"/>
                <w:lang w:val="fr-CA"/>
              </w:rPr>
              <w:t>500</w:t>
            </w:r>
          </w:p>
        </w:tc>
        <w:tc>
          <w:tcPr>
            <w:tcW w:w="28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123,500</w:t>
            </w:r>
          </w:p>
        </w:tc>
      </w:tr>
      <w:tr w:rsidR="008D2B35" w:rsidRPr="00143C85" w:rsidTr="008D2B35">
        <w:tc>
          <w:tcPr>
            <w:tcW w:w="659" w:type="pct"/>
            <w:gridSpan w:val="2"/>
            <w:vMerge w:val="restart"/>
            <w:shd w:val="clear" w:color="auto" w:fill="auto"/>
          </w:tcPr>
          <w:p w:rsidR="008D2B35" w:rsidRPr="008D2B35" w:rsidRDefault="008D2B35" w:rsidP="008D2B35">
            <w:pPr>
              <w:spacing w:after="60"/>
              <w:jc w:val="left"/>
              <w:rPr>
                <w:sz w:val="18"/>
                <w:szCs w:val="18"/>
                <w:lang w:val="fr-CA"/>
              </w:rPr>
            </w:pPr>
            <w:r w:rsidRPr="008D2B35">
              <w:rPr>
                <w:sz w:val="18"/>
                <w:szCs w:val="18"/>
                <w:lang w:val="fr-CA"/>
              </w:rPr>
              <w:t>Sommes approuvées par le Comité exécutif ($US)</w:t>
            </w:r>
          </w:p>
        </w:tc>
        <w:tc>
          <w:tcPr>
            <w:tcW w:w="286" w:type="pct"/>
            <w:shd w:val="clear" w:color="auto" w:fill="auto"/>
          </w:tcPr>
          <w:p w:rsidR="008D2B35" w:rsidRPr="00475DD9" w:rsidRDefault="008D2B35" w:rsidP="008D2B35">
            <w:pPr>
              <w:spacing w:after="60"/>
              <w:rPr>
                <w:sz w:val="16"/>
                <w:szCs w:val="16"/>
                <w:lang w:val="fr-CA"/>
              </w:rPr>
            </w:pPr>
            <w:r w:rsidRPr="00475DD9">
              <w:rPr>
                <w:sz w:val="16"/>
                <w:szCs w:val="16"/>
                <w:lang w:val="fr-CA"/>
              </w:rPr>
              <w:t>Coûts d</w:t>
            </w:r>
            <w:r>
              <w:rPr>
                <w:sz w:val="16"/>
                <w:szCs w:val="16"/>
                <w:lang w:val="fr-CA"/>
              </w:rPr>
              <w:t>u</w:t>
            </w:r>
            <w:r w:rsidRPr="00475DD9">
              <w:rPr>
                <w:sz w:val="16"/>
                <w:szCs w:val="16"/>
                <w:lang w:val="fr-CA"/>
              </w:rPr>
              <w:t xml:space="preserve"> projet</w:t>
            </w:r>
          </w:p>
        </w:tc>
        <w:tc>
          <w:tcPr>
            <w:tcW w:w="291" w:type="pct"/>
          </w:tcPr>
          <w:p w:rsidR="008D2B35" w:rsidRPr="00143C85" w:rsidRDefault="008D2B35" w:rsidP="008D2B35">
            <w:pPr>
              <w:spacing w:after="60"/>
              <w:jc w:val="right"/>
              <w:rPr>
                <w:sz w:val="18"/>
                <w:szCs w:val="18"/>
                <w:lang w:val="fr-CA"/>
              </w:rPr>
            </w:pPr>
            <w:r w:rsidRPr="00143C85">
              <w:rPr>
                <w:sz w:val="18"/>
                <w:szCs w:val="18"/>
                <w:lang w:val="fr-CA"/>
              </w:rPr>
              <w:t>350</w:t>
            </w:r>
            <w:r>
              <w:rPr>
                <w:sz w:val="18"/>
                <w:szCs w:val="18"/>
                <w:lang w:val="fr-CA"/>
              </w:rPr>
              <w:t xml:space="preserve"> </w:t>
            </w:r>
            <w:r w:rsidRPr="00143C85">
              <w:rPr>
                <w:sz w:val="18"/>
                <w:szCs w:val="18"/>
                <w:lang w:val="fr-CA"/>
              </w:rPr>
              <w:t>000</w:t>
            </w:r>
          </w:p>
        </w:tc>
        <w:tc>
          <w:tcPr>
            <w:tcW w:w="230" w:type="pct"/>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300</w:t>
            </w:r>
            <w:r>
              <w:rPr>
                <w:sz w:val="18"/>
                <w:szCs w:val="18"/>
                <w:lang w:val="fr-CA"/>
              </w:rPr>
              <w:t xml:space="preserve"> </w:t>
            </w:r>
            <w:r w:rsidRPr="00143C85">
              <w:rPr>
                <w:sz w:val="18"/>
                <w:szCs w:val="18"/>
                <w:lang w:val="fr-CA"/>
              </w:rPr>
              <w:t>000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250</w:t>
            </w:r>
            <w:r>
              <w:rPr>
                <w:sz w:val="18"/>
                <w:szCs w:val="18"/>
                <w:lang w:val="fr-CA"/>
              </w:rPr>
              <w:t xml:space="preserve"> </w:t>
            </w:r>
            <w:r w:rsidRPr="00143C85">
              <w:rPr>
                <w:sz w:val="18"/>
                <w:szCs w:val="18"/>
                <w:lang w:val="fr-CA"/>
              </w:rPr>
              <w:t>000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5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8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900</w:t>
            </w:r>
            <w:r>
              <w:rPr>
                <w:sz w:val="18"/>
                <w:szCs w:val="18"/>
                <w:lang w:val="fr-CA"/>
              </w:rPr>
              <w:t xml:space="preserve"> </w:t>
            </w:r>
            <w:r w:rsidRPr="00143C85">
              <w:rPr>
                <w:sz w:val="18"/>
                <w:szCs w:val="18"/>
                <w:lang w:val="fr-CA"/>
              </w:rPr>
              <w:t>000</w:t>
            </w:r>
          </w:p>
        </w:tc>
      </w:tr>
      <w:tr w:rsidR="008D2B35" w:rsidRPr="00143C85" w:rsidTr="008D2B35">
        <w:tc>
          <w:tcPr>
            <w:tcW w:w="659" w:type="pct"/>
            <w:gridSpan w:val="2"/>
            <w:vMerge/>
            <w:shd w:val="clear" w:color="auto" w:fill="auto"/>
          </w:tcPr>
          <w:p w:rsidR="008D2B35" w:rsidRPr="00143C85" w:rsidRDefault="008D2B35" w:rsidP="008D2B35">
            <w:pPr>
              <w:spacing w:after="60"/>
              <w:jc w:val="center"/>
              <w:rPr>
                <w:sz w:val="18"/>
                <w:szCs w:val="18"/>
                <w:lang w:val="fr-CA"/>
              </w:rPr>
            </w:pPr>
          </w:p>
        </w:tc>
        <w:tc>
          <w:tcPr>
            <w:tcW w:w="286" w:type="pct"/>
            <w:shd w:val="clear" w:color="auto" w:fill="auto"/>
          </w:tcPr>
          <w:p w:rsidR="008D2B35" w:rsidRPr="00475DD9" w:rsidRDefault="008D2B35" w:rsidP="008D2B35">
            <w:pPr>
              <w:spacing w:after="60"/>
              <w:rPr>
                <w:sz w:val="16"/>
                <w:szCs w:val="16"/>
                <w:lang w:val="fr-CA"/>
              </w:rPr>
            </w:pPr>
            <w:r w:rsidRPr="00475DD9">
              <w:rPr>
                <w:sz w:val="16"/>
                <w:szCs w:val="16"/>
                <w:lang w:val="fr-CA"/>
              </w:rPr>
              <w:t>Coûts d’appui</w:t>
            </w:r>
          </w:p>
        </w:tc>
        <w:tc>
          <w:tcPr>
            <w:tcW w:w="291" w:type="pct"/>
          </w:tcPr>
          <w:p w:rsidR="008D2B35" w:rsidRPr="00143C85" w:rsidRDefault="008D2B35" w:rsidP="008D2B35">
            <w:pPr>
              <w:spacing w:after="60"/>
              <w:jc w:val="right"/>
              <w:rPr>
                <w:sz w:val="18"/>
                <w:szCs w:val="18"/>
                <w:lang w:val="fr-CA"/>
              </w:rPr>
            </w:pPr>
            <w:r w:rsidRPr="00143C85">
              <w:rPr>
                <w:sz w:val="18"/>
                <w:szCs w:val="18"/>
                <w:lang w:val="fr-CA"/>
              </w:rPr>
              <w:t>34</w:t>
            </w:r>
            <w:r>
              <w:rPr>
                <w:sz w:val="18"/>
                <w:szCs w:val="18"/>
                <w:lang w:val="fr-CA"/>
              </w:rPr>
              <w:t xml:space="preserve"> </w:t>
            </w:r>
            <w:r w:rsidRPr="00143C85">
              <w:rPr>
                <w:sz w:val="18"/>
                <w:szCs w:val="18"/>
                <w:lang w:val="fr-CA"/>
              </w:rPr>
              <w:t>500</w:t>
            </w:r>
          </w:p>
        </w:tc>
        <w:tc>
          <w:tcPr>
            <w:tcW w:w="230" w:type="pct"/>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28</w:t>
            </w:r>
            <w:r>
              <w:rPr>
                <w:sz w:val="18"/>
                <w:szCs w:val="18"/>
                <w:lang w:val="fr-CA"/>
              </w:rPr>
              <w:t xml:space="preserve"> </w:t>
            </w:r>
            <w:r w:rsidRPr="00143C85">
              <w:rPr>
                <w:sz w:val="18"/>
                <w:szCs w:val="18"/>
                <w:lang w:val="fr-CA"/>
              </w:rPr>
              <w:t>000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27</w:t>
            </w:r>
            <w:r>
              <w:rPr>
                <w:sz w:val="18"/>
                <w:szCs w:val="18"/>
                <w:lang w:val="fr-CA"/>
              </w:rPr>
              <w:t xml:space="preserve"> </w:t>
            </w:r>
            <w:r w:rsidRPr="00143C85">
              <w:rPr>
                <w:sz w:val="18"/>
                <w:szCs w:val="18"/>
                <w:lang w:val="fr-CA"/>
              </w:rPr>
              <w:t>000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5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8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89</w:t>
            </w:r>
            <w:r>
              <w:rPr>
                <w:sz w:val="18"/>
                <w:szCs w:val="18"/>
                <w:lang w:val="fr-CA"/>
              </w:rPr>
              <w:t xml:space="preserve"> </w:t>
            </w:r>
            <w:r w:rsidRPr="00143C85">
              <w:rPr>
                <w:sz w:val="18"/>
                <w:szCs w:val="18"/>
                <w:lang w:val="fr-CA"/>
              </w:rPr>
              <w:t>500</w:t>
            </w:r>
          </w:p>
        </w:tc>
      </w:tr>
      <w:tr w:rsidR="008D2B35" w:rsidRPr="00143C85" w:rsidTr="008D2B35">
        <w:tc>
          <w:tcPr>
            <w:tcW w:w="659" w:type="pct"/>
            <w:gridSpan w:val="2"/>
            <w:vMerge w:val="restart"/>
            <w:shd w:val="clear" w:color="auto" w:fill="auto"/>
          </w:tcPr>
          <w:p w:rsidR="008D2B35" w:rsidRPr="008D2B35" w:rsidRDefault="008D2B35" w:rsidP="008D2B35">
            <w:pPr>
              <w:spacing w:after="60"/>
              <w:jc w:val="left"/>
              <w:rPr>
                <w:sz w:val="18"/>
                <w:szCs w:val="18"/>
                <w:lang w:val="fr-CA"/>
              </w:rPr>
            </w:pPr>
            <w:r w:rsidRPr="008D2B35">
              <w:rPr>
                <w:sz w:val="18"/>
                <w:szCs w:val="18"/>
                <w:lang w:val="fr-CA"/>
              </w:rPr>
              <w:t>Somme totale demandée aux fins d’</w:t>
            </w:r>
            <w:r>
              <w:rPr>
                <w:sz w:val="18"/>
                <w:szCs w:val="18"/>
                <w:lang w:val="fr-CA"/>
              </w:rPr>
              <w:t>approbati</w:t>
            </w:r>
            <w:r w:rsidRPr="008D2B35">
              <w:rPr>
                <w:sz w:val="18"/>
                <w:szCs w:val="18"/>
                <w:lang w:val="fr-CA"/>
              </w:rPr>
              <w:t xml:space="preserve">on </w:t>
            </w:r>
            <w:r>
              <w:rPr>
                <w:sz w:val="18"/>
                <w:szCs w:val="18"/>
                <w:lang w:val="fr-CA"/>
              </w:rPr>
              <w:t>à la présente réunion ($US)</w:t>
            </w:r>
          </w:p>
        </w:tc>
        <w:tc>
          <w:tcPr>
            <w:tcW w:w="286" w:type="pct"/>
            <w:shd w:val="clear" w:color="auto" w:fill="auto"/>
          </w:tcPr>
          <w:p w:rsidR="008D2B35" w:rsidRPr="00475DD9" w:rsidRDefault="008D2B35" w:rsidP="008D2B35">
            <w:pPr>
              <w:spacing w:after="60"/>
              <w:rPr>
                <w:sz w:val="16"/>
                <w:szCs w:val="16"/>
                <w:lang w:val="fr-CA"/>
              </w:rPr>
            </w:pPr>
            <w:r w:rsidRPr="00475DD9">
              <w:rPr>
                <w:sz w:val="16"/>
                <w:szCs w:val="16"/>
                <w:lang w:val="fr-CA"/>
              </w:rPr>
              <w:t>Coûts d</w:t>
            </w:r>
            <w:r>
              <w:rPr>
                <w:sz w:val="16"/>
                <w:szCs w:val="16"/>
                <w:lang w:val="fr-CA"/>
              </w:rPr>
              <w:t>u</w:t>
            </w:r>
            <w:r w:rsidRPr="00475DD9">
              <w:rPr>
                <w:sz w:val="16"/>
                <w:szCs w:val="16"/>
                <w:lang w:val="fr-CA"/>
              </w:rPr>
              <w:t xml:space="preserve"> projet</w:t>
            </w:r>
          </w:p>
        </w:tc>
        <w:tc>
          <w:tcPr>
            <w:tcW w:w="291" w:type="pct"/>
          </w:tcPr>
          <w:p w:rsidR="008D2B35" w:rsidRPr="00143C85" w:rsidRDefault="008D2B35" w:rsidP="008D2B35">
            <w:pPr>
              <w:spacing w:after="60"/>
              <w:jc w:val="right"/>
              <w:rPr>
                <w:sz w:val="18"/>
                <w:szCs w:val="18"/>
                <w:lang w:val="fr-CA"/>
              </w:rPr>
            </w:pPr>
            <w:r w:rsidRPr="00143C85">
              <w:rPr>
                <w:sz w:val="18"/>
                <w:szCs w:val="18"/>
                <w:lang w:val="fr-CA"/>
              </w:rPr>
              <w:t>0</w:t>
            </w:r>
          </w:p>
        </w:tc>
        <w:tc>
          <w:tcPr>
            <w:tcW w:w="230" w:type="pct"/>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250</w:t>
            </w:r>
            <w:r>
              <w:rPr>
                <w:sz w:val="18"/>
                <w:szCs w:val="18"/>
                <w:lang w:val="fr-CA"/>
              </w:rPr>
              <w:t xml:space="preserve"> </w:t>
            </w:r>
            <w:r w:rsidRPr="00143C85">
              <w:rPr>
                <w:sz w:val="18"/>
                <w:szCs w:val="18"/>
                <w:lang w:val="fr-CA"/>
              </w:rPr>
              <w:t>000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5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8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250</w:t>
            </w:r>
            <w:r>
              <w:rPr>
                <w:sz w:val="18"/>
                <w:szCs w:val="18"/>
                <w:lang w:val="fr-CA"/>
              </w:rPr>
              <w:t xml:space="preserve"> </w:t>
            </w:r>
            <w:r w:rsidRPr="00143C85">
              <w:rPr>
                <w:sz w:val="18"/>
                <w:szCs w:val="18"/>
                <w:lang w:val="fr-CA"/>
              </w:rPr>
              <w:t>000</w:t>
            </w:r>
          </w:p>
        </w:tc>
      </w:tr>
      <w:tr w:rsidR="008D2B35" w:rsidRPr="00143C85" w:rsidTr="008D2B35">
        <w:tc>
          <w:tcPr>
            <w:tcW w:w="659" w:type="pct"/>
            <w:gridSpan w:val="2"/>
            <w:vMerge/>
            <w:shd w:val="clear" w:color="auto" w:fill="auto"/>
          </w:tcPr>
          <w:p w:rsidR="008D2B35" w:rsidRPr="00143C85" w:rsidRDefault="008D2B35" w:rsidP="008D2B35">
            <w:pPr>
              <w:spacing w:after="60"/>
              <w:jc w:val="center"/>
              <w:rPr>
                <w:sz w:val="18"/>
                <w:szCs w:val="18"/>
                <w:lang w:val="fr-CA"/>
              </w:rPr>
            </w:pPr>
          </w:p>
        </w:tc>
        <w:tc>
          <w:tcPr>
            <w:tcW w:w="286" w:type="pct"/>
            <w:shd w:val="clear" w:color="auto" w:fill="auto"/>
          </w:tcPr>
          <w:p w:rsidR="008D2B35" w:rsidRPr="00475DD9" w:rsidRDefault="008D2B35" w:rsidP="008D2B35">
            <w:pPr>
              <w:spacing w:after="60"/>
              <w:rPr>
                <w:sz w:val="16"/>
                <w:szCs w:val="16"/>
                <w:lang w:val="fr-CA"/>
              </w:rPr>
            </w:pPr>
            <w:r w:rsidRPr="00475DD9">
              <w:rPr>
                <w:sz w:val="16"/>
                <w:szCs w:val="16"/>
                <w:lang w:val="fr-CA"/>
              </w:rPr>
              <w:t>Coûts d’appui</w:t>
            </w:r>
          </w:p>
        </w:tc>
        <w:tc>
          <w:tcPr>
            <w:tcW w:w="291" w:type="pct"/>
          </w:tcPr>
          <w:p w:rsidR="008D2B35" w:rsidRPr="00143C85" w:rsidRDefault="008D2B35" w:rsidP="008D2B35">
            <w:pPr>
              <w:spacing w:after="60"/>
              <w:jc w:val="right"/>
              <w:rPr>
                <w:sz w:val="18"/>
                <w:szCs w:val="18"/>
                <w:lang w:val="fr-CA"/>
              </w:rPr>
            </w:pPr>
            <w:r w:rsidRPr="00143C85">
              <w:rPr>
                <w:sz w:val="18"/>
                <w:szCs w:val="18"/>
                <w:lang w:val="fr-CA"/>
              </w:rPr>
              <w:t>0</w:t>
            </w:r>
          </w:p>
        </w:tc>
        <w:tc>
          <w:tcPr>
            <w:tcW w:w="230" w:type="pct"/>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24</w:t>
            </w:r>
            <w:r>
              <w:rPr>
                <w:sz w:val="18"/>
                <w:szCs w:val="18"/>
                <w:lang w:val="fr-CA"/>
              </w:rPr>
              <w:t xml:space="preserve"> </w:t>
            </w:r>
            <w:r w:rsidRPr="00143C85">
              <w:rPr>
                <w:sz w:val="18"/>
                <w:szCs w:val="18"/>
                <w:lang w:val="fr-CA"/>
              </w:rPr>
              <w:t>250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9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30"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0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57"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0</w:t>
            </w:r>
          </w:p>
        </w:tc>
        <w:tc>
          <w:tcPr>
            <w:tcW w:w="281" w:type="pct"/>
            <w:shd w:val="clear" w:color="auto" w:fill="auto"/>
          </w:tcPr>
          <w:p w:rsidR="008D2B35" w:rsidRPr="00143C85" w:rsidRDefault="008D2B35" w:rsidP="008D2B35">
            <w:pPr>
              <w:spacing w:after="60"/>
              <w:jc w:val="right"/>
              <w:rPr>
                <w:sz w:val="18"/>
                <w:szCs w:val="18"/>
                <w:lang w:val="fr-CA"/>
              </w:rPr>
            </w:pPr>
            <w:r w:rsidRPr="00143C85">
              <w:rPr>
                <w:sz w:val="18"/>
                <w:szCs w:val="18"/>
                <w:lang w:val="fr-CA"/>
              </w:rPr>
              <w:t>24</w:t>
            </w:r>
            <w:r>
              <w:rPr>
                <w:sz w:val="18"/>
                <w:szCs w:val="18"/>
                <w:lang w:val="fr-CA"/>
              </w:rPr>
              <w:t xml:space="preserve"> </w:t>
            </w:r>
            <w:r w:rsidRPr="00143C85">
              <w:rPr>
                <w:sz w:val="18"/>
                <w:szCs w:val="18"/>
                <w:lang w:val="fr-CA"/>
              </w:rPr>
              <w:t>250</w:t>
            </w:r>
          </w:p>
        </w:tc>
      </w:tr>
    </w:tbl>
    <w:p w:rsidR="001D2840" w:rsidRPr="00143C85" w:rsidRDefault="001D2840" w:rsidP="001D2840">
      <w:pPr>
        <w:jc w:val="center"/>
        <w:rPr>
          <w:lang w:val="fr-CA"/>
        </w:rPr>
      </w:pPr>
    </w:p>
    <w:p w:rsidR="001D2840" w:rsidRPr="00143C85" w:rsidRDefault="001D2840" w:rsidP="001D2840">
      <w:pPr>
        <w:jc w:val="center"/>
        <w:rPr>
          <w:lang w:val="fr-CA"/>
        </w:rPr>
      </w:pPr>
    </w:p>
    <w:tbl>
      <w:tblPr>
        <w:tblStyle w:val="TableGrid"/>
        <w:tblW w:w="5000" w:type="pct"/>
        <w:tblLook w:val="04A0" w:firstRow="1" w:lastRow="0" w:firstColumn="1" w:lastColumn="0" w:noHBand="0" w:noVBand="1"/>
      </w:tblPr>
      <w:tblGrid>
        <w:gridCol w:w="3963"/>
        <w:gridCol w:w="10283"/>
      </w:tblGrid>
      <w:tr w:rsidR="001D2840" w:rsidRPr="00143C85" w:rsidTr="00143C85">
        <w:trPr>
          <w:trHeight w:val="240"/>
        </w:trPr>
        <w:tc>
          <w:tcPr>
            <w:tcW w:w="1391" w:type="pct"/>
            <w:shd w:val="clear" w:color="auto" w:fill="auto"/>
          </w:tcPr>
          <w:p w:rsidR="001D2840" w:rsidRPr="00143C85" w:rsidRDefault="008D2B35" w:rsidP="00143C85">
            <w:pPr>
              <w:spacing w:after="60"/>
              <w:jc w:val="left"/>
              <w:rPr>
                <w:b/>
                <w:sz w:val="18"/>
                <w:lang w:val="fr-CA"/>
              </w:rPr>
            </w:pPr>
            <w:r>
              <w:rPr>
                <w:b/>
                <w:sz w:val="18"/>
                <w:lang w:val="fr-CA"/>
              </w:rPr>
              <w:t xml:space="preserve">Recommandation du Secrétariat </w:t>
            </w:r>
            <w:r w:rsidR="001D2840" w:rsidRPr="00143C85">
              <w:rPr>
                <w:b/>
                <w:sz w:val="18"/>
                <w:lang w:val="fr-CA"/>
              </w:rPr>
              <w:t>:</w:t>
            </w:r>
          </w:p>
        </w:tc>
        <w:tc>
          <w:tcPr>
            <w:tcW w:w="3609" w:type="pct"/>
            <w:shd w:val="clear" w:color="auto" w:fill="auto"/>
          </w:tcPr>
          <w:p w:rsidR="001D2840" w:rsidRPr="00143C85" w:rsidRDefault="008D2B35" w:rsidP="00143C85">
            <w:pPr>
              <w:spacing w:after="60"/>
              <w:jc w:val="center"/>
              <w:rPr>
                <w:sz w:val="18"/>
                <w:lang w:val="fr-CA"/>
              </w:rPr>
            </w:pPr>
            <w:r>
              <w:rPr>
                <w:sz w:val="18"/>
                <w:lang w:val="fr-CA"/>
              </w:rPr>
              <w:t>Approbation générale</w:t>
            </w:r>
          </w:p>
        </w:tc>
      </w:tr>
    </w:tbl>
    <w:p w:rsidR="001D2840" w:rsidRPr="00143C85" w:rsidRDefault="001D2840" w:rsidP="001D2840">
      <w:pPr>
        <w:rPr>
          <w:lang w:val="fr-CA"/>
        </w:rPr>
        <w:sectPr w:rsidR="001D2840" w:rsidRPr="00143C85" w:rsidSect="00571E74">
          <w:headerReference w:type="first" r:id="rId15"/>
          <w:footerReference w:type="first" r:id="rId16"/>
          <w:pgSz w:w="15840" w:h="12240" w:orient="landscape" w:code="1"/>
          <w:pgMar w:top="1440" w:right="720" w:bottom="1440" w:left="864" w:header="720" w:footer="475" w:gutter="0"/>
          <w:pgNumType w:start="3"/>
          <w:cols w:space="720"/>
          <w:titlePg/>
          <w:docGrid w:linePitch="299"/>
        </w:sectPr>
      </w:pPr>
    </w:p>
    <w:p w:rsidR="001D2840" w:rsidRPr="00143C85" w:rsidRDefault="001D2840" w:rsidP="001D2840">
      <w:pPr>
        <w:rPr>
          <w:lang w:val="fr-CA"/>
        </w:rPr>
      </w:pPr>
    </w:p>
    <w:p w:rsidR="001D2840" w:rsidRPr="00143C85" w:rsidRDefault="00B33344" w:rsidP="001D2840">
      <w:pPr>
        <w:jc w:val="center"/>
        <w:rPr>
          <w:b/>
          <w:lang w:val="fr-CA"/>
        </w:rPr>
      </w:pPr>
      <w:r>
        <w:rPr>
          <w:b/>
          <w:lang w:val="fr-CA"/>
        </w:rPr>
        <w:t>DESCRIPTION DU PROJET</w:t>
      </w:r>
    </w:p>
    <w:p w:rsidR="001D2840" w:rsidRPr="00143C85" w:rsidRDefault="001D2840" w:rsidP="001D2840">
      <w:pPr>
        <w:rPr>
          <w:lang w:val="fr-CA"/>
        </w:rPr>
      </w:pPr>
    </w:p>
    <w:p w:rsidR="001D2840" w:rsidRPr="00143C85" w:rsidRDefault="00B33344" w:rsidP="001D2840">
      <w:pPr>
        <w:pStyle w:val="Heading1"/>
        <w:rPr>
          <w:lang w:val="fr-CA"/>
        </w:rPr>
      </w:pPr>
      <w:r>
        <w:rPr>
          <w:lang w:val="fr-CA"/>
        </w:rPr>
        <w:t>Le PNUE, en qualité d’agence d’exécution principale, présente au nom du gouvernement du Cambodge, une demande de financement pour la quatrième tranche de la phase I du plan de gestion de l’élimination des HCFC (PGEH)</w:t>
      </w:r>
      <w:r w:rsidR="003F6D47">
        <w:rPr>
          <w:lang w:val="fr-CA"/>
        </w:rPr>
        <w:t>,</w:t>
      </w:r>
      <w:r>
        <w:rPr>
          <w:lang w:val="fr-CA"/>
        </w:rPr>
        <w:t xml:space="preserve"> pour la somme totale de 274 250 $US, comprenant 100 000 $US plus les coûts d’appui à l’agence de 13 000 $US pour le PNUE et 150 000 $US plus les coûts d’appui à l’agence de 11 250 $US pour le PNUD.</w:t>
      </w:r>
      <w:r w:rsidRPr="008C34EC">
        <w:rPr>
          <w:rStyle w:val="FootnoteReference"/>
          <w:lang w:val="en-CA"/>
        </w:rPr>
        <w:footnoteReference w:id="1"/>
      </w:r>
      <w:r w:rsidRPr="00B33344">
        <w:rPr>
          <w:lang w:val="fr-CA"/>
        </w:rPr>
        <w:t xml:space="preserve"> </w:t>
      </w:r>
      <w:r>
        <w:rPr>
          <w:lang w:val="fr-CA"/>
        </w:rPr>
        <w:t xml:space="preserve">La proposition est accompagnée du rapport périodique sur la mise en œuvre de la troisième tranche et </w:t>
      </w:r>
      <w:r w:rsidR="003F6D47">
        <w:rPr>
          <w:lang w:val="fr-CA"/>
        </w:rPr>
        <w:t>du</w:t>
      </w:r>
      <w:r>
        <w:rPr>
          <w:lang w:val="fr-CA"/>
        </w:rPr>
        <w:t xml:space="preserve"> plan de mise en œuvre de la tranche de 2019 à 2022.</w:t>
      </w:r>
    </w:p>
    <w:p w:rsidR="001D2840" w:rsidRPr="00143C85" w:rsidRDefault="00B33344" w:rsidP="001D2840">
      <w:pPr>
        <w:rPr>
          <w:u w:val="single"/>
          <w:lang w:val="fr-CA"/>
        </w:rPr>
      </w:pPr>
      <w:r>
        <w:rPr>
          <w:u w:val="single"/>
          <w:lang w:val="fr-CA"/>
        </w:rPr>
        <w:t>Rapport sur la consommation de HCFC</w:t>
      </w:r>
    </w:p>
    <w:p w:rsidR="001D2840" w:rsidRPr="00143C85" w:rsidRDefault="001D2840" w:rsidP="001D2840">
      <w:pPr>
        <w:rPr>
          <w:lang w:val="fr-CA"/>
        </w:rPr>
      </w:pPr>
    </w:p>
    <w:p w:rsidR="001D2840" w:rsidRPr="00143C85" w:rsidRDefault="00B33344" w:rsidP="001D2840">
      <w:pPr>
        <w:pStyle w:val="Heading1"/>
        <w:rPr>
          <w:lang w:val="fr-CA"/>
        </w:rPr>
      </w:pPr>
      <w:r>
        <w:rPr>
          <w:lang w:val="fr-CA"/>
        </w:rPr>
        <w:t>Le gouvernement du Cambodge</w:t>
      </w:r>
      <w:r w:rsidR="003F6D47">
        <w:rPr>
          <w:lang w:val="fr-CA"/>
        </w:rPr>
        <w:t xml:space="preserve"> a rapporté une consommation de 4,</w:t>
      </w:r>
      <w:r>
        <w:rPr>
          <w:lang w:val="fr-CA"/>
        </w:rPr>
        <w:t>64 tonnes PAO de HCFC en 2017 et une consommation estimative de 4,98 tonnes PAO pour 2018, ce qui représente 67 pour cent de moins que la valeur de référence pour les HCFC aux fins de conformité. La consommation de HCFC de 2014 à 2018 est indiquée dans le tableau</w:t>
      </w:r>
      <w:r w:rsidR="001D2840" w:rsidRPr="00143C85">
        <w:rPr>
          <w:lang w:val="fr-CA"/>
        </w:rPr>
        <w:t> 1.</w:t>
      </w:r>
    </w:p>
    <w:p w:rsidR="001D2840" w:rsidRPr="00143C85" w:rsidRDefault="001D2840" w:rsidP="001D2840">
      <w:pPr>
        <w:rPr>
          <w:b/>
          <w:lang w:val="fr-CA"/>
        </w:rPr>
      </w:pPr>
      <w:r w:rsidRPr="00143C85">
        <w:rPr>
          <w:b/>
          <w:lang w:val="fr-CA"/>
        </w:rPr>
        <w:t>Table</w:t>
      </w:r>
      <w:r w:rsidR="00B33344">
        <w:rPr>
          <w:b/>
          <w:lang w:val="fr-CA"/>
        </w:rPr>
        <w:t>au</w:t>
      </w:r>
      <w:r w:rsidRPr="00143C85">
        <w:rPr>
          <w:b/>
          <w:lang w:val="fr-CA"/>
        </w:rPr>
        <w:t xml:space="preserve"> 1. </w:t>
      </w:r>
      <w:r w:rsidR="00B33344">
        <w:rPr>
          <w:b/>
          <w:lang w:val="fr-CA"/>
        </w:rPr>
        <w:t>Consommation de HCFC au Cambodge (2014 à 2018, données relatives à l’article 7</w:t>
      </w:r>
      <w:r w:rsidRPr="00143C85">
        <w:rPr>
          <w:b/>
          <w:lang w:val="fr-CA"/>
        </w:rPr>
        <w:t>)</w:t>
      </w:r>
    </w:p>
    <w:tbl>
      <w:tblPr>
        <w:tblW w:w="5000" w:type="pct"/>
        <w:tblLayout w:type="fixed"/>
        <w:tblLook w:val="04A0" w:firstRow="1" w:lastRow="0" w:firstColumn="1" w:lastColumn="0" w:noHBand="0" w:noVBand="1"/>
      </w:tblPr>
      <w:tblGrid>
        <w:gridCol w:w="3146"/>
        <w:gridCol w:w="990"/>
        <w:gridCol w:w="990"/>
        <w:gridCol w:w="989"/>
        <w:gridCol w:w="989"/>
        <w:gridCol w:w="991"/>
        <w:gridCol w:w="1255"/>
      </w:tblGrid>
      <w:tr w:rsidR="001D2840" w:rsidRPr="00143C85" w:rsidTr="00143C85">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1D2840" w:rsidRPr="00143C85" w:rsidRDefault="001D2840" w:rsidP="00143C85">
            <w:pPr>
              <w:widowControl w:val="0"/>
              <w:jc w:val="left"/>
              <w:rPr>
                <w:b/>
                <w:bCs/>
                <w:color w:val="000000"/>
                <w:sz w:val="20"/>
                <w:szCs w:val="20"/>
                <w:lang w:val="fr-CA"/>
              </w:rPr>
            </w:pPr>
            <w:r w:rsidRPr="00143C85">
              <w:rPr>
                <w:b/>
                <w:bCs/>
                <w:color w:val="000000"/>
                <w:sz w:val="20"/>
                <w:szCs w:val="20"/>
                <w:lang w:val="fr-CA"/>
              </w:rPr>
              <w:t>HCFC</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1D2840" w:rsidRPr="00143C85" w:rsidRDefault="001D2840" w:rsidP="00143C85">
            <w:pPr>
              <w:widowControl w:val="0"/>
              <w:jc w:val="center"/>
              <w:rPr>
                <w:b/>
                <w:bCs/>
                <w:color w:val="000000"/>
                <w:sz w:val="20"/>
                <w:szCs w:val="20"/>
                <w:lang w:val="fr-CA"/>
              </w:rPr>
            </w:pPr>
            <w:r w:rsidRPr="00143C85">
              <w:rPr>
                <w:b/>
                <w:bCs/>
                <w:color w:val="000000"/>
                <w:sz w:val="20"/>
                <w:szCs w:val="20"/>
                <w:lang w:val="fr-CA"/>
              </w:rPr>
              <w:t>2014</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1D2840" w:rsidRPr="00143C85" w:rsidRDefault="001D2840" w:rsidP="00143C85">
            <w:pPr>
              <w:widowControl w:val="0"/>
              <w:jc w:val="center"/>
              <w:rPr>
                <w:b/>
                <w:bCs/>
                <w:color w:val="000000"/>
                <w:sz w:val="20"/>
                <w:szCs w:val="20"/>
                <w:lang w:val="fr-CA"/>
              </w:rPr>
            </w:pPr>
            <w:r w:rsidRPr="00143C85">
              <w:rPr>
                <w:b/>
                <w:bCs/>
                <w:color w:val="000000"/>
                <w:sz w:val="20"/>
                <w:szCs w:val="20"/>
                <w:lang w:val="fr-CA"/>
              </w:rPr>
              <w:t>2015</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1D2840" w:rsidRPr="00143C85" w:rsidRDefault="001D2840" w:rsidP="00143C85">
            <w:pPr>
              <w:widowControl w:val="0"/>
              <w:jc w:val="center"/>
              <w:rPr>
                <w:b/>
                <w:bCs/>
                <w:color w:val="000000"/>
                <w:sz w:val="20"/>
                <w:szCs w:val="20"/>
                <w:lang w:val="fr-CA"/>
              </w:rPr>
            </w:pPr>
            <w:r w:rsidRPr="00143C85">
              <w:rPr>
                <w:b/>
                <w:bCs/>
                <w:color w:val="000000"/>
                <w:sz w:val="20"/>
                <w:szCs w:val="20"/>
                <w:lang w:val="fr-CA"/>
              </w:rPr>
              <w:t>2016</w:t>
            </w:r>
          </w:p>
        </w:tc>
        <w:tc>
          <w:tcPr>
            <w:tcW w:w="529" w:type="pct"/>
            <w:tcBorders>
              <w:top w:val="single" w:sz="4" w:space="0" w:color="auto"/>
              <w:left w:val="nil"/>
              <w:bottom w:val="single" w:sz="4" w:space="0" w:color="auto"/>
              <w:right w:val="single" w:sz="4" w:space="0" w:color="auto"/>
            </w:tcBorders>
          </w:tcPr>
          <w:p w:rsidR="001D2840" w:rsidRPr="00143C85" w:rsidRDefault="001D2840" w:rsidP="00143C85">
            <w:pPr>
              <w:widowControl w:val="0"/>
              <w:jc w:val="center"/>
              <w:rPr>
                <w:b/>
                <w:bCs/>
                <w:color w:val="000000"/>
                <w:sz w:val="20"/>
                <w:szCs w:val="20"/>
                <w:lang w:val="fr-CA"/>
              </w:rPr>
            </w:pPr>
            <w:r w:rsidRPr="00143C85">
              <w:rPr>
                <w:b/>
                <w:bCs/>
                <w:color w:val="000000"/>
                <w:sz w:val="20"/>
                <w:szCs w:val="20"/>
                <w:lang w:val="fr-CA"/>
              </w:rPr>
              <w:t>2017</w:t>
            </w:r>
          </w:p>
        </w:tc>
        <w:tc>
          <w:tcPr>
            <w:tcW w:w="530" w:type="pct"/>
            <w:tcBorders>
              <w:top w:val="single" w:sz="4" w:space="0" w:color="auto"/>
              <w:left w:val="single" w:sz="4" w:space="0" w:color="auto"/>
              <w:bottom w:val="single" w:sz="4" w:space="0" w:color="auto"/>
              <w:right w:val="single" w:sz="4" w:space="0" w:color="auto"/>
            </w:tcBorders>
          </w:tcPr>
          <w:p w:rsidR="001D2840" w:rsidRPr="00143C85" w:rsidRDefault="001D2840" w:rsidP="00143C85">
            <w:pPr>
              <w:widowControl w:val="0"/>
              <w:jc w:val="center"/>
              <w:rPr>
                <w:b/>
                <w:bCs/>
                <w:color w:val="000000"/>
                <w:sz w:val="20"/>
                <w:szCs w:val="20"/>
                <w:lang w:val="fr-CA"/>
              </w:rPr>
            </w:pPr>
            <w:r w:rsidRPr="00143C85">
              <w:rPr>
                <w:b/>
                <w:bCs/>
                <w:color w:val="000000"/>
                <w:sz w:val="20"/>
                <w:szCs w:val="20"/>
                <w:lang w:val="fr-CA"/>
              </w:rPr>
              <w:t>2018*</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840" w:rsidRPr="00143C85" w:rsidRDefault="001D2840" w:rsidP="00143C85">
            <w:pPr>
              <w:widowControl w:val="0"/>
              <w:jc w:val="center"/>
              <w:rPr>
                <w:b/>
                <w:bCs/>
                <w:color w:val="000000"/>
                <w:sz w:val="20"/>
                <w:szCs w:val="20"/>
                <w:lang w:val="fr-CA"/>
              </w:rPr>
            </w:pPr>
            <w:r w:rsidRPr="00143C85">
              <w:rPr>
                <w:b/>
                <w:bCs/>
                <w:color w:val="000000"/>
                <w:sz w:val="20"/>
                <w:szCs w:val="20"/>
                <w:lang w:val="fr-CA"/>
              </w:rPr>
              <w:t>Baseline</w:t>
            </w:r>
          </w:p>
        </w:tc>
      </w:tr>
      <w:tr w:rsidR="001D2840" w:rsidRPr="00143C85" w:rsidTr="00143C85">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1D2840" w:rsidRPr="00143C85" w:rsidRDefault="00CB11A3" w:rsidP="00143C85">
            <w:pPr>
              <w:widowControl w:val="0"/>
              <w:jc w:val="left"/>
              <w:rPr>
                <w:b/>
                <w:bCs/>
                <w:color w:val="000000"/>
                <w:sz w:val="20"/>
                <w:szCs w:val="20"/>
                <w:lang w:val="fr-CA"/>
              </w:rPr>
            </w:pPr>
            <w:r>
              <w:rPr>
                <w:b/>
                <w:bCs/>
                <w:color w:val="000000"/>
                <w:sz w:val="20"/>
                <w:szCs w:val="20"/>
                <w:lang w:val="fr-CA"/>
              </w:rPr>
              <w:t>Tonnes métriques</w:t>
            </w:r>
          </w:p>
        </w:tc>
        <w:tc>
          <w:tcPr>
            <w:tcW w:w="529" w:type="pct"/>
            <w:tcBorders>
              <w:top w:val="nil"/>
              <w:left w:val="nil"/>
              <w:bottom w:val="single" w:sz="4" w:space="0" w:color="auto"/>
              <w:right w:val="single" w:sz="4" w:space="0" w:color="auto"/>
            </w:tcBorders>
            <w:shd w:val="clear" w:color="auto" w:fill="auto"/>
            <w:noWrap/>
            <w:vAlign w:val="center"/>
          </w:tcPr>
          <w:p w:rsidR="001D2840" w:rsidRPr="00143C85" w:rsidRDefault="001D2840" w:rsidP="00143C85">
            <w:pPr>
              <w:widowControl w:val="0"/>
              <w:jc w:val="center"/>
              <w:rPr>
                <w:b/>
                <w:bCs/>
                <w:color w:val="000000"/>
                <w:sz w:val="20"/>
                <w:szCs w:val="20"/>
                <w:lang w:val="fr-CA"/>
              </w:rPr>
            </w:pPr>
          </w:p>
        </w:tc>
        <w:tc>
          <w:tcPr>
            <w:tcW w:w="529" w:type="pct"/>
            <w:tcBorders>
              <w:top w:val="nil"/>
              <w:left w:val="nil"/>
              <w:bottom w:val="single" w:sz="4" w:space="0" w:color="auto"/>
              <w:right w:val="single" w:sz="4" w:space="0" w:color="auto"/>
            </w:tcBorders>
            <w:shd w:val="clear" w:color="auto" w:fill="auto"/>
            <w:noWrap/>
            <w:vAlign w:val="center"/>
          </w:tcPr>
          <w:p w:rsidR="001D2840" w:rsidRPr="00143C85" w:rsidRDefault="001D2840" w:rsidP="00143C85">
            <w:pPr>
              <w:widowControl w:val="0"/>
              <w:jc w:val="center"/>
              <w:rPr>
                <w:b/>
                <w:bCs/>
                <w:color w:val="000000"/>
                <w:sz w:val="20"/>
                <w:szCs w:val="20"/>
                <w:lang w:val="fr-CA"/>
              </w:rPr>
            </w:pPr>
          </w:p>
        </w:tc>
        <w:tc>
          <w:tcPr>
            <w:tcW w:w="529" w:type="pct"/>
            <w:tcBorders>
              <w:top w:val="nil"/>
              <w:left w:val="nil"/>
              <w:bottom w:val="single" w:sz="4" w:space="0" w:color="auto"/>
              <w:right w:val="single" w:sz="4" w:space="0" w:color="auto"/>
            </w:tcBorders>
            <w:shd w:val="clear" w:color="auto" w:fill="auto"/>
            <w:noWrap/>
            <w:vAlign w:val="center"/>
          </w:tcPr>
          <w:p w:rsidR="001D2840" w:rsidRPr="00143C85" w:rsidRDefault="001D2840" w:rsidP="00143C85">
            <w:pPr>
              <w:widowControl w:val="0"/>
              <w:jc w:val="center"/>
              <w:rPr>
                <w:b/>
                <w:bCs/>
                <w:color w:val="000000"/>
                <w:sz w:val="20"/>
                <w:szCs w:val="20"/>
                <w:lang w:val="fr-CA"/>
              </w:rPr>
            </w:pPr>
          </w:p>
        </w:tc>
        <w:tc>
          <w:tcPr>
            <w:tcW w:w="529" w:type="pct"/>
            <w:tcBorders>
              <w:top w:val="single" w:sz="4" w:space="0" w:color="auto"/>
              <w:left w:val="nil"/>
              <w:bottom w:val="single" w:sz="4" w:space="0" w:color="auto"/>
              <w:right w:val="single" w:sz="4" w:space="0" w:color="auto"/>
            </w:tcBorders>
          </w:tcPr>
          <w:p w:rsidR="001D2840" w:rsidRPr="00143C85" w:rsidRDefault="001D2840" w:rsidP="00143C85">
            <w:pPr>
              <w:widowControl w:val="0"/>
              <w:jc w:val="center"/>
              <w:rPr>
                <w:b/>
                <w:bCs/>
                <w:color w:val="000000"/>
                <w:sz w:val="20"/>
                <w:szCs w:val="20"/>
                <w:lang w:val="fr-CA"/>
              </w:rPr>
            </w:pPr>
          </w:p>
        </w:tc>
        <w:tc>
          <w:tcPr>
            <w:tcW w:w="530" w:type="pct"/>
            <w:tcBorders>
              <w:top w:val="nil"/>
              <w:left w:val="single" w:sz="4" w:space="0" w:color="auto"/>
              <w:bottom w:val="single" w:sz="4" w:space="0" w:color="auto"/>
              <w:right w:val="single" w:sz="4" w:space="0" w:color="auto"/>
            </w:tcBorders>
          </w:tcPr>
          <w:p w:rsidR="001D2840" w:rsidRPr="00143C85" w:rsidRDefault="001D2840" w:rsidP="00143C85">
            <w:pPr>
              <w:widowControl w:val="0"/>
              <w:jc w:val="center"/>
              <w:rPr>
                <w:b/>
                <w:bCs/>
                <w:color w:val="000000"/>
                <w:sz w:val="20"/>
                <w:szCs w:val="20"/>
                <w:lang w:val="fr-CA"/>
              </w:rPr>
            </w:pPr>
          </w:p>
        </w:tc>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1D2840" w:rsidRPr="00143C85" w:rsidRDefault="001D2840" w:rsidP="00143C85">
            <w:pPr>
              <w:widowControl w:val="0"/>
              <w:jc w:val="center"/>
              <w:rPr>
                <w:b/>
                <w:bCs/>
                <w:color w:val="000000"/>
                <w:sz w:val="20"/>
                <w:szCs w:val="20"/>
                <w:lang w:val="fr-CA"/>
              </w:rPr>
            </w:pPr>
          </w:p>
        </w:tc>
      </w:tr>
      <w:tr w:rsidR="001D2840" w:rsidRPr="00143C85" w:rsidTr="00143C85">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1D2840" w:rsidRPr="00143C85" w:rsidRDefault="001D2840" w:rsidP="00143C85">
            <w:pPr>
              <w:widowControl w:val="0"/>
              <w:jc w:val="left"/>
              <w:rPr>
                <w:color w:val="000000"/>
                <w:sz w:val="20"/>
                <w:szCs w:val="20"/>
                <w:lang w:val="fr-CA"/>
              </w:rPr>
            </w:pPr>
            <w:r w:rsidRPr="00143C85">
              <w:rPr>
                <w:color w:val="000000"/>
                <w:sz w:val="20"/>
                <w:szCs w:val="20"/>
                <w:lang w:val="fr-CA"/>
              </w:rPr>
              <w:t>HCFC-22</w:t>
            </w:r>
          </w:p>
        </w:tc>
        <w:tc>
          <w:tcPr>
            <w:tcW w:w="529" w:type="pct"/>
            <w:tcBorders>
              <w:top w:val="nil"/>
              <w:left w:val="nil"/>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sz w:val="20"/>
                <w:szCs w:val="20"/>
                <w:lang w:val="fr-CA"/>
              </w:rPr>
            </w:pPr>
            <w:r w:rsidRPr="00143C85">
              <w:rPr>
                <w:sz w:val="20"/>
                <w:szCs w:val="20"/>
                <w:lang w:val="fr-CA"/>
              </w:rPr>
              <w:t>203</w:t>
            </w:r>
            <w:r w:rsidR="00CB11A3">
              <w:rPr>
                <w:sz w:val="20"/>
                <w:szCs w:val="20"/>
                <w:lang w:val="fr-CA"/>
              </w:rPr>
              <w:t>,</w:t>
            </w:r>
            <w:r w:rsidRPr="00143C85">
              <w:rPr>
                <w:sz w:val="20"/>
                <w:szCs w:val="20"/>
                <w:lang w:val="fr-CA"/>
              </w:rPr>
              <w:t>01</w:t>
            </w:r>
          </w:p>
        </w:tc>
        <w:tc>
          <w:tcPr>
            <w:tcW w:w="529" w:type="pct"/>
            <w:tcBorders>
              <w:top w:val="nil"/>
              <w:left w:val="nil"/>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sz w:val="20"/>
                <w:szCs w:val="20"/>
                <w:lang w:val="fr-CA"/>
              </w:rPr>
            </w:pPr>
            <w:r w:rsidRPr="00143C85">
              <w:rPr>
                <w:sz w:val="20"/>
                <w:szCs w:val="20"/>
                <w:lang w:val="fr-CA"/>
              </w:rPr>
              <w:t>211</w:t>
            </w:r>
            <w:r w:rsidR="00CB11A3">
              <w:rPr>
                <w:sz w:val="20"/>
                <w:szCs w:val="20"/>
                <w:lang w:val="fr-CA"/>
              </w:rPr>
              <w:t>,</w:t>
            </w:r>
            <w:r w:rsidRPr="00143C85">
              <w:rPr>
                <w:sz w:val="20"/>
                <w:szCs w:val="20"/>
                <w:lang w:val="fr-CA"/>
              </w:rPr>
              <w:t>74</w:t>
            </w:r>
          </w:p>
        </w:tc>
        <w:tc>
          <w:tcPr>
            <w:tcW w:w="529" w:type="pct"/>
            <w:tcBorders>
              <w:top w:val="nil"/>
              <w:left w:val="nil"/>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color w:val="000000"/>
                <w:sz w:val="20"/>
                <w:szCs w:val="20"/>
                <w:lang w:val="fr-CA"/>
              </w:rPr>
            </w:pPr>
            <w:r w:rsidRPr="00143C85">
              <w:rPr>
                <w:color w:val="000000"/>
                <w:sz w:val="20"/>
                <w:szCs w:val="20"/>
                <w:lang w:val="fr-CA"/>
              </w:rPr>
              <w:t>82</w:t>
            </w:r>
            <w:r w:rsidR="00CB11A3">
              <w:rPr>
                <w:color w:val="000000"/>
                <w:sz w:val="20"/>
                <w:szCs w:val="20"/>
                <w:lang w:val="fr-CA"/>
              </w:rPr>
              <w:t>,</w:t>
            </w:r>
            <w:r w:rsidRPr="00143C85">
              <w:rPr>
                <w:color w:val="000000"/>
                <w:sz w:val="20"/>
                <w:szCs w:val="20"/>
                <w:lang w:val="fr-CA"/>
              </w:rPr>
              <w:t>13</w:t>
            </w:r>
          </w:p>
        </w:tc>
        <w:tc>
          <w:tcPr>
            <w:tcW w:w="529" w:type="pct"/>
            <w:tcBorders>
              <w:top w:val="single" w:sz="4" w:space="0" w:color="auto"/>
              <w:left w:val="nil"/>
              <w:bottom w:val="single" w:sz="4" w:space="0" w:color="auto"/>
              <w:right w:val="single" w:sz="4" w:space="0" w:color="auto"/>
            </w:tcBorders>
          </w:tcPr>
          <w:p w:rsidR="001D2840" w:rsidRPr="00143C85" w:rsidRDefault="001D2840" w:rsidP="00143C85">
            <w:pPr>
              <w:widowControl w:val="0"/>
              <w:jc w:val="right"/>
              <w:rPr>
                <w:color w:val="000000"/>
                <w:sz w:val="20"/>
                <w:szCs w:val="20"/>
                <w:lang w:val="fr-CA"/>
              </w:rPr>
            </w:pPr>
            <w:r w:rsidRPr="00143C85">
              <w:rPr>
                <w:color w:val="000000"/>
                <w:sz w:val="20"/>
                <w:szCs w:val="20"/>
                <w:lang w:val="fr-CA"/>
              </w:rPr>
              <w:t>84</w:t>
            </w:r>
            <w:r w:rsidR="00CB11A3">
              <w:rPr>
                <w:color w:val="000000"/>
                <w:sz w:val="20"/>
                <w:szCs w:val="20"/>
                <w:lang w:val="fr-CA"/>
              </w:rPr>
              <w:t>,</w:t>
            </w:r>
            <w:r w:rsidRPr="00143C85">
              <w:rPr>
                <w:color w:val="000000"/>
                <w:sz w:val="20"/>
                <w:szCs w:val="20"/>
                <w:lang w:val="fr-CA"/>
              </w:rPr>
              <w:t>28</w:t>
            </w:r>
          </w:p>
        </w:tc>
        <w:tc>
          <w:tcPr>
            <w:tcW w:w="530" w:type="pct"/>
            <w:tcBorders>
              <w:top w:val="nil"/>
              <w:left w:val="single" w:sz="4" w:space="0" w:color="auto"/>
              <w:bottom w:val="single" w:sz="4" w:space="0" w:color="auto"/>
              <w:right w:val="single" w:sz="4" w:space="0" w:color="auto"/>
            </w:tcBorders>
          </w:tcPr>
          <w:p w:rsidR="001D2840" w:rsidRPr="00143C85" w:rsidRDefault="001D2840" w:rsidP="00143C85">
            <w:pPr>
              <w:widowControl w:val="0"/>
              <w:jc w:val="right"/>
              <w:rPr>
                <w:color w:val="000000"/>
                <w:sz w:val="20"/>
                <w:szCs w:val="20"/>
                <w:lang w:val="fr-CA"/>
              </w:rPr>
            </w:pPr>
            <w:r w:rsidRPr="00143C85">
              <w:rPr>
                <w:color w:val="000000"/>
                <w:sz w:val="20"/>
                <w:szCs w:val="20"/>
                <w:lang w:val="fr-CA"/>
              </w:rPr>
              <w:t>90</w:t>
            </w:r>
            <w:r w:rsidR="00CB11A3">
              <w:rPr>
                <w:color w:val="000000"/>
                <w:sz w:val="20"/>
                <w:szCs w:val="20"/>
                <w:lang w:val="fr-CA"/>
              </w:rPr>
              <w:t>,</w:t>
            </w:r>
            <w:r w:rsidRPr="00143C85">
              <w:rPr>
                <w:color w:val="000000"/>
                <w:sz w:val="20"/>
                <w:szCs w:val="20"/>
                <w:lang w:val="fr-CA"/>
              </w:rPr>
              <w:t>53</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color w:val="000000"/>
                <w:sz w:val="20"/>
                <w:szCs w:val="20"/>
                <w:lang w:val="fr-CA"/>
              </w:rPr>
            </w:pPr>
            <w:r w:rsidRPr="00143C85">
              <w:rPr>
                <w:color w:val="000000"/>
                <w:sz w:val="20"/>
                <w:szCs w:val="20"/>
                <w:lang w:val="fr-CA"/>
              </w:rPr>
              <w:t>388</w:t>
            </w:r>
            <w:r w:rsidR="00CB11A3">
              <w:rPr>
                <w:color w:val="000000"/>
                <w:sz w:val="20"/>
                <w:szCs w:val="20"/>
                <w:lang w:val="fr-CA"/>
              </w:rPr>
              <w:t>,</w:t>
            </w:r>
            <w:r w:rsidRPr="00143C85">
              <w:rPr>
                <w:color w:val="000000"/>
                <w:sz w:val="20"/>
                <w:szCs w:val="20"/>
                <w:lang w:val="fr-CA"/>
              </w:rPr>
              <w:t>8</w:t>
            </w:r>
          </w:p>
        </w:tc>
      </w:tr>
      <w:tr w:rsidR="001D2840" w:rsidRPr="00143C85" w:rsidTr="00143C85">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1D2840" w:rsidRPr="00143C85" w:rsidRDefault="001D2840" w:rsidP="00143C85">
            <w:pPr>
              <w:widowControl w:val="0"/>
              <w:jc w:val="left"/>
              <w:rPr>
                <w:color w:val="000000"/>
                <w:sz w:val="20"/>
                <w:szCs w:val="20"/>
                <w:lang w:val="fr-CA"/>
              </w:rPr>
            </w:pPr>
            <w:r w:rsidRPr="00143C85">
              <w:rPr>
                <w:color w:val="000000"/>
                <w:sz w:val="20"/>
                <w:szCs w:val="20"/>
                <w:lang w:val="fr-CA"/>
              </w:rPr>
              <w:t>HCFC-123</w:t>
            </w:r>
          </w:p>
        </w:tc>
        <w:tc>
          <w:tcPr>
            <w:tcW w:w="529" w:type="pct"/>
            <w:tcBorders>
              <w:top w:val="nil"/>
              <w:left w:val="nil"/>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sz w:val="20"/>
                <w:szCs w:val="20"/>
                <w:lang w:val="fr-CA"/>
              </w:rPr>
            </w:pPr>
            <w:r w:rsidRPr="00143C85">
              <w:rPr>
                <w:sz w:val="20"/>
                <w:szCs w:val="20"/>
                <w:lang w:val="fr-CA"/>
              </w:rPr>
              <w:t>1</w:t>
            </w:r>
            <w:r w:rsidR="00CB11A3">
              <w:rPr>
                <w:sz w:val="20"/>
                <w:szCs w:val="20"/>
                <w:lang w:val="fr-CA"/>
              </w:rPr>
              <w:t>,</w:t>
            </w:r>
            <w:r w:rsidRPr="00143C85">
              <w:rPr>
                <w:sz w:val="20"/>
                <w:szCs w:val="20"/>
                <w:lang w:val="fr-CA"/>
              </w:rPr>
              <w:t>14</w:t>
            </w:r>
          </w:p>
        </w:tc>
        <w:tc>
          <w:tcPr>
            <w:tcW w:w="529" w:type="pct"/>
            <w:tcBorders>
              <w:top w:val="nil"/>
              <w:left w:val="nil"/>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sz w:val="20"/>
                <w:szCs w:val="20"/>
                <w:lang w:val="fr-CA"/>
              </w:rPr>
            </w:pPr>
            <w:r w:rsidRPr="00143C85">
              <w:rPr>
                <w:sz w:val="20"/>
                <w:szCs w:val="20"/>
                <w:lang w:val="fr-CA"/>
              </w:rPr>
              <w:t>2</w:t>
            </w:r>
            <w:r w:rsidR="00CB11A3">
              <w:rPr>
                <w:sz w:val="20"/>
                <w:szCs w:val="20"/>
                <w:lang w:val="fr-CA"/>
              </w:rPr>
              <w:t>,</w:t>
            </w:r>
            <w:r w:rsidRPr="00143C85">
              <w:rPr>
                <w:sz w:val="20"/>
                <w:szCs w:val="20"/>
                <w:lang w:val="fr-CA"/>
              </w:rPr>
              <w:t>13</w:t>
            </w:r>
          </w:p>
        </w:tc>
        <w:tc>
          <w:tcPr>
            <w:tcW w:w="529" w:type="pct"/>
            <w:tcBorders>
              <w:top w:val="nil"/>
              <w:left w:val="nil"/>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color w:val="000000"/>
                <w:sz w:val="20"/>
                <w:szCs w:val="20"/>
                <w:lang w:val="fr-CA"/>
              </w:rPr>
            </w:pPr>
            <w:r w:rsidRPr="00143C85">
              <w:rPr>
                <w:color w:val="000000"/>
                <w:sz w:val="20"/>
                <w:szCs w:val="20"/>
                <w:lang w:val="fr-CA"/>
              </w:rPr>
              <w:t>0</w:t>
            </w:r>
            <w:r w:rsidR="00CB11A3">
              <w:rPr>
                <w:color w:val="000000"/>
                <w:sz w:val="20"/>
                <w:szCs w:val="20"/>
                <w:lang w:val="fr-CA"/>
              </w:rPr>
              <w:t>,</w:t>
            </w:r>
            <w:r w:rsidRPr="00143C85">
              <w:rPr>
                <w:color w:val="000000"/>
                <w:sz w:val="20"/>
                <w:szCs w:val="20"/>
                <w:lang w:val="fr-CA"/>
              </w:rPr>
              <w:t>00</w:t>
            </w:r>
          </w:p>
        </w:tc>
        <w:tc>
          <w:tcPr>
            <w:tcW w:w="529" w:type="pct"/>
            <w:tcBorders>
              <w:top w:val="single" w:sz="4" w:space="0" w:color="auto"/>
              <w:left w:val="nil"/>
              <w:bottom w:val="single" w:sz="4" w:space="0" w:color="auto"/>
              <w:right w:val="single" w:sz="4" w:space="0" w:color="auto"/>
            </w:tcBorders>
          </w:tcPr>
          <w:p w:rsidR="001D2840" w:rsidRPr="00143C85" w:rsidRDefault="001D2840" w:rsidP="00143C85">
            <w:pPr>
              <w:widowControl w:val="0"/>
              <w:jc w:val="right"/>
              <w:rPr>
                <w:color w:val="000000"/>
                <w:sz w:val="20"/>
                <w:szCs w:val="20"/>
                <w:lang w:val="fr-CA"/>
              </w:rPr>
            </w:pPr>
            <w:r w:rsidRPr="00143C85">
              <w:rPr>
                <w:color w:val="000000"/>
                <w:sz w:val="20"/>
                <w:szCs w:val="20"/>
                <w:lang w:val="fr-CA"/>
              </w:rPr>
              <w:t>0</w:t>
            </w:r>
            <w:r w:rsidR="00CB11A3">
              <w:rPr>
                <w:color w:val="000000"/>
                <w:sz w:val="20"/>
                <w:szCs w:val="20"/>
                <w:lang w:val="fr-CA"/>
              </w:rPr>
              <w:t>,</w:t>
            </w:r>
            <w:r w:rsidRPr="00143C85">
              <w:rPr>
                <w:color w:val="000000"/>
                <w:sz w:val="20"/>
                <w:szCs w:val="20"/>
                <w:lang w:val="fr-CA"/>
              </w:rPr>
              <w:t>00</w:t>
            </w:r>
          </w:p>
        </w:tc>
        <w:tc>
          <w:tcPr>
            <w:tcW w:w="530" w:type="pct"/>
            <w:tcBorders>
              <w:top w:val="nil"/>
              <w:left w:val="single" w:sz="4" w:space="0" w:color="auto"/>
              <w:bottom w:val="single" w:sz="4" w:space="0" w:color="auto"/>
              <w:right w:val="single" w:sz="4" w:space="0" w:color="auto"/>
            </w:tcBorders>
          </w:tcPr>
          <w:p w:rsidR="001D2840" w:rsidRPr="00143C85" w:rsidRDefault="001D2840" w:rsidP="00143C85">
            <w:pPr>
              <w:widowControl w:val="0"/>
              <w:jc w:val="right"/>
              <w:rPr>
                <w:color w:val="000000"/>
                <w:sz w:val="20"/>
                <w:szCs w:val="20"/>
                <w:lang w:val="fr-CA"/>
              </w:rPr>
            </w:pPr>
            <w:r w:rsidRPr="00143C85">
              <w:rPr>
                <w:color w:val="000000"/>
                <w:sz w:val="20"/>
                <w:szCs w:val="20"/>
                <w:lang w:val="fr-CA"/>
              </w:rPr>
              <w:t>0</w:t>
            </w:r>
            <w:r w:rsidR="00CB11A3">
              <w:rPr>
                <w:color w:val="000000"/>
                <w:sz w:val="20"/>
                <w:szCs w:val="20"/>
                <w:lang w:val="fr-CA"/>
              </w:rPr>
              <w:t>,</w:t>
            </w:r>
            <w:r w:rsidRPr="00143C85">
              <w:rPr>
                <w:color w:val="000000"/>
                <w:sz w:val="20"/>
                <w:szCs w:val="20"/>
                <w:lang w:val="fr-CA"/>
              </w:rPr>
              <w:t>00</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color w:val="000000"/>
                <w:sz w:val="20"/>
                <w:szCs w:val="20"/>
                <w:lang w:val="fr-CA"/>
              </w:rPr>
            </w:pPr>
            <w:r w:rsidRPr="00143C85">
              <w:rPr>
                <w:color w:val="000000"/>
                <w:sz w:val="20"/>
                <w:szCs w:val="20"/>
                <w:lang w:val="fr-CA"/>
              </w:rPr>
              <w:t>0</w:t>
            </w:r>
            <w:r w:rsidR="00CB11A3">
              <w:rPr>
                <w:color w:val="000000"/>
                <w:sz w:val="20"/>
                <w:szCs w:val="20"/>
                <w:lang w:val="fr-CA"/>
              </w:rPr>
              <w:t>,</w:t>
            </w:r>
            <w:r w:rsidRPr="00143C85">
              <w:rPr>
                <w:color w:val="000000"/>
                <w:sz w:val="20"/>
                <w:szCs w:val="20"/>
                <w:lang w:val="fr-CA"/>
              </w:rPr>
              <w:t>0</w:t>
            </w:r>
          </w:p>
        </w:tc>
      </w:tr>
      <w:tr w:rsidR="001D2840" w:rsidRPr="00143C85" w:rsidTr="00143C85">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1D2840" w:rsidRPr="00143C85" w:rsidRDefault="001D2840" w:rsidP="00CB11A3">
            <w:pPr>
              <w:jc w:val="left"/>
              <w:rPr>
                <w:rFonts w:eastAsiaTheme="minorHAnsi"/>
                <w:b/>
                <w:color w:val="000000"/>
                <w:sz w:val="20"/>
                <w:szCs w:val="20"/>
                <w:lang w:val="fr-CA"/>
              </w:rPr>
            </w:pPr>
            <w:r w:rsidRPr="00143C85">
              <w:rPr>
                <w:b/>
                <w:color w:val="000000"/>
                <w:sz w:val="20"/>
                <w:szCs w:val="20"/>
                <w:lang w:val="fr-CA"/>
              </w:rPr>
              <w:t>Total (</w:t>
            </w:r>
            <w:proofErr w:type="spellStart"/>
            <w:r w:rsidR="00CB11A3">
              <w:rPr>
                <w:b/>
                <w:color w:val="000000"/>
                <w:sz w:val="20"/>
                <w:szCs w:val="20"/>
                <w:lang w:val="fr-CA"/>
              </w:rPr>
              <w:t>tm</w:t>
            </w:r>
            <w:proofErr w:type="spellEnd"/>
            <w:r w:rsidRPr="00143C85">
              <w:rPr>
                <w:b/>
                <w:color w:val="000000"/>
                <w:sz w:val="20"/>
                <w:szCs w:val="20"/>
                <w:lang w:val="fr-CA"/>
              </w:rPr>
              <w:t>)</w:t>
            </w:r>
          </w:p>
        </w:tc>
        <w:tc>
          <w:tcPr>
            <w:tcW w:w="529" w:type="pct"/>
            <w:tcBorders>
              <w:top w:val="nil"/>
              <w:left w:val="nil"/>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b/>
                <w:color w:val="000000"/>
                <w:sz w:val="20"/>
                <w:szCs w:val="20"/>
                <w:lang w:val="fr-CA"/>
              </w:rPr>
            </w:pPr>
            <w:r w:rsidRPr="00143C85">
              <w:rPr>
                <w:b/>
                <w:color w:val="000000"/>
                <w:sz w:val="20"/>
                <w:szCs w:val="20"/>
                <w:lang w:val="fr-CA"/>
              </w:rPr>
              <w:t>204</w:t>
            </w:r>
            <w:r w:rsidR="00CB11A3">
              <w:rPr>
                <w:b/>
                <w:color w:val="000000"/>
                <w:sz w:val="20"/>
                <w:szCs w:val="20"/>
                <w:lang w:val="fr-CA"/>
              </w:rPr>
              <w:t>,</w:t>
            </w:r>
            <w:r w:rsidRPr="00143C85">
              <w:rPr>
                <w:b/>
                <w:color w:val="000000"/>
                <w:sz w:val="20"/>
                <w:szCs w:val="20"/>
                <w:lang w:val="fr-CA"/>
              </w:rPr>
              <w:t>15</w:t>
            </w:r>
          </w:p>
        </w:tc>
        <w:tc>
          <w:tcPr>
            <w:tcW w:w="529" w:type="pct"/>
            <w:tcBorders>
              <w:top w:val="nil"/>
              <w:left w:val="nil"/>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b/>
                <w:color w:val="000000"/>
                <w:sz w:val="20"/>
                <w:szCs w:val="20"/>
                <w:lang w:val="fr-CA"/>
              </w:rPr>
            </w:pPr>
            <w:r w:rsidRPr="00143C85">
              <w:rPr>
                <w:b/>
                <w:color w:val="000000"/>
                <w:sz w:val="20"/>
                <w:szCs w:val="20"/>
                <w:lang w:val="fr-CA"/>
              </w:rPr>
              <w:t>213</w:t>
            </w:r>
            <w:r w:rsidR="00CB11A3">
              <w:rPr>
                <w:b/>
                <w:color w:val="000000"/>
                <w:sz w:val="20"/>
                <w:szCs w:val="20"/>
                <w:lang w:val="fr-CA"/>
              </w:rPr>
              <w:t>,</w:t>
            </w:r>
            <w:r w:rsidRPr="00143C85">
              <w:rPr>
                <w:b/>
                <w:color w:val="000000"/>
                <w:sz w:val="20"/>
                <w:szCs w:val="20"/>
                <w:lang w:val="fr-CA"/>
              </w:rPr>
              <w:t>87</w:t>
            </w:r>
          </w:p>
        </w:tc>
        <w:tc>
          <w:tcPr>
            <w:tcW w:w="529" w:type="pct"/>
            <w:tcBorders>
              <w:top w:val="nil"/>
              <w:left w:val="nil"/>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b/>
                <w:color w:val="000000"/>
                <w:sz w:val="20"/>
                <w:szCs w:val="20"/>
                <w:lang w:val="fr-CA"/>
              </w:rPr>
            </w:pPr>
            <w:r w:rsidRPr="00143C85">
              <w:rPr>
                <w:b/>
                <w:color w:val="000000"/>
                <w:sz w:val="20"/>
                <w:szCs w:val="20"/>
                <w:lang w:val="fr-CA"/>
              </w:rPr>
              <w:t>82</w:t>
            </w:r>
            <w:r w:rsidR="00CB11A3">
              <w:rPr>
                <w:b/>
                <w:color w:val="000000"/>
                <w:sz w:val="20"/>
                <w:szCs w:val="20"/>
                <w:lang w:val="fr-CA"/>
              </w:rPr>
              <w:t>,</w:t>
            </w:r>
            <w:r w:rsidRPr="00143C85">
              <w:rPr>
                <w:b/>
                <w:color w:val="000000"/>
                <w:sz w:val="20"/>
                <w:szCs w:val="20"/>
                <w:lang w:val="fr-CA"/>
              </w:rPr>
              <w:t>13</w:t>
            </w:r>
          </w:p>
        </w:tc>
        <w:tc>
          <w:tcPr>
            <w:tcW w:w="529" w:type="pct"/>
            <w:tcBorders>
              <w:top w:val="single" w:sz="4" w:space="0" w:color="auto"/>
              <w:left w:val="nil"/>
              <w:bottom w:val="single" w:sz="4" w:space="0" w:color="auto"/>
              <w:right w:val="single" w:sz="4" w:space="0" w:color="auto"/>
            </w:tcBorders>
          </w:tcPr>
          <w:p w:rsidR="001D2840" w:rsidRPr="00143C85" w:rsidRDefault="001D2840" w:rsidP="00143C85">
            <w:pPr>
              <w:widowControl w:val="0"/>
              <w:jc w:val="right"/>
              <w:rPr>
                <w:b/>
                <w:color w:val="000000"/>
                <w:sz w:val="20"/>
                <w:szCs w:val="20"/>
                <w:lang w:val="fr-CA"/>
              </w:rPr>
            </w:pPr>
            <w:r w:rsidRPr="00143C85">
              <w:rPr>
                <w:b/>
                <w:color w:val="000000"/>
                <w:sz w:val="20"/>
                <w:szCs w:val="20"/>
                <w:lang w:val="fr-CA"/>
              </w:rPr>
              <w:t>84</w:t>
            </w:r>
            <w:r w:rsidR="00CB11A3">
              <w:rPr>
                <w:b/>
                <w:color w:val="000000"/>
                <w:sz w:val="20"/>
                <w:szCs w:val="20"/>
                <w:lang w:val="fr-CA"/>
              </w:rPr>
              <w:t>,</w:t>
            </w:r>
            <w:r w:rsidRPr="00143C85">
              <w:rPr>
                <w:b/>
                <w:color w:val="000000"/>
                <w:sz w:val="20"/>
                <w:szCs w:val="20"/>
                <w:lang w:val="fr-CA"/>
              </w:rPr>
              <w:t>28</w:t>
            </w:r>
          </w:p>
        </w:tc>
        <w:tc>
          <w:tcPr>
            <w:tcW w:w="530" w:type="pct"/>
            <w:tcBorders>
              <w:top w:val="nil"/>
              <w:left w:val="single" w:sz="4" w:space="0" w:color="auto"/>
              <w:bottom w:val="single" w:sz="4" w:space="0" w:color="auto"/>
              <w:right w:val="single" w:sz="4" w:space="0" w:color="auto"/>
            </w:tcBorders>
          </w:tcPr>
          <w:p w:rsidR="001D2840" w:rsidRPr="00143C85" w:rsidRDefault="001D2840" w:rsidP="00143C85">
            <w:pPr>
              <w:widowControl w:val="0"/>
              <w:jc w:val="right"/>
              <w:rPr>
                <w:b/>
                <w:color w:val="000000"/>
                <w:sz w:val="20"/>
                <w:szCs w:val="20"/>
                <w:lang w:val="fr-CA"/>
              </w:rPr>
            </w:pPr>
            <w:r w:rsidRPr="00143C85">
              <w:rPr>
                <w:b/>
                <w:color w:val="000000"/>
                <w:sz w:val="20"/>
                <w:szCs w:val="20"/>
                <w:lang w:val="fr-CA"/>
              </w:rPr>
              <w:t>90</w:t>
            </w:r>
            <w:r w:rsidR="00CB11A3">
              <w:rPr>
                <w:b/>
                <w:color w:val="000000"/>
                <w:sz w:val="20"/>
                <w:szCs w:val="20"/>
                <w:lang w:val="fr-CA"/>
              </w:rPr>
              <w:t>,</w:t>
            </w:r>
            <w:r w:rsidRPr="00143C85">
              <w:rPr>
                <w:b/>
                <w:color w:val="000000"/>
                <w:sz w:val="20"/>
                <w:szCs w:val="20"/>
                <w:lang w:val="fr-CA"/>
              </w:rPr>
              <w:t>53</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b/>
                <w:color w:val="000000"/>
                <w:sz w:val="20"/>
                <w:szCs w:val="20"/>
                <w:lang w:val="fr-CA"/>
              </w:rPr>
            </w:pPr>
            <w:r w:rsidRPr="00143C85">
              <w:rPr>
                <w:b/>
                <w:color w:val="000000"/>
                <w:sz w:val="20"/>
                <w:szCs w:val="20"/>
                <w:lang w:val="fr-CA"/>
              </w:rPr>
              <w:t>388</w:t>
            </w:r>
            <w:r w:rsidR="00CB11A3">
              <w:rPr>
                <w:b/>
                <w:color w:val="000000"/>
                <w:sz w:val="20"/>
                <w:szCs w:val="20"/>
                <w:lang w:val="fr-CA"/>
              </w:rPr>
              <w:t>,</w:t>
            </w:r>
            <w:r w:rsidRPr="00143C85">
              <w:rPr>
                <w:b/>
                <w:color w:val="000000"/>
                <w:sz w:val="20"/>
                <w:szCs w:val="20"/>
                <w:lang w:val="fr-CA"/>
              </w:rPr>
              <w:t>8</w:t>
            </w:r>
          </w:p>
        </w:tc>
      </w:tr>
      <w:tr w:rsidR="001D2840" w:rsidRPr="00143C85" w:rsidTr="00143C85">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1D2840" w:rsidRPr="00143C85" w:rsidRDefault="001D2840" w:rsidP="00CB11A3">
            <w:pPr>
              <w:jc w:val="left"/>
              <w:rPr>
                <w:color w:val="000000"/>
                <w:sz w:val="20"/>
                <w:szCs w:val="20"/>
                <w:lang w:val="fr-CA"/>
              </w:rPr>
            </w:pPr>
            <w:r w:rsidRPr="00143C85">
              <w:rPr>
                <w:color w:val="000000"/>
                <w:sz w:val="20"/>
                <w:szCs w:val="20"/>
                <w:lang w:val="fr-CA"/>
              </w:rPr>
              <w:t xml:space="preserve">HCFC-141b </w:t>
            </w:r>
            <w:r w:rsidR="00CB11A3">
              <w:rPr>
                <w:color w:val="000000"/>
                <w:sz w:val="20"/>
                <w:szCs w:val="20"/>
                <w:lang w:val="fr-CA"/>
              </w:rPr>
              <w:t xml:space="preserve">contenu dans les polyols </w:t>
            </w:r>
            <w:proofErr w:type="spellStart"/>
            <w:r w:rsidR="00CB11A3">
              <w:rPr>
                <w:color w:val="000000"/>
                <w:sz w:val="20"/>
                <w:szCs w:val="20"/>
                <w:lang w:val="fr-CA"/>
              </w:rPr>
              <w:t>prémélangés</w:t>
            </w:r>
            <w:proofErr w:type="spellEnd"/>
            <w:r w:rsidR="00CB11A3">
              <w:rPr>
                <w:color w:val="000000"/>
                <w:sz w:val="20"/>
                <w:szCs w:val="20"/>
                <w:lang w:val="fr-CA"/>
              </w:rPr>
              <w:t xml:space="preserve"> importés</w:t>
            </w:r>
            <w:r w:rsidRPr="00143C85">
              <w:rPr>
                <w:color w:val="000000"/>
                <w:sz w:val="20"/>
                <w:szCs w:val="20"/>
                <w:lang w:val="fr-CA"/>
              </w:rPr>
              <w:t>**</w:t>
            </w:r>
          </w:p>
        </w:tc>
        <w:tc>
          <w:tcPr>
            <w:tcW w:w="529" w:type="pct"/>
            <w:tcBorders>
              <w:top w:val="nil"/>
              <w:left w:val="nil"/>
              <w:bottom w:val="single" w:sz="4" w:space="0" w:color="auto"/>
              <w:right w:val="single" w:sz="4" w:space="0" w:color="auto"/>
            </w:tcBorders>
            <w:shd w:val="clear" w:color="auto" w:fill="auto"/>
            <w:noWrap/>
          </w:tcPr>
          <w:p w:rsidR="001D2840" w:rsidRPr="00143C85" w:rsidRDefault="001D2840" w:rsidP="00143C85">
            <w:pPr>
              <w:widowControl w:val="0"/>
              <w:jc w:val="right"/>
              <w:rPr>
                <w:color w:val="000000"/>
                <w:sz w:val="20"/>
                <w:szCs w:val="20"/>
                <w:lang w:val="fr-CA"/>
              </w:rPr>
            </w:pPr>
            <w:r w:rsidRPr="00143C85">
              <w:rPr>
                <w:color w:val="000000"/>
                <w:sz w:val="20"/>
                <w:szCs w:val="20"/>
                <w:lang w:val="fr-CA"/>
              </w:rPr>
              <w:t>-</w:t>
            </w:r>
          </w:p>
        </w:tc>
        <w:tc>
          <w:tcPr>
            <w:tcW w:w="529" w:type="pct"/>
            <w:tcBorders>
              <w:top w:val="nil"/>
              <w:left w:val="nil"/>
              <w:bottom w:val="single" w:sz="4" w:space="0" w:color="auto"/>
              <w:right w:val="single" w:sz="4" w:space="0" w:color="auto"/>
            </w:tcBorders>
            <w:shd w:val="clear" w:color="auto" w:fill="auto"/>
            <w:noWrap/>
          </w:tcPr>
          <w:p w:rsidR="001D2840" w:rsidRPr="00143C85" w:rsidRDefault="001D2840" w:rsidP="00143C85">
            <w:pPr>
              <w:widowControl w:val="0"/>
              <w:jc w:val="right"/>
              <w:rPr>
                <w:color w:val="000000"/>
                <w:sz w:val="20"/>
                <w:szCs w:val="20"/>
                <w:lang w:val="fr-CA"/>
              </w:rPr>
            </w:pPr>
            <w:r w:rsidRPr="00143C85">
              <w:rPr>
                <w:color w:val="000000"/>
                <w:sz w:val="20"/>
                <w:szCs w:val="20"/>
                <w:lang w:val="fr-CA"/>
              </w:rPr>
              <w:t>-</w:t>
            </w:r>
          </w:p>
        </w:tc>
        <w:tc>
          <w:tcPr>
            <w:tcW w:w="529" w:type="pct"/>
            <w:tcBorders>
              <w:top w:val="nil"/>
              <w:left w:val="nil"/>
              <w:bottom w:val="single" w:sz="4" w:space="0" w:color="auto"/>
              <w:right w:val="single" w:sz="4" w:space="0" w:color="auto"/>
            </w:tcBorders>
            <w:shd w:val="clear" w:color="auto" w:fill="auto"/>
            <w:noWrap/>
          </w:tcPr>
          <w:p w:rsidR="001D2840" w:rsidRPr="00143C85" w:rsidRDefault="001D2840" w:rsidP="00143C85">
            <w:pPr>
              <w:widowControl w:val="0"/>
              <w:jc w:val="right"/>
              <w:rPr>
                <w:color w:val="000000"/>
                <w:sz w:val="20"/>
                <w:szCs w:val="20"/>
                <w:lang w:val="fr-CA"/>
              </w:rPr>
            </w:pPr>
            <w:r w:rsidRPr="00143C85">
              <w:rPr>
                <w:color w:val="000000"/>
                <w:sz w:val="20"/>
                <w:szCs w:val="20"/>
                <w:lang w:val="fr-CA"/>
              </w:rPr>
              <w:t>-</w:t>
            </w:r>
          </w:p>
        </w:tc>
        <w:tc>
          <w:tcPr>
            <w:tcW w:w="529" w:type="pct"/>
            <w:tcBorders>
              <w:top w:val="single" w:sz="4" w:space="0" w:color="auto"/>
              <w:left w:val="nil"/>
              <w:bottom w:val="single" w:sz="4" w:space="0" w:color="auto"/>
              <w:right w:val="single" w:sz="4" w:space="0" w:color="auto"/>
            </w:tcBorders>
          </w:tcPr>
          <w:p w:rsidR="001D2840" w:rsidRPr="00143C85" w:rsidRDefault="001D2840" w:rsidP="00143C85">
            <w:pPr>
              <w:widowControl w:val="0"/>
              <w:jc w:val="right"/>
              <w:rPr>
                <w:color w:val="000000"/>
                <w:sz w:val="20"/>
                <w:szCs w:val="20"/>
                <w:lang w:val="fr-CA"/>
              </w:rPr>
            </w:pPr>
            <w:r w:rsidRPr="00143C85">
              <w:rPr>
                <w:color w:val="000000"/>
                <w:sz w:val="20"/>
                <w:szCs w:val="20"/>
                <w:lang w:val="fr-CA"/>
              </w:rPr>
              <w:t>8</w:t>
            </w:r>
            <w:r w:rsidR="00CB11A3">
              <w:rPr>
                <w:color w:val="000000"/>
                <w:sz w:val="20"/>
                <w:szCs w:val="20"/>
                <w:lang w:val="fr-CA"/>
              </w:rPr>
              <w:t>,</w:t>
            </w:r>
            <w:r w:rsidRPr="00143C85">
              <w:rPr>
                <w:color w:val="000000"/>
                <w:sz w:val="20"/>
                <w:szCs w:val="20"/>
                <w:lang w:val="fr-CA"/>
              </w:rPr>
              <w:t>40</w:t>
            </w:r>
          </w:p>
        </w:tc>
        <w:tc>
          <w:tcPr>
            <w:tcW w:w="530" w:type="pct"/>
            <w:tcBorders>
              <w:top w:val="nil"/>
              <w:left w:val="single" w:sz="4" w:space="0" w:color="auto"/>
              <w:bottom w:val="single" w:sz="4" w:space="0" w:color="auto"/>
              <w:right w:val="single" w:sz="4" w:space="0" w:color="auto"/>
            </w:tcBorders>
          </w:tcPr>
          <w:p w:rsidR="001D2840" w:rsidRPr="00143C85" w:rsidRDefault="001D2840" w:rsidP="00143C85">
            <w:pPr>
              <w:widowControl w:val="0"/>
              <w:jc w:val="right"/>
              <w:rPr>
                <w:color w:val="000000"/>
                <w:sz w:val="20"/>
                <w:szCs w:val="20"/>
                <w:lang w:val="fr-CA"/>
              </w:rPr>
            </w:pPr>
            <w:r w:rsidRPr="00143C85">
              <w:rPr>
                <w:color w:val="000000"/>
                <w:sz w:val="20"/>
                <w:szCs w:val="20"/>
                <w:lang w:val="fr-CA"/>
              </w:rPr>
              <w:t>28</w:t>
            </w:r>
            <w:r w:rsidR="00CB11A3">
              <w:rPr>
                <w:color w:val="000000"/>
                <w:sz w:val="20"/>
                <w:szCs w:val="20"/>
                <w:lang w:val="fr-CA"/>
              </w:rPr>
              <w:t>,</w:t>
            </w:r>
            <w:r w:rsidRPr="00143C85">
              <w:rPr>
                <w:color w:val="000000"/>
                <w:sz w:val="20"/>
                <w:szCs w:val="20"/>
                <w:lang w:val="fr-CA"/>
              </w:rPr>
              <w:t>64</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color w:val="000000"/>
                <w:sz w:val="20"/>
                <w:szCs w:val="20"/>
                <w:lang w:val="fr-CA"/>
              </w:rPr>
            </w:pPr>
            <w:r w:rsidRPr="00143C85">
              <w:rPr>
                <w:color w:val="000000"/>
                <w:sz w:val="20"/>
                <w:szCs w:val="20"/>
                <w:lang w:val="fr-CA"/>
              </w:rPr>
              <w:t>-</w:t>
            </w:r>
          </w:p>
        </w:tc>
      </w:tr>
      <w:tr w:rsidR="001D2840" w:rsidRPr="00143C85" w:rsidTr="00143C85">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1D2840" w:rsidRPr="00143C85" w:rsidRDefault="00CB11A3" w:rsidP="00143C85">
            <w:pPr>
              <w:widowControl w:val="0"/>
              <w:jc w:val="left"/>
              <w:rPr>
                <w:b/>
                <w:bCs/>
                <w:color w:val="000000"/>
                <w:sz w:val="20"/>
                <w:szCs w:val="20"/>
                <w:lang w:val="fr-CA"/>
              </w:rPr>
            </w:pPr>
            <w:r>
              <w:rPr>
                <w:b/>
                <w:bCs/>
                <w:color w:val="000000"/>
                <w:sz w:val="20"/>
                <w:szCs w:val="20"/>
                <w:lang w:val="fr-CA"/>
              </w:rPr>
              <w:t>Tonnes PAO</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center"/>
              <w:rPr>
                <w:color w:val="000000"/>
                <w:sz w:val="20"/>
                <w:szCs w:val="20"/>
                <w:lang w:val="fr-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center"/>
              <w:rPr>
                <w:color w:val="000000"/>
                <w:sz w:val="20"/>
                <w:szCs w:val="20"/>
                <w:lang w:val="fr-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center"/>
              <w:rPr>
                <w:color w:val="000000"/>
                <w:sz w:val="20"/>
                <w:szCs w:val="20"/>
                <w:lang w:val="fr-CA"/>
              </w:rPr>
            </w:pPr>
          </w:p>
        </w:tc>
        <w:tc>
          <w:tcPr>
            <w:tcW w:w="529" w:type="pct"/>
            <w:tcBorders>
              <w:top w:val="single" w:sz="4" w:space="0" w:color="auto"/>
              <w:left w:val="single" w:sz="4" w:space="0" w:color="auto"/>
              <w:bottom w:val="single" w:sz="4" w:space="0" w:color="auto"/>
              <w:right w:val="single" w:sz="4" w:space="0" w:color="auto"/>
            </w:tcBorders>
          </w:tcPr>
          <w:p w:rsidR="001D2840" w:rsidRPr="00143C85" w:rsidRDefault="001D2840" w:rsidP="00143C85">
            <w:pPr>
              <w:widowControl w:val="0"/>
              <w:jc w:val="right"/>
              <w:rPr>
                <w:color w:val="000000"/>
                <w:sz w:val="20"/>
                <w:szCs w:val="20"/>
                <w:lang w:val="fr-CA"/>
              </w:rPr>
            </w:pPr>
          </w:p>
        </w:tc>
        <w:tc>
          <w:tcPr>
            <w:tcW w:w="530" w:type="pct"/>
            <w:tcBorders>
              <w:top w:val="single" w:sz="4" w:space="0" w:color="auto"/>
              <w:left w:val="single" w:sz="4" w:space="0" w:color="auto"/>
              <w:bottom w:val="single" w:sz="4" w:space="0" w:color="auto"/>
              <w:right w:val="single" w:sz="4" w:space="0" w:color="auto"/>
            </w:tcBorders>
          </w:tcPr>
          <w:p w:rsidR="001D2840" w:rsidRPr="00143C85" w:rsidRDefault="001D2840" w:rsidP="00143C85">
            <w:pPr>
              <w:widowControl w:val="0"/>
              <w:jc w:val="center"/>
              <w:rPr>
                <w:color w:val="000000"/>
                <w:sz w:val="20"/>
                <w:szCs w:val="20"/>
                <w:lang w:val="fr-CA"/>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color w:val="000000"/>
                <w:sz w:val="20"/>
                <w:szCs w:val="20"/>
                <w:lang w:val="fr-CA"/>
              </w:rPr>
            </w:pPr>
          </w:p>
        </w:tc>
      </w:tr>
      <w:tr w:rsidR="001D2840" w:rsidRPr="00143C85" w:rsidTr="00143C85">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1D2840" w:rsidRPr="00143C85" w:rsidRDefault="001D2840" w:rsidP="00143C85">
            <w:pPr>
              <w:widowControl w:val="0"/>
              <w:jc w:val="left"/>
              <w:rPr>
                <w:color w:val="000000"/>
                <w:sz w:val="20"/>
                <w:szCs w:val="20"/>
                <w:lang w:val="fr-CA"/>
              </w:rPr>
            </w:pPr>
            <w:r w:rsidRPr="00143C85">
              <w:rPr>
                <w:color w:val="000000"/>
                <w:sz w:val="20"/>
                <w:szCs w:val="20"/>
                <w:lang w:val="fr-CA"/>
              </w:rPr>
              <w:t>HCFC-22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color w:val="000000"/>
                <w:sz w:val="20"/>
                <w:szCs w:val="20"/>
                <w:lang w:val="fr-CA" w:eastAsia="en-CA"/>
              </w:rPr>
            </w:pPr>
            <w:r w:rsidRPr="00143C85">
              <w:rPr>
                <w:color w:val="000000"/>
                <w:sz w:val="20"/>
                <w:szCs w:val="20"/>
                <w:lang w:val="fr-CA" w:eastAsia="en-CA"/>
              </w:rPr>
              <w:t>11</w:t>
            </w:r>
            <w:r w:rsidR="00CB11A3">
              <w:rPr>
                <w:color w:val="000000"/>
                <w:sz w:val="20"/>
                <w:szCs w:val="20"/>
                <w:lang w:val="fr-CA" w:eastAsia="en-CA"/>
              </w:rPr>
              <w:t>,</w:t>
            </w:r>
            <w:r w:rsidRPr="00143C85">
              <w:rPr>
                <w:color w:val="000000"/>
                <w:sz w:val="20"/>
                <w:szCs w:val="20"/>
                <w:lang w:val="fr-CA" w:eastAsia="en-CA"/>
              </w:rPr>
              <w:t>17</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color w:val="000000"/>
                <w:sz w:val="20"/>
                <w:szCs w:val="20"/>
                <w:lang w:val="fr-CA"/>
              </w:rPr>
            </w:pPr>
            <w:r w:rsidRPr="00143C85">
              <w:rPr>
                <w:color w:val="000000"/>
                <w:sz w:val="20"/>
                <w:szCs w:val="20"/>
                <w:lang w:val="fr-CA"/>
              </w:rPr>
              <w:t>11</w:t>
            </w:r>
            <w:r w:rsidR="00CB11A3">
              <w:rPr>
                <w:color w:val="000000"/>
                <w:sz w:val="20"/>
                <w:szCs w:val="20"/>
                <w:lang w:val="fr-CA"/>
              </w:rPr>
              <w:t>,</w:t>
            </w:r>
            <w:r w:rsidRPr="00143C85">
              <w:rPr>
                <w:color w:val="000000"/>
                <w:sz w:val="20"/>
                <w:szCs w:val="20"/>
                <w:lang w:val="fr-CA"/>
              </w:rPr>
              <w:t>65</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color w:val="000000"/>
                <w:sz w:val="20"/>
                <w:szCs w:val="20"/>
                <w:lang w:val="fr-CA"/>
              </w:rPr>
            </w:pPr>
            <w:r w:rsidRPr="00143C85">
              <w:rPr>
                <w:color w:val="000000"/>
                <w:sz w:val="20"/>
                <w:szCs w:val="20"/>
                <w:lang w:val="fr-CA"/>
              </w:rPr>
              <w:t>4</w:t>
            </w:r>
            <w:r w:rsidR="00CB11A3">
              <w:rPr>
                <w:color w:val="000000"/>
                <w:sz w:val="20"/>
                <w:szCs w:val="20"/>
                <w:lang w:val="fr-CA"/>
              </w:rPr>
              <w:t>,</w:t>
            </w:r>
            <w:r w:rsidRPr="00143C85">
              <w:rPr>
                <w:color w:val="000000"/>
                <w:sz w:val="20"/>
                <w:szCs w:val="20"/>
                <w:lang w:val="fr-CA"/>
              </w:rPr>
              <w:t>52</w:t>
            </w:r>
          </w:p>
        </w:tc>
        <w:tc>
          <w:tcPr>
            <w:tcW w:w="529" w:type="pct"/>
            <w:tcBorders>
              <w:top w:val="single" w:sz="4" w:space="0" w:color="auto"/>
              <w:left w:val="single" w:sz="4" w:space="0" w:color="auto"/>
              <w:bottom w:val="single" w:sz="4" w:space="0" w:color="auto"/>
              <w:right w:val="single" w:sz="4" w:space="0" w:color="auto"/>
            </w:tcBorders>
          </w:tcPr>
          <w:p w:rsidR="001D2840" w:rsidRPr="00143C85" w:rsidRDefault="001D2840" w:rsidP="00143C85">
            <w:pPr>
              <w:widowControl w:val="0"/>
              <w:jc w:val="right"/>
              <w:rPr>
                <w:color w:val="000000"/>
                <w:sz w:val="20"/>
                <w:szCs w:val="20"/>
                <w:lang w:val="fr-CA"/>
              </w:rPr>
            </w:pPr>
            <w:r w:rsidRPr="00143C85">
              <w:rPr>
                <w:color w:val="000000"/>
                <w:sz w:val="20"/>
                <w:szCs w:val="20"/>
                <w:lang w:val="fr-CA"/>
              </w:rPr>
              <w:t>4</w:t>
            </w:r>
            <w:r w:rsidR="00CB11A3">
              <w:rPr>
                <w:color w:val="000000"/>
                <w:sz w:val="20"/>
                <w:szCs w:val="20"/>
                <w:lang w:val="fr-CA"/>
              </w:rPr>
              <w:t>,</w:t>
            </w:r>
            <w:r w:rsidRPr="00143C85">
              <w:rPr>
                <w:color w:val="000000"/>
                <w:sz w:val="20"/>
                <w:szCs w:val="20"/>
                <w:lang w:val="fr-CA"/>
              </w:rPr>
              <w:t>64</w:t>
            </w:r>
          </w:p>
        </w:tc>
        <w:tc>
          <w:tcPr>
            <w:tcW w:w="530" w:type="pct"/>
            <w:tcBorders>
              <w:top w:val="single" w:sz="4" w:space="0" w:color="auto"/>
              <w:left w:val="single" w:sz="4" w:space="0" w:color="auto"/>
              <w:bottom w:val="single" w:sz="4" w:space="0" w:color="auto"/>
              <w:right w:val="single" w:sz="4" w:space="0" w:color="auto"/>
            </w:tcBorders>
          </w:tcPr>
          <w:p w:rsidR="001D2840" w:rsidRPr="00143C85" w:rsidRDefault="001D2840" w:rsidP="00143C85">
            <w:pPr>
              <w:widowControl w:val="0"/>
              <w:jc w:val="right"/>
              <w:rPr>
                <w:color w:val="000000"/>
                <w:sz w:val="20"/>
                <w:szCs w:val="20"/>
                <w:lang w:val="fr-CA"/>
              </w:rPr>
            </w:pPr>
            <w:r w:rsidRPr="00143C85">
              <w:rPr>
                <w:color w:val="000000"/>
                <w:sz w:val="20"/>
                <w:szCs w:val="20"/>
                <w:lang w:val="fr-CA"/>
              </w:rPr>
              <w:t>4</w:t>
            </w:r>
            <w:r w:rsidR="00CB11A3">
              <w:rPr>
                <w:color w:val="000000"/>
                <w:sz w:val="20"/>
                <w:szCs w:val="20"/>
                <w:lang w:val="fr-CA"/>
              </w:rPr>
              <w:t>,</w:t>
            </w:r>
            <w:r w:rsidRPr="00143C85">
              <w:rPr>
                <w:color w:val="000000"/>
                <w:sz w:val="20"/>
                <w:szCs w:val="20"/>
                <w:lang w:val="fr-CA"/>
              </w:rPr>
              <w:t>98</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color w:val="000000"/>
                <w:sz w:val="20"/>
                <w:szCs w:val="20"/>
                <w:lang w:val="fr-CA"/>
              </w:rPr>
            </w:pPr>
            <w:r w:rsidRPr="00143C85">
              <w:rPr>
                <w:color w:val="000000"/>
                <w:sz w:val="20"/>
                <w:szCs w:val="20"/>
                <w:lang w:val="fr-CA"/>
              </w:rPr>
              <w:t>15</w:t>
            </w:r>
            <w:r w:rsidR="00CB11A3">
              <w:rPr>
                <w:color w:val="000000"/>
                <w:sz w:val="20"/>
                <w:szCs w:val="20"/>
                <w:lang w:val="fr-CA"/>
              </w:rPr>
              <w:t>,</w:t>
            </w:r>
            <w:r w:rsidRPr="00143C85">
              <w:rPr>
                <w:color w:val="000000"/>
                <w:sz w:val="20"/>
                <w:szCs w:val="20"/>
                <w:lang w:val="fr-CA"/>
              </w:rPr>
              <w:t>0</w:t>
            </w:r>
          </w:p>
        </w:tc>
      </w:tr>
      <w:tr w:rsidR="001D2840" w:rsidRPr="00143C85" w:rsidTr="00143C85">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1D2840" w:rsidRPr="00143C85" w:rsidRDefault="001D2840" w:rsidP="00143C85">
            <w:pPr>
              <w:widowControl w:val="0"/>
              <w:jc w:val="left"/>
              <w:rPr>
                <w:color w:val="000000"/>
                <w:sz w:val="20"/>
                <w:szCs w:val="20"/>
                <w:lang w:val="fr-CA"/>
              </w:rPr>
            </w:pPr>
            <w:r w:rsidRPr="00143C85">
              <w:rPr>
                <w:color w:val="000000"/>
                <w:sz w:val="20"/>
                <w:szCs w:val="20"/>
                <w:lang w:val="fr-CA"/>
              </w:rPr>
              <w:t>HCFC-123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color w:val="000000"/>
                <w:sz w:val="20"/>
                <w:szCs w:val="20"/>
                <w:lang w:val="fr-CA" w:eastAsia="en-CA"/>
              </w:rPr>
            </w:pPr>
            <w:r w:rsidRPr="00143C85">
              <w:rPr>
                <w:color w:val="000000"/>
                <w:sz w:val="20"/>
                <w:szCs w:val="20"/>
                <w:lang w:val="fr-CA" w:eastAsia="en-CA"/>
              </w:rPr>
              <w:t>0</w:t>
            </w:r>
            <w:r w:rsidR="00CB11A3">
              <w:rPr>
                <w:color w:val="000000"/>
                <w:sz w:val="20"/>
                <w:szCs w:val="20"/>
                <w:lang w:val="fr-CA" w:eastAsia="en-CA"/>
              </w:rPr>
              <w:t>,</w:t>
            </w:r>
            <w:r w:rsidRPr="00143C85">
              <w:rPr>
                <w:color w:val="000000"/>
                <w:sz w:val="20"/>
                <w:szCs w:val="20"/>
                <w:lang w:val="fr-CA" w:eastAsia="en-CA"/>
              </w:rPr>
              <w:t>02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color w:val="000000"/>
                <w:sz w:val="20"/>
                <w:szCs w:val="20"/>
                <w:lang w:val="fr-CA"/>
              </w:rPr>
            </w:pPr>
            <w:r w:rsidRPr="00143C85">
              <w:rPr>
                <w:color w:val="000000"/>
                <w:sz w:val="20"/>
                <w:szCs w:val="20"/>
                <w:lang w:val="fr-CA"/>
              </w:rPr>
              <w:t>0</w:t>
            </w:r>
            <w:r w:rsidR="00CB11A3">
              <w:rPr>
                <w:color w:val="000000"/>
                <w:sz w:val="20"/>
                <w:szCs w:val="20"/>
                <w:lang w:val="fr-CA"/>
              </w:rPr>
              <w:t>,</w:t>
            </w:r>
            <w:r w:rsidRPr="00143C85">
              <w:rPr>
                <w:color w:val="000000"/>
                <w:sz w:val="20"/>
                <w:szCs w:val="20"/>
                <w:lang w:val="fr-CA"/>
              </w:rPr>
              <w:t>04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color w:val="000000"/>
                <w:sz w:val="20"/>
                <w:szCs w:val="20"/>
                <w:lang w:val="fr-CA"/>
              </w:rPr>
            </w:pPr>
            <w:r w:rsidRPr="00143C85">
              <w:rPr>
                <w:color w:val="000000"/>
                <w:sz w:val="20"/>
                <w:szCs w:val="20"/>
                <w:lang w:val="fr-CA"/>
              </w:rPr>
              <w:t>0</w:t>
            </w:r>
            <w:r w:rsidR="00CB11A3">
              <w:rPr>
                <w:color w:val="000000"/>
                <w:sz w:val="20"/>
                <w:szCs w:val="20"/>
                <w:lang w:val="fr-CA"/>
              </w:rPr>
              <w:t>,</w:t>
            </w:r>
            <w:r w:rsidRPr="00143C85">
              <w:rPr>
                <w:color w:val="000000"/>
                <w:sz w:val="20"/>
                <w:szCs w:val="20"/>
                <w:lang w:val="fr-CA"/>
              </w:rPr>
              <w:t>00</w:t>
            </w:r>
          </w:p>
        </w:tc>
        <w:tc>
          <w:tcPr>
            <w:tcW w:w="529" w:type="pct"/>
            <w:tcBorders>
              <w:top w:val="single" w:sz="4" w:space="0" w:color="auto"/>
              <w:left w:val="single" w:sz="4" w:space="0" w:color="auto"/>
              <w:bottom w:val="single" w:sz="4" w:space="0" w:color="auto"/>
              <w:right w:val="single" w:sz="4" w:space="0" w:color="auto"/>
            </w:tcBorders>
          </w:tcPr>
          <w:p w:rsidR="001D2840" w:rsidRPr="00143C85" w:rsidRDefault="001D2840" w:rsidP="00143C85">
            <w:pPr>
              <w:widowControl w:val="0"/>
              <w:jc w:val="right"/>
              <w:rPr>
                <w:color w:val="000000"/>
                <w:sz w:val="20"/>
                <w:szCs w:val="20"/>
                <w:lang w:val="fr-CA"/>
              </w:rPr>
            </w:pPr>
            <w:r w:rsidRPr="00143C85">
              <w:rPr>
                <w:color w:val="000000"/>
                <w:sz w:val="20"/>
                <w:szCs w:val="20"/>
                <w:lang w:val="fr-CA"/>
              </w:rPr>
              <w:t>0</w:t>
            </w:r>
            <w:r w:rsidR="00CB11A3">
              <w:rPr>
                <w:color w:val="000000"/>
                <w:sz w:val="20"/>
                <w:szCs w:val="20"/>
                <w:lang w:val="fr-CA"/>
              </w:rPr>
              <w:t>,</w:t>
            </w:r>
            <w:r w:rsidRPr="00143C85">
              <w:rPr>
                <w:color w:val="000000"/>
                <w:sz w:val="20"/>
                <w:szCs w:val="20"/>
                <w:lang w:val="fr-CA"/>
              </w:rPr>
              <w:t>00</w:t>
            </w:r>
          </w:p>
        </w:tc>
        <w:tc>
          <w:tcPr>
            <w:tcW w:w="530" w:type="pct"/>
            <w:tcBorders>
              <w:top w:val="single" w:sz="4" w:space="0" w:color="auto"/>
              <w:left w:val="single" w:sz="4" w:space="0" w:color="auto"/>
              <w:bottom w:val="single" w:sz="4" w:space="0" w:color="auto"/>
              <w:right w:val="single" w:sz="4" w:space="0" w:color="auto"/>
            </w:tcBorders>
          </w:tcPr>
          <w:p w:rsidR="001D2840" w:rsidRPr="00143C85" w:rsidRDefault="001D2840" w:rsidP="00143C85">
            <w:pPr>
              <w:widowControl w:val="0"/>
              <w:jc w:val="right"/>
              <w:rPr>
                <w:color w:val="000000"/>
                <w:sz w:val="20"/>
                <w:szCs w:val="20"/>
                <w:lang w:val="fr-CA"/>
              </w:rPr>
            </w:pPr>
            <w:r w:rsidRPr="00143C85">
              <w:rPr>
                <w:color w:val="000000"/>
                <w:sz w:val="20"/>
                <w:szCs w:val="20"/>
                <w:lang w:val="fr-CA"/>
              </w:rPr>
              <w:t>0</w:t>
            </w:r>
            <w:r w:rsidR="00CB11A3">
              <w:rPr>
                <w:color w:val="000000"/>
                <w:sz w:val="20"/>
                <w:szCs w:val="20"/>
                <w:lang w:val="fr-CA"/>
              </w:rPr>
              <w:t>,</w:t>
            </w:r>
            <w:r w:rsidRPr="00143C85">
              <w:rPr>
                <w:color w:val="000000"/>
                <w:sz w:val="20"/>
                <w:szCs w:val="20"/>
                <w:lang w:val="fr-CA"/>
              </w:rPr>
              <w:t>00</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color w:val="000000"/>
                <w:sz w:val="20"/>
                <w:szCs w:val="20"/>
                <w:lang w:val="fr-CA"/>
              </w:rPr>
            </w:pPr>
            <w:r w:rsidRPr="00143C85">
              <w:rPr>
                <w:color w:val="000000"/>
                <w:sz w:val="20"/>
                <w:szCs w:val="20"/>
                <w:lang w:val="fr-CA"/>
              </w:rPr>
              <w:t>0</w:t>
            </w:r>
            <w:r w:rsidR="00CB11A3">
              <w:rPr>
                <w:color w:val="000000"/>
                <w:sz w:val="20"/>
                <w:szCs w:val="20"/>
                <w:lang w:val="fr-CA"/>
              </w:rPr>
              <w:t>,</w:t>
            </w:r>
            <w:r w:rsidRPr="00143C85">
              <w:rPr>
                <w:color w:val="000000"/>
                <w:sz w:val="20"/>
                <w:szCs w:val="20"/>
                <w:lang w:val="fr-CA"/>
              </w:rPr>
              <w:t>0</w:t>
            </w:r>
          </w:p>
        </w:tc>
      </w:tr>
      <w:tr w:rsidR="001D2840" w:rsidRPr="00143C85" w:rsidTr="00143C85">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1D2840" w:rsidRPr="00143C85" w:rsidRDefault="001D2840" w:rsidP="00CB11A3">
            <w:pPr>
              <w:jc w:val="left"/>
              <w:rPr>
                <w:rFonts w:eastAsiaTheme="minorHAnsi"/>
                <w:b/>
                <w:sz w:val="20"/>
                <w:szCs w:val="20"/>
                <w:lang w:val="fr-CA"/>
              </w:rPr>
            </w:pPr>
            <w:r w:rsidRPr="00143C85">
              <w:rPr>
                <w:b/>
                <w:sz w:val="20"/>
                <w:szCs w:val="20"/>
                <w:lang w:val="fr-CA"/>
              </w:rPr>
              <w:t>Total (</w:t>
            </w:r>
            <w:r w:rsidR="00CB11A3">
              <w:rPr>
                <w:b/>
                <w:sz w:val="20"/>
                <w:szCs w:val="20"/>
                <w:lang w:val="fr-CA"/>
              </w:rPr>
              <w:t>tonnes PAO</w:t>
            </w:r>
            <w:r w:rsidRPr="00143C85">
              <w:rPr>
                <w:b/>
                <w:sz w:val="20"/>
                <w:szCs w:val="20"/>
                <w:lang w:val="fr-CA"/>
              </w:rPr>
              <w:t>)</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b/>
                <w:color w:val="000000"/>
                <w:sz w:val="20"/>
                <w:szCs w:val="20"/>
                <w:lang w:val="fr-CA" w:eastAsia="en-CA"/>
              </w:rPr>
            </w:pPr>
            <w:r w:rsidRPr="00143C85">
              <w:rPr>
                <w:b/>
                <w:color w:val="000000"/>
                <w:sz w:val="20"/>
                <w:szCs w:val="20"/>
                <w:lang w:val="fr-CA" w:eastAsia="en-CA"/>
              </w:rPr>
              <w:t>11</w:t>
            </w:r>
            <w:r w:rsidR="00CB11A3">
              <w:rPr>
                <w:b/>
                <w:color w:val="000000"/>
                <w:sz w:val="20"/>
                <w:szCs w:val="20"/>
                <w:lang w:val="fr-CA" w:eastAsia="en-CA"/>
              </w:rPr>
              <w:t>,</w:t>
            </w:r>
            <w:r w:rsidRPr="00143C85">
              <w:rPr>
                <w:b/>
                <w:color w:val="000000"/>
                <w:sz w:val="20"/>
                <w:szCs w:val="20"/>
                <w:lang w:val="fr-CA" w:eastAsia="en-CA"/>
              </w:rPr>
              <w:t>19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b/>
                <w:color w:val="000000"/>
                <w:sz w:val="20"/>
                <w:szCs w:val="20"/>
                <w:lang w:val="fr-CA"/>
              </w:rPr>
            </w:pPr>
            <w:r w:rsidRPr="00143C85">
              <w:rPr>
                <w:b/>
                <w:color w:val="000000"/>
                <w:sz w:val="20"/>
                <w:szCs w:val="20"/>
                <w:lang w:val="fr-CA"/>
              </w:rPr>
              <w:t>11</w:t>
            </w:r>
            <w:r w:rsidR="00CB11A3">
              <w:rPr>
                <w:b/>
                <w:color w:val="000000"/>
                <w:sz w:val="20"/>
                <w:szCs w:val="20"/>
                <w:lang w:val="fr-CA"/>
              </w:rPr>
              <w:t>,</w:t>
            </w:r>
            <w:r w:rsidRPr="00143C85">
              <w:rPr>
                <w:b/>
                <w:color w:val="000000"/>
                <w:sz w:val="20"/>
                <w:szCs w:val="20"/>
                <w:lang w:val="fr-CA"/>
              </w:rPr>
              <w:t>69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840" w:rsidRPr="00143C85" w:rsidRDefault="001D2840" w:rsidP="00143C85">
            <w:pPr>
              <w:widowControl w:val="0"/>
              <w:jc w:val="right"/>
              <w:rPr>
                <w:b/>
                <w:color w:val="000000"/>
                <w:sz w:val="20"/>
                <w:szCs w:val="20"/>
                <w:lang w:val="fr-CA"/>
              </w:rPr>
            </w:pPr>
            <w:r w:rsidRPr="00143C85">
              <w:rPr>
                <w:b/>
                <w:color w:val="000000"/>
                <w:sz w:val="20"/>
                <w:szCs w:val="20"/>
                <w:lang w:val="fr-CA"/>
              </w:rPr>
              <w:t>4</w:t>
            </w:r>
            <w:r w:rsidR="00CB11A3">
              <w:rPr>
                <w:b/>
                <w:color w:val="000000"/>
                <w:sz w:val="20"/>
                <w:szCs w:val="20"/>
                <w:lang w:val="fr-CA"/>
              </w:rPr>
              <w:t>,</w:t>
            </w:r>
            <w:r w:rsidRPr="00143C85">
              <w:rPr>
                <w:b/>
                <w:color w:val="000000"/>
                <w:sz w:val="20"/>
                <w:szCs w:val="20"/>
                <w:lang w:val="fr-CA"/>
              </w:rPr>
              <w:t>52</w:t>
            </w:r>
          </w:p>
        </w:tc>
        <w:tc>
          <w:tcPr>
            <w:tcW w:w="529" w:type="pct"/>
            <w:tcBorders>
              <w:top w:val="single" w:sz="4" w:space="0" w:color="auto"/>
              <w:left w:val="single" w:sz="4" w:space="0" w:color="auto"/>
              <w:bottom w:val="single" w:sz="4" w:space="0" w:color="auto"/>
              <w:right w:val="single" w:sz="4" w:space="0" w:color="auto"/>
            </w:tcBorders>
          </w:tcPr>
          <w:p w:rsidR="001D2840" w:rsidRPr="00143C85" w:rsidRDefault="001D2840" w:rsidP="00143C85">
            <w:pPr>
              <w:jc w:val="right"/>
              <w:rPr>
                <w:b/>
                <w:color w:val="000000"/>
                <w:sz w:val="20"/>
                <w:szCs w:val="20"/>
                <w:lang w:val="fr-CA"/>
              </w:rPr>
            </w:pPr>
            <w:r w:rsidRPr="00143C85">
              <w:rPr>
                <w:b/>
                <w:color w:val="000000"/>
                <w:sz w:val="20"/>
                <w:szCs w:val="20"/>
                <w:lang w:val="fr-CA"/>
              </w:rPr>
              <w:t>4</w:t>
            </w:r>
            <w:r w:rsidR="00CB11A3">
              <w:rPr>
                <w:b/>
                <w:color w:val="000000"/>
                <w:sz w:val="20"/>
                <w:szCs w:val="20"/>
                <w:lang w:val="fr-CA"/>
              </w:rPr>
              <w:t>,</w:t>
            </w:r>
            <w:r w:rsidRPr="00143C85">
              <w:rPr>
                <w:b/>
                <w:color w:val="000000"/>
                <w:sz w:val="20"/>
                <w:szCs w:val="20"/>
                <w:lang w:val="fr-CA"/>
              </w:rPr>
              <w:t>64</w:t>
            </w:r>
          </w:p>
        </w:tc>
        <w:tc>
          <w:tcPr>
            <w:tcW w:w="530" w:type="pct"/>
            <w:tcBorders>
              <w:top w:val="single" w:sz="4" w:space="0" w:color="auto"/>
              <w:left w:val="single" w:sz="4" w:space="0" w:color="auto"/>
              <w:bottom w:val="single" w:sz="4" w:space="0" w:color="auto"/>
              <w:right w:val="single" w:sz="4" w:space="0" w:color="auto"/>
            </w:tcBorders>
          </w:tcPr>
          <w:p w:rsidR="001D2840" w:rsidRPr="00143C85" w:rsidRDefault="001D2840" w:rsidP="00143C85">
            <w:pPr>
              <w:jc w:val="right"/>
              <w:rPr>
                <w:b/>
                <w:color w:val="000000"/>
                <w:sz w:val="20"/>
                <w:szCs w:val="20"/>
                <w:lang w:val="fr-CA"/>
              </w:rPr>
            </w:pPr>
            <w:r w:rsidRPr="00143C85">
              <w:rPr>
                <w:b/>
                <w:color w:val="000000"/>
                <w:sz w:val="20"/>
                <w:szCs w:val="20"/>
                <w:lang w:val="fr-CA"/>
              </w:rPr>
              <w:t>4</w:t>
            </w:r>
            <w:r w:rsidR="00CB11A3">
              <w:rPr>
                <w:b/>
                <w:color w:val="000000"/>
                <w:sz w:val="20"/>
                <w:szCs w:val="20"/>
                <w:lang w:val="fr-CA"/>
              </w:rPr>
              <w:t>,</w:t>
            </w:r>
            <w:r w:rsidRPr="00143C85">
              <w:rPr>
                <w:b/>
                <w:color w:val="000000"/>
                <w:sz w:val="20"/>
                <w:szCs w:val="20"/>
                <w:lang w:val="fr-CA"/>
              </w:rPr>
              <w:t>98</w:t>
            </w:r>
          </w:p>
        </w:tc>
        <w:tc>
          <w:tcPr>
            <w:tcW w:w="671" w:type="pct"/>
            <w:tcBorders>
              <w:top w:val="single" w:sz="4" w:space="0" w:color="auto"/>
              <w:left w:val="single" w:sz="4" w:space="0" w:color="auto"/>
              <w:bottom w:val="single" w:sz="4" w:space="0" w:color="auto"/>
              <w:right w:val="single" w:sz="4" w:space="0" w:color="auto"/>
            </w:tcBorders>
            <w:shd w:val="clear" w:color="auto" w:fill="auto"/>
            <w:noWrap/>
          </w:tcPr>
          <w:p w:rsidR="001D2840" w:rsidRPr="00143C85" w:rsidRDefault="001D2840" w:rsidP="00143C85">
            <w:pPr>
              <w:jc w:val="right"/>
              <w:rPr>
                <w:rFonts w:eastAsiaTheme="minorHAnsi"/>
                <w:b/>
                <w:color w:val="000000"/>
                <w:sz w:val="20"/>
                <w:szCs w:val="20"/>
                <w:lang w:val="fr-CA"/>
              </w:rPr>
            </w:pPr>
            <w:r w:rsidRPr="00143C85">
              <w:rPr>
                <w:rFonts w:eastAsiaTheme="minorHAnsi"/>
                <w:b/>
                <w:color w:val="000000"/>
                <w:sz w:val="20"/>
                <w:szCs w:val="20"/>
                <w:lang w:val="fr-CA"/>
              </w:rPr>
              <w:t>15</w:t>
            </w:r>
            <w:r w:rsidR="00CB11A3">
              <w:rPr>
                <w:rFonts w:eastAsiaTheme="minorHAnsi"/>
                <w:b/>
                <w:color w:val="000000"/>
                <w:sz w:val="20"/>
                <w:szCs w:val="20"/>
                <w:lang w:val="fr-CA"/>
              </w:rPr>
              <w:t>,</w:t>
            </w:r>
            <w:r w:rsidRPr="00143C85">
              <w:rPr>
                <w:rFonts w:eastAsiaTheme="minorHAnsi"/>
                <w:b/>
                <w:color w:val="000000"/>
                <w:sz w:val="20"/>
                <w:szCs w:val="20"/>
                <w:lang w:val="fr-CA"/>
              </w:rPr>
              <w:t>0</w:t>
            </w:r>
          </w:p>
        </w:tc>
      </w:tr>
      <w:tr w:rsidR="001D2840" w:rsidRPr="00143C85" w:rsidTr="00143C85">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tcPr>
          <w:p w:rsidR="001D2840" w:rsidRPr="00143C85" w:rsidRDefault="001D2840" w:rsidP="00CB11A3">
            <w:pPr>
              <w:rPr>
                <w:sz w:val="20"/>
                <w:szCs w:val="20"/>
                <w:lang w:val="fr-CA"/>
              </w:rPr>
            </w:pPr>
            <w:r w:rsidRPr="00143C85">
              <w:rPr>
                <w:sz w:val="20"/>
                <w:szCs w:val="20"/>
                <w:lang w:val="fr-CA"/>
              </w:rPr>
              <w:t xml:space="preserve">HCFC-141b </w:t>
            </w:r>
            <w:r w:rsidR="00CB11A3">
              <w:rPr>
                <w:sz w:val="20"/>
                <w:szCs w:val="20"/>
                <w:lang w:val="fr-CA"/>
              </w:rPr>
              <w:t xml:space="preserve">contenu dans les polyols </w:t>
            </w:r>
            <w:proofErr w:type="spellStart"/>
            <w:r w:rsidR="00CB11A3">
              <w:rPr>
                <w:sz w:val="20"/>
                <w:szCs w:val="20"/>
                <w:lang w:val="fr-CA"/>
              </w:rPr>
              <w:t>prémélangés</w:t>
            </w:r>
            <w:proofErr w:type="spellEnd"/>
            <w:r w:rsidR="00CB11A3">
              <w:rPr>
                <w:sz w:val="20"/>
                <w:szCs w:val="20"/>
                <w:lang w:val="fr-CA"/>
              </w:rPr>
              <w:t xml:space="preserve"> importés</w:t>
            </w:r>
            <w:r w:rsidRPr="00143C85">
              <w:rPr>
                <w:sz w:val="20"/>
                <w:szCs w:val="20"/>
                <w:lang w:val="fr-CA"/>
              </w:rPr>
              <w:t>**</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rsidR="001D2840" w:rsidRPr="00143C85" w:rsidRDefault="001D2840" w:rsidP="00143C85">
            <w:pPr>
              <w:jc w:val="right"/>
              <w:rPr>
                <w:sz w:val="20"/>
                <w:szCs w:val="20"/>
                <w:lang w:val="fr-CA"/>
              </w:rPr>
            </w:pPr>
            <w:r w:rsidRPr="00143C85">
              <w:rPr>
                <w:sz w:val="20"/>
                <w:szCs w:val="20"/>
                <w:lang w:val="fr-CA"/>
              </w:rPr>
              <w:t>-</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rsidR="001D2840" w:rsidRPr="00143C85" w:rsidRDefault="001D2840" w:rsidP="00143C85">
            <w:pPr>
              <w:jc w:val="right"/>
              <w:rPr>
                <w:sz w:val="20"/>
                <w:szCs w:val="20"/>
                <w:lang w:val="fr-CA"/>
              </w:rPr>
            </w:pPr>
            <w:r w:rsidRPr="00143C85">
              <w:rPr>
                <w:sz w:val="20"/>
                <w:szCs w:val="20"/>
                <w:lang w:val="fr-CA"/>
              </w:rPr>
              <w:t>-</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rsidR="001D2840" w:rsidRPr="00143C85" w:rsidRDefault="001D2840" w:rsidP="00143C85">
            <w:pPr>
              <w:jc w:val="right"/>
              <w:rPr>
                <w:sz w:val="20"/>
                <w:szCs w:val="20"/>
                <w:lang w:val="fr-CA"/>
              </w:rPr>
            </w:pPr>
            <w:r w:rsidRPr="00143C85">
              <w:rPr>
                <w:sz w:val="20"/>
                <w:szCs w:val="20"/>
                <w:lang w:val="fr-CA"/>
              </w:rPr>
              <w:t>-</w:t>
            </w:r>
          </w:p>
        </w:tc>
        <w:tc>
          <w:tcPr>
            <w:tcW w:w="529" w:type="pct"/>
            <w:tcBorders>
              <w:top w:val="single" w:sz="4" w:space="0" w:color="auto"/>
              <w:left w:val="single" w:sz="4" w:space="0" w:color="auto"/>
              <w:bottom w:val="single" w:sz="4" w:space="0" w:color="auto"/>
              <w:right w:val="single" w:sz="4" w:space="0" w:color="auto"/>
            </w:tcBorders>
          </w:tcPr>
          <w:p w:rsidR="001D2840" w:rsidRPr="00143C85" w:rsidRDefault="001D2840" w:rsidP="00143C85">
            <w:pPr>
              <w:jc w:val="right"/>
              <w:rPr>
                <w:sz w:val="20"/>
                <w:szCs w:val="20"/>
                <w:lang w:val="fr-CA"/>
              </w:rPr>
            </w:pPr>
            <w:r w:rsidRPr="00143C85">
              <w:rPr>
                <w:sz w:val="20"/>
                <w:szCs w:val="20"/>
                <w:lang w:val="fr-CA"/>
              </w:rPr>
              <w:t>0</w:t>
            </w:r>
            <w:r w:rsidR="00CB11A3">
              <w:rPr>
                <w:sz w:val="20"/>
                <w:szCs w:val="20"/>
                <w:lang w:val="fr-CA"/>
              </w:rPr>
              <w:t>,</w:t>
            </w:r>
            <w:r w:rsidRPr="00143C85">
              <w:rPr>
                <w:sz w:val="20"/>
                <w:szCs w:val="20"/>
                <w:lang w:val="fr-CA"/>
              </w:rPr>
              <w:t>92</w:t>
            </w:r>
          </w:p>
        </w:tc>
        <w:tc>
          <w:tcPr>
            <w:tcW w:w="530" w:type="pct"/>
            <w:tcBorders>
              <w:top w:val="single" w:sz="4" w:space="0" w:color="auto"/>
              <w:left w:val="single" w:sz="4" w:space="0" w:color="auto"/>
              <w:bottom w:val="single" w:sz="4" w:space="0" w:color="auto"/>
              <w:right w:val="single" w:sz="4" w:space="0" w:color="auto"/>
            </w:tcBorders>
          </w:tcPr>
          <w:p w:rsidR="001D2840" w:rsidRPr="00143C85" w:rsidRDefault="001D2840" w:rsidP="00143C85">
            <w:pPr>
              <w:jc w:val="right"/>
              <w:rPr>
                <w:sz w:val="20"/>
                <w:szCs w:val="20"/>
                <w:lang w:val="fr-CA"/>
              </w:rPr>
            </w:pPr>
            <w:r w:rsidRPr="00143C85">
              <w:rPr>
                <w:sz w:val="20"/>
                <w:szCs w:val="20"/>
                <w:lang w:val="fr-CA"/>
              </w:rPr>
              <w:t>3</w:t>
            </w:r>
            <w:r w:rsidR="00CB11A3">
              <w:rPr>
                <w:sz w:val="20"/>
                <w:szCs w:val="20"/>
                <w:lang w:val="fr-CA"/>
              </w:rPr>
              <w:t>,</w:t>
            </w:r>
            <w:r w:rsidRPr="00143C85">
              <w:rPr>
                <w:sz w:val="20"/>
                <w:szCs w:val="20"/>
                <w:lang w:val="fr-CA"/>
              </w:rPr>
              <w:t>15</w:t>
            </w:r>
          </w:p>
        </w:tc>
        <w:tc>
          <w:tcPr>
            <w:tcW w:w="671" w:type="pct"/>
            <w:tcBorders>
              <w:top w:val="single" w:sz="4" w:space="0" w:color="auto"/>
              <w:left w:val="single" w:sz="4" w:space="0" w:color="auto"/>
              <w:bottom w:val="single" w:sz="4" w:space="0" w:color="auto"/>
              <w:right w:val="single" w:sz="4" w:space="0" w:color="auto"/>
            </w:tcBorders>
            <w:shd w:val="clear" w:color="auto" w:fill="auto"/>
            <w:noWrap/>
          </w:tcPr>
          <w:p w:rsidR="001D2840" w:rsidRPr="00143C85" w:rsidRDefault="001D2840" w:rsidP="00143C85">
            <w:pPr>
              <w:jc w:val="right"/>
              <w:rPr>
                <w:sz w:val="20"/>
                <w:szCs w:val="20"/>
                <w:lang w:val="fr-CA"/>
              </w:rPr>
            </w:pPr>
            <w:r w:rsidRPr="00143C85">
              <w:rPr>
                <w:sz w:val="20"/>
                <w:szCs w:val="20"/>
                <w:lang w:val="fr-CA"/>
              </w:rPr>
              <w:t>-</w:t>
            </w:r>
          </w:p>
        </w:tc>
      </w:tr>
    </w:tbl>
    <w:p w:rsidR="001D2840" w:rsidRPr="00143C85" w:rsidRDefault="001D2840" w:rsidP="001D2840">
      <w:pPr>
        <w:rPr>
          <w:sz w:val="16"/>
          <w:szCs w:val="16"/>
          <w:lang w:val="fr-CA"/>
        </w:rPr>
      </w:pPr>
      <w:r w:rsidRPr="00143C85">
        <w:rPr>
          <w:sz w:val="16"/>
          <w:szCs w:val="16"/>
          <w:lang w:val="fr-CA"/>
        </w:rPr>
        <w:t xml:space="preserve">* </w:t>
      </w:r>
      <w:r w:rsidR="00CB11A3">
        <w:rPr>
          <w:sz w:val="16"/>
          <w:szCs w:val="16"/>
          <w:lang w:val="fr-CA"/>
        </w:rPr>
        <w:t>Données sur le programme de pays présentées le 3 avril</w:t>
      </w:r>
      <w:r w:rsidRPr="00143C85">
        <w:rPr>
          <w:sz w:val="16"/>
          <w:szCs w:val="16"/>
          <w:lang w:val="fr-CA"/>
        </w:rPr>
        <w:t xml:space="preserve"> 2019.</w:t>
      </w:r>
    </w:p>
    <w:p w:rsidR="001D2840" w:rsidRPr="00143C85" w:rsidRDefault="001D2840" w:rsidP="001D2840">
      <w:pPr>
        <w:rPr>
          <w:sz w:val="16"/>
          <w:szCs w:val="16"/>
          <w:lang w:val="fr-CA"/>
        </w:rPr>
      </w:pPr>
      <w:r w:rsidRPr="00143C85">
        <w:rPr>
          <w:sz w:val="16"/>
          <w:szCs w:val="16"/>
          <w:lang w:val="fr-CA"/>
        </w:rPr>
        <w:t xml:space="preserve">** </w:t>
      </w:r>
      <w:r w:rsidR="00CB11A3">
        <w:rPr>
          <w:sz w:val="16"/>
          <w:szCs w:val="16"/>
          <w:lang w:val="fr-CA"/>
        </w:rPr>
        <w:t>Selon les données du programme de pays</w:t>
      </w:r>
      <w:r w:rsidRPr="00143C85">
        <w:rPr>
          <w:sz w:val="16"/>
          <w:szCs w:val="16"/>
          <w:lang w:val="fr-CA"/>
        </w:rPr>
        <w:t>.</w:t>
      </w:r>
    </w:p>
    <w:p w:rsidR="001D2840" w:rsidRPr="00143C85" w:rsidRDefault="001D2840" w:rsidP="001D2840">
      <w:pPr>
        <w:rPr>
          <w:lang w:val="fr-CA"/>
        </w:rPr>
      </w:pPr>
    </w:p>
    <w:p w:rsidR="001D2840" w:rsidRPr="000C5492" w:rsidRDefault="00817FF2" w:rsidP="001D2840">
      <w:pPr>
        <w:pStyle w:val="Heading1"/>
        <w:rPr>
          <w:lang w:val="fr-CA"/>
        </w:rPr>
      </w:pPr>
      <w:r w:rsidRPr="000C5492">
        <w:rPr>
          <w:lang w:val="fr-CA"/>
        </w:rPr>
        <w:t>La consommation de HCFC-22 a connu une baisse importante en 2016 par rapport à 2015 pour les raisons suivantes : le remplacement de l’équipement à base de HCFC-22 dans l’industrie de</w:t>
      </w:r>
      <w:r w:rsidR="00F3477D" w:rsidRPr="000C5492">
        <w:rPr>
          <w:lang w:val="fr-CA"/>
        </w:rPr>
        <w:t xml:space="preserve"> la fabricatio</w:t>
      </w:r>
      <w:r w:rsidR="00D94306" w:rsidRPr="000C5492">
        <w:rPr>
          <w:lang w:val="fr-CA"/>
        </w:rPr>
        <w:t>n de glace,</w:t>
      </w:r>
      <w:r w:rsidRPr="000C5492">
        <w:rPr>
          <w:lang w:val="fr-CA"/>
        </w:rPr>
        <w:t xml:space="preserve"> l’application ri</w:t>
      </w:r>
      <w:r w:rsidR="00D94306" w:rsidRPr="000C5492">
        <w:rPr>
          <w:lang w:val="fr-CA"/>
        </w:rPr>
        <w:t>goureuse du programme de permis</w:t>
      </w:r>
      <w:r w:rsidRPr="000C5492">
        <w:rPr>
          <w:lang w:val="fr-CA"/>
        </w:rPr>
        <w:t xml:space="preserve"> </w:t>
      </w:r>
      <w:r w:rsidR="00F3477D" w:rsidRPr="000C5492">
        <w:rPr>
          <w:lang w:val="fr-CA"/>
        </w:rPr>
        <w:t xml:space="preserve">et </w:t>
      </w:r>
      <w:r w:rsidRPr="000C5492">
        <w:rPr>
          <w:lang w:val="fr-CA"/>
        </w:rPr>
        <w:t xml:space="preserve">les conséquences des activités mises en </w:t>
      </w:r>
      <w:r w:rsidR="00F3477D" w:rsidRPr="000C5492">
        <w:rPr>
          <w:lang w:val="fr-CA"/>
        </w:rPr>
        <w:t xml:space="preserve">œuvre </w:t>
      </w:r>
      <w:r w:rsidRPr="000C5492">
        <w:rPr>
          <w:lang w:val="fr-CA"/>
        </w:rPr>
        <w:t>au titre du PGEH dans l</w:t>
      </w:r>
      <w:r w:rsidR="00D94306" w:rsidRPr="000C5492">
        <w:rPr>
          <w:lang w:val="fr-CA"/>
        </w:rPr>
        <w:t>e secteur de l’entretien (c.-à</w:t>
      </w:r>
      <w:r w:rsidRPr="000C5492">
        <w:rPr>
          <w:lang w:val="fr-CA"/>
        </w:rPr>
        <w:t xml:space="preserve">-d., la formation en bonnes pratiques d’entretien a incité les techniciens </w:t>
      </w:r>
      <w:r w:rsidR="00F3477D" w:rsidRPr="000C5492">
        <w:rPr>
          <w:lang w:val="fr-CA"/>
        </w:rPr>
        <w:t>à</w:t>
      </w:r>
      <w:r w:rsidRPr="000C5492">
        <w:rPr>
          <w:lang w:val="fr-CA"/>
        </w:rPr>
        <w:t xml:space="preserve"> utiliser de l’azote pour la vi</w:t>
      </w:r>
      <w:r w:rsidR="00F3477D" w:rsidRPr="000C5492">
        <w:rPr>
          <w:lang w:val="fr-CA"/>
        </w:rPr>
        <w:t>d</w:t>
      </w:r>
      <w:r w:rsidR="00D94306" w:rsidRPr="000C5492">
        <w:rPr>
          <w:lang w:val="fr-CA"/>
        </w:rPr>
        <w:t>ange au lieu du HCFC-22,</w:t>
      </w:r>
      <w:r w:rsidRPr="000C5492">
        <w:rPr>
          <w:lang w:val="fr-CA"/>
        </w:rPr>
        <w:t xml:space="preserve"> et les importations d’équipement </w:t>
      </w:r>
      <w:r w:rsidR="00F3477D" w:rsidRPr="000C5492">
        <w:rPr>
          <w:lang w:val="fr-CA"/>
        </w:rPr>
        <w:t xml:space="preserve">de climatisation </w:t>
      </w:r>
      <w:r w:rsidR="00D94306" w:rsidRPr="000C5492">
        <w:rPr>
          <w:lang w:val="fr-CA"/>
        </w:rPr>
        <w:t>n’étant pas</w:t>
      </w:r>
      <w:r w:rsidRPr="000C5492">
        <w:rPr>
          <w:lang w:val="fr-CA"/>
        </w:rPr>
        <w:t xml:space="preserve"> à base</w:t>
      </w:r>
      <w:r w:rsidR="00F3477D" w:rsidRPr="000C5492">
        <w:rPr>
          <w:lang w:val="fr-CA"/>
        </w:rPr>
        <w:t xml:space="preserve"> </w:t>
      </w:r>
      <w:r w:rsidRPr="000C5492">
        <w:rPr>
          <w:lang w:val="fr-CA"/>
        </w:rPr>
        <w:t>de HCFC</w:t>
      </w:r>
      <w:r w:rsidR="00D94306" w:rsidRPr="000C5492">
        <w:rPr>
          <w:lang w:val="fr-CA"/>
        </w:rPr>
        <w:t xml:space="preserve"> (c.-à-d., R-410A) depuis 2012</w:t>
      </w:r>
      <w:r w:rsidR="001D2840" w:rsidRPr="000C5492">
        <w:rPr>
          <w:lang w:val="fr-CA"/>
        </w:rPr>
        <w:t>).</w:t>
      </w:r>
    </w:p>
    <w:p w:rsidR="001D2840" w:rsidRPr="000C5492" w:rsidRDefault="00F3477D" w:rsidP="001D2840">
      <w:pPr>
        <w:pStyle w:val="Heading1"/>
        <w:rPr>
          <w:lang w:val="fr-CA"/>
        </w:rPr>
      </w:pPr>
      <w:r w:rsidRPr="000C5492">
        <w:rPr>
          <w:lang w:val="fr-CA"/>
        </w:rPr>
        <w:t xml:space="preserve">La légère augmentation de la consommation de HCFC-22 en 2018 est attribuable à l’expansion de la construction de condominiums à Phnom Penh, dans lesquels des climatiseurs à base de HCFC-22 ont </w:t>
      </w:r>
      <w:r w:rsidR="00405754" w:rsidRPr="000C5492">
        <w:rPr>
          <w:lang w:val="fr-CA"/>
        </w:rPr>
        <w:t>é</w:t>
      </w:r>
      <w:r w:rsidRPr="000C5492">
        <w:rPr>
          <w:lang w:val="fr-CA"/>
        </w:rPr>
        <w:t xml:space="preserve">té installés. Afin de corriger cette situation, le gouvernement du Cambodge a prévu </w:t>
      </w:r>
      <w:r w:rsidR="00405754" w:rsidRPr="000C5492">
        <w:rPr>
          <w:lang w:val="fr-CA"/>
        </w:rPr>
        <w:t xml:space="preserve">dans sa réglementation </w:t>
      </w:r>
      <w:r w:rsidR="000C5492" w:rsidRPr="000C5492">
        <w:rPr>
          <w:lang w:val="fr-CA"/>
        </w:rPr>
        <w:t xml:space="preserve">amendée </w:t>
      </w:r>
      <w:r w:rsidR="00405754" w:rsidRPr="000C5492">
        <w:rPr>
          <w:lang w:val="fr-CA"/>
        </w:rPr>
        <w:t>sur les SAO, une disposition inter</w:t>
      </w:r>
      <w:r w:rsidRPr="000C5492">
        <w:rPr>
          <w:lang w:val="fr-CA"/>
        </w:rPr>
        <w:t>disant l’importation d’équipement de réfrigération et de climatisation à base de HCFC-22 à compter du 1</w:t>
      </w:r>
      <w:r w:rsidRPr="000C5492">
        <w:rPr>
          <w:vertAlign w:val="superscript"/>
          <w:lang w:val="fr-CA"/>
        </w:rPr>
        <w:t>er</w:t>
      </w:r>
      <w:r w:rsidRPr="000C5492">
        <w:rPr>
          <w:lang w:val="fr-CA"/>
        </w:rPr>
        <w:t xml:space="preserve"> janvier 2020</w:t>
      </w:r>
      <w:r w:rsidR="001D2840" w:rsidRPr="000C5492">
        <w:rPr>
          <w:lang w:val="fr-CA"/>
        </w:rPr>
        <w:t xml:space="preserve">. </w:t>
      </w:r>
    </w:p>
    <w:p w:rsidR="001D2840" w:rsidRPr="000C5492" w:rsidRDefault="00405754" w:rsidP="001D2840">
      <w:pPr>
        <w:pStyle w:val="Heading1"/>
        <w:rPr>
          <w:lang w:val="fr-CA"/>
        </w:rPr>
      </w:pPr>
      <w:r w:rsidRPr="000C5492">
        <w:rPr>
          <w:lang w:val="fr-CA"/>
        </w:rPr>
        <w:t>Le taux d’importation de HCFC-22 au premi</w:t>
      </w:r>
      <w:r w:rsidR="000C5492">
        <w:rPr>
          <w:lang w:val="fr-CA"/>
        </w:rPr>
        <w:t xml:space="preserve">er trimestre de 2019 (29,594 </w:t>
      </w:r>
      <w:proofErr w:type="spellStart"/>
      <w:r w:rsidR="000C5492">
        <w:rPr>
          <w:lang w:val="fr-CA"/>
        </w:rPr>
        <w:t>tm</w:t>
      </w:r>
      <w:proofErr w:type="spellEnd"/>
      <w:r w:rsidR="000C5492">
        <w:rPr>
          <w:lang w:val="fr-CA"/>
        </w:rPr>
        <w:t xml:space="preserve"> ou</w:t>
      </w:r>
      <w:r w:rsidRPr="000C5492">
        <w:rPr>
          <w:lang w:val="fr-CA"/>
        </w:rPr>
        <w:t xml:space="preserve"> 1,63 tonne PAO) révèle une légère augmentation par rapport à la </w:t>
      </w:r>
      <w:r w:rsidR="000C5492">
        <w:rPr>
          <w:lang w:val="fr-CA"/>
        </w:rPr>
        <w:t xml:space="preserve">même période de 2018 (28,365 </w:t>
      </w:r>
      <w:proofErr w:type="spellStart"/>
      <w:r w:rsidR="000C5492">
        <w:rPr>
          <w:lang w:val="fr-CA"/>
        </w:rPr>
        <w:t>tm</w:t>
      </w:r>
      <w:proofErr w:type="spellEnd"/>
      <w:r w:rsidR="000C5492">
        <w:rPr>
          <w:lang w:val="fr-CA"/>
        </w:rPr>
        <w:t xml:space="preserve"> ou</w:t>
      </w:r>
      <w:r w:rsidRPr="000C5492">
        <w:rPr>
          <w:lang w:val="fr-CA"/>
        </w:rPr>
        <w:t xml:space="preserve"> 1,56 tonne PAO). Le gouvernement négocie avec les importateurs de HCFC-22 afin de limiter les importations de climatiseurs à base de HCFC à moins de 30 000 appareils par année en 2019, un nombre inférieur à celui de 2018.</w:t>
      </w:r>
    </w:p>
    <w:p w:rsidR="001D2840" w:rsidRPr="000C5492" w:rsidRDefault="00642C3C" w:rsidP="001D2840">
      <w:pPr>
        <w:pStyle w:val="Heading1"/>
        <w:rPr>
          <w:i/>
          <w:lang w:val="fr-CA"/>
        </w:rPr>
      </w:pPr>
      <w:r w:rsidRPr="000C5492">
        <w:rPr>
          <w:lang w:val="fr-CA"/>
        </w:rPr>
        <w:lastRenderedPageBreak/>
        <w:t xml:space="preserve">Une consommation de HCFC-141b contenu dans des polyols </w:t>
      </w:r>
      <w:proofErr w:type="spellStart"/>
      <w:r w:rsidRPr="000C5492">
        <w:rPr>
          <w:lang w:val="fr-CA"/>
        </w:rPr>
        <w:t>prémélangés</w:t>
      </w:r>
      <w:proofErr w:type="spellEnd"/>
      <w:r w:rsidRPr="000C5492">
        <w:rPr>
          <w:lang w:val="fr-CA"/>
        </w:rPr>
        <w:t xml:space="preserve"> importés a été déclarée en 2017 et en 2018</w:t>
      </w:r>
      <w:r w:rsidR="008D2568">
        <w:rPr>
          <w:lang w:val="fr-CA"/>
        </w:rPr>
        <w:t>,</w:t>
      </w:r>
      <w:r w:rsidRPr="000C5492">
        <w:rPr>
          <w:lang w:val="fr-CA"/>
        </w:rPr>
        <w:t xml:space="preserve"> </w:t>
      </w:r>
      <w:r w:rsidR="000C5492">
        <w:rPr>
          <w:lang w:val="fr-CA"/>
        </w:rPr>
        <w:t>et est attribuable à</w:t>
      </w:r>
      <w:r w:rsidRPr="000C5492">
        <w:rPr>
          <w:lang w:val="fr-CA"/>
        </w:rPr>
        <w:t xml:space="preserve"> une entreprise de fabrication de panneaux sandwich recensée en 2017. Suite à ses échanges avec le Bureau national de l’ozone, l’entreprise a cessé d’utiliser du HCFC-141b dans son processus de fabrication en mars 2019 et a </w:t>
      </w:r>
      <w:r w:rsidR="00123884">
        <w:rPr>
          <w:lang w:val="fr-CA"/>
        </w:rPr>
        <w:t xml:space="preserve">reconverti ses activités </w:t>
      </w:r>
      <w:r w:rsidRPr="000C5492">
        <w:rPr>
          <w:lang w:val="fr-CA"/>
        </w:rPr>
        <w:t>à une technologie à base de cyclopentane à ses frais. Il n’y a eu aucune importation de HCFC-123 depuis 2016 grâce à l’entretien préventif de l’équipement à base de HCFC-123</w:t>
      </w:r>
      <w:r w:rsidR="001D2840" w:rsidRPr="000C5492">
        <w:rPr>
          <w:lang w:val="fr-CA"/>
        </w:rPr>
        <w:t xml:space="preserve">. </w:t>
      </w:r>
    </w:p>
    <w:p w:rsidR="001D2840" w:rsidRPr="000C5492" w:rsidRDefault="00175380" w:rsidP="001D2840">
      <w:pPr>
        <w:pStyle w:val="Heading1"/>
        <w:numPr>
          <w:ilvl w:val="0"/>
          <w:numId w:val="0"/>
        </w:numPr>
        <w:rPr>
          <w:i/>
          <w:lang w:val="fr-CA"/>
        </w:rPr>
      </w:pPr>
      <w:r w:rsidRPr="000C5492">
        <w:rPr>
          <w:i/>
          <w:lang w:val="fr-CA"/>
        </w:rPr>
        <w:t xml:space="preserve">Rapport </w:t>
      </w:r>
      <w:r w:rsidR="00123884">
        <w:rPr>
          <w:i/>
          <w:lang w:val="fr-CA"/>
        </w:rPr>
        <w:t>sur la</w:t>
      </w:r>
      <w:r w:rsidRPr="000C5492">
        <w:rPr>
          <w:i/>
          <w:lang w:val="fr-CA"/>
        </w:rPr>
        <w:t xml:space="preserve"> mise en œuvre du programme de pays</w:t>
      </w:r>
    </w:p>
    <w:p w:rsidR="001D2840" w:rsidRPr="000C5492" w:rsidRDefault="00175380" w:rsidP="001D2840">
      <w:pPr>
        <w:pStyle w:val="Heading1"/>
        <w:rPr>
          <w:lang w:val="fr-CA"/>
        </w:rPr>
      </w:pPr>
      <w:r w:rsidRPr="000C5492">
        <w:rPr>
          <w:lang w:val="fr-CA"/>
        </w:rPr>
        <w:t>Le gouvernement du Cambodge a déclaré une consommation sectorielle de HCFC dans le rapport de mise en œuvre du programme de pays de 2017, qui correspond aux données déclarées en vertu de l’article 7 du Protocole de Montréal.</w:t>
      </w:r>
      <w:r w:rsidR="001D2840" w:rsidRPr="000C5492">
        <w:rPr>
          <w:lang w:val="fr-CA"/>
        </w:rPr>
        <w:t xml:space="preserve"> </w:t>
      </w:r>
    </w:p>
    <w:p w:rsidR="001D2840" w:rsidRPr="000C5492" w:rsidRDefault="00175380" w:rsidP="001D2840">
      <w:pPr>
        <w:keepNext/>
        <w:rPr>
          <w:u w:val="single"/>
          <w:lang w:val="fr-CA"/>
        </w:rPr>
      </w:pPr>
      <w:r w:rsidRPr="000C5492">
        <w:rPr>
          <w:u w:val="single"/>
          <w:lang w:val="fr-CA"/>
        </w:rPr>
        <w:t>Rapport périodique sur la mise en œuvre de la troisième tranche du PGEH</w:t>
      </w:r>
    </w:p>
    <w:p w:rsidR="001D2840" w:rsidRPr="000C5492" w:rsidRDefault="001D2840" w:rsidP="001D2840">
      <w:pPr>
        <w:keepNext/>
        <w:rPr>
          <w:lang w:val="fr-CA"/>
        </w:rPr>
      </w:pPr>
    </w:p>
    <w:p w:rsidR="001D2840" w:rsidRPr="000C5492" w:rsidRDefault="00175380" w:rsidP="001D2840">
      <w:pPr>
        <w:keepNext/>
        <w:rPr>
          <w:i/>
          <w:lang w:val="fr-CA"/>
        </w:rPr>
      </w:pPr>
      <w:r w:rsidRPr="000C5492">
        <w:rPr>
          <w:i/>
          <w:lang w:val="fr-CA"/>
        </w:rPr>
        <w:t>Cadre juridique</w:t>
      </w:r>
    </w:p>
    <w:p w:rsidR="001D2840" w:rsidRPr="000C5492" w:rsidRDefault="001D2840" w:rsidP="001D2840">
      <w:pPr>
        <w:keepNext/>
        <w:rPr>
          <w:lang w:val="fr-CA"/>
        </w:rPr>
      </w:pPr>
    </w:p>
    <w:p w:rsidR="001D2840" w:rsidRPr="000C5492" w:rsidRDefault="00764346" w:rsidP="001D2840">
      <w:pPr>
        <w:pStyle w:val="Heading1"/>
        <w:rPr>
          <w:lang w:val="fr-CA"/>
        </w:rPr>
      </w:pPr>
      <w:r w:rsidRPr="000C5492">
        <w:rPr>
          <w:lang w:val="fr-CA"/>
        </w:rPr>
        <w:t>Le gouvernement du Cambodge a révisé son sous-décret sur la gestion des SAO,</w:t>
      </w:r>
      <w:r w:rsidRPr="000C5492">
        <w:rPr>
          <w:rStyle w:val="FootnoteReference"/>
          <w:lang w:val="en-CA"/>
        </w:rPr>
        <w:footnoteReference w:id="2"/>
      </w:r>
      <w:r w:rsidRPr="000C5492">
        <w:rPr>
          <w:lang w:val="fr-CA"/>
        </w:rPr>
        <w:t xml:space="preserve"> afin d’y ajouter des dispositions imposant l’obtention d’un permis pour importer/exporter des SAO, des HFC, d’autres frigorigènes en vrac et tous les types d’équipement de réfrigération et de climatis</w:t>
      </w:r>
      <w:r w:rsidR="0003463A" w:rsidRPr="000C5492">
        <w:rPr>
          <w:lang w:val="fr-CA"/>
        </w:rPr>
        <w:t>ation utilisant des fri</w:t>
      </w:r>
      <w:r w:rsidRPr="000C5492">
        <w:rPr>
          <w:lang w:val="fr-CA"/>
        </w:rPr>
        <w:t xml:space="preserve">gorigènes, ainsi que des </w:t>
      </w:r>
      <w:r w:rsidR="0003463A" w:rsidRPr="000C5492">
        <w:rPr>
          <w:lang w:val="fr-CA"/>
        </w:rPr>
        <w:t xml:space="preserve">dispositions sur la communication de données et les </w:t>
      </w:r>
      <w:r w:rsidR="00123884">
        <w:rPr>
          <w:lang w:val="fr-CA"/>
        </w:rPr>
        <w:t>programmes</w:t>
      </w:r>
      <w:r w:rsidR="0003463A" w:rsidRPr="000C5492">
        <w:rPr>
          <w:lang w:val="fr-CA"/>
        </w:rPr>
        <w:t xml:space="preserve"> </w:t>
      </w:r>
      <w:r w:rsidRPr="000C5492">
        <w:rPr>
          <w:lang w:val="fr-CA"/>
        </w:rPr>
        <w:t xml:space="preserve">de suivi </w:t>
      </w:r>
      <w:r w:rsidR="00123884">
        <w:rPr>
          <w:lang w:val="fr-CA"/>
        </w:rPr>
        <w:t>de</w:t>
      </w:r>
      <w:r w:rsidRPr="000C5492">
        <w:rPr>
          <w:lang w:val="fr-CA"/>
        </w:rPr>
        <w:t xml:space="preserve"> ces importations. Le sous-décret amendé prévoit également une interdiction d’imp</w:t>
      </w:r>
      <w:r w:rsidR="0003463A" w:rsidRPr="000C5492">
        <w:rPr>
          <w:lang w:val="fr-CA"/>
        </w:rPr>
        <w:t>o</w:t>
      </w:r>
      <w:r w:rsidRPr="000C5492">
        <w:rPr>
          <w:lang w:val="fr-CA"/>
        </w:rPr>
        <w:t>rter de l’équipement de</w:t>
      </w:r>
      <w:r w:rsidR="0003463A" w:rsidRPr="000C5492">
        <w:rPr>
          <w:lang w:val="fr-CA"/>
        </w:rPr>
        <w:t xml:space="preserve"> réfrigération et de climatisati</w:t>
      </w:r>
      <w:r w:rsidRPr="000C5492">
        <w:rPr>
          <w:lang w:val="fr-CA"/>
        </w:rPr>
        <w:t>on à base de HCFC à compter du 1</w:t>
      </w:r>
      <w:r w:rsidRPr="000C5492">
        <w:rPr>
          <w:vertAlign w:val="superscript"/>
          <w:lang w:val="fr-CA"/>
        </w:rPr>
        <w:t>er</w:t>
      </w:r>
      <w:r w:rsidRPr="000C5492">
        <w:rPr>
          <w:lang w:val="fr-CA"/>
        </w:rPr>
        <w:t xml:space="preserve"> janvier 2020. Il </w:t>
      </w:r>
      <w:r w:rsidR="0003463A" w:rsidRPr="000C5492">
        <w:rPr>
          <w:lang w:val="fr-CA"/>
        </w:rPr>
        <w:t>comprend une obligation de réduire progressivement les HFC</w:t>
      </w:r>
      <w:r w:rsidR="00123884">
        <w:rPr>
          <w:lang w:val="fr-CA"/>
        </w:rPr>
        <w:t>, et</w:t>
      </w:r>
      <w:r w:rsidR="0003463A" w:rsidRPr="000C5492">
        <w:rPr>
          <w:lang w:val="fr-CA"/>
        </w:rPr>
        <w:t xml:space="preserve"> étend le programme de quotas aux HFC et aux mélanges en vrac. Ce sous-décret révisé a atteint l’étape de la dernière révision et devrait être approuvé par le conseil des ministres aux fins d’application et d’entrée en vigueur d’ici à septembre 2019</w:t>
      </w:r>
      <w:r w:rsidR="001D2840" w:rsidRPr="000C5492">
        <w:rPr>
          <w:lang w:val="fr-CA"/>
        </w:rPr>
        <w:t>.</w:t>
      </w:r>
    </w:p>
    <w:p w:rsidR="001D2840" w:rsidRPr="000C5492" w:rsidRDefault="0003463A" w:rsidP="001D2840">
      <w:pPr>
        <w:pStyle w:val="Heading1"/>
        <w:rPr>
          <w:lang w:val="fr-CA"/>
        </w:rPr>
      </w:pPr>
      <w:r w:rsidRPr="000C5492">
        <w:rPr>
          <w:lang w:val="fr-CA"/>
        </w:rPr>
        <w:t>Trois ateliers de formation</w:t>
      </w:r>
      <w:r w:rsidR="008B3B3A" w:rsidRPr="000C5492">
        <w:rPr>
          <w:lang w:val="fr-CA"/>
        </w:rPr>
        <w:t xml:space="preserve"> ont été offerts à 121 douaniers et agents d’exécution du ministère général des Douanes et de l’Accise, </w:t>
      </w:r>
      <w:r w:rsidR="001260A8">
        <w:rPr>
          <w:lang w:val="fr-CA"/>
        </w:rPr>
        <w:t>de</w:t>
      </w:r>
      <w:r w:rsidR="008B3B3A" w:rsidRPr="000C5492">
        <w:rPr>
          <w:lang w:val="fr-CA"/>
        </w:rPr>
        <w:t xml:space="preserve"> </w:t>
      </w:r>
      <w:proofErr w:type="spellStart"/>
      <w:r w:rsidR="008B3B3A" w:rsidRPr="000C5492">
        <w:rPr>
          <w:lang w:val="fr-CA"/>
        </w:rPr>
        <w:t>CamControl</w:t>
      </w:r>
      <w:proofErr w:type="spellEnd"/>
      <w:r w:rsidR="008B3B3A" w:rsidRPr="000C5492">
        <w:rPr>
          <w:lang w:val="fr-CA"/>
        </w:rPr>
        <w:t xml:space="preserve"> et </w:t>
      </w:r>
      <w:r w:rsidR="001260A8">
        <w:rPr>
          <w:lang w:val="fr-CA"/>
        </w:rPr>
        <w:t>du</w:t>
      </w:r>
      <w:r w:rsidR="008B3B3A" w:rsidRPr="000C5492">
        <w:rPr>
          <w:lang w:val="fr-CA"/>
        </w:rPr>
        <w:t xml:space="preserve"> service de police responsable des crimes économiques, afin de renforcer les capacités des agents d’exécution </w:t>
      </w:r>
      <w:r w:rsidR="001260A8">
        <w:rPr>
          <w:lang w:val="fr-CA"/>
        </w:rPr>
        <w:t>à assurer le</w:t>
      </w:r>
      <w:r w:rsidR="008B3B3A" w:rsidRPr="000C5492">
        <w:rPr>
          <w:lang w:val="fr-CA"/>
        </w:rPr>
        <w:t xml:space="preserve"> suivi et </w:t>
      </w:r>
      <w:r w:rsidR="001260A8">
        <w:rPr>
          <w:lang w:val="fr-CA"/>
        </w:rPr>
        <w:t>appliquer</w:t>
      </w:r>
      <w:r w:rsidR="008B3B3A" w:rsidRPr="000C5492">
        <w:rPr>
          <w:lang w:val="fr-CA"/>
        </w:rPr>
        <w:t xml:space="preserve"> la réglementation </w:t>
      </w:r>
      <w:r w:rsidR="001260A8">
        <w:rPr>
          <w:lang w:val="fr-CA"/>
        </w:rPr>
        <w:t>concernant les</w:t>
      </w:r>
      <w:r w:rsidR="008B3B3A" w:rsidRPr="000C5492">
        <w:rPr>
          <w:lang w:val="fr-CA"/>
        </w:rPr>
        <w:t xml:space="preserve"> importations et exportations de HCFC</w:t>
      </w:r>
      <w:r w:rsidR="001D2840" w:rsidRPr="000C5492">
        <w:rPr>
          <w:lang w:val="fr-CA"/>
        </w:rPr>
        <w:t xml:space="preserve">. </w:t>
      </w:r>
      <w:r w:rsidR="008B3B3A" w:rsidRPr="000C5492">
        <w:rPr>
          <w:lang w:val="fr-CA"/>
        </w:rPr>
        <w:t>Le ministère de l’Environnement a continué à collaborer avec le ministère général des Douanes et de l’Accise afin d’assurer le suivi de l’utilisation des identificateurs de frigorigènes reçu</w:t>
      </w:r>
      <w:r w:rsidR="001260A8">
        <w:rPr>
          <w:lang w:val="fr-CA"/>
        </w:rPr>
        <w:t>s</w:t>
      </w:r>
      <w:r w:rsidR="008B3B3A" w:rsidRPr="000C5492">
        <w:rPr>
          <w:lang w:val="fr-CA"/>
        </w:rPr>
        <w:t xml:space="preserve"> dans le cadre du PGEH. </w:t>
      </w:r>
      <w:r w:rsidR="000B65CE" w:rsidRPr="000C5492">
        <w:rPr>
          <w:lang w:val="fr-CA"/>
        </w:rPr>
        <w:t>Le gouvernement a organisé un dialogue frontalier afin de resserrer la collaboration sur le commerce des SAO et des HFC, auquel ont participé 31</w:t>
      </w:r>
      <w:r w:rsidR="00E35D24">
        <w:rPr>
          <w:lang w:val="fr-CA"/>
        </w:rPr>
        <w:t> </w:t>
      </w:r>
      <w:r w:rsidR="000B65CE" w:rsidRPr="000C5492">
        <w:rPr>
          <w:lang w:val="fr-CA"/>
        </w:rPr>
        <w:t>agents de l’ozone et douaniers du Cambodge et du Viet Nam.</w:t>
      </w:r>
    </w:p>
    <w:p w:rsidR="001D2840" w:rsidRPr="000C5492" w:rsidRDefault="000B65CE" w:rsidP="001D2840">
      <w:pPr>
        <w:keepNext/>
        <w:rPr>
          <w:i/>
          <w:lang w:val="fr-CA"/>
        </w:rPr>
      </w:pPr>
      <w:r w:rsidRPr="000C5492">
        <w:rPr>
          <w:i/>
          <w:lang w:val="fr-CA"/>
        </w:rPr>
        <w:t>Secteur de l’entretien de l’équipement de réfrigération</w:t>
      </w:r>
    </w:p>
    <w:p w:rsidR="001D2840" w:rsidRPr="000C5492" w:rsidRDefault="001D2840" w:rsidP="001D2840">
      <w:pPr>
        <w:keepNext/>
        <w:rPr>
          <w:lang w:val="fr-CA"/>
        </w:rPr>
      </w:pPr>
    </w:p>
    <w:p w:rsidR="001D2840" w:rsidRPr="000C5492" w:rsidRDefault="00FB58AC" w:rsidP="001D2840">
      <w:pPr>
        <w:pStyle w:val="Heading1"/>
        <w:keepNext/>
        <w:rPr>
          <w:lang w:val="fr-CA"/>
        </w:rPr>
      </w:pPr>
      <w:r w:rsidRPr="000C5492">
        <w:rPr>
          <w:lang w:val="fr-CA"/>
        </w:rPr>
        <w:t>Sept ateliers de formation sur les bonnes pratiques d’entretien en réfrigération, comprenant la manipulation sécuritaire des climatiseurs à base de HFC-32 et de R-290 comme frigorigènes</w:t>
      </w:r>
      <w:r w:rsidR="009C09FB">
        <w:rPr>
          <w:lang w:val="fr-CA"/>
        </w:rPr>
        <w:t>,</w:t>
      </w:r>
      <w:r w:rsidRPr="000C5492">
        <w:rPr>
          <w:lang w:val="fr-CA"/>
        </w:rPr>
        <w:t xml:space="preserve"> ont été offerts à 259 techniciens</w:t>
      </w:r>
      <w:r w:rsidR="009C09FB">
        <w:rPr>
          <w:lang w:val="fr-CA"/>
        </w:rPr>
        <w:t xml:space="preserve"> en réfrigération et climatisation</w:t>
      </w:r>
      <w:r w:rsidRPr="000C5492">
        <w:rPr>
          <w:lang w:val="fr-CA"/>
        </w:rPr>
        <w:t xml:space="preserve">; 16 maîtres formateurs des écoles </w:t>
      </w:r>
      <w:r w:rsidR="009C09FB">
        <w:rPr>
          <w:lang w:val="fr-CA"/>
        </w:rPr>
        <w:t xml:space="preserve">de formation </w:t>
      </w:r>
      <w:r w:rsidRPr="000C5492">
        <w:rPr>
          <w:lang w:val="fr-CA"/>
        </w:rPr>
        <w:t>professionnelle et quatre employés du ministère de l’Environnement ont participé à une formation sur la gestion, l’installation et l’entretien sécuritaires de climatiseurs de pièce à base de R-290.</w:t>
      </w:r>
    </w:p>
    <w:p w:rsidR="001D2840" w:rsidRPr="000C5492" w:rsidRDefault="00FB58AC" w:rsidP="001D2840">
      <w:pPr>
        <w:pStyle w:val="Heading1"/>
        <w:rPr>
          <w:lang w:val="fr-CA"/>
        </w:rPr>
      </w:pPr>
      <w:r w:rsidRPr="000C5492">
        <w:rPr>
          <w:lang w:val="fr-CA"/>
        </w:rPr>
        <w:t>Le ministère de l’Environnement</w:t>
      </w:r>
      <w:r w:rsidR="00AB1068" w:rsidRPr="000C5492">
        <w:rPr>
          <w:lang w:val="fr-CA"/>
        </w:rPr>
        <w:t xml:space="preserve"> a travaillé en collaboration avec l</w:t>
      </w:r>
      <w:r w:rsidR="00557A74" w:rsidRPr="000C5492">
        <w:rPr>
          <w:lang w:val="fr-CA"/>
        </w:rPr>
        <w:t>a D</w:t>
      </w:r>
      <w:r w:rsidR="00AB1068" w:rsidRPr="000C5492">
        <w:rPr>
          <w:lang w:val="fr-CA"/>
        </w:rPr>
        <w:t>irection des normes et des programmes du ministère du Travail et de la Formation professionnelle</w:t>
      </w:r>
      <w:r w:rsidR="009C09FB">
        <w:rPr>
          <w:lang w:val="fr-CA"/>
        </w:rPr>
        <w:t>,</w:t>
      </w:r>
      <w:r w:rsidR="00557A74" w:rsidRPr="000C5492">
        <w:rPr>
          <w:lang w:val="fr-CA"/>
        </w:rPr>
        <w:t xml:space="preserve"> ainsi qu’avec</w:t>
      </w:r>
      <w:r w:rsidR="00AB1068" w:rsidRPr="000C5492">
        <w:rPr>
          <w:lang w:val="fr-CA"/>
        </w:rPr>
        <w:t xml:space="preserve"> les écoles de formation professionnelle</w:t>
      </w:r>
      <w:r w:rsidR="00557A74" w:rsidRPr="000C5492">
        <w:rPr>
          <w:lang w:val="fr-CA"/>
        </w:rPr>
        <w:t>,</w:t>
      </w:r>
      <w:r w:rsidR="00AB1068" w:rsidRPr="000C5492">
        <w:rPr>
          <w:lang w:val="fr-CA"/>
        </w:rPr>
        <w:t xml:space="preserve"> et </w:t>
      </w:r>
      <w:r w:rsidR="00557A74" w:rsidRPr="000C5492">
        <w:rPr>
          <w:lang w:val="fr-CA"/>
        </w:rPr>
        <w:t xml:space="preserve">a </w:t>
      </w:r>
      <w:r w:rsidR="00AB1068" w:rsidRPr="000C5492">
        <w:rPr>
          <w:lang w:val="fr-CA"/>
        </w:rPr>
        <w:t xml:space="preserve">mis au point les lignes directrices sur les normes de compétence et les tests </w:t>
      </w:r>
      <w:r w:rsidR="00557A74" w:rsidRPr="000C5492">
        <w:rPr>
          <w:lang w:val="fr-CA"/>
        </w:rPr>
        <w:t>d</w:t>
      </w:r>
      <w:r w:rsidR="00AB1068" w:rsidRPr="000C5492">
        <w:rPr>
          <w:lang w:val="fr-CA"/>
        </w:rPr>
        <w:t xml:space="preserve">’accréditation des techniciens en réfrigération et climatisation, qui ont été approuvés en mars 2019. </w:t>
      </w:r>
      <w:r w:rsidR="004B1D6A" w:rsidRPr="000C5492">
        <w:rPr>
          <w:lang w:val="fr-CA"/>
        </w:rPr>
        <w:t xml:space="preserve">Ces lignes directrices permettront au gouvernement de mettre en place son programme basé sur </w:t>
      </w:r>
      <w:r w:rsidR="009C09FB">
        <w:rPr>
          <w:lang w:val="fr-CA"/>
        </w:rPr>
        <w:t>l’évaluation d</w:t>
      </w:r>
      <w:r w:rsidR="004B1D6A" w:rsidRPr="000C5492">
        <w:rPr>
          <w:lang w:val="fr-CA"/>
        </w:rPr>
        <w:t xml:space="preserve">es compétences pour les techniciens ne possédant pas de formation/scolarité </w:t>
      </w:r>
      <w:r w:rsidR="00557A74" w:rsidRPr="000C5492">
        <w:rPr>
          <w:lang w:val="fr-CA"/>
        </w:rPr>
        <w:t>officielle</w:t>
      </w:r>
      <w:r w:rsidR="004B1D6A" w:rsidRPr="000C5492">
        <w:rPr>
          <w:lang w:val="fr-CA"/>
        </w:rPr>
        <w:t xml:space="preserve"> et les étudiants inscrits</w:t>
      </w:r>
      <w:r w:rsidR="009C09FB">
        <w:rPr>
          <w:lang w:val="fr-CA"/>
        </w:rPr>
        <w:t xml:space="preserve"> et recevant une</w:t>
      </w:r>
      <w:r w:rsidR="00557A74" w:rsidRPr="000C5492">
        <w:rPr>
          <w:lang w:val="fr-CA"/>
        </w:rPr>
        <w:t xml:space="preserve"> formation dans le</w:t>
      </w:r>
      <w:r w:rsidR="004B1D6A" w:rsidRPr="000C5492">
        <w:rPr>
          <w:lang w:val="fr-CA"/>
        </w:rPr>
        <w:t>s</w:t>
      </w:r>
      <w:r w:rsidR="00557A74" w:rsidRPr="000C5492">
        <w:rPr>
          <w:lang w:val="fr-CA"/>
        </w:rPr>
        <w:t xml:space="preserve"> </w:t>
      </w:r>
      <w:r w:rsidR="004B1D6A" w:rsidRPr="000C5492">
        <w:rPr>
          <w:lang w:val="fr-CA"/>
        </w:rPr>
        <w:t xml:space="preserve">écoles professionnelles. Une base de données des techniciens formés et </w:t>
      </w:r>
      <w:r w:rsidR="004B1D6A" w:rsidRPr="000C5492">
        <w:rPr>
          <w:lang w:val="fr-CA"/>
        </w:rPr>
        <w:lastRenderedPageBreak/>
        <w:t xml:space="preserve">certifiés est en voie d’être développée. </w:t>
      </w:r>
      <w:r w:rsidR="00557A74" w:rsidRPr="000C5492">
        <w:rPr>
          <w:lang w:val="fr-CA"/>
        </w:rPr>
        <w:t>Trois ateliers de sensib</w:t>
      </w:r>
      <w:r w:rsidR="004B1D6A" w:rsidRPr="000C5492">
        <w:rPr>
          <w:lang w:val="fr-CA"/>
        </w:rPr>
        <w:t>ilisation ont été</w:t>
      </w:r>
      <w:r w:rsidR="00557A74" w:rsidRPr="000C5492">
        <w:rPr>
          <w:lang w:val="fr-CA"/>
        </w:rPr>
        <w:t xml:space="preserve"> présentés afin </w:t>
      </w:r>
      <w:r w:rsidR="00B04EBE">
        <w:rPr>
          <w:lang w:val="fr-CA"/>
        </w:rPr>
        <w:t>d’assurer le rayonnement du</w:t>
      </w:r>
      <w:r w:rsidR="00557A74" w:rsidRPr="000C5492">
        <w:rPr>
          <w:lang w:val="fr-CA"/>
        </w:rPr>
        <w:t xml:space="preserve"> programme de certification des techniciens en réfrigération et climatisation.</w:t>
      </w:r>
      <w:r w:rsidR="001D2840" w:rsidRPr="000C5492">
        <w:rPr>
          <w:lang w:val="fr-CA"/>
        </w:rPr>
        <w:t xml:space="preserve"> </w:t>
      </w:r>
    </w:p>
    <w:p w:rsidR="001D2840" w:rsidRPr="000C5492" w:rsidRDefault="00557A74" w:rsidP="001D2840">
      <w:pPr>
        <w:pStyle w:val="Heading1"/>
        <w:rPr>
          <w:lang w:val="fr-CA"/>
        </w:rPr>
      </w:pPr>
      <w:r w:rsidRPr="000C5492">
        <w:rPr>
          <w:lang w:val="fr-CA"/>
        </w:rPr>
        <w:t xml:space="preserve">Cette certification sera émise par les écoles de formation </w:t>
      </w:r>
      <w:r w:rsidR="00C305EA" w:rsidRPr="000C5492">
        <w:rPr>
          <w:lang w:val="fr-CA"/>
        </w:rPr>
        <w:t xml:space="preserve">professionnelle ayant respecté les critères et </w:t>
      </w:r>
      <w:r w:rsidR="00B04EBE">
        <w:rPr>
          <w:lang w:val="fr-CA"/>
        </w:rPr>
        <w:t xml:space="preserve">étant </w:t>
      </w:r>
      <w:r w:rsidR="00C305EA" w:rsidRPr="000C5492">
        <w:rPr>
          <w:lang w:val="fr-CA"/>
        </w:rPr>
        <w:t>reconnues comme centre</w:t>
      </w:r>
      <w:r w:rsidR="00315FE1">
        <w:rPr>
          <w:lang w:val="fr-CA"/>
        </w:rPr>
        <w:t>s</w:t>
      </w:r>
      <w:r w:rsidR="00C305EA" w:rsidRPr="000C5492">
        <w:rPr>
          <w:lang w:val="fr-CA"/>
        </w:rPr>
        <w:t xml:space="preserve"> d’évaluation</w:t>
      </w:r>
      <w:r w:rsidR="001D2840" w:rsidRPr="000C5492">
        <w:rPr>
          <w:lang w:val="fr-CA"/>
        </w:rPr>
        <w:t>.</w:t>
      </w:r>
    </w:p>
    <w:p w:rsidR="001D2840" w:rsidRPr="000C5492" w:rsidRDefault="00C305EA" w:rsidP="001D2840">
      <w:pPr>
        <w:pStyle w:val="Heading1"/>
        <w:rPr>
          <w:lang w:val="fr-CA"/>
        </w:rPr>
      </w:pPr>
      <w:r w:rsidRPr="000C5492">
        <w:rPr>
          <w:lang w:val="fr-CA"/>
        </w:rPr>
        <w:t xml:space="preserve">Six instituts de formation professionnelle et 32 ateliers d’entretien de l’équipement de réfrigération et de climatisation ont reçu de l’équipement et des outils (p. ex., pompes à vide, </w:t>
      </w:r>
      <w:r w:rsidR="006316BB" w:rsidRPr="000C5492">
        <w:rPr>
          <w:lang w:val="fr-CA"/>
        </w:rPr>
        <w:t>collecteur</w:t>
      </w:r>
      <w:r w:rsidRPr="000C5492">
        <w:rPr>
          <w:lang w:val="fr-CA"/>
        </w:rPr>
        <w:t>s/manomètres</w:t>
      </w:r>
      <w:r w:rsidR="006316BB" w:rsidRPr="000C5492">
        <w:rPr>
          <w:lang w:val="fr-CA"/>
        </w:rPr>
        <w:t>, détecteurs de fuites, coffr</w:t>
      </w:r>
      <w:r w:rsidR="00A155A7" w:rsidRPr="000C5492">
        <w:rPr>
          <w:lang w:val="fr-CA"/>
        </w:rPr>
        <w:t xml:space="preserve">es à outils d’entretien, appareil de récupération et bouteilles). La mise en œuvre du programme de remplacement d’équipement pour les climatiseurs résidentiels a fait l’objet de </w:t>
      </w:r>
      <w:r w:rsidR="006316BB" w:rsidRPr="000C5492">
        <w:rPr>
          <w:lang w:val="fr-CA"/>
        </w:rPr>
        <w:t>discussions</w:t>
      </w:r>
      <w:r w:rsidR="00A155A7" w:rsidRPr="000C5492">
        <w:rPr>
          <w:lang w:val="fr-CA"/>
        </w:rPr>
        <w:t xml:space="preserve"> avec les importateurs d’équipement de</w:t>
      </w:r>
      <w:r w:rsidR="006316BB" w:rsidRPr="000C5492">
        <w:rPr>
          <w:lang w:val="fr-CA"/>
        </w:rPr>
        <w:t xml:space="preserve"> réfrigération et de climatisation, et les atelie</w:t>
      </w:r>
      <w:r w:rsidR="00B04EBE">
        <w:rPr>
          <w:lang w:val="fr-CA"/>
        </w:rPr>
        <w:t>rs d’entretien;</w:t>
      </w:r>
      <w:r w:rsidR="00A155A7" w:rsidRPr="000C5492">
        <w:rPr>
          <w:lang w:val="fr-CA"/>
        </w:rPr>
        <w:t xml:space="preserve"> des critères d’admissibilité au remplacement ont été mis au point et distribués aux ateliers d’entretien, et des activités de sensibilisation sur la technologie sans SAO </w:t>
      </w:r>
      <w:r w:rsidR="006F65EF">
        <w:rPr>
          <w:lang w:val="fr-CA"/>
        </w:rPr>
        <w:t xml:space="preserve">et </w:t>
      </w:r>
      <w:r w:rsidR="00A155A7" w:rsidRPr="000C5492">
        <w:rPr>
          <w:lang w:val="fr-CA"/>
        </w:rPr>
        <w:t>à faible potentiel de réchauff</w:t>
      </w:r>
      <w:r w:rsidR="006316BB" w:rsidRPr="000C5492">
        <w:rPr>
          <w:lang w:val="fr-CA"/>
        </w:rPr>
        <w:t>e</w:t>
      </w:r>
      <w:r w:rsidR="00A155A7" w:rsidRPr="000C5492">
        <w:rPr>
          <w:lang w:val="fr-CA"/>
        </w:rPr>
        <w:t>ment de la plan</w:t>
      </w:r>
      <w:r w:rsidR="006316BB" w:rsidRPr="000C5492">
        <w:rPr>
          <w:lang w:val="fr-CA"/>
        </w:rPr>
        <w:t>ète</w:t>
      </w:r>
      <w:r w:rsidR="00A155A7" w:rsidRPr="000C5492">
        <w:rPr>
          <w:lang w:val="fr-CA"/>
        </w:rPr>
        <w:t xml:space="preserve"> (PRG) ont été offerts aux utilisateurs, fournisseurs et techniciens. En date de février</w:t>
      </w:r>
      <w:r w:rsidR="000B233D">
        <w:rPr>
          <w:lang w:val="fr-CA"/>
        </w:rPr>
        <w:t xml:space="preserve"> </w:t>
      </w:r>
      <w:r w:rsidR="00A155A7" w:rsidRPr="000C5492">
        <w:rPr>
          <w:lang w:val="fr-CA"/>
        </w:rPr>
        <w:t xml:space="preserve">2019, </w:t>
      </w:r>
      <w:r w:rsidR="006316BB" w:rsidRPr="000C5492">
        <w:rPr>
          <w:lang w:val="fr-CA"/>
        </w:rPr>
        <w:t>le gouvernement avait fourni de</w:t>
      </w:r>
      <w:r w:rsidR="00A155A7" w:rsidRPr="000C5492">
        <w:rPr>
          <w:lang w:val="fr-CA"/>
        </w:rPr>
        <w:t>s</w:t>
      </w:r>
      <w:r w:rsidR="006316BB" w:rsidRPr="000C5492">
        <w:rPr>
          <w:lang w:val="fr-CA"/>
        </w:rPr>
        <w:t xml:space="preserve"> </w:t>
      </w:r>
      <w:r w:rsidR="00A155A7" w:rsidRPr="000C5492">
        <w:rPr>
          <w:lang w:val="fr-CA"/>
        </w:rPr>
        <w:t>mesures d’encouragement pour remplacer 5</w:t>
      </w:r>
      <w:r w:rsidR="006316BB" w:rsidRPr="000C5492">
        <w:rPr>
          <w:lang w:val="fr-CA"/>
        </w:rPr>
        <w:t>7 appareils de climatisati</w:t>
      </w:r>
      <w:r w:rsidR="00A155A7" w:rsidRPr="000C5492">
        <w:rPr>
          <w:lang w:val="fr-CA"/>
        </w:rPr>
        <w:t xml:space="preserve">on à base de </w:t>
      </w:r>
      <w:r w:rsidR="006316BB" w:rsidRPr="000C5492">
        <w:rPr>
          <w:lang w:val="fr-CA"/>
        </w:rPr>
        <w:t>HCFC</w:t>
      </w:r>
      <w:r w:rsidR="00E35D24">
        <w:rPr>
          <w:lang w:val="fr-CA"/>
        </w:rPr>
        <w:noBreakHyphen/>
      </w:r>
      <w:r w:rsidR="006316BB" w:rsidRPr="000C5492">
        <w:rPr>
          <w:lang w:val="fr-CA"/>
        </w:rPr>
        <w:t>22</w:t>
      </w:r>
      <w:r w:rsidR="00A155A7" w:rsidRPr="000C5492">
        <w:rPr>
          <w:lang w:val="fr-CA"/>
        </w:rPr>
        <w:t xml:space="preserve"> par des</w:t>
      </w:r>
      <w:r w:rsidR="006316BB" w:rsidRPr="000C5492">
        <w:rPr>
          <w:lang w:val="fr-CA"/>
        </w:rPr>
        <w:t xml:space="preserve"> climatiseurs résidentiels à base de HFC-32 chez les utilisateurs</w:t>
      </w:r>
      <w:r w:rsidR="001D2840" w:rsidRPr="000C5492">
        <w:rPr>
          <w:lang w:val="fr-CA"/>
        </w:rPr>
        <w:t>.</w:t>
      </w:r>
    </w:p>
    <w:p w:rsidR="001D2840" w:rsidRPr="000C5492" w:rsidRDefault="006316BB" w:rsidP="001D2840">
      <w:pPr>
        <w:pStyle w:val="Heading1"/>
        <w:widowControl w:val="0"/>
        <w:rPr>
          <w:lang w:val="fr-CA"/>
        </w:rPr>
      </w:pPr>
      <w:r w:rsidRPr="000C5492">
        <w:rPr>
          <w:lang w:val="fr-CA"/>
        </w:rPr>
        <w:t>Des activités de sensibilisation du public, d’information, d’éducation et de communication (c.-à-d.,</w:t>
      </w:r>
      <w:r w:rsidR="00250D77" w:rsidRPr="000C5492">
        <w:rPr>
          <w:lang w:val="fr-CA"/>
        </w:rPr>
        <w:t xml:space="preserve"> atelie</w:t>
      </w:r>
      <w:r w:rsidRPr="000C5492">
        <w:rPr>
          <w:lang w:val="fr-CA"/>
        </w:rPr>
        <w:t>rs de se</w:t>
      </w:r>
      <w:r w:rsidR="00250D77" w:rsidRPr="000C5492">
        <w:rPr>
          <w:lang w:val="fr-CA"/>
        </w:rPr>
        <w:t>nsibilisati</w:t>
      </w:r>
      <w:r w:rsidRPr="000C5492">
        <w:rPr>
          <w:lang w:val="fr-CA"/>
        </w:rPr>
        <w:t>on, diffusi</w:t>
      </w:r>
      <w:r w:rsidR="00250D77" w:rsidRPr="000C5492">
        <w:rPr>
          <w:lang w:val="fr-CA"/>
        </w:rPr>
        <w:t>on du programme de sensibilisati</w:t>
      </w:r>
      <w:r w:rsidRPr="000C5492">
        <w:rPr>
          <w:lang w:val="fr-CA"/>
        </w:rPr>
        <w:t>on et distribution de matériel d’information) ont été présentées</w:t>
      </w:r>
      <w:r w:rsidR="001D2840" w:rsidRPr="000C5492">
        <w:rPr>
          <w:lang w:val="fr-CA" w:eastAsia="zh-CN"/>
        </w:rPr>
        <w:t>.</w:t>
      </w:r>
    </w:p>
    <w:p w:rsidR="001D2840" w:rsidRPr="000C5492" w:rsidRDefault="006F65EF" w:rsidP="001D2840">
      <w:pPr>
        <w:widowControl w:val="0"/>
        <w:rPr>
          <w:i/>
          <w:lang w:val="fr-CA"/>
        </w:rPr>
      </w:pPr>
      <w:r>
        <w:rPr>
          <w:i/>
          <w:lang w:val="fr-CA"/>
        </w:rPr>
        <w:t>Bureau de gestion de la</w:t>
      </w:r>
      <w:r w:rsidR="00250D77" w:rsidRPr="000C5492">
        <w:rPr>
          <w:i/>
          <w:lang w:val="fr-CA"/>
        </w:rPr>
        <w:t xml:space="preserve"> mise en œuvre et d</w:t>
      </w:r>
      <w:r>
        <w:rPr>
          <w:i/>
          <w:lang w:val="fr-CA"/>
        </w:rPr>
        <w:t>u</w:t>
      </w:r>
      <w:r w:rsidR="00250D77" w:rsidRPr="000C5492">
        <w:rPr>
          <w:i/>
          <w:lang w:val="fr-CA"/>
        </w:rPr>
        <w:t xml:space="preserve"> suivi du projet</w:t>
      </w:r>
    </w:p>
    <w:p w:rsidR="001D2840" w:rsidRPr="000C5492" w:rsidRDefault="001D2840" w:rsidP="001D2840">
      <w:pPr>
        <w:widowControl w:val="0"/>
        <w:rPr>
          <w:lang w:val="fr-CA"/>
        </w:rPr>
      </w:pPr>
    </w:p>
    <w:p w:rsidR="001D2840" w:rsidRPr="000C5492" w:rsidRDefault="00250D77" w:rsidP="001D2840">
      <w:pPr>
        <w:pStyle w:val="Heading1"/>
        <w:widowControl w:val="0"/>
        <w:rPr>
          <w:lang w:val="fr-CA"/>
        </w:rPr>
      </w:pPr>
      <w:r w:rsidRPr="000C5492">
        <w:rPr>
          <w:lang w:val="fr-CA"/>
        </w:rPr>
        <w:t xml:space="preserve">Le Bureau de gestion du programme est enchâssé </w:t>
      </w:r>
      <w:r w:rsidR="006F65EF">
        <w:rPr>
          <w:lang w:val="fr-CA"/>
        </w:rPr>
        <w:t>dans le</w:t>
      </w:r>
      <w:r w:rsidRPr="000C5492">
        <w:rPr>
          <w:lang w:val="fr-CA"/>
        </w:rPr>
        <w:t xml:space="preserve"> Bureau national de l’ozone et relève de la supervision générale du chef du Bureau national de l’ozone. On y trouve un adjoint à plein temps et trois employés à temps partiel pour soutenir la mise en œuvre des activités du PGEH</w:t>
      </w:r>
      <w:r w:rsidR="001D2840" w:rsidRPr="000C5492">
        <w:rPr>
          <w:lang w:val="fr-CA"/>
        </w:rPr>
        <w:t>.</w:t>
      </w:r>
    </w:p>
    <w:p w:rsidR="001D2840" w:rsidRPr="000C5492" w:rsidRDefault="003117D8" w:rsidP="001D2840">
      <w:pPr>
        <w:keepNext/>
        <w:rPr>
          <w:u w:val="single"/>
          <w:lang w:val="fr-CA"/>
        </w:rPr>
      </w:pPr>
      <w:r w:rsidRPr="000C5492">
        <w:rPr>
          <w:u w:val="single"/>
          <w:lang w:val="fr-CA"/>
        </w:rPr>
        <w:t>Niveau de décaissement des fonds</w:t>
      </w:r>
    </w:p>
    <w:p w:rsidR="001D2840" w:rsidRPr="000C5492" w:rsidRDefault="001D2840" w:rsidP="001D2840">
      <w:pPr>
        <w:keepNext/>
        <w:rPr>
          <w:lang w:val="fr-CA"/>
        </w:rPr>
      </w:pPr>
    </w:p>
    <w:p w:rsidR="001D2840" w:rsidRPr="000C5492" w:rsidRDefault="003117D8" w:rsidP="001D2840">
      <w:pPr>
        <w:pStyle w:val="Heading1"/>
        <w:keepNext/>
        <w:rPr>
          <w:lang w:val="fr-CA"/>
        </w:rPr>
      </w:pPr>
      <w:r w:rsidRPr="000C5492">
        <w:rPr>
          <w:lang w:val="fr-CA"/>
        </w:rPr>
        <w:t xml:space="preserve">Une </w:t>
      </w:r>
      <w:r w:rsidR="006F65EF">
        <w:rPr>
          <w:lang w:val="fr-CA"/>
        </w:rPr>
        <w:t>part</w:t>
      </w:r>
      <w:r w:rsidRPr="000C5492">
        <w:rPr>
          <w:lang w:val="fr-CA"/>
        </w:rPr>
        <w:t xml:space="preserve"> de 783 395 $US des 900 000 $US approuvés à ce jour avait été décaissée en date de mars</w:t>
      </w:r>
      <w:r w:rsidR="00E35D24">
        <w:rPr>
          <w:lang w:val="fr-CA"/>
        </w:rPr>
        <w:t> </w:t>
      </w:r>
      <w:r w:rsidRPr="000C5492">
        <w:rPr>
          <w:lang w:val="fr-CA"/>
        </w:rPr>
        <w:t>2019 (356 660 $US pour le PNUE et 426 734 $US pour le PNUD), comme indiqué dans le tableau 2. Le solde de 116 605 $US sera décaissé en 2019-2020</w:t>
      </w:r>
      <w:r w:rsidR="001D2840" w:rsidRPr="000C5492">
        <w:rPr>
          <w:lang w:val="fr-CA"/>
        </w:rPr>
        <w:t>.</w:t>
      </w:r>
    </w:p>
    <w:p w:rsidR="001D2840" w:rsidRPr="000C5492" w:rsidRDefault="001D2840" w:rsidP="001D2840">
      <w:pPr>
        <w:rPr>
          <w:b/>
          <w:lang w:val="fr-CA"/>
        </w:rPr>
      </w:pPr>
      <w:r w:rsidRPr="000C5492">
        <w:rPr>
          <w:b/>
          <w:lang w:val="fr-CA"/>
        </w:rPr>
        <w:t>Table</w:t>
      </w:r>
      <w:r w:rsidR="003117D8" w:rsidRPr="000C5492">
        <w:rPr>
          <w:b/>
          <w:lang w:val="fr-CA"/>
        </w:rPr>
        <w:t>au</w:t>
      </w:r>
      <w:r w:rsidRPr="000C5492">
        <w:rPr>
          <w:b/>
          <w:lang w:val="fr-CA"/>
        </w:rPr>
        <w:t xml:space="preserve"> 2. </w:t>
      </w:r>
      <w:r w:rsidR="003117D8" w:rsidRPr="000C5492">
        <w:rPr>
          <w:b/>
          <w:lang w:val="fr-CA"/>
        </w:rPr>
        <w:t>Rapport financier de la phase I du PGEH du Cambodge ($US)</w:t>
      </w: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134"/>
        <w:gridCol w:w="1417"/>
        <w:gridCol w:w="1417"/>
        <w:gridCol w:w="1418"/>
        <w:gridCol w:w="2410"/>
      </w:tblGrid>
      <w:tr w:rsidR="001D2840" w:rsidRPr="000C5492" w:rsidTr="00143C85">
        <w:trPr>
          <w:trHeight w:val="404"/>
          <w:tblHeader/>
        </w:trPr>
        <w:tc>
          <w:tcPr>
            <w:tcW w:w="2671" w:type="dxa"/>
            <w:gridSpan w:val="2"/>
            <w:shd w:val="clear" w:color="auto" w:fill="auto"/>
            <w:noWrap/>
            <w:vAlign w:val="center"/>
            <w:hideMark/>
          </w:tcPr>
          <w:p w:rsidR="001D2840" w:rsidRPr="000C5492" w:rsidRDefault="001D2840" w:rsidP="00143C85">
            <w:pPr>
              <w:rPr>
                <w:b/>
                <w:bCs/>
                <w:color w:val="000000"/>
                <w:sz w:val="20"/>
                <w:szCs w:val="20"/>
                <w:lang w:val="fr-CA" w:eastAsia="en-CA"/>
              </w:rPr>
            </w:pPr>
            <w:r w:rsidRPr="000C5492">
              <w:rPr>
                <w:b/>
                <w:bCs/>
                <w:color w:val="000000"/>
                <w:sz w:val="20"/>
                <w:szCs w:val="20"/>
                <w:lang w:val="fr-CA" w:eastAsia="en-CA"/>
              </w:rPr>
              <w:t>Tranche</w:t>
            </w:r>
          </w:p>
        </w:tc>
        <w:tc>
          <w:tcPr>
            <w:tcW w:w="1417" w:type="dxa"/>
            <w:shd w:val="clear" w:color="auto" w:fill="auto"/>
            <w:noWrap/>
            <w:vAlign w:val="center"/>
            <w:hideMark/>
          </w:tcPr>
          <w:p w:rsidR="001D2840" w:rsidRPr="000C5492" w:rsidRDefault="003117D8" w:rsidP="00143C85">
            <w:pPr>
              <w:jc w:val="center"/>
              <w:rPr>
                <w:b/>
                <w:color w:val="000000"/>
                <w:sz w:val="20"/>
                <w:szCs w:val="20"/>
                <w:lang w:val="fr-CA" w:eastAsia="en-CA"/>
              </w:rPr>
            </w:pPr>
            <w:r w:rsidRPr="000C5492">
              <w:rPr>
                <w:b/>
                <w:color w:val="000000"/>
                <w:sz w:val="20"/>
                <w:szCs w:val="20"/>
                <w:lang w:val="fr-CA" w:eastAsia="en-CA"/>
              </w:rPr>
              <w:t>PNUE</w:t>
            </w:r>
          </w:p>
        </w:tc>
        <w:tc>
          <w:tcPr>
            <w:tcW w:w="1417" w:type="dxa"/>
            <w:vAlign w:val="center"/>
          </w:tcPr>
          <w:p w:rsidR="001D2840" w:rsidRPr="000C5492" w:rsidRDefault="003117D8" w:rsidP="00143C85">
            <w:pPr>
              <w:jc w:val="center"/>
              <w:rPr>
                <w:b/>
                <w:color w:val="000000"/>
                <w:sz w:val="20"/>
                <w:szCs w:val="20"/>
                <w:lang w:val="fr-CA" w:eastAsia="en-CA"/>
              </w:rPr>
            </w:pPr>
            <w:r w:rsidRPr="000C5492">
              <w:rPr>
                <w:b/>
                <w:color w:val="000000"/>
                <w:sz w:val="20"/>
                <w:szCs w:val="20"/>
                <w:lang w:val="fr-CA" w:eastAsia="en-CA"/>
              </w:rPr>
              <w:t>PNUD</w:t>
            </w:r>
          </w:p>
        </w:tc>
        <w:tc>
          <w:tcPr>
            <w:tcW w:w="1418" w:type="dxa"/>
            <w:shd w:val="clear" w:color="auto" w:fill="auto"/>
            <w:noWrap/>
            <w:vAlign w:val="center"/>
            <w:hideMark/>
          </w:tcPr>
          <w:p w:rsidR="001D2840" w:rsidRPr="000C5492" w:rsidRDefault="001D2840" w:rsidP="00143C85">
            <w:pPr>
              <w:jc w:val="center"/>
              <w:rPr>
                <w:b/>
                <w:color w:val="000000"/>
                <w:sz w:val="20"/>
                <w:szCs w:val="20"/>
                <w:lang w:val="fr-CA" w:eastAsia="en-CA"/>
              </w:rPr>
            </w:pPr>
            <w:r w:rsidRPr="000C5492">
              <w:rPr>
                <w:b/>
                <w:color w:val="000000"/>
                <w:sz w:val="20"/>
                <w:szCs w:val="20"/>
                <w:lang w:val="fr-CA" w:eastAsia="en-CA"/>
              </w:rPr>
              <w:t>Total</w:t>
            </w:r>
          </w:p>
        </w:tc>
        <w:tc>
          <w:tcPr>
            <w:tcW w:w="2410" w:type="dxa"/>
            <w:shd w:val="clear" w:color="auto" w:fill="auto"/>
            <w:noWrap/>
            <w:vAlign w:val="center"/>
            <w:hideMark/>
          </w:tcPr>
          <w:p w:rsidR="001D2840" w:rsidRPr="000C5492" w:rsidRDefault="003117D8" w:rsidP="00143C85">
            <w:pPr>
              <w:jc w:val="center"/>
              <w:rPr>
                <w:b/>
                <w:color w:val="000000"/>
                <w:sz w:val="20"/>
                <w:szCs w:val="20"/>
                <w:lang w:val="fr-CA" w:eastAsia="en-CA"/>
              </w:rPr>
            </w:pPr>
            <w:r w:rsidRPr="000C5492">
              <w:rPr>
                <w:b/>
                <w:color w:val="000000"/>
                <w:sz w:val="20"/>
                <w:szCs w:val="20"/>
                <w:lang w:val="fr-CA" w:eastAsia="en-CA"/>
              </w:rPr>
              <w:t>Taux de décaissement (%)</w:t>
            </w:r>
          </w:p>
        </w:tc>
      </w:tr>
      <w:tr w:rsidR="001D2840" w:rsidRPr="000C5492" w:rsidTr="00143C85">
        <w:trPr>
          <w:trHeight w:val="179"/>
        </w:trPr>
        <w:tc>
          <w:tcPr>
            <w:tcW w:w="1537" w:type="dxa"/>
            <w:vMerge w:val="restart"/>
            <w:shd w:val="clear" w:color="auto" w:fill="auto"/>
            <w:noWrap/>
            <w:vAlign w:val="center"/>
            <w:hideMark/>
          </w:tcPr>
          <w:p w:rsidR="001D2840" w:rsidRPr="000C5492" w:rsidRDefault="003117D8" w:rsidP="00143C85">
            <w:pPr>
              <w:jc w:val="left"/>
              <w:rPr>
                <w:bCs/>
                <w:color w:val="000000"/>
                <w:sz w:val="20"/>
                <w:szCs w:val="20"/>
                <w:lang w:val="fr-CA" w:eastAsia="en-CA"/>
              </w:rPr>
            </w:pPr>
            <w:r w:rsidRPr="000C5492">
              <w:rPr>
                <w:bCs/>
                <w:color w:val="000000"/>
                <w:sz w:val="20"/>
                <w:szCs w:val="20"/>
                <w:lang w:val="fr-CA" w:eastAsia="en-CA"/>
              </w:rPr>
              <w:t>Première tranche</w:t>
            </w:r>
          </w:p>
        </w:tc>
        <w:tc>
          <w:tcPr>
            <w:tcW w:w="1134" w:type="dxa"/>
            <w:shd w:val="clear" w:color="auto" w:fill="auto"/>
            <w:noWrap/>
            <w:vAlign w:val="center"/>
            <w:hideMark/>
          </w:tcPr>
          <w:p w:rsidR="001D2840" w:rsidRPr="000C5492" w:rsidRDefault="003117D8" w:rsidP="00143C85">
            <w:pPr>
              <w:rPr>
                <w:bCs/>
                <w:color w:val="000000"/>
                <w:sz w:val="20"/>
                <w:szCs w:val="20"/>
                <w:lang w:val="fr-CA" w:eastAsia="en-CA"/>
              </w:rPr>
            </w:pPr>
            <w:r w:rsidRPr="000C5492">
              <w:rPr>
                <w:bCs/>
                <w:color w:val="000000"/>
                <w:sz w:val="20"/>
                <w:szCs w:val="20"/>
                <w:lang w:val="fr-CA" w:eastAsia="en-CA"/>
              </w:rPr>
              <w:t>Approuvé</w:t>
            </w:r>
            <w:r w:rsidR="001D2840" w:rsidRPr="000C5492">
              <w:rPr>
                <w:bCs/>
                <w:color w:val="000000"/>
                <w:sz w:val="20"/>
                <w:szCs w:val="20"/>
                <w:lang w:val="fr-CA" w:eastAsia="en-CA"/>
              </w:rPr>
              <w:t xml:space="preserve"> </w:t>
            </w:r>
          </w:p>
        </w:tc>
        <w:tc>
          <w:tcPr>
            <w:tcW w:w="1417" w:type="dxa"/>
            <w:shd w:val="clear" w:color="auto" w:fill="auto"/>
            <w:noWrap/>
            <w:vAlign w:val="center"/>
          </w:tcPr>
          <w:p w:rsidR="001D2840" w:rsidRPr="000C5492" w:rsidRDefault="001D2840" w:rsidP="00143C85">
            <w:pPr>
              <w:jc w:val="right"/>
              <w:rPr>
                <w:color w:val="000000"/>
                <w:sz w:val="20"/>
                <w:szCs w:val="20"/>
                <w:lang w:val="fr-CA" w:eastAsia="en-CA"/>
              </w:rPr>
            </w:pPr>
            <w:r w:rsidRPr="000C5492">
              <w:rPr>
                <w:color w:val="000000"/>
                <w:sz w:val="20"/>
                <w:szCs w:val="20"/>
                <w:lang w:val="fr-CA" w:eastAsia="en-CA"/>
              </w:rPr>
              <w:t>150</w:t>
            </w:r>
            <w:r w:rsidR="003117D8" w:rsidRPr="000C5492">
              <w:rPr>
                <w:color w:val="000000"/>
                <w:sz w:val="20"/>
                <w:szCs w:val="20"/>
                <w:lang w:val="fr-CA" w:eastAsia="en-CA"/>
              </w:rPr>
              <w:t xml:space="preserve"> </w:t>
            </w:r>
            <w:r w:rsidRPr="000C5492">
              <w:rPr>
                <w:color w:val="000000"/>
                <w:sz w:val="20"/>
                <w:szCs w:val="20"/>
                <w:lang w:val="fr-CA" w:eastAsia="en-CA"/>
              </w:rPr>
              <w:t>000</w:t>
            </w:r>
          </w:p>
        </w:tc>
        <w:tc>
          <w:tcPr>
            <w:tcW w:w="1417" w:type="dxa"/>
            <w:vAlign w:val="center"/>
          </w:tcPr>
          <w:p w:rsidR="001D2840" w:rsidRPr="000C5492" w:rsidRDefault="001D2840" w:rsidP="00143C85">
            <w:pPr>
              <w:jc w:val="right"/>
              <w:rPr>
                <w:color w:val="000000"/>
                <w:sz w:val="20"/>
                <w:szCs w:val="20"/>
                <w:lang w:val="fr-CA" w:eastAsia="en-CA"/>
              </w:rPr>
            </w:pPr>
            <w:r w:rsidRPr="000C5492">
              <w:rPr>
                <w:color w:val="000000"/>
                <w:sz w:val="20"/>
                <w:szCs w:val="20"/>
                <w:lang w:val="fr-CA" w:eastAsia="en-CA"/>
              </w:rPr>
              <w:t>200</w:t>
            </w:r>
            <w:r w:rsidR="003117D8" w:rsidRPr="000C5492">
              <w:rPr>
                <w:color w:val="000000"/>
                <w:sz w:val="20"/>
                <w:szCs w:val="20"/>
                <w:lang w:val="fr-CA" w:eastAsia="en-CA"/>
              </w:rPr>
              <w:t xml:space="preserve"> </w:t>
            </w:r>
            <w:r w:rsidRPr="000C5492">
              <w:rPr>
                <w:color w:val="000000"/>
                <w:sz w:val="20"/>
                <w:szCs w:val="20"/>
                <w:lang w:val="fr-CA" w:eastAsia="en-CA"/>
              </w:rPr>
              <w:t>000</w:t>
            </w:r>
          </w:p>
        </w:tc>
        <w:tc>
          <w:tcPr>
            <w:tcW w:w="1418" w:type="dxa"/>
            <w:shd w:val="clear" w:color="auto" w:fill="auto"/>
            <w:noWrap/>
            <w:vAlign w:val="center"/>
          </w:tcPr>
          <w:p w:rsidR="001D2840" w:rsidRPr="000C5492" w:rsidRDefault="001D2840" w:rsidP="00143C85">
            <w:pPr>
              <w:jc w:val="right"/>
              <w:rPr>
                <w:color w:val="000000"/>
                <w:sz w:val="20"/>
                <w:szCs w:val="20"/>
                <w:lang w:val="fr-CA" w:eastAsia="en-CA"/>
              </w:rPr>
            </w:pPr>
            <w:r w:rsidRPr="000C5492">
              <w:rPr>
                <w:color w:val="000000"/>
                <w:sz w:val="20"/>
                <w:szCs w:val="20"/>
                <w:lang w:val="fr-CA" w:eastAsia="en-CA"/>
              </w:rPr>
              <w:t>350</w:t>
            </w:r>
            <w:r w:rsidR="003117D8" w:rsidRPr="000C5492">
              <w:rPr>
                <w:color w:val="000000"/>
                <w:sz w:val="20"/>
                <w:szCs w:val="20"/>
                <w:lang w:val="fr-CA" w:eastAsia="en-CA"/>
              </w:rPr>
              <w:t xml:space="preserve"> </w:t>
            </w:r>
            <w:r w:rsidRPr="000C5492">
              <w:rPr>
                <w:color w:val="000000"/>
                <w:sz w:val="20"/>
                <w:szCs w:val="20"/>
                <w:lang w:val="fr-CA" w:eastAsia="en-CA"/>
              </w:rPr>
              <w:t>000</w:t>
            </w:r>
          </w:p>
        </w:tc>
        <w:tc>
          <w:tcPr>
            <w:tcW w:w="2410" w:type="dxa"/>
            <w:vMerge w:val="restart"/>
            <w:shd w:val="clear" w:color="auto" w:fill="auto"/>
            <w:noWrap/>
            <w:vAlign w:val="center"/>
          </w:tcPr>
          <w:p w:rsidR="001D2840" w:rsidRPr="000C5492" w:rsidRDefault="001D2840" w:rsidP="00143C85">
            <w:pPr>
              <w:jc w:val="center"/>
              <w:rPr>
                <w:color w:val="000000"/>
                <w:sz w:val="20"/>
                <w:szCs w:val="20"/>
                <w:lang w:val="fr-CA" w:eastAsia="en-CA"/>
              </w:rPr>
            </w:pPr>
            <w:r w:rsidRPr="000C5492">
              <w:rPr>
                <w:color w:val="000000"/>
                <w:sz w:val="20"/>
                <w:szCs w:val="20"/>
                <w:lang w:val="fr-CA" w:eastAsia="en-CA"/>
              </w:rPr>
              <w:t>100</w:t>
            </w:r>
          </w:p>
        </w:tc>
      </w:tr>
      <w:tr w:rsidR="001D2840" w:rsidRPr="000C5492" w:rsidTr="00143C85">
        <w:trPr>
          <w:trHeight w:val="215"/>
        </w:trPr>
        <w:tc>
          <w:tcPr>
            <w:tcW w:w="1537" w:type="dxa"/>
            <w:vMerge/>
            <w:vAlign w:val="center"/>
            <w:hideMark/>
          </w:tcPr>
          <w:p w:rsidR="001D2840" w:rsidRPr="000C5492" w:rsidRDefault="001D2840" w:rsidP="00143C85">
            <w:pPr>
              <w:jc w:val="left"/>
              <w:rPr>
                <w:bCs/>
                <w:color w:val="000000"/>
                <w:sz w:val="20"/>
                <w:szCs w:val="20"/>
                <w:lang w:val="fr-CA" w:eastAsia="en-CA"/>
              </w:rPr>
            </w:pPr>
          </w:p>
        </w:tc>
        <w:tc>
          <w:tcPr>
            <w:tcW w:w="1134" w:type="dxa"/>
            <w:shd w:val="clear" w:color="auto" w:fill="auto"/>
            <w:noWrap/>
            <w:vAlign w:val="center"/>
            <w:hideMark/>
          </w:tcPr>
          <w:p w:rsidR="001D2840" w:rsidRPr="000C5492" w:rsidRDefault="003117D8" w:rsidP="00143C85">
            <w:pPr>
              <w:rPr>
                <w:bCs/>
                <w:color w:val="000000"/>
                <w:sz w:val="20"/>
                <w:szCs w:val="20"/>
                <w:lang w:val="fr-CA" w:eastAsia="en-CA"/>
              </w:rPr>
            </w:pPr>
            <w:r w:rsidRPr="000C5492">
              <w:rPr>
                <w:bCs/>
                <w:color w:val="000000"/>
                <w:sz w:val="20"/>
                <w:szCs w:val="20"/>
                <w:lang w:val="fr-CA" w:eastAsia="en-CA"/>
              </w:rPr>
              <w:t>Décaissé</w:t>
            </w:r>
            <w:r w:rsidR="001D2840" w:rsidRPr="000C5492">
              <w:rPr>
                <w:bCs/>
                <w:color w:val="000000"/>
                <w:sz w:val="20"/>
                <w:szCs w:val="20"/>
                <w:lang w:val="fr-CA" w:eastAsia="en-CA"/>
              </w:rPr>
              <w:t xml:space="preserve"> </w:t>
            </w:r>
          </w:p>
        </w:tc>
        <w:tc>
          <w:tcPr>
            <w:tcW w:w="1417" w:type="dxa"/>
            <w:shd w:val="clear" w:color="auto" w:fill="auto"/>
            <w:noWrap/>
            <w:vAlign w:val="center"/>
          </w:tcPr>
          <w:p w:rsidR="001D2840" w:rsidRPr="000C5492" w:rsidRDefault="001D2840" w:rsidP="00143C85">
            <w:pPr>
              <w:jc w:val="right"/>
              <w:rPr>
                <w:color w:val="000000"/>
                <w:sz w:val="20"/>
                <w:szCs w:val="20"/>
                <w:lang w:val="fr-CA" w:eastAsia="en-CA"/>
              </w:rPr>
            </w:pPr>
            <w:r w:rsidRPr="000C5492">
              <w:rPr>
                <w:color w:val="000000"/>
                <w:sz w:val="20"/>
                <w:szCs w:val="20"/>
                <w:lang w:val="fr-CA" w:eastAsia="en-CA"/>
              </w:rPr>
              <w:t>150</w:t>
            </w:r>
            <w:r w:rsidR="003117D8" w:rsidRPr="000C5492">
              <w:rPr>
                <w:color w:val="000000"/>
                <w:sz w:val="20"/>
                <w:szCs w:val="20"/>
                <w:lang w:val="fr-CA" w:eastAsia="en-CA"/>
              </w:rPr>
              <w:t xml:space="preserve"> </w:t>
            </w:r>
            <w:r w:rsidRPr="000C5492">
              <w:rPr>
                <w:color w:val="000000"/>
                <w:sz w:val="20"/>
                <w:szCs w:val="20"/>
                <w:lang w:val="fr-CA" w:eastAsia="en-CA"/>
              </w:rPr>
              <w:t>000</w:t>
            </w:r>
          </w:p>
        </w:tc>
        <w:tc>
          <w:tcPr>
            <w:tcW w:w="1417" w:type="dxa"/>
            <w:vAlign w:val="center"/>
          </w:tcPr>
          <w:p w:rsidR="001D2840" w:rsidRPr="000C5492" w:rsidRDefault="001D2840" w:rsidP="00143C85">
            <w:pPr>
              <w:jc w:val="right"/>
              <w:rPr>
                <w:color w:val="000000"/>
                <w:sz w:val="20"/>
                <w:szCs w:val="20"/>
                <w:lang w:val="fr-CA" w:eastAsia="en-CA"/>
              </w:rPr>
            </w:pPr>
            <w:r w:rsidRPr="000C5492">
              <w:rPr>
                <w:color w:val="000000"/>
                <w:sz w:val="20"/>
                <w:szCs w:val="20"/>
                <w:lang w:val="fr-CA" w:eastAsia="en-CA"/>
              </w:rPr>
              <w:t>200</w:t>
            </w:r>
            <w:r w:rsidR="003117D8" w:rsidRPr="000C5492">
              <w:rPr>
                <w:color w:val="000000"/>
                <w:sz w:val="20"/>
                <w:szCs w:val="20"/>
                <w:lang w:val="fr-CA" w:eastAsia="en-CA"/>
              </w:rPr>
              <w:t xml:space="preserve"> </w:t>
            </w:r>
            <w:r w:rsidRPr="000C5492">
              <w:rPr>
                <w:color w:val="000000"/>
                <w:sz w:val="20"/>
                <w:szCs w:val="20"/>
                <w:lang w:val="fr-CA" w:eastAsia="en-CA"/>
              </w:rPr>
              <w:t>000</w:t>
            </w:r>
          </w:p>
        </w:tc>
        <w:tc>
          <w:tcPr>
            <w:tcW w:w="1418" w:type="dxa"/>
            <w:shd w:val="clear" w:color="auto" w:fill="auto"/>
            <w:noWrap/>
            <w:vAlign w:val="center"/>
          </w:tcPr>
          <w:p w:rsidR="001D2840" w:rsidRPr="000C5492" w:rsidRDefault="001D2840" w:rsidP="00143C85">
            <w:pPr>
              <w:jc w:val="right"/>
              <w:rPr>
                <w:color w:val="000000"/>
                <w:sz w:val="20"/>
                <w:szCs w:val="20"/>
                <w:lang w:val="fr-CA" w:eastAsia="en-CA"/>
              </w:rPr>
            </w:pPr>
            <w:r w:rsidRPr="000C5492">
              <w:rPr>
                <w:color w:val="000000"/>
                <w:sz w:val="20"/>
                <w:szCs w:val="20"/>
                <w:lang w:val="fr-CA" w:eastAsia="en-CA"/>
              </w:rPr>
              <w:t>350</w:t>
            </w:r>
            <w:r w:rsidR="003117D8" w:rsidRPr="000C5492">
              <w:rPr>
                <w:color w:val="000000"/>
                <w:sz w:val="20"/>
                <w:szCs w:val="20"/>
                <w:lang w:val="fr-CA" w:eastAsia="en-CA"/>
              </w:rPr>
              <w:t xml:space="preserve"> </w:t>
            </w:r>
            <w:r w:rsidRPr="000C5492">
              <w:rPr>
                <w:color w:val="000000"/>
                <w:sz w:val="20"/>
                <w:szCs w:val="20"/>
                <w:lang w:val="fr-CA" w:eastAsia="en-CA"/>
              </w:rPr>
              <w:t>000</w:t>
            </w:r>
          </w:p>
        </w:tc>
        <w:tc>
          <w:tcPr>
            <w:tcW w:w="2410" w:type="dxa"/>
            <w:vMerge/>
            <w:vAlign w:val="center"/>
          </w:tcPr>
          <w:p w:rsidR="001D2840" w:rsidRPr="000C5492" w:rsidRDefault="001D2840" w:rsidP="00143C85">
            <w:pPr>
              <w:jc w:val="center"/>
              <w:rPr>
                <w:color w:val="000000"/>
                <w:sz w:val="20"/>
                <w:szCs w:val="20"/>
                <w:lang w:val="fr-CA" w:eastAsia="en-CA"/>
              </w:rPr>
            </w:pPr>
          </w:p>
        </w:tc>
      </w:tr>
      <w:tr w:rsidR="003117D8" w:rsidRPr="000C5492" w:rsidTr="00143C85">
        <w:trPr>
          <w:trHeight w:val="152"/>
        </w:trPr>
        <w:tc>
          <w:tcPr>
            <w:tcW w:w="1537" w:type="dxa"/>
            <w:vMerge w:val="restart"/>
            <w:shd w:val="clear" w:color="auto" w:fill="auto"/>
            <w:noWrap/>
            <w:vAlign w:val="center"/>
            <w:hideMark/>
          </w:tcPr>
          <w:p w:rsidR="003117D8" w:rsidRPr="000C5492" w:rsidRDefault="003117D8" w:rsidP="003117D8">
            <w:pPr>
              <w:jc w:val="left"/>
              <w:rPr>
                <w:bCs/>
                <w:color w:val="000000"/>
                <w:sz w:val="20"/>
                <w:szCs w:val="20"/>
                <w:lang w:val="fr-CA" w:eastAsia="en-CA"/>
              </w:rPr>
            </w:pPr>
            <w:r w:rsidRPr="000C5492">
              <w:rPr>
                <w:bCs/>
                <w:color w:val="000000"/>
                <w:sz w:val="20"/>
                <w:szCs w:val="20"/>
                <w:lang w:val="fr-CA" w:eastAsia="en-CA"/>
              </w:rPr>
              <w:t>Deuxième tranche</w:t>
            </w:r>
          </w:p>
        </w:tc>
        <w:tc>
          <w:tcPr>
            <w:tcW w:w="1134" w:type="dxa"/>
            <w:shd w:val="clear" w:color="auto" w:fill="auto"/>
            <w:noWrap/>
            <w:vAlign w:val="center"/>
            <w:hideMark/>
          </w:tcPr>
          <w:p w:rsidR="003117D8" w:rsidRPr="000C5492" w:rsidRDefault="003117D8" w:rsidP="003117D8">
            <w:pPr>
              <w:rPr>
                <w:bCs/>
                <w:color w:val="000000"/>
                <w:sz w:val="20"/>
                <w:szCs w:val="20"/>
                <w:lang w:val="fr-CA" w:eastAsia="en-CA"/>
              </w:rPr>
            </w:pPr>
            <w:r w:rsidRPr="000C5492">
              <w:rPr>
                <w:bCs/>
                <w:color w:val="000000"/>
                <w:sz w:val="20"/>
                <w:szCs w:val="20"/>
                <w:lang w:val="fr-CA" w:eastAsia="en-CA"/>
              </w:rPr>
              <w:t xml:space="preserve">Approuvé </w:t>
            </w:r>
          </w:p>
        </w:tc>
        <w:tc>
          <w:tcPr>
            <w:tcW w:w="1417" w:type="dxa"/>
            <w:shd w:val="clear" w:color="auto" w:fill="auto"/>
            <w:noWrap/>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100 000</w:t>
            </w:r>
          </w:p>
        </w:tc>
        <w:tc>
          <w:tcPr>
            <w:tcW w:w="1417" w:type="dxa"/>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200 000</w:t>
            </w:r>
          </w:p>
        </w:tc>
        <w:tc>
          <w:tcPr>
            <w:tcW w:w="1418" w:type="dxa"/>
            <w:shd w:val="clear" w:color="auto" w:fill="auto"/>
            <w:noWrap/>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300 000</w:t>
            </w:r>
          </w:p>
        </w:tc>
        <w:tc>
          <w:tcPr>
            <w:tcW w:w="2410" w:type="dxa"/>
            <w:vMerge w:val="restart"/>
            <w:shd w:val="clear" w:color="auto" w:fill="auto"/>
            <w:noWrap/>
            <w:vAlign w:val="center"/>
          </w:tcPr>
          <w:p w:rsidR="003117D8" w:rsidRPr="000C5492" w:rsidRDefault="003117D8" w:rsidP="003117D8">
            <w:pPr>
              <w:jc w:val="center"/>
              <w:rPr>
                <w:color w:val="000000"/>
                <w:sz w:val="20"/>
                <w:szCs w:val="20"/>
                <w:lang w:val="fr-CA" w:eastAsia="en-CA"/>
              </w:rPr>
            </w:pPr>
            <w:r w:rsidRPr="000C5492">
              <w:rPr>
                <w:color w:val="000000"/>
                <w:sz w:val="20"/>
                <w:szCs w:val="20"/>
                <w:lang w:val="fr-CA" w:eastAsia="en-CA"/>
              </w:rPr>
              <w:t>100</w:t>
            </w:r>
          </w:p>
        </w:tc>
      </w:tr>
      <w:tr w:rsidR="003117D8" w:rsidRPr="000C5492" w:rsidTr="00143C85">
        <w:trPr>
          <w:trHeight w:val="179"/>
        </w:trPr>
        <w:tc>
          <w:tcPr>
            <w:tcW w:w="1537" w:type="dxa"/>
            <w:vMerge/>
            <w:vAlign w:val="center"/>
            <w:hideMark/>
          </w:tcPr>
          <w:p w:rsidR="003117D8" w:rsidRPr="000C5492" w:rsidRDefault="003117D8" w:rsidP="003117D8">
            <w:pPr>
              <w:jc w:val="left"/>
              <w:rPr>
                <w:bCs/>
                <w:color w:val="000000"/>
                <w:sz w:val="20"/>
                <w:szCs w:val="20"/>
                <w:lang w:val="fr-CA" w:eastAsia="en-CA"/>
              </w:rPr>
            </w:pPr>
          </w:p>
        </w:tc>
        <w:tc>
          <w:tcPr>
            <w:tcW w:w="1134" w:type="dxa"/>
            <w:shd w:val="clear" w:color="auto" w:fill="auto"/>
            <w:noWrap/>
            <w:vAlign w:val="center"/>
            <w:hideMark/>
          </w:tcPr>
          <w:p w:rsidR="003117D8" w:rsidRPr="000C5492" w:rsidRDefault="003117D8" w:rsidP="003117D8">
            <w:pPr>
              <w:rPr>
                <w:bCs/>
                <w:color w:val="000000"/>
                <w:sz w:val="20"/>
                <w:szCs w:val="20"/>
                <w:lang w:val="fr-CA" w:eastAsia="en-CA"/>
              </w:rPr>
            </w:pPr>
            <w:r w:rsidRPr="000C5492">
              <w:rPr>
                <w:bCs/>
                <w:color w:val="000000"/>
                <w:sz w:val="20"/>
                <w:szCs w:val="20"/>
                <w:lang w:val="fr-CA" w:eastAsia="en-CA"/>
              </w:rPr>
              <w:t xml:space="preserve">Décaissé </w:t>
            </w:r>
          </w:p>
        </w:tc>
        <w:tc>
          <w:tcPr>
            <w:tcW w:w="1417" w:type="dxa"/>
            <w:shd w:val="clear" w:color="auto" w:fill="auto"/>
            <w:noWrap/>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100 000</w:t>
            </w:r>
          </w:p>
        </w:tc>
        <w:tc>
          <w:tcPr>
            <w:tcW w:w="1417" w:type="dxa"/>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200 000</w:t>
            </w:r>
          </w:p>
        </w:tc>
        <w:tc>
          <w:tcPr>
            <w:tcW w:w="1418" w:type="dxa"/>
            <w:shd w:val="clear" w:color="auto" w:fill="auto"/>
            <w:noWrap/>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300 000</w:t>
            </w:r>
          </w:p>
        </w:tc>
        <w:tc>
          <w:tcPr>
            <w:tcW w:w="2410" w:type="dxa"/>
            <w:vMerge/>
            <w:vAlign w:val="center"/>
          </w:tcPr>
          <w:p w:rsidR="003117D8" w:rsidRPr="000C5492" w:rsidRDefault="003117D8" w:rsidP="003117D8">
            <w:pPr>
              <w:jc w:val="center"/>
              <w:rPr>
                <w:color w:val="000000"/>
                <w:sz w:val="20"/>
                <w:szCs w:val="20"/>
                <w:lang w:val="fr-CA" w:eastAsia="en-CA"/>
              </w:rPr>
            </w:pPr>
          </w:p>
        </w:tc>
      </w:tr>
      <w:tr w:rsidR="003117D8" w:rsidRPr="000C5492" w:rsidTr="00143C85">
        <w:trPr>
          <w:trHeight w:val="125"/>
        </w:trPr>
        <w:tc>
          <w:tcPr>
            <w:tcW w:w="1537" w:type="dxa"/>
            <w:vMerge w:val="restart"/>
            <w:shd w:val="clear" w:color="auto" w:fill="auto"/>
            <w:noWrap/>
            <w:vAlign w:val="center"/>
            <w:hideMark/>
          </w:tcPr>
          <w:p w:rsidR="003117D8" w:rsidRPr="000C5492" w:rsidRDefault="003117D8" w:rsidP="003117D8">
            <w:pPr>
              <w:jc w:val="left"/>
              <w:rPr>
                <w:bCs/>
                <w:color w:val="000000"/>
                <w:sz w:val="20"/>
                <w:szCs w:val="20"/>
                <w:lang w:val="fr-CA" w:eastAsia="en-CA"/>
              </w:rPr>
            </w:pPr>
            <w:r w:rsidRPr="000C5492">
              <w:rPr>
                <w:bCs/>
                <w:color w:val="000000"/>
                <w:sz w:val="20"/>
                <w:szCs w:val="20"/>
                <w:lang w:val="fr-CA" w:eastAsia="en-CA"/>
              </w:rPr>
              <w:t>Troisième tranche</w:t>
            </w:r>
          </w:p>
        </w:tc>
        <w:tc>
          <w:tcPr>
            <w:tcW w:w="1134" w:type="dxa"/>
            <w:shd w:val="clear" w:color="auto" w:fill="auto"/>
            <w:noWrap/>
            <w:vAlign w:val="center"/>
            <w:hideMark/>
          </w:tcPr>
          <w:p w:rsidR="003117D8" w:rsidRPr="000C5492" w:rsidRDefault="003117D8" w:rsidP="003117D8">
            <w:pPr>
              <w:rPr>
                <w:bCs/>
                <w:color w:val="000000"/>
                <w:sz w:val="20"/>
                <w:szCs w:val="20"/>
                <w:lang w:val="fr-CA" w:eastAsia="en-CA"/>
              </w:rPr>
            </w:pPr>
            <w:r w:rsidRPr="000C5492">
              <w:rPr>
                <w:bCs/>
                <w:color w:val="000000"/>
                <w:sz w:val="20"/>
                <w:szCs w:val="20"/>
                <w:lang w:val="fr-CA" w:eastAsia="en-CA"/>
              </w:rPr>
              <w:t xml:space="preserve">Approuvé </w:t>
            </w:r>
          </w:p>
        </w:tc>
        <w:tc>
          <w:tcPr>
            <w:tcW w:w="1417" w:type="dxa"/>
            <w:shd w:val="clear" w:color="auto" w:fill="auto"/>
            <w:noWrap/>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150 000</w:t>
            </w:r>
          </w:p>
        </w:tc>
        <w:tc>
          <w:tcPr>
            <w:tcW w:w="1417" w:type="dxa"/>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100 000</w:t>
            </w:r>
          </w:p>
        </w:tc>
        <w:tc>
          <w:tcPr>
            <w:tcW w:w="1418" w:type="dxa"/>
            <w:shd w:val="clear" w:color="auto" w:fill="auto"/>
            <w:noWrap/>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250 000</w:t>
            </w:r>
          </w:p>
        </w:tc>
        <w:tc>
          <w:tcPr>
            <w:tcW w:w="2410" w:type="dxa"/>
            <w:vMerge w:val="restart"/>
            <w:shd w:val="clear" w:color="auto" w:fill="auto"/>
            <w:noWrap/>
            <w:vAlign w:val="center"/>
          </w:tcPr>
          <w:p w:rsidR="003117D8" w:rsidRPr="000C5492" w:rsidRDefault="003117D8" w:rsidP="003117D8">
            <w:pPr>
              <w:jc w:val="center"/>
              <w:rPr>
                <w:color w:val="000000"/>
                <w:sz w:val="20"/>
                <w:szCs w:val="20"/>
                <w:lang w:val="fr-CA" w:eastAsia="en-CA"/>
              </w:rPr>
            </w:pPr>
            <w:r w:rsidRPr="000C5492">
              <w:rPr>
                <w:color w:val="000000"/>
                <w:sz w:val="20"/>
                <w:szCs w:val="20"/>
                <w:lang w:val="fr-CA" w:eastAsia="en-CA"/>
              </w:rPr>
              <w:t>53</w:t>
            </w:r>
          </w:p>
        </w:tc>
      </w:tr>
      <w:tr w:rsidR="003117D8" w:rsidRPr="000C5492" w:rsidTr="00143C85">
        <w:trPr>
          <w:trHeight w:val="58"/>
        </w:trPr>
        <w:tc>
          <w:tcPr>
            <w:tcW w:w="1537" w:type="dxa"/>
            <w:vMerge/>
            <w:vAlign w:val="center"/>
            <w:hideMark/>
          </w:tcPr>
          <w:p w:rsidR="003117D8" w:rsidRPr="000C5492" w:rsidRDefault="003117D8" w:rsidP="003117D8">
            <w:pPr>
              <w:jc w:val="left"/>
              <w:rPr>
                <w:bCs/>
                <w:color w:val="000000"/>
                <w:sz w:val="20"/>
                <w:szCs w:val="20"/>
                <w:lang w:val="fr-CA" w:eastAsia="en-CA"/>
              </w:rPr>
            </w:pPr>
          </w:p>
        </w:tc>
        <w:tc>
          <w:tcPr>
            <w:tcW w:w="1134" w:type="dxa"/>
            <w:shd w:val="clear" w:color="auto" w:fill="auto"/>
            <w:noWrap/>
            <w:vAlign w:val="center"/>
            <w:hideMark/>
          </w:tcPr>
          <w:p w:rsidR="003117D8" w:rsidRPr="000C5492" w:rsidRDefault="003117D8" w:rsidP="003117D8">
            <w:pPr>
              <w:rPr>
                <w:bCs/>
                <w:color w:val="000000"/>
                <w:sz w:val="20"/>
                <w:szCs w:val="20"/>
                <w:lang w:val="fr-CA" w:eastAsia="en-CA"/>
              </w:rPr>
            </w:pPr>
            <w:r w:rsidRPr="000C5492">
              <w:rPr>
                <w:bCs/>
                <w:color w:val="000000"/>
                <w:sz w:val="20"/>
                <w:szCs w:val="20"/>
                <w:lang w:val="fr-CA" w:eastAsia="en-CA"/>
              </w:rPr>
              <w:t xml:space="preserve">Décaissé </w:t>
            </w:r>
          </w:p>
        </w:tc>
        <w:tc>
          <w:tcPr>
            <w:tcW w:w="1417" w:type="dxa"/>
            <w:shd w:val="clear" w:color="auto" w:fill="auto"/>
            <w:noWrap/>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106 660</w:t>
            </w:r>
          </w:p>
        </w:tc>
        <w:tc>
          <w:tcPr>
            <w:tcW w:w="1417" w:type="dxa"/>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26 734</w:t>
            </w:r>
          </w:p>
        </w:tc>
        <w:tc>
          <w:tcPr>
            <w:tcW w:w="1418" w:type="dxa"/>
            <w:shd w:val="clear" w:color="auto" w:fill="auto"/>
            <w:noWrap/>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133 394</w:t>
            </w:r>
          </w:p>
        </w:tc>
        <w:tc>
          <w:tcPr>
            <w:tcW w:w="2410" w:type="dxa"/>
            <w:vMerge/>
            <w:vAlign w:val="center"/>
          </w:tcPr>
          <w:p w:rsidR="003117D8" w:rsidRPr="000C5492" w:rsidRDefault="003117D8" w:rsidP="003117D8">
            <w:pPr>
              <w:jc w:val="center"/>
              <w:rPr>
                <w:color w:val="000000"/>
                <w:sz w:val="20"/>
                <w:szCs w:val="20"/>
                <w:lang w:val="fr-CA" w:eastAsia="en-CA"/>
              </w:rPr>
            </w:pPr>
          </w:p>
        </w:tc>
      </w:tr>
      <w:tr w:rsidR="003117D8" w:rsidRPr="000C5492" w:rsidTr="00143C85">
        <w:trPr>
          <w:trHeight w:val="58"/>
        </w:trPr>
        <w:tc>
          <w:tcPr>
            <w:tcW w:w="1537" w:type="dxa"/>
            <w:vMerge w:val="restart"/>
            <w:shd w:val="clear" w:color="auto" w:fill="auto"/>
            <w:vAlign w:val="center"/>
            <w:hideMark/>
          </w:tcPr>
          <w:p w:rsidR="003117D8" w:rsidRPr="000C5492" w:rsidRDefault="003117D8" w:rsidP="003117D8">
            <w:pPr>
              <w:jc w:val="left"/>
              <w:rPr>
                <w:bCs/>
                <w:color w:val="000000"/>
                <w:sz w:val="20"/>
                <w:szCs w:val="20"/>
                <w:lang w:val="fr-CA" w:eastAsia="en-CA"/>
              </w:rPr>
            </w:pPr>
            <w:r w:rsidRPr="000C5492">
              <w:rPr>
                <w:bCs/>
                <w:color w:val="000000"/>
                <w:sz w:val="20"/>
                <w:szCs w:val="20"/>
                <w:lang w:val="fr-CA" w:eastAsia="en-CA"/>
              </w:rPr>
              <w:t>Total</w:t>
            </w:r>
          </w:p>
        </w:tc>
        <w:tc>
          <w:tcPr>
            <w:tcW w:w="1134" w:type="dxa"/>
            <w:shd w:val="clear" w:color="auto" w:fill="auto"/>
            <w:vAlign w:val="center"/>
            <w:hideMark/>
          </w:tcPr>
          <w:p w:rsidR="003117D8" w:rsidRPr="000C5492" w:rsidRDefault="003117D8" w:rsidP="003117D8">
            <w:pPr>
              <w:rPr>
                <w:bCs/>
                <w:color w:val="000000"/>
                <w:sz w:val="20"/>
                <w:szCs w:val="20"/>
                <w:lang w:val="fr-CA" w:eastAsia="en-CA"/>
              </w:rPr>
            </w:pPr>
            <w:r w:rsidRPr="000C5492">
              <w:rPr>
                <w:bCs/>
                <w:color w:val="000000"/>
                <w:sz w:val="20"/>
                <w:szCs w:val="20"/>
                <w:lang w:val="fr-CA" w:eastAsia="en-CA"/>
              </w:rPr>
              <w:t xml:space="preserve">Approuvé </w:t>
            </w:r>
          </w:p>
        </w:tc>
        <w:tc>
          <w:tcPr>
            <w:tcW w:w="1417" w:type="dxa"/>
            <w:shd w:val="clear" w:color="auto" w:fill="auto"/>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400 000</w:t>
            </w:r>
          </w:p>
        </w:tc>
        <w:tc>
          <w:tcPr>
            <w:tcW w:w="1417" w:type="dxa"/>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500 000</w:t>
            </w:r>
          </w:p>
        </w:tc>
        <w:tc>
          <w:tcPr>
            <w:tcW w:w="1418" w:type="dxa"/>
            <w:shd w:val="clear" w:color="auto" w:fill="auto"/>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900 000</w:t>
            </w:r>
          </w:p>
        </w:tc>
        <w:tc>
          <w:tcPr>
            <w:tcW w:w="2410" w:type="dxa"/>
            <w:vMerge w:val="restart"/>
            <w:shd w:val="clear" w:color="auto" w:fill="auto"/>
            <w:vAlign w:val="center"/>
          </w:tcPr>
          <w:p w:rsidR="003117D8" w:rsidRPr="000C5492" w:rsidRDefault="003117D8" w:rsidP="003117D8">
            <w:pPr>
              <w:jc w:val="center"/>
              <w:rPr>
                <w:color w:val="000000"/>
                <w:sz w:val="20"/>
                <w:szCs w:val="20"/>
                <w:lang w:val="fr-CA" w:eastAsia="en-CA"/>
              </w:rPr>
            </w:pPr>
            <w:r w:rsidRPr="000C5492">
              <w:rPr>
                <w:color w:val="000000"/>
                <w:sz w:val="20"/>
                <w:szCs w:val="20"/>
                <w:lang w:val="fr-CA" w:eastAsia="en-CA"/>
              </w:rPr>
              <w:t>87</w:t>
            </w:r>
          </w:p>
        </w:tc>
      </w:tr>
      <w:tr w:rsidR="003117D8" w:rsidRPr="000C5492" w:rsidTr="00143C85">
        <w:trPr>
          <w:trHeight w:val="179"/>
        </w:trPr>
        <w:tc>
          <w:tcPr>
            <w:tcW w:w="1537" w:type="dxa"/>
            <w:vMerge/>
            <w:shd w:val="clear" w:color="auto" w:fill="auto"/>
            <w:vAlign w:val="center"/>
          </w:tcPr>
          <w:p w:rsidR="003117D8" w:rsidRPr="000C5492" w:rsidRDefault="003117D8" w:rsidP="003117D8">
            <w:pPr>
              <w:jc w:val="left"/>
              <w:rPr>
                <w:b/>
                <w:bCs/>
                <w:color w:val="000000"/>
                <w:sz w:val="20"/>
                <w:szCs w:val="20"/>
                <w:lang w:val="fr-CA" w:eastAsia="en-CA"/>
              </w:rPr>
            </w:pPr>
          </w:p>
        </w:tc>
        <w:tc>
          <w:tcPr>
            <w:tcW w:w="1134" w:type="dxa"/>
            <w:shd w:val="clear" w:color="auto" w:fill="auto"/>
            <w:vAlign w:val="center"/>
          </w:tcPr>
          <w:p w:rsidR="003117D8" w:rsidRPr="000C5492" w:rsidRDefault="003117D8" w:rsidP="003117D8">
            <w:pPr>
              <w:rPr>
                <w:bCs/>
                <w:color w:val="000000"/>
                <w:sz w:val="20"/>
                <w:szCs w:val="20"/>
                <w:lang w:val="fr-CA" w:eastAsia="en-CA"/>
              </w:rPr>
            </w:pPr>
            <w:r w:rsidRPr="000C5492">
              <w:rPr>
                <w:bCs/>
                <w:color w:val="000000"/>
                <w:sz w:val="20"/>
                <w:szCs w:val="20"/>
                <w:lang w:val="fr-CA" w:eastAsia="en-CA"/>
              </w:rPr>
              <w:t xml:space="preserve">Décaissé </w:t>
            </w:r>
          </w:p>
        </w:tc>
        <w:tc>
          <w:tcPr>
            <w:tcW w:w="1417" w:type="dxa"/>
            <w:shd w:val="clear" w:color="auto" w:fill="auto"/>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356 660</w:t>
            </w:r>
          </w:p>
        </w:tc>
        <w:tc>
          <w:tcPr>
            <w:tcW w:w="1417" w:type="dxa"/>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426 734</w:t>
            </w:r>
          </w:p>
        </w:tc>
        <w:tc>
          <w:tcPr>
            <w:tcW w:w="1418" w:type="dxa"/>
            <w:shd w:val="clear" w:color="auto" w:fill="auto"/>
            <w:vAlign w:val="center"/>
          </w:tcPr>
          <w:p w:rsidR="003117D8" w:rsidRPr="000C5492" w:rsidRDefault="003117D8" w:rsidP="003117D8">
            <w:pPr>
              <w:jc w:val="right"/>
              <w:rPr>
                <w:color w:val="000000"/>
                <w:sz w:val="20"/>
                <w:szCs w:val="20"/>
                <w:lang w:val="fr-CA" w:eastAsia="en-CA"/>
              </w:rPr>
            </w:pPr>
            <w:r w:rsidRPr="000C5492">
              <w:rPr>
                <w:color w:val="000000"/>
                <w:sz w:val="20"/>
                <w:szCs w:val="20"/>
                <w:lang w:val="fr-CA" w:eastAsia="en-CA"/>
              </w:rPr>
              <w:t>783 394</w:t>
            </w:r>
          </w:p>
        </w:tc>
        <w:tc>
          <w:tcPr>
            <w:tcW w:w="2410" w:type="dxa"/>
            <w:vMerge/>
            <w:shd w:val="clear" w:color="auto" w:fill="auto"/>
            <w:vAlign w:val="center"/>
          </w:tcPr>
          <w:p w:rsidR="003117D8" w:rsidRPr="000C5492" w:rsidRDefault="003117D8" w:rsidP="003117D8">
            <w:pPr>
              <w:jc w:val="center"/>
              <w:rPr>
                <w:color w:val="000000"/>
                <w:sz w:val="20"/>
                <w:szCs w:val="20"/>
                <w:lang w:val="fr-CA" w:eastAsia="en-CA"/>
              </w:rPr>
            </w:pPr>
          </w:p>
        </w:tc>
      </w:tr>
    </w:tbl>
    <w:p w:rsidR="001D2840" w:rsidRPr="000C5492" w:rsidRDefault="001D2840" w:rsidP="001D2840">
      <w:pPr>
        <w:rPr>
          <w:lang w:val="fr-CA"/>
        </w:rPr>
      </w:pPr>
    </w:p>
    <w:p w:rsidR="001D2840" w:rsidRPr="000C5492" w:rsidRDefault="003117D8" w:rsidP="001D2840">
      <w:pPr>
        <w:rPr>
          <w:u w:val="single"/>
          <w:lang w:val="fr-CA"/>
        </w:rPr>
      </w:pPr>
      <w:r w:rsidRPr="000C5492">
        <w:rPr>
          <w:u w:val="single"/>
          <w:lang w:val="fr-CA"/>
        </w:rPr>
        <w:t>Mise en œuvre de la quatrième tranche du PGEH</w:t>
      </w:r>
    </w:p>
    <w:p w:rsidR="001D2840" w:rsidRPr="000C5492" w:rsidRDefault="001D2840" w:rsidP="001D2840">
      <w:pPr>
        <w:rPr>
          <w:lang w:val="fr-CA"/>
        </w:rPr>
      </w:pPr>
    </w:p>
    <w:p w:rsidR="001D2840" w:rsidRPr="000C5492" w:rsidRDefault="003117D8" w:rsidP="001D2840">
      <w:pPr>
        <w:pStyle w:val="Heading1"/>
        <w:rPr>
          <w:lang w:val="fr-CA"/>
        </w:rPr>
      </w:pPr>
      <w:r w:rsidRPr="000C5492">
        <w:rPr>
          <w:lang w:val="fr-CA"/>
        </w:rPr>
        <w:t xml:space="preserve">Les activités suivantes seront mises en œuvre de mars 2019 à décembre 2022 </w:t>
      </w:r>
      <w:r w:rsidR="001D2840" w:rsidRPr="000C5492">
        <w:rPr>
          <w:lang w:val="fr-CA"/>
        </w:rPr>
        <w:t>:</w:t>
      </w:r>
    </w:p>
    <w:p w:rsidR="001D2840" w:rsidRPr="000C5492" w:rsidRDefault="0058045C" w:rsidP="00E35D24">
      <w:pPr>
        <w:pStyle w:val="Heading2"/>
        <w:keepNext/>
        <w:widowControl/>
        <w:rPr>
          <w:lang w:val="fr-CA"/>
        </w:rPr>
      </w:pPr>
      <w:r w:rsidRPr="000C5492">
        <w:rPr>
          <w:lang w:val="fr-CA"/>
        </w:rPr>
        <w:t>Proposit</w:t>
      </w:r>
      <w:r w:rsidR="00D178FD">
        <w:rPr>
          <w:lang w:val="fr-CA"/>
        </w:rPr>
        <w:t>ion de l’ébauche finale du sous-</w:t>
      </w:r>
      <w:r w:rsidRPr="000C5492">
        <w:rPr>
          <w:lang w:val="fr-CA"/>
        </w:rPr>
        <w:t xml:space="preserve">décret sur la gestion des SAO et des </w:t>
      </w:r>
      <w:r w:rsidR="00CA18EA" w:rsidRPr="000C5492">
        <w:rPr>
          <w:lang w:val="fr-CA"/>
        </w:rPr>
        <w:t>frigori</w:t>
      </w:r>
      <w:r w:rsidRPr="000C5492">
        <w:rPr>
          <w:lang w:val="fr-CA"/>
        </w:rPr>
        <w:t xml:space="preserve">gènes pour approbation par le conseil des ministres, prévue en septembre </w:t>
      </w:r>
      <w:proofErr w:type="gramStart"/>
      <w:r w:rsidRPr="000C5492">
        <w:rPr>
          <w:lang w:val="fr-CA"/>
        </w:rPr>
        <w:t>2019;</w:t>
      </w:r>
      <w:proofErr w:type="gramEnd"/>
      <w:r w:rsidRPr="000C5492">
        <w:rPr>
          <w:lang w:val="fr-CA"/>
        </w:rPr>
        <w:t xml:space="preserve"> </w:t>
      </w:r>
      <w:r w:rsidR="00CA18EA" w:rsidRPr="000C5492">
        <w:rPr>
          <w:lang w:val="fr-CA"/>
        </w:rPr>
        <w:t xml:space="preserve">application du sous-décret sur la gestion des SAO et des frigorigènes par le biais d’un programme de permis et de quotas pour les HCFC et élaboration d’un guide rapide sur la mise en œuvre </w:t>
      </w:r>
      <w:r w:rsidR="00CA18EA" w:rsidRPr="000C5492">
        <w:rPr>
          <w:lang w:val="fr-CA"/>
        </w:rPr>
        <w:lastRenderedPageBreak/>
        <w:t>de normes nationales sur les réfrigérateurs et les climatiseurs de pièce dans la langue locale (PNUE) (5000 $US)</w:t>
      </w:r>
      <w:r w:rsidR="001D2840" w:rsidRPr="000C5492">
        <w:rPr>
          <w:lang w:val="fr-CA"/>
        </w:rPr>
        <w:t>;</w:t>
      </w:r>
    </w:p>
    <w:p w:rsidR="001D2840" w:rsidRPr="000C5492" w:rsidRDefault="00CA18EA" w:rsidP="001D2840">
      <w:pPr>
        <w:pStyle w:val="Heading2"/>
        <w:keepNext/>
        <w:widowControl/>
        <w:numPr>
          <w:ilvl w:val="1"/>
          <w:numId w:val="1"/>
        </w:numPr>
        <w:rPr>
          <w:lang w:val="fr-CA"/>
        </w:rPr>
      </w:pPr>
      <w:r w:rsidRPr="000C5492">
        <w:rPr>
          <w:lang w:val="fr-CA"/>
        </w:rPr>
        <w:t xml:space="preserve">Formation de 60 agents d’exécution </w:t>
      </w:r>
      <w:r w:rsidR="00D178FD">
        <w:rPr>
          <w:lang w:val="fr-CA"/>
        </w:rPr>
        <w:t>comprenant</w:t>
      </w:r>
      <w:r w:rsidRPr="000C5492">
        <w:rPr>
          <w:lang w:val="fr-CA"/>
        </w:rPr>
        <w:t xml:space="preserve"> les nouvelles dispositions sur le programme de permis prévu au sous-décret sur la gestion des SAO et des frigorigènes, surtout en ce qui concerne les HFC, l’interdiction d’importer de l’équipement à base de HCFC à compter du 1</w:t>
      </w:r>
      <w:r w:rsidRPr="000C5492">
        <w:rPr>
          <w:vertAlign w:val="superscript"/>
          <w:lang w:val="fr-CA"/>
        </w:rPr>
        <w:t>er</w:t>
      </w:r>
      <w:r w:rsidRPr="000C5492">
        <w:rPr>
          <w:lang w:val="fr-CA"/>
        </w:rPr>
        <w:t xml:space="preserve"> janvier 2020 et l’étiquetage obligatoire des bouteilles de HCFC sur le marché domestique, et </w:t>
      </w:r>
      <w:r w:rsidR="00D178FD">
        <w:rPr>
          <w:lang w:val="fr-CA"/>
        </w:rPr>
        <w:t>création</w:t>
      </w:r>
      <w:r w:rsidRPr="000C5492">
        <w:rPr>
          <w:lang w:val="fr-CA"/>
        </w:rPr>
        <w:t xml:space="preserve"> d’une équipe d’inspection mixte chargée d’effectuer le suivi des frigorigènes vendus sur le marché local afin de prévenir le commerce illicite </w:t>
      </w:r>
      <w:r w:rsidR="000B233D">
        <w:rPr>
          <w:lang w:val="fr-CA"/>
        </w:rPr>
        <w:t xml:space="preserve">des </w:t>
      </w:r>
      <w:r w:rsidRPr="000C5492">
        <w:rPr>
          <w:lang w:val="fr-CA"/>
        </w:rPr>
        <w:t>SAO (PNUE) (10 000 $US</w:t>
      </w:r>
      <w:r w:rsidR="001D2840" w:rsidRPr="000C5492">
        <w:rPr>
          <w:lang w:val="fr-CA"/>
        </w:rPr>
        <w:t>);</w:t>
      </w:r>
    </w:p>
    <w:p w:rsidR="001D2840" w:rsidRPr="000C5492" w:rsidRDefault="00CA18EA" w:rsidP="001D2840">
      <w:pPr>
        <w:pStyle w:val="Heading2"/>
        <w:numPr>
          <w:ilvl w:val="1"/>
          <w:numId w:val="1"/>
        </w:numPr>
        <w:rPr>
          <w:lang w:val="fr-CA"/>
        </w:rPr>
      </w:pPr>
      <w:r w:rsidRPr="000C5492">
        <w:rPr>
          <w:lang w:val="fr-CA"/>
        </w:rPr>
        <w:t xml:space="preserve">Suite des consultations avec la Direction des Normes et des Programmes et les centres d’évaluation des compétences afin d’effectuer le lancement de l’évaluation </w:t>
      </w:r>
      <w:r w:rsidR="00403339">
        <w:rPr>
          <w:lang w:val="fr-CA"/>
        </w:rPr>
        <w:t>des</w:t>
      </w:r>
      <w:r w:rsidRPr="000C5492">
        <w:rPr>
          <w:lang w:val="fr-CA"/>
        </w:rPr>
        <w:t xml:space="preserve"> compétences et </w:t>
      </w:r>
      <w:r w:rsidR="00403339">
        <w:rPr>
          <w:lang w:val="fr-CA"/>
        </w:rPr>
        <w:t xml:space="preserve">de </w:t>
      </w:r>
      <w:r w:rsidRPr="000C5492">
        <w:rPr>
          <w:lang w:val="fr-CA"/>
        </w:rPr>
        <w:t>la certification des techniciens en réfrigération et en climatisation, et développement et maintien d’une base de données des techniciens formés et certifiés (PNUE) (5 000 $US</w:t>
      </w:r>
      <w:proofErr w:type="gramStart"/>
      <w:r w:rsidR="001D2840" w:rsidRPr="000C5492">
        <w:rPr>
          <w:lang w:val="fr-CA"/>
        </w:rPr>
        <w:t>);</w:t>
      </w:r>
      <w:proofErr w:type="gramEnd"/>
    </w:p>
    <w:p w:rsidR="001D2840" w:rsidRPr="000C5492" w:rsidRDefault="00CA18EA" w:rsidP="001D2840">
      <w:pPr>
        <w:pStyle w:val="Heading2"/>
        <w:keepNext/>
        <w:widowControl/>
        <w:numPr>
          <w:ilvl w:val="1"/>
          <w:numId w:val="1"/>
        </w:numPr>
        <w:rPr>
          <w:lang w:val="fr-CA"/>
        </w:rPr>
      </w:pPr>
      <w:r w:rsidRPr="000C5492">
        <w:rPr>
          <w:lang w:val="fr-CA"/>
        </w:rPr>
        <w:t>Cinq ate</w:t>
      </w:r>
      <w:r w:rsidR="00004A8A" w:rsidRPr="000C5492">
        <w:rPr>
          <w:lang w:val="fr-CA"/>
        </w:rPr>
        <w:t>liers de formation sur les bonne</w:t>
      </w:r>
      <w:r w:rsidRPr="000C5492">
        <w:rPr>
          <w:lang w:val="fr-CA"/>
        </w:rPr>
        <w:t>s pratiques</w:t>
      </w:r>
      <w:r w:rsidR="00004A8A" w:rsidRPr="000C5492">
        <w:rPr>
          <w:lang w:val="fr-CA"/>
        </w:rPr>
        <w:t xml:space="preserve"> seront offerts à 150 techniciens en réfrigération </w:t>
      </w:r>
      <w:r w:rsidR="00403339">
        <w:rPr>
          <w:lang w:val="fr-CA"/>
        </w:rPr>
        <w:t xml:space="preserve">et climatisation, </w:t>
      </w:r>
      <w:r w:rsidR="00004A8A" w:rsidRPr="000C5492">
        <w:rPr>
          <w:lang w:val="fr-CA"/>
        </w:rPr>
        <w:t>et un atelier de formation des formateurs sur les bonnes pratiques relatives à la technologie à faible PRG sera offer</w:t>
      </w:r>
      <w:r w:rsidR="00E35D24">
        <w:rPr>
          <w:lang w:val="fr-CA"/>
        </w:rPr>
        <w:t xml:space="preserve">t à 30 formateurs (PNUE) </w:t>
      </w:r>
      <w:r w:rsidR="00403339">
        <w:rPr>
          <w:lang w:val="fr-CA"/>
        </w:rPr>
        <w:t>(35 000 </w:t>
      </w:r>
      <w:r w:rsidR="00004A8A" w:rsidRPr="000C5492">
        <w:rPr>
          <w:lang w:val="fr-CA"/>
        </w:rPr>
        <w:t>$US</w:t>
      </w:r>
      <w:proofErr w:type="gramStart"/>
      <w:r w:rsidR="001D2840" w:rsidRPr="000C5492">
        <w:rPr>
          <w:lang w:val="fr-CA"/>
        </w:rPr>
        <w:t>);</w:t>
      </w:r>
      <w:proofErr w:type="gramEnd"/>
    </w:p>
    <w:p w:rsidR="001D2840" w:rsidRPr="000C5492" w:rsidRDefault="00004A8A" w:rsidP="001D2840">
      <w:pPr>
        <w:pStyle w:val="Heading2"/>
        <w:numPr>
          <w:ilvl w:val="1"/>
          <w:numId w:val="1"/>
        </w:numPr>
        <w:rPr>
          <w:lang w:val="fr-CA"/>
        </w:rPr>
      </w:pPr>
      <w:r w:rsidRPr="000C5492">
        <w:rPr>
          <w:lang w:val="fr-CA"/>
        </w:rPr>
        <w:t>Fourniture d’équipement/outils à 50 ateliers (p. ex., pompes à vide, collecteurs/manomètres</w:t>
      </w:r>
      <w:r w:rsidR="003871EE" w:rsidRPr="000C5492">
        <w:rPr>
          <w:lang w:val="fr-CA"/>
        </w:rPr>
        <w:t>,</w:t>
      </w:r>
      <w:r w:rsidRPr="000C5492">
        <w:rPr>
          <w:lang w:val="fr-CA"/>
        </w:rPr>
        <w:t xml:space="preserve"> détecteurs de fuites, balances électroniques, </w:t>
      </w:r>
      <w:proofErr w:type="spellStart"/>
      <w:r w:rsidRPr="000C5492">
        <w:rPr>
          <w:lang w:val="fr-CA"/>
        </w:rPr>
        <w:t>v</w:t>
      </w:r>
      <w:r w:rsidR="00403339">
        <w:rPr>
          <w:lang w:val="fr-CA"/>
        </w:rPr>
        <w:t>acuomètres</w:t>
      </w:r>
      <w:proofErr w:type="spellEnd"/>
      <w:r w:rsidR="00403339">
        <w:rPr>
          <w:lang w:val="fr-CA"/>
        </w:rPr>
        <w:t>, coffres à outils d’</w:t>
      </w:r>
      <w:r w:rsidRPr="000C5492">
        <w:rPr>
          <w:lang w:val="fr-CA"/>
        </w:rPr>
        <w:t>entretien, appareils de récupération et bouteilles de récupération), formation sur l’utili</w:t>
      </w:r>
      <w:r w:rsidR="003871EE" w:rsidRPr="000C5492">
        <w:rPr>
          <w:lang w:val="fr-CA"/>
        </w:rPr>
        <w:t>s</w:t>
      </w:r>
      <w:r w:rsidRPr="000C5492">
        <w:rPr>
          <w:lang w:val="fr-CA"/>
        </w:rPr>
        <w:t>ation de cet équip</w:t>
      </w:r>
      <w:r w:rsidR="003871EE" w:rsidRPr="000C5492">
        <w:rPr>
          <w:lang w:val="fr-CA"/>
        </w:rPr>
        <w:t>ement et outils et autres questi</w:t>
      </w:r>
      <w:r w:rsidRPr="000C5492">
        <w:rPr>
          <w:lang w:val="fr-CA"/>
        </w:rPr>
        <w:t>ons techniques en lien avec le programme de récupération et recyclage, et</w:t>
      </w:r>
      <w:r w:rsidR="003871EE" w:rsidRPr="000C5492">
        <w:rPr>
          <w:lang w:val="fr-CA"/>
        </w:rPr>
        <w:t xml:space="preserve"> </w:t>
      </w:r>
      <w:r w:rsidR="00403339">
        <w:rPr>
          <w:lang w:val="fr-CA"/>
        </w:rPr>
        <w:t>diffusion de l’information</w:t>
      </w:r>
      <w:r w:rsidR="003871EE" w:rsidRPr="000C5492">
        <w:rPr>
          <w:lang w:val="fr-CA"/>
        </w:rPr>
        <w:t xml:space="preserve"> sur le programme de </w:t>
      </w:r>
      <w:r w:rsidR="00403339">
        <w:rPr>
          <w:lang w:val="fr-CA"/>
        </w:rPr>
        <w:t>régénération</w:t>
      </w:r>
      <w:r w:rsidR="003871EE" w:rsidRPr="000C5492">
        <w:rPr>
          <w:lang w:val="fr-CA"/>
        </w:rPr>
        <w:t xml:space="preserve"> des frigorigènes pour les techniciens (PNUD) (50 000 $US</w:t>
      </w:r>
      <w:r w:rsidR="001D2840" w:rsidRPr="000C5492">
        <w:rPr>
          <w:lang w:val="fr-CA"/>
        </w:rPr>
        <w:t>);</w:t>
      </w:r>
    </w:p>
    <w:p w:rsidR="001D2840" w:rsidRPr="000C5492" w:rsidRDefault="003871EE" w:rsidP="001D2840">
      <w:pPr>
        <w:pStyle w:val="Heading2"/>
        <w:numPr>
          <w:ilvl w:val="1"/>
          <w:numId w:val="1"/>
        </w:numPr>
        <w:rPr>
          <w:lang w:val="fr-CA"/>
        </w:rPr>
      </w:pPr>
      <w:r w:rsidRPr="000C5492">
        <w:rPr>
          <w:lang w:val="fr-CA"/>
        </w:rPr>
        <w:t>Offre de mesures d’encouragement afin de remplacer 850 climatiseurs supplémentaires à base de HCFC par des systèmes à faible PRG chez les utilisate</w:t>
      </w:r>
      <w:r w:rsidR="00B13D4A" w:rsidRPr="000C5492">
        <w:rPr>
          <w:lang w:val="fr-CA"/>
        </w:rPr>
        <w:t>urs, programmes de sensibilisati</w:t>
      </w:r>
      <w:r w:rsidRPr="000C5492">
        <w:rPr>
          <w:lang w:val="fr-CA"/>
        </w:rPr>
        <w:t xml:space="preserve">on du public sur les avantages de la technologie sans SAO et </w:t>
      </w:r>
      <w:r w:rsidR="00B13D4A" w:rsidRPr="000C5492">
        <w:rPr>
          <w:lang w:val="fr-CA"/>
        </w:rPr>
        <w:t>à faible PRG du point de vu</w:t>
      </w:r>
      <w:r w:rsidRPr="000C5492">
        <w:rPr>
          <w:lang w:val="fr-CA"/>
        </w:rPr>
        <w:t xml:space="preserve">e de l’efficacité énergétique et </w:t>
      </w:r>
      <w:r w:rsidR="005D6031">
        <w:rPr>
          <w:lang w:val="fr-CA"/>
        </w:rPr>
        <w:t>rayonnement du</w:t>
      </w:r>
      <w:r w:rsidR="00B13D4A" w:rsidRPr="000C5492">
        <w:rPr>
          <w:lang w:val="fr-CA"/>
        </w:rPr>
        <w:t xml:space="preserve"> programm</w:t>
      </w:r>
      <w:r w:rsidRPr="000C5492">
        <w:rPr>
          <w:lang w:val="fr-CA"/>
        </w:rPr>
        <w:t>e d’encouragement pour le remplacement</w:t>
      </w:r>
      <w:r w:rsidR="00B13D4A" w:rsidRPr="000C5492">
        <w:rPr>
          <w:lang w:val="fr-CA"/>
        </w:rPr>
        <w:t xml:space="preserve"> </w:t>
      </w:r>
      <w:r w:rsidR="005D6031">
        <w:rPr>
          <w:lang w:val="fr-CA"/>
        </w:rPr>
        <w:t>auprès des</w:t>
      </w:r>
      <w:r w:rsidR="00B13D4A" w:rsidRPr="000C5492">
        <w:rPr>
          <w:lang w:val="fr-CA"/>
        </w:rPr>
        <w:t xml:space="preserve"> ateliers, détaillants et importateurs participants (PNUD) (100 000 $US</w:t>
      </w:r>
      <w:proofErr w:type="gramStart"/>
      <w:r w:rsidR="001D2840" w:rsidRPr="000C5492">
        <w:rPr>
          <w:lang w:val="fr-CA"/>
        </w:rPr>
        <w:t>);</w:t>
      </w:r>
      <w:proofErr w:type="gramEnd"/>
      <w:r w:rsidR="001D2840" w:rsidRPr="000C5492">
        <w:rPr>
          <w:lang w:val="fr-CA"/>
        </w:rPr>
        <w:t xml:space="preserve"> </w:t>
      </w:r>
    </w:p>
    <w:p w:rsidR="001D2840" w:rsidRPr="000C5492" w:rsidRDefault="00B13D4A" w:rsidP="001D2840">
      <w:pPr>
        <w:pStyle w:val="Heading2"/>
        <w:numPr>
          <w:ilvl w:val="1"/>
          <w:numId w:val="1"/>
        </w:numPr>
        <w:rPr>
          <w:lang w:val="fr-CA"/>
        </w:rPr>
      </w:pPr>
      <w:r w:rsidRPr="000C5492">
        <w:rPr>
          <w:lang w:val="fr-CA"/>
        </w:rPr>
        <w:t xml:space="preserve">Activités d’information, d’éducation et de communication sur les outils et le matériel </w:t>
      </w:r>
      <w:proofErr w:type="spellStart"/>
      <w:r w:rsidRPr="000C5492">
        <w:rPr>
          <w:lang w:val="fr-CA"/>
        </w:rPr>
        <w:t>ActionOzone</w:t>
      </w:r>
      <w:proofErr w:type="spellEnd"/>
      <w:r w:rsidRPr="000C5492">
        <w:rPr>
          <w:lang w:val="fr-CA"/>
        </w:rPr>
        <w:t xml:space="preserve"> et démonstration de la demande de soutien des activités d’élimination des HCFC pour les agents d’exécution et les formateurs en réfrigération et climatisation dans les écoles de formation professionnelle (PNUE) (20 000 $US</w:t>
      </w:r>
      <w:proofErr w:type="gramStart"/>
      <w:r w:rsidR="005D6031">
        <w:rPr>
          <w:lang w:val="fr-CA"/>
        </w:rPr>
        <w:t>)</w:t>
      </w:r>
      <w:r w:rsidR="00A175CB">
        <w:rPr>
          <w:lang w:val="fr-CA"/>
        </w:rPr>
        <w:t>;</w:t>
      </w:r>
      <w:proofErr w:type="gramEnd"/>
    </w:p>
    <w:p w:rsidR="001D2840" w:rsidRPr="000C5492" w:rsidRDefault="00B13D4A" w:rsidP="001D2840">
      <w:pPr>
        <w:pStyle w:val="Heading2"/>
        <w:numPr>
          <w:ilvl w:val="1"/>
          <w:numId w:val="1"/>
        </w:numPr>
        <w:rPr>
          <w:lang w:val="fr-CA"/>
        </w:rPr>
      </w:pPr>
      <w:r w:rsidRPr="000C5492">
        <w:rPr>
          <w:lang w:val="fr-CA"/>
        </w:rPr>
        <w:t>Coordination et gestion des projets (PNUE) (25 000 $US</w:t>
      </w:r>
      <w:r w:rsidR="001D2840" w:rsidRPr="000C5492">
        <w:rPr>
          <w:lang w:val="fr-CA"/>
        </w:rPr>
        <w:t>).</w:t>
      </w:r>
    </w:p>
    <w:p w:rsidR="001D2840" w:rsidRPr="000C5492" w:rsidRDefault="00B13D4A" w:rsidP="001D2840">
      <w:pPr>
        <w:jc w:val="center"/>
        <w:rPr>
          <w:b/>
          <w:lang w:val="fr-CA"/>
        </w:rPr>
      </w:pPr>
      <w:r w:rsidRPr="000C5492">
        <w:rPr>
          <w:b/>
          <w:lang w:val="fr-CA"/>
        </w:rPr>
        <w:t>OBSERVATIONS ET RECOMMANDATION DU SECRÉTARIAT</w:t>
      </w:r>
    </w:p>
    <w:p w:rsidR="001D2840" w:rsidRPr="000C5492" w:rsidRDefault="001D2840" w:rsidP="001D2840">
      <w:pPr>
        <w:rPr>
          <w:lang w:val="fr-CA"/>
        </w:rPr>
      </w:pPr>
    </w:p>
    <w:p w:rsidR="001D2840" w:rsidRPr="000C5492" w:rsidRDefault="00B13D4A" w:rsidP="001D2840">
      <w:pPr>
        <w:rPr>
          <w:b/>
          <w:lang w:val="fr-CA"/>
        </w:rPr>
      </w:pPr>
      <w:r w:rsidRPr="000C5492">
        <w:rPr>
          <w:b/>
          <w:lang w:val="fr-CA"/>
        </w:rPr>
        <w:t>OBSERVATIONS</w:t>
      </w:r>
    </w:p>
    <w:p w:rsidR="001D2840" w:rsidRPr="000C5492" w:rsidRDefault="001D2840" w:rsidP="001D2840">
      <w:pPr>
        <w:rPr>
          <w:lang w:val="fr-CA"/>
        </w:rPr>
      </w:pPr>
    </w:p>
    <w:p w:rsidR="001D2840" w:rsidRPr="000C5492" w:rsidRDefault="00B13D4A" w:rsidP="001D2840">
      <w:pPr>
        <w:rPr>
          <w:u w:val="single"/>
          <w:lang w:val="fr-CA"/>
        </w:rPr>
      </w:pPr>
      <w:r w:rsidRPr="000C5492">
        <w:rPr>
          <w:u w:val="single"/>
          <w:lang w:val="fr-CA"/>
        </w:rPr>
        <w:t>Rapport sur la consommation de HCFC</w:t>
      </w:r>
    </w:p>
    <w:p w:rsidR="001D2840" w:rsidRPr="000C5492" w:rsidRDefault="001D2840" w:rsidP="001D2840">
      <w:pPr>
        <w:rPr>
          <w:lang w:val="fr-CA"/>
        </w:rPr>
      </w:pPr>
    </w:p>
    <w:p w:rsidR="001D2840" w:rsidRPr="000C5492" w:rsidRDefault="005D6031" w:rsidP="001D2840">
      <w:pPr>
        <w:pStyle w:val="Heading1"/>
        <w:rPr>
          <w:lang w:val="fr-CA"/>
        </w:rPr>
      </w:pPr>
      <w:r>
        <w:rPr>
          <w:lang w:val="fr-CA"/>
        </w:rPr>
        <w:t>En</w:t>
      </w:r>
      <w:r w:rsidR="00E017D7" w:rsidRPr="000C5492">
        <w:rPr>
          <w:lang w:val="fr-CA"/>
        </w:rPr>
        <w:t xml:space="preserve"> ce qui conc</w:t>
      </w:r>
      <w:r w:rsidR="00A175CB">
        <w:rPr>
          <w:lang w:val="fr-CA"/>
        </w:rPr>
        <w:t>erne la consommation déclarée de</w:t>
      </w:r>
      <w:r w:rsidR="00E017D7" w:rsidRPr="000C5492">
        <w:rPr>
          <w:lang w:val="fr-CA"/>
        </w:rPr>
        <w:t xml:space="preserve"> HCFC-141</w:t>
      </w:r>
      <w:r>
        <w:rPr>
          <w:lang w:val="fr-CA"/>
        </w:rPr>
        <w:t>b</w:t>
      </w:r>
      <w:r w:rsidR="00E017D7" w:rsidRPr="000C5492">
        <w:rPr>
          <w:lang w:val="fr-CA"/>
        </w:rPr>
        <w:t xml:space="preserve"> contenu dans les polyols </w:t>
      </w:r>
      <w:proofErr w:type="spellStart"/>
      <w:r w:rsidR="00E017D7" w:rsidRPr="000C5492">
        <w:rPr>
          <w:lang w:val="fr-CA"/>
        </w:rPr>
        <w:t>prémélangés</w:t>
      </w:r>
      <w:proofErr w:type="spellEnd"/>
      <w:r w:rsidR="00E017D7" w:rsidRPr="000C5492">
        <w:rPr>
          <w:lang w:val="fr-CA"/>
        </w:rPr>
        <w:t xml:space="preserve"> importés, le PNUE a confirmé qu’aucun permis d’importation n’a été émis pour cette substance en 2019. De plus, l’entreprise qui a importé ces polyols en 2017 et 2018 a déjà reconverti ses activités à ses frais et aucune autre entreprise utilisant ces formules de polyols </w:t>
      </w:r>
      <w:proofErr w:type="spellStart"/>
      <w:r w:rsidR="00E017D7" w:rsidRPr="000C5492">
        <w:rPr>
          <w:lang w:val="fr-CA"/>
        </w:rPr>
        <w:t>prémélangés</w:t>
      </w:r>
      <w:proofErr w:type="spellEnd"/>
      <w:r w:rsidR="00E017D7" w:rsidRPr="000C5492">
        <w:rPr>
          <w:lang w:val="fr-CA"/>
        </w:rPr>
        <w:t xml:space="preserve"> n’a été recensée. Le PNUE a aussi </w:t>
      </w:r>
      <w:r w:rsidR="00E017D7" w:rsidRPr="000C5492">
        <w:rPr>
          <w:lang w:val="fr-CA"/>
        </w:rPr>
        <w:lastRenderedPageBreak/>
        <w:t xml:space="preserve">mentionné que le nouveau sous-décret </w:t>
      </w:r>
      <w:r w:rsidR="00E35DBB" w:rsidRPr="000C5492">
        <w:rPr>
          <w:lang w:val="fr-CA"/>
        </w:rPr>
        <w:t xml:space="preserve">exercera une réglementation rigoureuse sur le HCFC-141b contenu dans les polyols </w:t>
      </w:r>
      <w:proofErr w:type="spellStart"/>
      <w:r w:rsidR="00E35DBB" w:rsidRPr="000C5492">
        <w:rPr>
          <w:lang w:val="fr-CA"/>
        </w:rPr>
        <w:t>prémélangés</w:t>
      </w:r>
      <w:proofErr w:type="spellEnd"/>
      <w:r>
        <w:rPr>
          <w:lang w:val="fr-CA"/>
        </w:rPr>
        <w:t xml:space="preserve"> importés avant de l’interdire</w:t>
      </w:r>
      <w:r w:rsidR="001D2840" w:rsidRPr="000C5492">
        <w:rPr>
          <w:lang w:val="fr-CA"/>
        </w:rPr>
        <w:t xml:space="preserve">. </w:t>
      </w:r>
    </w:p>
    <w:p w:rsidR="001D2840" w:rsidRPr="000C5492" w:rsidRDefault="00E35DBB" w:rsidP="00E35DBB">
      <w:pPr>
        <w:keepNext/>
        <w:tabs>
          <w:tab w:val="left" w:pos="2362"/>
        </w:tabs>
        <w:rPr>
          <w:u w:val="single"/>
          <w:lang w:val="fr-CA"/>
        </w:rPr>
      </w:pPr>
      <w:r w:rsidRPr="000C5492">
        <w:rPr>
          <w:u w:val="single"/>
          <w:lang w:val="fr-CA"/>
        </w:rPr>
        <w:t>Rapport périodique sur la mise en œuvre de la troisième tranche du PGEH</w:t>
      </w:r>
    </w:p>
    <w:p w:rsidR="00E35DBB" w:rsidRPr="000C5492" w:rsidRDefault="00E35DBB" w:rsidP="00E35DBB">
      <w:pPr>
        <w:keepNext/>
        <w:tabs>
          <w:tab w:val="left" w:pos="2362"/>
        </w:tabs>
        <w:rPr>
          <w:lang w:val="fr-CA"/>
        </w:rPr>
      </w:pPr>
    </w:p>
    <w:p w:rsidR="001D2840" w:rsidRPr="000C5492" w:rsidRDefault="003901D1" w:rsidP="001D2840">
      <w:pPr>
        <w:keepNext/>
        <w:rPr>
          <w:i/>
          <w:lang w:val="fr-CA"/>
        </w:rPr>
      </w:pPr>
      <w:r w:rsidRPr="000C5492">
        <w:rPr>
          <w:i/>
          <w:lang w:val="fr-CA"/>
        </w:rPr>
        <w:t>Cadre juridique</w:t>
      </w:r>
    </w:p>
    <w:p w:rsidR="001D2840" w:rsidRPr="000C5492" w:rsidRDefault="001D2840" w:rsidP="001D2840">
      <w:pPr>
        <w:keepNext/>
        <w:rPr>
          <w:lang w:val="fr-CA"/>
        </w:rPr>
      </w:pPr>
    </w:p>
    <w:p w:rsidR="001D2840" w:rsidRPr="000C5492" w:rsidRDefault="003901D1" w:rsidP="001D2840">
      <w:pPr>
        <w:pStyle w:val="Heading1"/>
        <w:keepNext/>
        <w:rPr>
          <w:lang w:val="fr-CA"/>
        </w:rPr>
      </w:pPr>
      <w:r w:rsidRPr="000C5492">
        <w:rPr>
          <w:lang w:val="fr-CA"/>
        </w:rPr>
        <w:t>Le gouvernement du Cambodge a déjà établi les quotas d’importation des HCFC pour l’année 2019 à 9,75 tonnes PAO, ce qui représente 27,7 pour cent de moins que les objectifs de réglementation du Protocole de Montréal et le niveau maximum permis en vertu de l’accord conclu avec le Comité exécutif</w:t>
      </w:r>
      <w:r w:rsidR="001D2840" w:rsidRPr="000C5492">
        <w:rPr>
          <w:lang w:val="fr-CA"/>
        </w:rPr>
        <w:t>.</w:t>
      </w:r>
    </w:p>
    <w:p w:rsidR="001D2840" w:rsidRPr="000C5492" w:rsidRDefault="003901D1" w:rsidP="001D2840">
      <w:pPr>
        <w:pStyle w:val="Heading1"/>
        <w:rPr>
          <w:lang w:val="fr-CA"/>
        </w:rPr>
      </w:pPr>
      <w:r w:rsidRPr="000C5492">
        <w:rPr>
          <w:lang w:val="fr-CA"/>
        </w:rPr>
        <w:t>Le sous-décret révisé sur la gestion des SAO et des frigorigènes garantira la pérennité de l’élimination des HCFC au Cambodge</w:t>
      </w:r>
      <w:r w:rsidR="001D2840" w:rsidRPr="000C5492">
        <w:rPr>
          <w:lang w:val="fr-CA"/>
        </w:rPr>
        <w:t>.</w:t>
      </w:r>
    </w:p>
    <w:p w:rsidR="001D2840" w:rsidRPr="000C5492" w:rsidRDefault="003901D1" w:rsidP="001D2840">
      <w:pPr>
        <w:rPr>
          <w:i/>
          <w:lang w:val="fr-CA"/>
        </w:rPr>
      </w:pPr>
      <w:r w:rsidRPr="000C5492">
        <w:rPr>
          <w:i/>
          <w:lang w:val="fr-CA"/>
        </w:rPr>
        <w:t>Secteur de l’entretien de l’équipement de réfrigération</w:t>
      </w:r>
    </w:p>
    <w:p w:rsidR="001D2840" w:rsidRPr="000C5492" w:rsidRDefault="001D2840" w:rsidP="001D2840">
      <w:pPr>
        <w:rPr>
          <w:lang w:val="fr-CA"/>
        </w:rPr>
      </w:pPr>
    </w:p>
    <w:p w:rsidR="001D2840" w:rsidRPr="000C5492" w:rsidRDefault="003901D1" w:rsidP="001D2840">
      <w:pPr>
        <w:pStyle w:val="Heading1"/>
        <w:rPr>
          <w:lang w:val="fr-CA"/>
        </w:rPr>
      </w:pPr>
      <w:r w:rsidRPr="000C5492">
        <w:rPr>
          <w:lang w:val="fr-CA"/>
        </w:rPr>
        <w:t xml:space="preserve">Le PNUE a expliqué que les lignes directrices de la certification des techniciens au pays n’ont été adoptées qu’en mars 2019. </w:t>
      </w:r>
      <w:r w:rsidR="00B2625A" w:rsidRPr="000C5492">
        <w:rPr>
          <w:lang w:val="fr-CA"/>
        </w:rPr>
        <w:t>Ces lignes directrices procurent au gouvernement du Cambodge le cadre qui lui permettra de mettre en œuvre le programme de certification fondée sur l’évaluation des compétences qui sera étroitement lié aux exigences pour le renouvellement des permis d’affaires (p. ex., un atelier d’entretien de l’équipement de réfrigération devra compter au moins un technicien en réfrigération et climatisation certifié)</w:t>
      </w:r>
      <w:r w:rsidR="005C14EB">
        <w:rPr>
          <w:lang w:val="fr-CA"/>
        </w:rPr>
        <w:t>,</w:t>
      </w:r>
      <w:r w:rsidR="00B2625A" w:rsidRPr="000C5492">
        <w:rPr>
          <w:lang w:val="fr-CA"/>
        </w:rPr>
        <w:t xml:space="preserve"> et seuls </w:t>
      </w:r>
      <w:r w:rsidR="00942A54" w:rsidRPr="000C5492">
        <w:rPr>
          <w:lang w:val="fr-CA"/>
        </w:rPr>
        <w:t xml:space="preserve">les </w:t>
      </w:r>
      <w:r w:rsidR="00B2625A" w:rsidRPr="000C5492">
        <w:rPr>
          <w:lang w:val="fr-CA"/>
        </w:rPr>
        <w:t>ateliers accréd</w:t>
      </w:r>
      <w:r w:rsidR="00942A54" w:rsidRPr="000C5492">
        <w:rPr>
          <w:lang w:val="fr-CA"/>
        </w:rPr>
        <w:t>ités et les t</w:t>
      </w:r>
      <w:r w:rsidR="00B2625A" w:rsidRPr="000C5492">
        <w:rPr>
          <w:lang w:val="fr-CA"/>
        </w:rPr>
        <w:t>echniciens certifiés</w:t>
      </w:r>
      <w:r w:rsidR="00942A54" w:rsidRPr="000C5492">
        <w:rPr>
          <w:lang w:val="fr-CA"/>
        </w:rPr>
        <w:t xml:space="preserve"> pourront </w:t>
      </w:r>
      <w:r w:rsidR="00832BCB">
        <w:rPr>
          <w:lang w:val="fr-CA"/>
        </w:rPr>
        <w:t>acheter</w:t>
      </w:r>
      <w:r w:rsidR="00942A54" w:rsidRPr="000C5492">
        <w:rPr>
          <w:lang w:val="fr-CA"/>
        </w:rPr>
        <w:t xml:space="preserve"> des frigorigènes. Il a aussi été précisé que l’évaluation des compétences s’applique aux techniciens informels, et aux techniciens inscrits ou aya</w:t>
      </w:r>
      <w:r w:rsidR="005C14EB">
        <w:rPr>
          <w:lang w:val="fr-CA"/>
        </w:rPr>
        <w:t>nt reçu une formation officielle</w:t>
      </w:r>
      <w:r w:rsidR="001D2840" w:rsidRPr="000C5492">
        <w:rPr>
          <w:lang w:val="fr-CA"/>
        </w:rPr>
        <w:t>.</w:t>
      </w:r>
    </w:p>
    <w:p w:rsidR="001D2840" w:rsidRPr="000C5492" w:rsidRDefault="00942A54" w:rsidP="001D2840">
      <w:pPr>
        <w:pStyle w:val="Heading1"/>
        <w:rPr>
          <w:lang w:val="fr-CA"/>
        </w:rPr>
      </w:pPr>
      <w:r w:rsidRPr="000C5492">
        <w:rPr>
          <w:lang w:val="fr-CA"/>
        </w:rPr>
        <w:t>En réponse aux questions</w:t>
      </w:r>
      <w:r w:rsidR="004E7993" w:rsidRPr="000C5492">
        <w:rPr>
          <w:lang w:val="fr-CA"/>
        </w:rPr>
        <w:t xml:space="preserve"> sur le programme d’encouragement pour les utilisateurs qui sera mis en œuvre par le PNUD, le PNUE a indiqué que les récipiendaires du no</w:t>
      </w:r>
      <w:r w:rsidR="005C14EB">
        <w:rPr>
          <w:lang w:val="fr-CA"/>
        </w:rPr>
        <w:t>uvel équipement pour le HFC-32 ont</w:t>
      </w:r>
      <w:r w:rsidR="004E7993" w:rsidRPr="000C5492">
        <w:rPr>
          <w:lang w:val="fr-CA"/>
        </w:rPr>
        <w:t xml:space="preserve"> déclaré des économies liées à l’utilisation de cet équipement. De nouveaux bénéficiaires comprenant les écoles, les hôpitaux et autres édifices publics sont à l’étude pour la prochaine tranche</w:t>
      </w:r>
      <w:r w:rsidR="001D2840" w:rsidRPr="000C5492">
        <w:rPr>
          <w:lang w:val="fr-CA"/>
        </w:rPr>
        <w:t xml:space="preserve">. </w:t>
      </w:r>
    </w:p>
    <w:p w:rsidR="001D2840" w:rsidRPr="000C5492" w:rsidRDefault="004E7993" w:rsidP="001D2840">
      <w:pPr>
        <w:pStyle w:val="Heading1"/>
        <w:rPr>
          <w:lang w:val="fr-CA"/>
        </w:rPr>
      </w:pPr>
      <w:r w:rsidRPr="000C5492">
        <w:rPr>
          <w:lang w:val="fr-CA"/>
        </w:rPr>
        <w:t>Quant à la pérennité du programme de formation en réfrigération, le PNUE a indiqué que la mise en œuvre de la formation sur les bonnes pratiques en réfrigération se poursuit en renforçant les instituts de formation professionnelle et les associations de réfrigération. De plus, l</w:t>
      </w:r>
      <w:r w:rsidR="007C6F04" w:rsidRPr="000C5492">
        <w:rPr>
          <w:lang w:val="fr-CA"/>
        </w:rPr>
        <w:t>e programme de certificati</w:t>
      </w:r>
      <w:r w:rsidRPr="000C5492">
        <w:rPr>
          <w:lang w:val="fr-CA"/>
        </w:rPr>
        <w:t xml:space="preserve">on des techniciens </w:t>
      </w:r>
      <w:r w:rsidR="007C6F04" w:rsidRPr="000C5492">
        <w:rPr>
          <w:lang w:val="fr-CA"/>
        </w:rPr>
        <w:t>garantira que des cours actualisés seront offerts aux techniciens certifiés</w:t>
      </w:r>
      <w:r w:rsidR="001D2840" w:rsidRPr="000C5492">
        <w:rPr>
          <w:lang w:val="fr-CA"/>
        </w:rPr>
        <w:t>.</w:t>
      </w:r>
    </w:p>
    <w:p w:rsidR="001D2840" w:rsidRPr="000C5492" w:rsidRDefault="007C6F04" w:rsidP="001D2840">
      <w:pPr>
        <w:rPr>
          <w:i/>
          <w:lang w:val="fr-CA"/>
        </w:rPr>
      </w:pPr>
      <w:r w:rsidRPr="000C5492">
        <w:rPr>
          <w:i/>
          <w:lang w:val="fr-CA"/>
        </w:rPr>
        <w:t xml:space="preserve">Bureau de </w:t>
      </w:r>
      <w:r w:rsidR="005C14EB">
        <w:rPr>
          <w:i/>
          <w:lang w:val="fr-CA"/>
        </w:rPr>
        <w:t>la</w:t>
      </w:r>
      <w:r w:rsidRPr="000C5492">
        <w:rPr>
          <w:i/>
          <w:lang w:val="fr-CA"/>
        </w:rPr>
        <w:t xml:space="preserve"> gestion de la mise en œuvre et du suivi du programme</w:t>
      </w:r>
    </w:p>
    <w:p w:rsidR="001D2840" w:rsidRPr="000C5492" w:rsidRDefault="001D2840" w:rsidP="001D2840">
      <w:pPr>
        <w:rPr>
          <w:lang w:val="fr-CA"/>
        </w:rPr>
      </w:pPr>
    </w:p>
    <w:p w:rsidR="001D2840" w:rsidRPr="000C5492" w:rsidRDefault="007C6F04" w:rsidP="001D2840">
      <w:pPr>
        <w:pStyle w:val="Heading1"/>
        <w:rPr>
          <w:lang w:val="fr-CA"/>
        </w:rPr>
      </w:pPr>
      <w:r w:rsidRPr="000C5492">
        <w:rPr>
          <w:lang w:val="fr-CA"/>
        </w:rPr>
        <w:t xml:space="preserve">Le PNUE a expliqué que le </w:t>
      </w:r>
      <w:r w:rsidR="005C14EB">
        <w:rPr>
          <w:lang w:val="fr-CA"/>
        </w:rPr>
        <w:t>Bureau de gestion du programme j</w:t>
      </w:r>
      <w:r w:rsidRPr="000C5492">
        <w:rPr>
          <w:lang w:val="fr-CA"/>
        </w:rPr>
        <w:t>oue un rôle important dans le cadre du PGEH et que les coûts associés au Bureau de gestion du prog</w:t>
      </w:r>
      <w:r w:rsidR="005A59FD" w:rsidRPr="000C5492">
        <w:rPr>
          <w:lang w:val="fr-CA"/>
        </w:rPr>
        <w:t xml:space="preserve">ramme </w:t>
      </w:r>
      <w:r w:rsidR="005D0112">
        <w:rPr>
          <w:lang w:val="fr-CA"/>
        </w:rPr>
        <w:t>concernent</w:t>
      </w:r>
      <w:r w:rsidR="005A59FD" w:rsidRPr="000C5492">
        <w:rPr>
          <w:lang w:val="fr-CA"/>
        </w:rPr>
        <w:t xml:space="preserve"> la planificati</w:t>
      </w:r>
      <w:r w:rsidRPr="000C5492">
        <w:rPr>
          <w:lang w:val="fr-CA"/>
        </w:rPr>
        <w:t xml:space="preserve">on, la mise en œuvre et le suivi du PGEH. </w:t>
      </w:r>
      <w:r w:rsidR="005A59FD" w:rsidRPr="000C5492">
        <w:rPr>
          <w:lang w:val="fr-CA"/>
        </w:rPr>
        <w:t>Le gouvernement du Cambodge conserve des dossiers séparés pour le Bureau de gestion du programme et le renforcement des institutions</w:t>
      </w:r>
      <w:r w:rsidR="005D0112">
        <w:rPr>
          <w:lang w:val="fr-CA"/>
        </w:rPr>
        <w:t>,</w:t>
      </w:r>
      <w:r w:rsidR="005A59FD" w:rsidRPr="000C5492">
        <w:rPr>
          <w:lang w:val="fr-CA"/>
        </w:rPr>
        <w:t xml:space="preserve"> afin de prévenir le dédoublement des responsabilités et des dépenses</w:t>
      </w:r>
      <w:r w:rsidR="001D2840" w:rsidRPr="000C5492">
        <w:rPr>
          <w:lang w:val="fr-CA"/>
        </w:rPr>
        <w:t>.</w:t>
      </w:r>
    </w:p>
    <w:p w:rsidR="001D2840" w:rsidRPr="000C5492" w:rsidRDefault="001D2840" w:rsidP="001D2840">
      <w:pPr>
        <w:keepNext/>
        <w:rPr>
          <w:u w:val="single"/>
          <w:lang w:val="fr-CA"/>
        </w:rPr>
      </w:pPr>
      <w:r w:rsidRPr="000C5492">
        <w:rPr>
          <w:u w:val="single"/>
          <w:lang w:val="fr-CA"/>
        </w:rPr>
        <w:t xml:space="preserve">Conclusion </w:t>
      </w:r>
    </w:p>
    <w:p w:rsidR="001D2840" w:rsidRPr="000C5492" w:rsidRDefault="001D2840" w:rsidP="001D2840">
      <w:pPr>
        <w:keepNext/>
        <w:rPr>
          <w:lang w:val="fr-CA"/>
        </w:rPr>
      </w:pPr>
    </w:p>
    <w:p w:rsidR="001D2840" w:rsidRPr="000C5492" w:rsidRDefault="005A59FD" w:rsidP="001D2840">
      <w:pPr>
        <w:pStyle w:val="Heading1"/>
        <w:keepNext/>
        <w:rPr>
          <w:lang w:val="fr-CA"/>
        </w:rPr>
      </w:pPr>
      <w:r w:rsidRPr="000C5492">
        <w:rPr>
          <w:lang w:val="fr-CA"/>
        </w:rPr>
        <w:t xml:space="preserve">Le Secrétariat a pris note que </w:t>
      </w:r>
      <w:r w:rsidR="005D0112">
        <w:rPr>
          <w:lang w:val="fr-CA"/>
        </w:rPr>
        <w:t>l</w:t>
      </w:r>
      <w:r w:rsidRPr="000C5492">
        <w:rPr>
          <w:lang w:val="fr-CA"/>
        </w:rPr>
        <w:t>e Cambodge possède un programme de permis et de quotas efficace et qu</w:t>
      </w:r>
      <w:r w:rsidR="007562A1" w:rsidRPr="000C5492">
        <w:rPr>
          <w:lang w:val="fr-CA"/>
        </w:rPr>
        <w:t>e les activités approuvé</w:t>
      </w:r>
      <w:r w:rsidR="005D0112">
        <w:rPr>
          <w:lang w:val="fr-CA"/>
        </w:rPr>
        <w:t>e</w:t>
      </w:r>
      <w:r w:rsidR="007562A1" w:rsidRPr="000C5492">
        <w:rPr>
          <w:lang w:val="fr-CA"/>
        </w:rPr>
        <w:t xml:space="preserve">s au titre du PGEH continuent à avancer. Le mise au point et l’approbation éventuelle du nouveau sous-décret sur la gestion des SAO et des frigorigènes met en place plusieurs réglementations </w:t>
      </w:r>
      <w:r w:rsidR="00D54FF7" w:rsidRPr="000C5492">
        <w:rPr>
          <w:lang w:val="fr-CA"/>
        </w:rPr>
        <w:t xml:space="preserve">s’appliquant à tous les frigorigènes, y compris les HFC. Le programme de certification fondé sur l’évaluation des compétences réglementera </w:t>
      </w:r>
      <w:r w:rsidR="007562A1" w:rsidRPr="000C5492">
        <w:rPr>
          <w:lang w:val="fr-CA"/>
        </w:rPr>
        <w:t xml:space="preserve">davantage l’utilisation des frigorigènes à base de SAO, car </w:t>
      </w:r>
      <w:r w:rsidR="00D54FF7" w:rsidRPr="000C5492">
        <w:rPr>
          <w:lang w:val="fr-CA"/>
        </w:rPr>
        <w:t>les</w:t>
      </w:r>
      <w:r w:rsidR="007562A1" w:rsidRPr="000C5492">
        <w:rPr>
          <w:lang w:val="fr-CA"/>
        </w:rPr>
        <w:t xml:space="preserve"> frigorigènes</w:t>
      </w:r>
      <w:r w:rsidR="00D54FF7" w:rsidRPr="000C5492">
        <w:rPr>
          <w:lang w:val="fr-CA"/>
        </w:rPr>
        <w:t xml:space="preserve"> ne seront vendus qu’aux techniciens certifiés. La pérennité de la formation en bonnes pratiques de réfrigération sera assurée par les institutions de formation professionnelle et les associations de réfrigération renforcé</w:t>
      </w:r>
      <w:r w:rsidR="005D0112">
        <w:rPr>
          <w:lang w:val="fr-CA"/>
        </w:rPr>
        <w:t>e</w:t>
      </w:r>
      <w:r w:rsidR="00D54FF7" w:rsidRPr="000C5492">
        <w:rPr>
          <w:lang w:val="fr-CA"/>
        </w:rPr>
        <w:t xml:space="preserve">s. Le niveau de décaissement des fonds est de 87 pour cent. Les </w:t>
      </w:r>
      <w:r w:rsidR="00D54FF7" w:rsidRPr="000C5492">
        <w:rPr>
          <w:lang w:val="fr-CA"/>
        </w:rPr>
        <w:lastRenderedPageBreak/>
        <w:t xml:space="preserve">activités prévues à la quatrième tranche du PGEH continueront à soutenir la stratégie du secteur de l’entretien du Cambodge. </w:t>
      </w:r>
    </w:p>
    <w:p w:rsidR="001D2840" w:rsidRPr="000C5492" w:rsidRDefault="001D2840" w:rsidP="001D2840">
      <w:pPr>
        <w:rPr>
          <w:b/>
          <w:lang w:val="fr-CA"/>
        </w:rPr>
      </w:pPr>
      <w:r w:rsidRPr="000C5492">
        <w:rPr>
          <w:b/>
          <w:lang w:val="fr-CA"/>
        </w:rPr>
        <w:t>RECOMM</w:t>
      </w:r>
      <w:r w:rsidR="00D54FF7" w:rsidRPr="000C5492">
        <w:rPr>
          <w:b/>
          <w:lang w:val="fr-CA"/>
        </w:rPr>
        <w:t>A</w:t>
      </w:r>
      <w:r w:rsidRPr="000C5492">
        <w:rPr>
          <w:b/>
          <w:lang w:val="fr-CA"/>
        </w:rPr>
        <w:t xml:space="preserve">NDATION </w:t>
      </w:r>
    </w:p>
    <w:p w:rsidR="001D2840" w:rsidRPr="000C5492" w:rsidRDefault="001D2840" w:rsidP="001D2840">
      <w:pPr>
        <w:rPr>
          <w:lang w:val="fr-CA"/>
        </w:rPr>
      </w:pPr>
    </w:p>
    <w:p w:rsidR="001D2840" w:rsidRPr="000C5492" w:rsidRDefault="00D54FF7" w:rsidP="001D2840">
      <w:pPr>
        <w:pStyle w:val="Heading1"/>
        <w:rPr>
          <w:lang w:val="fr-CA"/>
        </w:rPr>
      </w:pPr>
      <w:r w:rsidRPr="000C5492">
        <w:rPr>
          <w:lang w:val="fr-CA"/>
        </w:rPr>
        <w:t xml:space="preserve">Le Secrétariat du Fonds recommande que le Comité exécutif prenne note du rapport périodique sur la mise en œuvre de la troisième tranche de la phase I du plan de gestion de l’élimination des HCFC (PGEH) pour le Cambodge, et recommande également l’approbation générale de la quatrième tranche de la phase I du PGEH pour le Cambodge, ainsi que </w:t>
      </w:r>
      <w:r w:rsidR="00EA1842">
        <w:rPr>
          <w:lang w:val="fr-CA"/>
        </w:rPr>
        <w:t>du</w:t>
      </w:r>
      <w:r w:rsidRPr="000C5492">
        <w:rPr>
          <w:lang w:val="fr-CA"/>
        </w:rPr>
        <w:t xml:space="preserve"> plan de mise en œuvre</w:t>
      </w:r>
      <w:r w:rsidR="005D0112">
        <w:rPr>
          <w:lang w:val="fr-CA"/>
        </w:rPr>
        <w:t xml:space="preserve"> de la tranche correspo</w:t>
      </w:r>
      <w:r w:rsidRPr="000C5492">
        <w:rPr>
          <w:lang w:val="fr-CA"/>
        </w:rPr>
        <w:t xml:space="preserve">ndant pour les années 2019-2022 aux niveaux de financement indiqués dans le tableau ci-dessous, étant entendu que </w:t>
      </w:r>
      <w:r w:rsidR="001D2840" w:rsidRPr="000C5492">
        <w:rPr>
          <w:lang w:val="fr-CA"/>
        </w:rPr>
        <w:t>:</w:t>
      </w:r>
    </w:p>
    <w:p w:rsidR="001D2840" w:rsidRPr="000C5492" w:rsidRDefault="00D54FF7" w:rsidP="001D2840">
      <w:pPr>
        <w:pStyle w:val="Heading2"/>
        <w:numPr>
          <w:ilvl w:val="1"/>
          <w:numId w:val="1"/>
        </w:numPr>
        <w:rPr>
          <w:lang w:val="fr-CA"/>
        </w:rPr>
      </w:pPr>
      <w:r w:rsidRPr="000C5492">
        <w:rPr>
          <w:lang w:val="fr-CA"/>
        </w:rPr>
        <w:t xml:space="preserve">La consommation au Cambodge se limitait au secteur de </w:t>
      </w:r>
      <w:proofErr w:type="gramStart"/>
      <w:r w:rsidRPr="000C5492">
        <w:rPr>
          <w:lang w:val="fr-CA"/>
        </w:rPr>
        <w:t>l’entretien;</w:t>
      </w:r>
      <w:proofErr w:type="gramEnd"/>
    </w:p>
    <w:p w:rsidR="001D2840" w:rsidRPr="000C5492" w:rsidRDefault="00D54FF7" w:rsidP="001D2840">
      <w:pPr>
        <w:pStyle w:val="Heading2"/>
        <w:numPr>
          <w:ilvl w:val="1"/>
          <w:numId w:val="1"/>
        </w:numPr>
        <w:rPr>
          <w:lang w:val="fr-CA"/>
        </w:rPr>
      </w:pPr>
      <w:r w:rsidRPr="000C5492">
        <w:rPr>
          <w:lang w:val="fr-CA"/>
        </w:rPr>
        <w:t>Le programme d’encouragement pour les consommateurs améliorera la pérennité de la formation des techniciens d’entretien et que les utilisateurs pourraient assurer le cofinancement afin de participer au programme</w:t>
      </w:r>
      <w:r w:rsidR="001D2840" w:rsidRPr="000C5492">
        <w:rPr>
          <w:lang w:val="fr-CA"/>
        </w:rPr>
        <w:t>.</w:t>
      </w:r>
    </w:p>
    <w:p w:rsidR="001D2840" w:rsidRPr="000C5492" w:rsidRDefault="001D2840" w:rsidP="001D2840">
      <w:pPr>
        <w:rPr>
          <w:lang w:val="fr-C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1D2840" w:rsidRPr="000C5492" w:rsidTr="00143C85">
        <w:tc>
          <w:tcPr>
            <w:tcW w:w="540" w:type="dxa"/>
          </w:tcPr>
          <w:p w:rsidR="001D2840" w:rsidRPr="000C5492" w:rsidRDefault="001D2840" w:rsidP="00143C85">
            <w:pPr>
              <w:keepNext/>
              <w:jc w:val="center"/>
              <w:rPr>
                <w:b/>
                <w:bCs/>
                <w:sz w:val="20"/>
                <w:szCs w:val="20"/>
                <w:lang w:val="fr-CA"/>
              </w:rPr>
            </w:pPr>
          </w:p>
        </w:tc>
        <w:tc>
          <w:tcPr>
            <w:tcW w:w="4320" w:type="dxa"/>
          </w:tcPr>
          <w:p w:rsidR="001D2840" w:rsidRPr="000C5492" w:rsidRDefault="00D54FF7" w:rsidP="00143C85">
            <w:pPr>
              <w:keepNext/>
              <w:jc w:val="center"/>
              <w:rPr>
                <w:b/>
                <w:bCs/>
                <w:sz w:val="20"/>
                <w:szCs w:val="20"/>
                <w:lang w:val="fr-CA"/>
              </w:rPr>
            </w:pPr>
            <w:r w:rsidRPr="000C5492">
              <w:rPr>
                <w:b/>
                <w:bCs/>
                <w:sz w:val="20"/>
                <w:szCs w:val="20"/>
                <w:lang w:val="fr-CA"/>
              </w:rPr>
              <w:t>Titre du projet</w:t>
            </w:r>
          </w:p>
        </w:tc>
        <w:tc>
          <w:tcPr>
            <w:tcW w:w="1461" w:type="dxa"/>
            <w:tcMar>
              <w:left w:w="29" w:type="dxa"/>
              <w:right w:w="29" w:type="dxa"/>
            </w:tcMar>
          </w:tcPr>
          <w:p w:rsidR="001D2840" w:rsidRPr="000C5492" w:rsidRDefault="00D54FF7" w:rsidP="00143C85">
            <w:pPr>
              <w:keepNext/>
              <w:jc w:val="center"/>
              <w:rPr>
                <w:b/>
                <w:bCs/>
                <w:sz w:val="20"/>
                <w:szCs w:val="20"/>
                <w:lang w:val="fr-CA"/>
              </w:rPr>
            </w:pPr>
            <w:r w:rsidRPr="000C5492">
              <w:rPr>
                <w:b/>
                <w:bCs/>
                <w:sz w:val="20"/>
                <w:szCs w:val="20"/>
                <w:lang w:val="fr-CA"/>
              </w:rPr>
              <w:t>Financement du projet ($US)</w:t>
            </w:r>
          </w:p>
        </w:tc>
        <w:tc>
          <w:tcPr>
            <w:tcW w:w="1461" w:type="dxa"/>
            <w:tcMar>
              <w:left w:w="29" w:type="dxa"/>
              <w:right w:w="29" w:type="dxa"/>
            </w:tcMar>
          </w:tcPr>
          <w:p w:rsidR="001D2840" w:rsidRPr="000C5492" w:rsidRDefault="00D54FF7" w:rsidP="00D54FF7">
            <w:pPr>
              <w:keepNext/>
              <w:jc w:val="center"/>
              <w:rPr>
                <w:b/>
                <w:bCs/>
                <w:sz w:val="20"/>
                <w:szCs w:val="20"/>
                <w:lang w:val="fr-CA"/>
              </w:rPr>
            </w:pPr>
            <w:r w:rsidRPr="000C5492">
              <w:rPr>
                <w:b/>
                <w:bCs/>
                <w:sz w:val="20"/>
                <w:szCs w:val="20"/>
                <w:lang w:val="fr-CA"/>
              </w:rPr>
              <w:t>Coûts d’appui ($US)</w:t>
            </w:r>
          </w:p>
        </w:tc>
        <w:tc>
          <w:tcPr>
            <w:tcW w:w="1461" w:type="dxa"/>
            <w:tcMar>
              <w:left w:w="29" w:type="dxa"/>
              <w:right w:w="29" w:type="dxa"/>
            </w:tcMar>
          </w:tcPr>
          <w:p w:rsidR="001D2840" w:rsidRPr="000C5492" w:rsidRDefault="00D54FF7" w:rsidP="00143C85">
            <w:pPr>
              <w:keepNext/>
              <w:jc w:val="center"/>
              <w:rPr>
                <w:b/>
                <w:bCs/>
                <w:sz w:val="20"/>
                <w:szCs w:val="20"/>
                <w:lang w:val="fr-CA"/>
              </w:rPr>
            </w:pPr>
            <w:r w:rsidRPr="000C5492">
              <w:rPr>
                <w:b/>
                <w:bCs/>
                <w:sz w:val="20"/>
                <w:szCs w:val="20"/>
                <w:lang w:val="fr-CA"/>
              </w:rPr>
              <w:t>Agence d’exéc</w:t>
            </w:r>
            <w:r w:rsidR="00EF5A78" w:rsidRPr="000C5492">
              <w:rPr>
                <w:b/>
                <w:bCs/>
                <w:sz w:val="20"/>
                <w:szCs w:val="20"/>
                <w:lang w:val="fr-CA"/>
              </w:rPr>
              <w:t>u</w:t>
            </w:r>
            <w:r w:rsidRPr="000C5492">
              <w:rPr>
                <w:b/>
                <w:bCs/>
                <w:sz w:val="20"/>
                <w:szCs w:val="20"/>
                <w:lang w:val="fr-CA"/>
              </w:rPr>
              <w:t>tion</w:t>
            </w:r>
          </w:p>
        </w:tc>
      </w:tr>
      <w:tr w:rsidR="001D2840" w:rsidRPr="000C5492" w:rsidTr="00143C85">
        <w:tc>
          <w:tcPr>
            <w:tcW w:w="540" w:type="dxa"/>
          </w:tcPr>
          <w:p w:rsidR="001D2840" w:rsidRPr="000C5492" w:rsidRDefault="00D54FF7" w:rsidP="00143C85">
            <w:pPr>
              <w:keepNext/>
              <w:rPr>
                <w:sz w:val="20"/>
                <w:szCs w:val="20"/>
                <w:lang w:val="fr-CA"/>
              </w:rPr>
            </w:pPr>
            <w:r w:rsidRPr="000C5492">
              <w:rPr>
                <w:sz w:val="20"/>
                <w:szCs w:val="20"/>
                <w:lang w:val="fr-CA"/>
              </w:rPr>
              <w:t>a)</w:t>
            </w:r>
          </w:p>
        </w:tc>
        <w:tc>
          <w:tcPr>
            <w:tcW w:w="4320" w:type="dxa"/>
          </w:tcPr>
          <w:p w:rsidR="001D2840" w:rsidRPr="000C5492" w:rsidRDefault="00D54FF7" w:rsidP="00143C85">
            <w:pPr>
              <w:keepNext/>
              <w:rPr>
                <w:sz w:val="20"/>
                <w:szCs w:val="20"/>
                <w:lang w:val="fr-CA"/>
              </w:rPr>
            </w:pPr>
            <w:r w:rsidRPr="000C5492">
              <w:rPr>
                <w:sz w:val="20"/>
                <w:szCs w:val="20"/>
                <w:lang w:val="fr-CA"/>
              </w:rPr>
              <w:t>Plan de gestion de l’</w:t>
            </w:r>
            <w:r w:rsidR="00EF5A78" w:rsidRPr="000C5492">
              <w:rPr>
                <w:sz w:val="20"/>
                <w:szCs w:val="20"/>
                <w:lang w:val="fr-CA"/>
              </w:rPr>
              <w:t>éliminati</w:t>
            </w:r>
            <w:r w:rsidRPr="000C5492">
              <w:rPr>
                <w:sz w:val="20"/>
                <w:szCs w:val="20"/>
                <w:lang w:val="fr-CA"/>
              </w:rPr>
              <w:t>on des HCFC (</w:t>
            </w:r>
            <w:r w:rsidR="00EF5A78" w:rsidRPr="000C5492">
              <w:rPr>
                <w:sz w:val="20"/>
                <w:szCs w:val="20"/>
                <w:lang w:val="fr-CA"/>
              </w:rPr>
              <w:t>phase I, quatrième tranche)</w:t>
            </w:r>
          </w:p>
        </w:tc>
        <w:tc>
          <w:tcPr>
            <w:tcW w:w="1461" w:type="dxa"/>
          </w:tcPr>
          <w:p w:rsidR="001D2840" w:rsidRPr="000C5492" w:rsidRDefault="00EF5A78" w:rsidP="00143C85">
            <w:pPr>
              <w:keepNext/>
              <w:jc w:val="right"/>
              <w:rPr>
                <w:sz w:val="20"/>
                <w:szCs w:val="20"/>
                <w:lang w:val="fr-CA"/>
              </w:rPr>
            </w:pPr>
            <w:r w:rsidRPr="000C5492">
              <w:rPr>
                <w:sz w:val="20"/>
                <w:szCs w:val="20"/>
                <w:lang w:val="fr-CA"/>
              </w:rPr>
              <w:t xml:space="preserve">100 </w:t>
            </w:r>
            <w:r w:rsidR="001D2840" w:rsidRPr="000C5492">
              <w:rPr>
                <w:sz w:val="20"/>
                <w:szCs w:val="20"/>
                <w:lang w:val="fr-CA"/>
              </w:rPr>
              <w:t>000</w:t>
            </w:r>
          </w:p>
        </w:tc>
        <w:tc>
          <w:tcPr>
            <w:tcW w:w="1461" w:type="dxa"/>
          </w:tcPr>
          <w:p w:rsidR="001D2840" w:rsidRPr="000C5492" w:rsidRDefault="00EF5A78" w:rsidP="00143C85">
            <w:pPr>
              <w:keepNext/>
              <w:jc w:val="right"/>
              <w:rPr>
                <w:lang w:val="fr-CA"/>
              </w:rPr>
            </w:pPr>
            <w:r w:rsidRPr="000C5492">
              <w:rPr>
                <w:sz w:val="20"/>
                <w:szCs w:val="20"/>
                <w:lang w:val="fr-CA"/>
              </w:rPr>
              <w:t xml:space="preserve">13 </w:t>
            </w:r>
            <w:r w:rsidR="001D2840" w:rsidRPr="000C5492">
              <w:rPr>
                <w:sz w:val="20"/>
                <w:szCs w:val="20"/>
                <w:lang w:val="fr-CA"/>
              </w:rPr>
              <w:t>000</w:t>
            </w:r>
          </w:p>
        </w:tc>
        <w:tc>
          <w:tcPr>
            <w:tcW w:w="1461" w:type="dxa"/>
          </w:tcPr>
          <w:p w:rsidR="001D2840" w:rsidRPr="000C5492" w:rsidRDefault="00EF5A78" w:rsidP="00EF5A78">
            <w:pPr>
              <w:keepNext/>
              <w:jc w:val="center"/>
              <w:rPr>
                <w:sz w:val="20"/>
                <w:szCs w:val="20"/>
                <w:lang w:val="fr-CA"/>
              </w:rPr>
            </w:pPr>
            <w:r w:rsidRPr="000C5492">
              <w:rPr>
                <w:sz w:val="20"/>
                <w:szCs w:val="20"/>
                <w:lang w:val="fr-CA"/>
              </w:rPr>
              <w:t>PNUE</w:t>
            </w:r>
          </w:p>
        </w:tc>
      </w:tr>
      <w:tr w:rsidR="001D2840" w:rsidRPr="000C5492" w:rsidTr="00143C85">
        <w:tc>
          <w:tcPr>
            <w:tcW w:w="540" w:type="dxa"/>
          </w:tcPr>
          <w:p w:rsidR="001D2840" w:rsidRPr="000C5492" w:rsidRDefault="00EF5A78" w:rsidP="00143C85">
            <w:pPr>
              <w:keepNext/>
              <w:rPr>
                <w:sz w:val="20"/>
                <w:szCs w:val="20"/>
                <w:lang w:val="fr-CA"/>
              </w:rPr>
            </w:pPr>
            <w:r w:rsidRPr="000C5492">
              <w:rPr>
                <w:sz w:val="20"/>
                <w:szCs w:val="20"/>
                <w:lang w:val="fr-CA"/>
              </w:rPr>
              <w:t>b)</w:t>
            </w:r>
          </w:p>
        </w:tc>
        <w:tc>
          <w:tcPr>
            <w:tcW w:w="4320" w:type="dxa"/>
          </w:tcPr>
          <w:p w:rsidR="001D2840" w:rsidRPr="000C5492" w:rsidRDefault="00EF5A78" w:rsidP="00143C85">
            <w:pPr>
              <w:keepNext/>
              <w:rPr>
                <w:sz w:val="20"/>
                <w:szCs w:val="20"/>
                <w:lang w:val="fr-CA"/>
              </w:rPr>
            </w:pPr>
            <w:r w:rsidRPr="000C5492">
              <w:rPr>
                <w:sz w:val="20"/>
                <w:szCs w:val="20"/>
                <w:lang w:val="fr-CA"/>
              </w:rPr>
              <w:t>Plan de gestion de l’élimination des HCFC (phase I, quatrième tranche)</w:t>
            </w:r>
          </w:p>
        </w:tc>
        <w:tc>
          <w:tcPr>
            <w:tcW w:w="1461" w:type="dxa"/>
          </w:tcPr>
          <w:p w:rsidR="001D2840" w:rsidRPr="000C5492" w:rsidRDefault="00EF5A78" w:rsidP="00143C85">
            <w:pPr>
              <w:keepNext/>
              <w:jc w:val="right"/>
              <w:rPr>
                <w:sz w:val="20"/>
                <w:szCs w:val="20"/>
                <w:lang w:val="fr-CA"/>
              </w:rPr>
            </w:pPr>
            <w:r w:rsidRPr="000C5492">
              <w:rPr>
                <w:sz w:val="20"/>
                <w:szCs w:val="20"/>
                <w:lang w:val="fr-CA"/>
              </w:rPr>
              <w:t xml:space="preserve">150 </w:t>
            </w:r>
            <w:r w:rsidR="001D2840" w:rsidRPr="000C5492">
              <w:rPr>
                <w:sz w:val="20"/>
                <w:szCs w:val="20"/>
                <w:lang w:val="fr-CA"/>
              </w:rPr>
              <w:t>000</w:t>
            </w:r>
          </w:p>
        </w:tc>
        <w:tc>
          <w:tcPr>
            <w:tcW w:w="1461" w:type="dxa"/>
          </w:tcPr>
          <w:p w:rsidR="001D2840" w:rsidRPr="000C5492" w:rsidRDefault="00EF5A78" w:rsidP="00143C85">
            <w:pPr>
              <w:keepNext/>
              <w:jc w:val="right"/>
              <w:rPr>
                <w:lang w:val="fr-CA"/>
              </w:rPr>
            </w:pPr>
            <w:r w:rsidRPr="000C5492">
              <w:rPr>
                <w:sz w:val="20"/>
                <w:szCs w:val="20"/>
                <w:lang w:val="fr-CA"/>
              </w:rPr>
              <w:t xml:space="preserve">11 </w:t>
            </w:r>
            <w:r w:rsidR="001D2840" w:rsidRPr="000C5492">
              <w:rPr>
                <w:sz w:val="20"/>
                <w:szCs w:val="20"/>
                <w:lang w:val="fr-CA"/>
              </w:rPr>
              <w:t>250</w:t>
            </w:r>
          </w:p>
        </w:tc>
        <w:tc>
          <w:tcPr>
            <w:tcW w:w="1461" w:type="dxa"/>
          </w:tcPr>
          <w:p w:rsidR="001D2840" w:rsidRPr="000C5492" w:rsidRDefault="00EF5A78" w:rsidP="00143C85">
            <w:pPr>
              <w:keepNext/>
              <w:jc w:val="center"/>
              <w:rPr>
                <w:sz w:val="20"/>
                <w:szCs w:val="20"/>
                <w:lang w:val="fr-CA"/>
              </w:rPr>
            </w:pPr>
            <w:r w:rsidRPr="000C5492">
              <w:rPr>
                <w:sz w:val="20"/>
                <w:szCs w:val="20"/>
                <w:lang w:val="fr-CA"/>
              </w:rPr>
              <w:t>P</w:t>
            </w:r>
            <w:r w:rsidR="005D0112">
              <w:rPr>
                <w:sz w:val="20"/>
                <w:szCs w:val="20"/>
                <w:lang w:val="fr-CA"/>
              </w:rPr>
              <w:t>NUD</w:t>
            </w:r>
          </w:p>
        </w:tc>
      </w:tr>
    </w:tbl>
    <w:p w:rsidR="001D2840" w:rsidRDefault="001D2840" w:rsidP="001D2840">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1D2840" w:rsidRPr="00FE3307" w:rsidTr="00143C85">
        <w:tc>
          <w:tcPr>
            <w:tcW w:w="1871" w:type="dxa"/>
          </w:tcPr>
          <w:p w:rsidR="001D2840" w:rsidRPr="00FE3307" w:rsidRDefault="001D2840" w:rsidP="00143C85">
            <w:pPr>
              <w:rPr>
                <w:lang w:val="en-CA"/>
              </w:rPr>
            </w:pPr>
          </w:p>
        </w:tc>
        <w:tc>
          <w:tcPr>
            <w:tcW w:w="1872" w:type="dxa"/>
          </w:tcPr>
          <w:p w:rsidR="001D2840" w:rsidRPr="00FE3307" w:rsidRDefault="001D2840" w:rsidP="00143C85">
            <w:pPr>
              <w:rPr>
                <w:lang w:val="en-CA"/>
              </w:rPr>
            </w:pPr>
          </w:p>
        </w:tc>
        <w:tc>
          <w:tcPr>
            <w:tcW w:w="1872" w:type="dxa"/>
            <w:tcBorders>
              <w:bottom w:val="single" w:sz="4" w:space="0" w:color="auto"/>
            </w:tcBorders>
          </w:tcPr>
          <w:p w:rsidR="001D2840" w:rsidRPr="00FE3307" w:rsidRDefault="001D2840" w:rsidP="00143C85">
            <w:pPr>
              <w:rPr>
                <w:lang w:val="en-CA"/>
              </w:rPr>
            </w:pPr>
          </w:p>
        </w:tc>
        <w:tc>
          <w:tcPr>
            <w:tcW w:w="1872" w:type="dxa"/>
          </w:tcPr>
          <w:p w:rsidR="001D2840" w:rsidRPr="00FE3307" w:rsidRDefault="001D2840" w:rsidP="00143C85">
            <w:pPr>
              <w:rPr>
                <w:lang w:val="en-CA"/>
              </w:rPr>
            </w:pPr>
          </w:p>
        </w:tc>
        <w:tc>
          <w:tcPr>
            <w:tcW w:w="1873" w:type="dxa"/>
          </w:tcPr>
          <w:p w:rsidR="001D2840" w:rsidRPr="00FE3307" w:rsidRDefault="001D2840" w:rsidP="00143C85">
            <w:pPr>
              <w:rPr>
                <w:lang w:val="en-CA"/>
              </w:rPr>
            </w:pPr>
          </w:p>
        </w:tc>
      </w:tr>
    </w:tbl>
    <w:p w:rsidR="001D2840" w:rsidRPr="00FE3307" w:rsidRDefault="001D2840" w:rsidP="001D2840">
      <w:pPr>
        <w:rPr>
          <w:lang w:val="en-CA"/>
        </w:rPr>
      </w:pPr>
    </w:p>
    <w:sectPr w:rsidR="001D2840" w:rsidRPr="00FE3307" w:rsidSect="00571E74">
      <w:headerReference w:type="even" r:id="rId17"/>
      <w:headerReference w:type="default" r:id="rId18"/>
      <w:footerReference w:type="default" r:id="rId19"/>
      <w:headerReference w:type="first" r:id="rId20"/>
      <w:footerReference w:type="first" r:id="rId21"/>
      <w:pgSz w:w="12240" w:h="15840" w:code="1"/>
      <w:pgMar w:top="720" w:right="1440" w:bottom="864" w:left="1440" w:header="720" w:footer="475" w:gutter="0"/>
      <w:pgNumType w:start="4"/>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61" w:rsidRDefault="00A95B61">
      <w:r>
        <w:separator/>
      </w:r>
    </w:p>
  </w:endnote>
  <w:endnote w:type="continuationSeparator" w:id="0">
    <w:p w:rsidR="00A95B61" w:rsidRDefault="00A9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77" w:rsidRPr="0033525D" w:rsidRDefault="00600777">
    <w:pPr>
      <w:jc w:val="center"/>
    </w:pPr>
    <w:r>
      <w:fldChar w:fldCharType="begin"/>
    </w:r>
    <w:r>
      <w:instrText xml:space="preserve"> PAGE </w:instrText>
    </w:r>
    <w:r>
      <w:fldChar w:fldCharType="separate"/>
    </w:r>
    <w:r w:rsidR="005F7ECE">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EB" w:rsidRDefault="004744EB" w:rsidP="004744EB">
    <w:pPr>
      <w:pBdr>
        <w:top w:val="single" w:sz="4" w:space="1" w:color="auto"/>
        <w:left w:val="single" w:sz="4" w:space="4" w:color="auto"/>
        <w:bottom w:val="single" w:sz="4" w:space="14" w:color="auto"/>
        <w:right w:val="single" w:sz="4" w:space="4" w:color="auto"/>
      </w:pBdr>
      <w:jc w:val="center"/>
      <w:rPr>
        <w:rFonts w:cs="MS Serif"/>
        <w:sz w:val="20"/>
        <w:lang w:val="fr-FR"/>
      </w:rPr>
    </w:pPr>
    <w:r>
      <w:rPr>
        <w:rFonts w:cs="MS Serif"/>
        <w:sz w:val="20"/>
        <w:lang w:val="fr-FR"/>
      </w:rPr>
      <w:t xml:space="preserve">Les documents de </w:t>
    </w:r>
    <w:proofErr w:type="spellStart"/>
    <w:r>
      <w:rPr>
        <w:rFonts w:cs="MS Serif"/>
        <w:sz w:val="20"/>
        <w:lang w:val="fr-FR"/>
      </w:rPr>
      <w:t>présession</w:t>
    </w:r>
    <w:proofErr w:type="spellEnd"/>
    <w:r>
      <w:rPr>
        <w:rFonts w:cs="MS Serif"/>
        <w:sz w:val="20"/>
        <w:lang w:val="fr-FR"/>
      </w:rPr>
      <w:t xml:space="preserve"> du Comité exécutif du Fonds multilatéral aux fins d’application du Protocole de Montréal sont présentés sous réserve des décisions pouvant être prises par le Comité exécutif après </w:t>
    </w:r>
    <w:proofErr w:type="gramStart"/>
    <w:r>
      <w:rPr>
        <w:rFonts w:cs="MS Serif"/>
        <w:sz w:val="20"/>
        <w:lang w:val="fr-FR"/>
      </w:rPr>
      <w:t>leur  publication</w:t>
    </w:r>
    <w:proofErr w:type="gramEnd"/>
    <w:r>
      <w:rPr>
        <w:rFonts w:cs="MS Serif"/>
        <w:sz w:val="20"/>
        <w:lang w:val="fr-FR"/>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111897"/>
      <w:docPartObj>
        <w:docPartGallery w:val="Page Numbers (Bottom of Page)"/>
        <w:docPartUnique/>
      </w:docPartObj>
    </w:sdtPr>
    <w:sdtEndPr>
      <w:rPr>
        <w:noProof/>
      </w:rPr>
    </w:sdtEndPr>
    <w:sdtContent>
      <w:p w:rsidR="00571E74" w:rsidRDefault="00571E74">
        <w:pPr>
          <w:pStyle w:val="Footer"/>
          <w:jc w:val="center"/>
        </w:pPr>
        <w:r>
          <w:fldChar w:fldCharType="begin"/>
        </w:r>
        <w:r>
          <w:instrText xml:space="preserve"> PAGE   \* MERGEFORMAT </w:instrText>
        </w:r>
        <w:r>
          <w:fldChar w:fldCharType="separate"/>
        </w:r>
        <w:r w:rsidR="005F7ECE">
          <w:rPr>
            <w:noProof/>
          </w:rPr>
          <w:t>3</w:t>
        </w:r>
        <w:r>
          <w:rPr>
            <w:noProof/>
          </w:rPr>
          <w:fldChar w:fldCharType="end"/>
        </w:r>
      </w:p>
    </w:sdtContent>
  </w:sdt>
  <w:p w:rsidR="00571E74" w:rsidRPr="00571E74" w:rsidRDefault="00571E74" w:rsidP="00571E7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954263"/>
      <w:docPartObj>
        <w:docPartGallery w:val="Page Numbers (Bottom of Page)"/>
        <w:docPartUnique/>
      </w:docPartObj>
    </w:sdtPr>
    <w:sdtEndPr>
      <w:rPr>
        <w:noProof/>
      </w:rPr>
    </w:sdtEndPr>
    <w:sdtContent>
      <w:p w:rsidR="00571E74" w:rsidRDefault="00571E74">
        <w:pPr>
          <w:pStyle w:val="Footer"/>
          <w:jc w:val="center"/>
        </w:pPr>
        <w:r>
          <w:fldChar w:fldCharType="begin"/>
        </w:r>
        <w:r>
          <w:instrText xml:space="preserve"> PAGE   \* MERGEFORMAT </w:instrText>
        </w:r>
        <w:r>
          <w:fldChar w:fldCharType="separate"/>
        </w:r>
        <w:r w:rsidR="005F7ECE">
          <w:rPr>
            <w:noProof/>
          </w:rPr>
          <w:t>9</w:t>
        </w:r>
        <w:r>
          <w:rPr>
            <w:noProof/>
          </w:rPr>
          <w:fldChar w:fldCharType="end"/>
        </w:r>
      </w:p>
    </w:sdtContent>
  </w:sdt>
  <w:p w:rsidR="00571E74" w:rsidRPr="00571E74" w:rsidRDefault="00571E74" w:rsidP="00571E7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rsidR="00600777" w:rsidRDefault="00600777">
        <w:pPr>
          <w:pStyle w:val="Footer"/>
          <w:jc w:val="center"/>
        </w:pPr>
        <w:r>
          <w:fldChar w:fldCharType="begin"/>
        </w:r>
        <w:r>
          <w:instrText xml:space="preserve"> PAGE   \* MERGEFORMAT </w:instrText>
        </w:r>
        <w:r>
          <w:fldChar w:fldCharType="separate"/>
        </w:r>
        <w:r w:rsidR="005F7ECE">
          <w:rPr>
            <w:noProof/>
          </w:rPr>
          <w:t>4</w:t>
        </w:r>
        <w:r>
          <w:rPr>
            <w:noProof/>
          </w:rPr>
          <w:fldChar w:fldCharType="end"/>
        </w:r>
      </w:p>
    </w:sdtContent>
  </w:sdt>
  <w:p w:rsidR="00600777" w:rsidRDefault="00600777">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61" w:rsidRDefault="00A95B61">
      <w:r>
        <w:separator/>
      </w:r>
    </w:p>
  </w:footnote>
  <w:footnote w:type="continuationSeparator" w:id="0">
    <w:p w:rsidR="00A95B61" w:rsidRDefault="00A95B61">
      <w:r>
        <w:continuationSeparator/>
      </w:r>
    </w:p>
  </w:footnote>
  <w:footnote w:id="1">
    <w:p w:rsidR="00600777" w:rsidRPr="00CB11A3" w:rsidRDefault="00600777" w:rsidP="00B33344">
      <w:pPr>
        <w:pStyle w:val="FootnoteText"/>
        <w:rPr>
          <w:lang w:val="fr-CA"/>
        </w:rPr>
      </w:pPr>
      <w:r w:rsidRPr="00FE3307">
        <w:rPr>
          <w:rStyle w:val="FootnoteReference"/>
        </w:rPr>
        <w:footnoteRef/>
      </w:r>
      <w:r w:rsidRPr="00CB11A3">
        <w:rPr>
          <w:lang w:val="fr-CA"/>
        </w:rPr>
        <w:t xml:space="preserve"> Conformément à la lettre du ministère de l’Environnement du Cambodge au PNUE, datée du 12 mars 2019.</w:t>
      </w:r>
    </w:p>
  </w:footnote>
  <w:footnote w:id="2">
    <w:p w:rsidR="00600777" w:rsidRPr="000B65CE" w:rsidRDefault="00600777" w:rsidP="00764346">
      <w:pPr>
        <w:pStyle w:val="FootnoteText"/>
        <w:rPr>
          <w:lang w:val="fr-CA"/>
        </w:rPr>
      </w:pPr>
      <w:r w:rsidRPr="008162E0">
        <w:rPr>
          <w:rStyle w:val="FootnoteReference"/>
        </w:rPr>
        <w:footnoteRef/>
      </w:r>
      <w:r w:rsidRPr="000B65CE">
        <w:rPr>
          <w:lang w:val="fr-CA"/>
        </w:rPr>
        <w:t xml:space="preserve"> La loi amendée porte désormais le nom de sous-décret sur la</w:t>
      </w:r>
      <w:r>
        <w:rPr>
          <w:lang w:val="fr-CA"/>
        </w:rPr>
        <w:t xml:space="preserve"> gestion des SAO et des frigorigènes</w:t>
      </w:r>
      <w:r w:rsidRPr="000B65CE">
        <w:rPr>
          <w:lang w:val="fr-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77" w:rsidRPr="0033525D" w:rsidRDefault="00B74552">
    <w:r>
      <w:fldChar w:fldCharType="begin"/>
    </w:r>
    <w:r>
      <w:instrText xml:space="preserve"> DOCPROPERTY "Document number"  \* MERGEFORMAT </w:instrText>
    </w:r>
    <w:r>
      <w:fldChar w:fldCharType="separate"/>
    </w:r>
    <w:r w:rsidR="00571E74">
      <w:t>UNEP/</w:t>
    </w:r>
    <w:proofErr w:type="spellStart"/>
    <w:r w:rsidR="00571E74">
      <w:t>OzL.Pro</w:t>
    </w:r>
    <w:proofErr w:type="spellEnd"/>
    <w:r w:rsidR="00571E74">
      <w:t>/</w:t>
    </w:r>
    <w:proofErr w:type="spellStart"/>
    <w:r w:rsidR="00571E74">
      <w:t>ExCom</w:t>
    </w:r>
    <w:proofErr w:type="spellEnd"/>
    <w:r w:rsidR="00571E74">
      <w:t>/83/21</w:t>
    </w:r>
    <w:r>
      <w:fldChar w:fldCharType="end"/>
    </w:r>
  </w:p>
  <w:p w:rsidR="00600777" w:rsidRPr="0033525D" w:rsidRDefault="00600777"/>
  <w:p w:rsidR="00600777" w:rsidRPr="0033525D" w:rsidRDefault="0060077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77" w:rsidRPr="0033525D" w:rsidRDefault="00600777"/>
  <w:p w:rsidR="00600777" w:rsidRPr="0033525D" w:rsidRDefault="006007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77" w:rsidRPr="0033525D" w:rsidRDefault="00B74552" w:rsidP="00143C85">
    <w:pPr>
      <w:jc w:val="right"/>
    </w:pPr>
    <w:r>
      <w:fldChar w:fldCharType="begin"/>
    </w:r>
    <w:r>
      <w:instrText xml:space="preserve"> DOCPROPERTY "Document number"  \* MERGEFORMAT </w:instrText>
    </w:r>
    <w:r>
      <w:fldChar w:fldCharType="separate"/>
    </w:r>
    <w:r w:rsidR="008D2568">
      <w:t>UNEP/</w:t>
    </w:r>
    <w:proofErr w:type="spellStart"/>
    <w:r w:rsidR="008D2568">
      <w:t>OzL.Pro</w:t>
    </w:r>
    <w:proofErr w:type="spellEnd"/>
    <w:r w:rsidR="008D2568">
      <w:t>/</w:t>
    </w:r>
    <w:proofErr w:type="spellStart"/>
    <w:r w:rsidR="008D2568">
      <w:t>ExCom</w:t>
    </w:r>
    <w:proofErr w:type="spellEnd"/>
    <w:r w:rsidR="008D2568">
      <w:t>/83/21</w:t>
    </w:r>
    <w:r>
      <w:fldChar w:fldCharType="end"/>
    </w:r>
  </w:p>
  <w:p w:rsidR="00600777" w:rsidRDefault="00600777" w:rsidP="00143C85">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EB" w:rsidRPr="0033525D" w:rsidRDefault="00B74552" w:rsidP="00143C85">
    <w:pPr>
      <w:jc w:val="right"/>
    </w:pPr>
    <w:r>
      <w:fldChar w:fldCharType="begin"/>
    </w:r>
    <w:r>
      <w:instrText xml:space="preserve"> DOCPROPERTY "Document number"  \* MERGEFORMAT </w:instrText>
    </w:r>
    <w:r>
      <w:fldChar w:fldCharType="separate"/>
    </w:r>
    <w:r w:rsidR="00571E74">
      <w:t>UNEP/</w:t>
    </w:r>
    <w:proofErr w:type="spellStart"/>
    <w:r w:rsidR="00571E74">
      <w:t>OzL.Pro</w:t>
    </w:r>
    <w:proofErr w:type="spellEnd"/>
    <w:r w:rsidR="00571E74">
      <w:t>/</w:t>
    </w:r>
    <w:proofErr w:type="spellStart"/>
    <w:r w:rsidR="00571E74">
      <w:t>ExCom</w:t>
    </w:r>
    <w:proofErr w:type="spellEnd"/>
    <w:r w:rsidR="00571E74">
      <w:t>/83/21</w:t>
    </w:r>
    <w:r>
      <w:fldChar w:fldCharType="end"/>
    </w:r>
  </w:p>
  <w:p w:rsidR="004744EB" w:rsidRDefault="004744EB" w:rsidP="00143C85">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74" w:rsidRPr="0033525D" w:rsidRDefault="00B74552">
    <w:r>
      <w:fldChar w:fldCharType="begin"/>
    </w:r>
    <w:r>
      <w:instrText xml:space="preserve"> DOCPROPERTY "Document number"  \* MERGEFORMAT </w:instrText>
    </w:r>
    <w:r>
      <w:fldChar w:fldCharType="separate"/>
    </w:r>
    <w:r w:rsidR="00571E74">
      <w:t>UNEP/</w:t>
    </w:r>
    <w:proofErr w:type="spellStart"/>
    <w:r w:rsidR="00571E74">
      <w:t>OzL.Pro</w:t>
    </w:r>
    <w:proofErr w:type="spellEnd"/>
    <w:r w:rsidR="00571E74">
      <w:t>/</w:t>
    </w:r>
    <w:proofErr w:type="spellStart"/>
    <w:r w:rsidR="00571E74">
      <w:t>ExCom</w:t>
    </w:r>
    <w:proofErr w:type="spellEnd"/>
    <w:r w:rsidR="00571E74">
      <w:t>/83/21</w:t>
    </w:r>
    <w:r>
      <w:fldChar w:fldCharType="end"/>
    </w:r>
  </w:p>
  <w:p w:rsidR="00571E74" w:rsidRPr="0033525D" w:rsidRDefault="00571E74"/>
  <w:p w:rsidR="00571E74" w:rsidRPr="0033525D" w:rsidRDefault="00571E74"/>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74" w:rsidRPr="0033525D" w:rsidRDefault="00B74552" w:rsidP="009F6DAD">
    <w:pPr>
      <w:jc w:val="right"/>
    </w:pPr>
    <w:r>
      <w:fldChar w:fldCharType="begin"/>
    </w:r>
    <w:r>
      <w:instrText xml:space="preserve"> DOCPROPERTY "Document number"  \* MERGEFORMAT </w:instrText>
    </w:r>
    <w:r>
      <w:fldChar w:fldCharType="separate"/>
    </w:r>
    <w:r w:rsidR="00571E74">
      <w:t>UNEP/</w:t>
    </w:r>
    <w:proofErr w:type="spellStart"/>
    <w:r w:rsidR="00571E74">
      <w:t>OzL.Pro</w:t>
    </w:r>
    <w:proofErr w:type="spellEnd"/>
    <w:r w:rsidR="00571E74">
      <w:t>/</w:t>
    </w:r>
    <w:proofErr w:type="spellStart"/>
    <w:r w:rsidR="00571E74">
      <w:t>ExCom</w:t>
    </w:r>
    <w:proofErr w:type="spellEnd"/>
    <w:r w:rsidR="00571E74">
      <w:t>/83/21</w:t>
    </w:r>
    <w:r>
      <w:fldChar w:fldCharType="end"/>
    </w:r>
  </w:p>
  <w:p w:rsidR="00571E74" w:rsidRPr="0033525D" w:rsidRDefault="00571E74"/>
  <w:p w:rsidR="00571E74" w:rsidRPr="0033525D" w:rsidRDefault="00571E74">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77" w:rsidRDefault="00B74552">
    <w:pPr>
      <w:jc w:val="right"/>
    </w:pPr>
    <w:r>
      <w:fldChar w:fldCharType="begin"/>
    </w:r>
    <w:r>
      <w:instrText xml:space="preserve"> DOCPROPERTY "Document number"  \* MERGEFORMAT </w:instrText>
    </w:r>
    <w:r>
      <w:fldChar w:fldCharType="separate"/>
    </w:r>
    <w:r w:rsidR="008D2568">
      <w:t>UNEP/</w:t>
    </w:r>
    <w:proofErr w:type="spellStart"/>
    <w:r w:rsidR="008D2568">
      <w:t>OzL.Pro</w:t>
    </w:r>
    <w:proofErr w:type="spellEnd"/>
    <w:r w:rsidR="008D2568">
      <w:t>/</w:t>
    </w:r>
    <w:proofErr w:type="spellStart"/>
    <w:r w:rsidR="008D2568">
      <w:t>ExCom</w:t>
    </w:r>
    <w:proofErr w:type="spellEnd"/>
    <w:r w:rsidR="008D2568">
      <w:t>/83/21</w:t>
    </w:r>
    <w:r>
      <w:fldChar w:fldCharType="end"/>
    </w:r>
  </w:p>
  <w:p w:rsidR="00600777" w:rsidRDefault="00600777">
    <w:pPr>
      <w:jc w:val="right"/>
    </w:pPr>
  </w:p>
  <w:p w:rsidR="00600777" w:rsidRDefault="0060077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11C7C12"/>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rPr>
        <w:rFonts w:ascii="Times New Roman" w:eastAsia="Times New Roman" w:hAnsi="Times New Roman" w:cs="Times New Roman"/>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1D00E2"/>
    <w:multiLevelType w:val="hybridMultilevel"/>
    <w:tmpl w:val="DE7E1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9"/>
  </w:num>
  <w:num w:numId="20">
    <w:abstractNumId w:val="14"/>
  </w:num>
  <w:num w:numId="21">
    <w:abstractNumId w:val="11"/>
  </w:num>
  <w:num w:numId="22">
    <w:abstractNumId w:val="12"/>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78"/>
    <w:rsid w:val="00004A8A"/>
    <w:rsid w:val="0003463A"/>
    <w:rsid w:val="000B233D"/>
    <w:rsid w:val="000B65CE"/>
    <w:rsid w:val="000C5492"/>
    <w:rsid w:val="00123884"/>
    <w:rsid w:val="001260A8"/>
    <w:rsid w:val="00143C85"/>
    <w:rsid w:val="00166EAE"/>
    <w:rsid w:val="00175380"/>
    <w:rsid w:val="001C3D0C"/>
    <w:rsid w:val="001D2840"/>
    <w:rsid w:val="001D4CE7"/>
    <w:rsid w:val="00250D77"/>
    <w:rsid w:val="00265AF0"/>
    <w:rsid w:val="002F0B57"/>
    <w:rsid w:val="003117D8"/>
    <w:rsid w:val="00315FE1"/>
    <w:rsid w:val="003871EE"/>
    <w:rsid w:val="003901D1"/>
    <w:rsid w:val="003F6D47"/>
    <w:rsid w:val="00403339"/>
    <w:rsid w:val="00405754"/>
    <w:rsid w:val="00441083"/>
    <w:rsid w:val="004744EB"/>
    <w:rsid w:val="004B1D6A"/>
    <w:rsid w:val="004C2C87"/>
    <w:rsid w:val="004E3A36"/>
    <w:rsid w:val="004E7993"/>
    <w:rsid w:val="004E7BA6"/>
    <w:rsid w:val="00557A74"/>
    <w:rsid w:val="00571E74"/>
    <w:rsid w:val="0058045C"/>
    <w:rsid w:val="005A59FD"/>
    <w:rsid w:val="005C14EB"/>
    <w:rsid w:val="005D0112"/>
    <w:rsid w:val="005D6031"/>
    <w:rsid w:val="005F7ECE"/>
    <w:rsid w:val="00600777"/>
    <w:rsid w:val="00605093"/>
    <w:rsid w:val="006316BB"/>
    <w:rsid w:val="00642C3C"/>
    <w:rsid w:val="006F65EF"/>
    <w:rsid w:val="007034FA"/>
    <w:rsid w:val="007562A1"/>
    <w:rsid w:val="0075750B"/>
    <w:rsid w:val="00764346"/>
    <w:rsid w:val="007C6F04"/>
    <w:rsid w:val="00817FF2"/>
    <w:rsid w:val="00832BCB"/>
    <w:rsid w:val="008B3B3A"/>
    <w:rsid w:val="008D2568"/>
    <w:rsid w:val="008D2B35"/>
    <w:rsid w:val="0091161A"/>
    <w:rsid w:val="00942A54"/>
    <w:rsid w:val="00954070"/>
    <w:rsid w:val="009A5180"/>
    <w:rsid w:val="009C09FB"/>
    <w:rsid w:val="009F6DAD"/>
    <w:rsid w:val="00A155A7"/>
    <w:rsid w:val="00A175CB"/>
    <w:rsid w:val="00A95B61"/>
    <w:rsid w:val="00AB1068"/>
    <w:rsid w:val="00AE63D8"/>
    <w:rsid w:val="00B04EBE"/>
    <w:rsid w:val="00B13D4A"/>
    <w:rsid w:val="00B21C9A"/>
    <w:rsid w:val="00B2625A"/>
    <w:rsid w:val="00B33344"/>
    <w:rsid w:val="00B74552"/>
    <w:rsid w:val="00B811F2"/>
    <w:rsid w:val="00BC3C7D"/>
    <w:rsid w:val="00BC4062"/>
    <w:rsid w:val="00C27E6C"/>
    <w:rsid w:val="00C305EA"/>
    <w:rsid w:val="00C6443E"/>
    <w:rsid w:val="00CA18EA"/>
    <w:rsid w:val="00CB11A3"/>
    <w:rsid w:val="00D178FD"/>
    <w:rsid w:val="00D54FF7"/>
    <w:rsid w:val="00D94306"/>
    <w:rsid w:val="00E017D7"/>
    <w:rsid w:val="00E35D24"/>
    <w:rsid w:val="00E35DBB"/>
    <w:rsid w:val="00E54871"/>
    <w:rsid w:val="00E60D9C"/>
    <w:rsid w:val="00E63FCA"/>
    <w:rsid w:val="00EA1842"/>
    <w:rsid w:val="00EF5A78"/>
    <w:rsid w:val="00EF62F7"/>
    <w:rsid w:val="00F3477D"/>
    <w:rsid w:val="00F37A42"/>
    <w:rsid w:val="00F557F5"/>
    <w:rsid w:val="00FB299D"/>
    <w:rsid w:val="00FB58AC"/>
    <w:rsid w:val="00FC5578"/>
    <w:rsid w:val="00FD22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2D1C42"/>
  <w15:docId w15:val="{2ED86813-8C6B-4080-8B9B-77859B37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ListParagraph">
    <w:name w:val="List Paragraph"/>
    <w:basedOn w:val="Normal"/>
    <w:uiPriority w:val="34"/>
    <w:qFormat/>
    <w:rsid w:val="001D2840"/>
    <w:pPr>
      <w:ind w:left="720"/>
      <w:contextualSpacing/>
    </w:pPr>
  </w:style>
  <w:style w:type="paragraph" w:styleId="FootnoteText">
    <w:name w:val="footnote text"/>
    <w:basedOn w:val="Normal"/>
    <w:link w:val="FootnoteTextChar"/>
    <w:uiPriority w:val="99"/>
    <w:semiHidden/>
    <w:unhideWhenUsed/>
    <w:rsid w:val="001D2840"/>
    <w:rPr>
      <w:sz w:val="20"/>
      <w:szCs w:val="20"/>
    </w:rPr>
  </w:style>
  <w:style w:type="character" w:customStyle="1" w:styleId="FootnoteTextChar">
    <w:name w:val="Footnote Text Char"/>
    <w:basedOn w:val="DefaultParagraphFont"/>
    <w:link w:val="FootnoteText"/>
    <w:uiPriority w:val="99"/>
    <w:semiHidden/>
    <w:rsid w:val="001D2840"/>
    <w:rPr>
      <w:lang w:val="en-GB"/>
    </w:rPr>
  </w:style>
  <w:style w:type="character" w:styleId="FootnoteReference">
    <w:name w:val="footnote reference"/>
    <w:basedOn w:val="DefaultParagraphFont"/>
    <w:uiPriority w:val="99"/>
    <w:semiHidden/>
    <w:unhideWhenUsed/>
    <w:rsid w:val="001D2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E4441DB9763A4B9F4793D394AD28DA" ma:contentTypeVersion="2" ma:contentTypeDescription="Create a new document." ma:contentTypeScope="" ma:versionID="171df64618d6dd1096111a941a4c869d">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UNEP/OzL.Pro/ExCom/83/21</Document_x0020_Number>
  </documentManagement>
</p:properties>
</file>

<file path=customXml/itemProps1.xml><?xml version="1.0" encoding="utf-8"?>
<ds:datastoreItem xmlns:ds="http://schemas.openxmlformats.org/officeDocument/2006/customXml" ds:itemID="{1BA3AC90-ABE6-42C0-9439-E6B15D915019}"/>
</file>

<file path=customXml/itemProps2.xml><?xml version="1.0" encoding="utf-8"?>
<ds:datastoreItem xmlns:ds="http://schemas.openxmlformats.org/officeDocument/2006/customXml" ds:itemID="{9628B485-0205-41A8-AA2E-1D165C8AF927}"/>
</file>

<file path=customXml/itemProps3.xml><?xml version="1.0" encoding="utf-8"?>
<ds:datastoreItem xmlns:ds="http://schemas.openxmlformats.org/officeDocument/2006/customXml" ds:itemID="{8DCCFC64-6263-49F4-BB42-6E7EDCDBC917}"/>
</file>

<file path=customXml/itemProps4.xml><?xml version="1.0" encoding="utf-8"?>
<ds:datastoreItem xmlns:ds="http://schemas.openxmlformats.org/officeDocument/2006/customXml" ds:itemID="{CD742E76-4A7F-498D-9DFF-59D1CDA5FA52}"/>
</file>

<file path=docProps/app.xml><?xml version="1.0" encoding="utf-8"?>
<Properties xmlns="http://schemas.openxmlformats.org/officeDocument/2006/extended-properties" xmlns:vt="http://schemas.openxmlformats.org/officeDocument/2006/docPropsVTypes">
  <Template>normal</Template>
  <TotalTime>350</TotalTime>
  <Pages>9</Pages>
  <Words>3190</Words>
  <Characters>18187</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projet: Cambodge</vt:lpstr>
      <vt:lpstr/>
    </vt:vector>
  </TitlesOfParts>
  <Company>UNMFS</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Cambodge</dc:title>
  <dc:creator>Michael Huang</dc:creator>
  <cp:lastModifiedBy>HBE</cp:lastModifiedBy>
  <cp:revision>17</cp:revision>
  <cp:lastPrinted>2019-05-01T18:52:00Z</cp:lastPrinted>
  <dcterms:created xsi:type="dcterms:W3CDTF">2019-05-01T13:51:00Z</dcterms:created>
  <dcterms:modified xsi:type="dcterms:W3CDTF">2019-05-20T13:56:00Z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UNEP/OzL.Pro/ExCom/83/21</vt:lpwstr>
  </property>
  <property fmtid="{D5CDD505-2E9C-101B-9397-08002B2CF9AE}" pid="3" name="Revision date">
    <vt:lpwstr>4/30/2019</vt:lpwstr>
  </property>
  <property fmtid="{D5CDD505-2E9C-101B-9397-08002B2CF9AE}" pid="4" name="ContentTypeId">
    <vt:lpwstr>0x01010021E4441DB9763A4B9F4793D394AD28DA</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