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070"/>
        <w:gridCol w:w="4991"/>
        <w:gridCol w:w="3544"/>
      </w:tblGrid>
      <w:tr w:rsidR="00441083">
        <w:trPr>
          <w:trHeight w:val="720"/>
        </w:trPr>
        <w:tc>
          <w:tcPr>
            <w:tcW w:w="7061" w:type="dxa"/>
            <w:gridSpan w:val="2"/>
            <w:tcBorders>
              <w:bottom w:val="single" w:sz="18" w:space="0" w:color="auto"/>
            </w:tcBorders>
          </w:tcPr>
          <w:p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" w:hAnsi="Univer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Univers" w:hAnsi="Univers"/>
                <w:b/>
                <w:sz w:val="28"/>
                <w:szCs w:val="28"/>
              </w:rPr>
              <w:t>NATIONS</w:t>
            </w:r>
          </w:p>
          <w:p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sz w:val="28"/>
                <w:szCs w:val="28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 xml:space="preserve">UNIES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441083" w:rsidRDefault="00E60D9C">
            <w:pPr>
              <w:tabs>
                <w:tab w:val="left" w:pos="3010"/>
              </w:tabs>
              <w:jc w:val="center"/>
              <w:rPr>
                <w:sz w:val="52"/>
                <w:szCs w:val="52"/>
              </w:rPr>
            </w:pPr>
            <w:r>
              <w:rPr>
                <w:rFonts w:ascii="Univers Bold" w:hAnsi="Univers Bold"/>
                <w:b/>
                <w:sz w:val="72"/>
                <w:lang w:val="fr-CA"/>
              </w:rPr>
              <w:t xml:space="preserve">          EP</w:t>
            </w:r>
          </w:p>
        </w:tc>
      </w:tr>
      <w:tr w:rsidR="00441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8"/>
        </w:trPr>
        <w:tc>
          <w:tcPr>
            <w:tcW w:w="207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41083" w:rsidRDefault="00C6443E">
            <w:pPr>
              <w:spacing w:before="120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75D1E401" wp14:editId="1024F88C">
                  <wp:simplePos x="0" y="0"/>
                  <wp:positionH relativeFrom="column">
                    <wp:posOffset>321554</wp:posOffset>
                  </wp:positionH>
                  <wp:positionV relativeFrom="paragraph">
                    <wp:posOffset>861500</wp:posOffset>
                  </wp:positionV>
                  <wp:extent cx="800100" cy="705485"/>
                  <wp:effectExtent l="0" t="0" r="0" b="0"/>
                  <wp:wrapNone/>
                  <wp:docPr id="2" name="Picture 2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3D0C"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1" locked="0" layoutInCell="0" allowOverlap="1" wp14:anchorId="244C4231" wp14:editId="1C9406B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112395</wp:posOffset>
                  </wp:positionV>
                  <wp:extent cx="760809" cy="676275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809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1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41083" w:rsidRDefault="00441083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</w:p>
          <w:p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Programme des</w:t>
            </w:r>
          </w:p>
          <w:p w:rsidR="00441083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Nations Unies pour</w:t>
            </w:r>
          </w:p>
          <w:p w:rsidR="00441083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l’environnement</w:t>
            </w:r>
          </w:p>
          <w:p w:rsidR="00441083" w:rsidRDefault="00E60D9C">
            <w:pPr>
              <w:spacing w:before="720"/>
              <w:ind w:left="158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441083" w:rsidRDefault="00441083">
            <w:pPr>
              <w:rPr>
                <w:lang w:val="fr-FR"/>
              </w:rPr>
            </w:pPr>
          </w:p>
          <w:p w:rsidR="00441083" w:rsidRPr="004849CC" w:rsidRDefault="00E60D9C">
            <w:pPr>
              <w:rPr>
                <w:lang w:val="fr-FR"/>
              </w:rPr>
            </w:pPr>
            <w:r w:rsidRPr="004849CC">
              <w:rPr>
                <w:lang w:val="fr-FR"/>
              </w:rPr>
              <w:t>Distr.</w:t>
            </w:r>
          </w:p>
          <w:p w:rsidR="00441083" w:rsidRPr="004849CC" w:rsidRDefault="00E60D9C">
            <w:pPr>
              <w:rPr>
                <w:lang w:val="fr-FR"/>
              </w:rPr>
            </w:pPr>
            <w:r w:rsidRPr="004849CC">
              <w:rPr>
                <w:lang w:val="fr-FR"/>
              </w:rPr>
              <w:t>GENERAL</w:t>
            </w:r>
            <w:r w:rsidR="00085BCB" w:rsidRPr="004849CC">
              <w:rPr>
                <w:lang w:val="fr-FR"/>
              </w:rPr>
              <w:t>E</w:t>
            </w:r>
          </w:p>
          <w:p w:rsidR="00441083" w:rsidRPr="004849CC" w:rsidRDefault="00441083">
            <w:pPr>
              <w:rPr>
                <w:lang w:val="fr-FR"/>
              </w:rPr>
            </w:pPr>
          </w:p>
          <w:p w:rsidR="00441083" w:rsidRPr="004849CC" w:rsidRDefault="00E60D9C">
            <w:pPr>
              <w:rPr>
                <w:lang w:val="fr-FR"/>
              </w:rPr>
            </w:pPr>
            <w:r>
              <w:fldChar w:fldCharType="begin"/>
            </w:r>
            <w:r w:rsidRPr="004849CC">
              <w:rPr>
                <w:lang w:val="fr-FR"/>
              </w:rPr>
              <w:instrText xml:space="preserve"> DOCPROPERTY "Document number"  \* MERGEFORMAT </w:instrText>
            </w:r>
            <w:r>
              <w:fldChar w:fldCharType="separate"/>
            </w:r>
            <w:r w:rsidR="00220DA4" w:rsidRPr="004849CC">
              <w:rPr>
                <w:lang w:val="fr-FR"/>
              </w:rPr>
              <w:t>UNEP/OzL.Pro/ExCom/83/</w:t>
            </w:r>
            <w:r w:rsidR="00936D93" w:rsidRPr="004849CC">
              <w:rPr>
                <w:lang w:val="fr-FR"/>
              </w:rPr>
              <w:t>5</w:t>
            </w:r>
            <w:r>
              <w:fldChar w:fldCharType="end"/>
            </w:r>
          </w:p>
          <w:p w:rsidR="002F0B57" w:rsidRPr="004849CC" w:rsidRDefault="002F0B57" w:rsidP="001D4CE7">
            <w:pPr>
              <w:rPr>
                <w:lang w:val="fr-FR"/>
              </w:rPr>
            </w:pPr>
            <w:r>
              <w:fldChar w:fldCharType="begin"/>
            </w:r>
            <w:r w:rsidRPr="004849CC">
              <w:rPr>
                <w:lang w:val="fr-FR"/>
              </w:rPr>
              <w:instrText xml:space="preserve"> DOCPROPERTY "Revision date" \@ "d MMMM YYYY"  \* MERGEFORMAT </w:instrText>
            </w:r>
            <w:r>
              <w:fldChar w:fldCharType="separate"/>
            </w:r>
            <w:r w:rsidR="007D0A84" w:rsidRPr="004849CC">
              <w:rPr>
                <w:lang w:val="fr-FR"/>
              </w:rPr>
              <w:t>3 mai </w:t>
            </w:r>
            <w:r w:rsidR="00220DA4" w:rsidRPr="004849CC">
              <w:rPr>
                <w:lang w:val="fr-FR"/>
              </w:rPr>
              <w:t>2019</w:t>
            </w:r>
            <w:r>
              <w:fldChar w:fldCharType="end"/>
            </w:r>
          </w:p>
          <w:p w:rsidR="00441083" w:rsidRDefault="00FC5578">
            <w:pPr>
              <w:rPr>
                <w:caps/>
                <w:lang w:val="fr-FR"/>
              </w:rPr>
            </w:pPr>
            <w:r w:rsidRPr="004849CC">
              <w:rPr>
                <w:caps/>
                <w:lang w:val="fr-FR"/>
              </w:rPr>
              <w:br/>
            </w:r>
            <w:r w:rsidR="00E60D9C">
              <w:rPr>
                <w:caps/>
                <w:lang w:val="fr-FR"/>
              </w:rPr>
              <w:t>FRANÇAIS</w:t>
            </w:r>
          </w:p>
          <w:p w:rsidR="00441083" w:rsidRDefault="00E60D9C">
            <w:r>
              <w:t xml:space="preserve">ORIGINAL: </w:t>
            </w:r>
            <w:r w:rsidR="0091161A">
              <w:t>ANGLAIS</w:t>
            </w:r>
          </w:p>
        </w:tc>
      </w:tr>
    </w:tbl>
    <w:p w:rsidR="00441083" w:rsidRDefault="00441083">
      <w:pPr>
        <w:jc w:val="left"/>
        <w:rPr>
          <w:lang w:val="fr-CA"/>
        </w:rPr>
      </w:pPr>
    </w:p>
    <w:p w:rsidR="00441083" w:rsidRDefault="00E60D9C" w:rsidP="004C2C87">
      <w:pPr>
        <w:jc w:val="left"/>
        <w:rPr>
          <w:lang w:val="fr-CA"/>
        </w:rPr>
      </w:pPr>
      <w:r>
        <w:rPr>
          <w:lang w:val="fr-CA"/>
        </w:rPr>
        <w:t xml:space="preserve">COMITE EXECUTIF </w:t>
      </w:r>
      <w:r>
        <w:rPr>
          <w:lang w:val="fr-CA"/>
        </w:rPr>
        <w:br/>
        <w:t xml:space="preserve">  DU FONDS MULTILATERAL AUX FINS </w:t>
      </w:r>
      <w:r>
        <w:rPr>
          <w:lang w:val="fr-CA"/>
        </w:rPr>
        <w:br/>
        <w:t xml:space="preserve">  D’APPLICATION DU PROTOCOLE DE MONTREAL</w:t>
      </w:r>
      <w:r>
        <w:rPr>
          <w:lang w:val="fr-CA"/>
        </w:rPr>
        <w:br/>
      </w:r>
      <w:r w:rsidR="00E54871">
        <w:rPr>
          <w:lang w:val="fr-CA"/>
        </w:rPr>
        <w:t>Quatre</w:t>
      </w:r>
      <w:r>
        <w:rPr>
          <w:lang w:val="fr-CA"/>
        </w:rPr>
        <w:t>-</w:t>
      </w:r>
      <w:r w:rsidR="00E54871">
        <w:rPr>
          <w:lang w:val="fr-CA"/>
        </w:rPr>
        <w:t>vingt</w:t>
      </w:r>
      <w:r w:rsidR="00AE63D8">
        <w:rPr>
          <w:lang w:val="fr-CA"/>
        </w:rPr>
        <w:t>-</w:t>
      </w:r>
      <w:r w:rsidR="004C2C87">
        <w:rPr>
          <w:lang w:val="fr-CA"/>
        </w:rPr>
        <w:t>troisi</w:t>
      </w:r>
      <w:r w:rsidR="00E54871">
        <w:rPr>
          <w:lang w:val="fr-CA"/>
        </w:rPr>
        <w:t>ème</w:t>
      </w:r>
      <w:r w:rsidR="00FC5578" w:rsidRPr="00FC5578">
        <w:rPr>
          <w:lang w:val="fr-CA"/>
        </w:rPr>
        <w:t xml:space="preserve"> </w:t>
      </w:r>
      <w:r>
        <w:rPr>
          <w:lang w:val="fr-CA"/>
        </w:rPr>
        <w:t>réunion</w:t>
      </w:r>
    </w:p>
    <w:p w:rsidR="00441083" w:rsidRPr="00B078AE" w:rsidRDefault="00E54871" w:rsidP="004C2C87">
      <w:pPr>
        <w:jc w:val="left"/>
        <w:rPr>
          <w:lang w:val="fr-CA"/>
        </w:rPr>
      </w:pPr>
      <w:r w:rsidRPr="00B078AE">
        <w:rPr>
          <w:lang w:val="fr-CA"/>
        </w:rPr>
        <w:t>Montréal,</w:t>
      </w:r>
      <w:r w:rsidR="00FC5578" w:rsidRPr="00B078AE">
        <w:rPr>
          <w:lang w:val="fr-CA"/>
        </w:rPr>
        <w:t xml:space="preserve"> </w:t>
      </w:r>
      <w:r w:rsidR="004C2C87" w:rsidRPr="00B078AE">
        <w:rPr>
          <w:lang w:val="fr-CA"/>
        </w:rPr>
        <w:t>27</w:t>
      </w:r>
      <w:r w:rsidR="00E60D9C" w:rsidRPr="00B078AE">
        <w:rPr>
          <w:lang w:val="fr-CA"/>
        </w:rPr>
        <w:t xml:space="preserve">– </w:t>
      </w:r>
      <w:r w:rsidR="004C2C87" w:rsidRPr="00B078AE">
        <w:rPr>
          <w:lang w:val="fr-CA"/>
        </w:rPr>
        <w:t>31</w:t>
      </w:r>
      <w:r w:rsidR="00B078AE" w:rsidRPr="00B078AE">
        <w:rPr>
          <w:lang w:val="fr-CA"/>
        </w:rPr>
        <w:t> </w:t>
      </w:r>
      <w:r w:rsidR="004C2C87" w:rsidRPr="00B078AE">
        <w:rPr>
          <w:lang w:val="fr-CA"/>
        </w:rPr>
        <w:t>mai</w:t>
      </w:r>
      <w:r w:rsidR="00B078AE" w:rsidRPr="00B078AE">
        <w:rPr>
          <w:lang w:val="fr-CA"/>
        </w:rPr>
        <w:t> </w:t>
      </w:r>
      <w:r w:rsidR="004C2C87" w:rsidRPr="00B078AE">
        <w:rPr>
          <w:lang w:val="fr-CA"/>
        </w:rPr>
        <w:t>2019</w:t>
      </w:r>
    </w:p>
    <w:p w:rsidR="00441083" w:rsidRPr="00B078AE" w:rsidRDefault="00441083">
      <w:pPr>
        <w:jc w:val="left"/>
        <w:rPr>
          <w:lang w:val="fr-CA"/>
        </w:rPr>
      </w:pPr>
    </w:p>
    <w:p w:rsidR="00441083" w:rsidRPr="00B078AE" w:rsidRDefault="00441083">
      <w:pPr>
        <w:pStyle w:val="Title1"/>
        <w:rPr>
          <w:lang w:val="fr-CA"/>
        </w:rPr>
      </w:pPr>
    </w:p>
    <w:p w:rsidR="00B078AE" w:rsidRDefault="007D0A84" w:rsidP="00E83EB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b/>
          <w:caps/>
          <w:lang w:val="fr-CA"/>
        </w:rPr>
      </w:pPr>
      <w:r w:rsidRPr="00B078AE">
        <w:rPr>
          <w:b/>
          <w:caps/>
          <w:lang w:val="fr-CA"/>
        </w:rPr>
        <w:t xml:space="preserve">ÉTAT DES CONTRIBUTIONS </w:t>
      </w:r>
      <w:r w:rsidR="00B078AE">
        <w:rPr>
          <w:b/>
          <w:caps/>
          <w:lang w:val="fr-CA"/>
        </w:rPr>
        <w:t>SUPPLÉMENTAIRES ET</w:t>
      </w:r>
    </w:p>
    <w:p w:rsidR="00F376C4" w:rsidRDefault="007D0A84" w:rsidP="006832E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b/>
          <w:caps/>
          <w:lang w:val="fr-CA"/>
        </w:rPr>
      </w:pPr>
      <w:r w:rsidRPr="00B078AE">
        <w:rPr>
          <w:b/>
          <w:caps/>
          <w:lang w:val="fr-CA"/>
        </w:rPr>
        <w:t>DISPONIBILITÉ DES RESSOURCES</w:t>
      </w:r>
    </w:p>
    <w:p w:rsidR="00E83EB0" w:rsidRPr="00B078AE" w:rsidRDefault="007D0A84" w:rsidP="006832E9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jc w:val="center"/>
        <w:rPr>
          <w:b/>
          <w:caps/>
          <w:lang w:val="fr-CA"/>
        </w:rPr>
      </w:pPr>
      <w:r w:rsidRPr="00B078AE">
        <w:rPr>
          <w:b/>
          <w:caps/>
          <w:lang w:val="fr-CA"/>
        </w:rPr>
        <w:t>(DÉCISION</w:t>
      </w:r>
      <w:r w:rsidR="00B078AE">
        <w:rPr>
          <w:b/>
          <w:caps/>
          <w:lang w:val="fr-CA"/>
        </w:rPr>
        <w:t> </w:t>
      </w:r>
      <w:r w:rsidR="00E83EB0" w:rsidRPr="00B078AE">
        <w:rPr>
          <w:b/>
          <w:bCs/>
          <w:lang w:val="fr-CA"/>
        </w:rPr>
        <w:t>82/3</w:t>
      </w:r>
      <w:r w:rsidR="00B078AE">
        <w:rPr>
          <w:b/>
          <w:bCs/>
          <w:lang w:val="fr-CA"/>
        </w:rPr>
        <w:t> </w:t>
      </w:r>
      <w:r w:rsidR="00E83EB0" w:rsidRPr="00B078AE">
        <w:rPr>
          <w:b/>
          <w:bCs/>
          <w:lang w:val="fr-CA"/>
        </w:rPr>
        <w:t>b))</w:t>
      </w:r>
    </w:p>
    <w:p w:rsidR="00E83EB0" w:rsidRPr="00B078AE" w:rsidRDefault="00E83EB0" w:rsidP="00E83EB0">
      <w:pPr>
        <w:jc w:val="center"/>
        <w:rPr>
          <w:b/>
          <w:bCs/>
          <w:lang w:val="fr-CA"/>
        </w:rPr>
      </w:pPr>
    </w:p>
    <w:p w:rsidR="00E83EB0" w:rsidRPr="00F376C4" w:rsidRDefault="007D0A84" w:rsidP="00E83EB0">
      <w:pPr>
        <w:jc w:val="center"/>
        <w:rPr>
          <w:b/>
          <w:bCs/>
          <w:lang w:val="fr-FR"/>
        </w:rPr>
      </w:pPr>
      <w:r w:rsidRPr="00F376C4">
        <w:rPr>
          <w:b/>
          <w:bCs/>
          <w:lang w:val="fr-FR"/>
        </w:rPr>
        <w:t xml:space="preserve">Rapport du </w:t>
      </w:r>
      <w:r w:rsidR="00B078AE" w:rsidRPr="00F376C4">
        <w:rPr>
          <w:b/>
          <w:bCs/>
          <w:lang w:val="fr-FR"/>
        </w:rPr>
        <w:t>T</w:t>
      </w:r>
      <w:r w:rsidRPr="00F376C4">
        <w:rPr>
          <w:b/>
          <w:bCs/>
          <w:lang w:val="fr-FR"/>
        </w:rPr>
        <w:t>résorier</w:t>
      </w:r>
    </w:p>
    <w:p w:rsidR="00E83EB0" w:rsidRPr="00F376C4" w:rsidRDefault="00E83EB0" w:rsidP="00E83EB0">
      <w:pPr>
        <w:jc w:val="center"/>
        <w:rPr>
          <w:bCs/>
          <w:lang w:val="fr-FR"/>
        </w:rPr>
      </w:pPr>
    </w:p>
    <w:p w:rsidR="00E83EB0" w:rsidRPr="00F376C4" w:rsidRDefault="00E83EB0" w:rsidP="00E83EB0">
      <w:pPr>
        <w:tabs>
          <w:tab w:val="left" w:pos="0"/>
        </w:tabs>
        <w:rPr>
          <w:lang w:val="fr-FR"/>
        </w:rPr>
      </w:pPr>
    </w:p>
    <w:p w:rsidR="00E83EB0" w:rsidRPr="006465A1" w:rsidRDefault="007D0A84" w:rsidP="00E83EB0">
      <w:pPr>
        <w:pStyle w:val="Heading1"/>
        <w:rPr>
          <w:lang w:val="fr-CA"/>
        </w:rPr>
      </w:pPr>
      <w:r w:rsidRPr="007D0A84">
        <w:rPr>
          <w:lang w:val="fr-CA"/>
        </w:rPr>
        <w:t>Le Trésorier a reçu 25 513 071</w:t>
      </w:r>
      <w:r w:rsidR="00B078AE">
        <w:rPr>
          <w:lang w:val="fr-CA"/>
        </w:rPr>
        <w:t> </w:t>
      </w:r>
      <w:r w:rsidRPr="007D0A84">
        <w:rPr>
          <w:lang w:val="fr-CA"/>
        </w:rPr>
        <w:t>$US, qui représente</w:t>
      </w:r>
      <w:r w:rsidR="006465A1">
        <w:rPr>
          <w:lang w:val="fr-CA"/>
        </w:rPr>
        <w:t>nt</w:t>
      </w:r>
      <w:r w:rsidRPr="007D0A84">
        <w:rPr>
          <w:lang w:val="fr-CA"/>
        </w:rPr>
        <w:t xml:space="preserve"> le montant total des contributions supplémentaires </w:t>
      </w:r>
      <w:r w:rsidR="00B078AE">
        <w:rPr>
          <w:lang w:val="fr-CA"/>
        </w:rPr>
        <w:t>versées</w:t>
      </w:r>
      <w:r w:rsidRPr="007D0A84">
        <w:rPr>
          <w:lang w:val="fr-CA"/>
        </w:rPr>
        <w:t xml:space="preserve"> par 17</w:t>
      </w:r>
      <w:r w:rsidR="00B078AE">
        <w:rPr>
          <w:lang w:val="fr-CA"/>
        </w:rPr>
        <w:t> </w:t>
      </w:r>
      <w:r w:rsidRPr="007D0A84">
        <w:rPr>
          <w:lang w:val="fr-CA"/>
        </w:rPr>
        <w:t>pays non visés à l’article</w:t>
      </w:r>
      <w:r w:rsidR="00B078AE">
        <w:rPr>
          <w:lang w:val="fr-CA"/>
        </w:rPr>
        <w:t> </w:t>
      </w:r>
      <w:r w:rsidRPr="007D0A84">
        <w:rPr>
          <w:lang w:val="fr-CA"/>
        </w:rPr>
        <w:t>5.</w:t>
      </w:r>
      <w:r w:rsidR="00E83EB0" w:rsidRPr="006465A1">
        <w:rPr>
          <w:lang w:val="fr-CA"/>
        </w:rPr>
        <w:t xml:space="preserve"> </w:t>
      </w:r>
    </w:p>
    <w:p w:rsidR="00E83EB0" w:rsidRPr="004849CC" w:rsidRDefault="00E83EB0" w:rsidP="00E83EB0">
      <w:pPr>
        <w:pStyle w:val="Heading1"/>
        <w:rPr>
          <w:lang w:val="fr-CA"/>
        </w:rPr>
      </w:pPr>
      <w:r w:rsidRPr="007D0A84">
        <w:rPr>
          <w:lang w:val="fr-CA"/>
        </w:rPr>
        <w:t xml:space="preserve"> </w:t>
      </w:r>
      <w:r w:rsidR="007D0A84" w:rsidRPr="007D0A84">
        <w:rPr>
          <w:lang w:val="fr-CA"/>
        </w:rPr>
        <w:t>En date du 7</w:t>
      </w:r>
      <w:r w:rsidR="00B078AE">
        <w:rPr>
          <w:lang w:val="fr-CA"/>
        </w:rPr>
        <w:t> </w:t>
      </w:r>
      <w:r w:rsidR="007D0A84" w:rsidRPr="007D0A84">
        <w:rPr>
          <w:lang w:val="fr-CA"/>
        </w:rPr>
        <w:t>août</w:t>
      </w:r>
      <w:r w:rsidR="00B078AE">
        <w:rPr>
          <w:lang w:val="fr-CA"/>
        </w:rPr>
        <w:t> </w:t>
      </w:r>
      <w:r w:rsidR="007D0A84" w:rsidRPr="007D0A84">
        <w:rPr>
          <w:lang w:val="fr-CA"/>
        </w:rPr>
        <w:t xml:space="preserve">2018, suite à l’approbation des activités pour le démarrage rapide de l’élimination progressive des HFC par le Comité exécutif, le Trésorier </w:t>
      </w:r>
      <w:r w:rsidR="00B078AE">
        <w:rPr>
          <w:lang w:val="fr-CA"/>
        </w:rPr>
        <w:t>a</w:t>
      </w:r>
      <w:r w:rsidR="007D0A84" w:rsidRPr="007D0A84">
        <w:rPr>
          <w:lang w:val="fr-CA"/>
        </w:rPr>
        <w:t xml:space="preserve"> </w:t>
      </w:r>
      <w:r w:rsidR="00B078AE">
        <w:rPr>
          <w:lang w:val="fr-CA"/>
        </w:rPr>
        <w:t>décaissé</w:t>
      </w:r>
      <w:r w:rsidR="007D0A84" w:rsidRPr="007D0A84">
        <w:rPr>
          <w:lang w:val="fr-CA"/>
        </w:rPr>
        <w:t xml:space="preserve"> 25 503 180</w:t>
      </w:r>
      <w:r w:rsidR="00B078AE">
        <w:rPr>
          <w:lang w:val="fr-CA"/>
        </w:rPr>
        <w:t> </w:t>
      </w:r>
      <w:r w:rsidR="007D0A84" w:rsidRPr="007D0A84">
        <w:rPr>
          <w:lang w:val="fr-CA"/>
        </w:rPr>
        <w:t xml:space="preserve">$US aux agences d’exécution, y compris le financement approuvé au titre de la coopération bilatérale en provenance de l’Allemagne et de l’Italie, pour un </w:t>
      </w:r>
      <w:r w:rsidR="007D0A84" w:rsidRPr="004849CC">
        <w:rPr>
          <w:lang w:val="fr-CA"/>
        </w:rPr>
        <w:t>solde de 9</w:t>
      </w:r>
      <w:r w:rsidR="006465A1" w:rsidRPr="004849CC">
        <w:rPr>
          <w:lang w:val="fr-CA"/>
        </w:rPr>
        <w:t> </w:t>
      </w:r>
      <w:r w:rsidR="007D0A84" w:rsidRPr="004849CC">
        <w:rPr>
          <w:lang w:val="fr-CA"/>
        </w:rPr>
        <w:t>89</w:t>
      </w:r>
      <w:r w:rsidR="006465A1" w:rsidRPr="004849CC">
        <w:rPr>
          <w:lang w:val="fr-CA"/>
        </w:rPr>
        <w:t>1</w:t>
      </w:r>
      <w:r w:rsidR="00B078AE" w:rsidRPr="004849CC">
        <w:rPr>
          <w:lang w:val="fr-CA"/>
        </w:rPr>
        <w:t> </w:t>
      </w:r>
      <w:r w:rsidR="007D0A84" w:rsidRPr="004849CC">
        <w:rPr>
          <w:lang w:val="fr-CA"/>
        </w:rPr>
        <w:t>$US.</w:t>
      </w:r>
      <w:r w:rsidRPr="004849CC">
        <w:rPr>
          <w:lang w:val="fr-CA"/>
        </w:rPr>
        <w:t xml:space="preserve">  </w:t>
      </w:r>
    </w:p>
    <w:p w:rsidR="00E83EB0" w:rsidRPr="004849CC" w:rsidRDefault="007D0A84" w:rsidP="00E83EB0">
      <w:pPr>
        <w:pStyle w:val="Heading1"/>
        <w:rPr>
          <w:lang w:val="fr-CA"/>
        </w:rPr>
      </w:pPr>
      <w:r w:rsidRPr="004849CC">
        <w:rPr>
          <w:lang w:val="fr-CA"/>
        </w:rPr>
        <w:t>Le Comité exécutif à sa 79</w:t>
      </w:r>
      <w:r w:rsidRPr="004849CC">
        <w:rPr>
          <w:vertAlign w:val="superscript"/>
          <w:lang w:val="fr-CA"/>
        </w:rPr>
        <w:t>e</w:t>
      </w:r>
      <w:r w:rsidR="006465A1" w:rsidRPr="004849CC">
        <w:rPr>
          <w:lang w:val="fr-CA"/>
        </w:rPr>
        <w:t> </w:t>
      </w:r>
      <w:r w:rsidRPr="004849CC">
        <w:rPr>
          <w:lang w:val="fr-CA"/>
        </w:rPr>
        <w:t>réunion a approuvé un montant de 100 000</w:t>
      </w:r>
      <w:r w:rsidR="00B078AE" w:rsidRPr="004849CC">
        <w:rPr>
          <w:lang w:val="fr-CA"/>
        </w:rPr>
        <w:t> </w:t>
      </w:r>
      <w:r w:rsidRPr="004849CC">
        <w:rPr>
          <w:lang w:val="fr-CA"/>
        </w:rPr>
        <w:t xml:space="preserve">$US pour la réalisation d’une évaluation des solutions rentables et </w:t>
      </w:r>
      <w:r w:rsidR="006465A1" w:rsidRPr="004849CC">
        <w:rPr>
          <w:lang w:val="fr-CA"/>
        </w:rPr>
        <w:t>éco</w:t>
      </w:r>
      <w:r w:rsidRPr="004849CC">
        <w:rPr>
          <w:lang w:val="fr-CA"/>
        </w:rPr>
        <w:t>logiquement durable</w:t>
      </w:r>
      <w:r w:rsidR="006465A1" w:rsidRPr="004849CC">
        <w:rPr>
          <w:lang w:val="fr-CA"/>
        </w:rPr>
        <w:t>s</w:t>
      </w:r>
      <w:r w:rsidRPr="004849CC">
        <w:rPr>
          <w:lang w:val="fr-CA"/>
        </w:rPr>
        <w:t xml:space="preserve"> pour détruire le HFC</w:t>
      </w:r>
      <w:r w:rsidR="006465A1" w:rsidRPr="004849CC">
        <w:rPr>
          <w:lang w:val="fr-CA"/>
        </w:rPr>
        <w:noBreakHyphen/>
      </w:r>
      <w:r w:rsidRPr="004849CC">
        <w:rPr>
          <w:lang w:val="fr-CA"/>
        </w:rPr>
        <w:t>23 provenant des installations de production du HCFC</w:t>
      </w:r>
      <w:r w:rsidR="006465A1" w:rsidRPr="004849CC">
        <w:rPr>
          <w:lang w:val="fr-CA"/>
        </w:rPr>
        <w:noBreakHyphen/>
      </w:r>
      <w:r w:rsidRPr="004849CC">
        <w:rPr>
          <w:lang w:val="fr-CA"/>
        </w:rPr>
        <w:t>22 (décision</w:t>
      </w:r>
      <w:r w:rsidR="00B078AE" w:rsidRPr="004849CC">
        <w:rPr>
          <w:lang w:val="fr-CA"/>
        </w:rPr>
        <w:t> </w:t>
      </w:r>
      <w:r w:rsidRPr="004849CC">
        <w:rPr>
          <w:lang w:val="fr-CA"/>
        </w:rPr>
        <w:t>79/47</w:t>
      </w:r>
      <w:r w:rsidR="006465A1" w:rsidRPr="004849CC">
        <w:rPr>
          <w:lang w:val="fr-CA"/>
        </w:rPr>
        <w:t> e)</w:t>
      </w:r>
      <w:r w:rsidRPr="004849CC">
        <w:rPr>
          <w:lang w:val="fr-CA"/>
        </w:rPr>
        <w:t>). Celle-ci a été menée à bien à un coût total de 8</w:t>
      </w:r>
      <w:r w:rsidR="006465A1" w:rsidRPr="004849CC">
        <w:rPr>
          <w:lang w:val="fr-CA"/>
        </w:rPr>
        <w:t>1</w:t>
      </w:r>
      <w:r w:rsidRPr="004849CC">
        <w:rPr>
          <w:lang w:val="fr-CA"/>
        </w:rPr>
        <w:t> 997</w:t>
      </w:r>
      <w:r w:rsidR="00B078AE" w:rsidRPr="004849CC">
        <w:rPr>
          <w:lang w:val="fr-CA"/>
        </w:rPr>
        <w:t> </w:t>
      </w:r>
      <w:r w:rsidRPr="004849CC">
        <w:rPr>
          <w:lang w:val="fr-CA"/>
        </w:rPr>
        <w:t>$US, pour un solde de 18 003</w:t>
      </w:r>
      <w:r w:rsidR="00B078AE" w:rsidRPr="004849CC">
        <w:rPr>
          <w:lang w:val="fr-CA"/>
        </w:rPr>
        <w:t> </w:t>
      </w:r>
      <w:r w:rsidRPr="004849CC">
        <w:rPr>
          <w:lang w:val="fr-CA"/>
        </w:rPr>
        <w:t>$US</w:t>
      </w:r>
      <w:r w:rsidR="00E83EB0" w:rsidRPr="004849CC">
        <w:rPr>
          <w:color w:val="000000"/>
          <w:lang w:val="fr-CA" w:eastAsia="en-CA"/>
        </w:rPr>
        <w:t xml:space="preserve">. </w:t>
      </w:r>
    </w:p>
    <w:p w:rsidR="00E83EB0" w:rsidRPr="006465A1" w:rsidRDefault="007D0A84" w:rsidP="00E83EB0">
      <w:pPr>
        <w:pStyle w:val="Heading1"/>
        <w:rPr>
          <w:lang w:val="fr-CA"/>
        </w:rPr>
      </w:pPr>
      <w:r w:rsidRPr="004849CC">
        <w:rPr>
          <w:lang w:val="fr-CA"/>
        </w:rPr>
        <w:t>Les intérêts accumulés sur les contributions supplémentaires au 31</w:t>
      </w:r>
      <w:r w:rsidR="00B078AE" w:rsidRPr="004849CC">
        <w:rPr>
          <w:lang w:val="fr-CA"/>
        </w:rPr>
        <w:t> </w:t>
      </w:r>
      <w:r w:rsidRPr="004849CC">
        <w:rPr>
          <w:lang w:val="fr-CA"/>
        </w:rPr>
        <w:t>décembre</w:t>
      </w:r>
      <w:r w:rsidR="00B078AE" w:rsidRPr="004849CC">
        <w:rPr>
          <w:lang w:val="fr-CA"/>
        </w:rPr>
        <w:t> </w:t>
      </w:r>
      <w:r w:rsidRPr="004849CC">
        <w:rPr>
          <w:lang w:val="fr-CA"/>
        </w:rPr>
        <w:t>2018 s’élevaient à</w:t>
      </w:r>
      <w:r w:rsidR="006465A1" w:rsidRPr="004849CC">
        <w:rPr>
          <w:lang w:val="fr-CA"/>
        </w:rPr>
        <w:t> </w:t>
      </w:r>
      <w:r w:rsidRPr="004849CC">
        <w:rPr>
          <w:lang w:val="fr-CA"/>
        </w:rPr>
        <w:t>251 138</w:t>
      </w:r>
      <w:r w:rsidR="00B078AE" w:rsidRPr="004849CC">
        <w:rPr>
          <w:lang w:val="fr-CA"/>
        </w:rPr>
        <w:t> </w:t>
      </w:r>
      <w:r w:rsidRPr="004849CC">
        <w:rPr>
          <w:lang w:val="fr-CA"/>
        </w:rPr>
        <w:t>$US. Conformément aux pratiques comptables normalisé</w:t>
      </w:r>
      <w:r w:rsidR="006465A1" w:rsidRPr="004849CC">
        <w:rPr>
          <w:lang w:val="fr-CA"/>
        </w:rPr>
        <w:t>e</w:t>
      </w:r>
      <w:r w:rsidRPr="004849CC">
        <w:rPr>
          <w:lang w:val="fr-CA"/>
        </w:rPr>
        <w:t>s</w:t>
      </w:r>
      <w:r w:rsidRPr="007D0A84">
        <w:rPr>
          <w:lang w:val="fr-CA"/>
        </w:rPr>
        <w:t xml:space="preserve"> et aux accords standard </w:t>
      </w:r>
      <w:r>
        <w:rPr>
          <w:lang w:val="fr-CA"/>
        </w:rPr>
        <w:t xml:space="preserve">entre le Trésorier et les pays donateurs qui ont signé un tel accord, tous les intérêts </w:t>
      </w:r>
      <w:r w:rsidR="009A5EE0">
        <w:rPr>
          <w:lang w:val="fr-CA"/>
        </w:rPr>
        <w:t>associés</w:t>
      </w:r>
      <w:r>
        <w:rPr>
          <w:lang w:val="fr-CA"/>
        </w:rPr>
        <w:t xml:space="preserve"> aux contributions supplémentaires doivent être crédités, à titre de revenu</w:t>
      </w:r>
      <w:r w:rsidR="006465A1">
        <w:rPr>
          <w:lang w:val="fr-CA"/>
        </w:rPr>
        <w:t>s</w:t>
      </w:r>
      <w:r>
        <w:rPr>
          <w:lang w:val="fr-CA"/>
        </w:rPr>
        <w:t xml:space="preserve">, au Fonds multilatéral et doivent être </w:t>
      </w:r>
      <w:r w:rsidR="00B078AE">
        <w:rPr>
          <w:lang w:val="fr-CA"/>
        </w:rPr>
        <w:t>utilisés</w:t>
      </w:r>
      <w:r>
        <w:rPr>
          <w:lang w:val="fr-CA"/>
        </w:rPr>
        <w:t xml:space="preserve"> en accord avec les politiques et les directives du Comité exécutif.</w:t>
      </w:r>
    </w:p>
    <w:p w:rsidR="00E83EB0" w:rsidRPr="007D0A84" w:rsidRDefault="007D0A84" w:rsidP="00E83EB0">
      <w:pPr>
        <w:pStyle w:val="Heading1"/>
        <w:rPr>
          <w:lang w:val="fr-CA"/>
        </w:rPr>
      </w:pPr>
      <w:r w:rsidRPr="007D0A84">
        <w:rPr>
          <w:lang w:val="fr-CA"/>
        </w:rPr>
        <w:t>Par conséquent, le montant total disponible pour la programmation d’activités supplémentaires d’élimination progressive des HFC e</w:t>
      </w:r>
      <w:r w:rsidR="006465A1">
        <w:rPr>
          <w:lang w:val="fr-CA"/>
        </w:rPr>
        <w:t>s</w:t>
      </w:r>
      <w:r w:rsidRPr="007D0A84">
        <w:rPr>
          <w:lang w:val="fr-CA"/>
        </w:rPr>
        <w:t>t de</w:t>
      </w:r>
      <w:r w:rsidR="006465A1">
        <w:rPr>
          <w:lang w:val="fr-CA"/>
        </w:rPr>
        <w:t xml:space="preserve"> </w:t>
      </w:r>
      <w:r w:rsidR="00E83EB0" w:rsidRPr="007D0A84">
        <w:rPr>
          <w:lang w:val="fr-CA"/>
        </w:rPr>
        <w:t>279</w:t>
      </w:r>
      <w:r w:rsidR="006465A1">
        <w:rPr>
          <w:lang w:val="fr-CA"/>
        </w:rPr>
        <w:t> </w:t>
      </w:r>
      <w:r w:rsidR="00E83EB0" w:rsidRPr="007D0A84">
        <w:rPr>
          <w:lang w:val="fr-CA"/>
        </w:rPr>
        <w:t>032</w:t>
      </w:r>
      <w:r w:rsidR="006465A1">
        <w:rPr>
          <w:lang w:val="fr-CA"/>
        </w:rPr>
        <w:t> $US</w:t>
      </w:r>
      <w:r w:rsidR="00E83EB0" w:rsidRPr="007D0A84">
        <w:rPr>
          <w:lang w:val="fr-CA"/>
        </w:rPr>
        <w:t>.</w:t>
      </w:r>
    </w:p>
    <w:p w:rsidR="00F376C4" w:rsidRDefault="00F376C4">
      <w:pPr>
        <w:jc w:val="left"/>
        <w:rPr>
          <w:lang w:val="fr-CA"/>
        </w:rPr>
      </w:pPr>
      <w:r>
        <w:rPr>
          <w:lang w:val="fr-CA"/>
        </w:rPr>
        <w:br w:type="page"/>
      </w:r>
    </w:p>
    <w:p w:rsidR="00E83EB0" w:rsidRPr="00744587" w:rsidRDefault="003254CE" w:rsidP="00E83EB0">
      <w:pPr>
        <w:pStyle w:val="Heading1"/>
        <w:rPr>
          <w:lang w:val="fr-CA"/>
        </w:rPr>
      </w:pPr>
      <w:r w:rsidRPr="003254CE">
        <w:rPr>
          <w:lang w:val="fr-CA"/>
        </w:rPr>
        <w:lastRenderedPageBreak/>
        <w:t>L’annexe</w:t>
      </w:r>
      <w:r w:rsidR="006465A1">
        <w:rPr>
          <w:lang w:val="fr-CA"/>
        </w:rPr>
        <w:t> </w:t>
      </w:r>
      <w:r w:rsidRPr="003254CE">
        <w:rPr>
          <w:lang w:val="fr-CA"/>
        </w:rPr>
        <w:t xml:space="preserve">I du présent document montre l’état des contributions supplémentaires, y compris les versements des pays, les décaissements </w:t>
      </w:r>
      <w:r>
        <w:rPr>
          <w:lang w:val="fr-CA"/>
        </w:rPr>
        <w:t xml:space="preserve">et le montant disponible pour la programmation. </w:t>
      </w:r>
    </w:p>
    <w:p w:rsidR="00E83EB0" w:rsidRPr="00D576DE" w:rsidRDefault="00E83EB0" w:rsidP="00E83EB0">
      <w:pPr>
        <w:keepNext/>
        <w:tabs>
          <w:tab w:val="left" w:pos="142"/>
        </w:tabs>
        <w:ind w:left="142"/>
      </w:pPr>
      <w:r w:rsidRPr="00A11B88">
        <w:rPr>
          <w:b/>
          <w:bCs/>
          <w:lang w:val="en-US" w:bidi="hi-IN"/>
        </w:rPr>
        <w:t>Recomm</w:t>
      </w:r>
      <w:r w:rsidR="006465A1">
        <w:rPr>
          <w:b/>
          <w:bCs/>
          <w:lang w:val="en-US" w:bidi="hi-IN"/>
        </w:rPr>
        <w:t>a</w:t>
      </w:r>
      <w:r w:rsidRPr="00A11B88">
        <w:rPr>
          <w:b/>
          <w:bCs/>
          <w:lang w:val="en-US" w:bidi="hi-IN"/>
        </w:rPr>
        <w:t>ndations</w:t>
      </w:r>
    </w:p>
    <w:p w:rsidR="00E83EB0" w:rsidRPr="00A11B88" w:rsidRDefault="00E83EB0" w:rsidP="00E83EB0">
      <w:pPr>
        <w:keepNext/>
        <w:autoSpaceDE w:val="0"/>
        <w:autoSpaceDN w:val="0"/>
        <w:adjustRightInd w:val="0"/>
        <w:rPr>
          <w:b/>
          <w:bCs/>
          <w:lang w:val="en-US" w:bidi="hi-IN"/>
        </w:rPr>
      </w:pPr>
    </w:p>
    <w:p w:rsidR="00E83EB0" w:rsidRPr="00744587" w:rsidRDefault="003254CE" w:rsidP="00E83EB0">
      <w:pPr>
        <w:pStyle w:val="Heading1"/>
        <w:rPr>
          <w:lang w:val="fr-CA" w:bidi="hi-IN"/>
        </w:rPr>
      </w:pPr>
      <w:r w:rsidRPr="00744587">
        <w:rPr>
          <w:lang w:val="fr-CA" w:bidi="hi-IN"/>
        </w:rPr>
        <w:t>Le Comité exécutif pourrait souhaiter</w:t>
      </w:r>
      <w:r w:rsidR="00B078AE" w:rsidRPr="00744587">
        <w:rPr>
          <w:lang w:val="fr-CA" w:bidi="hi-IN"/>
        </w:rPr>
        <w:t> </w:t>
      </w:r>
      <w:r w:rsidRPr="00744587">
        <w:rPr>
          <w:lang w:val="fr-CA" w:bidi="hi-IN"/>
        </w:rPr>
        <w:t xml:space="preserve">: </w:t>
      </w:r>
    </w:p>
    <w:p w:rsidR="00E83EB0" w:rsidRPr="007D5018" w:rsidRDefault="003254CE" w:rsidP="00F570EE">
      <w:pPr>
        <w:pStyle w:val="Heading2"/>
        <w:rPr>
          <w:lang w:val="fr-CA" w:bidi="hi-IN"/>
        </w:rPr>
      </w:pPr>
      <w:r w:rsidRPr="007D5018">
        <w:rPr>
          <w:lang w:val="fr-CA" w:bidi="hi-IN"/>
        </w:rPr>
        <w:t>Prendre note du rapport du Trésorier sur l’état des contributions supplémentaires au Fonds multilatéral et de la disponibilité des ressources figurant dans le document</w:t>
      </w:r>
      <w:r w:rsidR="007D5018" w:rsidRPr="007D5018">
        <w:rPr>
          <w:lang w:val="fr-CA" w:bidi="hi-IN"/>
        </w:rPr>
        <w:t> </w:t>
      </w:r>
      <w:r w:rsidR="00E83EB0" w:rsidRPr="007D5018">
        <w:rPr>
          <w:lang w:val="fr-CA" w:bidi="hi-IN"/>
        </w:rPr>
        <w:t>UNEP/OzL.Pro/ExCom/83/5;</w:t>
      </w:r>
    </w:p>
    <w:p w:rsidR="00E83EB0" w:rsidRPr="007D5018" w:rsidRDefault="003254CE" w:rsidP="009A5EE0">
      <w:pPr>
        <w:pStyle w:val="Heading2"/>
        <w:rPr>
          <w:lang w:val="fr-CA" w:bidi="hi-IN"/>
        </w:rPr>
      </w:pPr>
      <w:r w:rsidRPr="003254CE">
        <w:rPr>
          <w:lang w:val="fr-CA" w:bidi="hi-IN"/>
        </w:rPr>
        <w:t>Demander au Trésorier de présenter à la 84</w:t>
      </w:r>
      <w:r w:rsidRPr="007D5018">
        <w:rPr>
          <w:vertAlign w:val="superscript"/>
          <w:lang w:val="fr-CA" w:bidi="hi-IN"/>
        </w:rPr>
        <w:t>e</w:t>
      </w:r>
      <w:r w:rsidR="007D5018">
        <w:rPr>
          <w:lang w:val="fr-CA" w:bidi="hi-IN"/>
        </w:rPr>
        <w:t> </w:t>
      </w:r>
      <w:r w:rsidRPr="003254CE">
        <w:rPr>
          <w:lang w:val="fr-CA" w:bidi="hi-IN"/>
        </w:rPr>
        <w:t>réunion, dans le cadre des comptes du Fonds multilatéral pour</w:t>
      </w:r>
      <w:r w:rsidR="007D5018">
        <w:rPr>
          <w:lang w:val="fr-CA" w:bidi="hi-IN"/>
        </w:rPr>
        <w:t> </w:t>
      </w:r>
      <w:r w:rsidRPr="003254CE">
        <w:rPr>
          <w:lang w:val="fr-CA" w:bidi="hi-IN"/>
        </w:rPr>
        <w:t>2018,</w:t>
      </w:r>
      <w:r w:rsidR="007D5018">
        <w:rPr>
          <w:lang w:val="fr-CA" w:bidi="hi-IN"/>
        </w:rPr>
        <w:t xml:space="preserve"> un</w:t>
      </w:r>
      <w:r w:rsidR="00B078AE">
        <w:rPr>
          <w:lang w:val="fr-CA" w:bidi="hi-IN"/>
        </w:rPr>
        <w:t> </w:t>
      </w:r>
      <w:r w:rsidRPr="003254CE">
        <w:rPr>
          <w:lang w:val="fr-CA" w:bidi="hi-IN"/>
        </w:rPr>
        <w:t>état certifié des revenus et des décaissements liés aux contributions supplémentaires pour le démarrage rapide des activités d’élimination progressive des HFC, séparément des contributions régulières au Fonds multilatéral.</w:t>
      </w:r>
      <w:r w:rsidR="00E83EB0" w:rsidRPr="007D5018">
        <w:rPr>
          <w:lang w:val="fr-CA" w:bidi="hi-IN"/>
        </w:rPr>
        <w:t xml:space="preserve"> </w:t>
      </w:r>
    </w:p>
    <w:p w:rsidR="00E83EB0" w:rsidRPr="007D5018" w:rsidRDefault="00E83EB0" w:rsidP="00E83EB0">
      <w:pPr>
        <w:rPr>
          <w:lang w:val="fr-CA"/>
        </w:rPr>
      </w:pPr>
    </w:p>
    <w:p w:rsidR="00441083" w:rsidRPr="007D5018" w:rsidRDefault="00441083">
      <w:pPr>
        <w:jc w:val="center"/>
        <w:rPr>
          <w:lang w:val="fr-CA"/>
        </w:rPr>
      </w:pPr>
    </w:p>
    <w:p w:rsidR="00441083" w:rsidRPr="007D5018" w:rsidRDefault="00441083">
      <w:pPr>
        <w:jc w:val="center"/>
        <w:rPr>
          <w:lang w:val="fr-CA"/>
        </w:rPr>
      </w:pPr>
    </w:p>
    <w:p w:rsidR="00441083" w:rsidRPr="007D5018" w:rsidRDefault="00441083">
      <w:pPr>
        <w:jc w:val="center"/>
        <w:rPr>
          <w:lang w:val="fr-CA"/>
        </w:rPr>
      </w:pPr>
    </w:p>
    <w:p w:rsidR="00441083" w:rsidRPr="007D5018" w:rsidRDefault="00441083" w:rsidP="004E3A36">
      <w:pPr>
        <w:pStyle w:val="Heading1"/>
        <w:numPr>
          <w:ilvl w:val="0"/>
          <w:numId w:val="0"/>
        </w:numPr>
        <w:rPr>
          <w:lang w:val="fr-CA"/>
        </w:rPr>
      </w:pPr>
    </w:p>
    <w:p w:rsidR="00441083" w:rsidRPr="007D5018" w:rsidRDefault="00441083">
      <w:pPr>
        <w:pStyle w:val="StyleHeader4Para4Left0Firstline0"/>
        <w:numPr>
          <w:ilvl w:val="0"/>
          <w:numId w:val="0"/>
        </w:numPr>
        <w:rPr>
          <w:lang w:val="fr-CA"/>
        </w:rPr>
      </w:pPr>
    </w:p>
    <w:p w:rsidR="00441083" w:rsidRPr="007D5018" w:rsidRDefault="00441083">
      <w:pPr>
        <w:pStyle w:val="StyleHeader4Para4Left0Firstline0"/>
        <w:numPr>
          <w:ilvl w:val="0"/>
          <w:numId w:val="0"/>
        </w:numPr>
        <w:rPr>
          <w:lang w:val="fr-CA"/>
        </w:rPr>
      </w:pPr>
    </w:p>
    <w:p w:rsidR="00436527" w:rsidRPr="007D5018" w:rsidRDefault="00436527" w:rsidP="007F7965">
      <w:pPr>
        <w:pStyle w:val="Heading1"/>
        <w:numPr>
          <w:ilvl w:val="0"/>
          <w:numId w:val="0"/>
        </w:numPr>
        <w:rPr>
          <w:lang w:val="fr-CA"/>
        </w:rPr>
      </w:pPr>
    </w:p>
    <w:p w:rsidR="00436527" w:rsidRPr="007D5018" w:rsidRDefault="00436527">
      <w:pPr>
        <w:pStyle w:val="StyleHeader4Para4Left0Firstline0"/>
        <w:numPr>
          <w:ilvl w:val="0"/>
          <w:numId w:val="0"/>
        </w:numPr>
        <w:rPr>
          <w:lang w:val="fr-CA"/>
        </w:rPr>
      </w:pPr>
    </w:p>
    <w:p w:rsidR="00436527" w:rsidRPr="007D5018" w:rsidRDefault="00436527">
      <w:pPr>
        <w:pStyle w:val="StyleHeader4Para4Left0Firstline0"/>
        <w:numPr>
          <w:ilvl w:val="0"/>
          <w:numId w:val="0"/>
        </w:numPr>
        <w:rPr>
          <w:lang w:val="fr-CA"/>
        </w:rPr>
      </w:pPr>
    </w:p>
    <w:p w:rsidR="00436527" w:rsidRPr="007D5018" w:rsidRDefault="00436527">
      <w:pPr>
        <w:pStyle w:val="StyleHeader4Para4Left0Firstline0"/>
        <w:numPr>
          <w:ilvl w:val="0"/>
          <w:numId w:val="0"/>
        </w:numPr>
        <w:rPr>
          <w:lang w:val="fr-CA"/>
        </w:rPr>
      </w:pPr>
    </w:p>
    <w:p w:rsidR="00441083" w:rsidRPr="007D5018" w:rsidRDefault="00441083">
      <w:pPr>
        <w:pStyle w:val="StyleHeader4Para4Left0Firstline0"/>
        <w:numPr>
          <w:ilvl w:val="0"/>
          <w:numId w:val="0"/>
        </w:numPr>
        <w:rPr>
          <w:lang w:val="fr-CA"/>
        </w:rPr>
      </w:pPr>
    </w:p>
    <w:p w:rsidR="00441083" w:rsidRPr="007D5018" w:rsidRDefault="00E60D9C">
      <w:pPr>
        <w:pStyle w:val="StyleHeader4Para4Left0Firstline0"/>
        <w:numPr>
          <w:ilvl w:val="0"/>
          <w:numId w:val="0"/>
        </w:numPr>
        <w:rPr>
          <w:lang w:val="fr-CA"/>
        </w:rPr>
      </w:pPr>
      <w:r w:rsidRPr="007D5018">
        <w:rPr>
          <w:lang w:val="fr-CA"/>
        </w:rPr>
        <w:br w:type="page"/>
      </w:r>
    </w:p>
    <w:p w:rsidR="00441083" w:rsidRPr="007D5018" w:rsidRDefault="00441083">
      <w:pPr>
        <w:rPr>
          <w:lang w:val="fr-CA"/>
        </w:rPr>
        <w:sectPr w:rsidR="00441083" w:rsidRPr="007D5018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 w:code="1"/>
          <w:pgMar w:top="720" w:right="1440" w:bottom="864" w:left="1440" w:header="720" w:footer="475" w:gutter="0"/>
          <w:cols w:space="720"/>
          <w:titlePg/>
        </w:sectPr>
      </w:pPr>
    </w:p>
    <w:p w:rsidR="00441083" w:rsidRPr="00744587" w:rsidRDefault="00E60D9C">
      <w:pPr>
        <w:jc w:val="center"/>
        <w:rPr>
          <w:b/>
          <w:lang w:val="fr-CA"/>
        </w:rPr>
      </w:pPr>
      <w:r w:rsidRPr="00744587">
        <w:rPr>
          <w:b/>
          <w:lang w:val="fr-CA"/>
        </w:rPr>
        <w:lastRenderedPageBreak/>
        <w:t>Annexe</w:t>
      </w:r>
      <w:r w:rsidR="007D5018" w:rsidRPr="00744587">
        <w:rPr>
          <w:b/>
          <w:lang w:val="fr-CA"/>
        </w:rPr>
        <w:t> </w:t>
      </w:r>
      <w:r w:rsidRPr="00744587">
        <w:rPr>
          <w:b/>
          <w:lang w:val="fr-CA"/>
        </w:rPr>
        <w:t>I</w:t>
      </w:r>
    </w:p>
    <w:p w:rsidR="00E83EB0" w:rsidRPr="00744587" w:rsidRDefault="00E83EB0" w:rsidP="00E83EB0">
      <w:pPr>
        <w:jc w:val="center"/>
        <w:rPr>
          <w:b/>
          <w:lang w:val="fr-CA"/>
        </w:rPr>
      </w:pPr>
    </w:p>
    <w:p w:rsidR="007D5018" w:rsidRDefault="003254CE" w:rsidP="00B851B8">
      <w:pPr>
        <w:jc w:val="center"/>
        <w:rPr>
          <w:b/>
          <w:lang w:val="fr-CA"/>
        </w:rPr>
      </w:pPr>
      <w:r w:rsidRPr="003254CE">
        <w:rPr>
          <w:b/>
          <w:lang w:val="fr-CA"/>
        </w:rPr>
        <w:t xml:space="preserve">CONTRIBUTIONS SUPPLÉMENTAIRES </w:t>
      </w:r>
    </w:p>
    <w:p w:rsidR="007D5018" w:rsidRPr="00744587" w:rsidRDefault="004849CC" w:rsidP="007D5018">
      <w:pPr>
        <w:jc w:val="center"/>
        <w:rPr>
          <w:b/>
          <w:lang w:val="fr-CA"/>
        </w:rPr>
      </w:pPr>
      <w:r>
        <w:rPr>
          <w:b/>
          <w:lang w:val="fr-CA"/>
        </w:rPr>
        <w:t>DE</w:t>
      </w:r>
      <w:r w:rsidR="003254CE" w:rsidRPr="003254CE">
        <w:rPr>
          <w:b/>
          <w:lang w:val="fr-CA"/>
        </w:rPr>
        <w:t xml:space="preserve"> 17</w:t>
      </w:r>
      <w:r w:rsidR="00B078AE">
        <w:rPr>
          <w:b/>
          <w:lang w:val="fr-CA"/>
        </w:rPr>
        <w:t> </w:t>
      </w:r>
      <w:r w:rsidR="003254CE" w:rsidRPr="003254CE">
        <w:rPr>
          <w:b/>
          <w:lang w:val="fr-CA"/>
        </w:rPr>
        <w:t xml:space="preserve">PAYS DONATEURS </w:t>
      </w:r>
      <w:r w:rsidR="00B851B8" w:rsidRPr="003254CE">
        <w:rPr>
          <w:b/>
          <w:lang w:val="fr-CA"/>
        </w:rPr>
        <w:t>AU FONDS MULTILATÉRAL</w:t>
      </w:r>
    </w:p>
    <w:p w:rsidR="00E83EB0" w:rsidRPr="00744587" w:rsidRDefault="00E83EB0" w:rsidP="00E83EB0">
      <w:pPr>
        <w:jc w:val="center"/>
        <w:rPr>
          <w:b/>
          <w:lang w:val="fr-CA"/>
        </w:rPr>
      </w:pPr>
    </w:p>
    <w:p w:rsidR="00E83EB0" w:rsidRPr="00744587" w:rsidRDefault="003254CE" w:rsidP="00E83EB0">
      <w:pPr>
        <w:jc w:val="center"/>
        <w:rPr>
          <w:b/>
          <w:lang w:val="fr-CA"/>
        </w:rPr>
      </w:pPr>
      <w:r w:rsidRPr="00744587">
        <w:rPr>
          <w:b/>
          <w:lang w:val="fr-CA"/>
        </w:rPr>
        <w:t>Au 30</w:t>
      </w:r>
      <w:r w:rsidR="00B078AE" w:rsidRPr="00744587">
        <w:rPr>
          <w:b/>
          <w:lang w:val="fr-CA"/>
        </w:rPr>
        <w:t> </w:t>
      </w:r>
      <w:r w:rsidRPr="00744587">
        <w:rPr>
          <w:b/>
          <w:lang w:val="fr-CA"/>
        </w:rPr>
        <w:t>avril</w:t>
      </w:r>
      <w:r w:rsidR="00B078AE" w:rsidRPr="00744587">
        <w:rPr>
          <w:b/>
          <w:lang w:val="fr-CA"/>
        </w:rPr>
        <w:t> </w:t>
      </w:r>
      <w:r w:rsidRPr="00744587">
        <w:rPr>
          <w:b/>
          <w:lang w:val="fr-CA"/>
        </w:rPr>
        <w:t>2019</w:t>
      </w:r>
    </w:p>
    <w:p w:rsidR="00E83EB0" w:rsidRPr="00744587" w:rsidRDefault="00E83EB0" w:rsidP="00E83EB0">
      <w:pPr>
        <w:pStyle w:val="0Heading0"/>
        <w:jc w:val="both"/>
        <w:rPr>
          <w:lang w:val="fr-C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1620"/>
        <w:gridCol w:w="1620"/>
        <w:gridCol w:w="1620"/>
      </w:tblGrid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center"/>
            <w:hideMark/>
          </w:tcPr>
          <w:p w:rsidR="00E83EB0" w:rsidRPr="004849CC" w:rsidRDefault="003254CE" w:rsidP="0096246D">
            <w:pPr>
              <w:jc w:val="left"/>
              <w:rPr>
                <w:b/>
                <w:color w:val="000000" w:themeColor="text1"/>
                <w:lang w:val="en-CA" w:eastAsia="en-CA"/>
              </w:rPr>
            </w:pPr>
            <w:r w:rsidRPr="004849CC">
              <w:rPr>
                <w:b/>
                <w:color w:val="000000" w:themeColor="text1"/>
                <w:lang w:val="en-CA" w:eastAsia="en-CA"/>
              </w:rPr>
              <w:t>Partie</w:t>
            </w:r>
          </w:p>
        </w:tc>
        <w:tc>
          <w:tcPr>
            <w:tcW w:w="162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E83EB0" w:rsidRPr="004849CC" w:rsidRDefault="00E83EB0" w:rsidP="0096246D">
            <w:pPr>
              <w:jc w:val="center"/>
              <w:rPr>
                <w:b/>
                <w:color w:val="000000" w:themeColor="text1"/>
                <w:lang w:val="en-CA" w:eastAsia="en-CA"/>
              </w:rPr>
            </w:pPr>
            <w:r w:rsidRPr="004849CC">
              <w:rPr>
                <w:b/>
                <w:color w:val="000000" w:themeColor="text1"/>
                <w:lang w:val="en-CA" w:eastAsia="en-CA"/>
              </w:rPr>
              <w:t>Contribution</w:t>
            </w:r>
            <w:r w:rsidR="007D5018" w:rsidRPr="004849CC">
              <w:rPr>
                <w:b/>
                <w:color w:val="000000" w:themeColor="text1"/>
                <w:lang w:val="en-CA" w:eastAsia="en-CA"/>
              </w:rPr>
              <w:t xml:space="preserve"> en</w:t>
            </w:r>
            <w:r w:rsidRPr="004849CC">
              <w:rPr>
                <w:b/>
                <w:color w:val="000000" w:themeColor="text1"/>
                <w:lang w:val="en-CA" w:eastAsia="en-CA"/>
              </w:rPr>
              <w:t xml:space="preserve"> </w:t>
            </w:r>
            <w:r w:rsidR="003254CE" w:rsidRPr="004849CC">
              <w:rPr>
                <w:b/>
                <w:color w:val="000000" w:themeColor="text1"/>
                <w:lang w:val="en-CA" w:eastAsia="en-CA"/>
              </w:rPr>
              <w:t xml:space="preserve">$US </w:t>
            </w:r>
          </w:p>
        </w:tc>
        <w:tc>
          <w:tcPr>
            <w:tcW w:w="162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E83EB0" w:rsidRPr="004849CC" w:rsidRDefault="003254CE" w:rsidP="0096246D">
            <w:pPr>
              <w:jc w:val="center"/>
              <w:rPr>
                <w:b/>
                <w:color w:val="000000" w:themeColor="text1"/>
                <w:lang w:val="en-CA" w:eastAsia="en-CA"/>
              </w:rPr>
            </w:pPr>
            <w:r w:rsidRPr="004849CC">
              <w:rPr>
                <w:b/>
                <w:color w:val="000000" w:themeColor="text1"/>
                <w:lang w:val="en-CA" w:eastAsia="en-CA"/>
              </w:rPr>
              <w:t>Devise utilisée</w:t>
            </w:r>
          </w:p>
        </w:tc>
        <w:tc>
          <w:tcPr>
            <w:tcW w:w="162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E83EB0" w:rsidRPr="004849CC" w:rsidRDefault="003254CE" w:rsidP="0096246D">
            <w:pPr>
              <w:jc w:val="center"/>
              <w:rPr>
                <w:b/>
                <w:color w:val="000000" w:themeColor="text1"/>
                <w:lang w:val="en-CA" w:eastAsia="en-CA"/>
              </w:rPr>
            </w:pPr>
            <w:r w:rsidRPr="004849CC">
              <w:rPr>
                <w:b/>
                <w:color w:val="000000" w:themeColor="text1"/>
                <w:lang w:val="en-CA" w:eastAsia="en-CA"/>
              </w:rPr>
              <w:t xml:space="preserve">Montant réel </w:t>
            </w:r>
            <w:r w:rsidR="00E83EB0" w:rsidRPr="004849CC">
              <w:rPr>
                <w:b/>
                <w:color w:val="000000" w:themeColor="text1"/>
                <w:lang w:val="en-CA" w:eastAsia="en-CA"/>
              </w:rPr>
              <w:t>(</w:t>
            </w:r>
            <w:r w:rsidR="007D5018" w:rsidRPr="004849CC">
              <w:rPr>
                <w:b/>
                <w:color w:val="000000" w:themeColor="text1"/>
                <w:lang w:val="en-CA" w:eastAsia="en-CA"/>
              </w:rPr>
              <w:t>$</w:t>
            </w:r>
            <w:r w:rsidR="00E83EB0" w:rsidRPr="004849CC">
              <w:rPr>
                <w:b/>
                <w:color w:val="000000" w:themeColor="text1"/>
                <w:lang w:val="en-CA" w:eastAsia="en-CA"/>
              </w:rPr>
              <w:t>US)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E83EB0" w:rsidP="0096246D">
            <w:pPr>
              <w:jc w:val="left"/>
              <w:rPr>
                <w:b/>
                <w:bCs/>
                <w:color w:val="000000" w:themeColor="text1"/>
                <w:lang w:val="en-CA" w:eastAsia="en-CA"/>
              </w:rPr>
            </w:pPr>
            <w:r w:rsidRPr="004849CC">
              <w:rPr>
                <w:b/>
                <w:bCs/>
                <w:color w:val="000000" w:themeColor="text1"/>
                <w:lang w:val="en-CA" w:eastAsia="en-CA"/>
              </w:rPr>
              <w:t>Contribution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83EB0" w:rsidRPr="004849CC" w:rsidRDefault="00E83EB0" w:rsidP="0096246D">
            <w:pPr>
              <w:jc w:val="lef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83EB0" w:rsidRPr="004849CC" w:rsidRDefault="00E83EB0" w:rsidP="0096246D">
            <w:pPr>
              <w:jc w:val="lef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83EB0" w:rsidRPr="004849CC" w:rsidRDefault="00E83EB0" w:rsidP="0096246D">
            <w:pPr>
              <w:jc w:val="lef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 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E83EB0" w:rsidP="0096246D">
            <w:pPr>
              <w:jc w:val="lef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Australi</w:t>
            </w:r>
            <w:r w:rsidR="00936D93" w:rsidRPr="004849CC">
              <w:rPr>
                <w:color w:val="000000" w:themeColor="text1"/>
                <w:lang w:val="en-CA" w:eastAsia="en-CA"/>
              </w:rPr>
              <w:t>e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920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AUD 1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014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604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775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334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E83EB0" w:rsidP="0096246D">
            <w:pPr>
              <w:jc w:val="lef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Canada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1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300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CAD 1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500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1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175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364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E83EB0" w:rsidP="0096246D">
            <w:pPr>
              <w:jc w:val="lef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D</w:t>
            </w:r>
            <w:r w:rsidR="00936D93" w:rsidRPr="004849CC">
              <w:rPr>
                <w:color w:val="000000" w:themeColor="text1"/>
                <w:lang w:val="en-CA" w:eastAsia="en-CA"/>
              </w:rPr>
              <w:t>ane</w:t>
            </w:r>
            <w:r w:rsidRPr="004849CC">
              <w:rPr>
                <w:color w:val="000000" w:themeColor="text1"/>
                <w:lang w:val="en-CA" w:eastAsia="en-CA"/>
              </w:rPr>
              <w:t>mark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300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DKK 1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500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214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516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E83EB0" w:rsidP="0096246D">
            <w:pPr>
              <w:jc w:val="lef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Finland</w:t>
            </w:r>
            <w:r w:rsidR="00936D93" w:rsidRPr="004849CC">
              <w:rPr>
                <w:color w:val="000000" w:themeColor="text1"/>
                <w:lang w:val="en-CA" w:eastAsia="en-CA"/>
              </w:rPr>
              <w:t>e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230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EUR 200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222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160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E83EB0" w:rsidP="0096246D">
            <w:pPr>
              <w:jc w:val="lef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France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2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500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EUR 1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824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175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2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102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909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936D93" w:rsidP="0096246D">
            <w:pPr>
              <w:jc w:val="lef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Allemagne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3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200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EUR 2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832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3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355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354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E83EB0" w:rsidP="0096246D">
            <w:pPr>
              <w:jc w:val="lef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I</w:t>
            </w:r>
            <w:r w:rsidR="00936D93" w:rsidRPr="004849CC">
              <w:rPr>
                <w:color w:val="000000" w:themeColor="text1"/>
                <w:lang w:val="en-CA" w:eastAsia="en-CA"/>
              </w:rPr>
              <w:t>rlande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190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190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E83EB0" w:rsidP="0096246D">
            <w:pPr>
              <w:jc w:val="lef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Ital</w:t>
            </w:r>
            <w:r w:rsidR="00936D93" w:rsidRPr="004849CC">
              <w:rPr>
                <w:color w:val="000000" w:themeColor="text1"/>
                <w:lang w:val="en-CA" w:eastAsia="en-CA"/>
              </w:rPr>
              <w:t>ie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2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2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E83EB0" w:rsidP="0096246D">
            <w:pPr>
              <w:jc w:val="lef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Jap</w:t>
            </w:r>
            <w:r w:rsidR="00936D93" w:rsidRPr="004849CC">
              <w:rPr>
                <w:color w:val="000000" w:themeColor="text1"/>
                <w:lang w:val="en-CA" w:eastAsia="en-CA"/>
              </w:rPr>
              <w:t>on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4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800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4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800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E83EB0" w:rsidP="0096246D">
            <w:pPr>
              <w:jc w:val="lef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Luxembourg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39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199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EUR 35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200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39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199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936D93" w:rsidP="0096246D">
            <w:pPr>
              <w:jc w:val="lef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Pays-Bas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730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730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B078AE" w:rsidP="0096246D">
            <w:pPr>
              <w:jc w:val="lef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Nouvelle-Zélande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110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NZD 155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108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004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E83EB0" w:rsidP="0096246D">
            <w:pPr>
              <w:jc w:val="lef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Nor</w:t>
            </w:r>
            <w:r w:rsidR="00936D93" w:rsidRPr="004849CC">
              <w:rPr>
                <w:color w:val="000000" w:themeColor="text1"/>
                <w:lang w:val="en-CA" w:eastAsia="en-CA"/>
              </w:rPr>
              <w:t>vège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380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NOK 2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300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276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575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E83EB0" w:rsidP="0096246D">
            <w:pPr>
              <w:jc w:val="lef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S</w:t>
            </w:r>
            <w:r w:rsidR="00936D93" w:rsidRPr="004849CC">
              <w:rPr>
                <w:color w:val="000000" w:themeColor="text1"/>
                <w:lang w:val="en-CA" w:eastAsia="en-CA"/>
              </w:rPr>
              <w:t>uède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430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SEK 2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008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166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238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144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E83EB0" w:rsidP="0096246D">
            <w:pPr>
              <w:jc w:val="lef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S</w:t>
            </w:r>
            <w:r w:rsidR="00936D93" w:rsidRPr="004849CC">
              <w:rPr>
                <w:color w:val="000000" w:themeColor="text1"/>
                <w:lang w:val="en-CA" w:eastAsia="en-CA"/>
              </w:rPr>
              <w:t>uisse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460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460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3254CE" w:rsidP="0096246D">
            <w:pPr>
              <w:jc w:val="left"/>
              <w:rPr>
                <w:color w:val="000000" w:themeColor="text1"/>
                <w:lang w:val="fr-CA" w:eastAsia="en-CA"/>
              </w:rPr>
            </w:pPr>
            <w:r w:rsidRPr="004849CC">
              <w:rPr>
                <w:color w:val="000000" w:themeColor="text1"/>
                <w:lang w:val="fr-CA" w:eastAsia="en-CA"/>
              </w:rPr>
              <w:t>Royaume-Uni de Grande-Bretagne et d’Irlande du Nord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2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300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GBP 1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381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917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1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825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512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936D93" w:rsidP="0096246D">
            <w:pPr>
              <w:jc w:val="lef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États-Unis d’Amérique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7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7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3254CE" w:rsidP="0096246D">
            <w:pPr>
              <w:jc w:val="left"/>
              <w:rPr>
                <w:color w:val="000000" w:themeColor="text1"/>
                <w:lang w:val="fr-CA" w:eastAsia="en-CA"/>
              </w:rPr>
            </w:pPr>
            <w:r w:rsidRPr="004849CC">
              <w:rPr>
                <w:color w:val="000000" w:themeColor="text1"/>
                <w:lang w:val="fr-CA" w:eastAsia="en-CA"/>
              </w:rPr>
              <w:t>Contribution totale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26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889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199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25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513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071</w:t>
            </w:r>
          </w:p>
        </w:tc>
      </w:tr>
      <w:tr w:rsidR="00E83EB0" w:rsidRPr="007D5018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3254CE" w:rsidP="0096246D">
            <w:pPr>
              <w:jc w:val="left"/>
              <w:rPr>
                <w:b/>
                <w:bCs/>
                <w:color w:val="000000" w:themeColor="text1"/>
                <w:lang w:val="fr-CA" w:eastAsia="en-CA"/>
              </w:rPr>
            </w:pPr>
            <w:bookmarkStart w:id="1" w:name="RANGE!A22"/>
            <w:r w:rsidRPr="004849CC">
              <w:rPr>
                <w:b/>
                <w:bCs/>
                <w:color w:val="000000" w:themeColor="text1"/>
                <w:lang w:val="fr-CA" w:eastAsia="en-CA"/>
              </w:rPr>
              <w:t>Décaissement (</w:t>
            </w:r>
            <w:r w:rsidR="007D5018" w:rsidRPr="004849CC">
              <w:rPr>
                <w:b/>
                <w:bCs/>
                <w:color w:val="000000" w:themeColor="text1"/>
                <w:lang w:val="fr-CA" w:eastAsia="en-CA"/>
              </w:rPr>
              <w:t xml:space="preserve">par </w:t>
            </w:r>
            <w:r w:rsidRPr="004849CC">
              <w:rPr>
                <w:b/>
                <w:bCs/>
                <w:color w:val="000000" w:themeColor="text1"/>
                <w:lang w:val="fr-CA" w:eastAsia="en-CA"/>
              </w:rPr>
              <w:t>réunion)</w:t>
            </w:r>
            <w:bookmarkEnd w:id="1"/>
            <w:r w:rsidR="00E83EB0" w:rsidRPr="004849CC">
              <w:rPr>
                <w:b/>
                <w:bCs/>
                <w:color w:val="000000" w:themeColor="text1"/>
                <w:lang w:val="fr-CA" w:eastAsia="en-CA"/>
              </w:rPr>
              <w:t>(*)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fr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fr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fr-CA" w:eastAsia="en-CA"/>
              </w:rPr>
            </w:pP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7D5018" w:rsidP="0096246D">
            <w:pPr>
              <w:jc w:val="left"/>
              <w:rPr>
                <w:color w:val="000000" w:themeColor="text1"/>
                <w:lang w:val="fr-CA" w:eastAsia="en-CA"/>
              </w:rPr>
            </w:pPr>
            <w:bookmarkStart w:id="2" w:name="RANGE!A23"/>
            <w:r w:rsidRPr="004849CC">
              <w:rPr>
                <w:color w:val="000000" w:themeColor="text1"/>
                <w:lang w:val="fr-CA" w:eastAsia="en-CA"/>
              </w:rPr>
              <w:t>Frais de</w:t>
            </w:r>
            <w:r w:rsidR="003254CE" w:rsidRPr="004849CC">
              <w:rPr>
                <w:color w:val="000000" w:themeColor="text1"/>
                <w:lang w:val="fr-CA" w:eastAsia="en-CA"/>
              </w:rPr>
              <w:t xml:space="preserve"> consultants pour la 79</w:t>
            </w:r>
            <w:r w:rsidR="003254CE" w:rsidRPr="004849CC">
              <w:rPr>
                <w:color w:val="000000" w:themeColor="text1"/>
                <w:vertAlign w:val="superscript"/>
                <w:lang w:val="fr-CA" w:eastAsia="en-CA"/>
              </w:rPr>
              <w:t>e</w:t>
            </w:r>
            <w:r w:rsidR="00B078AE" w:rsidRPr="004849CC">
              <w:rPr>
                <w:color w:val="000000" w:themeColor="text1"/>
                <w:lang w:val="fr-CA" w:eastAsia="en-CA"/>
              </w:rPr>
              <w:t> </w:t>
            </w:r>
            <w:r w:rsidR="003254CE" w:rsidRPr="004849CC">
              <w:rPr>
                <w:color w:val="000000" w:themeColor="text1"/>
                <w:lang w:val="fr-CA" w:eastAsia="en-CA"/>
              </w:rPr>
              <w:t>réunion</w:t>
            </w:r>
            <w:r w:rsidR="00E83EB0" w:rsidRPr="004849CC">
              <w:rPr>
                <w:color w:val="000000" w:themeColor="text1"/>
                <w:lang w:val="fr-CA" w:eastAsia="en-CA"/>
              </w:rPr>
              <w:t xml:space="preserve">(**) </w:t>
            </w:r>
            <w:bookmarkEnd w:id="2"/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fr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fr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100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000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E83EB0" w:rsidP="0096246D">
            <w:pPr>
              <w:jc w:val="lef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80</w:t>
            </w:r>
            <w:r w:rsidR="00936D93" w:rsidRPr="004849CC">
              <w:rPr>
                <w:color w:val="000000" w:themeColor="text1"/>
                <w:vertAlign w:val="superscript"/>
                <w:lang w:val="en-CA" w:eastAsia="en-CA"/>
              </w:rPr>
              <w:t>e</w:t>
            </w:r>
            <w:r w:rsidR="00F67828" w:rsidRPr="004849CC">
              <w:rPr>
                <w:color w:val="000000" w:themeColor="text1"/>
                <w:vertAlign w:val="superscript"/>
                <w:lang w:val="en-CA" w:eastAsia="en-CA"/>
              </w:rPr>
              <w:t> </w:t>
            </w:r>
            <w:r w:rsidR="009A5EE0" w:rsidRPr="004849CC">
              <w:rPr>
                <w:color w:val="000000" w:themeColor="text1"/>
                <w:lang w:val="en-CA" w:eastAsia="en-CA"/>
              </w:rPr>
              <w:t>r</w:t>
            </w:r>
            <w:r w:rsidR="00CC34C9" w:rsidRPr="004849CC">
              <w:rPr>
                <w:color w:val="000000" w:themeColor="text1"/>
                <w:lang w:val="en-CA" w:eastAsia="en-CA"/>
              </w:rPr>
              <w:t>é</w:t>
            </w:r>
            <w:r w:rsidR="009A5EE0" w:rsidRPr="004849CC">
              <w:rPr>
                <w:color w:val="000000" w:themeColor="text1"/>
                <w:lang w:val="en-CA" w:eastAsia="en-CA"/>
              </w:rPr>
              <w:t>union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12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488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623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E83EB0" w:rsidP="0096246D">
            <w:pPr>
              <w:jc w:val="lef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81</w:t>
            </w:r>
            <w:r w:rsidR="00936D93" w:rsidRPr="004849CC">
              <w:rPr>
                <w:color w:val="000000" w:themeColor="text1"/>
                <w:vertAlign w:val="superscript"/>
                <w:lang w:val="en-CA" w:eastAsia="en-CA"/>
              </w:rPr>
              <w:t>e</w:t>
            </w:r>
            <w:r w:rsidR="00F67828" w:rsidRPr="004849CC">
              <w:rPr>
                <w:color w:val="000000" w:themeColor="text1"/>
                <w:vertAlign w:val="superscript"/>
                <w:lang w:val="en-CA" w:eastAsia="en-CA"/>
              </w:rPr>
              <w:t> </w:t>
            </w:r>
            <w:r w:rsidR="009A5EE0" w:rsidRPr="004849CC">
              <w:rPr>
                <w:color w:val="000000" w:themeColor="text1"/>
                <w:lang w:val="en-CA" w:eastAsia="en-CA"/>
              </w:rPr>
              <w:t>r</w:t>
            </w:r>
            <w:r w:rsidR="00CC34C9" w:rsidRPr="004849CC">
              <w:rPr>
                <w:color w:val="000000" w:themeColor="text1"/>
                <w:lang w:val="en-CA" w:eastAsia="en-CA"/>
              </w:rPr>
              <w:t>é</w:t>
            </w:r>
            <w:r w:rsidR="009A5EE0" w:rsidRPr="004849CC">
              <w:rPr>
                <w:color w:val="000000" w:themeColor="text1"/>
                <w:lang w:val="en-CA" w:eastAsia="en-CA"/>
              </w:rPr>
              <w:t>union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10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515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677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E83EB0" w:rsidP="0096246D">
            <w:pPr>
              <w:jc w:val="lef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82</w:t>
            </w:r>
            <w:r w:rsidR="00936D93" w:rsidRPr="004849CC">
              <w:rPr>
                <w:color w:val="000000" w:themeColor="text1"/>
                <w:vertAlign w:val="superscript"/>
                <w:lang w:val="en-CA" w:eastAsia="en-CA"/>
              </w:rPr>
              <w:t>e</w:t>
            </w:r>
            <w:r w:rsidR="00F67828" w:rsidRPr="004849CC">
              <w:rPr>
                <w:color w:val="000000" w:themeColor="text1"/>
                <w:lang w:val="en-CA" w:eastAsia="en-CA"/>
              </w:rPr>
              <w:t> </w:t>
            </w:r>
            <w:r w:rsidR="009A5EE0" w:rsidRPr="004849CC">
              <w:rPr>
                <w:color w:val="000000" w:themeColor="text1"/>
                <w:lang w:val="en-CA" w:eastAsia="en-CA"/>
              </w:rPr>
              <w:t>r</w:t>
            </w:r>
            <w:r w:rsidR="00CC34C9" w:rsidRPr="004849CC">
              <w:rPr>
                <w:color w:val="000000" w:themeColor="text1"/>
                <w:lang w:val="en-CA" w:eastAsia="en-CA"/>
              </w:rPr>
              <w:t>é</w:t>
            </w:r>
            <w:r w:rsidR="009A5EE0" w:rsidRPr="004849CC">
              <w:rPr>
                <w:color w:val="000000" w:themeColor="text1"/>
                <w:lang w:val="en-CA" w:eastAsia="en-CA"/>
              </w:rPr>
              <w:t>union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2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398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880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7D5018" w:rsidP="0096246D">
            <w:pPr>
              <w:jc w:val="lef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Décaissement t</w:t>
            </w:r>
            <w:r w:rsidR="003254CE" w:rsidRPr="004849CC">
              <w:rPr>
                <w:color w:val="000000" w:themeColor="text1"/>
                <w:lang w:val="en-CA" w:eastAsia="en-CA"/>
              </w:rPr>
              <w:t>otal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25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503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180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3254CE" w:rsidP="0096246D">
            <w:pPr>
              <w:jc w:val="left"/>
              <w:rPr>
                <w:b/>
                <w:bCs/>
                <w:color w:val="000000" w:themeColor="text1"/>
                <w:lang w:val="en-CA" w:eastAsia="en-CA"/>
              </w:rPr>
            </w:pPr>
            <w:r w:rsidRPr="004849CC">
              <w:rPr>
                <w:b/>
                <w:bCs/>
                <w:color w:val="000000" w:themeColor="text1"/>
                <w:lang w:val="en-CA" w:eastAsia="en-CA"/>
              </w:rPr>
              <w:t>Solde disponible</w:t>
            </w:r>
            <w:r w:rsidR="00E83EB0" w:rsidRPr="004849CC">
              <w:rPr>
                <w:b/>
                <w:bCs/>
                <w:color w:val="000000" w:themeColor="text1"/>
                <w:lang w:val="en-CA" w:eastAsia="en-CA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3254CE" w:rsidP="0096246D">
            <w:pPr>
              <w:jc w:val="left"/>
              <w:rPr>
                <w:color w:val="000000" w:themeColor="text1"/>
                <w:lang w:val="fr-CA" w:eastAsia="en-CA"/>
              </w:rPr>
            </w:pPr>
            <w:r w:rsidRPr="004849CC">
              <w:rPr>
                <w:color w:val="000000" w:themeColor="text1"/>
                <w:lang w:val="fr-CA" w:eastAsia="en-CA"/>
              </w:rPr>
              <w:t xml:space="preserve">Solde </w:t>
            </w:r>
            <w:r w:rsidR="007D5018" w:rsidRPr="004849CC">
              <w:rPr>
                <w:color w:val="000000" w:themeColor="text1"/>
                <w:lang w:val="fr-CA" w:eastAsia="en-CA"/>
              </w:rPr>
              <w:t xml:space="preserve">à la </w:t>
            </w:r>
            <w:r w:rsidRPr="004849CC">
              <w:rPr>
                <w:color w:val="000000" w:themeColor="text1"/>
                <w:lang w:val="fr-CA" w:eastAsia="en-CA"/>
              </w:rPr>
              <w:t>fin de la 82</w:t>
            </w:r>
            <w:r w:rsidRPr="004849CC">
              <w:rPr>
                <w:color w:val="000000" w:themeColor="text1"/>
                <w:vertAlign w:val="superscript"/>
                <w:lang w:val="fr-CA" w:eastAsia="en-CA"/>
              </w:rPr>
              <w:t>e</w:t>
            </w:r>
            <w:r w:rsidR="007D5018" w:rsidRPr="004849CC">
              <w:rPr>
                <w:color w:val="000000" w:themeColor="text1"/>
                <w:lang w:val="fr-CA" w:eastAsia="en-CA"/>
              </w:rPr>
              <w:t> </w:t>
            </w:r>
            <w:r w:rsidRPr="004849CC">
              <w:rPr>
                <w:color w:val="000000" w:themeColor="text1"/>
                <w:lang w:val="fr-CA" w:eastAsia="en-CA"/>
              </w:rPr>
              <w:t xml:space="preserve">réunion 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fr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fr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9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891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3254CE" w:rsidP="0096246D">
            <w:pPr>
              <w:jc w:val="lef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Intérêts accumulés au 31</w:t>
            </w:r>
            <w:r w:rsidR="00B078AE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décembre</w:t>
            </w:r>
            <w:r w:rsidR="00B078AE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2018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251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138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3254CE" w:rsidP="0096246D">
            <w:pPr>
              <w:jc w:val="left"/>
              <w:rPr>
                <w:color w:val="000000" w:themeColor="text1"/>
                <w:lang w:val="fr-CA" w:eastAsia="en-CA"/>
              </w:rPr>
            </w:pPr>
            <w:r w:rsidRPr="004849CC">
              <w:rPr>
                <w:color w:val="000000" w:themeColor="text1"/>
                <w:lang w:val="fr-CA" w:eastAsia="en-CA"/>
              </w:rPr>
              <w:t xml:space="preserve">Solde non utilisé </w:t>
            </w:r>
            <w:r w:rsidR="00F67828" w:rsidRPr="004849CC">
              <w:rPr>
                <w:color w:val="000000" w:themeColor="text1"/>
                <w:lang w:val="fr-CA" w:eastAsia="en-CA"/>
              </w:rPr>
              <w:t>lié</w:t>
            </w:r>
            <w:r w:rsidRPr="004849CC">
              <w:rPr>
                <w:color w:val="000000" w:themeColor="text1"/>
                <w:lang w:val="fr-CA" w:eastAsia="en-CA"/>
              </w:rPr>
              <w:t xml:space="preserve"> aux frais de consultants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fr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fr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color w:val="000000" w:themeColor="text1"/>
                <w:lang w:val="en-CA" w:eastAsia="en-CA"/>
              </w:rPr>
            </w:pPr>
            <w:r w:rsidRPr="004849CC">
              <w:rPr>
                <w:color w:val="000000" w:themeColor="text1"/>
                <w:lang w:val="en-CA" w:eastAsia="en-CA"/>
              </w:rPr>
              <w:t>18</w:t>
            </w:r>
            <w:r w:rsidR="00936D93" w:rsidRPr="004849CC">
              <w:rPr>
                <w:color w:val="000000" w:themeColor="text1"/>
                <w:lang w:val="en-CA" w:eastAsia="en-CA"/>
              </w:rPr>
              <w:t> </w:t>
            </w:r>
            <w:r w:rsidRPr="004849CC">
              <w:rPr>
                <w:color w:val="000000" w:themeColor="text1"/>
                <w:lang w:val="en-CA" w:eastAsia="en-CA"/>
              </w:rPr>
              <w:t>003</w:t>
            </w:r>
          </w:p>
        </w:tc>
      </w:tr>
      <w:tr w:rsidR="00E83EB0" w:rsidRPr="00517D51" w:rsidTr="0096246D">
        <w:tc>
          <w:tcPr>
            <w:tcW w:w="4495" w:type="dxa"/>
            <w:shd w:val="clear" w:color="auto" w:fill="auto"/>
            <w:noWrap/>
            <w:tcMar>
              <w:left w:w="29" w:type="dxa"/>
              <w:right w:w="0" w:type="dxa"/>
            </w:tcMar>
            <w:vAlign w:val="bottom"/>
            <w:hideMark/>
          </w:tcPr>
          <w:p w:rsidR="00E83EB0" w:rsidRPr="004849CC" w:rsidRDefault="003254CE" w:rsidP="0096246D">
            <w:pPr>
              <w:jc w:val="left"/>
              <w:rPr>
                <w:b/>
                <w:bCs/>
                <w:color w:val="000000" w:themeColor="text1"/>
                <w:lang w:val="fr-CA" w:eastAsia="en-CA"/>
              </w:rPr>
            </w:pPr>
            <w:r w:rsidRPr="004849CC">
              <w:rPr>
                <w:b/>
                <w:bCs/>
                <w:color w:val="000000" w:themeColor="text1"/>
                <w:lang w:val="fr-CA" w:eastAsia="en-CA"/>
              </w:rPr>
              <w:t>Solde disponible pour la 83</w:t>
            </w:r>
            <w:r w:rsidRPr="004849CC">
              <w:rPr>
                <w:b/>
                <w:bCs/>
                <w:color w:val="000000" w:themeColor="text1"/>
                <w:vertAlign w:val="superscript"/>
                <w:lang w:val="fr-CA" w:eastAsia="en-CA"/>
              </w:rPr>
              <w:t>e</w:t>
            </w:r>
            <w:r w:rsidR="007D5018" w:rsidRPr="004849CC">
              <w:rPr>
                <w:b/>
                <w:bCs/>
                <w:color w:val="000000" w:themeColor="text1"/>
                <w:lang w:val="fr-CA" w:eastAsia="en-CA"/>
              </w:rPr>
              <w:t> </w:t>
            </w:r>
            <w:r w:rsidRPr="004849CC">
              <w:rPr>
                <w:b/>
                <w:bCs/>
                <w:color w:val="000000" w:themeColor="text1"/>
                <w:lang w:val="fr-CA" w:eastAsia="en-CA"/>
              </w:rPr>
              <w:t>réunion</w:t>
            </w: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b/>
                <w:bCs/>
                <w:color w:val="000000" w:themeColor="text1"/>
                <w:lang w:val="fr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:rsidR="00E83EB0" w:rsidRPr="004849CC" w:rsidRDefault="00E83EB0" w:rsidP="0096246D">
            <w:pPr>
              <w:jc w:val="right"/>
              <w:rPr>
                <w:b/>
                <w:bCs/>
                <w:color w:val="000000" w:themeColor="text1"/>
                <w:lang w:val="fr-CA" w:eastAsia="en-CA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left w:w="115" w:type="dxa"/>
              <w:right w:w="288" w:type="dxa"/>
            </w:tcMar>
            <w:hideMark/>
          </w:tcPr>
          <w:p w:rsidR="00E83EB0" w:rsidRPr="004849CC" w:rsidRDefault="00E83EB0" w:rsidP="0096246D">
            <w:pPr>
              <w:jc w:val="right"/>
              <w:rPr>
                <w:b/>
                <w:bCs/>
                <w:color w:val="000000" w:themeColor="text1"/>
                <w:lang w:val="en-CA" w:eastAsia="en-CA"/>
              </w:rPr>
            </w:pPr>
            <w:r w:rsidRPr="004849CC">
              <w:rPr>
                <w:b/>
                <w:bCs/>
                <w:color w:val="000000" w:themeColor="text1"/>
                <w:lang w:val="en-CA" w:eastAsia="en-CA"/>
              </w:rPr>
              <w:t>279</w:t>
            </w:r>
            <w:r w:rsidR="00936D93" w:rsidRPr="004849CC">
              <w:rPr>
                <w:b/>
                <w:bCs/>
                <w:color w:val="000000" w:themeColor="text1"/>
                <w:lang w:val="en-CA" w:eastAsia="en-CA"/>
              </w:rPr>
              <w:t> </w:t>
            </w:r>
            <w:r w:rsidRPr="004849CC">
              <w:rPr>
                <w:b/>
                <w:bCs/>
                <w:color w:val="000000" w:themeColor="text1"/>
                <w:lang w:val="en-CA" w:eastAsia="en-CA"/>
              </w:rPr>
              <w:t>032</w:t>
            </w:r>
          </w:p>
        </w:tc>
      </w:tr>
    </w:tbl>
    <w:p w:rsidR="00E83EB0" w:rsidRPr="00744587" w:rsidRDefault="00E83EB0" w:rsidP="00E83EB0">
      <w:pPr>
        <w:rPr>
          <w:color w:val="000000" w:themeColor="text1"/>
          <w:sz w:val="19"/>
          <w:szCs w:val="19"/>
          <w:lang w:val="fr-CA"/>
        </w:rPr>
      </w:pPr>
      <w:r w:rsidRPr="00744587">
        <w:rPr>
          <w:color w:val="000000" w:themeColor="text1"/>
          <w:sz w:val="19"/>
          <w:szCs w:val="19"/>
          <w:lang w:val="fr-CA"/>
        </w:rPr>
        <w:t xml:space="preserve">(*) </w:t>
      </w:r>
      <w:r w:rsidR="007D5018" w:rsidRPr="00744587">
        <w:rPr>
          <w:color w:val="000000" w:themeColor="text1"/>
          <w:sz w:val="19"/>
          <w:szCs w:val="19"/>
          <w:lang w:val="fr-CA"/>
        </w:rPr>
        <w:t>Y c</w:t>
      </w:r>
      <w:r w:rsidR="003254CE" w:rsidRPr="00744587">
        <w:rPr>
          <w:color w:val="000000" w:themeColor="text1"/>
          <w:sz w:val="19"/>
          <w:szCs w:val="19"/>
          <w:lang w:val="fr-CA"/>
        </w:rPr>
        <w:t xml:space="preserve">ompris les contributions bilatérales </w:t>
      </w:r>
      <w:r w:rsidR="00B078AE" w:rsidRPr="00744587">
        <w:rPr>
          <w:color w:val="000000" w:themeColor="text1"/>
          <w:sz w:val="19"/>
          <w:szCs w:val="19"/>
          <w:lang w:val="fr-CA"/>
        </w:rPr>
        <w:t>approuvées</w:t>
      </w:r>
      <w:r w:rsidR="003254CE" w:rsidRPr="00744587">
        <w:rPr>
          <w:color w:val="000000" w:themeColor="text1"/>
          <w:sz w:val="19"/>
          <w:szCs w:val="19"/>
          <w:lang w:val="fr-CA"/>
        </w:rPr>
        <w:t xml:space="preserve"> pour le</w:t>
      </w:r>
      <w:r w:rsidR="007D5018" w:rsidRPr="00744587">
        <w:rPr>
          <w:color w:val="000000" w:themeColor="text1"/>
          <w:sz w:val="19"/>
          <w:szCs w:val="19"/>
          <w:lang w:val="fr-CA"/>
        </w:rPr>
        <w:t>s</w:t>
      </w:r>
      <w:r w:rsidR="003254CE" w:rsidRPr="00744587">
        <w:rPr>
          <w:color w:val="000000" w:themeColor="text1"/>
          <w:sz w:val="19"/>
          <w:szCs w:val="19"/>
          <w:lang w:val="fr-CA"/>
        </w:rPr>
        <w:t xml:space="preserve"> gouvernement</w:t>
      </w:r>
      <w:r w:rsidR="007D5018" w:rsidRPr="00744587">
        <w:rPr>
          <w:color w:val="000000" w:themeColor="text1"/>
          <w:sz w:val="19"/>
          <w:szCs w:val="19"/>
          <w:lang w:val="fr-CA"/>
        </w:rPr>
        <w:t>s</w:t>
      </w:r>
      <w:r w:rsidR="003254CE" w:rsidRPr="00744587">
        <w:rPr>
          <w:color w:val="000000" w:themeColor="text1"/>
          <w:sz w:val="19"/>
          <w:szCs w:val="19"/>
          <w:lang w:val="fr-CA"/>
        </w:rPr>
        <w:t xml:space="preserve"> de l’Allemagne (304 </w:t>
      </w:r>
      <w:r w:rsidR="007D5018" w:rsidRPr="00744587">
        <w:rPr>
          <w:color w:val="000000" w:themeColor="text1"/>
          <w:sz w:val="19"/>
          <w:szCs w:val="19"/>
          <w:lang w:val="fr-CA"/>
        </w:rPr>
        <w:t>9</w:t>
      </w:r>
      <w:r w:rsidR="003254CE" w:rsidRPr="00744587">
        <w:rPr>
          <w:color w:val="000000" w:themeColor="text1"/>
          <w:sz w:val="19"/>
          <w:szCs w:val="19"/>
          <w:lang w:val="fr-CA"/>
        </w:rPr>
        <w:t>50</w:t>
      </w:r>
      <w:r w:rsidR="00B078AE" w:rsidRPr="00744587">
        <w:rPr>
          <w:color w:val="000000" w:themeColor="text1"/>
          <w:sz w:val="19"/>
          <w:szCs w:val="19"/>
          <w:lang w:val="fr-CA"/>
        </w:rPr>
        <w:t> </w:t>
      </w:r>
      <w:r w:rsidR="003254CE" w:rsidRPr="00744587">
        <w:rPr>
          <w:color w:val="000000" w:themeColor="text1"/>
          <w:sz w:val="19"/>
          <w:szCs w:val="19"/>
          <w:lang w:val="fr-CA"/>
        </w:rPr>
        <w:t xml:space="preserve">$US) et </w:t>
      </w:r>
      <w:r w:rsidR="009A5EE0">
        <w:rPr>
          <w:color w:val="000000" w:themeColor="text1"/>
          <w:sz w:val="19"/>
          <w:szCs w:val="19"/>
          <w:lang w:val="fr-CA"/>
        </w:rPr>
        <w:t xml:space="preserve">de </w:t>
      </w:r>
      <w:r w:rsidR="003254CE" w:rsidRPr="00744587">
        <w:rPr>
          <w:color w:val="000000" w:themeColor="text1"/>
          <w:sz w:val="19"/>
          <w:szCs w:val="19"/>
          <w:lang w:val="fr-CA"/>
        </w:rPr>
        <w:t>l’Italie (208 </w:t>
      </w:r>
      <w:r w:rsidR="007D5018" w:rsidRPr="00744587">
        <w:rPr>
          <w:color w:val="000000" w:themeColor="text1"/>
          <w:sz w:val="19"/>
          <w:szCs w:val="19"/>
          <w:lang w:val="fr-CA"/>
        </w:rPr>
        <w:t>6</w:t>
      </w:r>
      <w:r w:rsidR="003254CE" w:rsidRPr="00744587">
        <w:rPr>
          <w:color w:val="000000" w:themeColor="text1"/>
          <w:sz w:val="19"/>
          <w:szCs w:val="19"/>
          <w:lang w:val="fr-CA"/>
        </w:rPr>
        <w:t>50</w:t>
      </w:r>
      <w:r w:rsidR="00B078AE" w:rsidRPr="00744587">
        <w:rPr>
          <w:color w:val="000000" w:themeColor="text1"/>
          <w:sz w:val="19"/>
          <w:szCs w:val="19"/>
          <w:lang w:val="fr-CA"/>
        </w:rPr>
        <w:t> </w:t>
      </w:r>
      <w:r w:rsidR="003254CE" w:rsidRPr="00744587">
        <w:rPr>
          <w:color w:val="000000" w:themeColor="text1"/>
          <w:sz w:val="19"/>
          <w:szCs w:val="19"/>
          <w:lang w:val="fr-CA"/>
        </w:rPr>
        <w:t>$US)</w:t>
      </w:r>
    </w:p>
    <w:p w:rsidR="00E83EB0" w:rsidRPr="00B078AE" w:rsidRDefault="00E83EB0" w:rsidP="00E83EB0">
      <w:pPr>
        <w:rPr>
          <w:color w:val="000000" w:themeColor="text1"/>
          <w:sz w:val="19"/>
          <w:szCs w:val="19"/>
          <w:lang w:val="fr-CA"/>
        </w:rPr>
      </w:pPr>
      <w:r w:rsidRPr="004849CC">
        <w:rPr>
          <w:color w:val="000000" w:themeColor="text1"/>
          <w:sz w:val="19"/>
          <w:szCs w:val="19"/>
          <w:lang w:val="fr-CA"/>
        </w:rPr>
        <w:t xml:space="preserve">(**) </w:t>
      </w:r>
      <w:r w:rsidR="00B078AE" w:rsidRPr="004849CC">
        <w:rPr>
          <w:color w:val="000000" w:themeColor="text1"/>
          <w:sz w:val="19"/>
          <w:szCs w:val="19"/>
          <w:lang w:val="fr-CA"/>
        </w:rPr>
        <w:t>Frais de consultants pour l’évaluation des solutions rentables et écologiquement durables</w:t>
      </w:r>
      <w:r w:rsidR="007D5018" w:rsidRPr="004849CC">
        <w:rPr>
          <w:color w:val="000000" w:themeColor="text1"/>
          <w:sz w:val="19"/>
          <w:szCs w:val="19"/>
          <w:lang w:val="fr-CA"/>
        </w:rPr>
        <w:t xml:space="preserve"> pour</w:t>
      </w:r>
      <w:r w:rsidR="00B078AE" w:rsidRPr="004849CC">
        <w:rPr>
          <w:color w:val="000000" w:themeColor="text1"/>
          <w:sz w:val="19"/>
          <w:szCs w:val="19"/>
          <w:lang w:val="fr-CA"/>
        </w:rPr>
        <w:t xml:space="preserve"> détruire le HFC</w:t>
      </w:r>
      <w:r w:rsidR="007D5018" w:rsidRPr="004849CC">
        <w:rPr>
          <w:color w:val="000000" w:themeColor="text1"/>
          <w:sz w:val="19"/>
          <w:szCs w:val="19"/>
          <w:lang w:val="fr-CA"/>
        </w:rPr>
        <w:noBreakHyphen/>
      </w:r>
      <w:r w:rsidR="00B078AE" w:rsidRPr="004849CC">
        <w:rPr>
          <w:color w:val="000000" w:themeColor="text1"/>
          <w:sz w:val="19"/>
          <w:szCs w:val="19"/>
          <w:lang w:val="fr-CA"/>
        </w:rPr>
        <w:t>23 provenant des installations de production du HCFC</w:t>
      </w:r>
      <w:r w:rsidR="007D5018" w:rsidRPr="004849CC">
        <w:rPr>
          <w:color w:val="000000" w:themeColor="text1"/>
          <w:sz w:val="19"/>
          <w:szCs w:val="19"/>
          <w:lang w:val="fr-CA"/>
        </w:rPr>
        <w:noBreakHyphen/>
      </w:r>
      <w:r w:rsidR="00B078AE" w:rsidRPr="004849CC">
        <w:rPr>
          <w:color w:val="000000" w:themeColor="text1"/>
          <w:sz w:val="19"/>
          <w:szCs w:val="19"/>
          <w:lang w:val="fr-CA"/>
        </w:rPr>
        <w:t>22 (décision</w:t>
      </w:r>
      <w:r w:rsidR="007D5018" w:rsidRPr="004849CC">
        <w:rPr>
          <w:color w:val="000000" w:themeColor="text1"/>
          <w:sz w:val="19"/>
          <w:szCs w:val="19"/>
          <w:lang w:val="fr-CA"/>
        </w:rPr>
        <w:t> </w:t>
      </w:r>
      <w:r w:rsidR="00B078AE" w:rsidRPr="004849CC">
        <w:rPr>
          <w:color w:val="000000" w:themeColor="text1"/>
          <w:sz w:val="19"/>
          <w:szCs w:val="19"/>
          <w:lang w:val="fr-CA"/>
        </w:rPr>
        <w:t>79</w:t>
      </w:r>
      <w:r w:rsidR="007D5018" w:rsidRPr="004849CC">
        <w:rPr>
          <w:color w:val="000000" w:themeColor="text1"/>
          <w:sz w:val="19"/>
          <w:szCs w:val="19"/>
          <w:lang w:val="fr-CA"/>
        </w:rPr>
        <w:t>/</w:t>
      </w:r>
      <w:r w:rsidR="00B078AE" w:rsidRPr="004849CC">
        <w:rPr>
          <w:color w:val="000000" w:themeColor="text1"/>
          <w:sz w:val="19"/>
          <w:szCs w:val="19"/>
          <w:lang w:val="fr-CA"/>
        </w:rPr>
        <w:t>4</w:t>
      </w:r>
      <w:r w:rsidR="007D5018" w:rsidRPr="004849CC">
        <w:rPr>
          <w:color w:val="000000" w:themeColor="text1"/>
          <w:sz w:val="19"/>
          <w:szCs w:val="19"/>
          <w:lang w:val="fr-CA"/>
        </w:rPr>
        <w:t>7 e</w:t>
      </w:r>
      <w:r w:rsidR="00B078AE" w:rsidRPr="004849CC">
        <w:rPr>
          <w:color w:val="000000" w:themeColor="text1"/>
          <w:sz w:val="19"/>
          <w:szCs w:val="19"/>
          <w:lang w:val="fr-CA"/>
        </w:rPr>
        <w:t>))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4849CC" w:rsidRPr="00845EF5" w:rsidTr="00856630">
        <w:trPr>
          <w:trHeight w:val="472"/>
        </w:trPr>
        <w:tc>
          <w:tcPr>
            <w:tcW w:w="1871" w:type="dxa"/>
          </w:tcPr>
          <w:p w:rsidR="004849CC" w:rsidRPr="0076176A" w:rsidRDefault="004849CC" w:rsidP="00856630">
            <w:pPr>
              <w:rPr>
                <w:lang w:val="fr-FR"/>
              </w:rPr>
            </w:pPr>
          </w:p>
        </w:tc>
        <w:tc>
          <w:tcPr>
            <w:tcW w:w="1872" w:type="dxa"/>
          </w:tcPr>
          <w:p w:rsidR="004849CC" w:rsidRPr="0076176A" w:rsidRDefault="004849CC" w:rsidP="00856630">
            <w:pPr>
              <w:rPr>
                <w:lang w:val="fr-FR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849CC" w:rsidRPr="0076176A" w:rsidRDefault="004849CC" w:rsidP="00856630">
            <w:pPr>
              <w:rPr>
                <w:lang w:val="fr-FR"/>
              </w:rPr>
            </w:pPr>
          </w:p>
        </w:tc>
        <w:tc>
          <w:tcPr>
            <w:tcW w:w="1872" w:type="dxa"/>
          </w:tcPr>
          <w:p w:rsidR="004849CC" w:rsidRPr="0076176A" w:rsidRDefault="004849CC" w:rsidP="00856630">
            <w:pPr>
              <w:rPr>
                <w:lang w:val="fr-FR"/>
              </w:rPr>
            </w:pPr>
          </w:p>
        </w:tc>
        <w:tc>
          <w:tcPr>
            <w:tcW w:w="1873" w:type="dxa"/>
          </w:tcPr>
          <w:p w:rsidR="004849CC" w:rsidRPr="0076176A" w:rsidRDefault="004849CC" w:rsidP="00856630">
            <w:pPr>
              <w:rPr>
                <w:lang w:val="fr-FR"/>
              </w:rPr>
            </w:pPr>
          </w:p>
        </w:tc>
      </w:tr>
    </w:tbl>
    <w:p w:rsidR="004849CC" w:rsidRPr="0076176A" w:rsidRDefault="004849CC" w:rsidP="004849CC">
      <w:pPr>
        <w:rPr>
          <w:lang w:val="fr-FR"/>
        </w:rPr>
      </w:pPr>
    </w:p>
    <w:p w:rsidR="00441083" w:rsidRPr="00B078AE" w:rsidRDefault="00441083">
      <w:pPr>
        <w:rPr>
          <w:lang w:val="fr-CA"/>
        </w:rPr>
      </w:pPr>
    </w:p>
    <w:sectPr w:rsidR="00441083" w:rsidRPr="00B078AE">
      <w:headerReference w:type="first" r:id="rId15"/>
      <w:footerReference w:type="first" r:id="rId16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B5" w:rsidRDefault="003818B5">
      <w:r>
        <w:separator/>
      </w:r>
    </w:p>
  </w:endnote>
  <w:endnote w:type="continuationSeparator" w:id="0">
    <w:p w:rsidR="003818B5" w:rsidRDefault="0038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nivers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3" w:rsidRDefault="00E60D9C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845EF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3" w:rsidRDefault="00E60D9C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220DA4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3" w:rsidRDefault="00E60D9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 xml:space="preserve">Les documents de présession du Comité exécutif du Fonds multilatéral aux fins d’application du Protocole de </w:t>
    </w:r>
  </w:p>
  <w:p w:rsidR="00441083" w:rsidRDefault="00E60D9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>Montréal sont présentés sous réserve des décisions pouvant être prises par le Comité exécutif après leur  publication.</w:t>
    </w:r>
  </w:p>
  <w:p w:rsidR="00441083" w:rsidRDefault="00441083">
    <w:pPr>
      <w:pStyle w:val="Footer"/>
      <w:rPr>
        <w:lang w:val="fr-F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708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083" w:rsidRDefault="00E60D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E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083" w:rsidRDefault="00441083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B5" w:rsidRDefault="003818B5">
      <w:r>
        <w:separator/>
      </w:r>
    </w:p>
  </w:footnote>
  <w:footnote w:type="continuationSeparator" w:id="0">
    <w:p w:rsidR="003818B5" w:rsidRDefault="0038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3" w:rsidRDefault="00F376C4">
    <w:fldSimple w:instr=" DOCPROPERTY &quot;Document number&quot;  \* MERGEFORMAT ">
      <w:r w:rsidR="00220DA4">
        <w:t>UNEP/OzL.Pro/ExCom/83/</w:t>
      </w:r>
      <w:r w:rsidR="007D0A84">
        <w:t>5</w:t>
      </w:r>
    </w:fldSimple>
  </w:p>
  <w:p w:rsidR="00441083" w:rsidRDefault="00441083"/>
  <w:p w:rsidR="00441083" w:rsidRDefault="0044108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3" w:rsidRDefault="00F376C4">
    <w:pPr>
      <w:jc w:val="right"/>
    </w:pPr>
    <w:fldSimple w:instr=" DOCPROPERTY &quot;Document number&quot;  \* MERGEFORMAT ">
      <w:r w:rsidR="00220DA4">
        <w:t>UNEP/OzL.Pro/ExCom/83/1</w:t>
      </w:r>
    </w:fldSimple>
  </w:p>
  <w:p w:rsidR="00441083" w:rsidRDefault="00441083"/>
  <w:p w:rsidR="00441083" w:rsidRDefault="004410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83" w:rsidRDefault="00F376C4">
    <w:pPr>
      <w:jc w:val="right"/>
    </w:pPr>
    <w:fldSimple w:instr=" DOCPROPERTY &quot;Document number&quot;  \* MERGEFORMAT ">
      <w:r w:rsidR="00220DA4">
        <w:t>UNEP/OzL.Pro/ExCom/83/</w:t>
      </w:r>
      <w:r w:rsidR="007D0A84">
        <w:t>5</w:t>
      </w:r>
    </w:fldSimple>
  </w:p>
  <w:p w:rsidR="00441083" w:rsidRDefault="00784F31">
    <w:pPr>
      <w:jc w:val="right"/>
    </w:pPr>
    <w:r>
      <w:t>Annexe I</w:t>
    </w:r>
  </w:p>
  <w:p w:rsidR="00441083" w:rsidRDefault="004410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4F0A91F6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5E00F85"/>
    <w:multiLevelType w:val="hybridMultilevel"/>
    <w:tmpl w:val="0262C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837CD"/>
    <w:multiLevelType w:val="hybridMultilevel"/>
    <w:tmpl w:val="EA7412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5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  <w:num w:numId="20">
    <w:abstractNumId w:val="14"/>
  </w:num>
  <w:num w:numId="21">
    <w:abstractNumId w:val="11"/>
  </w:num>
  <w:num w:numId="2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embedSystemFonts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A4"/>
    <w:rsid w:val="00001A78"/>
    <w:rsid w:val="00085BCB"/>
    <w:rsid w:val="000E5376"/>
    <w:rsid w:val="001C3D0C"/>
    <w:rsid w:val="001D4CE7"/>
    <w:rsid w:val="00220DA4"/>
    <w:rsid w:val="002470BD"/>
    <w:rsid w:val="00265AF0"/>
    <w:rsid w:val="002F0B57"/>
    <w:rsid w:val="003254CE"/>
    <w:rsid w:val="003818B5"/>
    <w:rsid w:val="003D784A"/>
    <w:rsid w:val="00436527"/>
    <w:rsid w:val="00441083"/>
    <w:rsid w:val="004849CC"/>
    <w:rsid w:val="004C2C87"/>
    <w:rsid w:val="004E3A36"/>
    <w:rsid w:val="00505068"/>
    <w:rsid w:val="00605093"/>
    <w:rsid w:val="006465A1"/>
    <w:rsid w:val="006832E9"/>
    <w:rsid w:val="006D4CD8"/>
    <w:rsid w:val="007034FA"/>
    <w:rsid w:val="00744587"/>
    <w:rsid w:val="0075750B"/>
    <w:rsid w:val="00783F71"/>
    <w:rsid w:val="00784F31"/>
    <w:rsid w:val="007C1571"/>
    <w:rsid w:val="007D0A84"/>
    <w:rsid w:val="007D5018"/>
    <w:rsid w:val="007F7965"/>
    <w:rsid w:val="00845EF5"/>
    <w:rsid w:val="0091161A"/>
    <w:rsid w:val="00936D93"/>
    <w:rsid w:val="00972848"/>
    <w:rsid w:val="009A5180"/>
    <w:rsid w:val="009A5EE0"/>
    <w:rsid w:val="00AA61C1"/>
    <w:rsid w:val="00AE63D8"/>
    <w:rsid w:val="00B078AE"/>
    <w:rsid w:val="00B6569D"/>
    <w:rsid w:val="00B811F2"/>
    <w:rsid w:val="00B851B8"/>
    <w:rsid w:val="00BC3C7D"/>
    <w:rsid w:val="00C6443E"/>
    <w:rsid w:val="00CC34C9"/>
    <w:rsid w:val="00E54871"/>
    <w:rsid w:val="00E60D9C"/>
    <w:rsid w:val="00E83EB0"/>
    <w:rsid w:val="00EE416E"/>
    <w:rsid w:val="00F376C4"/>
    <w:rsid w:val="00F37A42"/>
    <w:rsid w:val="00F557F5"/>
    <w:rsid w:val="00F570EE"/>
    <w:rsid w:val="00F67828"/>
    <w:rsid w:val="00FC5578"/>
    <w:rsid w:val="00F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750483-A451-4631-BB8B-8CD0F56C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qFormat/>
    <w:pPr>
      <w:widowControl w:val="0"/>
      <w:numPr>
        <w:ilvl w:val="1"/>
        <w:numId w:val="1"/>
      </w:numPr>
      <w:spacing w:after="240"/>
      <w:outlineLvl w:val="1"/>
    </w:pPr>
  </w:style>
  <w:style w:type="paragraph" w:styleId="Heading3">
    <w:name w:val="heading 3"/>
    <w:aliases w:val="Char,Heading 3 Char,Char Char,Heading 3 Char1,Heading 3 Char Char,Char Char Char,Char Char1"/>
    <w:basedOn w:val="Normal"/>
    <w:next w:val="Normal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"/>
    <w:basedOn w:val="Normal"/>
    <w:next w:val="Heading9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customStyle="1" w:styleId="StyleHeading1Para1Heading1CharHeading1Char3CharHeadin">
    <w:name w:val="Style Heading 1Para (1)Heading 1 CharHeading 1 Char3 CharHeadin..."/>
    <w:basedOn w:val="Heading1"/>
    <w:pPr>
      <w:numPr>
        <w:numId w:val="0"/>
      </w:numPr>
      <w:tabs>
        <w:tab w:val="left" w:pos="72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pclient\Downloads\F83-Template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4441DB9763A4B9F4793D394AD28DA" ma:contentTypeVersion="2" ma:contentTypeDescription="Create a new document." ma:contentTypeScope="" ma:versionID="171df64618d6dd1096111a941a4c869d">
  <xsd:schema xmlns:xsd="http://www.w3.org/2001/XMLSchema" xmlns:p="http://schemas.microsoft.com/office/2006/metadata/properties" xmlns:ns2="8662b4aa-cf42-4f00-a3f0-9d3b4acad230" xmlns:ns3="310e179b-1379-4e79-9b74-d5a32b1812d3" targetNamespace="http://schemas.microsoft.com/office/2006/metadata/properties" ma:root="true" ma:fieldsID="1af4cf771546dc1ce13f690658318891" ns2:_="" ns3:_="">
    <xsd:import namespace="8662b4aa-cf42-4f00-a3f0-9d3b4acad230"/>
    <xsd:import namespace="310e179b-1379-4e79-9b74-d5a32b1812d3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62b4aa-cf42-4f00-a3f0-9d3b4acad230" elementFormDefault="qualified">
    <xsd:import namespace="http://schemas.microsoft.com/office/2006/documentManagement/types"/>
    <xsd:element name="Document_x0020_Number" ma:index="8" nillable="true" ma:displayName="Document Number" ma:default="UNEP/OzL.Pro/ExCom/64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10e179b-1379-4e79-9b74-d5a32b1812d3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Type xmlns="310e179b-1379-4e79-9b74-d5a32b1812d3">Pre-session</DocumentType>
    <Document_x0020_Number xmlns="8662b4aa-cf42-4f00-a3f0-9d3b4acad230">UNEP/OzL.Pro/ExCom/83/5</Document_x0020_Number>
  </documentManagement>
</p:properties>
</file>

<file path=customXml/itemProps1.xml><?xml version="1.0" encoding="utf-8"?>
<ds:datastoreItem xmlns:ds="http://schemas.openxmlformats.org/officeDocument/2006/customXml" ds:itemID="{3D8E5A70-7E45-4474-AB85-1A30B4689D4C}"/>
</file>

<file path=customXml/itemProps2.xml><?xml version="1.0" encoding="utf-8"?>
<ds:datastoreItem xmlns:ds="http://schemas.openxmlformats.org/officeDocument/2006/customXml" ds:itemID="{D455D21A-F8EB-4DC9-B654-EEB86C85AEF7}"/>
</file>

<file path=customXml/itemProps3.xml><?xml version="1.0" encoding="utf-8"?>
<ds:datastoreItem xmlns:ds="http://schemas.openxmlformats.org/officeDocument/2006/customXml" ds:itemID="{751787FD-63FD-4B34-9832-09352D239D8F}"/>
</file>

<file path=customXml/itemProps4.xml><?xml version="1.0" encoding="utf-8"?>
<ds:datastoreItem xmlns:ds="http://schemas.openxmlformats.org/officeDocument/2006/customXml" ds:itemID="{766B8FA3-6EB7-414F-BBF1-72E5E3409F8A}"/>
</file>

<file path=docProps/app.xml><?xml version="1.0" encoding="utf-8"?>
<Properties xmlns="http://schemas.openxmlformats.org/officeDocument/2006/extended-properties" xmlns:vt="http://schemas.openxmlformats.org/officeDocument/2006/docPropsVTypes">
  <Template>F83-Template (2)</Template>
  <TotalTime>191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Etat des contributions supplémentaires et disponibilité des ressources</vt:lpstr>
      <vt:lpstr/>
    </vt:vector>
  </TitlesOfParts>
  <Company>UNMFS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 des contributions supplémentaires et disponibilité des ressources</dc:title>
  <dc:creator>vipclient</dc:creator>
  <cp:lastModifiedBy>HBE</cp:lastModifiedBy>
  <cp:revision>22</cp:revision>
  <cp:lastPrinted>2001-05-26T16:40:00Z</cp:lastPrinted>
  <dcterms:created xsi:type="dcterms:W3CDTF">2019-05-05T16:48:00Z</dcterms:created>
  <dcterms:modified xsi:type="dcterms:W3CDTF">2019-05-08T22:18:00Z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UNEP/OzL.Pro/ExCom/83/1</vt:lpwstr>
  </property>
  <property fmtid="{D5CDD505-2E9C-101B-9397-08002B2CF9AE}" pid="3" name="Revision date">
    <vt:lpwstr>5/15/2019</vt:lpwstr>
  </property>
  <property fmtid="{D5CDD505-2E9C-101B-9397-08002B2CF9AE}" pid="4" name="ContentTypeId">
    <vt:lpwstr>0x01010021E4441DB9763A4B9F4793D394AD28DA</vt:lpwstr>
  </property>
</Properties>
</file>