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Pr="00894E52" w:rsidRDefault="006D1D2D" w:rsidP="003919B9">
      <w:bookmarkStart w:id="0" w:name="_GoBack"/>
      <w:bookmarkEnd w:id="0"/>
      <w:r>
        <w:t xml:space="preserve"> </w:t>
      </w:r>
      <w:r w:rsidR="007C227C" w:rsidRPr="00894E52">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rsidR="00EE66BA" w:rsidRPr="00894E52" w:rsidRDefault="00EE66BA" w:rsidP="001C3C80">
      <w:pPr>
        <w:tabs>
          <w:tab w:val="left" w:pos="8280"/>
        </w:tabs>
      </w:pPr>
    </w:p>
    <w:p w:rsidR="00EE66BA" w:rsidRPr="00894E52" w:rsidRDefault="00EE66BA" w:rsidP="001C3C80">
      <w:pPr>
        <w:tabs>
          <w:tab w:val="left" w:pos="8280"/>
        </w:tabs>
      </w:pPr>
    </w:p>
    <w:p w:rsidR="00EE66BA" w:rsidRPr="00894E52" w:rsidRDefault="00EE66BA" w:rsidP="001C3C80">
      <w:pPr>
        <w:tabs>
          <w:tab w:val="left" w:pos="8280"/>
        </w:tabs>
      </w:pPr>
    </w:p>
    <w:p w:rsidR="00EE66BA" w:rsidRPr="00894E52" w:rsidRDefault="00A56465" w:rsidP="00A56465">
      <w:pPr>
        <w:tabs>
          <w:tab w:val="left" w:pos="3210"/>
        </w:tabs>
      </w:pPr>
      <w:r w:rsidRPr="00894E52">
        <w:tab/>
      </w:r>
    </w:p>
    <w:p w:rsidR="003919B9" w:rsidRPr="00894E52" w:rsidRDefault="003919B9" w:rsidP="003919B9">
      <w:pPr>
        <w:ind w:left="5040"/>
      </w:pPr>
      <w:r w:rsidRPr="00894E52">
        <w:t xml:space="preserve">  </w:t>
      </w:r>
    </w:p>
    <w:p w:rsidR="003919B9" w:rsidRPr="00894E52" w:rsidRDefault="003919B9" w:rsidP="003919B9">
      <w:pPr>
        <w:ind w:left="5040"/>
      </w:pPr>
    </w:p>
    <w:p w:rsidR="003919B9" w:rsidRPr="00894E52" w:rsidRDefault="003919B9" w:rsidP="003919B9">
      <w:pPr>
        <w:ind w:left="5040"/>
      </w:pPr>
      <w:r w:rsidRPr="00894E52">
        <w:t xml:space="preserve">    </w:t>
      </w:r>
      <w:fldSimple w:instr=" DOCPROPERTY &quot;Document number&quot;  \* MERGEFORMAT ">
        <w:r w:rsidR="001C7B06" w:rsidRPr="00894E52">
          <w:t>UNEP/OzL.Pro/ExCom/83/34</w:t>
        </w:r>
      </w:fldSimple>
      <w:r w:rsidRPr="00894E52">
        <w:br/>
        <w:t xml:space="preserve">    </w:t>
      </w:r>
      <w:r w:rsidRPr="00894E52">
        <w:fldChar w:fldCharType="begin"/>
      </w:r>
      <w:r w:rsidRPr="00894E52">
        <w:instrText xml:space="preserve"> DOCPROPERTY "Revision date" \@ "d MMMM YYYY"  \* MERGEFORMAT </w:instrText>
      </w:r>
      <w:r w:rsidRPr="00894E52">
        <w:fldChar w:fldCharType="separate"/>
      </w:r>
      <w:r w:rsidR="001C7B06" w:rsidRPr="00894E52">
        <w:t>3 May 2019</w:t>
      </w:r>
      <w:r w:rsidRPr="00894E52">
        <w:fldChar w:fldCharType="end"/>
      </w:r>
    </w:p>
    <w:p w:rsidR="003919B9" w:rsidRPr="00894E52" w:rsidRDefault="003919B9" w:rsidP="003919B9"/>
    <w:p w:rsidR="00EE66BA" w:rsidRPr="00894E52" w:rsidRDefault="00EE66BA" w:rsidP="001C3C80">
      <w:pPr>
        <w:tabs>
          <w:tab w:val="left" w:pos="8280"/>
        </w:tabs>
      </w:pPr>
    </w:p>
    <w:p w:rsidR="003919B9" w:rsidRPr="00894E52" w:rsidRDefault="00AE77AA" w:rsidP="001C3C80">
      <w:pPr>
        <w:tabs>
          <w:tab w:val="left" w:pos="8280"/>
        </w:tabs>
      </w:pPr>
      <w:r w:rsidRPr="00894E52">
        <w:br/>
      </w:r>
      <w:r w:rsidR="002B08D9" w:rsidRPr="00894E52">
        <w:br/>
      </w:r>
    </w:p>
    <w:p w:rsidR="003919B9" w:rsidRPr="00894E52" w:rsidRDefault="003919B9" w:rsidP="001C3C80">
      <w:pPr>
        <w:tabs>
          <w:tab w:val="left" w:pos="8280"/>
        </w:tabs>
      </w:pPr>
    </w:p>
    <w:p w:rsidR="003919B9" w:rsidRPr="00894E52" w:rsidRDefault="003919B9" w:rsidP="001C3C80">
      <w:pPr>
        <w:tabs>
          <w:tab w:val="left" w:pos="8280"/>
        </w:tabs>
      </w:pPr>
    </w:p>
    <w:p w:rsidR="003919B9" w:rsidRPr="00894E52" w:rsidRDefault="003919B9" w:rsidP="001C3C80">
      <w:pPr>
        <w:tabs>
          <w:tab w:val="left" w:pos="8280"/>
        </w:tabs>
      </w:pPr>
    </w:p>
    <w:p w:rsidR="003919B9" w:rsidRPr="00894E52" w:rsidRDefault="003919B9" w:rsidP="001C3C80">
      <w:pPr>
        <w:tabs>
          <w:tab w:val="left" w:pos="8280"/>
        </w:tabs>
      </w:pPr>
    </w:p>
    <w:p w:rsidR="003919B9" w:rsidRPr="00894E52" w:rsidRDefault="003919B9" w:rsidP="001C3C80">
      <w:pPr>
        <w:tabs>
          <w:tab w:val="left" w:pos="8280"/>
        </w:tabs>
      </w:pPr>
    </w:p>
    <w:p w:rsidR="003919B9" w:rsidRPr="00894E52" w:rsidRDefault="003919B9" w:rsidP="001C3C80">
      <w:pPr>
        <w:tabs>
          <w:tab w:val="left" w:pos="8280"/>
        </w:tabs>
      </w:pPr>
    </w:p>
    <w:p w:rsidR="003919B9" w:rsidRPr="00894E52" w:rsidRDefault="003919B9" w:rsidP="00B423D6">
      <w:pPr>
        <w:tabs>
          <w:tab w:val="left" w:pos="8280"/>
        </w:tabs>
      </w:pPr>
    </w:p>
    <w:p w:rsidR="003A6FC0" w:rsidRDefault="003A6FC0" w:rsidP="00B423D6">
      <w:pPr>
        <w:jc w:val="center"/>
        <w:rPr>
          <w:b/>
          <w:lang w:val="en-CA"/>
        </w:rPr>
      </w:pPr>
      <w:r w:rsidRPr="00894E52">
        <w:rPr>
          <w:b/>
          <w:lang w:val="en-CA"/>
        </w:rPr>
        <w:t>PROJECT PROPOSAL: PAKISTAN</w:t>
      </w:r>
    </w:p>
    <w:p w:rsidR="002037DD" w:rsidRDefault="002037DD" w:rsidP="00B423D6">
      <w:pPr>
        <w:jc w:val="center"/>
        <w:rPr>
          <w:b/>
          <w:lang w:val="en-CA"/>
        </w:rPr>
      </w:pPr>
    </w:p>
    <w:p w:rsidR="002037DD" w:rsidRPr="00894E52" w:rsidRDefault="002037DD" w:rsidP="00B423D6">
      <w:pPr>
        <w:jc w:val="center"/>
        <w:rPr>
          <w:b/>
          <w:lang w:val="en-CA"/>
        </w:rPr>
      </w:pPr>
    </w:p>
    <w:p w:rsidR="003A6FC0" w:rsidRPr="00894E52" w:rsidRDefault="003A6FC0" w:rsidP="00B423D6">
      <w:pPr>
        <w:rPr>
          <w:lang w:val="en-CA"/>
        </w:rPr>
      </w:pPr>
    </w:p>
    <w:p w:rsidR="003A6FC0" w:rsidRPr="00894E52" w:rsidRDefault="003A6FC0" w:rsidP="00B423D6">
      <w:pPr>
        <w:ind w:firstLine="720"/>
        <w:rPr>
          <w:lang w:val="en-CA"/>
        </w:rPr>
      </w:pPr>
      <w:r w:rsidRPr="00894E52">
        <w:rPr>
          <w:lang w:val="en-CA"/>
        </w:rPr>
        <w:t xml:space="preserve">This document consists of the comments and recommendation of the Secretariat on the following project proposal: </w:t>
      </w:r>
    </w:p>
    <w:p w:rsidR="003A6FC0" w:rsidRPr="00894E52" w:rsidRDefault="003A6FC0" w:rsidP="00B423D6">
      <w:pPr>
        <w:rPr>
          <w:lang w:val="en-CA"/>
        </w:rPr>
      </w:pPr>
    </w:p>
    <w:p w:rsidR="003A6FC0" w:rsidRPr="00894E52" w:rsidRDefault="003A6FC0" w:rsidP="00B423D6">
      <w:pPr>
        <w:rPr>
          <w:u w:val="single"/>
          <w:lang w:val="en-CA"/>
        </w:rPr>
      </w:pPr>
      <w:r w:rsidRPr="00894E52">
        <w:rPr>
          <w:u w:val="single"/>
          <w:lang w:val="en-CA"/>
        </w:rPr>
        <w:t>Phase-out</w:t>
      </w:r>
    </w:p>
    <w:p w:rsidR="003A6FC0" w:rsidRPr="00894E52" w:rsidRDefault="003A6FC0" w:rsidP="00B423D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3A6FC0" w:rsidRPr="00894E52" w:rsidTr="00A1314F">
        <w:tc>
          <w:tcPr>
            <w:tcW w:w="6941" w:type="dxa"/>
          </w:tcPr>
          <w:p w:rsidR="003A6FC0" w:rsidRPr="00894E52" w:rsidRDefault="003A6FC0" w:rsidP="00B423D6">
            <w:pPr>
              <w:pStyle w:val="ListParagraph"/>
              <w:numPr>
                <w:ilvl w:val="0"/>
                <w:numId w:val="21"/>
              </w:numPr>
              <w:ind w:hanging="830"/>
              <w:rPr>
                <w:lang w:val="en-CA"/>
              </w:rPr>
            </w:pPr>
            <w:r w:rsidRPr="00894E52">
              <w:rPr>
                <w:lang w:val="en-CA"/>
              </w:rPr>
              <w:t>HCFC phase-out management plan (stage II, second tranche)</w:t>
            </w:r>
          </w:p>
        </w:tc>
        <w:tc>
          <w:tcPr>
            <w:tcW w:w="2409" w:type="dxa"/>
          </w:tcPr>
          <w:p w:rsidR="003A6FC0" w:rsidRPr="00894E52" w:rsidRDefault="003A6FC0" w:rsidP="00B423D6">
            <w:pPr>
              <w:jc w:val="right"/>
              <w:rPr>
                <w:lang w:val="en-CA"/>
              </w:rPr>
            </w:pPr>
            <w:r w:rsidRPr="00894E52">
              <w:rPr>
                <w:lang w:val="en-CA"/>
              </w:rPr>
              <w:t>UNIDO and UNEP</w:t>
            </w:r>
          </w:p>
        </w:tc>
      </w:tr>
    </w:tbl>
    <w:p w:rsidR="003A6FC0" w:rsidRPr="00894E52" w:rsidRDefault="003A6FC0" w:rsidP="00B423D6">
      <w:pPr>
        <w:rPr>
          <w:lang w:val="en-CA"/>
        </w:rPr>
      </w:pPr>
    </w:p>
    <w:p w:rsidR="003A6FC0" w:rsidRPr="00894E52" w:rsidRDefault="003A6FC0" w:rsidP="00B423D6">
      <w:pPr>
        <w:rPr>
          <w:lang w:val="en-CA"/>
        </w:rPr>
      </w:pPr>
    </w:p>
    <w:p w:rsidR="003A6FC0" w:rsidRPr="00894E52" w:rsidRDefault="003A6FC0" w:rsidP="00B423D6">
      <w:pPr>
        <w:rPr>
          <w:lang w:val="en-CA"/>
        </w:rPr>
      </w:pPr>
    </w:p>
    <w:p w:rsidR="003A6FC0" w:rsidRPr="00894E52" w:rsidRDefault="003A6FC0" w:rsidP="00B423D6">
      <w:pPr>
        <w:rPr>
          <w:lang w:val="en-CA"/>
        </w:rPr>
      </w:pPr>
      <w:r w:rsidRPr="00894E52">
        <w:rPr>
          <w:lang w:val="en-CA"/>
        </w:rPr>
        <w:br w:type="page"/>
      </w:r>
    </w:p>
    <w:p w:rsidR="003A6FC0" w:rsidRPr="00894E52" w:rsidRDefault="003A6FC0" w:rsidP="00B423D6">
      <w:pPr>
        <w:jc w:val="center"/>
        <w:rPr>
          <w:b/>
          <w:lang w:val="en-CA"/>
        </w:rPr>
      </w:pPr>
      <w:r w:rsidRPr="00894E52">
        <w:rPr>
          <w:b/>
          <w:lang w:val="en-CA"/>
        </w:rPr>
        <w:lastRenderedPageBreak/>
        <w:t>PROJECT EVALUATION SHEET – MULTI-YEAR PROJECTS</w:t>
      </w:r>
    </w:p>
    <w:p w:rsidR="003A6FC0" w:rsidRPr="00894E52" w:rsidRDefault="003A6FC0" w:rsidP="00B423D6">
      <w:pPr>
        <w:jc w:val="center"/>
        <w:rPr>
          <w:lang w:val="en-CA"/>
        </w:rPr>
      </w:pPr>
    </w:p>
    <w:p w:rsidR="003A6FC0" w:rsidRPr="00894E52" w:rsidRDefault="003A6FC0" w:rsidP="00B423D6">
      <w:pPr>
        <w:jc w:val="center"/>
        <w:rPr>
          <w:b/>
          <w:lang w:val="en-CA"/>
        </w:rPr>
      </w:pPr>
      <w:r w:rsidRPr="00894E52">
        <w:rPr>
          <w:b/>
          <w:lang w:val="en-CA"/>
        </w:rPr>
        <w:t>Pakistan</w:t>
      </w:r>
    </w:p>
    <w:p w:rsidR="003A6FC0" w:rsidRPr="00894E52" w:rsidRDefault="003A6FC0" w:rsidP="00B423D6">
      <w:pPr>
        <w:jc w:val="center"/>
        <w:rPr>
          <w:lang w:val="en-CA"/>
        </w:rPr>
      </w:pPr>
    </w:p>
    <w:tbl>
      <w:tblPr>
        <w:tblStyle w:val="TableGrid"/>
        <w:tblW w:w="10000" w:type="dxa"/>
        <w:tblLook w:val="04A0" w:firstRow="1" w:lastRow="0" w:firstColumn="1" w:lastColumn="0" w:noHBand="0" w:noVBand="1"/>
      </w:tblPr>
      <w:tblGrid>
        <w:gridCol w:w="2830"/>
        <w:gridCol w:w="2390"/>
        <w:gridCol w:w="2390"/>
        <w:gridCol w:w="2390"/>
      </w:tblGrid>
      <w:tr w:rsidR="003A6FC0" w:rsidRPr="00894E52" w:rsidTr="00894E52">
        <w:trPr>
          <w:trHeight w:val="240"/>
        </w:trPr>
        <w:tc>
          <w:tcPr>
            <w:tcW w:w="2830" w:type="dxa"/>
            <w:shd w:val="clear" w:color="auto" w:fill="auto"/>
          </w:tcPr>
          <w:p w:rsidR="003A6FC0" w:rsidRPr="00894E52" w:rsidRDefault="003A6FC0" w:rsidP="00B423D6">
            <w:pPr>
              <w:spacing w:after="80"/>
              <w:jc w:val="left"/>
              <w:rPr>
                <w:b/>
                <w:sz w:val="18"/>
                <w:lang w:val="en-US"/>
              </w:rPr>
            </w:pPr>
            <w:r w:rsidRPr="00894E52">
              <w:rPr>
                <w:b/>
                <w:sz w:val="18"/>
                <w:lang w:val="en-US"/>
              </w:rPr>
              <w:t>(I) PROJECT TITLE</w:t>
            </w:r>
          </w:p>
        </w:tc>
        <w:tc>
          <w:tcPr>
            <w:tcW w:w="2390" w:type="dxa"/>
            <w:shd w:val="clear" w:color="auto" w:fill="auto"/>
          </w:tcPr>
          <w:p w:rsidR="003A6FC0" w:rsidRPr="00894E52" w:rsidRDefault="003A6FC0" w:rsidP="00B423D6">
            <w:pPr>
              <w:spacing w:after="80"/>
              <w:jc w:val="center"/>
              <w:rPr>
                <w:b/>
                <w:sz w:val="18"/>
                <w:lang w:val="en-US"/>
              </w:rPr>
            </w:pPr>
            <w:r w:rsidRPr="00894E52">
              <w:rPr>
                <w:b/>
                <w:sz w:val="18"/>
                <w:lang w:val="en-US"/>
              </w:rPr>
              <w:t>AGENCY</w:t>
            </w:r>
          </w:p>
        </w:tc>
        <w:tc>
          <w:tcPr>
            <w:tcW w:w="2390" w:type="dxa"/>
            <w:shd w:val="clear" w:color="auto" w:fill="auto"/>
          </w:tcPr>
          <w:p w:rsidR="003A6FC0" w:rsidRPr="00894E52" w:rsidRDefault="003A6FC0" w:rsidP="00B423D6">
            <w:pPr>
              <w:spacing w:after="80"/>
              <w:jc w:val="center"/>
              <w:rPr>
                <w:b/>
                <w:sz w:val="18"/>
                <w:lang w:val="en-US"/>
              </w:rPr>
            </w:pPr>
            <w:r w:rsidRPr="00894E52">
              <w:rPr>
                <w:b/>
                <w:sz w:val="18"/>
                <w:lang w:val="en-US"/>
              </w:rPr>
              <w:t>MEETING APPROVED</w:t>
            </w:r>
          </w:p>
        </w:tc>
        <w:tc>
          <w:tcPr>
            <w:tcW w:w="2390" w:type="dxa"/>
            <w:shd w:val="clear" w:color="auto" w:fill="auto"/>
          </w:tcPr>
          <w:p w:rsidR="003A6FC0" w:rsidRPr="00894E52" w:rsidRDefault="003A6FC0" w:rsidP="00B423D6">
            <w:pPr>
              <w:spacing w:after="80"/>
              <w:jc w:val="center"/>
              <w:rPr>
                <w:b/>
                <w:sz w:val="18"/>
                <w:lang w:val="en-US"/>
              </w:rPr>
            </w:pPr>
            <w:r w:rsidRPr="00894E52">
              <w:rPr>
                <w:b/>
                <w:sz w:val="18"/>
                <w:lang w:val="en-US"/>
              </w:rPr>
              <w:t>CONTROL MEASURE</w:t>
            </w:r>
          </w:p>
        </w:tc>
      </w:tr>
      <w:tr w:rsidR="003A6FC0" w:rsidRPr="00894E52" w:rsidTr="00894E52">
        <w:trPr>
          <w:trHeight w:val="240"/>
        </w:trPr>
        <w:tc>
          <w:tcPr>
            <w:tcW w:w="2830" w:type="dxa"/>
            <w:shd w:val="clear" w:color="auto" w:fill="auto"/>
          </w:tcPr>
          <w:p w:rsidR="003A6FC0" w:rsidRPr="00894E52" w:rsidRDefault="003A6FC0" w:rsidP="00B423D6">
            <w:pPr>
              <w:spacing w:after="80"/>
              <w:jc w:val="center"/>
              <w:rPr>
                <w:sz w:val="18"/>
                <w:lang w:val="en-US"/>
              </w:rPr>
            </w:pPr>
            <w:r w:rsidRPr="00894E52">
              <w:rPr>
                <w:sz w:val="18"/>
                <w:lang w:val="en-US"/>
              </w:rPr>
              <w:t>HCFC phase-out management plan (stage II)</w:t>
            </w:r>
          </w:p>
        </w:tc>
        <w:tc>
          <w:tcPr>
            <w:tcW w:w="2390" w:type="dxa"/>
            <w:shd w:val="clear" w:color="auto" w:fill="auto"/>
          </w:tcPr>
          <w:p w:rsidR="003A6FC0" w:rsidRPr="00894E52" w:rsidRDefault="003A6FC0" w:rsidP="00B423D6">
            <w:pPr>
              <w:spacing w:after="80"/>
              <w:jc w:val="center"/>
              <w:rPr>
                <w:sz w:val="18"/>
                <w:lang w:val="en-US"/>
              </w:rPr>
            </w:pPr>
            <w:r w:rsidRPr="00894E52">
              <w:rPr>
                <w:sz w:val="18"/>
                <w:lang w:val="en-US"/>
              </w:rPr>
              <w:t>UNEP, UNIDO (lead)</w:t>
            </w:r>
          </w:p>
        </w:tc>
        <w:tc>
          <w:tcPr>
            <w:tcW w:w="2390" w:type="dxa"/>
            <w:shd w:val="clear" w:color="auto" w:fill="auto"/>
          </w:tcPr>
          <w:p w:rsidR="003A6FC0" w:rsidRPr="00894E52" w:rsidRDefault="003A6FC0" w:rsidP="00B423D6">
            <w:pPr>
              <w:spacing w:after="80"/>
              <w:jc w:val="center"/>
              <w:rPr>
                <w:sz w:val="18"/>
                <w:lang w:val="en-US"/>
              </w:rPr>
            </w:pPr>
            <w:r w:rsidRPr="00894E52">
              <w:rPr>
                <w:sz w:val="18"/>
                <w:lang w:val="en-US"/>
              </w:rPr>
              <w:t>76</w:t>
            </w:r>
            <w:r w:rsidRPr="00894E52">
              <w:rPr>
                <w:sz w:val="18"/>
                <w:vertAlign w:val="superscript"/>
                <w:lang w:val="en-US"/>
              </w:rPr>
              <w:t>th</w:t>
            </w:r>
            <w:r w:rsidRPr="00894E52">
              <w:rPr>
                <w:sz w:val="18"/>
                <w:lang w:val="en-US"/>
              </w:rPr>
              <w:t xml:space="preserve"> </w:t>
            </w:r>
          </w:p>
        </w:tc>
        <w:tc>
          <w:tcPr>
            <w:tcW w:w="2390" w:type="dxa"/>
            <w:shd w:val="clear" w:color="auto" w:fill="auto"/>
          </w:tcPr>
          <w:p w:rsidR="003A6FC0" w:rsidRPr="00894E52" w:rsidRDefault="003A6FC0" w:rsidP="00B423D6">
            <w:pPr>
              <w:spacing w:after="80"/>
              <w:jc w:val="center"/>
              <w:rPr>
                <w:sz w:val="18"/>
                <w:lang w:val="en-US"/>
              </w:rPr>
            </w:pPr>
            <w:r w:rsidRPr="00894E52">
              <w:rPr>
                <w:sz w:val="18"/>
                <w:lang w:val="en-US"/>
              </w:rPr>
              <w:t>50 % by 2020</w:t>
            </w:r>
          </w:p>
        </w:tc>
      </w:tr>
    </w:tbl>
    <w:p w:rsidR="003A6FC0" w:rsidRPr="00894E52" w:rsidRDefault="003A6FC0" w:rsidP="00B423D6">
      <w:pPr>
        <w:spacing w:after="60"/>
        <w:jc w:val="center"/>
        <w:rPr>
          <w:sz w:val="18"/>
          <w:lang w:val="en-US"/>
        </w:rPr>
      </w:pPr>
    </w:p>
    <w:tbl>
      <w:tblPr>
        <w:tblStyle w:val="TableGrid"/>
        <w:tblW w:w="10000" w:type="dxa"/>
        <w:tblLook w:val="04A0" w:firstRow="1" w:lastRow="0" w:firstColumn="1" w:lastColumn="0" w:noHBand="0" w:noVBand="1"/>
      </w:tblPr>
      <w:tblGrid>
        <w:gridCol w:w="5200"/>
        <w:gridCol w:w="2400"/>
        <w:gridCol w:w="2400"/>
      </w:tblGrid>
      <w:tr w:rsidR="003A6FC0" w:rsidRPr="00894E52" w:rsidTr="00A1314F">
        <w:trPr>
          <w:trHeight w:val="240"/>
        </w:trPr>
        <w:tc>
          <w:tcPr>
            <w:tcW w:w="5200" w:type="dxa"/>
            <w:shd w:val="clear" w:color="auto" w:fill="auto"/>
          </w:tcPr>
          <w:p w:rsidR="003A6FC0" w:rsidRPr="00894E52" w:rsidRDefault="003A6FC0" w:rsidP="00B423D6">
            <w:pPr>
              <w:spacing w:after="60"/>
              <w:jc w:val="left"/>
              <w:rPr>
                <w:b/>
                <w:sz w:val="18"/>
                <w:lang w:val="en-US"/>
              </w:rPr>
            </w:pPr>
            <w:r w:rsidRPr="00894E52">
              <w:rPr>
                <w:b/>
                <w:sz w:val="18"/>
                <w:lang w:val="en-US"/>
              </w:rPr>
              <w:t>(II) LATEST ARTICLE 7 DATA (Annex C Group l)</w:t>
            </w:r>
          </w:p>
        </w:tc>
        <w:tc>
          <w:tcPr>
            <w:tcW w:w="2400" w:type="dxa"/>
            <w:shd w:val="clear" w:color="auto" w:fill="auto"/>
          </w:tcPr>
          <w:p w:rsidR="003A6FC0" w:rsidRPr="00894E52" w:rsidRDefault="003A6FC0" w:rsidP="00B423D6">
            <w:pPr>
              <w:spacing w:after="60"/>
              <w:jc w:val="center"/>
              <w:rPr>
                <w:sz w:val="18"/>
                <w:lang w:val="en-US"/>
              </w:rPr>
            </w:pPr>
            <w:r w:rsidRPr="00894E52">
              <w:rPr>
                <w:sz w:val="18"/>
                <w:lang w:val="en-US"/>
              </w:rPr>
              <w:t>Year: 2017</w:t>
            </w:r>
          </w:p>
        </w:tc>
        <w:tc>
          <w:tcPr>
            <w:tcW w:w="2400" w:type="dxa"/>
            <w:shd w:val="clear" w:color="auto" w:fill="auto"/>
          </w:tcPr>
          <w:p w:rsidR="003A6FC0" w:rsidRPr="00894E52" w:rsidRDefault="003A6FC0" w:rsidP="00B423D6">
            <w:pPr>
              <w:spacing w:after="60"/>
              <w:jc w:val="right"/>
              <w:rPr>
                <w:sz w:val="18"/>
                <w:lang w:val="en-US"/>
              </w:rPr>
            </w:pPr>
            <w:r w:rsidRPr="00894E52">
              <w:rPr>
                <w:sz w:val="18"/>
                <w:lang w:val="en-US"/>
              </w:rPr>
              <w:t>206.8 (ODP tonnes)</w:t>
            </w:r>
          </w:p>
        </w:tc>
      </w:tr>
    </w:tbl>
    <w:p w:rsidR="003A6FC0" w:rsidRPr="00894E52" w:rsidRDefault="003A6FC0" w:rsidP="00B423D6">
      <w:pPr>
        <w:spacing w:after="60"/>
        <w:jc w:val="center"/>
        <w:rPr>
          <w:sz w:val="18"/>
          <w:lang w:val="en-US"/>
        </w:rPr>
      </w:pPr>
    </w:p>
    <w:tbl>
      <w:tblPr>
        <w:tblStyle w:val="TableGrid"/>
        <w:tblW w:w="10000" w:type="dxa"/>
        <w:tblLook w:val="04A0" w:firstRow="1" w:lastRow="0" w:firstColumn="1" w:lastColumn="0" w:noHBand="0" w:noVBand="1"/>
      </w:tblPr>
      <w:tblGrid>
        <w:gridCol w:w="1200"/>
        <w:gridCol w:w="786"/>
        <w:gridCol w:w="627"/>
        <w:gridCol w:w="997"/>
        <w:gridCol w:w="1286"/>
        <w:gridCol w:w="906"/>
        <w:gridCol w:w="767"/>
        <w:gridCol w:w="1041"/>
        <w:gridCol w:w="676"/>
        <w:gridCol w:w="1714"/>
      </w:tblGrid>
      <w:tr w:rsidR="003A6FC0" w:rsidRPr="00894E52" w:rsidTr="00A1314F">
        <w:trPr>
          <w:trHeight w:val="240"/>
        </w:trPr>
        <w:tc>
          <w:tcPr>
            <w:tcW w:w="0" w:type="auto"/>
            <w:gridSpan w:val="8"/>
            <w:shd w:val="clear" w:color="auto" w:fill="auto"/>
          </w:tcPr>
          <w:p w:rsidR="003A6FC0" w:rsidRPr="00894E52" w:rsidRDefault="003A6FC0" w:rsidP="00B423D6">
            <w:pPr>
              <w:spacing w:after="60"/>
              <w:jc w:val="left"/>
              <w:rPr>
                <w:b/>
                <w:sz w:val="18"/>
                <w:lang w:val="en-US"/>
              </w:rPr>
            </w:pPr>
            <w:r w:rsidRPr="00894E52">
              <w:rPr>
                <w:b/>
                <w:sz w:val="18"/>
                <w:lang w:val="en-US"/>
              </w:rPr>
              <w:t>(III) LATEST COUNTRY PROGRAMME SECTORAL DATA (ODP tonnes)</w:t>
            </w:r>
          </w:p>
        </w:tc>
        <w:tc>
          <w:tcPr>
            <w:tcW w:w="0" w:type="auto"/>
            <w:gridSpan w:val="2"/>
            <w:shd w:val="clear" w:color="auto" w:fill="auto"/>
          </w:tcPr>
          <w:p w:rsidR="003A6FC0" w:rsidRPr="00894E52" w:rsidRDefault="003A6FC0" w:rsidP="00B423D6">
            <w:pPr>
              <w:spacing w:after="60"/>
              <w:jc w:val="right"/>
              <w:rPr>
                <w:b/>
                <w:sz w:val="18"/>
                <w:lang w:val="en-US"/>
              </w:rPr>
            </w:pPr>
            <w:r w:rsidRPr="00894E52">
              <w:rPr>
                <w:b/>
                <w:sz w:val="18"/>
                <w:lang w:val="en-US"/>
              </w:rPr>
              <w:t>Year: 2017</w:t>
            </w:r>
          </w:p>
        </w:tc>
      </w:tr>
      <w:tr w:rsidR="003A6FC0" w:rsidRPr="00894E52" w:rsidTr="00A1314F">
        <w:trPr>
          <w:trHeight w:val="240"/>
        </w:trPr>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Chemical</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Aerosol</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Foam</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Fire fighting</w:t>
            </w:r>
          </w:p>
        </w:tc>
        <w:tc>
          <w:tcPr>
            <w:tcW w:w="0" w:type="auto"/>
            <w:gridSpan w:val="2"/>
            <w:shd w:val="clear" w:color="auto" w:fill="auto"/>
          </w:tcPr>
          <w:p w:rsidR="003A6FC0" w:rsidRPr="00894E52" w:rsidRDefault="003A6FC0" w:rsidP="00B423D6">
            <w:pPr>
              <w:spacing w:after="60"/>
              <w:jc w:val="center"/>
              <w:rPr>
                <w:sz w:val="18"/>
                <w:lang w:val="en-US"/>
              </w:rPr>
            </w:pPr>
            <w:r w:rsidRPr="00894E52">
              <w:rPr>
                <w:sz w:val="18"/>
                <w:lang w:val="en-US"/>
              </w:rPr>
              <w:t>Refrigeration</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Solvent</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Process agent</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Lab use</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Total sector consumption</w:t>
            </w:r>
          </w:p>
        </w:tc>
      </w:tr>
      <w:tr w:rsidR="003A6FC0" w:rsidRPr="00894E52" w:rsidTr="00A1314F">
        <w:trPr>
          <w:trHeight w:val="240"/>
        </w:trPr>
        <w:tc>
          <w:tcPr>
            <w:tcW w:w="0" w:type="auto"/>
            <w:gridSpan w:val="4"/>
            <w:shd w:val="clear" w:color="auto" w:fill="auto"/>
          </w:tcPr>
          <w:p w:rsidR="003A6FC0" w:rsidRPr="00894E52" w:rsidRDefault="003A6FC0" w:rsidP="00B423D6">
            <w:pPr>
              <w:spacing w:after="60"/>
              <w:jc w:val="center"/>
              <w:rPr>
                <w:sz w:val="18"/>
                <w:lang w:val="en-US"/>
              </w:rPr>
            </w:pPr>
            <w:r w:rsidRPr="00894E52">
              <w:rPr>
                <w:sz w:val="18"/>
                <w:lang w:val="en-US"/>
              </w:rPr>
              <w:t xml:space="preserve"> </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Manufacturing</w:t>
            </w:r>
          </w:p>
        </w:tc>
        <w:tc>
          <w:tcPr>
            <w:tcW w:w="0" w:type="auto"/>
            <w:shd w:val="clear" w:color="auto" w:fill="auto"/>
          </w:tcPr>
          <w:p w:rsidR="003A6FC0" w:rsidRPr="00894E52" w:rsidRDefault="003A6FC0" w:rsidP="00B423D6">
            <w:pPr>
              <w:spacing w:after="60"/>
              <w:jc w:val="center"/>
              <w:rPr>
                <w:sz w:val="18"/>
                <w:lang w:val="en-US"/>
              </w:rPr>
            </w:pPr>
            <w:r w:rsidRPr="00894E52">
              <w:rPr>
                <w:sz w:val="18"/>
                <w:lang w:val="en-US"/>
              </w:rPr>
              <w:t>Servicing</w:t>
            </w:r>
          </w:p>
        </w:tc>
        <w:tc>
          <w:tcPr>
            <w:tcW w:w="0" w:type="auto"/>
            <w:gridSpan w:val="4"/>
            <w:shd w:val="clear" w:color="auto" w:fill="auto"/>
          </w:tcPr>
          <w:p w:rsidR="003A6FC0" w:rsidRPr="00894E52" w:rsidRDefault="003A6FC0" w:rsidP="00B423D6">
            <w:pPr>
              <w:spacing w:after="60"/>
              <w:jc w:val="center"/>
              <w:rPr>
                <w:sz w:val="18"/>
                <w:lang w:val="en-US"/>
              </w:rPr>
            </w:pPr>
          </w:p>
        </w:tc>
      </w:tr>
      <w:tr w:rsidR="003A6FC0" w:rsidRPr="00894E52" w:rsidTr="00A1314F">
        <w:trPr>
          <w:trHeight w:val="240"/>
        </w:trPr>
        <w:tc>
          <w:tcPr>
            <w:tcW w:w="1200" w:type="dxa"/>
            <w:shd w:val="clear" w:color="auto" w:fill="auto"/>
          </w:tcPr>
          <w:p w:rsidR="003A6FC0" w:rsidRPr="00894E52" w:rsidRDefault="003A6FC0" w:rsidP="00B423D6">
            <w:pPr>
              <w:spacing w:after="60"/>
              <w:jc w:val="left"/>
              <w:rPr>
                <w:sz w:val="18"/>
                <w:lang w:val="en-US"/>
              </w:rPr>
            </w:pPr>
            <w:r w:rsidRPr="00894E52">
              <w:rPr>
                <w:sz w:val="18"/>
                <w:lang w:val="en-US"/>
              </w:rPr>
              <w:t>HCFC-123</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tabs>
                <w:tab w:val="left" w:pos="462"/>
              </w:tabs>
              <w:spacing w:after="60"/>
              <w:jc w:val="right"/>
              <w:rPr>
                <w:sz w:val="18"/>
                <w:lang w:val="en-US"/>
              </w:rPr>
            </w:pPr>
            <w:r w:rsidRPr="00894E52">
              <w:rPr>
                <w:sz w:val="18"/>
                <w:lang w:val="en-US"/>
              </w:rPr>
              <w:t>0.04</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0.04</w:t>
            </w:r>
          </w:p>
        </w:tc>
      </w:tr>
      <w:tr w:rsidR="003A6FC0" w:rsidRPr="00894E52" w:rsidTr="00A1314F">
        <w:trPr>
          <w:trHeight w:val="240"/>
        </w:trPr>
        <w:tc>
          <w:tcPr>
            <w:tcW w:w="1200" w:type="dxa"/>
            <w:shd w:val="clear" w:color="auto" w:fill="auto"/>
          </w:tcPr>
          <w:p w:rsidR="003A6FC0" w:rsidRPr="00894E52" w:rsidRDefault="003A6FC0" w:rsidP="00B423D6">
            <w:pPr>
              <w:spacing w:after="60"/>
              <w:jc w:val="left"/>
              <w:rPr>
                <w:sz w:val="18"/>
                <w:lang w:val="en-US"/>
              </w:rPr>
            </w:pPr>
            <w:r w:rsidRPr="00894E52">
              <w:rPr>
                <w:sz w:val="18"/>
                <w:lang w:val="en-US"/>
              </w:rPr>
              <w:t>HCFC-124</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r>
      <w:tr w:rsidR="003A6FC0" w:rsidRPr="00894E52" w:rsidTr="00A1314F">
        <w:trPr>
          <w:trHeight w:val="240"/>
        </w:trPr>
        <w:tc>
          <w:tcPr>
            <w:tcW w:w="1200" w:type="dxa"/>
            <w:shd w:val="clear" w:color="auto" w:fill="auto"/>
          </w:tcPr>
          <w:p w:rsidR="003A6FC0" w:rsidRPr="00894E52" w:rsidRDefault="003A6FC0" w:rsidP="00B423D6">
            <w:pPr>
              <w:spacing w:after="60"/>
              <w:jc w:val="left"/>
              <w:rPr>
                <w:sz w:val="18"/>
                <w:lang w:val="en-US"/>
              </w:rPr>
            </w:pPr>
            <w:r w:rsidRPr="00894E52">
              <w:rPr>
                <w:sz w:val="18"/>
                <w:lang w:val="en-US"/>
              </w:rPr>
              <w:t>HCFC-141b</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55.46</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55.46</w:t>
            </w:r>
          </w:p>
        </w:tc>
      </w:tr>
      <w:tr w:rsidR="003A6FC0" w:rsidRPr="00894E52" w:rsidTr="00A1314F">
        <w:trPr>
          <w:trHeight w:val="240"/>
        </w:trPr>
        <w:tc>
          <w:tcPr>
            <w:tcW w:w="1200" w:type="dxa"/>
            <w:shd w:val="clear" w:color="auto" w:fill="auto"/>
          </w:tcPr>
          <w:p w:rsidR="003A6FC0" w:rsidRPr="00894E52" w:rsidRDefault="003A6FC0" w:rsidP="00B423D6">
            <w:pPr>
              <w:spacing w:after="60"/>
              <w:jc w:val="left"/>
              <w:rPr>
                <w:sz w:val="18"/>
                <w:lang w:val="en-US"/>
              </w:rPr>
            </w:pPr>
            <w:r w:rsidRPr="00894E52">
              <w:rPr>
                <w:sz w:val="18"/>
                <w:lang w:val="en-US"/>
              </w:rPr>
              <w:t>HCFC-142b</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2.99</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2.99</w:t>
            </w:r>
          </w:p>
        </w:tc>
      </w:tr>
      <w:tr w:rsidR="003A6FC0" w:rsidRPr="00894E52" w:rsidTr="00A1314F">
        <w:trPr>
          <w:trHeight w:val="240"/>
        </w:trPr>
        <w:tc>
          <w:tcPr>
            <w:tcW w:w="1200" w:type="dxa"/>
            <w:shd w:val="clear" w:color="auto" w:fill="auto"/>
          </w:tcPr>
          <w:p w:rsidR="003A6FC0" w:rsidRPr="00894E52" w:rsidRDefault="003A6FC0" w:rsidP="00B423D6">
            <w:pPr>
              <w:spacing w:after="60"/>
              <w:jc w:val="left"/>
              <w:rPr>
                <w:sz w:val="18"/>
                <w:lang w:val="en-US"/>
              </w:rPr>
            </w:pPr>
            <w:r w:rsidRPr="00894E52">
              <w:rPr>
                <w:sz w:val="18"/>
                <w:lang w:val="en-US"/>
              </w:rPr>
              <w:t>HCFC-22</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1.69</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44.95</w:t>
            </w: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101.69</w:t>
            </w: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p>
        </w:tc>
        <w:tc>
          <w:tcPr>
            <w:tcW w:w="0" w:type="auto"/>
            <w:shd w:val="clear" w:color="auto" w:fill="auto"/>
          </w:tcPr>
          <w:p w:rsidR="003A6FC0" w:rsidRPr="00894E52" w:rsidRDefault="003A6FC0" w:rsidP="00B423D6">
            <w:pPr>
              <w:spacing w:after="60"/>
              <w:jc w:val="right"/>
              <w:rPr>
                <w:sz w:val="18"/>
                <w:lang w:val="en-US"/>
              </w:rPr>
            </w:pPr>
            <w:r w:rsidRPr="00894E52">
              <w:rPr>
                <w:sz w:val="18"/>
                <w:lang w:val="en-US"/>
              </w:rPr>
              <w:t>148.33</w:t>
            </w:r>
          </w:p>
        </w:tc>
      </w:tr>
    </w:tbl>
    <w:p w:rsidR="003A6FC0" w:rsidRPr="00894E52" w:rsidRDefault="003A6FC0" w:rsidP="00B423D6">
      <w:pPr>
        <w:spacing w:after="60"/>
        <w:jc w:val="center"/>
        <w:rPr>
          <w:sz w:val="18"/>
          <w:lang w:val="en-US"/>
        </w:rPr>
      </w:pPr>
    </w:p>
    <w:tbl>
      <w:tblPr>
        <w:tblStyle w:val="TableGrid"/>
        <w:tblW w:w="5380" w:type="pct"/>
        <w:tblLook w:val="04A0" w:firstRow="1" w:lastRow="0" w:firstColumn="1" w:lastColumn="0" w:noHBand="0" w:noVBand="1"/>
      </w:tblPr>
      <w:tblGrid>
        <w:gridCol w:w="2514"/>
        <w:gridCol w:w="881"/>
        <w:gridCol w:w="5338"/>
        <w:gridCol w:w="1328"/>
      </w:tblGrid>
      <w:tr w:rsidR="003A6FC0" w:rsidRPr="00894E52" w:rsidTr="00A1314F">
        <w:trPr>
          <w:trHeight w:val="240"/>
        </w:trPr>
        <w:tc>
          <w:tcPr>
            <w:tcW w:w="5000" w:type="pct"/>
            <w:gridSpan w:val="4"/>
            <w:shd w:val="clear" w:color="auto" w:fill="auto"/>
          </w:tcPr>
          <w:p w:rsidR="003A6FC0" w:rsidRPr="00894E52" w:rsidRDefault="003A6FC0" w:rsidP="00B423D6">
            <w:pPr>
              <w:spacing w:after="60"/>
              <w:jc w:val="left"/>
              <w:rPr>
                <w:b/>
                <w:sz w:val="18"/>
                <w:lang w:val="en-US"/>
              </w:rPr>
            </w:pPr>
            <w:r w:rsidRPr="00894E52">
              <w:rPr>
                <w:b/>
                <w:sz w:val="18"/>
                <w:lang w:val="en-US"/>
              </w:rPr>
              <w:t>(IV) CONSUMPTION DATA (ODP tonnes)</w:t>
            </w:r>
          </w:p>
        </w:tc>
      </w:tr>
      <w:tr w:rsidR="003A6FC0" w:rsidRPr="00894E52" w:rsidTr="00A1314F">
        <w:trPr>
          <w:trHeight w:val="240"/>
        </w:trPr>
        <w:tc>
          <w:tcPr>
            <w:tcW w:w="1249" w:type="pct"/>
            <w:shd w:val="clear" w:color="auto" w:fill="auto"/>
          </w:tcPr>
          <w:p w:rsidR="003A6FC0" w:rsidRPr="00894E52" w:rsidRDefault="003A6FC0" w:rsidP="00B423D6">
            <w:pPr>
              <w:spacing w:after="60"/>
              <w:jc w:val="center"/>
              <w:rPr>
                <w:sz w:val="18"/>
                <w:lang w:val="en-US"/>
              </w:rPr>
            </w:pPr>
            <w:r w:rsidRPr="00894E52">
              <w:rPr>
                <w:sz w:val="18"/>
                <w:lang w:val="en-US"/>
              </w:rPr>
              <w:t>2009 - 2010 baseline:</w:t>
            </w:r>
          </w:p>
        </w:tc>
        <w:tc>
          <w:tcPr>
            <w:tcW w:w="438" w:type="pct"/>
            <w:shd w:val="clear" w:color="auto" w:fill="auto"/>
          </w:tcPr>
          <w:p w:rsidR="003A6FC0" w:rsidRPr="00894E52" w:rsidRDefault="003A6FC0" w:rsidP="00B423D6">
            <w:pPr>
              <w:spacing w:after="60"/>
              <w:jc w:val="right"/>
              <w:rPr>
                <w:sz w:val="18"/>
                <w:lang w:val="en-US"/>
              </w:rPr>
            </w:pPr>
            <w:r w:rsidRPr="00894E52">
              <w:rPr>
                <w:sz w:val="18"/>
                <w:lang w:val="en-US"/>
              </w:rPr>
              <w:t>248.11</w:t>
            </w:r>
          </w:p>
        </w:tc>
        <w:tc>
          <w:tcPr>
            <w:tcW w:w="2653" w:type="pct"/>
            <w:shd w:val="clear" w:color="auto" w:fill="auto"/>
          </w:tcPr>
          <w:p w:rsidR="003A6FC0" w:rsidRPr="00894E52" w:rsidRDefault="003A6FC0" w:rsidP="00B423D6">
            <w:pPr>
              <w:spacing w:after="60"/>
              <w:jc w:val="center"/>
              <w:rPr>
                <w:sz w:val="18"/>
                <w:lang w:val="en-US"/>
              </w:rPr>
            </w:pPr>
            <w:r w:rsidRPr="00894E52">
              <w:rPr>
                <w:sz w:val="18"/>
                <w:lang w:val="en-US"/>
              </w:rPr>
              <w:t>Starting point for sustained aggregate reductions:</w:t>
            </w:r>
          </w:p>
        </w:tc>
        <w:tc>
          <w:tcPr>
            <w:tcW w:w="661" w:type="pct"/>
            <w:shd w:val="clear" w:color="auto" w:fill="auto"/>
          </w:tcPr>
          <w:p w:rsidR="003A6FC0" w:rsidRPr="00894E52" w:rsidRDefault="003A6FC0" w:rsidP="00B423D6">
            <w:pPr>
              <w:spacing w:after="60"/>
              <w:jc w:val="right"/>
              <w:rPr>
                <w:sz w:val="18"/>
                <w:lang w:val="en-US"/>
              </w:rPr>
            </w:pPr>
            <w:r w:rsidRPr="00894E52">
              <w:rPr>
                <w:sz w:val="18"/>
                <w:lang w:val="en-US"/>
              </w:rPr>
              <w:t>248.11</w:t>
            </w:r>
          </w:p>
        </w:tc>
      </w:tr>
      <w:tr w:rsidR="003A6FC0" w:rsidRPr="00894E52" w:rsidTr="00A1314F">
        <w:trPr>
          <w:trHeight w:val="240"/>
        </w:trPr>
        <w:tc>
          <w:tcPr>
            <w:tcW w:w="5000" w:type="pct"/>
            <w:gridSpan w:val="4"/>
            <w:shd w:val="clear" w:color="auto" w:fill="auto"/>
          </w:tcPr>
          <w:p w:rsidR="003A6FC0" w:rsidRPr="00894E52" w:rsidRDefault="003A6FC0" w:rsidP="00B423D6">
            <w:pPr>
              <w:spacing w:after="60"/>
              <w:jc w:val="center"/>
              <w:rPr>
                <w:b/>
                <w:sz w:val="18"/>
                <w:lang w:val="en-US"/>
              </w:rPr>
            </w:pPr>
            <w:r w:rsidRPr="00894E52">
              <w:rPr>
                <w:b/>
                <w:sz w:val="18"/>
                <w:lang w:val="en-US"/>
              </w:rPr>
              <w:t>CONSUMPTION ELIGIBLE FOR FUNDING (ODP tonnes)</w:t>
            </w:r>
          </w:p>
        </w:tc>
      </w:tr>
      <w:tr w:rsidR="003A6FC0" w:rsidRPr="00894E52" w:rsidTr="00A1314F">
        <w:trPr>
          <w:trHeight w:val="240"/>
        </w:trPr>
        <w:tc>
          <w:tcPr>
            <w:tcW w:w="1249" w:type="pct"/>
            <w:shd w:val="clear" w:color="auto" w:fill="auto"/>
          </w:tcPr>
          <w:p w:rsidR="003A6FC0" w:rsidRPr="00894E52" w:rsidRDefault="003A6FC0" w:rsidP="00B423D6">
            <w:pPr>
              <w:spacing w:after="60"/>
              <w:jc w:val="center"/>
              <w:rPr>
                <w:sz w:val="18"/>
                <w:lang w:val="en-US"/>
              </w:rPr>
            </w:pPr>
            <w:r w:rsidRPr="00894E52">
              <w:rPr>
                <w:sz w:val="18"/>
                <w:lang w:val="en-US"/>
              </w:rPr>
              <w:t>Already approved:</w:t>
            </w:r>
          </w:p>
        </w:tc>
        <w:tc>
          <w:tcPr>
            <w:tcW w:w="438" w:type="pct"/>
            <w:shd w:val="clear" w:color="auto" w:fill="auto"/>
          </w:tcPr>
          <w:p w:rsidR="003A6FC0" w:rsidRPr="00894E52" w:rsidRDefault="003A6FC0" w:rsidP="00B423D6">
            <w:pPr>
              <w:spacing w:after="60"/>
              <w:jc w:val="right"/>
              <w:rPr>
                <w:sz w:val="18"/>
                <w:lang w:val="en-US"/>
              </w:rPr>
            </w:pPr>
            <w:r w:rsidRPr="00894E52">
              <w:rPr>
                <w:sz w:val="18"/>
                <w:lang w:val="en-US"/>
              </w:rPr>
              <w:t>152.08</w:t>
            </w:r>
          </w:p>
        </w:tc>
        <w:tc>
          <w:tcPr>
            <w:tcW w:w="2653" w:type="pct"/>
            <w:shd w:val="clear" w:color="auto" w:fill="auto"/>
          </w:tcPr>
          <w:p w:rsidR="003A6FC0" w:rsidRPr="00894E52" w:rsidRDefault="003A6FC0" w:rsidP="00B423D6">
            <w:pPr>
              <w:spacing w:after="60"/>
              <w:jc w:val="center"/>
              <w:rPr>
                <w:sz w:val="18"/>
                <w:lang w:val="en-US"/>
              </w:rPr>
            </w:pPr>
            <w:r w:rsidRPr="00894E52">
              <w:rPr>
                <w:sz w:val="18"/>
                <w:lang w:val="en-US"/>
              </w:rPr>
              <w:t>Remaining:</w:t>
            </w:r>
          </w:p>
        </w:tc>
        <w:tc>
          <w:tcPr>
            <w:tcW w:w="661" w:type="pct"/>
            <w:shd w:val="clear" w:color="auto" w:fill="auto"/>
          </w:tcPr>
          <w:p w:rsidR="003A6FC0" w:rsidRPr="00894E52" w:rsidRDefault="003A6FC0" w:rsidP="00B423D6">
            <w:pPr>
              <w:spacing w:after="60"/>
              <w:jc w:val="right"/>
              <w:rPr>
                <w:sz w:val="18"/>
                <w:lang w:val="en-US"/>
              </w:rPr>
            </w:pPr>
            <w:r w:rsidRPr="00894E52">
              <w:rPr>
                <w:sz w:val="18"/>
                <w:lang w:val="en-US"/>
              </w:rPr>
              <w:t>96.03</w:t>
            </w:r>
          </w:p>
        </w:tc>
      </w:tr>
    </w:tbl>
    <w:p w:rsidR="003A6FC0" w:rsidRPr="00894E52" w:rsidRDefault="003A6FC0" w:rsidP="00B423D6">
      <w:pPr>
        <w:spacing w:after="60"/>
        <w:jc w:val="center"/>
        <w:rPr>
          <w:sz w:val="18"/>
          <w:lang w:val="en-US"/>
        </w:rPr>
      </w:pPr>
    </w:p>
    <w:tbl>
      <w:tblPr>
        <w:tblStyle w:val="TableGrid"/>
        <w:tblW w:w="5380" w:type="pct"/>
        <w:tblLook w:val="04A0" w:firstRow="1" w:lastRow="0" w:firstColumn="1" w:lastColumn="0" w:noHBand="0" w:noVBand="1"/>
      </w:tblPr>
      <w:tblGrid>
        <w:gridCol w:w="961"/>
        <w:gridCol w:w="2849"/>
        <w:gridCol w:w="2083"/>
        <w:gridCol w:w="2083"/>
        <w:gridCol w:w="2085"/>
      </w:tblGrid>
      <w:tr w:rsidR="003A6FC0" w:rsidRPr="00894E52" w:rsidTr="00A1314F">
        <w:trPr>
          <w:trHeight w:val="240"/>
        </w:trPr>
        <w:tc>
          <w:tcPr>
            <w:tcW w:w="1894" w:type="pct"/>
            <w:gridSpan w:val="2"/>
            <w:shd w:val="clear" w:color="auto" w:fill="auto"/>
          </w:tcPr>
          <w:p w:rsidR="003A6FC0" w:rsidRPr="00894E52" w:rsidRDefault="003A6FC0" w:rsidP="00B423D6">
            <w:pPr>
              <w:spacing w:after="60"/>
              <w:jc w:val="left"/>
              <w:rPr>
                <w:b/>
                <w:sz w:val="18"/>
                <w:lang w:val="en-US"/>
              </w:rPr>
            </w:pPr>
            <w:r w:rsidRPr="00894E52">
              <w:rPr>
                <w:b/>
                <w:sz w:val="18"/>
                <w:lang w:val="en-US"/>
              </w:rPr>
              <w:t>(V) BUSINESS PLAN</w:t>
            </w:r>
          </w:p>
        </w:tc>
        <w:tc>
          <w:tcPr>
            <w:tcW w:w="1035" w:type="pct"/>
            <w:shd w:val="clear" w:color="auto" w:fill="auto"/>
          </w:tcPr>
          <w:p w:rsidR="003A6FC0" w:rsidRPr="00894E52" w:rsidRDefault="003A6FC0" w:rsidP="00B423D6">
            <w:pPr>
              <w:spacing w:after="60"/>
              <w:jc w:val="center"/>
              <w:rPr>
                <w:b/>
                <w:sz w:val="18"/>
                <w:lang w:val="en-US"/>
              </w:rPr>
            </w:pPr>
            <w:r w:rsidRPr="00894E52">
              <w:rPr>
                <w:b/>
                <w:sz w:val="18"/>
                <w:lang w:val="en-US"/>
              </w:rPr>
              <w:t>2019</w:t>
            </w:r>
          </w:p>
        </w:tc>
        <w:tc>
          <w:tcPr>
            <w:tcW w:w="1035" w:type="pct"/>
            <w:shd w:val="clear" w:color="auto" w:fill="auto"/>
          </w:tcPr>
          <w:p w:rsidR="003A6FC0" w:rsidRPr="00894E52" w:rsidRDefault="003A6FC0" w:rsidP="00B423D6">
            <w:pPr>
              <w:spacing w:after="60"/>
              <w:jc w:val="center"/>
              <w:rPr>
                <w:b/>
                <w:sz w:val="18"/>
                <w:lang w:val="en-US"/>
              </w:rPr>
            </w:pPr>
            <w:r w:rsidRPr="00894E52">
              <w:rPr>
                <w:b/>
                <w:sz w:val="18"/>
                <w:lang w:val="en-US"/>
              </w:rPr>
              <w:t>2020</w:t>
            </w:r>
          </w:p>
        </w:tc>
        <w:tc>
          <w:tcPr>
            <w:tcW w:w="1036" w:type="pct"/>
            <w:shd w:val="clear" w:color="auto" w:fill="auto"/>
          </w:tcPr>
          <w:p w:rsidR="003A6FC0" w:rsidRPr="00894E52" w:rsidRDefault="003A6FC0" w:rsidP="00B423D6">
            <w:pPr>
              <w:spacing w:after="60"/>
              <w:jc w:val="center"/>
              <w:rPr>
                <w:b/>
                <w:sz w:val="18"/>
                <w:lang w:val="en-US"/>
              </w:rPr>
            </w:pPr>
            <w:r w:rsidRPr="00894E52">
              <w:rPr>
                <w:b/>
                <w:sz w:val="18"/>
                <w:lang w:val="en-US"/>
              </w:rPr>
              <w:t>Total</w:t>
            </w:r>
          </w:p>
        </w:tc>
      </w:tr>
      <w:tr w:rsidR="003A6FC0" w:rsidRPr="00894E52" w:rsidTr="00A1314F">
        <w:trPr>
          <w:trHeight w:val="240"/>
        </w:trPr>
        <w:tc>
          <w:tcPr>
            <w:tcW w:w="478" w:type="pct"/>
            <w:vMerge w:val="restart"/>
            <w:shd w:val="clear" w:color="auto" w:fill="auto"/>
          </w:tcPr>
          <w:p w:rsidR="003A6FC0" w:rsidRPr="00894E52" w:rsidRDefault="003A6FC0" w:rsidP="00B423D6">
            <w:pPr>
              <w:spacing w:after="60"/>
              <w:jc w:val="center"/>
              <w:rPr>
                <w:sz w:val="18"/>
                <w:lang w:val="en-US"/>
              </w:rPr>
            </w:pPr>
            <w:r w:rsidRPr="00894E52">
              <w:rPr>
                <w:sz w:val="18"/>
                <w:lang w:val="en-US"/>
              </w:rPr>
              <w:t>UNIDO</w:t>
            </w:r>
          </w:p>
        </w:tc>
        <w:tc>
          <w:tcPr>
            <w:tcW w:w="1416" w:type="pct"/>
            <w:shd w:val="clear" w:color="auto" w:fill="auto"/>
          </w:tcPr>
          <w:p w:rsidR="003A6FC0" w:rsidRPr="00894E52" w:rsidRDefault="003A6FC0" w:rsidP="00B423D6">
            <w:pPr>
              <w:spacing w:after="60"/>
              <w:jc w:val="left"/>
              <w:rPr>
                <w:sz w:val="18"/>
                <w:lang w:val="en-US"/>
              </w:rPr>
            </w:pPr>
            <w:r w:rsidRPr="00894E52">
              <w:rPr>
                <w:sz w:val="18"/>
                <w:lang w:val="en-US"/>
              </w:rPr>
              <w:t>ODS phase-out (ODP tonnes)</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27.35</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6.17</w:t>
            </w:r>
          </w:p>
        </w:tc>
        <w:tc>
          <w:tcPr>
            <w:tcW w:w="1036" w:type="pct"/>
            <w:shd w:val="clear" w:color="auto" w:fill="auto"/>
          </w:tcPr>
          <w:p w:rsidR="003A6FC0" w:rsidRPr="00894E52" w:rsidRDefault="003A6FC0" w:rsidP="00B423D6">
            <w:pPr>
              <w:spacing w:after="60"/>
              <w:jc w:val="right"/>
              <w:rPr>
                <w:sz w:val="18"/>
                <w:lang w:val="en-US"/>
              </w:rPr>
            </w:pPr>
            <w:r w:rsidRPr="00894E52">
              <w:rPr>
                <w:sz w:val="18"/>
                <w:lang w:val="en-US"/>
              </w:rPr>
              <w:t>33.52</w:t>
            </w:r>
          </w:p>
        </w:tc>
      </w:tr>
      <w:tr w:rsidR="003A6FC0" w:rsidRPr="00894E52" w:rsidTr="00A1314F">
        <w:trPr>
          <w:trHeight w:val="240"/>
        </w:trPr>
        <w:tc>
          <w:tcPr>
            <w:tcW w:w="478" w:type="pct"/>
            <w:vMerge/>
            <w:shd w:val="clear" w:color="auto" w:fill="auto"/>
          </w:tcPr>
          <w:p w:rsidR="003A6FC0" w:rsidRPr="00894E52" w:rsidRDefault="003A6FC0" w:rsidP="00B423D6">
            <w:pPr>
              <w:spacing w:after="60"/>
              <w:jc w:val="center"/>
              <w:rPr>
                <w:sz w:val="18"/>
                <w:lang w:val="en-US"/>
              </w:rPr>
            </w:pPr>
          </w:p>
        </w:tc>
        <w:tc>
          <w:tcPr>
            <w:tcW w:w="1416" w:type="pct"/>
            <w:shd w:val="clear" w:color="auto" w:fill="auto"/>
          </w:tcPr>
          <w:p w:rsidR="003A6FC0" w:rsidRPr="00894E52" w:rsidRDefault="003A6FC0" w:rsidP="00B423D6">
            <w:pPr>
              <w:spacing w:after="60"/>
              <w:jc w:val="left"/>
              <w:rPr>
                <w:sz w:val="18"/>
                <w:lang w:val="en-US"/>
              </w:rPr>
            </w:pPr>
            <w:r w:rsidRPr="00894E52">
              <w:rPr>
                <w:sz w:val="18"/>
                <w:lang w:val="en-US"/>
              </w:rPr>
              <w:t>Funding (US $)</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2,118,442</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477,990</w:t>
            </w:r>
          </w:p>
        </w:tc>
        <w:tc>
          <w:tcPr>
            <w:tcW w:w="1036" w:type="pct"/>
            <w:shd w:val="clear" w:color="auto" w:fill="auto"/>
          </w:tcPr>
          <w:p w:rsidR="003A6FC0" w:rsidRPr="00894E52" w:rsidRDefault="003A6FC0" w:rsidP="00B423D6">
            <w:pPr>
              <w:spacing w:after="60"/>
              <w:jc w:val="right"/>
              <w:rPr>
                <w:sz w:val="18"/>
                <w:lang w:val="en-US"/>
              </w:rPr>
            </w:pPr>
            <w:r w:rsidRPr="00894E52">
              <w:rPr>
                <w:sz w:val="18"/>
                <w:lang w:val="en-US"/>
              </w:rPr>
              <w:t>2,596,432</w:t>
            </w:r>
          </w:p>
        </w:tc>
      </w:tr>
      <w:tr w:rsidR="003A6FC0" w:rsidRPr="00894E52" w:rsidTr="00A1314F">
        <w:trPr>
          <w:trHeight w:val="240"/>
        </w:trPr>
        <w:tc>
          <w:tcPr>
            <w:tcW w:w="478" w:type="pct"/>
            <w:vMerge w:val="restart"/>
            <w:shd w:val="clear" w:color="auto" w:fill="auto"/>
          </w:tcPr>
          <w:p w:rsidR="003A6FC0" w:rsidRPr="00894E52" w:rsidRDefault="003A6FC0" w:rsidP="00B423D6">
            <w:pPr>
              <w:spacing w:after="60"/>
              <w:jc w:val="center"/>
              <w:rPr>
                <w:sz w:val="18"/>
                <w:lang w:val="en-US"/>
              </w:rPr>
            </w:pPr>
            <w:r w:rsidRPr="00894E52">
              <w:rPr>
                <w:sz w:val="18"/>
                <w:lang w:val="en-US"/>
              </w:rPr>
              <w:t>UNEP</w:t>
            </w:r>
          </w:p>
        </w:tc>
        <w:tc>
          <w:tcPr>
            <w:tcW w:w="1416" w:type="pct"/>
            <w:shd w:val="clear" w:color="auto" w:fill="auto"/>
          </w:tcPr>
          <w:p w:rsidR="003A6FC0" w:rsidRPr="00894E52" w:rsidRDefault="003A6FC0" w:rsidP="00B423D6">
            <w:pPr>
              <w:spacing w:after="60"/>
              <w:jc w:val="left"/>
              <w:rPr>
                <w:sz w:val="18"/>
                <w:lang w:val="en-US"/>
              </w:rPr>
            </w:pPr>
            <w:r w:rsidRPr="00894E52">
              <w:rPr>
                <w:sz w:val="18"/>
                <w:lang w:val="en-US"/>
              </w:rPr>
              <w:t>ODS phase-out (ODP tonnes)</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2.76</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1.42</w:t>
            </w:r>
          </w:p>
        </w:tc>
        <w:tc>
          <w:tcPr>
            <w:tcW w:w="1036" w:type="pct"/>
            <w:shd w:val="clear" w:color="auto" w:fill="auto"/>
          </w:tcPr>
          <w:p w:rsidR="003A6FC0" w:rsidRPr="00894E52" w:rsidRDefault="003A6FC0" w:rsidP="00B423D6">
            <w:pPr>
              <w:spacing w:after="60"/>
              <w:jc w:val="right"/>
              <w:rPr>
                <w:sz w:val="18"/>
                <w:lang w:val="en-US"/>
              </w:rPr>
            </w:pPr>
            <w:r w:rsidRPr="00894E52">
              <w:rPr>
                <w:sz w:val="18"/>
                <w:lang w:val="en-US"/>
              </w:rPr>
              <w:t>4.18</w:t>
            </w:r>
          </w:p>
        </w:tc>
      </w:tr>
      <w:tr w:rsidR="003A6FC0" w:rsidRPr="00894E52" w:rsidTr="00A1314F">
        <w:trPr>
          <w:trHeight w:val="240"/>
        </w:trPr>
        <w:tc>
          <w:tcPr>
            <w:tcW w:w="478" w:type="pct"/>
            <w:vMerge/>
            <w:shd w:val="clear" w:color="auto" w:fill="auto"/>
          </w:tcPr>
          <w:p w:rsidR="003A6FC0" w:rsidRPr="00894E52" w:rsidRDefault="003A6FC0" w:rsidP="00B423D6">
            <w:pPr>
              <w:spacing w:after="60"/>
              <w:jc w:val="center"/>
              <w:rPr>
                <w:sz w:val="18"/>
                <w:lang w:val="en-US"/>
              </w:rPr>
            </w:pPr>
          </w:p>
        </w:tc>
        <w:tc>
          <w:tcPr>
            <w:tcW w:w="1416" w:type="pct"/>
            <w:shd w:val="clear" w:color="auto" w:fill="auto"/>
          </w:tcPr>
          <w:p w:rsidR="003A6FC0" w:rsidRPr="00894E52" w:rsidRDefault="003A6FC0" w:rsidP="00B423D6">
            <w:pPr>
              <w:spacing w:after="60"/>
              <w:jc w:val="left"/>
              <w:rPr>
                <w:sz w:val="18"/>
                <w:lang w:val="en-US"/>
              </w:rPr>
            </w:pPr>
            <w:r w:rsidRPr="00894E52">
              <w:rPr>
                <w:sz w:val="18"/>
                <w:lang w:val="en-US"/>
              </w:rPr>
              <w:t>Funding (US $)</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225,976</w:t>
            </w:r>
          </w:p>
        </w:tc>
        <w:tc>
          <w:tcPr>
            <w:tcW w:w="1035" w:type="pct"/>
            <w:shd w:val="clear" w:color="auto" w:fill="auto"/>
          </w:tcPr>
          <w:p w:rsidR="003A6FC0" w:rsidRPr="00894E52" w:rsidRDefault="003A6FC0" w:rsidP="00B423D6">
            <w:pPr>
              <w:spacing w:after="60"/>
              <w:jc w:val="right"/>
              <w:rPr>
                <w:sz w:val="18"/>
                <w:lang w:val="en-US"/>
              </w:rPr>
            </w:pPr>
            <w:r w:rsidRPr="00894E52">
              <w:rPr>
                <w:sz w:val="18"/>
                <w:lang w:val="en-US"/>
              </w:rPr>
              <w:t>116,378</w:t>
            </w:r>
          </w:p>
        </w:tc>
        <w:tc>
          <w:tcPr>
            <w:tcW w:w="1036" w:type="pct"/>
            <w:shd w:val="clear" w:color="auto" w:fill="auto"/>
          </w:tcPr>
          <w:p w:rsidR="003A6FC0" w:rsidRPr="00894E52" w:rsidRDefault="003A6FC0" w:rsidP="00B423D6">
            <w:pPr>
              <w:spacing w:after="60"/>
              <w:jc w:val="right"/>
              <w:rPr>
                <w:sz w:val="18"/>
                <w:lang w:val="en-US"/>
              </w:rPr>
            </w:pPr>
            <w:r w:rsidRPr="00894E52">
              <w:rPr>
                <w:sz w:val="18"/>
                <w:lang w:val="en-US"/>
              </w:rPr>
              <w:t>342,354</w:t>
            </w:r>
          </w:p>
        </w:tc>
      </w:tr>
    </w:tbl>
    <w:p w:rsidR="003A6FC0" w:rsidRPr="00894E52" w:rsidRDefault="003A6FC0" w:rsidP="00B423D6">
      <w:pPr>
        <w:spacing w:after="60"/>
        <w:jc w:val="center"/>
        <w:rPr>
          <w:sz w:val="18"/>
          <w:lang w:val="en-US"/>
        </w:rPr>
      </w:pPr>
    </w:p>
    <w:tbl>
      <w:tblPr>
        <w:tblStyle w:val="TableGrid"/>
        <w:tblW w:w="5380" w:type="pct"/>
        <w:tblLook w:val="04A0" w:firstRow="1" w:lastRow="0" w:firstColumn="1" w:lastColumn="0" w:noHBand="0" w:noVBand="1"/>
      </w:tblPr>
      <w:tblGrid>
        <w:gridCol w:w="845"/>
        <w:gridCol w:w="992"/>
        <w:gridCol w:w="1296"/>
        <w:gridCol w:w="1155"/>
        <w:gridCol w:w="1155"/>
        <w:gridCol w:w="1155"/>
        <w:gridCol w:w="1155"/>
        <w:gridCol w:w="1155"/>
        <w:gridCol w:w="1153"/>
      </w:tblGrid>
      <w:tr w:rsidR="003A6FC0" w:rsidRPr="00894E52" w:rsidTr="00A1314F">
        <w:tc>
          <w:tcPr>
            <w:tcW w:w="1557" w:type="pct"/>
            <w:gridSpan w:val="3"/>
            <w:shd w:val="clear" w:color="auto" w:fill="auto"/>
          </w:tcPr>
          <w:p w:rsidR="003A6FC0" w:rsidRPr="00894E52" w:rsidRDefault="003A6FC0" w:rsidP="00B423D6">
            <w:pPr>
              <w:jc w:val="left"/>
              <w:rPr>
                <w:b/>
                <w:sz w:val="18"/>
                <w:lang w:val="en-US"/>
              </w:rPr>
            </w:pPr>
            <w:r w:rsidRPr="00894E52">
              <w:rPr>
                <w:b/>
                <w:sz w:val="18"/>
                <w:lang w:val="en-US"/>
              </w:rPr>
              <w:t>(VI) PROJECT DATA</w:t>
            </w:r>
          </w:p>
        </w:tc>
        <w:tc>
          <w:tcPr>
            <w:tcW w:w="574" w:type="pct"/>
            <w:shd w:val="clear" w:color="auto" w:fill="auto"/>
          </w:tcPr>
          <w:p w:rsidR="003A6FC0" w:rsidRPr="00894E52" w:rsidRDefault="003A6FC0" w:rsidP="00B423D6">
            <w:pPr>
              <w:jc w:val="center"/>
              <w:rPr>
                <w:b/>
                <w:sz w:val="18"/>
                <w:lang w:val="en-US"/>
              </w:rPr>
            </w:pPr>
            <w:r w:rsidRPr="00894E52">
              <w:rPr>
                <w:b/>
                <w:sz w:val="18"/>
                <w:lang w:val="en-US"/>
              </w:rPr>
              <w:t>2016</w:t>
            </w:r>
          </w:p>
        </w:tc>
        <w:tc>
          <w:tcPr>
            <w:tcW w:w="574" w:type="pct"/>
            <w:shd w:val="clear" w:color="auto" w:fill="auto"/>
          </w:tcPr>
          <w:p w:rsidR="003A6FC0" w:rsidRPr="00894E52" w:rsidRDefault="003A6FC0" w:rsidP="00B423D6">
            <w:pPr>
              <w:jc w:val="center"/>
              <w:rPr>
                <w:b/>
                <w:sz w:val="18"/>
                <w:lang w:val="en-US"/>
              </w:rPr>
            </w:pPr>
            <w:r w:rsidRPr="00894E52">
              <w:rPr>
                <w:b/>
                <w:sz w:val="18"/>
                <w:lang w:val="en-US"/>
              </w:rPr>
              <w:t>2017</w:t>
            </w:r>
          </w:p>
        </w:tc>
        <w:tc>
          <w:tcPr>
            <w:tcW w:w="574" w:type="pct"/>
            <w:shd w:val="clear" w:color="auto" w:fill="auto"/>
          </w:tcPr>
          <w:p w:rsidR="003A6FC0" w:rsidRPr="00894E52" w:rsidRDefault="003A6FC0" w:rsidP="00B423D6">
            <w:pPr>
              <w:jc w:val="center"/>
              <w:rPr>
                <w:b/>
                <w:sz w:val="18"/>
                <w:lang w:val="en-US"/>
              </w:rPr>
            </w:pPr>
            <w:r w:rsidRPr="00894E52">
              <w:rPr>
                <w:b/>
                <w:sz w:val="18"/>
                <w:lang w:val="en-US"/>
              </w:rPr>
              <w:t>2018*</w:t>
            </w:r>
          </w:p>
        </w:tc>
        <w:tc>
          <w:tcPr>
            <w:tcW w:w="574" w:type="pct"/>
            <w:shd w:val="clear" w:color="auto" w:fill="auto"/>
          </w:tcPr>
          <w:p w:rsidR="003A6FC0" w:rsidRPr="00894E52" w:rsidRDefault="003A6FC0" w:rsidP="00B423D6">
            <w:pPr>
              <w:jc w:val="center"/>
              <w:rPr>
                <w:b/>
                <w:sz w:val="18"/>
                <w:lang w:val="en-US"/>
              </w:rPr>
            </w:pPr>
            <w:r w:rsidRPr="00894E52">
              <w:rPr>
                <w:b/>
                <w:sz w:val="18"/>
                <w:lang w:val="en-US"/>
              </w:rPr>
              <w:t>2019</w:t>
            </w:r>
          </w:p>
        </w:tc>
        <w:tc>
          <w:tcPr>
            <w:tcW w:w="574" w:type="pct"/>
            <w:shd w:val="clear" w:color="auto" w:fill="auto"/>
          </w:tcPr>
          <w:p w:rsidR="003A6FC0" w:rsidRPr="00894E52" w:rsidRDefault="003A6FC0" w:rsidP="00B423D6">
            <w:pPr>
              <w:jc w:val="center"/>
              <w:rPr>
                <w:b/>
                <w:sz w:val="18"/>
                <w:lang w:val="en-US"/>
              </w:rPr>
            </w:pPr>
            <w:r w:rsidRPr="00894E52">
              <w:rPr>
                <w:b/>
                <w:sz w:val="18"/>
                <w:lang w:val="en-US"/>
              </w:rPr>
              <w:t>2020</w:t>
            </w:r>
          </w:p>
        </w:tc>
        <w:tc>
          <w:tcPr>
            <w:tcW w:w="573" w:type="pct"/>
            <w:shd w:val="clear" w:color="auto" w:fill="auto"/>
          </w:tcPr>
          <w:p w:rsidR="003A6FC0" w:rsidRPr="00894E52" w:rsidRDefault="003A6FC0" w:rsidP="00B423D6">
            <w:pPr>
              <w:jc w:val="center"/>
              <w:rPr>
                <w:b/>
                <w:sz w:val="18"/>
                <w:lang w:val="en-US"/>
              </w:rPr>
            </w:pPr>
            <w:r w:rsidRPr="00894E52">
              <w:rPr>
                <w:b/>
                <w:sz w:val="18"/>
                <w:lang w:val="en-US"/>
              </w:rPr>
              <w:t>Total</w:t>
            </w:r>
          </w:p>
        </w:tc>
      </w:tr>
      <w:tr w:rsidR="003A6FC0" w:rsidRPr="00894E52" w:rsidTr="00A1314F">
        <w:tc>
          <w:tcPr>
            <w:tcW w:w="1557" w:type="pct"/>
            <w:gridSpan w:val="3"/>
            <w:shd w:val="clear" w:color="auto" w:fill="auto"/>
          </w:tcPr>
          <w:p w:rsidR="003A6FC0" w:rsidRPr="00894E52" w:rsidRDefault="003A6FC0" w:rsidP="00B423D6">
            <w:pPr>
              <w:jc w:val="left"/>
              <w:rPr>
                <w:sz w:val="18"/>
                <w:lang w:val="en-US"/>
              </w:rPr>
            </w:pPr>
            <w:r w:rsidRPr="00894E52">
              <w:rPr>
                <w:sz w:val="18"/>
                <w:lang w:val="en-US"/>
              </w:rPr>
              <w:t>Montreal Protocol consumption limits</w:t>
            </w:r>
          </w:p>
        </w:tc>
        <w:tc>
          <w:tcPr>
            <w:tcW w:w="574" w:type="pct"/>
            <w:shd w:val="clear" w:color="auto" w:fill="auto"/>
          </w:tcPr>
          <w:p w:rsidR="003A6FC0" w:rsidRPr="00894E52" w:rsidRDefault="003A6FC0" w:rsidP="00B423D6">
            <w:pPr>
              <w:jc w:val="right"/>
              <w:rPr>
                <w:color w:val="000000"/>
                <w:sz w:val="18"/>
                <w:szCs w:val="20"/>
              </w:rPr>
            </w:pPr>
            <w:r w:rsidRPr="00894E52">
              <w:rPr>
                <w:color w:val="000000"/>
                <w:sz w:val="18"/>
                <w:szCs w:val="20"/>
              </w:rPr>
              <w:t>223.30</w:t>
            </w:r>
          </w:p>
        </w:tc>
        <w:tc>
          <w:tcPr>
            <w:tcW w:w="574" w:type="pct"/>
            <w:shd w:val="clear" w:color="auto" w:fill="auto"/>
          </w:tcPr>
          <w:p w:rsidR="003A6FC0" w:rsidRPr="00894E52" w:rsidRDefault="003A6FC0" w:rsidP="00B423D6">
            <w:pPr>
              <w:jc w:val="right"/>
              <w:rPr>
                <w:sz w:val="18"/>
              </w:rPr>
            </w:pPr>
            <w:r w:rsidRPr="00894E52">
              <w:rPr>
                <w:color w:val="000000"/>
                <w:sz w:val="18"/>
                <w:szCs w:val="20"/>
              </w:rPr>
              <w:t>223.30</w:t>
            </w:r>
          </w:p>
        </w:tc>
        <w:tc>
          <w:tcPr>
            <w:tcW w:w="574" w:type="pct"/>
            <w:shd w:val="clear" w:color="auto" w:fill="auto"/>
          </w:tcPr>
          <w:p w:rsidR="003A6FC0" w:rsidRPr="00894E52" w:rsidRDefault="003A6FC0" w:rsidP="00B423D6">
            <w:pPr>
              <w:jc w:val="right"/>
              <w:rPr>
                <w:sz w:val="18"/>
              </w:rPr>
            </w:pPr>
            <w:r w:rsidRPr="00894E52">
              <w:rPr>
                <w:color w:val="000000"/>
                <w:sz w:val="18"/>
                <w:szCs w:val="20"/>
              </w:rPr>
              <w:t>223.30</w:t>
            </w:r>
          </w:p>
        </w:tc>
        <w:tc>
          <w:tcPr>
            <w:tcW w:w="574" w:type="pct"/>
            <w:shd w:val="clear" w:color="auto" w:fill="auto"/>
          </w:tcPr>
          <w:p w:rsidR="003A6FC0" w:rsidRPr="00894E52" w:rsidRDefault="003A6FC0" w:rsidP="00B423D6">
            <w:pPr>
              <w:jc w:val="right"/>
              <w:rPr>
                <w:sz w:val="18"/>
              </w:rPr>
            </w:pPr>
            <w:r w:rsidRPr="00894E52">
              <w:rPr>
                <w:color w:val="000000"/>
                <w:sz w:val="18"/>
                <w:szCs w:val="20"/>
              </w:rPr>
              <w:t>223.30</w:t>
            </w:r>
          </w:p>
        </w:tc>
        <w:tc>
          <w:tcPr>
            <w:tcW w:w="574" w:type="pct"/>
            <w:shd w:val="clear" w:color="auto" w:fill="auto"/>
          </w:tcPr>
          <w:p w:rsidR="003A6FC0" w:rsidRPr="00894E52" w:rsidRDefault="003A6FC0" w:rsidP="00B423D6">
            <w:pPr>
              <w:jc w:val="right"/>
              <w:rPr>
                <w:color w:val="000000"/>
                <w:sz w:val="18"/>
                <w:szCs w:val="20"/>
              </w:rPr>
            </w:pPr>
            <w:r w:rsidRPr="00894E52">
              <w:rPr>
                <w:color w:val="000000"/>
                <w:sz w:val="18"/>
                <w:szCs w:val="20"/>
              </w:rPr>
              <w:t>161.27</w:t>
            </w:r>
          </w:p>
        </w:tc>
        <w:tc>
          <w:tcPr>
            <w:tcW w:w="573" w:type="pct"/>
            <w:shd w:val="clear" w:color="auto" w:fill="auto"/>
          </w:tcPr>
          <w:p w:rsidR="003A6FC0" w:rsidRPr="00894E52" w:rsidRDefault="003A6FC0" w:rsidP="00B423D6">
            <w:pPr>
              <w:jc w:val="right"/>
              <w:rPr>
                <w:sz w:val="18"/>
                <w:lang w:val="en-US"/>
              </w:rPr>
            </w:pPr>
            <w:r w:rsidRPr="00894E52">
              <w:rPr>
                <w:sz w:val="18"/>
                <w:lang w:val="en-US"/>
              </w:rPr>
              <w:t>n/a</w:t>
            </w:r>
          </w:p>
        </w:tc>
      </w:tr>
      <w:tr w:rsidR="003A6FC0" w:rsidRPr="00894E52" w:rsidTr="00A1314F">
        <w:tc>
          <w:tcPr>
            <w:tcW w:w="1557" w:type="pct"/>
            <w:gridSpan w:val="3"/>
            <w:shd w:val="clear" w:color="auto" w:fill="auto"/>
          </w:tcPr>
          <w:p w:rsidR="003A6FC0" w:rsidRPr="00894E52" w:rsidRDefault="003A6FC0" w:rsidP="00B423D6">
            <w:pPr>
              <w:jc w:val="left"/>
              <w:rPr>
                <w:sz w:val="18"/>
                <w:lang w:val="en-US"/>
              </w:rPr>
            </w:pPr>
            <w:r w:rsidRPr="00894E52">
              <w:rPr>
                <w:sz w:val="18"/>
                <w:lang w:val="en-US"/>
              </w:rPr>
              <w:t>Maximum allowable consumption (ODP tonnes)</w:t>
            </w:r>
          </w:p>
        </w:tc>
        <w:tc>
          <w:tcPr>
            <w:tcW w:w="574" w:type="pct"/>
            <w:shd w:val="clear" w:color="auto" w:fill="auto"/>
          </w:tcPr>
          <w:p w:rsidR="003A6FC0" w:rsidRPr="00894E52" w:rsidRDefault="003A6FC0" w:rsidP="00B423D6">
            <w:pPr>
              <w:jc w:val="right"/>
              <w:rPr>
                <w:color w:val="000000"/>
                <w:sz w:val="18"/>
                <w:szCs w:val="20"/>
              </w:rPr>
            </w:pPr>
            <w:r w:rsidRPr="00894E52">
              <w:rPr>
                <w:color w:val="000000"/>
                <w:sz w:val="18"/>
                <w:szCs w:val="20"/>
              </w:rPr>
              <w:t>223.30</w:t>
            </w:r>
          </w:p>
        </w:tc>
        <w:tc>
          <w:tcPr>
            <w:tcW w:w="574" w:type="pct"/>
            <w:shd w:val="clear" w:color="auto" w:fill="auto"/>
          </w:tcPr>
          <w:p w:rsidR="003A6FC0" w:rsidRPr="00894E52" w:rsidRDefault="003A6FC0" w:rsidP="00B423D6">
            <w:pPr>
              <w:jc w:val="right"/>
              <w:rPr>
                <w:sz w:val="18"/>
              </w:rPr>
            </w:pPr>
            <w:r w:rsidRPr="00894E52">
              <w:rPr>
                <w:color w:val="000000"/>
                <w:sz w:val="18"/>
                <w:szCs w:val="20"/>
              </w:rPr>
              <w:t>223.30</w:t>
            </w:r>
          </w:p>
        </w:tc>
        <w:tc>
          <w:tcPr>
            <w:tcW w:w="574" w:type="pct"/>
            <w:shd w:val="clear" w:color="auto" w:fill="auto"/>
          </w:tcPr>
          <w:p w:rsidR="003A6FC0" w:rsidRPr="00894E52" w:rsidRDefault="003A6FC0" w:rsidP="00B423D6">
            <w:pPr>
              <w:jc w:val="right"/>
              <w:rPr>
                <w:sz w:val="18"/>
              </w:rPr>
            </w:pPr>
            <w:r w:rsidRPr="00894E52">
              <w:rPr>
                <w:color w:val="000000"/>
                <w:sz w:val="18"/>
                <w:szCs w:val="20"/>
              </w:rPr>
              <w:t>223.30</w:t>
            </w:r>
          </w:p>
        </w:tc>
        <w:tc>
          <w:tcPr>
            <w:tcW w:w="574" w:type="pct"/>
            <w:shd w:val="clear" w:color="auto" w:fill="auto"/>
          </w:tcPr>
          <w:p w:rsidR="003A6FC0" w:rsidRPr="00894E52" w:rsidRDefault="003A6FC0" w:rsidP="00B423D6">
            <w:pPr>
              <w:jc w:val="right"/>
              <w:rPr>
                <w:sz w:val="18"/>
              </w:rPr>
            </w:pPr>
            <w:r w:rsidRPr="00894E52">
              <w:rPr>
                <w:color w:val="000000"/>
                <w:sz w:val="18"/>
                <w:szCs w:val="20"/>
              </w:rPr>
              <w:t>223.30</w:t>
            </w:r>
          </w:p>
        </w:tc>
        <w:tc>
          <w:tcPr>
            <w:tcW w:w="574" w:type="pct"/>
            <w:shd w:val="clear" w:color="auto" w:fill="auto"/>
          </w:tcPr>
          <w:p w:rsidR="003A6FC0" w:rsidRPr="00894E52" w:rsidRDefault="003A6FC0" w:rsidP="00B423D6">
            <w:pPr>
              <w:jc w:val="right"/>
              <w:rPr>
                <w:color w:val="000000"/>
                <w:sz w:val="18"/>
                <w:szCs w:val="20"/>
              </w:rPr>
            </w:pPr>
            <w:r w:rsidRPr="00894E52">
              <w:rPr>
                <w:color w:val="000000"/>
                <w:sz w:val="18"/>
                <w:szCs w:val="20"/>
              </w:rPr>
              <w:t>124.06</w:t>
            </w:r>
          </w:p>
        </w:tc>
        <w:tc>
          <w:tcPr>
            <w:tcW w:w="573" w:type="pct"/>
            <w:shd w:val="clear" w:color="auto" w:fill="auto"/>
          </w:tcPr>
          <w:p w:rsidR="003A6FC0" w:rsidRPr="00894E52" w:rsidRDefault="003A6FC0" w:rsidP="00B423D6">
            <w:pPr>
              <w:jc w:val="right"/>
              <w:rPr>
                <w:sz w:val="18"/>
                <w:lang w:val="en-US"/>
              </w:rPr>
            </w:pPr>
            <w:r w:rsidRPr="00894E52">
              <w:rPr>
                <w:sz w:val="18"/>
                <w:lang w:val="en-US"/>
              </w:rPr>
              <w:t>n/a</w:t>
            </w:r>
          </w:p>
        </w:tc>
      </w:tr>
      <w:tr w:rsidR="003A6FC0" w:rsidRPr="00894E52" w:rsidTr="00894E52">
        <w:tc>
          <w:tcPr>
            <w:tcW w:w="420" w:type="pct"/>
            <w:vMerge w:val="restart"/>
            <w:shd w:val="clear" w:color="auto" w:fill="auto"/>
          </w:tcPr>
          <w:p w:rsidR="003A6FC0" w:rsidRPr="00894E52" w:rsidRDefault="003A6FC0" w:rsidP="00B423D6">
            <w:pPr>
              <w:jc w:val="left"/>
              <w:rPr>
                <w:sz w:val="18"/>
                <w:lang w:val="en-US"/>
              </w:rPr>
            </w:pPr>
            <w:r w:rsidRPr="00894E52">
              <w:rPr>
                <w:sz w:val="18"/>
                <w:lang w:val="en-US"/>
              </w:rPr>
              <w:t>Agreed funding (US $)</w:t>
            </w:r>
          </w:p>
        </w:tc>
        <w:tc>
          <w:tcPr>
            <w:tcW w:w="493" w:type="pct"/>
            <w:vMerge w:val="restart"/>
            <w:shd w:val="clear" w:color="auto" w:fill="auto"/>
          </w:tcPr>
          <w:p w:rsidR="003A6FC0" w:rsidRPr="00894E52" w:rsidRDefault="003A6FC0" w:rsidP="00B423D6">
            <w:pPr>
              <w:jc w:val="center"/>
              <w:rPr>
                <w:sz w:val="18"/>
                <w:lang w:val="en-US"/>
              </w:rPr>
            </w:pPr>
            <w:r w:rsidRPr="00894E52">
              <w:rPr>
                <w:sz w:val="18"/>
                <w:lang w:val="en-US"/>
              </w:rPr>
              <w:t>UNEP</w:t>
            </w:r>
          </w:p>
        </w:tc>
        <w:tc>
          <w:tcPr>
            <w:tcW w:w="644" w:type="pct"/>
            <w:shd w:val="clear" w:color="auto" w:fill="auto"/>
          </w:tcPr>
          <w:p w:rsidR="003A6FC0" w:rsidRPr="00894E52" w:rsidRDefault="003A6FC0" w:rsidP="00B423D6">
            <w:pPr>
              <w:jc w:val="left"/>
              <w:rPr>
                <w:sz w:val="18"/>
                <w:lang w:val="en-US"/>
              </w:rPr>
            </w:pPr>
            <w:r w:rsidRPr="00894E52">
              <w:rPr>
                <w:sz w:val="18"/>
                <w:lang w:val="en-US"/>
              </w:rPr>
              <w:t>Project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200,000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200,000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103,000</w:t>
            </w:r>
          </w:p>
        </w:tc>
        <w:tc>
          <w:tcPr>
            <w:tcW w:w="573" w:type="pct"/>
            <w:shd w:val="clear" w:color="auto" w:fill="auto"/>
          </w:tcPr>
          <w:p w:rsidR="003A6FC0" w:rsidRPr="00894E52" w:rsidRDefault="003A6FC0" w:rsidP="00B423D6">
            <w:pPr>
              <w:jc w:val="right"/>
              <w:rPr>
                <w:sz w:val="18"/>
                <w:lang w:val="en-US"/>
              </w:rPr>
            </w:pPr>
            <w:r w:rsidRPr="00894E52">
              <w:rPr>
                <w:sz w:val="18"/>
                <w:lang w:val="en-US"/>
              </w:rPr>
              <w:t>503,000</w:t>
            </w:r>
          </w:p>
        </w:tc>
      </w:tr>
      <w:tr w:rsidR="003A6FC0" w:rsidRPr="00894E52" w:rsidTr="00894E52">
        <w:tc>
          <w:tcPr>
            <w:tcW w:w="420" w:type="pct"/>
            <w:vMerge/>
            <w:shd w:val="clear" w:color="auto" w:fill="auto"/>
          </w:tcPr>
          <w:p w:rsidR="003A6FC0" w:rsidRPr="00894E52" w:rsidRDefault="003A6FC0" w:rsidP="00B423D6">
            <w:pPr>
              <w:jc w:val="center"/>
              <w:rPr>
                <w:sz w:val="18"/>
                <w:lang w:val="en-US"/>
              </w:rPr>
            </w:pPr>
          </w:p>
        </w:tc>
        <w:tc>
          <w:tcPr>
            <w:tcW w:w="493" w:type="pct"/>
            <w:vMerge/>
            <w:shd w:val="clear" w:color="auto" w:fill="auto"/>
          </w:tcPr>
          <w:p w:rsidR="003A6FC0" w:rsidRPr="00894E52" w:rsidRDefault="003A6FC0" w:rsidP="00B423D6">
            <w:pPr>
              <w:jc w:val="center"/>
              <w:rPr>
                <w:sz w:val="18"/>
                <w:lang w:val="en-US"/>
              </w:rPr>
            </w:pPr>
          </w:p>
        </w:tc>
        <w:tc>
          <w:tcPr>
            <w:tcW w:w="644" w:type="pct"/>
            <w:shd w:val="clear" w:color="auto" w:fill="auto"/>
          </w:tcPr>
          <w:p w:rsidR="003A6FC0" w:rsidRPr="00894E52" w:rsidRDefault="003A6FC0" w:rsidP="00B423D6">
            <w:pPr>
              <w:jc w:val="left"/>
              <w:rPr>
                <w:sz w:val="18"/>
                <w:lang w:val="en-US"/>
              </w:rPr>
            </w:pPr>
            <w:r w:rsidRPr="00894E52">
              <w:rPr>
                <w:sz w:val="18"/>
                <w:lang w:val="en-US"/>
              </w:rPr>
              <w:t>Support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25,976</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25,976</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13,378</w:t>
            </w:r>
          </w:p>
        </w:tc>
        <w:tc>
          <w:tcPr>
            <w:tcW w:w="573" w:type="pct"/>
            <w:shd w:val="clear" w:color="auto" w:fill="auto"/>
          </w:tcPr>
          <w:p w:rsidR="003A6FC0" w:rsidRPr="00894E52" w:rsidRDefault="003A6FC0" w:rsidP="00B423D6">
            <w:pPr>
              <w:jc w:val="right"/>
              <w:rPr>
                <w:sz w:val="18"/>
                <w:lang w:val="en-US"/>
              </w:rPr>
            </w:pPr>
            <w:r w:rsidRPr="00894E52">
              <w:rPr>
                <w:sz w:val="18"/>
                <w:lang w:val="en-US"/>
              </w:rPr>
              <w:t>65,330</w:t>
            </w:r>
          </w:p>
        </w:tc>
      </w:tr>
      <w:tr w:rsidR="003A6FC0" w:rsidRPr="00894E52" w:rsidTr="00894E52">
        <w:tc>
          <w:tcPr>
            <w:tcW w:w="420" w:type="pct"/>
            <w:vMerge/>
            <w:shd w:val="clear" w:color="auto" w:fill="auto"/>
          </w:tcPr>
          <w:p w:rsidR="003A6FC0" w:rsidRPr="00894E52" w:rsidRDefault="003A6FC0" w:rsidP="00B423D6">
            <w:pPr>
              <w:jc w:val="center"/>
              <w:rPr>
                <w:sz w:val="18"/>
                <w:lang w:val="en-US"/>
              </w:rPr>
            </w:pPr>
          </w:p>
        </w:tc>
        <w:tc>
          <w:tcPr>
            <w:tcW w:w="493" w:type="pct"/>
            <w:vMerge w:val="restart"/>
            <w:shd w:val="clear" w:color="auto" w:fill="auto"/>
          </w:tcPr>
          <w:p w:rsidR="003A6FC0" w:rsidRPr="00894E52" w:rsidRDefault="003A6FC0" w:rsidP="00B423D6">
            <w:pPr>
              <w:jc w:val="center"/>
              <w:rPr>
                <w:sz w:val="18"/>
                <w:lang w:val="en-US"/>
              </w:rPr>
            </w:pPr>
            <w:r w:rsidRPr="00894E52">
              <w:rPr>
                <w:sz w:val="18"/>
                <w:lang w:val="en-US"/>
              </w:rPr>
              <w:t>UNIDO</w:t>
            </w:r>
          </w:p>
        </w:tc>
        <w:tc>
          <w:tcPr>
            <w:tcW w:w="644" w:type="pct"/>
            <w:shd w:val="clear" w:color="auto" w:fill="auto"/>
          </w:tcPr>
          <w:p w:rsidR="003A6FC0" w:rsidRPr="00894E52" w:rsidRDefault="003A6FC0" w:rsidP="00B423D6">
            <w:pPr>
              <w:jc w:val="left"/>
              <w:rPr>
                <w:sz w:val="18"/>
                <w:lang w:val="en-US"/>
              </w:rPr>
            </w:pPr>
            <w:r w:rsidRPr="00894E52">
              <w:rPr>
                <w:sz w:val="18"/>
                <w:lang w:val="en-US"/>
              </w:rPr>
              <w:t>Project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2,350,200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1,979,852</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446,720</w:t>
            </w:r>
          </w:p>
        </w:tc>
        <w:tc>
          <w:tcPr>
            <w:tcW w:w="573" w:type="pct"/>
            <w:shd w:val="clear" w:color="auto" w:fill="auto"/>
          </w:tcPr>
          <w:p w:rsidR="003A6FC0" w:rsidRPr="00894E52" w:rsidRDefault="003A6FC0" w:rsidP="00B423D6">
            <w:pPr>
              <w:jc w:val="right"/>
              <w:rPr>
                <w:sz w:val="18"/>
                <w:lang w:val="en-US"/>
              </w:rPr>
            </w:pPr>
            <w:r w:rsidRPr="00894E52">
              <w:rPr>
                <w:sz w:val="18"/>
                <w:lang w:val="en-US"/>
              </w:rPr>
              <w:t>4,776,772</w:t>
            </w:r>
          </w:p>
        </w:tc>
      </w:tr>
      <w:tr w:rsidR="003A6FC0" w:rsidRPr="00894E52" w:rsidTr="00894E52">
        <w:tc>
          <w:tcPr>
            <w:tcW w:w="420" w:type="pct"/>
            <w:vMerge/>
            <w:shd w:val="clear" w:color="auto" w:fill="auto"/>
          </w:tcPr>
          <w:p w:rsidR="003A6FC0" w:rsidRPr="00894E52" w:rsidRDefault="003A6FC0" w:rsidP="00B423D6">
            <w:pPr>
              <w:jc w:val="center"/>
              <w:rPr>
                <w:sz w:val="18"/>
                <w:lang w:val="en-US"/>
              </w:rPr>
            </w:pPr>
          </w:p>
        </w:tc>
        <w:tc>
          <w:tcPr>
            <w:tcW w:w="493" w:type="pct"/>
            <w:vMerge/>
            <w:shd w:val="clear" w:color="auto" w:fill="auto"/>
          </w:tcPr>
          <w:p w:rsidR="003A6FC0" w:rsidRPr="00894E52" w:rsidRDefault="003A6FC0" w:rsidP="00B423D6">
            <w:pPr>
              <w:jc w:val="center"/>
              <w:rPr>
                <w:sz w:val="18"/>
                <w:lang w:val="en-US"/>
              </w:rPr>
            </w:pPr>
          </w:p>
        </w:tc>
        <w:tc>
          <w:tcPr>
            <w:tcW w:w="644" w:type="pct"/>
            <w:shd w:val="clear" w:color="auto" w:fill="auto"/>
          </w:tcPr>
          <w:p w:rsidR="003A6FC0" w:rsidRPr="00894E52" w:rsidRDefault="003A6FC0" w:rsidP="00B423D6">
            <w:pPr>
              <w:jc w:val="left"/>
              <w:rPr>
                <w:sz w:val="18"/>
                <w:lang w:val="en-US"/>
              </w:rPr>
            </w:pPr>
            <w:r w:rsidRPr="00894E52">
              <w:rPr>
                <w:sz w:val="18"/>
                <w:lang w:val="en-US"/>
              </w:rPr>
              <w:t>Support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164,514</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138,590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31,270</w:t>
            </w:r>
          </w:p>
        </w:tc>
        <w:tc>
          <w:tcPr>
            <w:tcW w:w="573" w:type="pct"/>
            <w:shd w:val="clear" w:color="auto" w:fill="auto"/>
          </w:tcPr>
          <w:p w:rsidR="003A6FC0" w:rsidRPr="00894E52" w:rsidRDefault="003A6FC0" w:rsidP="00B423D6">
            <w:pPr>
              <w:jc w:val="right"/>
              <w:rPr>
                <w:sz w:val="18"/>
                <w:lang w:val="en-US"/>
              </w:rPr>
            </w:pPr>
            <w:r w:rsidRPr="00894E52">
              <w:rPr>
                <w:sz w:val="18"/>
                <w:lang w:val="en-US"/>
              </w:rPr>
              <w:t>334,374</w:t>
            </w:r>
          </w:p>
        </w:tc>
      </w:tr>
      <w:tr w:rsidR="003A6FC0" w:rsidRPr="00894E52" w:rsidTr="00894E52">
        <w:tc>
          <w:tcPr>
            <w:tcW w:w="913" w:type="pct"/>
            <w:gridSpan w:val="2"/>
            <w:vMerge w:val="restart"/>
            <w:shd w:val="clear" w:color="auto" w:fill="auto"/>
          </w:tcPr>
          <w:p w:rsidR="003A6FC0" w:rsidRPr="00894E52" w:rsidRDefault="003A6FC0" w:rsidP="00B423D6">
            <w:pPr>
              <w:jc w:val="left"/>
              <w:rPr>
                <w:sz w:val="18"/>
                <w:lang w:val="en-US"/>
              </w:rPr>
            </w:pPr>
            <w:r w:rsidRPr="00894E52">
              <w:rPr>
                <w:sz w:val="18"/>
                <w:lang w:val="en-US"/>
              </w:rPr>
              <w:t>Funds approved by ExCom (US $)</w:t>
            </w:r>
          </w:p>
        </w:tc>
        <w:tc>
          <w:tcPr>
            <w:tcW w:w="644" w:type="pct"/>
            <w:shd w:val="clear" w:color="auto" w:fill="auto"/>
          </w:tcPr>
          <w:p w:rsidR="003A6FC0" w:rsidRPr="00894E52" w:rsidRDefault="003A6FC0" w:rsidP="00B423D6">
            <w:pPr>
              <w:jc w:val="left"/>
              <w:rPr>
                <w:sz w:val="18"/>
                <w:lang w:val="en-US"/>
              </w:rPr>
            </w:pPr>
            <w:r w:rsidRPr="00894E52">
              <w:rPr>
                <w:sz w:val="18"/>
                <w:lang w:val="en-US"/>
              </w:rPr>
              <w:t>Project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2,550,200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3" w:type="pct"/>
            <w:shd w:val="clear" w:color="auto" w:fill="auto"/>
          </w:tcPr>
          <w:p w:rsidR="003A6FC0" w:rsidRPr="00894E52" w:rsidRDefault="003A6FC0" w:rsidP="00B423D6">
            <w:pPr>
              <w:jc w:val="right"/>
              <w:rPr>
                <w:sz w:val="18"/>
                <w:lang w:val="en-US"/>
              </w:rPr>
            </w:pPr>
            <w:r w:rsidRPr="00894E52">
              <w:rPr>
                <w:sz w:val="18"/>
                <w:lang w:val="en-US"/>
              </w:rPr>
              <w:t>2,550,200</w:t>
            </w:r>
          </w:p>
        </w:tc>
      </w:tr>
      <w:tr w:rsidR="003A6FC0" w:rsidRPr="00894E52" w:rsidTr="00894E52">
        <w:tc>
          <w:tcPr>
            <w:tcW w:w="913" w:type="pct"/>
            <w:gridSpan w:val="2"/>
            <w:vMerge/>
            <w:shd w:val="clear" w:color="auto" w:fill="auto"/>
          </w:tcPr>
          <w:p w:rsidR="003A6FC0" w:rsidRPr="00894E52" w:rsidRDefault="003A6FC0" w:rsidP="00B423D6">
            <w:pPr>
              <w:jc w:val="center"/>
              <w:rPr>
                <w:sz w:val="18"/>
                <w:lang w:val="en-US"/>
              </w:rPr>
            </w:pPr>
          </w:p>
        </w:tc>
        <w:tc>
          <w:tcPr>
            <w:tcW w:w="644" w:type="pct"/>
            <w:shd w:val="clear" w:color="auto" w:fill="auto"/>
          </w:tcPr>
          <w:p w:rsidR="003A6FC0" w:rsidRPr="00894E52" w:rsidRDefault="003A6FC0" w:rsidP="00B423D6">
            <w:pPr>
              <w:jc w:val="left"/>
              <w:rPr>
                <w:sz w:val="18"/>
                <w:lang w:val="en-US"/>
              </w:rPr>
            </w:pPr>
            <w:r w:rsidRPr="00894E52">
              <w:rPr>
                <w:sz w:val="18"/>
                <w:lang w:val="en-US"/>
              </w:rPr>
              <w:t>Support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190,490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3" w:type="pct"/>
            <w:shd w:val="clear" w:color="auto" w:fill="auto"/>
          </w:tcPr>
          <w:p w:rsidR="003A6FC0" w:rsidRPr="00894E52" w:rsidRDefault="003A6FC0" w:rsidP="00B423D6">
            <w:pPr>
              <w:jc w:val="right"/>
              <w:rPr>
                <w:sz w:val="18"/>
                <w:lang w:val="en-US"/>
              </w:rPr>
            </w:pPr>
            <w:r w:rsidRPr="00894E52">
              <w:rPr>
                <w:sz w:val="18"/>
                <w:lang w:val="en-US"/>
              </w:rPr>
              <w:t>190,490</w:t>
            </w:r>
          </w:p>
        </w:tc>
      </w:tr>
      <w:tr w:rsidR="003A6FC0" w:rsidRPr="00894E52" w:rsidTr="00894E52">
        <w:tc>
          <w:tcPr>
            <w:tcW w:w="913" w:type="pct"/>
            <w:gridSpan w:val="2"/>
            <w:vMerge w:val="restart"/>
            <w:shd w:val="clear" w:color="auto" w:fill="auto"/>
          </w:tcPr>
          <w:p w:rsidR="003A6FC0" w:rsidRPr="00894E52" w:rsidRDefault="003A6FC0" w:rsidP="00B423D6">
            <w:pPr>
              <w:jc w:val="left"/>
              <w:rPr>
                <w:sz w:val="18"/>
                <w:lang w:val="en-US"/>
              </w:rPr>
            </w:pPr>
            <w:r w:rsidRPr="00894E52">
              <w:rPr>
                <w:sz w:val="18"/>
                <w:lang w:val="en-US"/>
              </w:rPr>
              <w:t>Total funds requested for approval at this meeting (US $)</w:t>
            </w:r>
          </w:p>
        </w:tc>
        <w:tc>
          <w:tcPr>
            <w:tcW w:w="644" w:type="pct"/>
            <w:shd w:val="clear" w:color="auto" w:fill="auto"/>
          </w:tcPr>
          <w:p w:rsidR="003A6FC0" w:rsidRPr="00894E52" w:rsidRDefault="003A6FC0" w:rsidP="00B423D6">
            <w:pPr>
              <w:jc w:val="left"/>
              <w:rPr>
                <w:sz w:val="18"/>
                <w:lang w:val="en-US"/>
              </w:rPr>
            </w:pPr>
            <w:r w:rsidRPr="00894E52">
              <w:rPr>
                <w:sz w:val="18"/>
                <w:lang w:val="en-US"/>
              </w:rPr>
              <w:t>Project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2,179,852*</w:t>
            </w:r>
          </w:p>
        </w:tc>
        <w:tc>
          <w:tcPr>
            <w:tcW w:w="574" w:type="pct"/>
            <w:shd w:val="clear" w:color="auto" w:fill="auto"/>
          </w:tcPr>
          <w:p w:rsidR="003A6FC0" w:rsidRPr="00894E52" w:rsidRDefault="003A6FC0" w:rsidP="00B423D6">
            <w:pPr>
              <w:jc w:val="right"/>
              <w:rPr>
                <w:sz w:val="18"/>
                <w:lang w:val="en-US"/>
              </w:rPr>
            </w:pPr>
          </w:p>
        </w:tc>
        <w:tc>
          <w:tcPr>
            <w:tcW w:w="573" w:type="pct"/>
            <w:shd w:val="clear" w:color="auto" w:fill="auto"/>
          </w:tcPr>
          <w:p w:rsidR="003A6FC0" w:rsidRPr="00894E52" w:rsidRDefault="003A6FC0" w:rsidP="00B423D6">
            <w:pPr>
              <w:jc w:val="right"/>
              <w:rPr>
                <w:sz w:val="18"/>
                <w:lang w:val="en-US"/>
              </w:rPr>
            </w:pPr>
            <w:r w:rsidRPr="00894E52">
              <w:rPr>
                <w:sz w:val="18"/>
                <w:lang w:val="en-US"/>
              </w:rPr>
              <w:t>2,179,852</w:t>
            </w:r>
          </w:p>
        </w:tc>
      </w:tr>
      <w:tr w:rsidR="003A6FC0" w:rsidRPr="00894E52" w:rsidTr="00894E52">
        <w:tc>
          <w:tcPr>
            <w:tcW w:w="913" w:type="pct"/>
            <w:gridSpan w:val="2"/>
            <w:vMerge/>
            <w:shd w:val="clear" w:color="auto" w:fill="auto"/>
          </w:tcPr>
          <w:p w:rsidR="003A6FC0" w:rsidRPr="00894E52" w:rsidRDefault="003A6FC0" w:rsidP="00B423D6">
            <w:pPr>
              <w:jc w:val="center"/>
              <w:rPr>
                <w:sz w:val="18"/>
                <w:lang w:val="en-US"/>
              </w:rPr>
            </w:pPr>
          </w:p>
        </w:tc>
        <w:tc>
          <w:tcPr>
            <w:tcW w:w="644" w:type="pct"/>
            <w:shd w:val="clear" w:color="auto" w:fill="auto"/>
          </w:tcPr>
          <w:p w:rsidR="003A6FC0" w:rsidRPr="00894E52" w:rsidRDefault="003A6FC0" w:rsidP="00B423D6">
            <w:pPr>
              <w:jc w:val="left"/>
              <w:rPr>
                <w:sz w:val="18"/>
                <w:lang w:val="en-US"/>
              </w:rPr>
            </w:pPr>
            <w:r w:rsidRPr="00894E52">
              <w:rPr>
                <w:sz w:val="18"/>
                <w:lang w:val="en-US"/>
              </w:rPr>
              <w:t>Support costs</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0</w:t>
            </w:r>
          </w:p>
        </w:tc>
        <w:tc>
          <w:tcPr>
            <w:tcW w:w="574" w:type="pct"/>
            <w:shd w:val="clear" w:color="auto" w:fill="auto"/>
          </w:tcPr>
          <w:p w:rsidR="003A6FC0" w:rsidRPr="00894E52" w:rsidRDefault="003A6FC0" w:rsidP="00B423D6">
            <w:pPr>
              <w:jc w:val="right"/>
              <w:rPr>
                <w:sz w:val="18"/>
                <w:lang w:val="en-US"/>
              </w:rPr>
            </w:pPr>
            <w:r w:rsidRPr="00894E52">
              <w:rPr>
                <w:sz w:val="18"/>
                <w:lang w:val="en-US"/>
              </w:rPr>
              <w:t>164,566</w:t>
            </w:r>
          </w:p>
        </w:tc>
        <w:tc>
          <w:tcPr>
            <w:tcW w:w="574" w:type="pct"/>
            <w:shd w:val="clear" w:color="auto" w:fill="auto"/>
          </w:tcPr>
          <w:p w:rsidR="003A6FC0" w:rsidRPr="00894E52" w:rsidRDefault="003A6FC0" w:rsidP="00B423D6">
            <w:pPr>
              <w:jc w:val="right"/>
              <w:rPr>
                <w:sz w:val="18"/>
                <w:lang w:val="en-US"/>
              </w:rPr>
            </w:pPr>
          </w:p>
        </w:tc>
        <w:tc>
          <w:tcPr>
            <w:tcW w:w="573" w:type="pct"/>
            <w:shd w:val="clear" w:color="auto" w:fill="auto"/>
          </w:tcPr>
          <w:p w:rsidR="003A6FC0" w:rsidRPr="00894E52" w:rsidRDefault="003A6FC0" w:rsidP="00B423D6">
            <w:pPr>
              <w:jc w:val="right"/>
              <w:rPr>
                <w:sz w:val="18"/>
                <w:lang w:val="en-US"/>
              </w:rPr>
            </w:pPr>
            <w:r w:rsidRPr="00894E52">
              <w:rPr>
                <w:sz w:val="18"/>
                <w:lang w:val="en-US"/>
              </w:rPr>
              <w:t>164,566</w:t>
            </w:r>
          </w:p>
        </w:tc>
      </w:tr>
    </w:tbl>
    <w:p w:rsidR="003A6FC0" w:rsidRPr="00894E52" w:rsidRDefault="003A6FC0" w:rsidP="00B423D6">
      <w:pPr>
        <w:spacing w:after="60"/>
        <w:rPr>
          <w:sz w:val="18"/>
          <w:lang w:val="en-US"/>
        </w:rPr>
      </w:pPr>
      <w:r w:rsidRPr="00894E52">
        <w:rPr>
          <w:sz w:val="18"/>
          <w:lang w:val="en-US"/>
        </w:rPr>
        <w:t>*The second tranche should have been submitted in 2018.</w:t>
      </w:r>
    </w:p>
    <w:p w:rsidR="003A6FC0" w:rsidRPr="00894E52" w:rsidRDefault="003A6FC0" w:rsidP="00B423D6">
      <w:pPr>
        <w:spacing w:after="60"/>
        <w:rPr>
          <w:sz w:val="18"/>
          <w:lang w:val="en-US"/>
        </w:rPr>
      </w:pPr>
    </w:p>
    <w:tbl>
      <w:tblPr>
        <w:tblStyle w:val="TableGrid"/>
        <w:tblW w:w="5380" w:type="pct"/>
        <w:tblLook w:val="04A0" w:firstRow="1" w:lastRow="0" w:firstColumn="1" w:lastColumn="0" w:noHBand="0" w:noVBand="1"/>
      </w:tblPr>
      <w:tblGrid>
        <w:gridCol w:w="2805"/>
        <w:gridCol w:w="7256"/>
      </w:tblGrid>
      <w:tr w:rsidR="003A6FC0" w:rsidRPr="00894E52" w:rsidTr="00A1314F">
        <w:trPr>
          <w:trHeight w:val="240"/>
        </w:trPr>
        <w:tc>
          <w:tcPr>
            <w:tcW w:w="1394" w:type="pct"/>
            <w:shd w:val="clear" w:color="auto" w:fill="auto"/>
          </w:tcPr>
          <w:p w:rsidR="003A6FC0" w:rsidRPr="00894E52" w:rsidRDefault="003A6FC0" w:rsidP="00B423D6">
            <w:pPr>
              <w:spacing w:after="60"/>
              <w:jc w:val="left"/>
              <w:rPr>
                <w:b/>
                <w:sz w:val="18"/>
                <w:lang w:val="en-US"/>
              </w:rPr>
            </w:pPr>
            <w:r w:rsidRPr="00894E52">
              <w:rPr>
                <w:b/>
                <w:sz w:val="18"/>
                <w:lang w:val="en-US"/>
              </w:rPr>
              <w:t>Secretariat's recommendation:</w:t>
            </w:r>
          </w:p>
        </w:tc>
        <w:tc>
          <w:tcPr>
            <w:tcW w:w="3606" w:type="pct"/>
            <w:shd w:val="clear" w:color="auto" w:fill="auto"/>
          </w:tcPr>
          <w:p w:rsidR="003A6FC0" w:rsidRPr="00894E52" w:rsidRDefault="003A6FC0" w:rsidP="00B423D6">
            <w:pPr>
              <w:spacing w:after="60"/>
              <w:jc w:val="center"/>
              <w:rPr>
                <w:sz w:val="18"/>
                <w:lang w:val="en-US"/>
              </w:rPr>
            </w:pPr>
            <w:r w:rsidRPr="00894E52">
              <w:rPr>
                <w:sz w:val="18"/>
                <w:lang w:val="en-US"/>
              </w:rPr>
              <w:t>Blanket approval</w:t>
            </w:r>
          </w:p>
        </w:tc>
      </w:tr>
    </w:tbl>
    <w:p w:rsidR="00894E52" w:rsidRPr="00894E52" w:rsidRDefault="00894E52" w:rsidP="00B423D6">
      <w:pPr>
        <w:spacing w:after="240"/>
        <w:jc w:val="center"/>
        <w:rPr>
          <w:b/>
          <w:lang w:val="en-CA"/>
        </w:rPr>
      </w:pPr>
      <w:r w:rsidRPr="00894E52">
        <w:rPr>
          <w:b/>
          <w:lang w:val="en-CA"/>
        </w:rPr>
        <w:br w:type="page"/>
      </w:r>
    </w:p>
    <w:p w:rsidR="003A6FC0" w:rsidRPr="00894E52" w:rsidRDefault="003A6FC0" w:rsidP="00B423D6">
      <w:pPr>
        <w:spacing w:after="240"/>
        <w:jc w:val="center"/>
        <w:rPr>
          <w:b/>
          <w:lang w:val="en-CA"/>
        </w:rPr>
      </w:pPr>
      <w:r w:rsidRPr="00894E52">
        <w:rPr>
          <w:b/>
          <w:lang w:val="en-CA"/>
        </w:rPr>
        <w:lastRenderedPageBreak/>
        <w:t>PROJECT DESCRIPTION</w:t>
      </w:r>
    </w:p>
    <w:p w:rsidR="003A6FC0" w:rsidRPr="00894E52" w:rsidRDefault="003A6FC0" w:rsidP="00B423D6">
      <w:pPr>
        <w:pStyle w:val="Heading1"/>
        <w:rPr>
          <w:lang w:val="en-CA"/>
        </w:rPr>
      </w:pPr>
      <w:r w:rsidRPr="00894E52">
        <w:rPr>
          <w:lang w:val="en-CA"/>
        </w:rPr>
        <w:t>On behalf of the Government of Pakistan, UNIDO as the lead implementing agency, has submitted a request for funding for the second tranche of stage II of the HCFC phase-out management plan (HPMP), at a total cost of US $2,344,418, consisting of US $1,979,852, plus agency support costs of US $138,590 for UNIDO, and US $200,000, plus agency support costs of US $25,976 for UNEP.</w:t>
      </w:r>
      <w:r w:rsidRPr="00894E52">
        <w:rPr>
          <w:rStyle w:val="FootnoteReference"/>
          <w:lang w:val="en-CA"/>
        </w:rPr>
        <w:footnoteReference w:id="1"/>
      </w:r>
      <w:r w:rsidRPr="00894E52">
        <w:rPr>
          <w:lang w:val="en-CA"/>
        </w:rPr>
        <w:t xml:space="preserve"> The submission includes a progress report on the implementation of the first tranche, the verification report on HCFC consumption for 2016 to 2017 and the tranche implementation plan for 2019 to 2020.</w:t>
      </w:r>
    </w:p>
    <w:p w:rsidR="003A6FC0" w:rsidRPr="00894E52" w:rsidRDefault="003A6FC0" w:rsidP="00B423D6">
      <w:pPr>
        <w:pStyle w:val="Heading1"/>
        <w:numPr>
          <w:ilvl w:val="0"/>
          <w:numId w:val="0"/>
        </w:numPr>
        <w:rPr>
          <w:u w:val="single"/>
          <w:lang w:val="en-CA"/>
        </w:rPr>
      </w:pPr>
      <w:r w:rsidRPr="00894E52">
        <w:rPr>
          <w:u w:val="single"/>
          <w:lang w:val="en-CA"/>
        </w:rPr>
        <w:t>Report on HCFC consumption</w:t>
      </w:r>
    </w:p>
    <w:p w:rsidR="003A6FC0" w:rsidRPr="00894E52" w:rsidRDefault="003A6FC0" w:rsidP="00B423D6">
      <w:pPr>
        <w:pStyle w:val="Heading1"/>
        <w:rPr>
          <w:lang w:val="en-CA"/>
        </w:rPr>
      </w:pPr>
      <w:r w:rsidRPr="00894E52">
        <w:rPr>
          <w:lang w:val="en-CA"/>
        </w:rPr>
        <w:t>The Government of Pakistan reported a consumption of 206.82 ODP tonnes of HCFC in 2017 which is 17 per cent below the revised HCFC baseline for compliance of 248.11 ODP tonnes,</w:t>
      </w:r>
      <w:r w:rsidRPr="00894E52">
        <w:rPr>
          <w:rStyle w:val="FootnoteReference"/>
          <w:lang w:val="en-CA"/>
        </w:rPr>
        <w:footnoteReference w:id="2"/>
      </w:r>
      <w:r w:rsidRPr="00894E52">
        <w:rPr>
          <w:lang w:val="en-CA"/>
        </w:rPr>
        <w:t xml:space="preserve"> and 7 per cent below the 2017 target in the Agreement with the Executive Committee. The 2014-2017 HCFC consumption is shown in Table 1.</w:t>
      </w:r>
    </w:p>
    <w:p w:rsidR="003A6FC0" w:rsidRPr="00894E52" w:rsidRDefault="003A6FC0" w:rsidP="00B423D6">
      <w:pPr>
        <w:rPr>
          <w:b/>
          <w:lang w:val="en-CA"/>
        </w:rPr>
      </w:pPr>
      <w:r w:rsidRPr="00894E52">
        <w:rPr>
          <w:b/>
          <w:lang w:val="en-CA"/>
        </w:rPr>
        <w:t>Table 1. HCFC consumption in Pakistan (2014-2017 Article 7 data)</w:t>
      </w:r>
    </w:p>
    <w:tbl>
      <w:tblPr>
        <w:tblW w:w="5000" w:type="pct"/>
        <w:tblLook w:val="04A0" w:firstRow="1" w:lastRow="0" w:firstColumn="1" w:lastColumn="0" w:noHBand="0" w:noVBand="1"/>
      </w:tblPr>
      <w:tblGrid>
        <w:gridCol w:w="3115"/>
        <w:gridCol w:w="1247"/>
        <w:gridCol w:w="1247"/>
        <w:gridCol w:w="1247"/>
        <w:gridCol w:w="1247"/>
        <w:gridCol w:w="1247"/>
      </w:tblGrid>
      <w:tr w:rsidR="003A6FC0" w:rsidRPr="00894E52" w:rsidTr="00A1314F">
        <w:trPr>
          <w:tblHeader/>
        </w:trPr>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b/>
                <w:bCs/>
                <w:color w:val="000000"/>
                <w:sz w:val="20"/>
                <w:szCs w:val="20"/>
                <w:lang w:val="en-CA"/>
              </w:rPr>
            </w:pPr>
            <w:r w:rsidRPr="00894E52">
              <w:rPr>
                <w:b/>
                <w:bCs/>
                <w:color w:val="000000"/>
                <w:sz w:val="20"/>
                <w:szCs w:val="20"/>
                <w:lang w:val="en-CA"/>
              </w:rPr>
              <w:t>HCFC</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r w:rsidRPr="00894E52">
              <w:rPr>
                <w:b/>
                <w:bCs/>
                <w:color w:val="000000"/>
                <w:sz w:val="20"/>
                <w:szCs w:val="20"/>
                <w:lang w:val="en-CA"/>
              </w:rPr>
              <w:t>2014</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r w:rsidRPr="00894E52">
              <w:rPr>
                <w:b/>
                <w:bCs/>
                <w:color w:val="000000"/>
                <w:sz w:val="20"/>
                <w:szCs w:val="20"/>
                <w:lang w:val="en-CA"/>
              </w:rPr>
              <w:t>2015</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r w:rsidRPr="00894E52">
              <w:rPr>
                <w:b/>
                <w:bCs/>
                <w:color w:val="000000"/>
                <w:sz w:val="20"/>
                <w:szCs w:val="20"/>
                <w:lang w:val="en-CA"/>
              </w:rPr>
              <w:t>2016</w:t>
            </w: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center"/>
              <w:rPr>
                <w:b/>
                <w:bCs/>
                <w:color w:val="000000"/>
                <w:sz w:val="20"/>
                <w:szCs w:val="20"/>
                <w:lang w:val="en-CA"/>
              </w:rPr>
            </w:pPr>
            <w:r w:rsidRPr="00894E52">
              <w:rPr>
                <w:b/>
                <w:bCs/>
                <w:color w:val="000000"/>
                <w:sz w:val="20"/>
                <w:szCs w:val="20"/>
                <w:lang w:val="en-CA"/>
              </w:rPr>
              <w:t>2017</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r w:rsidRPr="00894E52">
              <w:rPr>
                <w:b/>
                <w:bCs/>
                <w:color w:val="000000"/>
                <w:sz w:val="20"/>
                <w:szCs w:val="20"/>
                <w:lang w:val="en-CA"/>
              </w:rPr>
              <w:t>Baseline</w:t>
            </w:r>
          </w:p>
        </w:tc>
      </w:tr>
      <w:tr w:rsidR="003A6FC0" w:rsidRPr="00894E52" w:rsidTr="00A1314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b/>
                <w:bCs/>
                <w:color w:val="000000"/>
                <w:sz w:val="20"/>
                <w:szCs w:val="20"/>
                <w:lang w:val="en-CA"/>
              </w:rPr>
            </w:pPr>
            <w:r w:rsidRPr="00894E52">
              <w:rPr>
                <w:b/>
                <w:bCs/>
                <w:color w:val="000000"/>
                <w:sz w:val="20"/>
                <w:szCs w:val="20"/>
                <w:lang w:val="en-CA"/>
              </w:rPr>
              <w:t>Metric tonnes</w:t>
            </w:r>
          </w:p>
        </w:tc>
        <w:tc>
          <w:tcPr>
            <w:tcW w:w="667" w:type="pct"/>
            <w:tcBorders>
              <w:top w:val="nil"/>
              <w:left w:val="nil"/>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p>
        </w:tc>
        <w:tc>
          <w:tcPr>
            <w:tcW w:w="667" w:type="pct"/>
            <w:tcBorders>
              <w:top w:val="nil"/>
              <w:left w:val="nil"/>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p>
        </w:tc>
        <w:tc>
          <w:tcPr>
            <w:tcW w:w="667" w:type="pct"/>
            <w:tcBorders>
              <w:top w:val="nil"/>
              <w:left w:val="nil"/>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center"/>
              <w:rPr>
                <w:b/>
                <w:bCs/>
                <w:color w:val="000000"/>
                <w:sz w:val="20"/>
                <w:szCs w:val="20"/>
                <w:lang w:val="en-CA"/>
              </w:rPr>
            </w:pP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center"/>
              <w:rPr>
                <w:b/>
                <w:bCs/>
                <w:color w:val="000000"/>
                <w:sz w:val="20"/>
                <w:szCs w:val="20"/>
                <w:lang w:val="en-CA"/>
              </w:rPr>
            </w:pPr>
          </w:p>
        </w:tc>
      </w:tr>
      <w:tr w:rsidR="003A6FC0" w:rsidRPr="00894E52" w:rsidTr="00A1314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HCFC-22</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3,245.01</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2,562.39</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2,802.00</w:t>
            </w: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2,696.84</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1,908.25</w:t>
            </w:r>
          </w:p>
        </w:tc>
      </w:tr>
      <w:tr w:rsidR="003A6FC0" w:rsidRPr="00894E52" w:rsidTr="00A1314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HCFC-123</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0.00</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0.00</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0.00</w:t>
            </w: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2.09</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0.00</w:t>
            </w:r>
          </w:p>
        </w:tc>
      </w:tr>
      <w:tr w:rsidR="003A6FC0" w:rsidRPr="00894E52" w:rsidTr="00A1314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HCFC-141b</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546.50</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555.75</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552.89</w:t>
            </w: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504.16</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1,259.10</w:t>
            </w:r>
          </w:p>
        </w:tc>
      </w:tr>
      <w:tr w:rsidR="003A6FC0" w:rsidRPr="00894E52" w:rsidTr="00A1314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HCFC-142b</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18.44</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sz w:val="20"/>
                <w:szCs w:val="20"/>
                <w:lang w:val="en-CA"/>
              </w:rPr>
            </w:pPr>
            <w:r w:rsidRPr="00894E52">
              <w:rPr>
                <w:sz w:val="20"/>
                <w:szCs w:val="20"/>
                <w:lang w:val="en-CA"/>
              </w:rPr>
              <w:t>16.42</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16.50</w:t>
            </w: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46.02</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71.55</w:t>
            </w:r>
          </w:p>
        </w:tc>
      </w:tr>
      <w:tr w:rsidR="003A6FC0" w:rsidRPr="00894E52" w:rsidTr="00A1314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3A6FC0" w:rsidRPr="00894E52" w:rsidRDefault="003A6FC0" w:rsidP="00B423D6">
            <w:pPr>
              <w:jc w:val="left"/>
              <w:rPr>
                <w:rFonts w:eastAsiaTheme="minorHAnsi"/>
                <w:b/>
                <w:color w:val="000000"/>
                <w:sz w:val="20"/>
                <w:szCs w:val="20"/>
                <w:lang w:val="en-CA"/>
              </w:rPr>
            </w:pPr>
            <w:r w:rsidRPr="00894E52">
              <w:rPr>
                <w:b/>
                <w:color w:val="000000"/>
                <w:sz w:val="20"/>
                <w:szCs w:val="20"/>
                <w:lang w:val="en-CA"/>
              </w:rPr>
              <w:t>Total (mt)</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3,809.95</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3,134.56</w:t>
            </w:r>
          </w:p>
        </w:tc>
        <w:tc>
          <w:tcPr>
            <w:tcW w:w="667" w:type="pct"/>
            <w:tcBorders>
              <w:top w:val="nil"/>
              <w:left w:val="nil"/>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3,371.39</w:t>
            </w:r>
          </w:p>
        </w:tc>
        <w:tc>
          <w:tcPr>
            <w:tcW w:w="667" w:type="pct"/>
            <w:tcBorders>
              <w:top w:val="single" w:sz="4" w:space="0" w:color="auto"/>
              <w:left w:val="nil"/>
              <w:bottom w:val="single" w:sz="4" w:space="0" w:color="auto"/>
              <w:right w:val="single" w:sz="4" w:space="0" w:color="auto"/>
            </w:tcBorders>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3,249.11</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3,238.90</w:t>
            </w:r>
          </w:p>
        </w:tc>
      </w:tr>
      <w:tr w:rsidR="003A6FC0" w:rsidRPr="00894E52" w:rsidTr="00A1314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b/>
                <w:bCs/>
                <w:color w:val="000000"/>
                <w:sz w:val="20"/>
                <w:szCs w:val="20"/>
                <w:lang w:val="en-CA"/>
              </w:rPr>
            </w:pPr>
            <w:r w:rsidRPr="00894E52">
              <w:rPr>
                <w:b/>
                <w:bCs/>
                <w:color w:val="000000"/>
                <w:sz w:val="20"/>
                <w:szCs w:val="20"/>
                <w:lang w:val="en-CA"/>
              </w:rPr>
              <w:t>ODP tonnes</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right"/>
              <w:rPr>
                <w:color w:val="000000"/>
                <w:sz w:val="20"/>
                <w:szCs w:val="20"/>
                <w:lang w:val="en-CA"/>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C0" w:rsidRPr="00894E52" w:rsidRDefault="003A6FC0" w:rsidP="00B423D6">
            <w:pPr>
              <w:widowControl w:val="0"/>
              <w:jc w:val="right"/>
              <w:rPr>
                <w:color w:val="000000"/>
                <w:sz w:val="20"/>
                <w:szCs w:val="20"/>
                <w:lang w:val="en-CA"/>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p>
        </w:tc>
        <w:tc>
          <w:tcPr>
            <w:tcW w:w="667" w:type="pct"/>
            <w:tcBorders>
              <w:top w:val="single" w:sz="4" w:space="0" w:color="auto"/>
              <w:left w:val="single" w:sz="4" w:space="0" w:color="auto"/>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p>
        </w:tc>
      </w:tr>
      <w:tr w:rsidR="003A6FC0" w:rsidRPr="00894E52" w:rsidTr="00A1314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HCFC-22</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eastAsia="en-CA"/>
              </w:rPr>
            </w:pPr>
            <w:r w:rsidRPr="00894E52">
              <w:rPr>
                <w:color w:val="000000"/>
                <w:sz w:val="20"/>
                <w:szCs w:val="20"/>
                <w:lang w:val="en-CA" w:eastAsia="en-CA"/>
              </w:rPr>
              <w:t>178.48</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140.93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154.11</w:t>
            </w:r>
          </w:p>
        </w:tc>
        <w:tc>
          <w:tcPr>
            <w:tcW w:w="667" w:type="pct"/>
            <w:tcBorders>
              <w:top w:val="single" w:sz="4" w:space="0" w:color="auto"/>
              <w:left w:val="single" w:sz="4" w:space="0" w:color="auto"/>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148.33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104.95</w:t>
            </w:r>
          </w:p>
        </w:tc>
      </w:tr>
      <w:tr w:rsidR="003A6FC0" w:rsidRPr="00894E52" w:rsidTr="00A1314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HCFC-123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eastAsia="en-CA"/>
              </w:rPr>
            </w:pPr>
            <w:r w:rsidRPr="00894E52">
              <w:rPr>
                <w:color w:val="000000"/>
                <w:sz w:val="20"/>
                <w:szCs w:val="20"/>
                <w:lang w:val="en-CA" w:eastAsia="en-CA"/>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0.00</w:t>
            </w:r>
          </w:p>
        </w:tc>
        <w:tc>
          <w:tcPr>
            <w:tcW w:w="667" w:type="pct"/>
            <w:tcBorders>
              <w:top w:val="single" w:sz="4" w:space="0" w:color="auto"/>
              <w:left w:val="single" w:sz="4" w:space="0" w:color="auto"/>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0.04</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0.00</w:t>
            </w:r>
          </w:p>
        </w:tc>
      </w:tr>
      <w:tr w:rsidR="003A6FC0" w:rsidRPr="00894E52" w:rsidTr="00A1314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HCFC-141b</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eastAsia="en-CA"/>
              </w:rPr>
            </w:pPr>
            <w:r w:rsidRPr="00894E52">
              <w:rPr>
                <w:color w:val="000000"/>
                <w:sz w:val="20"/>
                <w:szCs w:val="20"/>
                <w:lang w:val="en-CA" w:eastAsia="en-CA"/>
              </w:rPr>
              <w:t>60.12</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61.13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60.82</w:t>
            </w:r>
          </w:p>
        </w:tc>
        <w:tc>
          <w:tcPr>
            <w:tcW w:w="667" w:type="pct"/>
            <w:tcBorders>
              <w:top w:val="single" w:sz="4" w:space="0" w:color="auto"/>
              <w:left w:val="single" w:sz="4" w:space="0" w:color="auto"/>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55.46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138.50</w:t>
            </w:r>
          </w:p>
        </w:tc>
      </w:tr>
      <w:tr w:rsidR="003A6FC0" w:rsidRPr="00894E52" w:rsidTr="00A1314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A6FC0" w:rsidRPr="00894E52" w:rsidRDefault="003A6FC0" w:rsidP="00B423D6">
            <w:pPr>
              <w:widowControl w:val="0"/>
              <w:jc w:val="left"/>
              <w:rPr>
                <w:color w:val="000000"/>
                <w:sz w:val="20"/>
                <w:szCs w:val="20"/>
                <w:lang w:val="en-CA"/>
              </w:rPr>
            </w:pPr>
            <w:r w:rsidRPr="00894E52">
              <w:rPr>
                <w:color w:val="000000"/>
                <w:sz w:val="20"/>
                <w:szCs w:val="20"/>
                <w:lang w:val="en-CA"/>
              </w:rPr>
              <w:t>HCFC-142b</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eastAsia="en-CA"/>
              </w:rPr>
            </w:pPr>
            <w:r w:rsidRPr="00894E52">
              <w:rPr>
                <w:color w:val="000000"/>
                <w:sz w:val="20"/>
                <w:szCs w:val="20"/>
                <w:lang w:val="en-CA" w:eastAsia="en-CA"/>
              </w:rPr>
              <w:t>1.20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1.06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1.07</w:t>
            </w:r>
          </w:p>
        </w:tc>
        <w:tc>
          <w:tcPr>
            <w:tcW w:w="667" w:type="pct"/>
            <w:tcBorders>
              <w:top w:val="single" w:sz="4" w:space="0" w:color="auto"/>
              <w:left w:val="single" w:sz="4" w:space="0" w:color="auto"/>
              <w:bottom w:val="single" w:sz="4" w:space="0" w:color="auto"/>
              <w:right w:val="single" w:sz="4" w:space="0" w:color="auto"/>
            </w:tcBorders>
          </w:tcPr>
          <w:p w:rsidR="003A6FC0" w:rsidRPr="00894E52" w:rsidRDefault="003A6FC0" w:rsidP="00B423D6">
            <w:pPr>
              <w:widowControl w:val="0"/>
              <w:jc w:val="right"/>
              <w:rPr>
                <w:color w:val="000000"/>
                <w:sz w:val="20"/>
                <w:szCs w:val="20"/>
                <w:lang w:val="en-CA"/>
              </w:rPr>
            </w:pPr>
            <w:r w:rsidRPr="00894E52">
              <w:rPr>
                <w:color w:val="000000"/>
                <w:sz w:val="20"/>
                <w:szCs w:val="20"/>
                <w:lang w:val="en-CA"/>
              </w:rPr>
              <w:t>2.99</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color w:val="000000"/>
                <w:sz w:val="20"/>
                <w:szCs w:val="20"/>
                <w:lang w:val="en-CA"/>
              </w:rPr>
            </w:pPr>
            <w:r w:rsidRPr="00894E52">
              <w:rPr>
                <w:color w:val="000000"/>
                <w:sz w:val="20"/>
                <w:szCs w:val="20"/>
                <w:lang w:val="en-CA"/>
              </w:rPr>
              <w:t>4.66</w:t>
            </w:r>
          </w:p>
        </w:tc>
      </w:tr>
      <w:tr w:rsidR="003A6FC0" w:rsidRPr="00894E52" w:rsidTr="00A1314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3A6FC0" w:rsidRPr="00894E52" w:rsidRDefault="003A6FC0" w:rsidP="00B423D6">
            <w:pPr>
              <w:jc w:val="left"/>
              <w:rPr>
                <w:rFonts w:eastAsiaTheme="minorHAnsi"/>
                <w:b/>
                <w:sz w:val="20"/>
                <w:szCs w:val="20"/>
                <w:lang w:val="en-CA"/>
              </w:rPr>
            </w:pPr>
            <w:r w:rsidRPr="00894E52">
              <w:rPr>
                <w:b/>
                <w:sz w:val="20"/>
                <w:szCs w:val="20"/>
                <w:lang w:val="en-CA"/>
              </w:rPr>
              <w:t>Total (ODP tonnes)</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eastAsia="en-CA"/>
              </w:rPr>
            </w:pPr>
            <w:r w:rsidRPr="00894E52">
              <w:rPr>
                <w:b/>
                <w:color w:val="000000"/>
                <w:sz w:val="20"/>
                <w:szCs w:val="20"/>
                <w:lang w:val="en-CA" w:eastAsia="en-CA"/>
              </w:rPr>
              <w:t>239.79</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203.13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6FC0" w:rsidRPr="00894E52" w:rsidRDefault="003A6FC0" w:rsidP="00B423D6">
            <w:pPr>
              <w:widowControl w:val="0"/>
              <w:jc w:val="right"/>
              <w:rPr>
                <w:b/>
                <w:color w:val="000000"/>
                <w:sz w:val="20"/>
                <w:szCs w:val="20"/>
                <w:lang w:val="en-CA"/>
              </w:rPr>
            </w:pPr>
            <w:r w:rsidRPr="00894E52">
              <w:rPr>
                <w:b/>
                <w:color w:val="000000"/>
                <w:sz w:val="20"/>
                <w:szCs w:val="20"/>
                <w:lang w:val="en-CA"/>
              </w:rPr>
              <w:t>216.00</w:t>
            </w:r>
          </w:p>
        </w:tc>
        <w:tc>
          <w:tcPr>
            <w:tcW w:w="667" w:type="pct"/>
            <w:tcBorders>
              <w:top w:val="single" w:sz="4" w:space="0" w:color="auto"/>
              <w:left w:val="single" w:sz="4" w:space="0" w:color="auto"/>
              <w:bottom w:val="single" w:sz="4" w:space="0" w:color="auto"/>
              <w:right w:val="single" w:sz="4" w:space="0" w:color="auto"/>
            </w:tcBorders>
          </w:tcPr>
          <w:p w:rsidR="003A6FC0" w:rsidRPr="00894E52" w:rsidRDefault="003A6FC0" w:rsidP="00B423D6">
            <w:pPr>
              <w:jc w:val="right"/>
              <w:rPr>
                <w:b/>
                <w:color w:val="000000"/>
                <w:sz w:val="20"/>
                <w:szCs w:val="20"/>
                <w:lang w:val="en-CA"/>
              </w:rPr>
            </w:pPr>
            <w:r w:rsidRPr="00894E52">
              <w:rPr>
                <w:b/>
                <w:color w:val="000000"/>
                <w:sz w:val="20"/>
                <w:szCs w:val="20"/>
                <w:lang w:val="en-CA"/>
              </w:rPr>
              <w:t>206.82</w:t>
            </w:r>
          </w:p>
        </w:tc>
        <w:tc>
          <w:tcPr>
            <w:tcW w:w="667" w:type="pct"/>
            <w:tcBorders>
              <w:top w:val="single" w:sz="4" w:space="0" w:color="auto"/>
              <w:left w:val="single" w:sz="4" w:space="0" w:color="auto"/>
              <w:bottom w:val="single" w:sz="4" w:space="0" w:color="auto"/>
              <w:right w:val="single" w:sz="4" w:space="0" w:color="auto"/>
            </w:tcBorders>
            <w:shd w:val="clear" w:color="auto" w:fill="auto"/>
            <w:noWrap/>
          </w:tcPr>
          <w:p w:rsidR="003A6FC0" w:rsidRPr="00894E52" w:rsidRDefault="003A6FC0" w:rsidP="00B423D6">
            <w:pPr>
              <w:jc w:val="right"/>
              <w:rPr>
                <w:rFonts w:eastAsiaTheme="minorHAnsi"/>
                <w:b/>
                <w:color w:val="000000"/>
                <w:sz w:val="20"/>
                <w:szCs w:val="20"/>
                <w:lang w:val="en-CA"/>
              </w:rPr>
            </w:pPr>
            <w:r w:rsidRPr="00894E52">
              <w:rPr>
                <w:rFonts w:eastAsiaTheme="minorHAnsi"/>
                <w:b/>
                <w:color w:val="000000"/>
                <w:sz w:val="20"/>
                <w:szCs w:val="20"/>
                <w:lang w:val="en-CA"/>
              </w:rPr>
              <w:t>248.11</w:t>
            </w:r>
          </w:p>
        </w:tc>
      </w:tr>
    </w:tbl>
    <w:p w:rsidR="003A6FC0" w:rsidRPr="00894E52" w:rsidRDefault="003A6FC0" w:rsidP="00B423D6">
      <w:pPr>
        <w:rPr>
          <w:lang w:val="en-CA"/>
        </w:rPr>
      </w:pPr>
    </w:p>
    <w:p w:rsidR="003A6FC0" w:rsidRPr="00894E52" w:rsidRDefault="003A6FC0" w:rsidP="00B423D6">
      <w:pPr>
        <w:pStyle w:val="Heading1"/>
        <w:rPr>
          <w:lang w:val="en-CA"/>
        </w:rPr>
      </w:pPr>
      <w:r w:rsidRPr="00894E52">
        <w:rPr>
          <w:lang w:val="en-CA"/>
        </w:rPr>
        <w:t>While the overall HCFC consumption had been decreasing, the fluctuations in consumption in 2015 compared to 2014, and in 2017 compared to 2016 was attributed to the normal changes in supply and demand for these substances, noting that these</w:t>
      </w:r>
      <w:r w:rsidR="00894E52">
        <w:rPr>
          <w:lang w:val="en-CA"/>
        </w:rPr>
        <w:t xml:space="preserve"> consumption levels</w:t>
      </w:r>
      <w:r w:rsidRPr="00894E52">
        <w:rPr>
          <w:lang w:val="en-CA"/>
        </w:rPr>
        <w:t xml:space="preserve"> </w:t>
      </w:r>
      <w:r w:rsidR="00894E52">
        <w:rPr>
          <w:lang w:val="en-CA"/>
        </w:rPr>
        <w:t>were below</w:t>
      </w:r>
      <w:r w:rsidRPr="00894E52">
        <w:rPr>
          <w:lang w:val="en-CA"/>
        </w:rPr>
        <w:t xml:space="preserve"> the import quotas established by the Government. There was an increase in consumption of HCFC-142b due to an increased demand for extruded polystyrene (XPS) foam boards for insulation. The HCFC-123 consumption reported in 2017 was used in servicing refrigeration equipment. It was estimated that the 2018 consumption </w:t>
      </w:r>
      <w:r w:rsidR="00894E52">
        <w:rPr>
          <w:lang w:val="en-CA"/>
        </w:rPr>
        <w:t xml:space="preserve">of HCFCs </w:t>
      </w:r>
      <w:r w:rsidRPr="00894E52">
        <w:rPr>
          <w:lang w:val="en-CA"/>
        </w:rPr>
        <w:t xml:space="preserve">would not be more than 210 ODP tonnes, similar to the quota allocated for 2017. </w:t>
      </w:r>
    </w:p>
    <w:p w:rsidR="003A6FC0" w:rsidRPr="00894E52" w:rsidRDefault="003A6FC0" w:rsidP="00B423D6">
      <w:pPr>
        <w:keepNext/>
        <w:spacing w:after="240"/>
        <w:rPr>
          <w:i/>
          <w:lang w:val="en-CA"/>
        </w:rPr>
      </w:pPr>
      <w:r w:rsidRPr="00894E52">
        <w:rPr>
          <w:i/>
          <w:lang w:val="en-CA"/>
        </w:rPr>
        <w:t>Country programme (CP) implementation report</w:t>
      </w:r>
    </w:p>
    <w:p w:rsidR="003A6FC0" w:rsidRPr="00894E52" w:rsidRDefault="003A6FC0" w:rsidP="00B423D6">
      <w:pPr>
        <w:pStyle w:val="Heading1"/>
        <w:rPr>
          <w:lang w:val="en-CA"/>
        </w:rPr>
      </w:pPr>
      <w:r w:rsidRPr="00894E52">
        <w:rPr>
          <w:lang w:val="en-CA"/>
        </w:rPr>
        <w:t>The Government of Pakistan reported HCFC sector consumption data under the 2017 CP implementation report which is consistent with the data reported under Article 7 of the Montreal Protocol. The 2018 CP report will be submitted by May 2019.</w:t>
      </w:r>
    </w:p>
    <w:p w:rsidR="003A6FC0" w:rsidRPr="00894E52" w:rsidRDefault="003A6FC0" w:rsidP="00B423D6">
      <w:pPr>
        <w:keepNext/>
        <w:spacing w:after="240"/>
        <w:rPr>
          <w:i/>
          <w:lang w:val="en-CA"/>
        </w:rPr>
      </w:pPr>
      <w:r w:rsidRPr="00894E52">
        <w:rPr>
          <w:i/>
          <w:lang w:val="en-CA"/>
        </w:rPr>
        <w:t xml:space="preserve">Verification report </w:t>
      </w:r>
    </w:p>
    <w:p w:rsidR="003A6FC0" w:rsidRPr="00894E52" w:rsidRDefault="003A6FC0" w:rsidP="00B423D6">
      <w:pPr>
        <w:pStyle w:val="Heading1"/>
        <w:rPr>
          <w:lang w:val="en-CA"/>
        </w:rPr>
      </w:pPr>
      <w:r w:rsidRPr="00894E52">
        <w:rPr>
          <w:lang w:val="en-CA"/>
        </w:rPr>
        <w:t xml:space="preserve">The verification report on HCFC consumption confirmed that the Government is implementing a licensing and quota system for HCFC imports and exports and that the total consumption of HCFCs for 2016 to 2017 were 216.00 and 206.81 ODP tonnes, respectively. The verification concluded that Pakistan </w:t>
      </w:r>
      <w:r w:rsidRPr="00894E52">
        <w:rPr>
          <w:lang w:val="en-CA"/>
        </w:rPr>
        <w:lastRenderedPageBreak/>
        <w:t xml:space="preserve">is in compliance with the targets set in its Agreement with the Executive Committee for 2016 and 2017, and has been reducing HCFCs use in the country below its targets. </w:t>
      </w:r>
    </w:p>
    <w:p w:rsidR="003A6FC0" w:rsidRPr="00894E52" w:rsidRDefault="003A6FC0" w:rsidP="00B423D6">
      <w:pPr>
        <w:pStyle w:val="Heading1"/>
        <w:rPr>
          <w:lang w:val="en-CA"/>
        </w:rPr>
      </w:pPr>
      <w:r w:rsidRPr="00894E52">
        <w:rPr>
          <w:lang w:val="en-CA"/>
        </w:rPr>
        <w:t xml:space="preserve">The report did not include the verification of consumption for 2018 as this was commissioned in 2017 to support the submission of the second tranche which was due in 2018. The 2018 </w:t>
      </w:r>
      <w:r w:rsidR="00894E52">
        <w:rPr>
          <w:lang w:val="en-CA"/>
        </w:rPr>
        <w:t xml:space="preserve">consumption </w:t>
      </w:r>
      <w:r w:rsidRPr="00894E52">
        <w:rPr>
          <w:lang w:val="en-CA"/>
        </w:rPr>
        <w:t xml:space="preserve">data is not yet officially available, and needs approval at a high level before it can be </w:t>
      </w:r>
      <w:r w:rsidR="00956F2A">
        <w:rPr>
          <w:lang w:val="en-CA"/>
        </w:rPr>
        <w:t>submitted</w:t>
      </w:r>
      <w:r w:rsidRPr="00894E52">
        <w:rPr>
          <w:lang w:val="en-CA"/>
        </w:rPr>
        <w:t>. UNIDO had confirmed that 2018 consumption would not be hi</w:t>
      </w:r>
      <w:r w:rsidR="00894E52">
        <w:rPr>
          <w:lang w:val="en-CA"/>
        </w:rPr>
        <w:t>gher than the quota set for 2018</w:t>
      </w:r>
      <w:r w:rsidRPr="00894E52">
        <w:rPr>
          <w:lang w:val="en-CA"/>
        </w:rPr>
        <w:t xml:space="preserve">.  </w:t>
      </w:r>
    </w:p>
    <w:p w:rsidR="003A6FC0" w:rsidRPr="00894E52" w:rsidRDefault="003A6FC0" w:rsidP="00B423D6">
      <w:pPr>
        <w:pStyle w:val="Heading1"/>
        <w:rPr>
          <w:lang w:val="en-CA"/>
        </w:rPr>
      </w:pPr>
      <w:r w:rsidRPr="00894E52">
        <w:rPr>
          <w:lang w:val="en-CA"/>
        </w:rPr>
        <w:t>The report recommended the continued use of the designated harmonized systems (HS) codes for the most commonly traded fluorinated substitutes for HCFCs and CFCs to improve data collection for the import of ODS and their mixtures.</w:t>
      </w:r>
    </w:p>
    <w:p w:rsidR="003A6FC0" w:rsidRPr="00894E52" w:rsidRDefault="003A6FC0" w:rsidP="00B423D6">
      <w:pPr>
        <w:pStyle w:val="Heading1"/>
        <w:keepNext/>
        <w:numPr>
          <w:ilvl w:val="0"/>
          <w:numId w:val="0"/>
        </w:numPr>
        <w:rPr>
          <w:u w:val="single"/>
          <w:lang w:val="en-CA"/>
        </w:rPr>
      </w:pPr>
      <w:r w:rsidRPr="00894E52">
        <w:rPr>
          <w:u w:val="single"/>
          <w:lang w:val="en-CA"/>
        </w:rPr>
        <w:t>Progress report on the implementation of the first tranche of the HPMP</w:t>
      </w:r>
    </w:p>
    <w:p w:rsidR="003A6FC0" w:rsidRPr="00894E52" w:rsidRDefault="003A6FC0" w:rsidP="00B423D6">
      <w:pPr>
        <w:keepNext/>
        <w:spacing w:after="240"/>
        <w:rPr>
          <w:i/>
          <w:lang w:val="en-CA"/>
        </w:rPr>
      </w:pPr>
      <w:r w:rsidRPr="00894E52">
        <w:rPr>
          <w:i/>
          <w:lang w:val="en-CA"/>
        </w:rPr>
        <w:t>Legal framework</w:t>
      </w:r>
    </w:p>
    <w:p w:rsidR="003A6FC0" w:rsidRPr="00894E52" w:rsidRDefault="003A6FC0" w:rsidP="00B423D6">
      <w:pPr>
        <w:pStyle w:val="Heading1"/>
        <w:rPr>
          <w:lang w:val="en-CA"/>
        </w:rPr>
      </w:pPr>
      <w:r w:rsidRPr="00894E52">
        <w:rPr>
          <w:lang w:val="en-CA"/>
        </w:rPr>
        <w:t>The licensing and quota systems for import/export of HCFCs continues to be operational since 2013; import of substances that have been phased out earlier (i.e., CFCs and halon) is banned; HCFC-142b will be added to the list of controlled substances under regulation SRO 634(1), the Pakistan Customs Rules updated in 2014. The Government is also studying the implementation of additional legislation including a ban on import of products and equipment using or containing HCFC and</w:t>
      </w:r>
      <w:r w:rsidR="00B423D6">
        <w:rPr>
          <w:lang w:val="en-CA"/>
        </w:rPr>
        <w:t xml:space="preserve"> HCFC blends, tax relief on non</w:t>
      </w:r>
      <w:r w:rsidR="00B423D6">
        <w:rPr>
          <w:lang w:val="en-CA"/>
        </w:rPr>
        <w:noBreakHyphen/>
      </w:r>
      <w:r w:rsidRPr="00894E52">
        <w:rPr>
          <w:lang w:val="en-CA"/>
        </w:rPr>
        <w:t>HCFC-based products and higher taxes on HCFC</w:t>
      </w:r>
      <w:r w:rsidRPr="00894E52">
        <w:rPr>
          <w:lang w:val="en-CA"/>
        </w:rPr>
        <w:noBreakHyphen/>
        <w:t>based products, among others. The Government has also initiated actions to develop regulations to support the phase-down of HFCs and HFC</w:t>
      </w:r>
      <w:r w:rsidRPr="00894E52">
        <w:rPr>
          <w:lang w:val="en-CA"/>
        </w:rPr>
        <w:noBreakHyphen/>
        <w:t xml:space="preserve">based mixtures including the inclusion of these substances in the current import quota system. </w:t>
      </w:r>
    </w:p>
    <w:p w:rsidR="003A6FC0" w:rsidRPr="00894E52" w:rsidRDefault="003A6FC0" w:rsidP="00B423D6">
      <w:pPr>
        <w:pStyle w:val="Heading1"/>
        <w:rPr>
          <w:lang w:val="en-CA"/>
        </w:rPr>
      </w:pPr>
      <w:r w:rsidRPr="00894E52">
        <w:rPr>
          <w:lang w:val="en-CA"/>
        </w:rPr>
        <w:t>Training was provided to 23 officers on regulations for the prevention of illegal ODS trade, and handling and storage of flammable gases; eight refrigerant identifiers were procured and distributed to key entry ports; three Customs officers participated in a regional training workshop organized by UNEP on risk profiling for identification of risk indicators associated with illegal ODS trade; and one Customs officer attended the border dialogue on coordination and data reconciliation for ODS trade, with counterparts from Afghanistan and the Islamic Republic of Iran.</w:t>
      </w:r>
      <w:r w:rsidRPr="00894E52">
        <w:t xml:space="preserve"> </w:t>
      </w:r>
    </w:p>
    <w:p w:rsidR="003A6FC0" w:rsidRPr="00894E52" w:rsidRDefault="003A6FC0" w:rsidP="00B423D6">
      <w:pPr>
        <w:pStyle w:val="Heading1"/>
        <w:rPr>
          <w:lang w:val="en-CA"/>
        </w:rPr>
      </w:pPr>
      <w:r w:rsidRPr="00894E52">
        <w:t xml:space="preserve">The </w:t>
      </w:r>
      <w:r w:rsidRPr="00894E52">
        <w:rPr>
          <w:lang w:val="en-CA"/>
        </w:rPr>
        <w:t>National Energy Conservation Agency in collaboration with the Pakistan Standards Quality Control Authority (PSQCA) has developed minimum energy performance standards (MEPS) for window</w:t>
      </w:r>
      <w:r w:rsidRPr="00894E52">
        <w:rPr>
          <w:lang w:val="en-CA"/>
        </w:rPr>
        <w:noBreakHyphen/>
        <w:t>type and split-type air-conditioners (from 12,000 BTU to 48,000 BTU) and domestic refrigerators. The PSQCA has also adopted relevant standards on safe handling of refrigerants for the refrigeration and air-conditioning (RAC) sector consistent with ISO standards. These standards (ISO-817</w:t>
      </w:r>
      <w:r w:rsidRPr="00894E52">
        <w:rPr>
          <w:rStyle w:val="FootnoteReference"/>
          <w:lang w:val="en-CA"/>
        </w:rPr>
        <w:footnoteReference w:id="3"/>
      </w:r>
      <w:r w:rsidRPr="00894E52">
        <w:rPr>
          <w:lang w:val="en-CA"/>
        </w:rPr>
        <w:t xml:space="preserve"> and ISO-5149</w:t>
      </w:r>
      <w:r w:rsidRPr="00894E52">
        <w:rPr>
          <w:rStyle w:val="FootnoteReference"/>
          <w:lang w:val="en-CA"/>
        </w:rPr>
        <w:footnoteReference w:id="4"/>
      </w:r>
      <w:r w:rsidRPr="00894E52">
        <w:rPr>
          <w:lang w:val="en-CA"/>
        </w:rPr>
        <w:t xml:space="preserve">) will be included in the training programme for technicians. </w:t>
      </w:r>
    </w:p>
    <w:p w:rsidR="003A6FC0" w:rsidRPr="00894E52" w:rsidRDefault="003A6FC0" w:rsidP="00B423D6">
      <w:pPr>
        <w:spacing w:after="240"/>
        <w:rPr>
          <w:i/>
          <w:lang w:val="en-CA"/>
        </w:rPr>
      </w:pPr>
      <w:r w:rsidRPr="00894E52">
        <w:rPr>
          <w:i/>
          <w:lang w:val="en-CA"/>
        </w:rPr>
        <w:t>Polyurethane (PU) manufacturing sector</w:t>
      </w:r>
    </w:p>
    <w:p w:rsidR="003A6FC0" w:rsidRPr="00894E52" w:rsidRDefault="003A6FC0" w:rsidP="00B423D6">
      <w:pPr>
        <w:pStyle w:val="Heading1"/>
        <w:rPr>
          <w:lang w:val="en-CA"/>
        </w:rPr>
      </w:pPr>
      <w:r w:rsidRPr="00894E52">
        <w:t>Stage II of the HPMP included the conversions of seven enterprises manufacturing PU thermoware to phase out 34.06 ODP tonnes and four enterprises manufacturing discontinuous panels to phase out 24.64 ODP tonnes. Contracts</w:t>
      </w:r>
      <w:r w:rsidRPr="00894E52">
        <w:rPr>
          <w:lang w:val="en-CA"/>
        </w:rPr>
        <w:t xml:space="preserve"> with the seven thermoware enterprises had been signed following UNIDO’s procedures. Equipment procurement (i.e., high pressure low</w:t>
      </w:r>
      <w:r w:rsidRPr="00894E52">
        <w:rPr>
          <w:lang w:val="en-CA"/>
        </w:rPr>
        <w:noBreakHyphen/>
        <w:t>dosing foaming machine including control panel and chillers) had been completed, and had been delivered and are currently being installed. Commissioning, start-up and training will be provided by the equipment supplier by May 2019. Bidding was carried out for the main equipment and accessories for the four discontinuo</w:t>
      </w:r>
      <w:r w:rsidR="00B675AE">
        <w:rPr>
          <w:lang w:val="en-CA"/>
        </w:rPr>
        <w:t>us panel enterprises;</w:t>
      </w:r>
      <w:r w:rsidRPr="00894E52">
        <w:rPr>
          <w:lang w:val="en-CA"/>
        </w:rPr>
        <w:t xml:space="preserve"> procurement</w:t>
      </w:r>
      <w:r w:rsidR="00B675AE">
        <w:rPr>
          <w:lang w:val="en-CA"/>
        </w:rPr>
        <w:t xml:space="preserve"> was delayed due to </w:t>
      </w:r>
      <w:r w:rsidR="00B675AE" w:rsidRPr="00894E52">
        <w:rPr>
          <w:lang w:val="en-CA"/>
        </w:rPr>
        <w:t>technical reasons associated with the final specifications of the equipment</w:t>
      </w:r>
      <w:r w:rsidR="00B675AE">
        <w:rPr>
          <w:lang w:val="en-CA"/>
        </w:rPr>
        <w:t>;</w:t>
      </w:r>
      <w:r w:rsidRPr="00894E52">
        <w:rPr>
          <w:lang w:val="en-CA"/>
        </w:rPr>
        <w:t xml:space="preserve"> this is </w:t>
      </w:r>
      <w:r w:rsidR="00B675AE">
        <w:rPr>
          <w:lang w:val="en-CA"/>
        </w:rPr>
        <w:t xml:space="preserve">now </w:t>
      </w:r>
      <w:r w:rsidRPr="00894E52">
        <w:rPr>
          <w:lang w:val="en-CA"/>
        </w:rPr>
        <w:t>expected to be completed before the end of the first half of 2019.</w:t>
      </w:r>
    </w:p>
    <w:p w:rsidR="00894E52" w:rsidRPr="00894E52" w:rsidRDefault="00894E52" w:rsidP="00B423D6">
      <w:pPr>
        <w:rPr>
          <w:i/>
          <w:lang w:val="en-CA"/>
        </w:rPr>
      </w:pPr>
      <w:r w:rsidRPr="00894E52">
        <w:rPr>
          <w:i/>
          <w:lang w:val="en-CA"/>
        </w:rPr>
        <w:lastRenderedPageBreak/>
        <w:t>Extruded polystyrene foam sector</w:t>
      </w:r>
    </w:p>
    <w:p w:rsidR="00894E52" w:rsidRPr="00894E52" w:rsidRDefault="00894E52" w:rsidP="00B423D6">
      <w:pPr>
        <w:rPr>
          <w:lang w:val="en-CA"/>
        </w:rPr>
      </w:pPr>
    </w:p>
    <w:p w:rsidR="00894E52" w:rsidRPr="00894E52" w:rsidRDefault="00894E52" w:rsidP="00B423D6">
      <w:pPr>
        <w:pStyle w:val="Heading1"/>
        <w:rPr>
          <w:u w:val="single"/>
          <w:lang w:val="en-CA"/>
        </w:rPr>
      </w:pPr>
      <w:r w:rsidRPr="00894E52">
        <w:rPr>
          <w:lang w:val="en-CA"/>
        </w:rPr>
        <w:t>In line with decision 76/39(f)</w:t>
      </w:r>
      <w:r w:rsidRPr="00894E52">
        <w:rPr>
          <w:rStyle w:val="FootnoteReference"/>
          <w:lang w:val="en-CA"/>
        </w:rPr>
        <w:footnoteReference w:id="5"/>
      </w:r>
      <w:r w:rsidRPr="00894E52">
        <w:rPr>
          <w:lang w:val="en-CA"/>
        </w:rPr>
        <w:t>, UNIDO had also submitted a project for the phase out of 76.68 mt (4.68 ODP tonnes) of HCFC-142b and HCFC-22 through the conversion of an XPS foam enterprise (Symbol Industry) to dimethyl ether (DME), CO</w:t>
      </w:r>
      <w:r w:rsidRPr="00894E52">
        <w:rPr>
          <w:vertAlign w:val="subscript"/>
          <w:lang w:val="en-CA"/>
        </w:rPr>
        <w:t>2</w:t>
      </w:r>
      <w:r w:rsidRPr="00894E52">
        <w:rPr>
          <w:lang w:val="en-CA"/>
        </w:rPr>
        <w:t>, and HFO. The total cost of the project as submitted was US $871,527 (incremental capital costs (ICC) of US $694,700 and incremental operating costs (IOC) of US $107,357) plus support costs for UNIDO. The cost effectiveness of the project as submitted was US $11.36/kg.</w:t>
      </w:r>
      <w:r w:rsidRPr="00894E52">
        <w:rPr>
          <w:rStyle w:val="FootnoteReference"/>
          <w:lang w:val="en-CA"/>
        </w:rPr>
        <w:footnoteReference w:id="6"/>
      </w:r>
    </w:p>
    <w:p w:rsidR="003A6FC0" w:rsidRPr="00894E52" w:rsidRDefault="003A6FC0" w:rsidP="00B423D6">
      <w:pPr>
        <w:keepNext/>
        <w:spacing w:after="240"/>
        <w:rPr>
          <w:i/>
          <w:lang w:val="en-CA"/>
        </w:rPr>
      </w:pPr>
      <w:r w:rsidRPr="00894E52">
        <w:rPr>
          <w:i/>
          <w:lang w:val="en-CA"/>
        </w:rPr>
        <w:t>Refrigeration servicing sector</w:t>
      </w:r>
    </w:p>
    <w:p w:rsidR="003A6FC0" w:rsidRPr="00894E52" w:rsidRDefault="003A6FC0" w:rsidP="00B423D6">
      <w:pPr>
        <w:pStyle w:val="Heading1"/>
        <w:rPr>
          <w:lang w:val="en-CA"/>
        </w:rPr>
      </w:pPr>
      <w:r w:rsidRPr="00894E52">
        <w:rPr>
          <w:lang w:val="en-CA"/>
        </w:rPr>
        <w:t xml:space="preserve">Training on emerging technologies and safe handling and storage of flammable refrigerants was provided to 91 technicians; the code of practice on handling refrigerants for servicing technicians and workshops had been drafted and is being reviewed by a technical committee; and procurement of training equipment and tools (e.g. </w:t>
      </w:r>
      <w:r w:rsidRPr="00894E52">
        <w:t xml:space="preserve">vacuum pumps, refrigerant recovery units, leak detectors for hydrocarbons) </w:t>
      </w:r>
      <w:r w:rsidRPr="00894E52">
        <w:rPr>
          <w:lang w:val="en-CA"/>
        </w:rPr>
        <w:t>for the National Vocational and Technical Training Commission (NVTTC) had been initiated.</w:t>
      </w:r>
      <w:r w:rsidRPr="00894E52">
        <w:t xml:space="preserve"> The training curriculum for </w:t>
      </w:r>
      <w:r w:rsidRPr="00894E52">
        <w:rPr>
          <w:lang w:val="en-CA"/>
        </w:rPr>
        <w:t>RAC servicing technicians is being revised to include information on new refrigerants and related technologies, and safe handling of flammable refrigerants.</w:t>
      </w:r>
      <w:r w:rsidRPr="00894E52">
        <w:t xml:space="preserve"> </w:t>
      </w:r>
      <w:r w:rsidRPr="00894E52">
        <w:rPr>
          <w:lang w:val="en-CA"/>
        </w:rPr>
        <w:t>The pilot implementation of the technician certification programme is currently being implemented with the Sindh Board of Technical Education (SBTE), and is linked with the revision of the curriculum for RAC training. This certification system is being designed to fit within national process of vocational qualifi</w:t>
      </w:r>
      <w:r w:rsidR="001A2B3D">
        <w:rPr>
          <w:lang w:val="en-CA"/>
        </w:rPr>
        <w:t>cation framework implementation</w:t>
      </w:r>
      <w:r w:rsidRPr="00894E52">
        <w:rPr>
          <w:lang w:val="en-CA"/>
        </w:rPr>
        <w:t>.</w:t>
      </w:r>
    </w:p>
    <w:p w:rsidR="003A6FC0" w:rsidRPr="00894E52" w:rsidRDefault="003A6FC0" w:rsidP="00B423D6">
      <w:pPr>
        <w:pStyle w:val="Heading1"/>
        <w:rPr>
          <w:lang w:val="en-CA"/>
        </w:rPr>
      </w:pPr>
      <w:r w:rsidRPr="00894E52">
        <w:rPr>
          <w:lang w:val="en-CA"/>
        </w:rPr>
        <w:t>Awareness sessions were carried out to promote low-global warming potential (GWP) alternative technologies and handling and storage of flammable refrigerants; the UNEP guide on flammable refrigerants was translated into the local language and distributed to technicians.</w:t>
      </w:r>
    </w:p>
    <w:p w:rsidR="003A6FC0" w:rsidRPr="00894E52" w:rsidRDefault="003A6FC0" w:rsidP="00B423D6">
      <w:pPr>
        <w:spacing w:after="240"/>
        <w:rPr>
          <w:i/>
          <w:lang w:val="en-CA"/>
        </w:rPr>
      </w:pPr>
      <w:r w:rsidRPr="00894E52">
        <w:rPr>
          <w:i/>
          <w:lang w:val="en-CA"/>
        </w:rPr>
        <w:t>Project implementation and monitoring unit (PMU)</w:t>
      </w:r>
    </w:p>
    <w:p w:rsidR="003A6FC0" w:rsidRPr="00894E52" w:rsidRDefault="003A6FC0" w:rsidP="00B423D6">
      <w:pPr>
        <w:pStyle w:val="Heading1"/>
        <w:rPr>
          <w:lang w:val="en-CA"/>
        </w:rPr>
      </w:pPr>
      <w:r w:rsidRPr="00894E52">
        <w:rPr>
          <w:lang w:val="en-CA"/>
        </w:rPr>
        <w:t xml:space="preserve">The NOU/National Ozone Cell, within the Ministry of Climate Change (MoCC) is responsible for project management, coordination, assessment and monitoring. It is also responsible for facilitating communication among key stakeholders and increasing awareness on ODS issues amongst decision makers. A consultant was recruited by the NOU to support the implementation of the activities related to UNEP’s component in the HPMP. </w:t>
      </w:r>
    </w:p>
    <w:p w:rsidR="003A6FC0" w:rsidRPr="00894E52" w:rsidRDefault="003A6FC0" w:rsidP="00B423D6">
      <w:pPr>
        <w:spacing w:after="240"/>
        <w:rPr>
          <w:u w:val="single"/>
          <w:lang w:val="en-CA"/>
        </w:rPr>
      </w:pPr>
      <w:r w:rsidRPr="00894E52">
        <w:rPr>
          <w:u w:val="single"/>
          <w:lang w:val="en-CA"/>
        </w:rPr>
        <w:t>Level of fund disbursement</w:t>
      </w:r>
    </w:p>
    <w:p w:rsidR="003A6FC0" w:rsidRPr="00894E52" w:rsidRDefault="003A6FC0" w:rsidP="00B423D6">
      <w:pPr>
        <w:pStyle w:val="Heading1"/>
        <w:rPr>
          <w:lang w:val="en-CA"/>
        </w:rPr>
      </w:pPr>
      <w:r w:rsidRPr="00894E52">
        <w:rPr>
          <w:lang w:val="en-CA"/>
        </w:rPr>
        <w:t>As of March 2019, of the US $2,550,200 approved so far (US $2,350,200 for UNIDO and US $200,000 for UNEP), US $619,469 (24 per cent) had been disbursed (US $487,469 for UNIDO and US $132,000 for UNEP). The balance of US $1,930,731 will be disbursed in 2019-2020.</w:t>
      </w:r>
    </w:p>
    <w:p w:rsidR="003A6FC0" w:rsidRPr="00894E52" w:rsidRDefault="003A6FC0" w:rsidP="00A265A9">
      <w:pPr>
        <w:spacing w:after="240"/>
        <w:rPr>
          <w:u w:val="single"/>
          <w:lang w:val="en-CA"/>
        </w:rPr>
      </w:pPr>
      <w:r w:rsidRPr="00894E52">
        <w:rPr>
          <w:u w:val="single"/>
          <w:lang w:val="en-CA"/>
        </w:rPr>
        <w:t>Implementation plan for the second tranche of the HPMP</w:t>
      </w:r>
    </w:p>
    <w:p w:rsidR="003A6FC0" w:rsidRPr="00894E52" w:rsidRDefault="003A6FC0" w:rsidP="00A265A9">
      <w:pPr>
        <w:pStyle w:val="Heading1"/>
        <w:rPr>
          <w:lang w:val="en-CA"/>
        </w:rPr>
      </w:pPr>
      <w:r w:rsidRPr="00894E52">
        <w:rPr>
          <w:lang w:val="en-CA"/>
        </w:rPr>
        <w:t>The following activities will be implemented between June 2019 and December 2020:</w:t>
      </w:r>
      <w:r w:rsidRPr="00894E52">
        <w:rPr>
          <w:rStyle w:val="FootnoteReference"/>
          <w:lang w:val="en-CA"/>
        </w:rPr>
        <w:footnoteReference w:id="7"/>
      </w:r>
    </w:p>
    <w:p w:rsidR="003A6FC0" w:rsidRPr="00894E52" w:rsidRDefault="003A6FC0" w:rsidP="00A265A9">
      <w:pPr>
        <w:pStyle w:val="Heading2"/>
        <w:keepNext/>
        <w:keepLines/>
        <w:rPr>
          <w:lang w:val="en-CA"/>
        </w:rPr>
      </w:pPr>
      <w:r w:rsidRPr="00894E52">
        <w:rPr>
          <w:i/>
          <w:lang w:val="en-CA"/>
        </w:rPr>
        <w:lastRenderedPageBreak/>
        <w:t>Air</w:t>
      </w:r>
      <w:r w:rsidRPr="00894E52">
        <w:rPr>
          <w:i/>
          <w:lang w:val="en-CA"/>
        </w:rPr>
        <w:noBreakHyphen/>
        <w:t>conditioning (AC) manufacturing</w:t>
      </w:r>
      <w:r w:rsidRPr="00894E52">
        <w:rPr>
          <w:lang w:val="en-CA"/>
        </w:rPr>
        <w:t>: Conversion of one eligible enterprise in the AC manufacturing sector (Dawlance Industry) from HCFC-22 to R</w:t>
      </w:r>
      <w:r w:rsidRPr="00894E52">
        <w:rPr>
          <w:lang w:val="en-CA"/>
        </w:rPr>
        <w:noBreakHyphen/>
        <w:t>290 technology (UNIDO) (US $1,115,000);</w:t>
      </w:r>
    </w:p>
    <w:p w:rsidR="003A6FC0" w:rsidRPr="00894E52" w:rsidRDefault="003A6FC0" w:rsidP="00B423D6">
      <w:pPr>
        <w:pStyle w:val="Heading2"/>
        <w:rPr>
          <w:lang w:val="en-CA"/>
        </w:rPr>
      </w:pPr>
      <w:r w:rsidRPr="00894E52">
        <w:rPr>
          <w:i/>
          <w:lang w:val="en-CA"/>
        </w:rPr>
        <w:t>PU foam manufacturing</w:t>
      </w:r>
      <w:r w:rsidRPr="00894E52">
        <w:rPr>
          <w:lang w:val="en-CA"/>
        </w:rPr>
        <w:t>: Finalise the conversion of the seven thermoware enterprises; complete procurement and installation of equipment for the four PU discontinuous panels enterprises to finalise the conversion (UNIDO) (US $570,352 plus funds from previous tranche);</w:t>
      </w:r>
    </w:p>
    <w:p w:rsidR="003A6FC0" w:rsidRPr="00894E52" w:rsidRDefault="003A6FC0" w:rsidP="00B423D6">
      <w:pPr>
        <w:pStyle w:val="Heading2"/>
        <w:rPr>
          <w:lang w:val="en-CA"/>
        </w:rPr>
      </w:pPr>
      <w:r w:rsidRPr="00894E52">
        <w:rPr>
          <w:i/>
          <w:lang w:val="en-CA"/>
        </w:rPr>
        <w:t>Refrigeration servicing sector</w:t>
      </w:r>
      <w:r w:rsidRPr="00894E52">
        <w:rPr>
          <w:lang w:val="en-CA"/>
        </w:rPr>
        <w:t>: Training of 100 Customs and enforcement officers on regulations for the prevention of illegal ODS trade; training additional 500 technicians on emerging technologies and safe handling and storage of flammable refrigerants; two workshops to outreach training and certification programmes in other provinces (i.e., Khyber Pakhtunkhwa and Gilgit Baltistan); translation of quick guide on flammable refrigerants in local languages; consultation workshops on finalisation of code of practice/standard operating procedure for servicing workshops for handling flammable refrigerants; awareness raising for the public and relevant industry on safe handling and use of flammable refrigerants (UNEP) (US $170,000 plus funds from previous tranche); and</w:t>
      </w:r>
    </w:p>
    <w:p w:rsidR="003A6FC0" w:rsidRPr="00894E52" w:rsidRDefault="003A6FC0" w:rsidP="00B423D6">
      <w:pPr>
        <w:pStyle w:val="Heading2"/>
        <w:rPr>
          <w:lang w:val="en-CA"/>
        </w:rPr>
      </w:pPr>
      <w:r w:rsidRPr="00894E52">
        <w:rPr>
          <w:lang w:val="en-CA"/>
        </w:rPr>
        <w:t>Project coordination, management and monitoring (UNEP US $30,000; and UNIDO, US $294,500).</w:t>
      </w:r>
    </w:p>
    <w:p w:rsidR="003A6FC0" w:rsidRPr="00894E52" w:rsidRDefault="003A6FC0" w:rsidP="00B423D6">
      <w:pPr>
        <w:keepNext/>
        <w:spacing w:after="240"/>
        <w:jc w:val="center"/>
        <w:rPr>
          <w:b/>
          <w:lang w:val="en-CA"/>
        </w:rPr>
      </w:pPr>
      <w:r w:rsidRPr="00894E52">
        <w:rPr>
          <w:b/>
          <w:lang w:val="en-CA"/>
        </w:rPr>
        <w:t>SECRETARIAT’S COMMENTS AND RECOMMENDATION</w:t>
      </w:r>
    </w:p>
    <w:p w:rsidR="003A6FC0" w:rsidRPr="00894E52" w:rsidRDefault="003A6FC0" w:rsidP="00B423D6">
      <w:pPr>
        <w:keepNext/>
        <w:spacing w:after="240"/>
        <w:rPr>
          <w:b/>
          <w:lang w:val="en-CA"/>
        </w:rPr>
      </w:pPr>
      <w:r w:rsidRPr="00894E52">
        <w:rPr>
          <w:b/>
          <w:lang w:val="en-CA"/>
        </w:rPr>
        <w:t>COMMENTS</w:t>
      </w:r>
    </w:p>
    <w:p w:rsidR="003A6FC0" w:rsidRPr="00894E52" w:rsidRDefault="003A6FC0" w:rsidP="00B423D6">
      <w:pPr>
        <w:rPr>
          <w:u w:val="single"/>
          <w:lang w:val="en-CA"/>
        </w:rPr>
      </w:pPr>
      <w:r w:rsidRPr="00894E52">
        <w:rPr>
          <w:u w:val="single"/>
          <w:lang w:val="en-CA"/>
        </w:rPr>
        <w:t>Revision of the starting point and modification to the Agreement</w:t>
      </w:r>
    </w:p>
    <w:p w:rsidR="003A6FC0" w:rsidRPr="00894E52" w:rsidRDefault="003A6FC0" w:rsidP="00B423D6">
      <w:pPr>
        <w:rPr>
          <w:u w:val="single"/>
          <w:lang w:val="en-CA"/>
        </w:rPr>
      </w:pPr>
    </w:p>
    <w:p w:rsidR="003A6FC0" w:rsidRPr="00894E52" w:rsidRDefault="003A6FC0" w:rsidP="00B423D6">
      <w:pPr>
        <w:pStyle w:val="Heading1"/>
        <w:rPr>
          <w:lang w:val="en-CA"/>
        </w:rPr>
      </w:pPr>
      <w:r w:rsidRPr="00894E52">
        <w:rPr>
          <w:lang w:val="en-CA"/>
        </w:rPr>
        <w:t>The Secretariat noted that the baseline for HCFC compliance for Pakistan was revised by the Meeting of the Parties to the Montreal Protocol</w:t>
      </w:r>
      <w:r w:rsidRPr="00894E52">
        <w:rPr>
          <w:rStyle w:val="FootnoteReference"/>
          <w:lang w:val="en-CA"/>
        </w:rPr>
        <w:footnoteReference w:id="8"/>
      </w:r>
      <w:r w:rsidRPr="00894E52">
        <w:rPr>
          <w:lang w:val="en-CA"/>
        </w:rPr>
        <w:t xml:space="preserve"> to include HCFC-142b, as shown in Table 2 below.</w:t>
      </w:r>
    </w:p>
    <w:p w:rsidR="003A6FC0" w:rsidRPr="00894E52" w:rsidRDefault="003A6FC0" w:rsidP="00B423D6">
      <w:pPr>
        <w:rPr>
          <w:b/>
          <w:szCs w:val="20"/>
          <w:lang w:val="en-CA"/>
        </w:rPr>
      </w:pPr>
      <w:r w:rsidRPr="00894E52">
        <w:rPr>
          <w:b/>
          <w:szCs w:val="20"/>
          <w:lang w:val="en-CA"/>
        </w:rPr>
        <w:t>Table 2: Revision of the baseline for Pakistan</w:t>
      </w:r>
    </w:p>
    <w:tbl>
      <w:tblPr>
        <w:tblStyle w:val="TableGrid"/>
        <w:tblW w:w="5000" w:type="pct"/>
        <w:tblLook w:val="04A0" w:firstRow="1" w:lastRow="0" w:firstColumn="1" w:lastColumn="0" w:noHBand="0" w:noVBand="1"/>
      </w:tblPr>
      <w:tblGrid>
        <w:gridCol w:w="1875"/>
        <w:gridCol w:w="1440"/>
        <w:gridCol w:w="1311"/>
        <w:gridCol w:w="1182"/>
        <w:gridCol w:w="1182"/>
        <w:gridCol w:w="1182"/>
        <w:gridCol w:w="1178"/>
      </w:tblGrid>
      <w:tr w:rsidR="003A6FC0" w:rsidRPr="00894E52" w:rsidTr="00A1314F">
        <w:trPr>
          <w:trHeight w:val="300"/>
        </w:trPr>
        <w:tc>
          <w:tcPr>
            <w:tcW w:w="1003" w:type="pct"/>
            <w:vMerge w:val="restart"/>
            <w:vAlign w:val="center"/>
            <w:hideMark/>
          </w:tcPr>
          <w:p w:rsidR="003A6FC0" w:rsidRPr="00894E52" w:rsidRDefault="003A6FC0" w:rsidP="00B423D6">
            <w:pPr>
              <w:jc w:val="center"/>
              <w:rPr>
                <w:b/>
                <w:iCs/>
                <w:sz w:val="20"/>
                <w:szCs w:val="20"/>
                <w:lang w:val="en-US"/>
              </w:rPr>
            </w:pPr>
            <w:r w:rsidRPr="00894E52">
              <w:rPr>
                <w:b/>
                <w:iCs/>
                <w:sz w:val="20"/>
                <w:szCs w:val="20"/>
              </w:rPr>
              <w:t>Substance</w:t>
            </w:r>
          </w:p>
        </w:tc>
        <w:tc>
          <w:tcPr>
            <w:tcW w:w="2103" w:type="pct"/>
            <w:gridSpan w:val="3"/>
            <w:hideMark/>
          </w:tcPr>
          <w:p w:rsidR="003A6FC0" w:rsidRPr="00894E52" w:rsidRDefault="003A6FC0" w:rsidP="00B423D6">
            <w:pPr>
              <w:jc w:val="center"/>
              <w:rPr>
                <w:b/>
                <w:iCs/>
                <w:sz w:val="20"/>
                <w:szCs w:val="20"/>
              </w:rPr>
            </w:pPr>
            <w:r w:rsidRPr="00894E52">
              <w:rPr>
                <w:b/>
                <w:iCs/>
                <w:sz w:val="20"/>
                <w:szCs w:val="20"/>
              </w:rPr>
              <w:t>Previous baseline (ODP tonnes)</w:t>
            </w:r>
          </w:p>
        </w:tc>
        <w:tc>
          <w:tcPr>
            <w:tcW w:w="1894" w:type="pct"/>
            <w:gridSpan w:val="3"/>
            <w:hideMark/>
          </w:tcPr>
          <w:p w:rsidR="003A6FC0" w:rsidRPr="00894E52" w:rsidRDefault="003A6FC0" w:rsidP="00B423D6">
            <w:pPr>
              <w:jc w:val="center"/>
              <w:rPr>
                <w:b/>
                <w:iCs/>
                <w:sz w:val="20"/>
                <w:szCs w:val="20"/>
              </w:rPr>
            </w:pPr>
            <w:r w:rsidRPr="00894E52">
              <w:rPr>
                <w:b/>
                <w:iCs/>
                <w:sz w:val="20"/>
                <w:szCs w:val="20"/>
              </w:rPr>
              <w:t>Revised baseline (ODP tonnes)</w:t>
            </w:r>
          </w:p>
        </w:tc>
      </w:tr>
      <w:tr w:rsidR="003A6FC0" w:rsidRPr="00894E52" w:rsidTr="00A1314F">
        <w:trPr>
          <w:trHeight w:val="300"/>
        </w:trPr>
        <w:tc>
          <w:tcPr>
            <w:tcW w:w="1003" w:type="pct"/>
            <w:vMerge/>
            <w:hideMark/>
          </w:tcPr>
          <w:p w:rsidR="003A6FC0" w:rsidRPr="00894E52" w:rsidRDefault="003A6FC0" w:rsidP="00B423D6">
            <w:pPr>
              <w:rPr>
                <w:i/>
                <w:iCs/>
                <w:sz w:val="20"/>
                <w:szCs w:val="20"/>
              </w:rPr>
            </w:pPr>
          </w:p>
        </w:tc>
        <w:tc>
          <w:tcPr>
            <w:tcW w:w="770" w:type="pct"/>
            <w:hideMark/>
          </w:tcPr>
          <w:p w:rsidR="003A6FC0" w:rsidRPr="00894E52" w:rsidRDefault="003A6FC0" w:rsidP="00B423D6">
            <w:pPr>
              <w:jc w:val="center"/>
              <w:rPr>
                <w:b/>
                <w:iCs/>
                <w:sz w:val="20"/>
                <w:szCs w:val="20"/>
              </w:rPr>
            </w:pPr>
            <w:r w:rsidRPr="00894E52">
              <w:rPr>
                <w:b/>
                <w:iCs/>
                <w:sz w:val="20"/>
                <w:szCs w:val="20"/>
              </w:rPr>
              <w:t>2009</w:t>
            </w:r>
          </w:p>
        </w:tc>
        <w:tc>
          <w:tcPr>
            <w:tcW w:w="701" w:type="pct"/>
            <w:hideMark/>
          </w:tcPr>
          <w:p w:rsidR="003A6FC0" w:rsidRPr="00894E52" w:rsidRDefault="003A6FC0" w:rsidP="00B423D6">
            <w:pPr>
              <w:jc w:val="center"/>
              <w:rPr>
                <w:b/>
                <w:iCs/>
                <w:sz w:val="20"/>
                <w:szCs w:val="20"/>
              </w:rPr>
            </w:pPr>
            <w:r w:rsidRPr="00894E52">
              <w:rPr>
                <w:b/>
                <w:iCs/>
                <w:sz w:val="20"/>
                <w:szCs w:val="20"/>
              </w:rPr>
              <w:t>2010</w:t>
            </w:r>
          </w:p>
        </w:tc>
        <w:tc>
          <w:tcPr>
            <w:tcW w:w="632" w:type="pct"/>
            <w:hideMark/>
          </w:tcPr>
          <w:p w:rsidR="003A6FC0" w:rsidRPr="00894E52" w:rsidRDefault="003A6FC0" w:rsidP="00B423D6">
            <w:pPr>
              <w:jc w:val="center"/>
              <w:rPr>
                <w:b/>
                <w:iCs/>
                <w:sz w:val="20"/>
                <w:szCs w:val="20"/>
              </w:rPr>
            </w:pPr>
            <w:r w:rsidRPr="00894E52">
              <w:rPr>
                <w:b/>
                <w:iCs/>
                <w:sz w:val="20"/>
                <w:szCs w:val="20"/>
              </w:rPr>
              <w:t>Baseline</w:t>
            </w:r>
          </w:p>
        </w:tc>
        <w:tc>
          <w:tcPr>
            <w:tcW w:w="632" w:type="pct"/>
            <w:hideMark/>
          </w:tcPr>
          <w:p w:rsidR="003A6FC0" w:rsidRPr="00894E52" w:rsidRDefault="003A6FC0" w:rsidP="00B423D6">
            <w:pPr>
              <w:jc w:val="center"/>
              <w:rPr>
                <w:b/>
                <w:iCs/>
                <w:sz w:val="20"/>
                <w:szCs w:val="20"/>
              </w:rPr>
            </w:pPr>
            <w:r w:rsidRPr="00894E52">
              <w:rPr>
                <w:b/>
                <w:iCs/>
                <w:sz w:val="20"/>
                <w:szCs w:val="20"/>
              </w:rPr>
              <w:t>2009</w:t>
            </w:r>
          </w:p>
        </w:tc>
        <w:tc>
          <w:tcPr>
            <w:tcW w:w="632" w:type="pct"/>
            <w:hideMark/>
          </w:tcPr>
          <w:p w:rsidR="003A6FC0" w:rsidRPr="00894E52" w:rsidRDefault="003A6FC0" w:rsidP="00B423D6">
            <w:pPr>
              <w:jc w:val="center"/>
              <w:rPr>
                <w:b/>
                <w:iCs/>
                <w:sz w:val="20"/>
                <w:szCs w:val="20"/>
              </w:rPr>
            </w:pPr>
            <w:r w:rsidRPr="00894E52">
              <w:rPr>
                <w:b/>
                <w:iCs/>
                <w:sz w:val="20"/>
                <w:szCs w:val="20"/>
              </w:rPr>
              <w:t>2010</w:t>
            </w:r>
          </w:p>
        </w:tc>
        <w:tc>
          <w:tcPr>
            <w:tcW w:w="630" w:type="pct"/>
            <w:hideMark/>
          </w:tcPr>
          <w:p w:rsidR="003A6FC0" w:rsidRPr="00894E52" w:rsidRDefault="003A6FC0" w:rsidP="00B423D6">
            <w:pPr>
              <w:jc w:val="center"/>
              <w:rPr>
                <w:b/>
                <w:iCs/>
                <w:sz w:val="20"/>
                <w:szCs w:val="20"/>
              </w:rPr>
            </w:pPr>
            <w:r w:rsidRPr="00894E52">
              <w:rPr>
                <w:b/>
                <w:iCs/>
                <w:sz w:val="20"/>
                <w:szCs w:val="20"/>
              </w:rPr>
              <w:t>Baseline</w:t>
            </w:r>
          </w:p>
        </w:tc>
      </w:tr>
      <w:tr w:rsidR="003A6FC0" w:rsidRPr="00894E52" w:rsidTr="00A1314F">
        <w:trPr>
          <w:trHeight w:val="300"/>
        </w:trPr>
        <w:tc>
          <w:tcPr>
            <w:tcW w:w="1003" w:type="pct"/>
            <w:hideMark/>
          </w:tcPr>
          <w:p w:rsidR="003A6FC0" w:rsidRPr="00894E52" w:rsidRDefault="003A6FC0" w:rsidP="00B423D6">
            <w:pPr>
              <w:rPr>
                <w:sz w:val="20"/>
                <w:szCs w:val="20"/>
              </w:rPr>
            </w:pPr>
            <w:r w:rsidRPr="00894E52">
              <w:rPr>
                <w:sz w:val="20"/>
                <w:szCs w:val="20"/>
              </w:rPr>
              <w:t>HCFC-141b</w:t>
            </w:r>
          </w:p>
        </w:tc>
        <w:tc>
          <w:tcPr>
            <w:tcW w:w="770" w:type="pct"/>
            <w:hideMark/>
          </w:tcPr>
          <w:p w:rsidR="003A6FC0" w:rsidRPr="00894E52" w:rsidRDefault="003A6FC0" w:rsidP="00B423D6">
            <w:pPr>
              <w:jc w:val="right"/>
              <w:rPr>
                <w:sz w:val="20"/>
                <w:szCs w:val="20"/>
              </w:rPr>
            </w:pPr>
            <w:r w:rsidRPr="00894E52">
              <w:rPr>
                <w:sz w:val="20"/>
                <w:szCs w:val="20"/>
              </w:rPr>
              <w:t>134.2</w:t>
            </w:r>
          </w:p>
        </w:tc>
        <w:tc>
          <w:tcPr>
            <w:tcW w:w="701" w:type="pct"/>
            <w:hideMark/>
          </w:tcPr>
          <w:p w:rsidR="003A6FC0" w:rsidRPr="00894E52" w:rsidRDefault="003A6FC0" w:rsidP="00B423D6">
            <w:pPr>
              <w:jc w:val="right"/>
              <w:rPr>
                <w:sz w:val="20"/>
                <w:szCs w:val="20"/>
              </w:rPr>
            </w:pPr>
            <w:r w:rsidRPr="00894E52">
              <w:rPr>
                <w:sz w:val="20"/>
                <w:szCs w:val="20"/>
              </w:rPr>
              <w:t>142.8</w:t>
            </w:r>
          </w:p>
        </w:tc>
        <w:tc>
          <w:tcPr>
            <w:tcW w:w="632" w:type="pct"/>
            <w:hideMark/>
          </w:tcPr>
          <w:p w:rsidR="003A6FC0" w:rsidRPr="00894E52" w:rsidRDefault="003A6FC0" w:rsidP="00B423D6">
            <w:pPr>
              <w:jc w:val="right"/>
              <w:rPr>
                <w:sz w:val="20"/>
                <w:szCs w:val="20"/>
              </w:rPr>
            </w:pPr>
            <w:r w:rsidRPr="00894E52">
              <w:rPr>
                <w:sz w:val="20"/>
                <w:szCs w:val="20"/>
              </w:rPr>
              <w:t>138.50</w:t>
            </w:r>
          </w:p>
        </w:tc>
        <w:tc>
          <w:tcPr>
            <w:tcW w:w="632" w:type="pct"/>
            <w:hideMark/>
          </w:tcPr>
          <w:p w:rsidR="003A6FC0" w:rsidRPr="00894E52" w:rsidRDefault="003A6FC0" w:rsidP="00B423D6">
            <w:pPr>
              <w:jc w:val="right"/>
              <w:rPr>
                <w:sz w:val="20"/>
                <w:szCs w:val="20"/>
              </w:rPr>
            </w:pPr>
            <w:r w:rsidRPr="00894E52">
              <w:rPr>
                <w:sz w:val="20"/>
                <w:szCs w:val="20"/>
              </w:rPr>
              <w:t>134.2</w:t>
            </w:r>
          </w:p>
        </w:tc>
        <w:tc>
          <w:tcPr>
            <w:tcW w:w="632" w:type="pct"/>
            <w:hideMark/>
          </w:tcPr>
          <w:p w:rsidR="003A6FC0" w:rsidRPr="00894E52" w:rsidRDefault="003A6FC0" w:rsidP="00B423D6">
            <w:pPr>
              <w:jc w:val="right"/>
              <w:rPr>
                <w:sz w:val="20"/>
                <w:szCs w:val="20"/>
              </w:rPr>
            </w:pPr>
            <w:r w:rsidRPr="00894E52">
              <w:rPr>
                <w:sz w:val="20"/>
                <w:szCs w:val="20"/>
              </w:rPr>
              <w:t>142.8</w:t>
            </w:r>
          </w:p>
        </w:tc>
        <w:tc>
          <w:tcPr>
            <w:tcW w:w="630" w:type="pct"/>
            <w:hideMark/>
          </w:tcPr>
          <w:p w:rsidR="003A6FC0" w:rsidRPr="00894E52" w:rsidRDefault="003A6FC0" w:rsidP="00B423D6">
            <w:pPr>
              <w:jc w:val="right"/>
              <w:rPr>
                <w:sz w:val="20"/>
                <w:szCs w:val="20"/>
              </w:rPr>
            </w:pPr>
            <w:r w:rsidRPr="00894E52">
              <w:rPr>
                <w:sz w:val="20"/>
                <w:szCs w:val="20"/>
              </w:rPr>
              <w:t>138.50</w:t>
            </w:r>
          </w:p>
        </w:tc>
      </w:tr>
      <w:tr w:rsidR="003A6FC0" w:rsidRPr="00894E52" w:rsidTr="00A1314F">
        <w:trPr>
          <w:trHeight w:val="290"/>
        </w:trPr>
        <w:tc>
          <w:tcPr>
            <w:tcW w:w="1003" w:type="pct"/>
            <w:hideMark/>
          </w:tcPr>
          <w:p w:rsidR="003A6FC0" w:rsidRPr="00894E52" w:rsidRDefault="003A6FC0" w:rsidP="00B423D6">
            <w:pPr>
              <w:rPr>
                <w:sz w:val="20"/>
                <w:szCs w:val="20"/>
              </w:rPr>
            </w:pPr>
            <w:r w:rsidRPr="00894E52">
              <w:rPr>
                <w:sz w:val="20"/>
                <w:szCs w:val="20"/>
              </w:rPr>
              <w:t>HCFC-142b</w:t>
            </w:r>
          </w:p>
        </w:tc>
        <w:tc>
          <w:tcPr>
            <w:tcW w:w="770" w:type="pct"/>
            <w:hideMark/>
          </w:tcPr>
          <w:p w:rsidR="003A6FC0" w:rsidRPr="00894E52" w:rsidRDefault="003A6FC0" w:rsidP="00B423D6">
            <w:pPr>
              <w:jc w:val="right"/>
              <w:rPr>
                <w:sz w:val="20"/>
                <w:szCs w:val="20"/>
              </w:rPr>
            </w:pPr>
            <w:r w:rsidRPr="00894E52">
              <w:rPr>
                <w:sz w:val="20"/>
                <w:szCs w:val="20"/>
              </w:rPr>
              <w:t>-</w:t>
            </w:r>
          </w:p>
        </w:tc>
        <w:tc>
          <w:tcPr>
            <w:tcW w:w="701" w:type="pct"/>
            <w:hideMark/>
          </w:tcPr>
          <w:p w:rsidR="003A6FC0" w:rsidRPr="00894E52" w:rsidRDefault="003A6FC0" w:rsidP="00B423D6">
            <w:pPr>
              <w:jc w:val="right"/>
              <w:rPr>
                <w:sz w:val="20"/>
                <w:szCs w:val="20"/>
              </w:rPr>
            </w:pPr>
            <w:r w:rsidRPr="00894E52">
              <w:rPr>
                <w:sz w:val="20"/>
                <w:szCs w:val="20"/>
              </w:rPr>
              <w:t>-</w:t>
            </w:r>
          </w:p>
        </w:tc>
        <w:tc>
          <w:tcPr>
            <w:tcW w:w="632" w:type="pct"/>
            <w:hideMark/>
          </w:tcPr>
          <w:p w:rsidR="003A6FC0" w:rsidRPr="00894E52" w:rsidRDefault="003A6FC0" w:rsidP="00B423D6">
            <w:pPr>
              <w:jc w:val="right"/>
              <w:rPr>
                <w:sz w:val="20"/>
                <w:szCs w:val="20"/>
              </w:rPr>
            </w:pPr>
            <w:r w:rsidRPr="00894E52">
              <w:rPr>
                <w:sz w:val="20"/>
                <w:szCs w:val="20"/>
              </w:rPr>
              <w:t>-</w:t>
            </w:r>
          </w:p>
        </w:tc>
        <w:tc>
          <w:tcPr>
            <w:tcW w:w="632" w:type="pct"/>
            <w:hideMark/>
          </w:tcPr>
          <w:p w:rsidR="003A6FC0" w:rsidRPr="00894E52" w:rsidRDefault="003A6FC0" w:rsidP="00B423D6">
            <w:pPr>
              <w:jc w:val="right"/>
              <w:rPr>
                <w:sz w:val="20"/>
                <w:szCs w:val="20"/>
              </w:rPr>
            </w:pPr>
            <w:r w:rsidRPr="00894E52">
              <w:rPr>
                <w:sz w:val="20"/>
                <w:szCs w:val="20"/>
              </w:rPr>
              <w:t>4.62</w:t>
            </w:r>
          </w:p>
        </w:tc>
        <w:tc>
          <w:tcPr>
            <w:tcW w:w="632" w:type="pct"/>
            <w:hideMark/>
          </w:tcPr>
          <w:p w:rsidR="003A6FC0" w:rsidRPr="00894E52" w:rsidRDefault="003A6FC0" w:rsidP="00B423D6">
            <w:pPr>
              <w:jc w:val="right"/>
              <w:rPr>
                <w:sz w:val="20"/>
                <w:szCs w:val="20"/>
              </w:rPr>
            </w:pPr>
            <w:r w:rsidRPr="00894E52">
              <w:rPr>
                <w:sz w:val="20"/>
                <w:szCs w:val="20"/>
              </w:rPr>
              <w:t>4.68</w:t>
            </w:r>
          </w:p>
        </w:tc>
        <w:tc>
          <w:tcPr>
            <w:tcW w:w="630" w:type="pct"/>
            <w:hideMark/>
          </w:tcPr>
          <w:p w:rsidR="003A6FC0" w:rsidRPr="00894E52" w:rsidRDefault="003A6FC0" w:rsidP="00B423D6">
            <w:pPr>
              <w:jc w:val="right"/>
              <w:rPr>
                <w:sz w:val="20"/>
                <w:szCs w:val="20"/>
              </w:rPr>
            </w:pPr>
            <w:r w:rsidRPr="00894E52">
              <w:rPr>
                <w:sz w:val="20"/>
                <w:szCs w:val="20"/>
              </w:rPr>
              <w:t>4.65</w:t>
            </w:r>
          </w:p>
        </w:tc>
      </w:tr>
      <w:tr w:rsidR="003A6FC0" w:rsidRPr="00894E52" w:rsidTr="00A1314F">
        <w:trPr>
          <w:trHeight w:val="300"/>
        </w:trPr>
        <w:tc>
          <w:tcPr>
            <w:tcW w:w="1003" w:type="pct"/>
            <w:hideMark/>
          </w:tcPr>
          <w:p w:rsidR="003A6FC0" w:rsidRPr="00894E52" w:rsidRDefault="003A6FC0" w:rsidP="00B423D6">
            <w:pPr>
              <w:rPr>
                <w:sz w:val="20"/>
                <w:szCs w:val="20"/>
              </w:rPr>
            </w:pPr>
            <w:r w:rsidRPr="00894E52">
              <w:rPr>
                <w:sz w:val="20"/>
                <w:szCs w:val="20"/>
              </w:rPr>
              <w:t>HCFC-22</w:t>
            </w:r>
          </w:p>
        </w:tc>
        <w:tc>
          <w:tcPr>
            <w:tcW w:w="770" w:type="pct"/>
            <w:hideMark/>
          </w:tcPr>
          <w:p w:rsidR="003A6FC0" w:rsidRPr="00894E52" w:rsidRDefault="003A6FC0" w:rsidP="00B423D6">
            <w:pPr>
              <w:jc w:val="right"/>
              <w:rPr>
                <w:sz w:val="20"/>
                <w:szCs w:val="20"/>
              </w:rPr>
            </w:pPr>
            <w:r w:rsidRPr="00894E52">
              <w:rPr>
                <w:sz w:val="20"/>
                <w:szCs w:val="20"/>
              </w:rPr>
              <w:t>105.6</w:t>
            </w:r>
          </w:p>
        </w:tc>
        <w:tc>
          <w:tcPr>
            <w:tcW w:w="701" w:type="pct"/>
            <w:hideMark/>
          </w:tcPr>
          <w:p w:rsidR="003A6FC0" w:rsidRPr="00894E52" w:rsidRDefault="003A6FC0" w:rsidP="00B423D6">
            <w:pPr>
              <w:jc w:val="right"/>
              <w:rPr>
                <w:sz w:val="20"/>
                <w:szCs w:val="20"/>
              </w:rPr>
            </w:pPr>
            <w:r w:rsidRPr="00894E52">
              <w:rPr>
                <w:sz w:val="20"/>
                <w:szCs w:val="20"/>
              </w:rPr>
              <w:t>112.2</w:t>
            </w:r>
          </w:p>
        </w:tc>
        <w:tc>
          <w:tcPr>
            <w:tcW w:w="632" w:type="pct"/>
            <w:hideMark/>
          </w:tcPr>
          <w:p w:rsidR="003A6FC0" w:rsidRPr="00894E52" w:rsidRDefault="003A6FC0" w:rsidP="00B423D6">
            <w:pPr>
              <w:jc w:val="right"/>
              <w:rPr>
                <w:sz w:val="20"/>
                <w:szCs w:val="20"/>
              </w:rPr>
            </w:pPr>
            <w:r w:rsidRPr="00894E52">
              <w:rPr>
                <w:sz w:val="20"/>
                <w:szCs w:val="20"/>
              </w:rPr>
              <w:t>108.90</w:t>
            </w:r>
          </w:p>
        </w:tc>
        <w:tc>
          <w:tcPr>
            <w:tcW w:w="632" w:type="pct"/>
            <w:hideMark/>
          </w:tcPr>
          <w:p w:rsidR="003A6FC0" w:rsidRPr="00894E52" w:rsidRDefault="003A6FC0" w:rsidP="00B423D6">
            <w:pPr>
              <w:jc w:val="right"/>
              <w:rPr>
                <w:sz w:val="20"/>
                <w:szCs w:val="20"/>
              </w:rPr>
            </w:pPr>
            <w:r w:rsidRPr="00894E52">
              <w:rPr>
                <w:sz w:val="20"/>
                <w:szCs w:val="20"/>
              </w:rPr>
              <w:t>101.69</w:t>
            </w:r>
          </w:p>
        </w:tc>
        <w:tc>
          <w:tcPr>
            <w:tcW w:w="632" w:type="pct"/>
            <w:hideMark/>
          </w:tcPr>
          <w:p w:rsidR="003A6FC0" w:rsidRPr="00894E52" w:rsidRDefault="003A6FC0" w:rsidP="00B423D6">
            <w:pPr>
              <w:jc w:val="right"/>
              <w:rPr>
                <w:sz w:val="20"/>
                <w:szCs w:val="20"/>
              </w:rPr>
            </w:pPr>
            <w:r w:rsidRPr="00894E52">
              <w:rPr>
                <w:sz w:val="20"/>
                <w:szCs w:val="20"/>
              </w:rPr>
              <w:t>108.22</w:t>
            </w:r>
          </w:p>
        </w:tc>
        <w:tc>
          <w:tcPr>
            <w:tcW w:w="630" w:type="pct"/>
            <w:hideMark/>
          </w:tcPr>
          <w:p w:rsidR="003A6FC0" w:rsidRPr="00894E52" w:rsidRDefault="003A6FC0" w:rsidP="00B423D6">
            <w:pPr>
              <w:jc w:val="right"/>
              <w:rPr>
                <w:sz w:val="20"/>
                <w:szCs w:val="20"/>
              </w:rPr>
            </w:pPr>
            <w:r w:rsidRPr="00894E52">
              <w:rPr>
                <w:sz w:val="20"/>
                <w:szCs w:val="20"/>
              </w:rPr>
              <w:t>104.96</w:t>
            </w:r>
          </w:p>
        </w:tc>
      </w:tr>
      <w:tr w:rsidR="003A6FC0" w:rsidRPr="00894E52" w:rsidTr="00A1314F">
        <w:trPr>
          <w:trHeight w:val="300"/>
        </w:trPr>
        <w:tc>
          <w:tcPr>
            <w:tcW w:w="1003" w:type="pct"/>
            <w:hideMark/>
          </w:tcPr>
          <w:p w:rsidR="003A6FC0" w:rsidRPr="00894E52" w:rsidRDefault="003A6FC0" w:rsidP="00B423D6">
            <w:pPr>
              <w:rPr>
                <w:b/>
                <w:bCs/>
                <w:sz w:val="20"/>
                <w:szCs w:val="20"/>
              </w:rPr>
            </w:pPr>
            <w:r w:rsidRPr="00894E52">
              <w:rPr>
                <w:b/>
                <w:bCs/>
                <w:sz w:val="20"/>
                <w:szCs w:val="20"/>
              </w:rPr>
              <w:t>Total</w:t>
            </w:r>
          </w:p>
        </w:tc>
        <w:tc>
          <w:tcPr>
            <w:tcW w:w="770" w:type="pct"/>
            <w:hideMark/>
          </w:tcPr>
          <w:p w:rsidR="003A6FC0" w:rsidRPr="00894E52" w:rsidRDefault="003A6FC0" w:rsidP="00B423D6">
            <w:pPr>
              <w:jc w:val="right"/>
              <w:rPr>
                <w:b/>
                <w:bCs/>
                <w:sz w:val="20"/>
                <w:szCs w:val="20"/>
              </w:rPr>
            </w:pPr>
            <w:r w:rsidRPr="00894E52">
              <w:rPr>
                <w:b/>
                <w:bCs/>
                <w:sz w:val="20"/>
                <w:szCs w:val="20"/>
              </w:rPr>
              <w:t>239.8</w:t>
            </w:r>
          </w:p>
        </w:tc>
        <w:tc>
          <w:tcPr>
            <w:tcW w:w="701" w:type="pct"/>
            <w:hideMark/>
          </w:tcPr>
          <w:p w:rsidR="003A6FC0" w:rsidRPr="00894E52" w:rsidRDefault="003A6FC0" w:rsidP="00B423D6">
            <w:pPr>
              <w:jc w:val="right"/>
              <w:rPr>
                <w:b/>
                <w:bCs/>
                <w:sz w:val="20"/>
                <w:szCs w:val="20"/>
              </w:rPr>
            </w:pPr>
            <w:r w:rsidRPr="00894E52">
              <w:rPr>
                <w:b/>
                <w:bCs/>
                <w:sz w:val="20"/>
                <w:szCs w:val="20"/>
              </w:rPr>
              <w:t>255</w:t>
            </w:r>
          </w:p>
        </w:tc>
        <w:tc>
          <w:tcPr>
            <w:tcW w:w="632" w:type="pct"/>
            <w:hideMark/>
          </w:tcPr>
          <w:p w:rsidR="003A6FC0" w:rsidRPr="00894E52" w:rsidRDefault="003A6FC0" w:rsidP="00B423D6">
            <w:pPr>
              <w:jc w:val="right"/>
              <w:rPr>
                <w:b/>
                <w:bCs/>
                <w:sz w:val="20"/>
                <w:szCs w:val="20"/>
              </w:rPr>
            </w:pPr>
            <w:r w:rsidRPr="00894E52">
              <w:rPr>
                <w:b/>
                <w:bCs/>
                <w:sz w:val="20"/>
                <w:szCs w:val="20"/>
              </w:rPr>
              <w:t>247.4</w:t>
            </w:r>
          </w:p>
        </w:tc>
        <w:tc>
          <w:tcPr>
            <w:tcW w:w="632" w:type="pct"/>
            <w:hideMark/>
          </w:tcPr>
          <w:p w:rsidR="003A6FC0" w:rsidRPr="00894E52" w:rsidRDefault="003A6FC0" w:rsidP="00B423D6">
            <w:pPr>
              <w:jc w:val="right"/>
              <w:rPr>
                <w:b/>
                <w:bCs/>
                <w:sz w:val="20"/>
                <w:szCs w:val="20"/>
              </w:rPr>
            </w:pPr>
            <w:r w:rsidRPr="00894E52">
              <w:rPr>
                <w:b/>
                <w:bCs/>
                <w:sz w:val="20"/>
                <w:szCs w:val="20"/>
              </w:rPr>
              <w:t>240.51</w:t>
            </w:r>
          </w:p>
        </w:tc>
        <w:tc>
          <w:tcPr>
            <w:tcW w:w="632" w:type="pct"/>
            <w:hideMark/>
          </w:tcPr>
          <w:p w:rsidR="003A6FC0" w:rsidRPr="00894E52" w:rsidRDefault="003A6FC0" w:rsidP="00B423D6">
            <w:pPr>
              <w:jc w:val="right"/>
              <w:rPr>
                <w:b/>
                <w:bCs/>
                <w:sz w:val="20"/>
                <w:szCs w:val="20"/>
              </w:rPr>
            </w:pPr>
            <w:r w:rsidRPr="00894E52">
              <w:rPr>
                <w:b/>
                <w:bCs/>
                <w:sz w:val="20"/>
                <w:szCs w:val="20"/>
              </w:rPr>
              <w:t>255.7</w:t>
            </w:r>
          </w:p>
        </w:tc>
        <w:tc>
          <w:tcPr>
            <w:tcW w:w="630" w:type="pct"/>
            <w:hideMark/>
          </w:tcPr>
          <w:p w:rsidR="003A6FC0" w:rsidRPr="00894E52" w:rsidRDefault="003A6FC0" w:rsidP="00B423D6">
            <w:pPr>
              <w:jc w:val="right"/>
              <w:rPr>
                <w:b/>
                <w:bCs/>
                <w:sz w:val="20"/>
                <w:szCs w:val="20"/>
              </w:rPr>
            </w:pPr>
            <w:r w:rsidRPr="00894E52">
              <w:rPr>
                <w:b/>
                <w:bCs/>
                <w:sz w:val="20"/>
                <w:szCs w:val="20"/>
              </w:rPr>
              <w:t>248.11</w:t>
            </w:r>
          </w:p>
        </w:tc>
      </w:tr>
    </w:tbl>
    <w:p w:rsidR="003A6FC0" w:rsidRPr="00894E52" w:rsidRDefault="003A6FC0" w:rsidP="00B423D6">
      <w:pPr>
        <w:rPr>
          <w:lang w:val="en-CA"/>
        </w:rPr>
      </w:pPr>
    </w:p>
    <w:p w:rsidR="003A6FC0" w:rsidRPr="00894E52" w:rsidRDefault="003A6FC0" w:rsidP="00B423D6">
      <w:pPr>
        <w:pStyle w:val="Heading1"/>
        <w:rPr>
          <w:u w:val="single"/>
          <w:lang w:val="en-CA"/>
        </w:rPr>
      </w:pPr>
      <w:r w:rsidRPr="00894E52">
        <w:rPr>
          <w:lang w:val="en-CA"/>
        </w:rPr>
        <w:t>As the Government of Pakistan selected the baseline for compliance as the starting point for aggregate reduction on HCFC consumption, a revision to the Agreement between the Government and the Executive Committee is required. Accordingly, Annex I to the present document presents the changes required to the Agreement. The complete updated Agreement will be annexed to the report of the 83</w:t>
      </w:r>
      <w:r w:rsidRPr="00894E52">
        <w:rPr>
          <w:vertAlign w:val="superscript"/>
          <w:lang w:val="en-CA"/>
        </w:rPr>
        <w:t>rd</w:t>
      </w:r>
      <w:r w:rsidRPr="00894E52">
        <w:rPr>
          <w:lang w:val="en-CA"/>
        </w:rPr>
        <w:t xml:space="preserve"> meeting. </w:t>
      </w:r>
    </w:p>
    <w:p w:rsidR="003A6FC0" w:rsidRPr="00894E52" w:rsidRDefault="003A6FC0" w:rsidP="00B423D6">
      <w:pPr>
        <w:pStyle w:val="Heading1"/>
        <w:keepNext/>
        <w:numPr>
          <w:ilvl w:val="0"/>
          <w:numId w:val="0"/>
        </w:numPr>
        <w:rPr>
          <w:u w:val="single"/>
          <w:lang w:val="en-CA"/>
        </w:rPr>
      </w:pPr>
      <w:r w:rsidRPr="00894E52">
        <w:rPr>
          <w:u w:val="single"/>
          <w:lang w:val="en-CA"/>
        </w:rPr>
        <w:lastRenderedPageBreak/>
        <w:t>Progress report on the implementation of the first tranche of the HPMP</w:t>
      </w:r>
    </w:p>
    <w:p w:rsidR="003A6FC0" w:rsidRPr="00894E52" w:rsidRDefault="003A6FC0" w:rsidP="00B423D6">
      <w:pPr>
        <w:keepNext/>
        <w:rPr>
          <w:i/>
          <w:lang w:val="en-CA"/>
        </w:rPr>
      </w:pPr>
      <w:r w:rsidRPr="00894E52">
        <w:rPr>
          <w:i/>
          <w:lang w:val="en-CA"/>
        </w:rPr>
        <w:t>Legal framework</w:t>
      </w:r>
    </w:p>
    <w:p w:rsidR="003A6FC0" w:rsidRPr="00894E52" w:rsidRDefault="003A6FC0" w:rsidP="00B423D6">
      <w:pPr>
        <w:keepNext/>
        <w:rPr>
          <w:lang w:val="en-CA"/>
        </w:rPr>
      </w:pPr>
    </w:p>
    <w:p w:rsidR="003A6FC0" w:rsidRPr="00894E52" w:rsidRDefault="003A6FC0" w:rsidP="00B423D6">
      <w:pPr>
        <w:pStyle w:val="Heading1"/>
        <w:rPr>
          <w:lang w:val="en-CA"/>
        </w:rPr>
      </w:pPr>
      <w:r w:rsidRPr="00894E52">
        <w:rPr>
          <w:lang w:val="en-CA"/>
        </w:rPr>
        <w:t>The Government of Pakistan has already issued HCFC import quotas for 2019 at 210 ODP tonnes, which are lower than the Montreal Protocol control targets.</w:t>
      </w:r>
    </w:p>
    <w:p w:rsidR="003A6FC0" w:rsidRPr="00894E52" w:rsidRDefault="003A6FC0" w:rsidP="00B423D6">
      <w:pPr>
        <w:keepNext/>
        <w:rPr>
          <w:i/>
          <w:lang w:val="en-CA"/>
        </w:rPr>
      </w:pPr>
      <w:r w:rsidRPr="00894E52">
        <w:rPr>
          <w:i/>
          <w:lang w:val="en-CA"/>
        </w:rPr>
        <w:t>PU foam manufacturing sector</w:t>
      </w:r>
    </w:p>
    <w:p w:rsidR="003A6FC0" w:rsidRPr="00894E52" w:rsidRDefault="003A6FC0" w:rsidP="00B423D6">
      <w:pPr>
        <w:keepNext/>
        <w:rPr>
          <w:lang w:val="en-CA"/>
        </w:rPr>
      </w:pPr>
    </w:p>
    <w:p w:rsidR="003A6FC0" w:rsidRPr="00894E52" w:rsidRDefault="003A6FC0" w:rsidP="00B423D6">
      <w:pPr>
        <w:pStyle w:val="Heading1"/>
        <w:rPr>
          <w:i/>
          <w:u w:val="single"/>
          <w:lang w:val="en-CA"/>
        </w:rPr>
      </w:pPr>
      <w:r w:rsidRPr="00894E52">
        <w:rPr>
          <w:lang w:val="en-CA"/>
        </w:rPr>
        <w:t>UNIDO explained that the delay in the implementation of the PU foam projects was due to a change in the NOU which required additional consultations to explain the process of selection of technology and eligible enterprises. This issue had been resolved and the conversion of the foam projects is proceeding.</w:t>
      </w:r>
    </w:p>
    <w:p w:rsidR="003A6FC0" w:rsidRPr="00894E52" w:rsidRDefault="003A6FC0" w:rsidP="00B423D6">
      <w:pPr>
        <w:pStyle w:val="Heading1"/>
        <w:rPr>
          <w:i/>
          <w:u w:val="single"/>
          <w:lang w:val="en-CA"/>
        </w:rPr>
      </w:pPr>
      <w:r w:rsidRPr="00894E52">
        <w:rPr>
          <w:lang w:val="en-CA"/>
        </w:rPr>
        <w:t>Regarding the limited progress on the conversion of the</w:t>
      </w:r>
      <w:r w:rsidR="001A2B3D">
        <w:rPr>
          <w:lang w:val="en-CA"/>
        </w:rPr>
        <w:t xml:space="preserve"> foam</w:t>
      </w:r>
      <w:r w:rsidRPr="00894E52">
        <w:rPr>
          <w:lang w:val="en-CA"/>
        </w:rPr>
        <w:t xml:space="preserve"> enterprises manufacturing discontinuous panels, UNIDO clarified that the bidding process took longer time than originally estimated; however, bids have been received</w:t>
      </w:r>
      <w:r w:rsidR="001A2B3D">
        <w:rPr>
          <w:lang w:val="en-CA"/>
        </w:rPr>
        <w:t>,</w:t>
      </w:r>
      <w:r w:rsidRPr="00894E52">
        <w:rPr>
          <w:lang w:val="en-CA"/>
        </w:rPr>
        <w:t xml:space="preserve"> are being evaluated by technical staff from the beneficiar</w:t>
      </w:r>
      <w:r w:rsidR="001A2B3D">
        <w:rPr>
          <w:lang w:val="en-CA"/>
        </w:rPr>
        <w:t>y enterprises, and</w:t>
      </w:r>
      <w:r w:rsidRPr="00894E52">
        <w:rPr>
          <w:lang w:val="en-CA"/>
        </w:rPr>
        <w:t xml:space="preserve"> is expected to be completed by June 2019. It is expected that the enterprises will be converted by mid</w:t>
      </w:r>
      <w:r w:rsidR="00C0176F">
        <w:rPr>
          <w:lang w:val="en-CA"/>
        </w:rPr>
        <w:noBreakHyphen/>
      </w:r>
      <w:r w:rsidRPr="00894E52">
        <w:rPr>
          <w:lang w:val="en-CA"/>
        </w:rPr>
        <w:t xml:space="preserve">2020. UNIDO had also indicated that the Government is aware of their commitment to reduce HCFC consumption by 50 per cent of the baseline by 2020, and will do its utmost to ensure the completion of these investment projects. </w:t>
      </w:r>
    </w:p>
    <w:p w:rsidR="003A6FC0" w:rsidRPr="00894E52" w:rsidRDefault="003A6FC0" w:rsidP="00B423D6">
      <w:pPr>
        <w:pStyle w:val="Heading1"/>
        <w:rPr>
          <w:lang w:val="en-CA"/>
        </w:rPr>
      </w:pPr>
      <w:r w:rsidRPr="00894E52">
        <w:rPr>
          <w:lang w:val="en-CA"/>
        </w:rPr>
        <w:t>In reviewing the</w:t>
      </w:r>
      <w:r w:rsidR="00694622">
        <w:rPr>
          <w:lang w:val="en-CA"/>
        </w:rPr>
        <w:t xml:space="preserve"> information provided on fund</w:t>
      </w:r>
      <w:r w:rsidRPr="00894E52">
        <w:rPr>
          <w:lang w:val="en-CA"/>
        </w:rPr>
        <w:t xml:space="preserve"> disbursements, the Secretariat noted that no allocations were made for each individual beneficiary enterprise, but that an aggregated amount was reported. According to UNIDO, as they are responsible for the equipment procurement, their internal disbursement and financial process require that these costs be aggregated. The funding provided directly to the enterprises would only be for those activities that they have to </w:t>
      </w:r>
      <w:r w:rsidR="00694622">
        <w:rPr>
          <w:lang w:val="en-CA"/>
        </w:rPr>
        <w:t>implement</w:t>
      </w:r>
      <w:r w:rsidRPr="00894E52">
        <w:rPr>
          <w:lang w:val="en-CA"/>
        </w:rPr>
        <w:t xml:space="preserve"> themselv</w:t>
      </w:r>
      <w:r w:rsidR="00694622">
        <w:rPr>
          <w:lang w:val="en-CA"/>
        </w:rPr>
        <w:t>es (i.e. civil works, grounding</w:t>
      </w:r>
      <w:r w:rsidRPr="00894E52">
        <w:rPr>
          <w:lang w:val="en-CA"/>
        </w:rPr>
        <w:t>). The Secretariat reminded UNIDO to ensure that the capital and operating costs of the enterprise conversions must be consistent with what had been approved for each enterprise, and to report to the Executive Committee</w:t>
      </w:r>
      <w:r w:rsidR="00694622">
        <w:rPr>
          <w:lang w:val="en-CA"/>
        </w:rPr>
        <w:t xml:space="preserve"> accordingly</w:t>
      </w:r>
      <w:r w:rsidRPr="00894E52">
        <w:rPr>
          <w:lang w:val="en-CA"/>
        </w:rPr>
        <w:t xml:space="preserve">. </w:t>
      </w:r>
    </w:p>
    <w:p w:rsidR="003A6FC0" w:rsidRPr="00894E52" w:rsidRDefault="003A6FC0" w:rsidP="00B423D6">
      <w:pPr>
        <w:rPr>
          <w:i/>
          <w:lang w:val="en-CA"/>
        </w:rPr>
      </w:pPr>
      <w:r w:rsidRPr="00894E52">
        <w:rPr>
          <w:i/>
          <w:lang w:val="en-CA"/>
        </w:rPr>
        <w:t>Refrigeration servicing sector</w:t>
      </w:r>
    </w:p>
    <w:p w:rsidR="003A6FC0" w:rsidRPr="00894E52" w:rsidRDefault="003A6FC0" w:rsidP="00B423D6">
      <w:pPr>
        <w:rPr>
          <w:lang w:val="en-CA"/>
        </w:rPr>
      </w:pPr>
    </w:p>
    <w:p w:rsidR="003A6FC0" w:rsidRPr="00894E52" w:rsidRDefault="003A6FC0" w:rsidP="00B423D6">
      <w:pPr>
        <w:pStyle w:val="Heading1"/>
        <w:rPr>
          <w:lang w:val="en-CA"/>
        </w:rPr>
      </w:pPr>
      <w:r w:rsidRPr="00894E52">
        <w:rPr>
          <w:lang w:val="en-CA"/>
        </w:rPr>
        <w:t>With regard to the refrigerant identifiers and their delivery, it was explained that the units planned from the first tranche will be delivered only in late 2019, and that UNEP used those identifiers that had been purchased as part of stage I in the training for Customs officers. The training of customs officers would focus on the effective implementation of the HS codes to improve data collection for the import of ODS and their mixtures, consistent with the recommendations of the verification report on HCFC consumption.</w:t>
      </w:r>
    </w:p>
    <w:p w:rsidR="003A6FC0" w:rsidRPr="00894E52" w:rsidRDefault="003A6FC0" w:rsidP="00B423D6">
      <w:pPr>
        <w:pStyle w:val="Heading1"/>
        <w:rPr>
          <w:lang w:val="en-CA"/>
        </w:rPr>
      </w:pPr>
      <w:r w:rsidRPr="00894E52">
        <w:rPr>
          <w:lang w:val="en-CA"/>
        </w:rPr>
        <w:t xml:space="preserve">The Secretariat also inquired on the progress of the component for promotion of alternative technologies, noting that only the translation of material to local language had been reported. UNEP explained that the NOU, in cooperation with the refrigeration association in Pakistan held workshops as part of the annual Heating, Ventilation, Refrigeration and Air-Conditioning (HVRAC) conference, which included the setting up of an information booth to disseminate </w:t>
      </w:r>
      <w:r w:rsidRPr="00894E52">
        <w:rPr>
          <w:lang w:val="en-US"/>
        </w:rPr>
        <w:t xml:space="preserve">outreach materials </w:t>
      </w:r>
      <w:r w:rsidRPr="00894E52">
        <w:rPr>
          <w:lang w:val="en-CA"/>
        </w:rPr>
        <w:t>on the country’s efforts phase out HCFCs.</w:t>
      </w:r>
    </w:p>
    <w:p w:rsidR="003A6FC0" w:rsidRPr="00894E52" w:rsidRDefault="003A6FC0" w:rsidP="00B423D6">
      <w:pPr>
        <w:pStyle w:val="Heading1"/>
        <w:rPr>
          <w:lang w:val="en-CA"/>
        </w:rPr>
      </w:pPr>
      <w:r w:rsidRPr="00894E52">
        <w:rPr>
          <w:lang w:val="en-CA"/>
        </w:rPr>
        <w:t>With regard to the sustainability of the training programme, UNEP emphasized that the institutional linkages with the vocational schools and education board will ensure that these are integrated into regular programmes.</w:t>
      </w:r>
    </w:p>
    <w:p w:rsidR="003A6FC0" w:rsidRPr="00894E52" w:rsidRDefault="003A6FC0" w:rsidP="00C0176F">
      <w:pPr>
        <w:keepNext/>
        <w:rPr>
          <w:u w:val="single"/>
          <w:lang w:val="en-CA"/>
        </w:rPr>
      </w:pPr>
      <w:r w:rsidRPr="00894E52">
        <w:rPr>
          <w:u w:val="single"/>
          <w:lang w:val="en-CA"/>
        </w:rPr>
        <w:t>XPS foam sector</w:t>
      </w:r>
    </w:p>
    <w:p w:rsidR="003A6FC0" w:rsidRPr="00894E52" w:rsidRDefault="003A6FC0" w:rsidP="00C0176F">
      <w:pPr>
        <w:keepNext/>
        <w:rPr>
          <w:u w:val="single"/>
          <w:lang w:val="en-CA"/>
        </w:rPr>
      </w:pPr>
    </w:p>
    <w:p w:rsidR="003A6FC0" w:rsidRPr="00894E52" w:rsidRDefault="003A6FC0" w:rsidP="00C0176F">
      <w:pPr>
        <w:pStyle w:val="Heading1"/>
        <w:keepNext/>
        <w:rPr>
          <w:lang w:val="en-CA"/>
        </w:rPr>
      </w:pPr>
      <w:r w:rsidRPr="00894E52">
        <w:rPr>
          <w:lang w:val="en-CA"/>
        </w:rPr>
        <w:t xml:space="preserve">The Secretariat undertook a thorough review of the </w:t>
      </w:r>
      <w:r w:rsidR="00694622">
        <w:rPr>
          <w:lang w:val="en-CA"/>
        </w:rPr>
        <w:t xml:space="preserve">project </w:t>
      </w:r>
      <w:r w:rsidRPr="00894E52">
        <w:rPr>
          <w:lang w:val="en-CA"/>
        </w:rPr>
        <w:t>proposal for the conversion of Symbol Industry from HCFC-142b/HCFC-22 (60:40 ratio) to CO</w:t>
      </w:r>
      <w:r w:rsidRPr="00894E52">
        <w:rPr>
          <w:vertAlign w:val="subscript"/>
          <w:lang w:val="en-CA"/>
        </w:rPr>
        <w:t>2</w:t>
      </w:r>
      <w:r w:rsidRPr="00894E52">
        <w:rPr>
          <w:lang w:val="en-CA"/>
        </w:rPr>
        <w:t xml:space="preserve">/DME/HFO. </w:t>
      </w:r>
      <w:r w:rsidR="00694622">
        <w:rPr>
          <w:lang w:val="en-CA"/>
        </w:rPr>
        <w:t>In summary, after review it was</w:t>
      </w:r>
      <w:r w:rsidRPr="00894E52">
        <w:rPr>
          <w:lang w:val="en-CA"/>
        </w:rPr>
        <w:t xml:space="preserve"> </w:t>
      </w:r>
      <w:r w:rsidRPr="00894E52">
        <w:rPr>
          <w:lang w:val="en-CA"/>
        </w:rPr>
        <w:lastRenderedPageBreak/>
        <w:t>noted</w:t>
      </w:r>
      <w:r w:rsidR="00694622">
        <w:rPr>
          <w:lang w:val="en-CA"/>
        </w:rPr>
        <w:t xml:space="preserve"> that:</w:t>
      </w:r>
      <w:r w:rsidRPr="00894E52">
        <w:rPr>
          <w:lang w:val="en-CA"/>
        </w:rPr>
        <w:t xml:space="preserve"> the enterp</w:t>
      </w:r>
      <w:r w:rsidR="00694622">
        <w:rPr>
          <w:lang w:val="en-CA"/>
        </w:rPr>
        <w:t>rise’s consumption of HCFC-142b</w:t>
      </w:r>
      <w:r w:rsidRPr="00894E52">
        <w:rPr>
          <w:lang w:val="en-CA"/>
        </w:rPr>
        <w:t xml:space="preserve"> and its resulting production appeared to have been reported based on the revised HCFC-142b baseline</w:t>
      </w:r>
      <w:r w:rsidR="00694622">
        <w:rPr>
          <w:lang w:val="en-CA"/>
        </w:rPr>
        <w:t xml:space="preserve"> consumption</w:t>
      </w:r>
      <w:r w:rsidRPr="00894E52">
        <w:rPr>
          <w:lang w:val="en-CA"/>
        </w:rPr>
        <w:t xml:space="preserve">; the </w:t>
      </w:r>
      <w:r w:rsidR="00694622">
        <w:rPr>
          <w:lang w:val="en-CA"/>
        </w:rPr>
        <w:t xml:space="preserve">cost-effectiveness </w:t>
      </w:r>
      <w:r w:rsidRPr="00894E52">
        <w:rPr>
          <w:lang w:val="en-CA"/>
        </w:rPr>
        <w:t xml:space="preserve">of the project as submitted was higher than the established cost-effectiveness </w:t>
      </w:r>
      <w:r w:rsidR="00694622">
        <w:rPr>
          <w:lang w:val="en-CA"/>
        </w:rPr>
        <w:t xml:space="preserve">threshold </w:t>
      </w:r>
      <w:r w:rsidRPr="00894E52">
        <w:rPr>
          <w:lang w:val="en-CA"/>
        </w:rPr>
        <w:t xml:space="preserve">for the XPS foam sector; the technology selected (i.e., HFO) might not be </w:t>
      </w:r>
      <w:r w:rsidR="00694622">
        <w:rPr>
          <w:lang w:val="en-CA"/>
        </w:rPr>
        <w:t xml:space="preserve">commercially </w:t>
      </w:r>
      <w:r w:rsidRPr="00894E52">
        <w:rPr>
          <w:lang w:val="en-CA"/>
        </w:rPr>
        <w:t xml:space="preserve">available in the country </w:t>
      </w:r>
      <w:r w:rsidR="00694622">
        <w:rPr>
          <w:lang w:val="en-CA"/>
        </w:rPr>
        <w:t xml:space="preserve">at </w:t>
      </w:r>
      <w:r w:rsidRPr="00894E52">
        <w:rPr>
          <w:lang w:val="en-CA"/>
        </w:rPr>
        <w:t>the time the enterprise will be converted</w:t>
      </w:r>
      <w:r w:rsidRPr="00894E52">
        <w:rPr>
          <w:rStyle w:val="FootnoteReference"/>
          <w:lang w:val="en-CA"/>
        </w:rPr>
        <w:footnoteReference w:id="9"/>
      </w:r>
      <w:r w:rsidRPr="00894E52">
        <w:rPr>
          <w:lang w:val="en-CA"/>
        </w:rPr>
        <w:t xml:space="preserve">; the </w:t>
      </w:r>
      <w:r w:rsidR="00694622">
        <w:rPr>
          <w:lang w:val="en-CA"/>
        </w:rPr>
        <w:t xml:space="preserve">capital cost </w:t>
      </w:r>
      <w:r w:rsidRPr="00894E52">
        <w:rPr>
          <w:lang w:val="en-CA"/>
        </w:rPr>
        <w:t>components were not clearly consistent with the baseline equipment described</w:t>
      </w:r>
      <w:r w:rsidR="00694622">
        <w:rPr>
          <w:lang w:val="en-CA"/>
        </w:rPr>
        <w:t>,</w:t>
      </w:r>
      <w:r w:rsidRPr="00894E52">
        <w:rPr>
          <w:lang w:val="en-CA"/>
        </w:rPr>
        <w:t xml:space="preserve"> and were high</w:t>
      </w:r>
      <w:r w:rsidR="00694622">
        <w:rPr>
          <w:lang w:val="en-CA"/>
        </w:rPr>
        <w:t>er than costs of similar items in approved projects</w:t>
      </w:r>
      <w:r w:rsidRPr="00894E52">
        <w:rPr>
          <w:lang w:val="en-CA"/>
        </w:rPr>
        <w:t xml:space="preserve">; and the </w:t>
      </w:r>
      <w:r w:rsidR="00694622">
        <w:rPr>
          <w:lang w:val="en-CA"/>
        </w:rPr>
        <w:t>incremental operating costs</w:t>
      </w:r>
      <w:r w:rsidRPr="00894E52">
        <w:rPr>
          <w:lang w:val="en-CA"/>
        </w:rPr>
        <w:t xml:space="preserve"> calculations were not provided. </w:t>
      </w:r>
    </w:p>
    <w:p w:rsidR="003A6FC0" w:rsidRPr="00894E52" w:rsidRDefault="003A6FC0" w:rsidP="00B423D6">
      <w:pPr>
        <w:pStyle w:val="Heading1"/>
        <w:rPr>
          <w:lang w:val="en-CA"/>
        </w:rPr>
      </w:pPr>
      <w:r w:rsidRPr="00894E52">
        <w:rPr>
          <w:lang w:val="en-CA"/>
        </w:rPr>
        <w:t>Discussions between UNIDO and the Secretariat included</w:t>
      </w:r>
      <w:r w:rsidR="00B17B03">
        <w:rPr>
          <w:lang w:val="en-CA"/>
        </w:rPr>
        <w:t>,</w:t>
      </w:r>
      <w:r w:rsidR="00694622">
        <w:rPr>
          <w:lang w:val="en-CA"/>
        </w:rPr>
        <w:t xml:space="preserve"> </w:t>
      </w:r>
      <w:r w:rsidR="00694622" w:rsidRPr="00694622">
        <w:rPr>
          <w:i/>
          <w:lang w:val="en-CA"/>
        </w:rPr>
        <w:t>inter alia</w:t>
      </w:r>
      <w:r w:rsidR="00B17B03">
        <w:rPr>
          <w:lang w:val="en-CA"/>
        </w:rPr>
        <w:t xml:space="preserve">, </w:t>
      </w:r>
      <w:r w:rsidRPr="00894E52">
        <w:rPr>
          <w:lang w:val="en-CA"/>
        </w:rPr>
        <w:t>consideration of the need for all equipment requested, especially the r</w:t>
      </w:r>
      <w:r w:rsidR="00694622">
        <w:rPr>
          <w:lang w:val="en-CA"/>
        </w:rPr>
        <w:t>eplacement of the extruder line; cost of safety-related items;</w:t>
      </w:r>
      <w:r w:rsidRPr="00894E52">
        <w:rPr>
          <w:lang w:val="en-CA"/>
        </w:rPr>
        <w:t xml:space="preserve"> technical assistance and trials. The Secretariat proposed adjustments to the </w:t>
      </w:r>
      <w:r w:rsidR="00694622">
        <w:rPr>
          <w:lang w:val="en-CA"/>
        </w:rPr>
        <w:t>capital costs</w:t>
      </w:r>
      <w:r w:rsidRPr="00894E52">
        <w:rPr>
          <w:lang w:val="en-CA"/>
        </w:rPr>
        <w:t xml:space="preserve"> consistent with </w:t>
      </w:r>
      <w:r w:rsidR="00694622">
        <w:rPr>
          <w:lang w:val="en-CA"/>
        </w:rPr>
        <w:t xml:space="preserve">similar </w:t>
      </w:r>
      <w:r w:rsidRPr="00894E52">
        <w:rPr>
          <w:lang w:val="en-CA"/>
        </w:rPr>
        <w:t xml:space="preserve">XPS projects </w:t>
      </w:r>
      <w:r w:rsidR="00694622">
        <w:rPr>
          <w:lang w:val="en-CA"/>
        </w:rPr>
        <w:t xml:space="preserve">that have been </w:t>
      </w:r>
      <w:r w:rsidRPr="00894E52">
        <w:rPr>
          <w:lang w:val="en-CA"/>
        </w:rPr>
        <w:t>approved, and taking into account the specific needs</w:t>
      </w:r>
      <w:r w:rsidR="00694622">
        <w:rPr>
          <w:lang w:val="en-CA"/>
        </w:rPr>
        <w:t xml:space="preserve"> of Symbol Industry</w:t>
      </w:r>
      <w:r w:rsidRPr="00894E52">
        <w:rPr>
          <w:lang w:val="en-CA"/>
        </w:rPr>
        <w:t xml:space="preserve">. </w:t>
      </w:r>
    </w:p>
    <w:p w:rsidR="003A6FC0" w:rsidRPr="00894E52" w:rsidRDefault="003A6FC0" w:rsidP="00B423D6">
      <w:pPr>
        <w:pStyle w:val="Heading1"/>
        <w:rPr>
          <w:lang w:val="en-CA"/>
        </w:rPr>
      </w:pPr>
      <w:r w:rsidRPr="00894E52">
        <w:rPr>
          <w:lang w:val="en-CA"/>
        </w:rPr>
        <w:t xml:space="preserve">With regard to the </w:t>
      </w:r>
      <w:r w:rsidR="0011076E">
        <w:rPr>
          <w:lang w:val="en-CA"/>
        </w:rPr>
        <w:t>incremental operating costs</w:t>
      </w:r>
      <w:r w:rsidRPr="00894E52">
        <w:rPr>
          <w:lang w:val="en-CA"/>
        </w:rPr>
        <w:t>, the Secretariat noted that the request was for the maximum level of US$1.4/kg with</w:t>
      </w:r>
      <w:r w:rsidR="0011076E">
        <w:rPr>
          <w:lang w:val="en-CA"/>
        </w:rPr>
        <w:t>out the supporting calculations;</w:t>
      </w:r>
      <w:r w:rsidRPr="00894E52">
        <w:rPr>
          <w:lang w:val="en-CA"/>
        </w:rPr>
        <w:t xml:space="preserve"> when the </w:t>
      </w:r>
      <w:r w:rsidR="0011076E">
        <w:rPr>
          <w:lang w:val="en-CA"/>
        </w:rPr>
        <w:t xml:space="preserve">additional </w:t>
      </w:r>
      <w:r w:rsidRPr="00894E52">
        <w:rPr>
          <w:lang w:val="en-CA"/>
        </w:rPr>
        <w:t xml:space="preserve">information </w:t>
      </w:r>
      <w:r w:rsidR="0011076E">
        <w:rPr>
          <w:lang w:val="en-CA"/>
        </w:rPr>
        <w:t xml:space="preserve">on the calculation </w:t>
      </w:r>
      <w:r w:rsidRPr="00894E52">
        <w:rPr>
          <w:lang w:val="en-CA"/>
        </w:rPr>
        <w:t>was provided</w:t>
      </w:r>
      <w:r w:rsidR="0011076E">
        <w:rPr>
          <w:lang w:val="en-CA"/>
        </w:rPr>
        <w:t>,</w:t>
      </w:r>
      <w:r w:rsidRPr="00894E52">
        <w:rPr>
          <w:lang w:val="en-CA"/>
        </w:rPr>
        <w:t xml:space="preserve"> it was noted that costs of the components of the system were higher than pre</w:t>
      </w:r>
      <w:r w:rsidR="0011076E">
        <w:rPr>
          <w:lang w:val="en-CA"/>
        </w:rPr>
        <w:t>viously approved XPS projects (</w:t>
      </w:r>
      <w:r w:rsidRPr="00894E52">
        <w:rPr>
          <w:lang w:val="en-CA"/>
        </w:rPr>
        <w:t>e.</w:t>
      </w:r>
      <w:r w:rsidR="0011076E">
        <w:rPr>
          <w:lang w:val="en-CA"/>
        </w:rPr>
        <w:t>g.</w:t>
      </w:r>
      <w:r w:rsidRPr="00894E52">
        <w:rPr>
          <w:lang w:val="en-CA"/>
        </w:rPr>
        <w:t>, HFO cost was US$20/kg</w:t>
      </w:r>
      <w:r w:rsidR="0011076E">
        <w:rPr>
          <w:lang w:val="en-CA"/>
        </w:rPr>
        <w:t xml:space="preserve"> while</w:t>
      </w:r>
      <w:r w:rsidRPr="00894E52">
        <w:rPr>
          <w:lang w:val="en-CA"/>
        </w:rPr>
        <w:t xml:space="preserve"> in other projects was US $10/kg). </w:t>
      </w:r>
    </w:p>
    <w:p w:rsidR="003A6FC0" w:rsidRPr="00894E52" w:rsidRDefault="003A6FC0" w:rsidP="00B423D6">
      <w:pPr>
        <w:pStyle w:val="Heading1"/>
        <w:rPr>
          <w:lang w:val="en-CA"/>
        </w:rPr>
      </w:pPr>
      <w:r w:rsidRPr="00894E52">
        <w:rPr>
          <w:lang w:val="en-CA"/>
        </w:rPr>
        <w:t xml:space="preserve">Despite exhaustive consultations, UNIDO and the Secretariat could not </w:t>
      </w:r>
      <w:r w:rsidR="0011076E">
        <w:rPr>
          <w:lang w:val="en-CA"/>
        </w:rPr>
        <w:t>reach</w:t>
      </w:r>
      <w:r w:rsidRPr="00894E52">
        <w:rPr>
          <w:lang w:val="en-CA"/>
        </w:rPr>
        <w:t xml:space="preserve"> an agreement on the overall </w:t>
      </w:r>
      <w:r w:rsidR="0011076E">
        <w:rPr>
          <w:lang w:val="en-CA"/>
        </w:rPr>
        <w:t xml:space="preserve">eligible incremental </w:t>
      </w:r>
      <w:r w:rsidRPr="00894E52">
        <w:rPr>
          <w:lang w:val="en-CA"/>
        </w:rPr>
        <w:t>cost of the project by the d</w:t>
      </w:r>
      <w:r w:rsidR="0011076E">
        <w:rPr>
          <w:lang w:val="en-CA"/>
        </w:rPr>
        <w:t>eadline for project negotiation;</w:t>
      </w:r>
      <w:r w:rsidRPr="00894E52">
        <w:rPr>
          <w:lang w:val="en-CA"/>
        </w:rPr>
        <w:t xml:space="preserve"> therefore</w:t>
      </w:r>
      <w:r w:rsidR="0011076E">
        <w:rPr>
          <w:lang w:val="en-CA"/>
        </w:rPr>
        <w:t>,</w:t>
      </w:r>
      <w:r w:rsidRPr="00894E52">
        <w:rPr>
          <w:lang w:val="en-CA"/>
        </w:rPr>
        <w:t xml:space="preserve"> UNID</w:t>
      </w:r>
      <w:r w:rsidR="0011076E">
        <w:rPr>
          <w:lang w:val="en-CA"/>
        </w:rPr>
        <w:t>O was requested to resubmit the</w:t>
      </w:r>
      <w:r w:rsidRPr="00894E52">
        <w:rPr>
          <w:lang w:val="en-CA"/>
        </w:rPr>
        <w:t xml:space="preserve"> proposal to the 84</w:t>
      </w:r>
      <w:r w:rsidRPr="00894E52">
        <w:rPr>
          <w:vertAlign w:val="superscript"/>
          <w:lang w:val="en-CA"/>
        </w:rPr>
        <w:t>th</w:t>
      </w:r>
      <w:r w:rsidRPr="00894E52">
        <w:rPr>
          <w:lang w:val="en-CA"/>
        </w:rPr>
        <w:t xml:space="preserve"> meeting. The Secretariat further noted that deferring the submission of this project to a future meeting would not affect the compliance of Pakistan, as the Government had already agreed to reduce HCFC consumption by 50 per cent of its baseline by 2020 through the</w:t>
      </w:r>
      <w:r w:rsidR="0011076E">
        <w:rPr>
          <w:lang w:val="en-CA"/>
        </w:rPr>
        <w:t xml:space="preserve"> activities that were included in stages I and II of the HPMP (and did not include the conversion of the XPS sector plan)</w:t>
      </w:r>
      <w:r w:rsidRPr="00894E52">
        <w:rPr>
          <w:lang w:val="en-CA"/>
        </w:rPr>
        <w:t xml:space="preserve">. </w:t>
      </w:r>
    </w:p>
    <w:p w:rsidR="003A6FC0" w:rsidRPr="00894E52" w:rsidRDefault="003A6FC0" w:rsidP="00B423D6">
      <w:pPr>
        <w:keepNext/>
        <w:rPr>
          <w:u w:val="single"/>
          <w:lang w:val="en-CA"/>
        </w:rPr>
      </w:pPr>
      <w:r w:rsidRPr="00894E52">
        <w:rPr>
          <w:u w:val="single"/>
          <w:lang w:val="en-CA"/>
        </w:rPr>
        <w:t xml:space="preserve">Conclusion </w:t>
      </w:r>
    </w:p>
    <w:p w:rsidR="003A6FC0" w:rsidRPr="00894E52" w:rsidRDefault="003A6FC0" w:rsidP="00B423D6">
      <w:pPr>
        <w:keepNext/>
        <w:rPr>
          <w:lang w:val="en-CA"/>
        </w:rPr>
      </w:pPr>
    </w:p>
    <w:p w:rsidR="003A6FC0" w:rsidRPr="00894E52" w:rsidRDefault="003A6FC0" w:rsidP="00B423D6">
      <w:pPr>
        <w:pStyle w:val="Heading1"/>
        <w:rPr>
          <w:lang w:val="en-CA"/>
        </w:rPr>
      </w:pPr>
      <w:r w:rsidRPr="00894E52">
        <w:rPr>
          <w:lang w:val="en-CA"/>
        </w:rPr>
        <w:t>The Government of Pakistan is in compliance with the Montreal Protocol and its Agreement with the Executive Committee. The consumption of HCFCs in 2017 is 17</w:t>
      </w:r>
      <w:r w:rsidRPr="00894E52">
        <w:t> per </w:t>
      </w:r>
      <w:r w:rsidRPr="00894E52">
        <w:rPr>
          <w:lang w:val="en-CA"/>
        </w:rPr>
        <w:t>cent below the baseline for compliance, and 7 per cent lower than the limits established in the Agreement for that year. The level of disbursement is 24 per cent. Training was provided on emerging technologies and safe handling and storage of flammable refrigerants, and a code of conduct for good refrigeration servicing practices is currently under development. The delays in the conversion of the PU foam enterprises have been resolved, and are expected to be completed soon. The activities for the conversion of the thermoware enterprises are proceeding, equipment had been procured and is being installed. Activities planned under the second tranche, including training of Customs and enforcement officers, the advancement of the conversion of 11 PU foam enterprises, and one AC manufacturing enterprise, training of 500 refrigeration technicians, and establishment of the technician certification scheme, will ensure the sustainability of the HCFC phase</w:t>
      </w:r>
      <w:r w:rsidRPr="00894E52">
        <w:rPr>
          <w:lang w:val="en-CA"/>
        </w:rPr>
        <w:noBreakHyphen/>
        <w:t xml:space="preserve">out. </w:t>
      </w:r>
    </w:p>
    <w:p w:rsidR="003A6FC0" w:rsidRPr="00894E52" w:rsidRDefault="003A6FC0" w:rsidP="00C0176F">
      <w:pPr>
        <w:keepNext/>
        <w:keepLines/>
        <w:rPr>
          <w:lang w:val="en-CA"/>
        </w:rPr>
      </w:pPr>
      <w:r w:rsidRPr="00894E52">
        <w:rPr>
          <w:b/>
          <w:lang w:val="en-CA"/>
        </w:rPr>
        <w:t xml:space="preserve">RECOMMENDATION </w:t>
      </w:r>
    </w:p>
    <w:p w:rsidR="003A6FC0" w:rsidRPr="00894E52" w:rsidRDefault="003A6FC0" w:rsidP="00C0176F">
      <w:pPr>
        <w:keepNext/>
        <w:keepLines/>
        <w:rPr>
          <w:lang w:val="en-CA"/>
        </w:rPr>
      </w:pPr>
    </w:p>
    <w:p w:rsidR="003A6FC0" w:rsidRPr="00894E52" w:rsidRDefault="003A6FC0" w:rsidP="00C0176F">
      <w:pPr>
        <w:pStyle w:val="Heading1"/>
        <w:keepNext/>
        <w:keepLines/>
        <w:rPr>
          <w:lang w:val="en-CA"/>
        </w:rPr>
      </w:pPr>
      <w:r w:rsidRPr="00894E52">
        <w:rPr>
          <w:lang w:val="en-CA"/>
        </w:rPr>
        <w:t xml:space="preserve">The Fund Secretariat recommends that the Executive Committee notes: </w:t>
      </w:r>
    </w:p>
    <w:p w:rsidR="003A6FC0" w:rsidRPr="00894E52" w:rsidRDefault="003A6FC0" w:rsidP="00C0176F">
      <w:pPr>
        <w:pStyle w:val="Heading2"/>
        <w:keepNext/>
        <w:keepLines/>
        <w:rPr>
          <w:lang w:val="en-CA"/>
        </w:rPr>
      </w:pPr>
      <w:r w:rsidRPr="00894E52">
        <w:rPr>
          <w:lang w:val="en-CA"/>
        </w:rPr>
        <w:t>The progress report on the implementation of the first tranche of stage II of the HCFC phase-out management plan (HPMP) in Pakistan;</w:t>
      </w:r>
    </w:p>
    <w:p w:rsidR="003A6FC0" w:rsidRPr="00894E52" w:rsidRDefault="003A6FC0" w:rsidP="00B423D6">
      <w:pPr>
        <w:pStyle w:val="Heading2"/>
        <w:rPr>
          <w:lang w:val="en-CA"/>
        </w:rPr>
      </w:pPr>
      <w:r w:rsidRPr="00894E52">
        <w:rPr>
          <w:lang w:val="en-CA"/>
        </w:rPr>
        <w:t xml:space="preserve">That the Fund Secretariat had updated the Agreement between the Government of Pakistan and the Executive Committee, as contained in Annex I to the present document, specifically: paragraph 1, Appendices 1-A and 2-A to reflect the country’s baseline of </w:t>
      </w:r>
      <w:r w:rsidRPr="00894E52">
        <w:rPr>
          <w:lang w:val="en-CA"/>
        </w:rPr>
        <w:lastRenderedPageBreak/>
        <w:t>248.11 ODP tonnes as reported under Article 7 of the Montreal Protocol; and that a new paragraph 16 had been added to indicate that the updated Agreement superseded that reached at the 76</w:t>
      </w:r>
      <w:r w:rsidRPr="00894E52">
        <w:rPr>
          <w:vertAlign w:val="superscript"/>
          <w:lang w:val="en-CA"/>
        </w:rPr>
        <w:t>th</w:t>
      </w:r>
      <w:r w:rsidRPr="00894E52">
        <w:rPr>
          <w:lang w:val="en-CA"/>
        </w:rPr>
        <w:t xml:space="preserve"> meeting; and</w:t>
      </w:r>
    </w:p>
    <w:p w:rsidR="003A6FC0" w:rsidRPr="00894E52" w:rsidRDefault="003A6FC0" w:rsidP="00B423D6">
      <w:pPr>
        <w:pStyle w:val="Heading1"/>
        <w:rPr>
          <w:lang w:val="en-CA"/>
        </w:rPr>
      </w:pPr>
      <w:r w:rsidRPr="00894E52">
        <w:rPr>
          <w:lang w:val="en-CA"/>
        </w:rPr>
        <w:t>The Fund Secretariat further recommends blanket approval of the second tranche of stage II of the HPMP for Pakistan, and the corresponding 2019-2020 tranche implementation plan, at the funding level shown in the table below:</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3A6FC0" w:rsidRPr="00894E52" w:rsidTr="00A1314F">
        <w:tc>
          <w:tcPr>
            <w:tcW w:w="540" w:type="dxa"/>
          </w:tcPr>
          <w:p w:rsidR="003A6FC0" w:rsidRPr="00894E52" w:rsidRDefault="003A6FC0" w:rsidP="00B423D6">
            <w:pPr>
              <w:jc w:val="center"/>
              <w:rPr>
                <w:b/>
                <w:bCs/>
                <w:sz w:val="20"/>
                <w:szCs w:val="20"/>
                <w:lang w:val="en-CA"/>
              </w:rPr>
            </w:pPr>
          </w:p>
        </w:tc>
        <w:tc>
          <w:tcPr>
            <w:tcW w:w="4320" w:type="dxa"/>
          </w:tcPr>
          <w:p w:rsidR="003A6FC0" w:rsidRPr="00894E52" w:rsidRDefault="003A6FC0" w:rsidP="00B423D6">
            <w:pPr>
              <w:jc w:val="center"/>
              <w:rPr>
                <w:b/>
                <w:bCs/>
                <w:sz w:val="20"/>
                <w:szCs w:val="20"/>
                <w:lang w:val="en-CA"/>
              </w:rPr>
            </w:pPr>
            <w:r w:rsidRPr="00894E52">
              <w:rPr>
                <w:b/>
                <w:bCs/>
                <w:sz w:val="20"/>
                <w:szCs w:val="20"/>
                <w:lang w:val="en-CA"/>
              </w:rPr>
              <w:t>Project title</w:t>
            </w:r>
          </w:p>
        </w:tc>
        <w:tc>
          <w:tcPr>
            <w:tcW w:w="1461" w:type="dxa"/>
            <w:tcMar>
              <w:left w:w="29" w:type="dxa"/>
              <w:right w:w="29" w:type="dxa"/>
            </w:tcMar>
          </w:tcPr>
          <w:p w:rsidR="003A6FC0" w:rsidRPr="00894E52" w:rsidRDefault="003A6FC0" w:rsidP="00B423D6">
            <w:pPr>
              <w:jc w:val="center"/>
              <w:rPr>
                <w:b/>
                <w:bCs/>
                <w:sz w:val="20"/>
                <w:szCs w:val="20"/>
                <w:lang w:val="en-CA"/>
              </w:rPr>
            </w:pPr>
            <w:r w:rsidRPr="00894E52">
              <w:rPr>
                <w:b/>
                <w:bCs/>
                <w:sz w:val="20"/>
                <w:szCs w:val="20"/>
                <w:lang w:val="en-CA"/>
              </w:rPr>
              <w:t>Project funding (US $)</w:t>
            </w:r>
          </w:p>
        </w:tc>
        <w:tc>
          <w:tcPr>
            <w:tcW w:w="1461" w:type="dxa"/>
            <w:tcMar>
              <w:left w:w="29" w:type="dxa"/>
              <w:right w:w="29" w:type="dxa"/>
            </w:tcMar>
          </w:tcPr>
          <w:p w:rsidR="003A6FC0" w:rsidRPr="00894E52" w:rsidRDefault="003A6FC0" w:rsidP="00B423D6">
            <w:pPr>
              <w:jc w:val="center"/>
              <w:rPr>
                <w:b/>
                <w:bCs/>
                <w:sz w:val="20"/>
                <w:szCs w:val="20"/>
                <w:lang w:val="en-CA"/>
              </w:rPr>
            </w:pPr>
            <w:r w:rsidRPr="00894E52">
              <w:rPr>
                <w:b/>
                <w:bCs/>
                <w:sz w:val="20"/>
                <w:szCs w:val="20"/>
                <w:lang w:val="en-CA"/>
              </w:rPr>
              <w:t>Support cost (US $)</w:t>
            </w:r>
          </w:p>
        </w:tc>
        <w:tc>
          <w:tcPr>
            <w:tcW w:w="1461" w:type="dxa"/>
            <w:tcMar>
              <w:left w:w="29" w:type="dxa"/>
              <w:right w:w="29" w:type="dxa"/>
            </w:tcMar>
          </w:tcPr>
          <w:p w:rsidR="003A6FC0" w:rsidRPr="00894E52" w:rsidRDefault="003A6FC0" w:rsidP="00B423D6">
            <w:pPr>
              <w:jc w:val="center"/>
              <w:rPr>
                <w:b/>
                <w:bCs/>
                <w:sz w:val="20"/>
                <w:szCs w:val="20"/>
                <w:lang w:val="en-CA"/>
              </w:rPr>
            </w:pPr>
            <w:r w:rsidRPr="00894E52">
              <w:rPr>
                <w:b/>
                <w:bCs/>
                <w:sz w:val="20"/>
                <w:szCs w:val="20"/>
                <w:lang w:val="en-CA"/>
              </w:rPr>
              <w:t>Implementing agency</w:t>
            </w:r>
          </w:p>
        </w:tc>
      </w:tr>
      <w:tr w:rsidR="003A6FC0" w:rsidRPr="00894E52" w:rsidTr="00A1314F">
        <w:tc>
          <w:tcPr>
            <w:tcW w:w="540" w:type="dxa"/>
          </w:tcPr>
          <w:p w:rsidR="003A6FC0" w:rsidRPr="00894E52" w:rsidRDefault="003A6FC0" w:rsidP="00B423D6">
            <w:pPr>
              <w:rPr>
                <w:sz w:val="20"/>
                <w:szCs w:val="20"/>
                <w:lang w:val="en-CA"/>
              </w:rPr>
            </w:pPr>
            <w:r w:rsidRPr="00894E52">
              <w:rPr>
                <w:sz w:val="20"/>
                <w:szCs w:val="20"/>
                <w:lang w:val="en-CA"/>
              </w:rPr>
              <w:t>(a)</w:t>
            </w:r>
          </w:p>
        </w:tc>
        <w:tc>
          <w:tcPr>
            <w:tcW w:w="4320" w:type="dxa"/>
          </w:tcPr>
          <w:p w:rsidR="003A6FC0" w:rsidRPr="00894E52" w:rsidRDefault="003A6FC0" w:rsidP="00B423D6">
            <w:pPr>
              <w:rPr>
                <w:sz w:val="20"/>
                <w:szCs w:val="20"/>
                <w:lang w:val="en-CA"/>
              </w:rPr>
            </w:pPr>
            <w:r w:rsidRPr="00894E52">
              <w:rPr>
                <w:sz w:val="20"/>
                <w:szCs w:val="20"/>
                <w:lang w:val="en-CA"/>
              </w:rPr>
              <w:t>HCFC phase-out management plan (stage II, second tranche)</w:t>
            </w:r>
          </w:p>
        </w:tc>
        <w:tc>
          <w:tcPr>
            <w:tcW w:w="1461" w:type="dxa"/>
          </w:tcPr>
          <w:p w:rsidR="003A6FC0" w:rsidRPr="00894E52" w:rsidRDefault="003A6FC0" w:rsidP="00B423D6">
            <w:pPr>
              <w:jc w:val="right"/>
              <w:rPr>
                <w:sz w:val="20"/>
                <w:szCs w:val="20"/>
                <w:lang w:val="en-CA"/>
              </w:rPr>
            </w:pPr>
            <w:r w:rsidRPr="00894E52">
              <w:rPr>
                <w:sz w:val="20"/>
                <w:szCs w:val="20"/>
                <w:lang w:val="en-US"/>
              </w:rPr>
              <w:t>1,979,852</w:t>
            </w:r>
          </w:p>
        </w:tc>
        <w:tc>
          <w:tcPr>
            <w:tcW w:w="1461" w:type="dxa"/>
          </w:tcPr>
          <w:p w:rsidR="003A6FC0" w:rsidRPr="00894E52" w:rsidRDefault="003A6FC0" w:rsidP="00B423D6">
            <w:pPr>
              <w:jc w:val="right"/>
              <w:rPr>
                <w:sz w:val="20"/>
                <w:szCs w:val="20"/>
                <w:lang w:val="en-CA"/>
              </w:rPr>
            </w:pPr>
            <w:r w:rsidRPr="00894E52">
              <w:rPr>
                <w:sz w:val="20"/>
                <w:szCs w:val="20"/>
                <w:lang w:val="en-CA"/>
              </w:rPr>
              <w:t xml:space="preserve">138,590 </w:t>
            </w:r>
          </w:p>
        </w:tc>
        <w:tc>
          <w:tcPr>
            <w:tcW w:w="1461" w:type="dxa"/>
          </w:tcPr>
          <w:p w:rsidR="003A6FC0" w:rsidRPr="00894E52" w:rsidRDefault="003A6FC0" w:rsidP="00B423D6">
            <w:pPr>
              <w:jc w:val="center"/>
              <w:rPr>
                <w:sz w:val="20"/>
                <w:szCs w:val="20"/>
                <w:lang w:val="en-CA"/>
              </w:rPr>
            </w:pPr>
            <w:r w:rsidRPr="00894E52">
              <w:rPr>
                <w:sz w:val="20"/>
                <w:szCs w:val="20"/>
                <w:lang w:val="en-CA"/>
              </w:rPr>
              <w:t>UNIDO</w:t>
            </w:r>
          </w:p>
        </w:tc>
      </w:tr>
      <w:tr w:rsidR="003A6FC0" w:rsidRPr="00894E52" w:rsidTr="00A1314F">
        <w:tc>
          <w:tcPr>
            <w:tcW w:w="540" w:type="dxa"/>
          </w:tcPr>
          <w:p w:rsidR="003A6FC0" w:rsidRPr="00894E52" w:rsidRDefault="003A6FC0" w:rsidP="00B423D6">
            <w:pPr>
              <w:rPr>
                <w:sz w:val="20"/>
                <w:szCs w:val="20"/>
                <w:lang w:val="en-CA"/>
              </w:rPr>
            </w:pPr>
            <w:r w:rsidRPr="00894E52">
              <w:rPr>
                <w:sz w:val="20"/>
                <w:szCs w:val="20"/>
                <w:lang w:val="en-CA"/>
              </w:rPr>
              <w:t>(b)</w:t>
            </w:r>
          </w:p>
        </w:tc>
        <w:tc>
          <w:tcPr>
            <w:tcW w:w="4320" w:type="dxa"/>
          </w:tcPr>
          <w:p w:rsidR="003A6FC0" w:rsidRPr="00894E52" w:rsidRDefault="003A6FC0" w:rsidP="00B423D6">
            <w:pPr>
              <w:rPr>
                <w:sz w:val="20"/>
                <w:szCs w:val="20"/>
                <w:lang w:val="en-CA"/>
              </w:rPr>
            </w:pPr>
            <w:r w:rsidRPr="00894E52">
              <w:rPr>
                <w:sz w:val="20"/>
                <w:szCs w:val="20"/>
                <w:lang w:val="en-CA"/>
              </w:rPr>
              <w:t>HCFC phase-out management plan (stage II, second tranche)</w:t>
            </w:r>
          </w:p>
        </w:tc>
        <w:tc>
          <w:tcPr>
            <w:tcW w:w="1461" w:type="dxa"/>
          </w:tcPr>
          <w:p w:rsidR="003A6FC0" w:rsidRPr="00894E52" w:rsidRDefault="003A6FC0" w:rsidP="00B423D6">
            <w:pPr>
              <w:jc w:val="right"/>
              <w:rPr>
                <w:sz w:val="20"/>
                <w:szCs w:val="20"/>
                <w:lang w:val="en-CA"/>
              </w:rPr>
            </w:pPr>
            <w:r w:rsidRPr="00894E52">
              <w:rPr>
                <w:sz w:val="20"/>
                <w:szCs w:val="20"/>
                <w:lang w:val="en-CA"/>
              </w:rPr>
              <w:t>200,000</w:t>
            </w:r>
          </w:p>
        </w:tc>
        <w:tc>
          <w:tcPr>
            <w:tcW w:w="1461" w:type="dxa"/>
          </w:tcPr>
          <w:p w:rsidR="003A6FC0" w:rsidRPr="00894E52" w:rsidRDefault="003A6FC0" w:rsidP="00B423D6">
            <w:pPr>
              <w:jc w:val="right"/>
              <w:rPr>
                <w:sz w:val="20"/>
                <w:szCs w:val="20"/>
                <w:lang w:val="en-CA"/>
              </w:rPr>
            </w:pPr>
            <w:r w:rsidRPr="00894E52">
              <w:rPr>
                <w:sz w:val="20"/>
                <w:szCs w:val="20"/>
                <w:lang w:val="en-CA"/>
              </w:rPr>
              <w:t>25,976</w:t>
            </w:r>
          </w:p>
        </w:tc>
        <w:tc>
          <w:tcPr>
            <w:tcW w:w="1461" w:type="dxa"/>
          </w:tcPr>
          <w:p w:rsidR="003A6FC0" w:rsidRPr="00894E52" w:rsidRDefault="003A6FC0" w:rsidP="00B423D6">
            <w:pPr>
              <w:jc w:val="center"/>
              <w:rPr>
                <w:sz w:val="20"/>
                <w:szCs w:val="20"/>
                <w:lang w:val="en-CA"/>
              </w:rPr>
            </w:pPr>
            <w:r w:rsidRPr="00894E52">
              <w:rPr>
                <w:sz w:val="20"/>
                <w:szCs w:val="20"/>
                <w:lang w:val="en-CA"/>
              </w:rPr>
              <w:t>UNEP</w:t>
            </w:r>
          </w:p>
        </w:tc>
      </w:tr>
    </w:tbl>
    <w:p w:rsidR="003A6FC0" w:rsidRPr="00894E52" w:rsidRDefault="003A6FC0" w:rsidP="00B423D6">
      <w:pPr>
        <w:pStyle w:val="Heading2"/>
        <w:keepNext/>
        <w:widowControl/>
        <w:numPr>
          <w:ilvl w:val="0"/>
          <w:numId w:val="0"/>
        </w:numPr>
        <w:rPr>
          <w:lang w:val="en-CA"/>
        </w:rPr>
      </w:pPr>
    </w:p>
    <w:p w:rsidR="001C7B06" w:rsidRPr="00894E52" w:rsidRDefault="001C7B06" w:rsidP="00B423D6">
      <w:pPr>
        <w:pStyle w:val="Heading2"/>
        <w:keepNext/>
        <w:widowControl/>
        <w:numPr>
          <w:ilvl w:val="0"/>
          <w:numId w:val="0"/>
        </w:numPr>
        <w:rPr>
          <w:lang w:val="en-CA"/>
        </w:rPr>
        <w:sectPr w:rsidR="001C7B06" w:rsidRPr="00894E52"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rsidR="003A6FC0" w:rsidRPr="00894E52" w:rsidRDefault="003A6FC0" w:rsidP="00B423D6">
      <w:pPr>
        <w:jc w:val="center"/>
        <w:rPr>
          <w:b/>
          <w:lang w:val="en-CA"/>
        </w:rPr>
      </w:pPr>
      <w:r w:rsidRPr="00894E52">
        <w:rPr>
          <w:b/>
          <w:lang w:val="en-CA"/>
        </w:rPr>
        <w:lastRenderedPageBreak/>
        <w:t>Annex I</w:t>
      </w:r>
    </w:p>
    <w:p w:rsidR="003A6FC0" w:rsidRPr="00894E52" w:rsidRDefault="003A6FC0" w:rsidP="00B423D6">
      <w:pPr>
        <w:jc w:val="center"/>
        <w:rPr>
          <w:lang w:val="en-CA"/>
        </w:rPr>
      </w:pPr>
    </w:p>
    <w:p w:rsidR="003A6FC0" w:rsidRPr="00894E52" w:rsidRDefault="003A6FC0" w:rsidP="00B423D6">
      <w:pPr>
        <w:jc w:val="center"/>
        <w:rPr>
          <w:b/>
          <w:lang w:val="en-CA"/>
        </w:rPr>
      </w:pPr>
      <w:r w:rsidRPr="00894E52">
        <w:rPr>
          <w:b/>
          <w:lang w:val="en-CA"/>
        </w:rPr>
        <w:t xml:space="preserve">TEXT TO BE INCLUDED IN THE UPDATED AGREEMENT BETWEEN THE GOVERNMENT OF PAKISTAN AND THE EXECUTIVE COMMITTEE OF THE MULTILATERAL FUND </w:t>
      </w:r>
      <w:r w:rsidRPr="00894E52">
        <w:rPr>
          <w:b/>
        </w:rPr>
        <w:t>FOR THE REDUCTION IN CONSUMPTION OF HYDROCHLOROFLUOROCARBONS IN ACCORDANCE WITH STAGE II OF THE HCFC PHASE</w:t>
      </w:r>
      <w:r w:rsidRPr="00894E52">
        <w:rPr>
          <w:b/>
        </w:rPr>
        <w:noBreakHyphen/>
        <w:t>OUT MANAGEMENT PLAN</w:t>
      </w:r>
    </w:p>
    <w:p w:rsidR="003A6FC0" w:rsidRPr="00894E52" w:rsidRDefault="003A6FC0" w:rsidP="00B423D6">
      <w:pPr>
        <w:jc w:val="center"/>
        <w:rPr>
          <w:lang w:val="en-CA"/>
        </w:rPr>
      </w:pPr>
      <w:r w:rsidRPr="00894E52">
        <w:rPr>
          <w:lang w:val="en-CA"/>
        </w:rPr>
        <w:t>(Relevant changes are in bold font for ease of reference)</w:t>
      </w:r>
    </w:p>
    <w:p w:rsidR="003A6FC0" w:rsidRPr="00894E52" w:rsidRDefault="003A6FC0" w:rsidP="00B423D6">
      <w:pPr>
        <w:rPr>
          <w:lang w:val="en-CA"/>
        </w:rPr>
      </w:pPr>
    </w:p>
    <w:p w:rsidR="003A6FC0" w:rsidRPr="00894E52" w:rsidRDefault="003A6FC0" w:rsidP="00B423D6">
      <w:pPr>
        <w:pStyle w:val="Heading1"/>
        <w:numPr>
          <w:ilvl w:val="0"/>
          <w:numId w:val="29"/>
        </w:numPr>
        <w:rPr>
          <w:lang w:val="en-CA"/>
        </w:rPr>
      </w:pPr>
      <w:r w:rsidRPr="00894E52">
        <w:rPr>
          <w:lang w:val="en-CA"/>
        </w:rPr>
        <w:t xml:space="preserve">This Agreement represents the understanding of the Government of Pakistan (the “Country”) and the Executive Committee with respect to the reduction of controlled use of the ozone-depleting substances (ODS) set out in Appendix 1-A (“The Substances”) to a sustained level of </w:t>
      </w:r>
      <w:r w:rsidRPr="00894E52">
        <w:rPr>
          <w:b/>
          <w:lang w:val="en-CA"/>
        </w:rPr>
        <w:t>124.06</w:t>
      </w:r>
      <w:r w:rsidRPr="00894E52">
        <w:rPr>
          <w:lang w:val="en-CA"/>
        </w:rPr>
        <w:t xml:space="preserve"> ODP tonnes by 1 January 2020 in compliance with Montreal Protocol schedule.</w:t>
      </w:r>
    </w:p>
    <w:p w:rsidR="003A6FC0" w:rsidRPr="00894E52" w:rsidRDefault="001C7B06" w:rsidP="00B423D6">
      <w:pPr>
        <w:pStyle w:val="Heading1"/>
        <w:numPr>
          <w:ilvl w:val="0"/>
          <w:numId w:val="0"/>
        </w:numPr>
        <w:rPr>
          <w:b/>
          <w:lang w:val="en-CA"/>
        </w:rPr>
      </w:pPr>
      <w:r w:rsidRPr="00894E52">
        <w:rPr>
          <w:b/>
          <w:lang w:val="en-CA"/>
        </w:rPr>
        <w:t>16.</w:t>
      </w:r>
      <w:r w:rsidRPr="00894E52">
        <w:rPr>
          <w:b/>
          <w:lang w:val="en-CA"/>
        </w:rPr>
        <w:tab/>
      </w:r>
      <w:r w:rsidR="003A6FC0" w:rsidRPr="00894E52">
        <w:rPr>
          <w:b/>
          <w:lang w:val="en-CA"/>
        </w:rPr>
        <w:t>This updated Agreement supersedes the Agreement reached between the Government of Pakistan and the Executive Committee at the 76</w:t>
      </w:r>
      <w:r w:rsidR="003A6FC0" w:rsidRPr="00894E52">
        <w:rPr>
          <w:b/>
          <w:vertAlign w:val="superscript"/>
          <w:lang w:val="en-CA"/>
        </w:rPr>
        <w:t>th</w:t>
      </w:r>
      <w:r w:rsidR="003A6FC0" w:rsidRPr="00894E52">
        <w:rPr>
          <w:b/>
          <w:lang w:val="en-CA"/>
        </w:rPr>
        <w:t xml:space="preserve"> meeting of the Executive Committee.</w:t>
      </w:r>
    </w:p>
    <w:p w:rsidR="003A6FC0" w:rsidRPr="00894E52" w:rsidRDefault="003A6FC0" w:rsidP="00B423D6">
      <w:pPr>
        <w:pStyle w:val="Heading1"/>
        <w:numPr>
          <w:ilvl w:val="0"/>
          <w:numId w:val="0"/>
        </w:numPr>
        <w:rPr>
          <w:b/>
        </w:rPr>
      </w:pPr>
      <w:r w:rsidRPr="00894E52">
        <w:rPr>
          <w:b/>
        </w:rPr>
        <w:t>APPENDIX 1</w:t>
      </w:r>
      <w:r w:rsidRPr="00894E52">
        <w:rPr>
          <w:b/>
        </w:rPr>
        <w:noBreakHyphen/>
        <w:t>A: THE SUBSTANCES</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804"/>
        <w:gridCol w:w="842"/>
        <w:gridCol w:w="4383"/>
      </w:tblGrid>
      <w:tr w:rsidR="003A6FC0" w:rsidRPr="00894E52" w:rsidTr="009B420B">
        <w:tc>
          <w:tcPr>
            <w:tcW w:w="3304" w:type="dxa"/>
          </w:tcPr>
          <w:p w:rsidR="003A6FC0" w:rsidRPr="00894E52" w:rsidRDefault="003A6FC0" w:rsidP="00B423D6">
            <w:pPr>
              <w:jc w:val="center"/>
              <w:rPr>
                <w:sz w:val="20"/>
                <w:szCs w:val="20"/>
              </w:rPr>
            </w:pPr>
            <w:r w:rsidRPr="00894E52">
              <w:rPr>
                <w:sz w:val="20"/>
                <w:szCs w:val="20"/>
              </w:rPr>
              <w:t>Substance</w:t>
            </w:r>
          </w:p>
        </w:tc>
        <w:tc>
          <w:tcPr>
            <w:tcW w:w="804" w:type="dxa"/>
          </w:tcPr>
          <w:p w:rsidR="003A6FC0" w:rsidRPr="00894E52" w:rsidRDefault="003A6FC0" w:rsidP="00B423D6">
            <w:pPr>
              <w:jc w:val="center"/>
              <w:rPr>
                <w:sz w:val="20"/>
                <w:szCs w:val="20"/>
              </w:rPr>
            </w:pPr>
            <w:r w:rsidRPr="00894E52">
              <w:rPr>
                <w:sz w:val="20"/>
                <w:szCs w:val="20"/>
              </w:rPr>
              <w:t>Annex</w:t>
            </w:r>
          </w:p>
        </w:tc>
        <w:tc>
          <w:tcPr>
            <w:tcW w:w="842" w:type="dxa"/>
          </w:tcPr>
          <w:p w:rsidR="003A6FC0" w:rsidRPr="00894E52" w:rsidRDefault="003A6FC0" w:rsidP="00B423D6">
            <w:pPr>
              <w:jc w:val="center"/>
              <w:rPr>
                <w:sz w:val="20"/>
                <w:szCs w:val="20"/>
              </w:rPr>
            </w:pPr>
            <w:r w:rsidRPr="00894E52">
              <w:rPr>
                <w:sz w:val="20"/>
                <w:szCs w:val="20"/>
              </w:rPr>
              <w:t>Group</w:t>
            </w:r>
          </w:p>
        </w:tc>
        <w:tc>
          <w:tcPr>
            <w:tcW w:w="4383" w:type="dxa"/>
            <w:tcBorders>
              <w:bottom w:val="single" w:sz="4" w:space="0" w:color="auto"/>
            </w:tcBorders>
          </w:tcPr>
          <w:p w:rsidR="003A6FC0" w:rsidRPr="00894E52" w:rsidRDefault="003A6FC0" w:rsidP="00B423D6">
            <w:pPr>
              <w:jc w:val="center"/>
              <w:rPr>
                <w:sz w:val="20"/>
                <w:szCs w:val="20"/>
              </w:rPr>
            </w:pPr>
            <w:r w:rsidRPr="00894E52">
              <w:rPr>
                <w:sz w:val="20"/>
                <w:szCs w:val="20"/>
              </w:rPr>
              <w:t>Starting point for aggregate reductions in consumption (ODP tonnes)</w:t>
            </w:r>
          </w:p>
        </w:tc>
      </w:tr>
      <w:tr w:rsidR="003A6FC0" w:rsidRPr="00894E52" w:rsidTr="009B420B">
        <w:tc>
          <w:tcPr>
            <w:tcW w:w="3304" w:type="dxa"/>
          </w:tcPr>
          <w:p w:rsidR="003A6FC0" w:rsidRPr="00894E52" w:rsidRDefault="003A6FC0" w:rsidP="00B423D6">
            <w:pPr>
              <w:keepNext/>
              <w:rPr>
                <w:sz w:val="20"/>
                <w:szCs w:val="20"/>
              </w:rPr>
            </w:pPr>
            <w:r w:rsidRPr="00894E52">
              <w:rPr>
                <w:sz w:val="20"/>
                <w:szCs w:val="20"/>
              </w:rPr>
              <w:t>HCFC</w:t>
            </w:r>
            <w:r w:rsidRPr="00894E52">
              <w:rPr>
                <w:sz w:val="20"/>
                <w:szCs w:val="20"/>
              </w:rPr>
              <w:noBreakHyphen/>
              <w:t>22</w:t>
            </w:r>
          </w:p>
        </w:tc>
        <w:tc>
          <w:tcPr>
            <w:tcW w:w="804" w:type="dxa"/>
          </w:tcPr>
          <w:p w:rsidR="003A6FC0" w:rsidRPr="00894E52" w:rsidRDefault="003A6FC0" w:rsidP="00B423D6">
            <w:pPr>
              <w:keepNext/>
              <w:rPr>
                <w:sz w:val="20"/>
                <w:szCs w:val="20"/>
              </w:rPr>
            </w:pPr>
            <w:r w:rsidRPr="00894E52">
              <w:rPr>
                <w:sz w:val="20"/>
                <w:szCs w:val="20"/>
              </w:rPr>
              <w:t>C</w:t>
            </w:r>
          </w:p>
        </w:tc>
        <w:tc>
          <w:tcPr>
            <w:tcW w:w="842" w:type="dxa"/>
          </w:tcPr>
          <w:p w:rsidR="003A6FC0" w:rsidRPr="00894E52" w:rsidRDefault="003A6FC0" w:rsidP="00B423D6">
            <w:pPr>
              <w:rPr>
                <w:sz w:val="20"/>
                <w:szCs w:val="20"/>
              </w:rPr>
            </w:pPr>
            <w:r w:rsidRPr="00894E52">
              <w:rPr>
                <w:sz w:val="20"/>
                <w:szCs w:val="20"/>
              </w:rPr>
              <w:t>I</w:t>
            </w:r>
          </w:p>
        </w:tc>
        <w:tc>
          <w:tcPr>
            <w:tcW w:w="4383" w:type="dxa"/>
            <w:shd w:val="clear" w:color="auto" w:fill="auto"/>
          </w:tcPr>
          <w:p w:rsidR="003A6FC0" w:rsidRPr="00894E52" w:rsidRDefault="003A6FC0" w:rsidP="00B423D6">
            <w:pPr>
              <w:widowControl w:val="0"/>
              <w:autoSpaceDE w:val="0"/>
              <w:autoSpaceDN w:val="0"/>
              <w:adjustRightInd w:val="0"/>
              <w:ind w:left="102" w:right="-20"/>
              <w:jc w:val="right"/>
              <w:rPr>
                <w:b/>
                <w:sz w:val="20"/>
                <w:szCs w:val="20"/>
              </w:rPr>
            </w:pPr>
            <w:r w:rsidRPr="00894E52">
              <w:rPr>
                <w:b/>
                <w:sz w:val="20"/>
                <w:szCs w:val="20"/>
              </w:rPr>
              <w:t>104.96</w:t>
            </w:r>
          </w:p>
        </w:tc>
      </w:tr>
      <w:tr w:rsidR="003A6FC0" w:rsidRPr="00894E52" w:rsidTr="009B420B">
        <w:tblPrEx>
          <w:tblLook w:val="0000" w:firstRow="0" w:lastRow="0" w:firstColumn="0" w:lastColumn="0" w:noHBand="0" w:noVBand="0"/>
        </w:tblPrEx>
        <w:tc>
          <w:tcPr>
            <w:tcW w:w="3304" w:type="dxa"/>
          </w:tcPr>
          <w:p w:rsidR="003A6FC0" w:rsidRPr="00894E52" w:rsidRDefault="003A6FC0" w:rsidP="00B423D6">
            <w:pPr>
              <w:rPr>
                <w:sz w:val="20"/>
              </w:rPr>
            </w:pPr>
            <w:r w:rsidRPr="00894E52">
              <w:rPr>
                <w:sz w:val="20"/>
              </w:rPr>
              <w:t>HCFC</w:t>
            </w:r>
            <w:r w:rsidRPr="00894E52">
              <w:rPr>
                <w:sz w:val="20"/>
              </w:rPr>
              <w:noBreakHyphen/>
              <w:t>141b</w:t>
            </w:r>
          </w:p>
        </w:tc>
        <w:tc>
          <w:tcPr>
            <w:tcW w:w="804" w:type="dxa"/>
          </w:tcPr>
          <w:p w:rsidR="003A6FC0" w:rsidRPr="00894E52" w:rsidRDefault="003A6FC0" w:rsidP="00B423D6">
            <w:pPr>
              <w:rPr>
                <w:sz w:val="20"/>
              </w:rPr>
            </w:pPr>
            <w:r w:rsidRPr="00894E52">
              <w:rPr>
                <w:sz w:val="20"/>
              </w:rPr>
              <w:t>C</w:t>
            </w:r>
          </w:p>
        </w:tc>
        <w:tc>
          <w:tcPr>
            <w:tcW w:w="842" w:type="dxa"/>
            <w:shd w:val="clear" w:color="auto" w:fill="auto"/>
          </w:tcPr>
          <w:p w:rsidR="003A6FC0" w:rsidRPr="00894E52" w:rsidRDefault="003A6FC0" w:rsidP="00B423D6">
            <w:pPr>
              <w:rPr>
                <w:sz w:val="20"/>
              </w:rPr>
            </w:pPr>
            <w:r w:rsidRPr="00894E52">
              <w:rPr>
                <w:sz w:val="20"/>
              </w:rPr>
              <w:t>I</w:t>
            </w:r>
          </w:p>
        </w:tc>
        <w:tc>
          <w:tcPr>
            <w:tcW w:w="4383" w:type="dxa"/>
            <w:shd w:val="clear" w:color="auto" w:fill="auto"/>
          </w:tcPr>
          <w:p w:rsidR="003A6FC0" w:rsidRPr="00894E52" w:rsidRDefault="003A6FC0" w:rsidP="00B423D6">
            <w:pPr>
              <w:widowControl w:val="0"/>
              <w:autoSpaceDE w:val="0"/>
              <w:autoSpaceDN w:val="0"/>
              <w:adjustRightInd w:val="0"/>
              <w:ind w:left="102" w:right="-20"/>
              <w:jc w:val="right"/>
              <w:rPr>
                <w:sz w:val="20"/>
                <w:szCs w:val="20"/>
              </w:rPr>
            </w:pPr>
            <w:r w:rsidRPr="00894E52">
              <w:rPr>
                <w:sz w:val="20"/>
                <w:szCs w:val="20"/>
              </w:rPr>
              <w:t>138.50</w:t>
            </w:r>
          </w:p>
        </w:tc>
      </w:tr>
      <w:tr w:rsidR="003A6FC0" w:rsidRPr="00894E52" w:rsidTr="009B420B">
        <w:tblPrEx>
          <w:tblLook w:val="0000" w:firstRow="0" w:lastRow="0" w:firstColumn="0" w:lastColumn="0" w:noHBand="0" w:noVBand="0"/>
        </w:tblPrEx>
        <w:tc>
          <w:tcPr>
            <w:tcW w:w="3304" w:type="dxa"/>
          </w:tcPr>
          <w:p w:rsidR="003A6FC0" w:rsidRPr="00894E52" w:rsidRDefault="003A6FC0" w:rsidP="00B423D6">
            <w:pPr>
              <w:rPr>
                <w:b/>
                <w:sz w:val="20"/>
              </w:rPr>
            </w:pPr>
            <w:r w:rsidRPr="00894E52">
              <w:rPr>
                <w:b/>
                <w:sz w:val="20"/>
              </w:rPr>
              <w:t>HCFC-142b</w:t>
            </w:r>
          </w:p>
        </w:tc>
        <w:tc>
          <w:tcPr>
            <w:tcW w:w="804" w:type="dxa"/>
          </w:tcPr>
          <w:p w:rsidR="003A6FC0" w:rsidRPr="00894E52" w:rsidRDefault="003A6FC0" w:rsidP="00B423D6">
            <w:pPr>
              <w:rPr>
                <w:b/>
                <w:sz w:val="20"/>
              </w:rPr>
            </w:pPr>
            <w:r w:rsidRPr="00894E52">
              <w:rPr>
                <w:b/>
                <w:sz w:val="20"/>
              </w:rPr>
              <w:t>C</w:t>
            </w:r>
          </w:p>
        </w:tc>
        <w:tc>
          <w:tcPr>
            <w:tcW w:w="842" w:type="dxa"/>
            <w:shd w:val="clear" w:color="auto" w:fill="auto"/>
          </w:tcPr>
          <w:p w:rsidR="003A6FC0" w:rsidRPr="00894E52" w:rsidRDefault="003A6FC0" w:rsidP="00B423D6">
            <w:pPr>
              <w:rPr>
                <w:b/>
                <w:sz w:val="20"/>
              </w:rPr>
            </w:pPr>
            <w:r w:rsidRPr="00894E52">
              <w:rPr>
                <w:b/>
                <w:sz w:val="20"/>
              </w:rPr>
              <w:t>I</w:t>
            </w:r>
          </w:p>
        </w:tc>
        <w:tc>
          <w:tcPr>
            <w:tcW w:w="4383" w:type="dxa"/>
            <w:shd w:val="clear" w:color="auto" w:fill="auto"/>
          </w:tcPr>
          <w:p w:rsidR="003A6FC0" w:rsidRPr="00894E52" w:rsidRDefault="003A6FC0" w:rsidP="00B423D6">
            <w:pPr>
              <w:widowControl w:val="0"/>
              <w:autoSpaceDE w:val="0"/>
              <w:autoSpaceDN w:val="0"/>
              <w:adjustRightInd w:val="0"/>
              <w:ind w:left="102" w:right="-20"/>
              <w:jc w:val="right"/>
              <w:rPr>
                <w:b/>
                <w:sz w:val="20"/>
                <w:szCs w:val="20"/>
              </w:rPr>
            </w:pPr>
            <w:r w:rsidRPr="00894E52">
              <w:rPr>
                <w:b/>
                <w:sz w:val="20"/>
                <w:szCs w:val="20"/>
              </w:rPr>
              <w:t>4.65</w:t>
            </w:r>
          </w:p>
        </w:tc>
      </w:tr>
      <w:tr w:rsidR="003A6FC0" w:rsidRPr="00894E52" w:rsidTr="009B420B">
        <w:tc>
          <w:tcPr>
            <w:tcW w:w="3304" w:type="dxa"/>
          </w:tcPr>
          <w:p w:rsidR="003A6FC0" w:rsidRPr="00894E52" w:rsidRDefault="003A6FC0" w:rsidP="00B423D6">
            <w:pPr>
              <w:widowControl w:val="0"/>
              <w:autoSpaceDE w:val="0"/>
              <w:autoSpaceDN w:val="0"/>
              <w:adjustRightInd w:val="0"/>
              <w:rPr>
                <w:color w:val="000000"/>
                <w:sz w:val="20"/>
                <w:szCs w:val="24"/>
              </w:rPr>
            </w:pPr>
            <w:r w:rsidRPr="00894E52">
              <w:rPr>
                <w:color w:val="000000"/>
                <w:sz w:val="20"/>
                <w:szCs w:val="24"/>
              </w:rPr>
              <w:t>Total</w:t>
            </w:r>
          </w:p>
        </w:tc>
        <w:tc>
          <w:tcPr>
            <w:tcW w:w="804" w:type="dxa"/>
          </w:tcPr>
          <w:p w:rsidR="003A6FC0" w:rsidRPr="00894E52" w:rsidRDefault="003A6FC0" w:rsidP="00B423D6">
            <w:pPr>
              <w:widowControl w:val="0"/>
              <w:autoSpaceDE w:val="0"/>
              <w:autoSpaceDN w:val="0"/>
              <w:adjustRightInd w:val="0"/>
              <w:rPr>
                <w:color w:val="000000"/>
                <w:sz w:val="20"/>
                <w:szCs w:val="24"/>
              </w:rPr>
            </w:pPr>
            <w:r w:rsidRPr="00894E52">
              <w:rPr>
                <w:color w:val="000000"/>
                <w:sz w:val="20"/>
                <w:szCs w:val="20"/>
              </w:rPr>
              <w:t>C</w:t>
            </w:r>
          </w:p>
        </w:tc>
        <w:tc>
          <w:tcPr>
            <w:tcW w:w="842" w:type="dxa"/>
          </w:tcPr>
          <w:p w:rsidR="003A6FC0" w:rsidRPr="00894E52" w:rsidRDefault="003A6FC0" w:rsidP="00B423D6">
            <w:pPr>
              <w:widowControl w:val="0"/>
              <w:autoSpaceDE w:val="0"/>
              <w:autoSpaceDN w:val="0"/>
              <w:adjustRightInd w:val="0"/>
              <w:rPr>
                <w:color w:val="000000"/>
                <w:sz w:val="20"/>
                <w:szCs w:val="24"/>
              </w:rPr>
            </w:pPr>
            <w:r w:rsidRPr="00894E52">
              <w:rPr>
                <w:color w:val="000000"/>
                <w:sz w:val="20"/>
                <w:szCs w:val="20"/>
              </w:rPr>
              <w:t>I</w:t>
            </w:r>
          </w:p>
        </w:tc>
        <w:tc>
          <w:tcPr>
            <w:tcW w:w="4383" w:type="dxa"/>
            <w:shd w:val="clear" w:color="auto" w:fill="auto"/>
          </w:tcPr>
          <w:p w:rsidR="003A6FC0" w:rsidRPr="00894E52" w:rsidRDefault="003A6FC0" w:rsidP="00B423D6">
            <w:pPr>
              <w:widowControl w:val="0"/>
              <w:autoSpaceDE w:val="0"/>
              <w:autoSpaceDN w:val="0"/>
              <w:adjustRightInd w:val="0"/>
              <w:jc w:val="right"/>
              <w:rPr>
                <w:b/>
                <w:color w:val="000000"/>
                <w:sz w:val="20"/>
                <w:szCs w:val="20"/>
              </w:rPr>
            </w:pPr>
            <w:r w:rsidRPr="00894E52">
              <w:rPr>
                <w:b/>
                <w:color w:val="000000"/>
                <w:sz w:val="20"/>
                <w:szCs w:val="20"/>
              </w:rPr>
              <w:t>248.11</w:t>
            </w:r>
          </w:p>
        </w:tc>
      </w:tr>
    </w:tbl>
    <w:p w:rsidR="003A6FC0" w:rsidRPr="00894E52" w:rsidRDefault="003A6FC0" w:rsidP="00B423D6">
      <w:pPr>
        <w:keepNext/>
        <w:keepLines/>
      </w:pPr>
    </w:p>
    <w:p w:rsidR="003A6FC0" w:rsidRPr="00894E52" w:rsidRDefault="003A6FC0" w:rsidP="00B423D6">
      <w:pPr>
        <w:keepNext/>
        <w:keepLines/>
        <w:spacing w:after="240"/>
        <w:rPr>
          <w:b/>
        </w:rPr>
      </w:pPr>
      <w:r w:rsidRPr="00894E52">
        <w:rPr>
          <w:b/>
        </w:rPr>
        <w:t>APPENDIX 2</w:t>
      </w:r>
      <w:r w:rsidRPr="00894E52">
        <w:rPr>
          <w:b/>
        </w:rPr>
        <w:noBreakHyphen/>
        <w:t>A: THE TARGETS, AND FUNDING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85"/>
        <w:gridCol w:w="1016"/>
        <w:gridCol w:w="766"/>
        <w:gridCol w:w="1016"/>
        <w:gridCol w:w="767"/>
        <w:gridCol w:w="868"/>
        <w:gridCol w:w="1016"/>
      </w:tblGrid>
      <w:tr w:rsidR="003A6FC0" w:rsidRPr="00894E52" w:rsidTr="00A1314F">
        <w:trPr>
          <w:cantSplit/>
          <w:trHeight w:val="98"/>
          <w:tblHeader/>
          <w:jc w:val="center"/>
        </w:trPr>
        <w:tc>
          <w:tcPr>
            <w:tcW w:w="329"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Row</w:t>
            </w:r>
          </w:p>
        </w:tc>
        <w:tc>
          <w:tcPr>
            <w:tcW w:w="1757"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Particulars</w:t>
            </w:r>
          </w:p>
        </w:tc>
        <w:tc>
          <w:tcPr>
            <w:tcW w:w="543"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2016</w:t>
            </w:r>
          </w:p>
        </w:tc>
        <w:tc>
          <w:tcPr>
            <w:tcW w:w="410"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2017</w:t>
            </w:r>
          </w:p>
        </w:tc>
        <w:tc>
          <w:tcPr>
            <w:tcW w:w="543"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2018</w:t>
            </w:r>
          </w:p>
        </w:tc>
        <w:tc>
          <w:tcPr>
            <w:tcW w:w="410"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2019</w:t>
            </w:r>
          </w:p>
        </w:tc>
        <w:tc>
          <w:tcPr>
            <w:tcW w:w="464"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2020</w:t>
            </w:r>
          </w:p>
        </w:tc>
        <w:tc>
          <w:tcPr>
            <w:tcW w:w="543" w:type="pct"/>
            <w:shd w:val="clear" w:color="auto" w:fill="auto"/>
            <w:hideMark/>
          </w:tcPr>
          <w:p w:rsidR="003A6FC0" w:rsidRPr="00894E52" w:rsidRDefault="003A6FC0" w:rsidP="00B423D6">
            <w:pPr>
              <w:keepNext/>
              <w:keepLines/>
              <w:jc w:val="center"/>
              <w:rPr>
                <w:b/>
                <w:bCs/>
                <w:color w:val="000000"/>
                <w:sz w:val="20"/>
                <w:szCs w:val="20"/>
                <w:lang w:eastAsia="en-CA"/>
              </w:rPr>
            </w:pPr>
            <w:r w:rsidRPr="00894E52">
              <w:rPr>
                <w:b/>
                <w:bCs/>
                <w:color w:val="000000"/>
                <w:sz w:val="20"/>
                <w:szCs w:val="20"/>
                <w:lang w:eastAsia="en-CA"/>
              </w:rPr>
              <w:t>Total</w:t>
            </w:r>
          </w:p>
        </w:tc>
      </w:tr>
      <w:tr w:rsidR="003A6FC0" w:rsidRPr="00894E52" w:rsidTr="00A1314F">
        <w:trPr>
          <w:trHeight w:val="408"/>
          <w:jc w:val="center"/>
        </w:trPr>
        <w:tc>
          <w:tcPr>
            <w:tcW w:w="329" w:type="pct"/>
            <w:shd w:val="clear" w:color="auto" w:fill="auto"/>
            <w:hideMark/>
          </w:tcPr>
          <w:p w:rsidR="003A6FC0" w:rsidRPr="00894E52" w:rsidRDefault="003A6FC0" w:rsidP="00B423D6">
            <w:pPr>
              <w:keepNext/>
              <w:keepLines/>
              <w:rPr>
                <w:color w:val="000000"/>
                <w:sz w:val="20"/>
                <w:szCs w:val="20"/>
                <w:lang w:eastAsia="en-CA"/>
              </w:rPr>
            </w:pPr>
            <w:r w:rsidRPr="00894E52">
              <w:rPr>
                <w:color w:val="000000"/>
                <w:sz w:val="20"/>
                <w:szCs w:val="20"/>
                <w:lang w:eastAsia="en-CA"/>
              </w:rPr>
              <w:t>1.1</w:t>
            </w:r>
          </w:p>
        </w:tc>
        <w:tc>
          <w:tcPr>
            <w:tcW w:w="1757" w:type="pct"/>
            <w:shd w:val="clear" w:color="auto" w:fill="auto"/>
            <w:hideMark/>
          </w:tcPr>
          <w:p w:rsidR="003A6FC0" w:rsidRPr="00894E52" w:rsidRDefault="003A6FC0" w:rsidP="00B423D6">
            <w:pPr>
              <w:keepNext/>
              <w:keepLines/>
              <w:rPr>
                <w:color w:val="000000"/>
                <w:sz w:val="20"/>
                <w:szCs w:val="20"/>
                <w:lang w:eastAsia="en-CA"/>
              </w:rPr>
            </w:pPr>
            <w:r w:rsidRPr="00894E52">
              <w:rPr>
                <w:color w:val="000000"/>
                <w:sz w:val="20"/>
                <w:szCs w:val="20"/>
                <w:lang w:eastAsia="en-CA"/>
              </w:rPr>
              <w:t>Montreal Protocol reduction schedule of Annex C, Group I substances (ODP tonnes)</w:t>
            </w:r>
          </w:p>
        </w:tc>
        <w:tc>
          <w:tcPr>
            <w:tcW w:w="543" w:type="pct"/>
            <w:shd w:val="clear" w:color="auto" w:fill="auto"/>
          </w:tcPr>
          <w:p w:rsidR="003A6FC0" w:rsidRPr="00894E52" w:rsidRDefault="003A6FC0" w:rsidP="00B423D6">
            <w:pPr>
              <w:jc w:val="right"/>
              <w:rPr>
                <w:b/>
                <w:color w:val="000000"/>
                <w:sz w:val="20"/>
                <w:szCs w:val="20"/>
              </w:rPr>
            </w:pPr>
            <w:r w:rsidRPr="00894E52">
              <w:rPr>
                <w:b/>
                <w:color w:val="000000"/>
                <w:sz w:val="20"/>
                <w:szCs w:val="20"/>
              </w:rPr>
              <w:t>223.30</w:t>
            </w:r>
          </w:p>
        </w:tc>
        <w:tc>
          <w:tcPr>
            <w:tcW w:w="410" w:type="pct"/>
            <w:shd w:val="clear" w:color="auto" w:fill="auto"/>
          </w:tcPr>
          <w:p w:rsidR="003A6FC0" w:rsidRPr="00894E52" w:rsidRDefault="003A6FC0" w:rsidP="00B423D6">
            <w:pPr>
              <w:jc w:val="right"/>
              <w:rPr>
                <w:b/>
              </w:rPr>
            </w:pPr>
            <w:r w:rsidRPr="00894E52">
              <w:rPr>
                <w:b/>
                <w:color w:val="000000"/>
                <w:sz w:val="20"/>
                <w:szCs w:val="20"/>
              </w:rPr>
              <w:t>223.30</w:t>
            </w:r>
          </w:p>
        </w:tc>
        <w:tc>
          <w:tcPr>
            <w:tcW w:w="543" w:type="pct"/>
            <w:shd w:val="clear" w:color="auto" w:fill="auto"/>
          </w:tcPr>
          <w:p w:rsidR="003A6FC0" w:rsidRPr="00894E52" w:rsidRDefault="003A6FC0" w:rsidP="00B423D6">
            <w:pPr>
              <w:jc w:val="right"/>
              <w:rPr>
                <w:b/>
              </w:rPr>
            </w:pPr>
            <w:r w:rsidRPr="00894E52">
              <w:rPr>
                <w:b/>
                <w:color w:val="000000"/>
                <w:sz w:val="20"/>
                <w:szCs w:val="20"/>
              </w:rPr>
              <w:t>223.30</w:t>
            </w:r>
          </w:p>
        </w:tc>
        <w:tc>
          <w:tcPr>
            <w:tcW w:w="410" w:type="pct"/>
            <w:shd w:val="clear" w:color="auto" w:fill="auto"/>
          </w:tcPr>
          <w:p w:rsidR="003A6FC0" w:rsidRPr="00894E52" w:rsidRDefault="003A6FC0" w:rsidP="00B423D6">
            <w:pPr>
              <w:jc w:val="right"/>
              <w:rPr>
                <w:b/>
              </w:rPr>
            </w:pPr>
            <w:r w:rsidRPr="00894E52">
              <w:rPr>
                <w:b/>
                <w:color w:val="000000"/>
                <w:sz w:val="20"/>
                <w:szCs w:val="20"/>
              </w:rPr>
              <w:t>223.30</w:t>
            </w:r>
          </w:p>
        </w:tc>
        <w:tc>
          <w:tcPr>
            <w:tcW w:w="464" w:type="pct"/>
            <w:shd w:val="clear" w:color="auto" w:fill="auto"/>
          </w:tcPr>
          <w:p w:rsidR="003A6FC0" w:rsidRPr="00894E52" w:rsidRDefault="003A6FC0" w:rsidP="00B423D6">
            <w:pPr>
              <w:jc w:val="right"/>
              <w:rPr>
                <w:b/>
                <w:color w:val="000000"/>
                <w:sz w:val="20"/>
                <w:szCs w:val="20"/>
              </w:rPr>
            </w:pPr>
            <w:r w:rsidRPr="00894E52">
              <w:rPr>
                <w:b/>
                <w:color w:val="000000"/>
                <w:sz w:val="20"/>
                <w:szCs w:val="20"/>
              </w:rPr>
              <w:t>161.27</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n/a</w:t>
            </w:r>
          </w:p>
        </w:tc>
      </w:tr>
      <w:tr w:rsidR="003A6FC0" w:rsidRPr="00894E52" w:rsidTr="00A1314F">
        <w:trPr>
          <w:trHeight w:val="408"/>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1.2</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Maximum allowable total consumption of Annex C, Group I substances (ODP tonnes)</w:t>
            </w:r>
          </w:p>
        </w:tc>
        <w:tc>
          <w:tcPr>
            <w:tcW w:w="543" w:type="pct"/>
            <w:shd w:val="clear" w:color="auto" w:fill="auto"/>
          </w:tcPr>
          <w:p w:rsidR="003A6FC0" w:rsidRPr="00894E52" w:rsidRDefault="003A6FC0" w:rsidP="00B423D6">
            <w:pPr>
              <w:jc w:val="right"/>
              <w:rPr>
                <w:b/>
                <w:color w:val="000000"/>
                <w:sz w:val="20"/>
                <w:szCs w:val="20"/>
              </w:rPr>
            </w:pPr>
            <w:r w:rsidRPr="00894E52">
              <w:rPr>
                <w:b/>
                <w:color w:val="000000"/>
                <w:sz w:val="20"/>
                <w:szCs w:val="20"/>
              </w:rPr>
              <w:t>223.30</w:t>
            </w:r>
          </w:p>
        </w:tc>
        <w:tc>
          <w:tcPr>
            <w:tcW w:w="410" w:type="pct"/>
            <w:shd w:val="clear" w:color="auto" w:fill="auto"/>
          </w:tcPr>
          <w:p w:rsidR="003A6FC0" w:rsidRPr="00894E52" w:rsidRDefault="003A6FC0" w:rsidP="00B423D6">
            <w:pPr>
              <w:jc w:val="right"/>
              <w:rPr>
                <w:b/>
              </w:rPr>
            </w:pPr>
            <w:r w:rsidRPr="00894E52">
              <w:rPr>
                <w:b/>
                <w:color w:val="000000"/>
                <w:sz w:val="20"/>
                <w:szCs w:val="20"/>
              </w:rPr>
              <w:t>223.30</w:t>
            </w:r>
          </w:p>
        </w:tc>
        <w:tc>
          <w:tcPr>
            <w:tcW w:w="543" w:type="pct"/>
            <w:shd w:val="clear" w:color="auto" w:fill="auto"/>
          </w:tcPr>
          <w:p w:rsidR="003A6FC0" w:rsidRPr="00894E52" w:rsidRDefault="003A6FC0" w:rsidP="00B423D6">
            <w:pPr>
              <w:jc w:val="right"/>
              <w:rPr>
                <w:b/>
              </w:rPr>
            </w:pPr>
            <w:r w:rsidRPr="00894E52">
              <w:rPr>
                <w:b/>
                <w:color w:val="000000"/>
                <w:sz w:val="20"/>
                <w:szCs w:val="20"/>
              </w:rPr>
              <w:t>223.30</w:t>
            </w:r>
          </w:p>
        </w:tc>
        <w:tc>
          <w:tcPr>
            <w:tcW w:w="410" w:type="pct"/>
            <w:shd w:val="clear" w:color="auto" w:fill="auto"/>
          </w:tcPr>
          <w:p w:rsidR="003A6FC0" w:rsidRPr="00894E52" w:rsidRDefault="003A6FC0" w:rsidP="00B423D6">
            <w:pPr>
              <w:jc w:val="right"/>
              <w:rPr>
                <w:b/>
              </w:rPr>
            </w:pPr>
            <w:r w:rsidRPr="00894E52">
              <w:rPr>
                <w:b/>
                <w:color w:val="000000"/>
                <w:sz w:val="20"/>
                <w:szCs w:val="20"/>
              </w:rPr>
              <w:t>223.30</w:t>
            </w:r>
          </w:p>
        </w:tc>
        <w:tc>
          <w:tcPr>
            <w:tcW w:w="464" w:type="pct"/>
            <w:shd w:val="clear" w:color="auto" w:fill="auto"/>
          </w:tcPr>
          <w:p w:rsidR="003A6FC0" w:rsidRPr="00894E52" w:rsidRDefault="003A6FC0" w:rsidP="00B423D6">
            <w:pPr>
              <w:jc w:val="right"/>
              <w:rPr>
                <w:b/>
                <w:color w:val="000000"/>
                <w:sz w:val="20"/>
                <w:szCs w:val="20"/>
              </w:rPr>
            </w:pPr>
            <w:r w:rsidRPr="00894E52">
              <w:rPr>
                <w:b/>
                <w:color w:val="000000"/>
                <w:sz w:val="20"/>
                <w:szCs w:val="20"/>
              </w:rPr>
              <w:t>124.06</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n/a</w:t>
            </w:r>
          </w:p>
        </w:tc>
      </w:tr>
      <w:tr w:rsidR="003A6FC0" w:rsidRPr="00894E52" w:rsidTr="00A1314F">
        <w:trPr>
          <w:trHeight w:val="116"/>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2.1</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Lead IA (UNIDO) agreed funding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2,350,200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1,979,852</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446,720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4,776,772</w:t>
            </w:r>
          </w:p>
        </w:tc>
      </w:tr>
      <w:tr w:rsidR="003A6FC0" w:rsidRPr="00894E52" w:rsidTr="00A1314F">
        <w:trPr>
          <w:trHeight w:val="56"/>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2.2</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Support costs for Lead IA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164,514</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138,590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31,270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334,374</w:t>
            </w:r>
          </w:p>
        </w:tc>
      </w:tr>
      <w:tr w:rsidR="003A6FC0" w:rsidRPr="00894E52" w:rsidTr="00A1314F">
        <w:trPr>
          <w:trHeight w:val="161"/>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2.3</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Cooperating IA (UNEP) agreed funding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200,000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200,000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103,000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503,000</w:t>
            </w:r>
          </w:p>
        </w:tc>
      </w:tr>
      <w:tr w:rsidR="003A6FC0" w:rsidRPr="00894E52" w:rsidTr="00A1314F">
        <w:trPr>
          <w:trHeight w:val="60"/>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2.4</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Support costs for Cooperating IA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25,976</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25,976</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13,378</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65,330</w:t>
            </w:r>
          </w:p>
        </w:tc>
      </w:tr>
      <w:tr w:rsidR="003A6FC0" w:rsidRPr="00894E52" w:rsidTr="00A1314F">
        <w:trPr>
          <w:trHeight w:val="62"/>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3.1</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Total agreed funding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2,550,200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2,179,852</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549,720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5,279,772</w:t>
            </w:r>
          </w:p>
        </w:tc>
      </w:tr>
      <w:tr w:rsidR="003A6FC0" w:rsidRPr="00894E52" w:rsidTr="00A1314F">
        <w:trPr>
          <w:trHeight w:val="62"/>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3.2</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Total support costs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190,490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164,566</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44,648</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399,704</w:t>
            </w:r>
          </w:p>
        </w:tc>
      </w:tr>
      <w:tr w:rsidR="003A6FC0" w:rsidRPr="00894E52" w:rsidTr="00A1314F">
        <w:trPr>
          <w:trHeight w:val="53"/>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3.3</w:t>
            </w:r>
          </w:p>
        </w:tc>
        <w:tc>
          <w:tcPr>
            <w:tcW w:w="1757"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Total agreed costs (US $)</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2,740,690</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2,344,418</w:t>
            </w:r>
          </w:p>
        </w:tc>
        <w:tc>
          <w:tcPr>
            <w:tcW w:w="410" w:type="pct"/>
            <w:shd w:val="clear" w:color="auto" w:fill="auto"/>
          </w:tcPr>
          <w:p w:rsidR="003A6FC0" w:rsidRPr="00894E52" w:rsidRDefault="003A6FC0" w:rsidP="00B423D6">
            <w:pPr>
              <w:jc w:val="right"/>
              <w:rPr>
                <w:color w:val="000000"/>
                <w:sz w:val="20"/>
                <w:szCs w:val="20"/>
              </w:rPr>
            </w:pPr>
            <w:r w:rsidRPr="00894E52">
              <w:rPr>
                <w:color w:val="000000"/>
                <w:sz w:val="20"/>
                <w:szCs w:val="20"/>
              </w:rPr>
              <w:t>0</w:t>
            </w:r>
          </w:p>
        </w:tc>
        <w:tc>
          <w:tcPr>
            <w:tcW w:w="464" w:type="pct"/>
            <w:shd w:val="clear" w:color="auto" w:fill="auto"/>
          </w:tcPr>
          <w:p w:rsidR="003A6FC0" w:rsidRPr="00894E52" w:rsidRDefault="003A6FC0" w:rsidP="00B423D6">
            <w:pPr>
              <w:jc w:val="right"/>
              <w:rPr>
                <w:color w:val="000000"/>
                <w:sz w:val="20"/>
                <w:szCs w:val="20"/>
              </w:rPr>
            </w:pPr>
            <w:r w:rsidRPr="00894E52">
              <w:rPr>
                <w:color w:val="000000"/>
                <w:sz w:val="20"/>
                <w:szCs w:val="20"/>
              </w:rPr>
              <w:t>594,368</w:t>
            </w:r>
          </w:p>
        </w:tc>
        <w:tc>
          <w:tcPr>
            <w:tcW w:w="543" w:type="pct"/>
            <w:shd w:val="clear" w:color="auto" w:fill="auto"/>
          </w:tcPr>
          <w:p w:rsidR="003A6FC0" w:rsidRPr="00894E52" w:rsidRDefault="003A6FC0" w:rsidP="00B423D6">
            <w:pPr>
              <w:jc w:val="right"/>
              <w:rPr>
                <w:color w:val="000000"/>
                <w:sz w:val="20"/>
                <w:szCs w:val="20"/>
              </w:rPr>
            </w:pPr>
            <w:r w:rsidRPr="00894E52">
              <w:rPr>
                <w:color w:val="000000"/>
                <w:sz w:val="20"/>
                <w:szCs w:val="20"/>
              </w:rPr>
              <w:t>5,679,476</w:t>
            </w:r>
          </w:p>
        </w:tc>
      </w:tr>
      <w:tr w:rsidR="003A6FC0" w:rsidRPr="00894E52" w:rsidTr="00A1314F">
        <w:trPr>
          <w:trHeight w:val="53"/>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4.1.1</w:t>
            </w:r>
          </w:p>
        </w:tc>
        <w:tc>
          <w:tcPr>
            <w:tcW w:w="4127" w:type="pct"/>
            <w:gridSpan w:val="6"/>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Total phase</w:t>
            </w:r>
            <w:r w:rsidRPr="00894E52">
              <w:rPr>
                <w:color w:val="000000"/>
                <w:sz w:val="20"/>
                <w:szCs w:val="20"/>
                <w:lang w:eastAsia="en-CA"/>
              </w:rPr>
              <w:noBreakHyphen/>
              <w:t>out of HCFC</w:t>
            </w:r>
            <w:r w:rsidRPr="00894E52">
              <w:rPr>
                <w:color w:val="000000"/>
                <w:sz w:val="20"/>
                <w:szCs w:val="20"/>
                <w:lang w:eastAsia="en-CA"/>
              </w:rPr>
              <w:noBreakHyphen/>
              <w:t>22 agreed to be achieved under this Agreement (ODP tonnes)</w:t>
            </w:r>
          </w:p>
        </w:tc>
        <w:tc>
          <w:tcPr>
            <w:tcW w:w="543" w:type="pct"/>
            <w:shd w:val="clear" w:color="auto" w:fill="auto"/>
            <w:vAlign w:val="bottom"/>
          </w:tcPr>
          <w:p w:rsidR="003A6FC0" w:rsidRPr="00894E52" w:rsidRDefault="003A6FC0" w:rsidP="00B423D6">
            <w:pPr>
              <w:jc w:val="right"/>
              <w:rPr>
                <w:color w:val="000000"/>
                <w:sz w:val="20"/>
                <w:szCs w:val="20"/>
              </w:rPr>
            </w:pPr>
            <w:r w:rsidRPr="00894E52">
              <w:rPr>
                <w:color w:val="000000"/>
                <w:sz w:val="20"/>
                <w:szCs w:val="20"/>
              </w:rPr>
              <w:t>14.29</w:t>
            </w:r>
          </w:p>
        </w:tc>
      </w:tr>
      <w:tr w:rsidR="003A6FC0" w:rsidRPr="00894E52" w:rsidTr="00A1314F">
        <w:trPr>
          <w:trHeight w:val="116"/>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4.1.2</w:t>
            </w:r>
          </w:p>
        </w:tc>
        <w:tc>
          <w:tcPr>
            <w:tcW w:w="4127" w:type="pct"/>
            <w:gridSpan w:val="6"/>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Phase</w:t>
            </w:r>
            <w:r w:rsidRPr="00894E52">
              <w:rPr>
                <w:color w:val="000000"/>
                <w:sz w:val="20"/>
                <w:szCs w:val="20"/>
                <w:lang w:eastAsia="en-CA"/>
              </w:rPr>
              <w:noBreakHyphen/>
              <w:t>out of HCFC</w:t>
            </w:r>
            <w:r w:rsidRPr="00894E52">
              <w:rPr>
                <w:color w:val="000000"/>
                <w:sz w:val="20"/>
                <w:szCs w:val="20"/>
                <w:lang w:eastAsia="en-CA"/>
              </w:rPr>
              <w:noBreakHyphen/>
              <w:t>22 to be achieved in previously approved projects (ODP tonnes)</w:t>
            </w:r>
          </w:p>
        </w:tc>
        <w:tc>
          <w:tcPr>
            <w:tcW w:w="543" w:type="pct"/>
            <w:shd w:val="clear" w:color="auto" w:fill="auto"/>
            <w:vAlign w:val="bottom"/>
          </w:tcPr>
          <w:p w:rsidR="003A6FC0" w:rsidRPr="00894E52" w:rsidRDefault="003A6FC0" w:rsidP="00B423D6">
            <w:pPr>
              <w:jc w:val="right"/>
              <w:rPr>
                <w:color w:val="000000"/>
                <w:sz w:val="20"/>
                <w:szCs w:val="20"/>
              </w:rPr>
            </w:pPr>
            <w:r w:rsidRPr="00894E52">
              <w:rPr>
                <w:color w:val="000000"/>
                <w:sz w:val="20"/>
                <w:szCs w:val="20"/>
              </w:rPr>
              <w:t>7.40</w:t>
            </w:r>
          </w:p>
        </w:tc>
      </w:tr>
      <w:tr w:rsidR="003A6FC0" w:rsidRPr="00894E52" w:rsidTr="00A1314F">
        <w:trPr>
          <w:trHeight w:val="98"/>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4.1.3</w:t>
            </w:r>
          </w:p>
        </w:tc>
        <w:tc>
          <w:tcPr>
            <w:tcW w:w="4127" w:type="pct"/>
            <w:gridSpan w:val="6"/>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Remaining eligible consumption for HCFC</w:t>
            </w:r>
            <w:r w:rsidRPr="00894E52">
              <w:rPr>
                <w:color w:val="000000"/>
                <w:sz w:val="20"/>
                <w:szCs w:val="20"/>
                <w:lang w:eastAsia="en-CA"/>
              </w:rPr>
              <w:noBreakHyphen/>
              <w:t>22 (ODP tonnes)</w:t>
            </w:r>
          </w:p>
        </w:tc>
        <w:tc>
          <w:tcPr>
            <w:tcW w:w="543" w:type="pct"/>
            <w:shd w:val="clear" w:color="auto" w:fill="auto"/>
            <w:vAlign w:val="bottom"/>
          </w:tcPr>
          <w:p w:rsidR="003A6FC0" w:rsidRPr="00894E52" w:rsidRDefault="003A6FC0" w:rsidP="00B423D6">
            <w:pPr>
              <w:jc w:val="right"/>
              <w:rPr>
                <w:b/>
                <w:color w:val="000000"/>
                <w:sz w:val="20"/>
                <w:szCs w:val="20"/>
              </w:rPr>
            </w:pPr>
            <w:r w:rsidRPr="00894E52">
              <w:rPr>
                <w:b/>
                <w:color w:val="000000"/>
                <w:sz w:val="20"/>
                <w:szCs w:val="20"/>
              </w:rPr>
              <w:t>83.27</w:t>
            </w:r>
          </w:p>
        </w:tc>
      </w:tr>
      <w:tr w:rsidR="003A6FC0" w:rsidRPr="00894E52" w:rsidTr="00A1314F">
        <w:trPr>
          <w:trHeight w:val="89"/>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4.2.1</w:t>
            </w:r>
          </w:p>
        </w:tc>
        <w:tc>
          <w:tcPr>
            <w:tcW w:w="4127" w:type="pct"/>
            <w:gridSpan w:val="6"/>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Total phase</w:t>
            </w:r>
            <w:r w:rsidRPr="00894E52">
              <w:rPr>
                <w:color w:val="000000"/>
                <w:sz w:val="20"/>
                <w:szCs w:val="20"/>
                <w:lang w:eastAsia="en-CA"/>
              </w:rPr>
              <w:noBreakHyphen/>
              <w:t>out of HCFC</w:t>
            </w:r>
            <w:r w:rsidRPr="00894E52">
              <w:rPr>
                <w:color w:val="000000"/>
                <w:sz w:val="20"/>
                <w:szCs w:val="20"/>
                <w:lang w:eastAsia="en-CA"/>
              </w:rPr>
              <w:noBreakHyphen/>
              <w:t>141b agreed to be achieved under this Agreement (ODP tonnes)</w:t>
            </w:r>
          </w:p>
        </w:tc>
        <w:tc>
          <w:tcPr>
            <w:tcW w:w="543" w:type="pct"/>
            <w:shd w:val="clear" w:color="auto" w:fill="auto"/>
            <w:vAlign w:val="bottom"/>
          </w:tcPr>
          <w:p w:rsidR="003A6FC0" w:rsidRPr="00894E52" w:rsidRDefault="003A6FC0" w:rsidP="00B423D6">
            <w:pPr>
              <w:jc w:val="right"/>
              <w:rPr>
                <w:color w:val="000000"/>
                <w:sz w:val="20"/>
                <w:szCs w:val="20"/>
              </w:rPr>
            </w:pPr>
            <w:r w:rsidRPr="00894E52">
              <w:rPr>
                <w:color w:val="000000"/>
                <w:sz w:val="20"/>
                <w:szCs w:val="20"/>
              </w:rPr>
              <w:t>58.69</w:t>
            </w:r>
          </w:p>
        </w:tc>
      </w:tr>
      <w:tr w:rsidR="003A6FC0" w:rsidRPr="00894E52" w:rsidTr="00A1314F">
        <w:trPr>
          <w:trHeight w:val="71"/>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4.2.2</w:t>
            </w:r>
          </w:p>
        </w:tc>
        <w:tc>
          <w:tcPr>
            <w:tcW w:w="4127" w:type="pct"/>
            <w:gridSpan w:val="6"/>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Phase</w:t>
            </w:r>
            <w:r w:rsidRPr="00894E52">
              <w:rPr>
                <w:color w:val="000000"/>
                <w:sz w:val="20"/>
                <w:szCs w:val="20"/>
                <w:lang w:eastAsia="en-CA"/>
              </w:rPr>
              <w:noBreakHyphen/>
              <w:t>out of HCFC</w:t>
            </w:r>
            <w:r w:rsidRPr="00894E52">
              <w:rPr>
                <w:color w:val="000000"/>
                <w:sz w:val="20"/>
                <w:szCs w:val="20"/>
                <w:lang w:eastAsia="en-CA"/>
              </w:rPr>
              <w:noBreakHyphen/>
              <w:t>141b to be achieved in previously approved projects (ODP tonnes)</w:t>
            </w:r>
          </w:p>
        </w:tc>
        <w:tc>
          <w:tcPr>
            <w:tcW w:w="543" w:type="pct"/>
            <w:shd w:val="clear" w:color="auto" w:fill="auto"/>
            <w:vAlign w:val="bottom"/>
          </w:tcPr>
          <w:p w:rsidR="003A6FC0" w:rsidRPr="00894E52" w:rsidRDefault="003A6FC0" w:rsidP="00B423D6">
            <w:pPr>
              <w:jc w:val="right"/>
              <w:rPr>
                <w:color w:val="000000"/>
                <w:sz w:val="20"/>
                <w:szCs w:val="20"/>
              </w:rPr>
            </w:pPr>
            <w:r w:rsidRPr="00894E52">
              <w:rPr>
                <w:color w:val="000000"/>
                <w:sz w:val="20"/>
                <w:szCs w:val="20"/>
              </w:rPr>
              <w:t>71.70</w:t>
            </w:r>
          </w:p>
        </w:tc>
      </w:tr>
      <w:tr w:rsidR="003A6FC0" w:rsidRPr="00894E52" w:rsidTr="00A1314F">
        <w:trPr>
          <w:trHeight w:val="134"/>
          <w:jc w:val="center"/>
        </w:trPr>
        <w:tc>
          <w:tcPr>
            <w:tcW w:w="329" w:type="pct"/>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4.2.3</w:t>
            </w:r>
          </w:p>
        </w:tc>
        <w:tc>
          <w:tcPr>
            <w:tcW w:w="4127" w:type="pct"/>
            <w:gridSpan w:val="6"/>
            <w:shd w:val="clear" w:color="auto" w:fill="auto"/>
            <w:hideMark/>
          </w:tcPr>
          <w:p w:rsidR="003A6FC0" w:rsidRPr="00894E52" w:rsidRDefault="003A6FC0" w:rsidP="00B423D6">
            <w:pPr>
              <w:rPr>
                <w:color w:val="000000"/>
                <w:sz w:val="20"/>
                <w:szCs w:val="20"/>
                <w:lang w:eastAsia="en-CA"/>
              </w:rPr>
            </w:pPr>
            <w:r w:rsidRPr="00894E52">
              <w:rPr>
                <w:color w:val="000000"/>
                <w:sz w:val="20"/>
                <w:szCs w:val="20"/>
                <w:lang w:eastAsia="en-CA"/>
              </w:rPr>
              <w:t>Remaining eligible consumption for HCFC</w:t>
            </w:r>
            <w:r w:rsidRPr="00894E52">
              <w:rPr>
                <w:color w:val="000000"/>
                <w:sz w:val="20"/>
                <w:szCs w:val="20"/>
                <w:lang w:eastAsia="en-CA"/>
              </w:rPr>
              <w:noBreakHyphen/>
              <w:t>141b (ODP tonnes)</w:t>
            </w:r>
          </w:p>
        </w:tc>
        <w:tc>
          <w:tcPr>
            <w:tcW w:w="543" w:type="pct"/>
            <w:shd w:val="clear" w:color="auto" w:fill="auto"/>
            <w:vAlign w:val="bottom"/>
          </w:tcPr>
          <w:p w:rsidR="003A6FC0" w:rsidRPr="00894E52" w:rsidRDefault="003A6FC0" w:rsidP="00B423D6">
            <w:pPr>
              <w:jc w:val="right"/>
              <w:rPr>
                <w:color w:val="000000"/>
                <w:sz w:val="20"/>
                <w:szCs w:val="20"/>
              </w:rPr>
            </w:pPr>
            <w:r w:rsidRPr="00894E52">
              <w:rPr>
                <w:color w:val="000000"/>
                <w:sz w:val="20"/>
                <w:szCs w:val="20"/>
              </w:rPr>
              <w:t>8.11</w:t>
            </w:r>
          </w:p>
        </w:tc>
      </w:tr>
      <w:tr w:rsidR="003A6FC0" w:rsidRPr="00894E52" w:rsidTr="00A1314F">
        <w:trPr>
          <w:trHeight w:val="134"/>
          <w:jc w:val="center"/>
        </w:trPr>
        <w:tc>
          <w:tcPr>
            <w:tcW w:w="329" w:type="pct"/>
            <w:shd w:val="clear" w:color="auto" w:fill="auto"/>
          </w:tcPr>
          <w:p w:rsidR="003A6FC0" w:rsidRPr="00894E52" w:rsidRDefault="003A6FC0" w:rsidP="00B423D6">
            <w:pPr>
              <w:rPr>
                <w:b/>
                <w:color w:val="000000"/>
                <w:sz w:val="20"/>
                <w:szCs w:val="20"/>
                <w:lang w:eastAsia="en-CA"/>
              </w:rPr>
            </w:pPr>
            <w:r w:rsidRPr="00894E52">
              <w:rPr>
                <w:b/>
                <w:color w:val="000000"/>
                <w:sz w:val="20"/>
                <w:szCs w:val="20"/>
                <w:lang w:eastAsia="en-CA"/>
              </w:rPr>
              <w:t>4.3.1</w:t>
            </w:r>
          </w:p>
        </w:tc>
        <w:tc>
          <w:tcPr>
            <w:tcW w:w="4127" w:type="pct"/>
            <w:gridSpan w:val="6"/>
            <w:shd w:val="clear" w:color="auto" w:fill="auto"/>
          </w:tcPr>
          <w:p w:rsidR="003A6FC0" w:rsidRPr="00894E52" w:rsidRDefault="003A6FC0" w:rsidP="00B423D6">
            <w:pPr>
              <w:rPr>
                <w:b/>
                <w:color w:val="000000"/>
                <w:sz w:val="20"/>
                <w:szCs w:val="20"/>
                <w:lang w:eastAsia="en-CA"/>
              </w:rPr>
            </w:pPr>
            <w:r w:rsidRPr="00894E52">
              <w:rPr>
                <w:b/>
                <w:color w:val="000000"/>
                <w:sz w:val="20"/>
                <w:szCs w:val="20"/>
                <w:lang w:eastAsia="en-CA"/>
              </w:rPr>
              <w:t>Total phase</w:t>
            </w:r>
            <w:r w:rsidRPr="00894E52">
              <w:rPr>
                <w:b/>
                <w:color w:val="000000"/>
                <w:sz w:val="20"/>
                <w:szCs w:val="20"/>
                <w:lang w:eastAsia="en-CA"/>
              </w:rPr>
              <w:noBreakHyphen/>
              <w:t>out of HCFC</w:t>
            </w:r>
            <w:r w:rsidRPr="00894E52">
              <w:rPr>
                <w:b/>
                <w:color w:val="000000"/>
                <w:sz w:val="20"/>
                <w:szCs w:val="20"/>
                <w:lang w:eastAsia="en-CA"/>
              </w:rPr>
              <w:noBreakHyphen/>
              <w:t>142b agreed to be achieved under this Agreement (ODP tonnes)</w:t>
            </w:r>
          </w:p>
        </w:tc>
        <w:tc>
          <w:tcPr>
            <w:tcW w:w="543" w:type="pct"/>
            <w:shd w:val="clear" w:color="auto" w:fill="auto"/>
            <w:vAlign w:val="bottom"/>
          </w:tcPr>
          <w:p w:rsidR="003A6FC0" w:rsidRPr="00894E52" w:rsidRDefault="003A6FC0" w:rsidP="00B423D6">
            <w:pPr>
              <w:jc w:val="right"/>
              <w:rPr>
                <w:b/>
                <w:color w:val="000000"/>
                <w:sz w:val="20"/>
                <w:szCs w:val="20"/>
              </w:rPr>
            </w:pPr>
            <w:r w:rsidRPr="00894E52">
              <w:rPr>
                <w:b/>
                <w:color w:val="000000"/>
                <w:sz w:val="20"/>
                <w:szCs w:val="20"/>
              </w:rPr>
              <w:t>0.00</w:t>
            </w:r>
          </w:p>
        </w:tc>
      </w:tr>
      <w:tr w:rsidR="003A6FC0" w:rsidRPr="00894E52" w:rsidTr="00A1314F">
        <w:trPr>
          <w:trHeight w:val="134"/>
          <w:jc w:val="center"/>
        </w:trPr>
        <w:tc>
          <w:tcPr>
            <w:tcW w:w="329" w:type="pct"/>
            <w:shd w:val="clear" w:color="auto" w:fill="auto"/>
          </w:tcPr>
          <w:p w:rsidR="003A6FC0" w:rsidRPr="00894E52" w:rsidRDefault="003A6FC0" w:rsidP="00B423D6">
            <w:pPr>
              <w:rPr>
                <w:b/>
                <w:color w:val="000000"/>
                <w:sz w:val="20"/>
                <w:szCs w:val="20"/>
                <w:lang w:eastAsia="en-CA"/>
              </w:rPr>
            </w:pPr>
            <w:r w:rsidRPr="00894E52">
              <w:rPr>
                <w:b/>
                <w:color w:val="000000"/>
                <w:sz w:val="20"/>
                <w:szCs w:val="20"/>
                <w:lang w:eastAsia="en-CA"/>
              </w:rPr>
              <w:t>4.3.2</w:t>
            </w:r>
          </w:p>
        </w:tc>
        <w:tc>
          <w:tcPr>
            <w:tcW w:w="4127" w:type="pct"/>
            <w:gridSpan w:val="6"/>
            <w:shd w:val="clear" w:color="auto" w:fill="auto"/>
          </w:tcPr>
          <w:p w:rsidR="003A6FC0" w:rsidRPr="00894E52" w:rsidRDefault="003A6FC0" w:rsidP="00B423D6">
            <w:pPr>
              <w:rPr>
                <w:b/>
                <w:color w:val="000000"/>
                <w:sz w:val="20"/>
                <w:szCs w:val="20"/>
                <w:lang w:eastAsia="en-CA"/>
              </w:rPr>
            </w:pPr>
            <w:r w:rsidRPr="00894E52">
              <w:rPr>
                <w:b/>
                <w:color w:val="000000"/>
                <w:sz w:val="20"/>
                <w:szCs w:val="20"/>
                <w:lang w:eastAsia="en-CA"/>
              </w:rPr>
              <w:t>Phase</w:t>
            </w:r>
            <w:r w:rsidRPr="00894E52">
              <w:rPr>
                <w:b/>
                <w:color w:val="000000"/>
                <w:sz w:val="20"/>
                <w:szCs w:val="20"/>
                <w:lang w:eastAsia="en-CA"/>
              </w:rPr>
              <w:noBreakHyphen/>
              <w:t>out of HCFC</w:t>
            </w:r>
            <w:r w:rsidRPr="00894E52">
              <w:rPr>
                <w:b/>
                <w:color w:val="000000"/>
                <w:sz w:val="20"/>
                <w:szCs w:val="20"/>
                <w:lang w:eastAsia="en-CA"/>
              </w:rPr>
              <w:noBreakHyphen/>
              <w:t>142b to be achieved in previously approved projects (ODP tonnes)</w:t>
            </w:r>
          </w:p>
        </w:tc>
        <w:tc>
          <w:tcPr>
            <w:tcW w:w="543" w:type="pct"/>
            <w:shd w:val="clear" w:color="auto" w:fill="auto"/>
            <w:vAlign w:val="bottom"/>
          </w:tcPr>
          <w:p w:rsidR="003A6FC0" w:rsidRPr="00894E52" w:rsidRDefault="003A6FC0" w:rsidP="00B423D6">
            <w:pPr>
              <w:jc w:val="right"/>
              <w:rPr>
                <w:b/>
                <w:color w:val="000000"/>
                <w:sz w:val="20"/>
                <w:szCs w:val="20"/>
              </w:rPr>
            </w:pPr>
            <w:r w:rsidRPr="00894E52">
              <w:rPr>
                <w:b/>
                <w:color w:val="000000"/>
                <w:sz w:val="20"/>
                <w:szCs w:val="20"/>
              </w:rPr>
              <w:t>0.00</w:t>
            </w:r>
          </w:p>
        </w:tc>
      </w:tr>
      <w:tr w:rsidR="003A6FC0" w:rsidRPr="007E041D" w:rsidTr="00A1314F">
        <w:trPr>
          <w:trHeight w:val="134"/>
          <w:jc w:val="center"/>
        </w:trPr>
        <w:tc>
          <w:tcPr>
            <w:tcW w:w="329" w:type="pct"/>
            <w:shd w:val="clear" w:color="auto" w:fill="auto"/>
          </w:tcPr>
          <w:p w:rsidR="003A6FC0" w:rsidRPr="00894E52" w:rsidRDefault="003A6FC0" w:rsidP="00B423D6">
            <w:pPr>
              <w:rPr>
                <w:b/>
                <w:color w:val="000000"/>
                <w:sz w:val="20"/>
                <w:szCs w:val="20"/>
                <w:lang w:eastAsia="en-CA"/>
              </w:rPr>
            </w:pPr>
            <w:r w:rsidRPr="00894E52">
              <w:rPr>
                <w:b/>
                <w:color w:val="000000"/>
                <w:sz w:val="20"/>
                <w:szCs w:val="20"/>
                <w:lang w:eastAsia="en-CA"/>
              </w:rPr>
              <w:t>4.3.3</w:t>
            </w:r>
          </w:p>
        </w:tc>
        <w:tc>
          <w:tcPr>
            <w:tcW w:w="4127" w:type="pct"/>
            <w:gridSpan w:val="6"/>
            <w:shd w:val="clear" w:color="auto" w:fill="auto"/>
          </w:tcPr>
          <w:p w:rsidR="003A6FC0" w:rsidRPr="00894E52" w:rsidRDefault="003A6FC0" w:rsidP="00B423D6">
            <w:pPr>
              <w:rPr>
                <w:b/>
                <w:color w:val="000000"/>
                <w:sz w:val="20"/>
                <w:szCs w:val="20"/>
                <w:lang w:eastAsia="en-CA"/>
              </w:rPr>
            </w:pPr>
            <w:r w:rsidRPr="00894E52">
              <w:rPr>
                <w:b/>
                <w:color w:val="000000"/>
                <w:sz w:val="20"/>
                <w:szCs w:val="20"/>
                <w:lang w:eastAsia="en-CA"/>
              </w:rPr>
              <w:t>Remaining eligible consumption for HCFC</w:t>
            </w:r>
            <w:r w:rsidRPr="00894E52">
              <w:rPr>
                <w:b/>
                <w:color w:val="000000"/>
                <w:sz w:val="20"/>
                <w:szCs w:val="20"/>
                <w:lang w:eastAsia="en-CA"/>
              </w:rPr>
              <w:noBreakHyphen/>
              <w:t>142b (ODP tonnes)</w:t>
            </w:r>
          </w:p>
        </w:tc>
        <w:tc>
          <w:tcPr>
            <w:tcW w:w="543" w:type="pct"/>
            <w:shd w:val="clear" w:color="auto" w:fill="auto"/>
            <w:vAlign w:val="bottom"/>
          </w:tcPr>
          <w:p w:rsidR="003A6FC0" w:rsidRPr="007E041D" w:rsidRDefault="003A6FC0" w:rsidP="00B423D6">
            <w:pPr>
              <w:jc w:val="right"/>
              <w:rPr>
                <w:b/>
                <w:color w:val="000000"/>
                <w:sz w:val="20"/>
                <w:szCs w:val="20"/>
              </w:rPr>
            </w:pPr>
            <w:r w:rsidRPr="00894E52">
              <w:rPr>
                <w:b/>
                <w:color w:val="000000"/>
                <w:sz w:val="20"/>
                <w:szCs w:val="20"/>
              </w:rPr>
              <w:t>4.65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rsidTr="003A6FC0">
        <w:tc>
          <w:tcPr>
            <w:tcW w:w="1871" w:type="dxa"/>
          </w:tcPr>
          <w:p w:rsidR="00052C5C" w:rsidRPr="00052C5C" w:rsidRDefault="00052C5C" w:rsidP="00B423D6">
            <w:pPr>
              <w:tabs>
                <w:tab w:val="left" w:pos="8280"/>
              </w:tabs>
            </w:pPr>
          </w:p>
        </w:tc>
        <w:tc>
          <w:tcPr>
            <w:tcW w:w="1872" w:type="dxa"/>
          </w:tcPr>
          <w:p w:rsidR="00052C5C" w:rsidRPr="00052C5C" w:rsidRDefault="00052C5C" w:rsidP="00B423D6">
            <w:pPr>
              <w:tabs>
                <w:tab w:val="left" w:pos="8280"/>
              </w:tabs>
            </w:pPr>
          </w:p>
        </w:tc>
        <w:tc>
          <w:tcPr>
            <w:tcW w:w="1872" w:type="dxa"/>
            <w:tcBorders>
              <w:bottom w:val="single" w:sz="4" w:space="0" w:color="auto"/>
            </w:tcBorders>
          </w:tcPr>
          <w:p w:rsidR="00052C5C" w:rsidRPr="00052C5C" w:rsidRDefault="00052C5C" w:rsidP="00B423D6">
            <w:pPr>
              <w:tabs>
                <w:tab w:val="left" w:pos="8280"/>
              </w:tabs>
            </w:pPr>
          </w:p>
        </w:tc>
        <w:tc>
          <w:tcPr>
            <w:tcW w:w="1872" w:type="dxa"/>
          </w:tcPr>
          <w:p w:rsidR="00052C5C" w:rsidRPr="00052C5C" w:rsidRDefault="00052C5C" w:rsidP="00B423D6">
            <w:pPr>
              <w:tabs>
                <w:tab w:val="left" w:pos="8280"/>
              </w:tabs>
            </w:pPr>
          </w:p>
        </w:tc>
        <w:tc>
          <w:tcPr>
            <w:tcW w:w="1873" w:type="dxa"/>
          </w:tcPr>
          <w:p w:rsidR="00052C5C" w:rsidRPr="00052C5C" w:rsidRDefault="00052C5C" w:rsidP="00B423D6">
            <w:pPr>
              <w:tabs>
                <w:tab w:val="left" w:pos="8280"/>
              </w:tabs>
            </w:pPr>
          </w:p>
        </w:tc>
      </w:tr>
    </w:tbl>
    <w:p w:rsidR="00052C5C" w:rsidRPr="001C3C80" w:rsidRDefault="00052C5C" w:rsidP="00B423D6">
      <w:pPr>
        <w:tabs>
          <w:tab w:val="left" w:pos="8280"/>
        </w:tabs>
      </w:pPr>
    </w:p>
    <w:sectPr w:rsidR="00052C5C" w:rsidRPr="001C3C80" w:rsidSect="001C7B06">
      <w:headerReference w:type="even" r:id="rId14"/>
      <w:headerReference w:type="default" r:id="rId15"/>
      <w:footerReference w:type="even" r:id="rId16"/>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4F" w:rsidRDefault="00A1314F" w:rsidP="004A504B">
      <w:r>
        <w:separator/>
      </w:r>
    </w:p>
  </w:endnote>
  <w:endnote w:type="continuationSeparator" w:id="0">
    <w:p w:rsidR="00A1314F" w:rsidRDefault="00A1314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Pr="0033525D" w:rsidRDefault="00A1314F">
    <w:pPr>
      <w:jc w:val="center"/>
    </w:pPr>
    <w:r>
      <w:fldChar w:fldCharType="begin"/>
    </w:r>
    <w:r>
      <w:instrText xml:space="preserve"> PAGE </w:instrText>
    </w:r>
    <w:r>
      <w:fldChar w:fldCharType="separate"/>
    </w:r>
    <w:r w:rsidR="006E6DC9">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Pr="0033525D" w:rsidRDefault="00A1314F">
    <w:pPr>
      <w:jc w:val="center"/>
    </w:pPr>
    <w:r>
      <w:fldChar w:fldCharType="begin"/>
    </w:r>
    <w:r>
      <w:instrText xml:space="preserve"> PAGE </w:instrText>
    </w:r>
    <w:r>
      <w:fldChar w:fldCharType="separate"/>
    </w:r>
    <w:r w:rsidR="006E6DC9">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Default="00A1314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A1314F" w:rsidRDefault="00A1314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0B" w:rsidRPr="0033525D" w:rsidRDefault="009B420B">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46898"/>
      <w:docPartObj>
        <w:docPartGallery w:val="Page Numbers (Bottom of Page)"/>
        <w:docPartUnique/>
      </w:docPartObj>
    </w:sdtPr>
    <w:sdtEndPr>
      <w:rPr>
        <w:noProof/>
      </w:rPr>
    </w:sdtEndPr>
    <w:sdtContent>
      <w:p w:rsidR="00A1314F" w:rsidRDefault="00A1314F">
        <w:pPr>
          <w:pStyle w:val="Footer"/>
          <w:jc w:val="center"/>
        </w:pPr>
        <w:r>
          <w:fldChar w:fldCharType="begin"/>
        </w:r>
        <w:r>
          <w:instrText xml:space="preserve"> PAGE   \* MERGEFORMAT </w:instrText>
        </w:r>
        <w:r>
          <w:fldChar w:fldCharType="separate"/>
        </w:r>
        <w:r w:rsidR="006E6DC9">
          <w:rPr>
            <w:noProof/>
          </w:rPr>
          <w:t>1</w:t>
        </w:r>
        <w:r>
          <w:rPr>
            <w:noProof/>
          </w:rPr>
          <w:fldChar w:fldCharType="end"/>
        </w:r>
      </w:p>
    </w:sdtContent>
  </w:sdt>
  <w:p w:rsidR="00A1314F" w:rsidRPr="001C7B06" w:rsidRDefault="00A1314F" w:rsidP="001C7B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4F" w:rsidRDefault="00A1314F" w:rsidP="004A504B">
      <w:r>
        <w:separator/>
      </w:r>
    </w:p>
  </w:footnote>
  <w:footnote w:type="continuationSeparator" w:id="0">
    <w:p w:rsidR="00A1314F" w:rsidRDefault="00A1314F" w:rsidP="004A504B">
      <w:r>
        <w:continuationSeparator/>
      </w:r>
    </w:p>
  </w:footnote>
  <w:footnote w:id="1">
    <w:p w:rsidR="00A1314F" w:rsidRPr="00FE3307" w:rsidRDefault="00A1314F" w:rsidP="003A6FC0">
      <w:pPr>
        <w:pStyle w:val="FootnoteText"/>
        <w:rPr>
          <w:lang w:val="en-CA"/>
        </w:rPr>
      </w:pPr>
      <w:r w:rsidRPr="00FE3307">
        <w:rPr>
          <w:rStyle w:val="FootnoteReference"/>
        </w:rPr>
        <w:footnoteRef/>
      </w:r>
      <w:r w:rsidRPr="00FE3307">
        <w:t xml:space="preserve"> </w:t>
      </w:r>
      <w:r w:rsidRPr="00FE3307">
        <w:rPr>
          <w:lang w:val="en-CA"/>
        </w:rPr>
        <w:t xml:space="preserve">As per the letter of </w:t>
      </w:r>
      <w:r>
        <w:rPr>
          <w:lang w:val="en-CA"/>
        </w:rPr>
        <w:t>13 March 2019</w:t>
      </w:r>
      <w:r w:rsidRPr="00FE3307">
        <w:rPr>
          <w:lang w:val="en-CA"/>
        </w:rPr>
        <w:t xml:space="preserve"> from the Ministry of </w:t>
      </w:r>
      <w:r>
        <w:rPr>
          <w:lang w:val="en-CA"/>
        </w:rPr>
        <w:t>Climate Change</w:t>
      </w:r>
      <w:r w:rsidRPr="00FE3307">
        <w:rPr>
          <w:lang w:val="en-CA"/>
        </w:rPr>
        <w:t xml:space="preserve"> of </w:t>
      </w:r>
      <w:r>
        <w:rPr>
          <w:lang w:val="en-CA"/>
        </w:rPr>
        <w:t>Pakistan</w:t>
      </w:r>
      <w:r w:rsidRPr="00FE3307">
        <w:rPr>
          <w:lang w:val="en-CA"/>
        </w:rPr>
        <w:t xml:space="preserve"> to </w:t>
      </w:r>
      <w:r>
        <w:rPr>
          <w:lang w:val="en-CA"/>
        </w:rPr>
        <w:t>UNIDO</w:t>
      </w:r>
      <w:r w:rsidRPr="00FE3307">
        <w:rPr>
          <w:lang w:val="en-CA"/>
        </w:rPr>
        <w:t>.</w:t>
      </w:r>
    </w:p>
  </w:footnote>
  <w:footnote w:id="2">
    <w:p w:rsidR="00A1314F" w:rsidRPr="00623DA4" w:rsidRDefault="00A1314F" w:rsidP="003A6FC0">
      <w:pPr>
        <w:pStyle w:val="FootnoteText"/>
        <w:rPr>
          <w:lang w:val="en-CA"/>
        </w:rPr>
      </w:pPr>
      <w:r>
        <w:rPr>
          <w:rStyle w:val="FootnoteReference"/>
        </w:rPr>
        <w:footnoteRef/>
      </w:r>
      <w:r>
        <w:t xml:space="preserve"> </w:t>
      </w:r>
      <w:r w:rsidRPr="00623DA4">
        <w:t>The HCFC consumption data for the baseline years 2009 and 2010 had been revised to include HCFC-142b consumption in the foam manufacturing sector</w:t>
      </w:r>
      <w:r>
        <w:t xml:space="preserve"> (d</w:t>
      </w:r>
      <w:r w:rsidRPr="00623DA4">
        <w:t>ecision XXIX/16</w:t>
      </w:r>
      <w:r>
        <w:t>).</w:t>
      </w:r>
    </w:p>
  </w:footnote>
  <w:footnote w:id="3">
    <w:p w:rsidR="00A1314F" w:rsidRPr="00D31149" w:rsidRDefault="00A1314F" w:rsidP="003A6FC0">
      <w:pPr>
        <w:pStyle w:val="FootnoteText"/>
        <w:rPr>
          <w:lang w:val="en-CA"/>
        </w:rPr>
      </w:pPr>
      <w:r>
        <w:rPr>
          <w:rStyle w:val="FootnoteReference"/>
        </w:rPr>
        <w:footnoteRef/>
      </w:r>
      <w:r>
        <w:t xml:space="preserve"> </w:t>
      </w:r>
      <w:r w:rsidRPr="00D31149">
        <w:t>ISO 817:2014</w:t>
      </w:r>
      <w:r>
        <w:t>, on designation and safety classification for refrigerants</w:t>
      </w:r>
      <w:r w:rsidRPr="00D31149">
        <w:t>.</w:t>
      </w:r>
    </w:p>
  </w:footnote>
  <w:footnote w:id="4">
    <w:p w:rsidR="00A1314F" w:rsidRPr="00D31149" w:rsidRDefault="00A1314F" w:rsidP="003A6FC0">
      <w:pPr>
        <w:pStyle w:val="FootnoteText"/>
        <w:rPr>
          <w:lang w:val="en-CA"/>
        </w:rPr>
      </w:pPr>
      <w:r>
        <w:rPr>
          <w:rStyle w:val="FootnoteReference"/>
        </w:rPr>
        <w:footnoteRef/>
      </w:r>
      <w:r>
        <w:t xml:space="preserve"> </w:t>
      </w:r>
      <w:r w:rsidRPr="00D31149">
        <w:t>ISO 5149-1:2014</w:t>
      </w:r>
      <w:r>
        <w:t>, on s</w:t>
      </w:r>
      <w:r w:rsidRPr="00355E10">
        <w:t>afety and environmental requirements</w:t>
      </w:r>
      <w:r>
        <w:t xml:space="preserve"> for refrigeration systems and heat pumps</w:t>
      </w:r>
      <w:r w:rsidRPr="00D31149">
        <w:t>.</w:t>
      </w:r>
    </w:p>
  </w:footnote>
  <w:footnote w:id="5">
    <w:p w:rsidR="00A1314F" w:rsidRPr="002A4123" w:rsidRDefault="00A1314F" w:rsidP="00894E52">
      <w:pPr>
        <w:pStyle w:val="FootnoteText"/>
        <w:rPr>
          <w:lang w:val="en-US"/>
        </w:rPr>
      </w:pPr>
      <w:r>
        <w:rPr>
          <w:rStyle w:val="FootnoteReference"/>
        </w:rPr>
        <w:footnoteRef/>
      </w:r>
      <w:r>
        <w:t xml:space="preserve"> The Executive Committee decided to note</w:t>
      </w:r>
      <w:r w:rsidRPr="002A4123">
        <w:t xml:space="preserve"> that during the implementation of stage II of the HPMP, the Government of Pakistan could submit an investment project to phase out the use of HCFC-142b in the </w:t>
      </w:r>
      <w:r>
        <w:t>XPS</w:t>
      </w:r>
      <w:r w:rsidRPr="002A4123">
        <w:t xml:space="preserve"> foam manufacturing sector on the condition that the country’s baseline consumption was revised to include HCFC-142b and approve</w:t>
      </w:r>
      <w:r>
        <w:t>d by the Meeting of the Parties.</w:t>
      </w:r>
    </w:p>
  </w:footnote>
  <w:footnote w:id="6">
    <w:p w:rsidR="00A1314F" w:rsidRPr="00204FAA" w:rsidRDefault="00A1314F" w:rsidP="00894E52">
      <w:pPr>
        <w:pStyle w:val="FootnoteText"/>
        <w:rPr>
          <w:lang w:val="en-US"/>
        </w:rPr>
      </w:pPr>
      <w:r>
        <w:rPr>
          <w:rStyle w:val="FootnoteReference"/>
        </w:rPr>
        <w:footnoteRef/>
      </w:r>
      <w:r>
        <w:t xml:space="preserve"> Cost effectiveness </w:t>
      </w:r>
      <w:r w:rsidRPr="00204FAA">
        <w:t>threshold established by the Executive Committee for the XPS</w:t>
      </w:r>
      <w:r>
        <w:t xml:space="preserve"> foam</w:t>
      </w:r>
      <w:r w:rsidR="001C45B8">
        <w:t xml:space="preserve"> sector </w:t>
      </w:r>
      <w:r>
        <w:t>is</w:t>
      </w:r>
      <w:r w:rsidRPr="00204FAA">
        <w:t xml:space="preserve"> US $10.27/kg.</w:t>
      </w:r>
    </w:p>
  </w:footnote>
  <w:footnote w:id="7">
    <w:p w:rsidR="00A1314F" w:rsidRPr="00661C0D" w:rsidRDefault="00A1314F" w:rsidP="003A6FC0">
      <w:pPr>
        <w:pStyle w:val="FootnoteText"/>
        <w:rPr>
          <w:lang w:val="en-US"/>
        </w:rPr>
      </w:pPr>
      <w:r>
        <w:rPr>
          <w:rStyle w:val="FootnoteReference"/>
        </w:rPr>
        <w:footnoteRef/>
      </w:r>
      <w:r>
        <w:t xml:space="preserve"> </w:t>
      </w:r>
      <w:r>
        <w:rPr>
          <w:lang w:val="en-US"/>
        </w:rPr>
        <w:t>The balances remaining from the previous tranche will be used in addition to the funds being requested.</w:t>
      </w:r>
    </w:p>
  </w:footnote>
  <w:footnote w:id="8">
    <w:p w:rsidR="00A1314F" w:rsidRPr="00204FAA" w:rsidRDefault="00A1314F" w:rsidP="003A6FC0">
      <w:pPr>
        <w:pStyle w:val="FootnoteText"/>
        <w:rPr>
          <w:lang w:val="en-US"/>
        </w:rPr>
      </w:pPr>
      <w:r>
        <w:rPr>
          <w:rStyle w:val="FootnoteReference"/>
        </w:rPr>
        <w:footnoteRef/>
      </w:r>
      <w:r>
        <w:t xml:space="preserve"> </w:t>
      </w:r>
      <w:r>
        <w:rPr>
          <w:lang w:val="en-US"/>
        </w:rPr>
        <w:t>Decision XXIX/16</w:t>
      </w:r>
    </w:p>
  </w:footnote>
  <w:footnote w:id="9">
    <w:p w:rsidR="00A1314F" w:rsidRPr="00F720D6" w:rsidRDefault="00A1314F" w:rsidP="003A6FC0">
      <w:pPr>
        <w:pStyle w:val="FootnoteText"/>
        <w:rPr>
          <w:lang w:val="en-US"/>
        </w:rPr>
      </w:pPr>
      <w:r>
        <w:rPr>
          <w:rStyle w:val="FootnoteReference"/>
        </w:rPr>
        <w:footnoteRef/>
      </w:r>
      <w:r>
        <w:t xml:space="preserve"> </w:t>
      </w:r>
      <w:r>
        <w:rPr>
          <w:lang w:val="en-US"/>
        </w:rPr>
        <w:t>Decisions 74/20(a) and 77/35(a)(v)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Pr="0033525D" w:rsidRDefault="00A1314F">
    <w:fldSimple w:instr=" DOCPROPERTY &quot;Document number&quot;  \* MERGEFORMAT ">
      <w:r>
        <w:t>UNEP/OzL.Pro/ExCom/83/34</w:t>
      </w:r>
    </w:fldSimple>
  </w:p>
  <w:p w:rsidR="00A1314F" w:rsidRPr="0033525D" w:rsidRDefault="00A1314F"/>
  <w:p w:rsidR="00A1314F" w:rsidRPr="0033525D" w:rsidRDefault="00A1314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Pr="0033525D" w:rsidRDefault="00A1314F">
    <w:pPr>
      <w:jc w:val="right"/>
    </w:pPr>
    <w:fldSimple w:instr=" DOCPROPERTY &quot;Document number&quot;  \* MERGEFORMAT ">
      <w:r>
        <w:t>UNEP/OzL.Pro/ExCom/83/34</w:t>
      </w:r>
    </w:fldSimple>
  </w:p>
  <w:p w:rsidR="00A1314F" w:rsidRPr="0033525D" w:rsidRDefault="00A1314F"/>
  <w:p w:rsidR="00A1314F" w:rsidRPr="0033525D" w:rsidRDefault="00A131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0B" w:rsidRPr="0033525D" w:rsidRDefault="009B420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Pr="0033525D" w:rsidRDefault="00A1314F" w:rsidP="001C7B06">
    <w:pPr>
      <w:jc w:val="left"/>
    </w:pPr>
    <w:fldSimple w:instr=" DOCPROPERTY &quot;Document number&quot;  \* MERGEFORMAT ">
      <w:r>
        <w:t>UNEP/OzL.Pro/ExCom/83/34</w:t>
      </w:r>
    </w:fldSimple>
  </w:p>
  <w:p w:rsidR="00A1314F" w:rsidRDefault="00A1314F" w:rsidP="001C7B06">
    <w:pPr>
      <w:pStyle w:val="Header"/>
      <w:jc w:val="left"/>
    </w:pPr>
    <w:r>
      <w:t>Annex I</w:t>
    </w:r>
  </w:p>
  <w:p w:rsidR="00A1314F" w:rsidRDefault="00A1314F" w:rsidP="001C7B06">
    <w:pPr>
      <w:pStyle w:val="Header"/>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4F" w:rsidRPr="0033525D" w:rsidRDefault="00A1314F" w:rsidP="001C7B06">
    <w:pPr>
      <w:jc w:val="right"/>
    </w:pPr>
    <w:fldSimple w:instr=" DOCPROPERTY &quot;Document number&quot;  \* MERGEFORMAT ">
      <w:r>
        <w:t>UNEP/OzL.Pro/ExCom/83/34</w:t>
      </w:r>
    </w:fldSimple>
  </w:p>
  <w:p w:rsidR="00A1314F" w:rsidRDefault="00A1314F" w:rsidP="001C7B06">
    <w:pPr>
      <w:pStyle w:val="Header"/>
      <w:jc w:val="right"/>
    </w:pPr>
    <w:r>
      <w:t>Annex I</w:t>
    </w:r>
  </w:p>
  <w:p w:rsidR="00A1314F" w:rsidRDefault="00A1314F" w:rsidP="001C7B0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B3EED28"/>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3E73F5E"/>
    <w:multiLevelType w:val="hybridMultilevel"/>
    <w:tmpl w:val="0E123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3A6FC0"/>
    <w:rsid w:val="00000FED"/>
    <w:rsid w:val="0000434E"/>
    <w:rsid w:val="000211A9"/>
    <w:rsid w:val="00031260"/>
    <w:rsid w:val="0003681A"/>
    <w:rsid w:val="00052C5C"/>
    <w:rsid w:val="00061EC2"/>
    <w:rsid w:val="00080ED0"/>
    <w:rsid w:val="00085B8F"/>
    <w:rsid w:val="00090481"/>
    <w:rsid w:val="000A6C26"/>
    <w:rsid w:val="000C5109"/>
    <w:rsid w:val="000D52A4"/>
    <w:rsid w:val="000E07BC"/>
    <w:rsid w:val="000F1CD4"/>
    <w:rsid w:val="000F4103"/>
    <w:rsid w:val="000F70A7"/>
    <w:rsid w:val="0011076E"/>
    <w:rsid w:val="00113CCA"/>
    <w:rsid w:val="00122F25"/>
    <w:rsid w:val="00135980"/>
    <w:rsid w:val="00153039"/>
    <w:rsid w:val="00164719"/>
    <w:rsid w:val="00166FC4"/>
    <w:rsid w:val="001677AC"/>
    <w:rsid w:val="001804EA"/>
    <w:rsid w:val="00190A61"/>
    <w:rsid w:val="001A2B3D"/>
    <w:rsid w:val="001A3342"/>
    <w:rsid w:val="001A3E3D"/>
    <w:rsid w:val="001A7049"/>
    <w:rsid w:val="001B1D88"/>
    <w:rsid w:val="001B1E40"/>
    <w:rsid w:val="001B6487"/>
    <w:rsid w:val="001C3C80"/>
    <w:rsid w:val="001C45B8"/>
    <w:rsid w:val="001C764E"/>
    <w:rsid w:val="001C7B06"/>
    <w:rsid w:val="001E1052"/>
    <w:rsid w:val="001E21B1"/>
    <w:rsid w:val="001E2F93"/>
    <w:rsid w:val="001E61E5"/>
    <w:rsid w:val="001F2159"/>
    <w:rsid w:val="002037DD"/>
    <w:rsid w:val="00214863"/>
    <w:rsid w:val="002156B4"/>
    <w:rsid w:val="00253222"/>
    <w:rsid w:val="00262847"/>
    <w:rsid w:val="00281BB2"/>
    <w:rsid w:val="002B08D9"/>
    <w:rsid w:val="002B72E9"/>
    <w:rsid w:val="002C7998"/>
    <w:rsid w:val="002F1E53"/>
    <w:rsid w:val="002F263D"/>
    <w:rsid w:val="002F2CAA"/>
    <w:rsid w:val="0030052C"/>
    <w:rsid w:val="003306E1"/>
    <w:rsid w:val="003320E4"/>
    <w:rsid w:val="0033525D"/>
    <w:rsid w:val="003414F3"/>
    <w:rsid w:val="0035613E"/>
    <w:rsid w:val="00363EE9"/>
    <w:rsid w:val="00376128"/>
    <w:rsid w:val="0037742E"/>
    <w:rsid w:val="00377D56"/>
    <w:rsid w:val="0038245A"/>
    <w:rsid w:val="003840E6"/>
    <w:rsid w:val="00385CFC"/>
    <w:rsid w:val="003919B9"/>
    <w:rsid w:val="0039337A"/>
    <w:rsid w:val="003A3189"/>
    <w:rsid w:val="003A3CA7"/>
    <w:rsid w:val="003A6FC0"/>
    <w:rsid w:val="003B33BD"/>
    <w:rsid w:val="003B569D"/>
    <w:rsid w:val="003C0C29"/>
    <w:rsid w:val="003C3C0E"/>
    <w:rsid w:val="003D4FAC"/>
    <w:rsid w:val="003E7906"/>
    <w:rsid w:val="003F3C50"/>
    <w:rsid w:val="003F5FBE"/>
    <w:rsid w:val="00406A6A"/>
    <w:rsid w:val="00406B22"/>
    <w:rsid w:val="004174B4"/>
    <w:rsid w:val="004328A7"/>
    <w:rsid w:val="00434C74"/>
    <w:rsid w:val="00456EB4"/>
    <w:rsid w:val="004718F3"/>
    <w:rsid w:val="00475040"/>
    <w:rsid w:val="00481764"/>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15B2F"/>
    <w:rsid w:val="00533796"/>
    <w:rsid w:val="00555D75"/>
    <w:rsid w:val="00560DF0"/>
    <w:rsid w:val="0056759C"/>
    <w:rsid w:val="0059513E"/>
    <w:rsid w:val="005B48FF"/>
    <w:rsid w:val="00604C15"/>
    <w:rsid w:val="00614BE0"/>
    <w:rsid w:val="006158D5"/>
    <w:rsid w:val="00625D83"/>
    <w:rsid w:val="006623E7"/>
    <w:rsid w:val="00662B80"/>
    <w:rsid w:val="00670F6C"/>
    <w:rsid w:val="006852C7"/>
    <w:rsid w:val="006852CE"/>
    <w:rsid w:val="00694622"/>
    <w:rsid w:val="006C1727"/>
    <w:rsid w:val="006C32FD"/>
    <w:rsid w:val="006C39CE"/>
    <w:rsid w:val="006D0FCC"/>
    <w:rsid w:val="006D1D2D"/>
    <w:rsid w:val="006E1FC3"/>
    <w:rsid w:val="006E6DC9"/>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227C"/>
    <w:rsid w:val="007C3D33"/>
    <w:rsid w:val="007D294A"/>
    <w:rsid w:val="007D47D2"/>
    <w:rsid w:val="007D6EC0"/>
    <w:rsid w:val="007D7E1D"/>
    <w:rsid w:val="00831979"/>
    <w:rsid w:val="00851352"/>
    <w:rsid w:val="00863230"/>
    <w:rsid w:val="008717D8"/>
    <w:rsid w:val="0087215C"/>
    <w:rsid w:val="00880E35"/>
    <w:rsid w:val="008875FE"/>
    <w:rsid w:val="00887F8E"/>
    <w:rsid w:val="00894E52"/>
    <w:rsid w:val="00896234"/>
    <w:rsid w:val="00897E43"/>
    <w:rsid w:val="008C5738"/>
    <w:rsid w:val="008C7EAD"/>
    <w:rsid w:val="008D0CFE"/>
    <w:rsid w:val="008D3375"/>
    <w:rsid w:val="008D6152"/>
    <w:rsid w:val="008F0F81"/>
    <w:rsid w:val="008F27BF"/>
    <w:rsid w:val="009142EC"/>
    <w:rsid w:val="009154C3"/>
    <w:rsid w:val="00923540"/>
    <w:rsid w:val="00926767"/>
    <w:rsid w:val="009361D5"/>
    <w:rsid w:val="009428A4"/>
    <w:rsid w:val="00956F2A"/>
    <w:rsid w:val="009659F4"/>
    <w:rsid w:val="00970D60"/>
    <w:rsid w:val="009960E5"/>
    <w:rsid w:val="009A7ADC"/>
    <w:rsid w:val="009B420B"/>
    <w:rsid w:val="009C19B7"/>
    <w:rsid w:val="009D7C51"/>
    <w:rsid w:val="009E196C"/>
    <w:rsid w:val="009F36BF"/>
    <w:rsid w:val="00A111B6"/>
    <w:rsid w:val="00A1314F"/>
    <w:rsid w:val="00A2547B"/>
    <w:rsid w:val="00A265A9"/>
    <w:rsid w:val="00A26D27"/>
    <w:rsid w:val="00A376EE"/>
    <w:rsid w:val="00A42A99"/>
    <w:rsid w:val="00A5151A"/>
    <w:rsid w:val="00A56465"/>
    <w:rsid w:val="00A57E0A"/>
    <w:rsid w:val="00A823F6"/>
    <w:rsid w:val="00A93BBA"/>
    <w:rsid w:val="00AA0A89"/>
    <w:rsid w:val="00AA6429"/>
    <w:rsid w:val="00AC01AA"/>
    <w:rsid w:val="00AC4F72"/>
    <w:rsid w:val="00AE77AA"/>
    <w:rsid w:val="00AF741A"/>
    <w:rsid w:val="00B01ADB"/>
    <w:rsid w:val="00B04161"/>
    <w:rsid w:val="00B056F9"/>
    <w:rsid w:val="00B11E3D"/>
    <w:rsid w:val="00B17B03"/>
    <w:rsid w:val="00B17E82"/>
    <w:rsid w:val="00B423D6"/>
    <w:rsid w:val="00B4575A"/>
    <w:rsid w:val="00B575BA"/>
    <w:rsid w:val="00B675AE"/>
    <w:rsid w:val="00B76429"/>
    <w:rsid w:val="00B956D4"/>
    <w:rsid w:val="00B97446"/>
    <w:rsid w:val="00BA7432"/>
    <w:rsid w:val="00BC1AA0"/>
    <w:rsid w:val="00BC2495"/>
    <w:rsid w:val="00BC7EB9"/>
    <w:rsid w:val="00BD2643"/>
    <w:rsid w:val="00BD56B1"/>
    <w:rsid w:val="00BD6558"/>
    <w:rsid w:val="00BF3022"/>
    <w:rsid w:val="00BF3214"/>
    <w:rsid w:val="00BF5573"/>
    <w:rsid w:val="00C0176F"/>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5354"/>
    <w:rsid w:val="00CC299E"/>
    <w:rsid w:val="00CC6A14"/>
    <w:rsid w:val="00CC70A3"/>
    <w:rsid w:val="00CD4442"/>
    <w:rsid w:val="00CD53C3"/>
    <w:rsid w:val="00CD574E"/>
    <w:rsid w:val="00CE4C22"/>
    <w:rsid w:val="00CF41EC"/>
    <w:rsid w:val="00CF5D04"/>
    <w:rsid w:val="00D04DE4"/>
    <w:rsid w:val="00D063F1"/>
    <w:rsid w:val="00D13CD0"/>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41335"/>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66BA"/>
    <w:rsid w:val="00F21088"/>
    <w:rsid w:val="00F268BE"/>
    <w:rsid w:val="00F26E2B"/>
    <w:rsid w:val="00F327E7"/>
    <w:rsid w:val="00F35746"/>
    <w:rsid w:val="00F447C7"/>
    <w:rsid w:val="00F5211B"/>
    <w:rsid w:val="00F554A9"/>
    <w:rsid w:val="00F716FD"/>
    <w:rsid w:val="00F80355"/>
    <w:rsid w:val="00F87C43"/>
    <w:rsid w:val="00F94701"/>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2BE60A-342B-42A8-BF53-E7CA75A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3A6FC0"/>
    <w:pPr>
      <w:ind w:left="720"/>
      <w:contextualSpacing/>
    </w:pPr>
  </w:style>
  <w:style w:type="paragraph" w:styleId="FootnoteText">
    <w:name w:val="footnote text"/>
    <w:basedOn w:val="Normal"/>
    <w:link w:val="FootnoteTextChar"/>
    <w:uiPriority w:val="99"/>
    <w:semiHidden/>
    <w:unhideWhenUsed/>
    <w:rsid w:val="003A6FC0"/>
    <w:rPr>
      <w:sz w:val="20"/>
      <w:szCs w:val="20"/>
    </w:rPr>
  </w:style>
  <w:style w:type="character" w:customStyle="1" w:styleId="FootnoteTextChar">
    <w:name w:val="Footnote Text Char"/>
    <w:basedOn w:val="DefaultParagraphFont"/>
    <w:link w:val="FootnoteText"/>
    <w:uiPriority w:val="99"/>
    <w:semiHidden/>
    <w:rsid w:val="003A6FC0"/>
    <w:rPr>
      <w:lang w:val="en-GB"/>
    </w:rPr>
  </w:style>
  <w:style w:type="character" w:styleId="FootnoteReference">
    <w:name w:val="footnote reference"/>
    <w:basedOn w:val="DefaultParagraphFont"/>
    <w:uiPriority w:val="99"/>
    <w:semiHidden/>
    <w:unhideWhenUsed/>
    <w:rsid w:val="003A6FC0"/>
    <w:rPr>
      <w:vertAlign w:val="superscript"/>
    </w:rPr>
  </w:style>
  <w:style w:type="character" w:customStyle="1" w:styleId="HeaderChar">
    <w:name w:val="Header Char"/>
    <w:basedOn w:val="DefaultParagraphFont"/>
    <w:link w:val="Header"/>
    <w:uiPriority w:val="99"/>
    <w:rsid w:val="003A6FC0"/>
    <w:rPr>
      <w:sz w:val="22"/>
      <w:szCs w:val="22"/>
      <w:lang w:val="en-GB"/>
    </w:rPr>
  </w:style>
  <w:style w:type="character" w:customStyle="1" w:styleId="FooterChar">
    <w:name w:val="Footer Char"/>
    <w:basedOn w:val="DefaultParagraphFont"/>
    <w:link w:val="Footer"/>
    <w:uiPriority w:val="99"/>
    <w:rsid w:val="003A6FC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UNEP/OzL.Pro/ExCom/83/34</Document_x0020_Number>
    <DocumentType xmlns="64e33b30-101d-41de-b951-961aab25ea29">Pre-session</DocumentType>
  </documentManagement>
</p:properties>
</file>

<file path=customXml/itemProps1.xml><?xml version="1.0" encoding="utf-8"?>
<ds:datastoreItem xmlns:ds="http://schemas.openxmlformats.org/officeDocument/2006/customXml" ds:itemID="{3B2D310F-1EB4-46DB-AF1A-A46536E238B5}"/>
</file>

<file path=customXml/itemProps2.xml><?xml version="1.0" encoding="utf-8"?>
<ds:datastoreItem xmlns:ds="http://schemas.openxmlformats.org/officeDocument/2006/customXml" ds:itemID="{C9AEEE5C-A39E-435D-A444-2DD3D3CAF90D}"/>
</file>

<file path=customXml/itemProps3.xml><?xml version="1.0" encoding="utf-8"?>
<ds:datastoreItem xmlns:ds="http://schemas.openxmlformats.org/officeDocument/2006/customXml" ds:itemID="{EA4FF4EE-D340-4A83-8431-5AEFA1000941}"/>
</file>

<file path=customXml/itemProps4.xml><?xml version="1.0" encoding="utf-8"?>
<ds:datastoreItem xmlns:ds="http://schemas.openxmlformats.org/officeDocument/2006/customXml" ds:itemID="{17120357-DE9E-4F09-9613-78ACD8FF26C6}"/>
</file>

<file path=docProps/app.xml><?xml version="1.0" encoding="utf-8"?>
<Properties xmlns="http://schemas.openxmlformats.org/officeDocument/2006/extended-properties" xmlns:vt="http://schemas.openxmlformats.org/officeDocument/2006/docPropsVTypes">
  <Template>Eec83G</Template>
  <TotalTime>63</TotalTime>
  <Pages>12</Pages>
  <Words>3707</Words>
  <Characters>20843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Project Proposal: Pakistan</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Pakistan</dc:title>
  <dc:creator/>
  <cp:lastModifiedBy>HBE</cp:lastModifiedBy>
  <cp:revision>20</cp:revision>
  <cp:lastPrinted>2001-05-26T16:40:00Z</cp:lastPrinted>
  <dcterms:created xsi:type="dcterms:W3CDTF">2019-05-03T21:31:00Z</dcterms:created>
  <dcterms:modified xsi:type="dcterms:W3CDTF">2019-05-03T23:33:00Z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UNEP/OzL.Pro/ExCom/83/34</vt:lpwstr>
  </property>
  <property fmtid="{D5CDD505-2E9C-101B-9397-08002B2CF9AE}" pid="3" name="Revision date">
    <vt:lpwstr>5/3/2019</vt:lpwstr>
  </property>
  <property fmtid="{D5CDD505-2E9C-101B-9397-08002B2CF9AE}" pid="4" name="ContentTypeId">
    <vt:lpwstr>0x010100762D6C4AB31DDB43B4A5CC9B954409C8</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