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Pr="00DC4384" w:rsidRDefault="00490BCB" w:rsidP="00C27E9F">
      <w:pPr>
        <w:ind w:left="4320" w:firstLine="720"/>
      </w:pPr>
      <w:r w:rsidRPr="00DC4384">
        <w:rPr>
          <w:noProof/>
          <w:lang w:val="en-CA" w:eastAsia="en-CA"/>
        </w:rPr>
        <w:drawing>
          <wp:anchor distT="0" distB="0" distL="114300" distR="114300" simplePos="0" relativeHeight="251661312" behindDoc="1" locked="0" layoutInCell="1" allowOverlap="1">
            <wp:simplePos x="0" y="0"/>
            <wp:positionH relativeFrom="page">
              <wp:posOffset>914400</wp:posOffset>
            </wp:positionH>
            <wp:positionV relativeFrom="paragraph">
              <wp:posOffset>-950595</wp:posOffset>
            </wp:positionV>
            <wp:extent cx="5940000" cy="2973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000" cy="2973600"/>
                    </a:xfrm>
                    <a:prstGeom prst="rect">
                      <a:avLst/>
                    </a:prstGeom>
                  </pic:spPr>
                </pic:pic>
              </a:graphicData>
            </a:graphic>
            <wp14:sizeRelH relativeFrom="page">
              <wp14:pctWidth>0</wp14:pctWidth>
            </wp14:sizeRelH>
            <wp14:sizeRelV relativeFrom="page">
              <wp14:pctHeight>0</wp14:pctHeight>
            </wp14:sizeRelV>
          </wp:anchor>
        </w:drawing>
      </w:r>
      <w:r w:rsidR="00C27E9F" w:rsidRPr="00DC4384">
        <w:rPr>
          <w:noProof/>
          <w:lang w:val="en-US" w:eastAsia="zh-CN"/>
        </w:rPr>
        <w:br/>
      </w:r>
      <w:r w:rsidR="00C27E9F" w:rsidRPr="00DC4384">
        <w:rPr>
          <w:lang w:val="en-CA"/>
        </w:rPr>
        <w:t xml:space="preserve">               </w:t>
      </w:r>
      <w:r w:rsidR="00C27E9F" w:rsidRPr="00DC4384">
        <w:rPr>
          <w:lang w:val="en-CA"/>
        </w:rPr>
        <w:fldChar w:fldCharType="begin"/>
      </w:r>
      <w:r w:rsidR="00C27E9F" w:rsidRPr="00DC4384">
        <w:rPr>
          <w:lang w:val="en-CA"/>
        </w:rPr>
        <w:instrText xml:space="preserve"> DOCPROPERTY "Document number"  \* MERGEFORMAT </w:instrText>
      </w:r>
      <w:r w:rsidR="00C27E9F" w:rsidRPr="00DC4384">
        <w:rPr>
          <w:lang w:val="en-CA"/>
        </w:rPr>
        <w:fldChar w:fldCharType="separate"/>
      </w:r>
      <w:r w:rsidR="00DB3EB6" w:rsidRPr="00DC4384">
        <w:rPr>
          <w:lang w:val="en-CA"/>
        </w:rPr>
        <w:t>UNEP/</w:t>
      </w:r>
      <w:proofErr w:type="spellStart"/>
      <w:r w:rsidR="00DB3EB6" w:rsidRPr="00DC4384">
        <w:rPr>
          <w:lang w:val="en-CA"/>
        </w:rPr>
        <w:t>OzL.Pro</w:t>
      </w:r>
      <w:proofErr w:type="spellEnd"/>
      <w:r w:rsidR="00DB3EB6" w:rsidRPr="00DC4384">
        <w:rPr>
          <w:lang w:val="en-CA"/>
        </w:rPr>
        <w:t>/</w:t>
      </w:r>
      <w:proofErr w:type="spellStart"/>
      <w:r w:rsidR="00DB3EB6" w:rsidRPr="00DC4384">
        <w:rPr>
          <w:lang w:val="en-CA"/>
        </w:rPr>
        <w:t>ExCom</w:t>
      </w:r>
      <w:proofErr w:type="spellEnd"/>
      <w:r w:rsidR="00DB3EB6" w:rsidRPr="00DC4384">
        <w:rPr>
          <w:lang w:val="en-CA"/>
        </w:rPr>
        <w:t>/83/30</w:t>
      </w:r>
      <w:r w:rsidR="00C27E9F" w:rsidRPr="00DC4384">
        <w:rPr>
          <w:lang w:val="en-CA"/>
        </w:rPr>
        <w:fldChar w:fldCharType="end"/>
      </w:r>
    </w:p>
    <w:p w:rsidR="00C27E9F" w:rsidRPr="00DC4384" w:rsidRDefault="00C27E9F" w:rsidP="00C27E9F">
      <w:pPr>
        <w:ind w:left="5040"/>
        <w:rPr>
          <w:lang w:val="en-CA"/>
        </w:rPr>
      </w:pPr>
      <w:r w:rsidRPr="00DC4384">
        <w:rPr>
          <w:lang w:val="en-CA"/>
        </w:rPr>
        <w:t xml:space="preserve">  </w:t>
      </w:r>
      <w:r w:rsidRPr="00DC4384">
        <w:rPr>
          <w:lang w:val="en-CA"/>
        </w:rPr>
        <w:fldChar w:fldCharType="begin"/>
      </w:r>
      <w:r w:rsidRPr="00DC4384">
        <w:rPr>
          <w:lang w:val="en-CA"/>
        </w:rPr>
        <w:instrText xml:space="preserve"> DOCPROPERTY "Revision date" \@ "d MMMM YYYY"  \* MERGEFORMAT </w:instrText>
      </w:r>
      <w:r w:rsidRPr="00DC4384">
        <w:rPr>
          <w:lang w:val="en-CA"/>
        </w:rPr>
        <w:fldChar w:fldCharType="separate"/>
      </w:r>
      <w:r w:rsidR="00FD3BC0" w:rsidRPr="00DC4384">
        <w:rPr>
          <w:lang w:val="en-CA"/>
        </w:rPr>
        <w:t>29 April 2019</w:t>
      </w:r>
      <w:r w:rsidRPr="00DC4384">
        <w:rPr>
          <w:lang w:val="en-CA"/>
        </w:rPr>
        <w:fldChar w:fldCharType="end"/>
      </w:r>
    </w:p>
    <w:p w:rsidR="00490BCB" w:rsidRPr="00DC4384" w:rsidRDefault="00490BCB">
      <w:pPr>
        <w:rPr>
          <w:lang w:val="en-CA"/>
        </w:rPr>
      </w:pPr>
    </w:p>
    <w:p w:rsidR="00490BCB" w:rsidRPr="00DC4384" w:rsidRDefault="00490BCB"/>
    <w:p w:rsidR="00490BCB" w:rsidRPr="00DC4384" w:rsidRDefault="00490BCB"/>
    <w:p w:rsidR="00490BCB" w:rsidRPr="00DC4384" w:rsidRDefault="00490BCB"/>
    <w:p w:rsidR="00490BCB" w:rsidRPr="00DC4384" w:rsidRDefault="00490BCB"/>
    <w:p w:rsidR="00490BCB" w:rsidRPr="00DC4384" w:rsidRDefault="00C27E9F" w:rsidP="00C27E9F">
      <w:pPr>
        <w:tabs>
          <w:tab w:val="left" w:pos="1850"/>
        </w:tabs>
      </w:pPr>
      <w:r w:rsidRPr="00DC4384">
        <w:tab/>
      </w:r>
    </w:p>
    <w:p w:rsidR="00490BCB" w:rsidRPr="00DC4384" w:rsidRDefault="00490BCB"/>
    <w:p w:rsidR="00490BCB" w:rsidRPr="00DC4384" w:rsidRDefault="00490BCB"/>
    <w:p w:rsidR="00490BCB" w:rsidRPr="00DC4384" w:rsidRDefault="00490BCB"/>
    <w:p w:rsidR="00C15867" w:rsidRPr="00DC4384" w:rsidRDefault="00C15867" w:rsidP="009960E5">
      <w:pPr>
        <w:jc w:val="left"/>
        <w:rPr>
          <w:lang w:val="en-CA"/>
        </w:rPr>
      </w:pPr>
    </w:p>
    <w:p w:rsidR="004E7F9C" w:rsidRPr="00DC4384" w:rsidRDefault="004E7F9C" w:rsidP="004E7F9C">
      <w:pPr>
        <w:pStyle w:val="Title1"/>
        <w:rPr>
          <w:lang w:val="en-CA"/>
        </w:rPr>
      </w:pPr>
    </w:p>
    <w:p w:rsidR="00FE3307" w:rsidRPr="00DC4384" w:rsidRDefault="00C27E9F" w:rsidP="000858D0">
      <w:pPr>
        <w:jc w:val="center"/>
        <w:rPr>
          <w:b/>
          <w:color w:val="0070C0"/>
          <w:lang w:val="en-CA"/>
        </w:rPr>
      </w:pPr>
      <w:r w:rsidRPr="00DC4384">
        <w:rPr>
          <w:b/>
          <w:color w:val="0070C0"/>
          <w:lang w:val="en-CA"/>
        </w:rPr>
        <w:br/>
      </w:r>
    </w:p>
    <w:p w:rsidR="00FE3307" w:rsidRPr="00DC4384" w:rsidRDefault="00FE3307" w:rsidP="000858D0">
      <w:pPr>
        <w:rPr>
          <w:lang w:val="en-CA"/>
        </w:rPr>
      </w:pPr>
    </w:p>
    <w:p w:rsidR="00FE3307" w:rsidRPr="00DC4384" w:rsidRDefault="00FE3307" w:rsidP="000858D0">
      <w:pPr>
        <w:jc w:val="center"/>
        <w:rPr>
          <w:b/>
          <w:lang w:val="en-CA"/>
        </w:rPr>
      </w:pPr>
      <w:r w:rsidRPr="00DC4384">
        <w:rPr>
          <w:b/>
          <w:lang w:val="en-CA"/>
        </w:rPr>
        <w:t xml:space="preserve">PROJECT PROPOSAL:  </w:t>
      </w:r>
      <w:r w:rsidR="00F665A9" w:rsidRPr="00DC4384">
        <w:rPr>
          <w:b/>
          <w:lang w:val="en-CA"/>
        </w:rPr>
        <w:t>MALI</w:t>
      </w:r>
    </w:p>
    <w:p w:rsidR="00FE3307" w:rsidRPr="00DC4384" w:rsidRDefault="00FE3307" w:rsidP="000858D0">
      <w:pPr>
        <w:rPr>
          <w:lang w:val="en-CA"/>
        </w:rPr>
      </w:pPr>
    </w:p>
    <w:p w:rsidR="00FE3307" w:rsidRPr="00DC4384" w:rsidRDefault="00FE3307" w:rsidP="000858D0">
      <w:pPr>
        <w:rPr>
          <w:lang w:val="en-CA"/>
        </w:rPr>
      </w:pPr>
    </w:p>
    <w:p w:rsidR="00FE3307" w:rsidRPr="00DC4384" w:rsidRDefault="00FE3307" w:rsidP="000858D0">
      <w:pPr>
        <w:ind w:firstLine="720"/>
        <w:rPr>
          <w:lang w:val="en-CA"/>
        </w:rPr>
      </w:pPr>
      <w:r w:rsidRPr="00DC4384">
        <w:rPr>
          <w:lang w:val="en-CA"/>
        </w:rPr>
        <w:t xml:space="preserve">This document consists of the comments and recommendation of the Secretariat on the following project proposal: </w:t>
      </w:r>
    </w:p>
    <w:p w:rsidR="00FE3307" w:rsidRPr="00DC4384" w:rsidRDefault="00FE3307" w:rsidP="000858D0">
      <w:pPr>
        <w:rPr>
          <w:lang w:val="en-CA"/>
        </w:rPr>
      </w:pPr>
    </w:p>
    <w:p w:rsidR="00FE3307" w:rsidRPr="00DC4384" w:rsidRDefault="00FE3307" w:rsidP="000858D0">
      <w:pPr>
        <w:rPr>
          <w:u w:val="single"/>
          <w:lang w:val="en-CA"/>
        </w:rPr>
      </w:pPr>
      <w:r w:rsidRPr="00DC4384">
        <w:rPr>
          <w:u w:val="single"/>
          <w:lang w:val="en-CA"/>
        </w:rPr>
        <w:t>Phase-out</w:t>
      </w:r>
    </w:p>
    <w:p w:rsidR="00FE3307" w:rsidRPr="00DC4384" w:rsidRDefault="00FE3307" w:rsidP="000858D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E3307" w:rsidRPr="00DC4384" w:rsidTr="000B2B04">
        <w:tc>
          <w:tcPr>
            <w:tcW w:w="6941" w:type="dxa"/>
          </w:tcPr>
          <w:p w:rsidR="00FE3307" w:rsidRPr="00DC4384" w:rsidRDefault="00FE3307" w:rsidP="000858D0">
            <w:pPr>
              <w:pStyle w:val="ListParagraph"/>
              <w:numPr>
                <w:ilvl w:val="0"/>
                <w:numId w:val="21"/>
              </w:numPr>
              <w:ind w:hanging="830"/>
              <w:rPr>
                <w:lang w:val="en-CA"/>
              </w:rPr>
            </w:pPr>
            <w:r w:rsidRPr="00DC4384">
              <w:rPr>
                <w:lang w:val="en-CA"/>
              </w:rPr>
              <w:t xml:space="preserve">HCFC phase-out management plan (stage I, </w:t>
            </w:r>
            <w:r w:rsidR="00F665A9" w:rsidRPr="00DC4384">
              <w:rPr>
                <w:lang w:val="en-CA"/>
              </w:rPr>
              <w:t xml:space="preserve">fourth </w:t>
            </w:r>
            <w:r w:rsidRPr="00DC4384">
              <w:rPr>
                <w:lang w:val="en-CA"/>
              </w:rPr>
              <w:t>tranche)</w:t>
            </w:r>
          </w:p>
        </w:tc>
        <w:tc>
          <w:tcPr>
            <w:tcW w:w="2409" w:type="dxa"/>
          </w:tcPr>
          <w:p w:rsidR="00FE3307" w:rsidRPr="00DC4384" w:rsidRDefault="00F665A9" w:rsidP="000858D0">
            <w:pPr>
              <w:jc w:val="right"/>
              <w:rPr>
                <w:lang w:val="en-CA"/>
              </w:rPr>
            </w:pPr>
            <w:r w:rsidRPr="00DC4384">
              <w:rPr>
                <w:lang w:val="en-CA"/>
              </w:rPr>
              <w:t>UNEP and UNDP</w:t>
            </w:r>
          </w:p>
        </w:tc>
      </w:tr>
    </w:tbl>
    <w:p w:rsidR="00FE3307" w:rsidRPr="00DC4384" w:rsidRDefault="00FE3307" w:rsidP="000858D0">
      <w:pPr>
        <w:rPr>
          <w:lang w:val="en-CA"/>
        </w:rPr>
      </w:pPr>
    </w:p>
    <w:p w:rsidR="00FE3307" w:rsidRPr="00DC4384" w:rsidRDefault="00FE3307" w:rsidP="000858D0">
      <w:pPr>
        <w:rPr>
          <w:lang w:val="en-CA"/>
        </w:rPr>
      </w:pPr>
    </w:p>
    <w:p w:rsidR="00FE3307" w:rsidRPr="00DC4384" w:rsidRDefault="00FE3307" w:rsidP="000858D0">
      <w:pPr>
        <w:rPr>
          <w:lang w:val="en-CA"/>
        </w:rPr>
      </w:pPr>
    </w:p>
    <w:p w:rsidR="00FE3307" w:rsidRPr="00DC4384" w:rsidRDefault="00FE3307" w:rsidP="000858D0">
      <w:pPr>
        <w:rPr>
          <w:lang w:val="en-CA"/>
        </w:rPr>
      </w:pPr>
      <w:r w:rsidRPr="00DC4384">
        <w:rPr>
          <w:lang w:val="en-CA"/>
        </w:rPr>
        <w:br w:type="page"/>
      </w:r>
    </w:p>
    <w:p w:rsidR="00FE3307" w:rsidRPr="00DC4384" w:rsidRDefault="00FE3307" w:rsidP="000858D0">
      <w:pPr>
        <w:jc w:val="center"/>
        <w:rPr>
          <w:b/>
          <w:lang w:val="en-CA"/>
        </w:rPr>
      </w:pPr>
      <w:r w:rsidRPr="00DC4384">
        <w:rPr>
          <w:b/>
          <w:lang w:val="en-CA"/>
        </w:rPr>
        <w:lastRenderedPageBreak/>
        <w:t>PROJECT EVALUATION SHEET – MULTI-YEAR PROJECTS</w:t>
      </w:r>
    </w:p>
    <w:p w:rsidR="00FE3307" w:rsidRPr="00DC4384" w:rsidRDefault="00FE3307" w:rsidP="000858D0">
      <w:pPr>
        <w:jc w:val="center"/>
        <w:rPr>
          <w:lang w:val="en-CA"/>
        </w:rPr>
      </w:pPr>
    </w:p>
    <w:p w:rsidR="00FE3307" w:rsidRPr="00DC4384" w:rsidRDefault="00F665A9" w:rsidP="000858D0">
      <w:pPr>
        <w:jc w:val="center"/>
        <w:rPr>
          <w:b/>
          <w:lang w:val="en-CA"/>
        </w:rPr>
      </w:pPr>
      <w:r w:rsidRPr="00DC4384">
        <w:rPr>
          <w:b/>
          <w:lang w:val="en-CA"/>
        </w:rPr>
        <w:t>Mali</w:t>
      </w:r>
    </w:p>
    <w:p w:rsidR="00FE3307" w:rsidRPr="00DC4384" w:rsidRDefault="00FE3307" w:rsidP="000858D0">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F665A9" w:rsidRPr="00DC4384" w:rsidTr="009B37E9">
        <w:trPr>
          <w:trHeight w:hRule="exact" w:val="227"/>
        </w:trPr>
        <w:tc>
          <w:tcPr>
            <w:tcW w:w="2499" w:type="dxa"/>
            <w:shd w:val="clear" w:color="auto" w:fill="auto"/>
          </w:tcPr>
          <w:p w:rsidR="00F665A9" w:rsidRPr="00DC4384" w:rsidRDefault="00F665A9" w:rsidP="000858D0">
            <w:pPr>
              <w:spacing w:after="80"/>
              <w:jc w:val="left"/>
              <w:rPr>
                <w:b/>
                <w:sz w:val="18"/>
                <w:lang w:val="en-CA"/>
              </w:rPr>
            </w:pPr>
            <w:r w:rsidRPr="00DC4384">
              <w:rPr>
                <w:b/>
                <w:sz w:val="18"/>
                <w:lang w:val="en-CA"/>
              </w:rPr>
              <w:t>(I) PROJECT TITLE</w:t>
            </w:r>
          </w:p>
        </w:tc>
        <w:tc>
          <w:tcPr>
            <w:tcW w:w="2499" w:type="dxa"/>
            <w:shd w:val="clear" w:color="auto" w:fill="auto"/>
          </w:tcPr>
          <w:p w:rsidR="00F665A9" w:rsidRPr="00DC4384" w:rsidRDefault="00F665A9" w:rsidP="000858D0">
            <w:pPr>
              <w:spacing w:after="80"/>
              <w:jc w:val="center"/>
              <w:rPr>
                <w:b/>
                <w:sz w:val="18"/>
                <w:lang w:val="en-CA"/>
              </w:rPr>
            </w:pPr>
            <w:r w:rsidRPr="00DC4384">
              <w:rPr>
                <w:b/>
                <w:sz w:val="18"/>
                <w:lang w:val="en-CA"/>
              </w:rPr>
              <w:t>AGENCY</w:t>
            </w:r>
          </w:p>
        </w:tc>
        <w:tc>
          <w:tcPr>
            <w:tcW w:w="2501" w:type="dxa"/>
            <w:shd w:val="clear" w:color="auto" w:fill="auto"/>
          </w:tcPr>
          <w:p w:rsidR="00F665A9" w:rsidRPr="00DC4384" w:rsidRDefault="00F665A9" w:rsidP="000858D0">
            <w:pPr>
              <w:spacing w:after="80"/>
              <w:jc w:val="center"/>
              <w:rPr>
                <w:b/>
                <w:sz w:val="18"/>
                <w:lang w:val="en-CA"/>
              </w:rPr>
            </w:pPr>
            <w:r w:rsidRPr="00DC4384">
              <w:rPr>
                <w:b/>
                <w:sz w:val="18"/>
                <w:lang w:val="en-CA"/>
              </w:rPr>
              <w:t>MEETING APPROVED</w:t>
            </w:r>
          </w:p>
        </w:tc>
        <w:tc>
          <w:tcPr>
            <w:tcW w:w="2501" w:type="dxa"/>
            <w:shd w:val="clear" w:color="auto" w:fill="auto"/>
          </w:tcPr>
          <w:p w:rsidR="00F665A9" w:rsidRPr="00DC4384" w:rsidRDefault="00F665A9" w:rsidP="000858D0">
            <w:pPr>
              <w:spacing w:after="80"/>
              <w:jc w:val="center"/>
              <w:rPr>
                <w:b/>
                <w:sz w:val="18"/>
                <w:lang w:val="en-CA"/>
              </w:rPr>
            </w:pPr>
            <w:r w:rsidRPr="00DC4384">
              <w:rPr>
                <w:b/>
                <w:sz w:val="18"/>
                <w:lang w:val="en-CA"/>
              </w:rPr>
              <w:t>CONTROL MEASURE</w:t>
            </w:r>
          </w:p>
        </w:tc>
      </w:tr>
      <w:tr w:rsidR="00F665A9" w:rsidRPr="00DC4384" w:rsidTr="009B37E9">
        <w:trPr>
          <w:trHeight w:hRule="exact" w:val="227"/>
        </w:trPr>
        <w:tc>
          <w:tcPr>
            <w:tcW w:w="2499" w:type="dxa"/>
            <w:shd w:val="clear" w:color="auto" w:fill="auto"/>
          </w:tcPr>
          <w:p w:rsidR="00F665A9" w:rsidRPr="00DC4384" w:rsidRDefault="00F665A9" w:rsidP="000858D0">
            <w:pPr>
              <w:spacing w:after="80"/>
              <w:jc w:val="center"/>
              <w:rPr>
                <w:sz w:val="18"/>
                <w:lang w:val="en-CA"/>
              </w:rPr>
            </w:pPr>
            <w:r w:rsidRPr="00DC4384">
              <w:rPr>
                <w:sz w:val="18"/>
                <w:lang w:val="en-CA"/>
              </w:rPr>
              <w:t>HCFC phase out plan (Stage I)</w:t>
            </w:r>
          </w:p>
        </w:tc>
        <w:tc>
          <w:tcPr>
            <w:tcW w:w="2499" w:type="dxa"/>
            <w:shd w:val="clear" w:color="auto" w:fill="auto"/>
          </w:tcPr>
          <w:p w:rsidR="00F665A9" w:rsidRPr="00DC4384" w:rsidRDefault="00F665A9" w:rsidP="000858D0">
            <w:pPr>
              <w:spacing w:after="80"/>
              <w:jc w:val="center"/>
              <w:rPr>
                <w:sz w:val="18"/>
                <w:lang w:val="en-CA"/>
              </w:rPr>
            </w:pPr>
            <w:r w:rsidRPr="00DC4384">
              <w:rPr>
                <w:sz w:val="18"/>
                <w:lang w:val="en-CA"/>
              </w:rPr>
              <w:t>UNDP, UNEP (lead)</w:t>
            </w:r>
          </w:p>
        </w:tc>
        <w:tc>
          <w:tcPr>
            <w:tcW w:w="2501" w:type="dxa"/>
            <w:shd w:val="clear" w:color="auto" w:fill="auto"/>
          </w:tcPr>
          <w:p w:rsidR="00F665A9" w:rsidRPr="00DC4384" w:rsidRDefault="00F665A9" w:rsidP="000858D0">
            <w:pPr>
              <w:spacing w:after="80"/>
              <w:jc w:val="center"/>
              <w:rPr>
                <w:sz w:val="18"/>
                <w:lang w:val="en-CA"/>
              </w:rPr>
            </w:pPr>
            <w:r w:rsidRPr="00DC4384">
              <w:rPr>
                <w:sz w:val="18"/>
                <w:lang w:val="en-CA"/>
              </w:rPr>
              <w:t>63</w:t>
            </w:r>
            <w:r w:rsidRPr="00DC4384">
              <w:rPr>
                <w:sz w:val="18"/>
                <w:vertAlign w:val="superscript"/>
                <w:lang w:val="en-CA"/>
              </w:rPr>
              <w:t>rd</w:t>
            </w:r>
          </w:p>
        </w:tc>
        <w:tc>
          <w:tcPr>
            <w:tcW w:w="2501" w:type="dxa"/>
            <w:shd w:val="clear" w:color="auto" w:fill="auto"/>
          </w:tcPr>
          <w:p w:rsidR="00F665A9" w:rsidRPr="00DC4384" w:rsidRDefault="00285234" w:rsidP="000858D0">
            <w:pPr>
              <w:spacing w:after="80"/>
              <w:jc w:val="center"/>
              <w:rPr>
                <w:sz w:val="18"/>
                <w:lang w:val="en-CA"/>
              </w:rPr>
            </w:pPr>
            <w:r w:rsidRPr="00DC4384">
              <w:rPr>
                <w:sz w:val="18"/>
                <w:lang w:val="en-CA"/>
              </w:rPr>
              <w:t>35%</w:t>
            </w:r>
            <w:r w:rsidR="00F665A9" w:rsidRPr="00DC4384">
              <w:rPr>
                <w:sz w:val="18"/>
                <w:lang w:val="en-CA"/>
              </w:rPr>
              <w:t xml:space="preserve"> by 2020</w:t>
            </w:r>
          </w:p>
        </w:tc>
      </w:tr>
    </w:tbl>
    <w:p w:rsidR="00F665A9" w:rsidRPr="00DC4384" w:rsidRDefault="00F665A9" w:rsidP="000858D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F665A9" w:rsidRPr="00DC4384" w:rsidTr="009B37E9">
        <w:trPr>
          <w:trHeight w:hRule="exact" w:val="238"/>
        </w:trPr>
        <w:tc>
          <w:tcPr>
            <w:tcW w:w="5200" w:type="dxa"/>
            <w:shd w:val="clear" w:color="auto" w:fill="auto"/>
          </w:tcPr>
          <w:p w:rsidR="00F665A9" w:rsidRPr="00DC4384" w:rsidRDefault="00F665A9" w:rsidP="000858D0">
            <w:pPr>
              <w:spacing w:after="60"/>
              <w:jc w:val="left"/>
              <w:rPr>
                <w:b/>
                <w:sz w:val="18"/>
                <w:lang w:val="en-CA"/>
              </w:rPr>
            </w:pPr>
            <w:r w:rsidRPr="00DC4384">
              <w:rPr>
                <w:b/>
                <w:sz w:val="18"/>
                <w:lang w:val="en-CA"/>
              </w:rPr>
              <w:t>(II) LATEST ARTICLE 7 DATA (Annex C Group l)</w:t>
            </w:r>
          </w:p>
        </w:tc>
        <w:tc>
          <w:tcPr>
            <w:tcW w:w="2400" w:type="dxa"/>
            <w:shd w:val="clear" w:color="auto" w:fill="auto"/>
          </w:tcPr>
          <w:p w:rsidR="00F665A9" w:rsidRPr="00DC4384" w:rsidRDefault="00F665A9" w:rsidP="000858D0">
            <w:pPr>
              <w:spacing w:after="60"/>
              <w:jc w:val="center"/>
              <w:rPr>
                <w:sz w:val="18"/>
                <w:lang w:val="en-CA"/>
              </w:rPr>
            </w:pPr>
            <w:r w:rsidRPr="00DC4384">
              <w:rPr>
                <w:sz w:val="18"/>
                <w:lang w:val="en-CA"/>
              </w:rPr>
              <w:t>Year: 201</w:t>
            </w:r>
            <w:r w:rsidR="007509DA" w:rsidRPr="00DC4384">
              <w:rPr>
                <w:sz w:val="18"/>
                <w:lang w:val="en-CA"/>
              </w:rPr>
              <w:t>8</w:t>
            </w:r>
          </w:p>
        </w:tc>
        <w:tc>
          <w:tcPr>
            <w:tcW w:w="2400" w:type="dxa"/>
            <w:shd w:val="clear" w:color="auto" w:fill="auto"/>
          </w:tcPr>
          <w:p w:rsidR="00F665A9" w:rsidRPr="00DC4384" w:rsidRDefault="00F665A9" w:rsidP="000858D0">
            <w:pPr>
              <w:spacing w:after="60"/>
              <w:jc w:val="right"/>
              <w:rPr>
                <w:sz w:val="18"/>
                <w:lang w:val="en-CA"/>
              </w:rPr>
            </w:pPr>
            <w:r w:rsidRPr="00DC4384">
              <w:rPr>
                <w:sz w:val="18"/>
                <w:lang w:val="en-CA"/>
              </w:rPr>
              <w:t>9.</w:t>
            </w:r>
            <w:r w:rsidR="000B2B04" w:rsidRPr="00DC4384">
              <w:rPr>
                <w:sz w:val="18"/>
                <w:lang w:val="en-CA"/>
              </w:rPr>
              <w:t>08</w:t>
            </w:r>
            <w:r w:rsidRPr="00DC4384">
              <w:rPr>
                <w:sz w:val="18"/>
                <w:lang w:val="en-CA"/>
              </w:rPr>
              <w:t xml:space="preserve"> (ODP tonnes)</w:t>
            </w:r>
          </w:p>
        </w:tc>
      </w:tr>
    </w:tbl>
    <w:p w:rsidR="00F665A9" w:rsidRPr="00DC4384" w:rsidRDefault="00F665A9" w:rsidP="000858D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F665A9" w:rsidRPr="00DC4384" w:rsidTr="009B37E9">
        <w:trPr>
          <w:trHeight w:hRule="exact" w:val="227"/>
        </w:trPr>
        <w:tc>
          <w:tcPr>
            <w:tcW w:w="0" w:type="auto"/>
            <w:gridSpan w:val="8"/>
            <w:shd w:val="clear" w:color="auto" w:fill="auto"/>
          </w:tcPr>
          <w:p w:rsidR="00F665A9" w:rsidRPr="00DC4384" w:rsidRDefault="00F665A9" w:rsidP="000858D0">
            <w:pPr>
              <w:spacing w:after="60"/>
              <w:jc w:val="left"/>
              <w:rPr>
                <w:b/>
                <w:sz w:val="18"/>
                <w:lang w:val="en-CA"/>
              </w:rPr>
            </w:pPr>
            <w:r w:rsidRPr="00DC4384">
              <w:rPr>
                <w:b/>
                <w:sz w:val="18"/>
                <w:lang w:val="en-CA"/>
              </w:rPr>
              <w:t>(III) LATEST COUNTRY PROGRAMME SECTORAL DATA (ODP tonnes)</w:t>
            </w:r>
          </w:p>
        </w:tc>
        <w:tc>
          <w:tcPr>
            <w:tcW w:w="0" w:type="auto"/>
            <w:gridSpan w:val="2"/>
            <w:shd w:val="clear" w:color="auto" w:fill="auto"/>
          </w:tcPr>
          <w:p w:rsidR="00F665A9" w:rsidRPr="00DC4384" w:rsidRDefault="00F665A9" w:rsidP="000858D0">
            <w:pPr>
              <w:spacing w:after="60"/>
              <w:jc w:val="right"/>
              <w:rPr>
                <w:b/>
                <w:sz w:val="18"/>
                <w:lang w:val="en-CA"/>
              </w:rPr>
            </w:pPr>
            <w:r w:rsidRPr="00DC4384">
              <w:rPr>
                <w:b/>
                <w:sz w:val="18"/>
                <w:lang w:val="en-CA"/>
              </w:rPr>
              <w:t>Year: 201</w:t>
            </w:r>
            <w:r w:rsidR="007509DA" w:rsidRPr="00DC4384">
              <w:rPr>
                <w:b/>
                <w:sz w:val="18"/>
                <w:lang w:val="en-CA"/>
              </w:rPr>
              <w:t>8</w:t>
            </w:r>
          </w:p>
        </w:tc>
      </w:tr>
      <w:tr w:rsidR="00F665A9" w:rsidRPr="00DC4384" w:rsidTr="009B37E9">
        <w:trPr>
          <w:trHeight w:hRule="exact" w:val="454"/>
        </w:trPr>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Chemical</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Aerosol</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Foam</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Fire fighting</w:t>
            </w:r>
          </w:p>
        </w:tc>
        <w:tc>
          <w:tcPr>
            <w:tcW w:w="0" w:type="auto"/>
            <w:gridSpan w:val="2"/>
            <w:shd w:val="clear" w:color="auto" w:fill="auto"/>
          </w:tcPr>
          <w:p w:rsidR="00F665A9" w:rsidRPr="00DC4384" w:rsidRDefault="00F665A9" w:rsidP="000858D0">
            <w:pPr>
              <w:spacing w:after="60"/>
              <w:jc w:val="center"/>
              <w:rPr>
                <w:sz w:val="18"/>
                <w:lang w:val="en-CA"/>
              </w:rPr>
            </w:pPr>
            <w:r w:rsidRPr="00DC4384">
              <w:rPr>
                <w:sz w:val="18"/>
                <w:lang w:val="en-CA"/>
              </w:rPr>
              <w:t>Refrigeration</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Solvent</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Process agent</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Lab use</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Total sector consumption</w:t>
            </w:r>
          </w:p>
        </w:tc>
      </w:tr>
      <w:tr w:rsidR="00F665A9" w:rsidRPr="00DC4384" w:rsidTr="009B37E9">
        <w:trPr>
          <w:trHeight w:hRule="exact" w:val="227"/>
        </w:trPr>
        <w:tc>
          <w:tcPr>
            <w:tcW w:w="0" w:type="auto"/>
            <w:gridSpan w:val="4"/>
            <w:shd w:val="clear" w:color="auto" w:fill="auto"/>
          </w:tcPr>
          <w:p w:rsidR="00F665A9" w:rsidRPr="00DC4384" w:rsidRDefault="00F665A9" w:rsidP="000858D0">
            <w:pPr>
              <w:spacing w:after="60"/>
              <w:jc w:val="center"/>
              <w:rPr>
                <w:sz w:val="18"/>
                <w:lang w:val="en-CA"/>
              </w:rPr>
            </w:pPr>
            <w:r w:rsidRPr="00DC4384">
              <w:rPr>
                <w:sz w:val="18"/>
                <w:lang w:val="en-CA"/>
              </w:rPr>
              <w:t xml:space="preserve"> </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Manufacturing</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Servicing</w:t>
            </w:r>
          </w:p>
        </w:tc>
        <w:tc>
          <w:tcPr>
            <w:tcW w:w="0" w:type="auto"/>
            <w:gridSpan w:val="4"/>
            <w:shd w:val="clear" w:color="auto" w:fill="auto"/>
          </w:tcPr>
          <w:p w:rsidR="00F665A9" w:rsidRPr="00DC4384" w:rsidRDefault="00F665A9" w:rsidP="000858D0">
            <w:pPr>
              <w:spacing w:after="60"/>
              <w:jc w:val="center"/>
              <w:rPr>
                <w:sz w:val="18"/>
                <w:lang w:val="en-CA"/>
              </w:rPr>
            </w:pPr>
          </w:p>
        </w:tc>
      </w:tr>
      <w:tr w:rsidR="00F665A9" w:rsidRPr="00DC4384" w:rsidTr="009B37E9">
        <w:trPr>
          <w:trHeight w:hRule="exact" w:val="227"/>
        </w:trPr>
        <w:tc>
          <w:tcPr>
            <w:tcW w:w="1200" w:type="dxa"/>
            <w:shd w:val="clear" w:color="auto" w:fill="auto"/>
          </w:tcPr>
          <w:p w:rsidR="00F665A9" w:rsidRPr="00DC4384" w:rsidRDefault="00F665A9" w:rsidP="000858D0">
            <w:pPr>
              <w:spacing w:after="60"/>
              <w:jc w:val="left"/>
              <w:rPr>
                <w:sz w:val="18"/>
                <w:lang w:val="en-CA"/>
              </w:rPr>
            </w:pPr>
            <w:r w:rsidRPr="00DC4384">
              <w:rPr>
                <w:sz w:val="18"/>
                <w:lang w:val="en-CA"/>
              </w:rPr>
              <w:t>HCFC-22</w:t>
            </w: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r w:rsidRPr="00DC4384">
              <w:rPr>
                <w:sz w:val="18"/>
                <w:lang w:val="en-CA"/>
              </w:rPr>
              <w:t>9.</w:t>
            </w:r>
            <w:r w:rsidR="003D4B7B" w:rsidRPr="00DC4384">
              <w:rPr>
                <w:sz w:val="18"/>
                <w:lang w:val="en-CA"/>
              </w:rPr>
              <w:t>08</w:t>
            </w: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p>
        </w:tc>
        <w:tc>
          <w:tcPr>
            <w:tcW w:w="0" w:type="auto"/>
            <w:shd w:val="clear" w:color="auto" w:fill="auto"/>
          </w:tcPr>
          <w:p w:rsidR="00F665A9" w:rsidRPr="00DC4384" w:rsidRDefault="00F665A9" w:rsidP="000858D0">
            <w:pPr>
              <w:spacing w:after="60"/>
              <w:jc w:val="right"/>
              <w:rPr>
                <w:sz w:val="18"/>
                <w:lang w:val="en-CA"/>
              </w:rPr>
            </w:pPr>
            <w:r w:rsidRPr="00DC4384">
              <w:rPr>
                <w:sz w:val="18"/>
                <w:lang w:val="en-CA"/>
              </w:rPr>
              <w:t>9.</w:t>
            </w:r>
            <w:r w:rsidR="003D4B7B" w:rsidRPr="00DC4384">
              <w:rPr>
                <w:sz w:val="18"/>
                <w:lang w:val="en-CA"/>
              </w:rPr>
              <w:t>08</w:t>
            </w:r>
          </w:p>
        </w:tc>
      </w:tr>
    </w:tbl>
    <w:p w:rsidR="00F665A9" w:rsidRPr="00DC4384" w:rsidRDefault="00F665A9" w:rsidP="000858D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F665A9" w:rsidRPr="00DC4384" w:rsidTr="009B37E9">
        <w:trPr>
          <w:trHeight w:hRule="exact" w:val="227"/>
        </w:trPr>
        <w:tc>
          <w:tcPr>
            <w:tcW w:w="0" w:type="auto"/>
            <w:gridSpan w:val="4"/>
            <w:shd w:val="clear" w:color="auto" w:fill="auto"/>
          </w:tcPr>
          <w:p w:rsidR="00F665A9" w:rsidRPr="00DC4384" w:rsidRDefault="00F665A9" w:rsidP="000858D0">
            <w:pPr>
              <w:spacing w:after="60"/>
              <w:jc w:val="left"/>
              <w:rPr>
                <w:b/>
                <w:sz w:val="18"/>
                <w:lang w:val="en-CA"/>
              </w:rPr>
            </w:pPr>
            <w:r w:rsidRPr="00DC4384">
              <w:rPr>
                <w:b/>
                <w:sz w:val="18"/>
                <w:lang w:val="en-CA"/>
              </w:rPr>
              <w:t>(IV) CONSUMPTION DATA (ODP tonnes)</w:t>
            </w:r>
          </w:p>
        </w:tc>
      </w:tr>
      <w:tr w:rsidR="00F665A9" w:rsidRPr="00DC4384" w:rsidTr="009B37E9">
        <w:trPr>
          <w:trHeight w:hRule="exact" w:val="227"/>
        </w:trPr>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2009 - 2010 baseline:</w:t>
            </w:r>
          </w:p>
        </w:tc>
        <w:tc>
          <w:tcPr>
            <w:tcW w:w="0" w:type="auto"/>
            <w:shd w:val="clear" w:color="auto" w:fill="auto"/>
          </w:tcPr>
          <w:p w:rsidR="00F665A9" w:rsidRPr="00DC4384" w:rsidRDefault="00F665A9" w:rsidP="000858D0">
            <w:pPr>
              <w:spacing w:after="60"/>
              <w:jc w:val="right"/>
              <w:rPr>
                <w:sz w:val="18"/>
                <w:lang w:val="en-CA"/>
              </w:rPr>
            </w:pPr>
            <w:r w:rsidRPr="00DC4384">
              <w:rPr>
                <w:sz w:val="18"/>
                <w:lang w:val="en-CA"/>
              </w:rPr>
              <w:t>15.0</w:t>
            </w:r>
            <w:r w:rsidR="00F72037" w:rsidRPr="00DC4384">
              <w:rPr>
                <w:sz w:val="18"/>
                <w:lang w:val="en-CA"/>
              </w:rPr>
              <w:t>0</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Starting point for sustained aggregate reductions:</w:t>
            </w:r>
          </w:p>
        </w:tc>
        <w:tc>
          <w:tcPr>
            <w:tcW w:w="0" w:type="auto"/>
            <w:shd w:val="clear" w:color="auto" w:fill="auto"/>
          </w:tcPr>
          <w:p w:rsidR="00F665A9" w:rsidRPr="00DC4384" w:rsidRDefault="00F665A9" w:rsidP="000858D0">
            <w:pPr>
              <w:spacing w:after="60"/>
              <w:jc w:val="right"/>
              <w:rPr>
                <w:sz w:val="18"/>
                <w:lang w:val="en-CA"/>
              </w:rPr>
            </w:pPr>
            <w:r w:rsidRPr="00DC4384">
              <w:rPr>
                <w:sz w:val="18"/>
                <w:lang w:val="en-CA"/>
              </w:rPr>
              <w:t>15.0</w:t>
            </w:r>
            <w:r w:rsidR="00F72037" w:rsidRPr="00DC4384">
              <w:rPr>
                <w:sz w:val="18"/>
                <w:lang w:val="en-CA"/>
              </w:rPr>
              <w:t>0</w:t>
            </w:r>
          </w:p>
        </w:tc>
      </w:tr>
      <w:tr w:rsidR="00F665A9" w:rsidRPr="00DC4384" w:rsidTr="009B37E9">
        <w:trPr>
          <w:trHeight w:hRule="exact" w:val="227"/>
        </w:trPr>
        <w:tc>
          <w:tcPr>
            <w:tcW w:w="0" w:type="auto"/>
            <w:gridSpan w:val="4"/>
            <w:shd w:val="clear" w:color="auto" w:fill="auto"/>
          </w:tcPr>
          <w:p w:rsidR="00F665A9" w:rsidRPr="00DC4384" w:rsidRDefault="00F665A9" w:rsidP="000858D0">
            <w:pPr>
              <w:spacing w:after="60"/>
              <w:jc w:val="center"/>
              <w:rPr>
                <w:b/>
                <w:sz w:val="18"/>
                <w:lang w:val="en-CA"/>
              </w:rPr>
            </w:pPr>
            <w:r w:rsidRPr="00DC4384">
              <w:rPr>
                <w:b/>
                <w:sz w:val="18"/>
                <w:lang w:val="en-CA"/>
              </w:rPr>
              <w:t>CONSUMPTION ELIGIBLE FOR FUNDING (ODP tonnes)</w:t>
            </w:r>
          </w:p>
        </w:tc>
      </w:tr>
      <w:tr w:rsidR="00F665A9" w:rsidRPr="00DC4384" w:rsidTr="009B37E9">
        <w:trPr>
          <w:trHeight w:hRule="exact" w:val="227"/>
        </w:trPr>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Already approved:</w:t>
            </w:r>
          </w:p>
        </w:tc>
        <w:tc>
          <w:tcPr>
            <w:tcW w:w="0" w:type="auto"/>
            <w:shd w:val="clear" w:color="auto" w:fill="auto"/>
          </w:tcPr>
          <w:p w:rsidR="00F665A9" w:rsidRPr="00DC4384" w:rsidRDefault="000B2B04" w:rsidP="000858D0">
            <w:pPr>
              <w:spacing w:after="60"/>
              <w:jc w:val="right"/>
              <w:rPr>
                <w:sz w:val="18"/>
                <w:lang w:val="en-CA"/>
              </w:rPr>
            </w:pPr>
            <w:r w:rsidRPr="00DC4384">
              <w:rPr>
                <w:sz w:val="18"/>
                <w:lang w:val="en-CA"/>
              </w:rPr>
              <w:t>5.2</w:t>
            </w:r>
            <w:r w:rsidR="00F72037" w:rsidRPr="00DC4384">
              <w:rPr>
                <w:sz w:val="18"/>
                <w:lang w:val="en-CA"/>
              </w:rPr>
              <w:t>0</w:t>
            </w:r>
          </w:p>
        </w:tc>
        <w:tc>
          <w:tcPr>
            <w:tcW w:w="0" w:type="auto"/>
            <w:shd w:val="clear" w:color="auto" w:fill="auto"/>
          </w:tcPr>
          <w:p w:rsidR="00F665A9" w:rsidRPr="00DC4384" w:rsidRDefault="00F665A9" w:rsidP="000858D0">
            <w:pPr>
              <w:spacing w:after="60"/>
              <w:jc w:val="center"/>
              <w:rPr>
                <w:sz w:val="18"/>
                <w:lang w:val="en-CA"/>
              </w:rPr>
            </w:pPr>
            <w:r w:rsidRPr="00DC4384">
              <w:rPr>
                <w:sz w:val="18"/>
                <w:lang w:val="en-CA"/>
              </w:rPr>
              <w:t>Remaining:</w:t>
            </w:r>
          </w:p>
        </w:tc>
        <w:tc>
          <w:tcPr>
            <w:tcW w:w="0" w:type="auto"/>
            <w:shd w:val="clear" w:color="auto" w:fill="auto"/>
          </w:tcPr>
          <w:p w:rsidR="00F665A9" w:rsidRPr="00DC4384" w:rsidRDefault="000B2B04" w:rsidP="000858D0">
            <w:pPr>
              <w:spacing w:after="60"/>
              <w:jc w:val="right"/>
              <w:rPr>
                <w:sz w:val="18"/>
                <w:lang w:val="en-CA"/>
              </w:rPr>
            </w:pPr>
            <w:r w:rsidRPr="00DC4384">
              <w:rPr>
                <w:sz w:val="18"/>
                <w:lang w:val="en-CA"/>
              </w:rPr>
              <w:t>9.8</w:t>
            </w:r>
            <w:r w:rsidR="00F72037" w:rsidRPr="00DC4384">
              <w:rPr>
                <w:sz w:val="18"/>
                <w:lang w:val="en-CA"/>
              </w:rPr>
              <w:t>0</w:t>
            </w:r>
          </w:p>
        </w:tc>
      </w:tr>
    </w:tbl>
    <w:p w:rsidR="00F665A9" w:rsidRPr="00DC4384" w:rsidRDefault="00F665A9" w:rsidP="000858D0">
      <w:pPr>
        <w:spacing w:after="60"/>
        <w:jc w:val="center"/>
        <w:rPr>
          <w:lang w:val="en-CA"/>
        </w:rPr>
      </w:pPr>
    </w:p>
    <w:tbl>
      <w:tblPr>
        <w:tblStyle w:val="TableGrid"/>
        <w:tblW w:w="1001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61"/>
        <w:gridCol w:w="4543"/>
        <w:gridCol w:w="1369"/>
        <w:gridCol w:w="1369"/>
        <w:gridCol w:w="1369"/>
      </w:tblGrid>
      <w:tr w:rsidR="00F72037" w:rsidRPr="00DC4384" w:rsidTr="009B37E9">
        <w:trPr>
          <w:trHeight w:hRule="exact" w:val="227"/>
        </w:trPr>
        <w:tc>
          <w:tcPr>
            <w:tcW w:w="0" w:type="auto"/>
            <w:gridSpan w:val="2"/>
            <w:shd w:val="clear" w:color="auto" w:fill="auto"/>
          </w:tcPr>
          <w:p w:rsidR="00F72037" w:rsidRPr="00DC4384" w:rsidRDefault="00F72037" w:rsidP="000858D0">
            <w:pPr>
              <w:spacing w:after="60"/>
              <w:jc w:val="left"/>
              <w:rPr>
                <w:b/>
                <w:sz w:val="18"/>
                <w:lang w:val="en-CA"/>
              </w:rPr>
            </w:pPr>
            <w:r w:rsidRPr="00DC4384">
              <w:rPr>
                <w:b/>
                <w:sz w:val="18"/>
                <w:lang w:val="en-CA"/>
              </w:rPr>
              <w:t>(V) BUSINESS PLAN</w:t>
            </w:r>
          </w:p>
        </w:tc>
        <w:tc>
          <w:tcPr>
            <w:tcW w:w="1369" w:type="dxa"/>
            <w:shd w:val="clear" w:color="auto" w:fill="auto"/>
          </w:tcPr>
          <w:p w:rsidR="00F72037" w:rsidRPr="00DC4384" w:rsidRDefault="00F72037" w:rsidP="000858D0">
            <w:pPr>
              <w:spacing w:after="60"/>
              <w:jc w:val="center"/>
              <w:rPr>
                <w:b/>
                <w:sz w:val="18"/>
                <w:lang w:val="en-CA"/>
              </w:rPr>
            </w:pPr>
            <w:r w:rsidRPr="00DC4384">
              <w:rPr>
                <w:b/>
                <w:sz w:val="18"/>
                <w:lang w:val="en-CA"/>
              </w:rPr>
              <w:t>2019</w:t>
            </w:r>
          </w:p>
        </w:tc>
        <w:tc>
          <w:tcPr>
            <w:tcW w:w="1369" w:type="dxa"/>
            <w:shd w:val="clear" w:color="auto" w:fill="auto"/>
          </w:tcPr>
          <w:p w:rsidR="00F72037" w:rsidRPr="00DC4384" w:rsidRDefault="00F72037" w:rsidP="000858D0">
            <w:pPr>
              <w:spacing w:after="60"/>
              <w:jc w:val="center"/>
              <w:rPr>
                <w:b/>
                <w:sz w:val="18"/>
                <w:lang w:val="en-CA"/>
              </w:rPr>
            </w:pPr>
            <w:r w:rsidRPr="00DC4384">
              <w:rPr>
                <w:b/>
                <w:sz w:val="18"/>
                <w:lang w:val="en-CA"/>
              </w:rPr>
              <w:t>2020</w:t>
            </w:r>
          </w:p>
        </w:tc>
        <w:tc>
          <w:tcPr>
            <w:tcW w:w="1369" w:type="dxa"/>
            <w:shd w:val="clear" w:color="auto" w:fill="auto"/>
          </w:tcPr>
          <w:p w:rsidR="00F72037" w:rsidRPr="00DC4384" w:rsidRDefault="00F72037" w:rsidP="000858D0">
            <w:pPr>
              <w:spacing w:after="60"/>
              <w:jc w:val="center"/>
              <w:rPr>
                <w:b/>
                <w:sz w:val="18"/>
                <w:lang w:val="en-CA"/>
              </w:rPr>
            </w:pPr>
            <w:r w:rsidRPr="00DC4384">
              <w:rPr>
                <w:b/>
                <w:sz w:val="18"/>
                <w:lang w:val="en-CA"/>
              </w:rPr>
              <w:t>Total</w:t>
            </w:r>
          </w:p>
        </w:tc>
      </w:tr>
      <w:tr w:rsidR="00F72037" w:rsidRPr="00DC4384" w:rsidTr="009B37E9">
        <w:trPr>
          <w:trHeight w:hRule="exact" w:val="227"/>
        </w:trPr>
        <w:tc>
          <w:tcPr>
            <w:tcW w:w="0" w:type="auto"/>
            <w:vMerge w:val="restart"/>
            <w:shd w:val="clear" w:color="auto" w:fill="auto"/>
          </w:tcPr>
          <w:p w:rsidR="00F72037" w:rsidRPr="00DC4384" w:rsidRDefault="00F72037" w:rsidP="000858D0">
            <w:pPr>
              <w:spacing w:after="60"/>
              <w:jc w:val="center"/>
              <w:rPr>
                <w:sz w:val="18"/>
                <w:lang w:val="en-CA"/>
              </w:rPr>
            </w:pPr>
            <w:r w:rsidRPr="00DC4384">
              <w:rPr>
                <w:sz w:val="18"/>
                <w:lang w:val="en-CA"/>
              </w:rPr>
              <w:t>UNDP</w:t>
            </w:r>
          </w:p>
        </w:tc>
        <w:tc>
          <w:tcPr>
            <w:tcW w:w="0" w:type="auto"/>
            <w:shd w:val="clear" w:color="auto" w:fill="auto"/>
          </w:tcPr>
          <w:p w:rsidR="00F72037" w:rsidRPr="00DC4384" w:rsidRDefault="00F72037" w:rsidP="000858D0">
            <w:pPr>
              <w:spacing w:after="60"/>
              <w:jc w:val="left"/>
              <w:rPr>
                <w:sz w:val="18"/>
                <w:lang w:val="en-CA"/>
              </w:rPr>
            </w:pPr>
            <w:r w:rsidRPr="00DC4384">
              <w:rPr>
                <w:sz w:val="18"/>
                <w:lang w:val="en-CA"/>
              </w:rPr>
              <w:t>ODS phase-out (ODP tonnes)</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0.00</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0.26</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0.26</w:t>
            </w:r>
          </w:p>
        </w:tc>
      </w:tr>
      <w:tr w:rsidR="00F72037" w:rsidRPr="00DC4384" w:rsidTr="009B37E9">
        <w:trPr>
          <w:trHeight w:hRule="exact" w:val="227"/>
        </w:trPr>
        <w:tc>
          <w:tcPr>
            <w:tcW w:w="0" w:type="auto"/>
            <w:vMerge/>
            <w:shd w:val="clear" w:color="auto" w:fill="auto"/>
          </w:tcPr>
          <w:p w:rsidR="00F72037" w:rsidRPr="00DC4384" w:rsidRDefault="00F72037" w:rsidP="000858D0">
            <w:pPr>
              <w:spacing w:after="60"/>
              <w:jc w:val="center"/>
              <w:rPr>
                <w:sz w:val="18"/>
                <w:lang w:val="en-CA"/>
              </w:rPr>
            </w:pPr>
          </w:p>
        </w:tc>
        <w:tc>
          <w:tcPr>
            <w:tcW w:w="0" w:type="auto"/>
            <w:shd w:val="clear" w:color="auto" w:fill="auto"/>
          </w:tcPr>
          <w:p w:rsidR="00F72037" w:rsidRPr="00DC4384" w:rsidRDefault="00F72037" w:rsidP="000858D0">
            <w:pPr>
              <w:spacing w:after="60"/>
              <w:jc w:val="left"/>
              <w:rPr>
                <w:sz w:val="18"/>
                <w:lang w:val="en-CA"/>
              </w:rPr>
            </w:pPr>
            <w:r w:rsidRPr="00DC4384">
              <w:rPr>
                <w:sz w:val="18"/>
                <w:lang w:val="en-CA"/>
              </w:rPr>
              <w:t>Funding (US $)</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30,100</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30,100</w:t>
            </w:r>
          </w:p>
        </w:tc>
      </w:tr>
      <w:tr w:rsidR="00F72037" w:rsidRPr="00DC4384" w:rsidTr="009B37E9">
        <w:trPr>
          <w:trHeight w:hRule="exact" w:val="227"/>
        </w:trPr>
        <w:tc>
          <w:tcPr>
            <w:tcW w:w="0" w:type="auto"/>
            <w:vMerge w:val="restart"/>
            <w:shd w:val="clear" w:color="auto" w:fill="auto"/>
          </w:tcPr>
          <w:p w:rsidR="00F72037" w:rsidRPr="00DC4384" w:rsidRDefault="00F72037" w:rsidP="000858D0">
            <w:pPr>
              <w:spacing w:after="60"/>
              <w:jc w:val="center"/>
              <w:rPr>
                <w:sz w:val="18"/>
                <w:lang w:val="en-CA"/>
              </w:rPr>
            </w:pPr>
            <w:r w:rsidRPr="00DC4384">
              <w:rPr>
                <w:sz w:val="18"/>
                <w:lang w:val="en-CA"/>
              </w:rPr>
              <w:t>UNEP</w:t>
            </w:r>
          </w:p>
        </w:tc>
        <w:tc>
          <w:tcPr>
            <w:tcW w:w="0" w:type="auto"/>
            <w:shd w:val="clear" w:color="auto" w:fill="auto"/>
          </w:tcPr>
          <w:p w:rsidR="00F72037" w:rsidRPr="00DC4384" w:rsidRDefault="00F72037" w:rsidP="000858D0">
            <w:pPr>
              <w:spacing w:after="60"/>
              <w:jc w:val="left"/>
              <w:rPr>
                <w:sz w:val="18"/>
                <w:lang w:val="en-CA"/>
              </w:rPr>
            </w:pPr>
            <w:r w:rsidRPr="00DC4384">
              <w:rPr>
                <w:sz w:val="18"/>
                <w:lang w:val="en-CA"/>
              </w:rPr>
              <w:t>ODS phase-out (ODP tonnes)</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0.48</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0.26</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0.74</w:t>
            </w:r>
          </w:p>
        </w:tc>
      </w:tr>
      <w:tr w:rsidR="00F72037" w:rsidRPr="00DC4384" w:rsidTr="009B37E9">
        <w:trPr>
          <w:trHeight w:hRule="exact" w:val="227"/>
        </w:trPr>
        <w:tc>
          <w:tcPr>
            <w:tcW w:w="0" w:type="auto"/>
            <w:vMerge/>
            <w:shd w:val="clear" w:color="auto" w:fill="auto"/>
          </w:tcPr>
          <w:p w:rsidR="00F72037" w:rsidRPr="00DC4384" w:rsidRDefault="00F72037" w:rsidP="000858D0">
            <w:pPr>
              <w:spacing w:after="60"/>
              <w:jc w:val="center"/>
              <w:rPr>
                <w:sz w:val="18"/>
                <w:lang w:val="en-CA"/>
              </w:rPr>
            </w:pPr>
          </w:p>
        </w:tc>
        <w:tc>
          <w:tcPr>
            <w:tcW w:w="0" w:type="auto"/>
            <w:shd w:val="clear" w:color="auto" w:fill="auto"/>
          </w:tcPr>
          <w:p w:rsidR="00F72037" w:rsidRPr="00DC4384" w:rsidRDefault="00F72037" w:rsidP="000858D0">
            <w:pPr>
              <w:spacing w:after="60"/>
              <w:jc w:val="left"/>
              <w:rPr>
                <w:sz w:val="18"/>
                <w:lang w:val="en-CA"/>
              </w:rPr>
            </w:pPr>
            <w:r w:rsidRPr="00DC4384">
              <w:rPr>
                <w:sz w:val="18"/>
                <w:lang w:val="en-CA"/>
              </w:rPr>
              <w:t>Funding (US $)</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58,760</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31,640</w:t>
            </w:r>
          </w:p>
        </w:tc>
        <w:tc>
          <w:tcPr>
            <w:tcW w:w="1369" w:type="dxa"/>
            <w:shd w:val="clear" w:color="auto" w:fill="auto"/>
          </w:tcPr>
          <w:p w:rsidR="00F72037" w:rsidRPr="00DC4384" w:rsidRDefault="00F72037" w:rsidP="000858D0">
            <w:pPr>
              <w:spacing w:after="60"/>
              <w:jc w:val="right"/>
              <w:rPr>
                <w:sz w:val="18"/>
                <w:lang w:val="en-CA"/>
              </w:rPr>
            </w:pPr>
            <w:r w:rsidRPr="00DC4384">
              <w:rPr>
                <w:sz w:val="18"/>
                <w:lang w:val="en-CA"/>
              </w:rPr>
              <w:t>90,400</w:t>
            </w:r>
          </w:p>
        </w:tc>
      </w:tr>
    </w:tbl>
    <w:p w:rsidR="00F665A9" w:rsidRPr="00DC4384" w:rsidRDefault="00F665A9" w:rsidP="000858D0">
      <w:pPr>
        <w:spacing w:after="60"/>
        <w:jc w:val="center"/>
        <w:rPr>
          <w:lang w:val="en-CA"/>
        </w:rPr>
      </w:pPr>
    </w:p>
    <w:tbl>
      <w:tblPr>
        <w:tblStyle w:val="TableGrid"/>
        <w:tblW w:w="100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11"/>
        <w:gridCol w:w="739"/>
        <w:gridCol w:w="824"/>
        <w:gridCol w:w="801"/>
        <w:gridCol w:w="576"/>
        <w:gridCol w:w="711"/>
        <w:gridCol w:w="576"/>
        <w:gridCol w:w="576"/>
        <w:gridCol w:w="801"/>
        <w:gridCol w:w="576"/>
        <w:gridCol w:w="711"/>
        <w:gridCol w:w="801"/>
        <w:gridCol w:w="711"/>
        <w:gridCol w:w="801"/>
      </w:tblGrid>
      <w:tr w:rsidR="00B91D4E" w:rsidRPr="00DC4384" w:rsidTr="00B91D4E">
        <w:trPr>
          <w:trHeight w:val="260"/>
        </w:trPr>
        <w:tc>
          <w:tcPr>
            <w:tcW w:w="0" w:type="auto"/>
            <w:gridSpan w:val="3"/>
            <w:shd w:val="clear" w:color="auto" w:fill="auto"/>
          </w:tcPr>
          <w:p w:rsidR="00B91D4E" w:rsidRPr="00DC4384" w:rsidRDefault="00B91D4E" w:rsidP="000858D0">
            <w:pPr>
              <w:spacing w:after="60"/>
              <w:jc w:val="left"/>
              <w:rPr>
                <w:b/>
                <w:sz w:val="18"/>
                <w:lang w:val="en-CA"/>
              </w:rPr>
            </w:pPr>
            <w:r w:rsidRPr="00DC4384">
              <w:rPr>
                <w:b/>
                <w:sz w:val="18"/>
                <w:lang w:val="en-CA"/>
              </w:rPr>
              <w:t>(VI) PROJECT DATA</w:t>
            </w:r>
          </w:p>
        </w:tc>
        <w:tc>
          <w:tcPr>
            <w:tcW w:w="0" w:type="auto"/>
          </w:tcPr>
          <w:p w:rsidR="00B91D4E" w:rsidRPr="00DC4384" w:rsidRDefault="00B91D4E" w:rsidP="000858D0">
            <w:pPr>
              <w:spacing w:after="60"/>
              <w:jc w:val="center"/>
              <w:rPr>
                <w:b/>
                <w:sz w:val="18"/>
                <w:lang w:val="en-CA"/>
              </w:rPr>
            </w:pPr>
            <w:r w:rsidRPr="00DC4384">
              <w:rPr>
                <w:b/>
                <w:sz w:val="18"/>
                <w:lang w:val="en-CA"/>
              </w:rPr>
              <w:t>2011</w:t>
            </w:r>
          </w:p>
        </w:tc>
        <w:tc>
          <w:tcPr>
            <w:tcW w:w="0" w:type="auto"/>
          </w:tcPr>
          <w:p w:rsidR="00B91D4E" w:rsidRPr="00DC4384" w:rsidRDefault="00B91D4E" w:rsidP="000858D0">
            <w:pPr>
              <w:spacing w:after="60"/>
              <w:jc w:val="center"/>
              <w:rPr>
                <w:b/>
                <w:sz w:val="18"/>
                <w:lang w:val="en-CA"/>
              </w:rPr>
            </w:pPr>
            <w:r w:rsidRPr="00DC4384">
              <w:rPr>
                <w:b/>
                <w:sz w:val="18"/>
                <w:lang w:val="en-CA"/>
              </w:rPr>
              <w:t>2012</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2013</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2014</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2015</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2016</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2017</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2018</w:t>
            </w:r>
            <w:r w:rsidR="009B37E9" w:rsidRPr="00DC4384">
              <w:rPr>
                <w:b/>
                <w:sz w:val="18"/>
                <w:lang w:val="en-CA"/>
              </w:rPr>
              <w:t>*</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2019</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2020</w:t>
            </w:r>
          </w:p>
        </w:tc>
        <w:tc>
          <w:tcPr>
            <w:tcW w:w="0" w:type="auto"/>
            <w:shd w:val="clear" w:color="auto" w:fill="auto"/>
          </w:tcPr>
          <w:p w:rsidR="00B91D4E" w:rsidRPr="00DC4384" w:rsidRDefault="00B91D4E" w:rsidP="000858D0">
            <w:pPr>
              <w:spacing w:after="60"/>
              <w:jc w:val="center"/>
              <w:rPr>
                <w:b/>
                <w:sz w:val="18"/>
                <w:lang w:val="en-CA"/>
              </w:rPr>
            </w:pPr>
            <w:r w:rsidRPr="00DC4384">
              <w:rPr>
                <w:b/>
                <w:sz w:val="18"/>
                <w:lang w:val="en-CA"/>
              </w:rPr>
              <w:t>Total</w:t>
            </w:r>
          </w:p>
        </w:tc>
      </w:tr>
      <w:tr w:rsidR="00B91D4E" w:rsidRPr="00DC4384" w:rsidTr="009B37E9">
        <w:trPr>
          <w:trHeight w:hRule="exact" w:val="454"/>
        </w:trPr>
        <w:tc>
          <w:tcPr>
            <w:tcW w:w="0" w:type="auto"/>
            <w:gridSpan w:val="3"/>
            <w:shd w:val="clear" w:color="auto" w:fill="auto"/>
          </w:tcPr>
          <w:p w:rsidR="00B91D4E" w:rsidRPr="00DC4384" w:rsidRDefault="00B91D4E" w:rsidP="000858D0">
            <w:pPr>
              <w:spacing w:after="60"/>
              <w:jc w:val="left"/>
              <w:rPr>
                <w:sz w:val="18"/>
                <w:lang w:val="en-CA"/>
              </w:rPr>
            </w:pPr>
            <w:r w:rsidRPr="00DC4384">
              <w:rPr>
                <w:sz w:val="18"/>
                <w:lang w:val="en-CA"/>
              </w:rPr>
              <w:t>Montreal Protocol consumption limits</w:t>
            </w:r>
          </w:p>
        </w:tc>
        <w:tc>
          <w:tcPr>
            <w:tcW w:w="0" w:type="auto"/>
          </w:tcPr>
          <w:p w:rsidR="00B91D4E" w:rsidRPr="00DC4384" w:rsidRDefault="00B91D4E" w:rsidP="000858D0">
            <w:pPr>
              <w:spacing w:after="60"/>
              <w:jc w:val="center"/>
              <w:rPr>
                <w:sz w:val="18"/>
                <w:lang w:val="en-CA"/>
              </w:rPr>
            </w:pPr>
            <w:r w:rsidRPr="00DC4384">
              <w:rPr>
                <w:sz w:val="18"/>
                <w:lang w:val="en-CA"/>
              </w:rPr>
              <w:t>n/a</w:t>
            </w:r>
          </w:p>
        </w:tc>
        <w:tc>
          <w:tcPr>
            <w:tcW w:w="0" w:type="auto"/>
          </w:tcPr>
          <w:p w:rsidR="00B91D4E" w:rsidRPr="00DC4384" w:rsidRDefault="00B91D4E" w:rsidP="000858D0">
            <w:pPr>
              <w:spacing w:after="60"/>
              <w:jc w:val="center"/>
              <w:rPr>
                <w:sz w:val="18"/>
                <w:lang w:val="en-CA"/>
              </w:rPr>
            </w:pPr>
            <w:r w:rsidRPr="00DC4384">
              <w:rPr>
                <w:sz w:val="18"/>
                <w:lang w:val="en-CA"/>
              </w:rPr>
              <w:t>n/a</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9.8</w:t>
            </w:r>
          </w:p>
        </w:tc>
        <w:tc>
          <w:tcPr>
            <w:tcW w:w="0" w:type="auto"/>
            <w:shd w:val="clear" w:color="auto" w:fill="auto"/>
          </w:tcPr>
          <w:p w:rsidR="00B91D4E" w:rsidRPr="00DC4384" w:rsidRDefault="00B91D4E" w:rsidP="000858D0">
            <w:pPr>
              <w:spacing w:after="60"/>
              <w:jc w:val="center"/>
              <w:rPr>
                <w:sz w:val="18"/>
                <w:lang w:val="en-CA"/>
              </w:rPr>
            </w:pPr>
            <w:r w:rsidRPr="00DC4384">
              <w:rPr>
                <w:sz w:val="18"/>
                <w:lang w:val="en-CA"/>
              </w:rPr>
              <w:t>n/a</w:t>
            </w:r>
          </w:p>
        </w:tc>
      </w:tr>
      <w:tr w:rsidR="00B91D4E" w:rsidRPr="00DC4384" w:rsidTr="009B37E9">
        <w:trPr>
          <w:trHeight w:hRule="exact" w:val="454"/>
        </w:trPr>
        <w:tc>
          <w:tcPr>
            <w:tcW w:w="0" w:type="auto"/>
            <w:gridSpan w:val="3"/>
            <w:shd w:val="clear" w:color="auto" w:fill="auto"/>
          </w:tcPr>
          <w:p w:rsidR="00B91D4E" w:rsidRPr="00DC4384" w:rsidRDefault="00B91D4E" w:rsidP="000858D0">
            <w:pPr>
              <w:spacing w:after="60"/>
              <w:jc w:val="left"/>
              <w:rPr>
                <w:sz w:val="18"/>
                <w:lang w:val="en-CA"/>
              </w:rPr>
            </w:pPr>
            <w:r w:rsidRPr="00DC4384">
              <w:rPr>
                <w:sz w:val="18"/>
                <w:lang w:val="en-CA"/>
              </w:rPr>
              <w:t>Maximum allowable consumption (ODP tonnes)</w:t>
            </w:r>
          </w:p>
        </w:tc>
        <w:tc>
          <w:tcPr>
            <w:tcW w:w="0" w:type="auto"/>
          </w:tcPr>
          <w:p w:rsidR="00B91D4E" w:rsidRPr="00DC4384" w:rsidRDefault="00B91D4E" w:rsidP="000858D0">
            <w:pPr>
              <w:spacing w:after="60"/>
              <w:jc w:val="center"/>
              <w:rPr>
                <w:sz w:val="18"/>
                <w:lang w:val="en-CA"/>
              </w:rPr>
            </w:pPr>
            <w:r w:rsidRPr="00DC4384">
              <w:rPr>
                <w:sz w:val="18"/>
                <w:lang w:val="en-CA"/>
              </w:rPr>
              <w:t>n/a</w:t>
            </w:r>
          </w:p>
        </w:tc>
        <w:tc>
          <w:tcPr>
            <w:tcW w:w="0" w:type="auto"/>
          </w:tcPr>
          <w:p w:rsidR="00B91D4E" w:rsidRPr="00DC4384" w:rsidRDefault="00B91D4E" w:rsidP="000858D0">
            <w:pPr>
              <w:spacing w:after="60"/>
              <w:jc w:val="center"/>
              <w:rPr>
                <w:sz w:val="18"/>
                <w:lang w:val="en-CA"/>
              </w:rPr>
            </w:pPr>
            <w:r w:rsidRPr="00DC4384">
              <w:rPr>
                <w:sz w:val="18"/>
                <w:lang w:val="en-CA"/>
              </w:rPr>
              <w:t>n/a</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13.5</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9.8</w:t>
            </w:r>
          </w:p>
        </w:tc>
        <w:tc>
          <w:tcPr>
            <w:tcW w:w="0" w:type="auto"/>
            <w:shd w:val="clear" w:color="auto" w:fill="auto"/>
          </w:tcPr>
          <w:p w:rsidR="00B91D4E" w:rsidRPr="00DC4384" w:rsidRDefault="00B91D4E" w:rsidP="000858D0">
            <w:pPr>
              <w:spacing w:after="60"/>
              <w:jc w:val="center"/>
              <w:rPr>
                <w:sz w:val="18"/>
                <w:lang w:val="en-CA"/>
              </w:rPr>
            </w:pPr>
            <w:r w:rsidRPr="00DC4384">
              <w:rPr>
                <w:sz w:val="18"/>
                <w:lang w:val="en-CA"/>
              </w:rPr>
              <w:t>n/a</w:t>
            </w:r>
          </w:p>
        </w:tc>
      </w:tr>
      <w:tr w:rsidR="00B91D4E" w:rsidRPr="00DC4384" w:rsidTr="009B37E9">
        <w:trPr>
          <w:trHeight w:hRule="exact" w:val="454"/>
        </w:trPr>
        <w:tc>
          <w:tcPr>
            <w:tcW w:w="959" w:type="dxa"/>
            <w:vMerge w:val="restart"/>
            <w:shd w:val="clear" w:color="auto" w:fill="auto"/>
          </w:tcPr>
          <w:p w:rsidR="00B91D4E" w:rsidRPr="00DC4384" w:rsidRDefault="00B91D4E" w:rsidP="000858D0">
            <w:pPr>
              <w:spacing w:after="60"/>
              <w:jc w:val="left"/>
              <w:rPr>
                <w:sz w:val="18"/>
                <w:lang w:val="en-CA"/>
              </w:rPr>
            </w:pPr>
            <w:r w:rsidRPr="00DC4384">
              <w:rPr>
                <w:sz w:val="18"/>
                <w:lang w:val="en-CA"/>
              </w:rPr>
              <w:t>Agreed funding (US$)</w:t>
            </w:r>
          </w:p>
        </w:tc>
        <w:tc>
          <w:tcPr>
            <w:tcW w:w="873" w:type="dxa"/>
            <w:vMerge w:val="restart"/>
            <w:shd w:val="clear" w:color="auto" w:fill="auto"/>
          </w:tcPr>
          <w:p w:rsidR="00B91D4E" w:rsidRPr="00DC4384" w:rsidRDefault="00B91D4E" w:rsidP="000858D0">
            <w:pPr>
              <w:spacing w:after="60"/>
              <w:jc w:val="center"/>
              <w:rPr>
                <w:sz w:val="18"/>
                <w:lang w:val="en-CA"/>
              </w:rPr>
            </w:pPr>
            <w:r w:rsidRPr="00DC4384">
              <w:rPr>
                <w:sz w:val="18"/>
                <w:lang w:val="en-CA"/>
              </w:rPr>
              <w:t>UNDP</w:t>
            </w: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Project costs</w:t>
            </w:r>
          </w:p>
        </w:tc>
        <w:tc>
          <w:tcPr>
            <w:tcW w:w="0" w:type="auto"/>
          </w:tcPr>
          <w:p w:rsidR="00B91D4E" w:rsidRPr="00DC4384" w:rsidRDefault="00B91D4E" w:rsidP="000858D0">
            <w:pPr>
              <w:spacing w:after="60"/>
              <w:jc w:val="right"/>
              <w:rPr>
                <w:sz w:val="18"/>
                <w:lang w:val="en-CA"/>
              </w:rPr>
            </w:pPr>
            <w:r w:rsidRPr="00DC4384">
              <w:rPr>
                <w:sz w:val="18"/>
                <w:lang w:val="en-CA"/>
              </w:rPr>
              <w:t>160,000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92,000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28,000</w:t>
            </w:r>
          </w:p>
        </w:tc>
        <w:tc>
          <w:tcPr>
            <w:tcW w:w="0" w:type="auto"/>
            <w:shd w:val="clear" w:color="auto" w:fill="auto"/>
          </w:tcPr>
          <w:p w:rsidR="00B91D4E" w:rsidRPr="00DC4384" w:rsidRDefault="00083100" w:rsidP="000858D0">
            <w:pPr>
              <w:spacing w:after="60"/>
              <w:jc w:val="right"/>
              <w:rPr>
                <w:sz w:val="18"/>
                <w:lang w:val="en-CA"/>
              </w:rPr>
            </w:pPr>
            <w:r w:rsidRPr="00DC4384">
              <w:rPr>
                <w:sz w:val="18"/>
                <w:lang w:val="en-CA"/>
              </w:rPr>
              <w:t>280</w:t>
            </w:r>
            <w:r w:rsidR="00B91D4E" w:rsidRPr="00DC4384">
              <w:rPr>
                <w:sz w:val="18"/>
                <w:lang w:val="en-CA"/>
              </w:rPr>
              <w:t>,000</w:t>
            </w:r>
          </w:p>
        </w:tc>
      </w:tr>
      <w:tr w:rsidR="00B91D4E" w:rsidRPr="00DC4384" w:rsidTr="009B37E9">
        <w:trPr>
          <w:trHeight w:hRule="exact" w:val="454"/>
        </w:trPr>
        <w:tc>
          <w:tcPr>
            <w:tcW w:w="959" w:type="dxa"/>
            <w:vMerge/>
            <w:shd w:val="clear" w:color="auto" w:fill="auto"/>
          </w:tcPr>
          <w:p w:rsidR="00B91D4E" w:rsidRPr="00DC4384" w:rsidRDefault="00B91D4E" w:rsidP="000858D0">
            <w:pPr>
              <w:spacing w:after="60"/>
              <w:jc w:val="center"/>
              <w:rPr>
                <w:sz w:val="18"/>
                <w:lang w:val="en-CA"/>
              </w:rPr>
            </w:pPr>
          </w:p>
        </w:tc>
        <w:tc>
          <w:tcPr>
            <w:tcW w:w="873" w:type="dxa"/>
            <w:vMerge/>
            <w:shd w:val="clear" w:color="auto" w:fill="auto"/>
          </w:tcPr>
          <w:p w:rsidR="00B91D4E" w:rsidRPr="00DC4384" w:rsidRDefault="00B91D4E" w:rsidP="000858D0">
            <w:pPr>
              <w:spacing w:after="60"/>
              <w:jc w:val="center"/>
              <w:rPr>
                <w:sz w:val="18"/>
                <w:lang w:val="en-CA"/>
              </w:rPr>
            </w:pP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Support costs</w:t>
            </w:r>
          </w:p>
        </w:tc>
        <w:tc>
          <w:tcPr>
            <w:tcW w:w="0" w:type="auto"/>
          </w:tcPr>
          <w:p w:rsidR="00B91D4E" w:rsidRPr="00DC4384" w:rsidRDefault="00B91D4E" w:rsidP="000858D0">
            <w:pPr>
              <w:spacing w:after="60"/>
              <w:jc w:val="right"/>
              <w:rPr>
                <w:sz w:val="18"/>
                <w:lang w:val="en-CA"/>
              </w:rPr>
            </w:pPr>
            <w:r w:rsidRPr="00DC4384">
              <w:rPr>
                <w:sz w:val="17"/>
                <w:szCs w:val="17"/>
              </w:rPr>
              <w:t>12,000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6,900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2,100</w:t>
            </w:r>
          </w:p>
        </w:tc>
        <w:tc>
          <w:tcPr>
            <w:tcW w:w="0" w:type="auto"/>
            <w:shd w:val="clear" w:color="auto" w:fill="auto"/>
          </w:tcPr>
          <w:p w:rsidR="00B91D4E" w:rsidRPr="00DC4384" w:rsidRDefault="00083100" w:rsidP="000858D0">
            <w:pPr>
              <w:spacing w:after="60"/>
              <w:jc w:val="right"/>
              <w:rPr>
                <w:sz w:val="18"/>
                <w:lang w:val="en-CA"/>
              </w:rPr>
            </w:pPr>
            <w:r w:rsidRPr="00DC4384">
              <w:rPr>
                <w:sz w:val="18"/>
                <w:lang w:val="en-CA"/>
              </w:rPr>
              <w:t>21</w:t>
            </w:r>
            <w:r w:rsidR="00B91D4E" w:rsidRPr="00DC4384">
              <w:rPr>
                <w:sz w:val="18"/>
                <w:lang w:val="en-CA"/>
              </w:rPr>
              <w:t>,000</w:t>
            </w:r>
          </w:p>
        </w:tc>
      </w:tr>
      <w:tr w:rsidR="00B91D4E" w:rsidRPr="00DC4384" w:rsidTr="009B37E9">
        <w:trPr>
          <w:trHeight w:hRule="exact" w:val="454"/>
        </w:trPr>
        <w:tc>
          <w:tcPr>
            <w:tcW w:w="959" w:type="dxa"/>
            <w:vMerge/>
            <w:shd w:val="clear" w:color="auto" w:fill="auto"/>
          </w:tcPr>
          <w:p w:rsidR="00B91D4E" w:rsidRPr="00DC4384" w:rsidRDefault="00B91D4E" w:rsidP="000858D0">
            <w:pPr>
              <w:spacing w:after="60"/>
              <w:jc w:val="center"/>
              <w:rPr>
                <w:sz w:val="18"/>
                <w:lang w:val="en-CA"/>
              </w:rPr>
            </w:pPr>
          </w:p>
        </w:tc>
        <w:tc>
          <w:tcPr>
            <w:tcW w:w="873" w:type="dxa"/>
            <w:vMerge w:val="restart"/>
            <w:shd w:val="clear" w:color="auto" w:fill="auto"/>
          </w:tcPr>
          <w:p w:rsidR="00B91D4E" w:rsidRPr="00DC4384" w:rsidRDefault="00B91D4E" w:rsidP="000858D0">
            <w:pPr>
              <w:spacing w:after="60"/>
              <w:jc w:val="center"/>
              <w:rPr>
                <w:sz w:val="18"/>
                <w:lang w:val="en-CA"/>
              </w:rPr>
            </w:pPr>
            <w:r w:rsidRPr="00DC4384">
              <w:rPr>
                <w:sz w:val="18"/>
                <w:lang w:val="en-CA"/>
              </w:rPr>
              <w:t>UNEP</w:t>
            </w: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Project costs</w:t>
            </w:r>
          </w:p>
        </w:tc>
        <w:tc>
          <w:tcPr>
            <w:tcW w:w="0" w:type="auto"/>
            <w:shd w:val="clear" w:color="auto" w:fill="auto"/>
          </w:tcPr>
          <w:p w:rsidR="00B91D4E" w:rsidRPr="00DC4384" w:rsidRDefault="00B91D4E" w:rsidP="000858D0">
            <w:pPr>
              <w:spacing w:after="60"/>
              <w:jc w:val="right"/>
              <w:rPr>
                <w:sz w:val="18"/>
                <w:lang w:val="en-CA"/>
              </w:rPr>
            </w:pPr>
            <w:r w:rsidRPr="00DC4384">
              <w:rPr>
                <w:sz w:val="17"/>
                <w:szCs w:val="17"/>
              </w:rPr>
              <w:t>65,000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55,000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80,000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52,000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28,000</w:t>
            </w:r>
          </w:p>
        </w:tc>
        <w:tc>
          <w:tcPr>
            <w:tcW w:w="0" w:type="auto"/>
            <w:shd w:val="clear" w:color="auto" w:fill="auto"/>
          </w:tcPr>
          <w:p w:rsidR="00B91D4E" w:rsidRPr="00DC4384" w:rsidRDefault="00083100" w:rsidP="000858D0">
            <w:pPr>
              <w:spacing w:after="60"/>
              <w:jc w:val="right"/>
              <w:rPr>
                <w:sz w:val="18"/>
                <w:lang w:val="en-CA"/>
              </w:rPr>
            </w:pPr>
            <w:r w:rsidRPr="00DC4384">
              <w:rPr>
                <w:sz w:val="18"/>
                <w:lang w:val="en-CA"/>
              </w:rPr>
              <w:t>280</w:t>
            </w:r>
            <w:r w:rsidR="00B91D4E" w:rsidRPr="00DC4384">
              <w:rPr>
                <w:sz w:val="18"/>
                <w:lang w:val="en-CA"/>
              </w:rPr>
              <w:t>,000</w:t>
            </w:r>
          </w:p>
        </w:tc>
      </w:tr>
      <w:tr w:rsidR="00B91D4E" w:rsidRPr="00DC4384" w:rsidTr="009B37E9">
        <w:trPr>
          <w:trHeight w:hRule="exact" w:val="454"/>
        </w:trPr>
        <w:tc>
          <w:tcPr>
            <w:tcW w:w="959" w:type="dxa"/>
            <w:vMerge/>
            <w:shd w:val="clear" w:color="auto" w:fill="auto"/>
          </w:tcPr>
          <w:p w:rsidR="00B91D4E" w:rsidRPr="00DC4384" w:rsidRDefault="00B91D4E" w:rsidP="000858D0">
            <w:pPr>
              <w:spacing w:after="60"/>
              <w:jc w:val="center"/>
              <w:rPr>
                <w:sz w:val="18"/>
                <w:lang w:val="en-CA"/>
              </w:rPr>
            </w:pPr>
          </w:p>
        </w:tc>
        <w:tc>
          <w:tcPr>
            <w:tcW w:w="873" w:type="dxa"/>
            <w:vMerge/>
            <w:shd w:val="clear" w:color="auto" w:fill="auto"/>
          </w:tcPr>
          <w:p w:rsidR="00B91D4E" w:rsidRPr="00DC4384" w:rsidRDefault="00B91D4E" w:rsidP="000858D0">
            <w:pPr>
              <w:spacing w:after="60"/>
              <w:jc w:val="center"/>
              <w:rPr>
                <w:sz w:val="18"/>
                <w:lang w:val="en-CA"/>
              </w:rPr>
            </w:pP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Support costs</w:t>
            </w:r>
          </w:p>
        </w:tc>
        <w:tc>
          <w:tcPr>
            <w:tcW w:w="0" w:type="auto"/>
            <w:shd w:val="clear" w:color="auto" w:fill="auto"/>
          </w:tcPr>
          <w:p w:rsidR="00B91D4E" w:rsidRPr="00DC4384" w:rsidRDefault="00B91D4E" w:rsidP="000858D0">
            <w:pPr>
              <w:spacing w:after="60"/>
              <w:jc w:val="right"/>
              <w:rPr>
                <w:sz w:val="18"/>
                <w:lang w:val="en-CA"/>
              </w:rPr>
            </w:pPr>
            <w:r w:rsidRPr="00DC4384">
              <w:rPr>
                <w:sz w:val="17"/>
                <w:szCs w:val="17"/>
              </w:rPr>
              <w:t>8,450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7,150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10,400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6,760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3,640</w:t>
            </w:r>
          </w:p>
        </w:tc>
        <w:tc>
          <w:tcPr>
            <w:tcW w:w="0" w:type="auto"/>
            <w:shd w:val="clear" w:color="auto" w:fill="auto"/>
          </w:tcPr>
          <w:p w:rsidR="00B91D4E" w:rsidRPr="00DC4384" w:rsidRDefault="00083100" w:rsidP="000858D0">
            <w:pPr>
              <w:spacing w:after="60"/>
              <w:jc w:val="right"/>
              <w:rPr>
                <w:sz w:val="18"/>
                <w:lang w:val="en-CA"/>
              </w:rPr>
            </w:pPr>
            <w:r w:rsidRPr="00DC4384">
              <w:rPr>
                <w:sz w:val="18"/>
                <w:lang w:val="en-CA"/>
              </w:rPr>
              <w:t>36</w:t>
            </w:r>
            <w:r w:rsidR="00B91D4E" w:rsidRPr="00DC4384">
              <w:rPr>
                <w:sz w:val="18"/>
                <w:lang w:val="en-CA"/>
              </w:rPr>
              <w:t>,</w:t>
            </w:r>
            <w:r w:rsidRPr="00DC4384">
              <w:rPr>
                <w:sz w:val="18"/>
                <w:lang w:val="en-CA"/>
              </w:rPr>
              <w:t>400</w:t>
            </w:r>
          </w:p>
        </w:tc>
      </w:tr>
      <w:tr w:rsidR="00B91D4E" w:rsidRPr="00DC4384" w:rsidTr="009B37E9">
        <w:trPr>
          <w:trHeight w:hRule="exact" w:val="454"/>
        </w:trPr>
        <w:tc>
          <w:tcPr>
            <w:tcW w:w="1832" w:type="dxa"/>
            <w:gridSpan w:val="2"/>
            <w:vMerge w:val="restart"/>
            <w:shd w:val="clear" w:color="auto" w:fill="auto"/>
          </w:tcPr>
          <w:p w:rsidR="00B91D4E" w:rsidRPr="00DC4384" w:rsidRDefault="00B91D4E" w:rsidP="000858D0">
            <w:pPr>
              <w:spacing w:after="60"/>
              <w:jc w:val="left"/>
              <w:rPr>
                <w:sz w:val="18"/>
                <w:lang w:val="en-CA"/>
              </w:rPr>
            </w:pPr>
            <w:r w:rsidRPr="00DC4384">
              <w:rPr>
                <w:sz w:val="18"/>
                <w:lang w:val="en-CA"/>
              </w:rPr>
              <w:t xml:space="preserve">Funds approved by </w:t>
            </w:r>
            <w:proofErr w:type="spellStart"/>
            <w:r w:rsidRPr="00DC4384">
              <w:rPr>
                <w:sz w:val="18"/>
                <w:lang w:val="en-CA"/>
              </w:rPr>
              <w:t>ExCom</w:t>
            </w:r>
            <w:proofErr w:type="spellEnd"/>
            <w:r w:rsidRPr="00DC4384">
              <w:rPr>
                <w:sz w:val="18"/>
                <w:lang w:val="en-CA"/>
              </w:rPr>
              <w:t xml:space="preserve"> (US$)</w:t>
            </w: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Project costs</w:t>
            </w:r>
          </w:p>
        </w:tc>
        <w:tc>
          <w:tcPr>
            <w:tcW w:w="0" w:type="auto"/>
          </w:tcPr>
          <w:p w:rsidR="00B91D4E" w:rsidRPr="00DC4384" w:rsidRDefault="00B91D4E" w:rsidP="000858D0">
            <w:pPr>
              <w:spacing w:after="60"/>
              <w:jc w:val="right"/>
              <w:rPr>
                <w:sz w:val="18"/>
                <w:lang w:val="en-CA"/>
              </w:rPr>
            </w:pPr>
            <w:r w:rsidRPr="00DC4384">
              <w:rPr>
                <w:sz w:val="17"/>
                <w:szCs w:val="17"/>
              </w:rPr>
              <w:t>225,000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55,000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172,000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0745FC"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0.0</w:t>
            </w:r>
          </w:p>
        </w:tc>
        <w:tc>
          <w:tcPr>
            <w:tcW w:w="0" w:type="auto"/>
            <w:shd w:val="clear" w:color="auto" w:fill="auto"/>
          </w:tcPr>
          <w:p w:rsidR="00B91D4E" w:rsidRPr="00DC4384" w:rsidRDefault="00184B48" w:rsidP="000858D0">
            <w:pPr>
              <w:spacing w:after="60"/>
              <w:jc w:val="right"/>
              <w:rPr>
                <w:sz w:val="18"/>
                <w:lang w:val="en-CA"/>
              </w:rPr>
            </w:pPr>
            <w:r w:rsidRPr="00DC4384">
              <w:rPr>
                <w:sz w:val="18"/>
                <w:lang w:val="en-CA"/>
              </w:rPr>
              <w:t>452</w:t>
            </w:r>
            <w:r w:rsidR="00B91D4E" w:rsidRPr="00DC4384">
              <w:rPr>
                <w:sz w:val="18"/>
                <w:lang w:val="en-CA"/>
              </w:rPr>
              <w:t>,000</w:t>
            </w:r>
          </w:p>
        </w:tc>
      </w:tr>
      <w:tr w:rsidR="00B91D4E" w:rsidRPr="00DC4384" w:rsidTr="009B37E9">
        <w:trPr>
          <w:trHeight w:hRule="exact" w:val="454"/>
        </w:trPr>
        <w:tc>
          <w:tcPr>
            <w:tcW w:w="1832" w:type="dxa"/>
            <w:gridSpan w:val="2"/>
            <w:vMerge/>
            <w:shd w:val="clear" w:color="auto" w:fill="auto"/>
          </w:tcPr>
          <w:p w:rsidR="00B91D4E" w:rsidRPr="00DC4384" w:rsidRDefault="00B91D4E" w:rsidP="000858D0">
            <w:pPr>
              <w:spacing w:after="60"/>
              <w:jc w:val="center"/>
              <w:rPr>
                <w:sz w:val="18"/>
                <w:lang w:val="en-CA"/>
              </w:rPr>
            </w:pP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Support costs</w:t>
            </w:r>
          </w:p>
        </w:tc>
        <w:tc>
          <w:tcPr>
            <w:tcW w:w="0" w:type="auto"/>
          </w:tcPr>
          <w:p w:rsidR="00B91D4E" w:rsidRPr="00DC4384" w:rsidRDefault="00B91D4E" w:rsidP="000858D0">
            <w:pPr>
              <w:spacing w:after="60"/>
              <w:jc w:val="right"/>
              <w:rPr>
                <w:sz w:val="18"/>
                <w:lang w:val="en-CA"/>
              </w:rPr>
            </w:pPr>
            <w:r w:rsidRPr="00DC4384">
              <w:rPr>
                <w:sz w:val="17"/>
                <w:szCs w:val="17"/>
              </w:rPr>
              <w:t>20,450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7,150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17,300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0745FC"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0.0</w:t>
            </w:r>
          </w:p>
        </w:tc>
        <w:tc>
          <w:tcPr>
            <w:tcW w:w="0" w:type="auto"/>
            <w:shd w:val="clear" w:color="auto" w:fill="auto"/>
          </w:tcPr>
          <w:p w:rsidR="00B91D4E" w:rsidRPr="00DC4384" w:rsidRDefault="00107825" w:rsidP="000858D0">
            <w:pPr>
              <w:spacing w:after="60"/>
              <w:jc w:val="right"/>
              <w:rPr>
                <w:sz w:val="18"/>
                <w:lang w:val="en-CA"/>
              </w:rPr>
            </w:pPr>
            <w:r w:rsidRPr="00DC4384">
              <w:rPr>
                <w:sz w:val="18"/>
                <w:lang w:val="en-CA"/>
              </w:rPr>
              <w:t>44</w:t>
            </w:r>
            <w:r w:rsidR="00B91D4E" w:rsidRPr="00DC4384">
              <w:rPr>
                <w:sz w:val="18"/>
                <w:lang w:val="en-CA"/>
              </w:rPr>
              <w:t>,</w:t>
            </w:r>
            <w:r w:rsidRPr="00DC4384">
              <w:rPr>
                <w:sz w:val="18"/>
                <w:lang w:val="en-CA"/>
              </w:rPr>
              <w:t>900</w:t>
            </w:r>
          </w:p>
        </w:tc>
      </w:tr>
      <w:tr w:rsidR="00B91D4E" w:rsidRPr="00DC4384" w:rsidTr="009B37E9">
        <w:trPr>
          <w:trHeight w:hRule="exact" w:val="454"/>
        </w:trPr>
        <w:tc>
          <w:tcPr>
            <w:tcW w:w="1832" w:type="dxa"/>
            <w:gridSpan w:val="2"/>
            <w:vMerge w:val="restart"/>
            <w:shd w:val="clear" w:color="auto" w:fill="auto"/>
          </w:tcPr>
          <w:p w:rsidR="00B91D4E" w:rsidRPr="00DC4384" w:rsidRDefault="00B91D4E" w:rsidP="000858D0">
            <w:pPr>
              <w:spacing w:after="60"/>
              <w:jc w:val="left"/>
              <w:rPr>
                <w:sz w:val="18"/>
                <w:lang w:val="en-CA"/>
              </w:rPr>
            </w:pPr>
            <w:r w:rsidRPr="00DC4384">
              <w:rPr>
                <w:sz w:val="18"/>
                <w:lang w:val="en-CA"/>
              </w:rPr>
              <w:t>Total funds requested for approval at this meeting (US$)</w:t>
            </w: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Project costs</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b/>
                <w:sz w:val="18"/>
                <w:lang w:val="en-CA"/>
              </w:rPr>
            </w:pPr>
            <w:r w:rsidRPr="00DC4384">
              <w:rPr>
                <w:b/>
                <w:sz w:val="18"/>
                <w:lang w:val="en-CA"/>
              </w:rPr>
              <w:t>52,000</w:t>
            </w:r>
            <w:r w:rsidR="009B37E9" w:rsidRPr="00DC4384">
              <w:rPr>
                <w:b/>
                <w:sz w:val="18"/>
                <w:lang w:val="en-CA"/>
              </w:rPr>
              <w:t>*</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r>
      <w:tr w:rsidR="00B91D4E" w:rsidRPr="00DC4384" w:rsidTr="009B37E9">
        <w:trPr>
          <w:trHeight w:hRule="exact" w:val="454"/>
        </w:trPr>
        <w:tc>
          <w:tcPr>
            <w:tcW w:w="1832" w:type="dxa"/>
            <w:gridSpan w:val="2"/>
            <w:vMerge/>
            <w:shd w:val="clear" w:color="auto" w:fill="auto"/>
          </w:tcPr>
          <w:p w:rsidR="00B91D4E" w:rsidRPr="00DC4384" w:rsidRDefault="00B91D4E" w:rsidP="000858D0">
            <w:pPr>
              <w:spacing w:after="60"/>
              <w:jc w:val="center"/>
              <w:rPr>
                <w:sz w:val="18"/>
                <w:lang w:val="en-CA"/>
              </w:rPr>
            </w:pPr>
          </w:p>
        </w:tc>
        <w:tc>
          <w:tcPr>
            <w:tcW w:w="992" w:type="dxa"/>
            <w:shd w:val="clear" w:color="auto" w:fill="auto"/>
          </w:tcPr>
          <w:p w:rsidR="00B91D4E" w:rsidRPr="00DC4384" w:rsidRDefault="00B91D4E" w:rsidP="000858D0">
            <w:pPr>
              <w:spacing w:after="60"/>
              <w:jc w:val="left"/>
              <w:rPr>
                <w:sz w:val="18"/>
                <w:lang w:val="en-CA"/>
              </w:rPr>
            </w:pPr>
            <w:r w:rsidRPr="00DC4384">
              <w:rPr>
                <w:sz w:val="18"/>
                <w:lang w:val="en-CA"/>
              </w:rPr>
              <w:t>Support costs</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b/>
                <w:sz w:val="18"/>
                <w:lang w:val="en-CA"/>
              </w:rPr>
            </w:pPr>
            <w:r w:rsidRPr="00DC4384">
              <w:rPr>
                <w:b/>
                <w:sz w:val="18"/>
                <w:lang w:val="en-CA"/>
              </w:rPr>
              <w:t>6,760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c>
          <w:tcPr>
            <w:tcW w:w="0" w:type="auto"/>
            <w:shd w:val="clear" w:color="auto" w:fill="auto"/>
          </w:tcPr>
          <w:p w:rsidR="00B91D4E" w:rsidRPr="00DC4384" w:rsidRDefault="00B91D4E" w:rsidP="000858D0">
            <w:pPr>
              <w:spacing w:after="60"/>
              <w:jc w:val="right"/>
              <w:rPr>
                <w:sz w:val="18"/>
                <w:lang w:val="en-CA"/>
              </w:rPr>
            </w:pPr>
            <w:r w:rsidRPr="00DC4384">
              <w:rPr>
                <w:sz w:val="18"/>
                <w:lang w:val="en-CA"/>
              </w:rPr>
              <w:t>0</w:t>
            </w:r>
          </w:p>
        </w:tc>
      </w:tr>
    </w:tbl>
    <w:p w:rsidR="00F665A9" w:rsidRPr="00DC4384" w:rsidRDefault="009B37E9" w:rsidP="000858D0">
      <w:pPr>
        <w:spacing w:after="60"/>
        <w:rPr>
          <w:sz w:val="18"/>
          <w:szCs w:val="18"/>
          <w:lang w:val="en-CA"/>
        </w:rPr>
      </w:pPr>
      <w:r w:rsidRPr="00DC4384">
        <w:rPr>
          <w:sz w:val="18"/>
          <w:szCs w:val="18"/>
          <w:lang w:val="en-CA"/>
        </w:rPr>
        <w:t>* The fourth tranche shou</w:t>
      </w:r>
      <w:r w:rsidR="009D4F38" w:rsidRPr="00DC4384">
        <w:rPr>
          <w:sz w:val="18"/>
          <w:szCs w:val="18"/>
          <w:lang w:val="en-CA"/>
        </w:rPr>
        <w:t>ld have been submitted in 2018.</w:t>
      </w:r>
    </w:p>
    <w:p w:rsidR="009B37E9" w:rsidRPr="00DC4384" w:rsidRDefault="009B37E9" w:rsidP="000858D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F665A9" w:rsidRPr="00DC4384" w:rsidTr="009B37E9">
        <w:trPr>
          <w:trHeight w:hRule="exact" w:val="238"/>
        </w:trPr>
        <w:tc>
          <w:tcPr>
            <w:tcW w:w="3000" w:type="dxa"/>
            <w:shd w:val="clear" w:color="auto" w:fill="auto"/>
          </w:tcPr>
          <w:p w:rsidR="00F665A9" w:rsidRPr="00DC4384" w:rsidRDefault="00F665A9" w:rsidP="000858D0">
            <w:pPr>
              <w:spacing w:after="60"/>
              <w:jc w:val="left"/>
              <w:rPr>
                <w:b/>
                <w:sz w:val="18"/>
                <w:lang w:val="en-CA"/>
              </w:rPr>
            </w:pPr>
            <w:r w:rsidRPr="00DC4384">
              <w:rPr>
                <w:b/>
                <w:sz w:val="18"/>
                <w:lang w:val="en-CA"/>
              </w:rPr>
              <w:t>Secretariat's recommendation:</w:t>
            </w:r>
          </w:p>
        </w:tc>
        <w:tc>
          <w:tcPr>
            <w:tcW w:w="7000" w:type="dxa"/>
            <w:shd w:val="clear" w:color="auto" w:fill="auto"/>
          </w:tcPr>
          <w:p w:rsidR="00F665A9" w:rsidRPr="00DC4384" w:rsidRDefault="003D4B7B" w:rsidP="000858D0">
            <w:pPr>
              <w:spacing w:after="60"/>
              <w:jc w:val="center"/>
              <w:rPr>
                <w:sz w:val="18"/>
                <w:lang w:val="en-CA"/>
              </w:rPr>
            </w:pPr>
            <w:r w:rsidRPr="00DC4384">
              <w:rPr>
                <w:sz w:val="18"/>
                <w:lang w:val="en-CA"/>
              </w:rPr>
              <w:t>Blanket approval</w:t>
            </w:r>
          </w:p>
        </w:tc>
      </w:tr>
    </w:tbl>
    <w:p w:rsidR="00FE3307" w:rsidRPr="00DC4384" w:rsidRDefault="00FE3307" w:rsidP="000858D0">
      <w:pPr>
        <w:rPr>
          <w:lang w:val="en-CA"/>
        </w:rPr>
      </w:pPr>
      <w:r w:rsidRPr="00DC4384">
        <w:rPr>
          <w:lang w:val="en-CA"/>
        </w:rPr>
        <w:br w:type="page"/>
      </w:r>
    </w:p>
    <w:p w:rsidR="00FE3307" w:rsidRPr="00DC4384" w:rsidRDefault="00FE3307" w:rsidP="000858D0">
      <w:pPr>
        <w:jc w:val="center"/>
        <w:rPr>
          <w:b/>
          <w:lang w:val="en-CA"/>
        </w:rPr>
      </w:pPr>
      <w:r w:rsidRPr="00DC4384">
        <w:rPr>
          <w:b/>
          <w:lang w:val="en-CA"/>
        </w:rPr>
        <w:lastRenderedPageBreak/>
        <w:t>PROJECT DESCRIPTION</w:t>
      </w:r>
    </w:p>
    <w:p w:rsidR="00FE3307" w:rsidRPr="00DC4384" w:rsidRDefault="00FE3307" w:rsidP="000858D0">
      <w:pPr>
        <w:rPr>
          <w:lang w:val="en-CA"/>
        </w:rPr>
      </w:pPr>
    </w:p>
    <w:p w:rsidR="00FE3307" w:rsidRPr="00DC4384" w:rsidRDefault="00FE3307" w:rsidP="000858D0">
      <w:pPr>
        <w:pStyle w:val="Heading1"/>
        <w:rPr>
          <w:lang w:val="en-CA"/>
        </w:rPr>
      </w:pPr>
      <w:r w:rsidRPr="00DC4384">
        <w:rPr>
          <w:lang w:val="en-CA"/>
        </w:rPr>
        <w:t>On behalf of the Government of</w:t>
      </w:r>
      <w:r w:rsidR="007A496D" w:rsidRPr="00DC4384">
        <w:rPr>
          <w:lang w:val="en-CA"/>
        </w:rPr>
        <w:t xml:space="preserve"> Mali</w:t>
      </w:r>
      <w:r w:rsidRPr="00DC4384">
        <w:rPr>
          <w:lang w:val="en-CA"/>
        </w:rPr>
        <w:t>,</w:t>
      </w:r>
      <w:r w:rsidR="007A496D" w:rsidRPr="00DC4384">
        <w:rPr>
          <w:lang w:val="en-CA"/>
        </w:rPr>
        <w:t xml:space="preserve"> UNEP</w:t>
      </w:r>
      <w:r w:rsidRPr="00DC4384">
        <w:rPr>
          <w:lang w:val="en-CA"/>
        </w:rPr>
        <w:t xml:space="preserve"> as the lead implementing agency, has submitted a request for funding for the </w:t>
      </w:r>
      <w:r w:rsidR="007A496D" w:rsidRPr="00DC4384">
        <w:rPr>
          <w:lang w:val="en-CA"/>
        </w:rPr>
        <w:t>fourth</w:t>
      </w:r>
      <w:r w:rsidRPr="00DC4384">
        <w:rPr>
          <w:lang w:val="en-CA"/>
        </w:rPr>
        <w:t xml:space="preserve"> tranche of stage I of the HCFC phase-out management plan (HPMP), at the amount of US $</w:t>
      </w:r>
      <w:r w:rsidR="007A496D" w:rsidRPr="00DC4384">
        <w:rPr>
          <w:lang w:val="en-CA"/>
        </w:rPr>
        <w:t>52,000</w:t>
      </w:r>
      <w:r w:rsidRPr="00DC4384">
        <w:rPr>
          <w:lang w:val="en-CA"/>
        </w:rPr>
        <w:t>, plus agency support costs of US $</w:t>
      </w:r>
      <w:r w:rsidR="007A496D" w:rsidRPr="00DC4384">
        <w:rPr>
          <w:lang w:val="en-CA"/>
        </w:rPr>
        <w:t>6,760</w:t>
      </w:r>
      <w:r w:rsidRPr="00DC4384">
        <w:rPr>
          <w:lang w:val="en-CA"/>
        </w:rPr>
        <w:t xml:space="preserve"> for</w:t>
      </w:r>
      <w:r w:rsidR="007A496D" w:rsidRPr="00DC4384">
        <w:rPr>
          <w:lang w:val="en-CA"/>
        </w:rPr>
        <w:t xml:space="preserve"> UNEP</w:t>
      </w:r>
      <w:r w:rsidRPr="00DC4384">
        <w:rPr>
          <w:lang w:val="en-CA"/>
        </w:rPr>
        <w:t xml:space="preserve"> only.</w:t>
      </w:r>
      <w:r w:rsidRPr="00DC4384">
        <w:rPr>
          <w:rStyle w:val="FootnoteReference"/>
          <w:lang w:val="en-CA"/>
        </w:rPr>
        <w:footnoteReference w:id="1"/>
      </w:r>
      <w:r w:rsidRPr="00DC4384">
        <w:rPr>
          <w:lang w:val="en-CA"/>
        </w:rPr>
        <w:t xml:space="preserve"> The submission includes a progress report on the implementation of the </w:t>
      </w:r>
      <w:r w:rsidR="00A778B6" w:rsidRPr="00DC4384">
        <w:rPr>
          <w:lang w:val="en-CA"/>
        </w:rPr>
        <w:t>third</w:t>
      </w:r>
      <w:r w:rsidRPr="00DC4384">
        <w:rPr>
          <w:lang w:val="en-CA"/>
        </w:rPr>
        <w:t xml:space="preserve"> tranche and the tranche implementation plan for 2019 to 20</w:t>
      </w:r>
      <w:r w:rsidR="00A778B6" w:rsidRPr="00DC4384">
        <w:rPr>
          <w:lang w:val="en-CA"/>
        </w:rPr>
        <w:t>20</w:t>
      </w:r>
      <w:r w:rsidRPr="00DC4384">
        <w:rPr>
          <w:lang w:val="en-CA"/>
        </w:rPr>
        <w:t>.</w:t>
      </w:r>
    </w:p>
    <w:p w:rsidR="00FE3307" w:rsidRPr="00DC4384" w:rsidRDefault="00FE3307" w:rsidP="000858D0">
      <w:pPr>
        <w:rPr>
          <w:u w:val="single"/>
          <w:lang w:val="en-CA"/>
        </w:rPr>
      </w:pPr>
      <w:r w:rsidRPr="00DC4384">
        <w:rPr>
          <w:u w:val="single"/>
          <w:lang w:val="en-CA"/>
        </w:rPr>
        <w:t>Report on HCFC consumption</w:t>
      </w:r>
    </w:p>
    <w:p w:rsidR="00FE3307" w:rsidRPr="00DC4384" w:rsidRDefault="00FE3307" w:rsidP="000858D0">
      <w:pPr>
        <w:rPr>
          <w:lang w:val="en-CA"/>
        </w:rPr>
      </w:pPr>
    </w:p>
    <w:p w:rsidR="00FE3307" w:rsidRPr="00DC4384" w:rsidRDefault="00FE3307" w:rsidP="000858D0">
      <w:pPr>
        <w:pStyle w:val="Heading1"/>
        <w:rPr>
          <w:lang w:val="en-CA"/>
        </w:rPr>
      </w:pPr>
      <w:r w:rsidRPr="00DC4384">
        <w:rPr>
          <w:lang w:val="en-CA"/>
        </w:rPr>
        <w:t xml:space="preserve">The Government of </w:t>
      </w:r>
      <w:r w:rsidR="009E1A76" w:rsidRPr="00DC4384">
        <w:rPr>
          <w:lang w:val="en-CA"/>
        </w:rPr>
        <w:t>Mali</w:t>
      </w:r>
      <w:r w:rsidRPr="00DC4384">
        <w:rPr>
          <w:lang w:val="en-CA"/>
        </w:rPr>
        <w:t xml:space="preserve"> reported a</w:t>
      </w:r>
      <w:r w:rsidR="00927275" w:rsidRPr="00DC4384">
        <w:rPr>
          <w:lang w:val="en-CA"/>
        </w:rPr>
        <w:t xml:space="preserve"> </w:t>
      </w:r>
      <w:r w:rsidRPr="00DC4384">
        <w:rPr>
          <w:lang w:val="en-CA"/>
        </w:rPr>
        <w:t xml:space="preserve">consumption of </w:t>
      </w:r>
      <w:r w:rsidR="00BD3ECD" w:rsidRPr="00DC4384">
        <w:rPr>
          <w:lang w:val="en-CA"/>
        </w:rPr>
        <w:t>9.08</w:t>
      </w:r>
      <w:r w:rsidR="00927275" w:rsidRPr="00DC4384">
        <w:rPr>
          <w:lang w:val="en-CA"/>
        </w:rPr>
        <w:t xml:space="preserve"> ODP tonnes of HCFC in 2018</w:t>
      </w:r>
      <w:r w:rsidRPr="00DC4384">
        <w:rPr>
          <w:lang w:val="en-CA"/>
        </w:rPr>
        <w:t xml:space="preserve">, which is </w:t>
      </w:r>
      <w:r w:rsidR="00927275" w:rsidRPr="00DC4384">
        <w:rPr>
          <w:lang w:val="en-CA"/>
        </w:rPr>
        <w:t xml:space="preserve">over </w:t>
      </w:r>
      <w:r w:rsidR="00BD3ECD" w:rsidRPr="00DC4384">
        <w:rPr>
          <w:lang w:val="en-CA"/>
        </w:rPr>
        <w:t>39</w:t>
      </w:r>
      <w:r w:rsidR="00927275" w:rsidRPr="00DC4384">
        <w:rPr>
          <w:lang w:val="en-CA"/>
        </w:rPr>
        <w:t xml:space="preserve"> </w:t>
      </w:r>
      <w:r w:rsidRPr="00DC4384">
        <w:rPr>
          <w:lang w:val="en-CA"/>
        </w:rPr>
        <w:t xml:space="preserve">per cent below the HCFC baseline for compliance. The 2014-2018 HCFC consumption is shown in Table 1.  </w:t>
      </w:r>
    </w:p>
    <w:p w:rsidR="00FE3307" w:rsidRPr="00DC4384" w:rsidRDefault="00FE3307" w:rsidP="000858D0">
      <w:pPr>
        <w:rPr>
          <w:b/>
          <w:lang w:val="en-CA"/>
        </w:rPr>
      </w:pPr>
      <w:r w:rsidRPr="00DC4384">
        <w:rPr>
          <w:b/>
          <w:lang w:val="en-CA"/>
        </w:rPr>
        <w:t xml:space="preserve">Table 1. HCFC consumption in </w:t>
      </w:r>
      <w:r w:rsidR="004F0A07" w:rsidRPr="00DC4384">
        <w:rPr>
          <w:b/>
          <w:lang w:val="en-CA"/>
        </w:rPr>
        <w:t>Mali</w:t>
      </w:r>
      <w:r w:rsidRPr="00DC4384">
        <w:rPr>
          <w:b/>
          <w:lang w:val="en-CA"/>
        </w:rPr>
        <w:t xml:space="preserve"> (2014-2018 Article 7 data)</w:t>
      </w:r>
    </w:p>
    <w:tbl>
      <w:tblPr>
        <w:tblW w:w="4971" w:type="pct"/>
        <w:tblLook w:val="04A0" w:firstRow="1" w:lastRow="0" w:firstColumn="1" w:lastColumn="0" w:noHBand="0" w:noVBand="1"/>
      </w:tblPr>
      <w:tblGrid>
        <w:gridCol w:w="3054"/>
        <w:gridCol w:w="1039"/>
        <w:gridCol w:w="1041"/>
        <w:gridCol w:w="1041"/>
        <w:gridCol w:w="1039"/>
        <w:gridCol w:w="1041"/>
        <w:gridCol w:w="1041"/>
      </w:tblGrid>
      <w:tr w:rsidR="00FE3307" w:rsidRPr="00DC4384" w:rsidTr="003B72B1">
        <w:trPr>
          <w:trHeight w:val="248"/>
          <w:tblHeader/>
        </w:trPr>
        <w:tc>
          <w:tcPr>
            <w:tcW w:w="16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DC4384" w:rsidRDefault="00FE3307" w:rsidP="000858D0">
            <w:pPr>
              <w:widowControl w:val="0"/>
              <w:jc w:val="left"/>
              <w:rPr>
                <w:b/>
                <w:bCs/>
                <w:color w:val="000000"/>
                <w:sz w:val="20"/>
                <w:szCs w:val="20"/>
                <w:lang w:val="en-CA"/>
              </w:rPr>
            </w:pPr>
            <w:r w:rsidRPr="00DC4384">
              <w:rPr>
                <w:b/>
                <w:bCs/>
                <w:color w:val="000000"/>
                <w:sz w:val="20"/>
                <w:szCs w:val="20"/>
                <w:lang w:val="en-CA"/>
              </w:rPr>
              <w:t>HCFC-22</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FE3307" w:rsidRPr="00DC4384" w:rsidRDefault="00FE3307" w:rsidP="000858D0">
            <w:pPr>
              <w:widowControl w:val="0"/>
              <w:jc w:val="center"/>
              <w:rPr>
                <w:b/>
                <w:bCs/>
                <w:color w:val="000000"/>
                <w:sz w:val="20"/>
                <w:szCs w:val="20"/>
                <w:lang w:val="en-CA"/>
              </w:rPr>
            </w:pPr>
            <w:r w:rsidRPr="00DC4384">
              <w:rPr>
                <w:b/>
                <w:bCs/>
                <w:color w:val="000000"/>
                <w:sz w:val="20"/>
                <w:szCs w:val="20"/>
                <w:lang w:val="en-CA"/>
              </w:rPr>
              <w:t>2014</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FE3307" w:rsidRPr="00DC4384" w:rsidRDefault="00FE3307" w:rsidP="000858D0">
            <w:pPr>
              <w:widowControl w:val="0"/>
              <w:jc w:val="center"/>
              <w:rPr>
                <w:b/>
                <w:bCs/>
                <w:color w:val="000000"/>
                <w:sz w:val="20"/>
                <w:szCs w:val="20"/>
                <w:lang w:val="en-CA"/>
              </w:rPr>
            </w:pPr>
            <w:r w:rsidRPr="00DC4384">
              <w:rPr>
                <w:b/>
                <w:bCs/>
                <w:color w:val="000000"/>
                <w:sz w:val="20"/>
                <w:szCs w:val="20"/>
                <w:lang w:val="en-CA"/>
              </w:rPr>
              <w:t>2015</w:t>
            </w:r>
          </w:p>
        </w:tc>
        <w:tc>
          <w:tcPr>
            <w:tcW w:w="560" w:type="pct"/>
            <w:tcBorders>
              <w:top w:val="single" w:sz="4" w:space="0" w:color="auto"/>
              <w:left w:val="nil"/>
              <w:bottom w:val="single" w:sz="4" w:space="0" w:color="auto"/>
              <w:right w:val="single" w:sz="4" w:space="0" w:color="auto"/>
            </w:tcBorders>
          </w:tcPr>
          <w:p w:rsidR="00FE3307" w:rsidRPr="00DC4384" w:rsidRDefault="00FE3307" w:rsidP="000858D0">
            <w:pPr>
              <w:widowControl w:val="0"/>
              <w:jc w:val="center"/>
              <w:rPr>
                <w:b/>
                <w:bCs/>
                <w:color w:val="000000"/>
                <w:sz w:val="20"/>
                <w:szCs w:val="20"/>
                <w:lang w:val="en-CA"/>
              </w:rPr>
            </w:pPr>
            <w:r w:rsidRPr="00DC4384">
              <w:rPr>
                <w:b/>
                <w:bCs/>
                <w:color w:val="000000"/>
                <w:sz w:val="20"/>
                <w:szCs w:val="20"/>
                <w:lang w:val="en-CA"/>
              </w:rPr>
              <w:t>2016</w:t>
            </w:r>
          </w:p>
        </w:tc>
        <w:tc>
          <w:tcPr>
            <w:tcW w:w="559" w:type="pct"/>
            <w:tcBorders>
              <w:top w:val="single" w:sz="4" w:space="0" w:color="auto"/>
              <w:left w:val="single" w:sz="4" w:space="0" w:color="auto"/>
              <w:bottom w:val="single" w:sz="4" w:space="0" w:color="auto"/>
              <w:right w:val="single" w:sz="4" w:space="0" w:color="auto"/>
            </w:tcBorders>
          </w:tcPr>
          <w:p w:rsidR="00FE3307" w:rsidRPr="00DC4384" w:rsidRDefault="00FE3307" w:rsidP="000858D0">
            <w:pPr>
              <w:widowControl w:val="0"/>
              <w:jc w:val="center"/>
              <w:rPr>
                <w:b/>
                <w:bCs/>
                <w:color w:val="000000"/>
                <w:sz w:val="20"/>
                <w:szCs w:val="20"/>
                <w:lang w:val="en-CA"/>
              </w:rPr>
            </w:pPr>
            <w:r w:rsidRPr="00DC4384">
              <w:rPr>
                <w:b/>
                <w:bCs/>
                <w:color w:val="000000"/>
                <w:sz w:val="20"/>
                <w:szCs w:val="20"/>
                <w:lang w:val="en-CA"/>
              </w:rPr>
              <w:t>2017</w:t>
            </w:r>
          </w:p>
        </w:tc>
        <w:tc>
          <w:tcPr>
            <w:tcW w:w="560" w:type="pct"/>
            <w:tcBorders>
              <w:top w:val="single" w:sz="4" w:space="0" w:color="auto"/>
              <w:left w:val="single" w:sz="4" w:space="0" w:color="auto"/>
              <w:bottom w:val="single" w:sz="4" w:space="0" w:color="auto"/>
              <w:right w:val="single" w:sz="4" w:space="0" w:color="auto"/>
            </w:tcBorders>
          </w:tcPr>
          <w:p w:rsidR="00FE3307" w:rsidRPr="00DC4384" w:rsidRDefault="00FE3307" w:rsidP="007509DA">
            <w:pPr>
              <w:widowControl w:val="0"/>
              <w:jc w:val="center"/>
              <w:rPr>
                <w:b/>
                <w:bCs/>
                <w:color w:val="000000"/>
                <w:sz w:val="20"/>
                <w:szCs w:val="20"/>
                <w:lang w:val="en-CA"/>
              </w:rPr>
            </w:pPr>
            <w:r w:rsidRPr="00DC4384">
              <w:rPr>
                <w:b/>
                <w:bCs/>
                <w:color w:val="000000"/>
                <w:sz w:val="20"/>
                <w:szCs w:val="20"/>
                <w:lang w:val="en-CA"/>
              </w:rPr>
              <w:t>2018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307" w:rsidRPr="00DC4384" w:rsidRDefault="00FE3307" w:rsidP="000858D0">
            <w:pPr>
              <w:widowControl w:val="0"/>
              <w:jc w:val="center"/>
              <w:rPr>
                <w:b/>
                <w:bCs/>
                <w:color w:val="000000"/>
                <w:sz w:val="20"/>
                <w:szCs w:val="20"/>
                <w:lang w:val="en-CA"/>
              </w:rPr>
            </w:pPr>
            <w:r w:rsidRPr="00DC4384">
              <w:rPr>
                <w:b/>
                <w:bCs/>
                <w:color w:val="000000"/>
                <w:sz w:val="20"/>
                <w:szCs w:val="20"/>
                <w:lang w:val="en-CA"/>
              </w:rPr>
              <w:t>Baseline</w:t>
            </w:r>
          </w:p>
        </w:tc>
      </w:tr>
      <w:tr w:rsidR="00FE3307" w:rsidRPr="00DC4384" w:rsidTr="003B72B1">
        <w:trPr>
          <w:trHeight w:val="240"/>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DC4384" w:rsidRDefault="00FE3307" w:rsidP="000858D0">
            <w:pPr>
              <w:widowControl w:val="0"/>
              <w:jc w:val="left"/>
              <w:rPr>
                <w:bCs/>
                <w:color w:val="000000"/>
                <w:sz w:val="20"/>
                <w:szCs w:val="20"/>
                <w:lang w:val="en-CA"/>
              </w:rPr>
            </w:pPr>
            <w:r w:rsidRPr="00DC4384">
              <w:rPr>
                <w:bCs/>
                <w:color w:val="000000"/>
                <w:sz w:val="20"/>
                <w:szCs w:val="20"/>
                <w:lang w:val="en-CA"/>
              </w:rPr>
              <w:t>Metric tonnes</w:t>
            </w:r>
          </w:p>
        </w:tc>
        <w:tc>
          <w:tcPr>
            <w:tcW w:w="559" w:type="pct"/>
            <w:tcBorders>
              <w:top w:val="nil"/>
              <w:left w:val="nil"/>
              <w:bottom w:val="single" w:sz="4" w:space="0" w:color="auto"/>
              <w:right w:val="single" w:sz="4" w:space="0" w:color="auto"/>
            </w:tcBorders>
            <w:shd w:val="clear" w:color="auto" w:fill="auto"/>
            <w:noWrap/>
            <w:vAlign w:val="bottom"/>
          </w:tcPr>
          <w:p w:rsidR="00FE3307" w:rsidRPr="00DC4384" w:rsidRDefault="008519C8" w:rsidP="000858D0">
            <w:pPr>
              <w:jc w:val="right"/>
              <w:rPr>
                <w:color w:val="000000"/>
                <w:sz w:val="20"/>
                <w:szCs w:val="20"/>
                <w:lang w:val="en-CA"/>
              </w:rPr>
            </w:pPr>
            <w:r w:rsidRPr="00DC4384">
              <w:rPr>
                <w:color w:val="000000"/>
                <w:sz w:val="20"/>
                <w:szCs w:val="20"/>
                <w:lang w:val="en-CA"/>
              </w:rPr>
              <w:t>185.09</w:t>
            </w:r>
          </w:p>
        </w:tc>
        <w:tc>
          <w:tcPr>
            <w:tcW w:w="560" w:type="pct"/>
            <w:tcBorders>
              <w:top w:val="nil"/>
              <w:left w:val="nil"/>
              <w:bottom w:val="single" w:sz="4" w:space="0" w:color="auto"/>
              <w:right w:val="single" w:sz="4" w:space="0" w:color="auto"/>
            </w:tcBorders>
            <w:shd w:val="clear" w:color="auto" w:fill="auto"/>
            <w:noWrap/>
          </w:tcPr>
          <w:p w:rsidR="00FE3307" w:rsidRPr="00DC4384" w:rsidRDefault="008519C8" w:rsidP="000858D0">
            <w:pPr>
              <w:jc w:val="right"/>
              <w:rPr>
                <w:color w:val="000000"/>
                <w:sz w:val="20"/>
                <w:szCs w:val="20"/>
                <w:lang w:val="en-CA"/>
              </w:rPr>
            </w:pPr>
            <w:r w:rsidRPr="00DC4384">
              <w:rPr>
                <w:color w:val="000000"/>
                <w:sz w:val="20"/>
                <w:szCs w:val="20"/>
                <w:lang w:val="en-CA"/>
              </w:rPr>
              <w:t>184</w:t>
            </w:r>
            <w:r w:rsidR="0027264F" w:rsidRPr="00DC4384">
              <w:rPr>
                <w:color w:val="000000"/>
                <w:sz w:val="20"/>
                <w:szCs w:val="20"/>
                <w:lang w:val="en-CA"/>
              </w:rPr>
              <w:t>.00</w:t>
            </w:r>
          </w:p>
        </w:tc>
        <w:tc>
          <w:tcPr>
            <w:tcW w:w="560" w:type="pct"/>
            <w:tcBorders>
              <w:top w:val="single" w:sz="4" w:space="0" w:color="auto"/>
              <w:left w:val="nil"/>
              <w:bottom w:val="single" w:sz="4" w:space="0" w:color="auto"/>
              <w:right w:val="single" w:sz="4" w:space="0" w:color="auto"/>
            </w:tcBorders>
          </w:tcPr>
          <w:p w:rsidR="00FE3307" w:rsidRPr="00DC4384" w:rsidRDefault="008519C8" w:rsidP="000858D0">
            <w:pPr>
              <w:widowControl w:val="0"/>
              <w:jc w:val="right"/>
              <w:rPr>
                <w:bCs/>
                <w:color w:val="000000"/>
                <w:sz w:val="20"/>
                <w:szCs w:val="20"/>
                <w:lang w:val="en-CA"/>
              </w:rPr>
            </w:pPr>
            <w:r w:rsidRPr="00DC4384">
              <w:rPr>
                <w:bCs/>
                <w:color w:val="000000"/>
                <w:sz w:val="20"/>
                <w:szCs w:val="20"/>
                <w:lang w:val="en-CA"/>
              </w:rPr>
              <w:t>175.09</w:t>
            </w:r>
          </w:p>
        </w:tc>
        <w:tc>
          <w:tcPr>
            <w:tcW w:w="559" w:type="pct"/>
            <w:tcBorders>
              <w:top w:val="nil"/>
              <w:left w:val="single" w:sz="4" w:space="0" w:color="auto"/>
              <w:bottom w:val="single" w:sz="4" w:space="0" w:color="auto"/>
              <w:right w:val="single" w:sz="4" w:space="0" w:color="auto"/>
            </w:tcBorders>
          </w:tcPr>
          <w:p w:rsidR="00FE3307" w:rsidRPr="00DC4384" w:rsidRDefault="008519C8" w:rsidP="000858D0">
            <w:pPr>
              <w:widowControl w:val="0"/>
              <w:jc w:val="right"/>
              <w:rPr>
                <w:bCs/>
                <w:color w:val="000000"/>
                <w:sz w:val="20"/>
                <w:szCs w:val="20"/>
                <w:lang w:val="en-CA"/>
              </w:rPr>
            </w:pPr>
            <w:r w:rsidRPr="00DC4384">
              <w:rPr>
                <w:bCs/>
                <w:color w:val="000000"/>
                <w:sz w:val="20"/>
                <w:szCs w:val="20"/>
                <w:lang w:val="en-CA"/>
              </w:rPr>
              <w:t>165.09</w:t>
            </w:r>
          </w:p>
        </w:tc>
        <w:tc>
          <w:tcPr>
            <w:tcW w:w="560" w:type="pct"/>
            <w:tcBorders>
              <w:top w:val="nil"/>
              <w:left w:val="single" w:sz="4" w:space="0" w:color="auto"/>
              <w:bottom w:val="single" w:sz="4" w:space="0" w:color="auto"/>
              <w:right w:val="single" w:sz="4" w:space="0" w:color="auto"/>
            </w:tcBorders>
          </w:tcPr>
          <w:p w:rsidR="00FE3307" w:rsidRPr="00DC4384" w:rsidRDefault="007509DA" w:rsidP="000858D0">
            <w:pPr>
              <w:widowControl w:val="0"/>
              <w:jc w:val="right"/>
              <w:rPr>
                <w:rFonts w:eastAsiaTheme="minorHAnsi"/>
                <w:color w:val="000000"/>
                <w:sz w:val="20"/>
                <w:szCs w:val="20"/>
                <w:lang w:val="en-CA"/>
              </w:rPr>
            </w:pPr>
            <w:r w:rsidRPr="00DC4384">
              <w:rPr>
                <w:rFonts w:eastAsiaTheme="minorHAnsi"/>
                <w:color w:val="000000"/>
                <w:sz w:val="20"/>
                <w:szCs w:val="20"/>
                <w:lang w:val="en-CA"/>
              </w:rPr>
              <w:t>165</w:t>
            </w:r>
            <w:r w:rsidR="008519C8" w:rsidRPr="00DC4384">
              <w:rPr>
                <w:rFonts w:eastAsiaTheme="minorHAnsi"/>
                <w:color w:val="000000"/>
                <w:sz w:val="20"/>
                <w:szCs w:val="20"/>
                <w:lang w:val="en-CA"/>
              </w:rPr>
              <w:t>.00</w:t>
            </w:r>
          </w:p>
        </w:tc>
        <w:tc>
          <w:tcPr>
            <w:tcW w:w="560" w:type="pct"/>
            <w:tcBorders>
              <w:top w:val="nil"/>
              <w:left w:val="single" w:sz="4" w:space="0" w:color="auto"/>
              <w:bottom w:val="single" w:sz="4" w:space="0" w:color="auto"/>
              <w:right w:val="single" w:sz="4" w:space="0" w:color="auto"/>
            </w:tcBorders>
            <w:shd w:val="clear" w:color="auto" w:fill="auto"/>
            <w:noWrap/>
            <w:vAlign w:val="center"/>
          </w:tcPr>
          <w:p w:rsidR="00FE3307" w:rsidRPr="00DC4384" w:rsidRDefault="008519C8" w:rsidP="000858D0">
            <w:pPr>
              <w:widowControl w:val="0"/>
              <w:jc w:val="right"/>
              <w:rPr>
                <w:b/>
                <w:bCs/>
                <w:color w:val="000000"/>
                <w:sz w:val="20"/>
                <w:szCs w:val="20"/>
                <w:lang w:val="en-CA"/>
              </w:rPr>
            </w:pPr>
            <w:r w:rsidRPr="00DC4384">
              <w:rPr>
                <w:sz w:val="20"/>
                <w:szCs w:val="20"/>
              </w:rPr>
              <w:t>272.30</w:t>
            </w:r>
          </w:p>
        </w:tc>
      </w:tr>
      <w:tr w:rsidR="00FE3307" w:rsidRPr="00DC4384" w:rsidTr="003B72B1">
        <w:trPr>
          <w:trHeight w:val="248"/>
        </w:trPr>
        <w:tc>
          <w:tcPr>
            <w:tcW w:w="16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DC4384" w:rsidRDefault="00FE3307" w:rsidP="000858D0">
            <w:pPr>
              <w:widowControl w:val="0"/>
              <w:jc w:val="left"/>
              <w:rPr>
                <w:color w:val="000000"/>
                <w:sz w:val="20"/>
                <w:szCs w:val="20"/>
                <w:lang w:val="en-CA"/>
              </w:rPr>
            </w:pPr>
            <w:r w:rsidRPr="00DC4384">
              <w:rPr>
                <w:bCs/>
                <w:color w:val="000000"/>
                <w:sz w:val="20"/>
                <w:szCs w:val="20"/>
                <w:lang w:val="en-CA"/>
              </w:rPr>
              <w:t>ODP tonnes</w:t>
            </w:r>
          </w:p>
        </w:tc>
        <w:tc>
          <w:tcPr>
            <w:tcW w:w="559" w:type="pct"/>
            <w:tcBorders>
              <w:top w:val="nil"/>
              <w:left w:val="nil"/>
              <w:bottom w:val="single" w:sz="4" w:space="0" w:color="auto"/>
              <w:right w:val="single" w:sz="4" w:space="0" w:color="auto"/>
            </w:tcBorders>
            <w:shd w:val="clear" w:color="auto" w:fill="auto"/>
            <w:noWrap/>
          </w:tcPr>
          <w:p w:rsidR="00FE3307" w:rsidRPr="00DC4384" w:rsidRDefault="008519C8" w:rsidP="000858D0">
            <w:pPr>
              <w:jc w:val="right"/>
              <w:rPr>
                <w:rFonts w:eastAsiaTheme="minorHAnsi"/>
                <w:color w:val="000000"/>
                <w:sz w:val="20"/>
                <w:szCs w:val="20"/>
                <w:lang w:val="en-CA"/>
              </w:rPr>
            </w:pPr>
            <w:r w:rsidRPr="00DC4384">
              <w:rPr>
                <w:rFonts w:eastAsiaTheme="minorHAnsi"/>
                <w:color w:val="000000"/>
                <w:sz w:val="20"/>
                <w:szCs w:val="20"/>
                <w:lang w:val="en-CA"/>
              </w:rPr>
              <w:t>10.18</w:t>
            </w:r>
          </w:p>
        </w:tc>
        <w:tc>
          <w:tcPr>
            <w:tcW w:w="560" w:type="pct"/>
            <w:tcBorders>
              <w:top w:val="nil"/>
              <w:left w:val="nil"/>
              <w:bottom w:val="single" w:sz="4" w:space="0" w:color="auto"/>
              <w:right w:val="single" w:sz="4" w:space="0" w:color="auto"/>
            </w:tcBorders>
            <w:shd w:val="clear" w:color="auto" w:fill="auto"/>
            <w:noWrap/>
          </w:tcPr>
          <w:p w:rsidR="00FE3307" w:rsidRPr="00DC4384" w:rsidRDefault="008519C8" w:rsidP="000858D0">
            <w:pPr>
              <w:jc w:val="right"/>
              <w:rPr>
                <w:color w:val="000000"/>
                <w:sz w:val="20"/>
                <w:szCs w:val="20"/>
                <w:lang w:val="en-CA"/>
              </w:rPr>
            </w:pPr>
            <w:r w:rsidRPr="00DC4384">
              <w:rPr>
                <w:color w:val="000000"/>
                <w:sz w:val="20"/>
                <w:szCs w:val="20"/>
                <w:lang w:val="en-CA"/>
              </w:rPr>
              <w:t>10.12</w:t>
            </w:r>
          </w:p>
        </w:tc>
        <w:tc>
          <w:tcPr>
            <w:tcW w:w="560" w:type="pct"/>
            <w:tcBorders>
              <w:top w:val="single" w:sz="4" w:space="0" w:color="auto"/>
              <w:left w:val="nil"/>
              <w:bottom w:val="single" w:sz="4" w:space="0" w:color="auto"/>
              <w:right w:val="single" w:sz="4" w:space="0" w:color="auto"/>
            </w:tcBorders>
          </w:tcPr>
          <w:p w:rsidR="00FE3307" w:rsidRPr="00DC4384" w:rsidRDefault="008519C8" w:rsidP="000858D0">
            <w:pPr>
              <w:jc w:val="right"/>
              <w:rPr>
                <w:color w:val="000000"/>
                <w:sz w:val="20"/>
                <w:szCs w:val="20"/>
                <w:lang w:val="en-CA"/>
              </w:rPr>
            </w:pPr>
            <w:r w:rsidRPr="00DC4384">
              <w:rPr>
                <w:color w:val="000000"/>
                <w:sz w:val="20"/>
                <w:szCs w:val="20"/>
                <w:lang w:val="en-CA"/>
              </w:rPr>
              <w:t>9.63</w:t>
            </w:r>
          </w:p>
        </w:tc>
        <w:tc>
          <w:tcPr>
            <w:tcW w:w="559" w:type="pct"/>
            <w:tcBorders>
              <w:top w:val="nil"/>
              <w:left w:val="single" w:sz="4" w:space="0" w:color="auto"/>
              <w:bottom w:val="single" w:sz="4" w:space="0" w:color="auto"/>
              <w:right w:val="single" w:sz="4" w:space="0" w:color="auto"/>
            </w:tcBorders>
          </w:tcPr>
          <w:p w:rsidR="00FE3307" w:rsidRPr="00DC4384" w:rsidRDefault="008519C8" w:rsidP="000858D0">
            <w:pPr>
              <w:jc w:val="right"/>
              <w:rPr>
                <w:sz w:val="20"/>
                <w:szCs w:val="20"/>
                <w:lang w:val="en-CA"/>
              </w:rPr>
            </w:pPr>
            <w:r w:rsidRPr="00DC4384">
              <w:rPr>
                <w:sz w:val="20"/>
                <w:szCs w:val="20"/>
                <w:lang w:val="en-CA"/>
              </w:rPr>
              <w:t>9.08</w:t>
            </w:r>
          </w:p>
        </w:tc>
        <w:tc>
          <w:tcPr>
            <w:tcW w:w="560" w:type="pct"/>
            <w:tcBorders>
              <w:top w:val="nil"/>
              <w:left w:val="single" w:sz="4" w:space="0" w:color="auto"/>
              <w:bottom w:val="single" w:sz="4" w:space="0" w:color="auto"/>
              <w:right w:val="single" w:sz="4" w:space="0" w:color="auto"/>
            </w:tcBorders>
          </w:tcPr>
          <w:p w:rsidR="00FE3307" w:rsidRPr="00DC4384" w:rsidRDefault="007509DA" w:rsidP="000858D0">
            <w:pPr>
              <w:jc w:val="right"/>
              <w:rPr>
                <w:rFonts w:eastAsiaTheme="minorHAnsi"/>
                <w:color w:val="000000"/>
                <w:sz w:val="20"/>
                <w:szCs w:val="20"/>
                <w:lang w:val="en-CA"/>
              </w:rPr>
            </w:pPr>
            <w:r w:rsidRPr="00DC4384">
              <w:rPr>
                <w:sz w:val="20"/>
                <w:szCs w:val="20"/>
                <w:lang w:val="en-CA"/>
              </w:rPr>
              <w:t>9.08</w:t>
            </w:r>
          </w:p>
        </w:tc>
        <w:tc>
          <w:tcPr>
            <w:tcW w:w="560" w:type="pct"/>
            <w:tcBorders>
              <w:top w:val="nil"/>
              <w:left w:val="single" w:sz="4" w:space="0" w:color="auto"/>
              <w:bottom w:val="single" w:sz="4" w:space="0" w:color="auto"/>
              <w:right w:val="single" w:sz="4" w:space="0" w:color="auto"/>
            </w:tcBorders>
            <w:shd w:val="clear" w:color="auto" w:fill="auto"/>
            <w:noWrap/>
          </w:tcPr>
          <w:p w:rsidR="00FE3307" w:rsidRPr="00DC4384" w:rsidRDefault="008519C8" w:rsidP="000858D0">
            <w:pPr>
              <w:jc w:val="right"/>
              <w:rPr>
                <w:rFonts w:eastAsiaTheme="minorHAnsi"/>
                <w:color w:val="000000"/>
                <w:sz w:val="20"/>
                <w:szCs w:val="20"/>
                <w:lang w:val="en-CA"/>
              </w:rPr>
            </w:pPr>
            <w:r w:rsidRPr="00DC4384">
              <w:rPr>
                <w:rFonts w:eastAsiaTheme="minorHAnsi"/>
                <w:color w:val="000000"/>
                <w:sz w:val="20"/>
                <w:szCs w:val="20"/>
                <w:lang w:val="en-CA"/>
              </w:rPr>
              <w:t>15.00</w:t>
            </w:r>
          </w:p>
        </w:tc>
      </w:tr>
    </w:tbl>
    <w:p w:rsidR="00FE3307" w:rsidRPr="00DC4384" w:rsidRDefault="00FE3307" w:rsidP="000858D0">
      <w:pPr>
        <w:rPr>
          <w:lang w:val="en-CA"/>
        </w:rPr>
      </w:pPr>
    </w:p>
    <w:p w:rsidR="00FE3307" w:rsidRPr="00DC4384" w:rsidRDefault="0027264F" w:rsidP="000858D0">
      <w:pPr>
        <w:pStyle w:val="Heading1"/>
        <w:rPr>
          <w:lang w:val="en-CA"/>
        </w:rPr>
      </w:pPr>
      <w:r w:rsidRPr="00DC4384">
        <w:rPr>
          <w:lang w:val="en-CA"/>
        </w:rPr>
        <w:t xml:space="preserve">Mali has import of HCFC-22 only and this substance is used in servicing existing refrigeration and </w:t>
      </w:r>
      <w:r w:rsidR="00705B6C" w:rsidRPr="00DC4384">
        <w:rPr>
          <w:lang w:val="en-CA"/>
        </w:rPr>
        <w:t>air-conditioning applications.</w:t>
      </w:r>
      <w:r w:rsidRPr="00DC4384">
        <w:rPr>
          <w:lang w:val="en-CA"/>
        </w:rPr>
        <w:t xml:space="preserve"> The consumption of HCFC-22 is decreasing due to d</w:t>
      </w:r>
      <w:r w:rsidR="003B72B1" w:rsidRPr="00DC4384">
        <w:rPr>
          <w:lang w:val="en-CA"/>
        </w:rPr>
        <w:t>ecreasing population of HCFC</w:t>
      </w:r>
      <w:r w:rsidR="003B72B1" w:rsidRPr="00DC4384">
        <w:rPr>
          <w:lang w:val="en-CA"/>
        </w:rPr>
        <w:noBreakHyphen/>
        <w:t>22</w:t>
      </w:r>
      <w:r w:rsidR="003B72B1" w:rsidRPr="00DC4384">
        <w:rPr>
          <w:lang w:val="en-CA"/>
        </w:rPr>
        <w:noBreakHyphen/>
      </w:r>
      <w:r w:rsidRPr="00DC4384">
        <w:rPr>
          <w:lang w:val="en-CA"/>
        </w:rPr>
        <w:t xml:space="preserve">based equipment, </w:t>
      </w:r>
      <w:r w:rsidR="00BD3ECD" w:rsidRPr="00DC4384">
        <w:rPr>
          <w:lang w:val="en-CA"/>
        </w:rPr>
        <w:t xml:space="preserve">implementation of </w:t>
      </w:r>
      <w:r w:rsidR="00FD3BC0" w:rsidRPr="00DC4384">
        <w:rPr>
          <w:lang w:val="en-CA"/>
        </w:rPr>
        <w:t xml:space="preserve">the </w:t>
      </w:r>
      <w:r w:rsidR="00BD3ECD" w:rsidRPr="00DC4384">
        <w:rPr>
          <w:lang w:val="en-CA"/>
        </w:rPr>
        <w:t xml:space="preserve">HPMP through </w:t>
      </w:r>
      <w:r w:rsidRPr="00DC4384">
        <w:rPr>
          <w:lang w:val="en-CA"/>
        </w:rPr>
        <w:t>regulatory controls</w:t>
      </w:r>
      <w:r w:rsidR="00BD3ECD" w:rsidRPr="00DC4384">
        <w:rPr>
          <w:lang w:val="en-CA"/>
        </w:rPr>
        <w:t xml:space="preserve"> and</w:t>
      </w:r>
      <w:r w:rsidR="00A32F90" w:rsidRPr="00DC4384">
        <w:rPr>
          <w:lang w:val="en-CA"/>
        </w:rPr>
        <w:t xml:space="preserve"> training and capacity building of service technicians on good service practices</w:t>
      </w:r>
      <w:r w:rsidR="00BD3ECD" w:rsidRPr="00DC4384">
        <w:rPr>
          <w:lang w:val="en-CA"/>
        </w:rPr>
        <w:t>,</w:t>
      </w:r>
      <w:r w:rsidRPr="00DC4384">
        <w:rPr>
          <w:lang w:val="en-CA"/>
        </w:rPr>
        <w:t xml:space="preserve"> and increasing adoption of HCFC-free alternatives mainly in air-conditioning applications.</w:t>
      </w:r>
      <w:r w:rsidR="00705B6C" w:rsidRPr="00DC4384">
        <w:t xml:space="preserve"> </w:t>
      </w:r>
      <w:r w:rsidR="00705B6C" w:rsidRPr="00DC4384">
        <w:rPr>
          <w:lang w:val="en-CA"/>
        </w:rPr>
        <w:t>There is no reported use of ODS except HCFCs in the market.</w:t>
      </w:r>
    </w:p>
    <w:p w:rsidR="00FE3307" w:rsidRPr="00DC4384" w:rsidRDefault="00FE3307" w:rsidP="000858D0">
      <w:pPr>
        <w:rPr>
          <w:i/>
          <w:lang w:val="en-CA"/>
        </w:rPr>
      </w:pPr>
      <w:r w:rsidRPr="00DC4384">
        <w:rPr>
          <w:i/>
          <w:lang w:val="en-CA"/>
        </w:rPr>
        <w:t>Country programme (CP) implementation report</w:t>
      </w:r>
    </w:p>
    <w:p w:rsidR="00FE3307" w:rsidRPr="00DC4384" w:rsidRDefault="00FE3307" w:rsidP="000858D0">
      <w:pPr>
        <w:rPr>
          <w:lang w:val="en-CA"/>
        </w:rPr>
      </w:pPr>
    </w:p>
    <w:p w:rsidR="00FE3307" w:rsidRPr="00DC4384" w:rsidRDefault="00FF19C2" w:rsidP="000858D0">
      <w:pPr>
        <w:pStyle w:val="Heading1"/>
        <w:rPr>
          <w:lang w:val="en-CA"/>
        </w:rPr>
      </w:pPr>
      <w:r w:rsidRPr="00DC4384">
        <w:rPr>
          <w:lang w:val="en-CA"/>
        </w:rPr>
        <w:t xml:space="preserve">The Government of </w:t>
      </w:r>
      <w:r w:rsidR="00F05892" w:rsidRPr="00DC4384">
        <w:rPr>
          <w:lang w:val="en-CA"/>
        </w:rPr>
        <w:t xml:space="preserve">Mali </w:t>
      </w:r>
      <w:r w:rsidRPr="00DC4384">
        <w:rPr>
          <w:lang w:val="en-CA"/>
        </w:rPr>
        <w:t>reported HCFC sector consumption data under the 201</w:t>
      </w:r>
      <w:r w:rsidR="007509DA" w:rsidRPr="00DC4384">
        <w:rPr>
          <w:lang w:val="en-CA"/>
        </w:rPr>
        <w:t>8</w:t>
      </w:r>
      <w:r w:rsidRPr="00DC4384">
        <w:rPr>
          <w:lang w:val="en-CA"/>
        </w:rPr>
        <w:t xml:space="preserve"> CP implementation report which is consistent with the data reported under Article 7 of the Montreal Protocol. </w:t>
      </w:r>
    </w:p>
    <w:p w:rsidR="00FE3307" w:rsidRPr="00DC4384" w:rsidRDefault="00FE3307" w:rsidP="000858D0">
      <w:pPr>
        <w:keepNext/>
        <w:rPr>
          <w:u w:val="single"/>
          <w:lang w:val="en-CA"/>
        </w:rPr>
      </w:pPr>
      <w:r w:rsidRPr="00DC4384">
        <w:rPr>
          <w:u w:val="single"/>
          <w:lang w:val="en-CA"/>
        </w:rPr>
        <w:t xml:space="preserve">Progress report on the implementation of the </w:t>
      </w:r>
      <w:r w:rsidR="00A11872" w:rsidRPr="00DC4384">
        <w:rPr>
          <w:u w:val="single"/>
          <w:lang w:val="en-CA"/>
        </w:rPr>
        <w:t>third</w:t>
      </w:r>
      <w:r w:rsidRPr="00DC4384">
        <w:rPr>
          <w:u w:val="single"/>
          <w:lang w:val="en-CA"/>
        </w:rPr>
        <w:t xml:space="preserve"> tranche of the HPMP</w:t>
      </w:r>
    </w:p>
    <w:p w:rsidR="00FE3307" w:rsidRPr="00DC4384" w:rsidRDefault="00FE3307" w:rsidP="000858D0">
      <w:pPr>
        <w:keepNext/>
        <w:rPr>
          <w:lang w:val="en-CA"/>
        </w:rPr>
      </w:pPr>
    </w:p>
    <w:p w:rsidR="00FE3307" w:rsidRPr="00DC4384" w:rsidRDefault="00FE3307" w:rsidP="000858D0">
      <w:pPr>
        <w:keepNext/>
        <w:rPr>
          <w:i/>
          <w:lang w:val="en-CA"/>
        </w:rPr>
      </w:pPr>
      <w:r w:rsidRPr="00DC4384">
        <w:rPr>
          <w:i/>
          <w:lang w:val="en-CA"/>
        </w:rPr>
        <w:t>Legal framework</w:t>
      </w:r>
    </w:p>
    <w:p w:rsidR="00FE3307" w:rsidRPr="00DC4384" w:rsidRDefault="00FE3307" w:rsidP="000858D0">
      <w:pPr>
        <w:keepNext/>
        <w:rPr>
          <w:lang w:val="en-CA"/>
        </w:rPr>
      </w:pPr>
    </w:p>
    <w:p w:rsidR="00C515C8" w:rsidRPr="00DC4384" w:rsidRDefault="0027264F" w:rsidP="000858D0">
      <w:pPr>
        <w:pStyle w:val="Heading1"/>
        <w:keepNext/>
      </w:pPr>
      <w:r w:rsidRPr="00DC4384">
        <w:rPr>
          <w:lang w:val="en-CA"/>
        </w:rPr>
        <w:t>The</w:t>
      </w:r>
      <w:r w:rsidRPr="00DC4384">
        <w:t xml:space="preserve"> Government of Mali has a</w:t>
      </w:r>
      <w:r w:rsidR="004654B9" w:rsidRPr="00DC4384">
        <w:t>n operational import/export</w:t>
      </w:r>
      <w:r w:rsidRPr="00DC4384">
        <w:t xml:space="preserve"> licensing and quota system in place</w:t>
      </w:r>
      <w:r w:rsidR="00A32F90" w:rsidRPr="00DC4384">
        <w:t xml:space="preserve"> of ODS including HCFCs</w:t>
      </w:r>
      <w:r w:rsidRPr="00DC4384">
        <w:t>. The Decree</w:t>
      </w:r>
      <w:r w:rsidR="00C515C8" w:rsidRPr="00DC4384">
        <w:t xml:space="preserve"> </w:t>
      </w:r>
      <w:r w:rsidRPr="00DC4384">
        <w:t>of 22 January 2007 regulates the import, trade, use and re-export of ODS including HCFCs and</w:t>
      </w:r>
      <w:r w:rsidR="00C515C8" w:rsidRPr="00DC4384">
        <w:t xml:space="preserve"> </w:t>
      </w:r>
      <w:r w:rsidR="003E4691" w:rsidRPr="00DC4384">
        <w:t>HCFC-based equipment.</w:t>
      </w:r>
      <w:r w:rsidR="00C515C8" w:rsidRPr="00DC4384">
        <w:t xml:space="preserve"> The Government has continued to strengthen regulatory controls by regular inspections in local markets to identify instances of illegal consignments, training of customs and Ministry of Trade officers, and awareness activities focusing on ODS regulations among importers, shipping companies, customs brokers, retailers and service companies.</w:t>
      </w:r>
      <w:r w:rsidR="003E4691" w:rsidRPr="00DC4384">
        <w:t xml:space="preserve"> </w:t>
      </w:r>
      <w:r w:rsidR="003E4691" w:rsidRPr="00DC4384">
        <w:rPr>
          <w:lang w:val="en-CA"/>
        </w:rPr>
        <w:t>The Government continues to implement regulations prohibiting import of ODS and equipment using ODS other than HCFCs.</w:t>
      </w:r>
    </w:p>
    <w:p w:rsidR="00FE3307" w:rsidRPr="00DC4384" w:rsidRDefault="00FE3307" w:rsidP="000858D0">
      <w:pPr>
        <w:rPr>
          <w:i/>
          <w:lang w:val="en-CA"/>
        </w:rPr>
      </w:pPr>
      <w:r w:rsidRPr="00DC4384">
        <w:rPr>
          <w:i/>
          <w:lang w:val="en-CA"/>
        </w:rPr>
        <w:t>Refrigeration servicing sector</w:t>
      </w:r>
    </w:p>
    <w:p w:rsidR="00FE3307" w:rsidRPr="00DC4384" w:rsidRDefault="00FE3307" w:rsidP="000858D0">
      <w:pPr>
        <w:rPr>
          <w:lang w:val="en-CA"/>
        </w:rPr>
      </w:pPr>
    </w:p>
    <w:p w:rsidR="00DA539A" w:rsidRPr="00DC4384" w:rsidRDefault="00DA539A" w:rsidP="000858D0">
      <w:pPr>
        <w:pStyle w:val="Heading1"/>
        <w:tabs>
          <w:tab w:val="clear" w:pos="0"/>
        </w:tabs>
        <w:rPr>
          <w:lang w:val="en-CA"/>
        </w:rPr>
      </w:pPr>
      <w:r w:rsidRPr="00DC4384">
        <w:rPr>
          <w:lang w:val="en-CA"/>
        </w:rPr>
        <w:t>The main activities implemented include:</w:t>
      </w:r>
    </w:p>
    <w:p w:rsidR="00DA539A" w:rsidRPr="00DC4384" w:rsidRDefault="00DA539A" w:rsidP="000858D0">
      <w:pPr>
        <w:pStyle w:val="Heading2"/>
        <w:rPr>
          <w:lang w:val="en-CA"/>
        </w:rPr>
      </w:pPr>
      <w:r w:rsidRPr="00DC4384">
        <w:rPr>
          <w:lang w:val="en-CA"/>
        </w:rPr>
        <w:t xml:space="preserve">Five </w:t>
      </w:r>
      <w:r w:rsidR="004654B9" w:rsidRPr="00DC4384">
        <w:rPr>
          <w:lang w:val="en-CA"/>
        </w:rPr>
        <w:t>workshops to train a total</w:t>
      </w:r>
      <w:r w:rsidRPr="00DC4384">
        <w:rPr>
          <w:lang w:val="en-CA"/>
        </w:rPr>
        <w:t xml:space="preserve"> of 175 customs</w:t>
      </w:r>
      <w:r w:rsidR="004654B9" w:rsidRPr="00DC4384">
        <w:rPr>
          <w:lang w:val="en-CA"/>
        </w:rPr>
        <w:t xml:space="preserve"> and</w:t>
      </w:r>
      <w:r w:rsidRPr="00DC4384">
        <w:rPr>
          <w:lang w:val="en-CA"/>
        </w:rPr>
        <w:t xml:space="preserve"> environment officers and other enforcement agents in monitoring and controlling the import and distribution of HCFCs</w:t>
      </w:r>
      <w:r w:rsidR="004654B9" w:rsidRPr="00DC4384">
        <w:rPr>
          <w:lang w:val="en-CA"/>
        </w:rPr>
        <w:t>. The</w:t>
      </w:r>
      <w:r w:rsidR="00C515C8" w:rsidRPr="00DC4384">
        <w:rPr>
          <w:lang w:val="en-CA"/>
        </w:rPr>
        <w:t xml:space="preserve"> curriculum of the customs training school is being revised to include training manual </w:t>
      </w:r>
      <w:r w:rsidR="00C515C8" w:rsidRPr="00DC4384">
        <w:rPr>
          <w:lang w:val="en-CA"/>
        </w:rPr>
        <w:lastRenderedPageBreak/>
        <w:t>on ODS regulation</w:t>
      </w:r>
      <w:r w:rsidR="006E5B26" w:rsidRPr="00DC4384">
        <w:rPr>
          <w:lang w:val="en-CA"/>
        </w:rPr>
        <w:t>s and import and export of ODS;</w:t>
      </w:r>
    </w:p>
    <w:p w:rsidR="00DA539A" w:rsidRPr="00DC4384" w:rsidRDefault="00DA539A" w:rsidP="000858D0">
      <w:pPr>
        <w:pStyle w:val="Heading2"/>
        <w:rPr>
          <w:lang w:val="en-CA"/>
        </w:rPr>
      </w:pPr>
      <w:r w:rsidRPr="00DC4384">
        <w:rPr>
          <w:lang w:val="en-CA"/>
        </w:rPr>
        <w:t>Six</w:t>
      </w:r>
      <w:r w:rsidR="004654B9" w:rsidRPr="00DC4384">
        <w:rPr>
          <w:lang w:val="en-CA"/>
        </w:rPr>
        <w:t xml:space="preserve"> workshops to train a total</w:t>
      </w:r>
      <w:r w:rsidRPr="00DC4384">
        <w:rPr>
          <w:lang w:val="en-CA"/>
        </w:rPr>
        <w:t xml:space="preserve"> of 255 refrigeration technicians on good practices in ser</w:t>
      </w:r>
      <w:r w:rsidR="006E5B26" w:rsidRPr="00DC4384">
        <w:rPr>
          <w:lang w:val="en-CA"/>
        </w:rPr>
        <w:t>vicing air</w:t>
      </w:r>
      <w:r w:rsidR="006E5B26" w:rsidRPr="00DC4384">
        <w:rPr>
          <w:lang w:val="en-CA"/>
        </w:rPr>
        <w:noBreakHyphen/>
      </w:r>
      <w:r w:rsidRPr="00DC4384">
        <w:rPr>
          <w:lang w:val="en-CA"/>
        </w:rPr>
        <w:t>conditioning equipment including the recovery and recycling of HCFCs and safe handling of hydrocarbon-refrigerants;</w:t>
      </w:r>
    </w:p>
    <w:p w:rsidR="004654B9" w:rsidRPr="00DC4384" w:rsidRDefault="00D54C78" w:rsidP="000858D0">
      <w:pPr>
        <w:pStyle w:val="Heading2"/>
        <w:rPr>
          <w:lang w:val="en-CA"/>
        </w:rPr>
      </w:pPr>
      <w:r w:rsidRPr="00DC4384">
        <w:rPr>
          <w:lang w:val="en-CA"/>
        </w:rPr>
        <w:t>Procurement and delivery of equipment and tools to</w:t>
      </w:r>
      <w:r w:rsidR="00C515C8" w:rsidRPr="00DC4384">
        <w:rPr>
          <w:lang w:val="en-CA"/>
        </w:rPr>
        <w:t xml:space="preserve"> four</w:t>
      </w:r>
      <w:r w:rsidRPr="00DC4384">
        <w:rPr>
          <w:lang w:val="en-CA"/>
        </w:rPr>
        <w:t xml:space="preserve"> training centers</w:t>
      </w:r>
      <w:r w:rsidR="00C515C8" w:rsidRPr="00DC4384">
        <w:rPr>
          <w:lang w:val="en-CA"/>
        </w:rPr>
        <w:t xml:space="preserve"> </w:t>
      </w:r>
      <w:r w:rsidR="004654B9" w:rsidRPr="00DC4384">
        <w:rPr>
          <w:lang w:val="en-CA"/>
        </w:rPr>
        <w:t xml:space="preserve">and selected workshops </w:t>
      </w:r>
      <w:r w:rsidR="00C515C8" w:rsidRPr="00DC4384">
        <w:rPr>
          <w:lang w:val="en-CA"/>
        </w:rPr>
        <w:t xml:space="preserve">in </w:t>
      </w:r>
      <w:r w:rsidR="00F426B7" w:rsidRPr="00DC4384">
        <w:rPr>
          <w:lang w:val="en-CA"/>
        </w:rPr>
        <w:t xml:space="preserve">the </w:t>
      </w:r>
      <w:r w:rsidR="00C515C8" w:rsidRPr="00DC4384">
        <w:rPr>
          <w:lang w:val="en-CA"/>
        </w:rPr>
        <w:t>district</w:t>
      </w:r>
      <w:r w:rsidR="00F426B7" w:rsidRPr="00DC4384">
        <w:rPr>
          <w:lang w:val="en-CA"/>
        </w:rPr>
        <w:t>s of Bamako (3) and Segou (1).</w:t>
      </w:r>
      <w:r w:rsidR="00C515C8" w:rsidRPr="00DC4384">
        <w:rPr>
          <w:lang w:val="en-CA"/>
        </w:rPr>
        <w:t xml:space="preserve"> </w:t>
      </w:r>
      <w:r w:rsidRPr="00DC4384">
        <w:rPr>
          <w:lang w:val="en-CA"/>
        </w:rPr>
        <w:t xml:space="preserve">The equipment </w:t>
      </w:r>
      <w:proofErr w:type="gramStart"/>
      <w:r w:rsidRPr="00DC4384">
        <w:rPr>
          <w:lang w:val="en-CA"/>
        </w:rPr>
        <w:t>include</w:t>
      </w:r>
      <w:proofErr w:type="gramEnd"/>
      <w:r w:rsidRPr="00DC4384">
        <w:rPr>
          <w:lang w:val="en-CA"/>
        </w:rPr>
        <w:t xml:space="preserve"> refrigerant identifiers, portable electronic leak detectors, vacuum pumps, gauges, recovery and recycling units, and recovery cylinder, safety kits and accessories</w:t>
      </w:r>
      <w:r w:rsidR="004654B9" w:rsidRPr="00DC4384">
        <w:rPr>
          <w:lang w:val="en-CA"/>
        </w:rPr>
        <w:t>;</w:t>
      </w:r>
      <w:r w:rsidRPr="00DC4384">
        <w:rPr>
          <w:lang w:val="en-CA"/>
        </w:rPr>
        <w:t xml:space="preserve"> </w:t>
      </w:r>
      <w:r w:rsidR="00BD3ECD" w:rsidRPr="00DC4384">
        <w:rPr>
          <w:lang w:val="en-CA"/>
        </w:rPr>
        <w:t>and</w:t>
      </w:r>
    </w:p>
    <w:p w:rsidR="00D54C78" w:rsidRPr="00DC4384" w:rsidRDefault="00C515C8" w:rsidP="000858D0">
      <w:pPr>
        <w:pStyle w:val="Heading2"/>
        <w:rPr>
          <w:lang w:val="en-CA"/>
        </w:rPr>
      </w:pPr>
      <w:r w:rsidRPr="00DC4384">
        <w:rPr>
          <w:lang w:val="en-CA"/>
        </w:rPr>
        <w:t>Activities under end-user sub-component</w:t>
      </w:r>
      <w:r w:rsidR="00E12932" w:rsidRPr="00DC4384">
        <w:rPr>
          <w:lang w:val="en-CA"/>
        </w:rPr>
        <w:t xml:space="preserve"> for</w:t>
      </w:r>
      <w:r w:rsidRPr="00DC4384">
        <w:rPr>
          <w:lang w:val="en-CA"/>
        </w:rPr>
        <w:t xml:space="preserve"> </w:t>
      </w:r>
      <w:r w:rsidR="00E12932" w:rsidRPr="00DC4384">
        <w:rPr>
          <w:lang w:val="en-CA"/>
        </w:rPr>
        <w:t xml:space="preserve">commercial refrigeration </w:t>
      </w:r>
      <w:r w:rsidRPr="00DC4384">
        <w:rPr>
          <w:lang w:val="en-CA"/>
        </w:rPr>
        <w:t>were postponed</w:t>
      </w:r>
      <w:r w:rsidR="007E2A09" w:rsidRPr="00DC4384">
        <w:rPr>
          <w:lang w:val="en-CA"/>
        </w:rPr>
        <w:t xml:space="preserve"> as low-</w:t>
      </w:r>
      <w:r w:rsidR="00F426B7" w:rsidRPr="00DC4384">
        <w:rPr>
          <w:lang w:val="en-CA"/>
        </w:rPr>
        <w:t>global warming potential (</w:t>
      </w:r>
      <w:r w:rsidR="007E2A09" w:rsidRPr="00DC4384">
        <w:rPr>
          <w:lang w:val="en-CA"/>
        </w:rPr>
        <w:t>GWP</w:t>
      </w:r>
      <w:r w:rsidR="00F426B7" w:rsidRPr="00DC4384">
        <w:rPr>
          <w:lang w:val="en-CA"/>
        </w:rPr>
        <w:t>)</w:t>
      </w:r>
      <w:r w:rsidR="007E2A09" w:rsidRPr="00DC4384">
        <w:rPr>
          <w:lang w:val="en-CA"/>
        </w:rPr>
        <w:t xml:space="preserve"> technologies</w:t>
      </w:r>
      <w:r w:rsidR="00E12932" w:rsidRPr="00DC4384">
        <w:rPr>
          <w:lang w:val="en-CA"/>
        </w:rPr>
        <w:t xml:space="preserve"> (e.g., hydrocarbons (HC))</w:t>
      </w:r>
      <w:r w:rsidR="007E2A09" w:rsidRPr="00DC4384">
        <w:rPr>
          <w:lang w:val="en-CA"/>
        </w:rPr>
        <w:t xml:space="preserve"> for retrofit of equipment</w:t>
      </w:r>
      <w:r w:rsidR="00E12932" w:rsidRPr="00DC4384">
        <w:rPr>
          <w:lang w:val="en-CA"/>
        </w:rPr>
        <w:t xml:space="preserve"> </w:t>
      </w:r>
      <w:r w:rsidR="007E2A09" w:rsidRPr="00DC4384">
        <w:rPr>
          <w:lang w:val="en-CA"/>
        </w:rPr>
        <w:t>are not available</w:t>
      </w:r>
      <w:r w:rsidR="004654B9" w:rsidRPr="00DC4384">
        <w:rPr>
          <w:lang w:val="en-CA"/>
        </w:rPr>
        <w:t>.</w:t>
      </w:r>
      <w:r w:rsidR="00BC648A" w:rsidRPr="00DC4384">
        <w:rPr>
          <w:lang w:val="en-CA"/>
        </w:rPr>
        <w:t xml:space="preserve"> The funds allocated for this component (US $10,000) were used for providing equipment support for training centers.</w:t>
      </w:r>
      <w:r w:rsidR="00F426B7" w:rsidRPr="00DC4384">
        <w:rPr>
          <w:lang w:val="en-CA"/>
        </w:rPr>
        <w:t xml:space="preserve"> </w:t>
      </w:r>
    </w:p>
    <w:p w:rsidR="00FE3307" w:rsidRPr="00DC4384" w:rsidRDefault="00FE3307" w:rsidP="000858D0">
      <w:pPr>
        <w:keepNext/>
        <w:rPr>
          <w:i/>
          <w:lang w:val="en-CA"/>
        </w:rPr>
      </w:pPr>
      <w:r w:rsidRPr="00DC4384">
        <w:rPr>
          <w:i/>
          <w:lang w:val="en-CA"/>
        </w:rPr>
        <w:t>Project implementation and monitoring unit (PMU)</w:t>
      </w:r>
    </w:p>
    <w:p w:rsidR="00FE3307" w:rsidRPr="00DC4384" w:rsidRDefault="00FE3307" w:rsidP="000858D0">
      <w:pPr>
        <w:keepNext/>
        <w:rPr>
          <w:lang w:val="en-CA"/>
        </w:rPr>
      </w:pPr>
    </w:p>
    <w:p w:rsidR="00FE3307" w:rsidRPr="00DC4384" w:rsidRDefault="00E12932" w:rsidP="000858D0">
      <w:pPr>
        <w:pStyle w:val="Heading1"/>
        <w:keepNext/>
        <w:rPr>
          <w:lang w:val="en-CA"/>
        </w:rPr>
      </w:pPr>
      <w:r w:rsidRPr="00DC4384">
        <w:rPr>
          <w:lang w:val="en-CA"/>
        </w:rPr>
        <w:t xml:space="preserve">PMU plays a role </w:t>
      </w:r>
      <w:r w:rsidR="00BD3ECD" w:rsidRPr="00DC4384">
        <w:rPr>
          <w:lang w:val="en-CA"/>
        </w:rPr>
        <w:t>in</w:t>
      </w:r>
      <w:r w:rsidRPr="00DC4384">
        <w:rPr>
          <w:lang w:val="en-CA"/>
        </w:rPr>
        <w:t xml:space="preserve"> project implementation monitoring.  </w:t>
      </w:r>
      <w:r w:rsidR="008608FD" w:rsidRPr="00DC4384">
        <w:rPr>
          <w:lang w:val="en-CA"/>
        </w:rPr>
        <w:t xml:space="preserve">The PMU funds were used for </w:t>
      </w:r>
      <w:r w:rsidR="00BD3ECD" w:rsidRPr="00DC4384">
        <w:rPr>
          <w:lang w:val="en-CA"/>
        </w:rPr>
        <w:t xml:space="preserve">recruitment of </w:t>
      </w:r>
      <w:r w:rsidR="008608FD" w:rsidRPr="00DC4384">
        <w:rPr>
          <w:lang w:val="en-CA"/>
        </w:rPr>
        <w:t>consultants to assess the implementation of the HPMP and make recommendations to improve effectiveness</w:t>
      </w:r>
      <w:r w:rsidRPr="00DC4384">
        <w:rPr>
          <w:lang w:val="en-CA"/>
        </w:rPr>
        <w:t>.</w:t>
      </w:r>
      <w:r w:rsidR="008608FD" w:rsidRPr="00DC4384">
        <w:rPr>
          <w:lang w:val="en-CA"/>
        </w:rPr>
        <w:t xml:space="preserve"> </w:t>
      </w:r>
      <w:r w:rsidR="00BD3ECD" w:rsidRPr="00DC4384">
        <w:rPr>
          <w:lang w:val="en-CA"/>
        </w:rPr>
        <w:t>T</w:t>
      </w:r>
      <w:r w:rsidR="003E4691" w:rsidRPr="00DC4384">
        <w:rPr>
          <w:lang w:val="en-CA"/>
        </w:rPr>
        <w:t>he consultants submitted two annual reports to the national ozone unit</w:t>
      </w:r>
      <w:r w:rsidR="00FD3BC0" w:rsidRPr="00DC4384">
        <w:rPr>
          <w:lang w:val="en-CA"/>
        </w:rPr>
        <w:t xml:space="preserve"> (NOU)</w:t>
      </w:r>
      <w:r w:rsidR="003E4691" w:rsidRPr="00DC4384">
        <w:rPr>
          <w:lang w:val="en-CA"/>
        </w:rPr>
        <w:t>.</w:t>
      </w:r>
    </w:p>
    <w:p w:rsidR="00FE3307" w:rsidRPr="00DC4384" w:rsidRDefault="00FE3307" w:rsidP="000858D0">
      <w:pPr>
        <w:rPr>
          <w:u w:val="single"/>
          <w:lang w:val="en-CA"/>
        </w:rPr>
      </w:pPr>
      <w:r w:rsidRPr="00DC4384">
        <w:rPr>
          <w:u w:val="single"/>
          <w:lang w:val="en-CA"/>
        </w:rPr>
        <w:t>Level of fund disbursement</w:t>
      </w:r>
    </w:p>
    <w:p w:rsidR="00FE3307" w:rsidRPr="00DC4384" w:rsidRDefault="00FE3307" w:rsidP="000858D0">
      <w:pPr>
        <w:rPr>
          <w:lang w:val="en-CA"/>
        </w:rPr>
      </w:pPr>
    </w:p>
    <w:p w:rsidR="00FE3307" w:rsidRPr="00DC4384" w:rsidRDefault="00FE3307" w:rsidP="000858D0">
      <w:pPr>
        <w:pStyle w:val="Heading1"/>
        <w:rPr>
          <w:lang w:val="en-CA"/>
        </w:rPr>
      </w:pPr>
      <w:r w:rsidRPr="00DC4384">
        <w:rPr>
          <w:lang w:val="en-CA"/>
        </w:rPr>
        <w:t xml:space="preserve">As of </w:t>
      </w:r>
      <w:r w:rsidR="002E5891" w:rsidRPr="00DC4384">
        <w:rPr>
          <w:lang w:val="en-CA"/>
        </w:rPr>
        <w:t>March</w:t>
      </w:r>
      <w:r w:rsidRPr="00DC4384">
        <w:rPr>
          <w:lang w:val="en-CA"/>
        </w:rPr>
        <w:t xml:space="preserve"> 2019, of the US $</w:t>
      </w:r>
      <w:r w:rsidR="005A6E4B" w:rsidRPr="00DC4384">
        <w:rPr>
          <w:lang w:val="en-CA"/>
        </w:rPr>
        <w:t>448</w:t>
      </w:r>
      <w:r w:rsidR="00161375" w:rsidRPr="00DC4384">
        <w:rPr>
          <w:lang w:val="en-CA"/>
        </w:rPr>
        <w:t>,</w:t>
      </w:r>
      <w:r w:rsidR="005A6E4B" w:rsidRPr="00DC4384">
        <w:rPr>
          <w:lang w:val="en-CA"/>
        </w:rPr>
        <w:t>830</w:t>
      </w:r>
      <w:r w:rsidRPr="00DC4384">
        <w:rPr>
          <w:lang w:val="en-CA"/>
        </w:rPr>
        <w:t xml:space="preserve"> approved so far, US $</w:t>
      </w:r>
      <w:r w:rsidR="00713F86" w:rsidRPr="00DC4384">
        <w:rPr>
          <w:lang w:val="en-CA"/>
        </w:rPr>
        <w:t>434,723</w:t>
      </w:r>
      <w:r w:rsidRPr="00DC4384">
        <w:rPr>
          <w:lang w:val="en-CA"/>
        </w:rPr>
        <w:t xml:space="preserve"> had been disbursed (US $</w:t>
      </w:r>
      <w:r w:rsidR="00713F86" w:rsidRPr="00DC4384">
        <w:rPr>
          <w:lang w:val="en-CA"/>
        </w:rPr>
        <w:t>196,830</w:t>
      </w:r>
      <w:r w:rsidRPr="00DC4384">
        <w:rPr>
          <w:lang w:val="en-CA"/>
        </w:rPr>
        <w:t xml:space="preserve"> for</w:t>
      </w:r>
      <w:r w:rsidR="00713F86" w:rsidRPr="00DC4384">
        <w:rPr>
          <w:lang w:val="en-CA"/>
        </w:rPr>
        <w:t xml:space="preserve"> UNEP</w:t>
      </w:r>
      <w:r w:rsidRPr="00DC4384">
        <w:rPr>
          <w:lang w:val="en-CA"/>
        </w:rPr>
        <w:t xml:space="preserve"> and US $</w:t>
      </w:r>
      <w:r w:rsidR="00713F86" w:rsidRPr="00DC4384">
        <w:rPr>
          <w:lang w:val="en-CA"/>
        </w:rPr>
        <w:t>237,893</w:t>
      </w:r>
      <w:r w:rsidRPr="00DC4384">
        <w:rPr>
          <w:lang w:val="en-CA"/>
        </w:rPr>
        <w:t xml:space="preserve"> for</w:t>
      </w:r>
      <w:r w:rsidR="00713F86" w:rsidRPr="00DC4384">
        <w:rPr>
          <w:lang w:val="en-CA"/>
        </w:rPr>
        <w:t xml:space="preserve"> UNDP</w:t>
      </w:r>
      <w:r w:rsidRPr="00DC4384">
        <w:rPr>
          <w:lang w:val="en-CA"/>
        </w:rPr>
        <w:t>) as shown in Table 2. The balance of US $</w:t>
      </w:r>
      <w:r w:rsidR="005A6E4B" w:rsidRPr="00DC4384">
        <w:rPr>
          <w:lang w:val="en-CA"/>
        </w:rPr>
        <w:t>14</w:t>
      </w:r>
      <w:r w:rsidR="00713F86" w:rsidRPr="00DC4384">
        <w:rPr>
          <w:lang w:val="en-CA"/>
        </w:rPr>
        <w:t>,</w:t>
      </w:r>
      <w:r w:rsidR="005A6E4B" w:rsidRPr="00DC4384">
        <w:rPr>
          <w:lang w:val="en-CA"/>
        </w:rPr>
        <w:t>107</w:t>
      </w:r>
      <w:r w:rsidRPr="00DC4384">
        <w:rPr>
          <w:lang w:val="en-CA"/>
        </w:rPr>
        <w:t xml:space="preserve"> will be disbursed </w:t>
      </w:r>
      <w:r w:rsidR="00105E55" w:rsidRPr="00DC4384">
        <w:rPr>
          <w:lang w:val="en-CA"/>
        </w:rPr>
        <w:t>by the year 2020</w:t>
      </w:r>
      <w:r w:rsidRPr="00DC4384">
        <w:rPr>
          <w:lang w:val="en-CA"/>
        </w:rPr>
        <w:t>.</w:t>
      </w:r>
    </w:p>
    <w:p w:rsidR="00FE3307" w:rsidRPr="00DC4384" w:rsidRDefault="00FE3307" w:rsidP="000858D0">
      <w:pPr>
        <w:rPr>
          <w:b/>
          <w:lang w:val="en-CA"/>
        </w:rPr>
      </w:pPr>
      <w:r w:rsidRPr="00DC4384">
        <w:rPr>
          <w:b/>
          <w:lang w:val="en-CA"/>
        </w:rPr>
        <w:t>Table 2. Financial report of stage I of the HPMP for</w:t>
      </w:r>
      <w:r w:rsidR="003773F1" w:rsidRPr="00DC4384">
        <w:rPr>
          <w:b/>
          <w:lang w:val="en-CA"/>
        </w:rPr>
        <w:t xml:space="preserve"> Mali</w:t>
      </w:r>
      <w:r w:rsidRPr="00DC4384">
        <w:rPr>
          <w:b/>
          <w:lang w:val="en-CA"/>
        </w:rPr>
        <w:t xml:space="preserve"> (US $)</w:t>
      </w:r>
    </w:p>
    <w:tbl>
      <w:tblPr>
        <w:tblW w:w="92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87"/>
        <w:gridCol w:w="997"/>
        <w:gridCol w:w="987"/>
        <w:gridCol w:w="997"/>
        <w:gridCol w:w="987"/>
        <w:gridCol w:w="997"/>
        <w:gridCol w:w="987"/>
        <w:gridCol w:w="997"/>
      </w:tblGrid>
      <w:tr w:rsidR="008608FD" w:rsidRPr="00DC4384" w:rsidTr="008608FD">
        <w:tc>
          <w:tcPr>
            <w:tcW w:w="870" w:type="dxa"/>
            <w:vMerge w:val="restart"/>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Agency</w:t>
            </w:r>
          </w:p>
        </w:tc>
        <w:tc>
          <w:tcPr>
            <w:tcW w:w="2046" w:type="dxa"/>
            <w:gridSpan w:val="2"/>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First tranche</w:t>
            </w:r>
          </w:p>
        </w:tc>
        <w:tc>
          <w:tcPr>
            <w:tcW w:w="2046" w:type="dxa"/>
            <w:gridSpan w:val="2"/>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Second tranche</w:t>
            </w:r>
          </w:p>
        </w:tc>
        <w:tc>
          <w:tcPr>
            <w:tcW w:w="2211" w:type="dxa"/>
            <w:gridSpan w:val="2"/>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Third tranche</w:t>
            </w:r>
          </w:p>
        </w:tc>
        <w:tc>
          <w:tcPr>
            <w:tcW w:w="2046" w:type="dxa"/>
            <w:gridSpan w:val="2"/>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Total</w:t>
            </w:r>
          </w:p>
        </w:tc>
      </w:tr>
      <w:tr w:rsidR="008608FD" w:rsidRPr="00DC4384" w:rsidTr="008608FD">
        <w:tc>
          <w:tcPr>
            <w:tcW w:w="0" w:type="auto"/>
            <w:vMerge/>
            <w:tcBorders>
              <w:top w:val="single" w:sz="4" w:space="0" w:color="auto"/>
              <w:left w:val="single" w:sz="4" w:space="0" w:color="auto"/>
              <w:bottom w:val="single" w:sz="4" w:space="0" w:color="auto"/>
              <w:right w:val="single" w:sz="4" w:space="0" w:color="auto"/>
            </w:tcBorders>
            <w:vAlign w:val="center"/>
            <w:hideMark/>
          </w:tcPr>
          <w:p w:rsidR="008608FD" w:rsidRPr="00DC4384" w:rsidRDefault="008608FD" w:rsidP="000858D0">
            <w:pPr>
              <w:jc w:val="left"/>
              <w:rPr>
                <w:b/>
                <w:color w:val="000000"/>
                <w:sz w:val="18"/>
                <w:szCs w:val="18"/>
                <w:lang w:eastAsia="zh-CN"/>
              </w:rPr>
            </w:pPr>
          </w:p>
        </w:tc>
        <w:tc>
          <w:tcPr>
            <w:tcW w:w="101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Approved</w:t>
            </w:r>
          </w:p>
        </w:tc>
        <w:tc>
          <w:tcPr>
            <w:tcW w:w="102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Disbursed</w:t>
            </w:r>
          </w:p>
        </w:tc>
        <w:tc>
          <w:tcPr>
            <w:tcW w:w="101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Approved</w:t>
            </w:r>
          </w:p>
        </w:tc>
        <w:tc>
          <w:tcPr>
            <w:tcW w:w="102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Disbursed</w:t>
            </w:r>
          </w:p>
        </w:tc>
        <w:tc>
          <w:tcPr>
            <w:tcW w:w="101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Approved</w:t>
            </w:r>
          </w:p>
        </w:tc>
        <w:tc>
          <w:tcPr>
            <w:tcW w:w="1193"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Disbursed</w:t>
            </w:r>
          </w:p>
        </w:tc>
        <w:tc>
          <w:tcPr>
            <w:tcW w:w="101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Approved</w:t>
            </w:r>
          </w:p>
        </w:tc>
        <w:tc>
          <w:tcPr>
            <w:tcW w:w="1028"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jc w:val="center"/>
              <w:rPr>
                <w:b/>
                <w:color w:val="000000"/>
                <w:sz w:val="18"/>
                <w:szCs w:val="18"/>
                <w:lang w:eastAsia="zh-CN"/>
              </w:rPr>
            </w:pPr>
            <w:r w:rsidRPr="00DC4384">
              <w:rPr>
                <w:b/>
                <w:color w:val="000000"/>
                <w:sz w:val="18"/>
                <w:szCs w:val="18"/>
                <w:lang w:eastAsia="zh-CN"/>
              </w:rPr>
              <w:t>Disbursed</w:t>
            </w:r>
          </w:p>
        </w:tc>
      </w:tr>
      <w:tr w:rsidR="008608FD" w:rsidRPr="00DC4384" w:rsidTr="008608FD">
        <w:tc>
          <w:tcPr>
            <w:tcW w:w="870"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rPr>
                <w:color w:val="000000"/>
                <w:sz w:val="18"/>
                <w:szCs w:val="18"/>
                <w:lang w:eastAsia="zh-CN"/>
              </w:rPr>
            </w:pPr>
            <w:r w:rsidRPr="00DC4384">
              <w:rPr>
                <w:color w:val="000000"/>
                <w:sz w:val="18"/>
                <w:szCs w:val="18"/>
                <w:lang w:eastAsia="zh-CN"/>
              </w:rPr>
              <w:t>UNEP</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61,830</w:t>
            </w:r>
            <w:r w:rsidR="003E4691" w:rsidRPr="00DC4384">
              <w:rPr>
                <w:color w:val="000000"/>
                <w:sz w:val="18"/>
                <w:szCs w:val="18"/>
                <w:lang w:eastAsia="zh-CN"/>
              </w:rPr>
              <w:t>*</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61,830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55,000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55,000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80,000</w:t>
            </w:r>
          </w:p>
        </w:tc>
        <w:tc>
          <w:tcPr>
            <w:tcW w:w="1193"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80,000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196,830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196,830</w:t>
            </w:r>
          </w:p>
        </w:tc>
      </w:tr>
      <w:tr w:rsidR="008608FD" w:rsidRPr="00DC4384" w:rsidTr="008608FD">
        <w:tc>
          <w:tcPr>
            <w:tcW w:w="870"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rPr>
                <w:color w:val="000000"/>
                <w:sz w:val="18"/>
                <w:szCs w:val="18"/>
                <w:lang w:eastAsia="zh-CN"/>
              </w:rPr>
            </w:pPr>
            <w:r w:rsidRPr="00DC4384">
              <w:rPr>
                <w:color w:val="000000"/>
                <w:sz w:val="18"/>
                <w:szCs w:val="18"/>
                <w:lang w:eastAsia="zh-CN"/>
              </w:rPr>
              <w:t>UNDP</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160,000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160,000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92,000</w:t>
            </w:r>
          </w:p>
        </w:tc>
        <w:tc>
          <w:tcPr>
            <w:tcW w:w="1193"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77,893</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252,000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color w:val="000000"/>
                <w:sz w:val="18"/>
                <w:szCs w:val="18"/>
                <w:lang w:eastAsia="zh-CN"/>
              </w:rPr>
            </w:pPr>
            <w:r w:rsidRPr="00DC4384">
              <w:rPr>
                <w:color w:val="000000"/>
                <w:sz w:val="18"/>
                <w:szCs w:val="18"/>
                <w:lang w:eastAsia="zh-CN"/>
              </w:rPr>
              <w:t>237,893</w:t>
            </w:r>
          </w:p>
        </w:tc>
      </w:tr>
      <w:tr w:rsidR="008608FD" w:rsidRPr="00DC4384" w:rsidTr="008608FD">
        <w:tc>
          <w:tcPr>
            <w:tcW w:w="870" w:type="dxa"/>
            <w:tcBorders>
              <w:top w:val="single" w:sz="4" w:space="0" w:color="auto"/>
              <w:left w:val="single" w:sz="4" w:space="0" w:color="auto"/>
              <w:bottom w:val="single" w:sz="4" w:space="0" w:color="auto"/>
              <w:right w:val="single" w:sz="4" w:space="0" w:color="auto"/>
            </w:tcBorders>
            <w:shd w:val="clear" w:color="auto" w:fill="auto"/>
          </w:tcPr>
          <w:p w:rsidR="008608FD" w:rsidRPr="00DC4384" w:rsidRDefault="008608FD" w:rsidP="000858D0">
            <w:pPr>
              <w:rPr>
                <w:b/>
                <w:color w:val="000000"/>
                <w:sz w:val="18"/>
                <w:szCs w:val="18"/>
                <w:lang w:eastAsia="zh-CN"/>
              </w:rPr>
            </w:pPr>
            <w:r w:rsidRPr="00DC4384">
              <w:rPr>
                <w:b/>
                <w:color w:val="000000"/>
                <w:sz w:val="18"/>
                <w:szCs w:val="18"/>
                <w:lang w:eastAsia="zh-CN"/>
              </w:rPr>
              <w:t>Total</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8608FD" w:rsidRPr="00DC4384" w:rsidRDefault="008608FD" w:rsidP="000858D0">
            <w:pPr>
              <w:jc w:val="right"/>
              <w:rPr>
                <w:b/>
                <w:color w:val="000000"/>
                <w:sz w:val="18"/>
                <w:szCs w:val="18"/>
                <w:lang w:eastAsia="zh-CN"/>
              </w:rPr>
            </w:pPr>
            <w:r w:rsidRPr="00DC4384">
              <w:rPr>
                <w:b/>
                <w:color w:val="000000"/>
                <w:sz w:val="18"/>
                <w:szCs w:val="18"/>
                <w:lang w:eastAsia="zh-CN"/>
              </w:rPr>
              <w:t>221,830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221,830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55,000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55,000</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172,000</w:t>
            </w:r>
          </w:p>
        </w:tc>
        <w:tc>
          <w:tcPr>
            <w:tcW w:w="1193"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157,893</w:t>
            </w:r>
          </w:p>
        </w:tc>
        <w:tc>
          <w:tcPr>
            <w:tcW w:w="101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448,830</w:t>
            </w:r>
          </w:p>
        </w:tc>
        <w:tc>
          <w:tcPr>
            <w:tcW w:w="1028" w:type="dxa"/>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right"/>
              <w:rPr>
                <w:b/>
                <w:color w:val="000000"/>
                <w:sz w:val="18"/>
                <w:szCs w:val="18"/>
                <w:lang w:eastAsia="zh-CN"/>
              </w:rPr>
            </w:pPr>
            <w:r w:rsidRPr="00DC4384">
              <w:rPr>
                <w:b/>
                <w:color w:val="000000"/>
                <w:sz w:val="18"/>
                <w:szCs w:val="18"/>
                <w:lang w:eastAsia="zh-CN"/>
              </w:rPr>
              <w:t>434,723</w:t>
            </w:r>
          </w:p>
        </w:tc>
      </w:tr>
      <w:tr w:rsidR="008608FD" w:rsidRPr="00DC4384" w:rsidTr="008608FD">
        <w:trPr>
          <w:trHeight w:val="237"/>
        </w:trPr>
        <w:tc>
          <w:tcPr>
            <w:tcW w:w="870" w:type="dxa"/>
            <w:tcBorders>
              <w:top w:val="single" w:sz="4" w:space="0" w:color="auto"/>
              <w:left w:val="single" w:sz="4" w:space="0" w:color="auto"/>
              <w:bottom w:val="single" w:sz="4" w:space="0" w:color="auto"/>
              <w:right w:val="single" w:sz="4" w:space="0" w:color="auto"/>
            </w:tcBorders>
            <w:hideMark/>
          </w:tcPr>
          <w:p w:rsidR="008608FD" w:rsidRPr="00DC4384" w:rsidRDefault="008608FD" w:rsidP="000858D0">
            <w:pPr>
              <w:rPr>
                <w:b/>
                <w:color w:val="000000"/>
                <w:sz w:val="18"/>
                <w:szCs w:val="18"/>
                <w:lang w:eastAsia="zh-CN"/>
              </w:rPr>
            </w:pPr>
            <w:r w:rsidRPr="00DC4384">
              <w:rPr>
                <w:b/>
                <w:color w:val="000000"/>
                <w:sz w:val="18"/>
                <w:szCs w:val="18"/>
                <w:lang w:eastAsia="zh-CN"/>
              </w:rPr>
              <w:t xml:space="preserve">Disbursement </w:t>
            </w:r>
            <w:r w:rsidR="00321E33" w:rsidRPr="00DC4384">
              <w:rPr>
                <w:b/>
                <w:color w:val="000000"/>
                <w:sz w:val="18"/>
                <w:szCs w:val="18"/>
                <w:lang w:eastAsia="zh-CN"/>
              </w:rPr>
              <w:t xml:space="preserve">rate </w:t>
            </w:r>
            <w:r w:rsidRPr="00DC4384">
              <w:rPr>
                <w:b/>
                <w:color w:val="000000"/>
                <w:sz w:val="18"/>
                <w:szCs w:val="18"/>
                <w:lang w:eastAsia="zh-CN"/>
              </w:rPr>
              <w:t>%</w:t>
            </w:r>
          </w:p>
        </w:tc>
        <w:tc>
          <w:tcPr>
            <w:tcW w:w="2046" w:type="dxa"/>
            <w:gridSpan w:val="2"/>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center"/>
              <w:rPr>
                <w:b/>
                <w:color w:val="000000"/>
                <w:sz w:val="18"/>
                <w:szCs w:val="18"/>
                <w:lang w:eastAsia="zh-CN"/>
              </w:rPr>
            </w:pPr>
            <w:r w:rsidRPr="00DC4384">
              <w:rPr>
                <w:b/>
                <w:color w:val="000000"/>
                <w:sz w:val="18"/>
                <w:szCs w:val="18"/>
                <w:lang w:eastAsia="zh-CN"/>
              </w:rPr>
              <w:t>100</w:t>
            </w:r>
            <w:r w:rsidR="00624014" w:rsidRPr="00DC4384">
              <w:rPr>
                <w:b/>
                <w:color w:val="000000"/>
                <w:sz w:val="18"/>
                <w:szCs w:val="18"/>
                <w:lang w:eastAsia="zh-CN"/>
              </w:rPr>
              <w:t>.0</w:t>
            </w:r>
          </w:p>
        </w:tc>
        <w:tc>
          <w:tcPr>
            <w:tcW w:w="2046" w:type="dxa"/>
            <w:gridSpan w:val="2"/>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center"/>
              <w:rPr>
                <w:b/>
                <w:color w:val="000000"/>
                <w:sz w:val="18"/>
                <w:szCs w:val="18"/>
                <w:lang w:eastAsia="zh-CN"/>
              </w:rPr>
            </w:pPr>
            <w:r w:rsidRPr="00DC4384">
              <w:rPr>
                <w:b/>
                <w:color w:val="000000"/>
                <w:sz w:val="18"/>
                <w:szCs w:val="18"/>
                <w:lang w:eastAsia="zh-CN"/>
              </w:rPr>
              <w:t>100</w:t>
            </w:r>
            <w:r w:rsidR="00624014" w:rsidRPr="00DC4384">
              <w:rPr>
                <w:b/>
                <w:color w:val="000000"/>
                <w:sz w:val="18"/>
                <w:szCs w:val="18"/>
                <w:lang w:eastAsia="zh-CN"/>
              </w:rPr>
              <w:t>.0</w:t>
            </w:r>
          </w:p>
        </w:tc>
        <w:tc>
          <w:tcPr>
            <w:tcW w:w="2211" w:type="dxa"/>
            <w:gridSpan w:val="2"/>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center"/>
              <w:rPr>
                <w:b/>
                <w:color w:val="000000"/>
                <w:sz w:val="18"/>
                <w:szCs w:val="18"/>
                <w:lang w:eastAsia="zh-CN"/>
              </w:rPr>
            </w:pPr>
            <w:r w:rsidRPr="00DC4384">
              <w:rPr>
                <w:b/>
                <w:color w:val="000000"/>
                <w:sz w:val="18"/>
                <w:szCs w:val="18"/>
                <w:lang w:eastAsia="zh-CN"/>
              </w:rPr>
              <w:t>92</w:t>
            </w:r>
            <w:r w:rsidR="00624014" w:rsidRPr="00DC4384">
              <w:rPr>
                <w:b/>
                <w:color w:val="000000"/>
                <w:sz w:val="18"/>
                <w:szCs w:val="18"/>
                <w:lang w:eastAsia="zh-CN"/>
              </w:rPr>
              <w:t>.0</w:t>
            </w:r>
          </w:p>
        </w:tc>
        <w:tc>
          <w:tcPr>
            <w:tcW w:w="2046" w:type="dxa"/>
            <w:gridSpan w:val="2"/>
            <w:tcBorders>
              <w:top w:val="single" w:sz="4" w:space="0" w:color="auto"/>
              <w:left w:val="single" w:sz="4" w:space="0" w:color="auto"/>
              <w:bottom w:val="single" w:sz="4" w:space="0" w:color="auto"/>
              <w:right w:val="single" w:sz="4" w:space="0" w:color="auto"/>
            </w:tcBorders>
          </w:tcPr>
          <w:p w:rsidR="008608FD" w:rsidRPr="00DC4384" w:rsidRDefault="008608FD" w:rsidP="000858D0">
            <w:pPr>
              <w:jc w:val="center"/>
              <w:rPr>
                <w:b/>
                <w:color w:val="000000"/>
                <w:sz w:val="18"/>
                <w:szCs w:val="18"/>
                <w:lang w:eastAsia="zh-CN"/>
              </w:rPr>
            </w:pPr>
            <w:r w:rsidRPr="00DC4384">
              <w:rPr>
                <w:b/>
                <w:color w:val="000000"/>
                <w:sz w:val="18"/>
                <w:szCs w:val="18"/>
                <w:lang w:eastAsia="zh-CN"/>
              </w:rPr>
              <w:t>97</w:t>
            </w:r>
            <w:r w:rsidR="00624014" w:rsidRPr="00DC4384">
              <w:rPr>
                <w:b/>
                <w:color w:val="000000"/>
                <w:sz w:val="18"/>
                <w:szCs w:val="18"/>
                <w:lang w:eastAsia="zh-CN"/>
              </w:rPr>
              <w:t>.0</w:t>
            </w:r>
          </w:p>
        </w:tc>
      </w:tr>
    </w:tbl>
    <w:p w:rsidR="00FE3307" w:rsidRPr="00DC4384" w:rsidRDefault="003E4691" w:rsidP="000858D0">
      <w:pPr>
        <w:rPr>
          <w:sz w:val="18"/>
          <w:szCs w:val="18"/>
          <w:lang w:val="en-CA"/>
        </w:rPr>
      </w:pPr>
      <w:r w:rsidRPr="00DC4384">
        <w:rPr>
          <w:sz w:val="18"/>
          <w:szCs w:val="18"/>
          <w:lang w:val="en-CA"/>
        </w:rPr>
        <w:t>* US $65,000 was approved; US $3,170 was returned at the 73</w:t>
      </w:r>
      <w:r w:rsidRPr="00DC4384">
        <w:rPr>
          <w:sz w:val="18"/>
          <w:szCs w:val="18"/>
          <w:vertAlign w:val="superscript"/>
          <w:lang w:val="en-CA"/>
        </w:rPr>
        <w:t>rd</w:t>
      </w:r>
      <w:r w:rsidRPr="00DC4384">
        <w:rPr>
          <w:sz w:val="18"/>
          <w:szCs w:val="18"/>
          <w:lang w:val="en-CA"/>
        </w:rPr>
        <w:t xml:space="preserve"> meeting.</w:t>
      </w:r>
    </w:p>
    <w:p w:rsidR="003E4691" w:rsidRPr="00DC4384" w:rsidRDefault="003E4691" w:rsidP="000858D0">
      <w:pPr>
        <w:rPr>
          <w:sz w:val="18"/>
          <w:szCs w:val="18"/>
          <w:lang w:val="en-CA"/>
        </w:rPr>
      </w:pPr>
    </w:p>
    <w:p w:rsidR="00FE3307" w:rsidRPr="00DC4384" w:rsidRDefault="00FE3307" w:rsidP="000858D0">
      <w:pPr>
        <w:rPr>
          <w:u w:val="single"/>
          <w:lang w:val="en-CA"/>
        </w:rPr>
      </w:pPr>
      <w:r w:rsidRPr="00DC4384">
        <w:rPr>
          <w:u w:val="single"/>
          <w:lang w:val="en-CA"/>
        </w:rPr>
        <w:t xml:space="preserve">Implementation plan for the </w:t>
      </w:r>
      <w:r w:rsidR="00F43C8B" w:rsidRPr="00DC4384">
        <w:rPr>
          <w:u w:val="single"/>
          <w:lang w:val="en-CA"/>
        </w:rPr>
        <w:t>fourth</w:t>
      </w:r>
      <w:r w:rsidRPr="00DC4384">
        <w:rPr>
          <w:u w:val="single"/>
          <w:lang w:val="en-CA"/>
        </w:rPr>
        <w:t xml:space="preserve"> tranche of the HPMP</w:t>
      </w:r>
    </w:p>
    <w:p w:rsidR="00FE3307" w:rsidRPr="00DC4384" w:rsidRDefault="00FE3307" w:rsidP="000858D0">
      <w:pPr>
        <w:rPr>
          <w:lang w:val="en-CA"/>
        </w:rPr>
      </w:pPr>
    </w:p>
    <w:p w:rsidR="00FE3307" w:rsidRPr="00DC4384" w:rsidRDefault="00FE3307" w:rsidP="000858D0">
      <w:pPr>
        <w:pStyle w:val="Heading1"/>
        <w:rPr>
          <w:lang w:val="en-CA"/>
        </w:rPr>
      </w:pPr>
      <w:r w:rsidRPr="00DC4384">
        <w:rPr>
          <w:lang w:val="en-CA"/>
        </w:rPr>
        <w:t xml:space="preserve">The following activities will be implemented between </w:t>
      </w:r>
      <w:r w:rsidR="003E4691" w:rsidRPr="00DC4384">
        <w:rPr>
          <w:lang w:val="en-CA"/>
        </w:rPr>
        <w:t>March</w:t>
      </w:r>
      <w:r w:rsidRPr="00DC4384">
        <w:rPr>
          <w:lang w:val="en-CA"/>
        </w:rPr>
        <w:t xml:space="preserve"> 2019 and </w:t>
      </w:r>
      <w:r w:rsidR="008608FD" w:rsidRPr="00DC4384">
        <w:rPr>
          <w:lang w:val="en-CA"/>
        </w:rPr>
        <w:t>June 2020</w:t>
      </w:r>
      <w:r w:rsidRPr="00DC4384">
        <w:rPr>
          <w:lang w:val="en-CA"/>
        </w:rPr>
        <w:t>:</w:t>
      </w:r>
    </w:p>
    <w:p w:rsidR="00FE3307" w:rsidRPr="00DC4384" w:rsidRDefault="004626AF" w:rsidP="000858D0">
      <w:pPr>
        <w:pStyle w:val="Heading2"/>
        <w:numPr>
          <w:ilvl w:val="1"/>
          <w:numId w:val="1"/>
        </w:numPr>
        <w:rPr>
          <w:lang w:val="en-CA"/>
        </w:rPr>
      </w:pPr>
      <w:r w:rsidRPr="00DC4384">
        <w:rPr>
          <w:lang w:val="en-CA"/>
        </w:rPr>
        <w:t>Training of 80 customs</w:t>
      </w:r>
      <w:r w:rsidR="003E4691" w:rsidRPr="00DC4384">
        <w:rPr>
          <w:lang w:val="en-CA"/>
        </w:rPr>
        <w:t xml:space="preserve"> and</w:t>
      </w:r>
      <w:r w:rsidRPr="00DC4384">
        <w:rPr>
          <w:lang w:val="en-CA"/>
        </w:rPr>
        <w:t xml:space="preserve"> environment officers and other enforcement agents on the identification and control of HCFC and HCFC-based equipment as well as enforcement of the quota system</w:t>
      </w:r>
      <w:r w:rsidR="00FE3307" w:rsidRPr="00DC4384">
        <w:rPr>
          <w:lang w:val="en-CA"/>
        </w:rPr>
        <w:t xml:space="preserve"> (</w:t>
      </w:r>
      <w:r w:rsidRPr="00DC4384">
        <w:rPr>
          <w:lang w:val="en-CA"/>
        </w:rPr>
        <w:t>UNEP</w:t>
      </w:r>
      <w:r w:rsidR="00FE3307" w:rsidRPr="00DC4384">
        <w:rPr>
          <w:lang w:val="en-CA"/>
        </w:rPr>
        <w:t>) (US $</w:t>
      </w:r>
      <w:r w:rsidRPr="00DC4384">
        <w:rPr>
          <w:lang w:val="en-CA"/>
        </w:rPr>
        <w:t>20,000</w:t>
      </w:r>
      <w:r w:rsidR="00FE3307" w:rsidRPr="00DC4384">
        <w:rPr>
          <w:lang w:val="en-CA"/>
        </w:rPr>
        <w:t xml:space="preserve">); </w:t>
      </w:r>
    </w:p>
    <w:p w:rsidR="00FE3307" w:rsidRPr="00DC4384" w:rsidRDefault="004626AF" w:rsidP="000858D0">
      <w:pPr>
        <w:pStyle w:val="Heading2"/>
        <w:numPr>
          <w:ilvl w:val="1"/>
          <w:numId w:val="1"/>
        </w:numPr>
        <w:rPr>
          <w:lang w:val="en-CA"/>
        </w:rPr>
      </w:pPr>
      <w:r w:rsidRPr="00DC4384">
        <w:rPr>
          <w:lang w:val="en-CA"/>
        </w:rPr>
        <w:t xml:space="preserve">Training of 100 refrigeration technicians on </w:t>
      </w:r>
      <w:r w:rsidR="00AD26C7" w:rsidRPr="00DC4384">
        <w:rPr>
          <w:lang w:val="en-CA"/>
        </w:rPr>
        <w:t>good practices in servicing air</w:t>
      </w:r>
      <w:r w:rsidR="00AD26C7" w:rsidRPr="00DC4384">
        <w:rPr>
          <w:lang w:val="en-CA"/>
        </w:rPr>
        <w:noBreakHyphen/>
      </w:r>
      <w:r w:rsidRPr="00DC4384">
        <w:rPr>
          <w:lang w:val="en-CA"/>
        </w:rPr>
        <w:t>conditioning equipment including the recovery and recycling of HCFCs and safe handling of hydrocarbon</w:t>
      </w:r>
      <w:r w:rsidR="00942D60" w:rsidRPr="00DC4384">
        <w:rPr>
          <w:lang w:val="en-CA"/>
        </w:rPr>
        <w:t xml:space="preserve"> </w:t>
      </w:r>
      <w:r w:rsidRPr="00DC4384">
        <w:rPr>
          <w:lang w:val="en-CA"/>
        </w:rPr>
        <w:t>refrigerants</w:t>
      </w:r>
      <w:r w:rsidR="00FE3307" w:rsidRPr="00DC4384">
        <w:rPr>
          <w:lang w:val="en-CA"/>
        </w:rPr>
        <w:t xml:space="preserve"> (</w:t>
      </w:r>
      <w:r w:rsidRPr="00DC4384">
        <w:rPr>
          <w:lang w:val="en-CA"/>
        </w:rPr>
        <w:t>UNEP</w:t>
      </w:r>
      <w:r w:rsidR="00FE3307" w:rsidRPr="00DC4384">
        <w:rPr>
          <w:lang w:val="en-CA"/>
        </w:rPr>
        <w:t>) (US $</w:t>
      </w:r>
      <w:r w:rsidRPr="00DC4384">
        <w:rPr>
          <w:lang w:val="en-CA"/>
        </w:rPr>
        <w:t>22,000</w:t>
      </w:r>
      <w:r w:rsidR="00FE3307" w:rsidRPr="00DC4384">
        <w:rPr>
          <w:lang w:val="en-CA"/>
        </w:rPr>
        <w:t>);</w:t>
      </w:r>
      <w:r w:rsidR="00942D60" w:rsidRPr="00DC4384">
        <w:rPr>
          <w:lang w:val="en-CA"/>
        </w:rPr>
        <w:t xml:space="preserve"> and</w:t>
      </w:r>
    </w:p>
    <w:p w:rsidR="004626AF" w:rsidRPr="00DC4384" w:rsidRDefault="004626AF" w:rsidP="000858D0">
      <w:pPr>
        <w:pStyle w:val="Heading2"/>
        <w:rPr>
          <w:lang w:val="en-CA"/>
        </w:rPr>
      </w:pPr>
      <w:r w:rsidRPr="00DC4384">
        <w:rPr>
          <w:lang w:val="en-CA"/>
        </w:rPr>
        <w:t>Monitoring</w:t>
      </w:r>
      <w:r w:rsidRPr="00DC4384">
        <w:rPr>
          <w:szCs w:val="20"/>
          <w:lang w:val="en-US"/>
        </w:rPr>
        <w:t xml:space="preserve"> the implementation of the HPMP activities (UNEP) (US $10,000).</w:t>
      </w:r>
    </w:p>
    <w:p w:rsidR="00FE3307" w:rsidRPr="00DC4384" w:rsidRDefault="00FE3307" w:rsidP="000858D0">
      <w:pPr>
        <w:rPr>
          <w:lang w:val="en-CA"/>
        </w:rPr>
      </w:pPr>
    </w:p>
    <w:p w:rsidR="00FE3307" w:rsidRPr="00DC4384" w:rsidRDefault="00FE3307" w:rsidP="007509DA">
      <w:pPr>
        <w:keepNext/>
        <w:jc w:val="center"/>
        <w:rPr>
          <w:b/>
          <w:lang w:val="en-CA"/>
        </w:rPr>
      </w:pPr>
      <w:r w:rsidRPr="00DC4384">
        <w:rPr>
          <w:b/>
          <w:lang w:val="en-CA"/>
        </w:rPr>
        <w:lastRenderedPageBreak/>
        <w:t>SECRETARIAT’S COMMENTS AND RECOMMENDATION</w:t>
      </w:r>
    </w:p>
    <w:p w:rsidR="00FE3307" w:rsidRPr="00DC4384" w:rsidRDefault="00FE3307" w:rsidP="007509DA">
      <w:pPr>
        <w:keepNext/>
        <w:rPr>
          <w:lang w:val="en-CA"/>
        </w:rPr>
      </w:pPr>
    </w:p>
    <w:p w:rsidR="00FE3307" w:rsidRPr="00DC4384" w:rsidRDefault="00FE3307" w:rsidP="007509DA">
      <w:pPr>
        <w:keepNext/>
        <w:rPr>
          <w:b/>
          <w:lang w:val="en-CA"/>
        </w:rPr>
      </w:pPr>
      <w:r w:rsidRPr="00DC4384">
        <w:rPr>
          <w:b/>
          <w:lang w:val="en-CA"/>
        </w:rPr>
        <w:t>COMMENTS</w:t>
      </w:r>
    </w:p>
    <w:p w:rsidR="00FE3307" w:rsidRPr="00DC4384" w:rsidRDefault="00FE3307" w:rsidP="007509DA">
      <w:pPr>
        <w:keepNext/>
        <w:rPr>
          <w:lang w:val="en-CA"/>
        </w:rPr>
      </w:pPr>
    </w:p>
    <w:p w:rsidR="00FE3307" w:rsidRPr="00DC4384" w:rsidRDefault="00FE3307" w:rsidP="007509DA">
      <w:pPr>
        <w:keepNext/>
        <w:rPr>
          <w:u w:val="single"/>
          <w:lang w:val="en-CA"/>
        </w:rPr>
      </w:pPr>
      <w:r w:rsidRPr="00DC4384">
        <w:rPr>
          <w:u w:val="single"/>
          <w:lang w:val="en-CA"/>
        </w:rPr>
        <w:t xml:space="preserve">Progress report on the implementation of the </w:t>
      </w:r>
      <w:r w:rsidR="001171D5" w:rsidRPr="00DC4384">
        <w:rPr>
          <w:u w:val="single"/>
          <w:lang w:val="en-CA"/>
        </w:rPr>
        <w:t>third</w:t>
      </w:r>
      <w:r w:rsidRPr="00DC4384">
        <w:rPr>
          <w:u w:val="single"/>
          <w:lang w:val="en-CA"/>
        </w:rPr>
        <w:t xml:space="preserve"> tranche of the HPMP</w:t>
      </w:r>
    </w:p>
    <w:p w:rsidR="00FE3307" w:rsidRPr="00DC4384" w:rsidRDefault="00FE3307" w:rsidP="007509DA">
      <w:pPr>
        <w:keepNext/>
        <w:rPr>
          <w:lang w:val="en-CA"/>
        </w:rPr>
      </w:pPr>
    </w:p>
    <w:p w:rsidR="00FE3307" w:rsidRPr="00DC4384" w:rsidRDefault="00FE3307" w:rsidP="007509DA">
      <w:pPr>
        <w:keepNext/>
        <w:rPr>
          <w:i/>
          <w:lang w:val="en-CA"/>
        </w:rPr>
      </w:pPr>
      <w:r w:rsidRPr="00DC4384">
        <w:rPr>
          <w:i/>
          <w:lang w:val="en-CA"/>
        </w:rPr>
        <w:t>Legal framework</w:t>
      </w:r>
    </w:p>
    <w:p w:rsidR="00FE3307" w:rsidRPr="00DC4384" w:rsidRDefault="00FE3307" w:rsidP="007509DA">
      <w:pPr>
        <w:keepNext/>
        <w:rPr>
          <w:lang w:val="en-CA"/>
        </w:rPr>
      </w:pPr>
    </w:p>
    <w:p w:rsidR="00362E06" w:rsidRPr="00DC4384" w:rsidRDefault="00FE3307" w:rsidP="007509DA">
      <w:pPr>
        <w:pStyle w:val="Heading1"/>
        <w:keepNext/>
        <w:rPr>
          <w:i/>
          <w:lang w:val="en-CA"/>
        </w:rPr>
      </w:pPr>
      <w:r w:rsidRPr="00DC4384">
        <w:rPr>
          <w:lang w:val="en-CA"/>
        </w:rPr>
        <w:t xml:space="preserve">The Government of </w:t>
      </w:r>
      <w:r w:rsidR="001171D5" w:rsidRPr="00DC4384">
        <w:rPr>
          <w:lang w:val="en-CA"/>
        </w:rPr>
        <w:t>Mali</w:t>
      </w:r>
      <w:r w:rsidRPr="00DC4384">
        <w:rPr>
          <w:lang w:val="en-CA"/>
        </w:rPr>
        <w:t xml:space="preserve"> has already issued HCFC import quotas for 2019</w:t>
      </w:r>
      <w:r w:rsidR="00362E06" w:rsidRPr="00DC4384">
        <w:rPr>
          <w:lang w:val="en-CA"/>
        </w:rPr>
        <w:t xml:space="preserve"> </w:t>
      </w:r>
      <w:r w:rsidR="00A06B2F" w:rsidRPr="00DC4384">
        <w:rPr>
          <w:lang w:val="en-CA"/>
        </w:rPr>
        <w:t>at</w:t>
      </w:r>
      <w:r w:rsidR="00362E06" w:rsidRPr="00DC4384">
        <w:rPr>
          <w:lang w:val="en-CA"/>
        </w:rPr>
        <w:t xml:space="preserve"> 8.25 ODP tonnes</w:t>
      </w:r>
      <w:r w:rsidR="00353F2A" w:rsidRPr="00DC4384">
        <w:rPr>
          <w:lang w:val="en-CA"/>
        </w:rPr>
        <w:t>, which is</w:t>
      </w:r>
      <w:r w:rsidR="003E4691" w:rsidRPr="00DC4384">
        <w:rPr>
          <w:lang w:val="en-CA"/>
        </w:rPr>
        <w:t xml:space="preserve"> </w:t>
      </w:r>
      <w:r w:rsidR="00E12932" w:rsidRPr="00DC4384">
        <w:rPr>
          <w:lang w:val="en-CA"/>
        </w:rPr>
        <w:t>about</w:t>
      </w:r>
      <w:r w:rsidR="003E4691" w:rsidRPr="00DC4384">
        <w:rPr>
          <w:lang w:val="en-CA"/>
        </w:rPr>
        <w:t xml:space="preserve"> 39 per cent</w:t>
      </w:r>
      <w:r w:rsidR="00353F2A" w:rsidRPr="00DC4384">
        <w:rPr>
          <w:lang w:val="en-CA"/>
        </w:rPr>
        <w:t xml:space="preserve"> lower than the Montreal Protocol control targets</w:t>
      </w:r>
      <w:r w:rsidR="00362E06" w:rsidRPr="00DC4384">
        <w:rPr>
          <w:lang w:val="en-CA"/>
        </w:rPr>
        <w:t>.</w:t>
      </w:r>
      <w:r w:rsidRPr="00DC4384">
        <w:rPr>
          <w:lang w:val="en-CA"/>
        </w:rPr>
        <w:t xml:space="preserve"> </w:t>
      </w:r>
    </w:p>
    <w:p w:rsidR="00FE3307" w:rsidRPr="00DC4384" w:rsidRDefault="00FE3307" w:rsidP="000858D0">
      <w:pPr>
        <w:rPr>
          <w:i/>
          <w:lang w:val="en-CA"/>
        </w:rPr>
      </w:pPr>
      <w:r w:rsidRPr="00DC4384">
        <w:rPr>
          <w:i/>
          <w:lang w:val="en-CA"/>
        </w:rPr>
        <w:t>Refrigeration servicing sector</w:t>
      </w:r>
    </w:p>
    <w:p w:rsidR="00FE3307" w:rsidRPr="00DC4384" w:rsidRDefault="00FE3307" w:rsidP="000858D0">
      <w:pPr>
        <w:rPr>
          <w:lang w:val="en-CA"/>
        </w:rPr>
      </w:pPr>
    </w:p>
    <w:p w:rsidR="00527BB4" w:rsidRPr="00DC4384" w:rsidRDefault="00527BB4" w:rsidP="000858D0">
      <w:pPr>
        <w:pStyle w:val="Heading1"/>
        <w:rPr>
          <w:lang w:val="en-CA"/>
        </w:rPr>
      </w:pPr>
      <w:r w:rsidRPr="00DC4384">
        <w:rPr>
          <w:lang w:val="en-CA"/>
        </w:rPr>
        <w:t xml:space="preserve">UNEP indicated that due to the political situation in the country, the implementation of activities </w:t>
      </w:r>
      <w:r w:rsidR="00FD3BC0" w:rsidRPr="00DC4384">
        <w:rPr>
          <w:lang w:val="en-CA"/>
        </w:rPr>
        <w:t>of</w:t>
      </w:r>
      <w:r w:rsidRPr="00DC4384">
        <w:rPr>
          <w:lang w:val="en-CA"/>
        </w:rPr>
        <w:t xml:space="preserve"> the previous tranche had been delayed. The delays have now been resolved and in cooperation with the NOU, implementation of activities has been expedited.</w:t>
      </w:r>
    </w:p>
    <w:p w:rsidR="00FE3307" w:rsidRPr="00DC4384" w:rsidRDefault="00362E06" w:rsidP="000858D0">
      <w:pPr>
        <w:pStyle w:val="Heading1"/>
        <w:rPr>
          <w:lang w:val="en-CA"/>
        </w:rPr>
      </w:pPr>
      <w:r w:rsidRPr="00DC4384">
        <w:rPr>
          <w:lang w:val="en-CA"/>
        </w:rPr>
        <w:t xml:space="preserve">UNEP clarified that </w:t>
      </w:r>
      <w:r w:rsidR="00E12932" w:rsidRPr="00DC4384">
        <w:rPr>
          <w:lang w:val="en-CA"/>
        </w:rPr>
        <w:t xml:space="preserve">availability of </w:t>
      </w:r>
      <w:r w:rsidRPr="00DC4384">
        <w:rPr>
          <w:lang w:val="en-CA"/>
        </w:rPr>
        <w:t xml:space="preserve">low-GWP alternatives </w:t>
      </w:r>
      <w:r w:rsidR="00E12932" w:rsidRPr="00DC4384">
        <w:rPr>
          <w:lang w:val="en-CA"/>
        </w:rPr>
        <w:t xml:space="preserve">such as R-290 and R-32 </w:t>
      </w:r>
      <w:r w:rsidR="001017BD" w:rsidRPr="00DC4384">
        <w:rPr>
          <w:lang w:val="en-CA"/>
        </w:rPr>
        <w:t>is limited.</w:t>
      </w:r>
      <w:r w:rsidRPr="00DC4384">
        <w:rPr>
          <w:lang w:val="en-CA"/>
        </w:rPr>
        <w:t xml:space="preserve"> As to the retrofitting activities </w:t>
      </w:r>
      <w:r w:rsidR="00BC648A" w:rsidRPr="00DC4384">
        <w:rPr>
          <w:lang w:val="en-CA"/>
        </w:rPr>
        <w:t>in air-conditioning applications from HCFC-22 to R-290</w:t>
      </w:r>
      <w:r w:rsidRPr="00DC4384">
        <w:rPr>
          <w:lang w:val="en-CA"/>
        </w:rPr>
        <w:t>, UNEP reported that the Government of Mali is fully aware of the relevant decisions of the Executive Committee on retrofitting</w:t>
      </w:r>
      <w:r w:rsidR="00C144AB" w:rsidRPr="00DC4384">
        <w:rPr>
          <w:lang w:val="en-CA"/>
        </w:rPr>
        <w:t>.</w:t>
      </w:r>
      <w:r w:rsidRPr="00DC4384">
        <w:rPr>
          <w:rStyle w:val="FootnoteReference"/>
          <w:lang w:val="en-CA"/>
        </w:rPr>
        <w:footnoteReference w:id="2"/>
      </w:r>
      <w:r w:rsidRPr="00DC4384">
        <w:rPr>
          <w:lang w:val="en-CA"/>
        </w:rPr>
        <w:t xml:space="preserve"> The training program</w:t>
      </w:r>
      <w:r w:rsidR="00672DFA" w:rsidRPr="00DC4384">
        <w:rPr>
          <w:lang w:val="en-CA"/>
        </w:rPr>
        <w:t>me</w:t>
      </w:r>
      <w:r w:rsidRPr="00DC4384">
        <w:rPr>
          <w:lang w:val="en-CA"/>
        </w:rPr>
        <w:t>s cover safe use of flammable refrigerants but do not encourage retrofitting of HCFC-based equipment with flammable alternatives.</w:t>
      </w:r>
    </w:p>
    <w:p w:rsidR="00FE3307" w:rsidRPr="00DC4384" w:rsidRDefault="00362E06" w:rsidP="000858D0">
      <w:pPr>
        <w:pStyle w:val="Heading1"/>
        <w:rPr>
          <w:lang w:val="en-CA"/>
        </w:rPr>
      </w:pPr>
      <w:r w:rsidRPr="00DC4384">
        <w:t xml:space="preserve">With regard to the long-term sustainability of the </w:t>
      </w:r>
      <w:r w:rsidR="00527BB4" w:rsidRPr="00DC4384">
        <w:t>HPMP activities,</w:t>
      </w:r>
      <w:r w:rsidRPr="00DC4384">
        <w:t xml:space="preserve"> UNEP mentioned that </w:t>
      </w:r>
      <w:r w:rsidR="00527BB4" w:rsidRPr="00DC4384">
        <w:t>customs and enforcement officers are trained on an ongoing basis on ozone issues through the customs training school</w:t>
      </w:r>
      <w:r w:rsidR="00FD3BC0" w:rsidRPr="00DC4384">
        <w:t>.</w:t>
      </w:r>
      <w:r w:rsidR="00527BB4" w:rsidRPr="00DC4384">
        <w:t xml:space="preserve"> </w:t>
      </w:r>
      <w:r w:rsidR="00FD3BC0" w:rsidRPr="00DC4384">
        <w:t>R</w:t>
      </w:r>
      <w:r w:rsidR="00527BB4" w:rsidRPr="00DC4384">
        <w:t>egarding</w:t>
      </w:r>
      <w:r w:rsidR="00FD3BC0" w:rsidRPr="00DC4384">
        <w:t xml:space="preserve"> the</w:t>
      </w:r>
      <w:r w:rsidR="00527BB4" w:rsidRPr="00DC4384">
        <w:t xml:space="preserve"> </w:t>
      </w:r>
      <w:r w:rsidR="00745F7E" w:rsidRPr="00DC4384">
        <w:t>servicing sector</w:t>
      </w:r>
      <w:r w:rsidR="00527BB4" w:rsidRPr="00DC4384">
        <w:t xml:space="preserve">, </w:t>
      </w:r>
      <w:r w:rsidRPr="00DC4384">
        <w:t>training programmes for technicians will continue to be implemented on good practices and safe use of alternative refrigerants</w:t>
      </w:r>
      <w:r w:rsidR="00745F7E" w:rsidRPr="00DC4384">
        <w:t>,</w:t>
      </w:r>
      <w:r w:rsidR="00527BB4" w:rsidRPr="00DC4384">
        <w:t xml:space="preserve"> coupl</w:t>
      </w:r>
      <w:r w:rsidR="00745F7E" w:rsidRPr="00DC4384">
        <w:t>ed</w:t>
      </w:r>
      <w:r w:rsidR="00527BB4" w:rsidRPr="00DC4384">
        <w:t xml:space="preserve"> with </w:t>
      </w:r>
      <w:r w:rsidR="00105E55" w:rsidRPr="00DC4384">
        <w:t>capacity building of training centers through equipment support</w:t>
      </w:r>
      <w:r w:rsidR="00745F7E" w:rsidRPr="00DC4384">
        <w:t>;</w:t>
      </w:r>
      <w:r w:rsidR="00105E55" w:rsidRPr="00DC4384">
        <w:t xml:space="preserve"> </w:t>
      </w:r>
      <w:r w:rsidR="00745F7E" w:rsidRPr="00DC4384">
        <w:t xml:space="preserve">by implementing these activities </w:t>
      </w:r>
      <w:r w:rsidR="00105E55" w:rsidRPr="00DC4384">
        <w:t>in close cooperation with service associations</w:t>
      </w:r>
      <w:r w:rsidR="00527BB4" w:rsidRPr="00DC4384">
        <w:t>,</w:t>
      </w:r>
      <w:r w:rsidR="00105E55" w:rsidRPr="00DC4384">
        <w:t xml:space="preserve"> </w:t>
      </w:r>
      <w:r w:rsidR="00745F7E" w:rsidRPr="00DC4384">
        <w:t>sustainability</w:t>
      </w:r>
      <w:r w:rsidR="00105E55" w:rsidRPr="00DC4384">
        <w:t xml:space="preserve"> of these program</w:t>
      </w:r>
      <w:r w:rsidR="0085055D" w:rsidRPr="00DC4384">
        <w:t>me</w:t>
      </w:r>
      <w:r w:rsidR="00105E55" w:rsidRPr="00DC4384">
        <w:t>s</w:t>
      </w:r>
      <w:r w:rsidR="00527BB4" w:rsidRPr="00DC4384">
        <w:t xml:space="preserve"> would be ensured</w:t>
      </w:r>
      <w:r w:rsidRPr="00DC4384">
        <w:t>.</w:t>
      </w:r>
      <w:r w:rsidR="00285E5F" w:rsidRPr="00DC4384">
        <w:t xml:space="preserve"> </w:t>
      </w:r>
    </w:p>
    <w:p w:rsidR="00FE3307" w:rsidRPr="00DC4384" w:rsidRDefault="00FE3307" w:rsidP="000858D0">
      <w:pPr>
        <w:keepNext/>
        <w:rPr>
          <w:u w:val="single"/>
          <w:lang w:val="en-CA"/>
        </w:rPr>
      </w:pPr>
      <w:r w:rsidRPr="00DC4384">
        <w:rPr>
          <w:u w:val="single"/>
          <w:lang w:val="en-CA"/>
        </w:rPr>
        <w:t xml:space="preserve">Conclusion </w:t>
      </w:r>
    </w:p>
    <w:p w:rsidR="00FE3307" w:rsidRPr="00DC4384" w:rsidRDefault="00FE3307" w:rsidP="000858D0">
      <w:pPr>
        <w:keepNext/>
        <w:rPr>
          <w:lang w:val="en-CA"/>
        </w:rPr>
      </w:pPr>
    </w:p>
    <w:p w:rsidR="00FE3307" w:rsidRPr="00DC4384" w:rsidRDefault="00362E06" w:rsidP="000858D0">
      <w:pPr>
        <w:pStyle w:val="Heading1"/>
        <w:rPr>
          <w:lang w:val="en-CA"/>
        </w:rPr>
      </w:pPr>
      <w:r w:rsidRPr="00DC4384">
        <w:t xml:space="preserve">The implementation of the HPMP is progressing despite the challenging political situation in the country. The level of fund disbursed </w:t>
      </w:r>
      <w:r w:rsidR="002B5E7B" w:rsidRPr="00DC4384">
        <w:t>is 97 per cent</w:t>
      </w:r>
      <w:r w:rsidRPr="00DC4384">
        <w:t xml:space="preserve">. </w:t>
      </w:r>
      <w:r w:rsidR="002B5E7B" w:rsidRPr="00DC4384">
        <w:t xml:space="preserve">Based on </w:t>
      </w:r>
      <w:r w:rsidR="00705B6C" w:rsidRPr="00DC4384">
        <w:t xml:space="preserve">the </w:t>
      </w:r>
      <w:r w:rsidR="002B5E7B" w:rsidRPr="00DC4384">
        <w:t xml:space="preserve">Article 7 </w:t>
      </w:r>
      <w:r w:rsidR="00705B6C" w:rsidRPr="00DC4384">
        <w:t>data</w:t>
      </w:r>
      <w:r w:rsidR="007509DA" w:rsidRPr="00DC4384">
        <w:t xml:space="preserve"> for 2018</w:t>
      </w:r>
      <w:r w:rsidR="002B5E7B" w:rsidRPr="00DC4384">
        <w:t xml:space="preserve">, </w:t>
      </w:r>
      <w:r w:rsidRPr="00DC4384">
        <w:t xml:space="preserve">Mali is in compliance with the Montreal Protocol and its Agreement with the Executive Committee. </w:t>
      </w:r>
      <w:r w:rsidR="002B5E7B" w:rsidRPr="00DC4384">
        <w:t xml:space="preserve">Mali </w:t>
      </w:r>
      <w:r w:rsidR="00705B6C" w:rsidRPr="00DC4384">
        <w:t>continues to implement</w:t>
      </w:r>
      <w:r w:rsidR="002B5E7B" w:rsidRPr="00DC4384">
        <w:t xml:space="preserve"> </w:t>
      </w:r>
      <w:r w:rsidR="00705B6C" w:rsidRPr="00DC4384">
        <w:t>training of service technicians and</w:t>
      </w:r>
      <w:r w:rsidR="002B5E7B" w:rsidRPr="00DC4384">
        <w:t xml:space="preserve"> enforcement officers</w:t>
      </w:r>
      <w:r w:rsidR="00705B6C" w:rsidRPr="00DC4384">
        <w:t xml:space="preserve"> and</w:t>
      </w:r>
      <w:r w:rsidR="002B5E7B" w:rsidRPr="00DC4384">
        <w:t xml:space="preserve"> awareness raising </w:t>
      </w:r>
      <w:r w:rsidR="00705B6C" w:rsidRPr="00DC4384">
        <w:t xml:space="preserve">activities, and </w:t>
      </w:r>
      <w:r w:rsidR="002B5E7B" w:rsidRPr="00DC4384">
        <w:t>ha</w:t>
      </w:r>
      <w:r w:rsidR="006F0F69" w:rsidRPr="00DC4384">
        <w:t>s</w:t>
      </w:r>
      <w:r w:rsidR="002B5E7B" w:rsidRPr="00DC4384">
        <w:t xml:space="preserve"> taken steps to build capacity of technical institutions through equipment support and work closely with the refrigeration association for sustainable implementation</w:t>
      </w:r>
      <w:r w:rsidR="00BE52EC" w:rsidRPr="00DC4384">
        <w:t xml:space="preserve"> of HCFC phase</w:t>
      </w:r>
      <w:r w:rsidR="00BE52EC" w:rsidRPr="00DC4384">
        <w:noBreakHyphen/>
      </w:r>
      <w:r w:rsidR="00672DFA" w:rsidRPr="00DC4384">
        <w:t xml:space="preserve">out activities. </w:t>
      </w:r>
      <w:r w:rsidR="001017BD" w:rsidRPr="00DC4384">
        <w:t>The end-user incentive programme that was originally proposed to be implemented for retrofit of commercial refrigeration equipment would not be implemented and the funds for this programme are being used for equipment support to training institutions.</w:t>
      </w:r>
      <w:r w:rsidR="00437ABB" w:rsidRPr="00DC4384">
        <w:t xml:space="preserve"> </w:t>
      </w:r>
      <w:r w:rsidR="002B5E7B" w:rsidRPr="00DC4384">
        <w:t xml:space="preserve">During the fourth tranche, the Government will continue to strengthen the capacity of service technicians and enforcement officers for sustaining </w:t>
      </w:r>
      <w:r w:rsidR="00705B6C" w:rsidRPr="00DC4384">
        <w:t xml:space="preserve">the </w:t>
      </w:r>
      <w:r w:rsidR="002B5E7B" w:rsidRPr="00DC4384">
        <w:t>HCFC phase-out.</w:t>
      </w:r>
    </w:p>
    <w:p w:rsidR="00FE3307" w:rsidRPr="00DC4384" w:rsidRDefault="00FE3307" w:rsidP="000858D0">
      <w:pPr>
        <w:rPr>
          <w:b/>
          <w:lang w:val="en-CA"/>
        </w:rPr>
      </w:pPr>
      <w:r w:rsidRPr="00DC4384">
        <w:rPr>
          <w:b/>
          <w:lang w:val="en-CA"/>
        </w:rPr>
        <w:t xml:space="preserve">RECOMMENDATION </w:t>
      </w:r>
    </w:p>
    <w:p w:rsidR="002B5E7B" w:rsidRPr="00DC4384" w:rsidRDefault="002B5E7B" w:rsidP="000858D0">
      <w:pPr>
        <w:rPr>
          <w:lang w:val="en-CA"/>
        </w:rPr>
      </w:pPr>
    </w:p>
    <w:p w:rsidR="00FE3307" w:rsidRPr="00DC4384" w:rsidRDefault="00167822" w:rsidP="000858D0">
      <w:pPr>
        <w:pStyle w:val="Heading1"/>
        <w:rPr>
          <w:lang w:val="en-CA"/>
        </w:rPr>
      </w:pPr>
      <w:r w:rsidRPr="00DC4384">
        <w:rPr>
          <w:lang w:val="en-CA"/>
        </w:rPr>
        <w:t>The Fund Secretariat recommend</w:t>
      </w:r>
      <w:r w:rsidR="00672DFA" w:rsidRPr="00DC4384">
        <w:rPr>
          <w:lang w:val="en-CA"/>
        </w:rPr>
        <w:t xml:space="preserve">s </w:t>
      </w:r>
      <w:r w:rsidRPr="00DC4384">
        <w:rPr>
          <w:lang w:val="en-CA"/>
        </w:rPr>
        <w:t>that the Executive Committee takes note of the progress report on the implementation of the third tranche of stage I of the HCFC phase-out management plan of (HPMP) for Mali</w:t>
      </w:r>
      <w:r w:rsidR="00705B6C" w:rsidRPr="00DC4384">
        <w:rPr>
          <w:lang w:val="en-CA"/>
        </w:rPr>
        <w:t>; and</w:t>
      </w:r>
      <w:r w:rsidR="00672DFA" w:rsidRPr="00DC4384">
        <w:rPr>
          <w:lang w:val="en-CA"/>
        </w:rPr>
        <w:t xml:space="preserve"> further recommends </w:t>
      </w:r>
      <w:r w:rsidR="00FE3307" w:rsidRPr="00DC4384">
        <w:rPr>
          <w:lang w:val="en-CA"/>
        </w:rPr>
        <w:t xml:space="preserve">blanket approval of the </w:t>
      </w:r>
      <w:r w:rsidR="002B5E7B" w:rsidRPr="00DC4384">
        <w:rPr>
          <w:lang w:val="en-CA"/>
        </w:rPr>
        <w:t>fourth</w:t>
      </w:r>
      <w:r w:rsidR="00FE3307" w:rsidRPr="00DC4384">
        <w:rPr>
          <w:lang w:val="en-CA"/>
        </w:rPr>
        <w:t xml:space="preserve"> tranche of stage I of the HPMP for </w:t>
      </w:r>
      <w:r w:rsidR="002B5E7B" w:rsidRPr="00DC4384">
        <w:rPr>
          <w:lang w:val="en-CA"/>
        </w:rPr>
        <w:t>Mali</w:t>
      </w:r>
      <w:r w:rsidR="00FE3307" w:rsidRPr="00DC4384">
        <w:rPr>
          <w:lang w:val="en-CA"/>
        </w:rPr>
        <w:t>, and the corresponding 2019</w:t>
      </w:r>
      <w:r w:rsidR="002B5E7B" w:rsidRPr="00DC4384">
        <w:rPr>
          <w:lang w:val="en-CA"/>
        </w:rPr>
        <w:t>-2020</w:t>
      </w:r>
      <w:r w:rsidR="00FE3307" w:rsidRPr="00DC4384">
        <w:rPr>
          <w:lang w:val="en-CA"/>
        </w:rPr>
        <w:t xml:space="preserve"> tranche implementation plan, at the funding level</w:t>
      </w:r>
      <w:r w:rsidR="002B5E7B" w:rsidRPr="00DC4384">
        <w:rPr>
          <w:lang w:val="en-CA"/>
        </w:rPr>
        <w:t xml:space="preserve"> </w:t>
      </w:r>
      <w:r w:rsidR="00FE3307" w:rsidRPr="00DC4384">
        <w:rPr>
          <w:lang w:val="en-CA"/>
        </w:rPr>
        <w:t>shown in the table below, on the understanding that</w:t>
      </w:r>
      <w:r w:rsidR="002B5E7B" w:rsidRPr="00DC4384">
        <w:rPr>
          <w:lang w:val="en-CA"/>
        </w:rPr>
        <w:t xml:space="preserve"> if Mali were to decide to proceed with retrofits and associated servicing to flammable and toxic refrigerants in refrigeration and air-conditioning equipment originally designed for </w:t>
      </w:r>
      <w:r w:rsidR="002B5E7B" w:rsidRPr="00DC4384">
        <w:rPr>
          <w:lang w:val="en-CA"/>
        </w:rPr>
        <w:lastRenderedPageBreak/>
        <w:t>non-flammable substances, it would do so assuming all associated responsibilities and risks and only in accordance with the r</w:t>
      </w:r>
      <w:r w:rsidRPr="00DC4384">
        <w:rPr>
          <w:lang w:val="en-CA"/>
        </w:rPr>
        <w:t>elevant standards and protocols: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FE3307" w:rsidRPr="00DC4384" w:rsidTr="000B2B04">
        <w:tc>
          <w:tcPr>
            <w:tcW w:w="540" w:type="dxa"/>
          </w:tcPr>
          <w:p w:rsidR="00FE3307" w:rsidRPr="00DC4384" w:rsidRDefault="00FE3307" w:rsidP="0072025B">
            <w:pPr>
              <w:keepNext/>
              <w:jc w:val="center"/>
              <w:rPr>
                <w:b/>
                <w:bCs/>
                <w:sz w:val="20"/>
                <w:szCs w:val="20"/>
                <w:lang w:val="en-CA"/>
              </w:rPr>
            </w:pPr>
          </w:p>
        </w:tc>
        <w:tc>
          <w:tcPr>
            <w:tcW w:w="4320" w:type="dxa"/>
          </w:tcPr>
          <w:p w:rsidR="00FE3307" w:rsidRPr="00DC4384" w:rsidRDefault="00FE3307" w:rsidP="0072025B">
            <w:pPr>
              <w:keepNext/>
              <w:jc w:val="center"/>
              <w:rPr>
                <w:b/>
                <w:bCs/>
                <w:sz w:val="20"/>
                <w:szCs w:val="20"/>
                <w:lang w:val="en-CA"/>
              </w:rPr>
            </w:pPr>
            <w:r w:rsidRPr="00DC4384">
              <w:rPr>
                <w:b/>
                <w:bCs/>
                <w:sz w:val="20"/>
                <w:szCs w:val="20"/>
                <w:lang w:val="en-CA"/>
              </w:rPr>
              <w:t>Project title</w:t>
            </w:r>
          </w:p>
        </w:tc>
        <w:tc>
          <w:tcPr>
            <w:tcW w:w="1620" w:type="dxa"/>
            <w:tcMar>
              <w:left w:w="29" w:type="dxa"/>
              <w:right w:w="29" w:type="dxa"/>
            </w:tcMar>
          </w:tcPr>
          <w:p w:rsidR="00FE3307" w:rsidRPr="00DC4384" w:rsidRDefault="00FE3307" w:rsidP="0072025B">
            <w:pPr>
              <w:keepNext/>
              <w:jc w:val="center"/>
              <w:rPr>
                <w:b/>
                <w:bCs/>
                <w:sz w:val="20"/>
                <w:szCs w:val="20"/>
                <w:lang w:val="en-CA"/>
              </w:rPr>
            </w:pPr>
            <w:r w:rsidRPr="00DC4384">
              <w:rPr>
                <w:b/>
                <w:bCs/>
                <w:sz w:val="20"/>
                <w:szCs w:val="20"/>
                <w:lang w:val="en-CA"/>
              </w:rPr>
              <w:t>Project funding (US $)</w:t>
            </w:r>
          </w:p>
        </w:tc>
        <w:tc>
          <w:tcPr>
            <w:tcW w:w="1380" w:type="dxa"/>
            <w:tcMar>
              <w:left w:w="29" w:type="dxa"/>
              <w:right w:w="29" w:type="dxa"/>
            </w:tcMar>
          </w:tcPr>
          <w:p w:rsidR="00FE3307" w:rsidRPr="00DC4384" w:rsidRDefault="00FE3307" w:rsidP="0072025B">
            <w:pPr>
              <w:keepNext/>
              <w:jc w:val="center"/>
              <w:rPr>
                <w:b/>
                <w:bCs/>
                <w:sz w:val="20"/>
                <w:szCs w:val="20"/>
                <w:lang w:val="en-CA"/>
              </w:rPr>
            </w:pPr>
            <w:r w:rsidRPr="00DC4384">
              <w:rPr>
                <w:b/>
                <w:bCs/>
                <w:sz w:val="20"/>
                <w:szCs w:val="20"/>
                <w:lang w:val="en-CA"/>
              </w:rPr>
              <w:t>Support cost (US $)</w:t>
            </w:r>
          </w:p>
        </w:tc>
        <w:tc>
          <w:tcPr>
            <w:tcW w:w="1590" w:type="dxa"/>
            <w:tcMar>
              <w:left w:w="29" w:type="dxa"/>
              <w:right w:w="29" w:type="dxa"/>
            </w:tcMar>
          </w:tcPr>
          <w:p w:rsidR="00FE3307" w:rsidRPr="00DC4384" w:rsidRDefault="00FE3307" w:rsidP="0072025B">
            <w:pPr>
              <w:keepNext/>
              <w:jc w:val="center"/>
              <w:rPr>
                <w:b/>
                <w:bCs/>
                <w:sz w:val="20"/>
                <w:szCs w:val="20"/>
                <w:lang w:val="en-CA"/>
              </w:rPr>
            </w:pPr>
            <w:r w:rsidRPr="00DC4384">
              <w:rPr>
                <w:b/>
                <w:bCs/>
                <w:sz w:val="20"/>
                <w:szCs w:val="20"/>
                <w:lang w:val="en-CA"/>
              </w:rPr>
              <w:t>Implementing agency</w:t>
            </w:r>
          </w:p>
        </w:tc>
      </w:tr>
      <w:tr w:rsidR="00FE3307" w:rsidRPr="00FE3307" w:rsidTr="000B2B04">
        <w:tc>
          <w:tcPr>
            <w:tcW w:w="540" w:type="dxa"/>
          </w:tcPr>
          <w:p w:rsidR="00FE3307" w:rsidRPr="00DC4384" w:rsidRDefault="00FE3307" w:rsidP="0072025B">
            <w:pPr>
              <w:keepNext/>
              <w:rPr>
                <w:sz w:val="20"/>
                <w:szCs w:val="20"/>
                <w:lang w:val="en-CA"/>
              </w:rPr>
            </w:pPr>
            <w:r w:rsidRPr="00DC4384">
              <w:rPr>
                <w:sz w:val="20"/>
                <w:szCs w:val="20"/>
                <w:lang w:val="en-CA"/>
              </w:rPr>
              <w:t>(a)</w:t>
            </w:r>
          </w:p>
        </w:tc>
        <w:tc>
          <w:tcPr>
            <w:tcW w:w="4320" w:type="dxa"/>
          </w:tcPr>
          <w:p w:rsidR="00FE3307" w:rsidRPr="00DC4384" w:rsidRDefault="00FE3307" w:rsidP="0072025B">
            <w:pPr>
              <w:keepNext/>
              <w:rPr>
                <w:sz w:val="20"/>
                <w:szCs w:val="20"/>
                <w:lang w:val="en-CA"/>
              </w:rPr>
            </w:pPr>
            <w:r w:rsidRPr="00DC4384">
              <w:rPr>
                <w:sz w:val="20"/>
                <w:szCs w:val="20"/>
                <w:lang w:val="en-CA"/>
              </w:rPr>
              <w:t xml:space="preserve">HCFC phase-out management plan (stage I, </w:t>
            </w:r>
            <w:r w:rsidR="002B5E7B" w:rsidRPr="00DC4384">
              <w:rPr>
                <w:sz w:val="20"/>
                <w:szCs w:val="20"/>
                <w:lang w:val="en-CA"/>
              </w:rPr>
              <w:t>fourth</w:t>
            </w:r>
            <w:r w:rsidRPr="00DC4384">
              <w:rPr>
                <w:sz w:val="20"/>
                <w:szCs w:val="20"/>
                <w:lang w:val="en-CA"/>
              </w:rPr>
              <w:t xml:space="preserve"> tranche)</w:t>
            </w:r>
          </w:p>
        </w:tc>
        <w:tc>
          <w:tcPr>
            <w:tcW w:w="1620" w:type="dxa"/>
          </w:tcPr>
          <w:p w:rsidR="00FE3307" w:rsidRPr="00DC4384" w:rsidRDefault="002B5E7B" w:rsidP="0072025B">
            <w:pPr>
              <w:keepNext/>
              <w:jc w:val="right"/>
              <w:rPr>
                <w:sz w:val="20"/>
                <w:szCs w:val="20"/>
                <w:lang w:val="en-CA"/>
              </w:rPr>
            </w:pPr>
            <w:r w:rsidRPr="00DC4384">
              <w:rPr>
                <w:sz w:val="20"/>
                <w:szCs w:val="20"/>
                <w:lang w:val="en-CA"/>
              </w:rPr>
              <w:t>52,000</w:t>
            </w:r>
          </w:p>
        </w:tc>
        <w:tc>
          <w:tcPr>
            <w:tcW w:w="1380" w:type="dxa"/>
          </w:tcPr>
          <w:p w:rsidR="00FE3307" w:rsidRPr="00DC4384" w:rsidRDefault="002B5E7B" w:rsidP="0072025B">
            <w:pPr>
              <w:keepNext/>
              <w:jc w:val="right"/>
              <w:rPr>
                <w:lang w:val="en-CA"/>
              </w:rPr>
            </w:pPr>
            <w:r w:rsidRPr="00DC4384">
              <w:rPr>
                <w:sz w:val="20"/>
                <w:szCs w:val="20"/>
                <w:lang w:val="en-CA"/>
              </w:rPr>
              <w:t>6,760</w:t>
            </w:r>
          </w:p>
        </w:tc>
        <w:tc>
          <w:tcPr>
            <w:tcW w:w="1590" w:type="dxa"/>
          </w:tcPr>
          <w:p w:rsidR="00FE3307" w:rsidRPr="002B5E7B" w:rsidRDefault="002B5E7B" w:rsidP="0072025B">
            <w:pPr>
              <w:keepNext/>
              <w:jc w:val="center"/>
              <w:rPr>
                <w:sz w:val="20"/>
                <w:szCs w:val="20"/>
                <w:lang w:val="en-CA"/>
              </w:rPr>
            </w:pPr>
            <w:r w:rsidRPr="00DC4384">
              <w:rPr>
                <w:sz w:val="20"/>
                <w:szCs w:val="20"/>
                <w:lang w:val="en-CA"/>
              </w:rPr>
              <w:t>UNEP</w:t>
            </w:r>
          </w:p>
        </w:tc>
      </w:tr>
    </w:tbl>
    <w:p w:rsidR="00FE3307" w:rsidRDefault="00FE3307" w:rsidP="000858D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CA78D3" w:rsidRPr="00FE3307" w:rsidTr="005C4E90">
        <w:tc>
          <w:tcPr>
            <w:tcW w:w="1871" w:type="dxa"/>
          </w:tcPr>
          <w:p w:rsidR="00CA78D3" w:rsidRPr="00FE3307" w:rsidRDefault="00CA78D3" w:rsidP="000858D0">
            <w:pPr>
              <w:rPr>
                <w:lang w:val="en-CA"/>
              </w:rPr>
            </w:pPr>
          </w:p>
        </w:tc>
        <w:tc>
          <w:tcPr>
            <w:tcW w:w="1872" w:type="dxa"/>
          </w:tcPr>
          <w:p w:rsidR="00CA78D3" w:rsidRPr="00FE3307" w:rsidRDefault="00CA78D3" w:rsidP="000858D0">
            <w:pPr>
              <w:rPr>
                <w:lang w:val="en-CA"/>
              </w:rPr>
            </w:pPr>
          </w:p>
        </w:tc>
        <w:tc>
          <w:tcPr>
            <w:tcW w:w="1872" w:type="dxa"/>
            <w:tcBorders>
              <w:bottom w:val="single" w:sz="4" w:space="0" w:color="auto"/>
            </w:tcBorders>
          </w:tcPr>
          <w:p w:rsidR="00CA78D3" w:rsidRPr="00FE3307" w:rsidRDefault="00CA78D3" w:rsidP="000858D0">
            <w:pPr>
              <w:rPr>
                <w:lang w:val="en-CA"/>
              </w:rPr>
            </w:pPr>
          </w:p>
        </w:tc>
        <w:tc>
          <w:tcPr>
            <w:tcW w:w="1872" w:type="dxa"/>
          </w:tcPr>
          <w:p w:rsidR="00CA78D3" w:rsidRPr="00FE3307" w:rsidRDefault="00CA78D3" w:rsidP="000858D0">
            <w:pPr>
              <w:rPr>
                <w:lang w:val="en-CA"/>
              </w:rPr>
            </w:pPr>
          </w:p>
        </w:tc>
        <w:tc>
          <w:tcPr>
            <w:tcW w:w="1873" w:type="dxa"/>
          </w:tcPr>
          <w:p w:rsidR="00CA78D3" w:rsidRPr="00FE3307" w:rsidRDefault="00CA78D3" w:rsidP="000858D0">
            <w:pPr>
              <w:rPr>
                <w:lang w:val="en-CA"/>
              </w:rPr>
            </w:pPr>
          </w:p>
        </w:tc>
      </w:tr>
    </w:tbl>
    <w:p w:rsidR="00CA78D3" w:rsidRPr="00FE3307" w:rsidRDefault="00CA78D3" w:rsidP="000858D0">
      <w:pPr>
        <w:rPr>
          <w:lang w:val="en-CA"/>
        </w:rPr>
      </w:pPr>
    </w:p>
    <w:sectPr w:rsidR="00CA78D3" w:rsidRPr="00FE3307" w:rsidSect="00F665A9">
      <w:headerReference w:type="even" r:id="rId9"/>
      <w:headerReference w:type="default" r:id="rId10"/>
      <w:footerReference w:type="even" r:id="rId11"/>
      <w:footerReference w:type="default" r:id="rId12"/>
      <w:footerReference w:type="first" r:id="rId13"/>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06" w:rsidRDefault="00362E06" w:rsidP="004A504B">
      <w:r>
        <w:separator/>
      </w:r>
    </w:p>
  </w:endnote>
  <w:endnote w:type="continuationSeparator" w:id="0">
    <w:p w:rsidR="00362E06" w:rsidRDefault="00362E0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6" w:rsidRPr="0033525D" w:rsidRDefault="00362E06">
    <w:pPr>
      <w:jc w:val="center"/>
    </w:pPr>
    <w:r>
      <w:fldChar w:fldCharType="begin"/>
    </w:r>
    <w:r>
      <w:instrText xml:space="preserve"> PAGE </w:instrText>
    </w:r>
    <w:r>
      <w:fldChar w:fldCharType="separate"/>
    </w:r>
    <w:r w:rsidR="00DC4384">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6" w:rsidRPr="0033525D" w:rsidRDefault="00362E06">
    <w:pPr>
      <w:jc w:val="center"/>
    </w:pPr>
    <w:r>
      <w:fldChar w:fldCharType="begin"/>
    </w:r>
    <w:r>
      <w:instrText xml:space="preserve"> PAGE </w:instrText>
    </w:r>
    <w:r>
      <w:fldChar w:fldCharType="separate"/>
    </w:r>
    <w:r w:rsidR="00DC4384">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6" w:rsidRDefault="00362E0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362E06" w:rsidRDefault="00362E0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06" w:rsidRDefault="00362E06" w:rsidP="004A504B">
      <w:r>
        <w:separator/>
      </w:r>
    </w:p>
  </w:footnote>
  <w:footnote w:type="continuationSeparator" w:id="0">
    <w:p w:rsidR="00362E06" w:rsidRDefault="00362E06" w:rsidP="004A504B">
      <w:r>
        <w:continuationSeparator/>
      </w:r>
    </w:p>
  </w:footnote>
  <w:footnote w:id="1">
    <w:p w:rsidR="00362E06" w:rsidRPr="00DC4384" w:rsidRDefault="00362E06" w:rsidP="00FE3307">
      <w:pPr>
        <w:pStyle w:val="FootnoteText"/>
        <w:rPr>
          <w:lang w:val="en-CA"/>
        </w:rPr>
      </w:pPr>
      <w:r w:rsidRPr="00DC4384">
        <w:rPr>
          <w:rStyle w:val="FootnoteReference"/>
        </w:rPr>
        <w:footnoteRef/>
      </w:r>
      <w:r w:rsidRPr="00DC4384">
        <w:t xml:space="preserve"> </w:t>
      </w:r>
      <w:r w:rsidRPr="00DC4384">
        <w:rPr>
          <w:lang w:val="en-CA"/>
        </w:rPr>
        <w:t xml:space="preserve">As per the letter of 18 March 2019 from the </w:t>
      </w:r>
      <w:proofErr w:type="spellStart"/>
      <w:r w:rsidRPr="00DC4384">
        <w:rPr>
          <w:lang w:val="en-CA"/>
        </w:rPr>
        <w:t>Ministère</w:t>
      </w:r>
      <w:proofErr w:type="spellEnd"/>
      <w:r w:rsidRPr="00DC4384">
        <w:rPr>
          <w:lang w:val="en-CA"/>
        </w:rPr>
        <w:t xml:space="preserve"> de </w:t>
      </w:r>
      <w:proofErr w:type="spellStart"/>
      <w:r w:rsidRPr="00DC4384">
        <w:rPr>
          <w:lang w:val="en-CA"/>
        </w:rPr>
        <w:t>l’Environnement</w:t>
      </w:r>
      <w:proofErr w:type="spellEnd"/>
      <w:r w:rsidRPr="00DC4384">
        <w:rPr>
          <w:lang w:val="en-CA"/>
        </w:rPr>
        <w:t xml:space="preserve">, de </w:t>
      </w:r>
      <w:proofErr w:type="spellStart"/>
      <w:r w:rsidRPr="00DC4384">
        <w:rPr>
          <w:lang w:val="en-CA"/>
        </w:rPr>
        <w:t>l’Assainissement</w:t>
      </w:r>
      <w:proofErr w:type="spellEnd"/>
      <w:r w:rsidRPr="00DC4384">
        <w:rPr>
          <w:lang w:val="en-CA"/>
        </w:rPr>
        <w:t xml:space="preserve"> et du </w:t>
      </w:r>
      <w:proofErr w:type="spellStart"/>
      <w:r w:rsidRPr="00DC4384">
        <w:rPr>
          <w:lang w:val="en-CA"/>
        </w:rPr>
        <w:t>Développement</w:t>
      </w:r>
      <w:proofErr w:type="spellEnd"/>
      <w:r w:rsidRPr="00DC4384">
        <w:rPr>
          <w:lang w:val="en-CA"/>
        </w:rPr>
        <w:t xml:space="preserve"> Durable of Mali to the Secretariat.</w:t>
      </w:r>
    </w:p>
  </w:footnote>
  <w:footnote w:id="2">
    <w:p w:rsidR="00362E06" w:rsidRPr="00362E06" w:rsidRDefault="00362E06">
      <w:pPr>
        <w:pStyle w:val="FootnoteText"/>
        <w:rPr>
          <w:lang w:val="en-CA"/>
        </w:rPr>
      </w:pPr>
      <w:r w:rsidRPr="00DC4384">
        <w:rPr>
          <w:rStyle w:val="FootnoteReference"/>
        </w:rPr>
        <w:footnoteRef/>
      </w:r>
      <w:r w:rsidRPr="00DC4384">
        <w:t xml:space="preserve"> Decisions 72/17 and 73/34.</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6" w:rsidRPr="0033525D" w:rsidRDefault="00927275">
    <w:r>
      <w:fldChar w:fldCharType="begin"/>
    </w:r>
    <w:r>
      <w:instrText xml:space="preserve"> DOCPROPERTY "Document number"  \* MERGEFORMAT </w:instrText>
    </w:r>
    <w:r>
      <w:fldChar w:fldCharType="separate"/>
    </w:r>
    <w:r w:rsidR="0072025B">
      <w:t>UNEP/</w:t>
    </w:r>
    <w:proofErr w:type="spellStart"/>
    <w:r w:rsidR="0072025B">
      <w:t>OzL.Pro</w:t>
    </w:r>
    <w:proofErr w:type="spellEnd"/>
    <w:r w:rsidR="0072025B">
      <w:t>/</w:t>
    </w:r>
    <w:proofErr w:type="spellStart"/>
    <w:r w:rsidR="0072025B">
      <w:t>ExCom</w:t>
    </w:r>
    <w:proofErr w:type="spellEnd"/>
    <w:r w:rsidR="0072025B">
      <w:t>/83/30</w:t>
    </w:r>
    <w:r>
      <w:fldChar w:fldCharType="end"/>
    </w:r>
  </w:p>
  <w:p w:rsidR="00362E06" w:rsidRPr="0033525D" w:rsidRDefault="00362E06"/>
  <w:p w:rsidR="00362E06" w:rsidRPr="0033525D" w:rsidRDefault="00362E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6" w:rsidRPr="0033525D" w:rsidRDefault="00927275">
    <w:pPr>
      <w:jc w:val="right"/>
    </w:pPr>
    <w:r>
      <w:fldChar w:fldCharType="begin"/>
    </w:r>
    <w:r>
      <w:instrText xml:space="preserve"> DOCPROPERTY "Document number"  \* MERGEFORMAT </w:instrText>
    </w:r>
    <w:r>
      <w:fldChar w:fldCharType="separate"/>
    </w:r>
    <w:r w:rsidR="0072025B">
      <w:t>UNEP/</w:t>
    </w:r>
    <w:proofErr w:type="spellStart"/>
    <w:r w:rsidR="0072025B">
      <w:t>OzL.Pro</w:t>
    </w:r>
    <w:proofErr w:type="spellEnd"/>
    <w:r w:rsidR="0072025B">
      <w:t>/</w:t>
    </w:r>
    <w:proofErr w:type="spellStart"/>
    <w:r w:rsidR="0072025B">
      <w:t>ExCom</w:t>
    </w:r>
    <w:proofErr w:type="spellEnd"/>
    <w:r w:rsidR="0072025B">
      <w:t>/83/30</w:t>
    </w:r>
    <w:r>
      <w:fldChar w:fldCharType="end"/>
    </w:r>
  </w:p>
  <w:p w:rsidR="00362E06" w:rsidRPr="0033525D" w:rsidRDefault="00362E06"/>
  <w:p w:rsidR="00362E06" w:rsidRPr="0033525D" w:rsidRDefault="00362E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14B718"/>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B4B315F"/>
    <w:multiLevelType w:val="hybridMultilevel"/>
    <w:tmpl w:val="6982264C"/>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0"/>
  </w:num>
  <w:num w:numId="23">
    <w:abstractNumId w:val="10"/>
  </w:num>
  <w:num w:numId="24">
    <w:abstractNumId w:val="10"/>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211A9"/>
    <w:rsid w:val="00031260"/>
    <w:rsid w:val="0003681A"/>
    <w:rsid w:val="00053218"/>
    <w:rsid w:val="00061B1B"/>
    <w:rsid w:val="00061EC2"/>
    <w:rsid w:val="00067709"/>
    <w:rsid w:val="000745FC"/>
    <w:rsid w:val="00080ED0"/>
    <w:rsid w:val="00083100"/>
    <w:rsid w:val="000858D0"/>
    <w:rsid w:val="00085B8F"/>
    <w:rsid w:val="00090481"/>
    <w:rsid w:val="000A6C26"/>
    <w:rsid w:val="000B2B04"/>
    <w:rsid w:val="000D52A4"/>
    <w:rsid w:val="000E07BC"/>
    <w:rsid w:val="000F1CD4"/>
    <w:rsid w:val="000F4103"/>
    <w:rsid w:val="000F70A7"/>
    <w:rsid w:val="001017BD"/>
    <w:rsid w:val="00105E55"/>
    <w:rsid w:val="00107825"/>
    <w:rsid w:val="00113CCA"/>
    <w:rsid w:val="001171D5"/>
    <w:rsid w:val="00122F25"/>
    <w:rsid w:val="00135980"/>
    <w:rsid w:val="00161375"/>
    <w:rsid w:val="00164719"/>
    <w:rsid w:val="00166FC4"/>
    <w:rsid w:val="001677AC"/>
    <w:rsid w:val="00167822"/>
    <w:rsid w:val="00174BB4"/>
    <w:rsid w:val="001804EA"/>
    <w:rsid w:val="00184B48"/>
    <w:rsid w:val="00190A61"/>
    <w:rsid w:val="001A3342"/>
    <w:rsid w:val="001A3E3D"/>
    <w:rsid w:val="001A7049"/>
    <w:rsid w:val="001B1E40"/>
    <w:rsid w:val="001C4A43"/>
    <w:rsid w:val="001C764E"/>
    <w:rsid w:val="001D47C4"/>
    <w:rsid w:val="001D4C91"/>
    <w:rsid w:val="001E1052"/>
    <w:rsid w:val="001E21B1"/>
    <w:rsid w:val="001E2F93"/>
    <w:rsid w:val="001E61E5"/>
    <w:rsid w:val="001F2159"/>
    <w:rsid w:val="001F7336"/>
    <w:rsid w:val="00204BB4"/>
    <w:rsid w:val="00214863"/>
    <w:rsid w:val="002156B4"/>
    <w:rsid w:val="00222EEB"/>
    <w:rsid w:val="00253222"/>
    <w:rsid w:val="00262847"/>
    <w:rsid w:val="0027264F"/>
    <w:rsid w:val="00274706"/>
    <w:rsid w:val="00276AE5"/>
    <w:rsid w:val="00281BB2"/>
    <w:rsid w:val="00285234"/>
    <w:rsid w:val="00285E5F"/>
    <w:rsid w:val="002B5E7B"/>
    <w:rsid w:val="002B72E9"/>
    <w:rsid w:val="002C7998"/>
    <w:rsid w:val="002E5891"/>
    <w:rsid w:val="002F1E53"/>
    <w:rsid w:val="002F2CAA"/>
    <w:rsid w:val="0030052C"/>
    <w:rsid w:val="00321E33"/>
    <w:rsid w:val="003306E1"/>
    <w:rsid w:val="003320E4"/>
    <w:rsid w:val="0033525D"/>
    <w:rsid w:val="003414F3"/>
    <w:rsid w:val="00353F2A"/>
    <w:rsid w:val="00354011"/>
    <w:rsid w:val="0035613E"/>
    <w:rsid w:val="00362735"/>
    <w:rsid w:val="00362E06"/>
    <w:rsid w:val="00363EE9"/>
    <w:rsid w:val="00376128"/>
    <w:rsid w:val="003773F1"/>
    <w:rsid w:val="0037742E"/>
    <w:rsid w:val="00377D56"/>
    <w:rsid w:val="0038245A"/>
    <w:rsid w:val="003840E6"/>
    <w:rsid w:val="00385CFC"/>
    <w:rsid w:val="00386B7D"/>
    <w:rsid w:val="0039337A"/>
    <w:rsid w:val="003A3189"/>
    <w:rsid w:val="003A3CA7"/>
    <w:rsid w:val="003B33BD"/>
    <w:rsid w:val="003B569D"/>
    <w:rsid w:val="003B72B1"/>
    <w:rsid w:val="003C3C0E"/>
    <w:rsid w:val="003D4B7B"/>
    <w:rsid w:val="003D4FAC"/>
    <w:rsid w:val="003E4691"/>
    <w:rsid w:val="003E7906"/>
    <w:rsid w:val="003F3C50"/>
    <w:rsid w:val="00406A6A"/>
    <w:rsid w:val="00406B22"/>
    <w:rsid w:val="00416A76"/>
    <w:rsid w:val="004174B4"/>
    <w:rsid w:val="00424FB5"/>
    <w:rsid w:val="00430658"/>
    <w:rsid w:val="004328A7"/>
    <w:rsid w:val="00434C74"/>
    <w:rsid w:val="00437ABB"/>
    <w:rsid w:val="004506C0"/>
    <w:rsid w:val="00453AA9"/>
    <w:rsid w:val="00456EB4"/>
    <w:rsid w:val="004626AF"/>
    <w:rsid w:val="004654B9"/>
    <w:rsid w:val="004718F3"/>
    <w:rsid w:val="00475040"/>
    <w:rsid w:val="00490BCB"/>
    <w:rsid w:val="00493D40"/>
    <w:rsid w:val="004967B6"/>
    <w:rsid w:val="004A504B"/>
    <w:rsid w:val="004A6911"/>
    <w:rsid w:val="004B2BB7"/>
    <w:rsid w:val="004B54E0"/>
    <w:rsid w:val="004B7384"/>
    <w:rsid w:val="004C4269"/>
    <w:rsid w:val="004D6236"/>
    <w:rsid w:val="004D7F90"/>
    <w:rsid w:val="004E4DBB"/>
    <w:rsid w:val="004E4E41"/>
    <w:rsid w:val="004E7F9C"/>
    <w:rsid w:val="004F0A07"/>
    <w:rsid w:val="004F3493"/>
    <w:rsid w:val="004F5143"/>
    <w:rsid w:val="0050496F"/>
    <w:rsid w:val="00512B09"/>
    <w:rsid w:val="00527BB4"/>
    <w:rsid w:val="00533796"/>
    <w:rsid w:val="0055491B"/>
    <w:rsid w:val="00555D75"/>
    <w:rsid w:val="00560DF0"/>
    <w:rsid w:val="0056759C"/>
    <w:rsid w:val="00593F52"/>
    <w:rsid w:val="0059513E"/>
    <w:rsid w:val="005A6E4B"/>
    <w:rsid w:val="005B48FF"/>
    <w:rsid w:val="005C4E90"/>
    <w:rsid w:val="005F2013"/>
    <w:rsid w:val="00604C15"/>
    <w:rsid w:val="00614BE0"/>
    <w:rsid w:val="006158D5"/>
    <w:rsid w:val="00624014"/>
    <w:rsid w:val="00625CA3"/>
    <w:rsid w:val="00625D83"/>
    <w:rsid w:val="00644185"/>
    <w:rsid w:val="006623E7"/>
    <w:rsid w:val="00662B80"/>
    <w:rsid w:val="00670F6C"/>
    <w:rsid w:val="00672DFA"/>
    <w:rsid w:val="00676684"/>
    <w:rsid w:val="006852C7"/>
    <w:rsid w:val="006852CE"/>
    <w:rsid w:val="006C1727"/>
    <w:rsid w:val="006C32FD"/>
    <w:rsid w:val="006C39CE"/>
    <w:rsid w:val="006D0FCC"/>
    <w:rsid w:val="006D4EF4"/>
    <w:rsid w:val="006E1FC3"/>
    <w:rsid w:val="006E5B26"/>
    <w:rsid w:val="006E7EC5"/>
    <w:rsid w:val="006F0F69"/>
    <w:rsid w:val="00705B6C"/>
    <w:rsid w:val="0070616B"/>
    <w:rsid w:val="00706FDA"/>
    <w:rsid w:val="00711F9A"/>
    <w:rsid w:val="00713810"/>
    <w:rsid w:val="00713F86"/>
    <w:rsid w:val="0072025B"/>
    <w:rsid w:val="007303A5"/>
    <w:rsid w:val="00730B3E"/>
    <w:rsid w:val="0073420B"/>
    <w:rsid w:val="00745F7E"/>
    <w:rsid w:val="0074760E"/>
    <w:rsid w:val="007509DA"/>
    <w:rsid w:val="00754ABA"/>
    <w:rsid w:val="007A1546"/>
    <w:rsid w:val="007A228C"/>
    <w:rsid w:val="007A368E"/>
    <w:rsid w:val="007A496D"/>
    <w:rsid w:val="007A5868"/>
    <w:rsid w:val="007B04CE"/>
    <w:rsid w:val="007B6871"/>
    <w:rsid w:val="007B7A2F"/>
    <w:rsid w:val="007C3D33"/>
    <w:rsid w:val="007D294A"/>
    <w:rsid w:val="007D47D2"/>
    <w:rsid w:val="007D6EC0"/>
    <w:rsid w:val="007D7E1D"/>
    <w:rsid w:val="007E2A09"/>
    <w:rsid w:val="00831979"/>
    <w:rsid w:val="0085055D"/>
    <w:rsid w:val="00851352"/>
    <w:rsid w:val="008519C8"/>
    <w:rsid w:val="008608FD"/>
    <w:rsid w:val="00863230"/>
    <w:rsid w:val="008717D8"/>
    <w:rsid w:val="0087215C"/>
    <w:rsid w:val="00880E35"/>
    <w:rsid w:val="008875FE"/>
    <w:rsid w:val="00887F8E"/>
    <w:rsid w:val="00896234"/>
    <w:rsid w:val="00897E43"/>
    <w:rsid w:val="008C5738"/>
    <w:rsid w:val="008C70E7"/>
    <w:rsid w:val="008C7EAD"/>
    <w:rsid w:val="008D0CFE"/>
    <w:rsid w:val="008D6152"/>
    <w:rsid w:val="008F0F81"/>
    <w:rsid w:val="008F27BF"/>
    <w:rsid w:val="009142EC"/>
    <w:rsid w:val="009154C3"/>
    <w:rsid w:val="00923540"/>
    <w:rsid w:val="00926767"/>
    <w:rsid w:val="00927275"/>
    <w:rsid w:val="009361D5"/>
    <w:rsid w:val="009428A4"/>
    <w:rsid w:val="00942D60"/>
    <w:rsid w:val="009659F4"/>
    <w:rsid w:val="00970D60"/>
    <w:rsid w:val="009960E5"/>
    <w:rsid w:val="009A7ADC"/>
    <w:rsid w:val="009B37E9"/>
    <w:rsid w:val="009C19B7"/>
    <w:rsid w:val="009D4F38"/>
    <w:rsid w:val="009D7C51"/>
    <w:rsid w:val="009E196C"/>
    <w:rsid w:val="009E1A76"/>
    <w:rsid w:val="009F36BF"/>
    <w:rsid w:val="00A048CF"/>
    <w:rsid w:val="00A06B2F"/>
    <w:rsid w:val="00A111B6"/>
    <w:rsid w:val="00A11872"/>
    <w:rsid w:val="00A26D27"/>
    <w:rsid w:val="00A270C2"/>
    <w:rsid w:val="00A32F90"/>
    <w:rsid w:val="00A376EE"/>
    <w:rsid w:val="00A42A99"/>
    <w:rsid w:val="00A5151A"/>
    <w:rsid w:val="00A57E0A"/>
    <w:rsid w:val="00A778B6"/>
    <w:rsid w:val="00A823F6"/>
    <w:rsid w:val="00A93BBA"/>
    <w:rsid w:val="00AA0A89"/>
    <w:rsid w:val="00AA6429"/>
    <w:rsid w:val="00AB39F5"/>
    <w:rsid w:val="00AB70F0"/>
    <w:rsid w:val="00AC01AA"/>
    <w:rsid w:val="00AC4F72"/>
    <w:rsid w:val="00AC6FBF"/>
    <w:rsid w:val="00AD26C7"/>
    <w:rsid w:val="00AF04D6"/>
    <w:rsid w:val="00AF741A"/>
    <w:rsid w:val="00B01ADB"/>
    <w:rsid w:val="00B04161"/>
    <w:rsid w:val="00B056F9"/>
    <w:rsid w:val="00B11E3D"/>
    <w:rsid w:val="00B17E82"/>
    <w:rsid w:val="00B264C2"/>
    <w:rsid w:val="00B35853"/>
    <w:rsid w:val="00B417AB"/>
    <w:rsid w:val="00B4575A"/>
    <w:rsid w:val="00B575BA"/>
    <w:rsid w:val="00B76429"/>
    <w:rsid w:val="00B90356"/>
    <w:rsid w:val="00B91D4E"/>
    <w:rsid w:val="00B956D4"/>
    <w:rsid w:val="00B97446"/>
    <w:rsid w:val="00BA7432"/>
    <w:rsid w:val="00BC1AA0"/>
    <w:rsid w:val="00BC1E52"/>
    <w:rsid w:val="00BC2495"/>
    <w:rsid w:val="00BC648A"/>
    <w:rsid w:val="00BC7EB9"/>
    <w:rsid w:val="00BD2643"/>
    <w:rsid w:val="00BD3ECD"/>
    <w:rsid w:val="00BD56B1"/>
    <w:rsid w:val="00BD6558"/>
    <w:rsid w:val="00BE52EC"/>
    <w:rsid w:val="00BF3022"/>
    <w:rsid w:val="00BF3214"/>
    <w:rsid w:val="00BF5573"/>
    <w:rsid w:val="00C144AB"/>
    <w:rsid w:val="00C15867"/>
    <w:rsid w:val="00C2296D"/>
    <w:rsid w:val="00C23155"/>
    <w:rsid w:val="00C27E9F"/>
    <w:rsid w:val="00C40C41"/>
    <w:rsid w:val="00C45885"/>
    <w:rsid w:val="00C50F22"/>
    <w:rsid w:val="00C515C8"/>
    <w:rsid w:val="00C57971"/>
    <w:rsid w:val="00C65BD7"/>
    <w:rsid w:val="00C754A6"/>
    <w:rsid w:val="00C76BA4"/>
    <w:rsid w:val="00C83A48"/>
    <w:rsid w:val="00C85865"/>
    <w:rsid w:val="00C85E85"/>
    <w:rsid w:val="00CA2EAE"/>
    <w:rsid w:val="00CA4AC1"/>
    <w:rsid w:val="00CA78D3"/>
    <w:rsid w:val="00CB0316"/>
    <w:rsid w:val="00CB0793"/>
    <w:rsid w:val="00CB0B11"/>
    <w:rsid w:val="00CB5354"/>
    <w:rsid w:val="00CB6ACC"/>
    <w:rsid w:val="00CC6A14"/>
    <w:rsid w:val="00CC70A3"/>
    <w:rsid w:val="00CD4442"/>
    <w:rsid w:val="00CD53C3"/>
    <w:rsid w:val="00CD574E"/>
    <w:rsid w:val="00CE4C22"/>
    <w:rsid w:val="00CF41EC"/>
    <w:rsid w:val="00CF5D04"/>
    <w:rsid w:val="00D04DE4"/>
    <w:rsid w:val="00D063F1"/>
    <w:rsid w:val="00D13CD0"/>
    <w:rsid w:val="00D14E3D"/>
    <w:rsid w:val="00D14F22"/>
    <w:rsid w:val="00D4741C"/>
    <w:rsid w:val="00D54C78"/>
    <w:rsid w:val="00D57918"/>
    <w:rsid w:val="00D73DC6"/>
    <w:rsid w:val="00D74C1A"/>
    <w:rsid w:val="00D754C1"/>
    <w:rsid w:val="00D77393"/>
    <w:rsid w:val="00D77A35"/>
    <w:rsid w:val="00D81B3E"/>
    <w:rsid w:val="00D90C70"/>
    <w:rsid w:val="00D90E49"/>
    <w:rsid w:val="00D96ADE"/>
    <w:rsid w:val="00DA0CE2"/>
    <w:rsid w:val="00DA539A"/>
    <w:rsid w:val="00DB3EB6"/>
    <w:rsid w:val="00DC4384"/>
    <w:rsid w:val="00DC6A10"/>
    <w:rsid w:val="00DE05EB"/>
    <w:rsid w:val="00DE657E"/>
    <w:rsid w:val="00DF30CE"/>
    <w:rsid w:val="00DF4704"/>
    <w:rsid w:val="00E024AA"/>
    <w:rsid w:val="00E12932"/>
    <w:rsid w:val="00E250DD"/>
    <w:rsid w:val="00E250F1"/>
    <w:rsid w:val="00E3550D"/>
    <w:rsid w:val="00E472B7"/>
    <w:rsid w:val="00E614E0"/>
    <w:rsid w:val="00E73F7F"/>
    <w:rsid w:val="00E85409"/>
    <w:rsid w:val="00EA4181"/>
    <w:rsid w:val="00EA429F"/>
    <w:rsid w:val="00EA4F9E"/>
    <w:rsid w:val="00EA63CA"/>
    <w:rsid w:val="00EA6D3B"/>
    <w:rsid w:val="00EB00AD"/>
    <w:rsid w:val="00EB136C"/>
    <w:rsid w:val="00EB2FB4"/>
    <w:rsid w:val="00EB480E"/>
    <w:rsid w:val="00EB5EC6"/>
    <w:rsid w:val="00EB7FC9"/>
    <w:rsid w:val="00ED27E8"/>
    <w:rsid w:val="00ED7137"/>
    <w:rsid w:val="00F05892"/>
    <w:rsid w:val="00F14452"/>
    <w:rsid w:val="00F21088"/>
    <w:rsid w:val="00F327E7"/>
    <w:rsid w:val="00F35746"/>
    <w:rsid w:val="00F36C73"/>
    <w:rsid w:val="00F426B7"/>
    <w:rsid w:val="00F43C8B"/>
    <w:rsid w:val="00F447C7"/>
    <w:rsid w:val="00F5211B"/>
    <w:rsid w:val="00F554A9"/>
    <w:rsid w:val="00F63E28"/>
    <w:rsid w:val="00F665A9"/>
    <w:rsid w:val="00F716FD"/>
    <w:rsid w:val="00F72037"/>
    <w:rsid w:val="00F80355"/>
    <w:rsid w:val="00F87C43"/>
    <w:rsid w:val="00FB0C81"/>
    <w:rsid w:val="00FC2200"/>
    <w:rsid w:val="00FC2540"/>
    <w:rsid w:val="00FD3BC0"/>
    <w:rsid w:val="00FD6811"/>
    <w:rsid w:val="00FE3307"/>
    <w:rsid w:val="00FF0204"/>
    <w:rsid w:val="00FF19C2"/>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774C2"/>
  <w15:docId w15:val="{AB7F0F51-D593-4751-9128-9E1BDC74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en-GB"/>
    </w:rPr>
  </w:style>
  <w:style w:type="character" w:styleId="FootnoteReference">
    <w:name w:val="footnote reference"/>
    <w:basedOn w:val="DefaultParagraphFont"/>
    <w:uiPriority w:val="99"/>
    <w:semiHidden/>
    <w:unhideWhenUsed/>
    <w:rsid w:val="00FE3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UNEP/OzL.Pro/ExCom/83/30</Document_x0020_Number>
    <DocumentType xmlns="64e33b30-101d-41de-b951-961aab25ea29">Pre-session</DocumentType>
  </documentManagement>
</p:properties>
</file>

<file path=customXml/itemProps1.xml><?xml version="1.0" encoding="utf-8"?>
<ds:datastoreItem xmlns:ds="http://schemas.openxmlformats.org/officeDocument/2006/customXml" ds:itemID="{A0E4D877-7DFB-4C42-B143-A3DB931F2B0F}"/>
</file>

<file path=customXml/itemProps2.xml><?xml version="1.0" encoding="utf-8"?>
<ds:datastoreItem xmlns:ds="http://schemas.openxmlformats.org/officeDocument/2006/customXml" ds:itemID="{77E95393-FC67-4A16-9C72-D175137FEB22}"/>
</file>

<file path=customXml/itemProps3.xml><?xml version="1.0" encoding="utf-8"?>
<ds:datastoreItem xmlns:ds="http://schemas.openxmlformats.org/officeDocument/2006/customXml" ds:itemID="{1A9B2E80-C9B1-478C-A4BF-5B3A3535506E}"/>
</file>

<file path=customXml/itemProps4.xml><?xml version="1.0" encoding="utf-8"?>
<ds:datastoreItem xmlns:ds="http://schemas.openxmlformats.org/officeDocument/2006/customXml" ds:itemID="{481EF44A-C3E9-4E27-91A2-429678516820}"/>
</file>

<file path=docProps/app.xml><?xml version="1.0" encoding="utf-8"?>
<Properties xmlns="http://schemas.openxmlformats.org/officeDocument/2006/extended-properties" xmlns:vt="http://schemas.openxmlformats.org/officeDocument/2006/docPropsVTypes">
  <Template>Eec83G</Template>
  <TotalTime>17</TotalTime>
  <Pages>6</Pages>
  <Words>1702</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PROJECT PROOSAL:  MALI</vt:lpstr>
    </vt:vector>
  </TitlesOfParts>
  <Company>UNMFS</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Mali</dc:title>
  <dc:subject>83rd</dc:subject>
  <dc:creator>Patricia Chau</dc:creator>
  <cp:keywords/>
  <dc:description/>
  <cp:lastModifiedBy>Muriel Aguiar</cp:lastModifiedBy>
  <cp:revision>9</cp:revision>
  <cp:lastPrinted>2019-04-25T20:01:00Z</cp:lastPrinted>
  <dcterms:created xsi:type="dcterms:W3CDTF">2019-04-29T19:23:00Z</dcterms:created>
  <dcterms:modified xsi:type="dcterms:W3CDTF">2019-04-29T21:35:00Z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UNEP/OzL.Pro/ExCom/83/30</vt:lpwstr>
  </property>
  <property fmtid="{D5CDD505-2E9C-101B-9397-08002B2CF9AE}" pid="3" name="Revision date">
    <vt:lpwstr>4/29/2019</vt:lpwstr>
  </property>
  <property fmtid="{D5CDD505-2E9C-101B-9397-08002B2CF9AE}" pid="4" name="ContentTypeId">
    <vt:lpwstr>0x010100762D6C4AB31DDB43B4A5CC9B954409C8</vt:lpwstr>
  </property>
</Properties>
</file>