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410"/>
        <w:gridCol w:w="5130"/>
      </w:tblGrid>
      <w:tr w:rsidR="007E5D09">
        <w:trPr>
          <w:trHeight w:val="720"/>
        </w:trPr>
        <w:tc>
          <w:tcPr>
            <w:tcW w:w="4410" w:type="dxa"/>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bl>
    <w:p w:rsidR="002240F2" w:rsidRDefault="002240F2">
      <w:pPr>
        <w:spacing w:before="120"/>
        <w:jc w:val="left"/>
        <w:rPr>
          <w:lang w:val="en-US"/>
        </w:rPr>
        <w:sectPr w:rsidR="002240F2" w:rsidSect="00845789">
          <w:headerReference w:type="even" r:id="rId8"/>
          <w:headerReference w:type="default" r:id="rId9"/>
          <w:footerReference w:type="even" r:id="rId10"/>
          <w:footerReference w:type="default" r:id="rId11"/>
          <w:headerReference w:type="first" r:id="rId12"/>
          <w:pgSz w:w="12240" w:h="15840" w:code="1"/>
          <w:pgMar w:top="720" w:right="1440" w:bottom="864" w:left="1440" w:header="720" w:footer="475" w:gutter="0"/>
          <w:pgNumType w:start="1"/>
          <w:cols w:space="720"/>
          <w:titlePg/>
          <w:docGrid w:linePitch="326"/>
        </w:sectPr>
      </w:pPr>
    </w:p>
    <w:p w:rsidR="002240F2" w:rsidRDefault="002240F2">
      <w:pPr>
        <w:spacing w:before="120"/>
        <w:jc w:val="left"/>
        <w:rPr>
          <w:lang w:val="en-US"/>
        </w:rPr>
        <w:sectPr w:rsidR="002240F2" w:rsidSect="002240F2">
          <w:type w:val="continuous"/>
          <w:pgSz w:w="12240" w:h="15840" w:code="1"/>
          <w:pgMar w:top="720" w:right="1440" w:bottom="864" w:left="1440" w:header="720" w:footer="475" w:gutter="0"/>
          <w:pgNumType w:start="1"/>
          <w:cols w:space="720"/>
          <w:titlePg/>
          <w:docGrid w:linePitch="326"/>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3402"/>
        <w:gridCol w:w="2079"/>
      </w:tblGrid>
      <w:tr w:rsidR="007E5D09">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lastRenderedPageBreak/>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Pr="002240F2" w:rsidRDefault="0065505F" w:rsidP="004407C5">
            <w:pPr>
              <w:rPr>
                <w:rtl/>
              </w:rPr>
            </w:pPr>
            <w:r>
              <w:fldChar w:fldCharType="begin"/>
            </w:r>
            <w:r w:rsidR="002240F2">
              <w:instrText xml:space="preserve"> DOCPROPERTY "Document number"  \* MERGEFORMAT </w:instrText>
            </w:r>
            <w:r>
              <w:fldChar w:fldCharType="separate"/>
            </w:r>
            <w:r w:rsidR="002240F2" w:rsidRPr="00897BB9">
              <w:t>UNEP/OzL.Pro/ExCom/83/47</w:t>
            </w:r>
            <w:r>
              <w:fldChar w:fldCharType="end"/>
            </w:r>
          </w:p>
          <w:p w:rsidR="00852696" w:rsidRDefault="002240F2" w:rsidP="00662A73">
            <w:pPr>
              <w:spacing w:before="120"/>
              <w:jc w:val="left"/>
              <w:rPr>
                <w:lang w:val="en-US"/>
              </w:rPr>
            </w:pPr>
            <w:r>
              <w:rPr>
                <w:lang w:val="en-US"/>
              </w:rPr>
              <w:t>31 May</w:t>
            </w:r>
            <w:r w:rsidR="00852696">
              <w:rPr>
                <w:lang w:val="en-US"/>
              </w:rPr>
              <w:t xml:space="preserve"> 2019</w:t>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013372">
      <w:pPr>
        <w:bidi/>
        <w:ind w:left="4"/>
        <w:jc w:val="lowKashida"/>
        <w:rPr>
          <w:sz w:val="28"/>
          <w:szCs w:val="28"/>
          <w:rtl/>
          <w:lang w:val="en-US" w:eastAsia="en-CA"/>
        </w:rPr>
      </w:pPr>
      <w:r>
        <w:rPr>
          <w:sz w:val="28"/>
          <w:szCs w:val="28"/>
          <w:rtl/>
          <w:lang w:val="en-US" w:eastAsia="en-CA"/>
        </w:rPr>
        <w:t xml:space="preserve">الاجتمــــــاع </w:t>
      </w:r>
      <w:r w:rsidR="00A44778">
        <w:rPr>
          <w:rFonts w:hint="cs"/>
          <w:sz w:val="28"/>
          <w:szCs w:val="28"/>
          <w:rtl/>
          <w:lang w:val="en-US" w:eastAsia="en-CA"/>
        </w:rPr>
        <w:t>الث</w:t>
      </w:r>
      <w:r w:rsidR="00786775">
        <w:rPr>
          <w:rFonts w:hint="cs"/>
          <w:sz w:val="28"/>
          <w:szCs w:val="28"/>
          <w:rtl/>
          <w:lang w:val="en-US" w:eastAsia="en-CA"/>
        </w:rPr>
        <w:t>ا</w:t>
      </w:r>
      <w:r w:rsidR="00013372">
        <w:rPr>
          <w:rFonts w:hint="cs"/>
          <w:sz w:val="28"/>
          <w:szCs w:val="28"/>
          <w:rtl/>
          <w:lang w:val="en-US" w:eastAsia="en-CA"/>
        </w:rPr>
        <w:t>لث</w:t>
      </w:r>
      <w:r w:rsidR="00786775">
        <w:rPr>
          <w:rFonts w:hint="cs"/>
          <w:sz w:val="28"/>
          <w:szCs w:val="28"/>
          <w:rtl/>
          <w:lang w:val="en-US" w:eastAsia="en-CA"/>
        </w:rPr>
        <w:t xml:space="preserve"> و</w:t>
      </w:r>
      <w:r>
        <w:rPr>
          <w:rFonts w:hint="cs"/>
          <w:sz w:val="28"/>
          <w:szCs w:val="28"/>
          <w:rtl/>
          <w:lang w:val="en-US" w:eastAsia="en-CA"/>
        </w:rPr>
        <w:t>الثمانون</w:t>
      </w:r>
    </w:p>
    <w:p w:rsidR="007E5D09" w:rsidRDefault="00E1360E" w:rsidP="00013372">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w:t>
      </w:r>
      <w:r w:rsidR="00013372">
        <w:rPr>
          <w:sz w:val="28"/>
          <w:szCs w:val="28"/>
        </w:rPr>
        <w:t>27</w:t>
      </w:r>
      <w:r>
        <w:rPr>
          <w:rFonts w:hint="cs"/>
          <w:sz w:val="28"/>
          <w:szCs w:val="28"/>
          <w:rtl/>
        </w:rPr>
        <w:t xml:space="preserve"> إلى </w:t>
      </w:r>
      <w:r w:rsidR="00013372">
        <w:rPr>
          <w:sz w:val="28"/>
          <w:szCs w:val="28"/>
        </w:rPr>
        <w:t xml:space="preserve">31 </w:t>
      </w:r>
      <w:r w:rsidR="00A44778">
        <w:rPr>
          <w:rFonts w:hint="cs"/>
          <w:sz w:val="28"/>
          <w:szCs w:val="28"/>
          <w:rtl/>
        </w:rPr>
        <w:t xml:space="preserve"> </w:t>
      </w:r>
      <w:r w:rsidR="00013372">
        <w:rPr>
          <w:rFonts w:asciiTheme="majorBidi" w:hAnsiTheme="majorBidi" w:cstheme="majorBidi" w:hint="cs"/>
          <w:sz w:val="26"/>
          <w:szCs w:val="26"/>
          <w:rtl/>
          <w:lang w:bidi="ar-SY"/>
        </w:rPr>
        <w:t>مايو/أيّار 2019</w:t>
      </w:r>
    </w:p>
    <w:p w:rsidR="007E5D09" w:rsidRDefault="007E5D09">
      <w:pPr>
        <w:pStyle w:val="Heading2"/>
        <w:numPr>
          <w:ilvl w:val="0"/>
          <w:numId w:val="0"/>
        </w:numPr>
        <w:ind w:left="4"/>
        <w:rPr>
          <w:rtl/>
          <w:lang w:val="en-CA"/>
        </w:rPr>
      </w:pPr>
    </w:p>
    <w:p w:rsidR="00852696" w:rsidRPr="00935F9D" w:rsidRDefault="002240F2" w:rsidP="00852696">
      <w:pPr>
        <w:pStyle w:val="Title1"/>
        <w:bidi/>
        <w:rPr>
          <w:b w:val="0"/>
          <w:bCs/>
          <w:sz w:val="28"/>
          <w:szCs w:val="28"/>
          <w:lang w:bidi="ar-EG"/>
        </w:rPr>
      </w:pPr>
      <w:r>
        <w:rPr>
          <w:rFonts w:hint="cs"/>
          <w:b w:val="0"/>
          <w:bCs/>
          <w:sz w:val="28"/>
          <w:szCs w:val="28"/>
          <w:rtl/>
          <w:lang w:bidi="ar-EG"/>
        </w:rPr>
        <w:t>تقرير الفريق الفرعي المعني بقطاع الإنتاج</w:t>
      </w:r>
    </w:p>
    <w:p w:rsidR="00852696" w:rsidRDefault="00852696" w:rsidP="00852696">
      <w:pPr>
        <w:pStyle w:val="Title1"/>
        <w:bidi/>
        <w:rPr>
          <w:b w:val="0"/>
          <w:sz w:val="26"/>
          <w:szCs w:val="26"/>
        </w:rPr>
      </w:pPr>
    </w:p>
    <w:p w:rsidR="002240F2" w:rsidRPr="002240F2" w:rsidRDefault="002240F2" w:rsidP="00DA2902">
      <w:pPr>
        <w:pStyle w:val="Heading1"/>
        <w:numPr>
          <w:ilvl w:val="0"/>
          <w:numId w:val="0"/>
        </w:numPr>
        <w:bidi/>
        <w:rPr>
          <w:b/>
          <w:bCs/>
          <w:sz w:val="26"/>
          <w:szCs w:val="26"/>
        </w:rPr>
      </w:pPr>
      <w:r w:rsidRPr="002240F2">
        <w:rPr>
          <w:rFonts w:hint="cs"/>
          <w:b/>
          <w:bCs/>
          <w:sz w:val="26"/>
          <w:szCs w:val="26"/>
          <w:rtl/>
        </w:rPr>
        <w:t>مقدمة</w:t>
      </w:r>
    </w:p>
    <w:p w:rsidR="002240F2" w:rsidRDefault="002240F2" w:rsidP="00B42B2A">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 xml:space="preserve">اجتمع </w:t>
      </w:r>
      <w:r w:rsidRPr="00B94417">
        <w:rPr>
          <w:rFonts w:hint="cs"/>
          <w:sz w:val="26"/>
          <w:szCs w:val="26"/>
          <w:rtl/>
          <w:lang w:val="en-US" w:bidi="ar-SA"/>
        </w:rPr>
        <w:t>الفريق</w:t>
      </w:r>
      <w:r w:rsidRPr="00B94417">
        <w:rPr>
          <w:sz w:val="26"/>
          <w:szCs w:val="26"/>
          <w:rtl/>
          <w:lang w:val="en-US" w:bidi="ar-SA"/>
        </w:rPr>
        <w:t xml:space="preserve"> ا</w:t>
      </w:r>
      <w:r>
        <w:rPr>
          <w:sz w:val="26"/>
          <w:szCs w:val="26"/>
          <w:rtl/>
          <w:lang w:val="en-US" w:bidi="ar-SA"/>
        </w:rPr>
        <w:t>لفرعي المعني بقطاع الإنتاج</w:t>
      </w:r>
      <w:r>
        <w:rPr>
          <w:rFonts w:hint="cs"/>
          <w:sz w:val="26"/>
          <w:szCs w:val="26"/>
          <w:rtl/>
          <w:lang w:val="en-US" w:bidi="ar-SA"/>
        </w:rPr>
        <w:t xml:space="preserve">، الذي أعيد تشكيله في الاجتماع الثالث والثمانين للجنة </w:t>
      </w:r>
      <w:r w:rsidRPr="00B94417">
        <w:rPr>
          <w:sz w:val="26"/>
          <w:szCs w:val="26"/>
          <w:rtl/>
          <w:lang w:val="en-US" w:bidi="ar-SA"/>
        </w:rPr>
        <w:t>التنف</w:t>
      </w:r>
      <w:r w:rsidRPr="00B94417">
        <w:rPr>
          <w:rFonts w:hint="cs"/>
          <w:sz w:val="26"/>
          <w:szCs w:val="26"/>
          <w:rtl/>
          <w:lang w:val="en-US" w:bidi="ar-SA"/>
        </w:rPr>
        <w:t>ی</w:t>
      </w:r>
      <w:r w:rsidRPr="00B94417">
        <w:rPr>
          <w:rFonts w:hint="eastAsia"/>
          <w:sz w:val="26"/>
          <w:szCs w:val="26"/>
          <w:rtl/>
          <w:lang w:val="en-US" w:bidi="ar-SA"/>
        </w:rPr>
        <w:t>ذ</w:t>
      </w:r>
      <w:r w:rsidRPr="00B94417">
        <w:rPr>
          <w:rFonts w:hint="cs"/>
          <w:sz w:val="26"/>
          <w:szCs w:val="26"/>
          <w:rtl/>
          <w:lang w:val="en-US" w:bidi="ar-SA"/>
        </w:rPr>
        <w:t>ی</w:t>
      </w:r>
      <w:r w:rsidRPr="00B94417">
        <w:rPr>
          <w:rFonts w:hint="eastAsia"/>
          <w:sz w:val="26"/>
          <w:szCs w:val="26"/>
          <w:rtl/>
          <w:lang w:val="en-US" w:bidi="ar-SA"/>
        </w:rPr>
        <w:t>ة</w:t>
      </w:r>
      <w:r>
        <w:rPr>
          <w:rFonts w:hint="cs"/>
          <w:sz w:val="26"/>
          <w:szCs w:val="26"/>
          <w:rtl/>
          <w:lang w:val="en-US" w:bidi="ar-SA"/>
        </w:rPr>
        <w:t>،</w:t>
      </w:r>
      <w:r w:rsidRPr="00B94417">
        <w:rPr>
          <w:sz w:val="26"/>
          <w:szCs w:val="26"/>
          <w:rtl/>
          <w:lang w:val="en-US" w:bidi="ar-SA"/>
        </w:rPr>
        <w:t xml:space="preserve"> اجتمع </w:t>
      </w:r>
      <w:r>
        <w:rPr>
          <w:rFonts w:hint="cs"/>
          <w:sz w:val="26"/>
          <w:szCs w:val="26"/>
          <w:rtl/>
          <w:lang w:val="en-US" w:bidi="ar-SA"/>
        </w:rPr>
        <w:t>ثلاث</w:t>
      </w:r>
      <w:r w:rsidRPr="00B94417">
        <w:rPr>
          <w:sz w:val="26"/>
          <w:szCs w:val="26"/>
          <w:rtl/>
          <w:lang w:val="en-US" w:bidi="ar-SA"/>
        </w:rPr>
        <w:t xml:space="preserve"> مرات عل</w:t>
      </w:r>
      <w:r w:rsidRPr="00B94417">
        <w:rPr>
          <w:rFonts w:hint="cs"/>
          <w:sz w:val="26"/>
          <w:szCs w:val="26"/>
          <w:rtl/>
          <w:lang w:val="en-US" w:bidi="ar-SA"/>
        </w:rPr>
        <w:t>ی</w:t>
      </w:r>
      <w:r w:rsidRPr="00B94417">
        <w:rPr>
          <w:sz w:val="26"/>
          <w:szCs w:val="26"/>
          <w:rtl/>
          <w:lang w:val="en-US" w:bidi="ar-SA"/>
        </w:rPr>
        <w:t xml:space="preserve"> ھامش الاجتماع </w:t>
      </w:r>
      <w:r>
        <w:rPr>
          <w:rFonts w:hint="cs"/>
          <w:sz w:val="26"/>
          <w:szCs w:val="26"/>
          <w:rtl/>
          <w:lang w:val="en-US" w:bidi="ar-SA"/>
        </w:rPr>
        <w:t>الثالث والثمان</w:t>
      </w:r>
      <w:r w:rsidRPr="00B94417">
        <w:rPr>
          <w:rFonts w:hint="cs"/>
          <w:sz w:val="26"/>
          <w:szCs w:val="26"/>
          <w:rtl/>
          <w:lang w:val="en-US" w:bidi="ar-SA"/>
        </w:rPr>
        <w:t>ی</w:t>
      </w:r>
      <w:r w:rsidRPr="00B94417">
        <w:rPr>
          <w:rFonts w:hint="eastAsia"/>
          <w:sz w:val="26"/>
          <w:szCs w:val="26"/>
          <w:rtl/>
          <w:lang w:val="en-US" w:bidi="ar-SA"/>
        </w:rPr>
        <w:t>ن</w:t>
      </w:r>
      <w:r w:rsidRPr="00B94417">
        <w:rPr>
          <w:sz w:val="26"/>
          <w:szCs w:val="26"/>
          <w:rtl/>
          <w:lang w:val="en-US" w:bidi="ar-SA"/>
        </w:rPr>
        <w:t>. وتألف الفريق الفرعي من ممثلي الأرجنتين</w:t>
      </w:r>
      <w:r>
        <w:rPr>
          <w:rFonts w:hint="cs"/>
          <w:sz w:val="26"/>
          <w:szCs w:val="26"/>
          <w:rtl/>
          <w:lang w:val="en-US" w:bidi="ar-SA"/>
        </w:rPr>
        <w:t>،</w:t>
      </w:r>
      <w:r w:rsidRPr="00B94417">
        <w:rPr>
          <w:sz w:val="26"/>
          <w:szCs w:val="26"/>
          <w:rtl/>
          <w:lang w:val="en-US" w:bidi="ar-SA"/>
        </w:rPr>
        <w:t xml:space="preserve"> </w:t>
      </w:r>
      <w:r>
        <w:rPr>
          <w:rFonts w:hint="cs"/>
          <w:sz w:val="26"/>
          <w:szCs w:val="26"/>
          <w:rtl/>
          <w:lang w:val="en-US" w:bidi="ar-SA"/>
        </w:rPr>
        <w:t xml:space="preserve">وكندا، والصين، وفرنسا، غرينادا، والنيجر، والنرويج </w:t>
      </w:r>
      <w:r w:rsidRPr="00B94417">
        <w:rPr>
          <w:sz w:val="26"/>
          <w:szCs w:val="26"/>
          <w:rtl/>
          <w:lang w:val="en-US" w:bidi="ar-SA"/>
        </w:rPr>
        <w:t>والولايات المتحدة الأمريكية، وعمل</w:t>
      </w:r>
      <w:r w:rsidRPr="00B94417">
        <w:rPr>
          <w:rFonts w:hint="cs"/>
          <w:sz w:val="26"/>
          <w:szCs w:val="26"/>
          <w:rtl/>
          <w:lang w:val="en-US" w:bidi="ar-SA"/>
        </w:rPr>
        <w:t>ت</w:t>
      </w:r>
      <w:r w:rsidRPr="00B94417">
        <w:rPr>
          <w:sz w:val="26"/>
          <w:szCs w:val="26"/>
          <w:rtl/>
          <w:lang w:val="en-US" w:bidi="ar-SA"/>
        </w:rPr>
        <w:t xml:space="preserve"> </w:t>
      </w:r>
      <w:r>
        <w:rPr>
          <w:rFonts w:hint="cs"/>
          <w:sz w:val="26"/>
          <w:szCs w:val="26"/>
          <w:rtl/>
          <w:lang w:val="en-US" w:bidi="ar-SA"/>
        </w:rPr>
        <w:t>كندا</w:t>
      </w:r>
      <w:r w:rsidRPr="00B94417">
        <w:rPr>
          <w:sz w:val="26"/>
          <w:szCs w:val="26"/>
          <w:rtl/>
          <w:lang w:val="en-US" w:bidi="ar-SA"/>
        </w:rPr>
        <w:t xml:space="preserve"> </w:t>
      </w:r>
      <w:r w:rsidRPr="00B94417">
        <w:rPr>
          <w:rFonts w:hint="cs"/>
          <w:sz w:val="26"/>
          <w:szCs w:val="26"/>
          <w:rtl/>
          <w:lang w:val="en-US" w:bidi="ar-SA"/>
        </w:rPr>
        <w:t>بصفة ال</w:t>
      </w:r>
      <w:r w:rsidRPr="00B94417">
        <w:rPr>
          <w:sz w:val="26"/>
          <w:szCs w:val="26"/>
          <w:rtl/>
          <w:lang w:val="en-US" w:bidi="ar-SA"/>
        </w:rPr>
        <w:t xml:space="preserve">ميسر. وحضر </w:t>
      </w:r>
      <w:r>
        <w:rPr>
          <w:rFonts w:hint="cs"/>
          <w:sz w:val="26"/>
          <w:szCs w:val="26"/>
          <w:rtl/>
          <w:lang w:val="en-US" w:bidi="ar-SA"/>
        </w:rPr>
        <w:t>الاجتماع</w:t>
      </w:r>
      <w:r w:rsidRPr="00B94417">
        <w:rPr>
          <w:sz w:val="26"/>
          <w:szCs w:val="26"/>
          <w:rtl/>
          <w:lang w:val="en-US" w:bidi="ar-SA"/>
        </w:rPr>
        <w:t xml:space="preserve"> أيضا ممثلو البنك الدولي بصفة مراقب</w:t>
      </w:r>
      <w:r>
        <w:rPr>
          <w:rFonts w:hint="cs"/>
          <w:sz w:val="26"/>
          <w:szCs w:val="26"/>
          <w:rtl/>
          <w:lang w:val="en-US" w:bidi="ar-SA"/>
        </w:rPr>
        <w:t>ين</w:t>
      </w:r>
      <w:r w:rsidRPr="00B94417">
        <w:rPr>
          <w:sz w:val="26"/>
          <w:szCs w:val="26"/>
          <w:rtl/>
          <w:lang w:val="en-US" w:bidi="ar-SA"/>
        </w:rPr>
        <w:t>.</w:t>
      </w:r>
    </w:p>
    <w:p w:rsidR="002240F2" w:rsidRDefault="002240F2" w:rsidP="00DA2902">
      <w:pPr>
        <w:pStyle w:val="StyleHeader4Para4Left0Firstline0"/>
        <w:widowControl/>
        <w:numPr>
          <w:ilvl w:val="0"/>
          <w:numId w:val="0"/>
        </w:numPr>
        <w:tabs>
          <w:tab w:val="clear" w:pos="2880"/>
          <w:tab w:val="clear" w:pos="5760"/>
          <w:tab w:val="left" w:pos="2430"/>
        </w:tabs>
        <w:bidi/>
        <w:rPr>
          <w:sz w:val="26"/>
          <w:szCs w:val="26"/>
          <w:lang w:val="en-US" w:bidi="ar-SA"/>
        </w:rPr>
      </w:pPr>
      <w:r w:rsidRPr="00B94417">
        <w:rPr>
          <w:rFonts w:hint="eastAsia"/>
          <w:b/>
          <w:bCs/>
          <w:sz w:val="26"/>
          <w:szCs w:val="26"/>
          <w:rtl/>
          <w:lang w:val="en-US" w:bidi="ar-SA"/>
        </w:rPr>
        <w:t>البند</w:t>
      </w:r>
      <w:r w:rsidRPr="00B94417">
        <w:rPr>
          <w:b/>
          <w:bCs/>
          <w:sz w:val="26"/>
          <w:szCs w:val="26"/>
          <w:rtl/>
          <w:lang w:val="en-US" w:bidi="ar-SA"/>
        </w:rPr>
        <w:t xml:space="preserve"> 1 من جدول الأعمال:</w:t>
      </w:r>
      <w:r>
        <w:rPr>
          <w:rFonts w:hint="cs"/>
          <w:b/>
          <w:bCs/>
          <w:sz w:val="26"/>
          <w:szCs w:val="26"/>
          <w:rtl/>
          <w:lang w:val="en-US" w:bidi="ar-SA"/>
        </w:rPr>
        <w:tab/>
        <w:t>إقرار</w:t>
      </w:r>
      <w:r w:rsidRPr="00B94417">
        <w:rPr>
          <w:b/>
          <w:bCs/>
          <w:sz w:val="26"/>
          <w:szCs w:val="26"/>
          <w:rtl/>
          <w:lang w:val="en-US" w:bidi="ar-SA"/>
        </w:rPr>
        <w:t xml:space="preserve"> جدول الأعمال</w:t>
      </w:r>
    </w:p>
    <w:p w:rsidR="002240F2" w:rsidRPr="00050B3F" w:rsidRDefault="002240F2" w:rsidP="00DA2902">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أقر</w:t>
      </w:r>
      <w:r w:rsidRPr="00050B3F">
        <w:rPr>
          <w:sz w:val="26"/>
          <w:szCs w:val="26"/>
          <w:rtl/>
          <w:lang w:val="en-US" w:bidi="ar-SA"/>
        </w:rPr>
        <w:t xml:space="preserve"> الفريق الفرعي جدول الأعمال المؤقت الوارد في الوثيقة </w:t>
      </w:r>
      <w:r w:rsidRPr="00B42B2A">
        <w:rPr>
          <w:sz w:val="24"/>
          <w:szCs w:val="24"/>
        </w:rPr>
        <w:t>UNEP/OzL.Pro/ExCom/83/SGP/1</w:t>
      </w:r>
      <w:r>
        <w:rPr>
          <w:rFonts w:hint="cs"/>
          <w:sz w:val="26"/>
          <w:szCs w:val="26"/>
          <w:rtl/>
          <w:lang w:val="en-US" w:bidi="ar-SA"/>
        </w:rPr>
        <w:t>.</w:t>
      </w:r>
    </w:p>
    <w:p w:rsidR="002240F2" w:rsidRPr="00B94417" w:rsidRDefault="002240F2" w:rsidP="00DA2902">
      <w:pPr>
        <w:pStyle w:val="StyleHeader4Para4Left0Firstline0"/>
        <w:widowControl/>
        <w:numPr>
          <w:ilvl w:val="0"/>
          <w:numId w:val="0"/>
        </w:numPr>
        <w:tabs>
          <w:tab w:val="clear" w:pos="2880"/>
          <w:tab w:val="left" w:pos="2430"/>
        </w:tabs>
        <w:bidi/>
        <w:rPr>
          <w:b/>
          <w:bCs/>
          <w:sz w:val="26"/>
          <w:szCs w:val="26"/>
          <w:lang w:val="en-US" w:bidi="ar-SA"/>
        </w:rPr>
      </w:pPr>
      <w:r w:rsidRPr="00B94417">
        <w:rPr>
          <w:rFonts w:hint="eastAsia"/>
          <w:b/>
          <w:bCs/>
          <w:sz w:val="26"/>
          <w:szCs w:val="26"/>
          <w:rtl/>
          <w:lang w:val="en-US" w:bidi="ar-SA"/>
        </w:rPr>
        <w:t>البند</w:t>
      </w:r>
      <w:r w:rsidRPr="00B94417">
        <w:rPr>
          <w:b/>
          <w:bCs/>
          <w:sz w:val="26"/>
          <w:szCs w:val="26"/>
          <w:rtl/>
          <w:lang w:val="en-US" w:bidi="ar-SA"/>
        </w:rPr>
        <w:t xml:space="preserve"> 2 من جدول الأعمال:</w:t>
      </w:r>
      <w:r>
        <w:rPr>
          <w:rFonts w:hint="cs"/>
          <w:b/>
          <w:bCs/>
          <w:sz w:val="26"/>
          <w:szCs w:val="26"/>
          <w:rtl/>
          <w:lang w:val="en-US" w:bidi="ar-SA"/>
        </w:rPr>
        <w:tab/>
      </w:r>
      <w:r w:rsidRPr="00B94417">
        <w:rPr>
          <w:b/>
          <w:bCs/>
          <w:sz w:val="26"/>
          <w:szCs w:val="26"/>
          <w:rtl/>
          <w:lang w:val="en-US" w:bidi="ar-SA"/>
        </w:rPr>
        <w:t>تنظيم العمل</w:t>
      </w:r>
    </w:p>
    <w:p w:rsidR="002240F2" w:rsidRPr="00B94417" w:rsidRDefault="002240F2" w:rsidP="00DA2902">
      <w:pPr>
        <w:pStyle w:val="StyleHeader4Para4Left0Firstline0"/>
        <w:widowControl/>
        <w:numPr>
          <w:ilvl w:val="0"/>
          <w:numId w:val="25"/>
        </w:numPr>
        <w:tabs>
          <w:tab w:val="clear" w:pos="2880"/>
          <w:tab w:val="clear" w:pos="5760"/>
        </w:tabs>
        <w:bidi/>
        <w:ind w:left="0" w:firstLine="0"/>
        <w:rPr>
          <w:sz w:val="26"/>
          <w:szCs w:val="26"/>
          <w:lang w:val="en-US" w:bidi="ar-SA"/>
        </w:rPr>
      </w:pPr>
      <w:r w:rsidRPr="00B94417">
        <w:rPr>
          <w:sz w:val="26"/>
          <w:szCs w:val="26"/>
          <w:u w:val="single"/>
          <w:rtl/>
          <w:lang w:val="en-US" w:bidi="ar-SA"/>
        </w:rPr>
        <w:t>وافق</w:t>
      </w:r>
      <w:r w:rsidRPr="00B94417">
        <w:rPr>
          <w:sz w:val="26"/>
          <w:szCs w:val="26"/>
          <w:rtl/>
          <w:lang w:val="en-US" w:bidi="ar-SA"/>
        </w:rPr>
        <w:t xml:space="preserve"> الفريق الفرعي على اتباع تنظيم العمل الذي اقترحه الميسر.</w:t>
      </w:r>
    </w:p>
    <w:p w:rsidR="002240F2" w:rsidRPr="00B94417" w:rsidRDefault="002240F2" w:rsidP="00DA2902">
      <w:pPr>
        <w:pStyle w:val="StyleHeader4Para4Left0Firstline0"/>
        <w:widowControl/>
        <w:numPr>
          <w:ilvl w:val="0"/>
          <w:numId w:val="0"/>
        </w:numPr>
        <w:tabs>
          <w:tab w:val="clear" w:pos="2880"/>
          <w:tab w:val="clear" w:pos="5760"/>
          <w:tab w:val="left" w:pos="2430"/>
        </w:tabs>
        <w:bidi/>
        <w:ind w:left="2430" w:hanging="2430"/>
        <w:rPr>
          <w:b/>
          <w:bCs/>
          <w:sz w:val="26"/>
          <w:szCs w:val="26"/>
          <w:lang w:val="en-US" w:bidi="ar-SA"/>
        </w:rPr>
      </w:pPr>
      <w:r w:rsidRPr="00B94417">
        <w:rPr>
          <w:rFonts w:hint="eastAsia"/>
          <w:b/>
          <w:bCs/>
          <w:sz w:val="26"/>
          <w:szCs w:val="26"/>
          <w:rtl/>
          <w:lang w:val="en-US" w:bidi="ar-SA"/>
        </w:rPr>
        <w:t>البند</w:t>
      </w:r>
      <w:r w:rsidRPr="00B94417">
        <w:rPr>
          <w:b/>
          <w:bCs/>
          <w:sz w:val="26"/>
          <w:szCs w:val="26"/>
          <w:rtl/>
          <w:lang w:val="en-US" w:bidi="ar-SA"/>
        </w:rPr>
        <w:t xml:space="preserve"> 3 من جدول الأعمال:</w:t>
      </w:r>
      <w:r>
        <w:rPr>
          <w:rFonts w:hint="cs"/>
          <w:b/>
          <w:bCs/>
          <w:sz w:val="26"/>
          <w:szCs w:val="26"/>
          <w:rtl/>
          <w:lang w:val="en-US" w:bidi="ar-SA"/>
        </w:rPr>
        <w:tab/>
        <w:t>استعراض وتحليل جوانب المبادئ التوجيهية والشكل العام المستخدم للتحقق من إنتاج المواد المستنفدة للأوزون (المقرر 82/87(د))</w:t>
      </w:r>
    </w:p>
    <w:p w:rsidR="002240F2" w:rsidRDefault="002240F2" w:rsidP="00DA2902">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 xml:space="preserve">عرض ممثل الأمانة الوثيقة </w:t>
      </w:r>
      <w:r w:rsidRPr="00B42B2A">
        <w:rPr>
          <w:sz w:val="24"/>
          <w:szCs w:val="24"/>
          <w:lang w:bidi="ar-SA"/>
        </w:rPr>
        <w:t>UNEP/OzL.Pro/ExCom/83/SGP/2</w:t>
      </w:r>
      <w:r>
        <w:rPr>
          <w:rFonts w:hint="cs"/>
          <w:sz w:val="26"/>
          <w:szCs w:val="26"/>
          <w:rtl/>
          <w:lang w:val="en-US" w:bidi="ar-SA"/>
        </w:rPr>
        <w:t xml:space="preserve"> قائلا إن الأمانة ركزت استعراضها وتحليلها على تطبيق المبادئ التوجيهية للتأكد من مستويات إنتاج المواد المستنفدة للأوزون في مرافق الإنتاج المحددة. وسوف يتم معالجة تعريف المصادر المحتملة لإنتاج المواد المستنفدة للأوزون ورص</w:t>
      </w:r>
      <w:r w:rsidR="00DA2902">
        <w:rPr>
          <w:rFonts w:hint="cs"/>
          <w:sz w:val="26"/>
          <w:szCs w:val="26"/>
          <w:rtl/>
          <w:lang w:val="en-US" w:bidi="ar-SA"/>
        </w:rPr>
        <w:t xml:space="preserve">د استدامة المشروعات المنجزة في </w:t>
      </w:r>
      <w:r>
        <w:rPr>
          <w:rFonts w:hint="cs"/>
          <w:sz w:val="26"/>
          <w:szCs w:val="26"/>
          <w:rtl/>
          <w:lang w:val="en-US" w:bidi="ar-SA"/>
        </w:rPr>
        <w:t>إطار البند 10 من جدول أعمال الاجتماع الثالث والثمانين.</w:t>
      </w:r>
    </w:p>
    <w:p w:rsidR="002240F2" w:rsidRDefault="002240F2" w:rsidP="00F7289B">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lastRenderedPageBreak/>
        <w:t>وردا على تساؤل عن تدمير المعدات ال</w:t>
      </w:r>
      <w:r w:rsidR="00F7289B">
        <w:rPr>
          <w:rFonts w:hint="cs"/>
          <w:sz w:val="26"/>
          <w:szCs w:val="26"/>
          <w:rtl/>
          <w:lang w:val="en-US" w:bidi="ar-SA"/>
        </w:rPr>
        <w:t>أسا</w:t>
      </w:r>
      <w:r>
        <w:rPr>
          <w:rFonts w:hint="cs"/>
          <w:sz w:val="26"/>
          <w:szCs w:val="26"/>
          <w:rtl/>
          <w:lang w:val="en-US" w:bidi="ar-SA"/>
        </w:rPr>
        <w:t>سية في خطوط الإنتاج التي كانت قد أغلقت وما</w:t>
      </w:r>
      <w:r w:rsidR="00F7289B">
        <w:rPr>
          <w:rFonts w:hint="cs"/>
          <w:sz w:val="26"/>
          <w:szCs w:val="26"/>
          <w:rtl/>
          <w:lang w:val="en-US" w:bidi="ar-SA"/>
        </w:rPr>
        <w:t xml:space="preserve"> إذا كانت المعدات من الخطوط الم</w:t>
      </w:r>
      <w:r>
        <w:rPr>
          <w:rFonts w:hint="cs"/>
          <w:sz w:val="26"/>
          <w:szCs w:val="26"/>
          <w:rtl/>
          <w:lang w:val="en-US" w:bidi="ar-SA"/>
        </w:rPr>
        <w:t xml:space="preserve">غلقة أو المعاد </w:t>
      </w:r>
      <w:r w:rsidR="00F7289B">
        <w:rPr>
          <w:rFonts w:hint="cs"/>
          <w:sz w:val="26"/>
          <w:szCs w:val="26"/>
          <w:rtl/>
          <w:lang w:val="en-US" w:bidi="ar-SA"/>
        </w:rPr>
        <w:t>تعديلها التحديثي</w:t>
      </w:r>
      <w:r>
        <w:rPr>
          <w:rFonts w:hint="cs"/>
          <w:sz w:val="26"/>
          <w:szCs w:val="26"/>
          <w:rtl/>
          <w:lang w:val="en-US" w:bidi="ar-SA"/>
        </w:rPr>
        <w:t xml:space="preserve"> لبدء إنتاج المواد المستنفدة للأوزون مرة أخر</w:t>
      </w:r>
      <w:r w:rsidR="00F7289B">
        <w:rPr>
          <w:rFonts w:hint="cs"/>
          <w:sz w:val="26"/>
          <w:szCs w:val="26"/>
          <w:rtl/>
          <w:lang w:val="en-US" w:bidi="ar-SA"/>
        </w:rPr>
        <w:t>ى</w:t>
      </w:r>
      <w:r>
        <w:rPr>
          <w:rFonts w:hint="cs"/>
          <w:sz w:val="26"/>
          <w:szCs w:val="26"/>
          <w:rtl/>
          <w:lang w:val="en-US" w:bidi="ar-SA"/>
        </w:rPr>
        <w:t xml:space="preserve">، شرح أن المبادئ التوجيهية تقتضي تدمير المعدات الأساسية، وهي المفاعل وأعمدة التقطير التي كانت مطلوبة لإنتاج المواد الخاضعة للرقابة. </w:t>
      </w:r>
      <w:r w:rsidR="00F7289B">
        <w:rPr>
          <w:rFonts w:hint="cs"/>
          <w:sz w:val="26"/>
          <w:szCs w:val="26"/>
          <w:rtl/>
          <w:lang w:val="en-US" w:bidi="ar-SA"/>
        </w:rPr>
        <w:t>وقد كانت عملية التدمير موث</w:t>
      </w:r>
      <w:r w:rsidR="003F43D2">
        <w:rPr>
          <w:rFonts w:hint="cs"/>
          <w:sz w:val="26"/>
          <w:szCs w:val="26"/>
          <w:rtl/>
          <w:lang w:val="en-US" w:bidi="ar-SA"/>
        </w:rPr>
        <w:t>قة بأدلة تصويرية أو بالفيديو ومعتمد</w:t>
      </w:r>
      <w:r w:rsidR="00F7289B">
        <w:rPr>
          <w:rFonts w:hint="cs"/>
          <w:sz w:val="26"/>
          <w:szCs w:val="26"/>
          <w:rtl/>
          <w:lang w:val="en-US" w:bidi="ar-SA"/>
        </w:rPr>
        <w:t>ة</w:t>
      </w:r>
      <w:r w:rsidR="003F43D2">
        <w:rPr>
          <w:rFonts w:hint="cs"/>
          <w:sz w:val="26"/>
          <w:szCs w:val="26"/>
          <w:rtl/>
          <w:lang w:val="en-US" w:bidi="ar-SA"/>
        </w:rPr>
        <w:t xml:space="preserve"> من السلطة المعنية.</w:t>
      </w:r>
    </w:p>
    <w:p w:rsidR="003F43D2" w:rsidRDefault="003F43D2" w:rsidP="00DA2902">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وفيما يتعلق بالآلية المنشأة لرصد استخدامات المواد الأولية، اقترح أن التوصيات ينبغي أن</w:t>
      </w:r>
      <w:r w:rsidR="00F7289B">
        <w:rPr>
          <w:rFonts w:hint="cs"/>
          <w:sz w:val="26"/>
          <w:szCs w:val="26"/>
          <w:rtl/>
          <w:lang w:val="en-US" w:bidi="ar-SA"/>
        </w:rPr>
        <w:t xml:space="preserve"> تتضمن تعريفا لما يشكل انتهاكا لآلية </w:t>
      </w:r>
      <w:r>
        <w:rPr>
          <w:rFonts w:hint="cs"/>
          <w:sz w:val="26"/>
          <w:szCs w:val="26"/>
          <w:rtl/>
          <w:lang w:val="en-US" w:bidi="ar-SA"/>
        </w:rPr>
        <w:t>رصد استخدام المواد الأولية والعقوبات المرتبطة بمثل هذا الانتهاك. واقترح أيضا أنه بمجرد التحقق من الدمج الرأسي لخط الإنتاج، وتوقف عمليات التحقق السنوية، ينبغي أن يحتفظ الملاك بسجلات مدخلات ومخرجات عملياتهم، بما في ذلك بيانات المشتريات والمبيعات، وذلك لثلاث سنوات على الأقل.</w:t>
      </w:r>
    </w:p>
    <w:p w:rsidR="003F43D2" w:rsidRDefault="008C46E3" w:rsidP="00F7289B">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والتمس ممثل ا</w:t>
      </w:r>
      <w:r w:rsidR="00F7289B">
        <w:rPr>
          <w:rFonts w:hint="cs"/>
          <w:sz w:val="26"/>
          <w:szCs w:val="26"/>
          <w:rtl/>
          <w:lang w:val="en-US" w:bidi="ar-SA"/>
        </w:rPr>
        <w:t xml:space="preserve">لبنك الدولي توضيحا بشأن إدراج </w:t>
      </w:r>
      <w:r>
        <w:rPr>
          <w:rFonts w:hint="cs"/>
          <w:sz w:val="26"/>
          <w:szCs w:val="26"/>
          <w:rtl/>
          <w:lang w:val="en-US" w:bidi="ar-SA"/>
        </w:rPr>
        <w:t>إجراء للتحقق من انبعاثات المنتج الثانوي الهيدروفلوروكربون-23 وقال إن المعلومات عن ذلك المنتج الثانوي يجمعها المنتجون وإن البن</w:t>
      </w:r>
      <w:r w:rsidR="00F7289B">
        <w:rPr>
          <w:rFonts w:hint="cs"/>
          <w:sz w:val="26"/>
          <w:szCs w:val="26"/>
          <w:rtl/>
          <w:lang w:val="en-US" w:bidi="ar-SA"/>
        </w:rPr>
        <w:t>ك</w:t>
      </w:r>
      <w:r>
        <w:rPr>
          <w:rFonts w:hint="cs"/>
          <w:sz w:val="26"/>
          <w:szCs w:val="26"/>
          <w:rtl/>
          <w:lang w:val="en-US" w:bidi="ar-SA"/>
        </w:rPr>
        <w:t xml:space="preserve"> الدولي ليس لديه </w:t>
      </w:r>
      <w:r w:rsidR="00F7289B">
        <w:rPr>
          <w:rFonts w:hint="cs"/>
          <w:sz w:val="26"/>
          <w:szCs w:val="26"/>
          <w:rtl/>
          <w:lang w:val="en-US" w:bidi="ar-SA"/>
        </w:rPr>
        <w:t>أ</w:t>
      </w:r>
      <w:r>
        <w:rPr>
          <w:rFonts w:hint="cs"/>
          <w:sz w:val="26"/>
          <w:szCs w:val="26"/>
          <w:rtl/>
          <w:lang w:val="en-US" w:bidi="ar-SA"/>
        </w:rPr>
        <w:t xml:space="preserve">ية إجراءات موجودة للتحقق من تلك المعلومات. وبالإضافة إلى ذلك، فإن </w:t>
      </w:r>
      <w:r w:rsidR="00F7289B">
        <w:rPr>
          <w:rFonts w:hint="cs"/>
          <w:sz w:val="26"/>
          <w:szCs w:val="26"/>
          <w:rtl/>
          <w:lang w:val="en-US" w:bidi="ar-SA"/>
        </w:rPr>
        <w:t>هذا</w:t>
      </w:r>
      <w:r>
        <w:rPr>
          <w:rFonts w:hint="cs"/>
          <w:sz w:val="26"/>
          <w:szCs w:val="26"/>
          <w:rtl/>
          <w:lang w:val="en-US" w:bidi="ar-SA"/>
        </w:rPr>
        <w:t xml:space="preserve"> ليس مطلوب حاليا نظرا لعدم وجود أي إنتاج للهيدروكلوروفلوروكربون في البلدان التي صدقت على تعديل كيغالي. وقال ممثل الأمانة إنه بينما لا يتحقق البنك الدولي من هذه المعلومات في الوقت الحاضر، فقد طلبت اللجنة التنفيذية إلى البنك الدولي في مقررات عديدة أن يدرج معلومات عن الهيدروفلوروكربون-23 في تقرير التحقق. وفي ضوء تعديل كيغالي ونية الأطراف التصديق على التعديل، </w:t>
      </w:r>
      <w:r w:rsidR="000C3FD5">
        <w:rPr>
          <w:rFonts w:hint="cs"/>
          <w:sz w:val="26"/>
          <w:szCs w:val="26"/>
          <w:rtl/>
          <w:lang w:val="en-US" w:bidi="ar-SA"/>
        </w:rPr>
        <w:t>ربما لم تستوفى البيانات المقدمة فحسب من المنتجين متطلبات التحقق؛ وبالتالي، اقترح إعداد إجراء سليم للتحقق. ولاحظ أحد الأعضاء أن الأمانة طلب منها فقط أن تستعرض المب</w:t>
      </w:r>
      <w:r w:rsidR="00F7289B">
        <w:rPr>
          <w:rFonts w:hint="cs"/>
          <w:sz w:val="26"/>
          <w:szCs w:val="26"/>
          <w:rtl/>
          <w:lang w:val="en-US" w:bidi="ar-SA"/>
        </w:rPr>
        <w:t>ا</w:t>
      </w:r>
      <w:r w:rsidR="000C3FD5">
        <w:rPr>
          <w:rFonts w:hint="cs"/>
          <w:sz w:val="26"/>
          <w:szCs w:val="26"/>
          <w:rtl/>
          <w:lang w:val="en-US" w:bidi="ar-SA"/>
        </w:rPr>
        <w:t>دئ التوجيهية والإجراءات وتقديمها إلى الاجتماع الرابع والثمانين، حيث سيتم مناقشة تلك المسائل في ذلك الحين. وقال عضو آخر إنه بينما يدرك الرغبة في إدراج إجراء للتحقق من الهيدروفلوروكربون-23، فقد لاحظ أن معالجة الهيدروفلوروكربون-23 في إطار تعديل كيغالي كان مختلفا عن معالجة المواد المستنفدة للأوزون الأخرى التي تغطيها المبادئ التوجيهية. فالهيدروفلوروكربون-23 لم تتم إزالته بل سوف يتم تدميره إلى أقصى حد ممكن عند توليده كمنتج ثانوي لإنتاج الهي</w:t>
      </w:r>
      <w:r w:rsidR="00F7289B">
        <w:rPr>
          <w:rFonts w:hint="cs"/>
          <w:sz w:val="26"/>
          <w:szCs w:val="26"/>
          <w:rtl/>
          <w:lang w:val="en-US" w:bidi="ar-SA"/>
        </w:rPr>
        <w:t>دروكلوروفلوروكربون-22 واقترح أن</w:t>
      </w:r>
      <w:r w:rsidR="000C3FD5">
        <w:rPr>
          <w:rFonts w:hint="cs"/>
          <w:sz w:val="26"/>
          <w:szCs w:val="26"/>
          <w:rtl/>
          <w:lang w:val="en-US" w:bidi="ar-SA"/>
        </w:rPr>
        <w:t xml:space="preserve"> يكون ذلك موضوع مقرر منفصل وألا يدرج في </w:t>
      </w:r>
      <w:r w:rsidR="00F7289B">
        <w:rPr>
          <w:rFonts w:hint="cs"/>
          <w:sz w:val="26"/>
          <w:szCs w:val="26"/>
          <w:rtl/>
          <w:lang w:val="en-US" w:bidi="ar-SA"/>
        </w:rPr>
        <w:t>هذه</w:t>
      </w:r>
      <w:r w:rsidR="000C3FD5">
        <w:rPr>
          <w:rFonts w:hint="cs"/>
          <w:sz w:val="26"/>
          <w:szCs w:val="26"/>
          <w:rtl/>
          <w:lang w:val="en-US" w:bidi="ar-SA"/>
        </w:rPr>
        <w:t xml:space="preserve"> المبادئ التوجيهية.</w:t>
      </w:r>
    </w:p>
    <w:p w:rsidR="000C3FD5" w:rsidRDefault="000C3FD5" w:rsidP="006D45EB">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واقترح أيضا إضافة فقرة للإشارة إلى أنه عندما تحدد مؤسسة تكون قد تلقت تمويلا من الصندوق الم</w:t>
      </w:r>
      <w:r w:rsidR="006D45EB">
        <w:rPr>
          <w:rFonts w:hint="cs"/>
          <w:sz w:val="26"/>
          <w:szCs w:val="26"/>
          <w:rtl/>
          <w:lang w:val="en-US" w:bidi="ar-SA"/>
        </w:rPr>
        <w:t>تعدد الأطراف على أنها تنتج مادة</w:t>
      </w:r>
      <w:r>
        <w:rPr>
          <w:rFonts w:hint="cs"/>
          <w:sz w:val="26"/>
          <w:szCs w:val="26"/>
          <w:rtl/>
          <w:lang w:val="en-US" w:bidi="ar-SA"/>
        </w:rPr>
        <w:t xml:space="preserve"> خاضعة للرقابة بعد تاريخ تقديم تقرير إنجاز المشروع، ينبغي على الحكومة المعنية أن تنفذ تحقيقا مستقلا للقطاعات التي تم </w:t>
      </w:r>
      <w:r w:rsidR="006D45EB">
        <w:rPr>
          <w:rFonts w:hint="cs"/>
          <w:sz w:val="26"/>
          <w:szCs w:val="26"/>
          <w:rtl/>
          <w:lang w:val="en-US" w:bidi="ar-SA"/>
        </w:rPr>
        <w:t xml:space="preserve">فيها </w:t>
      </w:r>
      <w:r>
        <w:rPr>
          <w:rFonts w:hint="cs"/>
          <w:sz w:val="26"/>
          <w:szCs w:val="26"/>
          <w:rtl/>
          <w:lang w:val="en-US" w:bidi="ar-SA"/>
        </w:rPr>
        <w:t>إنتاج واستخدام المواد الخاضعة للرقابة وبعد ذلك الإبلاغ عن نتائج ذلك التحقق إلى اللجنة التنفيذية.</w:t>
      </w:r>
    </w:p>
    <w:p w:rsidR="000C3FD5" w:rsidRDefault="000C3FD5" w:rsidP="006D45EB">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 xml:space="preserve">وأثير تساؤل عما إذا كانت </w:t>
      </w:r>
      <w:r w:rsidR="001A0569">
        <w:rPr>
          <w:rFonts w:hint="cs"/>
          <w:sz w:val="26"/>
          <w:szCs w:val="26"/>
          <w:rtl/>
          <w:lang w:val="en-US" w:bidi="ar-SA"/>
        </w:rPr>
        <w:t xml:space="preserve">الإشارة إلى المواد الهيدروكلوروفلوروكربونية تعني "المواد الخاضعة للرقابة". وتم شرح أن المبادئ التوجيهية التي يتم مناقشتها تطبق على جميع المواد الخاضعة للرقابة من أجل الاستخدامات الخاضعة للرقابة وليس فقط على المواد الهيدروكلوروفلوروكربونية. وقال بعض الأعضاء إنه ليس من الواضح ما إذا كان من المعقول طلب تحقيق لقطاع برمته عندما توجد حالة منفردة للإنتاج غير المشروع، وما إذا كانت كمية </w:t>
      </w:r>
      <w:r w:rsidR="006D45EB">
        <w:rPr>
          <w:rFonts w:hint="cs"/>
          <w:sz w:val="26"/>
          <w:szCs w:val="26"/>
          <w:rtl/>
          <w:lang w:val="en-US" w:bidi="ar-SA"/>
        </w:rPr>
        <w:t>من الإنتاج غير المشروع تشكل إنت</w:t>
      </w:r>
      <w:r w:rsidR="001A0569">
        <w:rPr>
          <w:rFonts w:hint="cs"/>
          <w:sz w:val="26"/>
          <w:szCs w:val="26"/>
          <w:rtl/>
          <w:lang w:val="en-US" w:bidi="ar-SA"/>
        </w:rPr>
        <w:t xml:space="preserve">هاكا. وكان هناك تساؤل أيضا عما إذا القصد من الاقتراح أنه في حالة وجود إنتاج غير مشروع، </w:t>
      </w:r>
      <w:r w:rsidR="006D45EB">
        <w:rPr>
          <w:rFonts w:hint="cs"/>
          <w:sz w:val="26"/>
          <w:szCs w:val="26"/>
          <w:rtl/>
          <w:lang w:val="en-US" w:bidi="ar-SA"/>
        </w:rPr>
        <w:t>ينبغي</w:t>
      </w:r>
      <w:r w:rsidR="001A0569">
        <w:rPr>
          <w:rFonts w:hint="cs"/>
          <w:sz w:val="26"/>
          <w:szCs w:val="26"/>
          <w:rtl/>
          <w:lang w:val="en-US" w:bidi="ar-SA"/>
        </w:rPr>
        <w:t xml:space="preserve"> أن تجري الحكومة المعنية تفتيشا على الشركات التي تلقت تمويلا من الصندوق المتعدد الأطراف حتى تتأكد من أن مرافق الإنتاج قد تم تفكيكها.</w:t>
      </w:r>
    </w:p>
    <w:p w:rsidR="000C3FD5" w:rsidRDefault="001A0569" w:rsidP="006D45EB">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 xml:space="preserve">وردا على </w:t>
      </w:r>
      <w:r w:rsidR="006D45EB">
        <w:rPr>
          <w:rFonts w:hint="cs"/>
          <w:sz w:val="26"/>
          <w:szCs w:val="26"/>
          <w:rtl/>
          <w:lang w:val="en-US" w:bidi="ar-SA"/>
        </w:rPr>
        <w:t>تساول</w:t>
      </w:r>
      <w:r>
        <w:rPr>
          <w:rFonts w:hint="cs"/>
          <w:sz w:val="26"/>
          <w:szCs w:val="26"/>
          <w:rtl/>
          <w:lang w:val="en-US" w:bidi="ar-SA"/>
        </w:rPr>
        <w:t xml:space="preserve"> بشأن الفقرة المضافة، قال العضو الذي اقترحها إن الحكومات التزمت وفقا للاتفاقات بتحقيق تخفيض مجمع مستدام للمواد المستنفدة للأوزون في المشروعات التي تم تمويلها من الصندوق المتعدد الأطراف وبالتالي سوف تحتاج الحكومات إلى اتخاذ إجراء لضمان ذلك، إما من خلال تحقق أو تدقيق للقطاع المعني. واتفق الأعضاء على أن اتفاقات الإزالة تنطوي على التزام لضمان امتثال البلد؛ غير أن </w:t>
      </w:r>
      <w:r w:rsidR="00E7182A">
        <w:rPr>
          <w:rFonts w:hint="cs"/>
          <w:sz w:val="26"/>
          <w:szCs w:val="26"/>
          <w:rtl/>
          <w:lang w:val="en-US" w:bidi="ar-SA"/>
        </w:rPr>
        <w:t>الحاجة إلى</w:t>
      </w:r>
      <w:r>
        <w:rPr>
          <w:rFonts w:hint="cs"/>
          <w:sz w:val="26"/>
          <w:szCs w:val="26"/>
          <w:rtl/>
          <w:lang w:val="en-US" w:bidi="ar-SA"/>
        </w:rPr>
        <w:t xml:space="preserve"> </w:t>
      </w:r>
      <w:r w:rsidR="00E7182A">
        <w:rPr>
          <w:rFonts w:hint="cs"/>
          <w:sz w:val="26"/>
          <w:szCs w:val="26"/>
          <w:rtl/>
          <w:lang w:val="en-US" w:bidi="ar-SA"/>
        </w:rPr>
        <w:t>إجراء</w:t>
      </w:r>
      <w:r>
        <w:rPr>
          <w:rFonts w:hint="cs"/>
          <w:sz w:val="26"/>
          <w:szCs w:val="26"/>
          <w:rtl/>
          <w:lang w:val="en-US" w:bidi="ar-SA"/>
        </w:rPr>
        <w:t xml:space="preserve"> تحقق </w:t>
      </w:r>
      <w:r w:rsidR="006D45EB">
        <w:rPr>
          <w:rFonts w:hint="cs"/>
          <w:sz w:val="26"/>
          <w:szCs w:val="26"/>
          <w:rtl/>
          <w:lang w:val="en-US" w:bidi="ar-SA"/>
        </w:rPr>
        <w:t>مستقل</w:t>
      </w:r>
      <w:r>
        <w:rPr>
          <w:rFonts w:hint="cs"/>
          <w:sz w:val="26"/>
          <w:szCs w:val="26"/>
          <w:rtl/>
          <w:lang w:val="en-US" w:bidi="ar-SA"/>
        </w:rPr>
        <w:t xml:space="preserve"> على </w:t>
      </w:r>
      <w:r w:rsidR="006D45EB">
        <w:rPr>
          <w:rFonts w:hint="cs"/>
          <w:sz w:val="26"/>
          <w:szCs w:val="26"/>
          <w:rtl/>
          <w:lang w:val="en-US" w:bidi="ar-SA"/>
        </w:rPr>
        <w:t>نطاق</w:t>
      </w:r>
      <w:r>
        <w:rPr>
          <w:rFonts w:hint="cs"/>
          <w:sz w:val="26"/>
          <w:szCs w:val="26"/>
          <w:rtl/>
          <w:lang w:val="en-US" w:bidi="ar-SA"/>
        </w:rPr>
        <w:t xml:space="preserve"> القطاع أو تدقيق من جانب الحكومة </w:t>
      </w:r>
      <w:r w:rsidR="00E7182A">
        <w:rPr>
          <w:rFonts w:hint="cs"/>
          <w:sz w:val="26"/>
          <w:szCs w:val="26"/>
          <w:rtl/>
          <w:lang w:val="en-US" w:bidi="ar-SA"/>
        </w:rPr>
        <w:t>لم تكن واضحة. وبينما التزمت الحكومات بالتخفيضات المستدامة، كان بعض الأعضاء يفهمون أنه بمجرد الانتهاء من الاتفاقات لم يكن هناك التزام آخر لإبلاغ اللجنة التنفيذية.</w:t>
      </w:r>
    </w:p>
    <w:p w:rsidR="000C3FD5" w:rsidRDefault="00E7182A" w:rsidP="00DA2902">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lastRenderedPageBreak/>
        <w:t>وفي ختام المناقشات، اقترح أحد الأعضاء تغييرات على بعض الفقرات التي تم الاتفاق عليها، مقترحا أنه من المهم ضمان أن المبادئ التوجيهية المنقحة التي سيتم النظر فيها في الاجتماع القادم لم تدخل أي ممارسات مبتكرة وسيتم تحديثها فقط في ضوء الممارسة الحالية. وشرح ممثل الأمانة أن الغرض من العملية هو تحديث المبادئ التوجيهية حتى تبين الممارسات التي تم إعدادها على مدى الوقت، والتي لم تدرج في الوقت الحالي في الشكل الحالي للمبادئ التوجيهية.</w:t>
      </w:r>
    </w:p>
    <w:p w:rsidR="000C3FD5" w:rsidRDefault="00E7182A" w:rsidP="00DA2902">
      <w:pPr>
        <w:pStyle w:val="StyleHeader4Para4Left0Firstline0"/>
        <w:widowControl/>
        <w:numPr>
          <w:ilvl w:val="0"/>
          <w:numId w:val="25"/>
        </w:numPr>
        <w:tabs>
          <w:tab w:val="clear" w:pos="2880"/>
          <w:tab w:val="clear" w:pos="5760"/>
        </w:tabs>
        <w:bidi/>
        <w:ind w:left="0" w:firstLine="0"/>
        <w:rPr>
          <w:sz w:val="26"/>
          <w:szCs w:val="26"/>
          <w:lang w:val="en-US" w:bidi="ar-SA"/>
        </w:rPr>
      </w:pPr>
      <w:r w:rsidRPr="00010ABC">
        <w:rPr>
          <w:rFonts w:hint="cs"/>
          <w:sz w:val="26"/>
          <w:szCs w:val="26"/>
          <w:u w:val="single"/>
          <w:rtl/>
          <w:lang w:val="en-US" w:bidi="ar-SA"/>
        </w:rPr>
        <w:t>و</w:t>
      </w:r>
      <w:r w:rsidR="00010ABC" w:rsidRPr="00010ABC">
        <w:rPr>
          <w:rFonts w:hint="cs"/>
          <w:sz w:val="26"/>
          <w:szCs w:val="26"/>
          <w:u w:val="single"/>
          <w:rtl/>
          <w:lang w:val="en-US" w:bidi="ar-SA"/>
        </w:rPr>
        <w:t>ي</w:t>
      </w:r>
      <w:r w:rsidRPr="00010ABC">
        <w:rPr>
          <w:rFonts w:hint="cs"/>
          <w:sz w:val="26"/>
          <w:szCs w:val="26"/>
          <w:u w:val="single"/>
          <w:rtl/>
          <w:lang w:val="en-US" w:bidi="ar-SA"/>
        </w:rPr>
        <w:t>وصى</w:t>
      </w:r>
      <w:r>
        <w:rPr>
          <w:rFonts w:hint="cs"/>
          <w:sz w:val="26"/>
          <w:szCs w:val="26"/>
          <w:rtl/>
          <w:lang w:val="en-US" w:bidi="ar-SA"/>
        </w:rPr>
        <w:t xml:space="preserve"> الفريق الفرعي المعني بقطاع الإنتاح اللجنة التنفيذية بما يلي:</w:t>
      </w:r>
    </w:p>
    <w:p w:rsidR="00E7182A" w:rsidRDefault="00CD03E9" w:rsidP="00DA2902">
      <w:pPr>
        <w:pStyle w:val="StyleHeader4Para4Left0Firstline0"/>
        <w:widowControl/>
        <w:numPr>
          <w:ilvl w:val="0"/>
          <w:numId w:val="0"/>
        </w:numPr>
        <w:tabs>
          <w:tab w:val="clear" w:pos="2880"/>
          <w:tab w:val="clear" w:pos="5760"/>
        </w:tabs>
        <w:bidi/>
        <w:ind w:left="1440" w:hanging="720"/>
        <w:rPr>
          <w:sz w:val="26"/>
          <w:szCs w:val="26"/>
          <w:lang w:val="en-US" w:bidi="ar-SA"/>
        </w:rPr>
      </w:pPr>
      <w:r>
        <w:rPr>
          <w:rFonts w:hint="cs"/>
          <w:sz w:val="26"/>
          <w:szCs w:val="26"/>
          <w:rtl/>
          <w:lang w:val="en-US" w:bidi="ar-SA"/>
        </w:rPr>
        <w:t>(أ)</w:t>
      </w:r>
      <w:r>
        <w:rPr>
          <w:rFonts w:hint="cs"/>
          <w:sz w:val="26"/>
          <w:szCs w:val="26"/>
          <w:rtl/>
          <w:lang w:val="en-US" w:bidi="ar-SA"/>
        </w:rPr>
        <w:tab/>
        <w:t xml:space="preserve">أن تحاط علما باستعراض وتحليل جوانب المبادئ التوجيهية والشكل العام المستخدم للتحقق من إنتاج المواد المستنفدة للأوزون، الوارد في الوثيقة </w:t>
      </w:r>
      <w:r w:rsidRPr="00CD03E9">
        <w:rPr>
          <w:sz w:val="24"/>
          <w:szCs w:val="24"/>
          <w:lang w:val="en-CA"/>
        </w:rPr>
        <w:t>UNEP/OzL.Pro/ExCom/83/SGP/2</w:t>
      </w:r>
      <w:r>
        <w:rPr>
          <w:rFonts w:hint="cs"/>
          <w:sz w:val="26"/>
          <w:szCs w:val="26"/>
          <w:rtl/>
          <w:lang w:val="en-US" w:bidi="ar-SA"/>
        </w:rPr>
        <w:t>؛</w:t>
      </w:r>
    </w:p>
    <w:p w:rsidR="00CD03E9" w:rsidRDefault="00CD03E9" w:rsidP="00DA2902">
      <w:pPr>
        <w:pStyle w:val="StyleHeader4Para4Left0Firstline0"/>
        <w:widowControl/>
        <w:numPr>
          <w:ilvl w:val="0"/>
          <w:numId w:val="0"/>
        </w:numPr>
        <w:tabs>
          <w:tab w:val="clear" w:pos="2880"/>
          <w:tab w:val="clear" w:pos="5760"/>
        </w:tabs>
        <w:bidi/>
        <w:ind w:left="1440" w:hanging="720"/>
        <w:rPr>
          <w:sz w:val="26"/>
          <w:szCs w:val="26"/>
          <w:rtl/>
          <w:lang w:val="en-US" w:bidi="ar-SA"/>
        </w:rPr>
      </w:pPr>
      <w:r>
        <w:rPr>
          <w:rFonts w:hint="cs"/>
          <w:sz w:val="26"/>
          <w:szCs w:val="26"/>
          <w:rtl/>
          <w:lang w:val="en-US" w:bidi="ar-SA"/>
        </w:rPr>
        <w:t>(ب)</w:t>
      </w:r>
      <w:r>
        <w:rPr>
          <w:rFonts w:hint="cs"/>
          <w:sz w:val="26"/>
          <w:szCs w:val="26"/>
          <w:rtl/>
          <w:lang w:val="en-US" w:bidi="ar-SA"/>
        </w:rPr>
        <w:tab/>
        <w:t xml:space="preserve">أن تطلب إلى الأمانة تحديث مشروع المبادئ التوجيهية والشكل العام المستخدم أثناء التحقق من إزالة إنتاج المواد المستنفدة للأوزون الممولة من الصندوق المتعدد الأطراف، وتقديمها لنظر اللجنة التنفيذية في اجتماعها الرابع والثمانين، الوارد في الوثيقة </w:t>
      </w:r>
      <w:r w:rsidR="0080327F" w:rsidRPr="0080327F">
        <w:rPr>
          <w:sz w:val="24"/>
          <w:szCs w:val="24"/>
          <w:lang w:val="en-CA"/>
        </w:rPr>
        <w:t>UNEP/OzL.Pro/ExCom/32/33</w:t>
      </w:r>
      <w:r>
        <w:rPr>
          <w:rFonts w:hint="cs"/>
          <w:sz w:val="26"/>
          <w:szCs w:val="26"/>
          <w:rtl/>
          <w:lang w:val="en-US" w:bidi="ar-SA"/>
        </w:rPr>
        <w:t>، مع مراعاة الممارسات الحالية وإدراج التغييرات التالية:</w:t>
      </w:r>
    </w:p>
    <w:p w:rsidR="00CD03E9" w:rsidRDefault="00CD03E9" w:rsidP="006D45EB">
      <w:pPr>
        <w:pStyle w:val="StyleHeader4Para4Left0Firstline0"/>
        <w:widowControl/>
        <w:numPr>
          <w:ilvl w:val="0"/>
          <w:numId w:val="0"/>
        </w:numPr>
        <w:tabs>
          <w:tab w:val="clear" w:pos="2880"/>
          <w:tab w:val="clear" w:pos="5760"/>
        </w:tabs>
        <w:bidi/>
        <w:ind w:left="2160" w:hanging="720"/>
        <w:rPr>
          <w:sz w:val="26"/>
          <w:szCs w:val="26"/>
          <w:rtl/>
          <w:lang w:val="en-US" w:bidi="ar-SA"/>
        </w:rPr>
      </w:pPr>
      <w:r>
        <w:rPr>
          <w:rFonts w:hint="cs"/>
          <w:sz w:val="26"/>
          <w:szCs w:val="26"/>
          <w:rtl/>
          <w:lang w:val="en-US" w:bidi="ar-SA"/>
        </w:rPr>
        <w:t>(1)</w:t>
      </w:r>
      <w:r>
        <w:rPr>
          <w:rFonts w:hint="cs"/>
          <w:sz w:val="26"/>
          <w:szCs w:val="26"/>
          <w:rtl/>
          <w:lang w:val="en-US" w:bidi="ar-SA"/>
        </w:rPr>
        <w:tab/>
      </w:r>
      <w:r w:rsidR="0080327F">
        <w:rPr>
          <w:rFonts w:hint="cs"/>
          <w:sz w:val="26"/>
          <w:szCs w:val="26"/>
          <w:rtl/>
          <w:lang w:val="en-US" w:bidi="ar-SA"/>
        </w:rPr>
        <w:t>أن تتضمن إجراء يبين الممارسات الحالية للتحقق من المواد الخاضعة للرقابة لاستخدامات المواد الأولية والاستخدامات المعف</w:t>
      </w:r>
      <w:r w:rsidR="006D45EB">
        <w:rPr>
          <w:rFonts w:hint="cs"/>
          <w:sz w:val="26"/>
          <w:szCs w:val="26"/>
          <w:rtl/>
          <w:lang w:val="en-US" w:bidi="ar-SA"/>
        </w:rPr>
        <w:t>ا</w:t>
      </w:r>
      <w:r w:rsidR="0080327F">
        <w:rPr>
          <w:rFonts w:hint="cs"/>
          <w:sz w:val="26"/>
          <w:szCs w:val="26"/>
          <w:rtl/>
          <w:lang w:val="en-US" w:bidi="ar-SA"/>
        </w:rPr>
        <w:t>ة الأخرى؛</w:t>
      </w:r>
    </w:p>
    <w:p w:rsidR="00CD03E9" w:rsidRDefault="00CD03E9" w:rsidP="002F1F44">
      <w:pPr>
        <w:pStyle w:val="StyleHeader4Para4Left0Firstline0"/>
        <w:widowControl/>
        <w:numPr>
          <w:ilvl w:val="0"/>
          <w:numId w:val="0"/>
        </w:numPr>
        <w:tabs>
          <w:tab w:val="clear" w:pos="2880"/>
          <w:tab w:val="clear" w:pos="5760"/>
        </w:tabs>
        <w:bidi/>
        <w:ind w:left="2160" w:hanging="720"/>
        <w:rPr>
          <w:sz w:val="26"/>
          <w:szCs w:val="26"/>
          <w:rtl/>
          <w:lang w:val="en-US" w:bidi="ar-SA"/>
        </w:rPr>
      </w:pPr>
      <w:r>
        <w:rPr>
          <w:rFonts w:hint="cs"/>
          <w:sz w:val="26"/>
          <w:szCs w:val="26"/>
          <w:rtl/>
          <w:lang w:val="en-US" w:bidi="ar-SA"/>
        </w:rPr>
        <w:t>(2)</w:t>
      </w:r>
      <w:r>
        <w:rPr>
          <w:rFonts w:hint="cs"/>
          <w:sz w:val="26"/>
          <w:szCs w:val="26"/>
          <w:rtl/>
          <w:lang w:val="en-US" w:bidi="ar-SA"/>
        </w:rPr>
        <w:tab/>
      </w:r>
      <w:r w:rsidR="0080327F">
        <w:rPr>
          <w:rFonts w:hint="cs"/>
          <w:sz w:val="26"/>
          <w:szCs w:val="26"/>
          <w:rtl/>
          <w:lang w:val="en-US" w:bidi="ar-SA"/>
        </w:rPr>
        <w:t xml:space="preserve">أن تتضمن في تقرير التحقق: وصفا للآلية التي أنشأتها وتنفذها الحكومة المعنية لضمان عدم قيام </w:t>
      </w:r>
      <w:r w:rsidR="002F1F44">
        <w:rPr>
          <w:rFonts w:hint="cs"/>
          <w:sz w:val="26"/>
          <w:szCs w:val="26"/>
          <w:rtl/>
          <w:lang w:val="en-US" w:bidi="ar-SA"/>
        </w:rPr>
        <w:t>ا</w:t>
      </w:r>
      <w:r w:rsidR="0080327F">
        <w:rPr>
          <w:rFonts w:hint="cs"/>
          <w:sz w:val="26"/>
          <w:szCs w:val="26"/>
          <w:rtl/>
          <w:lang w:val="en-US" w:bidi="ar-SA"/>
        </w:rPr>
        <w:t xml:space="preserve">لمصانع التي تلقت تعويضات لإزالة قدرة إنتاج المواد المستنفدة للأوزون لا تعيد توجيه أي قدرة لإنتاج المواد الأولية، </w:t>
      </w:r>
      <w:r w:rsidR="002F1F44">
        <w:rPr>
          <w:rFonts w:hint="cs"/>
          <w:sz w:val="26"/>
          <w:szCs w:val="26"/>
          <w:rtl/>
          <w:lang w:val="en-US" w:bidi="ar-SA"/>
        </w:rPr>
        <w:t xml:space="preserve">أن وجدت، </w:t>
      </w:r>
      <w:r w:rsidR="0080327F">
        <w:rPr>
          <w:rFonts w:hint="cs"/>
          <w:sz w:val="26"/>
          <w:szCs w:val="26"/>
          <w:rtl/>
          <w:lang w:val="en-US" w:bidi="ar-SA"/>
        </w:rPr>
        <w:t xml:space="preserve">إلى الاستخدامات الخاضعة للرقابة. وينبغي أن يشمل ذلك جملة أمور من بينها إجراءات الرصد والإنفاذ، تغطي جميع القواعد الوطنية ذات الصلة </w:t>
      </w:r>
      <w:r w:rsidR="002F1F44">
        <w:rPr>
          <w:rFonts w:hint="cs"/>
          <w:sz w:val="26"/>
          <w:szCs w:val="26"/>
          <w:rtl/>
          <w:lang w:val="en-US" w:bidi="ar-SA"/>
        </w:rPr>
        <w:t>ب</w:t>
      </w:r>
      <w:r w:rsidR="0080327F">
        <w:rPr>
          <w:rFonts w:hint="cs"/>
          <w:sz w:val="26"/>
          <w:szCs w:val="26"/>
          <w:rtl/>
          <w:lang w:val="en-US" w:bidi="ar-SA"/>
        </w:rPr>
        <w:t>معالجة الحالات التي لا تلتزم المؤسسة فيها بأحكام الاتفاق وفرض العقوبات، حسب الاقتضاء؛</w:t>
      </w:r>
    </w:p>
    <w:p w:rsidR="00CD03E9" w:rsidRDefault="00CD03E9" w:rsidP="00DA2902">
      <w:pPr>
        <w:pStyle w:val="StyleHeader4Para4Left0Firstline0"/>
        <w:widowControl/>
        <w:numPr>
          <w:ilvl w:val="0"/>
          <w:numId w:val="0"/>
        </w:numPr>
        <w:tabs>
          <w:tab w:val="clear" w:pos="2880"/>
          <w:tab w:val="clear" w:pos="5760"/>
        </w:tabs>
        <w:bidi/>
        <w:ind w:left="2160" w:hanging="720"/>
        <w:rPr>
          <w:sz w:val="26"/>
          <w:szCs w:val="26"/>
          <w:rtl/>
          <w:lang w:val="en-US" w:bidi="ar-SA"/>
        </w:rPr>
      </w:pPr>
      <w:r>
        <w:rPr>
          <w:rFonts w:hint="cs"/>
          <w:sz w:val="26"/>
          <w:szCs w:val="26"/>
          <w:rtl/>
          <w:lang w:val="en-US" w:bidi="ar-SA"/>
        </w:rPr>
        <w:t>(3)</w:t>
      </w:r>
      <w:r>
        <w:rPr>
          <w:rFonts w:hint="cs"/>
          <w:sz w:val="26"/>
          <w:szCs w:val="26"/>
          <w:rtl/>
          <w:lang w:val="en-US" w:bidi="ar-SA"/>
        </w:rPr>
        <w:tab/>
      </w:r>
      <w:r w:rsidR="0080327F">
        <w:rPr>
          <w:rFonts w:hint="cs"/>
          <w:sz w:val="26"/>
          <w:szCs w:val="26"/>
          <w:rtl/>
          <w:lang w:val="en-US" w:bidi="ar-SA"/>
        </w:rPr>
        <w:t>توضيح أن كل قدرة إنتاج المواد الخاضعة للرقابة ينبغي أن تدرج في التحقق من الإنتاج، بغض النظر عن وقت إنشاء قدرة الإنتاج؛</w:t>
      </w:r>
    </w:p>
    <w:p w:rsidR="00CD03E9" w:rsidRDefault="00CD03E9" w:rsidP="00DA2902">
      <w:pPr>
        <w:pStyle w:val="StyleHeader4Para4Left0Firstline0"/>
        <w:widowControl/>
        <w:numPr>
          <w:ilvl w:val="0"/>
          <w:numId w:val="0"/>
        </w:numPr>
        <w:tabs>
          <w:tab w:val="clear" w:pos="2880"/>
          <w:tab w:val="clear" w:pos="5760"/>
        </w:tabs>
        <w:bidi/>
        <w:ind w:left="2160" w:hanging="720"/>
        <w:rPr>
          <w:sz w:val="26"/>
          <w:szCs w:val="26"/>
          <w:lang w:val="en-US" w:bidi="ar-SA"/>
        </w:rPr>
      </w:pPr>
      <w:r>
        <w:rPr>
          <w:rFonts w:hint="cs"/>
          <w:sz w:val="26"/>
          <w:szCs w:val="26"/>
          <w:rtl/>
          <w:lang w:val="en-US" w:bidi="ar-SA"/>
        </w:rPr>
        <w:t>(4)</w:t>
      </w:r>
      <w:r>
        <w:rPr>
          <w:rFonts w:hint="cs"/>
          <w:sz w:val="26"/>
          <w:szCs w:val="26"/>
          <w:rtl/>
          <w:lang w:val="en-US" w:bidi="ar-SA"/>
        </w:rPr>
        <w:tab/>
      </w:r>
      <w:r w:rsidR="00EF4FE9">
        <w:rPr>
          <w:rFonts w:hint="cs"/>
          <w:sz w:val="26"/>
          <w:szCs w:val="26"/>
          <w:rtl/>
          <w:lang w:val="en-US" w:bidi="ar-SA"/>
        </w:rPr>
        <w:t>توضيح أنه بمجرد التحقق من أن خط الإنتاج قد تم إدراجه في مصب الإنتاج الذي استخدمت فيه المادة الخاضعة للرقابة كمادة أولية فقط، قد يتطلب الأمر إجراء عمليات تحقيق إضافية لخط الإنتاج هذا؛</w:t>
      </w:r>
    </w:p>
    <w:p w:rsidR="00CD03E9" w:rsidRDefault="00CD03E9" w:rsidP="002F1F44">
      <w:pPr>
        <w:pStyle w:val="StyleHeader4Para4Left0Firstline0"/>
        <w:widowControl/>
        <w:numPr>
          <w:ilvl w:val="0"/>
          <w:numId w:val="0"/>
        </w:numPr>
        <w:tabs>
          <w:tab w:val="clear" w:pos="2880"/>
          <w:tab w:val="clear" w:pos="5760"/>
        </w:tabs>
        <w:bidi/>
        <w:ind w:left="2160" w:hanging="720"/>
        <w:rPr>
          <w:sz w:val="26"/>
          <w:szCs w:val="26"/>
          <w:rtl/>
          <w:lang w:val="en-US" w:bidi="ar-SA"/>
        </w:rPr>
      </w:pPr>
      <w:r>
        <w:rPr>
          <w:rFonts w:hint="cs"/>
          <w:sz w:val="26"/>
          <w:szCs w:val="26"/>
          <w:rtl/>
          <w:lang w:val="en-US" w:bidi="ar-SA"/>
        </w:rPr>
        <w:t>(5)</w:t>
      </w:r>
      <w:r>
        <w:rPr>
          <w:rFonts w:hint="cs"/>
          <w:sz w:val="26"/>
          <w:szCs w:val="26"/>
          <w:rtl/>
          <w:lang w:val="en-US" w:bidi="ar-SA"/>
        </w:rPr>
        <w:tab/>
      </w:r>
      <w:r w:rsidR="00EF4FE9">
        <w:rPr>
          <w:rFonts w:hint="cs"/>
          <w:sz w:val="26"/>
          <w:szCs w:val="26"/>
          <w:rtl/>
          <w:lang w:val="en-US" w:bidi="ar-SA"/>
        </w:rPr>
        <w:t>أن تتضمن تأكيدا بأنه بمجرد تحديد خط الإنتاج الم</w:t>
      </w:r>
      <w:r w:rsidR="002F1F44">
        <w:rPr>
          <w:rFonts w:hint="cs"/>
          <w:sz w:val="26"/>
          <w:szCs w:val="26"/>
          <w:rtl/>
          <w:lang w:val="en-US" w:bidi="ar-SA"/>
        </w:rPr>
        <w:t>تكامل</w:t>
      </w:r>
      <w:r w:rsidR="00EF4FE9">
        <w:rPr>
          <w:rFonts w:hint="cs"/>
          <w:sz w:val="26"/>
          <w:szCs w:val="26"/>
          <w:rtl/>
          <w:lang w:val="en-US" w:bidi="ar-SA"/>
        </w:rPr>
        <w:t xml:space="preserve"> رأسيا، على المالك أن يحتفظ بسج</w:t>
      </w:r>
      <w:r w:rsidR="002F1F44">
        <w:rPr>
          <w:rFonts w:hint="cs"/>
          <w:sz w:val="26"/>
          <w:szCs w:val="26"/>
          <w:rtl/>
          <w:lang w:val="en-US" w:bidi="ar-SA"/>
        </w:rPr>
        <w:t>لا</w:t>
      </w:r>
      <w:r w:rsidR="00EF4FE9">
        <w:rPr>
          <w:rFonts w:hint="cs"/>
          <w:sz w:val="26"/>
          <w:szCs w:val="26"/>
          <w:rtl/>
          <w:lang w:val="en-US" w:bidi="ar-SA"/>
        </w:rPr>
        <w:t xml:space="preserve">ت ذلك الخط، بما في ذلك </w:t>
      </w:r>
      <w:r w:rsidR="002F1F44">
        <w:rPr>
          <w:rFonts w:hint="cs"/>
          <w:sz w:val="26"/>
          <w:szCs w:val="26"/>
          <w:rtl/>
          <w:lang w:val="en-US" w:bidi="ar-SA"/>
        </w:rPr>
        <w:t>مدخلات و</w:t>
      </w:r>
      <w:r w:rsidR="00EF4FE9">
        <w:rPr>
          <w:rFonts w:hint="cs"/>
          <w:sz w:val="26"/>
          <w:szCs w:val="26"/>
          <w:rtl/>
          <w:lang w:val="en-US" w:bidi="ar-SA"/>
        </w:rPr>
        <w:t xml:space="preserve">مخرجات </w:t>
      </w:r>
      <w:r w:rsidR="002F1F44">
        <w:rPr>
          <w:rFonts w:hint="cs"/>
          <w:sz w:val="26"/>
          <w:szCs w:val="26"/>
          <w:rtl/>
          <w:lang w:val="en-US" w:bidi="ar-SA"/>
        </w:rPr>
        <w:t xml:space="preserve">العمليات </w:t>
      </w:r>
      <w:r w:rsidR="00EF4FE9">
        <w:rPr>
          <w:rFonts w:hint="cs"/>
          <w:sz w:val="26"/>
          <w:szCs w:val="26"/>
          <w:rtl/>
          <w:lang w:val="en-US" w:bidi="ar-SA"/>
        </w:rPr>
        <w:t>وبيانات المشتريات والمبيعات، لمدة ثلاثة سنوات على الأقل؛</w:t>
      </w:r>
    </w:p>
    <w:p w:rsidR="00CD03E9" w:rsidRDefault="00CD03E9" w:rsidP="00DA2902">
      <w:pPr>
        <w:pStyle w:val="StyleHeader4Para4Left0Firstline0"/>
        <w:widowControl/>
        <w:numPr>
          <w:ilvl w:val="0"/>
          <w:numId w:val="0"/>
        </w:numPr>
        <w:tabs>
          <w:tab w:val="clear" w:pos="2880"/>
          <w:tab w:val="clear" w:pos="5760"/>
        </w:tabs>
        <w:bidi/>
        <w:ind w:left="1440" w:hanging="720"/>
        <w:rPr>
          <w:sz w:val="26"/>
          <w:szCs w:val="26"/>
          <w:lang w:val="en-US" w:bidi="ar-SA"/>
        </w:rPr>
      </w:pPr>
      <w:r>
        <w:rPr>
          <w:rFonts w:hint="cs"/>
          <w:sz w:val="26"/>
          <w:szCs w:val="26"/>
          <w:rtl/>
          <w:lang w:val="en-US" w:bidi="ar-SA"/>
        </w:rPr>
        <w:t>(ج)</w:t>
      </w:r>
      <w:r>
        <w:rPr>
          <w:rFonts w:hint="cs"/>
          <w:sz w:val="26"/>
          <w:szCs w:val="26"/>
          <w:rtl/>
          <w:lang w:val="en-US" w:bidi="ar-SA"/>
        </w:rPr>
        <w:tab/>
        <w:t>تحديد، على أساس كل حالة على حدة، التكاليف الإضافية للتحقق من خطوط الإنتاج الإضافية التي لم تنشأ عند وقت الموافقة على خطة إزالة الإنتاج.</w:t>
      </w:r>
    </w:p>
    <w:p w:rsidR="00CD03E9" w:rsidRDefault="00CD03E9" w:rsidP="00DA2902">
      <w:pPr>
        <w:pStyle w:val="StyleHeader4Para4Left0Firstline0"/>
        <w:widowControl/>
        <w:numPr>
          <w:ilvl w:val="0"/>
          <w:numId w:val="0"/>
        </w:numPr>
        <w:tabs>
          <w:tab w:val="clear" w:pos="2880"/>
          <w:tab w:val="clear" w:pos="5760"/>
          <w:tab w:val="left" w:pos="2430"/>
        </w:tabs>
        <w:bidi/>
        <w:rPr>
          <w:sz w:val="26"/>
          <w:szCs w:val="26"/>
          <w:rtl/>
          <w:lang w:val="en-US" w:bidi="ar-SA"/>
        </w:rPr>
      </w:pPr>
      <w:r w:rsidRPr="00B94417">
        <w:rPr>
          <w:rFonts w:hint="eastAsia"/>
          <w:b/>
          <w:bCs/>
          <w:sz w:val="26"/>
          <w:szCs w:val="26"/>
          <w:rtl/>
          <w:lang w:val="en-US" w:bidi="ar-SA"/>
        </w:rPr>
        <w:t>البند</w:t>
      </w:r>
      <w:r w:rsidRPr="00B94417">
        <w:rPr>
          <w:b/>
          <w:bCs/>
          <w:sz w:val="26"/>
          <w:szCs w:val="26"/>
          <w:rtl/>
          <w:lang w:val="en-US" w:bidi="ar-SA"/>
        </w:rPr>
        <w:t xml:space="preserve"> </w:t>
      </w:r>
      <w:r>
        <w:rPr>
          <w:rFonts w:hint="cs"/>
          <w:b/>
          <w:bCs/>
          <w:sz w:val="26"/>
          <w:szCs w:val="26"/>
          <w:rtl/>
          <w:lang w:val="en-US" w:bidi="ar-SA"/>
        </w:rPr>
        <w:t>4</w:t>
      </w:r>
      <w:r w:rsidRPr="00B94417">
        <w:rPr>
          <w:b/>
          <w:bCs/>
          <w:sz w:val="26"/>
          <w:szCs w:val="26"/>
          <w:rtl/>
          <w:lang w:val="en-US" w:bidi="ar-SA"/>
        </w:rPr>
        <w:t xml:space="preserve"> من جدول الأعمال:</w:t>
      </w:r>
      <w:r w:rsidRPr="00CD03E9">
        <w:rPr>
          <w:rFonts w:hint="cs"/>
          <w:b/>
          <w:bCs/>
          <w:sz w:val="26"/>
          <w:szCs w:val="26"/>
          <w:rtl/>
          <w:lang w:val="en-US" w:bidi="ar-SA"/>
        </w:rPr>
        <w:tab/>
        <w:t>قطاع إنتاج المواد الهيدروكلوروفلوروكربونية في الصين</w:t>
      </w:r>
    </w:p>
    <w:p w:rsidR="00CD03E9" w:rsidRPr="00CD03E9" w:rsidRDefault="00CD03E9" w:rsidP="00DA2902">
      <w:pPr>
        <w:pStyle w:val="StyleHeader4Para4Left0Firstline0"/>
        <w:widowControl/>
        <w:numPr>
          <w:ilvl w:val="0"/>
          <w:numId w:val="0"/>
        </w:numPr>
        <w:tabs>
          <w:tab w:val="clear" w:pos="2880"/>
          <w:tab w:val="clear" w:pos="5760"/>
        </w:tabs>
        <w:bidi/>
        <w:ind w:left="720" w:hanging="720"/>
        <w:rPr>
          <w:b/>
          <w:bCs/>
          <w:sz w:val="26"/>
          <w:szCs w:val="26"/>
          <w:lang w:val="en-US" w:bidi="ar-SA"/>
        </w:rPr>
      </w:pPr>
      <w:r w:rsidRPr="00CD03E9">
        <w:rPr>
          <w:rFonts w:hint="cs"/>
          <w:b/>
          <w:bCs/>
          <w:sz w:val="26"/>
          <w:szCs w:val="26"/>
          <w:rtl/>
          <w:lang w:val="en-US" w:bidi="ar-SA"/>
        </w:rPr>
        <w:t>(أ)</w:t>
      </w:r>
      <w:r w:rsidRPr="00CD03E9">
        <w:rPr>
          <w:rFonts w:hint="cs"/>
          <w:b/>
          <w:bCs/>
          <w:sz w:val="26"/>
          <w:szCs w:val="26"/>
          <w:rtl/>
          <w:lang w:val="en-US" w:bidi="ar-SA"/>
        </w:rPr>
        <w:tab/>
        <w:t>المرحلة الأولى من خطة إدارة إزالة إنتاج المواد الهيدروكلوروفلوروكربونية (التقرير المرحلي النهائي)</w:t>
      </w:r>
    </w:p>
    <w:p w:rsidR="00CD03E9" w:rsidRDefault="00010ABC" w:rsidP="002F1F44">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 xml:space="preserve">قدم ممثل الأمانة الوثيقة </w:t>
      </w:r>
      <w:r w:rsidR="00FE2DDE" w:rsidRPr="00FE2DDE">
        <w:rPr>
          <w:sz w:val="24"/>
          <w:szCs w:val="24"/>
        </w:rPr>
        <w:t>UNEP/OzL.Pro/ExCom/83/SGP/3</w:t>
      </w:r>
      <w:r w:rsidRPr="00FE2DDE">
        <w:rPr>
          <w:rFonts w:hint="cs"/>
          <w:sz w:val="24"/>
          <w:szCs w:val="24"/>
          <w:rtl/>
          <w:lang w:val="en-US" w:bidi="ar-SA"/>
        </w:rPr>
        <w:t xml:space="preserve"> </w:t>
      </w:r>
      <w:r>
        <w:rPr>
          <w:rFonts w:hint="cs"/>
          <w:sz w:val="26"/>
          <w:szCs w:val="26"/>
          <w:rtl/>
          <w:lang w:val="en-US" w:bidi="ar-SA"/>
        </w:rPr>
        <w:t xml:space="preserve">وقال إن الجملة الأخيرة من الفقرة 4، ينبغي استبدال عام "2018" بعام "2019". وتمشيا مع المقرر 82/88(هـ)، تحتوي الوثيقة على التقرير المرحلي </w:t>
      </w:r>
      <w:r>
        <w:rPr>
          <w:rFonts w:hint="cs"/>
          <w:sz w:val="26"/>
          <w:szCs w:val="26"/>
          <w:rtl/>
          <w:lang w:val="en-US" w:bidi="ar-SA"/>
        </w:rPr>
        <w:lastRenderedPageBreak/>
        <w:t>النهائي لخطة إدارة إزالة إنتاج المواد الهيدروكلوروفلوروكربونية التي تضمنت تحديثا عن التقدم المحرز بين سبتمبر</w:t>
      </w:r>
      <w:r w:rsidR="002F1F44">
        <w:rPr>
          <w:rFonts w:hint="cs"/>
          <w:sz w:val="26"/>
          <w:szCs w:val="26"/>
          <w:rtl/>
          <w:lang w:val="en-US" w:bidi="ar-SA"/>
        </w:rPr>
        <w:t>/</w:t>
      </w:r>
      <w:r>
        <w:rPr>
          <w:rFonts w:hint="cs"/>
          <w:sz w:val="26"/>
          <w:szCs w:val="26"/>
          <w:rtl/>
          <w:lang w:val="en-US" w:bidi="ar-SA"/>
        </w:rPr>
        <w:t>أيلول 2018 ومارس/آذار 2019.</w:t>
      </w:r>
    </w:p>
    <w:p w:rsidR="00CD03E9" w:rsidRDefault="00FE2DDE" w:rsidP="00DA2902">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 xml:space="preserve">وردا على تساؤل عن رصيد التمويل المتبقي من المرحلة الأولى من خطة إدارة إزالة إنتاج المواد الهيدروكلوروفلوروكربونية، شرح ممثل الأمانة أن الرصيد المتبقي سيتم إعادته إلى الاجتماع الرابع والثمانين. وشرح أيضا أن هناك ثلاث حالات للإنتاج غير المشروع للهيدروكلوروفلوروكربون، وقد تم وصفها بالكامل في الوثيقة </w:t>
      </w:r>
      <w:r w:rsidRPr="00FE2DDE">
        <w:rPr>
          <w:sz w:val="24"/>
          <w:szCs w:val="24"/>
          <w:lang w:val="en-CA"/>
        </w:rPr>
        <w:t>UNEP/O</w:t>
      </w:r>
      <w:bookmarkStart w:id="0" w:name="_GoBack"/>
      <w:bookmarkEnd w:id="0"/>
      <w:r w:rsidRPr="00FE2DDE">
        <w:rPr>
          <w:sz w:val="24"/>
          <w:szCs w:val="24"/>
          <w:lang w:val="en-CA"/>
        </w:rPr>
        <w:t>zL.Pro/ExCom/83/11/Add.1</w:t>
      </w:r>
      <w:r>
        <w:rPr>
          <w:rFonts w:hint="cs"/>
          <w:sz w:val="26"/>
          <w:szCs w:val="26"/>
          <w:rtl/>
          <w:lang w:val="en-US" w:bidi="ar-SA"/>
        </w:rPr>
        <w:t>، كشف عنها من خلال إجراءات الرصد والإنفاذ من جانب مكاتب الإيكولوجيا والبيئة المحلية.</w:t>
      </w:r>
    </w:p>
    <w:p w:rsidR="00CD03E9" w:rsidRDefault="00010ABC" w:rsidP="00DA2902">
      <w:pPr>
        <w:pStyle w:val="StyleHeader4Para4Left0Firstline0"/>
        <w:widowControl/>
        <w:numPr>
          <w:ilvl w:val="0"/>
          <w:numId w:val="25"/>
        </w:numPr>
        <w:tabs>
          <w:tab w:val="clear" w:pos="2880"/>
          <w:tab w:val="clear" w:pos="5760"/>
        </w:tabs>
        <w:bidi/>
        <w:ind w:left="0" w:firstLine="0"/>
        <w:rPr>
          <w:sz w:val="26"/>
          <w:szCs w:val="26"/>
          <w:lang w:val="en-US" w:bidi="ar-SA"/>
        </w:rPr>
      </w:pPr>
      <w:r w:rsidRPr="00010ABC">
        <w:rPr>
          <w:rFonts w:hint="cs"/>
          <w:sz w:val="26"/>
          <w:szCs w:val="26"/>
          <w:u w:val="single"/>
          <w:rtl/>
          <w:lang w:val="en-US" w:bidi="ar-SA"/>
        </w:rPr>
        <w:t>ويوصى</w:t>
      </w:r>
      <w:r>
        <w:rPr>
          <w:rFonts w:hint="cs"/>
          <w:sz w:val="26"/>
          <w:szCs w:val="26"/>
          <w:rtl/>
          <w:lang w:val="en-US" w:bidi="ar-SA"/>
        </w:rPr>
        <w:t xml:space="preserve"> الفريق الفرعي المعني بقطاع الإنتاح اللجنة التنفيذية بما يلي</w:t>
      </w:r>
      <w:r w:rsidR="00EF4FE9">
        <w:rPr>
          <w:rFonts w:hint="cs"/>
          <w:sz w:val="26"/>
          <w:szCs w:val="26"/>
          <w:rtl/>
          <w:lang w:val="en-US" w:bidi="ar-SA"/>
        </w:rPr>
        <w:t>:</w:t>
      </w:r>
    </w:p>
    <w:p w:rsidR="00EF4FE9" w:rsidRDefault="00EF4FE9" w:rsidP="00DA2902">
      <w:pPr>
        <w:pStyle w:val="StyleHeader4Para4Left0Firstline0"/>
        <w:widowControl/>
        <w:numPr>
          <w:ilvl w:val="0"/>
          <w:numId w:val="0"/>
        </w:numPr>
        <w:tabs>
          <w:tab w:val="clear" w:pos="2880"/>
          <w:tab w:val="clear" w:pos="5760"/>
        </w:tabs>
        <w:bidi/>
        <w:ind w:left="1440" w:hanging="720"/>
        <w:rPr>
          <w:sz w:val="26"/>
          <w:szCs w:val="26"/>
          <w:rtl/>
          <w:lang w:val="en-US" w:bidi="ar-SA"/>
        </w:rPr>
      </w:pPr>
      <w:r>
        <w:rPr>
          <w:rFonts w:hint="cs"/>
          <w:sz w:val="26"/>
          <w:szCs w:val="26"/>
          <w:rtl/>
          <w:lang w:val="en-US" w:bidi="ar-SA"/>
        </w:rPr>
        <w:t>(أ)</w:t>
      </w:r>
      <w:r>
        <w:rPr>
          <w:rFonts w:hint="cs"/>
          <w:sz w:val="26"/>
          <w:szCs w:val="26"/>
          <w:rtl/>
          <w:lang w:val="en-US" w:bidi="ar-SA"/>
        </w:rPr>
        <w:tab/>
      </w:r>
      <w:r w:rsidR="00FE2DDE">
        <w:rPr>
          <w:rFonts w:hint="cs"/>
          <w:sz w:val="26"/>
          <w:szCs w:val="26"/>
          <w:rtl/>
          <w:lang w:val="en-US" w:bidi="ar-SA"/>
        </w:rPr>
        <w:t xml:space="preserve">أن تحيط علما بالتقرير المرحلي لتنفيذ المرحلة الأولى من خطة إدارة إزالة إنتاج المواد الهيدروكلوروفلوروكربونية للصين الوارد في الوثيقة </w:t>
      </w:r>
      <w:r w:rsidR="00FE2DDE" w:rsidRPr="00FE2DDE">
        <w:rPr>
          <w:sz w:val="24"/>
          <w:szCs w:val="24"/>
        </w:rPr>
        <w:t>UNEP/OzL.Pro/ExCom/83/SGP/3</w:t>
      </w:r>
      <w:r w:rsidR="00FE2DDE">
        <w:rPr>
          <w:rFonts w:hint="cs"/>
          <w:sz w:val="26"/>
          <w:szCs w:val="26"/>
          <w:rtl/>
          <w:lang w:val="en-US" w:bidi="ar-SA"/>
        </w:rPr>
        <w:t>؛</w:t>
      </w:r>
    </w:p>
    <w:p w:rsidR="00EF4FE9" w:rsidRDefault="00EF4FE9" w:rsidP="00DA2902">
      <w:pPr>
        <w:pStyle w:val="StyleHeader4Para4Left0Firstline0"/>
        <w:widowControl/>
        <w:numPr>
          <w:ilvl w:val="0"/>
          <w:numId w:val="0"/>
        </w:numPr>
        <w:tabs>
          <w:tab w:val="clear" w:pos="2880"/>
          <w:tab w:val="clear" w:pos="5760"/>
        </w:tabs>
        <w:bidi/>
        <w:ind w:left="1440" w:hanging="720"/>
        <w:rPr>
          <w:sz w:val="26"/>
          <w:szCs w:val="26"/>
          <w:rtl/>
          <w:lang w:val="en-US" w:bidi="ar-SA"/>
        </w:rPr>
      </w:pPr>
      <w:r>
        <w:rPr>
          <w:rFonts w:hint="cs"/>
          <w:sz w:val="26"/>
          <w:szCs w:val="26"/>
          <w:rtl/>
          <w:lang w:val="en-US" w:bidi="ar-SA"/>
        </w:rPr>
        <w:t>(ب)</w:t>
      </w:r>
      <w:r>
        <w:rPr>
          <w:rFonts w:hint="cs"/>
          <w:sz w:val="26"/>
          <w:szCs w:val="26"/>
          <w:rtl/>
          <w:lang w:val="en-US" w:bidi="ar-SA"/>
        </w:rPr>
        <w:tab/>
      </w:r>
      <w:r w:rsidR="00FE2DDE">
        <w:rPr>
          <w:rFonts w:hint="cs"/>
          <w:sz w:val="26"/>
          <w:szCs w:val="26"/>
          <w:rtl/>
          <w:lang w:val="en-US" w:bidi="ar-SA"/>
        </w:rPr>
        <w:t>أن تطل</w:t>
      </w:r>
      <w:r w:rsidR="00B371D8">
        <w:rPr>
          <w:rFonts w:hint="cs"/>
          <w:sz w:val="26"/>
          <w:szCs w:val="26"/>
          <w:rtl/>
          <w:lang w:val="en-US" w:bidi="ar-SA"/>
        </w:rPr>
        <w:t>ب</w:t>
      </w:r>
      <w:r w:rsidR="00FE2DDE">
        <w:rPr>
          <w:rFonts w:hint="cs"/>
          <w:sz w:val="26"/>
          <w:szCs w:val="26"/>
          <w:rtl/>
          <w:lang w:val="en-US" w:bidi="ar-SA"/>
        </w:rPr>
        <w:t xml:space="preserve"> إلى حكومة الصين، من خلال البنك الدولي</w:t>
      </w:r>
      <w:r w:rsidR="00010ABC">
        <w:rPr>
          <w:rFonts w:hint="cs"/>
          <w:sz w:val="26"/>
          <w:szCs w:val="26"/>
          <w:rtl/>
          <w:lang w:val="en-US" w:bidi="ar-SA"/>
        </w:rPr>
        <w:t>:</w:t>
      </w:r>
    </w:p>
    <w:p w:rsidR="00010ABC" w:rsidRDefault="00010ABC" w:rsidP="00DA2902">
      <w:pPr>
        <w:pStyle w:val="StyleHeader4Para4Left0Firstline0"/>
        <w:widowControl/>
        <w:numPr>
          <w:ilvl w:val="0"/>
          <w:numId w:val="0"/>
        </w:numPr>
        <w:tabs>
          <w:tab w:val="clear" w:pos="2880"/>
          <w:tab w:val="clear" w:pos="5760"/>
        </w:tabs>
        <w:bidi/>
        <w:ind w:left="2160" w:hanging="720"/>
        <w:rPr>
          <w:sz w:val="26"/>
          <w:szCs w:val="26"/>
          <w:rtl/>
          <w:lang w:val="en-US" w:bidi="ar-SA"/>
        </w:rPr>
      </w:pPr>
      <w:r>
        <w:rPr>
          <w:rFonts w:hint="cs"/>
          <w:sz w:val="26"/>
          <w:szCs w:val="26"/>
          <w:rtl/>
          <w:lang w:val="en-US" w:bidi="ar-SA"/>
        </w:rPr>
        <w:t>(1)</w:t>
      </w:r>
      <w:r>
        <w:rPr>
          <w:rFonts w:hint="cs"/>
          <w:sz w:val="26"/>
          <w:szCs w:val="26"/>
          <w:rtl/>
          <w:lang w:val="en-US" w:bidi="ar-SA"/>
        </w:rPr>
        <w:tab/>
      </w:r>
      <w:r w:rsidR="00FE2DDE">
        <w:rPr>
          <w:rFonts w:hint="cs"/>
          <w:sz w:val="26"/>
          <w:szCs w:val="26"/>
          <w:rtl/>
          <w:lang w:val="en-US" w:bidi="ar-SA"/>
        </w:rPr>
        <w:t>أن تقدم موجزا تنفيذيا للتقرير النهائي عن التحقق من تطبيقات المواد الهيدروكلوروفلوروكربونية للمواد الأولية في الصين في عامي 2014 و2015 باللغة الإنكليزية بحلول 1 يوليه/تموز 2019؛</w:t>
      </w:r>
    </w:p>
    <w:p w:rsidR="00010ABC" w:rsidRDefault="00010ABC" w:rsidP="00DA2902">
      <w:pPr>
        <w:pStyle w:val="StyleHeader4Para4Left0Firstline0"/>
        <w:widowControl/>
        <w:numPr>
          <w:ilvl w:val="0"/>
          <w:numId w:val="0"/>
        </w:numPr>
        <w:tabs>
          <w:tab w:val="clear" w:pos="2880"/>
          <w:tab w:val="clear" w:pos="5760"/>
        </w:tabs>
        <w:bidi/>
        <w:ind w:left="2160" w:hanging="720"/>
        <w:rPr>
          <w:sz w:val="26"/>
          <w:szCs w:val="26"/>
          <w:rtl/>
          <w:lang w:val="en-US" w:bidi="ar-SA"/>
        </w:rPr>
      </w:pPr>
      <w:r>
        <w:rPr>
          <w:rFonts w:hint="cs"/>
          <w:sz w:val="26"/>
          <w:szCs w:val="26"/>
          <w:rtl/>
          <w:lang w:val="en-US" w:bidi="ar-SA"/>
        </w:rPr>
        <w:t>(2)</w:t>
      </w:r>
      <w:r>
        <w:rPr>
          <w:rFonts w:hint="cs"/>
          <w:sz w:val="26"/>
          <w:szCs w:val="26"/>
          <w:rtl/>
          <w:lang w:val="en-US" w:bidi="ar-SA"/>
        </w:rPr>
        <w:tab/>
      </w:r>
      <w:r w:rsidR="00FE2DDE">
        <w:rPr>
          <w:rFonts w:hint="cs"/>
          <w:sz w:val="26"/>
          <w:szCs w:val="26"/>
          <w:rtl/>
          <w:lang w:val="en-US" w:bidi="ar-SA"/>
        </w:rPr>
        <w:t>أن تجري تحقيقا لتطبيقات المواد الهيدروكلوروفلوروكربونية للمواد الأولية في الصين للفترة 2016 إلى 2018 وتقدم التقرير النهائي باللغة الأصلية وموجزا تنفيذيا باللغة الإنكليزية بحلول 15 يناير/كانون الثاني 2020؛</w:t>
      </w:r>
    </w:p>
    <w:p w:rsidR="00EF4FE9" w:rsidRDefault="00EF4FE9" w:rsidP="00DA2902">
      <w:pPr>
        <w:pStyle w:val="StyleHeader4Para4Left0Firstline0"/>
        <w:widowControl/>
        <w:numPr>
          <w:ilvl w:val="0"/>
          <w:numId w:val="0"/>
        </w:numPr>
        <w:tabs>
          <w:tab w:val="clear" w:pos="2880"/>
          <w:tab w:val="clear" w:pos="5760"/>
        </w:tabs>
        <w:bidi/>
        <w:ind w:left="1440" w:hanging="720"/>
        <w:rPr>
          <w:sz w:val="26"/>
          <w:szCs w:val="26"/>
          <w:lang w:val="en-US" w:bidi="ar-SA"/>
        </w:rPr>
      </w:pPr>
      <w:r>
        <w:rPr>
          <w:rFonts w:hint="cs"/>
          <w:sz w:val="26"/>
          <w:szCs w:val="26"/>
          <w:rtl/>
          <w:lang w:val="en-US" w:bidi="ar-SA"/>
        </w:rPr>
        <w:t>(ج)</w:t>
      </w:r>
      <w:r>
        <w:rPr>
          <w:rFonts w:hint="cs"/>
          <w:sz w:val="26"/>
          <w:szCs w:val="26"/>
          <w:rtl/>
          <w:lang w:val="en-US" w:bidi="ar-SA"/>
        </w:rPr>
        <w:tab/>
      </w:r>
      <w:r w:rsidR="00B371D8">
        <w:rPr>
          <w:rFonts w:hint="cs"/>
          <w:sz w:val="26"/>
          <w:szCs w:val="26"/>
          <w:rtl/>
          <w:lang w:val="en-US" w:bidi="ar-SA"/>
        </w:rPr>
        <w:t>أن تطلب إلى الأمانة إعداد وثيقة أولية عن تطبيقات المواد الهيدروكلوروفلوروكربونية للمواد الأولية في الصين لنظر الفريق الفرعي المعني بقطاع الإنتاج في الاجتماع الرابع والثمانين، استنادا إلى التقرير والموجز التنفيذي المشار إليهما في الفقرة الفرعية (ب)(1) أعلاه، ووثيقة نهائية للاجتماع الخامس والثمانين استنادا إلى الوثائق المشار إليها في الفقرة الفرعية (ب) أعلاه.</w:t>
      </w:r>
    </w:p>
    <w:p w:rsidR="00CD03E9" w:rsidRPr="00EF4FE9" w:rsidRDefault="00EF4FE9" w:rsidP="00DA2902">
      <w:pPr>
        <w:pStyle w:val="StyleHeader4Para4Left0Firstline0"/>
        <w:widowControl/>
        <w:numPr>
          <w:ilvl w:val="0"/>
          <w:numId w:val="0"/>
        </w:numPr>
        <w:tabs>
          <w:tab w:val="clear" w:pos="2880"/>
          <w:tab w:val="clear" w:pos="5760"/>
        </w:tabs>
        <w:bidi/>
        <w:ind w:left="720" w:hanging="720"/>
        <w:rPr>
          <w:b/>
          <w:bCs/>
          <w:sz w:val="26"/>
          <w:szCs w:val="26"/>
          <w:lang w:val="en-US" w:bidi="ar-SA"/>
        </w:rPr>
      </w:pPr>
      <w:r w:rsidRPr="00EF4FE9">
        <w:rPr>
          <w:rFonts w:hint="cs"/>
          <w:b/>
          <w:bCs/>
          <w:sz w:val="26"/>
          <w:szCs w:val="26"/>
          <w:rtl/>
          <w:lang w:val="en-US" w:bidi="ar-SA"/>
        </w:rPr>
        <w:t>(ب)</w:t>
      </w:r>
      <w:r w:rsidRPr="00EF4FE9">
        <w:rPr>
          <w:rFonts w:hint="cs"/>
          <w:b/>
          <w:bCs/>
          <w:sz w:val="26"/>
          <w:szCs w:val="26"/>
          <w:rtl/>
          <w:lang w:val="en-US" w:bidi="ar-SA"/>
        </w:rPr>
        <w:tab/>
        <w:t>المرحلة الثانية من خطة إدارة إزالة إنتاج المواد الهيدروكلوروفلوروكربونية (المقرران 81/71 و82/89)</w:t>
      </w:r>
    </w:p>
    <w:p w:rsidR="00CD03E9" w:rsidRDefault="00B371D8" w:rsidP="00DA2902">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 xml:space="preserve">نظرا لعدم إتاحة الوقت الكافي لمناقشة المسألة، </w:t>
      </w:r>
      <w:r w:rsidRPr="00B371D8">
        <w:rPr>
          <w:rFonts w:hint="cs"/>
          <w:sz w:val="26"/>
          <w:szCs w:val="26"/>
          <w:u w:val="single"/>
          <w:rtl/>
          <w:lang w:val="en-US" w:bidi="ar-SA"/>
        </w:rPr>
        <w:t>يوصي</w:t>
      </w:r>
      <w:r>
        <w:rPr>
          <w:rFonts w:hint="cs"/>
          <w:sz w:val="26"/>
          <w:szCs w:val="26"/>
          <w:rtl/>
          <w:lang w:val="en-US" w:bidi="ar-SA"/>
        </w:rPr>
        <w:t xml:space="preserve"> الفريق الفرعي المعني بقطاع الإنتاج أن تؤجل اللجنة التنفيذية نظرها في المرحلة الثانية من خطة إدارة إزالة إنتاج المواد الهيدروكلوروفلوروكربونية للصين إلى اجتماع قادم للجنة التنفيذية</w:t>
      </w:r>
      <w:r w:rsidR="00010ABC">
        <w:rPr>
          <w:rFonts w:hint="cs"/>
          <w:sz w:val="26"/>
          <w:szCs w:val="26"/>
          <w:rtl/>
          <w:lang w:val="en-US" w:bidi="ar-SA"/>
        </w:rPr>
        <w:t>.</w:t>
      </w:r>
    </w:p>
    <w:p w:rsidR="00010ABC" w:rsidRPr="00010ABC" w:rsidRDefault="00010ABC" w:rsidP="00DA2902">
      <w:pPr>
        <w:pStyle w:val="StyleHeader4Para4Left0Firstline0"/>
        <w:widowControl/>
        <w:numPr>
          <w:ilvl w:val="0"/>
          <w:numId w:val="0"/>
        </w:numPr>
        <w:tabs>
          <w:tab w:val="clear" w:pos="2880"/>
          <w:tab w:val="clear" w:pos="5760"/>
          <w:tab w:val="left" w:pos="2430"/>
        </w:tabs>
        <w:bidi/>
        <w:rPr>
          <w:b/>
          <w:bCs/>
          <w:sz w:val="26"/>
          <w:szCs w:val="26"/>
          <w:lang w:val="en-US" w:bidi="ar-SA"/>
        </w:rPr>
      </w:pPr>
      <w:r w:rsidRPr="00010ABC">
        <w:rPr>
          <w:rFonts w:hint="cs"/>
          <w:b/>
          <w:bCs/>
          <w:sz w:val="26"/>
          <w:szCs w:val="26"/>
          <w:rtl/>
          <w:lang w:val="en-US" w:bidi="ar-SA"/>
        </w:rPr>
        <w:t>البند 5 من جدول الأعمال:</w:t>
      </w:r>
      <w:r>
        <w:rPr>
          <w:rFonts w:hint="cs"/>
          <w:b/>
          <w:bCs/>
          <w:sz w:val="26"/>
          <w:szCs w:val="26"/>
          <w:rtl/>
          <w:lang w:val="en-US" w:bidi="ar-SA"/>
        </w:rPr>
        <w:tab/>
      </w:r>
      <w:r w:rsidRPr="00010ABC">
        <w:rPr>
          <w:rFonts w:hint="cs"/>
          <w:b/>
          <w:bCs/>
          <w:sz w:val="26"/>
          <w:szCs w:val="26"/>
          <w:rtl/>
          <w:lang w:val="en-US" w:bidi="ar-SA"/>
        </w:rPr>
        <w:t>المبادئ التوجيهية لقطاع إنتاج المواد الهيدروكلوروفلوروكربونية</w:t>
      </w:r>
    </w:p>
    <w:p w:rsidR="00CD03E9" w:rsidRDefault="00B371D8" w:rsidP="00DA2902">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 xml:space="preserve">نظرا لعدم إتاحة الوقت الكافي لمناقشة المسألة، </w:t>
      </w:r>
      <w:r w:rsidRPr="00B371D8">
        <w:rPr>
          <w:rFonts w:hint="cs"/>
          <w:sz w:val="26"/>
          <w:szCs w:val="26"/>
          <w:u w:val="single"/>
          <w:rtl/>
          <w:lang w:val="en-US" w:bidi="ar-SA"/>
        </w:rPr>
        <w:t>يوصي</w:t>
      </w:r>
      <w:r>
        <w:rPr>
          <w:rFonts w:hint="cs"/>
          <w:sz w:val="26"/>
          <w:szCs w:val="26"/>
          <w:rtl/>
          <w:lang w:val="en-US" w:bidi="ar-SA"/>
        </w:rPr>
        <w:t xml:space="preserve"> الفريق الفرعي المعني بقطاع الإنتاج أن تؤجل اللجنة التنفيذية نظرها في المبادئ التوجيهية لقطاع إنتاج المواد الهيدروكلوروفلوروكربونية إلى اجتماع قادم للجنة التنفيذية.</w:t>
      </w:r>
    </w:p>
    <w:p w:rsidR="00CD03E9" w:rsidRDefault="00010ABC" w:rsidP="00DA2902">
      <w:pPr>
        <w:pStyle w:val="StyleHeader4Para4Left0Firstline0"/>
        <w:widowControl/>
        <w:numPr>
          <w:ilvl w:val="0"/>
          <w:numId w:val="0"/>
        </w:numPr>
        <w:tabs>
          <w:tab w:val="clear" w:pos="2880"/>
          <w:tab w:val="clear" w:pos="5760"/>
          <w:tab w:val="left" w:pos="2430"/>
        </w:tabs>
        <w:bidi/>
        <w:rPr>
          <w:sz w:val="26"/>
          <w:szCs w:val="26"/>
          <w:lang w:val="en-US" w:bidi="ar-SA"/>
        </w:rPr>
      </w:pPr>
      <w:r w:rsidRPr="00010ABC">
        <w:rPr>
          <w:rFonts w:hint="cs"/>
          <w:b/>
          <w:bCs/>
          <w:sz w:val="26"/>
          <w:szCs w:val="26"/>
          <w:rtl/>
          <w:lang w:val="en-US" w:bidi="ar-SA"/>
        </w:rPr>
        <w:t xml:space="preserve">البند </w:t>
      </w:r>
      <w:r>
        <w:rPr>
          <w:rFonts w:hint="cs"/>
          <w:b/>
          <w:bCs/>
          <w:sz w:val="26"/>
          <w:szCs w:val="26"/>
          <w:rtl/>
          <w:lang w:val="en-US" w:bidi="ar-SA"/>
        </w:rPr>
        <w:t>6</w:t>
      </w:r>
      <w:r w:rsidRPr="00010ABC">
        <w:rPr>
          <w:rFonts w:hint="cs"/>
          <w:b/>
          <w:bCs/>
          <w:sz w:val="26"/>
          <w:szCs w:val="26"/>
          <w:rtl/>
          <w:lang w:val="en-US" w:bidi="ar-SA"/>
        </w:rPr>
        <w:t xml:space="preserve"> من جدول الأعمال:</w:t>
      </w:r>
      <w:r>
        <w:rPr>
          <w:rFonts w:hint="cs"/>
          <w:b/>
          <w:bCs/>
          <w:sz w:val="26"/>
          <w:szCs w:val="26"/>
          <w:rtl/>
          <w:lang w:val="en-US" w:bidi="ar-SA"/>
        </w:rPr>
        <w:tab/>
      </w:r>
      <w:r w:rsidRPr="00010ABC">
        <w:rPr>
          <w:rFonts w:hint="cs"/>
          <w:b/>
          <w:bCs/>
          <w:sz w:val="26"/>
          <w:szCs w:val="26"/>
          <w:rtl/>
          <w:lang w:val="en-US" w:bidi="ar-SA"/>
        </w:rPr>
        <w:t>مسائل أخرى</w:t>
      </w:r>
    </w:p>
    <w:p w:rsidR="00010ABC" w:rsidRDefault="00B371D8" w:rsidP="00DA2902">
      <w:pPr>
        <w:pStyle w:val="StyleHeader4Para4Left0Firstline0"/>
        <w:widowControl/>
        <w:numPr>
          <w:ilvl w:val="0"/>
          <w:numId w:val="25"/>
        </w:numPr>
        <w:tabs>
          <w:tab w:val="clear" w:pos="2880"/>
          <w:tab w:val="clear" w:pos="5760"/>
        </w:tabs>
        <w:bidi/>
        <w:ind w:left="0" w:firstLine="0"/>
        <w:rPr>
          <w:sz w:val="26"/>
          <w:szCs w:val="26"/>
          <w:lang w:val="en-US" w:bidi="ar-SA"/>
        </w:rPr>
      </w:pPr>
      <w:r>
        <w:rPr>
          <w:rFonts w:hint="cs"/>
          <w:sz w:val="26"/>
          <w:szCs w:val="26"/>
          <w:rtl/>
          <w:lang w:val="en-US" w:bidi="ar-SA"/>
        </w:rPr>
        <w:t>لم تثار أية مسائل أخرى.</w:t>
      </w:r>
    </w:p>
    <w:p w:rsidR="00010ABC" w:rsidRDefault="00010ABC" w:rsidP="00DA2902">
      <w:pPr>
        <w:pStyle w:val="StyleHeader4Para4Left0Firstline0"/>
        <w:keepNext/>
        <w:widowControl/>
        <w:numPr>
          <w:ilvl w:val="0"/>
          <w:numId w:val="0"/>
        </w:numPr>
        <w:tabs>
          <w:tab w:val="clear" w:pos="2880"/>
          <w:tab w:val="clear" w:pos="5760"/>
          <w:tab w:val="left" w:pos="2430"/>
        </w:tabs>
        <w:bidi/>
        <w:rPr>
          <w:sz w:val="26"/>
          <w:szCs w:val="26"/>
          <w:lang w:val="en-US" w:bidi="ar-SA"/>
        </w:rPr>
      </w:pPr>
      <w:r w:rsidRPr="00010ABC">
        <w:rPr>
          <w:rFonts w:hint="cs"/>
          <w:b/>
          <w:bCs/>
          <w:sz w:val="26"/>
          <w:szCs w:val="26"/>
          <w:rtl/>
          <w:lang w:val="en-US" w:bidi="ar-SA"/>
        </w:rPr>
        <w:lastRenderedPageBreak/>
        <w:t xml:space="preserve">البند </w:t>
      </w:r>
      <w:r>
        <w:rPr>
          <w:rFonts w:hint="cs"/>
          <w:b/>
          <w:bCs/>
          <w:sz w:val="26"/>
          <w:szCs w:val="26"/>
          <w:rtl/>
          <w:lang w:val="en-US" w:bidi="ar-SA"/>
        </w:rPr>
        <w:t>7</w:t>
      </w:r>
      <w:r w:rsidRPr="00010ABC">
        <w:rPr>
          <w:rFonts w:hint="cs"/>
          <w:b/>
          <w:bCs/>
          <w:sz w:val="26"/>
          <w:szCs w:val="26"/>
          <w:rtl/>
          <w:lang w:val="en-US" w:bidi="ar-SA"/>
        </w:rPr>
        <w:t xml:space="preserve"> من جدول الأعمال:</w:t>
      </w:r>
      <w:r>
        <w:rPr>
          <w:rFonts w:hint="cs"/>
          <w:b/>
          <w:bCs/>
          <w:sz w:val="26"/>
          <w:szCs w:val="26"/>
          <w:rtl/>
          <w:lang w:val="en-US" w:bidi="ar-SA"/>
        </w:rPr>
        <w:tab/>
        <w:t>اعتماد التقرير</w:t>
      </w:r>
    </w:p>
    <w:p w:rsidR="00010ABC" w:rsidRPr="00B94417" w:rsidRDefault="00010ABC" w:rsidP="00DA2902">
      <w:pPr>
        <w:pStyle w:val="StyleHeader4Para4Left0Firstline0"/>
        <w:widowControl/>
        <w:numPr>
          <w:ilvl w:val="0"/>
          <w:numId w:val="25"/>
        </w:numPr>
        <w:tabs>
          <w:tab w:val="clear" w:pos="2880"/>
          <w:tab w:val="clear" w:pos="5760"/>
        </w:tabs>
        <w:bidi/>
        <w:ind w:left="0" w:firstLine="0"/>
        <w:rPr>
          <w:sz w:val="26"/>
          <w:szCs w:val="26"/>
          <w:lang w:val="en-US" w:bidi="ar-SA"/>
        </w:rPr>
      </w:pPr>
      <w:r w:rsidRPr="00B94417">
        <w:rPr>
          <w:sz w:val="26"/>
          <w:szCs w:val="26"/>
          <w:rtl/>
          <w:lang w:val="en-US" w:bidi="ar-SA"/>
        </w:rPr>
        <w:t>استعرض الميسر هذا التقرير.</w:t>
      </w:r>
    </w:p>
    <w:p w:rsidR="00010ABC" w:rsidRPr="00B94417" w:rsidRDefault="00010ABC" w:rsidP="00DA2902">
      <w:pPr>
        <w:pStyle w:val="StyleHeader4Para4Left0Firstline0"/>
        <w:widowControl/>
        <w:numPr>
          <w:ilvl w:val="0"/>
          <w:numId w:val="0"/>
        </w:numPr>
        <w:tabs>
          <w:tab w:val="clear" w:pos="2880"/>
          <w:tab w:val="clear" w:pos="5760"/>
          <w:tab w:val="left" w:pos="2430"/>
        </w:tabs>
        <w:bidi/>
        <w:rPr>
          <w:b/>
          <w:bCs/>
          <w:sz w:val="26"/>
          <w:szCs w:val="26"/>
          <w:lang w:val="en-US" w:bidi="ar-SA"/>
        </w:rPr>
      </w:pPr>
      <w:r w:rsidRPr="00B94417">
        <w:rPr>
          <w:b/>
          <w:bCs/>
          <w:sz w:val="26"/>
          <w:szCs w:val="26"/>
          <w:rtl/>
          <w:lang w:val="en-US" w:bidi="ar-SA"/>
        </w:rPr>
        <w:t xml:space="preserve">البند </w:t>
      </w:r>
      <w:r>
        <w:rPr>
          <w:rFonts w:hint="cs"/>
          <w:b/>
          <w:bCs/>
          <w:sz w:val="26"/>
          <w:szCs w:val="26"/>
          <w:rtl/>
          <w:lang w:val="en-US" w:bidi="ar-SA"/>
        </w:rPr>
        <w:t>8</w:t>
      </w:r>
      <w:r w:rsidRPr="00B94417">
        <w:rPr>
          <w:b/>
          <w:bCs/>
          <w:sz w:val="26"/>
          <w:szCs w:val="26"/>
          <w:rtl/>
          <w:lang w:val="en-US" w:bidi="ar-SA"/>
        </w:rPr>
        <w:t xml:space="preserve"> من جدول الأعمال:</w:t>
      </w:r>
      <w:r>
        <w:rPr>
          <w:rFonts w:hint="cs"/>
          <w:b/>
          <w:bCs/>
          <w:sz w:val="26"/>
          <w:szCs w:val="26"/>
          <w:rtl/>
          <w:lang w:val="en-US" w:bidi="ar-SA"/>
        </w:rPr>
        <w:tab/>
      </w:r>
      <w:r w:rsidRPr="00B94417">
        <w:rPr>
          <w:rFonts w:hint="cs"/>
          <w:b/>
          <w:bCs/>
          <w:sz w:val="26"/>
          <w:szCs w:val="26"/>
          <w:rtl/>
          <w:lang w:val="en-US" w:bidi="ar-SA"/>
        </w:rPr>
        <w:t>الاختتام</w:t>
      </w:r>
    </w:p>
    <w:p w:rsidR="00010ABC" w:rsidRDefault="00010ABC" w:rsidP="003C2BCE">
      <w:pPr>
        <w:pStyle w:val="StyleHeader4Para4Left0Firstline0"/>
        <w:widowControl/>
        <w:numPr>
          <w:ilvl w:val="0"/>
          <w:numId w:val="25"/>
        </w:numPr>
        <w:tabs>
          <w:tab w:val="clear" w:pos="2880"/>
          <w:tab w:val="clear" w:pos="5760"/>
        </w:tabs>
        <w:bidi/>
        <w:ind w:left="0" w:firstLine="0"/>
        <w:rPr>
          <w:sz w:val="26"/>
          <w:szCs w:val="26"/>
          <w:lang w:val="en-US" w:bidi="ar-SA"/>
        </w:rPr>
      </w:pPr>
      <w:r w:rsidRPr="00B94417">
        <w:rPr>
          <w:sz w:val="26"/>
          <w:szCs w:val="26"/>
          <w:rtl/>
          <w:lang w:val="en-US" w:bidi="ar-SA"/>
        </w:rPr>
        <w:t xml:space="preserve">اختتم اجتماع الفريق الفرعي </w:t>
      </w:r>
      <w:r>
        <w:rPr>
          <w:rFonts w:hint="cs"/>
          <w:sz w:val="26"/>
          <w:szCs w:val="26"/>
          <w:rtl/>
          <w:lang w:val="en-US" w:bidi="ar-SA"/>
        </w:rPr>
        <w:t xml:space="preserve">المعني بقطاع الإنتاج </w:t>
      </w:r>
      <w:r w:rsidRPr="00B94417">
        <w:rPr>
          <w:sz w:val="26"/>
          <w:szCs w:val="26"/>
          <w:rtl/>
          <w:lang w:val="en-US" w:bidi="ar-SA"/>
        </w:rPr>
        <w:t>في الساعة</w:t>
      </w:r>
      <w:r>
        <w:rPr>
          <w:rFonts w:hint="cs"/>
          <w:sz w:val="26"/>
          <w:szCs w:val="26"/>
          <w:rtl/>
          <w:lang w:val="en-US" w:bidi="ar-EG"/>
        </w:rPr>
        <w:t xml:space="preserve"> 9:35 مساء يوم 30 مايو/ أيار 201</w:t>
      </w:r>
      <w:r w:rsidR="003C2BCE">
        <w:rPr>
          <w:rFonts w:hint="cs"/>
          <w:sz w:val="26"/>
          <w:szCs w:val="26"/>
          <w:rtl/>
          <w:lang w:val="en-US" w:bidi="ar-EG"/>
        </w:rPr>
        <w:t>9</w:t>
      </w:r>
      <w:r>
        <w:rPr>
          <w:rFonts w:hint="cs"/>
          <w:sz w:val="26"/>
          <w:szCs w:val="26"/>
          <w:rtl/>
          <w:lang w:val="en-US" w:bidi="ar-EG"/>
        </w:rPr>
        <w:t>.</w:t>
      </w:r>
    </w:p>
    <w:p w:rsidR="007E5D09" w:rsidRDefault="007E5D09">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E5D09">
        <w:tc>
          <w:tcPr>
            <w:tcW w:w="1915" w:type="dxa"/>
          </w:tcPr>
          <w:p w:rsidR="007E5D09" w:rsidRDefault="007E5D09">
            <w:pPr>
              <w:rPr>
                <w:lang w:val="en-CA"/>
              </w:rPr>
            </w:pPr>
          </w:p>
        </w:tc>
        <w:tc>
          <w:tcPr>
            <w:tcW w:w="1915" w:type="dxa"/>
          </w:tcPr>
          <w:p w:rsidR="007E5D09" w:rsidRDefault="007E5D09">
            <w:pPr>
              <w:rPr>
                <w:lang w:val="en-CA"/>
              </w:rPr>
            </w:pPr>
          </w:p>
        </w:tc>
        <w:tc>
          <w:tcPr>
            <w:tcW w:w="1915" w:type="dxa"/>
            <w:tcBorders>
              <w:bottom w:val="single" w:sz="4" w:space="0" w:color="auto"/>
            </w:tcBorders>
          </w:tcPr>
          <w:p w:rsidR="007E5D09" w:rsidRDefault="007E5D09">
            <w:pPr>
              <w:rPr>
                <w:b/>
                <w:bCs/>
                <w:lang w:val="en-CA"/>
              </w:rPr>
            </w:pPr>
          </w:p>
        </w:tc>
        <w:tc>
          <w:tcPr>
            <w:tcW w:w="1915" w:type="dxa"/>
          </w:tcPr>
          <w:p w:rsidR="007E5D09" w:rsidRDefault="007E5D09">
            <w:pPr>
              <w:rPr>
                <w:lang w:val="en-CA"/>
              </w:rPr>
            </w:pPr>
          </w:p>
        </w:tc>
        <w:tc>
          <w:tcPr>
            <w:tcW w:w="1916" w:type="dxa"/>
          </w:tcPr>
          <w:p w:rsidR="007E5D09" w:rsidRDefault="007E5D09">
            <w:pPr>
              <w:rPr>
                <w:lang w:val="en-CA"/>
              </w:rPr>
            </w:pPr>
          </w:p>
        </w:tc>
      </w:tr>
    </w:tbl>
    <w:p w:rsidR="007E5D09" w:rsidRDefault="007E5D09">
      <w:pPr>
        <w:rPr>
          <w:rtl/>
          <w:lang w:val="en-CA"/>
        </w:rPr>
      </w:pPr>
    </w:p>
    <w:sectPr w:rsidR="007E5D09" w:rsidSect="002240F2">
      <w:footnotePr>
        <w:numFmt w:val="chicago"/>
      </w:footnotePr>
      <w:type w:val="continuous"/>
      <w:pgSz w:w="12240" w:h="15840" w:code="1"/>
      <w:pgMar w:top="720" w:right="1440" w:bottom="864" w:left="1440" w:header="720" w:footer="47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65" w:rsidRDefault="00C63D65">
      <w:r>
        <w:separator/>
      </w:r>
    </w:p>
  </w:endnote>
  <w:endnote w:type="continuationSeparator" w:id="0">
    <w:p w:rsidR="00C63D65" w:rsidRDefault="00C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80000000" w:usb2="00000008" w:usb3="00000000" w:csb0="00000041" w:csb1="00000000"/>
  </w:font>
  <w:font w:name="Akhbar M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E9" w:rsidRDefault="000D01DB" w:rsidP="00DA2902">
    <w:pPr>
      <w:jc w:val="center"/>
    </w:pPr>
    <w:r>
      <w:fldChar w:fldCharType="begin"/>
    </w:r>
    <w:r>
      <w:instrText xml:space="preserve"> PAGE </w:instrText>
    </w:r>
    <w:r>
      <w:fldChar w:fldCharType="separate"/>
    </w:r>
    <w:r w:rsidR="00EF178B">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4995"/>
      <w:docPartObj>
        <w:docPartGallery w:val="Page Numbers (Bottom of Page)"/>
        <w:docPartUnique/>
      </w:docPartObj>
    </w:sdtPr>
    <w:sdtEndPr/>
    <w:sdtContent>
      <w:p w:rsidR="00EF4FE9" w:rsidRDefault="000D01DB" w:rsidP="00845789">
        <w:pPr>
          <w:pStyle w:val="Footer"/>
          <w:jc w:val="center"/>
        </w:pPr>
        <w:r>
          <w:fldChar w:fldCharType="begin"/>
        </w:r>
        <w:r>
          <w:instrText xml:space="preserve"> PAGE   \* MERGEFORMAT </w:instrText>
        </w:r>
        <w:r>
          <w:fldChar w:fldCharType="separate"/>
        </w:r>
        <w:r w:rsidR="00EF178B">
          <w:rPr>
            <w:noProof/>
          </w:rPr>
          <w:t>3</w:t>
        </w:r>
        <w:r>
          <w:rPr>
            <w:noProof/>
          </w:rPr>
          <w:fldChar w:fldCharType="end"/>
        </w:r>
      </w:p>
      <w:p w:rsidR="00EF4FE9" w:rsidRPr="00845789" w:rsidRDefault="00EF178B" w:rsidP="00845789">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65" w:rsidRDefault="00C63D65" w:rsidP="002240F2">
      <w:pPr>
        <w:bidi/>
      </w:pPr>
      <w:r>
        <w:separator/>
      </w:r>
    </w:p>
  </w:footnote>
  <w:footnote w:type="continuationSeparator" w:id="0">
    <w:p w:rsidR="00C63D65" w:rsidRDefault="00C63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E9" w:rsidRDefault="0065505F" w:rsidP="00F66FEB">
    <w:pPr>
      <w:jc w:val="right"/>
    </w:pPr>
    <w:r>
      <w:fldChar w:fldCharType="begin"/>
    </w:r>
    <w:r w:rsidR="00EF4FE9">
      <w:instrText xml:space="preserve"> DOCPROPERTY "Document number"  \* MERGEFORMAT </w:instrText>
    </w:r>
    <w:r>
      <w:fldChar w:fldCharType="separate"/>
    </w:r>
    <w:r w:rsidR="00EF4FE9" w:rsidRPr="00897BB9">
      <w:t>UNEP/OzL.Pro/ExCom/83/47</w:t>
    </w:r>
    <w:r>
      <w:fldChar w:fldCharType="end"/>
    </w:r>
  </w:p>
  <w:p w:rsidR="00EF4FE9" w:rsidRDefault="00EF4FE9"/>
  <w:p w:rsidR="00EF4FE9" w:rsidRDefault="00EF4FE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E9" w:rsidRDefault="0065505F" w:rsidP="00845789">
    <w:pPr>
      <w:jc w:val="left"/>
    </w:pPr>
    <w:r>
      <w:fldChar w:fldCharType="begin"/>
    </w:r>
    <w:r w:rsidR="00EF4FE9">
      <w:instrText xml:space="preserve"> DOCPROPERTY "Document number"  \* MERGEFORMAT </w:instrText>
    </w:r>
    <w:r>
      <w:fldChar w:fldCharType="separate"/>
    </w:r>
    <w:r w:rsidR="00EF4FE9" w:rsidRPr="00897BB9">
      <w:t>UNEP/OzL.Pro/ExCom/83/47</w:t>
    </w:r>
    <w:r>
      <w:fldChar w:fldCharType="end"/>
    </w:r>
  </w:p>
  <w:p w:rsidR="00EF4FE9" w:rsidRDefault="00EF4FE9"/>
  <w:p w:rsidR="00EF4FE9" w:rsidRDefault="00EF4F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E9" w:rsidRDefault="00EF4FE9"/>
  <w:p w:rsidR="00EF4FE9" w:rsidRDefault="00EF4F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ADA1EC8"/>
    <w:lvl w:ilvl="0">
      <w:start w:val="1"/>
      <w:numFmt w:val="decimal"/>
      <w:pStyle w:val="Heading1"/>
      <w:lvlText w:val="%1."/>
      <w:lvlJc w:val="left"/>
      <w:pPr>
        <w:tabs>
          <w:tab w:val="num" w:pos="0"/>
        </w:tabs>
        <w:ind w:left="0" w:firstLine="0"/>
      </w:pPr>
    </w:lvl>
    <w:lvl w:ilvl="1">
      <w:start w:val="1"/>
      <w:numFmt w:val="arabicAlpha"/>
      <w:pStyle w:val="Heading2"/>
      <w:lvlText w:val="(%2)"/>
      <w:lvlJc w:val="left"/>
      <w:pPr>
        <w:tabs>
          <w:tab w:val="num" w:pos="0"/>
        </w:tabs>
        <w:ind w:left="1440" w:hanging="720"/>
      </w:pPr>
      <w:rPr>
        <w:rFonts w:hint="default"/>
        <w:sz w:val="26"/>
        <w:szCs w:val="26"/>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ED0647"/>
    <w:multiLevelType w:val="hybridMultilevel"/>
    <w:tmpl w:val="02862E7A"/>
    <w:lvl w:ilvl="0" w:tplc="D43454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6FC736A"/>
    <w:multiLevelType w:val="hybridMultilevel"/>
    <w:tmpl w:val="DE6C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363DE3"/>
    <w:multiLevelType w:val="hybridMultilevel"/>
    <w:tmpl w:val="9B187EB4"/>
    <w:lvl w:ilvl="0" w:tplc="71844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900D88"/>
    <w:multiLevelType w:val="hybridMultilevel"/>
    <w:tmpl w:val="98824982"/>
    <w:lvl w:ilvl="0" w:tplc="6E24FAF6">
      <w:start w:val="1"/>
      <w:numFmt w:val="arabicAlpha"/>
      <w:lvlText w:val="(%1)"/>
      <w:lvlJc w:val="left"/>
      <w:pPr>
        <w:ind w:left="2160" w:hanging="720"/>
      </w:pPr>
      <w:rPr>
        <w:rFonts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20"/>
  </w:num>
  <w:num w:numId="19">
    <w:abstractNumId w:val="21"/>
  </w:num>
  <w:num w:numId="20">
    <w:abstractNumId w:val="17"/>
  </w:num>
  <w:num w:numId="21">
    <w:abstractNumId w:val="11"/>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2"/>
  </w:num>
  <w:num w:numId="26">
    <w:abstractNumId w:val="16"/>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rawingGridHorizontalSpacing w:val="12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852696"/>
    <w:rsid w:val="00010ABC"/>
    <w:rsid w:val="00013372"/>
    <w:rsid w:val="0004254A"/>
    <w:rsid w:val="000C2FE8"/>
    <w:rsid w:val="000C3FD5"/>
    <w:rsid w:val="000D01DB"/>
    <w:rsid w:val="001A0569"/>
    <w:rsid w:val="0020270F"/>
    <w:rsid w:val="002240F2"/>
    <w:rsid w:val="002F1F44"/>
    <w:rsid w:val="002F505F"/>
    <w:rsid w:val="003541A3"/>
    <w:rsid w:val="00380B0B"/>
    <w:rsid w:val="00397D60"/>
    <w:rsid w:val="003C2BCE"/>
    <w:rsid w:val="003F2852"/>
    <w:rsid w:val="003F43D2"/>
    <w:rsid w:val="004407C5"/>
    <w:rsid w:val="00461705"/>
    <w:rsid w:val="004C5B74"/>
    <w:rsid w:val="004E0259"/>
    <w:rsid w:val="00537358"/>
    <w:rsid w:val="005C37D5"/>
    <w:rsid w:val="005E3F08"/>
    <w:rsid w:val="005F52A1"/>
    <w:rsid w:val="0065505F"/>
    <w:rsid w:val="00662A73"/>
    <w:rsid w:val="006D45EB"/>
    <w:rsid w:val="00786775"/>
    <w:rsid w:val="007E5D09"/>
    <w:rsid w:val="0080327F"/>
    <w:rsid w:val="00821CAA"/>
    <w:rsid w:val="00845789"/>
    <w:rsid w:val="00852696"/>
    <w:rsid w:val="008C46E3"/>
    <w:rsid w:val="00997555"/>
    <w:rsid w:val="009D1E59"/>
    <w:rsid w:val="00A44778"/>
    <w:rsid w:val="00AB4886"/>
    <w:rsid w:val="00B11DB6"/>
    <w:rsid w:val="00B371D8"/>
    <w:rsid w:val="00B40E87"/>
    <w:rsid w:val="00B42B2A"/>
    <w:rsid w:val="00B81E83"/>
    <w:rsid w:val="00B960AE"/>
    <w:rsid w:val="00C0749D"/>
    <w:rsid w:val="00C63D65"/>
    <w:rsid w:val="00CD03E9"/>
    <w:rsid w:val="00D23879"/>
    <w:rsid w:val="00DA2902"/>
    <w:rsid w:val="00E1360E"/>
    <w:rsid w:val="00E7182A"/>
    <w:rsid w:val="00EC108E"/>
    <w:rsid w:val="00EF178B"/>
    <w:rsid w:val="00EF4FE9"/>
    <w:rsid w:val="00F27761"/>
    <w:rsid w:val="00F66FEB"/>
    <w:rsid w:val="00F7289B"/>
    <w:rsid w:val="00F961CF"/>
    <w:rsid w:val="00FB5D69"/>
    <w:rsid w:val="00FD51BE"/>
    <w:rsid w:val="00FE2DDE"/>
    <w:rsid w:val="00FF4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5F30E1FE-4A55-4354-AB75-7EE333FA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59"/>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4E0259"/>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rsid w:val="004E0259"/>
    <w:pPr>
      <w:widowControl w:val="0"/>
      <w:numPr>
        <w:ilvl w:val="1"/>
        <w:numId w:val="1"/>
      </w:numPr>
      <w:spacing w:after="240"/>
      <w:outlineLvl w:val="1"/>
    </w:pPr>
  </w:style>
  <w:style w:type="paragraph" w:styleId="Heading3">
    <w:name w:val="heading 3"/>
    <w:aliases w:val="Char"/>
    <w:basedOn w:val="Normal"/>
    <w:next w:val="Normal"/>
    <w:qFormat/>
    <w:rsid w:val="004E0259"/>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4E0259"/>
    <w:pPr>
      <w:keepNext/>
      <w:numPr>
        <w:ilvl w:val="3"/>
        <w:numId w:val="1"/>
      </w:numPr>
      <w:spacing w:before="240" w:after="60"/>
      <w:outlineLvl w:val="3"/>
    </w:pPr>
  </w:style>
  <w:style w:type="paragraph" w:styleId="Heading5">
    <w:name w:val="heading 5"/>
    <w:basedOn w:val="Normal"/>
    <w:next w:val="Normal"/>
    <w:qFormat/>
    <w:rsid w:val="004E0259"/>
    <w:pPr>
      <w:keepNext/>
      <w:numPr>
        <w:numId w:val="20"/>
      </w:numPr>
      <w:spacing w:after="240"/>
      <w:ind w:left="3600" w:hanging="720"/>
      <w:outlineLvl w:val="4"/>
    </w:pPr>
  </w:style>
  <w:style w:type="paragraph" w:styleId="Heading6">
    <w:name w:val="heading 6"/>
    <w:basedOn w:val="Normal"/>
    <w:next w:val="Normal"/>
    <w:qFormat/>
    <w:rsid w:val="004E0259"/>
    <w:pPr>
      <w:numPr>
        <w:ilvl w:val="5"/>
        <w:numId w:val="1"/>
      </w:numPr>
      <w:spacing w:before="240" w:after="60"/>
      <w:outlineLvl w:val="5"/>
    </w:pPr>
    <w:rPr>
      <w:rFonts w:ascii="Arial" w:hAnsi="Arial"/>
      <w:i/>
    </w:rPr>
  </w:style>
  <w:style w:type="paragraph" w:styleId="Heading7">
    <w:name w:val="heading 7"/>
    <w:basedOn w:val="Normal"/>
    <w:next w:val="Normal"/>
    <w:qFormat/>
    <w:rsid w:val="004E0259"/>
    <w:pPr>
      <w:numPr>
        <w:ilvl w:val="6"/>
        <w:numId w:val="1"/>
      </w:numPr>
      <w:spacing w:before="240" w:after="60"/>
      <w:outlineLvl w:val="6"/>
    </w:pPr>
    <w:rPr>
      <w:rFonts w:ascii="Arial" w:hAnsi="Arial"/>
    </w:rPr>
  </w:style>
  <w:style w:type="paragraph" w:styleId="Heading8">
    <w:name w:val="heading 8"/>
    <w:basedOn w:val="Normal"/>
    <w:next w:val="Normal"/>
    <w:qFormat/>
    <w:rsid w:val="004E0259"/>
    <w:pPr>
      <w:outlineLvl w:val="7"/>
    </w:pPr>
    <w:rPr>
      <w:b/>
    </w:rPr>
  </w:style>
  <w:style w:type="paragraph" w:styleId="Heading9">
    <w:name w:val="heading 9"/>
    <w:basedOn w:val="Normal"/>
    <w:next w:val="Normal"/>
    <w:qFormat/>
    <w:rsid w:val="004E025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E0259"/>
    <w:pPr>
      <w:numPr>
        <w:numId w:val="16"/>
      </w:numPr>
    </w:pPr>
  </w:style>
  <w:style w:type="paragraph" w:styleId="Header">
    <w:name w:val="header"/>
    <w:basedOn w:val="Normal"/>
    <w:rsid w:val="004E0259"/>
    <w:pPr>
      <w:tabs>
        <w:tab w:val="center" w:pos="4320"/>
        <w:tab w:val="right" w:pos="8640"/>
      </w:tabs>
    </w:pPr>
  </w:style>
  <w:style w:type="paragraph" w:customStyle="1" w:styleId="sub-title">
    <w:name w:val="sub-title"/>
    <w:rsid w:val="004E0259"/>
    <w:pPr>
      <w:jc w:val="both"/>
      <w:outlineLvl w:val="0"/>
    </w:pPr>
    <w:rPr>
      <w:b/>
      <w:noProof/>
      <w:sz w:val="22"/>
      <w:szCs w:val="22"/>
    </w:rPr>
  </w:style>
  <w:style w:type="paragraph" w:customStyle="1" w:styleId="Title1">
    <w:name w:val="Title1"/>
    <w:rsid w:val="004E0259"/>
    <w:pPr>
      <w:jc w:val="center"/>
      <w:outlineLvl w:val="0"/>
    </w:pPr>
    <w:rPr>
      <w:b/>
      <w:caps/>
      <w:sz w:val="22"/>
      <w:szCs w:val="22"/>
      <w:lang w:val="en-GB"/>
    </w:rPr>
  </w:style>
  <w:style w:type="paragraph" w:customStyle="1" w:styleId="Decision">
    <w:name w:val="Decision"/>
    <w:basedOn w:val="Normal"/>
    <w:rsid w:val="004E0259"/>
    <w:pPr>
      <w:keepLines/>
      <w:jc w:val="right"/>
    </w:pPr>
    <w:rPr>
      <w:b/>
    </w:rPr>
  </w:style>
  <w:style w:type="paragraph" w:customStyle="1" w:styleId="0Heading0">
    <w:name w:val="0 Heading 0"/>
    <w:uiPriority w:val="99"/>
    <w:rsid w:val="004E0259"/>
    <w:rPr>
      <w:sz w:val="22"/>
      <w:szCs w:val="22"/>
      <w:lang w:val="en-GB"/>
    </w:rPr>
  </w:style>
  <w:style w:type="paragraph" w:styleId="Footer">
    <w:name w:val="footer"/>
    <w:basedOn w:val="Normal"/>
    <w:link w:val="FooterChar"/>
    <w:uiPriority w:val="99"/>
    <w:rsid w:val="004E0259"/>
    <w:pPr>
      <w:tabs>
        <w:tab w:val="center" w:pos="4320"/>
        <w:tab w:val="right" w:pos="8640"/>
      </w:tabs>
    </w:pPr>
  </w:style>
  <w:style w:type="numbering" w:styleId="1ai">
    <w:name w:val="Outline List 1"/>
    <w:basedOn w:val="NoList"/>
    <w:semiHidden/>
    <w:rsid w:val="004E0259"/>
    <w:pPr>
      <w:numPr>
        <w:numId w:val="17"/>
      </w:numPr>
    </w:pPr>
  </w:style>
  <w:style w:type="numbering" w:styleId="ArticleSection">
    <w:name w:val="Outline List 3"/>
    <w:basedOn w:val="NoList"/>
    <w:semiHidden/>
    <w:rsid w:val="004E0259"/>
    <w:pPr>
      <w:numPr>
        <w:numId w:val="18"/>
      </w:numPr>
    </w:pPr>
  </w:style>
  <w:style w:type="paragraph" w:styleId="BlockText">
    <w:name w:val="Block Text"/>
    <w:basedOn w:val="Normal"/>
    <w:semiHidden/>
    <w:rsid w:val="004E0259"/>
    <w:pPr>
      <w:spacing w:after="120"/>
      <w:ind w:left="1440" w:right="1440"/>
    </w:pPr>
  </w:style>
  <w:style w:type="paragraph" w:styleId="BodyText3">
    <w:name w:val="Body Text 3"/>
    <w:basedOn w:val="Normal"/>
    <w:semiHidden/>
    <w:rsid w:val="004E0259"/>
    <w:pPr>
      <w:spacing w:after="120"/>
    </w:pPr>
    <w:rPr>
      <w:sz w:val="16"/>
      <w:szCs w:val="16"/>
    </w:rPr>
  </w:style>
  <w:style w:type="paragraph" w:styleId="BodyTextIndent3">
    <w:name w:val="Body Text Indent 3"/>
    <w:basedOn w:val="Normal"/>
    <w:semiHidden/>
    <w:rsid w:val="004E0259"/>
    <w:pPr>
      <w:spacing w:after="120"/>
      <w:ind w:left="360"/>
    </w:pPr>
    <w:rPr>
      <w:sz w:val="16"/>
      <w:szCs w:val="16"/>
    </w:rPr>
  </w:style>
  <w:style w:type="paragraph" w:styleId="PlainText">
    <w:name w:val="Plain Text"/>
    <w:basedOn w:val="Normal"/>
    <w:semiHidden/>
    <w:rsid w:val="004E0259"/>
    <w:rPr>
      <w:rFonts w:ascii="Courier New" w:hAnsi="Courier New" w:cs="Courier New"/>
      <w:sz w:val="20"/>
    </w:rPr>
  </w:style>
  <w:style w:type="table" w:styleId="Table3Deffects1">
    <w:name w:val="Table 3D effects 1"/>
    <w:basedOn w:val="TableNormal"/>
    <w:semiHidden/>
    <w:rsid w:val="004E025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E025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E025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E025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E025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E025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E025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E025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E025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E025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E025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E025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E025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E025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E025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E025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E025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E02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E025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E025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E025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E025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E025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E025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E025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E025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E025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E025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E025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E025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E025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E025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E025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E025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E025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E025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E025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E025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E025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E025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E02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E025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E025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E025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4E0259"/>
    <w:rPr>
      <w:sz w:val="24"/>
      <w:lang w:val="en-GB" w:bidi="ar-DZ"/>
    </w:rPr>
  </w:style>
  <w:style w:type="paragraph" w:customStyle="1" w:styleId="Header4">
    <w:name w:val="Header4"/>
    <w:aliases w:val="Para 4"/>
    <w:basedOn w:val="Normal"/>
    <w:next w:val="Normal"/>
    <w:rsid w:val="004E0259"/>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4E0259"/>
    <w:rPr>
      <w:sz w:val="16"/>
      <w:szCs w:val="16"/>
    </w:rPr>
  </w:style>
  <w:style w:type="paragraph" w:styleId="Subtitle">
    <w:name w:val="Subtitle"/>
    <w:basedOn w:val="Normal"/>
    <w:qFormat/>
    <w:rsid w:val="004E0259"/>
    <w:pPr>
      <w:spacing w:after="60"/>
      <w:jc w:val="center"/>
      <w:outlineLvl w:val="1"/>
    </w:pPr>
    <w:rPr>
      <w:rFonts w:ascii="Arial" w:hAnsi="Arial" w:cs="Arial"/>
    </w:rPr>
  </w:style>
  <w:style w:type="paragraph" w:styleId="Title">
    <w:name w:val="Title"/>
    <w:basedOn w:val="Normal"/>
    <w:qFormat/>
    <w:rsid w:val="004E0259"/>
    <w:pPr>
      <w:spacing w:before="240" w:after="60"/>
      <w:jc w:val="center"/>
      <w:outlineLvl w:val="0"/>
    </w:pPr>
    <w:rPr>
      <w:rFonts w:ascii="Arial" w:hAnsi="Arial" w:cs="Arial"/>
      <w:b/>
      <w:bCs/>
      <w:kern w:val="28"/>
    </w:rPr>
  </w:style>
  <w:style w:type="paragraph" w:styleId="Date">
    <w:name w:val="Date"/>
    <w:basedOn w:val="Normal"/>
    <w:next w:val="Normal"/>
    <w:rsid w:val="004E0259"/>
  </w:style>
  <w:style w:type="character" w:styleId="PlaceholderText">
    <w:name w:val="Placeholder Text"/>
    <w:basedOn w:val="DefaultParagraphFont"/>
    <w:uiPriority w:val="99"/>
    <w:semiHidden/>
    <w:rsid w:val="004E0259"/>
    <w:rPr>
      <w:color w:val="808080"/>
    </w:rPr>
  </w:style>
  <w:style w:type="paragraph" w:styleId="BalloonText">
    <w:name w:val="Balloon Text"/>
    <w:basedOn w:val="Normal"/>
    <w:link w:val="BalloonTextChar"/>
    <w:uiPriority w:val="99"/>
    <w:semiHidden/>
    <w:unhideWhenUsed/>
    <w:rsid w:val="004E0259"/>
    <w:rPr>
      <w:rFonts w:ascii="Tahoma" w:hAnsi="Tahoma" w:cs="Tahoma"/>
      <w:sz w:val="16"/>
      <w:szCs w:val="16"/>
    </w:rPr>
  </w:style>
  <w:style w:type="character" w:customStyle="1" w:styleId="BalloonTextChar">
    <w:name w:val="Balloon Text Char"/>
    <w:basedOn w:val="DefaultParagraphFont"/>
    <w:link w:val="BalloonText"/>
    <w:uiPriority w:val="99"/>
    <w:semiHidden/>
    <w:rsid w:val="004E0259"/>
    <w:rPr>
      <w:rFonts w:ascii="Tahoma" w:hAnsi="Tahoma" w:cs="Tahoma"/>
      <w:sz w:val="16"/>
      <w:szCs w:val="16"/>
      <w:lang w:val="en-GB"/>
    </w:rPr>
  </w:style>
  <w:style w:type="paragraph" w:styleId="CommentText">
    <w:name w:val="annotation text"/>
    <w:basedOn w:val="Normal"/>
    <w:link w:val="CommentTextChar"/>
    <w:uiPriority w:val="99"/>
    <w:semiHidden/>
    <w:unhideWhenUsed/>
    <w:rsid w:val="004E0259"/>
    <w:rPr>
      <w:sz w:val="20"/>
    </w:rPr>
  </w:style>
  <w:style w:type="character" w:customStyle="1" w:styleId="CommentTextChar">
    <w:name w:val="Comment Text Char"/>
    <w:basedOn w:val="DefaultParagraphFont"/>
    <w:link w:val="CommentText"/>
    <w:uiPriority w:val="99"/>
    <w:semiHidden/>
    <w:rsid w:val="004E0259"/>
    <w:rPr>
      <w:lang w:val="en-GB"/>
    </w:rPr>
  </w:style>
  <w:style w:type="paragraph" w:styleId="CommentSubject">
    <w:name w:val="annotation subject"/>
    <w:basedOn w:val="CommentText"/>
    <w:next w:val="CommentText"/>
    <w:link w:val="CommentSubjectChar"/>
    <w:uiPriority w:val="99"/>
    <w:semiHidden/>
    <w:unhideWhenUsed/>
    <w:rsid w:val="004E0259"/>
    <w:rPr>
      <w:b/>
      <w:bCs/>
    </w:rPr>
  </w:style>
  <w:style w:type="character" w:customStyle="1" w:styleId="CommentSubjectChar">
    <w:name w:val="Comment Subject Char"/>
    <w:basedOn w:val="CommentTextChar"/>
    <w:link w:val="CommentSubject"/>
    <w:uiPriority w:val="99"/>
    <w:semiHidden/>
    <w:rsid w:val="004E0259"/>
    <w:rPr>
      <w:b/>
      <w:bCs/>
      <w:lang w:val="en-GB"/>
    </w:rPr>
  </w:style>
  <w:style w:type="paragraph" w:customStyle="1" w:styleId="StyleHeader4Para4Left0Firstline0">
    <w:name w:val="Style Header4Para 4 + Left:  0&quot; First line:  0&quot;"/>
    <w:basedOn w:val="Header4"/>
    <w:rsid w:val="004E0259"/>
    <w:pPr>
      <w:ind w:left="0" w:firstLine="0"/>
    </w:pPr>
    <w:rPr>
      <w:sz w:val="20"/>
    </w:rPr>
  </w:style>
  <w:style w:type="paragraph" w:styleId="Caption">
    <w:name w:val="caption"/>
    <w:basedOn w:val="Normal"/>
    <w:next w:val="Normal"/>
    <w:qFormat/>
    <w:rsid w:val="004E0259"/>
    <w:pPr>
      <w:bidi/>
      <w:ind w:left="180" w:hanging="180"/>
      <w:jc w:val="lowKashida"/>
    </w:pPr>
    <w:rPr>
      <w:rFonts w:cs="Simplified Arabic"/>
      <w:szCs w:val="32"/>
      <w:lang w:val="en-US" w:eastAsia="en-CA"/>
    </w:rPr>
  </w:style>
  <w:style w:type="character" w:styleId="PageNumber">
    <w:name w:val="page number"/>
    <w:basedOn w:val="DefaultParagraphFont"/>
    <w:semiHidden/>
    <w:rsid w:val="004E0259"/>
  </w:style>
  <w:style w:type="character" w:customStyle="1" w:styleId="FooterChar">
    <w:name w:val="Footer Char"/>
    <w:basedOn w:val="DefaultParagraphFont"/>
    <w:link w:val="Footer"/>
    <w:uiPriority w:val="99"/>
    <w:rsid w:val="004E0259"/>
    <w:rPr>
      <w:sz w:val="24"/>
      <w:lang w:val="en-GB" w:bidi="ar-DZ"/>
    </w:rPr>
  </w:style>
  <w:style w:type="paragraph" w:styleId="FootnoteText">
    <w:name w:val="footnote text"/>
    <w:basedOn w:val="Normal"/>
    <w:link w:val="FootnoteTextChar"/>
    <w:uiPriority w:val="99"/>
    <w:semiHidden/>
    <w:unhideWhenUsed/>
    <w:rsid w:val="002240F2"/>
    <w:rPr>
      <w:sz w:val="20"/>
    </w:rPr>
  </w:style>
  <w:style w:type="character" w:customStyle="1" w:styleId="FootnoteTextChar">
    <w:name w:val="Footnote Text Char"/>
    <w:basedOn w:val="DefaultParagraphFont"/>
    <w:link w:val="FootnoteText"/>
    <w:uiPriority w:val="99"/>
    <w:semiHidden/>
    <w:rsid w:val="002240F2"/>
    <w:rPr>
      <w:lang w:val="en-GB" w:bidi="ar-DZ"/>
    </w:rPr>
  </w:style>
  <w:style w:type="character" w:styleId="FootnoteReference">
    <w:name w:val="footnote reference"/>
    <w:basedOn w:val="DefaultParagraphFont"/>
    <w:uiPriority w:val="99"/>
    <w:semiHidden/>
    <w:unhideWhenUsed/>
    <w:rsid w:val="00224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o\Desktop\A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UNEP/OzL.Pro/ExCom/83/47</Document_x0020_Number>
    <DocumentType xmlns="48d2d36d-b4e3-478b-a344-cdbeebaca89a">In-session</DocumentType>
  </documentManagement>
</p:properties>
</file>

<file path=customXml/itemProps1.xml><?xml version="1.0" encoding="utf-8"?>
<ds:datastoreItem xmlns:ds="http://schemas.openxmlformats.org/officeDocument/2006/customXml" ds:itemID="{E0E16B01-04FB-465D-961A-0C28017C349E}"/>
</file>

<file path=customXml/itemProps2.xml><?xml version="1.0" encoding="utf-8"?>
<ds:datastoreItem xmlns:ds="http://schemas.openxmlformats.org/officeDocument/2006/customXml" ds:itemID="{1B8324E1-87D1-4FEC-866E-FDF1DBE5E7DE}"/>
</file>

<file path=customXml/itemProps3.xml><?xml version="1.0" encoding="utf-8"?>
<ds:datastoreItem xmlns:ds="http://schemas.openxmlformats.org/officeDocument/2006/customXml" ds:itemID="{FF08EB59-2265-4632-8103-8AEBE619BC16}"/>
</file>

<file path=customXml/itemProps4.xml><?xml version="1.0" encoding="utf-8"?>
<ds:datastoreItem xmlns:ds="http://schemas.openxmlformats.org/officeDocument/2006/customXml" ds:itemID="{DBAD5BB4-35A4-4A33-B8A4-BE579D95C317}"/>
</file>

<file path=docProps/app.xml><?xml version="1.0" encoding="utf-8"?>
<Properties xmlns="http://schemas.openxmlformats.org/officeDocument/2006/extended-properties" xmlns:vt="http://schemas.openxmlformats.org/officeDocument/2006/docPropsVTypes">
  <Template>A83-template</Template>
  <TotalTime>660</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تقرير الفريق الفرعي المعني بقطاع الإنتاج</vt:lpstr>
    </vt:vector>
  </TitlesOfParts>
  <Company>UNMFS</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الفريق الفرعي المعني بقطاع الإنتاج</dc:title>
  <dc:creator>UNMFS</dc:creator>
  <cp:lastModifiedBy>HBE</cp:lastModifiedBy>
  <cp:revision>11</cp:revision>
  <cp:lastPrinted>2001-05-26T16:40:00Z</cp:lastPrinted>
  <dcterms:created xsi:type="dcterms:W3CDTF">2019-06-19T19:51:00Z</dcterms:created>
  <dcterms:modified xsi:type="dcterms:W3CDTF">2019-08-14T15:24:00Z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UNEP/OzL.Pro/ExCom/83/47</vt:lpwstr>
  </property>
  <property fmtid="{D5CDD505-2E9C-101B-9397-08002B2CF9AE}" pid="3" name="Revision date">
    <vt:lpwstr>5/31/2019</vt:lpwstr>
  </property>
  <property fmtid="{D5CDD505-2E9C-101B-9397-08002B2CF9AE}" pid="4" name="ContentTypeId">
    <vt:lpwstr>0x01010033ECB1EDD0319C4599A58600013659D4</vt:lpwstr>
  </property>
</Properties>
</file>