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8" w:type="dxa"/>
        <w:tblLayout w:type="fixed"/>
        <w:tblLook w:val="0000" w:firstRow="0" w:lastRow="0" w:firstColumn="0" w:lastColumn="0" w:noHBand="0" w:noVBand="0"/>
      </w:tblPr>
      <w:tblGrid>
        <w:gridCol w:w="4059"/>
        <w:gridCol w:w="351"/>
        <w:gridCol w:w="3051"/>
        <w:gridCol w:w="2079"/>
      </w:tblGrid>
      <w:tr w:rsidR="00B74F76" w:rsidTr="00B74F76">
        <w:trPr>
          <w:trHeight w:val="720"/>
        </w:trPr>
        <w:tc>
          <w:tcPr>
            <w:tcW w:w="4410" w:type="dxa"/>
            <w:gridSpan w:val="2"/>
            <w:tcBorders>
              <w:bottom w:val="single" w:sz="18" w:space="0" w:color="auto"/>
            </w:tcBorders>
          </w:tcPr>
          <w:p w:rsidR="00B74F76" w:rsidRDefault="00B74F76" w:rsidP="00B74F76">
            <w:pPr>
              <w:jc w:val="left"/>
              <w:rPr>
                <w:rFonts w:asciiTheme="minorBidi" w:hAnsiTheme="minorBidi" w:cstheme="minorBidi"/>
                <w:b/>
                <w:bCs/>
                <w:lang w:val="en-US"/>
              </w:rPr>
            </w:pPr>
            <w:r>
              <w:rPr>
                <w:rFonts w:asciiTheme="minorBidi" w:hAnsiTheme="minorBidi" w:cstheme="minorBidi"/>
                <w:b/>
                <w:bCs/>
                <w:sz w:val="72"/>
                <w:szCs w:val="72"/>
                <w:lang w:val="en-US"/>
              </w:rPr>
              <w:t>EP</w:t>
            </w:r>
            <w:r>
              <w:rPr>
                <w:rFonts w:asciiTheme="minorBidi" w:hAnsiTheme="minorBidi" w:cstheme="minorBidi"/>
                <w:b/>
                <w:bCs/>
                <w:sz w:val="27"/>
                <w:szCs w:val="27"/>
                <w:lang w:val="en-US"/>
              </w:rPr>
              <w:t xml:space="preserve"> </w:t>
            </w:r>
          </w:p>
        </w:tc>
        <w:tc>
          <w:tcPr>
            <w:tcW w:w="5130" w:type="dxa"/>
            <w:gridSpan w:val="2"/>
            <w:tcBorders>
              <w:bottom w:val="single" w:sz="18" w:space="0" w:color="auto"/>
            </w:tcBorders>
          </w:tcPr>
          <w:p w:rsidR="00B74F76" w:rsidRDefault="00B74F76" w:rsidP="00B74F76">
            <w:pPr>
              <w:pStyle w:val="Heading3"/>
              <w:numPr>
                <w:ilvl w:val="0"/>
                <w:numId w:val="0"/>
              </w:numPr>
              <w:bidi/>
              <w:ind w:left="270" w:right="1384"/>
              <w:rPr>
                <w:b/>
                <w:bCs/>
                <w:sz w:val="48"/>
                <w:szCs w:val="48"/>
              </w:rPr>
            </w:pPr>
            <w:r>
              <w:rPr>
                <w:b/>
                <w:bCs/>
                <w:sz w:val="48"/>
                <w:szCs w:val="48"/>
                <w:rtl/>
              </w:rPr>
              <w:t>الأمم المتحدة</w:t>
            </w:r>
          </w:p>
        </w:tc>
      </w:tr>
      <w:tr w:rsidR="00B74F76" w:rsidTr="000624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27"/>
        </w:trPr>
        <w:tc>
          <w:tcPr>
            <w:tcW w:w="4059" w:type="dxa"/>
            <w:tcBorders>
              <w:top w:val="nil"/>
              <w:left w:val="nil"/>
              <w:bottom w:val="single" w:sz="36" w:space="0" w:color="auto"/>
              <w:right w:val="nil"/>
            </w:tcBorders>
          </w:tcPr>
          <w:p w:rsidR="00B74F76" w:rsidRDefault="00B74F76" w:rsidP="00B74F76">
            <w:pPr>
              <w:spacing w:before="120"/>
              <w:jc w:val="left"/>
              <w:rPr>
                <w:noProof/>
                <w:lang w:val="en-US"/>
              </w:rPr>
            </w:pPr>
            <w:r>
              <w:rPr>
                <w:noProof/>
                <w:lang w:val="en-CA" w:eastAsia="en-CA"/>
              </w:rPr>
              <w:drawing>
                <wp:anchor distT="0" distB="0" distL="114300" distR="114300" simplePos="0" relativeHeight="251661312" behindDoc="0" locked="0" layoutInCell="0" allowOverlap="1">
                  <wp:simplePos x="0" y="0"/>
                  <wp:positionH relativeFrom="column">
                    <wp:posOffset>5010785</wp:posOffset>
                  </wp:positionH>
                  <wp:positionV relativeFrom="paragraph">
                    <wp:posOffset>643890</wp:posOffset>
                  </wp:positionV>
                  <wp:extent cx="658495" cy="555625"/>
                  <wp:effectExtent l="0" t="0" r="8255" b="0"/>
                  <wp:wrapNone/>
                  <wp:docPr id="4" name="Picture 4" descr="UN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E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8495" cy="555625"/>
                          </a:xfrm>
                          <a:prstGeom prst="rect">
                            <a:avLst/>
                          </a:prstGeom>
                          <a:noFill/>
                          <a:ln>
                            <a:noFill/>
                          </a:ln>
                        </pic:spPr>
                      </pic:pic>
                    </a:graphicData>
                  </a:graphic>
                </wp:anchor>
              </w:drawing>
            </w:r>
            <w:r>
              <w:rPr>
                <w:noProof/>
                <w:lang w:val="en-CA" w:eastAsia="en-CA"/>
              </w:rPr>
              <w:drawing>
                <wp:anchor distT="0" distB="0" distL="114300" distR="114300" simplePos="0" relativeHeight="251660288" behindDoc="1" locked="0" layoutInCell="0" allowOverlap="1">
                  <wp:simplePos x="0" y="0"/>
                  <wp:positionH relativeFrom="column">
                    <wp:posOffset>5029200</wp:posOffset>
                  </wp:positionH>
                  <wp:positionV relativeFrom="paragraph">
                    <wp:posOffset>93345</wp:posOffset>
                  </wp:positionV>
                  <wp:extent cx="579755" cy="5156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9755" cy="515620"/>
                          </a:xfrm>
                          <a:prstGeom prst="rect">
                            <a:avLst/>
                          </a:prstGeom>
                          <a:noFill/>
                          <a:ln>
                            <a:noFill/>
                          </a:ln>
                        </pic:spPr>
                      </pic:pic>
                    </a:graphicData>
                  </a:graphic>
                </wp:anchor>
              </w:drawing>
            </w:r>
            <w:r>
              <w:rPr>
                <w:noProof/>
                <w:lang w:val="en-US"/>
              </w:rPr>
              <w:t>Distr.</w:t>
            </w:r>
          </w:p>
          <w:p w:rsidR="00B74F76" w:rsidRDefault="00B74F76" w:rsidP="00B74F76">
            <w:pPr>
              <w:spacing w:before="120"/>
              <w:jc w:val="left"/>
              <w:rPr>
                <w:noProof/>
                <w:lang w:val="en-US"/>
              </w:rPr>
            </w:pPr>
            <w:r>
              <w:rPr>
                <w:noProof/>
                <w:lang w:val="en-US"/>
              </w:rPr>
              <w:t>GENERAL</w:t>
            </w:r>
          </w:p>
          <w:p w:rsidR="00B74F76" w:rsidRPr="001F613A" w:rsidRDefault="00B74F76" w:rsidP="00B74F76"/>
          <w:p w:rsidR="00B74F76" w:rsidRDefault="00486DD6" w:rsidP="00B74F76">
            <w:r>
              <w:fldChar w:fldCharType="begin"/>
            </w:r>
            <w:r w:rsidR="00B74F76">
              <w:instrText xml:space="preserve"> DOCPROPERTY "Document number"  \* MERGEFORMAT </w:instrText>
            </w:r>
            <w:r>
              <w:fldChar w:fldCharType="separate"/>
            </w:r>
            <w:r w:rsidR="00B74F76">
              <w:t>UNEP/OzL.Pro/ExCom/83/40</w:t>
            </w:r>
            <w:r>
              <w:fldChar w:fldCharType="end"/>
            </w:r>
          </w:p>
          <w:p w:rsidR="00B74F76" w:rsidRDefault="007121D1" w:rsidP="00B74F76">
            <w:pPr>
              <w:rPr>
                <w:caps/>
              </w:rPr>
            </w:pPr>
            <w:r>
              <w:fldChar w:fldCharType="begin"/>
            </w:r>
            <w:r>
              <w:instrText xml:space="preserve"> DOCPROPERTY "Revision date" \@ "d MMMM YYYY"  \* MERGEFORMAT </w:instrText>
            </w:r>
            <w:r>
              <w:fldChar w:fldCharType="separate"/>
            </w:r>
            <w:r w:rsidR="00B74F76">
              <w:t>29 April 2019</w:t>
            </w:r>
            <w:r>
              <w:fldChar w:fldCharType="end"/>
            </w:r>
          </w:p>
          <w:p w:rsidR="00B74F76" w:rsidRPr="001F613A" w:rsidRDefault="00B74F76" w:rsidP="00B74F76">
            <w:pPr>
              <w:rPr>
                <w:caps/>
              </w:rPr>
            </w:pPr>
          </w:p>
          <w:p w:rsidR="00B74F76" w:rsidRDefault="00B74F76" w:rsidP="00B74F76">
            <w:pPr>
              <w:spacing w:before="120"/>
              <w:jc w:val="left"/>
              <w:rPr>
                <w:lang w:val="en-US"/>
              </w:rPr>
            </w:pPr>
            <w:r>
              <w:rPr>
                <w:lang w:val="en-US"/>
              </w:rPr>
              <w:t>ARABIC</w:t>
            </w:r>
          </w:p>
          <w:p w:rsidR="00B74F76" w:rsidRDefault="00B74F76" w:rsidP="00B74F76">
            <w:pPr>
              <w:spacing w:before="120"/>
              <w:jc w:val="left"/>
              <w:rPr>
                <w:lang w:val="en-US"/>
              </w:rPr>
            </w:pPr>
            <w:r>
              <w:rPr>
                <w:lang w:val="en-US"/>
              </w:rPr>
              <w:t>ORIGINAL: ENGLISH</w:t>
            </w:r>
          </w:p>
        </w:tc>
        <w:tc>
          <w:tcPr>
            <w:tcW w:w="3402" w:type="dxa"/>
            <w:gridSpan w:val="2"/>
            <w:tcBorders>
              <w:top w:val="nil"/>
              <w:left w:val="nil"/>
              <w:bottom w:val="single" w:sz="36" w:space="0" w:color="auto"/>
              <w:right w:val="nil"/>
            </w:tcBorders>
          </w:tcPr>
          <w:p w:rsidR="00B74F76" w:rsidRDefault="00B74F76" w:rsidP="00B74F76">
            <w:pPr>
              <w:pStyle w:val="Heading4"/>
              <w:numPr>
                <w:ilvl w:val="0"/>
                <w:numId w:val="0"/>
              </w:numPr>
              <w:spacing w:before="0" w:after="0"/>
              <w:ind w:right="459"/>
              <w:jc w:val="right"/>
              <w:rPr>
                <w:rFonts w:cs="Arabic Transparent"/>
                <w:bCs/>
                <w:sz w:val="52"/>
                <w:szCs w:val="52"/>
                <w:rtl/>
              </w:rPr>
            </w:pPr>
            <w:r>
              <w:rPr>
                <w:rFonts w:cs="Arabic Transparent"/>
                <w:bCs/>
                <w:sz w:val="52"/>
                <w:szCs w:val="52"/>
                <w:rtl/>
              </w:rPr>
              <w:t>برنامج</w:t>
            </w:r>
          </w:p>
          <w:p w:rsidR="00B74F76" w:rsidRDefault="00B74F76" w:rsidP="00B74F76">
            <w:pPr>
              <w:pStyle w:val="Heading4"/>
              <w:numPr>
                <w:ilvl w:val="0"/>
                <w:numId w:val="0"/>
              </w:numPr>
              <w:spacing w:before="0" w:after="0"/>
              <w:ind w:right="459"/>
              <w:jc w:val="right"/>
              <w:rPr>
                <w:rFonts w:cs="Arabic Transparent"/>
                <w:bCs/>
                <w:sz w:val="52"/>
                <w:szCs w:val="52"/>
                <w:rtl/>
              </w:rPr>
            </w:pPr>
            <w:r>
              <w:rPr>
                <w:rFonts w:cs="Arabic Transparent"/>
                <w:bCs/>
                <w:sz w:val="52"/>
                <w:szCs w:val="52"/>
                <w:rtl/>
              </w:rPr>
              <w:t>الأمم المتحدة</w:t>
            </w:r>
          </w:p>
          <w:p w:rsidR="00B74F76" w:rsidRDefault="00B74F76" w:rsidP="00B74F76">
            <w:pPr>
              <w:pStyle w:val="Heading4"/>
              <w:numPr>
                <w:ilvl w:val="0"/>
                <w:numId w:val="0"/>
              </w:numPr>
              <w:spacing w:before="0" w:after="0"/>
              <w:ind w:right="459"/>
              <w:jc w:val="right"/>
              <w:rPr>
                <w:rFonts w:cs="Arabic Transparent"/>
                <w:bCs/>
                <w:sz w:val="52"/>
                <w:szCs w:val="52"/>
                <w:rtl/>
              </w:rPr>
            </w:pPr>
            <w:r>
              <w:rPr>
                <w:rFonts w:cs="Arabic Transparent"/>
                <w:bCs/>
                <w:sz w:val="52"/>
                <w:szCs w:val="52"/>
                <w:rtl/>
              </w:rPr>
              <w:t>للبيئة</w:t>
            </w:r>
          </w:p>
          <w:p w:rsidR="00B74F76" w:rsidRDefault="00B74F76" w:rsidP="00B74F76">
            <w:pPr>
              <w:pStyle w:val="Heading7"/>
              <w:spacing w:before="0" w:after="0"/>
              <w:ind w:right="4997"/>
              <w:rPr>
                <w:rFonts w:cs="Akhbar MT"/>
                <w:b/>
                <w:bCs/>
                <w:sz w:val="52"/>
                <w:szCs w:val="52"/>
                <w:lang w:val="en-US"/>
              </w:rPr>
            </w:pPr>
            <w:r>
              <w:rPr>
                <w:rFonts w:cs="Arabic Transparent"/>
                <w:b/>
                <w:bCs/>
                <w:sz w:val="52"/>
                <w:szCs w:val="52"/>
                <w:rtl/>
              </w:rPr>
              <w:t>ل</w:t>
            </w:r>
          </w:p>
        </w:tc>
        <w:tc>
          <w:tcPr>
            <w:tcW w:w="2079" w:type="dxa"/>
            <w:tcBorders>
              <w:top w:val="nil"/>
              <w:left w:val="nil"/>
              <w:bottom w:val="single" w:sz="36" w:space="0" w:color="auto"/>
              <w:right w:val="nil"/>
            </w:tcBorders>
          </w:tcPr>
          <w:p w:rsidR="00B74F76" w:rsidRDefault="00B74F76" w:rsidP="00B74F76">
            <w:pPr>
              <w:rPr>
                <w:caps/>
                <w:lang w:val="en-US"/>
              </w:rPr>
            </w:pPr>
          </w:p>
          <w:p w:rsidR="00B74F76" w:rsidRDefault="00B74F76" w:rsidP="00B74F76">
            <w:pPr>
              <w:rPr>
                <w:lang w:val="en-US"/>
              </w:rPr>
            </w:pPr>
          </w:p>
        </w:tc>
      </w:tr>
    </w:tbl>
    <w:p w:rsidR="00B74F76" w:rsidRDefault="00B74F76" w:rsidP="00B74F76">
      <w:pPr>
        <w:pStyle w:val="Caption"/>
        <w:spacing w:line="200" w:lineRule="exact"/>
        <w:ind w:left="187" w:right="187" w:hanging="187"/>
        <w:jc w:val="both"/>
        <w:rPr>
          <w:rFonts w:cs="Akhbar MT"/>
          <w:b/>
          <w:bCs/>
          <w:sz w:val="28"/>
          <w:szCs w:val="28"/>
          <w:rtl/>
        </w:rPr>
      </w:pPr>
    </w:p>
    <w:p w:rsidR="00B74F76" w:rsidRDefault="00B74F76" w:rsidP="00B74F76">
      <w:pPr>
        <w:pStyle w:val="Caption"/>
        <w:ind w:left="0" w:right="180"/>
        <w:jc w:val="both"/>
        <w:rPr>
          <w:rFonts w:cs="Arabic Transparent"/>
          <w:b/>
          <w:bCs/>
          <w:sz w:val="28"/>
          <w:szCs w:val="28"/>
          <w:rtl/>
        </w:rPr>
      </w:pPr>
      <w:r>
        <w:rPr>
          <w:rFonts w:cs="Arabic Transparent"/>
          <w:b/>
          <w:bCs/>
          <w:sz w:val="28"/>
          <w:szCs w:val="28"/>
          <w:rtl/>
        </w:rPr>
        <w:t>اللجن</w:t>
      </w:r>
      <w:r>
        <w:rPr>
          <w:rFonts w:cs="Arabic Transparent" w:hint="cs"/>
          <w:b/>
          <w:bCs/>
          <w:sz w:val="28"/>
          <w:szCs w:val="28"/>
          <w:rtl/>
        </w:rPr>
        <w:t>ــ</w:t>
      </w:r>
      <w:r>
        <w:rPr>
          <w:rFonts w:cs="Arabic Transparent"/>
          <w:b/>
          <w:bCs/>
          <w:sz w:val="28"/>
          <w:szCs w:val="28"/>
          <w:rtl/>
        </w:rPr>
        <w:t>ة التنفي</w:t>
      </w:r>
      <w:r>
        <w:rPr>
          <w:rFonts w:cs="Arabic Transparent" w:hint="cs"/>
          <w:b/>
          <w:bCs/>
          <w:sz w:val="28"/>
          <w:szCs w:val="28"/>
          <w:rtl/>
        </w:rPr>
        <w:t>ـ</w:t>
      </w:r>
      <w:r>
        <w:rPr>
          <w:rFonts w:cs="Arabic Transparent"/>
          <w:b/>
          <w:bCs/>
          <w:sz w:val="28"/>
          <w:szCs w:val="28"/>
          <w:rtl/>
        </w:rPr>
        <w:t>ذي</w:t>
      </w:r>
      <w:r>
        <w:rPr>
          <w:rFonts w:cs="Arabic Transparent" w:hint="cs"/>
          <w:b/>
          <w:bCs/>
          <w:sz w:val="28"/>
          <w:szCs w:val="28"/>
          <w:rtl/>
        </w:rPr>
        <w:t>ــــ</w:t>
      </w:r>
      <w:r>
        <w:rPr>
          <w:rFonts w:cs="Arabic Transparent"/>
          <w:b/>
          <w:bCs/>
          <w:sz w:val="28"/>
          <w:szCs w:val="28"/>
          <w:rtl/>
        </w:rPr>
        <w:t>ة للصن</w:t>
      </w:r>
      <w:r>
        <w:rPr>
          <w:rFonts w:cs="Arabic Transparent" w:hint="cs"/>
          <w:b/>
          <w:bCs/>
          <w:sz w:val="28"/>
          <w:szCs w:val="28"/>
          <w:rtl/>
        </w:rPr>
        <w:t>ــ</w:t>
      </w:r>
      <w:r>
        <w:rPr>
          <w:rFonts w:cs="Arabic Transparent"/>
          <w:b/>
          <w:bCs/>
          <w:sz w:val="28"/>
          <w:szCs w:val="28"/>
          <w:rtl/>
        </w:rPr>
        <w:t>دوق الم</w:t>
      </w:r>
      <w:r>
        <w:rPr>
          <w:rFonts w:cs="Arabic Transparent" w:hint="cs"/>
          <w:b/>
          <w:bCs/>
          <w:sz w:val="28"/>
          <w:szCs w:val="28"/>
          <w:rtl/>
        </w:rPr>
        <w:t>ــ</w:t>
      </w:r>
      <w:r>
        <w:rPr>
          <w:rFonts w:cs="Arabic Transparent"/>
          <w:b/>
          <w:bCs/>
          <w:sz w:val="28"/>
          <w:szCs w:val="28"/>
          <w:rtl/>
        </w:rPr>
        <w:t>تع</w:t>
      </w:r>
      <w:r>
        <w:rPr>
          <w:rFonts w:cs="Arabic Transparent" w:hint="cs"/>
          <w:b/>
          <w:bCs/>
          <w:sz w:val="28"/>
          <w:szCs w:val="28"/>
          <w:rtl/>
        </w:rPr>
        <w:t>ــ</w:t>
      </w:r>
      <w:r>
        <w:rPr>
          <w:rFonts w:cs="Arabic Transparent"/>
          <w:b/>
          <w:bCs/>
          <w:sz w:val="28"/>
          <w:szCs w:val="28"/>
          <w:rtl/>
        </w:rPr>
        <w:t>دد الأطـ</w:t>
      </w:r>
      <w:r>
        <w:rPr>
          <w:rFonts w:cs="Arabic Transparent" w:hint="cs"/>
          <w:b/>
          <w:bCs/>
          <w:sz w:val="28"/>
          <w:szCs w:val="28"/>
          <w:rtl/>
        </w:rPr>
        <w:t>ــ</w:t>
      </w:r>
      <w:r>
        <w:rPr>
          <w:rFonts w:cs="Arabic Transparent"/>
          <w:b/>
          <w:bCs/>
          <w:sz w:val="28"/>
          <w:szCs w:val="28"/>
          <w:rtl/>
        </w:rPr>
        <w:t>راف</w:t>
      </w:r>
    </w:p>
    <w:p w:rsidR="00B74F76" w:rsidRDefault="00B74F76" w:rsidP="00B74F76">
      <w:pPr>
        <w:bidi/>
        <w:ind w:left="180" w:hanging="180"/>
        <w:jc w:val="lowKashida"/>
        <w:rPr>
          <w:rFonts w:cs="Arabic Transparent"/>
          <w:b/>
          <w:bCs/>
          <w:sz w:val="28"/>
          <w:szCs w:val="28"/>
          <w:rtl/>
          <w:lang w:val="en-US" w:eastAsia="en-CA"/>
        </w:rPr>
      </w:pPr>
      <w:r>
        <w:rPr>
          <w:rFonts w:cs="Arabic Transparent"/>
          <w:b/>
          <w:bCs/>
          <w:sz w:val="28"/>
          <w:szCs w:val="28"/>
          <w:rtl/>
          <w:lang w:val="en-US" w:eastAsia="en-CA"/>
        </w:rPr>
        <w:t>لتنفي</w:t>
      </w:r>
      <w:r>
        <w:rPr>
          <w:rFonts w:cs="Arabic Transparent" w:hint="cs"/>
          <w:b/>
          <w:bCs/>
          <w:sz w:val="28"/>
          <w:szCs w:val="28"/>
          <w:rtl/>
          <w:lang w:val="en-US" w:eastAsia="en-CA"/>
        </w:rPr>
        <w:t>ـــ</w:t>
      </w:r>
      <w:r>
        <w:rPr>
          <w:rFonts w:cs="Arabic Transparent"/>
          <w:b/>
          <w:bCs/>
          <w:sz w:val="28"/>
          <w:szCs w:val="28"/>
          <w:rtl/>
          <w:lang w:val="en-US" w:eastAsia="en-CA"/>
        </w:rPr>
        <w:t>ذ بروتوك</w:t>
      </w:r>
      <w:r>
        <w:rPr>
          <w:rFonts w:cs="Arabic Transparent" w:hint="cs"/>
          <w:b/>
          <w:bCs/>
          <w:sz w:val="28"/>
          <w:szCs w:val="28"/>
          <w:rtl/>
          <w:lang w:val="en-US" w:eastAsia="en-CA"/>
        </w:rPr>
        <w:t>ـ</w:t>
      </w:r>
      <w:r>
        <w:rPr>
          <w:rFonts w:cs="Arabic Transparent"/>
          <w:b/>
          <w:bCs/>
          <w:sz w:val="28"/>
          <w:szCs w:val="28"/>
          <w:rtl/>
          <w:lang w:val="en-US" w:eastAsia="en-CA"/>
        </w:rPr>
        <w:t>ول مونتري</w:t>
      </w:r>
      <w:r>
        <w:rPr>
          <w:rFonts w:cs="Arabic Transparent" w:hint="cs"/>
          <w:b/>
          <w:bCs/>
          <w:sz w:val="28"/>
          <w:szCs w:val="28"/>
          <w:rtl/>
          <w:lang w:val="en-US" w:eastAsia="en-CA"/>
        </w:rPr>
        <w:t>ــ</w:t>
      </w:r>
      <w:r>
        <w:rPr>
          <w:rFonts w:cs="Arabic Transparent"/>
          <w:b/>
          <w:bCs/>
          <w:sz w:val="28"/>
          <w:szCs w:val="28"/>
          <w:rtl/>
          <w:lang w:val="en-US" w:eastAsia="en-CA"/>
        </w:rPr>
        <w:t xml:space="preserve">ال </w:t>
      </w:r>
    </w:p>
    <w:p w:rsidR="00B74F76" w:rsidRDefault="00B74F76" w:rsidP="00DC27B2">
      <w:pPr>
        <w:bidi/>
        <w:ind w:left="4"/>
        <w:jc w:val="lowKashida"/>
        <w:rPr>
          <w:sz w:val="28"/>
          <w:szCs w:val="28"/>
          <w:rtl/>
          <w:lang w:val="en-US" w:eastAsia="en-CA"/>
        </w:rPr>
      </w:pPr>
      <w:r>
        <w:rPr>
          <w:sz w:val="28"/>
          <w:szCs w:val="28"/>
          <w:rtl/>
          <w:lang w:val="en-US" w:eastAsia="en-CA"/>
        </w:rPr>
        <w:t xml:space="preserve">الاجتمــــــاع </w:t>
      </w:r>
      <w:r w:rsidR="00C4061B">
        <w:rPr>
          <w:rFonts w:hint="cs"/>
          <w:sz w:val="28"/>
          <w:szCs w:val="28"/>
          <w:rtl/>
          <w:lang w:val="en-US" w:eastAsia="en-CA"/>
        </w:rPr>
        <w:t>الثالث</w:t>
      </w:r>
      <w:r>
        <w:rPr>
          <w:rFonts w:hint="cs"/>
          <w:sz w:val="28"/>
          <w:szCs w:val="28"/>
          <w:rtl/>
          <w:lang w:val="en-US" w:eastAsia="en-CA"/>
        </w:rPr>
        <w:t xml:space="preserve"> والثمان</w:t>
      </w:r>
      <w:r w:rsidR="00DC27B2">
        <w:rPr>
          <w:rFonts w:hint="cs"/>
          <w:sz w:val="28"/>
          <w:szCs w:val="28"/>
          <w:rtl/>
          <w:lang w:val="en-US" w:eastAsia="en-CA"/>
        </w:rPr>
        <w:t>و</w:t>
      </w:r>
      <w:r>
        <w:rPr>
          <w:rFonts w:hint="cs"/>
          <w:sz w:val="28"/>
          <w:szCs w:val="28"/>
          <w:rtl/>
          <w:lang w:val="en-US" w:eastAsia="en-CA"/>
        </w:rPr>
        <w:t>ن</w:t>
      </w:r>
    </w:p>
    <w:p w:rsidR="00B74F76" w:rsidRDefault="00B74F76" w:rsidP="00C4061B">
      <w:pPr>
        <w:pStyle w:val="0Heading0"/>
        <w:bidi/>
        <w:ind w:left="4"/>
        <w:rPr>
          <w:rFonts w:cs="Arabic Transparent"/>
          <w:sz w:val="28"/>
          <w:szCs w:val="28"/>
          <w:lang w:bidi="ar-DZ"/>
        </w:rPr>
      </w:pPr>
      <w:r>
        <w:rPr>
          <w:rFonts w:hint="cs"/>
          <w:sz w:val="28"/>
          <w:szCs w:val="28"/>
          <w:rtl/>
        </w:rPr>
        <w:t>مونتريال</w:t>
      </w:r>
      <w:r>
        <w:rPr>
          <w:sz w:val="28"/>
          <w:szCs w:val="28"/>
          <w:rtl/>
        </w:rPr>
        <w:t>،</w:t>
      </w:r>
      <w:r>
        <w:rPr>
          <w:rFonts w:hint="cs"/>
          <w:sz w:val="28"/>
          <w:szCs w:val="28"/>
          <w:rtl/>
        </w:rPr>
        <w:t xml:space="preserve"> من </w:t>
      </w:r>
      <w:r w:rsidR="00C4061B">
        <w:rPr>
          <w:rFonts w:hint="cs"/>
          <w:sz w:val="28"/>
          <w:szCs w:val="28"/>
          <w:rtl/>
        </w:rPr>
        <w:t>27</w:t>
      </w:r>
      <w:r>
        <w:rPr>
          <w:rFonts w:hint="cs"/>
          <w:sz w:val="28"/>
          <w:szCs w:val="28"/>
          <w:rtl/>
        </w:rPr>
        <w:t xml:space="preserve"> إلى </w:t>
      </w:r>
      <w:r w:rsidR="00C4061B">
        <w:rPr>
          <w:rFonts w:hint="cs"/>
          <w:sz w:val="28"/>
          <w:szCs w:val="28"/>
          <w:rtl/>
        </w:rPr>
        <w:t>31</w:t>
      </w:r>
      <w:r>
        <w:rPr>
          <w:rFonts w:hint="cs"/>
          <w:sz w:val="28"/>
          <w:szCs w:val="28"/>
          <w:rtl/>
        </w:rPr>
        <w:t xml:space="preserve"> </w:t>
      </w:r>
      <w:r w:rsidR="00C4061B">
        <w:rPr>
          <w:rFonts w:hint="cs"/>
          <w:sz w:val="28"/>
          <w:szCs w:val="28"/>
          <w:rtl/>
        </w:rPr>
        <w:t>مايو</w:t>
      </w:r>
      <w:r>
        <w:rPr>
          <w:rFonts w:hint="cs"/>
          <w:sz w:val="28"/>
          <w:szCs w:val="28"/>
          <w:rtl/>
        </w:rPr>
        <w:t>/</w:t>
      </w:r>
      <w:r w:rsidR="00C4061B">
        <w:rPr>
          <w:rFonts w:hint="cs"/>
          <w:sz w:val="28"/>
          <w:szCs w:val="28"/>
          <w:rtl/>
        </w:rPr>
        <w:t>آيار</w:t>
      </w:r>
      <w:r>
        <w:rPr>
          <w:rFonts w:hint="cs"/>
          <w:sz w:val="28"/>
          <w:szCs w:val="28"/>
          <w:rtl/>
        </w:rPr>
        <w:t xml:space="preserve"> 201</w:t>
      </w:r>
      <w:r w:rsidR="00C4061B">
        <w:rPr>
          <w:rFonts w:hint="cs"/>
          <w:sz w:val="28"/>
          <w:szCs w:val="28"/>
          <w:rtl/>
        </w:rPr>
        <w:t>9</w:t>
      </w:r>
    </w:p>
    <w:p w:rsidR="00B74F76" w:rsidRPr="00717018" w:rsidRDefault="00B74F76" w:rsidP="00B74F76">
      <w:pPr>
        <w:bidi/>
        <w:jc w:val="left"/>
      </w:pPr>
    </w:p>
    <w:p w:rsidR="002407C3" w:rsidRDefault="002407C3" w:rsidP="00B74F76">
      <w:pPr>
        <w:pStyle w:val="Title1"/>
        <w:bidi/>
        <w:rPr>
          <w:b w:val="0"/>
          <w:bCs/>
          <w:sz w:val="32"/>
          <w:szCs w:val="32"/>
          <w:rtl/>
        </w:rPr>
      </w:pPr>
    </w:p>
    <w:p w:rsidR="00B74F76" w:rsidRPr="005B5347" w:rsidRDefault="00062442" w:rsidP="006C05B1">
      <w:pPr>
        <w:pStyle w:val="Title1"/>
        <w:bidi/>
        <w:rPr>
          <w:b w:val="0"/>
          <w:bCs/>
          <w:sz w:val="32"/>
          <w:szCs w:val="32"/>
        </w:rPr>
      </w:pPr>
      <w:bookmarkStart w:id="0" w:name="_GoBack"/>
      <w:bookmarkEnd w:id="0"/>
      <w:r w:rsidRPr="005B5347">
        <w:rPr>
          <w:rFonts w:hint="cs"/>
          <w:b w:val="0"/>
          <w:bCs/>
          <w:sz w:val="32"/>
          <w:szCs w:val="32"/>
          <w:rtl/>
        </w:rPr>
        <w:t xml:space="preserve">ورقة </w:t>
      </w:r>
      <w:r w:rsidR="006C05B1" w:rsidRPr="005B5347">
        <w:rPr>
          <w:rFonts w:hint="cs"/>
          <w:b w:val="0"/>
          <w:bCs/>
          <w:sz w:val="32"/>
          <w:szCs w:val="32"/>
          <w:rtl/>
        </w:rPr>
        <w:t xml:space="preserve">عن الوسائل </w:t>
      </w:r>
      <w:r w:rsidR="006C05B1" w:rsidRPr="005B5347">
        <w:rPr>
          <w:rFonts w:hint="cs"/>
          <w:b w:val="0"/>
          <w:bCs/>
          <w:sz w:val="32"/>
          <w:szCs w:val="32"/>
          <w:rtl/>
          <w:lang w:bidi="ar-AE"/>
        </w:rPr>
        <w:t>ل</w:t>
      </w:r>
      <w:r w:rsidRPr="005B5347">
        <w:rPr>
          <w:rFonts w:hint="cs"/>
          <w:b w:val="0"/>
          <w:bCs/>
          <w:sz w:val="32"/>
          <w:szCs w:val="32"/>
          <w:rtl/>
        </w:rPr>
        <w:t>تفعيل الف</w:t>
      </w:r>
      <w:r w:rsidR="00013627" w:rsidRPr="005B5347">
        <w:rPr>
          <w:rFonts w:hint="cs"/>
          <w:b w:val="0"/>
          <w:bCs/>
          <w:sz w:val="32"/>
          <w:szCs w:val="32"/>
          <w:rtl/>
        </w:rPr>
        <w:t>ق</w:t>
      </w:r>
      <w:r w:rsidRPr="005B5347">
        <w:rPr>
          <w:rFonts w:hint="cs"/>
          <w:b w:val="0"/>
          <w:bCs/>
          <w:sz w:val="32"/>
          <w:szCs w:val="32"/>
          <w:rtl/>
        </w:rPr>
        <w:t xml:space="preserve">رة 16 من المقرر </w:t>
      </w:r>
      <w:r w:rsidR="00686E48" w:rsidRPr="005B5347">
        <w:rPr>
          <w:b w:val="0"/>
          <w:bCs/>
          <w:sz w:val="32"/>
          <w:szCs w:val="32"/>
        </w:rPr>
        <w:t>2/XXVIII</w:t>
      </w:r>
      <w:r w:rsidRPr="005B5347">
        <w:rPr>
          <w:rFonts w:hint="cs"/>
          <w:b w:val="0"/>
          <w:bCs/>
          <w:sz w:val="32"/>
          <w:szCs w:val="32"/>
          <w:rtl/>
        </w:rPr>
        <w:t xml:space="preserve">، </w:t>
      </w:r>
      <w:r w:rsidR="00013627" w:rsidRPr="005B5347">
        <w:rPr>
          <w:b w:val="0"/>
          <w:bCs/>
          <w:sz w:val="32"/>
          <w:szCs w:val="32"/>
          <w:rtl/>
        </w:rPr>
        <w:br/>
      </w:r>
      <w:r w:rsidRPr="005B5347">
        <w:rPr>
          <w:rFonts w:hint="cs"/>
          <w:b w:val="0"/>
          <w:bCs/>
          <w:sz w:val="32"/>
          <w:szCs w:val="32"/>
          <w:rtl/>
        </w:rPr>
        <w:t xml:space="preserve">والفقرة 2 من المقرر </w:t>
      </w:r>
      <w:r w:rsidR="00686E48" w:rsidRPr="005B5347">
        <w:rPr>
          <w:b w:val="0"/>
          <w:bCs/>
          <w:sz w:val="32"/>
          <w:szCs w:val="32"/>
        </w:rPr>
        <w:t>5/XXX</w:t>
      </w:r>
      <w:r w:rsidRPr="005B5347">
        <w:rPr>
          <w:rFonts w:hint="cs"/>
          <w:b w:val="0"/>
          <w:bCs/>
          <w:sz w:val="32"/>
          <w:szCs w:val="32"/>
          <w:rtl/>
        </w:rPr>
        <w:t xml:space="preserve"> للأطراف (المقرر 82/83(ج))</w:t>
      </w:r>
    </w:p>
    <w:p w:rsidR="003919B9" w:rsidRPr="005B5347" w:rsidRDefault="003919B9" w:rsidP="00B74F76">
      <w:pPr>
        <w:tabs>
          <w:tab w:val="left" w:pos="8280"/>
        </w:tabs>
        <w:bidi/>
      </w:pPr>
    </w:p>
    <w:p w:rsidR="00EB56BA" w:rsidRPr="002407C3" w:rsidRDefault="00686E48" w:rsidP="00B74F76">
      <w:pPr>
        <w:bidi/>
        <w:spacing w:after="240"/>
        <w:outlineLvl w:val="0"/>
        <w:rPr>
          <w:bCs/>
          <w:sz w:val="26"/>
          <w:szCs w:val="26"/>
        </w:rPr>
      </w:pPr>
      <w:r>
        <w:rPr>
          <w:rFonts w:hint="cs"/>
          <w:bCs/>
          <w:sz w:val="26"/>
          <w:szCs w:val="26"/>
          <w:rtl/>
        </w:rPr>
        <w:t>خلفيـــة</w:t>
      </w:r>
    </w:p>
    <w:p w:rsidR="00013627" w:rsidRPr="002407C3" w:rsidRDefault="00013627" w:rsidP="00013627">
      <w:pPr>
        <w:pStyle w:val="Heading1"/>
        <w:numPr>
          <w:ilvl w:val="0"/>
          <w:numId w:val="48"/>
        </w:numPr>
        <w:bidi/>
        <w:rPr>
          <w:sz w:val="26"/>
          <w:szCs w:val="26"/>
        </w:rPr>
      </w:pPr>
      <w:r w:rsidRPr="002407C3">
        <w:rPr>
          <w:rFonts w:hint="cs"/>
          <w:sz w:val="26"/>
          <w:szCs w:val="26"/>
          <w:rtl/>
        </w:rPr>
        <w:t>نظرت اللجنة التنفيذية خلال اجتماعها الثاني والثمانين وثيقة أعدتها الأمانة تقدم ملخصا لمداولات الأطراف خلال الاجتماع الأربعين للفريق العامل المفتوح العضوية للأطراف والاجتماع الثلاثين للأطراف في بروتوكول مونتريال بشأن التقرير الذي أعده فريق التكنولوجيا والتقييم الاقتصادي للقضايا ذات الصلة بكفاءة استخدام الطاقة.</w:t>
      </w:r>
      <w:r w:rsidRPr="002407C3">
        <w:rPr>
          <w:rStyle w:val="FootnoteReference"/>
          <w:sz w:val="26"/>
          <w:szCs w:val="26"/>
        </w:rPr>
        <w:t xml:space="preserve"> </w:t>
      </w:r>
      <w:r w:rsidRPr="002407C3">
        <w:rPr>
          <w:rStyle w:val="FootnoteReference"/>
          <w:sz w:val="26"/>
          <w:szCs w:val="26"/>
        </w:rPr>
        <w:footnoteReference w:id="1"/>
      </w:r>
    </w:p>
    <w:p w:rsidR="00013627" w:rsidRPr="002407C3" w:rsidRDefault="004C5E42" w:rsidP="00686E48">
      <w:pPr>
        <w:pStyle w:val="Heading1"/>
        <w:bidi/>
        <w:rPr>
          <w:sz w:val="26"/>
          <w:szCs w:val="26"/>
        </w:rPr>
      </w:pPr>
      <w:r w:rsidRPr="002407C3">
        <w:rPr>
          <w:rFonts w:hint="cs"/>
          <w:sz w:val="26"/>
          <w:szCs w:val="26"/>
          <w:rtl/>
        </w:rPr>
        <w:t>وقدمت</w:t>
      </w:r>
      <w:r w:rsidR="00CB2735" w:rsidRPr="002407C3">
        <w:rPr>
          <w:rFonts w:hint="cs"/>
          <w:sz w:val="26"/>
          <w:szCs w:val="26"/>
          <w:rtl/>
        </w:rPr>
        <w:t xml:space="preserve"> الوثيقة بإيجاز، </w:t>
      </w:r>
      <w:r w:rsidR="00CB2735" w:rsidRPr="002407C3">
        <w:rPr>
          <w:rFonts w:hint="cs"/>
          <w:i/>
          <w:iCs/>
          <w:sz w:val="26"/>
          <w:szCs w:val="26"/>
          <w:rtl/>
        </w:rPr>
        <w:t>ضمن جملة أمور</w:t>
      </w:r>
      <w:r w:rsidR="00CB2735" w:rsidRPr="002407C3">
        <w:rPr>
          <w:rFonts w:hint="cs"/>
          <w:sz w:val="26"/>
          <w:szCs w:val="26"/>
          <w:rtl/>
        </w:rPr>
        <w:t xml:space="preserve">، الإجراءات التي اتخذت استجابة للمقرر </w:t>
      </w:r>
      <w:r w:rsidR="00686E48">
        <w:rPr>
          <w:sz w:val="26"/>
          <w:szCs w:val="26"/>
        </w:rPr>
        <w:t>10/XXIX</w:t>
      </w:r>
      <w:r w:rsidR="00CB2735" w:rsidRPr="002407C3">
        <w:rPr>
          <w:rFonts w:hint="cs"/>
          <w:sz w:val="26"/>
          <w:szCs w:val="26"/>
          <w:rtl/>
        </w:rPr>
        <w:t>،</w:t>
      </w:r>
      <w:r w:rsidR="00CB2735" w:rsidRPr="002407C3">
        <w:rPr>
          <w:rStyle w:val="FootnoteReference"/>
          <w:sz w:val="26"/>
          <w:szCs w:val="26"/>
        </w:rPr>
        <w:footnoteReference w:id="2"/>
      </w:r>
      <w:r w:rsidR="00CB2735" w:rsidRPr="002407C3">
        <w:rPr>
          <w:rFonts w:hint="cs"/>
          <w:sz w:val="26"/>
          <w:szCs w:val="26"/>
          <w:rtl/>
        </w:rPr>
        <w:t xml:space="preserve"> وخاصة فيما يتعلق بتقرير فريق التكنولوجيا والتقييم الاقتصادي بشأن المسائل المتعلقة بكفاءة استخدام الطاقة، وحلقة العمل المعنية بفرص كفاءة استخدام الطاقة مع خفض المواد الهيدروفلوروكربون التي عقدت</w:t>
      </w:r>
      <w:r w:rsidR="001C2139" w:rsidRPr="002407C3">
        <w:rPr>
          <w:rFonts w:hint="cs"/>
          <w:sz w:val="26"/>
          <w:szCs w:val="26"/>
          <w:rtl/>
        </w:rPr>
        <w:t xml:space="preserve"> على هامش الاجتماع الأربعين</w:t>
      </w:r>
      <w:r w:rsidR="00CB2735" w:rsidRPr="002407C3">
        <w:rPr>
          <w:rFonts w:hint="cs"/>
          <w:sz w:val="26"/>
          <w:szCs w:val="26"/>
          <w:rtl/>
        </w:rPr>
        <w:t xml:space="preserve"> بالاقتران مع الفريق العامل المفتوح العضوية.</w:t>
      </w:r>
    </w:p>
    <w:p w:rsidR="001C2139" w:rsidRPr="002407C3" w:rsidRDefault="001C2139" w:rsidP="00686E48">
      <w:pPr>
        <w:pStyle w:val="Heading1"/>
        <w:bidi/>
        <w:rPr>
          <w:sz w:val="26"/>
          <w:szCs w:val="26"/>
        </w:rPr>
      </w:pPr>
      <w:r w:rsidRPr="002407C3">
        <w:rPr>
          <w:rFonts w:hint="cs"/>
          <w:sz w:val="26"/>
          <w:szCs w:val="26"/>
          <w:rtl/>
        </w:rPr>
        <w:t xml:space="preserve">وفي أعقاب المناقشات، طلبت اللجنة التنفيذية، </w:t>
      </w:r>
      <w:r w:rsidRPr="002407C3">
        <w:rPr>
          <w:rFonts w:hint="cs"/>
          <w:i/>
          <w:iCs/>
          <w:sz w:val="26"/>
          <w:szCs w:val="26"/>
          <w:rtl/>
        </w:rPr>
        <w:t>ضمن جملة أمور</w:t>
      </w:r>
      <w:r w:rsidRPr="002407C3">
        <w:rPr>
          <w:rFonts w:hint="cs"/>
          <w:sz w:val="26"/>
          <w:szCs w:val="26"/>
          <w:rtl/>
        </w:rPr>
        <w:t>، من الأمانة</w:t>
      </w:r>
      <w:r w:rsidR="000B4E78" w:rsidRPr="002407C3">
        <w:rPr>
          <w:rFonts w:hint="cs"/>
          <w:sz w:val="26"/>
          <w:szCs w:val="26"/>
          <w:rtl/>
        </w:rPr>
        <w:t xml:space="preserve"> أن تعد ورقة للنظر من جانب اللجنة التنفيذية خلال اجتماعها الثالث والثمانين تتناول سبل تفعيل الفقرة 16 من المقرر </w:t>
      </w:r>
      <w:r w:rsidR="00686E48">
        <w:rPr>
          <w:sz w:val="26"/>
          <w:szCs w:val="26"/>
        </w:rPr>
        <w:t>2/XXVIII</w:t>
      </w:r>
      <w:r w:rsidR="000B4E78" w:rsidRPr="002407C3">
        <w:rPr>
          <w:rFonts w:hint="cs"/>
          <w:sz w:val="26"/>
          <w:szCs w:val="26"/>
          <w:rtl/>
        </w:rPr>
        <w:t xml:space="preserve"> والفقرة 2 من </w:t>
      </w:r>
      <w:r w:rsidR="000B4E78" w:rsidRPr="002407C3">
        <w:rPr>
          <w:rFonts w:hint="cs"/>
          <w:sz w:val="26"/>
          <w:szCs w:val="26"/>
          <w:rtl/>
        </w:rPr>
        <w:lastRenderedPageBreak/>
        <w:t xml:space="preserve">المقرر </w:t>
      </w:r>
      <w:r w:rsidR="00686E48">
        <w:rPr>
          <w:sz w:val="26"/>
          <w:szCs w:val="26"/>
        </w:rPr>
        <w:t>5/XXX</w:t>
      </w:r>
      <w:r w:rsidR="000B4E78" w:rsidRPr="002407C3">
        <w:rPr>
          <w:rFonts w:hint="cs"/>
          <w:sz w:val="26"/>
          <w:szCs w:val="26"/>
          <w:rtl/>
        </w:rPr>
        <w:t xml:space="preserve"> على أن تأخذ في الاعتبار المعايير ومؤشرات الأداء وما يرتبط بذلك من آليات التمويل الخاصة بخطط قطاع الخدمة ضمن خطط إدارة إزالة المواد الهيدروكلوروفلوروكربونية القائمة أو الجديدة بالنسبة للبلدان التي ينخفض فيها حجم الاستهلاك (المقرر 82/83 (ج)).</w:t>
      </w:r>
    </w:p>
    <w:p w:rsidR="000B4E78" w:rsidRPr="002407C3" w:rsidRDefault="000B4E78" w:rsidP="00B74F76">
      <w:pPr>
        <w:keepNext/>
        <w:bidi/>
        <w:rPr>
          <w:sz w:val="26"/>
          <w:szCs w:val="26"/>
          <w:u w:val="single"/>
          <w:rtl/>
        </w:rPr>
      </w:pPr>
      <w:r w:rsidRPr="002407C3">
        <w:rPr>
          <w:rFonts w:hint="cs"/>
          <w:sz w:val="26"/>
          <w:szCs w:val="26"/>
          <w:u w:val="single"/>
          <w:rtl/>
        </w:rPr>
        <w:t>تحليل للمقرر 82/83 (ج)</w:t>
      </w:r>
    </w:p>
    <w:p w:rsidR="00EB56BA" w:rsidRPr="002407C3" w:rsidRDefault="00EB56BA" w:rsidP="00B74F76">
      <w:pPr>
        <w:keepNext/>
        <w:bidi/>
        <w:rPr>
          <w:sz w:val="26"/>
          <w:szCs w:val="26"/>
        </w:rPr>
      </w:pPr>
    </w:p>
    <w:p w:rsidR="000B4E78" w:rsidRPr="002407C3" w:rsidRDefault="000B4E78" w:rsidP="006C05B1">
      <w:pPr>
        <w:pStyle w:val="Heading1"/>
        <w:bidi/>
        <w:rPr>
          <w:sz w:val="26"/>
          <w:szCs w:val="26"/>
        </w:rPr>
      </w:pPr>
      <w:r w:rsidRPr="002407C3">
        <w:rPr>
          <w:rFonts w:hint="cs"/>
          <w:sz w:val="26"/>
          <w:szCs w:val="26"/>
          <w:rtl/>
        </w:rPr>
        <w:t>يشير المقرر 82/83 (ج) بصورة مباشرة الى الفقرة 16</w:t>
      </w:r>
      <w:r w:rsidR="008B0199">
        <w:rPr>
          <w:rFonts w:hint="cs"/>
          <w:sz w:val="26"/>
          <w:szCs w:val="26"/>
          <w:rtl/>
        </w:rPr>
        <w:t xml:space="preserve">من المقرر </w:t>
      </w:r>
      <w:r w:rsidR="006C05B1">
        <w:rPr>
          <w:sz w:val="26"/>
          <w:szCs w:val="26"/>
          <w:lang w:val="en-US"/>
        </w:rPr>
        <w:t>2</w:t>
      </w:r>
      <w:r w:rsidR="008B0199">
        <w:rPr>
          <w:sz w:val="26"/>
          <w:szCs w:val="26"/>
          <w:lang w:val="en-US"/>
        </w:rPr>
        <w:t>/XXVIII</w:t>
      </w:r>
      <w:r w:rsidR="008B0199">
        <w:rPr>
          <w:rFonts w:hint="cs"/>
          <w:sz w:val="26"/>
          <w:szCs w:val="26"/>
          <w:rtl/>
        </w:rPr>
        <w:t xml:space="preserve"> </w:t>
      </w:r>
      <w:r w:rsidR="00AF2A83" w:rsidRPr="002407C3">
        <w:rPr>
          <w:rStyle w:val="FootnoteReference"/>
          <w:sz w:val="26"/>
          <w:szCs w:val="26"/>
        </w:rPr>
        <w:footnoteReference w:id="3"/>
      </w:r>
      <w:r w:rsidRPr="002407C3">
        <w:rPr>
          <w:rFonts w:hint="cs"/>
          <w:sz w:val="26"/>
          <w:szCs w:val="26"/>
          <w:rtl/>
        </w:rPr>
        <w:t xml:space="preserve">، والفقرة 2 من المقرر </w:t>
      </w:r>
      <w:r w:rsidR="008B0199">
        <w:rPr>
          <w:sz w:val="26"/>
          <w:szCs w:val="26"/>
        </w:rPr>
        <w:t>5/XXX</w:t>
      </w:r>
      <w:r w:rsidRPr="002407C3">
        <w:rPr>
          <w:rFonts w:hint="cs"/>
          <w:sz w:val="26"/>
          <w:szCs w:val="26"/>
          <w:rtl/>
        </w:rPr>
        <w:t>،</w:t>
      </w:r>
      <w:r w:rsidRPr="002407C3">
        <w:rPr>
          <w:rStyle w:val="FootnoteReference"/>
          <w:sz w:val="26"/>
          <w:szCs w:val="26"/>
        </w:rPr>
        <w:footnoteReference w:id="4"/>
      </w:r>
      <w:r w:rsidRPr="002407C3">
        <w:rPr>
          <w:rFonts w:hint="cs"/>
          <w:sz w:val="26"/>
          <w:szCs w:val="26"/>
          <w:rtl/>
        </w:rPr>
        <w:t xml:space="preserve"> </w:t>
      </w:r>
      <w:r w:rsidR="00DE1ADD" w:rsidRPr="002407C3">
        <w:rPr>
          <w:rFonts w:hint="cs"/>
          <w:sz w:val="26"/>
          <w:szCs w:val="26"/>
          <w:rtl/>
        </w:rPr>
        <w:t>ويتضمن الفقرة 1 من المقرر</w:t>
      </w:r>
      <w:r w:rsidR="008B0199">
        <w:rPr>
          <w:sz w:val="26"/>
          <w:szCs w:val="26"/>
        </w:rPr>
        <w:t>5/XXX</w:t>
      </w:r>
      <w:r w:rsidR="00DE1ADD" w:rsidRPr="002407C3">
        <w:rPr>
          <w:rFonts w:hint="cs"/>
          <w:sz w:val="26"/>
          <w:szCs w:val="26"/>
          <w:rtl/>
        </w:rPr>
        <w:t xml:space="preserve"> </w:t>
      </w:r>
      <w:r w:rsidR="008B0199">
        <w:rPr>
          <w:sz w:val="26"/>
          <w:szCs w:val="26"/>
        </w:rPr>
        <w:t xml:space="preserve"> </w:t>
      </w:r>
      <w:r w:rsidR="00AF2A83" w:rsidRPr="002407C3">
        <w:rPr>
          <w:rStyle w:val="FootnoteReference"/>
          <w:sz w:val="26"/>
          <w:szCs w:val="26"/>
        </w:rPr>
        <w:footnoteReference w:id="5"/>
      </w:r>
      <w:r w:rsidR="00DE1ADD" w:rsidRPr="002407C3">
        <w:rPr>
          <w:rFonts w:hint="cs"/>
          <w:sz w:val="26"/>
          <w:szCs w:val="26"/>
          <w:rtl/>
        </w:rPr>
        <w:t xml:space="preserve">، </w:t>
      </w:r>
      <w:r w:rsidRPr="002407C3">
        <w:rPr>
          <w:rFonts w:hint="cs"/>
          <w:sz w:val="26"/>
          <w:szCs w:val="26"/>
          <w:rtl/>
        </w:rPr>
        <w:t>(توفير الدعم لسياسات كفاءة استخدام الطاقة ودعم التدريب من حيث صلته بخفض المواد الخاضعة للرقابة) فضلا عن الفقرة (ج)(12) من</w:t>
      </w:r>
      <w:r w:rsidR="006C05B1">
        <w:rPr>
          <w:sz w:val="26"/>
          <w:szCs w:val="26"/>
        </w:rPr>
        <w:t xml:space="preserve"> </w:t>
      </w:r>
      <w:r w:rsidR="006C05B1">
        <w:rPr>
          <w:rFonts w:hint="cs"/>
          <w:sz w:val="26"/>
          <w:szCs w:val="26"/>
          <w:rtl/>
          <w:lang w:bidi="ar-AE"/>
        </w:rPr>
        <w:t xml:space="preserve"> المقرر </w:t>
      </w:r>
      <w:r w:rsidR="006C05B1">
        <w:rPr>
          <w:sz w:val="26"/>
          <w:szCs w:val="26"/>
          <w:lang w:val="en-US" w:bidi="ar-AE"/>
        </w:rPr>
        <w:t>50/74</w:t>
      </w:r>
      <w:r w:rsidRPr="002407C3">
        <w:rPr>
          <w:rFonts w:hint="cs"/>
          <w:sz w:val="26"/>
          <w:szCs w:val="26"/>
          <w:rtl/>
        </w:rPr>
        <w:t xml:space="preserve"> </w:t>
      </w:r>
      <w:r w:rsidR="00DE1ADD" w:rsidRPr="002407C3">
        <w:rPr>
          <w:rStyle w:val="FootnoteReference"/>
          <w:sz w:val="26"/>
          <w:szCs w:val="26"/>
        </w:rPr>
        <w:footnoteReference w:id="6"/>
      </w:r>
      <w:r w:rsidRPr="002407C3">
        <w:rPr>
          <w:rFonts w:hint="cs"/>
          <w:sz w:val="26"/>
          <w:szCs w:val="26"/>
          <w:rtl/>
        </w:rPr>
        <w:t>، (آليات التمويل لخطط قطاع الخدمة).</w:t>
      </w:r>
    </w:p>
    <w:p w:rsidR="000B4E78" w:rsidRPr="002407C3" w:rsidRDefault="002A6238" w:rsidP="00B74F76">
      <w:pPr>
        <w:pStyle w:val="Heading1"/>
        <w:bidi/>
        <w:rPr>
          <w:sz w:val="26"/>
          <w:szCs w:val="26"/>
        </w:rPr>
      </w:pPr>
      <w:r w:rsidRPr="002407C3">
        <w:rPr>
          <w:rFonts w:hint="cs"/>
          <w:sz w:val="26"/>
          <w:szCs w:val="26"/>
          <w:rtl/>
        </w:rPr>
        <w:t>وسيؤدي النظر الى نص المقرر ذات الصلة الى استخلاص مايلي من المقرر 82/83(ج):</w:t>
      </w:r>
    </w:p>
    <w:p w:rsidR="002A6238" w:rsidRPr="002407C3" w:rsidRDefault="00DE1ADD" w:rsidP="00B74F76">
      <w:pPr>
        <w:pStyle w:val="Heading1"/>
        <w:numPr>
          <w:ilvl w:val="0"/>
          <w:numId w:val="0"/>
        </w:numPr>
        <w:bidi/>
        <w:ind w:left="720"/>
        <w:rPr>
          <w:sz w:val="26"/>
          <w:szCs w:val="26"/>
          <w:rtl/>
        </w:rPr>
      </w:pPr>
      <w:r w:rsidRPr="002407C3">
        <w:rPr>
          <w:rFonts w:hint="cs"/>
          <w:sz w:val="26"/>
          <w:szCs w:val="26"/>
          <w:rtl/>
        </w:rPr>
        <w:t>أن يطلب من الأمانة إعداد ورقة للنظر من جانب اللجنة التنفيذية خلال اجتماعها الثالث والثمانين تتناول سبل تفعيل زيادة في التمويل فيما يتعلق بقطاع الخدمة المتوافر في المقرر 74/50 للبلدان التي ينخفض فيها حجم الاستهلاك لدى الحاجة إليه لمايلي، (أ) توفير بدائل منخفضة أو منعدمة القدرة على الاحترار العالمي للمواد الهيدروكلوروفلوروكربونية أو الهيدروفلوروكربون والمحافظة على كفاءة استخدام الطاقة في قطاع الخدمة والاستخدامات النهائية</w:t>
      </w:r>
      <w:r w:rsidRPr="002407C3">
        <w:rPr>
          <w:rStyle w:val="FootnoteReference"/>
          <w:rFonts w:eastAsiaTheme="minorHAnsi"/>
          <w:sz w:val="26"/>
          <w:szCs w:val="26"/>
        </w:rPr>
        <w:footnoteReference w:id="7"/>
      </w:r>
      <w:r w:rsidRPr="002407C3">
        <w:rPr>
          <w:rFonts w:hint="cs"/>
          <w:sz w:val="26"/>
          <w:szCs w:val="26"/>
          <w:rtl/>
        </w:rPr>
        <w:t>، (ب) وضع وإنفاذ سياسات وقواعد لتجنب تغلغل أجهزة التبريد وتكييف الهواء ومضخات الحرارة التي تنتفي فيها كفاءة استخدام الطاقة في الأسواق، والترويج لتغلغل الأجهزة التي تتسم بكفاءة استخدام الطاقة بدعم من عمليات التدريب الموجهة بشأن الاعتماد والسلامة والمعايير والتوعية فيما يتعلق بالتوعية وبناء القدرات</w:t>
      </w:r>
      <w:r w:rsidRPr="002407C3">
        <w:rPr>
          <w:rStyle w:val="FootnoteReference"/>
          <w:rFonts w:eastAsia="Cambria"/>
          <w:sz w:val="26"/>
          <w:szCs w:val="26"/>
        </w:rPr>
        <w:footnoteReference w:id="8"/>
      </w:r>
      <w:r w:rsidRPr="002407C3">
        <w:rPr>
          <w:rFonts w:hint="cs"/>
          <w:sz w:val="26"/>
          <w:szCs w:val="26"/>
          <w:rtl/>
        </w:rPr>
        <w:t>، (ج) مراعاة المعايير ومؤشرات الأداء وما يرتبط به من آليات تمويل لخطط قطاع الخدمة في خطط إدارة إزالة المواد الهيدروفلوروكربونية القائمة أو الجديدة.</w:t>
      </w:r>
    </w:p>
    <w:p w:rsidR="00A77C59" w:rsidRPr="002407C3" w:rsidRDefault="00A77C59" w:rsidP="00B74F76">
      <w:pPr>
        <w:pStyle w:val="Heading1"/>
        <w:bidi/>
        <w:rPr>
          <w:sz w:val="26"/>
          <w:szCs w:val="26"/>
        </w:rPr>
      </w:pPr>
      <w:r w:rsidRPr="002407C3">
        <w:rPr>
          <w:rFonts w:hint="cs"/>
          <w:sz w:val="26"/>
          <w:szCs w:val="26"/>
          <w:rtl/>
        </w:rPr>
        <w:t>ويلاحظ مما جاء أعلاه أن تركيز هذا المقرر ينصب على زيادة التمويل المتوافر بموجب المقرر 74/50 لخطط إدارة إزالة المواد الهيدروكلوروفلوروكربونية بشأن البلدان التي ينخفض فيها حجم الاستهلاك لإدخال بدائل منخفضة أو منعدمة القدرة على الاحترار العالمي للمواد الهيدروكلوروفلوروكربونية أو الهيدروفلوروكربونية والمحافظة على كفاءة استخدام الطاقة مع معالجة استهلاك الهيدروكلوروفلوروكربون في قطاع الخدمة.</w:t>
      </w:r>
    </w:p>
    <w:p w:rsidR="00A77C59" w:rsidRPr="002407C3" w:rsidRDefault="00A77C59" w:rsidP="00B74F76">
      <w:pPr>
        <w:pStyle w:val="Heading1"/>
        <w:bidi/>
        <w:rPr>
          <w:sz w:val="26"/>
          <w:szCs w:val="26"/>
        </w:rPr>
      </w:pPr>
      <w:r w:rsidRPr="002407C3">
        <w:rPr>
          <w:rFonts w:hint="cs"/>
          <w:sz w:val="26"/>
          <w:szCs w:val="26"/>
          <w:rtl/>
        </w:rPr>
        <w:t>وقد أعدت الأمانة هذه الوثيقة استجابة للمقرر 82/83(ج) في ضوء ماتقدم.</w:t>
      </w:r>
    </w:p>
    <w:p w:rsidR="00EB56BA" w:rsidRPr="002407C3" w:rsidRDefault="00C50D7C" w:rsidP="00B74F76">
      <w:pPr>
        <w:keepNext/>
        <w:bidi/>
        <w:rPr>
          <w:sz w:val="26"/>
          <w:szCs w:val="26"/>
          <w:u w:val="single"/>
        </w:rPr>
      </w:pPr>
      <w:r w:rsidRPr="002407C3">
        <w:rPr>
          <w:rFonts w:hint="cs"/>
          <w:sz w:val="26"/>
          <w:szCs w:val="26"/>
          <w:u w:val="single"/>
          <w:rtl/>
        </w:rPr>
        <w:lastRenderedPageBreak/>
        <w:t>نطاق الوثيقة</w:t>
      </w:r>
    </w:p>
    <w:p w:rsidR="00EB56BA" w:rsidRPr="002407C3" w:rsidRDefault="00EB56BA" w:rsidP="00B74F76">
      <w:pPr>
        <w:keepNext/>
        <w:bidi/>
        <w:rPr>
          <w:sz w:val="26"/>
          <w:szCs w:val="26"/>
        </w:rPr>
      </w:pPr>
    </w:p>
    <w:p w:rsidR="00C50D7C" w:rsidRPr="002407C3" w:rsidRDefault="004022E7" w:rsidP="00B74F76">
      <w:pPr>
        <w:pStyle w:val="Heading1"/>
        <w:bidi/>
        <w:rPr>
          <w:sz w:val="26"/>
          <w:szCs w:val="26"/>
        </w:rPr>
      </w:pPr>
      <w:r w:rsidRPr="002407C3">
        <w:rPr>
          <w:rFonts w:hint="cs"/>
          <w:sz w:val="26"/>
          <w:szCs w:val="26"/>
          <w:rtl/>
        </w:rPr>
        <w:t xml:space="preserve">تتألف </w:t>
      </w:r>
      <w:r w:rsidR="00835BDE" w:rsidRPr="002407C3">
        <w:rPr>
          <w:rFonts w:hint="cs"/>
          <w:sz w:val="26"/>
          <w:szCs w:val="26"/>
          <w:rtl/>
        </w:rPr>
        <w:t>الوثيقة من الأقسام التالية التي تتناول القضايا النوعية المتعلقة بقطاع الخدمة للبلدا</w:t>
      </w:r>
      <w:r w:rsidR="00564C89" w:rsidRPr="002407C3">
        <w:rPr>
          <w:rFonts w:hint="cs"/>
          <w:sz w:val="26"/>
          <w:szCs w:val="26"/>
          <w:rtl/>
        </w:rPr>
        <w:t>ن التي ينخفض فيها حجم الاستهلاك</w:t>
      </w:r>
      <w:r w:rsidR="00564C89" w:rsidRPr="002407C3">
        <w:rPr>
          <w:rStyle w:val="FootnoteReference"/>
          <w:sz w:val="26"/>
          <w:szCs w:val="26"/>
        </w:rPr>
        <w:footnoteReference w:id="9"/>
      </w:r>
      <w:r w:rsidR="00564C89" w:rsidRPr="002407C3">
        <w:rPr>
          <w:rFonts w:hint="cs"/>
          <w:sz w:val="26"/>
          <w:szCs w:val="26"/>
          <w:rtl/>
        </w:rPr>
        <w:t>:</w:t>
      </w:r>
    </w:p>
    <w:p w:rsidR="00564C89" w:rsidRPr="002407C3" w:rsidRDefault="00564C89" w:rsidP="00B74F76">
      <w:pPr>
        <w:pStyle w:val="Heading2"/>
        <w:numPr>
          <w:ilvl w:val="0"/>
          <w:numId w:val="0"/>
        </w:numPr>
        <w:bidi/>
        <w:ind w:left="720"/>
        <w:rPr>
          <w:sz w:val="26"/>
          <w:szCs w:val="26"/>
          <w:rtl/>
        </w:rPr>
      </w:pPr>
      <w:r w:rsidRPr="002407C3">
        <w:rPr>
          <w:rFonts w:hint="cs"/>
          <w:sz w:val="26"/>
          <w:szCs w:val="26"/>
          <w:u w:val="single"/>
          <w:rtl/>
        </w:rPr>
        <w:t>إدخال بدائل الهيدروفلوروكلوروكربون والمواد الهيدروفلوروكربونية: التي تنخفض فيها أو تنتفي القدرة على الاحترار العالمي</w:t>
      </w:r>
      <w:r w:rsidRPr="002407C3">
        <w:rPr>
          <w:rFonts w:hint="cs"/>
          <w:sz w:val="26"/>
          <w:szCs w:val="26"/>
          <w:rtl/>
        </w:rPr>
        <w:t xml:space="preserve"> يقدم عرضا عاما لقطاع خدمة التبريد والإطار التنظيمي الذي وضع في بلدان المادة 5 مما يتيح، </w:t>
      </w:r>
      <w:r w:rsidRPr="002407C3">
        <w:rPr>
          <w:rFonts w:hint="cs"/>
          <w:i/>
          <w:iCs/>
          <w:sz w:val="26"/>
          <w:szCs w:val="26"/>
          <w:rtl/>
        </w:rPr>
        <w:t>ضمن جملة أمور</w:t>
      </w:r>
      <w:r w:rsidRPr="002407C3">
        <w:rPr>
          <w:rFonts w:hint="cs"/>
          <w:sz w:val="26"/>
          <w:szCs w:val="26"/>
          <w:rtl/>
        </w:rPr>
        <w:t>، تنفيذ الرقابة على أجهزة التبريد وتكييف الهواء ومضخات الحرارة استنادا الى المواد الخاضعة للرقابة التي ترتفع فيها القدرة على ارتفاع قدرات الاحترار العالمي. ويتناول هذا القسم الحواجز المحتملة أمام إدخال التكنولوجيات البديلة المنخفضة أو المنعدمة القدرة على الاحترار العالمي والكيفية التي تعالج بلدان المادة 5 هذه الحواجز خلال تنفيذ خطط إدارة إزالة المواد الهيدروكلوروفلوروكربونية كما يقدم هذا القسم عرضا عاما لتطبيق المعايير وكيفية الاستفادة منها في دعم تطبيق البدائل المنخفضة القدرة على الاحترار العالمي في سياق إزالة الهيدروكلوروفلوروكربون.</w:t>
      </w:r>
    </w:p>
    <w:p w:rsidR="00DE1AC7" w:rsidRPr="002407C3" w:rsidRDefault="00DE1AC7" w:rsidP="00B74F76">
      <w:pPr>
        <w:bidi/>
        <w:ind w:left="720" w:hanging="720"/>
        <w:rPr>
          <w:sz w:val="26"/>
          <w:szCs w:val="26"/>
          <w:rtl/>
        </w:rPr>
      </w:pPr>
      <w:r w:rsidRPr="002407C3">
        <w:rPr>
          <w:rFonts w:hint="cs"/>
          <w:sz w:val="26"/>
          <w:szCs w:val="26"/>
          <w:rtl/>
        </w:rPr>
        <w:tab/>
      </w:r>
      <w:r w:rsidRPr="002407C3">
        <w:rPr>
          <w:rFonts w:hint="cs"/>
          <w:sz w:val="26"/>
          <w:szCs w:val="26"/>
          <w:u w:val="single"/>
          <w:rtl/>
        </w:rPr>
        <w:t xml:space="preserve">وضع وإنفاذ سياسات وقواعد </w:t>
      </w:r>
      <w:r w:rsidR="007A54D4" w:rsidRPr="002407C3">
        <w:rPr>
          <w:rFonts w:hint="cs"/>
          <w:sz w:val="26"/>
          <w:szCs w:val="26"/>
          <w:u w:val="single"/>
          <w:rtl/>
        </w:rPr>
        <w:t>لتجنب تغلغل أجهزة التبريد وتكييف الهواء ومضخات الحرارة التي لا تحقق كفاءة الطاقة في الأسواق والترويج لتغلغل الأجهزة التي تتسم بالكفاءة في الأسواق</w:t>
      </w:r>
      <w:r w:rsidR="007A54D4" w:rsidRPr="002407C3">
        <w:rPr>
          <w:rFonts w:hint="cs"/>
          <w:sz w:val="26"/>
          <w:szCs w:val="26"/>
          <w:rtl/>
        </w:rPr>
        <w:t xml:space="preserve">، يقدم عرضا عاما لسياسات كفاءة استخدام الطاقة التي يشيع استخدامها مع التركيز على المعيار الأدنى لأداء الطاقة وتوسيم البرامج ويقدم قائمة بعدد 43 بلدا من بلدان المادة 5 لديها برامج لتطبيق المعيار الأدنى لأداء الطاقة والتوسيم ويتناول تطبيق هذا المعيار على الرقابة على الواردات من أجهزة التبريد وتكييف الهواء ومضخات الحرارة الخاصة </w:t>
      </w:r>
      <w:r w:rsidR="00C46913" w:rsidRPr="002407C3">
        <w:rPr>
          <w:rFonts w:hint="cs"/>
          <w:sz w:val="26"/>
          <w:szCs w:val="26"/>
          <w:rtl/>
        </w:rPr>
        <w:t>بكفاءة استخدام الطاقة (التي تخلو من هذه الكفاءة) بالإضافة الى القواعد التي تشجع على إدخال الغازات البديلة المنخفضة أو المنعدمة القدرة على الاحترار العالمي</w:t>
      </w:r>
      <w:r w:rsidR="00C46913" w:rsidRPr="002407C3">
        <w:rPr>
          <w:rStyle w:val="FootnoteReference"/>
          <w:sz w:val="26"/>
          <w:szCs w:val="26"/>
        </w:rPr>
        <w:footnoteReference w:id="10"/>
      </w:r>
      <w:r w:rsidR="00C46913" w:rsidRPr="002407C3">
        <w:rPr>
          <w:rFonts w:hint="cs"/>
          <w:sz w:val="26"/>
          <w:szCs w:val="26"/>
          <w:rtl/>
        </w:rPr>
        <w:t>.</w:t>
      </w:r>
    </w:p>
    <w:p w:rsidR="00EB56BA" w:rsidRPr="002407C3" w:rsidRDefault="00EB56BA" w:rsidP="00B74F76">
      <w:pPr>
        <w:bidi/>
        <w:rPr>
          <w:sz w:val="26"/>
          <w:szCs w:val="26"/>
        </w:rPr>
      </w:pPr>
    </w:p>
    <w:p w:rsidR="00C46913" w:rsidRPr="002407C3" w:rsidRDefault="00C46913" w:rsidP="00B74F76">
      <w:pPr>
        <w:bidi/>
        <w:ind w:left="720"/>
        <w:rPr>
          <w:sz w:val="26"/>
          <w:szCs w:val="26"/>
          <w:u w:val="single"/>
          <w:rtl/>
        </w:rPr>
      </w:pPr>
      <w:r w:rsidRPr="002407C3">
        <w:rPr>
          <w:rFonts w:hint="cs"/>
          <w:sz w:val="26"/>
          <w:szCs w:val="26"/>
          <w:u w:val="single"/>
          <w:rtl/>
        </w:rPr>
        <w:t>الحفاظ على كفاءة لمستخدم الطاقة في قطاع الخدمة:</w:t>
      </w:r>
      <w:r w:rsidRPr="002407C3">
        <w:rPr>
          <w:rFonts w:hint="cs"/>
          <w:sz w:val="26"/>
          <w:szCs w:val="26"/>
          <w:rtl/>
        </w:rPr>
        <w:t xml:space="preserve"> يتناول بايجاز تأثير وضع وصيانة عمليات الخدمة في ضمان التشغيل الذي يتسم. بالكفاءة لأجهزة التبريد وتكييف الهواء ومضخات الحرارة في أعلى كفاءة ممكنة للطاقة خلال حياة الأجهزة.</w:t>
      </w:r>
    </w:p>
    <w:p w:rsidR="00EB56BA" w:rsidRPr="002407C3" w:rsidRDefault="00EB56BA" w:rsidP="00B74F76">
      <w:pPr>
        <w:bidi/>
        <w:ind w:left="720" w:hanging="720"/>
        <w:rPr>
          <w:rFonts w:eastAsiaTheme="minorHAnsi"/>
          <w:sz w:val="26"/>
          <w:szCs w:val="26"/>
        </w:rPr>
      </w:pPr>
    </w:p>
    <w:p w:rsidR="00C46913" w:rsidRPr="002407C3" w:rsidRDefault="00C46913" w:rsidP="00B74F76">
      <w:pPr>
        <w:bidi/>
        <w:ind w:left="720"/>
        <w:rPr>
          <w:sz w:val="26"/>
          <w:szCs w:val="26"/>
          <w:rtl/>
        </w:rPr>
      </w:pPr>
      <w:r w:rsidRPr="002407C3">
        <w:rPr>
          <w:rFonts w:hint="cs"/>
          <w:sz w:val="26"/>
          <w:szCs w:val="26"/>
          <w:u w:val="single"/>
          <w:rtl/>
        </w:rPr>
        <w:t xml:space="preserve">التدريب الهادف للاعتماد والسلامة </w:t>
      </w:r>
      <w:r w:rsidR="00F95D00" w:rsidRPr="002407C3">
        <w:rPr>
          <w:rFonts w:hint="cs"/>
          <w:sz w:val="26"/>
          <w:szCs w:val="26"/>
          <w:u w:val="single"/>
          <w:rtl/>
        </w:rPr>
        <w:t xml:space="preserve">والمعايير والتوعية وبناء القدرات: </w:t>
      </w:r>
      <w:r w:rsidR="00F95D00" w:rsidRPr="002407C3">
        <w:rPr>
          <w:rFonts w:hint="cs"/>
          <w:sz w:val="26"/>
          <w:szCs w:val="26"/>
          <w:rtl/>
        </w:rPr>
        <w:t>في دعم وإدخال التكنولوجيات البديلة المنخفضة أو المنعدمة القدرة على الاحترار العالمي التي تطبق حاليا في خطط إدارة إزالة المواد الهيدروكلوروفلوروكربونية والأنشطة الإضافية التي قد تمس الحاجة إليها في تلك المسائل.</w:t>
      </w:r>
    </w:p>
    <w:p w:rsidR="00EB56BA" w:rsidRPr="002407C3" w:rsidRDefault="00EB56BA" w:rsidP="00B74F76">
      <w:pPr>
        <w:bidi/>
        <w:rPr>
          <w:rFonts w:eastAsia="Cambria"/>
          <w:sz w:val="26"/>
          <w:szCs w:val="26"/>
        </w:rPr>
      </w:pPr>
    </w:p>
    <w:p w:rsidR="00F95D00" w:rsidRPr="002407C3" w:rsidRDefault="00F95D00" w:rsidP="00B74F76">
      <w:pPr>
        <w:bidi/>
        <w:ind w:left="720"/>
        <w:rPr>
          <w:sz w:val="26"/>
          <w:szCs w:val="26"/>
          <w:u w:val="single"/>
          <w:rtl/>
        </w:rPr>
      </w:pPr>
      <w:r w:rsidRPr="002407C3">
        <w:rPr>
          <w:rFonts w:hint="cs"/>
          <w:sz w:val="26"/>
          <w:szCs w:val="26"/>
          <w:u w:val="single"/>
          <w:rtl/>
        </w:rPr>
        <w:t xml:space="preserve">المعايير ومؤشرات الأداء وما يرتبط بها من آليات التمويل لخطط قطاع الخدمة </w:t>
      </w:r>
      <w:r w:rsidRPr="002407C3">
        <w:rPr>
          <w:rFonts w:hint="cs"/>
          <w:sz w:val="26"/>
          <w:szCs w:val="26"/>
          <w:rtl/>
        </w:rPr>
        <w:t>في خطط إدارة إزالة المواد الهيدروكلوروفلوروكربونية الحالية والجديدة تحدد الخدمة الإضافية التي قد تمس الحاجة إليها لتطبيق العمليات التي قد تكون</w:t>
      </w:r>
      <w:r w:rsidR="007B0378" w:rsidRPr="002407C3">
        <w:rPr>
          <w:rFonts w:hint="cs"/>
          <w:sz w:val="26"/>
          <w:szCs w:val="26"/>
          <w:rtl/>
        </w:rPr>
        <w:t xml:space="preserve"> ضرورية لتطبيق أجهزة التبريد وتكييف الهواء ومضخات الحرارة التي تتسم بكفاءة استخدام الطاقة العاملة بغازات التبريد المنخفضة أو الخالية من قدرات الاحترار العالمي استنادا الى استعراض الإطار التنظيمي وخطط إزالة المواد الخاضعة للرقابة وخاصة تلك الخاصة بقطاع خدمة التبريد. ويقترح طائفة من مؤشرات الأداء وتحليل </w:t>
      </w:r>
      <w:r w:rsidR="008307E8" w:rsidRPr="002407C3">
        <w:rPr>
          <w:rFonts w:hint="cs"/>
          <w:sz w:val="26"/>
          <w:szCs w:val="26"/>
          <w:rtl/>
        </w:rPr>
        <w:t>بإيجاز</w:t>
      </w:r>
      <w:r w:rsidR="007B0378" w:rsidRPr="002407C3">
        <w:rPr>
          <w:rFonts w:hint="cs"/>
          <w:sz w:val="26"/>
          <w:szCs w:val="26"/>
          <w:rtl/>
        </w:rPr>
        <w:t xml:space="preserve"> التكاليف وطرائق التمويل.</w:t>
      </w:r>
    </w:p>
    <w:p w:rsidR="00EB56BA" w:rsidRPr="002407C3" w:rsidRDefault="00EB56BA" w:rsidP="00B74F76">
      <w:pPr>
        <w:bidi/>
        <w:rPr>
          <w:sz w:val="26"/>
          <w:szCs w:val="26"/>
          <w:u w:val="single"/>
        </w:rPr>
      </w:pPr>
    </w:p>
    <w:p w:rsidR="007B0378" w:rsidRPr="002407C3" w:rsidRDefault="007B0378" w:rsidP="00452B92">
      <w:pPr>
        <w:pStyle w:val="Heading1"/>
        <w:bidi/>
        <w:rPr>
          <w:sz w:val="26"/>
          <w:szCs w:val="26"/>
        </w:rPr>
      </w:pPr>
      <w:r w:rsidRPr="002407C3">
        <w:rPr>
          <w:rFonts w:hint="cs"/>
          <w:sz w:val="26"/>
          <w:szCs w:val="26"/>
          <w:rtl/>
        </w:rPr>
        <w:t>ولدى إعداد هذه الوثيقة، أخذت الأمانة في الاعتبار المعلومات المتعلقة بكفاءة استخدام الطاقة الواردة في الوثائق التالية التي سبق أن نظرتها اللجنة التنفيذية أو الأطراف في بروتوكول مونتريال:</w:t>
      </w:r>
      <w:r w:rsidRPr="002407C3">
        <w:rPr>
          <w:rStyle w:val="FootnoteReference"/>
          <w:sz w:val="26"/>
          <w:szCs w:val="26"/>
        </w:rPr>
        <w:t xml:space="preserve"> </w:t>
      </w:r>
      <w:r w:rsidRPr="002407C3">
        <w:rPr>
          <w:rStyle w:val="FootnoteReference"/>
          <w:sz w:val="26"/>
          <w:szCs w:val="26"/>
        </w:rPr>
        <w:footnoteReference w:id="11"/>
      </w:r>
    </w:p>
    <w:p w:rsidR="007B0378" w:rsidRPr="002407C3" w:rsidRDefault="007B0378" w:rsidP="00452B92">
      <w:pPr>
        <w:pStyle w:val="Heading2"/>
        <w:keepNext/>
        <w:keepLines/>
        <w:bidi/>
        <w:ind w:left="1979"/>
        <w:rPr>
          <w:sz w:val="26"/>
          <w:szCs w:val="26"/>
        </w:rPr>
      </w:pPr>
      <w:r w:rsidRPr="002407C3">
        <w:rPr>
          <w:rFonts w:hint="cs"/>
          <w:sz w:val="26"/>
          <w:szCs w:val="26"/>
          <w:rtl/>
        </w:rPr>
        <w:lastRenderedPageBreak/>
        <w:t>المسائل ذات الصلة باللجنة التنفيذية الناشئة عن الاجتماع الثامن والعشرين للأطراف في بروتوكول ومونتريا</w:t>
      </w:r>
      <w:r w:rsidR="008A59B6" w:rsidRPr="002407C3">
        <w:rPr>
          <w:rFonts w:hint="cs"/>
          <w:sz w:val="26"/>
          <w:szCs w:val="26"/>
          <w:rtl/>
        </w:rPr>
        <w:t>ل</w:t>
      </w:r>
      <w:r w:rsidR="008A59B6" w:rsidRPr="002407C3">
        <w:rPr>
          <w:rStyle w:val="FootnoteReference"/>
          <w:sz w:val="26"/>
          <w:szCs w:val="26"/>
        </w:rPr>
        <w:footnoteReference w:id="12"/>
      </w:r>
      <w:r w:rsidR="008A59B6" w:rsidRPr="002407C3">
        <w:rPr>
          <w:rFonts w:hint="cs"/>
          <w:sz w:val="26"/>
          <w:szCs w:val="26"/>
          <w:rtl/>
        </w:rPr>
        <w:t>؛</w:t>
      </w:r>
    </w:p>
    <w:p w:rsidR="008A59B6" w:rsidRPr="002407C3" w:rsidRDefault="008A59B6" w:rsidP="00B74F76">
      <w:pPr>
        <w:pStyle w:val="Heading2"/>
        <w:bidi/>
        <w:rPr>
          <w:sz w:val="26"/>
          <w:szCs w:val="26"/>
        </w:rPr>
      </w:pPr>
      <w:r w:rsidRPr="002407C3">
        <w:rPr>
          <w:rFonts w:hint="cs"/>
          <w:sz w:val="26"/>
          <w:szCs w:val="26"/>
          <w:rtl/>
        </w:rPr>
        <w:t xml:space="preserve">المعلومات ذات الصلة بوضع المبادئ التوجيهية للتكاليف الخاصة بإزالة المواد </w:t>
      </w:r>
      <w:r w:rsidR="007A2046" w:rsidRPr="002407C3">
        <w:rPr>
          <w:rFonts w:hint="cs"/>
          <w:sz w:val="26"/>
          <w:szCs w:val="26"/>
          <w:rtl/>
        </w:rPr>
        <w:t>الهيدروفلوروكربون في بلدان المادة 5، ومشروع المعايير المتعلقة بالتمويل؛</w:t>
      </w:r>
      <w:r w:rsidR="007A2046" w:rsidRPr="002407C3">
        <w:rPr>
          <w:rStyle w:val="FootnoteReference"/>
          <w:sz w:val="26"/>
          <w:szCs w:val="26"/>
        </w:rPr>
        <w:footnoteReference w:id="13"/>
      </w:r>
    </w:p>
    <w:p w:rsidR="007A2046" w:rsidRPr="002407C3" w:rsidRDefault="007A2046" w:rsidP="00B74F76">
      <w:pPr>
        <w:pStyle w:val="Heading2"/>
        <w:keepNext/>
        <w:keepLines/>
        <w:bidi/>
        <w:rPr>
          <w:sz w:val="26"/>
          <w:szCs w:val="26"/>
        </w:rPr>
      </w:pPr>
      <w:r w:rsidRPr="002407C3">
        <w:rPr>
          <w:rFonts w:hint="cs"/>
          <w:sz w:val="26"/>
          <w:szCs w:val="26"/>
          <w:rtl/>
        </w:rPr>
        <w:t>وثيقة أولية عن جميع الجوانب ذات الصلة بقطاع خدمة التبريد التي تدعم خفض الهيدروفلوروكربون (المقرر 80/76(ج)).</w:t>
      </w:r>
      <w:r w:rsidRPr="002407C3">
        <w:rPr>
          <w:rStyle w:val="FootnoteReference"/>
          <w:sz w:val="26"/>
          <w:szCs w:val="26"/>
        </w:rPr>
        <w:t xml:space="preserve"> </w:t>
      </w:r>
      <w:r w:rsidRPr="002407C3">
        <w:rPr>
          <w:rStyle w:val="FootnoteReference"/>
          <w:sz w:val="26"/>
          <w:szCs w:val="26"/>
        </w:rPr>
        <w:footnoteReference w:id="14"/>
      </w:r>
      <w:r w:rsidRPr="002407C3">
        <w:rPr>
          <w:rFonts w:hint="cs"/>
          <w:sz w:val="26"/>
          <w:szCs w:val="26"/>
          <w:rtl/>
        </w:rPr>
        <w:t xml:space="preserve"> وتقدم الوثيقة عرضا عاما شاملا لقطاع خدمة التبريد في جميع بلدان المادة 5 وتتناول بالتفصيل معظم العناصر الواردة في المقرر 82/83(ج)؛</w:t>
      </w:r>
    </w:p>
    <w:p w:rsidR="007A2046" w:rsidRPr="002407C3" w:rsidRDefault="007A2046" w:rsidP="00AF7524">
      <w:pPr>
        <w:pStyle w:val="Heading2"/>
        <w:bidi/>
        <w:rPr>
          <w:sz w:val="26"/>
          <w:szCs w:val="26"/>
        </w:rPr>
      </w:pPr>
      <w:r w:rsidRPr="002407C3">
        <w:rPr>
          <w:rFonts w:hint="cs"/>
          <w:sz w:val="26"/>
          <w:szCs w:val="26"/>
          <w:rtl/>
        </w:rPr>
        <w:t xml:space="preserve">المقرر </w:t>
      </w:r>
      <w:r w:rsidR="00AF7524">
        <w:rPr>
          <w:sz w:val="26"/>
          <w:szCs w:val="26"/>
        </w:rPr>
        <w:t>10/XXIX</w:t>
      </w:r>
      <w:r w:rsidRPr="002407C3">
        <w:rPr>
          <w:rFonts w:hint="cs"/>
          <w:sz w:val="26"/>
          <w:szCs w:val="26"/>
          <w:rtl/>
        </w:rPr>
        <w:t xml:space="preserve"> الذي يتناول تقييم فريق المهام بشأن المسائل ذات الصلة بكفاءة استخدام الطاقة مع خفض المواد الهيدروفلوروكربون وفريق التكنولوجيا والتقييم الاقتصادي التابع لليونيب الذي عقد في سبتمبر/ أيلول 2018.</w:t>
      </w:r>
    </w:p>
    <w:p w:rsidR="00EB56BA" w:rsidRPr="002407C3" w:rsidRDefault="00380A47" w:rsidP="00B74F76">
      <w:pPr>
        <w:pStyle w:val="Heading1"/>
        <w:bidi/>
        <w:rPr>
          <w:sz w:val="26"/>
          <w:szCs w:val="26"/>
        </w:rPr>
      </w:pPr>
      <w:r w:rsidRPr="002407C3">
        <w:rPr>
          <w:rFonts w:hint="cs"/>
          <w:sz w:val="26"/>
          <w:szCs w:val="26"/>
          <w:rtl/>
        </w:rPr>
        <w:t>ودرست الأمانة أيضا مايلي:</w:t>
      </w:r>
    </w:p>
    <w:p w:rsidR="00380A47" w:rsidRPr="002407C3" w:rsidRDefault="00380A47" w:rsidP="00B74F76">
      <w:pPr>
        <w:pStyle w:val="Heading2"/>
        <w:bidi/>
        <w:rPr>
          <w:sz w:val="26"/>
          <w:szCs w:val="26"/>
        </w:rPr>
      </w:pPr>
      <w:r w:rsidRPr="002407C3">
        <w:rPr>
          <w:rFonts w:hint="cs"/>
          <w:sz w:val="26"/>
          <w:szCs w:val="26"/>
          <w:rtl/>
        </w:rPr>
        <w:t>السياسات والمقررات الصادرة عن الصندوق المتعدد الأطراف واجتماع الأطراف المتعلق بكفاءة استخدام الطاقة؛</w:t>
      </w:r>
    </w:p>
    <w:p w:rsidR="00380A47" w:rsidRPr="002407C3" w:rsidRDefault="00380A47" w:rsidP="00B74F76">
      <w:pPr>
        <w:pStyle w:val="Heading2"/>
        <w:bidi/>
        <w:rPr>
          <w:sz w:val="26"/>
          <w:szCs w:val="26"/>
        </w:rPr>
      </w:pPr>
      <w:r w:rsidRPr="002407C3">
        <w:rPr>
          <w:rFonts w:hint="cs"/>
          <w:sz w:val="26"/>
          <w:szCs w:val="26"/>
          <w:rtl/>
        </w:rPr>
        <w:t>الخبرات المتوافرة في الصندوق المتعدد الأطراف خلال تنفيذ المشروعات التي تضمنت مؤشرات أداء كفاءة استخدام الطاقة، والتقييم الذي أجراه كبير موظفي الرصد والتقييم لمشروعات تبريد المباني؛</w:t>
      </w:r>
    </w:p>
    <w:p w:rsidR="00380A47" w:rsidRPr="002407C3" w:rsidRDefault="00380A47" w:rsidP="00B74F76">
      <w:pPr>
        <w:pStyle w:val="Heading2"/>
        <w:bidi/>
        <w:rPr>
          <w:sz w:val="26"/>
          <w:szCs w:val="26"/>
        </w:rPr>
      </w:pPr>
      <w:r w:rsidRPr="002407C3">
        <w:rPr>
          <w:rFonts w:hint="cs"/>
          <w:sz w:val="26"/>
          <w:szCs w:val="26"/>
          <w:rtl/>
        </w:rPr>
        <w:t>المناقشات مع أصحاب الشأن لقطاع خدمة التبريد في بلدان المادة 5 وفي البلدان الأخرى غير العاملة بالمادة 5 التي جرت خلال البعثات وخلال اجتماعات الأمانة فيما بين فبراير/ شباط وأبريل/ نيسان 2018؛</w:t>
      </w:r>
    </w:p>
    <w:p w:rsidR="00380A47" w:rsidRPr="002407C3" w:rsidRDefault="00380A47" w:rsidP="00B74F76">
      <w:pPr>
        <w:pStyle w:val="Heading2"/>
        <w:bidi/>
        <w:rPr>
          <w:sz w:val="26"/>
          <w:szCs w:val="26"/>
        </w:rPr>
      </w:pPr>
      <w:r w:rsidRPr="002407C3">
        <w:rPr>
          <w:rFonts w:hint="cs"/>
          <w:sz w:val="26"/>
          <w:szCs w:val="26"/>
          <w:rtl/>
        </w:rPr>
        <w:t>المعلومات المقدمة خلال حلقة العمل بشأن معايير السلامة ذات الصلة بالاستخدام السليم للبدائل المنخفضة القدرة على الاحترار العالمي</w:t>
      </w:r>
      <w:r w:rsidRPr="002407C3">
        <w:rPr>
          <w:rStyle w:val="FootnoteReference"/>
          <w:sz w:val="26"/>
          <w:szCs w:val="26"/>
        </w:rPr>
        <w:footnoteReference w:id="15"/>
      </w:r>
      <w:r w:rsidRPr="002407C3">
        <w:rPr>
          <w:rFonts w:hint="cs"/>
          <w:sz w:val="26"/>
          <w:szCs w:val="26"/>
          <w:rtl/>
        </w:rPr>
        <w:t>، وخلال حلقة العمل بشأن فرص تحقيق كفاءة استخدام الطاقة مع خفض المواد الهيدروفلوروكربون،</w:t>
      </w:r>
      <w:r w:rsidRPr="002407C3">
        <w:rPr>
          <w:rStyle w:val="FootnoteReference"/>
          <w:sz w:val="26"/>
          <w:szCs w:val="26"/>
        </w:rPr>
        <w:footnoteReference w:id="16"/>
      </w:r>
      <w:r w:rsidRPr="002407C3">
        <w:rPr>
          <w:rFonts w:hint="cs"/>
          <w:sz w:val="26"/>
          <w:szCs w:val="26"/>
          <w:rtl/>
        </w:rPr>
        <w:t xml:space="preserve"> التي عقدت بالاقتران مع الاجتماعين التاسع والثلاثين والأربعين للفريق العامل المفتوح العضوية على التوالي؛</w:t>
      </w:r>
    </w:p>
    <w:p w:rsidR="00380A47" w:rsidRPr="002407C3" w:rsidRDefault="00380A47" w:rsidP="00380A47">
      <w:pPr>
        <w:pStyle w:val="Heading2"/>
        <w:bidi/>
        <w:rPr>
          <w:sz w:val="26"/>
          <w:szCs w:val="26"/>
        </w:rPr>
      </w:pPr>
      <w:r w:rsidRPr="002407C3">
        <w:rPr>
          <w:rFonts w:hint="cs"/>
          <w:sz w:val="26"/>
          <w:szCs w:val="26"/>
          <w:rtl/>
        </w:rPr>
        <w:t>المناقشات مع ممثلين من الوكالات الثنائية والمنفذة بشأن جميع جوانب قطاع خدمة التبريد خلال اجتماعات التنسيق فيما بين الوكالات التي عقدت في عامي 2018 و2019؛</w:t>
      </w:r>
      <w:r w:rsidRPr="002407C3">
        <w:rPr>
          <w:sz w:val="26"/>
          <w:szCs w:val="26"/>
          <w:vertAlign w:val="superscript"/>
        </w:rPr>
        <w:footnoteReference w:id="17"/>
      </w:r>
    </w:p>
    <w:p w:rsidR="00380A47" w:rsidRPr="002407C3" w:rsidRDefault="00380A47" w:rsidP="00B74F76">
      <w:pPr>
        <w:pStyle w:val="Heading2"/>
        <w:bidi/>
        <w:rPr>
          <w:sz w:val="26"/>
          <w:szCs w:val="26"/>
        </w:rPr>
      </w:pPr>
      <w:r w:rsidRPr="002407C3">
        <w:rPr>
          <w:rFonts w:hint="cs"/>
          <w:sz w:val="26"/>
          <w:szCs w:val="26"/>
          <w:rtl/>
        </w:rPr>
        <w:t>الوثائق التي أصدرتها مختلف المؤسسات بما في ذلك الوكالات الثنائية والمنفذة.</w:t>
      </w:r>
    </w:p>
    <w:p w:rsidR="00380A47" w:rsidRPr="002407C3" w:rsidRDefault="001316E4" w:rsidP="00B74F76">
      <w:pPr>
        <w:pStyle w:val="Heading1"/>
        <w:bidi/>
        <w:rPr>
          <w:sz w:val="26"/>
          <w:szCs w:val="26"/>
          <w:lang w:val="en-CA"/>
        </w:rPr>
      </w:pPr>
      <w:r w:rsidRPr="002407C3">
        <w:rPr>
          <w:rFonts w:hint="cs"/>
          <w:sz w:val="26"/>
          <w:szCs w:val="26"/>
          <w:rtl/>
          <w:lang w:val="en-CA"/>
        </w:rPr>
        <w:t>وأعربت الأمانة عن تقديرها للأفكار العميقة والمعلومات والتعليقات المقدمة من الوكالات الثنائية والمنفذة خلال المناقشات التي جرت في اجتماعات التنسيق المشتركة بين الوكالات.</w:t>
      </w:r>
    </w:p>
    <w:p w:rsidR="001316E4" w:rsidRPr="002407C3" w:rsidRDefault="001316E4" w:rsidP="00B74F76">
      <w:pPr>
        <w:pStyle w:val="Heading1"/>
        <w:bidi/>
        <w:rPr>
          <w:sz w:val="26"/>
          <w:szCs w:val="26"/>
          <w:lang w:val="en-CA"/>
        </w:rPr>
      </w:pPr>
      <w:r w:rsidRPr="002407C3">
        <w:rPr>
          <w:rFonts w:hint="cs"/>
          <w:sz w:val="26"/>
          <w:szCs w:val="26"/>
          <w:rtl/>
          <w:lang w:val="en-CA"/>
        </w:rPr>
        <w:lastRenderedPageBreak/>
        <w:t>وطلبت الأمانة أيضا المشورة من خبير مستقل بشأن الجوانب التقنية المتضمنة في هذه الوثيقة. وأدرجت تعليقات الخبير وفقا لذلك.</w:t>
      </w:r>
    </w:p>
    <w:p w:rsidR="001316E4" w:rsidRPr="002407C3" w:rsidRDefault="001316E4" w:rsidP="00B74F76">
      <w:pPr>
        <w:pStyle w:val="ListParagraph"/>
        <w:keepNext/>
        <w:bidi/>
        <w:ind w:left="0"/>
        <w:jc w:val="left"/>
        <w:rPr>
          <w:rFonts w:eastAsiaTheme="minorHAnsi"/>
          <w:bCs/>
          <w:sz w:val="26"/>
          <w:szCs w:val="26"/>
          <w:rtl/>
        </w:rPr>
      </w:pPr>
      <w:r w:rsidRPr="002407C3">
        <w:rPr>
          <w:rFonts w:eastAsiaTheme="minorHAnsi" w:hint="cs"/>
          <w:bCs/>
          <w:sz w:val="26"/>
          <w:szCs w:val="26"/>
          <w:rtl/>
        </w:rPr>
        <w:t>إدخال بدائل المواد الهيدروكلوروفلوروكربونية والمواد الهيدروفلوروكربونية المنخفضة أو المنعدمة القدرة على الاحترار العالمي</w:t>
      </w:r>
    </w:p>
    <w:p w:rsidR="00EB56BA" w:rsidRPr="002407C3" w:rsidRDefault="00EB56BA" w:rsidP="00B74F76">
      <w:pPr>
        <w:pStyle w:val="ListParagraph"/>
        <w:keepNext/>
        <w:bidi/>
        <w:ind w:left="0"/>
        <w:jc w:val="left"/>
        <w:rPr>
          <w:rFonts w:eastAsiaTheme="minorHAnsi"/>
          <w:sz w:val="26"/>
          <w:szCs w:val="26"/>
        </w:rPr>
      </w:pPr>
    </w:p>
    <w:p w:rsidR="001316E4" w:rsidRPr="002407C3" w:rsidRDefault="001316E4" w:rsidP="00B74F76">
      <w:pPr>
        <w:pStyle w:val="Heading1"/>
        <w:bidi/>
        <w:rPr>
          <w:sz w:val="26"/>
          <w:szCs w:val="26"/>
        </w:rPr>
      </w:pPr>
      <w:r w:rsidRPr="002407C3">
        <w:rPr>
          <w:rFonts w:hint="cs"/>
          <w:sz w:val="26"/>
          <w:szCs w:val="26"/>
          <w:rtl/>
        </w:rPr>
        <w:t>رأت اللجنة التنفيذية منذ بدء الصندوق المتعدد الأطراف في 1991 منح الأولوية لتحويل الأنشطة في قطاع خدمة التبريد</w:t>
      </w:r>
      <w:r w:rsidRPr="002407C3">
        <w:rPr>
          <w:rStyle w:val="FootnoteReference"/>
          <w:sz w:val="26"/>
          <w:szCs w:val="26"/>
        </w:rPr>
        <w:footnoteReference w:id="18"/>
      </w:r>
      <w:r w:rsidRPr="002407C3">
        <w:rPr>
          <w:rFonts w:hint="cs"/>
          <w:sz w:val="26"/>
          <w:szCs w:val="26"/>
          <w:rtl/>
        </w:rPr>
        <w:t xml:space="preserve"> بالنظر الى أن جزءا أو كلا من جميع المواد الخاضعة للرقابة تستخدم في هذا القطاع. وتلاحظ الأمانة أن الدعم المقدم لقطاع الخدمة قد يسر تطبيق التكنولوجيات البديلة الخالية من المواد المستنفدة للأوزون، ولم يسفر بصورة مباشرة عن تطبيق التكنولوجيات البديلة مثلما كان الحال خلال تحويل قطاع التصنيع.</w:t>
      </w:r>
    </w:p>
    <w:p w:rsidR="001316E4" w:rsidRPr="002407C3" w:rsidRDefault="001316E4" w:rsidP="00B74F76">
      <w:pPr>
        <w:pStyle w:val="Heading1"/>
        <w:bidi/>
        <w:rPr>
          <w:sz w:val="26"/>
          <w:szCs w:val="26"/>
        </w:rPr>
      </w:pPr>
      <w:r w:rsidRPr="002407C3">
        <w:rPr>
          <w:rFonts w:hint="cs"/>
          <w:sz w:val="26"/>
          <w:szCs w:val="26"/>
          <w:rtl/>
        </w:rPr>
        <w:t>وقد نفذت الأنشطة الأولية في قطاع الخدمة بصورة مشروعات منفصلة تتألف من تدريب فنيي التبريد على ممارسات الخدمة الجيدة، وتوفير الأدوات والمعدات الأساسية للفنيين ووضع مخططات لاسترجاع غازات التبريد وإعادة تدويرها. كما قدمت المساعدات لوضع وتنفيذ التشريعات النوعية والسياسات والقواعد وبناء قدرات سلطات الجمارك والإنفاذ للرصد والرقابة على المواد الخاضعة للرقابة بموجب بروتوكول مونتريال.</w:t>
      </w:r>
    </w:p>
    <w:p w:rsidR="003A53A6" w:rsidRPr="002407C3" w:rsidRDefault="001316E4" w:rsidP="003A53A6">
      <w:pPr>
        <w:pStyle w:val="Heading1"/>
        <w:bidi/>
        <w:rPr>
          <w:sz w:val="26"/>
          <w:szCs w:val="26"/>
          <w:lang w:val="en-US"/>
        </w:rPr>
      </w:pPr>
      <w:r w:rsidRPr="002407C3">
        <w:rPr>
          <w:rFonts w:hint="cs"/>
          <w:sz w:val="26"/>
          <w:szCs w:val="26"/>
          <w:rtl/>
          <w:lang w:val="en-US"/>
        </w:rPr>
        <w:t>ومع تقدم العمل في برنامج الإزالة، جرى تحويل الأنشطة المنفصلة الى خطة قطاعية شمولية تهدف الى إدارة عملية إزالة المواد الخاضعة للرقابة المستخدمة في خدمة أجهزة التبريد وتكييف الهواء ومضخات الحرارة</w:t>
      </w:r>
      <w:r w:rsidR="003A53A6" w:rsidRPr="002407C3">
        <w:rPr>
          <w:rFonts w:hint="cs"/>
          <w:sz w:val="26"/>
          <w:szCs w:val="26"/>
          <w:rtl/>
          <w:lang w:val="en-US"/>
        </w:rPr>
        <w:t>،</w:t>
      </w:r>
      <w:r w:rsidR="003A53A6" w:rsidRPr="002407C3">
        <w:rPr>
          <w:rStyle w:val="FootnoteReference"/>
          <w:sz w:val="26"/>
          <w:szCs w:val="26"/>
        </w:rPr>
        <w:footnoteReference w:id="19"/>
      </w:r>
      <w:r w:rsidRPr="002407C3">
        <w:rPr>
          <w:rFonts w:hint="cs"/>
          <w:sz w:val="26"/>
          <w:szCs w:val="26"/>
          <w:rtl/>
          <w:lang w:val="en-US"/>
        </w:rPr>
        <w:t xml:space="preserve"> مع</w:t>
      </w:r>
      <w:r w:rsidR="003A53A6" w:rsidRPr="002407C3">
        <w:rPr>
          <w:rFonts w:hint="cs"/>
          <w:sz w:val="26"/>
          <w:szCs w:val="26"/>
          <w:rtl/>
          <w:lang w:val="en-US"/>
        </w:rPr>
        <w:t xml:space="preserve"> مراعاة الظروف السائدة في البلد المعني. وأسفرت الأنشطة في قطاع الخدمة عن تحسين ممارسات العمليات والصيانة مع تركيب وصيانة وخدمة الأجهزة ومن ثم الإسهام في العمليات التي تتسم بكفاءة استخدام الطاقة بصورة غير مباشرة، وفي دعم تطبيق الخيارات المنخفضة والمنعدمة القدرة على الاحترار العالمي بصورة غير مباشرة وذلك بالدرجة الأولى من خلال بناء القدرات التقنية لتطبيق التكنولوجيات البديلة.</w:t>
      </w:r>
    </w:p>
    <w:p w:rsidR="003A53A6" w:rsidRPr="002407C3" w:rsidRDefault="00581C2F" w:rsidP="00AF7524">
      <w:pPr>
        <w:pStyle w:val="Heading1"/>
        <w:bidi/>
        <w:rPr>
          <w:sz w:val="26"/>
          <w:szCs w:val="26"/>
        </w:rPr>
      </w:pPr>
      <w:r w:rsidRPr="002407C3">
        <w:rPr>
          <w:rFonts w:hint="cs"/>
          <w:sz w:val="26"/>
          <w:szCs w:val="26"/>
          <w:rtl/>
        </w:rPr>
        <w:t xml:space="preserve">واستجابة للمقرر </w:t>
      </w:r>
      <w:r w:rsidR="00AF7524">
        <w:rPr>
          <w:sz w:val="26"/>
          <w:szCs w:val="26"/>
          <w:lang w:val="en-US"/>
        </w:rPr>
        <w:t>6/XXIX</w:t>
      </w:r>
      <w:r w:rsidRPr="002407C3">
        <w:rPr>
          <w:rFonts w:hint="cs"/>
          <w:sz w:val="26"/>
          <w:szCs w:val="26"/>
          <w:rtl/>
        </w:rPr>
        <w:t xml:space="preserve"> بشأن التعديلات على بروتوكول مونتريال فيما يتعلق بالمواد الهيدروكلوروفلوروكربونية، اقترحت اللجنة التنفيذية نهجا متدرجا تتيح للبلدان وضع خطة جامعة لتحقيق الإزالة الكاملة للمواد الهيدروكلوروفلوروكربونية مع إتاحة الفرصة للمقترحات الخاصة بتحقيق أولى تدابير الرقابة الاثنتين في 2013 و2015. وإتاحة الفرصة في في الوقت لوضع مقترحات بشأن المرحلة أو المراحل </w:t>
      </w:r>
      <w:r w:rsidR="001F19C4" w:rsidRPr="002407C3">
        <w:rPr>
          <w:rFonts w:hint="cs"/>
          <w:sz w:val="26"/>
          <w:szCs w:val="26"/>
          <w:rtl/>
        </w:rPr>
        <w:t xml:space="preserve">اللاحقة، إذا اقتضى الأمر، لتحقيق الإزالة الكاملة. ومنذ الاجتماع الستين (أبريل/ نيسان 2010) ووفق على المرحلة الأولى وفي كثير من الحالات المرحلة الثانية من خطط إدارة إزالة المواد الهيدروكلوروفلوروكربونية لجميع بلدان المادة 5 باستثناء الجمهورية العربية السورية. وطلب المقرر </w:t>
      </w:r>
      <w:r w:rsidR="00AF7524">
        <w:rPr>
          <w:sz w:val="26"/>
          <w:szCs w:val="26"/>
        </w:rPr>
        <w:t>6/XXIX</w:t>
      </w:r>
      <w:r w:rsidR="001F19C4" w:rsidRPr="002407C3">
        <w:rPr>
          <w:rFonts w:hint="cs"/>
          <w:sz w:val="26"/>
          <w:szCs w:val="26"/>
          <w:rtl/>
        </w:rPr>
        <w:t xml:space="preserve"> من الأطراف تعزيز اختبار بدائل المواد الهيدروكلوروفلوروكربونية التي تقلل من التأثيرات البيئية وخاصة التأثيرات على المناخ فضلا عن تحقيق الاعتبارات الصحية والأمانية والاقتصادية، وطلب من اللجنة التنفيذية منح الأولوية للمشروعات والبرامج التي تركز على </w:t>
      </w:r>
      <w:r w:rsidR="001F19C4" w:rsidRPr="002407C3">
        <w:rPr>
          <w:rFonts w:hint="cs"/>
          <w:i/>
          <w:iCs/>
          <w:sz w:val="26"/>
          <w:szCs w:val="26"/>
          <w:rtl/>
        </w:rPr>
        <w:t>جملة</w:t>
      </w:r>
      <w:r w:rsidR="001F19C4" w:rsidRPr="002407C3">
        <w:rPr>
          <w:rFonts w:hint="cs"/>
          <w:sz w:val="26"/>
          <w:szCs w:val="26"/>
          <w:rtl/>
        </w:rPr>
        <w:t xml:space="preserve"> </w:t>
      </w:r>
      <w:r w:rsidR="001F19C4" w:rsidRPr="002407C3">
        <w:rPr>
          <w:rFonts w:hint="cs"/>
          <w:i/>
          <w:iCs/>
          <w:sz w:val="26"/>
          <w:szCs w:val="26"/>
          <w:rtl/>
        </w:rPr>
        <w:t>أمور</w:t>
      </w:r>
      <w:r w:rsidR="001F19C4" w:rsidRPr="002407C3">
        <w:rPr>
          <w:rFonts w:hint="cs"/>
          <w:sz w:val="26"/>
          <w:szCs w:val="26"/>
          <w:rtl/>
        </w:rPr>
        <w:t xml:space="preserve"> من بينها قدرات الاحترار العالمي واستخدام الطاقة ومن ثم توفير الظروف لتنفيذ الأنشطة اللازمة لتيسير تطبيق الخيارات المنخفضة والمنعدمة القدرة على الاحترار العالمي.</w:t>
      </w:r>
    </w:p>
    <w:p w:rsidR="001F19C4" w:rsidRPr="002407C3" w:rsidRDefault="001F19C4" w:rsidP="00B74F76">
      <w:pPr>
        <w:pStyle w:val="Heading1"/>
        <w:bidi/>
        <w:rPr>
          <w:sz w:val="26"/>
          <w:szCs w:val="26"/>
          <w:lang w:val="en-CA"/>
        </w:rPr>
      </w:pPr>
      <w:r w:rsidRPr="002407C3">
        <w:rPr>
          <w:rFonts w:hint="cs"/>
          <w:sz w:val="26"/>
          <w:szCs w:val="26"/>
          <w:rtl/>
          <w:lang w:val="en-CA"/>
        </w:rPr>
        <w:t>وأسهم تنفيذ خطط قطاع خدمة التبريد التي يدعمها الإطار التنظيمي في الامتثال المستمر لأحكام بروتوكول مونتريال بواسطة بلدان المادة 5،</w:t>
      </w:r>
      <w:r w:rsidRPr="002407C3">
        <w:rPr>
          <w:rStyle w:val="FootnoteReference"/>
          <w:sz w:val="26"/>
          <w:szCs w:val="26"/>
          <w:lang w:val="en-CA"/>
        </w:rPr>
        <w:footnoteReference w:id="20"/>
      </w:r>
      <w:r w:rsidRPr="002407C3">
        <w:rPr>
          <w:rFonts w:hint="cs"/>
          <w:sz w:val="26"/>
          <w:szCs w:val="26"/>
          <w:rtl/>
          <w:lang w:val="en-CA"/>
        </w:rPr>
        <w:t xml:space="preserve"> وخفض الاستهلاك من المواد الخاضعة للرقابة تماشيا مع أهداف الرقابة على الإزالة والمحددة بموجب البروتوكول أو سابقة لها.</w:t>
      </w:r>
      <w:r w:rsidRPr="002407C3">
        <w:rPr>
          <w:rStyle w:val="FootnoteReference"/>
          <w:sz w:val="26"/>
          <w:szCs w:val="26"/>
          <w:lang w:val="en-CA"/>
        </w:rPr>
        <w:t xml:space="preserve"> </w:t>
      </w:r>
      <w:r w:rsidRPr="002407C3">
        <w:rPr>
          <w:rStyle w:val="FootnoteReference"/>
          <w:sz w:val="26"/>
          <w:szCs w:val="26"/>
          <w:lang w:val="en-CA"/>
        </w:rPr>
        <w:footnoteReference w:id="21"/>
      </w:r>
      <w:r w:rsidRPr="002407C3">
        <w:rPr>
          <w:rFonts w:hint="cs"/>
          <w:sz w:val="26"/>
          <w:szCs w:val="26"/>
          <w:rtl/>
          <w:lang w:val="en-CA"/>
        </w:rPr>
        <w:t xml:space="preserve"> وعلاوة على ذلك وأمكن ذلك العديد من بلدان المادة 5 من وضع و/أو دراسة وضع رقابة بما في ذلك حظر تصنيع (حيثما يكون ممكنا) و/أو استيراد أجهزة التبريد وتكييف </w:t>
      </w:r>
      <w:r w:rsidRPr="002407C3">
        <w:rPr>
          <w:rFonts w:hint="cs"/>
          <w:sz w:val="26"/>
          <w:szCs w:val="26"/>
          <w:rtl/>
          <w:lang w:val="en-CA"/>
        </w:rPr>
        <w:lastRenderedPageBreak/>
        <w:t>الهواء ومضخات الحرارة المعتمدة على المواد الخاضعة للرقابة مما يحد من نموها</w:t>
      </w:r>
      <w:r w:rsidR="008D0612" w:rsidRPr="002407C3">
        <w:rPr>
          <w:rFonts w:hint="cs"/>
          <w:sz w:val="26"/>
          <w:szCs w:val="26"/>
          <w:rtl/>
          <w:lang w:val="en-CA"/>
        </w:rPr>
        <w:t xml:space="preserve"> وخفض حجم القاعدة القائمة لهذه الأجهزة.</w:t>
      </w:r>
    </w:p>
    <w:p w:rsidR="008D0612" w:rsidRPr="002407C3" w:rsidRDefault="00A87E58" w:rsidP="00B74F76">
      <w:pPr>
        <w:pStyle w:val="Heading1"/>
        <w:bidi/>
        <w:rPr>
          <w:sz w:val="26"/>
          <w:szCs w:val="26"/>
          <w:lang w:val="en-CA"/>
        </w:rPr>
      </w:pPr>
      <w:r w:rsidRPr="002407C3">
        <w:rPr>
          <w:rFonts w:hint="cs"/>
          <w:sz w:val="26"/>
          <w:szCs w:val="26"/>
          <w:rtl/>
          <w:lang w:val="en-CA"/>
        </w:rPr>
        <w:t xml:space="preserve">وعلى الرغم من الجهود المشار إليها أعلاه، تشير التقارير المرحلية على تنفيذ خطط إدارة إزالة المواد الهيدروكلوروفلوروكربونية وغير ذلك من تقارير التقييم، تزايد استيراد الأجهزة المعتمدة على قدرات الاحترار العالمي المرتفعة (وخاصة </w:t>
      </w:r>
      <w:r w:rsidRPr="002407C3">
        <w:rPr>
          <w:sz w:val="26"/>
          <w:szCs w:val="26"/>
        </w:rPr>
        <w:t>R-410A</w:t>
      </w:r>
      <w:r w:rsidRPr="002407C3">
        <w:rPr>
          <w:rFonts w:hint="cs"/>
          <w:sz w:val="26"/>
          <w:szCs w:val="26"/>
          <w:rtl/>
          <w:lang w:val="en-CA"/>
        </w:rPr>
        <w:t xml:space="preserve"> في تكييف الهواء) في بلدان المادة 5 عما كان عليه الحال خلال العقد السابق. غير أن تعديل كيغالي أثار مناقشات وبعض الإجراءات الأولية عن الرقابة على استخدام غازات التبريد المرتفعة القدرة على الاحترار العالمي في بلدان المادة 5. ونظرا لأن الأجهزة المعتمدة على غازات التبريد المنخفضة القدرة على الاحترار العالمي تعمل وفق خصائص تشغيل مختلفة تتعلق بالضغط والقابلية للانتعاش والسمية، فإن التشريعات والقواعد ومدونات السلوك الحالية تحتاج الى مراجعة والتحديث و/أو زيادة تطويرها، وينبغي إنفاذ المعايير</w:t>
      </w:r>
      <w:r w:rsidRPr="002407C3">
        <w:rPr>
          <w:rStyle w:val="FootnoteReference"/>
          <w:sz w:val="26"/>
          <w:szCs w:val="26"/>
        </w:rPr>
        <w:footnoteReference w:id="22"/>
      </w:r>
      <w:r w:rsidRPr="002407C3">
        <w:rPr>
          <w:rFonts w:hint="cs"/>
          <w:sz w:val="26"/>
          <w:szCs w:val="26"/>
          <w:rtl/>
          <w:lang w:val="en-CA"/>
        </w:rPr>
        <w:t xml:space="preserve"> لضمان التشغيل السليم للأجهزة ومناولتها.</w:t>
      </w:r>
    </w:p>
    <w:p w:rsidR="00A87E58" w:rsidRPr="002407C3" w:rsidRDefault="00A87E58" w:rsidP="00B74F76">
      <w:pPr>
        <w:pStyle w:val="Heading1"/>
        <w:bidi/>
        <w:rPr>
          <w:sz w:val="26"/>
          <w:szCs w:val="26"/>
          <w:lang w:val="en-CA"/>
        </w:rPr>
      </w:pPr>
      <w:r w:rsidRPr="002407C3">
        <w:rPr>
          <w:rFonts w:hint="cs"/>
          <w:sz w:val="26"/>
          <w:szCs w:val="26"/>
          <w:rtl/>
          <w:lang w:val="en-CA"/>
        </w:rPr>
        <w:t>وكانت وتيرة دخول التكنولوجيات البديلة المنخفضة أو المنعدمة القدرة على الاحترار العالمي في مختلف تطبيقات التبريد وتكييف الهواء ومضخات الحرارة أبطأ مما كان متوقعا في أول الأمر في بلدان المادة 5 نتيجة لمايلي:</w:t>
      </w:r>
    </w:p>
    <w:p w:rsidR="00A87E58" w:rsidRPr="002407C3" w:rsidRDefault="00A87E58" w:rsidP="00B74F76">
      <w:pPr>
        <w:pStyle w:val="Heading2"/>
        <w:bidi/>
        <w:rPr>
          <w:sz w:val="26"/>
          <w:szCs w:val="26"/>
          <w:lang w:val="en-CA"/>
        </w:rPr>
      </w:pPr>
      <w:r w:rsidRPr="002407C3">
        <w:rPr>
          <w:rFonts w:hint="cs"/>
          <w:sz w:val="26"/>
          <w:szCs w:val="26"/>
          <w:rtl/>
          <w:lang w:val="en-CA"/>
        </w:rPr>
        <w:t>توافر الأجهزة الفعّالة من الناحية التكاليفية والتي تتسم بكفاءة الطاقة المعتمدة على بدائل مرتفعة القدرة على الاحترار العالمي؛</w:t>
      </w:r>
    </w:p>
    <w:p w:rsidR="00A87E58" w:rsidRPr="002407C3" w:rsidRDefault="00A87E58" w:rsidP="00B74F76">
      <w:pPr>
        <w:pStyle w:val="Heading2"/>
        <w:bidi/>
        <w:rPr>
          <w:sz w:val="26"/>
          <w:szCs w:val="26"/>
          <w:lang w:val="en-CA"/>
        </w:rPr>
      </w:pPr>
      <w:r w:rsidRPr="002407C3">
        <w:rPr>
          <w:rFonts w:hint="cs"/>
          <w:sz w:val="26"/>
          <w:szCs w:val="26"/>
          <w:rtl/>
          <w:lang w:val="en-CA"/>
        </w:rPr>
        <w:t>محدودية عدد المعايير المتوافرة حاليا والمتعلقة بإدخال وتركيب وخدمة وصيانة الأجهزة المعتمدة على غازات التبريد القابلة للاشتعال أو السامة؛</w:t>
      </w:r>
    </w:p>
    <w:p w:rsidR="00A87E58" w:rsidRPr="002407C3" w:rsidRDefault="00A87E58" w:rsidP="00B74F76">
      <w:pPr>
        <w:pStyle w:val="Heading2"/>
        <w:bidi/>
        <w:rPr>
          <w:sz w:val="26"/>
          <w:szCs w:val="26"/>
        </w:rPr>
      </w:pPr>
      <w:r w:rsidRPr="002407C3">
        <w:rPr>
          <w:rFonts w:hint="cs"/>
          <w:sz w:val="26"/>
          <w:szCs w:val="26"/>
          <w:rtl/>
        </w:rPr>
        <w:t>نقص المعايير الخاصة بنقل غازات التبريد القابلة للاشتعال أو السامة؛</w:t>
      </w:r>
    </w:p>
    <w:p w:rsidR="00A87E58" w:rsidRPr="002407C3" w:rsidRDefault="00A87E58" w:rsidP="00B74F76">
      <w:pPr>
        <w:pStyle w:val="Heading2"/>
        <w:bidi/>
        <w:rPr>
          <w:sz w:val="26"/>
          <w:szCs w:val="26"/>
        </w:rPr>
      </w:pPr>
      <w:r w:rsidRPr="002407C3">
        <w:rPr>
          <w:rFonts w:hint="cs"/>
          <w:sz w:val="26"/>
          <w:szCs w:val="26"/>
          <w:rtl/>
        </w:rPr>
        <w:t>تباطؤ وتثير العرض التجاري بالاقتران مع محدودية المتوافر من بعض غازات التبريد أو الأجهزة المعاملة بالبدائل المنخفضة أو المنعدمة القدرة على الاحترار العالمي؛</w:t>
      </w:r>
    </w:p>
    <w:p w:rsidR="00A87E58" w:rsidRPr="002407C3" w:rsidRDefault="00A87E58" w:rsidP="00B74F76">
      <w:pPr>
        <w:pStyle w:val="Heading2"/>
        <w:bidi/>
        <w:rPr>
          <w:sz w:val="26"/>
          <w:szCs w:val="26"/>
          <w:lang w:val="en-CA"/>
        </w:rPr>
      </w:pPr>
      <w:r w:rsidRPr="002407C3">
        <w:rPr>
          <w:rFonts w:hint="cs"/>
          <w:sz w:val="26"/>
          <w:szCs w:val="26"/>
          <w:rtl/>
          <w:lang w:val="en-CA"/>
        </w:rPr>
        <w:t>نقص مدونات البناء التي تتيح تركيب أجهزة التبريد وتكييف الهواء ومضخات الحرارة المعتمدة على غازات التبريد القابلة للاشتعال مع بعض شحنات غازات تبريد معينة؛</w:t>
      </w:r>
    </w:p>
    <w:p w:rsidR="00EB56BA" w:rsidRPr="002407C3" w:rsidRDefault="00A87E58" w:rsidP="00B74F76">
      <w:pPr>
        <w:pStyle w:val="Heading2"/>
        <w:bidi/>
        <w:rPr>
          <w:color w:val="000000"/>
          <w:sz w:val="26"/>
          <w:szCs w:val="26"/>
          <w:lang w:val="en-CA" w:eastAsia="en-CA"/>
        </w:rPr>
      </w:pPr>
      <w:r w:rsidRPr="002407C3">
        <w:rPr>
          <w:rFonts w:hint="cs"/>
          <w:sz w:val="26"/>
          <w:szCs w:val="26"/>
          <w:rtl/>
        </w:rPr>
        <w:t>عدم توافر فنيي التبريد المهرة والمؤهلين بصورة مناسبة.</w:t>
      </w:r>
    </w:p>
    <w:p w:rsidR="00A87E58" w:rsidRPr="002407C3" w:rsidRDefault="00A87E58" w:rsidP="00B74F76">
      <w:pPr>
        <w:pStyle w:val="Heading1"/>
        <w:bidi/>
        <w:rPr>
          <w:sz w:val="26"/>
          <w:szCs w:val="26"/>
        </w:rPr>
      </w:pPr>
      <w:r w:rsidRPr="002407C3">
        <w:rPr>
          <w:rFonts w:hint="cs"/>
          <w:sz w:val="26"/>
          <w:szCs w:val="26"/>
          <w:rtl/>
        </w:rPr>
        <w:t xml:space="preserve">وتعالج بلدان المادة 5 حاليا العديد من هذه الحواجز من خلال الأنشطة التي يتزايد وجودها </w:t>
      </w:r>
      <w:r w:rsidR="008E06D2" w:rsidRPr="002407C3">
        <w:rPr>
          <w:rFonts w:hint="cs"/>
          <w:sz w:val="26"/>
          <w:szCs w:val="26"/>
          <w:rtl/>
        </w:rPr>
        <w:t>في خطط إدارة إزالة المواد الهيدروكلوروفلوروكربونية. وجرى تشجيع بلدان المادة 5 على وضع قواعد ومدونات سلوك وعلى اعتماد المعايير الخاصة بإدخال غازات التبريد القابلة للاشتعال والسامة بصورة مأمونة. كما جرى تشجيع بلدان المادة 5 على الحد من الواردات من الأجهزة المعتمدة على الهيدروكلوروفلوروكربون ولاسيما من خلال التدخلات التنظيمية في إطار خطط إدارة إزالة المواد الهيدروكلوروفلوروكربونية وتيسير إدخال البدائل التي تتسم بكفاءة استخدام الطاقة والصديقة للمناخ وعلى تركيز الأنشطة في قطاع خدمة التبريد على تدريب الفنيين، والممارسات الجيدة للمناولة الآمنة لغازات التبريد والاحتواء والاسترجاع وإعادة التدوير، وإعادة استخدام غازات التبريد المسترجعة بدلا من إعادة التهيئة.</w:t>
      </w:r>
      <w:r w:rsidR="008E06D2" w:rsidRPr="002407C3">
        <w:rPr>
          <w:rStyle w:val="FootnoteReference"/>
          <w:sz w:val="26"/>
          <w:szCs w:val="26"/>
        </w:rPr>
        <w:t xml:space="preserve"> </w:t>
      </w:r>
      <w:r w:rsidR="008E06D2" w:rsidRPr="002407C3">
        <w:rPr>
          <w:rStyle w:val="FootnoteReference"/>
          <w:sz w:val="26"/>
          <w:szCs w:val="26"/>
        </w:rPr>
        <w:footnoteReference w:id="23"/>
      </w:r>
    </w:p>
    <w:p w:rsidR="008E06D2" w:rsidRPr="002407C3" w:rsidRDefault="008E06D2" w:rsidP="008E06D2">
      <w:pPr>
        <w:pStyle w:val="Heading1"/>
        <w:bidi/>
        <w:rPr>
          <w:sz w:val="26"/>
          <w:szCs w:val="26"/>
        </w:rPr>
      </w:pPr>
      <w:r w:rsidRPr="002407C3">
        <w:rPr>
          <w:rFonts w:hint="cs"/>
          <w:sz w:val="26"/>
          <w:szCs w:val="26"/>
          <w:rtl/>
        </w:rPr>
        <w:lastRenderedPageBreak/>
        <w:t>وقد رؤى أن التدريب على تركيب وتشغيل وصيانة أجهزة التبريد وتكييف الهواء ومضخات الحرارة والتخلص منها يشكل أولوية خلال تنفيذ المرحلتين الأولى والثانية من خطط إدارة إزالة المواد الهيدروكلوروفلوروكربونية في البلدان التي تتوافر فيها هذه الغازات في السوق بالفعل أو يتوقع أن يتم إدخالها.</w:t>
      </w:r>
    </w:p>
    <w:p w:rsidR="008E06D2" w:rsidRPr="002407C3" w:rsidRDefault="008E06D2" w:rsidP="008E06D2">
      <w:pPr>
        <w:pStyle w:val="Heading1"/>
        <w:bidi/>
        <w:rPr>
          <w:sz w:val="26"/>
          <w:szCs w:val="26"/>
        </w:rPr>
      </w:pPr>
      <w:r w:rsidRPr="002407C3">
        <w:rPr>
          <w:rFonts w:hint="cs"/>
          <w:sz w:val="26"/>
          <w:szCs w:val="26"/>
          <w:rtl/>
        </w:rPr>
        <w:t>ودعما للعمل الذي تضطلع به وحدات الأوزون الوطنية، وضع برنامج المساعدة على الامتثال في اليونيب دليلا عن المعايير الدولية في قطاع التبريد وتكييف الهواء وتوفير تقديم للمعايير وبيان كيفية الاستفادة منها لدعم تطبيق البدائل المنخفضة القدرة على الاحترار العالمي في سياق إزالة الهيدروكلوروفلوروكربون. ويقدم الدليل أيضا عرضا عاما للمعايير القائمة المتعلقة بالمواد الهيدروكلوروفلوروكربونية وبدائلها، والحواجز أمام البدائل، وعملية تطبيق المعايير الدولية والإقليمية على المستوى الوطني، والحواجز أمام تطبيق المعايير وكيفية التغلب عليها.</w:t>
      </w:r>
      <w:r w:rsidRPr="002407C3">
        <w:rPr>
          <w:rStyle w:val="FootnoteReference"/>
          <w:sz w:val="26"/>
          <w:szCs w:val="26"/>
        </w:rPr>
        <w:t xml:space="preserve"> </w:t>
      </w:r>
      <w:r w:rsidRPr="002407C3">
        <w:rPr>
          <w:rStyle w:val="FootnoteReference"/>
          <w:sz w:val="26"/>
          <w:szCs w:val="26"/>
        </w:rPr>
        <w:footnoteReference w:id="24"/>
      </w:r>
    </w:p>
    <w:p w:rsidR="008E06D2" w:rsidRPr="002407C3" w:rsidRDefault="008E06D2" w:rsidP="008E06D2">
      <w:pPr>
        <w:pStyle w:val="Heading1"/>
        <w:bidi/>
        <w:rPr>
          <w:sz w:val="26"/>
          <w:szCs w:val="26"/>
        </w:rPr>
      </w:pPr>
      <w:r w:rsidRPr="002407C3">
        <w:rPr>
          <w:rFonts w:hint="cs"/>
          <w:sz w:val="26"/>
          <w:szCs w:val="26"/>
          <w:rtl/>
        </w:rPr>
        <w:t>وفي حين حققت التدابير المشار إليها أعلاه تأثيرا على تطبيق البدائل المنخفضة والمنعدمة القدرة على الاحترار العالمي في أجهزة التبريد وتكييف الهواء ومضخات الحرارة، يبدو أن عوامل السوق قد اضطلعت بدور في التأثير على وتيرة تطبيق هذه البدائل. وقد يتعين إيلاء المزيد من الاهتمام لتدابير تيسير اعتماد هذه البدائل ومنع تغلغل البدائل المرتفعة القدرة على الاحترار العالمي في السوق لتعزيز وتيرة تطبيق البدائل المنحفضة والمنعدمة القدرة على الاحترار العالمي.</w:t>
      </w:r>
    </w:p>
    <w:p w:rsidR="008E06D2" w:rsidRPr="002407C3" w:rsidRDefault="008E06D2" w:rsidP="00B74F76">
      <w:pPr>
        <w:pStyle w:val="Heading2"/>
        <w:numPr>
          <w:ilvl w:val="0"/>
          <w:numId w:val="0"/>
        </w:numPr>
        <w:bidi/>
        <w:rPr>
          <w:bCs/>
          <w:sz w:val="26"/>
          <w:szCs w:val="26"/>
          <w:rtl/>
        </w:rPr>
      </w:pPr>
      <w:r w:rsidRPr="002407C3">
        <w:rPr>
          <w:rFonts w:hint="cs"/>
          <w:bCs/>
          <w:sz w:val="26"/>
          <w:szCs w:val="26"/>
          <w:rtl/>
        </w:rPr>
        <w:t>وضع وإنفاذ السياسات والقواعد التي تجنب تغلغل أجهزة التبريد وتكييف الهواء ومضخات الحرارة التي لا تتسم بكفاءة استخدام الطاقة والترويج لتغلغل الأجهزة التي تتسم بكفاءة الطاقة في السوق</w:t>
      </w:r>
    </w:p>
    <w:p w:rsidR="008E06D2" w:rsidRPr="002407C3" w:rsidRDefault="008E06D2" w:rsidP="008307E8">
      <w:pPr>
        <w:pStyle w:val="Heading1"/>
        <w:bidi/>
        <w:rPr>
          <w:rFonts w:eastAsia="DengXian"/>
          <w:sz w:val="26"/>
          <w:szCs w:val="26"/>
        </w:rPr>
      </w:pPr>
      <w:r w:rsidRPr="002407C3">
        <w:rPr>
          <w:rFonts w:eastAsia="DengXian" w:hint="cs"/>
          <w:sz w:val="26"/>
          <w:szCs w:val="26"/>
          <w:rtl/>
        </w:rPr>
        <w:t>تعتمد كفاءة استخدام الطاقة في أي جهاز من أجهزة التبريد وتكييف الهواء ومضخات الحرارة الى حد كبير على غازات التبريد التي تشحن في النظم ويعد الطلب العالمي على الأجهزة التي تستخدم المواد المرتفعة القدرة على الاحترار العالمي مثل</w:t>
      </w:r>
      <w:r w:rsidR="00F2284A" w:rsidRPr="002407C3">
        <w:rPr>
          <w:rFonts w:eastAsia="DengXian" w:hint="cs"/>
          <w:sz w:val="26"/>
          <w:szCs w:val="26"/>
          <w:rtl/>
        </w:rPr>
        <w:t>،</w:t>
      </w:r>
      <w:r w:rsidRPr="002407C3">
        <w:rPr>
          <w:rFonts w:eastAsia="DengXian" w:hint="cs"/>
          <w:sz w:val="26"/>
          <w:szCs w:val="26"/>
          <w:rtl/>
        </w:rPr>
        <w:t xml:space="preserve"> </w:t>
      </w:r>
      <w:r w:rsidR="00F2284A" w:rsidRPr="002407C3">
        <w:rPr>
          <w:rFonts w:eastAsia="DengXian"/>
          <w:sz w:val="26"/>
          <w:szCs w:val="26"/>
        </w:rPr>
        <w:t>R-410A</w:t>
      </w:r>
      <w:r w:rsidR="00F2284A" w:rsidRPr="002407C3">
        <w:rPr>
          <w:rFonts w:eastAsia="DengXian" w:hint="cs"/>
          <w:sz w:val="26"/>
          <w:szCs w:val="26"/>
          <w:rtl/>
        </w:rPr>
        <w:t>،</w:t>
      </w:r>
      <w:r w:rsidRPr="002407C3">
        <w:rPr>
          <w:rFonts w:eastAsia="DengXian" w:hint="cs"/>
          <w:sz w:val="26"/>
          <w:szCs w:val="26"/>
          <w:rtl/>
        </w:rPr>
        <w:t xml:space="preserve"> من</w:t>
      </w:r>
      <w:r w:rsidR="00F2284A" w:rsidRPr="002407C3">
        <w:rPr>
          <w:rFonts w:eastAsia="DengXian" w:hint="cs"/>
          <w:sz w:val="26"/>
          <w:szCs w:val="26"/>
          <w:rtl/>
        </w:rPr>
        <w:t xml:space="preserve"> أعلى المعدلات في كثير من السنوات مما يؤدي بصناعات الأجهزة الى إدخال تحسينات مستمرة على كفاءة استخدام الطاقة لهذه الأجهزة. ومن المتوقع بعد تطبيق تعديل كي</w:t>
      </w:r>
      <w:r w:rsidR="008307E8" w:rsidRPr="002407C3">
        <w:rPr>
          <w:rFonts w:eastAsia="DengXian" w:hint="cs"/>
          <w:sz w:val="26"/>
          <w:szCs w:val="26"/>
          <w:rtl/>
        </w:rPr>
        <w:t>ج</w:t>
      </w:r>
      <w:r w:rsidR="00F2284A" w:rsidRPr="002407C3">
        <w:rPr>
          <w:rFonts w:eastAsia="DengXian" w:hint="cs"/>
          <w:sz w:val="26"/>
          <w:szCs w:val="26"/>
          <w:rtl/>
        </w:rPr>
        <w:t>الي حدوث زيادة في وتيرة</w:t>
      </w:r>
      <w:r w:rsidR="00E53A50" w:rsidRPr="002407C3">
        <w:rPr>
          <w:rFonts w:eastAsia="DengXian" w:hint="cs"/>
          <w:sz w:val="26"/>
          <w:szCs w:val="26"/>
          <w:rtl/>
        </w:rPr>
        <w:t xml:space="preserve"> إدخال أجهزة التبريد وتكييف الهواء ومضخات الحرارة المعتمدة على غازات التبريد المنخفضة أو المنعدمة قدرات الاحترار العالمي (مثل الهيدروفلوروكربون-32 و</w:t>
      </w:r>
      <w:r w:rsidR="00E53A50" w:rsidRPr="002407C3">
        <w:rPr>
          <w:rFonts w:eastAsia="DengXian"/>
          <w:sz w:val="26"/>
          <w:szCs w:val="26"/>
        </w:rPr>
        <w:t>R-290</w:t>
      </w:r>
      <w:r w:rsidR="00E53A50" w:rsidRPr="002407C3">
        <w:rPr>
          <w:rFonts w:eastAsia="DengXian" w:hint="cs"/>
          <w:sz w:val="26"/>
          <w:szCs w:val="26"/>
          <w:rtl/>
        </w:rPr>
        <w:t>) غير أن تحسين كفاءة الطاقة سوف يتطلب من صناعات الأجهزة الى تطبيق ابتكارات تكنولوجية في التصميم والعناصر الرئيسية في هذه الأجهزة (مثل المكابس ومبادلات الحرارة والضوابط).</w:t>
      </w:r>
      <w:r w:rsidR="00E53A50" w:rsidRPr="002407C3">
        <w:rPr>
          <w:rFonts w:eastAsia="DengXian"/>
          <w:sz w:val="26"/>
          <w:szCs w:val="26"/>
          <w:vertAlign w:val="superscript"/>
        </w:rPr>
        <w:t xml:space="preserve"> </w:t>
      </w:r>
      <w:r w:rsidR="00E53A50" w:rsidRPr="002407C3">
        <w:rPr>
          <w:rFonts w:eastAsia="DengXian"/>
          <w:sz w:val="26"/>
          <w:szCs w:val="26"/>
          <w:vertAlign w:val="superscript"/>
        </w:rPr>
        <w:footnoteReference w:id="25"/>
      </w:r>
    </w:p>
    <w:p w:rsidR="00512997" w:rsidRPr="002407C3" w:rsidRDefault="00512997" w:rsidP="00B74F76">
      <w:pPr>
        <w:pStyle w:val="Heading1"/>
        <w:bidi/>
        <w:rPr>
          <w:rFonts w:eastAsia="DengXian"/>
          <w:kern w:val="2"/>
          <w:sz w:val="26"/>
          <w:szCs w:val="26"/>
        </w:rPr>
      </w:pPr>
      <w:r w:rsidRPr="002407C3">
        <w:rPr>
          <w:rFonts w:eastAsia="DengXian" w:hint="cs"/>
          <w:kern w:val="2"/>
          <w:sz w:val="26"/>
          <w:szCs w:val="26"/>
          <w:rtl/>
        </w:rPr>
        <w:t xml:space="preserve">ويتمثل أحد تدابير </w:t>
      </w:r>
      <w:r w:rsidR="006E521C" w:rsidRPr="002407C3">
        <w:rPr>
          <w:rFonts w:eastAsia="DengXian" w:hint="cs"/>
          <w:kern w:val="2"/>
          <w:sz w:val="26"/>
          <w:szCs w:val="26"/>
          <w:rtl/>
        </w:rPr>
        <w:t xml:space="preserve">سياسة كفاءة استخدام الطاقة في المستخدم على النطاق العالمي في معايير أداء الطاقة الدنيا الذي يعتبر تحديا لمتطلبات </w:t>
      </w:r>
      <w:r w:rsidR="00AB1559" w:rsidRPr="002407C3">
        <w:rPr>
          <w:rFonts w:eastAsia="DengXian" w:hint="cs"/>
          <w:kern w:val="2"/>
          <w:sz w:val="26"/>
          <w:szCs w:val="26"/>
          <w:rtl/>
        </w:rPr>
        <w:t>الأداء للجهاز الذي يستخدم الطاقة والتي يمكن تستخدم بواسطة منتج لأداء مهمة محددة.</w:t>
      </w:r>
      <w:r w:rsidR="00AB1559" w:rsidRPr="002407C3">
        <w:rPr>
          <w:rStyle w:val="FootnoteReference"/>
          <w:sz w:val="26"/>
          <w:szCs w:val="26"/>
        </w:rPr>
        <w:t xml:space="preserve"> </w:t>
      </w:r>
      <w:r w:rsidR="00AB1559" w:rsidRPr="002407C3">
        <w:rPr>
          <w:rStyle w:val="FootnoteReference"/>
          <w:sz w:val="26"/>
          <w:szCs w:val="26"/>
        </w:rPr>
        <w:footnoteReference w:id="26"/>
      </w:r>
    </w:p>
    <w:p w:rsidR="00AB1559" w:rsidRPr="002407C3" w:rsidRDefault="00AB1559" w:rsidP="00AB1559">
      <w:pPr>
        <w:pStyle w:val="Heading1"/>
        <w:bidi/>
        <w:rPr>
          <w:sz w:val="26"/>
          <w:szCs w:val="26"/>
        </w:rPr>
      </w:pPr>
      <w:r w:rsidRPr="002407C3">
        <w:rPr>
          <w:rFonts w:hint="cs"/>
          <w:sz w:val="26"/>
          <w:szCs w:val="26"/>
          <w:rtl/>
        </w:rPr>
        <w:t xml:space="preserve">وسوف يحتاج القواعد اللازمة للرقابة على الواردات من أجهزة التبريد وتكييف الهواء ومضخات الحرارة التي تتسم بكفاءة استخدام الطاقة الى تعزيز معيار أداء الطاقة الدنيا للأجهزة المستخدمة في مختلف التطبيقات، والتي تعمل في ظل ظروف مناخية مختلفة وتدعمها برامج التوسيم التي توفر المزيد من المعلومات للمستهلكين. وسوف يتباين تحديد مستويات كفاءة معيار أداء الطاقة الدنيا لتجنب الأجهزة التي تتسم بعدم الكفاءة في استخدام الطاقة بحسب خصائص سوق المنتج المحلي، واقتصاديات تكاليف المستهلك وأفضليات المستهلك في اعتماد الأجهزة التي تتسم بكفاءة الطاقة والتي تتأثر، </w:t>
      </w:r>
      <w:r w:rsidRPr="002407C3">
        <w:rPr>
          <w:rFonts w:hint="cs"/>
          <w:i/>
          <w:iCs/>
          <w:sz w:val="26"/>
          <w:szCs w:val="26"/>
          <w:rtl/>
        </w:rPr>
        <w:t>ضمن جملة أمور</w:t>
      </w:r>
      <w:r w:rsidRPr="002407C3">
        <w:rPr>
          <w:rFonts w:hint="cs"/>
          <w:sz w:val="26"/>
          <w:szCs w:val="26"/>
          <w:rtl/>
        </w:rPr>
        <w:t xml:space="preserve">، بالتكنولوجيات المتوافرة وسهولة الاعتماد، وأسعار الكهرباء وأنماط </w:t>
      </w:r>
      <w:r w:rsidRPr="002407C3">
        <w:rPr>
          <w:rFonts w:hint="cs"/>
          <w:sz w:val="26"/>
          <w:szCs w:val="26"/>
          <w:rtl/>
        </w:rPr>
        <w:lastRenderedPageBreak/>
        <w:t>الاستخدام. ويتعين مراجعة مستويات معيار أداء الطاقة الدنيا تصاعديا كل بضع سنوات مع مراعاة التطورات التكنولوجية لأجهزة التبريد وتكييف الهواء ومضخات احرارة. وعلاوة على ذلك فإن معايير أداء الطاقة الدنيا مستقلة الى حد كبير عن غازات التبريد المستخدمة.</w:t>
      </w:r>
    </w:p>
    <w:p w:rsidR="00AB1559" w:rsidRPr="002407C3" w:rsidRDefault="00AB1559" w:rsidP="00B74F76">
      <w:pPr>
        <w:pStyle w:val="Heading1"/>
        <w:bidi/>
        <w:rPr>
          <w:sz w:val="26"/>
          <w:szCs w:val="26"/>
        </w:rPr>
      </w:pPr>
      <w:r w:rsidRPr="002407C3">
        <w:rPr>
          <w:rFonts w:hint="cs"/>
          <w:sz w:val="26"/>
          <w:szCs w:val="26"/>
          <w:rtl/>
        </w:rPr>
        <w:t xml:space="preserve">وعلى ذلك فإن في حين أن تعزيز معيار أداء الطاقة الدنيا بالنسبة للإمدادات والبيع للأجهزة في الأسواق المحلية يعتبر ضروريا للنهوض بكفاءة استخدام الطاقة، ينبغي تنفيذ تدابير تكاملية في نفس الوقت لتجنب تزايد الحصول على أجهزة التبريد وتكييف الهواء ومضخات الحرارة المعتمدة على غازات التبريد المرتفعة القدرة على الاحترار العالمي. ويتعين على وجه الخصوص تنفيذ معايير أداء الطاقة الدنيا والتدابير التنظيمية التي تعالج استيراد واستخدام الأجهزة المعتمدة على غازات التبريد المرتفعة القدرة على الاحترار العالمي، في وقت واحد لتجنب استيراد أجهزة التبريد وتكييف الهواء ومضخات الحرارة التي تتسم بكفاءة استخدام الطاقة إلاّ أنها تعتمد على الغازات التي ترتفع فيها القدرة على الاحترار العالمي (مثل </w:t>
      </w:r>
      <w:r w:rsidRPr="002407C3">
        <w:rPr>
          <w:sz w:val="26"/>
          <w:szCs w:val="26"/>
        </w:rPr>
        <w:t>R-410A</w:t>
      </w:r>
      <w:r w:rsidRPr="002407C3">
        <w:rPr>
          <w:rFonts w:hint="cs"/>
          <w:sz w:val="26"/>
          <w:szCs w:val="26"/>
          <w:rtl/>
        </w:rPr>
        <w:t>).</w:t>
      </w:r>
    </w:p>
    <w:p w:rsidR="00AB1559" w:rsidRPr="002407C3" w:rsidRDefault="00AB1559" w:rsidP="00B74F76">
      <w:pPr>
        <w:pStyle w:val="Heading1"/>
        <w:bidi/>
        <w:rPr>
          <w:sz w:val="26"/>
          <w:szCs w:val="26"/>
        </w:rPr>
      </w:pPr>
      <w:r w:rsidRPr="002407C3">
        <w:rPr>
          <w:rFonts w:hint="cs"/>
          <w:sz w:val="26"/>
          <w:szCs w:val="26"/>
          <w:rtl/>
        </w:rPr>
        <w:t xml:space="preserve">وتتضمن التدابير الأخرى التي يمكن أن تيسر اعتماد الأجهزة التي تتسم بكفاءة استخدام الطاقة برامج التوسيم التي تساعد المستهلكين على اختيار المنتجات النوعية بمستويات معينة من الكفاءة، والحوافز المالية في شكل الاسترداد، وائتمان الضرائب، وتمويل القروض أو تأخير الأجهزة التي تتسم بكفاءة استخدام الطاقة وبرامج الشراء التي تشجع على شراء المنتجات التي تتسم بكفاءة استخدام الطاقة بأسعار مغرية. وعلاوة على ذلك، فإن للجوانب المتعلقة بتصميم المباني لخفض إجمالي التدفئة، وضبط درجات الحرارة في أماكن التبريد وتشغيل أجهزة التبريد منع الفاقد في التبريد، تأثير على كفاءة استخدام الطاقة في الأجهزة كما أن </w:t>
      </w:r>
      <w:r w:rsidR="00A96A71" w:rsidRPr="002407C3">
        <w:rPr>
          <w:rFonts w:hint="cs"/>
          <w:sz w:val="26"/>
          <w:szCs w:val="26"/>
          <w:rtl/>
        </w:rPr>
        <w:t>زيادة توعية المستهلكين وأصحاب الشأن الآخرين من خلال وكالات الخدمة يمكن أن يشجع على تشغيل الأجهزة بكفاءة استخدام الطاقة. ويمكن تنفيذ هذه التدابير، بالاقتران مع معايير أداء الطاقة الدنيا وغير ذلك من التدابير التنظيمية التي يمكن أن تمنع اعتماد غازات التبريد المرتفعة القدرة على الاحترار العالمي بطريقة تشجغ على إدخال الأجهزة التي تتسم بارتفاع كفاءة استخدام الطاقة التي تستند الى الخيارات المنخفضة والمنعدمة القدرة على الاحترار العالمي.</w:t>
      </w:r>
    </w:p>
    <w:p w:rsidR="00A96A71" w:rsidRPr="002407C3" w:rsidRDefault="00A96A71" w:rsidP="00B74F76">
      <w:pPr>
        <w:pStyle w:val="Heading1"/>
        <w:bidi/>
        <w:rPr>
          <w:sz w:val="26"/>
          <w:szCs w:val="26"/>
        </w:rPr>
      </w:pPr>
      <w:r w:rsidRPr="002407C3">
        <w:rPr>
          <w:rFonts w:hint="cs"/>
          <w:sz w:val="26"/>
          <w:szCs w:val="26"/>
          <w:rtl/>
        </w:rPr>
        <w:t>وعلى الرغم من عدم إدراج قواعد نوعية تتعلق بالرقابة على الواردات من أجهزة التبريد وتكييف الهواء ومضخات الحرارة في تقييم درجات كفاءة استخدام الطاقة لديها في خطط إدارة إزالة المواد الهيدروكلوروفلوروكربونية، فإن عددا كبيرا من بلدان المادة 5 لديه هذه القواعد التي سنها خبراء معنيين يتعاملون مع كفاءة استخدام الطاقة على النحو الوارد في الجدول 1.</w:t>
      </w:r>
    </w:p>
    <w:p w:rsidR="00A96A71" w:rsidRPr="00A96A71" w:rsidRDefault="00A96A71" w:rsidP="00B74F76">
      <w:pPr>
        <w:bidi/>
        <w:jc w:val="left"/>
        <w:rPr>
          <w:bCs/>
          <w:spacing w:val="-2"/>
          <w:rtl/>
        </w:rPr>
      </w:pPr>
      <w:r>
        <w:rPr>
          <w:rFonts w:hint="cs"/>
          <w:bCs/>
          <w:spacing w:val="-2"/>
          <w:rtl/>
        </w:rPr>
        <w:t>الجدول 1: عرض عام لعدد 43 بلدا من بلدان المادة 5 لديه برامج لمعايير أداء الطاقة الدنيا والوسمات</w:t>
      </w:r>
      <w:r w:rsidRPr="000E71B1">
        <w:rPr>
          <w:rFonts w:eastAsia="DengXian"/>
          <w:vertAlign w:val="superscript"/>
        </w:rPr>
        <w:footnoteReference w:id="27"/>
      </w:r>
    </w:p>
    <w:tbl>
      <w:tblPr>
        <w:tblStyle w:val="TableGrid"/>
        <w:bidiVisual/>
        <w:tblW w:w="9355" w:type="dxa"/>
        <w:tblLayout w:type="fixed"/>
        <w:tblCellMar>
          <w:left w:w="57" w:type="dxa"/>
          <w:right w:w="57" w:type="dxa"/>
        </w:tblCellMar>
        <w:tblLook w:val="04A0" w:firstRow="1" w:lastRow="0" w:firstColumn="1" w:lastColumn="0" w:noHBand="0" w:noVBand="1"/>
      </w:tblPr>
      <w:tblGrid>
        <w:gridCol w:w="2785"/>
        <w:gridCol w:w="962"/>
        <w:gridCol w:w="1231"/>
        <w:gridCol w:w="929"/>
        <w:gridCol w:w="1266"/>
        <w:gridCol w:w="894"/>
        <w:gridCol w:w="1288"/>
      </w:tblGrid>
      <w:tr w:rsidR="00EB56BA" w:rsidRPr="00E354EC" w:rsidTr="004C5E42">
        <w:trPr>
          <w:tblHeader/>
        </w:trPr>
        <w:tc>
          <w:tcPr>
            <w:tcW w:w="2785" w:type="dxa"/>
            <w:vMerge w:val="restart"/>
            <w:noWrap/>
            <w:vAlign w:val="center"/>
            <w:hideMark/>
          </w:tcPr>
          <w:p w:rsidR="00EB56BA" w:rsidRPr="00E354EC" w:rsidRDefault="00A96A71" w:rsidP="00B74F76">
            <w:pPr>
              <w:bidi/>
              <w:jc w:val="left"/>
              <w:rPr>
                <w:sz w:val="20"/>
                <w:szCs w:val="20"/>
              </w:rPr>
            </w:pPr>
            <w:r>
              <w:rPr>
                <w:rFonts w:hint="cs"/>
                <w:b/>
                <w:bCs/>
                <w:sz w:val="20"/>
                <w:szCs w:val="20"/>
                <w:rtl/>
              </w:rPr>
              <w:t>البلد</w:t>
            </w:r>
          </w:p>
        </w:tc>
        <w:tc>
          <w:tcPr>
            <w:tcW w:w="2193" w:type="dxa"/>
            <w:gridSpan w:val="2"/>
            <w:noWrap/>
            <w:vAlign w:val="center"/>
            <w:hideMark/>
          </w:tcPr>
          <w:p w:rsidR="00EB56BA" w:rsidRPr="00E354EC" w:rsidRDefault="00A96A71" w:rsidP="00B74F76">
            <w:pPr>
              <w:bidi/>
              <w:jc w:val="center"/>
              <w:rPr>
                <w:b/>
                <w:bCs/>
                <w:sz w:val="20"/>
                <w:szCs w:val="20"/>
              </w:rPr>
            </w:pPr>
            <w:r>
              <w:rPr>
                <w:rFonts w:hint="cs"/>
                <w:b/>
                <w:bCs/>
                <w:sz w:val="20"/>
                <w:szCs w:val="20"/>
                <w:rtl/>
              </w:rPr>
              <w:t>وسمات المقارنة</w:t>
            </w:r>
            <w:r w:rsidR="00EB56BA">
              <w:rPr>
                <w:rStyle w:val="FootnoteReference"/>
                <w:b/>
                <w:bCs/>
                <w:sz w:val="20"/>
              </w:rPr>
              <w:footnoteReference w:id="28"/>
            </w:r>
          </w:p>
        </w:tc>
        <w:tc>
          <w:tcPr>
            <w:tcW w:w="2195" w:type="dxa"/>
            <w:gridSpan w:val="2"/>
            <w:noWrap/>
            <w:vAlign w:val="center"/>
            <w:hideMark/>
          </w:tcPr>
          <w:p w:rsidR="00EB56BA" w:rsidRPr="00E354EC" w:rsidRDefault="00A96A71" w:rsidP="00B74F76">
            <w:pPr>
              <w:bidi/>
              <w:jc w:val="center"/>
              <w:rPr>
                <w:b/>
                <w:bCs/>
                <w:sz w:val="20"/>
                <w:szCs w:val="20"/>
              </w:rPr>
            </w:pPr>
            <w:r>
              <w:rPr>
                <w:rFonts w:hint="cs"/>
                <w:b/>
                <w:bCs/>
                <w:sz w:val="20"/>
                <w:szCs w:val="20"/>
                <w:rtl/>
              </w:rPr>
              <w:t>وسمات الموافقة</w:t>
            </w:r>
            <w:r w:rsidR="00EB56BA">
              <w:rPr>
                <w:rStyle w:val="FootnoteReference"/>
                <w:b/>
                <w:bCs/>
                <w:sz w:val="20"/>
              </w:rPr>
              <w:footnoteReference w:id="29"/>
            </w:r>
          </w:p>
        </w:tc>
        <w:tc>
          <w:tcPr>
            <w:tcW w:w="2182" w:type="dxa"/>
            <w:gridSpan w:val="2"/>
            <w:noWrap/>
            <w:vAlign w:val="center"/>
            <w:hideMark/>
          </w:tcPr>
          <w:p w:rsidR="00EB56BA" w:rsidRPr="00E354EC" w:rsidRDefault="00A96A71" w:rsidP="00B74F76">
            <w:pPr>
              <w:bidi/>
              <w:jc w:val="center"/>
              <w:rPr>
                <w:b/>
                <w:bCs/>
                <w:sz w:val="20"/>
                <w:szCs w:val="20"/>
              </w:rPr>
            </w:pPr>
            <w:r>
              <w:rPr>
                <w:rFonts w:hint="cs"/>
                <w:b/>
                <w:bCs/>
                <w:sz w:val="20"/>
                <w:szCs w:val="20"/>
                <w:rtl/>
              </w:rPr>
              <w:t>معايير أداء الطاقة الدنيا</w:t>
            </w:r>
          </w:p>
        </w:tc>
      </w:tr>
      <w:tr w:rsidR="00A96A71" w:rsidRPr="00E354EC" w:rsidTr="00A96A71">
        <w:trPr>
          <w:tblHeader/>
        </w:trPr>
        <w:tc>
          <w:tcPr>
            <w:tcW w:w="2785" w:type="dxa"/>
            <w:vMerge/>
            <w:noWrap/>
            <w:tcMar>
              <w:left w:w="115" w:type="dxa"/>
            </w:tcMar>
            <w:vAlign w:val="center"/>
            <w:hideMark/>
          </w:tcPr>
          <w:p w:rsidR="00A96A71" w:rsidRPr="00E354EC" w:rsidRDefault="00A96A71" w:rsidP="00B74F76">
            <w:pPr>
              <w:bidi/>
              <w:jc w:val="left"/>
              <w:rPr>
                <w:b/>
                <w:bCs/>
                <w:sz w:val="20"/>
                <w:szCs w:val="20"/>
              </w:rPr>
            </w:pPr>
          </w:p>
        </w:tc>
        <w:tc>
          <w:tcPr>
            <w:tcW w:w="962" w:type="dxa"/>
            <w:noWrap/>
            <w:tcMar>
              <w:left w:w="0" w:type="dxa"/>
              <w:right w:w="0" w:type="dxa"/>
            </w:tcMar>
            <w:vAlign w:val="center"/>
            <w:hideMark/>
          </w:tcPr>
          <w:p w:rsidR="00A96A71" w:rsidRPr="00E354EC" w:rsidRDefault="00A96A71" w:rsidP="00B74F76">
            <w:pPr>
              <w:bidi/>
              <w:jc w:val="center"/>
              <w:rPr>
                <w:b/>
                <w:bCs/>
                <w:sz w:val="20"/>
                <w:szCs w:val="20"/>
              </w:rPr>
            </w:pPr>
            <w:r>
              <w:rPr>
                <w:rFonts w:hint="cs"/>
                <w:b/>
                <w:bCs/>
                <w:sz w:val="20"/>
                <w:szCs w:val="20"/>
                <w:rtl/>
              </w:rPr>
              <w:t>غازات التبريد</w:t>
            </w:r>
          </w:p>
        </w:tc>
        <w:tc>
          <w:tcPr>
            <w:tcW w:w="1231" w:type="dxa"/>
            <w:noWrap/>
            <w:tcMar>
              <w:left w:w="0" w:type="dxa"/>
              <w:right w:w="0" w:type="dxa"/>
            </w:tcMar>
            <w:vAlign w:val="center"/>
            <w:hideMark/>
          </w:tcPr>
          <w:p w:rsidR="00A96A71" w:rsidRPr="00E354EC" w:rsidRDefault="00A96A71" w:rsidP="00B74F76">
            <w:pPr>
              <w:bidi/>
              <w:jc w:val="center"/>
              <w:rPr>
                <w:b/>
                <w:bCs/>
                <w:sz w:val="20"/>
                <w:szCs w:val="20"/>
              </w:rPr>
            </w:pPr>
            <w:r>
              <w:rPr>
                <w:rFonts w:hint="cs"/>
                <w:b/>
                <w:bCs/>
                <w:sz w:val="20"/>
                <w:szCs w:val="20"/>
                <w:rtl/>
              </w:rPr>
              <w:t>تكييف هواء الغرف</w:t>
            </w:r>
          </w:p>
        </w:tc>
        <w:tc>
          <w:tcPr>
            <w:tcW w:w="929" w:type="dxa"/>
            <w:noWrap/>
            <w:tcMar>
              <w:left w:w="0" w:type="dxa"/>
              <w:right w:w="0" w:type="dxa"/>
            </w:tcMar>
            <w:vAlign w:val="center"/>
            <w:hideMark/>
          </w:tcPr>
          <w:p w:rsidR="00A96A71" w:rsidRPr="00E354EC" w:rsidRDefault="00A96A71" w:rsidP="00892422">
            <w:pPr>
              <w:bidi/>
              <w:jc w:val="center"/>
              <w:rPr>
                <w:b/>
                <w:bCs/>
                <w:sz w:val="20"/>
                <w:szCs w:val="20"/>
              </w:rPr>
            </w:pPr>
            <w:r>
              <w:rPr>
                <w:rFonts w:hint="cs"/>
                <w:b/>
                <w:bCs/>
                <w:sz w:val="20"/>
                <w:szCs w:val="20"/>
                <w:rtl/>
              </w:rPr>
              <w:t>غازات التبريد</w:t>
            </w:r>
          </w:p>
        </w:tc>
        <w:tc>
          <w:tcPr>
            <w:tcW w:w="1266" w:type="dxa"/>
            <w:noWrap/>
            <w:tcMar>
              <w:left w:w="0" w:type="dxa"/>
              <w:right w:w="0" w:type="dxa"/>
            </w:tcMar>
            <w:vAlign w:val="center"/>
            <w:hideMark/>
          </w:tcPr>
          <w:p w:rsidR="00A96A71" w:rsidRPr="00E354EC" w:rsidRDefault="00A96A71" w:rsidP="00892422">
            <w:pPr>
              <w:bidi/>
              <w:jc w:val="center"/>
              <w:rPr>
                <w:b/>
                <w:bCs/>
                <w:sz w:val="20"/>
                <w:szCs w:val="20"/>
              </w:rPr>
            </w:pPr>
            <w:r>
              <w:rPr>
                <w:rFonts w:hint="cs"/>
                <w:b/>
                <w:bCs/>
                <w:sz w:val="20"/>
                <w:szCs w:val="20"/>
                <w:rtl/>
              </w:rPr>
              <w:t>تكييف هواء الغرف</w:t>
            </w:r>
          </w:p>
        </w:tc>
        <w:tc>
          <w:tcPr>
            <w:tcW w:w="894" w:type="dxa"/>
            <w:noWrap/>
            <w:tcMar>
              <w:left w:w="0" w:type="dxa"/>
              <w:right w:w="0" w:type="dxa"/>
            </w:tcMar>
            <w:vAlign w:val="center"/>
            <w:hideMark/>
          </w:tcPr>
          <w:p w:rsidR="00A96A71" w:rsidRPr="00E354EC" w:rsidRDefault="00A96A71" w:rsidP="00892422">
            <w:pPr>
              <w:bidi/>
              <w:jc w:val="center"/>
              <w:rPr>
                <w:b/>
                <w:bCs/>
                <w:sz w:val="20"/>
                <w:szCs w:val="20"/>
              </w:rPr>
            </w:pPr>
            <w:r>
              <w:rPr>
                <w:rFonts w:hint="cs"/>
                <w:b/>
                <w:bCs/>
                <w:sz w:val="20"/>
                <w:szCs w:val="20"/>
                <w:rtl/>
              </w:rPr>
              <w:t>غازات التبريد</w:t>
            </w:r>
          </w:p>
        </w:tc>
        <w:tc>
          <w:tcPr>
            <w:tcW w:w="1288" w:type="dxa"/>
            <w:noWrap/>
            <w:tcMar>
              <w:left w:w="0" w:type="dxa"/>
              <w:right w:w="0" w:type="dxa"/>
            </w:tcMar>
            <w:vAlign w:val="center"/>
            <w:hideMark/>
          </w:tcPr>
          <w:p w:rsidR="00A96A71" w:rsidRPr="00E354EC" w:rsidRDefault="00A96A71" w:rsidP="00892422">
            <w:pPr>
              <w:bidi/>
              <w:jc w:val="center"/>
              <w:rPr>
                <w:b/>
                <w:bCs/>
                <w:sz w:val="20"/>
                <w:szCs w:val="20"/>
              </w:rPr>
            </w:pPr>
            <w:r>
              <w:rPr>
                <w:rFonts w:hint="cs"/>
                <w:b/>
                <w:bCs/>
                <w:sz w:val="20"/>
                <w:szCs w:val="20"/>
                <w:rtl/>
              </w:rPr>
              <w:t>تكييف هواء الغرف</w:t>
            </w:r>
          </w:p>
        </w:tc>
      </w:tr>
      <w:tr w:rsidR="00EB56BA" w:rsidRPr="00E354EC" w:rsidTr="00A96A71">
        <w:tc>
          <w:tcPr>
            <w:tcW w:w="2785" w:type="dxa"/>
            <w:noWrap/>
            <w:tcMar>
              <w:left w:w="115" w:type="dxa"/>
              <w:right w:w="0" w:type="dxa"/>
            </w:tcMar>
            <w:hideMark/>
          </w:tcPr>
          <w:p w:rsidR="00EB56BA" w:rsidRPr="00E354EC" w:rsidRDefault="00A96A71" w:rsidP="005A1B44">
            <w:pPr>
              <w:bidi/>
              <w:ind w:left="144"/>
              <w:jc w:val="left"/>
              <w:rPr>
                <w:sz w:val="20"/>
                <w:szCs w:val="20"/>
              </w:rPr>
            </w:pPr>
            <w:r>
              <w:rPr>
                <w:rFonts w:hint="cs"/>
                <w:sz w:val="20"/>
                <w:szCs w:val="20"/>
                <w:rtl/>
              </w:rPr>
              <w:t>الجزائر</w:t>
            </w:r>
          </w:p>
        </w:tc>
        <w:tc>
          <w:tcPr>
            <w:tcW w:w="962" w:type="dxa"/>
            <w:noWrap/>
            <w:vAlign w:val="center"/>
            <w:hideMark/>
          </w:tcPr>
          <w:p w:rsidR="00EB56BA" w:rsidRPr="00E354EC" w:rsidRDefault="00EB56BA" w:rsidP="00B74F76">
            <w:pPr>
              <w:bidi/>
              <w:jc w:val="center"/>
              <w:rPr>
                <w:sz w:val="20"/>
                <w:szCs w:val="20"/>
              </w:rPr>
            </w:pPr>
            <w:r w:rsidRPr="00E354EC">
              <w:rPr>
                <w:sz w:val="20"/>
                <w:szCs w:val="20"/>
              </w:rPr>
              <w:t>X</w:t>
            </w:r>
          </w:p>
        </w:tc>
        <w:tc>
          <w:tcPr>
            <w:tcW w:w="1231" w:type="dxa"/>
            <w:noWrap/>
            <w:vAlign w:val="center"/>
            <w:hideMark/>
          </w:tcPr>
          <w:p w:rsidR="00EB56BA" w:rsidRPr="00E354EC" w:rsidRDefault="00EB56BA" w:rsidP="00B74F76">
            <w:pPr>
              <w:bidi/>
              <w:jc w:val="center"/>
              <w:rPr>
                <w:sz w:val="20"/>
                <w:szCs w:val="20"/>
              </w:rPr>
            </w:pPr>
            <w:r w:rsidRPr="00E354EC">
              <w:rPr>
                <w:sz w:val="20"/>
                <w:szCs w:val="20"/>
              </w:rPr>
              <w:t>X</w:t>
            </w:r>
          </w:p>
        </w:tc>
        <w:tc>
          <w:tcPr>
            <w:tcW w:w="929" w:type="dxa"/>
            <w:noWrap/>
            <w:vAlign w:val="center"/>
            <w:hideMark/>
          </w:tcPr>
          <w:p w:rsidR="00EB56BA" w:rsidRPr="00E354EC" w:rsidRDefault="00EB56BA" w:rsidP="00B74F76">
            <w:pPr>
              <w:bidi/>
              <w:jc w:val="center"/>
              <w:rPr>
                <w:sz w:val="20"/>
                <w:szCs w:val="20"/>
              </w:rPr>
            </w:pPr>
          </w:p>
        </w:tc>
        <w:tc>
          <w:tcPr>
            <w:tcW w:w="1266" w:type="dxa"/>
            <w:noWrap/>
            <w:vAlign w:val="center"/>
            <w:hideMark/>
          </w:tcPr>
          <w:p w:rsidR="00EB56BA" w:rsidRPr="00E354EC" w:rsidRDefault="00EB56BA" w:rsidP="00B74F76">
            <w:pPr>
              <w:bidi/>
              <w:jc w:val="center"/>
              <w:rPr>
                <w:sz w:val="20"/>
                <w:szCs w:val="20"/>
              </w:rPr>
            </w:pPr>
          </w:p>
        </w:tc>
        <w:tc>
          <w:tcPr>
            <w:tcW w:w="894" w:type="dxa"/>
            <w:noWrap/>
            <w:vAlign w:val="center"/>
            <w:hideMark/>
          </w:tcPr>
          <w:p w:rsidR="00EB56BA" w:rsidRPr="00E354EC" w:rsidRDefault="00EB56BA" w:rsidP="00B74F76">
            <w:pPr>
              <w:bidi/>
              <w:jc w:val="center"/>
              <w:rPr>
                <w:sz w:val="20"/>
                <w:szCs w:val="20"/>
              </w:rPr>
            </w:pPr>
            <w:r w:rsidRPr="00E354EC">
              <w:rPr>
                <w:sz w:val="20"/>
                <w:szCs w:val="20"/>
              </w:rPr>
              <w:t>X</w:t>
            </w:r>
          </w:p>
        </w:tc>
        <w:tc>
          <w:tcPr>
            <w:tcW w:w="1288" w:type="dxa"/>
            <w:noWrap/>
            <w:vAlign w:val="center"/>
            <w:hideMark/>
          </w:tcPr>
          <w:p w:rsidR="00EB56BA" w:rsidRPr="00E354EC" w:rsidRDefault="00EB56BA" w:rsidP="00B74F76">
            <w:pPr>
              <w:bidi/>
              <w:jc w:val="center"/>
              <w:rPr>
                <w:sz w:val="20"/>
                <w:szCs w:val="20"/>
              </w:rPr>
            </w:pPr>
          </w:p>
        </w:tc>
      </w:tr>
      <w:tr w:rsidR="00EB56BA" w:rsidRPr="00E354EC" w:rsidTr="00A96A71">
        <w:tc>
          <w:tcPr>
            <w:tcW w:w="2785" w:type="dxa"/>
            <w:noWrap/>
            <w:tcMar>
              <w:left w:w="115" w:type="dxa"/>
              <w:right w:w="0" w:type="dxa"/>
            </w:tcMar>
            <w:hideMark/>
          </w:tcPr>
          <w:p w:rsidR="00EB56BA" w:rsidRPr="00E354EC" w:rsidRDefault="005A1B44" w:rsidP="005A1B44">
            <w:pPr>
              <w:bidi/>
              <w:ind w:left="144"/>
              <w:jc w:val="left"/>
              <w:rPr>
                <w:sz w:val="20"/>
                <w:szCs w:val="20"/>
              </w:rPr>
            </w:pPr>
            <w:r>
              <w:rPr>
                <w:rFonts w:hint="cs"/>
                <w:sz w:val="20"/>
                <w:szCs w:val="20"/>
                <w:rtl/>
              </w:rPr>
              <w:t>الأرجنتين</w:t>
            </w:r>
          </w:p>
        </w:tc>
        <w:tc>
          <w:tcPr>
            <w:tcW w:w="962" w:type="dxa"/>
            <w:noWrap/>
            <w:vAlign w:val="center"/>
            <w:hideMark/>
          </w:tcPr>
          <w:p w:rsidR="00EB56BA" w:rsidRPr="00E354EC" w:rsidRDefault="00EB56BA" w:rsidP="00B74F76">
            <w:pPr>
              <w:bidi/>
              <w:jc w:val="center"/>
              <w:rPr>
                <w:sz w:val="20"/>
                <w:szCs w:val="20"/>
              </w:rPr>
            </w:pPr>
            <w:r w:rsidRPr="00E354EC">
              <w:rPr>
                <w:sz w:val="20"/>
                <w:szCs w:val="20"/>
              </w:rPr>
              <w:t>X</w:t>
            </w:r>
          </w:p>
        </w:tc>
        <w:tc>
          <w:tcPr>
            <w:tcW w:w="1231" w:type="dxa"/>
            <w:noWrap/>
            <w:vAlign w:val="center"/>
            <w:hideMark/>
          </w:tcPr>
          <w:p w:rsidR="00EB56BA" w:rsidRPr="00E354EC" w:rsidRDefault="00EB56BA" w:rsidP="00B74F76">
            <w:pPr>
              <w:bidi/>
              <w:jc w:val="center"/>
              <w:rPr>
                <w:sz w:val="20"/>
                <w:szCs w:val="20"/>
              </w:rPr>
            </w:pPr>
            <w:r w:rsidRPr="00E354EC">
              <w:rPr>
                <w:sz w:val="20"/>
                <w:szCs w:val="20"/>
              </w:rPr>
              <w:t>X</w:t>
            </w:r>
          </w:p>
        </w:tc>
        <w:tc>
          <w:tcPr>
            <w:tcW w:w="929" w:type="dxa"/>
            <w:noWrap/>
            <w:vAlign w:val="center"/>
            <w:hideMark/>
          </w:tcPr>
          <w:p w:rsidR="00EB56BA" w:rsidRPr="00E354EC" w:rsidRDefault="00EB56BA" w:rsidP="00B74F76">
            <w:pPr>
              <w:bidi/>
              <w:jc w:val="center"/>
              <w:rPr>
                <w:sz w:val="20"/>
                <w:szCs w:val="20"/>
              </w:rPr>
            </w:pPr>
          </w:p>
        </w:tc>
        <w:tc>
          <w:tcPr>
            <w:tcW w:w="1266" w:type="dxa"/>
            <w:noWrap/>
            <w:vAlign w:val="center"/>
            <w:hideMark/>
          </w:tcPr>
          <w:p w:rsidR="00EB56BA" w:rsidRPr="00E354EC" w:rsidRDefault="00EB56BA" w:rsidP="00B74F76">
            <w:pPr>
              <w:bidi/>
              <w:jc w:val="center"/>
              <w:rPr>
                <w:sz w:val="20"/>
                <w:szCs w:val="20"/>
              </w:rPr>
            </w:pPr>
          </w:p>
        </w:tc>
        <w:tc>
          <w:tcPr>
            <w:tcW w:w="894" w:type="dxa"/>
            <w:noWrap/>
            <w:vAlign w:val="center"/>
            <w:hideMark/>
          </w:tcPr>
          <w:p w:rsidR="00EB56BA" w:rsidRPr="00E354EC" w:rsidRDefault="00EB56BA" w:rsidP="00B74F76">
            <w:pPr>
              <w:bidi/>
              <w:jc w:val="center"/>
              <w:rPr>
                <w:sz w:val="20"/>
                <w:szCs w:val="20"/>
              </w:rPr>
            </w:pPr>
            <w:r w:rsidRPr="00E354EC">
              <w:rPr>
                <w:sz w:val="20"/>
                <w:szCs w:val="20"/>
              </w:rPr>
              <w:t>X</w:t>
            </w:r>
          </w:p>
        </w:tc>
        <w:tc>
          <w:tcPr>
            <w:tcW w:w="1288" w:type="dxa"/>
            <w:noWrap/>
            <w:vAlign w:val="center"/>
            <w:hideMark/>
          </w:tcPr>
          <w:p w:rsidR="00EB56BA" w:rsidRPr="00E354EC" w:rsidRDefault="00EB56BA" w:rsidP="00B74F76">
            <w:pPr>
              <w:bidi/>
              <w:jc w:val="center"/>
              <w:rPr>
                <w:sz w:val="20"/>
                <w:szCs w:val="20"/>
              </w:rPr>
            </w:pPr>
            <w:r w:rsidRPr="00E354EC">
              <w:rPr>
                <w:sz w:val="20"/>
                <w:szCs w:val="20"/>
              </w:rPr>
              <w:t>X</w:t>
            </w:r>
          </w:p>
        </w:tc>
      </w:tr>
      <w:tr w:rsidR="00EB56BA" w:rsidRPr="00E354EC" w:rsidTr="00A96A71">
        <w:tc>
          <w:tcPr>
            <w:tcW w:w="2785" w:type="dxa"/>
            <w:noWrap/>
            <w:tcMar>
              <w:left w:w="115" w:type="dxa"/>
              <w:right w:w="0" w:type="dxa"/>
            </w:tcMar>
            <w:hideMark/>
          </w:tcPr>
          <w:p w:rsidR="00EB56BA" w:rsidRPr="00E354EC" w:rsidRDefault="005A1B44" w:rsidP="005A1B44">
            <w:pPr>
              <w:bidi/>
              <w:ind w:left="144"/>
              <w:jc w:val="left"/>
              <w:rPr>
                <w:sz w:val="20"/>
                <w:szCs w:val="20"/>
              </w:rPr>
            </w:pPr>
            <w:r>
              <w:rPr>
                <w:rFonts w:hint="cs"/>
                <w:sz w:val="20"/>
                <w:szCs w:val="20"/>
                <w:rtl/>
              </w:rPr>
              <w:t>بنغلاديش</w:t>
            </w:r>
          </w:p>
        </w:tc>
        <w:tc>
          <w:tcPr>
            <w:tcW w:w="962" w:type="dxa"/>
            <w:noWrap/>
            <w:vAlign w:val="center"/>
            <w:hideMark/>
          </w:tcPr>
          <w:p w:rsidR="00EB56BA" w:rsidRPr="00E354EC" w:rsidRDefault="00EB56BA" w:rsidP="00B74F76">
            <w:pPr>
              <w:bidi/>
              <w:jc w:val="center"/>
              <w:rPr>
                <w:sz w:val="20"/>
                <w:szCs w:val="20"/>
              </w:rPr>
            </w:pPr>
          </w:p>
        </w:tc>
        <w:tc>
          <w:tcPr>
            <w:tcW w:w="1231" w:type="dxa"/>
            <w:noWrap/>
            <w:vAlign w:val="center"/>
            <w:hideMark/>
          </w:tcPr>
          <w:p w:rsidR="00EB56BA" w:rsidRPr="00E354EC" w:rsidRDefault="00EB56BA" w:rsidP="00B74F76">
            <w:pPr>
              <w:bidi/>
              <w:jc w:val="center"/>
              <w:rPr>
                <w:sz w:val="20"/>
                <w:szCs w:val="20"/>
              </w:rPr>
            </w:pPr>
            <w:r w:rsidRPr="00E354EC">
              <w:rPr>
                <w:sz w:val="20"/>
                <w:szCs w:val="20"/>
              </w:rPr>
              <w:t>X</w:t>
            </w:r>
          </w:p>
        </w:tc>
        <w:tc>
          <w:tcPr>
            <w:tcW w:w="929" w:type="dxa"/>
            <w:noWrap/>
            <w:vAlign w:val="center"/>
            <w:hideMark/>
          </w:tcPr>
          <w:p w:rsidR="00EB56BA" w:rsidRPr="00E354EC" w:rsidRDefault="00EB56BA" w:rsidP="00B74F76">
            <w:pPr>
              <w:bidi/>
              <w:jc w:val="center"/>
              <w:rPr>
                <w:sz w:val="20"/>
                <w:szCs w:val="20"/>
              </w:rPr>
            </w:pPr>
          </w:p>
        </w:tc>
        <w:tc>
          <w:tcPr>
            <w:tcW w:w="1266" w:type="dxa"/>
            <w:noWrap/>
            <w:vAlign w:val="center"/>
            <w:hideMark/>
          </w:tcPr>
          <w:p w:rsidR="00EB56BA" w:rsidRPr="00E354EC" w:rsidRDefault="00EB56BA" w:rsidP="00B74F76">
            <w:pPr>
              <w:bidi/>
              <w:jc w:val="center"/>
              <w:rPr>
                <w:sz w:val="20"/>
                <w:szCs w:val="20"/>
              </w:rPr>
            </w:pPr>
          </w:p>
        </w:tc>
        <w:tc>
          <w:tcPr>
            <w:tcW w:w="894" w:type="dxa"/>
            <w:noWrap/>
            <w:vAlign w:val="center"/>
            <w:hideMark/>
          </w:tcPr>
          <w:p w:rsidR="00EB56BA" w:rsidRPr="00E354EC" w:rsidRDefault="00EB56BA" w:rsidP="00B74F76">
            <w:pPr>
              <w:bidi/>
              <w:jc w:val="center"/>
              <w:rPr>
                <w:sz w:val="20"/>
                <w:szCs w:val="20"/>
              </w:rPr>
            </w:pPr>
          </w:p>
        </w:tc>
        <w:tc>
          <w:tcPr>
            <w:tcW w:w="1288" w:type="dxa"/>
            <w:noWrap/>
            <w:vAlign w:val="center"/>
            <w:hideMark/>
          </w:tcPr>
          <w:p w:rsidR="00EB56BA" w:rsidRPr="00E354EC" w:rsidRDefault="00EB56BA" w:rsidP="00B74F76">
            <w:pPr>
              <w:bidi/>
              <w:jc w:val="center"/>
              <w:rPr>
                <w:sz w:val="20"/>
                <w:szCs w:val="20"/>
              </w:rPr>
            </w:pPr>
          </w:p>
        </w:tc>
      </w:tr>
      <w:tr w:rsidR="00EB56BA" w:rsidRPr="00E354EC" w:rsidTr="00A96A71">
        <w:tc>
          <w:tcPr>
            <w:tcW w:w="2785" w:type="dxa"/>
            <w:noWrap/>
            <w:tcMar>
              <w:left w:w="115" w:type="dxa"/>
              <w:right w:w="0" w:type="dxa"/>
            </w:tcMar>
            <w:hideMark/>
          </w:tcPr>
          <w:p w:rsidR="00EB56BA" w:rsidRPr="00E354EC" w:rsidRDefault="005A1B44" w:rsidP="005A1B44">
            <w:pPr>
              <w:bidi/>
              <w:ind w:left="144"/>
              <w:jc w:val="left"/>
              <w:rPr>
                <w:sz w:val="20"/>
                <w:szCs w:val="20"/>
              </w:rPr>
            </w:pPr>
            <w:r>
              <w:rPr>
                <w:rFonts w:hint="cs"/>
                <w:sz w:val="20"/>
                <w:szCs w:val="20"/>
                <w:rtl/>
              </w:rPr>
              <w:t>بربادوس</w:t>
            </w:r>
          </w:p>
        </w:tc>
        <w:tc>
          <w:tcPr>
            <w:tcW w:w="962" w:type="dxa"/>
            <w:noWrap/>
            <w:vAlign w:val="center"/>
            <w:hideMark/>
          </w:tcPr>
          <w:p w:rsidR="00EB56BA" w:rsidRPr="00E354EC" w:rsidRDefault="00EB56BA" w:rsidP="00B74F76">
            <w:pPr>
              <w:bidi/>
              <w:jc w:val="center"/>
              <w:rPr>
                <w:sz w:val="20"/>
                <w:szCs w:val="20"/>
              </w:rPr>
            </w:pPr>
            <w:r w:rsidRPr="00E354EC">
              <w:rPr>
                <w:sz w:val="20"/>
                <w:szCs w:val="20"/>
              </w:rPr>
              <w:t>X</w:t>
            </w:r>
          </w:p>
        </w:tc>
        <w:tc>
          <w:tcPr>
            <w:tcW w:w="1231" w:type="dxa"/>
            <w:noWrap/>
            <w:vAlign w:val="center"/>
            <w:hideMark/>
          </w:tcPr>
          <w:p w:rsidR="00EB56BA" w:rsidRPr="00E354EC" w:rsidRDefault="00EB56BA" w:rsidP="00B74F76">
            <w:pPr>
              <w:bidi/>
              <w:jc w:val="center"/>
              <w:rPr>
                <w:sz w:val="20"/>
                <w:szCs w:val="20"/>
              </w:rPr>
            </w:pPr>
            <w:r w:rsidRPr="00E354EC">
              <w:rPr>
                <w:sz w:val="20"/>
                <w:szCs w:val="20"/>
              </w:rPr>
              <w:t>X</w:t>
            </w:r>
          </w:p>
        </w:tc>
        <w:tc>
          <w:tcPr>
            <w:tcW w:w="929" w:type="dxa"/>
            <w:noWrap/>
            <w:vAlign w:val="center"/>
            <w:hideMark/>
          </w:tcPr>
          <w:p w:rsidR="00EB56BA" w:rsidRPr="00E354EC" w:rsidRDefault="00EB56BA" w:rsidP="00B74F76">
            <w:pPr>
              <w:bidi/>
              <w:jc w:val="center"/>
              <w:rPr>
                <w:sz w:val="20"/>
                <w:szCs w:val="20"/>
              </w:rPr>
            </w:pPr>
          </w:p>
        </w:tc>
        <w:tc>
          <w:tcPr>
            <w:tcW w:w="1266" w:type="dxa"/>
            <w:noWrap/>
            <w:vAlign w:val="center"/>
            <w:hideMark/>
          </w:tcPr>
          <w:p w:rsidR="00EB56BA" w:rsidRPr="00E354EC" w:rsidRDefault="00EB56BA" w:rsidP="00B74F76">
            <w:pPr>
              <w:bidi/>
              <w:jc w:val="center"/>
              <w:rPr>
                <w:sz w:val="20"/>
                <w:szCs w:val="20"/>
              </w:rPr>
            </w:pPr>
          </w:p>
        </w:tc>
        <w:tc>
          <w:tcPr>
            <w:tcW w:w="894" w:type="dxa"/>
            <w:noWrap/>
            <w:vAlign w:val="center"/>
            <w:hideMark/>
          </w:tcPr>
          <w:p w:rsidR="00EB56BA" w:rsidRPr="00E354EC" w:rsidRDefault="00EB56BA" w:rsidP="00B74F76">
            <w:pPr>
              <w:bidi/>
              <w:jc w:val="center"/>
              <w:rPr>
                <w:sz w:val="20"/>
                <w:szCs w:val="20"/>
              </w:rPr>
            </w:pPr>
          </w:p>
        </w:tc>
        <w:tc>
          <w:tcPr>
            <w:tcW w:w="1288" w:type="dxa"/>
            <w:noWrap/>
            <w:vAlign w:val="center"/>
            <w:hideMark/>
          </w:tcPr>
          <w:p w:rsidR="00EB56BA" w:rsidRPr="00E354EC" w:rsidRDefault="00EB56BA" w:rsidP="00B74F76">
            <w:pPr>
              <w:bidi/>
              <w:jc w:val="center"/>
              <w:rPr>
                <w:sz w:val="20"/>
                <w:szCs w:val="20"/>
              </w:rPr>
            </w:pPr>
          </w:p>
        </w:tc>
      </w:tr>
      <w:tr w:rsidR="00EB56BA" w:rsidRPr="00E354EC" w:rsidTr="00A96A71">
        <w:tc>
          <w:tcPr>
            <w:tcW w:w="2785" w:type="dxa"/>
            <w:noWrap/>
            <w:tcMar>
              <w:left w:w="115" w:type="dxa"/>
              <w:right w:w="0" w:type="dxa"/>
            </w:tcMar>
            <w:hideMark/>
          </w:tcPr>
          <w:p w:rsidR="00EB56BA" w:rsidRPr="00E354EC" w:rsidRDefault="005A1B44" w:rsidP="005A1B44">
            <w:pPr>
              <w:bidi/>
              <w:ind w:left="144"/>
              <w:jc w:val="left"/>
              <w:rPr>
                <w:sz w:val="20"/>
                <w:szCs w:val="20"/>
              </w:rPr>
            </w:pPr>
            <w:r>
              <w:rPr>
                <w:rFonts w:hint="cs"/>
                <w:sz w:val="20"/>
                <w:szCs w:val="20"/>
                <w:rtl/>
              </w:rPr>
              <w:t>بوليفيا (دولة متعددة الجنسيات)</w:t>
            </w:r>
          </w:p>
        </w:tc>
        <w:tc>
          <w:tcPr>
            <w:tcW w:w="962" w:type="dxa"/>
            <w:noWrap/>
            <w:vAlign w:val="center"/>
            <w:hideMark/>
          </w:tcPr>
          <w:p w:rsidR="00EB56BA" w:rsidRPr="00E354EC" w:rsidRDefault="00EB56BA" w:rsidP="00B74F76">
            <w:pPr>
              <w:bidi/>
              <w:jc w:val="center"/>
              <w:rPr>
                <w:sz w:val="20"/>
                <w:szCs w:val="20"/>
              </w:rPr>
            </w:pPr>
            <w:r w:rsidRPr="00E354EC">
              <w:rPr>
                <w:sz w:val="20"/>
                <w:szCs w:val="20"/>
              </w:rPr>
              <w:t>X</w:t>
            </w:r>
          </w:p>
        </w:tc>
        <w:tc>
          <w:tcPr>
            <w:tcW w:w="1231" w:type="dxa"/>
            <w:noWrap/>
            <w:vAlign w:val="center"/>
            <w:hideMark/>
          </w:tcPr>
          <w:p w:rsidR="00EB56BA" w:rsidRPr="00E354EC" w:rsidRDefault="00EB56BA" w:rsidP="00B74F76">
            <w:pPr>
              <w:bidi/>
              <w:jc w:val="center"/>
              <w:rPr>
                <w:sz w:val="20"/>
                <w:szCs w:val="20"/>
              </w:rPr>
            </w:pPr>
          </w:p>
        </w:tc>
        <w:tc>
          <w:tcPr>
            <w:tcW w:w="929" w:type="dxa"/>
            <w:noWrap/>
            <w:vAlign w:val="center"/>
            <w:hideMark/>
          </w:tcPr>
          <w:p w:rsidR="00EB56BA" w:rsidRPr="00E354EC" w:rsidRDefault="00EB56BA" w:rsidP="00B74F76">
            <w:pPr>
              <w:bidi/>
              <w:jc w:val="center"/>
              <w:rPr>
                <w:sz w:val="20"/>
                <w:szCs w:val="20"/>
              </w:rPr>
            </w:pPr>
          </w:p>
        </w:tc>
        <w:tc>
          <w:tcPr>
            <w:tcW w:w="1266" w:type="dxa"/>
            <w:noWrap/>
            <w:vAlign w:val="center"/>
            <w:hideMark/>
          </w:tcPr>
          <w:p w:rsidR="00EB56BA" w:rsidRPr="00E354EC" w:rsidRDefault="00EB56BA" w:rsidP="00B74F76">
            <w:pPr>
              <w:bidi/>
              <w:jc w:val="center"/>
              <w:rPr>
                <w:sz w:val="20"/>
                <w:szCs w:val="20"/>
              </w:rPr>
            </w:pPr>
          </w:p>
        </w:tc>
        <w:tc>
          <w:tcPr>
            <w:tcW w:w="894" w:type="dxa"/>
            <w:noWrap/>
            <w:vAlign w:val="center"/>
            <w:hideMark/>
          </w:tcPr>
          <w:p w:rsidR="00EB56BA" w:rsidRPr="00E354EC" w:rsidRDefault="00EB56BA" w:rsidP="00B74F76">
            <w:pPr>
              <w:bidi/>
              <w:jc w:val="center"/>
              <w:rPr>
                <w:sz w:val="20"/>
                <w:szCs w:val="20"/>
              </w:rPr>
            </w:pPr>
          </w:p>
        </w:tc>
        <w:tc>
          <w:tcPr>
            <w:tcW w:w="1288" w:type="dxa"/>
            <w:noWrap/>
            <w:vAlign w:val="center"/>
            <w:hideMark/>
          </w:tcPr>
          <w:p w:rsidR="00EB56BA" w:rsidRPr="00E354EC" w:rsidRDefault="00EB56BA" w:rsidP="00B74F76">
            <w:pPr>
              <w:bidi/>
              <w:jc w:val="center"/>
              <w:rPr>
                <w:sz w:val="20"/>
                <w:szCs w:val="20"/>
              </w:rPr>
            </w:pPr>
          </w:p>
        </w:tc>
      </w:tr>
      <w:tr w:rsidR="00EB56BA" w:rsidRPr="00E354EC" w:rsidTr="00A96A71">
        <w:tc>
          <w:tcPr>
            <w:tcW w:w="2785" w:type="dxa"/>
            <w:noWrap/>
            <w:tcMar>
              <w:left w:w="115" w:type="dxa"/>
              <w:right w:w="0" w:type="dxa"/>
            </w:tcMar>
            <w:hideMark/>
          </w:tcPr>
          <w:p w:rsidR="00EB56BA" w:rsidRPr="00E354EC" w:rsidRDefault="005A1B44" w:rsidP="005A1B44">
            <w:pPr>
              <w:bidi/>
              <w:ind w:left="144"/>
              <w:jc w:val="left"/>
              <w:rPr>
                <w:sz w:val="20"/>
                <w:szCs w:val="20"/>
              </w:rPr>
            </w:pPr>
            <w:r>
              <w:rPr>
                <w:rFonts w:hint="cs"/>
                <w:sz w:val="20"/>
                <w:szCs w:val="20"/>
                <w:rtl/>
              </w:rPr>
              <w:t>البرازيل</w:t>
            </w:r>
          </w:p>
        </w:tc>
        <w:tc>
          <w:tcPr>
            <w:tcW w:w="962" w:type="dxa"/>
            <w:noWrap/>
            <w:vAlign w:val="center"/>
            <w:hideMark/>
          </w:tcPr>
          <w:p w:rsidR="00EB56BA" w:rsidRPr="00E354EC" w:rsidRDefault="00EB56BA" w:rsidP="00B74F76">
            <w:pPr>
              <w:bidi/>
              <w:jc w:val="center"/>
              <w:rPr>
                <w:sz w:val="20"/>
                <w:szCs w:val="20"/>
              </w:rPr>
            </w:pPr>
            <w:r w:rsidRPr="00E354EC">
              <w:rPr>
                <w:sz w:val="20"/>
                <w:szCs w:val="20"/>
              </w:rPr>
              <w:t>X</w:t>
            </w:r>
          </w:p>
        </w:tc>
        <w:tc>
          <w:tcPr>
            <w:tcW w:w="1231" w:type="dxa"/>
            <w:noWrap/>
            <w:vAlign w:val="center"/>
            <w:hideMark/>
          </w:tcPr>
          <w:p w:rsidR="00EB56BA" w:rsidRPr="00E354EC" w:rsidRDefault="00EB56BA" w:rsidP="00B74F76">
            <w:pPr>
              <w:bidi/>
              <w:jc w:val="center"/>
              <w:rPr>
                <w:sz w:val="20"/>
                <w:szCs w:val="20"/>
              </w:rPr>
            </w:pPr>
            <w:r w:rsidRPr="00E354EC">
              <w:rPr>
                <w:sz w:val="20"/>
                <w:szCs w:val="20"/>
              </w:rPr>
              <w:t>X</w:t>
            </w:r>
          </w:p>
        </w:tc>
        <w:tc>
          <w:tcPr>
            <w:tcW w:w="929" w:type="dxa"/>
            <w:noWrap/>
            <w:vAlign w:val="center"/>
            <w:hideMark/>
          </w:tcPr>
          <w:p w:rsidR="00EB56BA" w:rsidRPr="00E354EC" w:rsidRDefault="00EB56BA" w:rsidP="00B74F76">
            <w:pPr>
              <w:bidi/>
              <w:jc w:val="center"/>
              <w:rPr>
                <w:sz w:val="20"/>
                <w:szCs w:val="20"/>
              </w:rPr>
            </w:pPr>
            <w:r w:rsidRPr="00E354EC">
              <w:rPr>
                <w:sz w:val="20"/>
                <w:szCs w:val="20"/>
              </w:rPr>
              <w:t>X</w:t>
            </w:r>
          </w:p>
        </w:tc>
        <w:tc>
          <w:tcPr>
            <w:tcW w:w="1266" w:type="dxa"/>
            <w:noWrap/>
            <w:vAlign w:val="center"/>
            <w:hideMark/>
          </w:tcPr>
          <w:p w:rsidR="00EB56BA" w:rsidRPr="00E354EC" w:rsidRDefault="00EB56BA" w:rsidP="00B74F76">
            <w:pPr>
              <w:bidi/>
              <w:jc w:val="center"/>
              <w:rPr>
                <w:sz w:val="20"/>
                <w:szCs w:val="20"/>
              </w:rPr>
            </w:pPr>
            <w:r w:rsidRPr="00E354EC">
              <w:rPr>
                <w:sz w:val="20"/>
                <w:szCs w:val="20"/>
              </w:rPr>
              <w:t>X</w:t>
            </w:r>
          </w:p>
        </w:tc>
        <w:tc>
          <w:tcPr>
            <w:tcW w:w="894" w:type="dxa"/>
            <w:noWrap/>
            <w:vAlign w:val="center"/>
            <w:hideMark/>
          </w:tcPr>
          <w:p w:rsidR="00EB56BA" w:rsidRPr="00E354EC" w:rsidRDefault="00EB56BA" w:rsidP="00B74F76">
            <w:pPr>
              <w:bidi/>
              <w:jc w:val="center"/>
              <w:rPr>
                <w:sz w:val="20"/>
                <w:szCs w:val="20"/>
              </w:rPr>
            </w:pPr>
            <w:r w:rsidRPr="00E354EC">
              <w:rPr>
                <w:sz w:val="20"/>
                <w:szCs w:val="20"/>
              </w:rPr>
              <w:t>X</w:t>
            </w:r>
          </w:p>
        </w:tc>
        <w:tc>
          <w:tcPr>
            <w:tcW w:w="1288" w:type="dxa"/>
            <w:noWrap/>
            <w:vAlign w:val="center"/>
            <w:hideMark/>
          </w:tcPr>
          <w:p w:rsidR="00EB56BA" w:rsidRPr="00E354EC" w:rsidRDefault="00EB56BA" w:rsidP="00B74F76">
            <w:pPr>
              <w:bidi/>
              <w:jc w:val="center"/>
              <w:rPr>
                <w:sz w:val="20"/>
                <w:szCs w:val="20"/>
              </w:rPr>
            </w:pPr>
            <w:r w:rsidRPr="00E354EC">
              <w:rPr>
                <w:sz w:val="20"/>
                <w:szCs w:val="20"/>
              </w:rPr>
              <w:t>X</w:t>
            </w:r>
          </w:p>
        </w:tc>
      </w:tr>
      <w:tr w:rsidR="00EB56BA" w:rsidRPr="00E354EC" w:rsidTr="00A96A71">
        <w:tc>
          <w:tcPr>
            <w:tcW w:w="2785" w:type="dxa"/>
            <w:noWrap/>
            <w:tcMar>
              <w:left w:w="115" w:type="dxa"/>
              <w:right w:w="0" w:type="dxa"/>
            </w:tcMar>
            <w:hideMark/>
          </w:tcPr>
          <w:p w:rsidR="00EB56BA" w:rsidRPr="00E354EC" w:rsidRDefault="005A1B44" w:rsidP="005A1B44">
            <w:pPr>
              <w:bidi/>
              <w:ind w:left="144"/>
              <w:jc w:val="left"/>
              <w:rPr>
                <w:sz w:val="20"/>
                <w:szCs w:val="20"/>
              </w:rPr>
            </w:pPr>
            <w:r>
              <w:rPr>
                <w:rFonts w:hint="cs"/>
                <w:sz w:val="20"/>
                <w:szCs w:val="20"/>
                <w:rtl/>
              </w:rPr>
              <w:t>شيلي</w:t>
            </w:r>
          </w:p>
        </w:tc>
        <w:tc>
          <w:tcPr>
            <w:tcW w:w="962" w:type="dxa"/>
            <w:noWrap/>
            <w:vAlign w:val="center"/>
            <w:hideMark/>
          </w:tcPr>
          <w:p w:rsidR="00EB56BA" w:rsidRPr="00E354EC" w:rsidRDefault="00EB56BA" w:rsidP="00B74F76">
            <w:pPr>
              <w:bidi/>
              <w:jc w:val="center"/>
              <w:rPr>
                <w:sz w:val="20"/>
                <w:szCs w:val="20"/>
              </w:rPr>
            </w:pPr>
            <w:r w:rsidRPr="00E354EC">
              <w:rPr>
                <w:sz w:val="20"/>
                <w:szCs w:val="20"/>
              </w:rPr>
              <w:t>X</w:t>
            </w:r>
          </w:p>
        </w:tc>
        <w:tc>
          <w:tcPr>
            <w:tcW w:w="1231" w:type="dxa"/>
            <w:noWrap/>
            <w:vAlign w:val="center"/>
            <w:hideMark/>
          </w:tcPr>
          <w:p w:rsidR="00EB56BA" w:rsidRPr="00E354EC" w:rsidRDefault="00EB56BA" w:rsidP="00B74F76">
            <w:pPr>
              <w:bidi/>
              <w:jc w:val="center"/>
              <w:rPr>
                <w:sz w:val="20"/>
                <w:szCs w:val="20"/>
              </w:rPr>
            </w:pPr>
            <w:r w:rsidRPr="00E354EC">
              <w:rPr>
                <w:sz w:val="20"/>
                <w:szCs w:val="20"/>
              </w:rPr>
              <w:t>X</w:t>
            </w:r>
          </w:p>
        </w:tc>
        <w:tc>
          <w:tcPr>
            <w:tcW w:w="929" w:type="dxa"/>
            <w:noWrap/>
            <w:vAlign w:val="center"/>
            <w:hideMark/>
          </w:tcPr>
          <w:p w:rsidR="00EB56BA" w:rsidRPr="00E354EC" w:rsidRDefault="00EB56BA" w:rsidP="00B74F76">
            <w:pPr>
              <w:bidi/>
              <w:jc w:val="center"/>
              <w:rPr>
                <w:sz w:val="20"/>
                <w:szCs w:val="20"/>
              </w:rPr>
            </w:pPr>
          </w:p>
        </w:tc>
        <w:tc>
          <w:tcPr>
            <w:tcW w:w="1266" w:type="dxa"/>
            <w:noWrap/>
            <w:vAlign w:val="center"/>
            <w:hideMark/>
          </w:tcPr>
          <w:p w:rsidR="00EB56BA" w:rsidRPr="00E354EC" w:rsidRDefault="00EB56BA" w:rsidP="00B74F76">
            <w:pPr>
              <w:bidi/>
              <w:jc w:val="center"/>
              <w:rPr>
                <w:sz w:val="20"/>
                <w:szCs w:val="20"/>
              </w:rPr>
            </w:pPr>
          </w:p>
        </w:tc>
        <w:tc>
          <w:tcPr>
            <w:tcW w:w="894" w:type="dxa"/>
            <w:noWrap/>
            <w:vAlign w:val="center"/>
            <w:hideMark/>
          </w:tcPr>
          <w:p w:rsidR="00EB56BA" w:rsidRPr="00E354EC" w:rsidRDefault="00EB56BA" w:rsidP="00B74F76">
            <w:pPr>
              <w:bidi/>
              <w:jc w:val="center"/>
              <w:rPr>
                <w:sz w:val="20"/>
                <w:szCs w:val="20"/>
              </w:rPr>
            </w:pPr>
          </w:p>
        </w:tc>
        <w:tc>
          <w:tcPr>
            <w:tcW w:w="1288" w:type="dxa"/>
            <w:noWrap/>
            <w:vAlign w:val="center"/>
            <w:hideMark/>
          </w:tcPr>
          <w:p w:rsidR="00EB56BA" w:rsidRPr="00E354EC" w:rsidRDefault="00EB56BA" w:rsidP="00B74F76">
            <w:pPr>
              <w:bidi/>
              <w:jc w:val="center"/>
              <w:rPr>
                <w:sz w:val="20"/>
                <w:szCs w:val="20"/>
              </w:rPr>
            </w:pPr>
          </w:p>
        </w:tc>
      </w:tr>
      <w:tr w:rsidR="00EB56BA" w:rsidRPr="00E354EC" w:rsidTr="00A96A71">
        <w:tc>
          <w:tcPr>
            <w:tcW w:w="2785" w:type="dxa"/>
            <w:noWrap/>
            <w:tcMar>
              <w:left w:w="115" w:type="dxa"/>
              <w:right w:w="0" w:type="dxa"/>
            </w:tcMar>
            <w:hideMark/>
          </w:tcPr>
          <w:p w:rsidR="00EB56BA" w:rsidRPr="00E354EC" w:rsidRDefault="005A1B44" w:rsidP="005A1B44">
            <w:pPr>
              <w:bidi/>
              <w:ind w:left="144"/>
              <w:jc w:val="left"/>
              <w:rPr>
                <w:sz w:val="20"/>
                <w:szCs w:val="20"/>
              </w:rPr>
            </w:pPr>
            <w:r>
              <w:rPr>
                <w:rFonts w:hint="cs"/>
                <w:sz w:val="20"/>
                <w:szCs w:val="20"/>
                <w:rtl/>
              </w:rPr>
              <w:t>الصين</w:t>
            </w:r>
            <w:r w:rsidR="00EB56BA" w:rsidRPr="00E354EC">
              <w:rPr>
                <w:sz w:val="20"/>
                <w:szCs w:val="20"/>
              </w:rPr>
              <w:t xml:space="preserve"> </w:t>
            </w:r>
          </w:p>
        </w:tc>
        <w:tc>
          <w:tcPr>
            <w:tcW w:w="962" w:type="dxa"/>
            <w:noWrap/>
            <w:vAlign w:val="center"/>
            <w:hideMark/>
          </w:tcPr>
          <w:p w:rsidR="00EB56BA" w:rsidRPr="00E354EC" w:rsidRDefault="00EB56BA" w:rsidP="00B74F76">
            <w:pPr>
              <w:bidi/>
              <w:jc w:val="center"/>
              <w:rPr>
                <w:sz w:val="20"/>
                <w:szCs w:val="20"/>
              </w:rPr>
            </w:pPr>
            <w:r w:rsidRPr="00E354EC">
              <w:rPr>
                <w:sz w:val="20"/>
                <w:szCs w:val="20"/>
              </w:rPr>
              <w:t>X</w:t>
            </w:r>
          </w:p>
        </w:tc>
        <w:tc>
          <w:tcPr>
            <w:tcW w:w="1231" w:type="dxa"/>
            <w:noWrap/>
            <w:vAlign w:val="center"/>
            <w:hideMark/>
          </w:tcPr>
          <w:p w:rsidR="00EB56BA" w:rsidRPr="00E354EC" w:rsidRDefault="00EB56BA" w:rsidP="00B74F76">
            <w:pPr>
              <w:bidi/>
              <w:jc w:val="center"/>
              <w:rPr>
                <w:sz w:val="20"/>
                <w:szCs w:val="20"/>
              </w:rPr>
            </w:pPr>
            <w:r w:rsidRPr="00E354EC">
              <w:rPr>
                <w:sz w:val="20"/>
                <w:szCs w:val="20"/>
              </w:rPr>
              <w:t>X</w:t>
            </w:r>
          </w:p>
        </w:tc>
        <w:tc>
          <w:tcPr>
            <w:tcW w:w="929" w:type="dxa"/>
            <w:noWrap/>
            <w:vAlign w:val="center"/>
            <w:hideMark/>
          </w:tcPr>
          <w:p w:rsidR="00EB56BA" w:rsidRPr="00E354EC" w:rsidRDefault="00EB56BA" w:rsidP="00B74F76">
            <w:pPr>
              <w:bidi/>
              <w:jc w:val="center"/>
              <w:rPr>
                <w:sz w:val="20"/>
                <w:szCs w:val="20"/>
              </w:rPr>
            </w:pPr>
            <w:r w:rsidRPr="00E354EC">
              <w:rPr>
                <w:sz w:val="20"/>
                <w:szCs w:val="20"/>
              </w:rPr>
              <w:t>X</w:t>
            </w:r>
          </w:p>
        </w:tc>
        <w:tc>
          <w:tcPr>
            <w:tcW w:w="1266" w:type="dxa"/>
            <w:noWrap/>
            <w:vAlign w:val="center"/>
            <w:hideMark/>
          </w:tcPr>
          <w:p w:rsidR="00EB56BA" w:rsidRPr="00E354EC" w:rsidRDefault="00EB56BA" w:rsidP="00B74F76">
            <w:pPr>
              <w:bidi/>
              <w:jc w:val="center"/>
              <w:rPr>
                <w:sz w:val="20"/>
                <w:szCs w:val="20"/>
              </w:rPr>
            </w:pPr>
            <w:r w:rsidRPr="00E354EC">
              <w:rPr>
                <w:sz w:val="20"/>
                <w:szCs w:val="20"/>
              </w:rPr>
              <w:t>X</w:t>
            </w:r>
          </w:p>
        </w:tc>
        <w:tc>
          <w:tcPr>
            <w:tcW w:w="894" w:type="dxa"/>
            <w:noWrap/>
            <w:vAlign w:val="center"/>
            <w:hideMark/>
          </w:tcPr>
          <w:p w:rsidR="00EB56BA" w:rsidRPr="00E354EC" w:rsidRDefault="00EB56BA" w:rsidP="00B74F76">
            <w:pPr>
              <w:bidi/>
              <w:jc w:val="center"/>
              <w:rPr>
                <w:sz w:val="20"/>
                <w:szCs w:val="20"/>
              </w:rPr>
            </w:pPr>
            <w:r w:rsidRPr="00E354EC">
              <w:rPr>
                <w:sz w:val="20"/>
                <w:szCs w:val="20"/>
              </w:rPr>
              <w:t>X</w:t>
            </w:r>
          </w:p>
        </w:tc>
        <w:tc>
          <w:tcPr>
            <w:tcW w:w="1288" w:type="dxa"/>
            <w:noWrap/>
            <w:vAlign w:val="center"/>
            <w:hideMark/>
          </w:tcPr>
          <w:p w:rsidR="00EB56BA" w:rsidRPr="00E354EC" w:rsidRDefault="00EB56BA" w:rsidP="00B74F76">
            <w:pPr>
              <w:bidi/>
              <w:jc w:val="center"/>
              <w:rPr>
                <w:sz w:val="20"/>
                <w:szCs w:val="20"/>
              </w:rPr>
            </w:pPr>
            <w:r w:rsidRPr="00E354EC">
              <w:rPr>
                <w:sz w:val="20"/>
                <w:szCs w:val="20"/>
              </w:rPr>
              <w:t>X</w:t>
            </w:r>
          </w:p>
        </w:tc>
      </w:tr>
      <w:tr w:rsidR="00EB56BA" w:rsidRPr="00E354EC" w:rsidTr="00A96A71">
        <w:tc>
          <w:tcPr>
            <w:tcW w:w="2785" w:type="dxa"/>
            <w:noWrap/>
            <w:tcMar>
              <w:left w:w="115" w:type="dxa"/>
              <w:right w:w="0" w:type="dxa"/>
            </w:tcMar>
            <w:hideMark/>
          </w:tcPr>
          <w:p w:rsidR="00EB56BA" w:rsidRPr="00E354EC" w:rsidRDefault="005A1B44" w:rsidP="005A1B44">
            <w:pPr>
              <w:bidi/>
              <w:ind w:left="144"/>
              <w:jc w:val="left"/>
              <w:rPr>
                <w:sz w:val="20"/>
                <w:szCs w:val="20"/>
              </w:rPr>
            </w:pPr>
            <w:r>
              <w:rPr>
                <w:rFonts w:hint="cs"/>
                <w:sz w:val="20"/>
                <w:szCs w:val="20"/>
                <w:rtl/>
              </w:rPr>
              <w:t>كولومبيا</w:t>
            </w:r>
          </w:p>
        </w:tc>
        <w:tc>
          <w:tcPr>
            <w:tcW w:w="962" w:type="dxa"/>
            <w:noWrap/>
            <w:vAlign w:val="center"/>
            <w:hideMark/>
          </w:tcPr>
          <w:p w:rsidR="00EB56BA" w:rsidRPr="00E354EC" w:rsidRDefault="00EB56BA" w:rsidP="00B74F76">
            <w:pPr>
              <w:bidi/>
              <w:jc w:val="center"/>
              <w:rPr>
                <w:sz w:val="20"/>
                <w:szCs w:val="20"/>
              </w:rPr>
            </w:pPr>
            <w:r w:rsidRPr="00E354EC">
              <w:rPr>
                <w:sz w:val="20"/>
                <w:szCs w:val="20"/>
              </w:rPr>
              <w:t>X</w:t>
            </w:r>
          </w:p>
        </w:tc>
        <w:tc>
          <w:tcPr>
            <w:tcW w:w="1231" w:type="dxa"/>
            <w:noWrap/>
            <w:vAlign w:val="center"/>
            <w:hideMark/>
          </w:tcPr>
          <w:p w:rsidR="00EB56BA" w:rsidRPr="00E354EC" w:rsidRDefault="00EB56BA" w:rsidP="00B74F76">
            <w:pPr>
              <w:bidi/>
              <w:jc w:val="center"/>
              <w:rPr>
                <w:sz w:val="20"/>
                <w:szCs w:val="20"/>
              </w:rPr>
            </w:pPr>
            <w:r w:rsidRPr="00E354EC">
              <w:rPr>
                <w:sz w:val="20"/>
                <w:szCs w:val="20"/>
              </w:rPr>
              <w:t>X</w:t>
            </w:r>
          </w:p>
        </w:tc>
        <w:tc>
          <w:tcPr>
            <w:tcW w:w="929" w:type="dxa"/>
            <w:noWrap/>
            <w:vAlign w:val="center"/>
            <w:hideMark/>
          </w:tcPr>
          <w:p w:rsidR="00EB56BA" w:rsidRPr="00E354EC" w:rsidRDefault="00EB56BA" w:rsidP="00B74F76">
            <w:pPr>
              <w:bidi/>
              <w:jc w:val="center"/>
              <w:rPr>
                <w:sz w:val="20"/>
                <w:szCs w:val="20"/>
              </w:rPr>
            </w:pPr>
          </w:p>
        </w:tc>
        <w:tc>
          <w:tcPr>
            <w:tcW w:w="1266" w:type="dxa"/>
            <w:noWrap/>
            <w:vAlign w:val="center"/>
            <w:hideMark/>
          </w:tcPr>
          <w:p w:rsidR="00EB56BA" w:rsidRPr="00E354EC" w:rsidRDefault="00EB56BA" w:rsidP="00B74F76">
            <w:pPr>
              <w:bidi/>
              <w:jc w:val="center"/>
              <w:rPr>
                <w:sz w:val="20"/>
                <w:szCs w:val="20"/>
              </w:rPr>
            </w:pPr>
          </w:p>
        </w:tc>
        <w:tc>
          <w:tcPr>
            <w:tcW w:w="894" w:type="dxa"/>
            <w:noWrap/>
            <w:vAlign w:val="center"/>
            <w:hideMark/>
          </w:tcPr>
          <w:p w:rsidR="00EB56BA" w:rsidRPr="00E354EC" w:rsidRDefault="00EB56BA" w:rsidP="00B74F76">
            <w:pPr>
              <w:bidi/>
              <w:jc w:val="center"/>
              <w:rPr>
                <w:sz w:val="20"/>
                <w:szCs w:val="20"/>
              </w:rPr>
            </w:pPr>
            <w:r w:rsidRPr="00E354EC">
              <w:rPr>
                <w:sz w:val="20"/>
                <w:szCs w:val="20"/>
              </w:rPr>
              <w:t>X</w:t>
            </w:r>
          </w:p>
        </w:tc>
        <w:tc>
          <w:tcPr>
            <w:tcW w:w="1288" w:type="dxa"/>
            <w:noWrap/>
            <w:vAlign w:val="center"/>
            <w:hideMark/>
          </w:tcPr>
          <w:p w:rsidR="00EB56BA" w:rsidRPr="00E354EC" w:rsidRDefault="00EB56BA" w:rsidP="00B74F76">
            <w:pPr>
              <w:bidi/>
              <w:jc w:val="center"/>
              <w:rPr>
                <w:sz w:val="20"/>
                <w:szCs w:val="20"/>
              </w:rPr>
            </w:pPr>
            <w:r w:rsidRPr="00E354EC">
              <w:rPr>
                <w:sz w:val="20"/>
                <w:szCs w:val="20"/>
              </w:rPr>
              <w:t>X</w:t>
            </w:r>
          </w:p>
        </w:tc>
      </w:tr>
      <w:tr w:rsidR="00EB56BA" w:rsidRPr="00E354EC" w:rsidTr="00A96A71">
        <w:tc>
          <w:tcPr>
            <w:tcW w:w="2785" w:type="dxa"/>
            <w:noWrap/>
            <w:tcMar>
              <w:left w:w="115" w:type="dxa"/>
              <w:right w:w="0" w:type="dxa"/>
            </w:tcMar>
            <w:hideMark/>
          </w:tcPr>
          <w:p w:rsidR="00EB56BA" w:rsidRPr="00E354EC" w:rsidRDefault="005A1B44" w:rsidP="005A1B44">
            <w:pPr>
              <w:bidi/>
              <w:ind w:left="144"/>
              <w:jc w:val="left"/>
              <w:rPr>
                <w:sz w:val="20"/>
                <w:szCs w:val="20"/>
              </w:rPr>
            </w:pPr>
            <w:r>
              <w:rPr>
                <w:rFonts w:hint="cs"/>
                <w:sz w:val="20"/>
                <w:szCs w:val="20"/>
                <w:rtl/>
              </w:rPr>
              <w:t>جزر كوك</w:t>
            </w:r>
          </w:p>
        </w:tc>
        <w:tc>
          <w:tcPr>
            <w:tcW w:w="962" w:type="dxa"/>
            <w:noWrap/>
            <w:vAlign w:val="center"/>
            <w:hideMark/>
          </w:tcPr>
          <w:p w:rsidR="00EB56BA" w:rsidRPr="00E354EC" w:rsidRDefault="00EB56BA" w:rsidP="00B74F76">
            <w:pPr>
              <w:bidi/>
              <w:jc w:val="center"/>
              <w:rPr>
                <w:sz w:val="20"/>
                <w:szCs w:val="20"/>
              </w:rPr>
            </w:pPr>
            <w:r w:rsidRPr="00E354EC">
              <w:rPr>
                <w:sz w:val="20"/>
                <w:szCs w:val="20"/>
              </w:rPr>
              <w:t>X</w:t>
            </w:r>
          </w:p>
        </w:tc>
        <w:tc>
          <w:tcPr>
            <w:tcW w:w="1231" w:type="dxa"/>
            <w:noWrap/>
            <w:vAlign w:val="center"/>
            <w:hideMark/>
          </w:tcPr>
          <w:p w:rsidR="00EB56BA" w:rsidRPr="00E354EC" w:rsidRDefault="00EB56BA" w:rsidP="00B74F76">
            <w:pPr>
              <w:bidi/>
              <w:jc w:val="center"/>
              <w:rPr>
                <w:sz w:val="20"/>
                <w:szCs w:val="20"/>
              </w:rPr>
            </w:pPr>
            <w:r w:rsidRPr="00E354EC">
              <w:rPr>
                <w:sz w:val="20"/>
                <w:szCs w:val="20"/>
              </w:rPr>
              <w:t>X</w:t>
            </w:r>
          </w:p>
        </w:tc>
        <w:tc>
          <w:tcPr>
            <w:tcW w:w="929" w:type="dxa"/>
            <w:noWrap/>
            <w:vAlign w:val="center"/>
            <w:hideMark/>
          </w:tcPr>
          <w:p w:rsidR="00EB56BA" w:rsidRPr="00E354EC" w:rsidRDefault="00EB56BA" w:rsidP="00B74F76">
            <w:pPr>
              <w:bidi/>
              <w:jc w:val="center"/>
              <w:rPr>
                <w:sz w:val="20"/>
                <w:szCs w:val="20"/>
              </w:rPr>
            </w:pPr>
          </w:p>
        </w:tc>
        <w:tc>
          <w:tcPr>
            <w:tcW w:w="1266" w:type="dxa"/>
            <w:noWrap/>
            <w:vAlign w:val="center"/>
            <w:hideMark/>
          </w:tcPr>
          <w:p w:rsidR="00EB56BA" w:rsidRPr="00E354EC" w:rsidRDefault="00EB56BA" w:rsidP="00B74F76">
            <w:pPr>
              <w:bidi/>
              <w:jc w:val="center"/>
              <w:rPr>
                <w:sz w:val="20"/>
                <w:szCs w:val="20"/>
              </w:rPr>
            </w:pPr>
          </w:p>
        </w:tc>
        <w:tc>
          <w:tcPr>
            <w:tcW w:w="894" w:type="dxa"/>
            <w:noWrap/>
            <w:vAlign w:val="center"/>
            <w:hideMark/>
          </w:tcPr>
          <w:p w:rsidR="00EB56BA" w:rsidRPr="00E354EC" w:rsidRDefault="00EB56BA" w:rsidP="00B74F76">
            <w:pPr>
              <w:bidi/>
              <w:jc w:val="center"/>
              <w:rPr>
                <w:sz w:val="20"/>
                <w:szCs w:val="20"/>
              </w:rPr>
            </w:pPr>
            <w:r w:rsidRPr="00E354EC">
              <w:rPr>
                <w:sz w:val="20"/>
                <w:szCs w:val="20"/>
              </w:rPr>
              <w:t>X</w:t>
            </w:r>
          </w:p>
        </w:tc>
        <w:tc>
          <w:tcPr>
            <w:tcW w:w="1288" w:type="dxa"/>
            <w:noWrap/>
            <w:vAlign w:val="center"/>
            <w:hideMark/>
          </w:tcPr>
          <w:p w:rsidR="00EB56BA" w:rsidRPr="00E354EC" w:rsidRDefault="00EB56BA" w:rsidP="00B74F76">
            <w:pPr>
              <w:bidi/>
              <w:jc w:val="center"/>
              <w:rPr>
                <w:sz w:val="20"/>
                <w:szCs w:val="20"/>
              </w:rPr>
            </w:pPr>
            <w:r w:rsidRPr="00E354EC">
              <w:rPr>
                <w:sz w:val="20"/>
                <w:szCs w:val="20"/>
              </w:rPr>
              <w:t>X</w:t>
            </w:r>
          </w:p>
        </w:tc>
      </w:tr>
      <w:tr w:rsidR="00EB56BA" w:rsidRPr="00E354EC" w:rsidTr="00A96A71">
        <w:tc>
          <w:tcPr>
            <w:tcW w:w="2785" w:type="dxa"/>
            <w:noWrap/>
            <w:tcMar>
              <w:left w:w="115" w:type="dxa"/>
              <w:right w:w="0" w:type="dxa"/>
            </w:tcMar>
            <w:hideMark/>
          </w:tcPr>
          <w:p w:rsidR="00EB56BA" w:rsidRPr="00E354EC" w:rsidRDefault="005A1B44" w:rsidP="005A1B44">
            <w:pPr>
              <w:bidi/>
              <w:ind w:left="144"/>
              <w:jc w:val="left"/>
              <w:rPr>
                <w:sz w:val="20"/>
                <w:szCs w:val="20"/>
              </w:rPr>
            </w:pPr>
            <w:r>
              <w:rPr>
                <w:rFonts w:hint="cs"/>
                <w:sz w:val="20"/>
                <w:szCs w:val="20"/>
                <w:rtl/>
              </w:rPr>
              <w:t>كوستاريكا</w:t>
            </w:r>
          </w:p>
        </w:tc>
        <w:tc>
          <w:tcPr>
            <w:tcW w:w="962" w:type="dxa"/>
            <w:noWrap/>
            <w:vAlign w:val="center"/>
            <w:hideMark/>
          </w:tcPr>
          <w:p w:rsidR="00EB56BA" w:rsidRPr="00E354EC" w:rsidRDefault="00EB56BA" w:rsidP="00B74F76">
            <w:pPr>
              <w:bidi/>
              <w:jc w:val="center"/>
              <w:rPr>
                <w:sz w:val="20"/>
                <w:szCs w:val="20"/>
              </w:rPr>
            </w:pPr>
            <w:r w:rsidRPr="00E354EC">
              <w:rPr>
                <w:sz w:val="20"/>
                <w:szCs w:val="20"/>
              </w:rPr>
              <w:t>X</w:t>
            </w:r>
          </w:p>
        </w:tc>
        <w:tc>
          <w:tcPr>
            <w:tcW w:w="1231" w:type="dxa"/>
            <w:noWrap/>
            <w:vAlign w:val="center"/>
            <w:hideMark/>
          </w:tcPr>
          <w:p w:rsidR="00EB56BA" w:rsidRPr="00E354EC" w:rsidRDefault="00EB56BA" w:rsidP="00B74F76">
            <w:pPr>
              <w:bidi/>
              <w:jc w:val="center"/>
              <w:rPr>
                <w:sz w:val="20"/>
                <w:szCs w:val="20"/>
              </w:rPr>
            </w:pPr>
            <w:r w:rsidRPr="00E354EC">
              <w:rPr>
                <w:sz w:val="20"/>
                <w:szCs w:val="20"/>
              </w:rPr>
              <w:t>X</w:t>
            </w:r>
          </w:p>
        </w:tc>
        <w:tc>
          <w:tcPr>
            <w:tcW w:w="929" w:type="dxa"/>
            <w:noWrap/>
            <w:vAlign w:val="center"/>
            <w:hideMark/>
          </w:tcPr>
          <w:p w:rsidR="00EB56BA" w:rsidRPr="00E354EC" w:rsidRDefault="00EB56BA" w:rsidP="00B74F76">
            <w:pPr>
              <w:bidi/>
              <w:jc w:val="center"/>
              <w:rPr>
                <w:sz w:val="20"/>
                <w:szCs w:val="20"/>
              </w:rPr>
            </w:pPr>
          </w:p>
        </w:tc>
        <w:tc>
          <w:tcPr>
            <w:tcW w:w="1266" w:type="dxa"/>
            <w:noWrap/>
            <w:vAlign w:val="center"/>
            <w:hideMark/>
          </w:tcPr>
          <w:p w:rsidR="00EB56BA" w:rsidRPr="00E354EC" w:rsidRDefault="00EB56BA" w:rsidP="00B74F76">
            <w:pPr>
              <w:bidi/>
              <w:jc w:val="center"/>
              <w:rPr>
                <w:sz w:val="20"/>
                <w:szCs w:val="20"/>
              </w:rPr>
            </w:pPr>
          </w:p>
        </w:tc>
        <w:tc>
          <w:tcPr>
            <w:tcW w:w="894" w:type="dxa"/>
            <w:noWrap/>
            <w:vAlign w:val="center"/>
            <w:hideMark/>
          </w:tcPr>
          <w:p w:rsidR="00EB56BA" w:rsidRPr="00E354EC" w:rsidRDefault="00EB56BA" w:rsidP="00B74F76">
            <w:pPr>
              <w:bidi/>
              <w:jc w:val="center"/>
              <w:rPr>
                <w:sz w:val="20"/>
                <w:szCs w:val="20"/>
              </w:rPr>
            </w:pPr>
            <w:r w:rsidRPr="00E354EC">
              <w:rPr>
                <w:sz w:val="20"/>
                <w:szCs w:val="20"/>
              </w:rPr>
              <w:t>X</w:t>
            </w:r>
          </w:p>
        </w:tc>
        <w:tc>
          <w:tcPr>
            <w:tcW w:w="1288" w:type="dxa"/>
            <w:noWrap/>
            <w:vAlign w:val="center"/>
            <w:hideMark/>
          </w:tcPr>
          <w:p w:rsidR="00EB56BA" w:rsidRPr="00E354EC" w:rsidRDefault="00EB56BA" w:rsidP="00B74F76">
            <w:pPr>
              <w:bidi/>
              <w:jc w:val="center"/>
              <w:rPr>
                <w:sz w:val="20"/>
                <w:szCs w:val="20"/>
              </w:rPr>
            </w:pPr>
            <w:r w:rsidRPr="00E354EC">
              <w:rPr>
                <w:sz w:val="20"/>
                <w:szCs w:val="20"/>
              </w:rPr>
              <w:t>X</w:t>
            </w:r>
          </w:p>
        </w:tc>
      </w:tr>
      <w:tr w:rsidR="00EB56BA" w:rsidRPr="00E354EC" w:rsidTr="00A96A71">
        <w:tc>
          <w:tcPr>
            <w:tcW w:w="2785" w:type="dxa"/>
            <w:noWrap/>
            <w:tcMar>
              <w:left w:w="115" w:type="dxa"/>
              <w:right w:w="0" w:type="dxa"/>
            </w:tcMar>
            <w:hideMark/>
          </w:tcPr>
          <w:p w:rsidR="00EB56BA" w:rsidRPr="00E354EC" w:rsidRDefault="005A1B44" w:rsidP="005A1B44">
            <w:pPr>
              <w:bidi/>
              <w:ind w:left="144"/>
              <w:jc w:val="left"/>
              <w:rPr>
                <w:sz w:val="20"/>
                <w:szCs w:val="20"/>
              </w:rPr>
            </w:pPr>
            <w:r>
              <w:rPr>
                <w:rFonts w:hint="cs"/>
                <w:sz w:val="20"/>
                <w:szCs w:val="20"/>
                <w:rtl/>
              </w:rPr>
              <w:t>كوبا</w:t>
            </w:r>
          </w:p>
        </w:tc>
        <w:tc>
          <w:tcPr>
            <w:tcW w:w="962" w:type="dxa"/>
            <w:noWrap/>
            <w:vAlign w:val="center"/>
            <w:hideMark/>
          </w:tcPr>
          <w:p w:rsidR="00EB56BA" w:rsidRPr="00E354EC" w:rsidRDefault="00EB56BA" w:rsidP="00B74F76">
            <w:pPr>
              <w:bidi/>
              <w:jc w:val="center"/>
              <w:rPr>
                <w:sz w:val="20"/>
                <w:szCs w:val="20"/>
              </w:rPr>
            </w:pPr>
            <w:r w:rsidRPr="00E354EC">
              <w:rPr>
                <w:sz w:val="20"/>
                <w:szCs w:val="20"/>
              </w:rPr>
              <w:t>X</w:t>
            </w:r>
          </w:p>
        </w:tc>
        <w:tc>
          <w:tcPr>
            <w:tcW w:w="1231" w:type="dxa"/>
            <w:noWrap/>
            <w:vAlign w:val="center"/>
            <w:hideMark/>
          </w:tcPr>
          <w:p w:rsidR="00EB56BA" w:rsidRPr="00E354EC" w:rsidRDefault="00EB56BA" w:rsidP="00B74F76">
            <w:pPr>
              <w:bidi/>
              <w:jc w:val="center"/>
              <w:rPr>
                <w:sz w:val="20"/>
                <w:szCs w:val="20"/>
              </w:rPr>
            </w:pPr>
            <w:r w:rsidRPr="00E354EC">
              <w:rPr>
                <w:sz w:val="20"/>
                <w:szCs w:val="20"/>
              </w:rPr>
              <w:t>X</w:t>
            </w:r>
          </w:p>
        </w:tc>
        <w:tc>
          <w:tcPr>
            <w:tcW w:w="929" w:type="dxa"/>
            <w:noWrap/>
            <w:vAlign w:val="center"/>
            <w:hideMark/>
          </w:tcPr>
          <w:p w:rsidR="00EB56BA" w:rsidRPr="00E354EC" w:rsidRDefault="00EB56BA" w:rsidP="00B74F76">
            <w:pPr>
              <w:bidi/>
              <w:jc w:val="center"/>
              <w:rPr>
                <w:sz w:val="20"/>
                <w:szCs w:val="20"/>
              </w:rPr>
            </w:pPr>
          </w:p>
        </w:tc>
        <w:tc>
          <w:tcPr>
            <w:tcW w:w="1266" w:type="dxa"/>
            <w:noWrap/>
            <w:vAlign w:val="center"/>
            <w:hideMark/>
          </w:tcPr>
          <w:p w:rsidR="00EB56BA" w:rsidRPr="00E354EC" w:rsidRDefault="00EB56BA" w:rsidP="00B74F76">
            <w:pPr>
              <w:bidi/>
              <w:jc w:val="center"/>
              <w:rPr>
                <w:sz w:val="20"/>
                <w:szCs w:val="20"/>
              </w:rPr>
            </w:pPr>
          </w:p>
        </w:tc>
        <w:tc>
          <w:tcPr>
            <w:tcW w:w="894" w:type="dxa"/>
            <w:noWrap/>
            <w:vAlign w:val="center"/>
            <w:hideMark/>
          </w:tcPr>
          <w:p w:rsidR="00EB56BA" w:rsidRPr="00E354EC" w:rsidRDefault="00EB56BA" w:rsidP="00B74F76">
            <w:pPr>
              <w:bidi/>
              <w:jc w:val="center"/>
              <w:rPr>
                <w:sz w:val="20"/>
                <w:szCs w:val="20"/>
              </w:rPr>
            </w:pPr>
          </w:p>
        </w:tc>
        <w:tc>
          <w:tcPr>
            <w:tcW w:w="1288" w:type="dxa"/>
            <w:noWrap/>
            <w:vAlign w:val="center"/>
            <w:hideMark/>
          </w:tcPr>
          <w:p w:rsidR="00EB56BA" w:rsidRPr="00E354EC" w:rsidRDefault="00EB56BA" w:rsidP="00B74F76">
            <w:pPr>
              <w:bidi/>
              <w:jc w:val="center"/>
              <w:rPr>
                <w:sz w:val="20"/>
                <w:szCs w:val="20"/>
              </w:rPr>
            </w:pPr>
          </w:p>
        </w:tc>
      </w:tr>
      <w:tr w:rsidR="00EB56BA" w:rsidRPr="00E354EC" w:rsidTr="00A96A71">
        <w:tc>
          <w:tcPr>
            <w:tcW w:w="2785" w:type="dxa"/>
            <w:noWrap/>
            <w:tcMar>
              <w:left w:w="115" w:type="dxa"/>
              <w:right w:w="0" w:type="dxa"/>
            </w:tcMar>
          </w:tcPr>
          <w:p w:rsidR="00EB56BA" w:rsidRPr="00E354EC" w:rsidRDefault="005A1B44" w:rsidP="005A1B44">
            <w:pPr>
              <w:bidi/>
              <w:ind w:left="144"/>
              <w:jc w:val="left"/>
              <w:rPr>
                <w:sz w:val="20"/>
                <w:szCs w:val="20"/>
              </w:rPr>
            </w:pPr>
            <w:r w:rsidRPr="005A1B44">
              <w:rPr>
                <w:sz w:val="20"/>
                <w:szCs w:val="20"/>
                <w:rtl/>
              </w:rPr>
              <w:lastRenderedPageBreak/>
              <w:t xml:space="preserve">جمهورية كوريا الديمقراطية الشعبية </w:t>
            </w:r>
          </w:p>
        </w:tc>
        <w:tc>
          <w:tcPr>
            <w:tcW w:w="962" w:type="dxa"/>
            <w:noWrap/>
            <w:vAlign w:val="center"/>
          </w:tcPr>
          <w:p w:rsidR="00EB56BA" w:rsidRPr="00E354EC" w:rsidRDefault="00EB56BA" w:rsidP="00B74F76">
            <w:pPr>
              <w:bidi/>
              <w:jc w:val="center"/>
              <w:rPr>
                <w:sz w:val="20"/>
                <w:szCs w:val="20"/>
              </w:rPr>
            </w:pPr>
            <w:r w:rsidRPr="00E354EC">
              <w:rPr>
                <w:sz w:val="20"/>
                <w:szCs w:val="20"/>
              </w:rPr>
              <w:t>X</w:t>
            </w:r>
          </w:p>
        </w:tc>
        <w:tc>
          <w:tcPr>
            <w:tcW w:w="1231" w:type="dxa"/>
            <w:noWrap/>
            <w:vAlign w:val="center"/>
          </w:tcPr>
          <w:p w:rsidR="00EB56BA" w:rsidRPr="00E354EC" w:rsidRDefault="00EB56BA" w:rsidP="00B74F76">
            <w:pPr>
              <w:bidi/>
              <w:jc w:val="center"/>
              <w:rPr>
                <w:sz w:val="20"/>
                <w:szCs w:val="20"/>
              </w:rPr>
            </w:pPr>
          </w:p>
        </w:tc>
        <w:tc>
          <w:tcPr>
            <w:tcW w:w="929" w:type="dxa"/>
            <w:noWrap/>
            <w:vAlign w:val="center"/>
          </w:tcPr>
          <w:p w:rsidR="00EB56BA" w:rsidRPr="00E354EC" w:rsidRDefault="00EB56BA" w:rsidP="00B74F76">
            <w:pPr>
              <w:bidi/>
              <w:jc w:val="center"/>
              <w:rPr>
                <w:sz w:val="20"/>
                <w:szCs w:val="20"/>
              </w:rPr>
            </w:pPr>
            <w:r w:rsidRPr="00E354EC">
              <w:rPr>
                <w:sz w:val="20"/>
                <w:szCs w:val="20"/>
              </w:rPr>
              <w:t>X</w:t>
            </w:r>
          </w:p>
        </w:tc>
        <w:tc>
          <w:tcPr>
            <w:tcW w:w="1266" w:type="dxa"/>
            <w:noWrap/>
            <w:vAlign w:val="center"/>
          </w:tcPr>
          <w:p w:rsidR="00EB56BA" w:rsidRPr="00E354EC" w:rsidRDefault="00EB56BA" w:rsidP="00B74F76">
            <w:pPr>
              <w:bidi/>
              <w:jc w:val="center"/>
              <w:rPr>
                <w:sz w:val="20"/>
                <w:szCs w:val="20"/>
              </w:rPr>
            </w:pPr>
            <w:r w:rsidRPr="00E354EC">
              <w:rPr>
                <w:sz w:val="20"/>
                <w:szCs w:val="20"/>
              </w:rPr>
              <w:t>X</w:t>
            </w:r>
          </w:p>
        </w:tc>
        <w:tc>
          <w:tcPr>
            <w:tcW w:w="894" w:type="dxa"/>
            <w:noWrap/>
            <w:vAlign w:val="center"/>
          </w:tcPr>
          <w:p w:rsidR="00EB56BA" w:rsidRPr="00E354EC" w:rsidRDefault="00EB56BA" w:rsidP="00B74F76">
            <w:pPr>
              <w:bidi/>
              <w:jc w:val="center"/>
              <w:rPr>
                <w:sz w:val="20"/>
                <w:szCs w:val="20"/>
              </w:rPr>
            </w:pPr>
            <w:r w:rsidRPr="00E354EC">
              <w:rPr>
                <w:sz w:val="20"/>
                <w:szCs w:val="20"/>
              </w:rPr>
              <w:t>X</w:t>
            </w:r>
          </w:p>
        </w:tc>
        <w:tc>
          <w:tcPr>
            <w:tcW w:w="1288" w:type="dxa"/>
            <w:noWrap/>
            <w:vAlign w:val="center"/>
          </w:tcPr>
          <w:p w:rsidR="00EB56BA" w:rsidRPr="00E354EC" w:rsidRDefault="00EB56BA" w:rsidP="00B74F76">
            <w:pPr>
              <w:bidi/>
              <w:jc w:val="center"/>
              <w:rPr>
                <w:sz w:val="20"/>
                <w:szCs w:val="20"/>
              </w:rPr>
            </w:pPr>
            <w:r w:rsidRPr="00E354EC">
              <w:rPr>
                <w:sz w:val="20"/>
                <w:szCs w:val="20"/>
              </w:rPr>
              <w:t>X</w:t>
            </w:r>
          </w:p>
        </w:tc>
      </w:tr>
      <w:tr w:rsidR="00EB56BA" w:rsidRPr="00E354EC" w:rsidTr="00A96A71">
        <w:tc>
          <w:tcPr>
            <w:tcW w:w="2785" w:type="dxa"/>
            <w:noWrap/>
            <w:tcMar>
              <w:left w:w="115" w:type="dxa"/>
              <w:right w:w="0" w:type="dxa"/>
            </w:tcMar>
            <w:hideMark/>
          </w:tcPr>
          <w:p w:rsidR="00EB56BA" w:rsidRPr="00E354EC" w:rsidRDefault="005A1B44" w:rsidP="005A1B44">
            <w:pPr>
              <w:bidi/>
              <w:ind w:left="144"/>
              <w:jc w:val="left"/>
              <w:rPr>
                <w:sz w:val="20"/>
                <w:szCs w:val="20"/>
              </w:rPr>
            </w:pPr>
            <w:r>
              <w:rPr>
                <w:rFonts w:hint="cs"/>
                <w:sz w:val="20"/>
                <w:szCs w:val="20"/>
                <w:rtl/>
              </w:rPr>
              <w:t>جمهورية الدومينيكان</w:t>
            </w:r>
          </w:p>
        </w:tc>
        <w:tc>
          <w:tcPr>
            <w:tcW w:w="962" w:type="dxa"/>
            <w:noWrap/>
            <w:vAlign w:val="center"/>
            <w:hideMark/>
          </w:tcPr>
          <w:p w:rsidR="00EB56BA" w:rsidRPr="00E354EC" w:rsidRDefault="00EB56BA" w:rsidP="00B74F76">
            <w:pPr>
              <w:bidi/>
              <w:jc w:val="center"/>
              <w:rPr>
                <w:sz w:val="20"/>
                <w:szCs w:val="20"/>
              </w:rPr>
            </w:pPr>
            <w:r w:rsidRPr="00E354EC">
              <w:rPr>
                <w:sz w:val="20"/>
                <w:szCs w:val="20"/>
              </w:rPr>
              <w:t>X</w:t>
            </w:r>
          </w:p>
        </w:tc>
        <w:tc>
          <w:tcPr>
            <w:tcW w:w="1231" w:type="dxa"/>
            <w:noWrap/>
            <w:vAlign w:val="center"/>
            <w:hideMark/>
          </w:tcPr>
          <w:p w:rsidR="00EB56BA" w:rsidRPr="00E354EC" w:rsidRDefault="00EB56BA" w:rsidP="00B74F76">
            <w:pPr>
              <w:bidi/>
              <w:jc w:val="center"/>
              <w:rPr>
                <w:sz w:val="20"/>
                <w:szCs w:val="20"/>
              </w:rPr>
            </w:pPr>
          </w:p>
        </w:tc>
        <w:tc>
          <w:tcPr>
            <w:tcW w:w="929" w:type="dxa"/>
            <w:noWrap/>
            <w:vAlign w:val="center"/>
            <w:hideMark/>
          </w:tcPr>
          <w:p w:rsidR="00EB56BA" w:rsidRPr="00E354EC" w:rsidRDefault="00EB56BA" w:rsidP="00B74F76">
            <w:pPr>
              <w:bidi/>
              <w:jc w:val="center"/>
              <w:rPr>
                <w:sz w:val="20"/>
                <w:szCs w:val="20"/>
              </w:rPr>
            </w:pPr>
          </w:p>
        </w:tc>
        <w:tc>
          <w:tcPr>
            <w:tcW w:w="1266" w:type="dxa"/>
            <w:noWrap/>
            <w:vAlign w:val="center"/>
            <w:hideMark/>
          </w:tcPr>
          <w:p w:rsidR="00EB56BA" w:rsidRPr="00E354EC" w:rsidRDefault="00EB56BA" w:rsidP="00B74F76">
            <w:pPr>
              <w:bidi/>
              <w:jc w:val="center"/>
              <w:rPr>
                <w:sz w:val="20"/>
                <w:szCs w:val="20"/>
              </w:rPr>
            </w:pPr>
          </w:p>
        </w:tc>
        <w:tc>
          <w:tcPr>
            <w:tcW w:w="894" w:type="dxa"/>
            <w:noWrap/>
            <w:vAlign w:val="center"/>
            <w:hideMark/>
          </w:tcPr>
          <w:p w:rsidR="00EB56BA" w:rsidRPr="00E354EC" w:rsidRDefault="00EB56BA" w:rsidP="00B74F76">
            <w:pPr>
              <w:bidi/>
              <w:jc w:val="center"/>
              <w:rPr>
                <w:sz w:val="20"/>
                <w:szCs w:val="20"/>
              </w:rPr>
            </w:pPr>
          </w:p>
        </w:tc>
        <w:tc>
          <w:tcPr>
            <w:tcW w:w="1288" w:type="dxa"/>
            <w:noWrap/>
            <w:vAlign w:val="center"/>
            <w:hideMark/>
          </w:tcPr>
          <w:p w:rsidR="00EB56BA" w:rsidRPr="00E354EC" w:rsidRDefault="00EB56BA" w:rsidP="00B74F76">
            <w:pPr>
              <w:bidi/>
              <w:jc w:val="center"/>
              <w:rPr>
                <w:sz w:val="20"/>
                <w:szCs w:val="20"/>
              </w:rPr>
            </w:pPr>
          </w:p>
        </w:tc>
      </w:tr>
      <w:tr w:rsidR="00EB56BA" w:rsidRPr="00E354EC" w:rsidTr="00A96A71">
        <w:tc>
          <w:tcPr>
            <w:tcW w:w="2785" w:type="dxa"/>
            <w:noWrap/>
            <w:tcMar>
              <w:left w:w="115" w:type="dxa"/>
              <w:right w:w="0" w:type="dxa"/>
            </w:tcMar>
            <w:hideMark/>
          </w:tcPr>
          <w:p w:rsidR="00EB56BA" w:rsidRPr="00E354EC" w:rsidRDefault="005A1B44" w:rsidP="005A1B44">
            <w:pPr>
              <w:bidi/>
              <w:ind w:left="144"/>
              <w:jc w:val="left"/>
              <w:rPr>
                <w:sz w:val="20"/>
                <w:szCs w:val="20"/>
              </w:rPr>
            </w:pPr>
            <w:r>
              <w:rPr>
                <w:rFonts w:hint="cs"/>
                <w:sz w:val="20"/>
                <w:szCs w:val="20"/>
                <w:rtl/>
              </w:rPr>
              <w:t>الايكوادور</w:t>
            </w:r>
          </w:p>
        </w:tc>
        <w:tc>
          <w:tcPr>
            <w:tcW w:w="962" w:type="dxa"/>
            <w:noWrap/>
            <w:vAlign w:val="center"/>
            <w:hideMark/>
          </w:tcPr>
          <w:p w:rsidR="00EB56BA" w:rsidRPr="00E354EC" w:rsidRDefault="00EB56BA" w:rsidP="00B74F76">
            <w:pPr>
              <w:bidi/>
              <w:jc w:val="center"/>
              <w:rPr>
                <w:sz w:val="20"/>
                <w:szCs w:val="20"/>
              </w:rPr>
            </w:pPr>
            <w:r w:rsidRPr="00E354EC">
              <w:rPr>
                <w:sz w:val="20"/>
                <w:szCs w:val="20"/>
              </w:rPr>
              <w:t>X</w:t>
            </w:r>
          </w:p>
        </w:tc>
        <w:tc>
          <w:tcPr>
            <w:tcW w:w="1231" w:type="dxa"/>
            <w:noWrap/>
            <w:vAlign w:val="center"/>
            <w:hideMark/>
          </w:tcPr>
          <w:p w:rsidR="00EB56BA" w:rsidRPr="00E354EC" w:rsidRDefault="00EB56BA" w:rsidP="00B74F76">
            <w:pPr>
              <w:bidi/>
              <w:jc w:val="center"/>
              <w:rPr>
                <w:sz w:val="20"/>
                <w:szCs w:val="20"/>
              </w:rPr>
            </w:pPr>
            <w:r w:rsidRPr="00E354EC">
              <w:rPr>
                <w:sz w:val="20"/>
                <w:szCs w:val="20"/>
              </w:rPr>
              <w:t>X</w:t>
            </w:r>
          </w:p>
        </w:tc>
        <w:tc>
          <w:tcPr>
            <w:tcW w:w="929" w:type="dxa"/>
            <w:noWrap/>
            <w:vAlign w:val="center"/>
            <w:hideMark/>
          </w:tcPr>
          <w:p w:rsidR="00EB56BA" w:rsidRPr="00E354EC" w:rsidRDefault="00EB56BA" w:rsidP="00B74F76">
            <w:pPr>
              <w:bidi/>
              <w:jc w:val="center"/>
              <w:rPr>
                <w:sz w:val="20"/>
                <w:szCs w:val="20"/>
              </w:rPr>
            </w:pPr>
          </w:p>
        </w:tc>
        <w:tc>
          <w:tcPr>
            <w:tcW w:w="1266" w:type="dxa"/>
            <w:noWrap/>
            <w:vAlign w:val="center"/>
            <w:hideMark/>
          </w:tcPr>
          <w:p w:rsidR="00EB56BA" w:rsidRPr="00E354EC" w:rsidRDefault="00EB56BA" w:rsidP="00B74F76">
            <w:pPr>
              <w:bidi/>
              <w:jc w:val="center"/>
              <w:rPr>
                <w:sz w:val="20"/>
                <w:szCs w:val="20"/>
              </w:rPr>
            </w:pPr>
          </w:p>
        </w:tc>
        <w:tc>
          <w:tcPr>
            <w:tcW w:w="894" w:type="dxa"/>
            <w:noWrap/>
            <w:vAlign w:val="center"/>
            <w:hideMark/>
          </w:tcPr>
          <w:p w:rsidR="00EB56BA" w:rsidRPr="00E354EC" w:rsidRDefault="00EB56BA" w:rsidP="00B74F76">
            <w:pPr>
              <w:bidi/>
              <w:jc w:val="center"/>
              <w:rPr>
                <w:sz w:val="20"/>
                <w:szCs w:val="20"/>
              </w:rPr>
            </w:pPr>
            <w:r w:rsidRPr="00E354EC">
              <w:rPr>
                <w:sz w:val="20"/>
                <w:szCs w:val="20"/>
              </w:rPr>
              <w:t>X</w:t>
            </w:r>
          </w:p>
        </w:tc>
        <w:tc>
          <w:tcPr>
            <w:tcW w:w="1288" w:type="dxa"/>
            <w:noWrap/>
            <w:vAlign w:val="center"/>
            <w:hideMark/>
          </w:tcPr>
          <w:p w:rsidR="00EB56BA" w:rsidRPr="00E354EC" w:rsidRDefault="00EB56BA" w:rsidP="00B74F76">
            <w:pPr>
              <w:bidi/>
              <w:jc w:val="center"/>
              <w:rPr>
                <w:sz w:val="20"/>
                <w:szCs w:val="20"/>
              </w:rPr>
            </w:pPr>
            <w:r w:rsidRPr="00E354EC">
              <w:rPr>
                <w:sz w:val="20"/>
                <w:szCs w:val="20"/>
              </w:rPr>
              <w:t>X</w:t>
            </w:r>
          </w:p>
        </w:tc>
      </w:tr>
      <w:tr w:rsidR="00EB56BA" w:rsidRPr="00E354EC" w:rsidTr="00A96A71">
        <w:tc>
          <w:tcPr>
            <w:tcW w:w="2785" w:type="dxa"/>
            <w:noWrap/>
            <w:tcMar>
              <w:left w:w="115" w:type="dxa"/>
              <w:right w:w="0" w:type="dxa"/>
            </w:tcMar>
            <w:hideMark/>
          </w:tcPr>
          <w:p w:rsidR="00EB56BA" w:rsidRPr="00E354EC" w:rsidRDefault="005A1B44" w:rsidP="005A1B44">
            <w:pPr>
              <w:bidi/>
              <w:ind w:left="144"/>
              <w:jc w:val="left"/>
              <w:rPr>
                <w:sz w:val="20"/>
                <w:szCs w:val="20"/>
              </w:rPr>
            </w:pPr>
            <w:r>
              <w:rPr>
                <w:rFonts w:hint="cs"/>
                <w:sz w:val="20"/>
                <w:szCs w:val="20"/>
                <w:rtl/>
              </w:rPr>
              <w:t>مصر</w:t>
            </w:r>
          </w:p>
        </w:tc>
        <w:tc>
          <w:tcPr>
            <w:tcW w:w="962" w:type="dxa"/>
            <w:noWrap/>
            <w:vAlign w:val="center"/>
            <w:hideMark/>
          </w:tcPr>
          <w:p w:rsidR="00EB56BA" w:rsidRPr="00E354EC" w:rsidRDefault="00EB56BA" w:rsidP="00B74F76">
            <w:pPr>
              <w:bidi/>
              <w:jc w:val="center"/>
              <w:rPr>
                <w:sz w:val="20"/>
                <w:szCs w:val="20"/>
              </w:rPr>
            </w:pPr>
            <w:r w:rsidRPr="00E354EC">
              <w:rPr>
                <w:sz w:val="20"/>
                <w:szCs w:val="20"/>
              </w:rPr>
              <w:t>X</w:t>
            </w:r>
          </w:p>
        </w:tc>
        <w:tc>
          <w:tcPr>
            <w:tcW w:w="1231" w:type="dxa"/>
            <w:noWrap/>
            <w:vAlign w:val="center"/>
            <w:hideMark/>
          </w:tcPr>
          <w:p w:rsidR="00EB56BA" w:rsidRPr="00E354EC" w:rsidRDefault="00EB56BA" w:rsidP="00B74F76">
            <w:pPr>
              <w:bidi/>
              <w:jc w:val="center"/>
              <w:rPr>
                <w:sz w:val="20"/>
                <w:szCs w:val="20"/>
              </w:rPr>
            </w:pPr>
            <w:r w:rsidRPr="00E354EC">
              <w:rPr>
                <w:sz w:val="20"/>
                <w:szCs w:val="20"/>
              </w:rPr>
              <w:t>X</w:t>
            </w:r>
          </w:p>
        </w:tc>
        <w:tc>
          <w:tcPr>
            <w:tcW w:w="929" w:type="dxa"/>
            <w:noWrap/>
            <w:vAlign w:val="center"/>
            <w:hideMark/>
          </w:tcPr>
          <w:p w:rsidR="00EB56BA" w:rsidRPr="00E354EC" w:rsidRDefault="00EB56BA" w:rsidP="00B74F76">
            <w:pPr>
              <w:bidi/>
              <w:jc w:val="center"/>
              <w:rPr>
                <w:sz w:val="20"/>
                <w:szCs w:val="20"/>
              </w:rPr>
            </w:pPr>
          </w:p>
        </w:tc>
        <w:tc>
          <w:tcPr>
            <w:tcW w:w="1266" w:type="dxa"/>
            <w:noWrap/>
            <w:vAlign w:val="center"/>
            <w:hideMark/>
          </w:tcPr>
          <w:p w:rsidR="00EB56BA" w:rsidRPr="00E354EC" w:rsidRDefault="00EB56BA" w:rsidP="00B74F76">
            <w:pPr>
              <w:bidi/>
              <w:jc w:val="center"/>
              <w:rPr>
                <w:sz w:val="20"/>
                <w:szCs w:val="20"/>
              </w:rPr>
            </w:pPr>
          </w:p>
        </w:tc>
        <w:tc>
          <w:tcPr>
            <w:tcW w:w="894" w:type="dxa"/>
            <w:noWrap/>
            <w:vAlign w:val="center"/>
            <w:hideMark/>
          </w:tcPr>
          <w:p w:rsidR="00EB56BA" w:rsidRPr="00E354EC" w:rsidRDefault="00EB56BA" w:rsidP="00B74F76">
            <w:pPr>
              <w:bidi/>
              <w:jc w:val="center"/>
              <w:rPr>
                <w:sz w:val="20"/>
                <w:szCs w:val="20"/>
              </w:rPr>
            </w:pPr>
            <w:r w:rsidRPr="00E354EC">
              <w:rPr>
                <w:sz w:val="20"/>
                <w:szCs w:val="20"/>
              </w:rPr>
              <w:t>X</w:t>
            </w:r>
          </w:p>
        </w:tc>
        <w:tc>
          <w:tcPr>
            <w:tcW w:w="1288" w:type="dxa"/>
            <w:noWrap/>
            <w:vAlign w:val="center"/>
            <w:hideMark/>
          </w:tcPr>
          <w:p w:rsidR="00EB56BA" w:rsidRPr="00E354EC" w:rsidRDefault="00EB56BA" w:rsidP="00B74F76">
            <w:pPr>
              <w:bidi/>
              <w:jc w:val="center"/>
              <w:rPr>
                <w:sz w:val="20"/>
                <w:szCs w:val="20"/>
              </w:rPr>
            </w:pPr>
            <w:r w:rsidRPr="00E354EC">
              <w:rPr>
                <w:sz w:val="20"/>
                <w:szCs w:val="20"/>
              </w:rPr>
              <w:t>X</w:t>
            </w:r>
          </w:p>
        </w:tc>
      </w:tr>
      <w:tr w:rsidR="00EB56BA" w:rsidRPr="00E354EC" w:rsidTr="00A96A71">
        <w:tc>
          <w:tcPr>
            <w:tcW w:w="2785" w:type="dxa"/>
            <w:noWrap/>
            <w:tcMar>
              <w:left w:w="115" w:type="dxa"/>
              <w:right w:w="0" w:type="dxa"/>
            </w:tcMar>
            <w:hideMark/>
          </w:tcPr>
          <w:p w:rsidR="00EB56BA" w:rsidRPr="00E354EC" w:rsidRDefault="005A1B44" w:rsidP="005A1B44">
            <w:pPr>
              <w:bidi/>
              <w:ind w:left="144"/>
              <w:jc w:val="left"/>
              <w:rPr>
                <w:sz w:val="20"/>
                <w:szCs w:val="20"/>
              </w:rPr>
            </w:pPr>
            <w:r>
              <w:rPr>
                <w:rFonts w:hint="cs"/>
                <w:sz w:val="20"/>
                <w:szCs w:val="20"/>
                <w:rtl/>
              </w:rPr>
              <w:t>السلفادور</w:t>
            </w:r>
          </w:p>
        </w:tc>
        <w:tc>
          <w:tcPr>
            <w:tcW w:w="962" w:type="dxa"/>
            <w:noWrap/>
            <w:vAlign w:val="center"/>
            <w:hideMark/>
          </w:tcPr>
          <w:p w:rsidR="00EB56BA" w:rsidRPr="00E354EC" w:rsidRDefault="00EB56BA" w:rsidP="00B74F76">
            <w:pPr>
              <w:bidi/>
              <w:jc w:val="center"/>
              <w:rPr>
                <w:sz w:val="20"/>
                <w:szCs w:val="20"/>
              </w:rPr>
            </w:pPr>
            <w:r w:rsidRPr="00E354EC">
              <w:rPr>
                <w:sz w:val="20"/>
                <w:szCs w:val="20"/>
              </w:rPr>
              <w:t>X</w:t>
            </w:r>
          </w:p>
        </w:tc>
        <w:tc>
          <w:tcPr>
            <w:tcW w:w="1231" w:type="dxa"/>
            <w:noWrap/>
            <w:vAlign w:val="center"/>
            <w:hideMark/>
          </w:tcPr>
          <w:p w:rsidR="00EB56BA" w:rsidRPr="00E354EC" w:rsidRDefault="00EB56BA" w:rsidP="00B74F76">
            <w:pPr>
              <w:bidi/>
              <w:jc w:val="center"/>
              <w:rPr>
                <w:sz w:val="20"/>
                <w:szCs w:val="20"/>
              </w:rPr>
            </w:pPr>
          </w:p>
        </w:tc>
        <w:tc>
          <w:tcPr>
            <w:tcW w:w="929" w:type="dxa"/>
            <w:noWrap/>
            <w:vAlign w:val="center"/>
            <w:hideMark/>
          </w:tcPr>
          <w:p w:rsidR="00EB56BA" w:rsidRPr="00E354EC" w:rsidRDefault="00EB56BA" w:rsidP="00B74F76">
            <w:pPr>
              <w:bidi/>
              <w:jc w:val="center"/>
              <w:rPr>
                <w:sz w:val="20"/>
                <w:szCs w:val="20"/>
              </w:rPr>
            </w:pPr>
          </w:p>
        </w:tc>
        <w:tc>
          <w:tcPr>
            <w:tcW w:w="1266" w:type="dxa"/>
            <w:noWrap/>
            <w:vAlign w:val="center"/>
            <w:hideMark/>
          </w:tcPr>
          <w:p w:rsidR="00EB56BA" w:rsidRPr="00E354EC" w:rsidRDefault="00EB56BA" w:rsidP="00B74F76">
            <w:pPr>
              <w:bidi/>
              <w:jc w:val="center"/>
              <w:rPr>
                <w:sz w:val="20"/>
                <w:szCs w:val="20"/>
              </w:rPr>
            </w:pPr>
          </w:p>
        </w:tc>
        <w:tc>
          <w:tcPr>
            <w:tcW w:w="894" w:type="dxa"/>
            <w:noWrap/>
            <w:vAlign w:val="center"/>
            <w:hideMark/>
          </w:tcPr>
          <w:p w:rsidR="00EB56BA" w:rsidRPr="00E354EC" w:rsidRDefault="00EB56BA" w:rsidP="00B74F76">
            <w:pPr>
              <w:bidi/>
              <w:jc w:val="center"/>
              <w:rPr>
                <w:sz w:val="20"/>
                <w:szCs w:val="20"/>
              </w:rPr>
            </w:pPr>
            <w:r w:rsidRPr="00E354EC">
              <w:rPr>
                <w:sz w:val="20"/>
                <w:szCs w:val="20"/>
              </w:rPr>
              <w:t>X</w:t>
            </w:r>
          </w:p>
        </w:tc>
        <w:tc>
          <w:tcPr>
            <w:tcW w:w="1288" w:type="dxa"/>
            <w:noWrap/>
            <w:vAlign w:val="center"/>
            <w:hideMark/>
          </w:tcPr>
          <w:p w:rsidR="00EB56BA" w:rsidRPr="00E354EC" w:rsidRDefault="00EB56BA" w:rsidP="00B74F76">
            <w:pPr>
              <w:bidi/>
              <w:jc w:val="center"/>
              <w:rPr>
                <w:sz w:val="20"/>
                <w:szCs w:val="20"/>
              </w:rPr>
            </w:pPr>
          </w:p>
        </w:tc>
      </w:tr>
      <w:tr w:rsidR="00EB56BA" w:rsidRPr="00E354EC" w:rsidTr="00A96A71">
        <w:tc>
          <w:tcPr>
            <w:tcW w:w="2785" w:type="dxa"/>
            <w:noWrap/>
            <w:tcMar>
              <w:left w:w="115" w:type="dxa"/>
              <w:right w:w="0" w:type="dxa"/>
            </w:tcMar>
            <w:hideMark/>
          </w:tcPr>
          <w:p w:rsidR="00EB56BA" w:rsidRPr="00E354EC" w:rsidRDefault="005E4598" w:rsidP="008307E8">
            <w:pPr>
              <w:bidi/>
              <w:ind w:left="144"/>
              <w:jc w:val="left"/>
              <w:rPr>
                <w:sz w:val="20"/>
                <w:szCs w:val="20"/>
              </w:rPr>
            </w:pPr>
            <w:r>
              <w:rPr>
                <w:rFonts w:hint="cs"/>
                <w:sz w:val="20"/>
                <w:szCs w:val="20"/>
                <w:rtl/>
              </w:rPr>
              <w:t>إسواتينى</w:t>
            </w:r>
          </w:p>
        </w:tc>
        <w:tc>
          <w:tcPr>
            <w:tcW w:w="962" w:type="dxa"/>
            <w:noWrap/>
            <w:vAlign w:val="center"/>
            <w:hideMark/>
          </w:tcPr>
          <w:p w:rsidR="00EB56BA" w:rsidRPr="00E354EC" w:rsidRDefault="00EB56BA" w:rsidP="00B74F76">
            <w:pPr>
              <w:bidi/>
              <w:jc w:val="center"/>
              <w:rPr>
                <w:sz w:val="20"/>
                <w:szCs w:val="20"/>
              </w:rPr>
            </w:pPr>
          </w:p>
        </w:tc>
        <w:tc>
          <w:tcPr>
            <w:tcW w:w="1231" w:type="dxa"/>
            <w:noWrap/>
            <w:vAlign w:val="center"/>
            <w:hideMark/>
          </w:tcPr>
          <w:p w:rsidR="00EB56BA" w:rsidRPr="00E354EC" w:rsidRDefault="00EB56BA" w:rsidP="00B74F76">
            <w:pPr>
              <w:bidi/>
              <w:jc w:val="center"/>
              <w:rPr>
                <w:sz w:val="20"/>
                <w:szCs w:val="20"/>
              </w:rPr>
            </w:pPr>
          </w:p>
        </w:tc>
        <w:tc>
          <w:tcPr>
            <w:tcW w:w="929" w:type="dxa"/>
            <w:noWrap/>
            <w:vAlign w:val="center"/>
            <w:hideMark/>
          </w:tcPr>
          <w:p w:rsidR="00EB56BA" w:rsidRPr="00E354EC" w:rsidRDefault="00EB56BA" w:rsidP="00B74F76">
            <w:pPr>
              <w:bidi/>
              <w:jc w:val="center"/>
              <w:rPr>
                <w:sz w:val="20"/>
                <w:szCs w:val="20"/>
              </w:rPr>
            </w:pPr>
          </w:p>
        </w:tc>
        <w:tc>
          <w:tcPr>
            <w:tcW w:w="1266" w:type="dxa"/>
            <w:noWrap/>
            <w:vAlign w:val="center"/>
            <w:hideMark/>
          </w:tcPr>
          <w:p w:rsidR="00EB56BA" w:rsidRPr="00E354EC" w:rsidRDefault="00EB56BA" w:rsidP="00B74F76">
            <w:pPr>
              <w:bidi/>
              <w:jc w:val="center"/>
              <w:rPr>
                <w:sz w:val="20"/>
                <w:szCs w:val="20"/>
              </w:rPr>
            </w:pPr>
          </w:p>
        </w:tc>
        <w:tc>
          <w:tcPr>
            <w:tcW w:w="894" w:type="dxa"/>
            <w:noWrap/>
            <w:vAlign w:val="center"/>
            <w:hideMark/>
          </w:tcPr>
          <w:p w:rsidR="00EB56BA" w:rsidRPr="00E354EC" w:rsidRDefault="00EB56BA" w:rsidP="00B74F76">
            <w:pPr>
              <w:bidi/>
              <w:jc w:val="center"/>
              <w:rPr>
                <w:sz w:val="20"/>
                <w:szCs w:val="20"/>
              </w:rPr>
            </w:pPr>
            <w:r w:rsidRPr="00E354EC">
              <w:rPr>
                <w:sz w:val="20"/>
                <w:szCs w:val="20"/>
              </w:rPr>
              <w:t>X</w:t>
            </w:r>
          </w:p>
        </w:tc>
        <w:tc>
          <w:tcPr>
            <w:tcW w:w="1288" w:type="dxa"/>
            <w:noWrap/>
            <w:vAlign w:val="center"/>
            <w:hideMark/>
          </w:tcPr>
          <w:p w:rsidR="00EB56BA" w:rsidRPr="00E354EC" w:rsidRDefault="00EB56BA" w:rsidP="00B74F76">
            <w:pPr>
              <w:bidi/>
              <w:jc w:val="center"/>
              <w:rPr>
                <w:sz w:val="20"/>
                <w:szCs w:val="20"/>
              </w:rPr>
            </w:pPr>
            <w:r w:rsidRPr="00E354EC">
              <w:rPr>
                <w:sz w:val="20"/>
                <w:szCs w:val="20"/>
              </w:rPr>
              <w:t>X</w:t>
            </w:r>
          </w:p>
        </w:tc>
      </w:tr>
      <w:tr w:rsidR="00EB56BA" w:rsidRPr="00E354EC" w:rsidTr="00A96A71">
        <w:tc>
          <w:tcPr>
            <w:tcW w:w="2785" w:type="dxa"/>
            <w:noWrap/>
            <w:tcMar>
              <w:left w:w="115" w:type="dxa"/>
              <w:right w:w="0" w:type="dxa"/>
            </w:tcMar>
            <w:hideMark/>
          </w:tcPr>
          <w:p w:rsidR="00EB56BA" w:rsidRPr="00E354EC" w:rsidRDefault="005A1B44" w:rsidP="005A1B44">
            <w:pPr>
              <w:bidi/>
              <w:ind w:left="144"/>
              <w:jc w:val="left"/>
              <w:rPr>
                <w:sz w:val="20"/>
                <w:szCs w:val="20"/>
                <w:rtl/>
                <w:lang w:bidi="ar-EG"/>
              </w:rPr>
            </w:pPr>
            <w:r w:rsidRPr="005A1B44">
              <w:rPr>
                <w:sz w:val="20"/>
                <w:szCs w:val="20"/>
                <w:rtl/>
              </w:rPr>
              <w:t>فيجي</w:t>
            </w:r>
          </w:p>
        </w:tc>
        <w:tc>
          <w:tcPr>
            <w:tcW w:w="962" w:type="dxa"/>
            <w:noWrap/>
            <w:vAlign w:val="center"/>
            <w:hideMark/>
          </w:tcPr>
          <w:p w:rsidR="00EB56BA" w:rsidRPr="00E354EC" w:rsidRDefault="00EB56BA" w:rsidP="00B74F76">
            <w:pPr>
              <w:bidi/>
              <w:jc w:val="center"/>
              <w:rPr>
                <w:sz w:val="20"/>
                <w:szCs w:val="20"/>
              </w:rPr>
            </w:pPr>
            <w:r w:rsidRPr="00E354EC">
              <w:rPr>
                <w:sz w:val="20"/>
                <w:szCs w:val="20"/>
              </w:rPr>
              <w:t>X</w:t>
            </w:r>
          </w:p>
        </w:tc>
        <w:tc>
          <w:tcPr>
            <w:tcW w:w="1231" w:type="dxa"/>
            <w:noWrap/>
            <w:vAlign w:val="center"/>
            <w:hideMark/>
          </w:tcPr>
          <w:p w:rsidR="00EB56BA" w:rsidRPr="00E354EC" w:rsidRDefault="00EB56BA" w:rsidP="00B74F76">
            <w:pPr>
              <w:bidi/>
              <w:jc w:val="center"/>
              <w:rPr>
                <w:sz w:val="20"/>
                <w:szCs w:val="20"/>
              </w:rPr>
            </w:pPr>
          </w:p>
        </w:tc>
        <w:tc>
          <w:tcPr>
            <w:tcW w:w="929" w:type="dxa"/>
            <w:noWrap/>
            <w:vAlign w:val="center"/>
            <w:hideMark/>
          </w:tcPr>
          <w:p w:rsidR="00EB56BA" w:rsidRPr="00E354EC" w:rsidRDefault="00EB56BA" w:rsidP="00B74F76">
            <w:pPr>
              <w:bidi/>
              <w:jc w:val="center"/>
              <w:rPr>
                <w:sz w:val="20"/>
                <w:szCs w:val="20"/>
              </w:rPr>
            </w:pPr>
          </w:p>
        </w:tc>
        <w:tc>
          <w:tcPr>
            <w:tcW w:w="1266" w:type="dxa"/>
            <w:noWrap/>
            <w:vAlign w:val="center"/>
            <w:hideMark/>
          </w:tcPr>
          <w:p w:rsidR="00EB56BA" w:rsidRPr="00E354EC" w:rsidRDefault="00EB56BA" w:rsidP="00B74F76">
            <w:pPr>
              <w:bidi/>
              <w:jc w:val="center"/>
              <w:rPr>
                <w:sz w:val="20"/>
                <w:szCs w:val="20"/>
              </w:rPr>
            </w:pPr>
          </w:p>
        </w:tc>
        <w:tc>
          <w:tcPr>
            <w:tcW w:w="894" w:type="dxa"/>
            <w:noWrap/>
            <w:vAlign w:val="center"/>
            <w:hideMark/>
          </w:tcPr>
          <w:p w:rsidR="00EB56BA" w:rsidRPr="00E354EC" w:rsidRDefault="00EB56BA" w:rsidP="00B74F76">
            <w:pPr>
              <w:bidi/>
              <w:jc w:val="center"/>
              <w:rPr>
                <w:sz w:val="20"/>
                <w:szCs w:val="20"/>
              </w:rPr>
            </w:pPr>
            <w:r w:rsidRPr="00E354EC">
              <w:rPr>
                <w:sz w:val="20"/>
                <w:szCs w:val="20"/>
              </w:rPr>
              <w:t>X</w:t>
            </w:r>
          </w:p>
        </w:tc>
        <w:tc>
          <w:tcPr>
            <w:tcW w:w="1288" w:type="dxa"/>
            <w:noWrap/>
            <w:vAlign w:val="center"/>
            <w:hideMark/>
          </w:tcPr>
          <w:p w:rsidR="00EB56BA" w:rsidRPr="00E354EC" w:rsidRDefault="00EB56BA" w:rsidP="00B74F76">
            <w:pPr>
              <w:bidi/>
              <w:jc w:val="center"/>
              <w:rPr>
                <w:sz w:val="20"/>
                <w:szCs w:val="20"/>
              </w:rPr>
            </w:pPr>
          </w:p>
        </w:tc>
      </w:tr>
      <w:tr w:rsidR="00EB56BA" w:rsidRPr="00E354EC" w:rsidTr="00A96A71">
        <w:tc>
          <w:tcPr>
            <w:tcW w:w="2785" w:type="dxa"/>
            <w:noWrap/>
            <w:tcMar>
              <w:left w:w="115" w:type="dxa"/>
              <w:right w:w="0" w:type="dxa"/>
            </w:tcMar>
            <w:hideMark/>
          </w:tcPr>
          <w:p w:rsidR="00EB56BA" w:rsidRPr="00E354EC" w:rsidRDefault="005A1B44" w:rsidP="005A1B44">
            <w:pPr>
              <w:bidi/>
              <w:ind w:left="144"/>
              <w:jc w:val="left"/>
              <w:rPr>
                <w:sz w:val="20"/>
                <w:szCs w:val="20"/>
                <w:rtl/>
                <w:lang w:bidi="ar-EG"/>
              </w:rPr>
            </w:pPr>
            <w:r w:rsidRPr="005A1B44">
              <w:rPr>
                <w:sz w:val="20"/>
                <w:szCs w:val="20"/>
                <w:rtl/>
              </w:rPr>
              <w:t>غانا</w:t>
            </w:r>
          </w:p>
        </w:tc>
        <w:tc>
          <w:tcPr>
            <w:tcW w:w="962" w:type="dxa"/>
            <w:noWrap/>
            <w:vAlign w:val="center"/>
            <w:hideMark/>
          </w:tcPr>
          <w:p w:rsidR="00EB56BA" w:rsidRPr="00E354EC" w:rsidRDefault="00EB56BA" w:rsidP="00B74F76">
            <w:pPr>
              <w:bidi/>
              <w:jc w:val="center"/>
              <w:rPr>
                <w:sz w:val="20"/>
                <w:szCs w:val="20"/>
              </w:rPr>
            </w:pPr>
            <w:r w:rsidRPr="00E354EC">
              <w:rPr>
                <w:sz w:val="20"/>
                <w:szCs w:val="20"/>
              </w:rPr>
              <w:t>X</w:t>
            </w:r>
          </w:p>
        </w:tc>
        <w:tc>
          <w:tcPr>
            <w:tcW w:w="1231" w:type="dxa"/>
            <w:noWrap/>
            <w:vAlign w:val="center"/>
            <w:hideMark/>
          </w:tcPr>
          <w:p w:rsidR="00EB56BA" w:rsidRPr="00E354EC" w:rsidRDefault="00EB56BA" w:rsidP="00B74F76">
            <w:pPr>
              <w:bidi/>
              <w:jc w:val="center"/>
              <w:rPr>
                <w:sz w:val="20"/>
                <w:szCs w:val="20"/>
              </w:rPr>
            </w:pPr>
            <w:r w:rsidRPr="00E354EC">
              <w:rPr>
                <w:sz w:val="20"/>
                <w:szCs w:val="20"/>
              </w:rPr>
              <w:t>X</w:t>
            </w:r>
          </w:p>
        </w:tc>
        <w:tc>
          <w:tcPr>
            <w:tcW w:w="929" w:type="dxa"/>
            <w:noWrap/>
            <w:vAlign w:val="center"/>
            <w:hideMark/>
          </w:tcPr>
          <w:p w:rsidR="00EB56BA" w:rsidRPr="00E354EC" w:rsidRDefault="00EB56BA" w:rsidP="00B74F76">
            <w:pPr>
              <w:bidi/>
              <w:jc w:val="center"/>
              <w:rPr>
                <w:sz w:val="20"/>
                <w:szCs w:val="20"/>
              </w:rPr>
            </w:pPr>
          </w:p>
        </w:tc>
        <w:tc>
          <w:tcPr>
            <w:tcW w:w="1266" w:type="dxa"/>
            <w:noWrap/>
            <w:vAlign w:val="center"/>
            <w:hideMark/>
          </w:tcPr>
          <w:p w:rsidR="00EB56BA" w:rsidRPr="00E354EC" w:rsidRDefault="00EB56BA" w:rsidP="00B74F76">
            <w:pPr>
              <w:bidi/>
              <w:jc w:val="center"/>
              <w:rPr>
                <w:sz w:val="20"/>
                <w:szCs w:val="20"/>
              </w:rPr>
            </w:pPr>
          </w:p>
        </w:tc>
        <w:tc>
          <w:tcPr>
            <w:tcW w:w="894" w:type="dxa"/>
            <w:noWrap/>
            <w:vAlign w:val="center"/>
            <w:hideMark/>
          </w:tcPr>
          <w:p w:rsidR="00EB56BA" w:rsidRPr="00E354EC" w:rsidRDefault="00EB56BA" w:rsidP="00B74F76">
            <w:pPr>
              <w:bidi/>
              <w:jc w:val="center"/>
              <w:rPr>
                <w:sz w:val="20"/>
                <w:szCs w:val="20"/>
              </w:rPr>
            </w:pPr>
            <w:r w:rsidRPr="00E354EC">
              <w:rPr>
                <w:sz w:val="20"/>
                <w:szCs w:val="20"/>
              </w:rPr>
              <w:t>X</w:t>
            </w:r>
          </w:p>
        </w:tc>
        <w:tc>
          <w:tcPr>
            <w:tcW w:w="1288" w:type="dxa"/>
            <w:noWrap/>
            <w:vAlign w:val="center"/>
            <w:hideMark/>
          </w:tcPr>
          <w:p w:rsidR="00EB56BA" w:rsidRPr="00E354EC" w:rsidRDefault="00EB56BA" w:rsidP="00B74F76">
            <w:pPr>
              <w:bidi/>
              <w:jc w:val="center"/>
              <w:rPr>
                <w:sz w:val="20"/>
                <w:szCs w:val="20"/>
              </w:rPr>
            </w:pPr>
            <w:r w:rsidRPr="00E354EC">
              <w:rPr>
                <w:sz w:val="20"/>
                <w:szCs w:val="20"/>
              </w:rPr>
              <w:t>X</w:t>
            </w:r>
          </w:p>
        </w:tc>
      </w:tr>
      <w:tr w:rsidR="00EB56BA" w:rsidRPr="00E354EC" w:rsidTr="00A96A71">
        <w:tc>
          <w:tcPr>
            <w:tcW w:w="2785" w:type="dxa"/>
            <w:noWrap/>
            <w:tcMar>
              <w:left w:w="115" w:type="dxa"/>
              <w:right w:w="0" w:type="dxa"/>
            </w:tcMar>
            <w:hideMark/>
          </w:tcPr>
          <w:p w:rsidR="00EB56BA" w:rsidRPr="00E354EC" w:rsidRDefault="005A1B44" w:rsidP="005A1B44">
            <w:pPr>
              <w:bidi/>
              <w:ind w:left="144"/>
              <w:jc w:val="left"/>
              <w:rPr>
                <w:sz w:val="20"/>
                <w:szCs w:val="20"/>
                <w:rtl/>
                <w:lang w:bidi="ar-EG"/>
              </w:rPr>
            </w:pPr>
            <w:r w:rsidRPr="005A1B44">
              <w:rPr>
                <w:sz w:val="20"/>
                <w:szCs w:val="20"/>
                <w:rtl/>
              </w:rPr>
              <w:t>الهن</w:t>
            </w:r>
            <w:r>
              <w:rPr>
                <w:rFonts w:hint="cs"/>
                <w:sz w:val="20"/>
                <w:szCs w:val="20"/>
                <w:rtl/>
              </w:rPr>
              <w:t>د</w:t>
            </w:r>
          </w:p>
        </w:tc>
        <w:tc>
          <w:tcPr>
            <w:tcW w:w="962" w:type="dxa"/>
            <w:noWrap/>
            <w:vAlign w:val="center"/>
            <w:hideMark/>
          </w:tcPr>
          <w:p w:rsidR="00EB56BA" w:rsidRPr="00E354EC" w:rsidRDefault="00EB56BA" w:rsidP="00B74F76">
            <w:pPr>
              <w:bidi/>
              <w:jc w:val="center"/>
              <w:rPr>
                <w:sz w:val="20"/>
                <w:szCs w:val="20"/>
              </w:rPr>
            </w:pPr>
            <w:r w:rsidRPr="00E354EC">
              <w:rPr>
                <w:sz w:val="20"/>
                <w:szCs w:val="20"/>
              </w:rPr>
              <w:t>X</w:t>
            </w:r>
          </w:p>
        </w:tc>
        <w:tc>
          <w:tcPr>
            <w:tcW w:w="1231" w:type="dxa"/>
            <w:noWrap/>
            <w:vAlign w:val="center"/>
            <w:hideMark/>
          </w:tcPr>
          <w:p w:rsidR="00EB56BA" w:rsidRPr="00E354EC" w:rsidRDefault="00EB56BA" w:rsidP="00B74F76">
            <w:pPr>
              <w:bidi/>
              <w:jc w:val="center"/>
              <w:rPr>
                <w:sz w:val="20"/>
                <w:szCs w:val="20"/>
              </w:rPr>
            </w:pPr>
            <w:r w:rsidRPr="00E354EC">
              <w:rPr>
                <w:sz w:val="20"/>
                <w:szCs w:val="20"/>
              </w:rPr>
              <w:t>X</w:t>
            </w:r>
          </w:p>
        </w:tc>
        <w:tc>
          <w:tcPr>
            <w:tcW w:w="929" w:type="dxa"/>
            <w:noWrap/>
            <w:vAlign w:val="center"/>
            <w:hideMark/>
          </w:tcPr>
          <w:p w:rsidR="00EB56BA" w:rsidRPr="00E354EC" w:rsidRDefault="00EB56BA" w:rsidP="00B74F76">
            <w:pPr>
              <w:bidi/>
              <w:jc w:val="center"/>
              <w:rPr>
                <w:sz w:val="20"/>
                <w:szCs w:val="20"/>
              </w:rPr>
            </w:pPr>
          </w:p>
        </w:tc>
        <w:tc>
          <w:tcPr>
            <w:tcW w:w="1266" w:type="dxa"/>
            <w:noWrap/>
            <w:vAlign w:val="center"/>
            <w:hideMark/>
          </w:tcPr>
          <w:p w:rsidR="00EB56BA" w:rsidRPr="00E354EC" w:rsidRDefault="00EB56BA" w:rsidP="00B74F76">
            <w:pPr>
              <w:bidi/>
              <w:jc w:val="center"/>
              <w:rPr>
                <w:sz w:val="20"/>
                <w:szCs w:val="20"/>
              </w:rPr>
            </w:pPr>
          </w:p>
        </w:tc>
        <w:tc>
          <w:tcPr>
            <w:tcW w:w="894" w:type="dxa"/>
            <w:noWrap/>
            <w:vAlign w:val="center"/>
            <w:hideMark/>
          </w:tcPr>
          <w:p w:rsidR="00EB56BA" w:rsidRPr="00E354EC" w:rsidRDefault="00EB56BA" w:rsidP="00B74F76">
            <w:pPr>
              <w:bidi/>
              <w:jc w:val="center"/>
              <w:rPr>
                <w:sz w:val="20"/>
                <w:szCs w:val="20"/>
              </w:rPr>
            </w:pPr>
            <w:r w:rsidRPr="00E354EC">
              <w:rPr>
                <w:sz w:val="20"/>
                <w:szCs w:val="20"/>
              </w:rPr>
              <w:t>X</w:t>
            </w:r>
          </w:p>
        </w:tc>
        <w:tc>
          <w:tcPr>
            <w:tcW w:w="1288" w:type="dxa"/>
            <w:noWrap/>
            <w:vAlign w:val="center"/>
            <w:hideMark/>
          </w:tcPr>
          <w:p w:rsidR="00EB56BA" w:rsidRPr="00E354EC" w:rsidRDefault="00EB56BA" w:rsidP="00B74F76">
            <w:pPr>
              <w:bidi/>
              <w:jc w:val="center"/>
              <w:rPr>
                <w:sz w:val="20"/>
                <w:szCs w:val="20"/>
              </w:rPr>
            </w:pPr>
            <w:r w:rsidRPr="00E354EC">
              <w:rPr>
                <w:sz w:val="20"/>
                <w:szCs w:val="20"/>
              </w:rPr>
              <w:t>X</w:t>
            </w:r>
          </w:p>
        </w:tc>
      </w:tr>
      <w:tr w:rsidR="00EB56BA" w:rsidRPr="00E354EC" w:rsidTr="00A96A71">
        <w:tc>
          <w:tcPr>
            <w:tcW w:w="2785" w:type="dxa"/>
            <w:noWrap/>
            <w:tcMar>
              <w:left w:w="115" w:type="dxa"/>
              <w:right w:w="0" w:type="dxa"/>
            </w:tcMar>
            <w:hideMark/>
          </w:tcPr>
          <w:p w:rsidR="00EB56BA" w:rsidRPr="00E354EC" w:rsidRDefault="005A1B44" w:rsidP="005A1B44">
            <w:pPr>
              <w:bidi/>
              <w:ind w:left="144"/>
              <w:jc w:val="left"/>
              <w:rPr>
                <w:sz w:val="20"/>
                <w:szCs w:val="20"/>
              </w:rPr>
            </w:pPr>
            <w:r w:rsidRPr="005A1B44">
              <w:rPr>
                <w:sz w:val="20"/>
                <w:szCs w:val="20"/>
                <w:rtl/>
              </w:rPr>
              <w:t>أندونيس</w:t>
            </w:r>
            <w:r>
              <w:rPr>
                <w:rFonts w:hint="cs"/>
                <w:sz w:val="20"/>
                <w:szCs w:val="20"/>
                <w:rtl/>
              </w:rPr>
              <w:t>يا</w:t>
            </w:r>
          </w:p>
        </w:tc>
        <w:tc>
          <w:tcPr>
            <w:tcW w:w="962" w:type="dxa"/>
            <w:noWrap/>
            <w:vAlign w:val="center"/>
            <w:hideMark/>
          </w:tcPr>
          <w:p w:rsidR="00EB56BA" w:rsidRPr="00E354EC" w:rsidRDefault="00EB56BA" w:rsidP="00B74F76">
            <w:pPr>
              <w:bidi/>
              <w:jc w:val="center"/>
              <w:rPr>
                <w:sz w:val="20"/>
                <w:szCs w:val="20"/>
              </w:rPr>
            </w:pPr>
            <w:r w:rsidRPr="00E354EC">
              <w:rPr>
                <w:sz w:val="20"/>
                <w:szCs w:val="20"/>
              </w:rPr>
              <w:t>X</w:t>
            </w:r>
          </w:p>
        </w:tc>
        <w:tc>
          <w:tcPr>
            <w:tcW w:w="1231" w:type="dxa"/>
            <w:noWrap/>
            <w:vAlign w:val="center"/>
            <w:hideMark/>
          </w:tcPr>
          <w:p w:rsidR="00EB56BA" w:rsidRPr="00E354EC" w:rsidRDefault="00EB56BA" w:rsidP="00B74F76">
            <w:pPr>
              <w:bidi/>
              <w:jc w:val="center"/>
              <w:rPr>
                <w:sz w:val="20"/>
                <w:szCs w:val="20"/>
              </w:rPr>
            </w:pPr>
            <w:r w:rsidRPr="00E354EC">
              <w:rPr>
                <w:sz w:val="20"/>
                <w:szCs w:val="20"/>
              </w:rPr>
              <w:t>X</w:t>
            </w:r>
          </w:p>
        </w:tc>
        <w:tc>
          <w:tcPr>
            <w:tcW w:w="929" w:type="dxa"/>
            <w:noWrap/>
            <w:vAlign w:val="center"/>
            <w:hideMark/>
          </w:tcPr>
          <w:p w:rsidR="00EB56BA" w:rsidRPr="00E354EC" w:rsidRDefault="00EB56BA" w:rsidP="00B74F76">
            <w:pPr>
              <w:bidi/>
              <w:jc w:val="center"/>
              <w:rPr>
                <w:sz w:val="20"/>
                <w:szCs w:val="20"/>
              </w:rPr>
            </w:pPr>
          </w:p>
        </w:tc>
        <w:tc>
          <w:tcPr>
            <w:tcW w:w="1266" w:type="dxa"/>
            <w:noWrap/>
            <w:vAlign w:val="center"/>
            <w:hideMark/>
          </w:tcPr>
          <w:p w:rsidR="00EB56BA" w:rsidRPr="00E354EC" w:rsidRDefault="00EB56BA" w:rsidP="00B74F76">
            <w:pPr>
              <w:bidi/>
              <w:jc w:val="center"/>
              <w:rPr>
                <w:sz w:val="20"/>
                <w:szCs w:val="20"/>
              </w:rPr>
            </w:pPr>
          </w:p>
        </w:tc>
        <w:tc>
          <w:tcPr>
            <w:tcW w:w="894" w:type="dxa"/>
            <w:noWrap/>
            <w:vAlign w:val="center"/>
            <w:hideMark/>
          </w:tcPr>
          <w:p w:rsidR="00EB56BA" w:rsidRPr="00E354EC" w:rsidRDefault="00EB56BA" w:rsidP="00B74F76">
            <w:pPr>
              <w:bidi/>
              <w:jc w:val="center"/>
              <w:rPr>
                <w:sz w:val="20"/>
                <w:szCs w:val="20"/>
              </w:rPr>
            </w:pPr>
            <w:r w:rsidRPr="00E354EC">
              <w:rPr>
                <w:sz w:val="20"/>
                <w:szCs w:val="20"/>
              </w:rPr>
              <w:t>X</w:t>
            </w:r>
          </w:p>
        </w:tc>
        <w:tc>
          <w:tcPr>
            <w:tcW w:w="1288" w:type="dxa"/>
            <w:noWrap/>
            <w:vAlign w:val="center"/>
            <w:hideMark/>
          </w:tcPr>
          <w:p w:rsidR="00EB56BA" w:rsidRPr="00E354EC" w:rsidRDefault="00EB56BA" w:rsidP="00B74F76">
            <w:pPr>
              <w:bidi/>
              <w:jc w:val="center"/>
              <w:rPr>
                <w:sz w:val="20"/>
                <w:szCs w:val="20"/>
              </w:rPr>
            </w:pPr>
            <w:r w:rsidRPr="00E354EC">
              <w:rPr>
                <w:sz w:val="20"/>
                <w:szCs w:val="20"/>
              </w:rPr>
              <w:t>X</w:t>
            </w:r>
          </w:p>
        </w:tc>
      </w:tr>
      <w:tr w:rsidR="00EB56BA" w:rsidRPr="00E354EC" w:rsidTr="00A96A71">
        <w:tc>
          <w:tcPr>
            <w:tcW w:w="2785" w:type="dxa"/>
            <w:noWrap/>
            <w:tcMar>
              <w:left w:w="115" w:type="dxa"/>
              <w:right w:w="0" w:type="dxa"/>
            </w:tcMar>
            <w:hideMark/>
          </w:tcPr>
          <w:p w:rsidR="00EB56BA" w:rsidRPr="00E354EC" w:rsidRDefault="005A1B44" w:rsidP="005A1B44">
            <w:pPr>
              <w:bidi/>
              <w:ind w:left="144"/>
              <w:jc w:val="left"/>
              <w:rPr>
                <w:sz w:val="20"/>
                <w:szCs w:val="20"/>
              </w:rPr>
            </w:pPr>
            <w:r>
              <w:rPr>
                <w:rFonts w:hint="cs"/>
                <w:sz w:val="20"/>
                <w:szCs w:val="20"/>
                <w:rtl/>
              </w:rPr>
              <w:t>جمهورية ايران الإسلامية</w:t>
            </w:r>
          </w:p>
        </w:tc>
        <w:tc>
          <w:tcPr>
            <w:tcW w:w="962" w:type="dxa"/>
            <w:noWrap/>
            <w:vAlign w:val="center"/>
            <w:hideMark/>
          </w:tcPr>
          <w:p w:rsidR="00EB56BA" w:rsidRPr="00E354EC" w:rsidRDefault="00EB56BA" w:rsidP="00B74F76">
            <w:pPr>
              <w:bidi/>
              <w:jc w:val="center"/>
              <w:rPr>
                <w:sz w:val="20"/>
                <w:szCs w:val="20"/>
              </w:rPr>
            </w:pPr>
            <w:r w:rsidRPr="00E354EC">
              <w:rPr>
                <w:sz w:val="20"/>
                <w:szCs w:val="20"/>
              </w:rPr>
              <w:t>X</w:t>
            </w:r>
          </w:p>
        </w:tc>
        <w:tc>
          <w:tcPr>
            <w:tcW w:w="1231" w:type="dxa"/>
            <w:noWrap/>
            <w:vAlign w:val="center"/>
            <w:hideMark/>
          </w:tcPr>
          <w:p w:rsidR="00EB56BA" w:rsidRPr="00E354EC" w:rsidRDefault="00EB56BA" w:rsidP="00B74F76">
            <w:pPr>
              <w:bidi/>
              <w:jc w:val="center"/>
              <w:rPr>
                <w:sz w:val="20"/>
                <w:szCs w:val="20"/>
              </w:rPr>
            </w:pPr>
            <w:r w:rsidRPr="00E354EC">
              <w:rPr>
                <w:sz w:val="20"/>
                <w:szCs w:val="20"/>
              </w:rPr>
              <w:t>X</w:t>
            </w:r>
          </w:p>
        </w:tc>
        <w:tc>
          <w:tcPr>
            <w:tcW w:w="929" w:type="dxa"/>
            <w:noWrap/>
            <w:vAlign w:val="center"/>
            <w:hideMark/>
          </w:tcPr>
          <w:p w:rsidR="00EB56BA" w:rsidRPr="00E354EC" w:rsidRDefault="00EB56BA" w:rsidP="00B74F76">
            <w:pPr>
              <w:bidi/>
              <w:jc w:val="center"/>
              <w:rPr>
                <w:sz w:val="20"/>
                <w:szCs w:val="20"/>
              </w:rPr>
            </w:pPr>
          </w:p>
        </w:tc>
        <w:tc>
          <w:tcPr>
            <w:tcW w:w="1266" w:type="dxa"/>
            <w:noWrap/>
            <w:vAlign w:val="center"/>
            <w:hideMark/>
          </w:tcPr>
          <w:p w:rsidR="00EB56BA" w:rsidRPr="00E354EC" w:rsidRDefault="00EB56BA" w:rsidP="00B74F76">
            <w:pPr>
              <w:bidi/>
              <w:jc w:val="center"/>
              <w:rPr>
                <w:sz w:val="20"/>
                <w:szCs w:val="20"/>
              </w:rPr>
            </w:pPr>
          </w:p>
        </w:tc>
        <w:tc>
          <w:tcPr>
            <w:tcW w:w="894" w:type="dxa"/>
            <w:noWrap/>
            <w:vAlign w:val="center"/>
            <w:hideMark/>
          </w:tcPr>
          <w:p w:rsidR="00EB56BA" w:rsidRPr="00E354EC" w:rsidRDefault="00EB56BA" w:rsidP="00B74F76">
            <w:pPr>
              <w:bidi/>
              <w:jc w:val="center"/>
              <w:rPr>
                <w:sz w:val="20"/>
                <w:szCs w:val="20"/>
              </w:rPr>
            </w:pPr>
            <w:r w:rsidRPr="00E354EC">
              <w:rPr>
                <w:sz w:val="20"/>
                <w:szCs w:val="20"/>
              </w:rPr>
              <w:t>X</w:t>
            </w:r>
          </w:p>
        </w:tc>
        <w:tc>
          <w:tcPr>
            <w:tcW w:w="1288" w:type="dxa"/>
            <w:noWrap/>
            <w:vAlign w:val="center"/>
            <w:hideMark/>
          </w:tcPr>
          <w:p w:rsidR="00EB56BA" w:rsidRPr="00E354EC" w:rsidRDefault="00EB56BA" w:rsidP="00B74F76">
            <w:pPr>
              <w:bidi/>
              <w:jc w:val="center"/>
              <w:rPr>
                <w:sz w:val="20"/>
                <w:szCs w:val="20"/>
              </w:rPr>
            </w:pPr>
            <w:r w:rsidRPr="00E354EC">
              <w:rPr>
                <w:sz w:val="20"/>
                <w:szCs w:val="20"/>
              </w:rPr>
              <w:t>X</w:t>
            </w:r>
          </w:p>
        </w:tc>
      </w:tr>
      <w:tr w:rsidR="00EB56BA" w:rsidRPr="00E354EC" w:rsidTr="00A96A71">
        <w:tc>
          <w:tcPr>
            <w:tcW w:w="2785" w:type="dxa"/>
            <w:noWrap/>
            <w:tcMar>
              <w:left w:w="115" w:type="dxa"/>
              <w:right w:w="0" w:type="dxa"/>
            </w:tcMar>
            <w:hideMark/>
          </w:tcPr>
          <w:p w:rsidR="00EB56BA" w:rsidRPr="00E354EC" w:rsidRDefault="005A1B44" w:rsidP="005A1B44">
            <w:pPr>
              <w:bidi/>
              <w:ind w:left="144"/>
              <w:jc w:val="left"/>
              <w:rPr>
                <w:sz w:val="20"/>
                <w:szCs w:val="20"/>
              </w:rPr>
            </w:pPr>
            <w:r>
              <w:rPr>
                <w:rFonts w:hint="cs"/>
                <w:sz w:val="20"/>
                <w:szCs w:val="20"/>
                <w:rtl/>
              </w:rPr>
              <w:t>جام</w:t>
            </w:r>
            <w:r w:rsidR="00433CD1">
              <w:rPr>
                <w:rFonts w:hint="cs"/>
                <w:sz w:val="20"/>
                <w:szCs w:val="20"/>
                <w:rtl/>
                <w:lang w:bidi="ar-AE"/>
              </w:rPr>
              <w:t>ا</w:t>
            </w:r>
            <w:r>
              <w:rPr>
                <w:rFonts w:hint="cs"/>
                <w:sz w:val="20"/>
                <w:szCs w:val="20"/>
                <w:rtl/>
              </w:rPr>
              <w:t>يكا</w:t>
            </w:r>
          </w:p>
        </w:tc>
        <w:tc>
          <w:tcPr>
            <w:tcW w:w="962" w:type="dxa"/>
            <w:noWrap/>
            <w:vAlign w:val="center"/>
            <w:hideMark/>
          </w:tcPr>
          <w:p w:rsidR="00EB56BA" w:rsidRPr="00E354EC" w:rsidRDefault="00EB56BA" w:rsidP="00B74F76">
            <w:pPr>
              <w:bidi/>
              <w:jc w:val="center"/>
              <w:rPr>
                <w:sz w:val="20"/>
                <w:szCs w:val="20"/>
              </w:rPr>
            </w:pPr>
            <w:r w:rsidRPr="00E354EC">
              <w:rPr>
                <w:sz w:val="20"/>
                <w:szCs w:val="20"/>
              </w:rPr>
              <w:t>X</w:t>
            </w:r>
          </w:p>
        </w:tc>
        <w:tc>
          <w:tcPr>
            <w:tcW w:w="1231" w:type="dxa"/>
            <w:noWrap/>
            <w:vAlign w:val="center"/>
            <w:hideMark/>
          </w:tcPr>
          <w:p w:rsidR="00EB56BA" w:rsidRPr="00E354EC" w:rsidRDefault="00EB56BA" w:rsidP="00B74F76">
            <w:pPr>
              <w:bidi/>
              <w:jc w:val="center"/>
              <w:rPr>
                <w:sz w:val="20"/>
                <w:szCs w:val="20"/>
              </w:rPr>
            </w:pPr>
          </w:p>
        </w:tc>
        <w:tc>
          <w:tcPr>
            <w:tcW w:w="929" w:type="dxa"/>
            <w:noWrap/>
            <w:vAlign w:val="center"/>
            <w:hideMark/>
          </w:tcPr>
          <w:p w:rsidR="00EB56BA" w:rsidRPr="00E354EC" w:rsidRDefault="00EB56BA" w:rsidP="00B74F76">
            <w:pPr>
              <w:bidi/>
              <w:jc w:val="center"/>
              <w:rPr>
                <w:sz w:val="20"/>
                <w:szCs w:val="20"/>
              </w:rPr>
            </w:pPr>
          </w:p>
        </w:tc>
        <w:tc>
          <w:tcPr>
            <w:tcW w:w="1266" w:type="dxa"/>
            <w:noWrap/>
            <w:vAlign w:val="center"/>
            <w:hideMark/>
          </w:tcPr>
          <w:p w:rsidR="00EB56BA" w:rsidRPr="00E354EC" w:rsidRDefault="00EB56BA" w:rsidP="00B74F76">
            <w:pPr>
              <w:bidi/>
              <w:jc w:val="center"/>
              <w:rPr>
                <w:sz w:val="20"/>
                <w:szCs w:val="20"/>
              </w:rPr>
            </w:pPr>
          </w:p>
        </w:tc>
        <w:tc>
          <w:tcPr>
            <w:tcW w:w="894" w:type="dxa"/>
            <w:noWrap/>
            <w:vAlign w:val="center"/>
            <w:hideMark/>
          </w:tcPr>
          <w:p w:rsidR="00EB56BA" w:rsidRPr="00E354EC" w:rsidRDefault="00EB56BA" w:rsidP="00B74F76">
            <w:pPr>
              <w:bidi/>
              <w:jc w:val="center"/>
              <w:rPr>
                <w:sz w:val="20"/>
                <w:szCs w:val="20"/>
              </w:rPr>
            </w:pPr>
          </w:p>
        </w:tc>
        <w:tc>
          <w:tcPr>
            <w:tcW w:w="1288" w:type="dxa"/>
            <w:noWrap/>
            <w:vAlign w:val="center"/>
            <w:hideMark/>
          </w:tcPr>
          <w:p w:rsidR="00EB56BA" w:rsidRPr="00E354EC" w:rsidRDefault="00EB56BA" w:rsidP="00B74F76">
            <w:pPr>
              <w:bidi/>
              <w:jc w:val="center"/>
              <w:rPr>
                <w:sz w:val="20"/>
                <w:szCs w:val="20"/>
              </w:rPr>
            </w:pPr>
          </w:p>
        </w:tc>
      </w:tr>
      <w:tr w:rsidR="00EB56BA" w:rsidRPr="00E354EC" w:rsidTr="00A96A71">
        <w:tc>
          <w:tcPr>
            <w:tcW w:w="2785" w:type="dxa"/>
            <w:noWrap/>
            <w:tcMar>
              <w:left w:w="115" w:type="dxa"/>
              <w:right w:w="0" w:type="dxa"/>
            </w:tcMar>
            <w:hideMark/>
          </w:tcPr>
          <w:p w:rsidR="00EB56BA" w:rsidRPr="00E354EC" w:rsidRDefault="005A1B44" w:rsidP="005A1B44">
            <w:pPr>
              <w:bidi/>
              <w:ind w:left="144"/>
              <w:jc w:val="left"/>
              <w:rPr>
                <w:sz w:val="20"/>
                <w:szCs w:val="20"/>
              </w:rPr>
            </w:pPr>
            <w:r>
              <w:rPr>
                <w:rFonts w:hint="cs"/>
                <w:sz w:val="20"/>
                <w:szCs w:val="20"/>
                <w:rtl/>
              </w:rPr>
              <w:t>الأردن</w:t>
            </w:r>
          </w:p>
        </w:tc>
        <w:tc>
          <w:tcPr>
            <w:tcW w:w="962" w:type="dxa"/>
            <w:noWrap/>
            <w:vAlign w:val="center"/>
            <w:hideMark/>
          </w:tcPr>
          <w:p w:rsidR="00EB56BA" w:rsidRPr="00E354EC" w:rsidRDefault="00EB56BA" w:rsidP="00B74F76">
            <w:pPr>
              <w:bidi/>
              <w:jc w:val="center"/>
              <w:rPr>
                <w:sz w:val="20"/>
                <w:szCs w:val="20"/>
              </w:rPr>
            </w:pPr>
            <w:r w:rsidRPr="00E354EC">
              <w:rPr>
                <w:sz w:val="20"/>
                <w:szCs w:val="20"/>
              </w:rPr>
              <w:t>X</w:t>
            </w:r>
          </w:p>
        </w:tc>
        <w:tc>
          <w:tcPr>
            <w:tcW w:w="1231" w:type="dxa"/>
            <w:noWrap/>
            <w:vAlign w:val="center"/>
            <w:hideMark/>
          </w:tcPr>
          <w:p w:rsidR="00EB56BA" w:rsidRPr="00E354EC" w:rsidRDefault="00EB56BA" w:rsidP="00B74F76">
            <w:pPr>
              <w:bidi/>
              <w:jc w:val="center"/>
              <w:rPr>
                <w:sz w:val="20"/>
                <w:szCs w:val="20"/>
              </w:rPr>
            </w:pPr>
          </w:p>
        </w:tc>
        <w:tc>
          <w:tcPr>
            <w:tcW w:w="929" w:type="dxa"/>
            <w:noWrap/>
            <w:vAlign w:val="center"/>
            <w:hideMark/>
          </w:tcPr>
          <w:p w:rsidR="00EB56BA" w:rsidRPr="00E354EC" w:rsidRDefault="00EB56BA" w:rsidP="00B74F76">
            <w:pPr>
              <w:bidi/>
              <w:jc w:val="center"/>
              <w:rPr>
                <w:sz w:val="20"/>
                <w:szCs w:val="20"/>
              </w:rPr>
            </w:pPr>
          </w:p>
        </w:tc>
        <w:tc>
          <w:tcPr>
            <w:tcW w:w="1266" w:type="dxa"/>
            <w:noWrap/>
            <w:vAlign w:val="center"/>
            <w:hideMark/>
          </w:tcPr>
          <w:p w:rsidR="00EB56BA" w:rsidRPr="00E354EC" w:rsidRDefault="00EB56BA" w:rsidP="00B74F76">
            <w:pPr>
              <w:bidi/>
              <w:jc w:val="center"/>
              <w:rPr>
                <w:sz w:val="20"/>
                <w:szCs w:val="20"/>
              </w:rPr>
            </w:pPr>
          </w:p>
        </w:tc>
        <w:tc>
          <w:tcPr>
            <w:tcW w:w="894" w:type="dxa"/>
            <w:noWrap/>
            <w:vAlign w:val="center"/>
            <w:hideMark/>
          </w:tcPr>
          <w:p w:rsidR="00EB56BA" w:rsidRPr="00E354EC" w:rsidRDefault="00EB56BA" w:rsidP="00B74F76">
            <w:pPr>
              <w:bidi/>
              <w:jc w:val="center"/>
              <w:rPr>
                <w:sz w:val="20"/>
                <w:szCs w:val="20"/>
              </w:rPr>
            </w:pPr>
          </w:p>
        </w:tc>
        <w:tc>
          <w:tcPr>
            <w:tcW w:w="1288" w:type="dxa"/>
            <w:noWrap/>
            <w:vAlign w:val="center"/>
            <w:hideMark/>
          </w:tcPr>
          <w:p w:rsidR="00EB56BA" w:rsidRPr="00E354EC" w:rsidRDefault="00EB56BA" w:rsidP="00B74F76">
            <w:pPr>
              <w:bidi/>
              <w:jc w:val="center"/>
              <w:rPr>
                <w:sz w:val="20"/>
                <w:szCs w:val="20"/>
              </w:rPr>
            </w:pPr>
          </w:p>
        </w:tc>
      </w:tr>
      <w:tr w:rsidR="00EB56BA" w:rsidRPr="00E354EC" w:rsidTr="00A96A71">
        <w:tc>
          <w:tcPr>
            <w:tcW w:w="2785" w:type="dxa"/>
            <w:noWrap/>
            <w:tcMar>
              <w:left w:w="115" w:type="dxa"/>
              <w:right w:w="0" w:type="dxa"/>
            </w:tcMar>
            <w:hideMark/>
          </w:tcPr>
          <w:p w:rsidR="00EB56BA" w:rsidRPr="00E354EC" w:rsidRDefault="005A1B44" w:rsidP="005A1B44">
            <w:pPr>
              <w:bidi/>
              <w:ind w:left="144"/>
              <w:jc w:val="left"/>
              <w:rPr>
                <w:sz w:val="20"/>
                <w:szCs w:val="20"/>
              </w:rPr>
            </w:pPr>
            <w:r>
              <w:rPr>
                <w:rFonts w:hint="cs"/>
                <w:sz w:val="20"/>
                <w:szCs w:val="20"/>
                <w:rtl/>
              </w:rPr>
              <w:t>كريباتي</w:t>
            </w:r>
          </w:p>
        </w:tc>
        <w:tc>
          <w:tcPr>
            <w:tcW w:w="962" w:type="dxa"/>
            <w:noWrap/>
            <w:vAlign w:val="center"/>
            <w:hideMark/>
          </w:tcPr>
          <w:p w:rsidR="00EB56BA" w:rsidRPr="00E354EC" w:rsidRDefault="00EB56BA" w:rsidP="00B74F76">
            <w:pPr>
              <w:bidi/>
              <w:jc w:val="center"/>
              <w:rPr>
                <w:sz w:val="20"/>
                <w:szCs w:val="20"/>
              </w:rPr>
            </w:pPr>
            <w:r w:rsidRPr="00E354EC">
              <w:rPr>
                <w:sz w:val="20"/>
                <w:szCs w:val="20"/>
              </w:rPr>
              <w:t>X</w:t>
            </w:r>
          </w:p>
        </w:tc>
        <w:tc>
          <w:tcPr>
            <w:tcW w:w="1231" w:type="dxa"/>
            <w:noWrap/>
            <w:vAlign w:val="center"/>
            <w:hideMark/>
          </w:tcPr>
          <w:p w:rsidR="00EB56BA" w:rsidRPr="00E354EC" w:rsidRDefault="00EB56BA" w:rsidP="00B74F76">
            <w:pPr>
              <w:bidi/>
              <w:jc w:val="center"/>
              <w:rPr>
                <w:sz w:val="20"/>
                <w:szCs w:val="20"/>
              </w:rPr>
            </w:pPr>
            <w:r w:rsidRPr="00E354EC">
              <w:rPr>
                <w:sz w:val="20"/>
                <w:szCs w:val="20"/>
              </w:rPr>
              <w:t>X</w:t>
            </w:r>
          </w:p>
        </w:tc>
        <w:tc>
          <w:tcPr>
            <w:tcW w:w="929" w:type="dxa"/>
            <w:noWrap/>
            <w:vAlign w:val="center"/>
            <w:hideMark/>
          </w:tcPr>
          <w:p w:rsidR="00EB56BA" w:rsidRPr="00E354EC" w:rsidRDefault="00EB56BA" w:rsidP="00B74F76">
            <w:pPr>
              <w:bidi/>
              <w:jc w:val="center"/>
              <w:rPr>
                <w:sz w:val="20"/>
                <w:szCs w:val="20"/>
              </w:rPr>
            </w:pPr>
          </w:p>
        </w:tc>
        <w:tc>
          <w:tcPr>
            <w:tcW w:w="1266" w:type="dxa"/>
            <w:noWrap/>
            <w:vAlign w:val="center"/>
            <w:hideMark/>
          </w:tcPr>
          <w:p w:rsidR="00EB56BA" w:rsidRPr="00E354EC" w:rsidRDefault="00EB56BA" w:rsidP="00B74F76">
            <w:pPr>
              <w:bidi/>
              <w:jc w:val="center"/>
              <w:rPr>
                <w:sz w:val="20"/>
                <w:szCs w:val="20"/>
              </w:rPr>
            </w:pPr>
          </w:p>
        </w:tc>
        <w:tc>
          <w:tcPr>
            <w:tcW w:w="894" w:type="dxa"/>
            <w:noWrap/>
            <w:vAlign w:val="center"/>
            <w:hideMark/>
          </w:tcPr>
          <w:p w:rsidR="00EB56BA" w:rsidRPr="00E354EC" w:rsidRDefault="00EB56BA" w:rsidP="00B74F76">
            <w:pPr>
              <w:bidi/>
              <w:jc w:val="center"/>
              <w:rPr>
                <w:sz w:val="20"/>
                <w:szCs w:val="20"/>
              </w:rPr>
            </w:pPr>
            <w:r w:rsidRPr="00E354EC">
              <w:rPr>
                <w:sz w:val="20"/>
                <w:szCs w:val="20"/>
              </w:rPr>
              <w:t>X</w:t>
            </w:r>
          </w:p>
        </w:tc>
        <w:tc>
          <w:tcPr>
            <w:tcW w:w="1288" w:type="dxa"/>
            <w:noWrap/>
            <w:vAlign w:val="center"/>
            <w:hideMark/>
          </w:tcPr>
          <w:p w:rsidR="00EB56BA" w:rsidRPr="00E354EC" w:rsidRDefault="00EB56BA" w:rsidP="00B74F76">
            <w:pPr>
              <w:bidi/>
              <w:jc w:val="center"/>
              <w:rPr>
                <w:sz w:val="20"/>
                <w:szCs w:val="20"/>
              </w:rPr>
            </w:pPr>
            <w:r w:rsidRPr="00E354EC">
              <w:rPr>
                <w:sz w:val="20"/>
                <w:szCs w:val="20"/>
              </w:rPr>
              <w:t>X</w:t>
            </w:r>
          </w:p>
        </w:tc>
      </w:tr>
      <w:tr w:rsidR="00EB56BA" w:rsidRPr="00E354EC" w:rsidTr="00A96A71">
        <w:tc>
          <w:tcPr>
            <w:tcW w:w="2785" w:type="dxa"/>
            <w:noWrap/>
            <w:tcMar>
              <w:left w:w="115" w:type="dxa"/>
              <w:right w:w="0" w:type="dxa"/>
            </w:tcMar>
            <w:hideMark/>
          </w:tcPr>
          <w:p w:rsidR="00EB56BA" w:rsidRPr="00E354EC" w:rsidRDefault="005A1B44" w:rsidP="005A1B44">
            <w:pPr>
              <w:bidi/>
              <w:ind w:left="144"/>
              <w:jc w:val="left"/>
              <w:rPr>
                <w:sz w:val="20"/>
                <w:szCs w:val="20"/>
              </w:rPr>
            </w:pPr>
            <w:r>
              <w:rPr>
                <w:rFonts w:hint="cs"/>
                <w:sz w:val="20"/>
                <w:szCs w:val="20"/>
                <w:rtl/>
              </w:rPr>
              <w:t>ماليزيا</w:t>
            </w:r>
          </w:p>
        </w:tc>
        <w:tc>
          <w:tcPr>
            <w:tcW w:w="962" w:type="dxa"/>
            <w:noWrap/>
            <w:vAlign w:val="center"/>
            <w:hideMark/>
          </w:tcPr>
          <w:p w:rsidR="00EB56BA" w:rsidRPr="00E354EC" w:rsidRDefault="00EB56BA" w:rsidP="00B74F76">
            <w:pPr>
              <w:bidi/>
              <w:jc w:val="center"/>
              <w:rPr>
                <w:sz w:val="20"/>
                <w:szCs w:val="20"/>
              </w:rPr>
            </w:pPr>
            <w:r w:rsidRPr="00E354EC">
              <w:rPr>
                <w:sz w:val="20"/>
                <w:szCs w:val="20"/>
              </w:rPr>
              <w:t>X</w:t>
            </w:r>
          </w:p>
        </w:tc>
        <w:tc>
          <w:tcPr>
            <w:tcW w:w="1231" w:type="dxa"/>
            <w:noWrap/>
            <w:vAlign w:val="center"/>
            <w:hideMark/>
          </w:tcPr>
          <w:p w:rsidR="00EB56BA" w:rsidRPr="00E354EC" w:rsidRDefault="00EB56BA" w:rsidP="00B74F76">
            <w:pPr>
              <w:bidi/>
              <w:jc w:val="center"/>
              <w:rPr>
                <w:sz w:val="20"/>
                <w:szCs w:val="20"/>
              </w:rPr>
            </w:pPr>
            <w:r w:rsidRPr="00E354EC">
              <w:rPr>
                <w:sz w:val="20"/>
                <w:szCs w:val="20"/>
              </w:rPr>
              <w:t>X</w:t>
            </w:r>
          </w:p>
        </w:tc>
        <w:tc>
          <w:tcPr>
            <w:tcW w:w="929" w:type="dxa"/>
            <w:noWrap/>
            <w:vAlign w:val="center"/>
            <w:hideMark/>
          </w:tcPr>
          <w:p w:rsidR="00EB56BA" w:rsidRPr="00E354EC" w:rsidRDefault="00EB56BA" w:rsidP="00B74F76">
            <w:pPr>
              <w:bidi/>
              <w:jc w:val="center"/>
              <w:rPr>
                <w:sz w:val="20"/>
                <w:szCs w:val="20"/>
              </w:rPr>
            </w:pPr>
          </w:p>
        </w:tc>
        <w:tc>
          <w:tcPr>
            <w:tcW w:w="1266" w:type="dxa"/>
            <w:noWrap/>
            <w:vAlign w:val="center"/>
            <w:hideMark/>
          </w:tcPr>
          <w:p w:rsidR="00EB56BA" w:rsidRPr="00E354EC" w:rsidRDefault="00EB56BA" w:rsidP="00B74F76">
            <w:pPr>
              <w:bidi/>
              <w:jc w:val="center"/>
              <w:rPr>
                <w:sz w:val="20"/>
                <w:szCs w:val="20"/>
              </w:rPr>
            </w:pPr>
            <w:r w:rsidRPr="00E354EC">
              <w:rPr>
                <w:sz w:val="20"/>
                <w:szCs w:val="20"/>
              </w:rPr>
              <w:t>X</w:t>
            </w:r>
          </w:p>
        </w:tc>
        <w:tc>
          <w:tcPr>
            <w:tcW w:w="894" w:type="dxa"/>
            <w:noWrap/>
            <w:vAlign w:val="center"/>
            <w:hideMark/>
          </w:tcPr>
          <w:p w:rsidR="00EB56BA" w:rsidRPr="00E354EC" w:rsidRDefault="00EB56BA" w:rsidP="00B74F76">
            <w:pPr>
              <w:bidi/>
              <w:jc w:val="center"/>
              <w:rPr>
                <w:sz w:val="20"/>
                <w:szCs w:val="20"/>
              </w:rPr>
            </w:pPr>
            <w:r w:rsidRPr="00E354EC">
              <w:rPr>
                <w:sz w:val="20"/>
                <w:szCs w:val="20"/>
              </w:rPr>
              <w:t>X</w:t>
            </w:r>
          </w:p>
        </w:tc>
        <w:tc>
          <w:tcPr>
            <w:tcW w:w="1288" w:type="dxa"/>
            <w:noWrap/>
            <w:vAlign w:val="center"/>
            <w:hideMark/>
          </w:tcPr>
          <w:p w:rsidR="00EB56BA" w:rsidRPr="00E354EC" w:rsidRDefault="00EB56BA" w:rsidP="00B74F76">
            <w:pPr>
              <w:bidi/>
              <w:jc w:val="center"/>
              <w:rPr>
                <w:sz w:val="20"/>
                <w:szCs w:val="20"/>
              </w:rPr>
            </w:pPr>
            <w:r w:rsidRPr="00E354EC">
              <w:rPr>
                <w:sz w:val="20"/>
                <w:szCs w:val="20"/>
              </w:rPr>
              <w:t>X</w:t>
            </w:r>
          </w:p>
        </w:tc>
      </w:tr>
      <w:tr w:rsidR="00EB56BA" w:rsidRPr="00E354EC" w:rsidTr="00A96A71">
        <w:tc>
          <w:tcPr>
            <w:tcW w:w="2785" w:type="dxa"/>
            <w:noWrap/>
            <w:tcMar>
              <w:left w:w="115" w:type="dxa"/>
              <w:right w:w="0" w:type="dxa"/>
            </w:tcMar>
            <w:hideMark/>
          </w:tcPr>
          <w:p w:rsidR="00EB56BA" w:rsidRPr="00E354EC" w:rsidRDefault="005A1B44" w:rsidP="005A1B44">
            <w:pPr>
              <w:bidi/>
              <w:ind w:left="144"/>
              <w:jc w:val="left"/>
              <w:rPr>
                <w:sz w:val="20"/>
                <w:szCs w:val="20"/>
              </w:rPr>
            </w:pPr>
            <w:r>
              <w:rPr>
                <w:rFonts w:hint="cs"/>
                <w:sz w:val="20"/>
                <w:szCs w:val="20"/>
                <w:rtl/>
              </w:rPr>
              <w:t>المكسيك</w:t>
            </w:r>
          </w:p>
        </w:tc>
        <w:tc>
          <w:tcPr>
            <w:tcW w:w="962" w:type="dxa"/>
            <w:noWrap/>
            <w:vAlign w:val="center"/>
            <w:hideMark/>
          </w:tcPr>
          <w:p w:rsidR="00EB56BA" w:rsidRPr="00E354EC" w:rsidRDefault="00EB56BA" w:rsidP="00B74F76">
            <w:pPr>
              <w:bidi/>
              <w:jc w:val="center"/>
              <w:rPr>
                <w:sz w:val="20"/>
                <w:szCs w:val="20"/>
              </w:rPr>
            </w:pPr>
            <w:r w:rsidRPr="00E354EC">
              <w:rPr>
                <w:sz w:val="20"/>
                <w:szCs w:val="20"/>
              </w:rPr>
              <w:t>X</w:t>
            </w:r>
          </w:p>
        </w:tc>
        <w:tc>
          <w:tcPr>
            <w:tcW w:w="1231" w:type="dxa"/>
            <w:noWrap/>
            <w:vAlign w:val="center"/>
            <w:hideMark/>
          </w:tcPr>
          <w:p w:rsidR="00EB56BA" w:rsidRPr="00E354EC" w:rsidRDefault="00EB56BA" w:rsidP="00B74F76">
            <w:pPr>
              <w:bidi/>
              <w:jc w:val="center"/>
              <w:rPr>
                <w:sz w:val="20"/>
                <w:szCs w:val="20"/>
              </w:rPr>
            </w:pPr>
            <w:r w:rsidRPr="00E354EC">
              <w:rPr>
                <w:sz w:val="20"/>
                <w:szCs w:val="20"/>
              </w:rPr>
              <w:t>X</w:t>
            </w:r>
          </w:p>
        </w:tc>
        <w:tc>
          <w:tcPr>
            <w:tcW w:w="929" w:type="dxa"/>
            <w:noWrap/>
            <w:vAlign w:val="center"/>
            <w:hideMark/>
          </w:tcPr>
          <w:p w:rsidR="00EB56BA" w:rsidRPr="00E354EC" w:rsidRDefault="00EB56BA" w:rsidP="00B74F76">
            <w:pPr>
              <w:bidi/>
              <w:jc w:val="center"/>
              <w:rPr>
                <w:sz w:val="20"/>
                <w:szCs w:val="20"/>
              </w:rPr>
            </w:pPr>
            <w:r w:rsidRPr="00E354EC">
              <w:rPr>
                <w:sz w:val="20"/>
                <w:szCs w:val="20"/>
              </w:rPr>
              <w:t>X</w:t>
            </w:r>
          </w:p>
        </w:tc>
        <w:tc>
          <w:tcPr>
            <w:tcW w:w="1266" w:type="dxa"/>
            <w:noWrap/>
            <w:vAlign w:val="center"/>
            <w:hideMark/>
          </w:tcPr>
          <w:p w:rsidR="00EB56BA" w:rsidRPr="00E354EC" w:rsidRDefault="00EB56BA" w:rsidP="00B74F76">
            <w:pPr>
              <w:bidi/>
              <w:jc w:val="center"/>
              <w:rPr>
                <w:sz w:val="20"/>
                <w:szCs w:val="20"/>
              </w:rPr>
            </w:pPr>
            <w:r w:rsidRPr="00E354EC">
              <w:rPr>
                <w:sz w:val="20"/>
                <w:szCs w:val="20"/>
              </w:rPr>
              <w:t>X</w:t>
            </w:r>
          </w:p>
        </w:tc>
        <w:tc>
          <w:tcPr>
            <w:tcW w:w="894" w:type="dxa"/>
            <w:noWrap/>
            <w:vAlign w:val="center"/>
            <w:hideMark/>
          </w:tcPr>
          <w:p w:rsidR="00EB56BA" w:rsidRPr="00E354EC" w:rsidRDefault="00EB56BA" w:rsidP="00B74F76">
            <w:pPr>
              <w:bidi/>
              <w:jc w:val="center"/>
              <w:rPr>
                <w:sz w:val="20"/>
                <w:szCs w:val="20"/>
              </w:rPr>
            </w:pPr>
            <w:r w:rsidRPr="00E354EC">
              <w:rPr>
                <w:sz w:val="20"/>
                <w:szCs w:val="20"/>
              </w:rPr>
              <w:t>X</w:t>
            </w:r>
          </w:p>
        </w:tc>
        <w:tc>
          <w:tcPr>
            <w:tcW w:w="1288" w:type="dxa"/>
            <w:noWrap/>
            <w:vAlign w:val="center"/>
            <w:hideMark/>
          </w:tcPr>
          <w:p w:rsidR="00EB56BA" w:rsidRPr="00E354EC" w:rsidRDefault="00EB56BA" w:rsidP="00B74F76">
            <w:pPr>
              <w:bidi/>
              <w:jc w:val="center"/>
              <w:rPr>
                <w:sz w:val="20"/>
                <w:szCs w:val="20"/>
              </w:rPr>
            </w:pPr>
            <w:r w:rsidRPr="00E354EC">
              <w:rPr>
                <w:sz w:val="20"/>
                <w:szCs w:val="20"/>
              </w:rPr>
              <w:t>X</w:t>
            </w:r>
          </w:p>
        </w:tc>
      </w:tr>
      <w:tr w:rsidR="00EB56BA" w:rsidRPr="00E354EC" w:rsidTr="00A96A71">
        <w:tc>
          <w:tcPr>
            <w:tcW w:w="2785" w:type="dxa"/>
            <w:noWrap/>
            <w:tcMar>
              <w:left w:w="115" w:type="dxa"/>
              <w:right w:w="0" w:type="dxa"/>
            </w:tcMar>
            <w:hideMark/>
          </w:tcPr>
          <w:p w:rsidR="00EB56BA" w:rsidRPr="00E354EC" w:rsidRDefault="005A1B44" w:rsidP="005A1B44">
            <w:pPr>
              <w:bidi/>
              <w:ind w:left="144"/>
              <w:jc w:val="left"/>
              <w:rPr>
                <w:sz w:val="20"/>
                <w:szCs w:val="20"/>
              </w:rPr>
            </w:pPr>
            <w:r>
              <w:rPr>
                <w:rFonts w:hint="cs"/>
                <w:sz w:val="20"/>
                <w:szCs w:val="20"/>
                <w:rtl/>
              </w:rPr>
              <w:t>نيكاراغو</w:t>
            </w:r>
            <w:r w:rsidR="00433CD1">
              <w:rPr>
                <w:rFonts w:hint="cs"/>
                <w:sz w:val="20"/>
                <w:szCs w:val="20"/>
                <w:rtl/>
              </w:rPr>
              <w:t>ا</w:t>
            </w:r>
          </w:p>
        </w:tc>
        <w:tc>
          <w:tcPr>
            <w:tcW w:w="962" w:type="dxa"/>
            <w:noWrap/>
            <w:vAlign w:val="center"/>
            <w:hideMark/>
          </w:tcPr>
          <w:p w:rsidR="00EB56BA" w:rsidRPr="00E354EC" w:rsidRDefault="00EB56BA" w:rsidP="00B74F76">
            <w:pPr>
              <w:bidi/>
              <w:jc w:val="center"/>
              <w:rPr>
                <w:sz w:val="20"/>
                <w:szCs w:val="20"/>
              </w:rPr>
            </w:pPr>
            <w:r w:rsidRPr="00E354EC">
              <w:rPr>
                <w:sz w:val="20"/>
                <w:szCs w:val="20"/>
              </w:rPr>
              <w:t>X</w:t>
            </w:r>
          </w:p>
        </w:tc>
        <w:tc>
          <w:tcPr>
            <w:tcW w:w="1231" w:type="dxa"/>
            <w:noWrap/>
            <w:vAlign w:val="center"/>
            <w:hideMark/>
          </w:tcPr>
          <w:p w:rsidR="00EB56BA" w:rsidRPr="00E354EC" w:rsidRDefault="00EB56BA" w:rsidP="00B74F76">
            <w:pPr>
              <w:bidi/>
              <w:jc w:val="center"/>
              <w:rPr>
                <w:sz w:val="20"/>
                <w:szCs w:val="20"/>
              </w:rPr>
            </w:pPr>
          </w:p>
        </w:tc>
        <w:tc>
          <w:tcPr>
            <w:tcW w:w="929" w:type="dxa"/>
            <w:noWrap/>
            <w:vAlign w:val="center"/>
            <w:hideMark/>
          </w:tcPr>
          <w:p w:rsidR="00EB56BA" w:rsidRPr="00E354EC" w:rsidRDefault="00EB56BA" w:rsidP="00B74F76">
            <w:pPr>
              <w:bidi/>
              <w:jc w:val="center"/>
              <w:rPr>
                <w:sz w:val="20"/>
                <w:szCs w:val="20"/>
              </w:rPr>
            </w:pPr>
          </w:p>
        </w:tc>
        <w:tc>
          <w:tcPr>
            <w:tcW w:w="1266" w:type="dxa"/>
            <w:noWrap/>
            <w:vAlign w:val="center"/>
            <w:hideMark/>
          </w:tcPr>
          <w:p w:rsidR="00EB56BA" w:rsidRPr="00E354EC" w:rsidRDefault="00EB56BA" w:rsidP="00B74F76">
            <w:pPr>
              <w:bidi/>
              <w:jc w:val="center"/>
              <w:rPr>
                <w:sz w:val="20"/>
                <w:szCs w:val="20"/>
              </w:rPr>
            </w:pPr>
          </w:p>
        </w:tc>
        <w:tc>
          <w:tcPr>
            <w:tcW w:w="894" w:type="dxa"/>
            <w:noWrap/>
            <w:vAlign w:val="center"/>
            <w:hideMark/>
          </w:tcPr>
          <w:p w:rsidR="00EB56BA" w:rsidRPr="00E354EC" w:rsidRDefault="00EB56BA" w:rsidP="00B74F76">
            <w:pPr>
              <w:bidi/>
              <w:jc w:val="center"/>
              <w:rPr>
                <w:sz w:val="20"/>
                <w:szCs w:val="20"/>
              </w:rPr>
            </w:pPr>
          </w:p>
        </w:tc>
        <w:tc>
          <w:tcPr>
            <w:tcW w:w="1288" w:type="dxa"/>
            <w:noWrap/>
            <w:vAlign w:val="center"/>
            <w:hideMark/>
          </w:tcPr>
          <w:p w:rsidR="00EB56BA" w:rsidRPr="00E354EC" w:rsidRDefault="00EB56BA" w:rsidP="00B74F76">
            <w:pPr>
              <w:bidi/>
              <w:jc w:val="center"/>
              <w:rPr>
                <w:sz w:val="20"/>
                <w:szCs w:val="20"/>
              </w:rPr>
            </w:pPr>
          </w:p>
        </w:tc>
      </w:tr>
      <w:tr w:rsidR="00EB56BA" w:rsidRPr="00E354EC" w:rsidTr="00A96A71">
        <w:tc>
          <w:tcPr>
            <w:tcW w:w="2785" w:type="dxa"/>
            <w:noWrap/>
            <w:tcMar>
              <w:left w:w="115" w:type="dxa"/>
              <w:right w:w="0" w:type="dxa"/>
            </w:tcMar>
            <w:hideMark/>
          </w:tcPr>
          <w:p w:rsidR="00EB56BA" w:rsidRPr="00E354EC" w:rsidRDefault="005A1B44" w:rsidP="005A1B44">
            <w:pPr>
              <w:bidi/>
              <w:ind w:left="144"/>
              <w:jc w:val="left"/>
              <w:rPr>
                <w:sz w:val="20"/>
                <w:szCs w:val="20"/>
              </w:rPr>
            </w:pPr>
            <w:r>
              <w:rPr>
                <w:rFonts w:hint="cs"/>
                <w:sz w:val="20"/>
                <w:szCs w:val="20"/>
                <w:rtl/>
              </w:rPr>
              <w:t>باكستان</w:t>
            </w:r>
          </w:p>
        </w:tc>
        <w:tc>
          <w:tcPr>
            <w:tcW w:w="962" w:type="dxa"/>
            <w:noWrap/>
            <w:vAlign w:val="center"/>
            <w:hideMark/>
          </w:tcPr>
          <w:p w:rsidR="00EB56BA" w:rsidRPr="00E354EC" w:rsidRDefault="00EB56BA" w:rsidP="00B74F76">
            <w:pPr>
              <w:bidi/>
              <w:jc w:val="center"/>
              <w:rPr>
                <w:sz w:val="20"/>
                <w:szCs w:val="20"/>
              </w:rPr>
            </w:pPr>
          </w:p>
        </w:tc>
        <w:tc>
          <w:tcPr>
            <w:tcW w:w="1231" w:type="dxa"/>
            <w:noWrap/>
            <w:vAlign w:val="center"/>
            <w:hideMark/>
          </w:tcPr>
          <w:p w:rsidR="00EB56BA" w:rsidRPr="00E354EC" w:rsidRDefault="00EB56BA" w:rsidP="00B74F76">
            <w:pPr>
              <w:bidi/>
              <w:jc w:val="center"/>
              <w:rPr>
                <w:sz w:val="20"/>
                <w:szCs w:val="20"/>
              </w:rPr>
            </w:pPr>
            <w:r w:rsidRPr="00E354EC">
              <w:rPr>
                <w:sz w:val="20"/>
                <w:szCs w:val="20"/>
              </w:rPr>
              <w:t>X</w:t>
            </w:r>
          </w:p>
        </w:tc>
        <w:tc>
          <w:tcPr>
            <w:tcW w:w="929" w:type="dxa"/>
            <w:noWrap/>
            <w:vAlign w:val="center"/>
            <w:hideMark/>
          </w:tcPr>
          <w:p w:rsidR="00EB56BA" w:rsidRPr="00E354EC" w:rsidRDefault="00EB56BA" w:rsidP="00B74F76">
            <w:pPr>
              <w:bidi/>
              <w:jc w:val="center"/>
              <w:rPr>
                <w:sz w:val="20"/>
                <w:szCs w:val="20"/>
              </w:rPr>
            </w:pPr>
          </w:p>
        </w:tc>
        <w:tc>
          <w:tcPr>
            <w:tcW w:w="1266" w:type="dxa"/>
            <w:noWrap/>
            <w:vAlign w:val="center"/>
            <w:hideMark/>
          </w:tcPr>
          <w:p w:rsidR="00EB56BA" w:rsidRPr="00E354EC" w:rsidRDefault="00EB56BA" w:rsidP="00B74F76">
            <w:pPr>
              <w:bidi/>
              <w:jc w:val="center"/>
              <w:rPr>
                <w:sz w:val="20"/>
                <w:szCs w:val="20"/>
              </w:rPr>
            </w:pPr>
          </w:p>
        </w:tc>
        <w:tc>
          <w:tcPr>
            <w:tcW w:w="894" w:type="dxa"/>
            <w:noWrap/>
            <w:vAlign w:val="center"/>
            <w:hideMark/>
          </w:tcPr>
          <w:p w:rsidR="00EB56BA" w:rsidRPr="00E354EC" w:rsidRDefault="00EB56BA" w:rsidP="00B74F76">
            <w:pPr>
              <w:bidi/>
              <w:jc w:val="center"/>
              <w:rPr>
                <w:sz w:val="20"/>
                <w:szCs w:val="20"/>
              </w:rPr>
            </w:pPr>
          </w:p>
        </w:tc>
        <w:tc>
          <w:tcPr>
            <w:tcW w:w="1288" w:type="dxa"/>
            <w:noWrap/>
            <w:vAlign w:val="center"/>
            <w:hideMark/>
          </w:tcPr>
          <w:p w:rsidR="00EB56BA" w:rsidRPr="00E354EC" w:rsidRDefault="00EB56BA" w:rsidP="00B74F76">
            <w:pPr>
              <w:bidi/>
              <w:jc w:val="center"/>
              <w:rPr>
                <w:sz w:val="20"/>
                <w:szCs w:val="20"/>
              </w:rPr>
            </w:pPr>
            <w:r w:rsidRPr="00E354EC">
              <w:rPr>
                <w:sz w:val="20"/>
                <w:szCs w:val="20"/>
              </w:rPr>
              <w:t>X</w:t>
            </w:r>
          </w:p>
        </w:tc>
      </w:tr>
      <w:tr w:rsidR="00EB56BA" w:rsidRPr="00E354EC" w:rsidTr="00A96A71">
        <w:tc>
          <w:tcPr>
            <w:tcW w:w="2785" w:type="dxa"/>
            <w:noWrap/>
            <w:tcMar>
              <w:left w:w="115" w:type="dxa"/>
              <w:right w:w="0" w:type="dxa"/>
            </w:tcMar>
            <w:hideMark/>
          </w:tcPr>
          <w:p w:rsidR="00EB56BA" w:rsidRPr="00E354EC" w:rsidRDefault="005A1B44" w:rsidP="005A1B44">
            <w:pPr>
              <w:bidi/>
              <w:ind w:left="144"/>
              <w:jc w:val="left"/>
              <w:rPr>
                <w:sz w:val="20"/>
                <w:szCs w:val="20"/>
              </w:rPr>
            </w:pPr>
            <w:r>
              <w:rPr>
                <w:rFonts w:hint="cs"/>
                <w:sz w:val="20"/>
                <w:szCs w:val="20"/>
                <w:rtl/>
              </w:rPr>
              <w:t>بيرو</w:t>
            </w:r>
          </w:p>
        </w:tc>
        <w:tc>
          <w:tcPr>
            <w:tcW w:w="962" w:type="dxa"/>
            <w:noWrap/>
            <w:vAlign w:val="center"/>
            <w:hideMark/>
          </w:tcPr>
          <w:p w:rsidR="00EB56BA" w:rsidRPr="00E354EC" w:rsidRDefault="00EB56BA" w:rsidP="00B74F76">
            <w:pPr>
              <w:bidi/>
              <w:jc w:val="center"/>
              <w:rPr>
                <w:sz w:val="20"/>
                <w:szCs w:val="20"/>
              </w:rPr>
            </w:pPr>
            <w:r w:rsidRPr="00E354EC">
              <w:rPr>
                <w:sz w:val="20"/>
                <w:szCs w:val="20"/>
              </w:rPr>
              <w:t>X</w:t>
            </w:r>
          </w:p>
        </w:tc>
        <w:tc>
          <w:tcPr>
            <w:tcW w:w="1231" w:type="dxa"/>
            <w:noWrap/>
            <w:vAlign w:val="center"/>
            <w:hideMark/>
          </w:tcPr>
          <w:p w:rsidR="00EB56BA" w:rsidRPr="00E354EC" w:rsidRDefault="00EB56BA" w:rsidP="00B74F76">
            <w:pPr>
              <w:bidi/>
              <w:jc w:val="center"/>
              <w:rPr>
                <w:sz w:val="20"/>
                <w:szCs w:val="20"/>
              </w:rPr>
            </w:pPr>
          </w:p>
        </w:tc>
        <w:tc>
          <w:tcPr>
            <w:tcW w:w="929" w:type="dxa"/>
            <w:noWrap/>
            <w:vAlign w:val="center"/>
            <w:hideMark/>
          </w:tcPr>
          <w:p w:rsidR="00EB56BA" w:rsidRPr="00E354EC" w:rsidRDefault="00EB56BA" w:rsidP="00B74F76">
            <w:pPr>
              <w:bidi/>
              <w:jc w:val="center"/>
              <w:rPr>
                <w:sz w:val="20"/>
                <w:szCs w:val="20"/>
              </w:rPr>
            </w:pPr>
          </w:p>
        </w:tc>
        <w:tc>
          <w:tcPr>
            <w:tcW w:w="1266" w:type="dxa"/>
            <w:noWrap/>
            <w:vAlign w:val="center"/>
            <w:hideMark/>
          </w:tcPr>
          <w:p w:rsidR="00EB56BA" w:rsidRPr="00E354EC" w:rsidRDefault="00EB56BA" w:rsidP="00B74F76">
            <w:pPr>
              <w:bidi/>
              <w:jc w:val="center"/>
              <w:rPr>
                <w:sz w:val="20"/>
                <w:szCs w:val="20"/>
              </w:rPr>
            </w:pPr>
          </w:p>
        </w:tc>
        <w:tc>
          <w:tcPr>
            <w:tcW w:w="894" w:type="dxa"/>
            <w:noWrap/>
            <w:vAlign w:val="center"/>
            <w:hideMark/>
          </w:tcPr>
          <w:p w:rsidR="00EB56BA" w:rsidRPr="00E354EC" w:rsidRDefault="00EB56BA" w:rsidP="00B74F76">
            <w:pPr>
              <w:bidi/>
              <w:jc w:val="center"/>
              <w:rPr>
                <w:sz w:val="20"/>
                <w:szCs w:val="20"/>
              </w:rPr>
            </w:pPr>
            <w:r w:rsidRPr="00E354EC">
              <w:rPr>
                <w:sz w:val="20"/>
                <w:szCs w:val="20"/>
              </w:rPr>
              <w:t>X</w:t>
            </w:r>
          </w:p>
        </w:tc>
        <w:tc>
          <w:tcPr>
            <w:tcW w:w="1288" w:type="dxa"/>
            <w:noWrap/>
            <w:vAlign w:val="center"/>
            <w:hideMark/>
          </w:tcPr>
          <w:p w:rsidR="00EB56BA" w:rsidRPr="00E354EC" w:rsidRDefault="00EB56BA" w:rsidP="00B74F76">
            <w:pPr>
              <w:bidi/>
              <w:jc w:val="center"/>
              <w:rPr>
                <w:sz w:val="20"/>
                <w:szCs w:val="20"/>
              </w:rPr>
            </w:pPr>
          </w:p>
        </w:tc>
      </w:tr>
      <w:tr w:rsidR="00EB56BA" w:rsidRPr="00E354EC" w:rsidTr="00A96A71">
        <w:tc>
          <w:tcPr>
            <w:tcW w:w="2785" w:type="dxa"/>
            <w:noWrap/>
            <w:tcMar>
              <w:left w:w="115" w:type="dxa"/>
              <w:right w:w="0" w:type="dxa"/>
            </w:tcMar>
            <w:hideMark/>
          </w:tcPr>
          <w:p w:rsidR="00EB56BA" w:rsidRPr="00E354EC" w:rsidRDefault="005A1B44" w:rsidP="005A1B44">
            <w:pPr>
              <w:bidi/>
              <w:ind w:left="144"/>
              <w:jc w:val="left"/>
              <w:rPr>
                <w:sz w:val="20"/>
                <w:szCs w:val="20"/>
              </w:rPr>
            </w:pPr>
            <w:r>
              <w:rPr>
                <w:rFonts w:hint="cs"/>
                <w:sz w:val="20"/>
                <w:szCs w:val="20"/>
                <w:rtl/>
              </w:rPr>
              <w:t>الفلبين</w:t>
            </w:r>
          </w:p>
        </w:tc>
        <w:tc>
          <w:tcPr>
            <w:tcW w:w="962" w:type="dxa"/>
            <w:noWrap/>
            <w:vAlign w:val="center"/>
            <w:hideMark/>
          </w:tcPr>
          <w:p w:rsidR="00EB56BA" w:rsidRPr="00E354EC" w:rsidRDefault="00EB56BA" w:rsidP="00B74F76">
            <w:pPr>
              <w:bidi/>
              <w:jc w:val="center"/>
              <w:rPr>
                <w:sz w:val="20"/>
                <w:szCs w:val="20"/>
              </w:rPr>
            </w:pPr>
            <w:r w:rsidRPr="00E354EC">
              <w:rPr>
                <w:sz w:val="20"/>
                <w:szCs w:val="20"/>
              </w:rPr>
              <w:t>X</w:t>
            </w:r>
          </w:p>
        </w:tc>
        <w:tc>
          <w:tcPr>
            <w:tcW w:w="1231" w:type="dxa"/>
            <w:noWrap/>
            <w:vAlign w:val="center"/>
            <w:hideMark/>
          </w:tcPr>
          <w:p w:rsidR="00EB56BA" w:rsidRPr="00E354EC" w:rsidRDefault="00EB56BA" w:rsidP="00B74F76">
            <w:pPr>
              <w:bidi/>
              <w:jc w:val="center"/>
              <w:rPr>
                <w:sz w:val="20"/>
                <w:szCs w:val="20"/>
              </w:rPr>
            </w:pPr>
            <w:r w:rsidRPr="00E354EC">
              <w:rPr>
                <w:sz w:val="20"/>
                <w:szCs w:val="20"/>
              </w:rPr>
              <w:t>X</w:t>
            </w:r>
          </w:p>
        </w:tc>
        <w:tc>
          <w:tcPr>
            <w:tcW w:w="929" w:type="dxa"/>
            <w:noWrap/>
            <w:vAlign w:val="center"/>
            <w:hideMark/>
          </w:tcPr>
          <w:p w:rsidR="00EB56BA" w:rsidRPr="00E354EC" w:rsidRDefault="00EB56BA" w:rsidP="00B74F76">
            <w:pPr>
              <w:bidi/>
              <w:jc w:val="center"/>
              <w:rPr>
                <w:sz w:val="20"/>
                <w:szCs w:val="20"/>
              </w:rPr>
            </w:pPr>
          </w:p>
        </w:tc>
        <w:tc>
          <w:tcPr>
            <w:tcW w:w="1266" w:type="dxa"/>
            <w:noWrap/>
            <w:vAlign w:val="center"/>
            <w:hideMark/>
          </w:tcPr>
          <w:p w:rsidR="00EB56BA" w:rsidRPr="00E354EC" w:rsidRDefault="00EB56BA" w:rsidP="00B74F76">
            <w:pPr>
              <w:bidi/>
              <w:jc w:val="center"/>
              <w:rPr>
                <w:sz w:val="20"/>
                <w:szCs w:val="20"/>
              </w:rPr>
            </w:pPr>
          </w:p>
        </w:tc>
        <w:tc>
          <w:tcPr>
            <w:tcW w:w="894" w:type="dxa"/>
            <w:noWrap/>
            <w:vAlign w:val="center"/>
            <w:hideMark/>
          </w:tcPr>
          <w:p w:rsidR="00EB56BA" w:rsidRPr="00E354EC" w:rsidRDefault="00EB56BA" w:rsidP="00B74F76">
            <w:pPr>
              <w:bidi/>
              <w:jc w:val="center"/>
              <w:rPr>
                <w:sz w:val="20"/>
                <w:szCs w:val="20"/>
              </w:rPr>
            </w:pPr>
          </w:p>
        </w:tc>
        <w:tc>
          <w:tcPr>
            <w:tcW w:w="1288" w:type="dxa"/>
            <w:noWrap/>
            <w:vAlign w:val="center"/>
            <w:hideMark/>
          </w:tcPr>
          <w:p w:rsidR="00EB56BA" w:rsidRPr="00E354EC" w:rsidRDefault="00EB56BA" w:rsidP="00B74F76">
            <w:pPr>
              <w:bidi/>
              <w:jc w:val="center"/>
              <w:rPr>
                <w:sz w:val="20"/>
                <w:szCs w:val="20"/>
              </w:rPr>
            </w:pPr>
            <w:r w:rsidRPr="00E354EC">
              <w:rPr>
                <w:sz w:val="20"/>
                <w:szCs w:val="20"/>
              </w:rPr>
              <w:t>X</w:t>
            </w:r>
          </w:p>
        </w:tc>
      </w:tr>
      <w:tr w:rsidR="00EB56BA" w:rsidRPr="00E354EC" w:rsidTr="00A96A71">
        <w:tc>
          <w:tcPr>
            <w:tcW w:w="2785" w:type="dxa"/>
            <w:noWrap/>
            <w:tcMar>
              <w:left w:w="115" w:type="dxa"/>
              <w:right w:w="0" w:type="dxa"/>
            </w:tcMar>
            <w:hideMark/>
          </w:tcPr>
          <w:p w:rsidR="00EB56BA" w:rsidRPr="00E354EC" w:rsidRDefault="005A1B44" w:rsidP="005A1B44">
            <w:pPr>
              <w:bidi/>
              <w:ind w:left="144"/>
              <w:jc w:val="left"/>
              <w:rPr>
                <w:sz w:val="20"/>
                <w:szCs w:val="20"/>
              </w:rPr>
            </w:pPr>
            <w:r>
              <w:rPr>
                <w:rFonts w:hint="cs"/>
                <w:sz w:val="20"/>
                <w:szCs w:val="20"/>
                <w:rtl/>
              </w:rPr>
              <w:t>سانت لوتشيا</w:t>
            </w:r>
          </w:p>
        </w:tc>
        <w:tc>
          <w:tcPr>
            <w:tcW w:w="962" w:type="dxa"/>
            <w:noWrap/>
            <w:vAlign w:val="center"/>
            <w:hideMark/>
          </w:tcPr>
          <w:p w:rsidR="00EB56BA" w:rsidRPr="00E354EC" w:rsidRDefault="00EB56BA" w:rsidP="00B74F76">
            <w:pPr>
              <w:bidi/>
              <w:jc w:val="center"/>
              <w:rPr>
                <w:sz w:val="20"/>
                <w:szCs w:val="20"/>
              </w:rPr>
            </w:pPr>
            <w:r w:rsidRPr="00E354EC">
              <w:rPr>
                <w:sz w:val="20"/>
                <w:szCs w:val="20"/>
              </w:rPr>
              <w:t>X</w:t>
            </w:r>
          </w:p>
        </w:tc>
        <w:tc>
          <w:tcPr>
            <w:tcW w:w="1231" w:type="dxa"/>
            <w:noWrap/>
            <w:vAlign w:val="center"/>
            <w:hideMark/>
          </w:tcPr>
          <w:p w:rsidR="00EB56BA" w:rsidRPr="00E354EC" w:rsidRDefault="00EB56BA" w:rsidP="00B74F76">
            <w:pPr>
              <w:bidi/>
              <w:jc w:val="center"/>
              <w:rPr>
                <w:sz w:val="20"/>
                <w:szCs w:val="20"/>
              </w:rPr>
            </w:pPr>
            <w:r w:rsidRPr="00E354EC">
              <w:rPr>
                <w:sz w:val="20"/>
                <w:szCs w:val="20"/>
              </w:rPr>
              <w:t>X</w:t>
            </w:r>
          </w:p>
        </w:tc>
        <w:tc>
          <w:tcPr>
            <w:tcW w:w="929" w:type="dxa"/>
            <w:noWrap/>
            <w:vAlign w:val="center"/>
            <w:hideMark/>
          </w:tcPr>
          <w:p w:rsidR="00EB56BA" w:rsidRPr="00E354EC" w:rsidRDefault="00EB56BA" w:rsidP="00B74F76">
            <w:pPr>
              <w:bidi/>
              <w:jc w:val="center"/>
              <w:rPr>
                <w:sz w:val="20"/>
                <w:szCs w:val="20"/>
              </w:rPr>
            </w:pPr>
          </w:p>
        </w:tc>
        <w:tc>
          <w:tcPr>
            <w:tcW w:w="1266" w:type="dxa"/>
            <w:noWrap/>
            <w:vAlign w:val="center"/>
            <w:hideMark/>
          </w:tcPr>
          <w:p w:rsidR="00EB56BA" w:rsidRPr="00E354EC" w:rsidRDefault="00EB56BA" w:rsidP="00B74F76">
            <w:pPr>
              <w:bidi/>
              <w:jc w:val="center"/>
              <w:rPr>
                <w:sz w:val="20"/>
                <w:szCs w:val="20"/>
              </w:rPr>
            </w:pPr>
          </w:p>
        </w:tc>
        <w:tc>
          <w:tcPr>
            <w:tcW w:w="894" w:type="dxa"/>
            <w:noWrap/>
            <w:vAlign w:val="center"/>
            <w:hideMark/>
          </w:tcPr>
          <w:p w:rsidR="00EB56BA" w:rsidRPr="00E354EC" w:rsidRDefault="00EB56BA" w:rsidP="00B74F76">
            <w:pPr>
              <w:bidi/>
              <w:jc w:val="center"/>
              <w:rPr>
                <w:sz w:val="20"/>
                <w:szCs w:val="20"/>
              </w:rPr>
            </w:pPr>
          </w:p>
        </w:tc>
        <w:tc>
          <w:tcPr>
            <w:tcW w:w="1288" w:type="dxa"/>
            <w:noWrap/>
            <w:vAlign w:val="center"/>
            <w:hideMark/>
          </w:tcPr>
          <w:p w:rsidR="00EB56BA" w:rsidRPr="00E354EC" w:rsidRDefault="00EB56BA" w:rsidP="00B74F76">
            <w:pPr>
              <w:bidi/>
              <w:jc w:val="center"/>
              <w:rPr>
                <w:sz w:val="20"/>
                <w:szCs w:val="20"/>
              </w:rPr>
            </w:pPr>
          </w:p>
        </w:tc>
      </w:tr>
      <w:tr w:rsidR="00EB56BA" w:rsidRPr="00E354EC" w:rsidTr="00A96A71">
        <w:tc>
          <w:tcPr>
            <w:tcW w:w="2785" w:type="dxa"/>
            <w:noWrap/>
            <w:tcMar>
              <w:left w:w="115" w:type="dxa"/>
              <w:right w:w="0" w:type="dxa"/>
            </w:tcMar>
          </w:tcPr>
          <w:p w:rsidR="00EB56BA" w:rsidRPr="00E354EC" w:rsidRDefault="005A1B44" w:rsidP="005A1B44">
            <w:pPr>
              <w:bidi/>
              <w:ind w:left="144"/>
              <w:jc w:val="left"/>
              <w:rPr>
                <w:sz w:val="20"/>
                <w:szCs w:val="20"/>
              </w:rPr>
            </w:pPr>
            <w:r>
              <w:rPr>
                <w:rFonts w:hint="cs"/>
                <w:sz w:val="20"/>
                <w:szCs w:val="20"/>
                <w:rtl/>
              </w:rPr>
              <w:t>المملكة العربية السعودية</w:t>
            </w:r>
          </w:p>
        </w:tc>
        <w:tc>
          <w:tcPr>
            <w:tcW w:w="962" w:type="dxa"/>
            <w:noWrap/>
            <w:vAlign w:val="center"/>
          </w:tcPr>
          <w:p w:rsidR="00EB56BA" w:rsidRPr="00E354EC" w:rsidRDefault="00EB56BA" w:rsidP="00B74F76">
            <w:pPr>
              <w:bidi/>
              <w:jc w:val="center"/>
              <w:rPr>
                <w:sz w:val="20"/>
                <w:szCs w:val="20"/>
              </w:rPr>
            </w:pPr>
            <w:r w:rsidRPr="00E354EC">
              <w:rPr>
                <w:sz w:val="20"/>
                <w:szCs w:val="20"/>
              </w:rPr>
              <w:t>X</w:t>
            </w:r>
          </w:p>
        </w:tc>
        <w:tc>
          <w:tcPr>
            <w:tcW w:w="1231" w:type="dxa"/>
            <w:noWrap/>
            <w:vAlign w:val="center"/>
          </w:tcPr>
          <w:p w:rsidR="00EB56BA" w:rsidRPr="00E354EC" w:rsidRDefault="00EB56BA" w:rsidP="00B74F76">
            <w:pPr>
              <w:bidi/>
              <w:jc w:val="center"/>
              <w:rPr>
                <w:sz w:val="20"/>
                <w:szCs w:val="20"/>
              </w:rPr>
            </w:pPr>
            <w:r w:rsidRPr="00E354EC">
              <w:rPr>
                <w:sz w:val="20"/>
                <w:szCs w:val="20"/>
              </w:rPr>
              <w:t>X</w:t>
            </w:r>
          </w:p>
        </w:tc>
        <w:tc>
          <w:tcPr>
            <w:tcW w:w="929" w:type="dxa"/>
            <w:noWrap/>
            <w:vAlign w:val="center"/>
          </w:tcPr>
          <w:p w:rsidR="00EB56BA" w:rsidRPr="00E354EC" w:rsidRDefault="00EB56BA" w:rsidP="00B74F76">
            <w:pPr>
              <w:bidi/>
              <w:jc w:val="center"/>
              <w:rPr>
                <w:sz w:val="20"/>
                <w:szCs w:val="20"/>
              </w:rPr>
            </w:pPr>
          </w:p>
        </w:tc>
        <w:tc>
          <w:tcPr>
            <w:tcW w:w="1266" w:type="dxa"/>
            <w:noWrap/>
            <w:vAlign w:val="center"/>
          </w:tcPr>
          <w:p w:rsidR="00EB56BA" w:rsidRPr="00E354EC" w:rsidRDefault="00EB56BA" w:rsidP="00B74F76">
            <w:pPr>
              <w:bidi/>
              <w:jc w:val="center"/>
              <w:rPr>
                <w:sz w:val="20"/>
                <w:szCs w:val="20"/>
              </w:rPr>
            </w:pPr>
          </w:p>
        </w:tc>
        <w:tc>
          <w:tcPr>
            <w:tcW w:w="894" w:type="dxa"/>
            <w:noWrap/>
            <w:vAlign w:val="center"/>
          </w:tcPr>
          <w:p w:rsidR="00EB56BA" w:rsidRPr="00E354EC" w:rsidRDefault="00EB56BA" w:rsidP="00B74F76">
            <w:pPr>
              <w:bidi/>
              <w:jc w:val="center"/>
              <w:rPr>
                <w:sz w:val="20"/>
                <w:szCs w:val="20"/>
              </w:rPr>
            </w:pPr>
          </w:p>
        </w:tc>
        <w:tc>
          <w:tcPr>
            <w:tcW w:w="1288" w:type="dxa"/>
            <w:noWrap/>
            <w:vAlign w:val="center"/>
          </w:tcPr>
          <w:p w:rsidR="00EB56BA" w:rsidRPr="00E354EC" w:rsidRDefault="00EB56BA" w:rsidP="00B74F76">
            <w:pPr>
              <w:bidi/>
              <w:jc w:val="center"/>
              <w:rPr>
                <w:sz w:val="20"/>
                <w:szCs w:val="20"/>
              </w:rPr>
            </w:pPr>
            <w:r w:rsidRPr="00E354EC">
              <w:rPr>
                <w:sz w:val="20"/>
                <w:szCs w:val="20"/>
              </w:rPr>
              <w:t>X</w:t>
            </w:r>
          </w:p>
        </w:tc>
      </w:tr>
      <w:tr w:rsidR="00EB56BA" w:rsidRPr="00E354EC" w:rsidTr="00A96A71">
        <w:tc>
          <w:tcPr>
            <w:tcW w:w="2785" w:type="dxa"/>
            <w:noWrap/>
            <w:tcMar>
              <w:left w:w="115" w:type="dxa"/>
              <w:right w:w="0" w:type="dxa"/>
            </w:tcMar>
            <w:hideMark/>
          </w:tcPr>
          <w:p w:rsidR="00EB56BA" w:rsidRPr="00E354EC" w:rsidRDefault="005A1B44" w:rsidP="005A1B44">
            <w:pPr>
              <w:bidi/>
              <w:ind w:left="144"/>
              <w:jc w:val="left"/>
              <w:rPr>
                <w:sz w:val="20"/>
                <w:szCs w:val="20"/>
              </w:rPr>
            </w:pPr>
            <w:r>
              <w:rPr>
                <w:rFonts w:hint="cs"/>
                <w:sz w:val="20"/>
                <w:szCs w:val="20"/>
                <w:rtl/>
              </w:rPr>
              <w:t>جزر سليمان</w:t>
            </w:r>
          </w:p>
        </w:tc>
        <w:tc>
          <w:tcPr>
            <w:tcW w:w="962" w:type="dxa"/>
            <w:noWrap/>
            <w:vAlign w:val="center"/>
            <w:hideMark/>
          </w:tcPr>
          <w:p w:rsidR="00EB56BA" w:rsidRPr="00E354EC" w:rsidRDefault="00EB56BA" w:rsidP="00B74F76">
            <w:pPr>
              <w:bidi/>
              <w:jc w:val="center"/>
              <w:rPr>
                <w:sz w:val="20"/>
                <w:szCs w:val="20"/>
              </w:rPr>
            </w:pPr>
            <w:r w:rsidRPr="00E354EC">
              <w:rPr>
                <w:sz w:val="20"/>
                <w:szCs w:val="20"/>
              </w:rPr>
              <w:t>X</w:t>
            </w:r>
          </w:p>
        </w:tc>
        <w:tc>
          <w:tcPr>
            <w:tcW w:w="1231" w:type="dxa"/>
            <w:noWrap/>
            <w:vAlign w:val="center"/>
            <w:hideMark/>
          </w:tcPr>
          <w:p w:rsidR="00EB56BA" w:rsidRPr="00E354EC" w:rsidRDefault="00EB56BA" w:rsidP="00B74F76">
            <w:pPr>
              <w:bidi/>
              <w:jc w:val="center"/>
              <w:rPr>
                <w:sz w:val="20"/>
                <w:szCs w:val="20"/>
              </w:rPr>
            </w:pPr>
            <w:r w:rsidRPr="00E354EC">
              <w:rPr>
                <w:sz w:val="20"/>
                <w:szCs w:val="20"/>
              </w:rPr>
              <w:t>X</w:t>
            </w:r>
          </w:p>
        </w:tc>
        <w:tc>
          <w:tcPr>
            <w:tcW w:w="929" w:type="dxa"/>
            <w:noWrap/>
            <w:vAlign w:val="center"/>
            <w:hideMark/>
          </w:tcPr>
          <w:p w:rsidR="00EB56BA" w:rsidRPr="00E354EC" w:rsidRDefault="00EB56BA" w:rsidP="00B74F76">
            <w:pPr>
              <w:bidi/>
              <w:jc w:val="center"/>
              <w:rPr>
                <w:sz w:val="20"/>
                <w:szCs w:val="20"/>
              </w:rPr>
            </w:pPr>
          </w:p>
        </w:tc>
        <w:tc>
          <w:tcPr>
            <w:tcW w:w="1266" w:type="dxa"/>
            <w:noWrap/>
            <w:vAlign w:val="center"/>
            <w:hideMark/>
          </w:tcPr>
          <w:p w:rsidR="00EB56BA" w:rsidRPr="00E354EC" w:rsidRDefault="00EB56BA" w:rsidP="00B74F76">
            <w:pPr>
              <w:bidi/>
              <w:jc w:val="center"/>
              <w:rPr>
                <w:sz w:val="20"/>
                <w:szCs w:val="20"/>
              </w:rPr>
            </w:pPr>
          </w:p>
        </w:tc>
        <w:tc>
          <w:tcPr>
            <w:tcW w:w="894" w:type="dxa"/>
            <w:noWrap/>
            <w:vAlign w:val="center"/>
            <w:hideMark/>
          </w:tcPr>
          <w:p w:rsidR="00EB56BA" w:rsidRPr="00E354EC" w:rsidRDefault="00EB56BA" w:rsidP="00B74F76">
            <w:pPr>
              <w:bidi/>
              <w:jc w:val="center"/>
              <w:rPr>
                <w:sz w:val="20"/>
                <w:szCs w:val="20"/>
              </w:rPr>
            </w:pPr>
            <w:r w:rsidRPr="00E354EC">
              <w:rPr>
                <w:sz w:val="20"/>
                <w:szCs w:val="20"/>
              </w:rPr>
              <w:t>X</w:t>
            </w:r>
          </w:p>
        </w:tc>
        <w:tc>
          <w:tcPr>
            <w:tcW w:w="1288" w:type="dxa"/>
            <w:noWrap/>
            <w:vAlign w:val="center"/>
            <w:hideMark/>
          </w:tcPr>
          <w:p w:rsidR="00EB56BA" w:rsidRPr="00E354EC" w:rsidRDefault="00EB56BA" w:rsidP="00B74F76">
            <w:pPr>
              <w:bidi/>
              <w:jc w:val="center"/>
              <w:rPr>
                <w:sz w:val="20"/>
                <w:szCs w:val="20"/>
              </w:rPr>
            </w:pPr>
            <w:r w:rsidRPr="00E354EC">
              <w:rPr>
                <w:sz w:val="20"/>
                <w:szCs w:val="20"/>
              </w:rPr>
              <w:t>X</w:t>
            </w:r>
          </w:p>
        </w:tc>
      </w:tr>
      <w:tr w:rsidR="00EB56BA" w:rsidRPr="00E354EC" w:rsidTr="00A96A71">
        <w:tc>
          <w:tcPr>
            <w:tcW w:w="2785" w:type="dxa"/>
            <w:noWrap/>
            <w:tcMar>
              <w:left w:w="115" w:type="dxa"/>
              <w:right w:w="0" w:type="dxa"/>
            </w:tcMar>
            <w:hideMark/>
          </w:tcPr>
          <w:p w:rsidR="00EB56BA" w:rsidRPr="00E354EC" w:rsidRDefault="005A1B44" w:rsidP="005A1B44">
            <w:pPr>
              <w:bidi/>
              <w:ind w:left="144"/>
              <w:jc w:val="left"/>
              <w:rPr>
                <w:sz w:val="20"/>
                <w:szCs w:val="20"/>
              </w:rPr>
            </w:pPr>
            <w:r>
              <w:rPr>
                <w:rFonts w:hint="cs"/>
                <w:sz w:val="20"/>
                <w:szCs w:val="20"/>
                <w:rtl/>
              </w:rPr>
              <w:t>جنوب أفريقيا</w:t>
            </w:r>
          </w:p>
        </w:tc>
        <w:tc>
          <w:tcPr>
            <w:tcW w:w="962" w:type="dxa"/>
            <w:noWrap/>
            <w:vAlign w:val="center"/>
            <w:hideMark/>
          </w:tcPr>
          <w:p w:rsidR="00EB56BA" w:rsidRPr="00E354EC" w:rsidRDefault="00EB56BA" w:rsidP="00B74F76">
            <w:pPr>
              <w:bidi/>
              <w:jc w:val="center"/>
              <w:rPr>
                <w:sz w:val="20"/>
                <w:szCs w:val="20"/>
              </w:rPr>
            </w:pPr>
            <w:r w:rsidRPr="00E354EC">
              <w:rPr>
                <w:sz w:val="20"/>
                <w:szCs w:val="20"/>
              </w:rPr>
              <w:t>X</w:t>
            </w:r>
          </w:p>
        </w:tc>
        <w:tc>
          <w:tcPr>
            <w:tcW w:w="1231" w:type="dxa"/>
            <w:noWrap/>
            <w:vAlign w:val="center"/>
            <w:hideMark/>
          </w:tcPr>
          <w:p w:rsidR="00EB56BA" w:rsidRPr="00E354EC" w:rsidRDefault="00EB56BA" w:rsidP="00B74F76">
            <w:pPr>
              <w:bidi/>
              <w:jc w:val="center"/>
              <w:rPr>
                <w:sz w:val="20"/>
                <w:szCs w:val="20"/>
              </w:rPr>
            </w:pPr>
          </w:p>
        </w:tc>
        <w:tc>
          <w:tcPr>
            <w:tcW w:w="929" w:type="dxa"/>
            <w:noWrap/>
            <w:vAlign w:val="center"/>
            <w:hideMark/>
          </w:tcPr>
          <w:p w:rsidR="00EB56BA" w:rsidRPr="00E354EC" w:rsidRDefault="00EB56BA" w:rsidP="00B74F76">
            <w:pPr>
              <w:bidi/>
              <w:jc w:val="center"/>
              <w:rPr>
                <w:sz w:val="20"/>
                <w:szCs w:val="20"/>
              </w:rPr>
            </w:pPr>
          </w:p>
        </w:tc>
        <w:tc>
          <w:tcPr>
            <w:tcW w:w="1266" w:type="dxa"/>
            <w:noWrap/>
            <w:vAlign w:val="center"/>
            <w:hideMark/>
          </w:tcPr>
          <w:p w:rsidR="00EB56BA" w:rsidRPr="00E354EC" w:rsidRDefault="00EB56BA" w:rsidP="00B74F76">
            <w:pPr>
              <w:bidi/>
              <w:jc w:val="center"/>
              <w:rPr>
                <w:sz w:val="20"/>
                <w:szCs w:val="20"/>
              </w:rPr>
            </w:pPr>
          </w:p>
        </w:tc>
        <w:tc>
          <w:tcPr>
            <w:tcW w:w="894" w:type="dxa"/>
            <w:noWrap/>
            <w:vAlign w:val="center"/>
            <w:hideMark/>
          </w:tcPr>
          <w:p w:rsidR="00EB56BA" w:rsidRPr="00E354EC" w:rsidRDefault="00EB56BA" w:rsidP="00B74F76">
            <w:pPr>
              <w:bidi/>
              <w:jc w:val="center"/>
              <w:rPr>
                <w:sz w:val="20"/>
                <w:szCs w:val="20"/>
              </w:rPr>
            </w:pPr>
            <w:r w:rsidRPr="00E354EC">
              <w:rPr>
                <w:sz w:val="20"/>
                <w:szCs w:val="20"/>
              </w:rPr>
              <w:t>X</w:t>
            </w:r>
          </w:p>
        </w:tc>
        <w:tc>
          <w:tcPr>
            <w:tcW w:w="1288" w:type="dxa"/>
            <w:noWrap/>
            <w:vAlign w:val="center"/>
            <w:hideMark/>
          </w:tcPr>
          <w:p w:rsidR="00EB56BA" w:rsidRPr="00E354EC" w:rsidRDefault="00EB56BA" w:rsidP="00B74F76">
            <w:pPr>
              <w:bidi/>
              <w:jc w:val="center"/>
              <w:rPr>
                <w:sz w:val="20"/>
                <w:szCs w:val="20"/>
              </w:rPr>
            </w:pPr>
            <w:r w:rsidRPr="00E354EC">
              <w:rPr>
                <w:sz w:val="20"/>
                <w:szCs w:val="20"/>
              </w:rPr>
              <w:t>X</w:t>
            </w:r>
          </w:p>
        </w:tc>
      </w:tr>
      <w:tr w:rsidR="00EB56BA" w:rsidRPr="00E354EC" w:rsidTr="00A96A71">
        <w:tc>
          <w:tcPr>
            <w:tcW w:w="2785" w:type="dxa"/>
            <w:noWrap/>
            <w:tcMar>
              <w:left w:w="115" w:type="dxa"/>
              <w:right w:w="0" w:type="dxa"/>
            </w:tcMar>
            <w:hideMark/>
          </w:tcPr>
          <w:p w:rsidR="00EB56BA" w:rsidRPr="00E354EC" w:rsidRDefault="005A1B44" w:rsidP="005A1B44">
            <w:pPr>
              <w:bidi/>
              <w:ind w:left="144"/>
              <w:jc w:val="left"/>
              <w:rPr>
                <w:sz w:val="20"/>
                <w:szCs w:val="20"/>
              </w:rPr>
            </w:pPr>
            <w:r>
              <w:rPr>
                <w:rFonts w:hint="cs"/>
                <w:sz w:val="20"/>
                <w:szCs w:val="20"/>
                <w:rtl/>
              </w:rPr>
              <w:t>تايلند</w:t>
            </w:r>
          </w:p>
        </w:tc>
        <w:tc>
          <w:tcPr>
            <w:tcW w:w="962" w:type="dxa"/>
            <w:noWrap/>
            <w:vAlign w:val="center"/>
            <w:hideMark/>
          </w:tcPr>
          <w:p w:rsidR="00EB56BA" w:rsidRPr="00E354EC" w:rsidRDefault="00EB56BA" w:rsidP="00B74F76">
            <w:pPr>
              <w:bidi/>
              <w:jc w:val="center"/>
              <w:rPr>
                <w:sz w:val="20"/>
                <w:szCs w:val="20"/>
              </w:rPr>
            </w:pPr>
            <w:r w:rsidRPr="00E354EC">
              <w:rPr>
                <w:sz w:val="20"/>
                <w:szCs w:val="20"/>
              </w:rPr>
              <w:t>X</w:t>
            </w:r>
          </w:p>
        </w:tc>
        <w:tc>
          <w:tcPr>
            <w:tcW w:w="1231" w:type="dxa"/>
            <w:noWrap/>
            <w:vAlign w:val="center"/>
            <w:hideMark/>
          </w:tcPr>
          <w:p w:rsidR="00EB56BA" w:rsidRPr="00E354EC" w:rsidRDefault="00EB56BA" w:rsidP="00B74F76">
            <w:pPr>
              <w:bidi/>
              <w:jc w:val="center"/>
              <w:rPr>
                <w:sz w:val="20"/>
                <w:szCs w:val="20"/>
              </w:rPr>
            </w:pPr>
            <w:r w:rsidRPr="00E354EC">
              <w:rPr>
                <w:sz w:val="20"/>
                <w:szCs w:val="20"/>
              </w:rPr>
              <w:t>X</w:t>
            </w:r>
          </w:p>
        </w:tc>
        <w:tc>
          <w:tcPr>
            <w:tcW w:w="929" w:type="dxa"/>
            <w:noWrap/>
            <w:vAlign w:val="center"/>
            <w:hideMark/>
          </w:tcPr>
          <w:p w:rsidR="00EB56BA" w:rsidRPr="00E354EC" w:rsidRDefault="00EB56BA" w:rsidP="00B74F76">
            <w:pPr>
              <w:bidi/>
              <w:jc w:val="center"/>
              <w:rPr>
                <w:sz w:val="20"/>
                <w:szCs w:val="20"/>
              </w:rPr>
            </w:pPr>
            <w:r w:rsidRPr="00E354EC">
              <w:rPr>
                <w:sz w:val="20"/>
                <w:szCs w:val="20"/>
              </w:rPr>
              <w:t>X</w:t>
            </w:r>
          </w:p>
        </w:tc>
        <w:tc>
          <w:tcPr>
            <w:tcW w:w="1266" w:type="dxa"/>
            <w:noWrap/>
            <w:vAlign w:val="center"/>
            <w:hideMark/>
          </w:tcPr>
          <w:p w:rsidR="00EB56BA" w:rsidRPr="00E354EC" w:rsidRDefault="00EB56BA" w:rsidP="00B74F76">
            <w:pPr>
              <w:bidi/>
              <w:jc w:val="center"/>
              <w:rPr>
                <w:sz w:val="20"/>
                <w:szCs w:val="20"/>
              </w:rPr>
            </w:pPr>
            <w:r w:rsidRPr="00E354EC">
              <w:rPr>
                <w:sz w:val="20"/>
                <w:szCs w:val="20"/>
              </w:rPr>
              <w:t>X</w:t>
            </w:r>
          </w:p>
        </w:tc>
        <w:tc>
          <w:tcPr>
            <w:tcW w:w="894" w:type="dxa"/>
            <w:noWrap/>
            <w:vAlign w:val="center"/>
            <w:hideMark/>
          </w:tcPr>
          <w:p w:rsidR="00EB56BA" w:rsidRPr="00E354EC" w:rsidRDefault="00EB56BA" w:rsidP="00B74F76">
            <w:pPr>
              <w:bidi/>
              <w:jc w:val="center"/>
              <w:rPr>
                <w:sz w:val="20"/>
                <w:szCs w:val="20"/>
              </w:rPr>
            </w:pPr>
            <w:r w:rsidRPr="00E354EC">
              <w:rPr>
                <w:sz w:val="20"/>
                <w:szCs w:val="20"/>
              </w:rPr>
              <w:t>X</w:t>
            </w:r>
          </w:p>
        </w:tc>
        <w:tc>
          <w:tcPr>
            <w:tcW w:w="1288" w:type="dxa"/>
            <w:noWrap/>
            <w:vAlign w:val="center"/>
            <w:hideMark/>
          </w:tcPr>
          <w:p w:rsidR="00EB56BA" w:rsidRPr="00E354EC" w:rsidRDefault="00EB56BA" w:rsidP="00B74F76">
            <w:pPr>
              <w:bidi/>
              <w:jc w:val="center"/>
              <w:rPr>
                <w:sz w:val="20"/>
                <w:szCs w:val="20"/>
              </w:rPr>
            </w:pPr>
            <w:r w:rsidRPr="00E354EC">
              <w:rPr>
                <w:sz w:val="20"/>
                <w:szCs w:val="20"/>
              </w:rPr>
              <w:t>X</w:t>
            </w:r>
          </w:p>
        </w:tc>
      </w:tr>
      <w:tr w:rsidR="00EB56BA" w:rsidRPr="00E354EC" w:rsidTr="00A96A71">
        <w:tc>
          <w:tcPr>
            <w:tcW w:w="2785" w:type="dxa"/>
            <w:noWrap/>
            <w:tcMar>
              <w:left w:w="115" w:type="dxa"/>
              <w:right w:w="0" w:type="dxa"/>
            </w:tcMar>
            <w:hideMark/>
          </w:tcPr>
          <w:p w:rsidR="00EB56BA" w:rsidRPr="00E354EC" w:rsidRDefault="005A1B44" w:rsidP="005A1B44">
            <w:pPr>
              <w:bidi/>
              <w:ind w:left="144"/>
              <w:jc w:val="left"/>
              <w:rPr>
                <w:sz w:val="20"/>
                <w:szCs w:val="20"/>
              </w:rPr>
            </w:pPr>
            <w:r>
              <w:rPr>
                <w:rFonts w:hint="cs"/>
                <w:sz w:val="20"/>
                <w:szCs w:val="20"/>
                <w:rtl/>
              </w:rPr>
              <w:t>تونس</w:t>
            </w:r>
          </w:p>
        </w:tc>
        <w:tc>
          <w:tcPr>
            <w:tcW w:w="962" w:type="dxa"/>
            <w:noWrap/>
            <w:vAlign w:val="center"/>
            <w:hideMark/>
          </w:tcPr>
          <w:p w:rsidR="00EB56BA" w:rsidRPr="00E354EC" w:rsidRDefault="00EB56BA" w:rsidP="00B74F76">
            <w:pPr>
              <w:bidi/>
              <w:jc w:val="center"/>
              <w:rPr>
                <w:sz w:val="20"/>
                <w:szCs w:val="20"/>
              </w:rPr>
            </w:pPr>
            <w:r w:rsidRPr="00E354EC">
              <w:rPr>
                <w:sz w:val="20"/>
                <w:szCs w:val="20"/>
              </w:rPr>
              <w:t>X</w:t>
            </w:r>
          </w:p>
        </w:tc>
        <w:tc>
          <w:tcPr>
            <w:tcW w:w="1231" w:type="dxa"/>
            <w:noWrap/>
            <w:vAlign w:val="center"/>
            <w:hideMark/>
          </w:tcPr>
          <w:p w:rsidR="00EB56BA" w:rsidRPr="00E354EC" w:rsidRDefault="00EB56BA" w:rsidP="00B74F76">
            <w:pPr>
              <w:bidi/>
              <w:jc w:val="center"/>
              <w:rPr>
                <w:sz w:val="20"/>
                <w:szCs w:val="20"/>
              </w:rPr>
            </w:pPr>
            <w:r w:rsidRPr="00E354EC">
              <w:rPr>
                <w:sz w:val="20"/>
                <w:szCs w:val="20"/>
              </w:rPr>
              <w:t>X</w:t>
            </w:r>
          </w:p>
        </w:tc>
        <w:tc>
          <w:tcPr>
            <w:tcW w:w="929" w:type="dxa"/>
            <w:noWrap/>
            <w:vAlign w:val="center"/>
            <w:hideMark/>
          </w:tcPr>
          <w:p w:rsidR="00EB56BA" w:rsidRPr="00E354EC" w:rsidRDefault="00EB56BA" w:rsidP="00B74F76">
            <w:pPr>
              <w:bidi/>
              <w:jc w:val="center"/>
              <w:rPr>
                <w:sz w:val="20"/>
                <w:szCs w:val="20"/>
              </w:rPr>
            </w:pPr>
          </w:p>
        </w:tc>
        <w:tc>
          <w:tcPr>
            <w:tcW w:w="1266" w:type="dxa"/>
            <w:noWrap/>
            <w:vAlign w:val="center"/>
            <w:hideMark/>
          </w:tcPr>
          <w:p w:rsidR="00EB56BA" w:rsidRPr="00E354EC" w:rsidRDefault="00EB56BA" w:rsidP="00B74F76">
            <w:pPr>
              <w:bidi/>
              <w:jc w:val="center"/>
              <w:rPr>
                <w:sz w:val="20"/>
                <w:szCs w:val="20"/>
              </w:rPr>
            </w:pPr>
          </w:p>
        </w:tc>
        <w:tc>
          <w:tcPr>
            <w:tcW w:w="894" w:type="dxa"/>
            <w:noWrap/>
            <w:vAlign w:val="center"/>
            <w:hideMark/>
          </w:tcPr>
          <w:p w:rsidR="00EB56BA" w:rsidRPr="00E354EC" w:rsidRDefault="00EB56BA" w:rsidP="00B74F76">
            <w:pPr>
              <w:bidi/>
              <w:jc w:val="center"/>
              <w:rPr>
                <w:sz w:val="20"/>
                <w:szCs w:val="20"/>
              </w:rPr>
            </w:pPr>
            <w:r w:rsidRPr="00E354EC">
              <w:rPr>
                <w:sz w:val="20"/>
                <w:szCs w:val="20"/>
              </w:rPr>
              <w:t>X</w:t>
            </w:r>
          </w:p>
        </w:tc>
        <w:tc>
          <w:tcPr>
            <w:tcW w:w="1288" w:type="dxa"/>
            <w:noWrap/>
            <w:vAlign w:val="center"/>
            <w:hideMark/>
          </w:tcPr>
          <w:p w:rsidR="00EB56BA" w:rsidRPr="00E354EC" w:rsidRDefault="00EB56BA" w:rsidP="00B74F76">
            <w:pPr>
              <w:bidi/>
              <w:jc w:val="center"/>
              <w:rPr>
                <w:sz w:val="20"/>
                <w:szCs w:val="20"/>
              </w:rPr>
            </w:pPr>
            <w:r w:rsidRPr="00E354EC">
              <w:rPr>
                <w:sz w:val="20"/>
                <w:szCs w:val="20"/>
              </w:rPr>
              <w:t>X</w:t>
            </w:r>
          </w:p>
        </w:tc>
      </w:tr>
      <w:tr w:rsidR="00EB56BA" w:rsidRPr="00E354EC" w:rsidTr="00A96A71">
        <w:tc>
          <w:tcPr>
            <w:tcW w:w="2785" w:type="dxa"/>
            <w:noWrap/>
            <w:tcMar>
              <w:left w:w="115" w:type="dxa"/>
              <w:right w:w="0" w:type="dxa"/>
            </w:tcMar>
            <w:hideMark/>
          </w:tcPr>
          <w:p w:rsidR="00EB56BA" w:rsidRPr="00E354EC" w:rsidRDefault="005A1B44" w:rsidP="005A1B44">
            <w:pPr>
              <w:bidi/>
              <w:ind w:left="144"/>
              <w:jc w:val="left"/>
              <w:rPr>
                <w:sz w:val="20"/>
                <w:szCs w:val="20"/>
              </w:rPr>
            </w:pPr>
            <w:r>
              <w:rPr>
                <w:rFonts w:hint="cs"/>
                <w:sz w:val="20"/>
                <w:szCs w:val="20"/>
                <w:rtl/>
              </w:rPr>
              <w:t>تركيا</w:t>
            </w:r>
          </w:p>
        </w:tc>
        <w:tc>
          <w:tcPr>
            <w:tcW w:w="962" w:type="dxa"/>
            <w:noWrap/>
            <w:vAlign w:val="center"/>
            <w:hideMark/>
          </w:tcPr>
          <w:p w:rsidR="00EB56BA" w:rsidRPr="00E354EC" w:rsidRDefault="00EB56BA" w:rsidP="00B74F76">
            <w:pPr>
              <w:bidi/>
              <w:jc w:val="center"/>
              <w:rPr>
                <w:sz w:val="20"/>
                <w:szCs w:val="20"/>
              </w:rPr>
            </w:pPr>
            <w:r w:rsidRPr="00E354EC">
              <w:rPr>
                <w:sz w:val="20"/>
                <w:szCs w:val="20"/>
              </w:rPr>
              <w:t>X</w:t>
            </w:r>
          </w:p>
        </w:tc>
        <w:tc>
          <w:tcPr>
            <w:tcW w:w="1231" w:type="dxa"/>
            <w:noWrap/>
            <w:vAlign w:val="center"/>
            <w:hideMark/>
          </w:tcPr>
          <w:p w:rsidR="00EB56BA" w:rsidRPr="00E354EC" w:rsidRDefault="00EB56BA" w:rsidP="00B74F76">
            <w:pPr>
              <w:bidi/>
              <w:jc w:val="center"/>
              <w:rPr>
                <w:sz w:val="20"/>
                <w:szCs w:val="20"/>
              </w:rPr>
            </w:pPr>
            <w:r w:rsidRPr="00E354EC">
              <w:rPr>
                <w:sz w:val="20"/>
                <w:szCs w:val="20"/>
              </w:rPr>
              <w:t>X</w:t>
            </w:r>
          </w:p>
        </w:tc>
        <w:tc>
          <w:tcPr>
            <w:tcW w:w="929" w:type="dxa"/>
            <w:noWrap/>
            <w:vAlign w:val="center"/>
            <w:hideMark/>
          </w:tcPr>
          <w:p w:rsidR="00EB56BA" w:rsidRPr="00E354EC" w:rsidRDefault="00EB56BA" w:rsidP="00B74F76">
            <w:pPr>
              <w:bidi/>
              <w:jc w:val="center"/>
              <w:rPr>
                <w:sz w:val="20"/>
                <w:szCs w:val="20"/>
              </w:rPr>
            </w:pPr>
          </w:p>
        </w:tc>
        <w:tc>
          <w:tcPr>
            <w:tcW w:w="1266" w:type="dxa"/>
            <w:noWrap/>
            <w:vAlign w:val="center"/>
            <w:hideMark/>
          </w:tcPr>
          <w:p w:rsidR="00EB56BA" w:rsidRPr="00E354EC" w:rsidRDefault="00EB56BA" w:rsidP="00B74F76">
            <w:pPr>
              <w:bidi/>
              <w:jc w:val="center"/>
              <w:rPr>
                <w:sz w:val="20"/>
                <w:szCs w:val="20"/>
              </w:rPr>
            </w:pPr>
          </w:p>
        </w:tc>
        <w:tc>
          <w:tcPr>
            <w:tcW w:w="894" w:type="dxa"/>
            <w:noWrap/>
            <w:vAlign w:val="center"/>
            <w:hideMark/>
          </w:tcPr>
          <w:p w:rsidR="00EB56BA" w:rsidRPr="00E354EC" w:rsidRDefault="00EB56BA" w:rsidP="00B74F76">
            <w:pPr>
              <w:bidi/>
              <w:jc w:val="center"/>
              <w:rPr>
                <w:sz w:val="20"/>
                <w:szCs w:val="20"/>
              </w:rPr>
            </w:pPr>
            <w:r w:rsidRPr="00E354EC">
              <w:rPr>
                <w:sz w:val="20"/>
                <w:szCs w:val="20"/>
              </w:rPr>
              <w:t>X</w:t>
            </w:r>
          </w:p>
        </w:tc>
        <w:tc>
          <w:tcPr>
            <w:tcW w:w="1288" w:type="dxa"/>
            <w:noWrap/>
            <w:vAlign w:val="center"/>
            <w:hideMark/>
          </w:tcPr>
          <w:p w:rsidR="00EB56BA" w:rsidRPr="00E354EC" w:rsidRDefault="00EB56BA" w:rsidP="00B74F76">
            <w:pPr>
              <w:bidi/>
              <w:jc w:val="center"/>
              <w:rPr>
                <w:sz w:val="20"/>
                <w:szCs w:val="20"/>
              </w:rPr>
            </w:pPr>
            <w:r w:rsidRPr="00E354EC">
              <w:rPr>
                <w:sz w:val="20"/>
                <w:szCs w:val="20"/>
              </w:rPr>
              <w:t>X</w:t>
            </w:r>
          </w:p>
        </w:tc>
      </w:tr>
      <w:tr w:rsidR="00EB56BA" w:rsidRPr="00E354EC" w:rsidTr="00A96A71">
        <w:tc>
          <w:tcPr>
            <w:tcW w:w="2785" w:type="dxa"/>
            <w:noWrap/>
            <w:tcMar>
              <w:left w:w="115" w:type="dxa"/>
              <w:right w:w="0" w:type="dxa"/>
            </w:tcMar>
            <w:hideMark/>
          </w:tcPr>
          <w:p w:rsidR="00EB56BA" w:rsidRPr="00E354EC" w:rsidRDefault="005A1B44" w:rsidP="005A1B44">
            <w:pPr>
              <w:bidi/>
              <w:ind w:left="144"/>
              <w:jc w:val="left"/>
              <w:rPr>
                <w:sz w:val="20"/>
                <w:szCs w:val="20"/>
              </w:rPr>
            </w:pPr>
            <w:r>
              <w:rPr>
                <w:rFonts w:hint="cs"/>
                <w:sz w:val="20"/>
                <w:szCs w:val="20"/>
                <w:rtl/>
              </w:rPr>
              <w:t>توفالو</w:t>
            </w:r>
          </w:p>
        </w:tc>
        <w:tc>
          <w:tcPr>
            <w:tcW w:w="962" w:type="dxa"/>
            <w:noWrap/>
            <w:vAlign w:val="center"/>
            <w:hideMark/>
          </w:tcPr>
          <w:p w:rsidR="00EB56BA" w:rsidRPr="00E354EC" w:rsidRDefault="00EB56BA" w:rsidP="00B74F76">
            <w:pPr>
              <w:bidi/>
              <w:jc w:val="center"/>
              <w:rPr>
                <w:sz w:val="20"/>
                <w:szCs w:val="20"/>
              </w:rPr>
            </w:pPr>
            <w:r w:rsidRPr="00E354EC">
              <w:rPr>
                <w:sz w:val="20"/>
                <w:szCs w:val="20"/>
              </w:rPr>
              <w:t>X</w:t>
            </w:r>
          </w:p>
        </w:tc>
        <w:tc>
          <w:tcPr>
            <w:tcW w:w="1231" w:type="dxa"/>
            <w:noWrap/>
            <w:vAlign w:val="center"/>
            <w:hideMark/>
          </w:tcPr>
          <w:p w:rsidR="00EB56BA" w:rsidRPr="00E354EC" w:rsidRDefault="00EB56BA" w:rsidP="00B74F76">
            <w:pPr>
              <w:bidi/>
              <w:jc w:val="center"/>
              <w:rPr>
                <w:sz w:val="20"/>
                <w:szCs w:val="20"/>
              </w:rPr>
            </w:pPr>
            <w:r w:rsidRPr="00E354EC">
              <w:rPr>
                <w:sz w:val="20"/>
                <w:szCs w:val="20"/>
              </w:rPr>
              <w:t>X</w:t>
            </w:r>
          </w:p>
        </w:tc>
        <w:tc>
          <w:tcPr>
            <w:tcW w:w="929" w:type="dxa"/>
            <w:noWrap/>
            <w:vAlign w:val="center"/>
            <w:hideMark/>
          </w:tcPr>
          <w:p w:rsidR="00EB56BA" w:rsidRPr="00E354EC" w:rsidRDefault="00EB56BA" w:rsidP="00B74F76">
            <w:pPr>
              <w:bidi/>
              <w:jc w:val="center"/>
              <w:rPr>
                <w:sz w:val="20"/>
                <w:szCs w:val="20"/>
              </w:rPr>
            </w:pPr>
          </w:p>
        </w:tc>
        <w:tc>
          <w:tcPr>
            <w:tcW w:w="1266" w:type="dxa"/>
            <w:noWrap/>
            <w:vAlign w:val="center"/>
            <w:hideMark/>
          </w:tcPr>
          <w:p w:rsidR="00EB56BA" w:rsidRPr="00E354EC" w:rsidRDefault="00EB56BA" w:rsidP="00B74F76">
            <w:pPr>
              <w:bidi/>
              <w:jc w:val="center"/>
              <w:rPr>
                <w:sz w:val="20"/>
                <w:szCs w:val="20"/>
              </w:rPr>
            </w:pPr>
          </w:p>
        </w:tc>
        <w:tc>
          <w:tcPr>
            <w:tcW w:w="894" w:type="dxa"/>
            <w:noWrap/>
            <w:vAlign w:val="center"/>
            <w:hideMark/>
          </w:tcPr>
          <w:p w:rsidR="00EB56BA" w:rsidRPr="00E354EC" w:rsidRDefault="00EB56BA" w:rsidP="00B74F76">
            <w:pPr>
              <w:bidi/>
              <w:jc w:val="center"/>
              <w:rPr>
                <w:sz w:val="20"/>
                <w:szCs w:val="20"/>
              </w:rPr>
            </w:pPr>
            <w:r w:rsidRPr="00E354EC">
              <w:rPr>
                <w:sz w:val="20"/>
                <w:szCs w:val="20"/>
              </w:rPr>
              <w:t>X</w:t>
            </w:r>
          </w:p>
        </w:tc>
        <w:tc>
          <w:tcPr>
            <w:tcW w:w="1288" w:type="dxa"/>
            <w:noWrap/>
            <w:vAlign w:val="center"/>
            <w:hideMark/>
          </w:tcPr>
          <w:p w:rsidR="00EB56BA" w:rsidRPr="00E354EC" w:rsidRDefault="00EB56BA" w:rsidP="00B74F76">
            <w:pPr>
              <w:bidi/>
              <w:jc w:val="center"/>
              <w:rPr>
                <w:sz w:val="20"/>
                <w:szCs w:val="20"/>
              </w:rPr>
            </w:pPr>
            <w:r w:rsidRPr="00E354EC">
              <w:rPr>
                <w:sz w:val="20"/>
                <w:szCs w:val="20"/>
              </w:rPr>
              <w:t>X</w:t>
            </w:r>
          </w:p>
        </w:tc>
      </w:tr>
      <w:tr w:rsidR="00EB56BA" w:rsidRPr="00E354EC" w:rsidTr="00A96A71">
        <w:tc>
          <w:tcPr>
            <w:tcW w:w="2785" w:type="dxa"/>
            <w:noWrap/>
            <w:tcMar>
              <w:left w:w="115" w:type="dxa"/>
              <w:right w:w="0" w:type="dxa"/>
            </w:tcMar>
            <w:hideMark/>
          </w:tcPr>
          <w:p w:rsidR="00EB56BA" w:rsidRPr="00E354EC" w:rsidRDefault="005A1B44" w:rsidP="005A1B44">
            <w:pPr>
              <w:bidi/>
              <w:ind w:left="144"/>
              <w:jc w:val="left"/>
              <w:rPr>
                <w:sz w:val="20"/>
                <w:szCs w:val="20"/>
              </w:rPr>
            </w:pPr>
            <w:r>
              <w:rPr>
                <w:rFonts w:hint="cs"/>
                <w:sz w:val="20"/>
                <w:szCs w:val="20"/>
                <w:rtl/>
              </w:rPr>
              <w:t>أوروغواي</w:t>
            </w:r>
          </w:p>
        </w:tc>
        <w:tc>
          <w:tcPr>
            <w:tcW w:w="962" w:type="dxa"/>
            <w:noWrap/>
            <w:vAlign w:val="center"/>
            <w:hideMark/>
          </w:tcPr>
          <w:p w:rsidR="00EB56BA" w:rsidRPr="00E354EC" w:rsidRDefault="00EB56BA" w:rsidP="00B74F76">
            <w:pPr>
              <w:bidi/>
              <w:jc w:val="center"/>
              <w:rPr>
                <w:sz w:val="20"/>
                <w:szCs w:val="20"/>
              </w:rPr>
            </w:pPr>
            <w:r w:rsidRPr="00E354EC">
              <w:rPr>
                <w:sz w:val="20"/>
                <w:szCs w:val="20"/>
              </w:rPr>
              <w:t>X</w:t>
            </w:r>
          </w:p>
        </w:tc>
        <w:tc>
          <w:tcPr>
            <w:tcW w:w="1231" w:type="dxa"/>
            <w:noWrap/>
            <w:vAlign w:val="center"/>
            <w:hideMark/>
          </w:tcPr>
          <w:p w:rsidR="00EB56BA" w:rsidRPr="00E354EC" w:rsidRDefault="00EB56BA" w:rsidP="00B74F76">
            <w:pPr>
              <w:bidi/>
              <w:jc w:val="center"/>
              <w:rPr>
                <w:sz w:val="20"/>
                <w:szCs w:val="20"/>
              </w:rPr>
            </w:pPr>
            <w:r w:rsidRPr="00E354EC">
              <w:rPr>
                <w:sz w:val="20"/>
                <w:szCs w:val="20"/>
              </w:rPr>
              <w:t>X</w:t>
            </w:r>
          </w:p>
        </w:tc>
        <w:tc>
          <w:tcPr>
            <w:tcW w:w="929" w:type="dxa"/>
            <w:noWrap/>
            <w:vAlign w:val="center"/>
            <w:hideMark/>
          </w:tcPr>
          <w:p w:rsidR="00EB56BA" w:rsidRPr="00E354EC" w:rsidRDefault="00EB56BA" w:rsidP="00B74F76">
            <w:pPr>
              <w:bidi/>
              <w:jc w:val="center"/>
              <w:rPr>
                <w:sz w:val="20"/>
                <w:szCs w:val="20"/>
              </w:rPr>
            </w:pPr>
          </w:p>
        </w:tc>
        <w:tc>
          <w:tcPr>
            <w:tcW w:w="1266" w:type="dxa"/>
            <w:noWrap/>
            <w:vAlign w:val="center"/>
            <w:hideMark/>
          </w:tcPr>
          <w:p w:rsidR="00EB56BA" w:rsidRPr="00E354EC" w:rsidRDefault="00EB56BA" w:rsidP="00B74F76">
            <w:pPr>
              <w:bidi/>
              <w:jc w:val="center"/>
              <w:rPr>
                <w:sz w:val="20"/>
                <w:szCs w:val="20"/>
              </w:rPr>
            </w:pPr>
          </w:p>
        </w:tc>
        <w:tc>
          <w:tcPr>
            <w:tcW w:w="894" w:type="dxa"/>
            <w:noWrap/>
            <w:vAlign w:val="center"/>
            <w:hideMark/>
          </w:tcPr>
          <w:p w:rsidR="00EB56BA" w:rsidRPr="00E354EC" w:rsidRDefault="00EB56BA" w:rsidP="00B74F76">
            <w:pPr>
              <w:bidi/>
              <w:jc w:val="center"/>
              <w:rPr>
                <w:sz w:val="20"/>
                <w:szCs w:val="20"/>
              </w:rPr>
            </w:pPr>
          </w:p>
        </w:tc>
        <w:tc>
          <w:tcPr>
            <w:tcW w:w="1288" w:type="dxa"/>
            <w:noWrap/>
            <w:vAlign w:val="center"/>
            <w:hideMark/>
          </w:tcPr>
          <w:p w:rsidR="00EB56BA" w:rsidRPr="00E354EC" w:rsidRDefault="00EB56BA" w:rsidP="00B74F76">
            <w:pPr>
              <w:bidi/>
              <w:jc w:val="center"/>
              <w:rPr>
                <w:sz w:val="20"/>
                <w:szCs w:val="20"/>
              </w:rPr>
            </w:pPr>
          </w:p>
        </w:tc>
      </w:tr>
      <w:tr w:rsidR="00EB56BA" w:rsidRPr="00E354EC" w:rsidTr="00A96A71">
        <w:tc>
          <w:tcPr>
            <w:tcW w:w="2785" w:type="dxa"/>
            <w:noWrap/>
            <w:tcMar>
              <w:left w:w="115" w:type="dxa"/>
              <w:right w:w="0" w:type="dxa"/>
            </w:tcMar>
            <w:hideMark/>
          </w:tcPr>
          <w:p w:rsidR="00EB56BA" w:rsidRPr="00E354EC" w:rsidRDefault="005A1B44" w:rsidP="005A1B44">
            <w:pPr>
              <w:bidi/>
              <w:ind w:left="144"/>
              <w:jc w:val="left"/>
              <w:rPr>
                <w:sz w:val="20"/>
                <w:szCs w:val="20"/>
              </w:rPr>
            </w:pPr>
            <w:r w:rsidRPr="005A1B44">
              <w:rPr>
                <w:sz w:val="20"/>
                <w:szCs w:val="20"/>
                <w:rtl/>
              </w:rPr>
              <w:t>جمهورية فنزويلا (البوليفارية)</w:t>
            </w:r>
          </w:p>
        </w:tc>
        <w:tc>
          <w:tcPr>
            <w:tcW w:w="962" w:type="dxa"/>
            <w:noWrap/>
            <w:vAlign w:val="center"/>
            <w:hideMark/>
          </w:tcPr>
          <w:p w:rsidR="00EB56BA" w:rsidRPr="00E354EC" w:rsidRDefault="00EB56BA" w:rsidP="00B74F76">
            <w:pPr>
              <w:bidi/>
              <w:jc w:val="center"/>
              <w:rPr>
                <w:sz w:val="20"/>
                <w:szCs w:val="20"/>
              </w:rPr>
            </w:pPr>
            <w:r w:rsidRPr="00E354EC">
              <w:rPr>
                <w:sz w:val="20"/>
                <w:szCs w:val="20"/>
              </w:rPr>
              <w:t>X</w:t>
            </w:r>
          </w:p>
        </w:tc>
        <w:tc>
          <w:tcPr>
            <w:tcW w:w="1231" w:type="dxa"/>
            <w:noWrap/>
            <w:vAlign w:val="center"/>
            <w:hideMark/>
          </w:tcPr>
          <w:p w:rsidR="00EB56BA" w:rsidRPr="00E354EC" w:rsidRDefault="00EB56BA" w:rsidP="00B74F76">
            <w:pPr>
              <w:bidi/>
              <w:jc w:val="center"/>
              <w:rPr>
                <w:sz w:val="20"/>
                <w:szCs w:val="20"/>
              </w:rPr>
            </w:pPr>
            <w:r w:rsidRPr="00E354EC">
              <w:rPr>
                <w:sz w:val="20"/>
                <w:szCs w:val="20"/>
              </w:rPr>
              <w:t>X</w:t>
            </w:r>
          </w:p>
        </w:tc>
        <w:tc>
          <w:tcPr>
            <w:tcW w:w="929" w:type="dxa"/>
            <w:noWrap/>
            <w:vAlign w:val="center"/>
            <w:hideMark/>
          </w:tcPr>
          <w:p w:rsidR="00EB56BA" w:rsidRPr="00E354EC" w:rsidRDefault="00EB56BA" w:rsidP="00B74F76">
            <w:pPr>
              <w:bidi/>
              <w:jc w:val="center"/>
              <w:rPr>
                <w:sz w:val="20"/>
                <w:szCs w:val="20"/>
              </w:rPr>
            </w:pPr>
          </w:p>
        </w:tc>
        <w:tc>
          <w:tcPr>
            <w:tcW w:w="1266" w:type="dxa"/>
            <w:noWrap/>
            <w:vAlign w:val="center"/>
            <w:hideMark/>
          </w:tcPr>
          <w:p w:rsidR="00EB56BA" w:rsidRPr="00E354EC" w:rsidRDefault="00EB56BA" w:rsidP="00B74F76">
            <w:pPr>
              <w:bidi/>
              <w:jc w:val="center"/>
              <w:rPr>
                <w:sz w:val="20"/>
                <w:szCs w:val="20"/>
              </w:rPr>
            </w:pPr>
          </w:p>
        </w:tc>
        <w:tc>
          <w:tcPr>
            <w:tcW w:w="894" w:type="dxa"/>
            <w:noWrap/>
            <w:vAlign w:val="center"/>
            <w:hideMark/>
          </w:tcPr>
          <w:p w:rsidR="00EB56BA" w:rsidRPr="00E354EC" w:rsidRDefault="00EB56BA" w:rsidP="00B74F76">
            <w:pPr>
              <w:bidi/>
              <w:jc w:val="center"/>
              <w:rPr>
                <w:sz w:val="20"/>
                <w:szCs w:val="20"/>
              </w:rPr>
            </w:pPr>
          </w:p>
        </w:tc>
        <w:tc>
          <w:tcPr>
            <w:tcW w:w="1288" w:type="dxa"/>
            <w:noWrap/>
            <w:vAlign w:val="center"/>
            <w:hideMark/>
          </w:tcPr>
          <w:p w:rsidR="00EB56BA" w:rsidRPr="00E354EC" w:rsidRDefault="00EB56BA" w:rsidP="00B74F76">
            <w:pPr>
              <w:bidi/>
              <w:jc w:val="center"/>
              <w:rPr>
                <w:sz w:val="20"/>
                <w:szCs w:val="20"/>
              </w:rPr>
            </w:pPr>
          </w:p>
        </w:tc>
      </w:tr>
      <w:tr w:rsidR="00EB56BA" w:rsidRPr="00E354EC" w:rsidTr="00A96A71">
        <w:tc>
          <w:tcPr>
            <w:tcW w:w="2785" w:type="dxa"/>
            <w:noWrap/>
            <w:tcMar>
              <w:left w:w="115" w:type="dxa"/>
              <w:right w:w="0" w:type="dxa"/>
            </w:tcMar>
            <w:hideMark/>
          </w:tcPr>
          <w:p w:rsidR="00EB56BA" w:rsidRPr="00E354EC" w:rsidRDefault="005A1B44" w:rsidP="005A1B44">
            <w:pPr>
              <w:bidi/>
              <w:ind w:left="144"/>
              <w:jc w:val="left"/>
              <w:rPr>
                <w:sz w:val="20"/>
                <w:szCs w:val="20"/>
              </w:rPr>
            </w:pPr>
            <w:r>
              <w:rPr>
                <w:rFonts w:hint="cs"/>
                <w:sz w:val="20"/>
                <w:szCs w:val="20"/>
                <w:rtl/>
              </w:rPr>
              <w:t>في</w:t>
            </w:r>
            <w:r w:rsidR="00433CD1">
              <w:rPr>
                <w:rFonts w:hint="cs"/>
                <w:sz w:val="20"/>
                <w:szCs w:val="20"/>
                <w:rtl/>
              </w:rPr>
              <w:t>ي</w:t>
            </w:r>
            <w:r>
              <w:rPr>
                <w:rFonts w:hint="cs"/>
                <w:sz w:val="20"/>
                <w:szCs w:val="20"/>
                <w:rtl/>
              </w:rPr>
              <w:t>ت نام</w:t>
            </w:r>
          </w:p>
        </w:tc>
        <w:tc>
          <w:tcPr>
            <w:tcW w:w="962" w:type="dxa"/>
            <w:noWrap/>
            <w:vAlign w:val="center"/>
            <w:hideMark/>
          </w:tcPr>
          <w:p w:rsidR="00EB56BA" w:rsidRPr="00E354EC" w:rsidRDefault="00EB56BA" w:rsidP="00B74F76">
            <w:pPr>
              <w:bidi/>
              <w:jc w:val="center"/>
              <w:rPr>
                <w:sz w:val="20"/>
                <w:szCs w:val="20"/>
              </w:rPr>
            </w:pPr>
            <w:r w:rsidRPr="00E354EC">
              <w:rPr>
                <w:sz w:val="20"/>
                <w:szCs w:val="20"/>
              </w:rPr>
              <w:t>X</w:t>
            </w:r>
          </w:p>
        </w:tc>
        <w:tc>
          <w:tcPr>
            <w:tcW w:w="1231" w:type="dxa"/>
            <w:noWrap/>
            <w:vAlign w:val="center"/>
            <w:hideMark/>
          </w:tcPr>
          <w:p w:rsidR="00EB56BA" w:rsidRPr="00E354EC" w:rsidRDefault="00EB56BA" w:rsidP="00B74F76">
            <w:pPr>
              <w:bidi/>
              <w:jc w:val="center"/>
              <w:rPr>
                <w:sz w:val="20"/>
                <w:szCs w:val="20"/>
              </w:rPr>
            </w:pPr>
            <w:r w:rsidRPr="00E354EC">
              <w:rPr>
                <w:sz w:val="20"/>
                <w:szCs w:val="20"/>
              </w:rPr>
              <w:t>X</w:t>
            </w:r>
          </w:p>
        </w:tc>
        <w:tc>
          <w:tcPr>
            <w:tcW w:w="929" w:type="dxa"/>
            <w:noWrap/>
            <w:vAlign w:val="center"/>
            <w:hideMark/>
          </w:tcPr>
          <w:p w:rsidR="00EB56BA" w:rsidRPr="00E354EC" w:rsidRDefault="00EB56BA" w:rsidP="00B74F76">
            <w:pPr>
              <w:bidi/>
              <w:jc w:val="center"/>
              <w:rPr>
                <w:sz w:val="20"/>
                <w:szCs w:val="20"/>
              </w:rPr>
            </w:pPr>
            <w:r w:rsidRPr="00E354EC">
              <w:rPr>
                <w:sz w:val="20"/>
                <w:szCs w:val="20"/>
              </w:rPr>
              <w:t>X</w:t>
            </w:r>
          </w:p>
        </w:tc>
        <w:tc>
          <w:tcPr>
            <w:tcW w:w="1266" w:type="dxa"/>
            <w:noWrap/>
            <w:vAlign w:val="center"/>
            <w:hideMark/>
          </w:tcPr>
          <w:p w:rsidR="00EB56BA" w:rsidRPr="00E354EC" w:rsidRDefault="00EB56BA" w:rsidP="00B74F76">
            <w:pPr>
              <w:bidi/>
              <w:jc w:val="center"/>
              <w:rPr>
                <w:sz w:val="20"/>
                <w:szCs w:val="20"/>
              </w:rPr>
            </w:pPr>
            <w:r w:rsidRPr="00E354EC">
              <w:rPr>
                <w:sz w:val="20"/>
                <w:szCs w:val="20"/>
              </w:rPr>
              <w:t>X</w:t>
            </w:r>
          </w:p>
        </w:tc>
        <w:tc>
          <w:tcPr>
            <w:tcW w:w="894" w:type="dxa"/>
            <w:noWrap/>
            <w:vAlign w:val="center"/>
            <w:hideMark/>
          </w:tcPr>
          <w:p w:rsidR="00EB56BA" w:rsidRPr="00E354EC" w:rsidRDefault="00EB56BA" w:rsidP="00B74F76">
            <w:pPr>
              <w:bidi/>
              <w:jc w:val="center"/>
              <w:rPr>
                <w:sz w:val="20"/>
                <w:szCs w:val="20"/>
              </w:rPr>
            </w:pPr>
          </w:p>
        </w:tc>
        <w:tc>
          <w:tcPr>
            <w:tcW w:w="1288" w:type="dxa"/>
            <w:noWrap/>
            <w:vAlign w:val="center"/>
            <w:hideMark/>
          </w:tcPr>
          <w:p w:rsidR="00EB56BA" w:rsidRPr="00E354EC" w:rsidRDefault="00EB56BA" w:rsidP="00B74F76">
            <w:pPr>
              <w:bidi/>
              <w:jc w:val="center"/>
              <w:rPr>
                <w:sz w:val="20"/>
                <w:szCs w:val="20"/>
              </w:rPr>
            </w:pPr>
            <w:r w:rsidRPr="00E354EC">
              <w:rPr>
                <w:sz w:val="20"/>
                <w:szCs w:val="20"/>
              </w:rPr>
              <w:t>X</w:t>
            </w:r>
          </w:p>
        </w:tc>
      </w:tr>
    </w:tbl>
    <w:p w:rsidR="00EB56BA" w:rsidRPr="00621392" w:rsidRDefault="00EB56BA" w:rsidP="00B74F76">
      <w:pPr>
        <w:pStyle w:val="Heading1"/>
        <w:numPr>
          <w:ilvl w:val="0"/>
          <w:numId w:val="0"/>
        </w:numPr>
        <w:bidi/>
        <w:spacing w:after="0"/>
      </w:pPr>
    </w:p>
    <w:p w:rsidR="005A1B44" w:rsidRPr="002407C3" w:rsidRDefault="005A1B44" w:rsidP="00B74F76">
      <w:pPr>
        <w:pStyle w:val="Heading1"/>
        <w:bidi/>
        <w:rPr>
          <w:sz w:val="26"/>
          <w:szCs w:val="26"/>
        </w:rPr>
      </w:pPr>
      <w:r w:rsidRPr="002407C3">
        <w:rPr>
          <w:rFonts w:hint="cs"/>
          <w:sz w:val="26"/>
          <w:szCs w:val="26"/>
          <w:rtl/>
        </w:rPr>
        <w:t>وخلال تنفيذ</w:t>
      </w:r>
      <w:r w:rsidR="00631E8E" w:rsidRPr="002407C3">
        <w:rPr>
          <w:rFonts w:hint="cs"/>
          <w:sz w:val="26"/>
          <w:szCs w:val="26"/>
          <w:rtl/>
        </w:rPr>
        <w:t xml:space="preserve"> خطة</w:t>
      </w:r>
      <w:r w:rsidR="007E1403" w:rsidRPr="002407C3">
        <w:rPr>
          <w:rFonts w:hint="cs"/>
          <w:sz w:val="26"/>
          <w:szCs w:val="26"/>
          <w:rtl/>
        </w:rPr>
        <w:t xml:space="preserve"> إدارة إزالة المواد الهيدروكلوروفلوروكربونية سعيت اللجنة التنفيذية الى إيجاد فرص لإدخال تحسينات على كفاءة استخدام الطاقة في قطاع التبريد وتكييف الهواء ومضخات الحرارة. وعلى وجه الخصوص، وافقت اللجنة على 14 مشروعا إيضاحيا تتعلق بإدخال بدائل المواد الهيدروكلوروفلوروكربونية منخفضة القدرة على الاحترار العالمي في مختلف القطاعات وكان الترويج للتحسينات على كفاءة استخدام الطاقة، والتقارير الخاصة بما تحقق من تحسينات على أداء كفاءة استخدام الطاقة من بين المعايير المستخدمة في اختيار المشروعات التي سيتم تمويلها.</w:t>
      </w:r>
    </w:p>
    <w:p w:rsidR="007E1403" w:rsidRPr="002407C3" w:rsidRDefault="001C130C" w:rsidP="00B74F76">
      <w:pPr>
        <w:pStyle w:val="Heading1"/>
        <w:bidi/>
        <w:rPr>
          <w:sz w:val="26"/>
          <w:szCs w:val="26"/>
        </w:rPr>
      </w:pPr>
      <w:r w:rsidRPr="002407C3">
        <w:rPr>
          <w:rFonts w:hint="cs"/>
          <w:sz w:val="26"/>
          <w:szCs w:val="26"/>
          <w:rtl/>
        </w:rPr>
        <w:t>وأثرت اعتبارات</w:t>
      </w:r>
      <w:r w:rsidR="00BA1D2D" w:rsidRPr="002407C3">
        <w:rPr>
          <w:rFonts w:hint="cs"/>
          <w:sz w:val="26"/>
          <w:szCs w:val="26"/>
          <w:rtl/>
        </w:rPr>
        <w:t xml:space="preserve"> كفاءة استخدام الطاقة في الموافقة على تحويل قطاع تكييف الهواء في بلدين. وتضمنت خطة إدارة إزالة المواد الهيدروكلوروفلوروكربونية للأردن شرطا بأن تتضمن خطط قطاع تكييف الهواء سياسة ونهج تقنية لتحسين كفاءة استخدام الطاقة في أجهزة تكييف الهواء المنزلية لتلافي التأثير المناخي المرتبط بإدخال تكنولوجيا </w:t>
      </w:r>
      <w:r w:rsidR="00BA1D2D" w:rsidRPr="002407C3">
        <w:rPr>
          <w:sz w:val="26"/>
          <w:szCs w:val="26"/>
        </w:rPr>
        <w:t>R-410A</w:t>
      </w:r>
      <w:r w:rsidR="00BA1D2D" w:rsidRPr="002407C3">
        <w:rPr>
          <w:rFonts w:hint="cs"/>
          <w:sz w:val="26"/>
          <w:szCs w:val="26"/>
          <w:rtl/>
        </w:rPr>
        <w:t>. وتضمنت خطة إدارة إزالة المواد الهيدروكلوروفلوروكربونية لتايلند مساعدات تقنية لدعم الترويج لاعتماد المنتجات التي تتسم بكفاءة استخدام الطاقة فيما يتجاوز تلك التي كانت جزءا من التحويل ودعم مبادرات كفاءة استخدام الطاقة في المباني.</w:t>
      </w:r>
    </w:p>
    <w:p w:rsidR="00BA1D2D" w:rsidRPr="002407C3" w:rsidRDefault="00BA1D2D" w:rsidP="00B74F76">
      <w:pPr>
        <w:pStyle w:val="Heading1"/>
        <w:bidi/>
        <w:rPr>
          <w:sz w:val="26"/>
          <w:szCs w:val="26"/>
        </w:rPr>
      </w:pPr>
      <w:r w:rsidRPr="002407C3">
        <w:rPr>
          <w:rFonts w:hint="cs"/>
          <w:sz w:val="26"/>
          <w:szCs w:val="26"/>
          <w:rtl/>
        </w:rPr>
        <w:lastRenderedPageBreak/>
        <w:t>وعلى الرغم من أن سياسات كفاءة استخدام الطاقة لا تقع ضمن اختصاصات وحدات الأوزون الوطنية، منحت اللجنة التنفيذية خلال اجتماعها الثاني والثمانين (ديسمبر/ كانون أول 2018) المرونة لأطراف المادة 5 القائمين على تنفيذ أنشطة تمكينية</w:t>
      </w:r>
      <w:r w:rsidRPr="002407C3">
        <w:rPr>
          <w:rStyle w:val="FootnoteReference"/>
          <w:sz w:val="26"/>
          <w:szCs w:val="26"/>
        </w:rPr>
        <w:footnoteReference w:id="30"/>
      </w:r>
      <w:r w:rsidRPr="002407C3">
        <w:rPr>
          <w:rFonts w:hint="cs"/>
          <w:sz w:val="26"/>
          <w:szCs w:val="26"/>
          <w:rtl/>
        </w:rPr>
        <w:t xml:space="preserve"> للاضطلاع بالأنشطة التالية باستخدام التمويل الموافق عليه بالفعل.</w:t>
      </w:r>
      <w:r w:rsidRPr="002407C3">
        <w:rPr>
          <w:rStyle w:val="FootnoteReference"/>
          <w:sz w:val="26"/>
          <w:szCs w:val="26"/>
        </w:rPr>
        <w:t xml:space="preserve"> </w:t>
      </w:r>
      <w:r w:rsidRPr="002407C3">
        <w:rPr>
          <w:rStyle w:val="FootnoteReference"/>
          <w:sz w:val="26"/>
          <w:szCs w:val="26"/>
        </w:rPr>
        <w:footnoteReference w:id="31"/>
      </w:r>
    </w:p>
    <w:p w:rsidR="00BA1D2D" w:rsidRDefault="00FE6C54" w:rsidP="00B74F76">
      <w:pPr>
        <w:pStyle w:val="Heading2"/>
        <w:bidi/>
      </w:pPr>
      <w:r>
        <w:rPr>
          <w:rFonts w:hint="cs"/>
          <w:rtl/>
        </w:rPr>
        <w:t>وضع وإنفاذ سياسات وقواعد لتجنب تغلغل أجهزة التبريد وتكييف الهواء ومضخات الحرارة الت لا تتسم بكفاءة استخدام الطاقة؛</w:t>
      </w:r>
    </w:p>
    <w:p w:rsidR="002407C3" w:rsidRPr="002407C3" w:rsidRDefault="002407C3" w:rsidP="002407C3">
      <w:pPr>
        <w:bidi/>
      </w:pPr>
    </w:p>
    <w:p w:rsidR="00FE6C54" w:rsidRPr="002407C3" w:rsidRDefault="00FE6C54" w:rsidP="00B74F76">
      <w:pPr>
        <w:pStyle w:val="Heading2"/>
        <w:bidi/>
        <w:rPr>
          <w:sz w:val="26"/>
          <w:szCs w:val="26"/>
        </w:rPr>
      </w:pPr>
      <w:r w:rsidRPr="002407C3">
        <w:rPr>
          <w:rFonts w:hint="cs"/>
          <w:sz w:val="26"/>
          <w:szCs w:val="26"/>
          <w:rtl/>
        </w:rPr>
        <w:t>الترويج للحصول على التكنولوجيات التي تتسم بكفاءة استخدام الطاقة في تلك القطاعات؛</w:t>
      </w:r>
    </w:p>
    <w:p w:rsidR="00FE6C54" w:rsidRPr="002407C3" w:rsidRDefault="00FE6C54" w:rsidP="00B74F76">
      <w:pPr>
        <w:pStyle w:val="Heading2"/>
        <w:bidi/>
        <w:rPr>
          <w:sz w:val="26"/>
          <w:szCs w:val="26"/>
        </w:rPr>
      </w:pPr>
      <w:r w:rsidRPr="002407C3">
        <w:rPr>
          <w:rFonts w:hint="cs"/>
          <w:sz w:val="26"/>
          <w:szCs w:val="26"/>
          <w:rtl/>
        </w:rPr>
        <w:t>التدريب الهادف لعمليات اعتماد الفنيين والسلامة والمعايير، والتوعية وبناء القدرات التي تهدف الى الحفاظ على كفاءة استخدام الطاقة وتعزيزها.</w:t>
      </w:r>
    </w:p>
    <w:p w:rsidR="00FE6C54" w:rsidRPr="002407C3" w:rsidRDefault="00FE6C54" w:rsidP="00433CD1">
      <w:pPr>
        <w:pStyle w:val="Heading1"/>
        <w:bidi/>
        <w:rPr>
          <w:sz w:val="26"/>
          <w:szCs w:val="26"/>
        </w:rPr>
      </w:pPr>
      <w:r w:rsidRPr="002407C3">
        <w:rPr>
          <w:rFonts w:hint="cs"/>
          <w:sz w:val="26"/>
          <w:szCs w:val="26"/>
          <w:rtl/>
        </w:rPr>
        <w:t xml:space="preserve">وكما أشير في المقرر </w:t>
      </w:r>
      <w:r w:rsidR="00433CD1">
        <w:rPr>
          <w:sz w:val="26"/>
          <w:szCs w:val="26"/>
        </w:rPr>
        <w:t>10/XXIX</w:t>
      </w:r>
      <w:r w:rsidRPr="002407C3">
        <w:rPr>
          <w:rFonts w:hint="cs"/>
          <w:sz w:val="26"/>
          <w:szCs w:val="26"/>
          <w:rtl/>
        </w:rPr>
        <w:t xml:space="preserve"> الصادر عن فريق التكنولوجيا والتقييم الاقتصادي الوارد في تقرير فريق المهام فإن من المهم أن يكون موظفو الأوزون الوطنيين على دراية بسياسات وأهداف كفاءة استخدام الطاقة في بلدانهم التي قد تؤثر في أجهزة التبريد وتكييف الهواء ومضخات الحرارة والشركاء التجاريين الرئيسيين وخاصة تلك البلدان التي تصنع الأجهزة أو المكونات وقد يسفر التعاون بين وحدات الأوزون الوطنية والسلطات المسؤولة عن كفاءة استخدام الطاقة التي ليس لديها سوى خبراء محدودة، </w:t>
      </w:r>
      <w:r w:rsidR="00207C93" w:rsidRPr="002407C3">
        <w:rPr>
          <w:rFonts w:hint="cs"/>
          <w:sz w:val="26"/>
          <w:szCs w:val="26"/>
          <w:rtl/>
        </w:rPr>
        <w:t>وتضطلع بدور محدود في تطبيق التكنولوجيات التي تنخفض وتنعدم فيها القدرات على الاحترار العالمي عن خفض التكاليف لدى الصناعات وقد تتح توجها سياسيا منسق لتحقيق الأهداف الوطنية.</w:t>
      </w:r>
    </w:p>
    <w:p w:rsidR="00EB56BA" w:rsidRPr="002407C3" w:rsidRDefault="00207C93" w:rsidP="00B74F76">
      <w:pPr>
        <w:bidi/>
        <w:spacing w:after="240"/>
        <w:outlineLvl w:val="0"/>
        <w:rPr>
          <w:bCs/>
          <w:sz w:val="26"/>
          <w:szCs w:val="26"/>
          <w:u w:val="single"/>
        </w:rPr>
      </w:pPr>
      <w:r w:rsidRPr="002407C3">
        <w:rPr>
          <w:rFonts w:eastAsiaTheme="minorHAnsi" w:hint="cs"/>
          <w:bCs/>
          <w:sz w:val="26"/>
          <w:szCs w:val="26"/>
          <w:rtl/>
        </w:rPr>
        <w:t>المحافظة على كفاءة استخدام الطاقة في قطاع الخدمة</w:t>
      </w:r>
    </w:p>
    <w:p w:rsidR="00207C93" w:rsidRPr="002407C3" w:rsidRDefault="00207C93" w:rsidP="00300057">
      <w:pPr>
        <w:pStyle w:val="Heading1"/>
        <w:bidi/>
        <w:rPr>
          <w:sz w:val="26"/>
          <w:szCs w:val="26"/>
        </w:rPr>
      </w:pPr>
      <w:r w:rsidRPr="002407C3">
        <w:rPr>
          <w:rFonts w:hint="cs"/>
          <w:sz w:val="26"/>
          <w:szCs w:val="26"/>
          <w:rtl/>
        </w:rPr>
        <w:t>تؤثر المقولة المعتادة عن ألبس ومزق بالنسبة لأي ثلاجة أو جهاز تكييف هواء خلال فترة عمرها في تشغيل الجهاز وخفض كفاءته في استخدام الطاقة ويزيد من استهلاك الطاقة. وتضطلع عمليات التركيب السليم والصيانة والخدمة بدور كبير في الحفاظ على ألبس ومزق ويضمن التشغيل الكفء للجهاز بأعلى قدر ممكن من كفاءة ا</w:t>
      </w:r>
      <w:r w:rsidR="00300057" w:rsidRPr="002407C3">
        <w:rPr>
          <w:rFonts w:hint="cs"/>
          <w:sz w:val="26"/>
          <w:szCs w:val="26"/>
          <w:rtl/>
        </w:rPr>
        <w:t>ستخدام الطاقة خلال فترة عمر الج</w:t>
      </w:r>
      <w:r w:rsidRPr="002407C3">
        <w:rPr>
          <w:rFonts w:hint="cs"/>
          <w:sz w:val="26"/>
          <w:szCs w:val="26"/>
          <w:rtl/>
        </w:rPr>
        <w:t>ه</w:t>
      </w:r>
      <w:r w:rsidR="00300057" w:rsidRPr="002407C3">
        <w:rPr>
          <w:rFonts w:hint="cs"/>
          <w:sz w:val="26"/>
          <w:szCs w:val="26"/>
          <w:rtl/>
        </w:rPr>
        <w:t>ا</w:t>
      </w:r>
      <w:r w:rsidRPr="002407C3">
        <w:rPr>
          <w:rFonts w:hint="cs"/>
          <w:sz w:val="26"/>
          <w:szCs w:val="26"/>
          <w:rtl/>
        </w:rPr>
        <w:t>ز. ويمكن أن تغير أنشطة التدريب في قطاع الخدمة في ممارسات التشغيل لدى الفنيين ومن ثم ضمان التشغيل الذي يتسم بكفاءة استخدام الطاقة للجهاز.</w:t>
      </w:r>
    </w:p>
    <w:p w:rsidR="00207C93" w:rsidRPr="002407C3" w:rsidRDefault="00207C93" w:rsidP="00AA6474">
      <w:pPr>
        <w:pStyle w:val="Heading1"/>
        <w:bidi/>
        <w:rPr>
          <w:sz w:val="26"/>
          <w:szCs w:val="26"/>
        </w:rPr>
      </w:pPr>
      <w:r w:rsidRPr="002407C3">
        <w:rPr>
          <w:rFonts w:eastAsia="DengXian" w:hint="cs"/>
          <w:sz w:val="26"/>
          <w:szCs w:val="26"/>
          <w:rtl/>
        </w:rPr>
        <w:t xml:space="preserve">ويشير المقرر </w:t>
      </w:r>
      <w:r w:rsidR="00AA6474">
        <w:rPr>
          <w:rFonts w:eastAsia="DengXian"/>
          <w:sz w:val="26"/>
          <w:szCs w:val="26"/>
        </w:rPr>
        <w:t>10/XXIX</w:t>
      </w:r>
      <w:r w:rsidRPr="002407C3">
        <w:rPr>
          <w:rFonts w:eastAsia="DengXian" w:hint="cs"/>
          <w:sz w:val="26"/>
          <w:szCs w:val="26"/>
          <w:rtl/>
        </w:rPr>
        <w:t xml:space="preserve"> لفريق التكنولوجيا والتقييم الاقتصادي الوارد في تقرير فريق المهام الى أنه يمكن أداء كفاءة استخدام الطاقة في أجهزة التبريد وتكييف الهواء ومضخات الحرارة بتكاليف منخفضة أو متوسطة من خلال تنفيذ ممارسات الخدمة الجيدة مثل غازات التبريد الملائمة وشحن الزيوت، ودوران الهواء بصورة جيدة من خلال المكثف، والمحافظة على تدفق الهواء بصورة سليمة من خلال جهاز البخار، والوضع السليم لمؤشر الحرارة صمام التوسع الحراري، والوضع السليم لمراقبة ضغط المكبس.</w:t>
      </w:r>
    </w:p>
    <w:p w:rsidR="00207C93" w:rsidRPr="002407C3" w:rsidRDefault="00892422" w:rsidP="00B74F76">
      <w:pPr>
        <w:pStyle w:val="Heading1"/>
        <w:bidi/>
        <w:rPr>
          <w:sz w:val="26"/>
          <w:szCs w:val="26"/>
        </w:rPr>
      </w:pPr>
      <w:r w:rsidRPr="002407C3">
        <w:rPr>
          <w:rFonts w:hint="cs"/>
          <w:sz w:val="26"/>
          <w:szCs w:val="26"/>
          <w:rtl/>
        </w:rPr>
        <w:t>جرى قياس ونشر أداء أجهزة التبريد وتكييف الهواء ومضخات الحرارة بالاقتران مع ممارسات الخدمة والصيانة وأبلغت الدراسات التي أجرتها المملكة المتحدة وبريطانيا العظمى وأيرلندا الشمالية واستراليا والشراكة الأوروبية للطاقة والبيئة عن وفورات في الطاقة تراوحت بين 8 في المائة الى 40 في المائة أو أكثر بحسب التحسينات التي أجريت أو ممارسات الخدمة المشاركة على النحو المبين أدناه:</w:t>
      </w:r>
      <w:r w:rsidRPr="002407C3">
        <w:rPr>
          <w:rStyle w:val="FootnoteReference"/>
          <w:sz w:val="26"/>
          <w:szCs w:val="26"/>
        </w:rPr>
        <w:t xml:space="preserve"> </w:t>
      </w:r>
      <w:r w:rsidRPr="002407C3">
        <w:rPr>
          <w:rStyle w:val="FootnoteReference"/>
          <w:sz w:val="26"/>
          <w:szCs w:val="26"/>
        </w:rPr>
        <w:footnoteReference w:id="32"/>
      </w:r>
    </w:p>
    <w:p w:rsidR="00892422" w:rsidRPr="002407C3" w:rsidRDefault="00892422" w:rsidP="00892422">
      <w:pPr>
        <w:pStyle w:val="Heading2"/>
        <w:bidi/>
        <w:rPr>
          <w:sz w:val="26"/>
          <w:szCs w:val="26"/>
        </w:rPr>
      </w:pPr>
      <w:r w:rsidRPr="002407C3">
        <w:rPr>
          <w:rFonts w:hint="cs"/>
          <w:sz w:val="26"/>
          <w:szCs w:val="26"/>
          <w:rtl/>
        </w:rPr>
        <w:lastRenderedPageBreak/>
        <w:t>أبلغت دراسة أجرتها إدارة البيئة والأغذية والشؤون الريفية في المملكة المتحدة لبريطانيا العظمى وأيرلندا اشمالية عن أن تنظيف مكبس قذر يحقق 8 في المائة من الوفورات في الطاقة ويعيد وضع درجات الحرارة الى مستوى تصميم نتائج درجات الحرارة نسبة 11 في المائة أخرى من الوفورات في الطاقة (سوين، 2009)؛</w:t>
      </w:r>
    </w:p>
    <w:p w:rsidR="00892422" w:rsidRPr="002407C3" w:rsidRDefault="00892422" w:rsidP="00B74F76">
      <w:pPr>
        <w:pStyle w:val="Heading2"/>
        <w:bidi/>
        <w:rPr>
          <w:sz w:val="26"/>
          <w:szCs w:val="26"/>
        </w:rPr>
      </w:pPr>
      <w:r w:rsidRPr="002407C3">
        <w:rPr>
          <w:rFonts w:hint="cs"/>
          <w:sz w:val="26"/>
          <w:szCs w:val="26"/>
          <w:rtl/>
        </w:rPr>
        <w:t>ورصدت دراسة أجرتها حكومة فيكتوريا في استراليا أن التحسينات على العناصر التقنية في نظم التبريد وتكييف الهواء تنطوي على خفض في استهلاك الطاقة بنسبة تتراوح بين 15 و40 في المائة وأن تحسين ممارسات التشغيل بأقل قدر من المصروفات يمكن أن يخفض دائما تكاليف الطاقة بنسبة 15 في المائة أو أكثر (استدامة فيكتوريا 2009)؛</w:t>
      </w:r>
    </w:p>
    <w:p w:rsidR="00892422" w:rsidRPr="002407C3" w:rsidRDefault="00892422" w:rsidP="00B74F76">
      <w:pPr>
        <w:pStyle w:val="Heading2"/>
        <w:bidi/>
        <w:rPr>
          <w:sz w:val="26"/>
          <w:szCs w:val="26"/>
        </w:rPr>
      </w:pPr>
      <w:r w:rsidRPr="002407C3">
        <w:rPr>
          <w:rFonts w:hint="cs"/>
          <w:sz w:val="26"/>
          <w:szCs w:val="26"/>
          <w:rtl/>
        </w:rPr>
        <w:t xml:space="preserve">ويقدر المعهد المرخص له لمهندس خدمات البناء في المملكة المتحدة لبريطانيا وأيرلندا الشمالية إنه يمكن تحقيق وفورات تبلغ نحو 15 في المائة في المباني السكنية التي تقام وفقا للمعايير والمدونات، علاوة على أكثر من 20 في المائة من الوفورات </w:t>
      </w:r>
      <w:r w:rsidR="00300057" w:rsidRPr="002407C3">
        <w:rPr>
          <w:rFonts w:hint="cs"/>
          <w:sz w:val="26"/>
          <w:szCs w:val="26"/>
          <w:rtl/>
        </w:rPr>
        <w:t>بإتباع</w:t>
      </w:r>
      <w:r w:rsidRPr="002407C3">
        <w:rPr>
          <w:rFonts w:hint="cs"/>
          <w:sz w:val="26"/>
          <w:szCs w:val="26"/>
          <w:rtl/>
        </w:rPr>
        <w:t xml:space="preserve"> المبادئ التوجيهية للممارسات الجيدة؛</w:t>
      </w:r>
    </w:p>
    <w:p w:rsidR="00892422" w:rsidRPr="002407C3" w:rsidRDefault="00892422" w:rsidP="00B74F76">
      <w:pPr>
        <w:pStyle w:val="Heading2"/>
        <w:bidi/>
        <w:rPr>
          <w:sz w:val="26"/>
          <w:szCs w:val="26"/>
        </w:rPr>
      </w:pPr>
      <w:r w:rsidRPr="002407C3">
        <w:rPr>
          <w:rFonts w:hint="cs"/>
          <w:sz w:val="26"/>
          <w:szCs w:val="26"/>
          <w:rtl/>
        </w:rPr>
        <w:t>ويعرض الجدول 2 أثملة على فرص تحقيق كفاءة استخدام الطاقة في التبريد وتكييف الهواء ومضخات الحرارة من خلال تحسين التشغيل والصيانة من الشراكة الأوروبية للطاقة والبيئة:</w:t>
      </w:r>
    </w:p>
    <w:p w:rsidR="00892422" w:rsidRPr="002407C3" w:rsidRDefault="00892422" w:rsidP="00B74F76">
      <w:pPr>
        <w:bidi/>
        <w:rPr>
          <w:bCs/>
          <w:sz w:val="20"/>
          <w:szCs w:val="20"/>
          <w:rtl/>
          <w:lang w:val="en-US"/>
        </w:rPr>
      </w:pPr>
      <w:r w:rsidRPr="002407C3">
        <w:rPr>
          <w:rFonts w:hint="cs"/>
          <w:bCs/>
          <w:sz w:val="20"/>
          <w:szCs w:val="20"/>
          <w:rtl/>
          <w:lang w:val="en-US"/>
        </w:rPr>
        <w:t>الجدول 2: أمثلة عن فرص تحقيق كفاءة استخدام الطاقة في التبريد وتكييف الهواء ومضخات الحرارة من خلال تحسين التشغيل والصيانة</w:t>
      </w:r>
      <w:r w:rsidRPr="002407C3">
        <w:rPr>
          <w:rStyle w:val="FootnoteReference"/>
          <w:b/>
          <w:sz w:val="20"/>
          <w:szCs w:val="20"/>
          <w:lang w:val="en-US"/>
        </w:rPr>
        <w:footnoteReference w:id="33"/>
      </w:r>
    </w:p>
    <w:tbl>
      <w:tblPr>
        <w:tblStyle w:val="TableGrid"/>
        <w:bidiVisual/>
        <w:tblW w:w="9445" w:type="dxa"/>
        <w:tblLook w:val="0420" w:firstRow="1" w:lastRow="0" w:firstColumn="0" w:lastColumn="0" w:noHBand="0" w:noVBand="1"/>
      </w:tblPr>
      <w:tblGrid>
        <w:gridCol w:w="2245"/>
        <w:gridCol w:w="5220"/>
        <w:gridCol w:w="1980"/>
      </w:tblGrid>
      <w:tr w:rsidR="00EB56BA" w:rsidRPr="00D27621" w:rsidTr="004C5E42">
        <w:trPr>
          <w:tblHeader/>
        </w:trPr>
        <w:tc>
          <w:tcPr>
            <w:tcW w:w="2245" w:type="dxa"/>
            <w:hideMark/>
          </w:tcPr>
          <w:p w:rsidR="00EB56BA" w:rsidRPr="00D27621" w:rsidRDefault="00892422" w:rsidP="00B74F76">
            <w:pPr>
              <w:pStyle w:val="ListParagraph"/>
              <w:bidi/>
              <w:ind w:left="0"/>
              <w:jc w:val="left"/>
              <w:rPr>
                <w:b/>
                <w:sz w:val="20"/>
                <w:szCs w:val="20"/>
                <w:lang w:val="en-CA"/>
              </w:rPr>
            </w:pPr>
            <w:r>
              <w:rPr>
                <w:rFonts w:hint="cs"/>
                <w:b/>
                <w:bCs/>
                <w:sz w:val="20"/>
                <w:szCs w:val="20"/>
                <w:rtl/>
                <w:lang w:val="de-DE"/>
              </w:rPr>
              <w:t>الإجراء</w:t>
            </w:r>
          </w:p>
        </w:tc>
        <w:tc>
          <w:tcPr>
            <w:tcW w:w="5220" w:type="dxa"/>
            <w:hideMark/>
          </w:tcPr>
          <w:p w:rsidR="00EB56BA" w:rsidRPr="00D27621" w:rsidRDefault="00892422" w:rsidP="00B74F76">
            <w:pPr>
              <w:bidi/>
              <w:jc w:val="left"/>
              <w:rPr>
                <w:b/>
                <w:sz w:val="20"/>
                <w:szCs w:val="20"/>
                <w:lang w:val="en-CA"/>
              </w:rPr>
            </w:pPr>
            <w:r>
              <w:rPr>
                <w:rFonts w:hint="cs"/>
                <w:b/>
                <w:bCs/>
                <w:sz w:val="20"/>
                <w:szCs w:val="20"/>
                <w:rtl/>
                <w:lang w:val="de-DE"/>
              </w:rPr>
              <w:t>التفسير</w:t>
            </w:r>
          </w:p>
        </w:tc>
        <w:tc>
          <w:tcPr>
            <w:tcW w:w="1980" w:type="dxa"/>
            <w:hideMark/>
          </w:tcPr>
          <w:p w:rsidR="00EB56BA" w:rsidRPr="00D27621" w:rsidRDefault="00892422" w:rsidP="00B74F76">
            <w:pPr>
              <w:bidi/>
              <w:rPr>
                <w:b/>
                <w:sz w:val="20"/>
                <w:szCs w:val="20"/>
                <w:lang w:val="en-CA"/>
              </w:rPr>
            </w:pPr>
            <w:r>
              <w:rPr>
                <w:rFonts w:hint="cs"/>
                <w:b/>
                <w:bCs/>
                <w:sz w:val="20"/>
                <w:szCs w:val="20"/>
                <w:rtl/>
                <w:lang w:val="de-DE"/>
              </w:rPr>
              <w:t>التأثير</w:t>
            </w:r>
          </w:p>
        </w:tc>
      </w:tr>
      <w:tr w:rsidR="00EB56BA" w:rsidRPr="00D27621" w:rsidTr="004C5E42">
        <w:tc>
          <w:tcPr>
            <w:tcW w:w="2245" w:type="dxa"/>
            <w:hideMark/>
          </w:tcPr>
          <w:p w:rsidR="00EB56BA" w:rsidRPr="00892422" w:rsidRDefault="00892422" w:rsidP="00B74F76">
            <w:pPr>
              <w:bidi/>
              <w:jc w:val="left"/>
              <w:rPr>
                <w:b/>
                <w:sz w:val="20"/>
                <w:szCs w:val="20"/>
                <w:lang w:val="en-CA"/>
              </w:rPr>
            </w:pPr>
            <w:r w:rsidRPr="00892422">
              <w:rPr>
                <w:rFonts w:hint="cs"/>
                <w:b/>
                <w:sz w:val="20"/>
                <w:szCs w:val="20"/>
                <w:rtl/>
                <w:lang w:val="en-US"/>
              </w:rPr>
              <w:t>عدم وجود تسرب لغازات التبريد</w:t>
            </w:r>
          </w:p>
        </w:tc>
        <w:tc>
          <w:tcPr>
            <w:tcW w:w="5220" w:type="dxa"/>
            <w:hideMark/>
          </w:tcPr>
          <w:p w:rsidR="00EB56BA" w:rsidRPr="00D27621" w:rsidRDefault="00224ACF" w:rsidP="00B74F76">
            <w:pPr>
              <w:bidi/>
              <w:jc w:val="left"/>
              <w:rPr>
                <w:sz w:val="20"/>
                <w:szCs w:val="20"/>
                <w:lang w:val="en-CA"/>
              </w:rPr>
            </w:pPr>
            <w:r>
              <w:rPr>
                <w:rFonts w:hint="cs"/>
                <w:sz w:val="20"/>
                <w:szCs w:val="20"/>
                <w:rtl/>
                <w:lang w:val="en-US"/>
              </w:rPr>
              <w:t>يؤدي الانخفاض الشديد في شحن غاز التبريد الى زيادة وقت تشغيل المكابس وفقدان قدرة الآلة والمكابس في نهاية المطاف</w:t>
            </w:r>
          </w:p>
        </w:tc>
        <w:tc>
          <w:tcPr>
            <w:tcW w:w="1980" w:type="dxa"/>
            <w:hideMark/>
          </w:tcPr>
          <w:p w:rsidR="00EB56BA" w:rsidRPr="00224ACF" w:rsidRDefault="00224ACF" w:rsidP="00B74F76">
            <w:pPr>
              <w:bidi/>
              <w:jc w:val="left"/>
              <w:rPr>
                <w:b/>
                <w:sz w:val="20"/>
                <w:szCs w:val="20"/>
                <w:lang w:val="en-CA"/>
              </w:rPr>
            </w:pPr>
            <w:r w:rsidRPr="00224ACF">
              <w:rPr>
                <w:rFonts w:hint="cs"/>
                <w:b/>
                <w:sz w:val="20"/>
                <w:szCs w:val="20"/>
                <w:rtl/>
                <w:lang w:val="de-DE"/>
              </w:rPr>
              <w:t>زيادة نسبة 30 في المائة في استهلاك الطاقة</w:t>
            </w:r>
          </w:p>
        </w:tc>
      </w:tr>
      <w:tr w:rsidR="00EB56BA" w:rsidRPr="00D27621" w:rsidTr="004C5E42">
        <w:tc>
          <w:tcPr>
            <w:tcW w:w="2245" w:type="dxa"/>
            <w:hideMark/>
          </w:tcPr>
          <w:p w:rsidR="00EB56BA" w:rsidRPr="00224ACF" w:rsidRDefault="00224ACF" w:rsidP="00B74F76">
            <w:pPr>
              <w:bidi/>
              <w:jc w:val="left"/>
              <w:rPr>
                <w:b/>
                <w:sz w:val="20"/>
                <w:szCs w:val="20"/>
                <w:lang w:val="en-CA"/>
              </w:rPr>
            </w:pPr>
            <w:r>
              <w:rPr>
                <w:rFonts w:hint="cs"/>
                <w:b/>
                <w:sz w:val="20"/>
                <w:szCs w:val="20"/>
                <w:rtl/>
                <w:lang w:val="de-DE"/>
              </w:rPr>
              <w:t>نظافة المكابس وملفات أجهزة البخار</w:t>
            </w:r>
          </w:p>
        </w:tc>
        <w:tc>
          <w:tcPr>
            <w:tcW w:w="5220" w:type="dxa"/>
            <w:hideMark/>
          </w:tcPr>
          <w:p w:rsidR="00EB56BA" w:rsidRPr="00F46768" w:rsidRDefault="00224ACF" w:rsidP="00F46768">
            <w:pPr>
              <w:bidi/>
              <w:jc w:val="left"/>
              <w:rPr>
                <w:sz w:val="20"/>
                <w:szCs w:val="20"/>
                <w:lang w:val="en-US"/>
              </w:rPr>
            </w:pPr>
            <w:r>
              <w:rPr>
                <w:rFonts w:hint="cs"/>
                <w:sz w:val="20"/>
                <w:szCs w:val="20"/>
                <w:rtl/>
                <w:lang w:val="en-US"/>
              </w:rPr>
              <w:t>قد يؤدي كل ارتفاع بمقدار 1 ك</w:t>
            </w:r>
            <w:r w:rsidRPr="00D27621">
              <w:rPr>
                <w:rStyle w:val="FootnoteReference"/>
                <w:sz w:val="20"/>
                <w:lang w:val="en-US"/>
              </w:rPr>
              <w:footnoteReference w:id="34"/>
            </w:r>
            <w:r>
              <w:rPr>
                <w:rFonts w:hint="cs"/>
                <w:sz w:val="20"/>
                <w:szCs w:val="20"/>
                <w:rtl/>
                <w:lang w:val="en-US"/>
              </w:rPr>
              <w:t xml:space="preserve"> في كبس</w:t>
            </w:r>
            <w:r w:rsidR="002424E4">
              <w:rPr>
                <w:rFonts w:hint="cs"/>
                <w:sz w:val="20"/>
                <w:szCs w:val="20"/>
                <w:rtl/>
                <w:lang w:val="en-US"/>
              </w:rPr>
              <w:t xml:space="preserve"> </w:t>
            </w:r>
            <w:r w:rsidR="00F46768">
              <w:rPr>
                <w:rFonts w:hint="cs"/>
                <w:sz w:val="20"/>
                <w:szCs w:val="20"/>
                <w:rtl/>
                <w:lang w:val="en-US"/>
              </w:rPr>
              <w:t xml:space="preserve">درجات حرارة الى خفض قدرة أجهزة البخار بمقدار </w:t>
            </w:r>
            <w:r w:rsidR="00F46768" w:rsidRPr="00D27621">
              <w:rPr>
                <w:sz w:val="20"/>
                <w:szCs w:val="20"/>
                <w:lang w:val="en-US"/>
              </w:rPr>
              <w:t>1.35</w:t>
            </w:r>
            <w:r w:rsidR="00F46768">
              <w:rPr>
                <w:rFonts w:hint="cs"/>
                <w:sz w:val="20"/>
                <w:szCs w:val="20"/>
                <w:rtl/>
                <w:lang w:val="en-US"/>
              </w:rPr>
              <w:t xml:space="preserve"> في المائة ويزيد استهلاك الطاقة ويؤدي الى خفض عمل النظام دون خفض في تيار تشغيل الآلة والمكبس</w:t>
            </w:r>
            <w:r w:rsidR="00EB56BA" w:rsidRPr="00D27621">
              <w:rPr>
                <w:sz w:val="20"/>
                <w:szCs w:val="20"/>
                <w:lang w:val="en-US"/>
              </w:rPr>
              <w:t xml:space="preserve"> </w:t>
            </w:r>
          </w:p>
        </w:tc>
        <w:tc>
          <w:tcPr>
            <w:tcW w:w="1980" w:type="dxa"/>
            <w:hideMark/>
          </w:tcPr>
          <w:p w:rsidR="00EB56BA" w:rsidRPr="00224ACF" w:rsidRDefault="00F46768" w:rsidP="00B74F76">
            <w:pPr>
              <w:bidi/>
              <w:jc w:val="left"/>
              <w:rPr>
                <w:b/>
                <w:sz w:val="20"/>
                <w:szCs w:val="20"/>
                <w:lang w:val="en-CA"/>
              </w:rPr>
            </w:pPr>
            <w:r>
              <w:rPr>
                <w:rFonts w:hint="cs"/>
                <w:b/>
                <w:sz w:val="20"/>
                <w:szCs w:val="20"/>
                <w:rtl/>
                <w:lang w:val="de-DE"/>
              </w:rPr>
              <w:t>زيادة بنسبة 8 في المائة في استهلاك الطاقة</w:t>
            </w:r>
          </w:p>
        </w:tc>
      </w:tr>
      <w:tr w:rsidR="00EB56BA" w:rsidRPr="00D27621" w:rsidTr="004C5E42">
        <w:tc>
          <w:tcPr>
            <w:tcW w:w="2245" w:type="dxa"/>
            <w:hideMark/>
          </w:tcPr>
          <w:p w:rsidR="00EB56BA" w:rsidRPr="00224ACF" w:rsidRDefault="00F46768" w:rsidP="00B74F76">
            <w:pPr>
              <w:bidi/>
              <w:jc w:val="left"/>
              <w:rPr>
                <w:b/>
                <w:sz w:val="20"/>
                <w:szCs w:val="20"/>
                <w:lang w:val="en-CA"/>
              </w:rPr>
            </w:pPr>
            <w:r>
              <w:rPr>
                <w:rFonts w:hint="cs"/>
                <w:b/>
                <w:sz w:val="20"/>
                <w:szCs w:val="20"/>
                <w:rtl/>
                <w:lang w:val="de-DE"/>
              </w:rPr>
              <w:t>تنظيف أو استبدال الفلاتر بانتظام</w:t>
            </w:r>
          </w:p>
        </w:tc>
        <w:tc>
          <w:tcPr>
            <w:tcW w:w="5220" w:type="dxa"/>
            <w:hideMark/>
          </w:tcPr>
          <w:p w:rsidR="00EB56BA" w:rsidRPr="00F46768" w:rsidRDefault="00F46768" w:rsidP="00F46768">
            <w:pPr>
              <w:bidi/>
              <w:jc w:val="left"/>
              <w:rPr>
                <w:sz w:val="20"/>
                <w:szCs w:val="20"/>
                <w:lang w:val="en-US"/>
              </w:rPr>
            </w:pPr>
            <w:r>
              <w:rPr>
                <w:rFonts w:hint="cs"/>
                <w:sz w:val="20"/>
                <w:szCs w:val="20"/>
                <w:rtl/>
                <w:lang w:val="en-US"/>
              </w:rPr>
              <w:t>قد تؤدي قذارة الفلاتر الى خفض في عمل النظام (بنسبة 2 الى 4 في المائة لكل خفض بنسبة 1 ك في درجات حرارة البخار) دون خفض تشغيل المكابس وتؤدي الفلاتر بانخفاض شديد في معدل الترشيح ملفات تبريد قذرة ومراوح</w:t>
            </w:r>
          </w:p>
        </w:tc>
        <w:tc>
          <w:tcPr>
            <w:tcW w:w="1980" w:type="dxa"/>
            <w:hideMark/>
          </w:tcPr>
          <w:p w:rsidR="00EB56BA" w:rsidRPr="00224ACF" w:rsidRDefault="00F46768" w:rsidP="00B74F76">
            <w:pPr>
              <w:bidi/>
              <w:jc w:val="left"/>
              <w:rPr>
                <w:b/>
                <w:sz w:val="20"/>
                <w:szCs w:val="20"/>
                <w:lang w:val="en-CA"/>
              </w:rPr>
            </w:pPr>
            <w:r>
              <w:rPr>
                <w:rFonts w:hint="cs"/>
                <w:b/>
                <w:sz w:val="20"/>
                <w:szCs w:val="20"/>
                <w:rtl/>
                <w:lang w:val="de-DE"/>
              </w:rPr>
              <w:t>متوسط الوفورات يبلغ 25 في المائة</w:t>
            </w:r>
          </w:p>
        </w:tc>
      </w:tr>
      <w:tr w:rsidR="00EB56BA" w:rsidRPr="00D27621" w:rsidTr="004C5E42">
        <w:tc>
          <w:tcPr>
            <w:tcW w:w="2245" w:type="dxa"/>
            <w:hideMark/>
          </w:tcPr>
          <w:p w:rsidR="00EB56BA" w:rsidRPr="00224ACF" w:rsidRDefault="00F46768" w:rsidP="00B74F76">
            <w:pPr>
              <w:bidi/>
              <w:jc w:val="left"/>
              <w:rPr>
                <w:b/>
                <w:sz w:val="20"/>
                <w:szCs w:val="20"/>
                <w:lang w:val="en-CA"/>
              </w:rPr>
            </w:pPr>
            <w:r>
              <w:rPr>
                <w:rFonts w:hint="cs"/>
                <w:b/>
                <w:sz w:val="20"/>
                <w:szCs w:val="20"/>
                <w:rtl/>
                <w:lang w:val="de-DE"/>
              </w:rPr>
              <w:t>مراجعة عمليات تشغيل ووضع جهات التحكم</w:t>
            </w:r>
          </w:p>
        </w:tc>
        <w:tc>
          <w:tcPr>
            <w:tcW w:w="5220" w:type="dxa"/>
            <w:hideMark/>
          </w:tcPr>
          <w:p w:rsidR="00EB56BA" w:rsidRPr="00F46768" w:rsidRDefault="00F46768" w:rsidP="00F46768">
            <w:pPr>
              <w:bidi/>
              <w:jc w:val="left"/>
              <w:rPr>
                <w:sz w:val="20"/>
                <w:szCs w:val="20"/>
                <w:lang w:val="en-US"/>
              </w:rPr>
            </w:pPr>
            <w:r>
              <w:rPr>
                <w:rFonts w:hint="cs"/>
                <w:sz w:val="20"/>
                <w:szCs w:val="20"/>
                <w:rtl/>
                <w:lang w:val="en-US"/>
              </w:rPr>
              <w:t>ضمان استخدام طريقة ملائمة، وأن درجة الحرارة قد وضعت بصورة صحيحة (تتراوح عادة بين 10 و23 درجة مئوية) واختبار مروحة مناسبة، وأن يكون الجدول الزمني صحيحا، وأن كل وظيفة تعمل بصورة صحيحة</w:t>
            </w:r>
          </w:p>
        </w:tc>
        <w:tc>
          <w:tcPr>
            <w:tcW w:w="1980" w:type="dxa"/>
            <w:hideMark/>
          </w:tcPr>
          <w:p w:rsidR="00EB56BA" w:rsidRPr="003A5AF0" w:rsidRDefault="003A5AF0" w:rsidP="003A5AF0">
            <w:pPr>
              <w:bidi/>
              <w:jc w:val="left"/>
              <w:rPr>
                <w:b/>
                <w:sz w:val="20"/>
                <w:szCs w:val="20"/>
                <w:lang w:val="de-DE"/>
              </w:rPr>
            </w:pPr>
            <w:r>
              <w:rPr>
                <w:rFonts w:hint="cs"/>
                <w:b/>
                <w:sz w:val="20"/>
                <w:szCs w:val="20"/>
                <w:rtl/>
                <w:lang w:val="de-DE"/>
              </w:rPr>
              <w:t>متوسط الوفورات يبلغ 97 في المائة</w:t>
            </w:r>
            <w:r>
              <w:rPr>
                <w:rStyle w:val="FootnoteReference"/>
                <w:bCs/>
                <w:sz w:val="20"/>
                <w:lang w:val="de-DE"/>
              </w:rPr>
              <w:footnoteReference w:id="35"/>
            </w:r>
          </w:p>
        </w:tc>
      </w:tr>
      <w:tr w:rsidR="00EB56BA" w:rsidRPr="00D27621" w:rsidTr="004C5E42">
        <w:tc>
          <w:tcPr>
            <w:tcW w:w="2245" w:type="dxa"/>
            <w:hideMark/>
          </w:tcPr>
          <w:p w:rsidR="00EB56BA" w:rsidRPr="00224ACF" w:rsidRDefault="003A5AF0" w:rsidP="00B74F76">
            <w:pPr>
              <w:bidi/>
              <w:jc w:val="left"/>
              <w:rPr>
                <w:b/>
                <w:sz w:val="20"/>
                <w:szCs w:val="20"/>
                <w:lang w:val="en-CA"/>
              </w:rPr>
            </w:pPr>
            <w:r>
              <w:rPr>
                <w:rFonts w:hint="cs"/>
                <w:b/>
                <w:sz w:val="20"/>
                <w:szCs w:val="20"/>
                <w:rtl/>
                <w:lang w:val="de-DE"/>
              </w:rPr>
              <w:t>مراجعة ضوابط ضغط المكابس</w:t>
            </w:r>
          </w:p>
        </w:tc>
        <w:tc>
          <w:tcPr>
            <w:tcW w:w="5220" w:type="dxa"/>
            <w:hideMark/>
          </w:tcPr>
          <w:p w:rsidR="003A5AF0" w:rsidRDefault="003A5AF0" w:rsidP="003A5AF0">
            <w:pPr>
              <w:bidi/>
              <w:jc w:val="left"/>
              <w:rPr>
                <w:sz w:val="20"/>
                <w:szCs w:val="20"/>
                <w:rtl/>
                <w:lang w:val="en-US"/>
              </w:rPr>
            </w:pPr>
            <w:r>
              <w:rPr>
                <w:rFonts w:hint="cs"/>
                <w:sz w:val="20"/>
                <w:szCs w:val="20"/>
                <w:rtl/>
                <w:lang w:val="en-US"/>
              </w:rPr>
              <w:t>عدم وضع دورات مراوح المكابس وسرعة أجهزة المراقبة والمجفف بصورة صحيحة قد يتسبب في زيادة أو انخفاض المكبس مما يؤدي الى انخفاض الكفاءة وطول فترة تشغيل المكبس.</w:t>
            </w:r>
          </w:p>
          <w:p w:rsidR="00EB56BA" w:rsidRPr="003A5AF0" w:rsidRDefault="003A5AF0" w:rsidP="003A5AF0">
            <w:pPr>
              <w:bidi/>
              <w:jc w:val="left"/>
              <w:rPr>
                <w:sz w:val="20"/>
                <w:szCs w:val="20"/>
                <w:lang w:val="en-US"/>
              </w:rPr>
            </w:pPr>
            <w:r>
              <w:rPr>
                <w:rFonts w:hint="cs"/>
                <w:sz w:val="20"/>
                <w:szCs w:val="20"/>
                <w:rtl/>
                <w:lang w:val="en-US"/>
              </w:rPr>
              <w:t>ويؤدي انخفاض الكبس الى ارتفاع تيارات التشغيل</w:t>
            </w:r>
          </w:p>
        </w:tc>
        <w:tc>
          <w:tcPr>
            <w:tcW w:w="1980" w:type="dxa"/>
            <w:hideMark/>
          </w:tcPr>
          <w:p w:rsidR="00EB56BA" w:rsidRPr="00224ACF" w:rsidRDefault="003A5AF0" w:rsidP="00B74F76">
            <w:pPr>
              <w:bidi/>
              <w:jc w:val="left"/>
              <w:rPr>
                <w:b/>
                <w:sz w:val="20"/>
                <w:szCs w:val="20"/>
                <w:lang w:val="en-CA"/>
              </w:rPr>
            </w:pPr>
            <w:r>
              <w:rPr>
                <w:rFonts w:hint="cs"/>
                <w:b/>
                <w:sz w:val="20"/>
                <w:szCs w:val="20"/>
                <w:rtl/>
                <w:lang w:val="de-DE"/>
              </w:rPr>
              <w:t>متوسط الوفورات يبلغ 4 في المائة</w:t>
            </w:r>
          </w:p>
        </w:tc>
      </w:tr>
    </w:tbl>
    <w:p w:rsidR="00EB56BA" w:rsidRPr="00D27621" w:rsidRDefault="00EB56BA" w:rsidP="00B74F76">
      <w:pPr>
        <w:pStyle w:val="Heading1"/>
        <w:numPr>
          <w:ilvl w:val="0"/>
          <w:numId w:val="0"/>
        </w:numPr>
        <w:bidi/>
        <w:spacing w:after="0"/>
        <w:rPr>
          <w:lang w:val="en-CA"/>
        </w:rPr>
      </w:pPr>
    </w:p>
    <w:p w:rsidR="003A5AF0" w:rsidRPr="002407C3" w:rsidRDefault="003A5AF0" w:rsidP="00B74F76">
      <w:pPr>
        <w:pStyle w:val="Heading1"/>
        <w:bidi/>
        <w:rPr>
          <w:sz w:val="26"/>
          <w:szCs w:val="26"/>
          <w:lang w:val="en-CA"/>
        </w:rPr>
      </w:pPr>
      <w:r w:rsidRPr="002407C3">
        <w:rPr>
          <w:rFonts w:hint="cs"/>
          <w:sz w:val="26"/>
          <w:szCs w:val="26"/>
          <w:rtl/>
          <w:lang w:val="en-CA"/>
        </w:rPr>
        <w:t xml:space="preserve">وقد قدم الصندوق المتعدد الأطراف الدعم للتدريب على ممارسات الخدمة الجيدة لفنيي الخدمة منذ بدء الصندوق. ولم يؤد تاثير تنفيذ ممارسات الخدمة الجيدة الى خفض استهلاك غازات التبريد فقط بل أسهم في تحقيق كفاءة تشغيل أجهزة التبريد وتكييف الهواء ومضخات الحرارة والحفاظ على أداء كفاءة استخدام الطاقة في الأجهزة. وقد قدم التدريب في البداية في شكل تدريب منفصل ثم تطور الى أن أصبح عنصرا أساسيا من خطط و/أو الإزالة الوطنية </w:t>
      </w:r>
      <w:r w:rsidRPr="002407C3">
        <w:rPr>
          <w:sz w:val="26"/>
          <w:szCs w:val="26"/>
          <w:rtl/>
          <w:lang w:val="en-CA"/>
        </w:rPr>
        <w:t>–</w:t>
      </w:r>
      <w:r w:rsidRPr="002407C3">
        <w:rPr>
          <w:rFonts w:hint="cs"/>
          <w:sz w:val="26"/>
          <w:szCs w:val="26"/>
          <w:rtl/>
          <w:lang w:val="en-CA"/>
        </w:rPr>
        <w:t xml:space="preserve"> وفي هذه العملية زادت وحدات الأوزون الوطنية من إشراك مراكز التدريب والتدريب المهني الوطنية في تنفيذ التدريب وتأكدت من إدراج المواضيع ذات الصلة في المناهج الدراسية للمراكز</w:t>
      </w:r>
    </w:p>
    <w:p w:rsidR="003A5AF0" w:rsidRPr="002407C3" w:rsidRDefault="003A5AF0" w:rsidP="00E136DF">
      <w:pPr>
        <w:pStyle w:val="Heading1"/>
        <w:bidi/>
        <w:rPr>
          <w:sz w:val="26"/>
          <w:szCs w:val="26"/>
          <w:lang w:val="en-CA"/>
        </w:rPr>
      </w:pPr>
      <w:r w:rsidRPr="002407C3">
        <w:rPr>
          <w:rFonts w:hint="cs"/>
          <w:sz w:val="26"/>
          <w:szCs w:val="26"/>
          <w:rtl/>
          <w:lang w:val="en-CA"/>
        </w:rPr>
        <w:lastRenderedPageBreak/>
        <w:t>ومع تسارع</w:t>
      </w:r>
      <w:r w:rsidR="00E136DF" w:rsidRPr="002407C3">
        <w:rPr>
          <w:rFonts w:hint="cs"/>
          <w:sz w:val="26"/>
          <w:szCs w:val="26"/>
          <w:rtl/>
          <w:lang w:val="en-CA"/>
        </w:rPr>
        <w:t xml:space="preserve"> إزالة المواد الهيدروكلوروفلوروكربونية واعتماد تعديل كيجالي، زاد عدد وتنوع نظم التبريد وتكييف الهواء العاملة بغازات تبريد </w:t>
      </w:r>
      <w:r w:rsidR="00F80953" w:rsidRPr="002407C3">
        <w:rPr>
          <w:rFonts w:hint="cs"/>
          <w:sz w:val="26"/>
          <w:szCs w:val="26"/>
          <w:rtl/>
          <w:lang w:val="en-CA"/>
        </w:rPr>
        <w:t>تنخفض أو تنعدم فيها القدرة على الاحترار بوتيرة بطيئة وفي هذا السياق، بدأ العديد من بلدان المادة 5 خلال تنفيذها خططتها الخاصة بإدارة إزالة المواد الهيدروكلوروفلوروكربونية في تعزيز المؤسسات والهيئات المحلية المشاركة في تدريب الفنيين واعتمادهم والتوسع في مدونة الممارسات الجيدة، وتدريب الفنيين لإدراج المناولة والإدارة السليمة لغازات التبريد القابلة للاشتعال والسامة وتيسير إدخال</w:t>
      </w:r>
      <w:r w:rsidR="003D2A33" w:rsidRPr="002407C3">
        <w:rPr>
          <w:rFonts w:hint="cs"/>
          <w:sz w:val="26"/>
          <w:szCs w:val="26"/>
          <w:rtl/>
          <w:lang w:val="en-CA"/>
        </w:rPr>
        <w:t xml:space="preserve"> التكنولوجيات التي تنخفض أو تنعدم فيها القدرة على الاحترار العالمي في قطاع التبريد وتكييف الهواء ومضخات الحرارة.</w:t>
      </w:r>
    </w:p>
    <w:p w:rsidR="003D2A33" w:rsidRPr="002407C3" w:rsidRDefault="003D2A33" w:rsidP="00B74F76">
      <w:pPr>
        <w:bidi/>
        <w:rPr>
          <w:rFonts w:eastAsia="Cambria"/>
          <w:bCs/>
          <w:sz w:val="26"/>
          <w:szCs w:val="26"/>
          <w:rtl/>
        </w:rPr>
      </w:pPr>
      <w:r w:rsidRPr="002407C3">
        <w:rPr>
          <w:rFonts w:eastAsia="Cambria" w:hint="cs"/>
          <w:bCs/>
          <w:sz w:val="26"/>
          <w:szCs w:val="26"/>
          <w:rtl/>
        </w:rPr>
        <w:t>التدريب الهادف بشأن اعتماد الفنيين والسلامة والمعايير والتوعية وبناء القدرات</w:t>
      </w:r>
    </w:p>
    <w:p w:rsidR="00EB56BA" w:rsidRPr="002407C3" w:rsidRDefault="00EB56BA" w:rsidP="00B74F76">
      <w:pPr>
        <w:bidi/>
        <w:rPr>
          <w:sz w:val="26"/>
          <w:szCs w:val="26"/>
          <w:lang w:val="en-CA"/>
        </w:rPr>
      </w:pPr>
    </w:p>
    <w:p w:rsidR="003D2A33" w:rsidRPr="002407C3" w:rsidRDefault="003D2A33" w:rsidP="00B74F76">
      <w:pPr>
        <w:pStyle w:val="Heading1"/>
        <w:bidi/>
        <w:rPr>
          <w:sz w:val="26"/>
          <w:szCs w:val="26"/>
        </w:rPr>
      </w:pPr>
      <w:r w:rsidRPr="002407C3">
        <w:rPr>
          <w:rFonts w:hint="cs"/>
          <w:sz w:val="26"/>
          <w:szCs w:val="26"/>
          <w:rtl/>
        </w:rPr>
        <w:t xml:space="preserve">حدد مستوى التمويل لتنفيذ خطط إزالة المواد الهيدروكلوروفلوروكربونية في قطاع خدمة التبريد لجميع بلدان المادة 5 بموجب المقرر 74/50. وبالنسبة للبلدان التي ينخفض حجم الاستهلاك، كانت المستويات القصوى للتمويل تتوقف على خط أساس الهيدروكلوروفلوروكربون لأغراض الامتثال في قطاع خدمة التبريد وتتراوح بين </w:t>
      </w:r>
      <w:r w:rsidRPr="002407C3">
        <w:rPr>
          <w:sz w:val="26"/>
          <w:szCs w:val="26"/>
        </w:rPr>
        <w:t>587,500</w:t>
      </w:r>
      <w:r w:rsidRPr="002407C3">
        <w:rPr>
          <w:rFonts w:hint="cs"/>
          <w:sz w:val="26"/>
          <w:szCs w:val="26"/>
          <w:rtl/>
        </w:rPr>
        <w:t xml:space="preserve"> دولار أمريكي للبلدان التي ينخفض فيها الاستهلاك عن 15 طن متري و</w:t>
      </w:r>
      <w:r w:rsidRPr="002407C3">
        <w:rPr>
          <w:sz w:val="26"/>
          <w:szCs w:val="26"/>
        </w:rPr>
        <w:t>1,800,000</w:t>
      </w:r>
      <w:r w:rsidRPr="002407C3">
        <w:rPr>
          <w:rFonts w:hint="cs"/>
          <w:sz w:val="26"/>
          <w:szCs w:val="26"/>
          <w:rtl/>
        </w:rPr>
        <w:t xml:space="preserve"> دولار أمريكي للبلدان التي يزيد فيها الاستهلاك عن 320 طنا متريا. وبالنسبة للبلدان التي لا ينخفض فيها حجم الاستهلاك (باستهلاك يزيد عن 360 طنا متريا) ووفق على التمويل بمبلغ </w:t>
      </w:r>
      <w:r w:rsidRPr="002407C3">
        <w:rPr>
          <w:sz w:val="26"/>
          <w:szCs w:val="26"/>
        </w:rPr>
        <w:t>4.80</w:t>
      </w:r>
      <w:r w:rsidRPr="002407C3">
        <w:rPr>
          <w:rFonts w:hint="cs"/>
          <w:sz w:val="26"/>
          <w:szCs w:val="26"/>
          <w:rtl/>
        </w:rPr>
        <w:t xml:space="preserve"> دولار أمريكي للكيلوغرام من الهيدروكلوروفلوروكربون المستخدم في قطاع الخدمة.</w:t>
      </w:r>
    </w:p>
    <w:p w:rsidR="003D2A33" w:rsidRPr="002407C3" w:rsidRDefault="003D2A33" w:rsidP="00B74F76">
      <w:pPr>
        <w:pStyle w:val="Heading1"/>
        <w:bidi/>
        <w:rPr>
          <w:sz w:val="26"/>
          <w:szCs w:val="26"/>
        </w:rPr>
      </w:pPr>
      <w:r w:rsidRPr="002407C3">
        <w:rPr>
          <w:rFonts w:hint="cs"/>
          <w:sz w:val="26"/>
          <w:szCs w:val="26"/>
          <w:rtl/>
        </w:rPr>
        <w:t xml:space="preserve">وكانت الأنشطة بعد تقديم التمويل تغطي المرحلتين الأولى والثانية من خطط إدارة إزالة المواد الهيدروكلوروفلوروكربونية وتتضمن، </w:t>
      </w:r>
      <w:r w:rsidRPr="002407C3">
        <w:rPr>
          <w:rFonts w:hint="cs"/>
          <w:i/>
          <w:iCs/>
          <w:sz w:val="26"/>
          <w:szCs w:val="26"/>
          <w:rtl/>
        </w:rPr>
        <w:t>ضمن جملة أمور</w:t>
      </w:r>
      <w:r w:rsidRPr="002407C3">
        <w:rPr>
          <w:rFonts w:hint="cs"/>
          <w:sz w:val="26"/>
          <w:szCs w:val="26"/>
          <w:rtl/>
        </w:rPr>
        <w:t>، دعم عملية وضع السياسات والقواعد لتيسير إزالة المواد الخاضعة للرقابة، وتدريب موظفي الجمارك والإنفاذ وتشمل بناء قدرات هذه المؤسسات التي تحدد غازات التبريد، وتدريب الفنيين على ممارسات الخدمة الجيدة التي غالبا ما تتضمن الاعتماد الآمن لغازات التبريد القابلة للاشتعال والسامة، والمعدات والأدوات الأساسية لدعم الفنيين والمؤسسات التقنية لتطبيق ممارسات الخدمة الجيدة، وبرامج لاسترجاع غازات التبريد وإعادة استخدامها وإصلاحها، والحوافز للاستعاضة أو إعادة التهيئة بغازات التبريد البديلة والإرشاد بالمعلومات وأنشطة التوعية.</w:t>
      </w:r>
    </w:p>
    <w:p w:rsidR="003D2A33" w:rsidRPr="002407C3" w:rsidRDefault="003D2A33" w:rsidP="00B74F76">
      <w:pPr>
        <w:pStyle w:val="Heading1"/>
        <w:bidi/>
        <w:rPr>
          <w:sz w:val="26"/>
          <w:szCs w:val="26"/>
          <w:lang w:val="en-CA"/>
        </w:rPr>
      </w:pPr>
      <w:r w:rsidRPr="002407C3">
        <w:rPr>
          <w:rFonts w:hint="cs"/>
          <w:sz w:val="26"/>
          <w:szCs w:val="26"/>
          <w:rtl/>
          <w:lang w:val="en-CA"/>
        </w:rPr>
        <w:t xml:space="preserve">وكان لدى بلدان المادة 5 طوال فترة تنفيذ خططها الخاصة بإدارة إزالة المواد الهيدروكلوروفلوروكربونية المرونة لاختيار أنشطة الإزالة الأنسب للظروف السائدة في أسواقها المحلية والتي تناسبها بصورة أفضل لتحقيق التزاماتها بشأن الامتثال. وأدرج العديد من بلدان المادة 5 خططا لاعتماد فنيي الخدمة مع تعزيز معظمها </w:t>
      </w:r>
      <w:r w:rsidR="00CD4816" w:rsidRPr="002407C3">
        <w:rPr>
          <w:rFonts w:hint="cs"/>
          <w:sz w:val="26"/>
          <w:szCs w:val="26"/>
          <w:rtl/>
          <w:lang w:val="en-CA"/>
        </w:rPr>
        <w:t>لأسسها التحتية للتدريب لدعم إدخال غازات التبريد المنخفضة أو المنعدمة القدرة على الاحترار العالمي بقابليتها على الاشتعال الأساسية وخصائصها السمية. وقدم عدد قليل من بلدان المادة 5 أيضا الدعم للمستخدمين النهائيين وخاصة من خلال برامج التدريب المتوائمة للفنيين مع مراعاة هيكل السوق (مثل أن لدى متاجر السوبر ماركت الكبيرة المقررة التحويل الى التكنولوجيات التي تنخفض وتنعدم فيها القدرة على الاحترار العالمي قدرات داخلية على الاحتفاظ بالفنيين وتدريبهم) وعن خلال الحوافز المالية لإعادة التهيئة و/أو الاستعاضة على أجهزة خط الأساس الى البدائل التي تنخفض أو تنعدم فيها القدرة على الاحترار العالمي.</w:t>
      </w:r>
    </w:p>
    <w:p w:rsidR="00EB56BA" w:rsidRPr="002407C3" w:rsidRDefault="00CD4816" w:rsidP="00B74F76">
      <w:pPr>
        <w:bidi/>
        <w:spacing w:after="240"/>
        <w:outlineLvl w:val="0"/>
        <w:rPr>
          <w:sz w:val="26"/>
          <w:szCs w:val="26"/>
          <w:u w:val="single"/>
        </w:rPr>
      </w:pPr>
      <w:r w:rsidRPr="002407C3">
        <w:rPr>
          <w:rFonts w:hint="cs"/>
          <w:sz w:val="26"/>
          <w:szCs w:val="26"/>
          <w:u w:val="single"/>
          <w:rtl/>
        </w:rPr>
        <w:t>اعتماد الفنيين</w:t>
      </w:r>
    </w:p>
    <w:p w:rsidR="00CD4816" w:rsidRPr="002407C3" w:rsidRDefault="00CD4816" w:rsidP="00B74F76">
      <w:pPr>
        <w:pStyle w:val="Heading1"/>
        <w:bidi/>
        <w:rPr>
          <w:sz w:val="26"/>
          <w:szCs w:val="26"/>
        </w:rPr>
      </w:pPr>
      <w:r w:rsidRPr="002407C3">
        <w:rPr>
          <w:rFonts w:hint="cs"/>
          <w:sz w:val="26"/>
          <w:szCs w:val="26"/>
          <w:rtl/>
        </w:rPr>
        <w:t>رأي العديد من بلدان المادة 5 لدى تنفيذ خططها الخاصة بإدارة إزالة المواد الهيدروكلوروفلوروكربونية أن من المفيد ضمان الاستدامة الطويلة الأجل لأنشطة قطاع الخدمة من خلال إدراج النظم الخاصة باعتماد خبرات الفنيين على ممارسات التركيب والخدمة الجيدة، ووضع الأمور بما يناسب الظروف النوعية لكل بلد. وقد انتقل الكثير منها صوب إنشاء خطط طوعية لاعتماد الفنيين بدعم من القواعد. ونظر في نهج بديل في بعض البلدان يتمثل في إصدار التراخيص البيئية التي قد تكون تحت إشراف وزارات البيئة. وعززت بعض البلدان من روابط التبريد وإشراكها بصورة أوثق في تنفيذ نظم اعتماد الفنيين. وفي بعض الأقاليم (مثل بلدان جزر المحيط الهادئ) يجري تفضيل استخدام المنظمات الإقليمية في اعتماد الفنيين حيث يمكن أن يسفر ذلك عن تنفيذ اعتماد الفنيين بصورة متسقة بخفض مردودية تكاليفها.</w:t>
      </w:r>
    </w:p>
    <w:p w:rsidR="00CD4816" w:rsidRPr="002407C3" w:rsidRDefault="00DB350F" w:rsidP="00B74F76">
      <w:pPr>
        <w:pStyle w:val="Heading1"/>
        <w:bidi/>
        <w:rPr>
          <w:sz w:val="26"/>
          <w:szCs w:val="26"/>
        </w:rPr>
      </w:pPr>
      <w:r w:rsidRPr="002407C3">
        <w:rPr>
          <w:rFonts w:hint="cs"/>
          <w:sz w:val="26"/>
          <w:szCs w:val="26"/>
          <w:rtl/>
        </w:rPr>
        <w:lastRenderedPageBreak/>
        <w:t xml:space="preserve">وتزداد صعوبة وضع خطط اعتماد اخبارية للفنيين </w:t>
      </w:r>
      <w:r w:rsidR="0074255D" w:rsidRPr="002407C3">
        <w:rPr>
          <w:rFonts w:hint="cs"/>
          <w:sz w:val="26"/>
          <w:szCs w:val="26"/>
          <w:rtl/>
        </w:rPr>
        <w:t>بالنظر الى أن مثل هذا القرار قد يتجاوز اختصاصات وحدات الأوزون الوطنية، وقد يتطلب قدر أكبر من العمل المؤسسي. ويتباين المدى الذي يمكن الوصول إليه فيما يتعلق باعتماد الفنيين باعتبار ذلك "شرطا مسبقا" للفنيين عندما يتعلق الأمر بالإجراءات التالية بالنسبة للخدمة الجيدة لأجهزة التبريد وتكييف الهواء ومضخات الحرارة، وشراء واستخدام أنواع مختلفة من غازات التبريد، واسترجاع وإعادة استخدام غازات التبريد والتخلص الآمن والفعال للأجهزة. ففي بعض البلدان، توجد هيئات نوعية مسؤولة عن وضع المعايير التقنية وعمليات الاعتماد. ويحصل الفنيون على الاعتماد الذي يعتمد على المهارة تصدره الهيئة التنظيمية التعليمية أو غير ذلك ذات الصلة (مثل وزارة العمل وإدارة التعليم التقنية) داخل الحكومة.</w:t>
      </w:r>
    </w:p>
    <w:p w:rsidR="0074255D" w:rsidRPr="002407C3" w:rsidRDefault="0074255D" w:rsidP="00B74F76">
      <w:pPr>
        <w:pStyle w:val="Heading1"/>
        <w:bidi/>
        <w:rPr>
          <w:sz w:val="26"/>
          <w:szCs w:val="26"/>
        </w:rPr>
      </w:pPr>
      <w:r w:rsidRPr="002407C3">
        <w:rPr>
          <w:rFonts w:hint="cs"/>
          <w:sz w:val="26"/>
          <w:szCs w:val="26"/>
          <w:rtl/>
        </w:rPr>
        <w:t>ويتطلب ضمان الاستدامة الطويلة الأجل لاعتماد الفنيين زيادة تطوير نظم الاعتماد و/أو تعزيزها بالتدابير التنظيمية الضرورية على المستوى الوطني. وينبغي تحديث المناهج الدراسية للمؤسسات ومدارس التأهيل المعني بصورة دورية لإدراج التغييرات وتطوير التكنولوجيا في نظم التبريد وتكييف الهواء ومضخات الحرارة وإدخال غازات تبريد بديلة. وينبغي إيلاء الاهتمام لمايلي: مد اعتماد الفنيين الى المؤسسات المشاركة في تركيب وخدمة وصيانة والتفكيك بشأن أجهزة التبريد وتكييف الهواء ومضخات الحرارة، وربط اعتماد الفنيين بالمعايير والقواعد التنظيمية التي يطبقها البلد المعني، وتحديد عدد ومستويات اعتماد الفنيين وفقا للاحتياجات النوعية للبلد، وتعزيز وإشراك روابط التبريد في الترويج لتنفيذ اعتماد الفنيين. وينبغي أن يتضمن برنامج الاعتماد القواعد اللازمة لمنع الفنيين غير المعتمدين من العمل في خدمة أجهزة التبريد وتكييف الهواء ومضخات الحرارة بتكنولوجيات معينة وشراء ومناولة غازات التبريد، وينبغي دعمها بالمعلومات والارشادات والتوعية لضمان اعتمادها المستدام.</w:t>
      </w:r>
    </w:p>
    <w:p w:rsidR="00EB56BA" w:rsidRPr="002407C3" w:rsidRDefault="0074255D" w:rsidP="00B74F76">
      <w:pPr>
        <w:keepNext/>
        <w:bidi/>
        <w:spacing w:after="240"/>
        <w:outlineLvl w:val="0"/>
        <w:rPr>
          <w:sz w:val="26"/>
          <w:szCs w:val="26"/>
          <w:u w:val="single"/>
        </w:rPr>
      </w:pPr>
      <w:r w:rsidRPr="002407C3">
        <w:rPr>
          <w:rFonts w:hint="cs"/>
          <w:sz w:val="26"/>
          <w:szCs w:val="26"/>
          <w:u w:val="single"/>
          <w:rtl/>
        </w:rPr>
        <w:t>السلامة والمعايير</w:t>
      </w:r>
    </w:p>
    <w:p w:rsidR="0074255D" w:rsidRPr="002407C3" w:rsidRDefault="0074255D" w:rsidP="00B74F76">
      <w:pPr>
        <w:pStyle w:val="Heading1"/>
        <w:bidi/>
        <w:rPr>
          <w:sz w:val="26"/>
          <w:szCs w:val="26"/>
        </w:rPr>
      </w:pPr>
      <w:r w:rsidRPr="002407C3">
        <w:rPr>
          <w:rFonts w:hint="cs"/>
          <w:sz w:val="26"/>
          <w:szCs w:val="26"/>
          <w:rtl/>
        </w:rPr>
        <w:t>ينبغي مع دخول غازات التبريد المنخفضة أو المنعدمة القدرة على الاحترار العالمي للسوق في بلدان المادة 5، إعادة تقييم البنية التحتية المستخدمة حاليا في إزالة المواد الهيدروكلوروفلوروكربونية لتحديد ما إذا كانت تحتاج الى مزيد من التعزيز أو تحديث، كذلك فإن من الضروري إعادة النظر في برامج التدريب الحالية لتمديد ممارسات الخدمة الجيدة والصيانة لتغطية التكنولوجيا الجديدة التي يجري إدخالها. وينبغي هيكلتها في ضوء الأولويات الوطنية ذات الصلة بقدرات قطاع الخدمة والتكنولوجيات التي يتوقع إدخالها مع إزالة المواد الهيدروكلوروفلوروكربون.</w:t>
      </w:r>
    </w:p>
    <w:p w:rsidR="0074255D" w:rsidRPr="002407C3" w:rsidRDefault="0074255D" w:rsidP="00B74F76">
      <w:pPr>
        <w:pStyle w:val="Heading1"/>
        <w:bidi/>
        <w:rPr>
          <w:sz w:val="26"/>
          <w:szCs w:val="26"/>
        </w:rPr>
      </w:pPr>
      <w:r w:rsidRPr="002407C3">
        <w:rPr>
          <w:rFonts w:hint="cs"/>
          <w:sz w:val="26"/>
          <w:szCs w:val="26"/>
          <w:rtl/>
        </w:rPr>
        <w:t>وقد يكون تكيف المعايير الموافق عليها دوليا</w:t>
      </w:r>
      <w:r w:rsidRPr="002407C3">
        <w:rPr>
          <w:rStyle w:val="FootnoteReference"/>
          <w:sz w:val="26"/>
          <w:szCs w:val="26"/>
        </w:rPr>
        <w:footnoteReference w:id="36"/>
      </w:r>
      <w:r w:rsidRPr="002407C3">
        <w:rPr>
          <w:rFonts w:hint="cs"/>
          <w:sz w:val="26"/>
          <w:szCs w:val="26"/>
          <w:rtl/>
        </w:rPr>
        <w:t xml:space="preserve"> لتناسب المتطلبات الوطنية طريقة فعالة من الناحية التكاليفية لاعتماد المعايير. وفي سياق البلدان التي ينخفض فيها حجم الاستهلاك، يمكن عادة اعتماد معايير الأجهزة من خلال المعايير الدولية السائدة ويجري مواءمتها بما يتناسب مع الظروف المحلية. غير أن معايير الخدمة تحتاج الى تطوير ودمجها في نظم </w:t>
      </w:r>
      <w:r w:rsidR="00BE62D5" w:rsidRPr="002407C3">
        <w:rPr>
          <w:rFonts w:hint="cs"/>
          <w:sz w:val="26"/>
          <w:szCs w:val="26"/>
          <w:rtl/>
        </w:rPr>
        <w:t>الاعتماد لضمان التطبيق المستدام للأجهزة المستخدمة في البدائل المنخفضة القدرة على الاحترار العالمي.</w:t>
      </w:r>
    </w:p>
    <w:p w:rsidR="00EB56BA" w:rsidRPr="002407C3" w:rsidRDefault="00BE62D5" w:rsidP="00B74F76">
      <w:pPr>
        <w:bidi/>
        <w:spacing w:after="240"/>
        <w:outlineLvl w:val="0"/>
        <w:rPr>
          <w:sz w:val="26"/>
          <w:szCs w:val="26"/>
          <w:u w:val="single"/>
        </w:rPr>
      </w:pPr>
      <w:r w:rsidRPr="002407C3">
        <w:rPr>
          <w:rFonts w:hint="cs"/>
          <w:sz w:val="26"/>
          <w:szCs w:val="26"/>
          <w:u w:val="single"/>
          <w:rtl/>
        </w:rPr>
        <w:t>استثارة الوعي وبناء القدرات</w:t>
      </w:r>
    </w:p>
    <w:p w:rsidR="00BE62D5" w:rsidRPr="002407C3" w:rsidRDefault="00BE62D5" w:rsidP="00B74F76">
      <w:pPr>
        <w:pStyle w:val="Heading1"/>
        <w:bidi/>
        <w:rPr>
          <w:sz w:val="26"/>
          <w:szCs w:val="26"/>
        </w:rPr>
      </w:pPr>
      <w:r w:rsidRPr="002407C3">
        <w:rPr>
          <w:rFonts w:hint="cs"/>
          <w:sz w:val="26"/>
          <w:szCs w:val="26"/>
          <w:rtl/>
        </w:rPr>
        <w:t>وتنفذ أنشطة استثارة الوعى في البلدان التي ينخفض فيها حجم الاستهلاك في إطار خطط إدارة إزالة المواد الهيدروكلوروفلوروكربونية وكجزء من مشروع التعزيز المؤسسي وذلك لكي يدعم بالدرجة الأولى إزالة المواد الخاضعة للرقابة إعمالا لأهداف الامتثال لبروتوكول مونتريال. ولايجري تغطية أنشطة التوعية ذات الصلة بكفاءة استخدام الطاقة بصورة منفصلة بموجب خطط إدارة إزالة المواد الهيدروكلوروفلوروكربونية على الرغم من أنه يجري في بعض الأوقات تغطيتها في إطار أنشطة التدريب لقطاع الخدمة.</w:t>
      </w:r>
    </w:p>
    <w:p w:rsidR="00BE62D5" w:rsidRPr="002407C3" w:rsidRDefault="00BE62D5" w:rsidP="00B74F76">
      <w:pPr>
        <w:pStyle w:val="Heading1"/>
        <w:bidi/>
        <w:rPr>
          <w:sz w:val="26"/>
          <w:szCs w:val="26"/>
        </w:rPr>
      </w:pPr>
      <w:r w:rsidRPr="002407C3">
        <w:rPr>
          <w:rFonts w:hint="cs"/>
          <w:sz w:val="26"/>
          <w:szCs w:val="26"/>
          <w:rtl/>
        </w:rPr>
        <w:t xml:space="preserve">يجري تمويل بناء القدرات لتنفيذ بروتوكول مونتريال منذ إنشاء الصندوق المتعدد الأطراف بصورة مباشرة لكل بلد من بلدان المادة 5 ولبرنامج المساعدة في الامتثال في اليونيب من خلال وظيفة مراكز التنسيق وعلى المستويات الإقليمية والعالمية وذلك أساسا ن خلال اجتماعات الشبكة الإقليمية. ويمكن الاضطلاع على قائمة الأدوات </w:t>
      </w:r>
      <w:r w:rsidRPr="002407C3">
        <w:rPr>
          <w:rFonts w:hint="cs"/>
          <w:sz w:val="26"/>
          <w:szCs w:val="26"/>
          <w:rtl/>
        </w:rPr>
        <w:lastRenderedPageBreak/>
        <w:t>التي وضعها برنامج المساعدة في الامتثال</w:t>
      </w:r>
      <w:r w:rsidRPr="002407C3">
        <w:rPr>
          <w:rStyle w:val="FootnoteReference"/>
          <w:sz w:val="26"/>
          <w:szCs w:val="26"/>
        </w:rPr>
        <w:footnoteReference w:id="37"/>
      </w:r>
      <w:r w:rsidRPr="002407C3">
        <w:rPr>
          <w:rFonts w:hint="cs"/>
          <w:sz w:val="26"/>
          <w:szCs w:val="26"/>
          <w:rtl/>
        </w:rPr>
        <w:t xml:space="preserve"> والأدوات ذات الصلة الآخرى التي وضعتها مختلف الوكالات المنفذة التي يمكن استخدامها لوضع برامج اعتماد الفنيين بطريقة تحقق مردودية</w:t>
      </w:r>
      <w:r w:rsidR="00D97DAC" w:rsidRPr="002407C3">
        <w:rPr>
          <w:rFonts w:hint="cs"/>
          <w:sz w:val="26"/>
          <w:szCs w:val="26"/>
          <w:rtl/>
        </w:rPr>
        <w:t xml:space="preserve"> تكاليفها والتي توضع بما يناسب الاحتياجات التقنية النوعية للبلد المعني.</w:t>
      </w:r>
    </w:p>
    <w:p w:rsidR="00D97DAC" w:rsidRPr="002407C3" w:rsidRDefault="00D97DAC" w:rsidP="00B74F76">
      <w:pPr>
        <w:pStyle w:val="Heading1"/>
        <w:bidi/>
        <w:rPr>
          <w:sz w:val="26"/>
          <w:szCs w:val="26"/>
        </w:rPr>
      </w:pPr>
      <w:r w:rsidRPr="002407C3">
        <w:rPr>
          <w:rFonts w:hint="cs"/>
          <w:sz w:val="26"/>
          <w:szCs w:val="26"/>
          <w:rtl/>
        </w:rPr>
        <w:t>تعتبر أنشطة بناء القدرات ذات الصلة بالقواعد والتدريب والتنسيق المؤسسي مع السلطات المعنية بكفاءة استخدام الطاقة ضرورية لتيسير اعتماد غازات التبريد المنخفضة والمنعدمة القدرة على الاحترار العالمي. ويتعين مواءمة هذه الأنشطة استنادا الى الاحتياجات والأولويات الوطنية. ويمكن أن يؤدي إدراج الجوانب المتعلقة بكفاءة استخدام الطاقة في برامج الإرشاد الى نشر المعلومات عن قضايا الطاقة بصورة فعّالة على مختلف أصحاب المصلحة.</w:t>
      </w:r>
    </w:p>
    <w:p w:rsidR="00D97DAC" w:rsidRPr="002407C3" w:rsidRDefault="00D97DAC" w:rsidP="00D97DAC">
      <w:pPr>
        <w:pStyle w:val="ListParagraph"/>
        <w:bidi/>
        <w:ind w:left="0"/>
        <w:rPr>
          <w:bCs/>
          <w:sz w:val="26"/>
          <w:szCs w:val="26"/>
          <w:rtl/>
        </w:rPr>
      </w:pPr>
      <w:r w:rsidRPr="002407C3">
        <w:rPr>
          <w:rFonts w:hint="cs"/>
          <w:bCs/>
          <w:sz w:val="26"/>
          <w:szCs w:val="26"/>
          <w:rtl/>
        </w:rPr>
        <w:t xml:space="preserve">المعايير ومؤشرات الأداء وارتباط ذلك بآليات تمويل خطط قطاع الخدمة </w:t>
      </w:r>
      <w:r w:rsidRPr="002407C3">
        <w:rPr>
          <w:bCs/>
          <w:sz w:val="26"/>
          <w:szCs w:val="26"/>
          <w:rtl/>
        </w:rPr>
        <w:t>في إدارة إزالة المواد الهيدروكلوروفلوروكربونية الحالية أو الجديدة</w:t>
      </w:r>
    </w:p>
    <w:p w:rsidR="00EB56BA" w:rsidRPr="002407C3" w:rsidRDefault="00EB56BA" w:rsidP="00B74F76">
      <w:pPr>
        <w:bidi/>
        <w:outlineLvl w:val="0"/>
        <w:rPr>
          <w:sz w:val="26"/>
          <w:szCs w:val="26"/>
          <w:highlight w:val="green"/>
        </w:rPr>
      </w:pPr>
    </w:p>
    <w:p w:rsidR="00D97DAC" w:rsidRPr="002407C3" w:rsidRDefault="00D97DAC" w:rsidP="00B74F76">
      <w:pPr>
        <w:pStyle w:val="Heading1"/>
        <w:bidi/>
        <w:rPr>
          <w:sz w:val="26"/>
          <w:szCs w:val="26"/>
        </w:rPr>
      </w:pPr>
      <w:r w:rsidRPr="002407C3">
        <w:rPr>
          <w:rFonts w:hint="cs"/>
          <w:sz w:val="26"/>
          <w:szCs w:val="26"/>
          <w:rtl/>
        </w:rPr>
        <w:t>استعرضت الأمانة الإطار التنظيمي وخطط الإزالة المتعلقة بالمواد الخاضعة للرقابة. وعلى وجه الخصوص أدت تلك المتعلقة بقطاع خدمة التبريد، في ضوء المقرر 82/83(ج) الى الفهم بأن إدخال التكنولوجيات المنخفضة أو المنعدمة القدرة على الاحترار العالمي والحفاظ على كفاءة استخدام الطاقة في أجهزة التبريد وتكييف الهواء ومضخات الحرارة في قطاع خدمة التبريد سوف تقتضي مايلي:</w:t>
      </w:r>
    </w:p>
    <w:p w:rsidR="00D97DAC" w:rsidRPr="002407C3" w:rsidRDefault="00D97DAC" w:rsidP="00B74F76">
      <w:pPr>
        <w:pStyle w:val="Heading2"/>
        <w:bidi/>
        <w:rPr>
          <w:sz w:val="26"/>
          <w:szCs w:val="26"/>
        </w:rPr>
      </w:pPr>
      <w:r w:rsidRPr="002407C3">
        <w:rPr>
          <w:rFonts w:hint="cs"/>
          <w:sz w:val="26"/>
          <w:szCs w:val="26"/>
          <w:rtl/>
        </w:rPr>
        <w:t xml:space="preserve">تعزيز السياسات والقواعد القائمة ووضع الجديد منها للخفض التدريجي للواردات من أجهزة التبريد وتكييف الهواء ومضخات الحرارة المعتمدة على الهيدروكلوروفلوروكربون، ولاعتماد الأجهزة التي تتسم بكفاءة استخدام الطاقة التي تستند الى غازات التبريد المنخفضة </w:t>
      </w:r>
      <w:r w:rsidR="003E3B4B" w:rsidRPr="002407C3">
        <w:rPr>
          <w:rFonts w:hint="cs"/>
          <w:sz w:val="26"/>
          <w:szCs w:val="26"/>
          <w:rtl/>
        </w:rPr>
        <w:t>أ</w:t>
      </w:r>
      <w:r w:rsidRPr="002407C3">
        <w:rPr>
          <w:rFonts w:hint="cs"/>
          <w:sz w:val="26"/>
          <w:szCs w:val="26"/>
          <w:rtl/>
        </w:rPr>
        <w:t>و</w:t>
      </w:r>
      <w:r w:rsidR="003E3B4B" w:rsidRPr="002407C3">
        <w:rPr>
          <w:rFonts w:hint="cs"/>
          <w:sz w:val="26"/>
          <w:szCs w:val="26"/>
          <w:rtl/>
        </w:rPr>
        <w:t xml:space="preserve"> </w:t>
      </w:r>
      <w:r w:rsidRPr="002407C3">
        <w:rPr>
          <w:rFonts w:hint="cs"/>
          <w:sz w:val="26"/>
          <w:szCs w:val="26"/>
          <w:rtl/>
        </w:rPr>
        <w:t>المنعدمة القدرة على الاحترار العالمي مع إزالة المواد الهيدروكلوروفلوروكربونية؛</w:t>
      </w:r>
    </w:p>
    <w:p w:rsidR="00D97DAC" w:rsidRPr="002407C3" w:rsidRDefault="00D97DAC" w:rsidP="00B74F76">
      <w:pPr>
        <w:pStyle w:val="Heading2"/>
        <w:bidi/>
        <w:rPr>
          <w:sz w:val="26"/>
          <w:szCs w:val="26"/>
        </w:rPr>
      </w:pPr>
      <w:r w:rsidRPr="002407C3">
        <w:rPr>
          <w:rFonts w:hint="cs"/>
          <w:sz w:val="26"/>
          <w:szCs w:val="26"/>
          <w:rtl/>
        </w:rPr>
        <w:t>التنسيق مع واضعي السياسات المعنية بكفاءة استخدام الطاقة لوضع معيار لكفاءة أداء الطاقة الدنيا ونظم التوسيم وغير ذلك من الآليات اللازمة لإدخال أجهزة التبريد وتكييف الهواء مضخات الحرارة التي تتسم بكفاءة استخدام الطاقة (مع منع إدخال أجهزة التبريد وتكييف الهواء ومضخات الحرارة المعتمدة على غازات التبريد وتكييف الهواء ومضخات الحرارة المعتمدة على غازات التبريد المنخفضة أو المنعدمة</w:t>
      </w:r>
      <w:r w:rsidR="003E3B4B" w:rsidRPr="002407C3">
        <w:rPr>
          <w:rFonts w:hint="cs"/>
          <w:sz w:val="26"/>
          <w:szCs w:val="26"/>
          <w:rtl/>
        </w:rPr>
        <w:t xml:space="preserve"> القدرة على الاحترار العالمي والتي لا تتسم بكفاءة استخدام الطاقة) في الأسواق المحلية؛</w:t>
      </w:r>
    </w:p>
    <w:p w:rsidR="003E3B4B" w:rsidRPr="002407C3" w:rsidRDefault="003E3B4B" w:rsidP="00B74F76">
      <w:pPr>
        <w:pStyle w:val="Heading2"/>
        <w:bidi/>
        <w:rPr>
          <w:sz w:val="26"/>
          <w:szCs w:val="26"/>
        </w:rPr>
      </w:pPr>
      <w:r w:rsidRPr="002407C3">
        <w:rPr>
          <w:rFonts w:hint="cs"/>
          <w:sz w:val="26"/>
          <w:szCs w:val="26"/>
          <w:rtl/>
        </w:rPr>
        <w:t>مواصلة تنفيذ معايير السلامة والاستخدام الفعال لغازات التبريد المنخفضة أو المنعدمة القدرة على الاحترار العالمي، ووضع وتنفيذ القواعد اللازمة لضمان عدم قيام سوى الفنيين المعتمدين بالخدمة والحفاظ على أجهزة التبريد وتكييف الهواء ومضخات الحرارة ومناولة جميع أنواع غازات التبريد؛</w:t>
      </w:r>
    </w:p>
    <w:p w:rsidR="003E3B4B" w:rsidRPr="002407C3" w:rsidRDefault="003E3B4B" w:rsidP="007951D7">
      <w:pPr>
        <w:pStyle w:val="Heading2"/>
        <w:keepNext/>
        <w:keepLines/>
        <w:bidi/>
        <w:ind w:left="1979"/>
        <w:rPr>
          <w:sz w:val="26"/>
          <w:szCs w:val="26"/>
        </w:rPr>
      </w:pPr>
      <w:r w:rsidRPr="002407C3">
        <w:rPr>
          <w:rFonts w:hint="cs"/>
          <w:sz w:val="26"/>
          <w:szCs w:val="26"/>
          <w:rtl/>
        </w:rPr>
        <w:t>مواصلة التدريب واعتماد الفنيين في تركيب وصيانة وخدمة أجهزة التبريد وتكييف الهواء ومضخات الحرارة  لضمان التشغيل الكفء والمأمون للأجهزة طوال فترة عمرها، وإيضاح التكنولوجيات الجديدة المعتمدة على غازات التبريد المنخفضة أو المنعدمة القدرة على الاحترار العالمي؛</w:t>
      </w:r>
    </w:p>
    <w:p w:rsidR="003E3B4B" w:rsidRPr="002407C3" w:rsidRDefault="003E3B4B" w:rsidP="00B74F76">
      <w:pPr>
        <w:pStyle w:val="Heading2"/>
        <w:bidi/>
        <w:rPr>
          <w:sz w:val="26"/>
          <w:szCs w:val="26"/>
        </w:rPr>
      </w:pPr>
      <w:r w:rsidRPr="002407C3">
        <w:rPr>
          <w:rFonts w:hint="cs"/>
          <w:sz w:val="26"/>
          <w:szCs w:val="26"/>
          <w:rtl/>
        </w:rPr>
        <w:t>التوعية والإرشاد بالمعلومات بشأن اعتماد التكنولوجيات التي تتسم بكفاءة استخدام الطاقة المنخفضة أو المنعدمة القدرة على الاحترار العالمي وبشأن اعتماد الفنيين.</w:t>
      </w:r>
    </w:p>
    <w:p w:rsidR="003E3B4B" w:rsidRPr="002407C3" w:rsidRDefault="003E3B4B" w:rsidP="00AA6474">
      <w:pPr>
        <w:pStyle w:val="Heading1"/>
        <w:bidi/>
        <w:rPr>
          <w:sz w:val="26"/>
          <w:szCs w:val="26"/>
        </w:rPr>
      </w:pPr>
      <w:r w:rsidRPr="002407C3">
        <w:rPr>
          <w:rFonts w:hint="cs"/>
          <w:sz w:val="26"/>
          <w:szCs w:val="26"/>
          <w:rtl/>
        </w:rPr>
        <w:lastRenderedPageBreak/>
        <w:t xml:space="preserve">ونظرا لأن معظم الأنشطة المشار إليها أعلاه لتيسير اعتماد التكنولوجيات المنخفضة أو المنعدمة القدرة على الاحترار العالمي مع إزالة المواد الهيدروكلوروفلوروكربونية التي يجري تنفيذها في الوقت الحالي في إطار المرحلتين الأولي والثانية من خطط إدارة إزالة المواد الهيدروكلوروفلوروكربونية سوف يشمل تفعيل الفقرة 16 من المقرر </w:t>
      </w:r>
      <w:r w:rsidR="00AA6474">
        <w:rPr>
          <w:sz w:val="26"/>
          <w:szCs w:val="26"/>
        </w:rPr>
        <w:t>2/XXVIII</w:t>
      </w:r>
      <w:r w:rsidRPr="002407C3">
        <w:rPr>
          <w:rFonts w:hint="cs"/>
          <w:sz w:val="26"/>
          <w:szCs w:val="26"/>
          <w:rtl/>
        </w:rPr>
        <w:t xml:space="preserve"> تحديد الأنشطة بالإضافة الى الأنشطة الجارية بموجب خطط إدارة إزالة المواد الهيدروكلوروفلوروكربونية. ويجري تنفيذ الأنشطة المتعلقة بإدخال أجهزة التبريد وتكييف الهواء ومضخات الحرارة التي تتسم بالكفاءة كجزء من أنشطة التمكين وأن كانت في نطاق محدود. ولم يبلغ بعد عن نتائج هذه الأنشطة.</w:t>
      </w:r>
    </w:p>
    <w:p w:rsidR="003E3B4B" w:rsidRPr="002407C3" w:rsidRDefault="003E3B4B" w:rsidP="00B74F76">
      <w:pPr>
        <w:pStyle w:val="Heading1"/>
        <w:bidi/>
        <w:rPr>
          <w:sz w:val="26"/>
          <w:szCs w:val="26"/>
        </w:rPr>
      </w:pPr>
      <w:r w:rsidRPr="002407C3">
        <w:rPr>
          <w:rFonts w:hint="cs"/>
          <w:sz w:val="26"/>
          <w:szCs w:val="26"/>
          <w:rtl/>
        </w:rPr>
        <w:t>واستنادا الى الاعتبارات المشار إليها أعلاه سوف يتوقف المدى الذي ستنهض فيه الحاجة الى أموال إضافية على مستويات الأنشطة الإضافية التي ستنفذ بموجب المرحلتين الحاليتين أو المراحل المقبلة من خطط إدارة إزالة المواد الهيدروكلوروفلوروكربونية ويمكن أن يشمل ذلك مايلي بالنسبة للبلدان التي تنفذ بالفعل هذه الأنشطة:</w:t>
      </w:r>
    </w:p>
    <w:p w:rsidR="003E3B4B" w:rsidRPr="002407C3" w:rsidRDefault="003E3B4B" w:rsidP="00B74F76">
      <w:pPr>
        <w:pStyle w:val="Heading2"/>
        <w:bidi/>
        <w:rPr>
          <w:sz w:val="26"/>
          <w:szCs w:val="26"/>
        </w:rPr>
      </w:pPr>
      <w:r w:rsidRPr="002407C3">
        <w:rPr>
          <w:rFonts w:hint="cs"/>
          <w:sz w:val="26"/>
          <w:szCs w:val="26"/>
          <w:rtl/>
        </w:rPr>
        <w:t>المشروعات الرائدة التي تصمم من الناحية الاستراتيجية وتوجه الى المستخدمين النهائيين وخاصة هذه الأجهزة الصغيرة القدرة لاعتماد الأجهزة التي تتسم بالكفاءة التي تعمل بغازات التبريد المنخفضة أو المنعدمة القدرة على الاحترار العالمي، والتي جرى تمويل تحويل عمليات التصنيع بشأنها بموجب خطة إدارة إزالة المواد الهيدروكلوروفلوروكربونية، ويتوقع التعرض لتحديات في قبول السوق؛</w:t>
      </w:r>
    </w:p>
    <w:p w:rsidR="007573F8" w:rsidRPr="002407C3" w:rsidRDefault="007573F8" w:rsidP="00B74F76">
      <w:pPr>
        <w:pStyle w:val="Heading2"/>
        <w:bidi/>
        <w:rPr>
          <w:sz w:val="26"/>
          <w:szCs w:val="26"/>
        </w:rPr>
      </w:pPr>
      <w:r w:rsidRPr="002407C3">
        <w:rPr>
          <w:rFonts w:hint="cs"/>
          <w:sz w:val="26"/>
          <w:szCs w:val="26"/>
          <w:rtl/>
        </w:rPr>
        <w:t>تحديث مواد التدريب لتعزيز المكونات ذات الصلة بالممارسات الجيدة لتركيب وصيانة وخدمة أجهزة التبريد وتكييف الهواء ومضخات الحرارة استنادا الى غازات تبريد بخصائص تشغيل مختلفة فيما يتعلق بالقدرة على الاشتعال والسمية والضغط؛</w:t>
      </w:r>
    </w:p>
    <w:p w:rsidR="007573F8" w:rsidRPr="002407C3" w:rsidRDefault="007573F8" w:rsidP="00B74F76">
      <w:pPr>
        <w:pStyle w:val="Heading2"/>
        <w:bidi/>
        <w:rPr>
          <w:sz w:val="26"/>
          <w:szCs w:val="26"/>
        </w:rPr>
      </w:pPr>
      <w:r w:rsidRPr="002407C3">
        <w:rPr>
          <w:rFonts w:hint="cs"/>
          <w:sz w:val="26"/>
          <w:szCs w:val="26"/>
          <w:rtl/>
        </w:rPr>
        <w:t>التنسيق والتعاون بين وحدة الأوزون الوطنية والسلطات المعنية بكفاءة استخدام الطاقة لدعم وضع وإنفاذ معيار أداء كفاءة الطاقة الدنيا وبرنامج التوسيم والمعايير لإدخال أجهزة التبريد وتكييف الهواء ومضخات الحرارة التي تتسم بالكفاءة وتستند الى تكنولوجيات التبريد المنخفضة أو المنعدمة القدرة على الاحترار العالمي؛</w:t>
      </w:r>
    </w:p>
    <w:p w:rsidR="007573F8" w:rsidRPr="002407C3" w:rsidRDefault="007573F8" w:rsidP="00B74F76">
      <w:pPr>
        <w:pStyle w:val="Heading2"/>
        <w:bidi/>
        <w:rPr>
          <w:sz w:val="26"/>
          <w:szCs w:val="26"/>
        </w:rPr>
      </w:pPr>
      <w:r w:rsidRPr="002407C3">
        <w:rPr>
          <w:rFonts w:hint="cs"/>
          <w:sz w:val="26"/>
          <w:szCs w:val="26"/>
          <w:rtl/>
        </w:rPr>
        <w:t>وضع وإنفاذ خطط اعتماد الفنيين وتعزيز البنية التحتية للمؤسسات الوطنية بشأن تنفيذ نظم الاعتماد. ويتطلب ذلك على وجه الخصوص نتيجة للخواص القابلة للاشتعال والسامة لغازات التبريد المنخفضة أو المنعدمة القدرة على الاحترار العالمي؛</w:t>
      </w:r>
    </w:p>
    <w:p w:rsidR="007573F8" w:rsidRPr="002407C3" w:rsidRDefault="007573F8" w:rsidP="00B74F76">
      <w:pPr>
        <w:pStyle w:val="Heading2"/>
        <w:keepNext/>
        <w:keepLines/>
        <w:bidi/>
        <w:rPr>
          <w:sz w:val="26"/>
          <w:szCs w:val="26"/>
        </w:rPr>
      </w:pPr>
      <w:r w:rsidRPr="002407C3">
        <w:rPr>
          <w:rFonts w:hint="cs"/>
          <w:sz w:val="26"/>
          <w:szCs w:val="26"/>
          <w:rtl/>
        </w:rPr>
        <w:t>برامج التوعية والإرشاد للترويج لإدخال معيار أداء كفاءة الطاقة الدنيا وبرامج التوسيم والاعتماد الإلزامي للفنيين وتطبيق كفاءة استخدام الطاقة على أجهزة التبريد وتكييف الهواء ومضخات الحرارة التي تتسم بالكفاءة والتي تعمل بغازات تبريد منخفضة أو منعدمة القدرة على الاحترار العالمي.</w:t>
      </w:r>
    </w:p>
    <w:p w:rsidR="007573F8" w:rsidRPr="002407C3" w:rsidRDefault="007573F8" w:rsidP="00B74F76">
      <w:pPr>
        <w:pStyle w:val="Heading1"/>
        <w:bidi/>
        <w:rPr>
          <w:color w:val="000000"/>
          <w:sz w:val="26"/>
          <w:szCs w:val="26"/>
          <w:lang w:val="en-CA" w:eastAsia="en-CA"/>
        </w:rPr>
      </w:pPr>
      <w:r w:rsidRPr="002407C3">
        <w:rPr>
          <w:rFonts w:hint="cs"/>
          <w:color w:val="000000"/>
          <w:sz w:val="26"/>
          <w:szCs w:val="26"/>
          <w:rtl/>
          <w:lang w:val="en-CA" w:eastAsia="en-CA"/>
        </w:rPr>
        <w:t xml:space="preserve">ويجري في الوقت الحاضر تمويل أنشطة خطط إدارة إزالة المواد </w:t>
      </w:r>
      <w:r w:rsidRPr="002407C3">
        <w:rPr>
          <w:rFonts w:hint="cs"/>
          <w:sz w:val="26"/>
          <w:szCs w:val="26"/>
          <w:rtl/>
        </w:rPr>
        <w:t>الهيدروكلوروفلوروكربونية في البلدان التي ينخفض فيها حجم الاستهلاك إعمالا للمقرر 74/50(ج)(7) على النحو المبين في الجدول 3.</w:t>
      </w:r>
    </w:p>
    <w:p w:rsidR="00452B92" w:rsidRDefault="00452B92">
      <w:pPr>
        <w:jc w:val="left"/>
        <w:rPr>
          <w:bCs/>
          <w:rtl/>
          <w:lang w:val="en-CA" w:eastAsia="en-CA"/>
        </w:rPr>
      </w:pPr>
      <w:r>
        <w:rPr>
          <w:bCs/>
          <w:rtl/>
          <w:lang w:val="en-CA" w:eastAsia="en-CA"/>
        </w:rPr>
        <w:br w:type="page"/>
      </w:r>
    </w:p>
    <w:p w:rsidR="007573F8" w:rsidRPr="007573F8" w:rsidRDefault="007573F8" w:rsidP="00B74F76">
      <w:pPr>
        <w:bidi/>
        <w:rPr>
          <w:bCs/>
          <w:rtl/>
          <w:lang w:val="en-CA" w:eastAsia="en-CA"/>
        </w:rPr>
      </w:pPr>
      <w:r>
        <w:rPr>
          <w:rFonts w:hint="cs"/>
          <w:bCs/>
          <w:rtl/>
          <w:lang w:val="en-CA" w:eastAsia="en-CA"/>
        </w:rPr>
        <w:lastRenderedPageBreak/>
        <w:t>الجدول 3: مجموع التمويل الموافق عليه لخطة إدارة إزالة المواد الهيدروكلوروفلوروكربونية والأنشطة التمكينية في البلدان التي ينخفض فيها حجم الاستهلاك (بالدولارات الأمريكية)</w:t>
      </w:r>
    </w:p>
    <w:tbl>
      <w:tblPr>
        <w:bidiVisual/>
        <w:tblW w:w="5053" w:type="pct"/>
        <w:tblInd w:w="-100" w:type="dxa"/>
        <w:tblCellMar>
          <w:left w:w="0" w:type="dxa"/>
          <w:right w:w="0" w:type="dxa"/>
        </w:tblCellMar>
        <w:tblLook w:val="04A0" w:firstRow="1" w:lastRow="0" w:firstColumn="1" w:lastColumn="0" w:noHBand="0" w:noVBand="1"/>
      </w:tblPr>
      <w:tblGrid>
        <w:gridCol w:w="3751"/>
        <w:gridCol w:w="1746"/>
        <w:gridCol w:w="1976"/>
        <w:gridCol w:w="2118"/>
      </w:tblGrid>
      <w:tr w:rsidR="00EB56BA" w:rsidRPr="009F577F" w:rsidTr="007573F8">
        <w:tc>
          <w:tcPr>
            <w:tcW w:w="1956" w:type="pct"/>
            <w:tcBorders>
              <w:top w:val="single" w:sz="4" w:space="0" w:color="auto"/>
              <w:left w:val="single" w:sz="4" w:space="0" w:color="auto"/>
              <w:bottom w:val="single" w:sz="4" w:space="0" w:color="auto"/>
              <w:right w:val="single" w:sz="4" w:space="0" w:color="auto"/>
            </w:tcBorders>
            <w:shd w:val="clear" w:color="auto" w:fill="auto"/>
            <w:noWrap/>
            <w:tcMar>
              <w:top w:w="15" w:type="dxa"/>
              <w:left w:w="115" w:type="dxa"/>
              <w:bottom w:w="0" w:type="dxa"/>
              <w:right w:w="15" w:type="dxa"/>
            </w:tcMar>
            <w:vAlign w:val="center"/>
            <w:hideMark/>
          </w:tcPr>
          <w:p w:rsidR="00EB56BA" w:rsidRPr="007573F8" w:rsidRDefault="007573F8" w:rsidP="00B74F76">
            <w:pPr>
              <w:bidi/>
              <w:jc w:val="left"/>
              <w:rPr>
                <w:bCs/>
                <w:color w:val="000000"/>
                <w:sz w:val="21"/>
                <w:szCs w:val="21"/>
                <w:lang w:val="en-CA"/>
              </w:rPr>
            </w:pPr>
            <w:r>
              <w:rPr>
                <w:rFonts w:hint="cs"/>
                <w:bCs/>
                <w:color w:val="000000"/>
                <w:sz w:val="21"/>
                <w:szCs w:val="21"/>
                <w:rtl/>
              </w:rPr>
              <w:t>الاستهلاك (بالطن المتري)</w:t>
            </w:r>
          </w:p>
        </w:tc>
        <w:tc>
          <w:tcPr>
            <w:tcW w:w="910"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B56BA" w:rsidRPr="007573F8" w:rsidRDefault="007573F8" w:rsidP="00B74F76">
            <w:pPr>
              <w:bidi/>
              <w:jc w:val="center"/>
              <w:rPr>
                <w:bCs/>
                <w:color w:val="000000"/>
                <w:sz w:val="21"/>
                <w:szCs w:val="21"/>
              </w:rPr>
            </w:pPr>
            <w:r>
              <w:rPr>
                <w:rFonts w:hint="cs"/>
                <w:bCs/>
                <w:color w:val="000000"/>
                <w:sz w:val="21"/>
                <w:szCs w:val="21"/>
                <w:rtl/>
              </w:rPr>
              <w:t xml:space="preserve">حتى عام </w:t>
            </w:r>
            <w:r w:rsidR="00EB56BA" w:rsidRPr="007573F8">
              <w:rPr>
                <w:bCs/>
                <w:color w:val="000000"/>
                <w:sz w:val="21"/>
                <w:szCs w:val="21"/>
              </w:rPr>
              <w:t xml:space="preserve"> 2020</w:t>
            </w:r>
          </w:p>
        </w:tc>
        <w:tc>
          <w:tcPr>
            <w:tcW w:w="1030"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B56BA" w:rsidRPr="007573F8" w:rsidRDefault="007573F8" w:rsidP="00B74F76">
            <w:pPr>
              <w:bidi/>
              <w:jc w:val="center"/>
              <w:rPr>
                <w:bCs/>
                <w:color w:val="000000"/>
                <w:sz w:val="21"/>
                <w:szCs w:val="21"/>
              </w:rPr>
            </w:pPr>
            <w:r>
              <w:rPr>
                <w:rFonts w:hint="cs"/>
                <w:bCs/>
                <w:color w:val="000000"/>
                <w:sz w:val="21"/>
                <w:szCs w:val="21"/>
                <w:rtl/>
              </w:rPr>
              <w:t xml:space="preserve">حتى عام </w:t>
            </w:r>
            <w:r w:rsidRPr="007573F8">
              <w:rPr>
                <w:bCs/>
                <w:color w:val="000000"/>
                <w:sz w:val="21"/>
                <w:szCs w:val="21"/>
              </w:rPr>
              <w:t xml:space="preserve"> </w:t>
            </w:r>
            <w:r w:rsidR="00EB56BA" w:rsidRPr="007573F8">
              <w:rPr>
                <w:bCs/>
                <w:color w:val="000000"/>
                <w:sz w:val="21"/>
                <w:szCs w:val="21"/>
              </w:rPr>
              <w:t>2025</w:t>
            </w:r>
          </w:p>
        </w:tc>
        <w:tc>
          <w:tcPr>
            <w:tcW w:w="1104"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B56BA" w:rsidRPr="007573F8" w:rsidRDefault="007573F8" w:rsidP="00B74F76">
            <w:pPr>
              <w:bidi/>
              <w:jc w:val="center"/>
              <w:rPr>
                <w:bCs/>
                <w:color w:val="000000"/>
                <w:sz w:val="21"/>
                <w:szCs w:val="21"/>
              </w:rPr>
            </w:pPr>
            <w:r>
              <w:rPr>
                <w:rFonts w:hint="cs"/>
                <w:bCs/>
                <w:color w:val="000000"/>
                <w:sz w:val="21"/>
                <w:szCs w:val="21"/>
                <w:rtl/>
              </w:rPr>
              <w:t>مجموع الإزالة</w:t>
            </w:r>
          </w:p>
        </w:tc>
      </w:tr>
      <w:tr w:rsidR="00EB56BA" w:rsidTr="007573F8">
        <w:tc>
          <w:tcPr>
            <w:tcW w:w="1956" w:type="pct"/>
            <w:tcBorders>
              <w:top w:val="nil"/>
              <w:left w:val="single" w:sz="4" w:space="0" w:color="auto"/>
              <w:bottom w:val="single" w:sz="4" w:space="0" w:color="auto"/>
              <w:right w:val="single" w:sz="4" w:space="0" w:color="auto"/>
            </w:tcBorders>
            <w:shd w:val="clear" w:color="auto" w:fill="auto"/>
            <w:noWrap/>
            <w:tcMar>
              <w:top w:w="15" w:type="dxa"/>
              <w:left w:w="432" w:type="dxa"/>
              <w:bottom w:w="0" w:type="dxa"/>
              <w:right w:w="15" w:type="dxa"/>
            </w:tcMar>
            <w:vAlign w:val="center"/>
            <w:hideMark/>
          </w:tcPr>
          <w:p w:rsidR="00EB56BA" w:rsidRPr="00FB7D98" w:rsidRDefault="00EB56BA" w:rsidP="007573F8">
            <w:pPr>
              <w:bidi/>
              <w:jc w:val="left"/>
              <w:rPr>
                <w:color w:val="000000"/>
                <w:sz w:val="21"/>
                <w:szCs w:val="21"/>
              </w:rPr>
            </w:pPr>
            <w:r w:rsidRPr="00FB7D98">
              <w:rPr>
                <w:color w:val="000000"/>
                <w:sz w:val="21"/>
                <w:szCs w:val="21"/>
              </w:rPr>
              <w:t>0</w:t>
            </w:r>
            <w:r w:rsidR="007573F8">
              <w:rPr>
                <w:rFonts w:hint="cs"/>
                <w:color w:val="000000"/>
                <w:sz w:val="21"/>
                <w:szCs w:val="21"/>
                <w:rtl/>
              </w:rPr>
              <w:t>-</w:t>
            </w:r>
            <w:r w:rsidRPr="00FB7D98">
              <w:rPr>
                <w:color w:val="000000"/>
                <w:sz w:val="21"/>
                <w:szCs w:val="21"/>
              </w:rPr>
              <w:t>15</w:t>
            </w:r>
          </w:p>
        </w:tc>
        <w:tc>
          <w:tcPr>
            <w:tcW w:w="91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EB56BA" w:rsidRPr="00FB7D98" w:rsidRDefault="00EB56BA" w:rsidP="00B74F76">
            <w:pPr>
              <w:bidi/>
              <w:jc w:val="center"/>
              <w:rPr>
                <w:color w:val="000000"/>
                <w:sz w:val="21"/>
                <w:szCs w:val="21"/>
              </w:rPr>
            </w:pPr>
            <w:r w:rsidRPr="00FB7D98">
              <w:rPr>
                <w:color w:val="000000"/>
                <w:sz w:val="21"/>
                <w:szCs w:val="21"/>
              </w:rPr>
              <w:t>205,625</w:t>
            </w:r>
          </w:p>
        </w:tc>
        <w:tc>
          <w:tcPr>
            <w:tcW w:w="103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EB56BA" w:rsidRPr="00FB7D98" w:rsidRDefault="00EB56BA" w:rsidP="00B74F76">
            <w:pPr>
              <w:bidi/>
              <w:jc w:val="center"/>
              <w:rPr>
                <w:color w:val="000000"/>
                <w:sz w:val="21"/>
                <w:szCs w:val="21"/>
              </w:rPr>
            </w:pPr>
            <w:r w:rsidRPr="00FB7D98">
              <w:rPr>
                <w:color w:val="000000"/>
                <w:sz w:val="21"/>
                <w:szCs w:val="21"/>
              </w:rPr>
              <w:t>396,500</w:t>
            </w:r>
          </w:p>
        </w:tc>
        <w:tc>
          <w:tcPr>
            <w:tcW w:w="110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EB56BA" w:rsidRPr="00FB7D98" w:rsidRDefault="00EB56BA" w:rsidP="00B74F76">
            <w:pPr>
              <w:bidi/>
              <w:jc w:val="center"/>
              <w:rPr>
                <w:color w:val="000000"/>
                <w:sz w:val="21"/>
                <w:szCs w:val="21"/>
              </w:rPr>
            </w:pPr>
            <w:r w:rsidRPr="00FB7D98">
              <w:rPr>
                <w:color w:val="000000"/>
                <w:sz w:val="21"/>
                <w:szCs w:val="21"/>
              </w:rPr>
              <w:t>587,500</w:t>
            </w:r>
          </w:p>
        </w:tc>
      </w:tr>
      <w:tr w:rsidR="00EB56BA" w:rsidTr="007573F8">
        <w:tc>
          <w:tcPr>
            <w:tcW w:w="1956" w:type="pct"/>
            <w:tcBorders>
              <w:top w:val="nil"/>
              <w:left w:val="single" w:sz="4" w:space="0" w:color="auto"/>
              <w:bottom w:val="single" w:sz="4" w:space="0" w:color="auto"/>
              <w:right w:val="single" w:sz="4" w:space="0" w:color="auto"/>
            </w:tcBorders>
            <w:shd w:val="clear" w:color="auto" w:fill="auto"/>
            <w:noWrap/>
            <w:tcMar>
              <w:top w:w="15" w:type="dxa"/>
              <w:left w:w="432" w:type="dxa"/>
              <w:bottom w:w="0" w:type="dxa"/>
              <w:right w:w="15" w:type="dxa"/>
            </w:tcMar>
            <w:vAlign w:val="center"/>
            <w:hideMark/>
          </w:tcPr>
          <w:p w:rsidR="00EB56BA" w:rsidRPr="00FB7D98" w:rsidRDefault="00EB56BA" w:rsidP="00B74F76">
            <w:pPr>
              <w:bidi/>
              <w:jc w:val="left"/>
              <w:rPr>
                <w:color w:val="000000"/>
                <w:sz w:val="21"/>
                <w:szCs w:val="21"/>
              </w:rPr>
            </w:pPr>
            <w:r w:rsidRPr="00FB7D98">
              <w:rPr>
                <w:color w:val="000000"/>
                <w:sz w:val="21"/>
                <w:szCs w:val="21"/>
              </w:rPr>
              <w:t>15</w:t>
            </w:r>
            <w:r w:rsidR="007573F8">
              <w:rPr>
                <w:rFonts w:hint="cs"/>
                <w:color w:val="000000"/>
                <w:sz w:val="21"/>
                <w:szCs w:val="21"/>
                <w:rtl/>
              </w:rPr>
              <w:t>-</w:t>
            </w:r>
            <w:r w:rsidRPr="00FB7D98">
              <w:rPr>
                <w:color w:val="000000"/>
                <w:sz w:val="21"/>
                <w:szCs w:val="21"/>
              </w:rPr>
              <w:t>40</w:t>
            </w:r>
          </w:p>
        </w:tc>
        <w:tc>
          <w:tcPr>
            <w:tcW w:w="91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EB56BA" w:rsidRPr="00FB7D98" w:rsidRDefault="00EB56BA" w:rsidP="00B74F76">
            <w:pPr>
              <w:bidi/>
              <w:jc w:val="center"/>
              <w:rPr>
                <w:color w:val="000000"/>
                <w:sz w:val="21"/>
                <w:szCs w:val="21"/>
              </w:rPr>
            </w:pPr>
            <w:r w:rsidRPr="00FB7D98">
              <w:rPr>
                <w:color w:val="000000"/>
                <w:sz w:val="21"/>
                <w:szCs w:val="21"/>
              </w:rPr>
              <w:t>262,500</w:t>
            </w:r>
          </w:p>
        </w:tc>
        <w:tc>
          <w:tcPr>
            <w:tcW w:w="103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EB56BA" w:rsidRPr="00FB7D98" w:rsidRDefault="00EB56BA" w:rsidP="00B74F76">
            <w:pPr>
              <w:bidi/>
              <w:jc w:val="center"/>
              <w:rPr>
                <w:color w:val="000000"/>
                <w:sz w:val="21"/>
                <w:szCs w:val="21"/>
              </w:rPr>
            </w:pPr>
            <w:r w:rsidRPr="00FB7D98">
              <w:rPr>
                <w:color w:val="000000"/>
                <w:sz w:val="21"/>
                <w:szCs w:val="21"/>
              </w:rPr>
              <w:t>506,250</w:t>
            </w:r>
          </w:p>
        </w:tc>
        <w:tc>
          <w:tcPr>
            <w:tcW w:w="110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EB56BA" w:rsidRPr="00FB7D98" w:rsidRDefault="00EB56BA" w:rsidP="00B74F76">
            <w:pPr>
              <w:bidi/>
              <w:jc w:val="center"/>
              <w:rPr>
                <w:color w:val="000000"/>
                <w:sz w:val="21"/>
                <w:szCs w:val="21"/>
              </w:rPr>
            </w:pPr>
            <w:r w:rsidRPr="00FB7D98">
              <w:rPr>
                <w:color w:val="000000"/>
                <w:sz w:val="21"/>
                <w:szCs w:val="21"/>
              </w:rPr>
              <w:t>750,000</w:t>
            </w:r>
          </w:p>
        </w:tc>
      </w:tr>
      <w:tr w:rsidR="00EB56BA" w:rsidTr="007573F8">
        <w:tc>
          <w:tcPr>
            <w:tcW w:w="1956" w:type="pct"/>
            <w:tcBorders>
              <w:top w:val="nil"/>
              <w:left w:val="single" w:sz="4" w:space="0" w:color="auto"/>
              <w:bottom w:val="single" w:sz="4" w:space="0" w:color="auto"/>
              <w:right w:val="single" w:sz="4" w:space="0" w:color="auto"/>
            </w:tcBorders>
            <w:shd w:val="clear" w:color="auto" w:fill="auto"/>
            <w:noWrap/>
            <w:tcMar>
              <w:top w:w="15" w:type="dxa"/>
              <w:left w:w="432" w:type="dxa"/>
              <w:bottom w:w="0" w:type="dxa"/>
              <w:right w:w="15" w:type="dxa"/>
            </w:tcMar>
            <w:vAlign w:val="center"/>
            <w:hideMark/>
          </w:tcPr>
          <w:p w:rsidR="00EB56BA" w:rsidRPr="00FB7D98" w:rsidRDefault="00EB56BA" w:rsidP="00B74F76">
            <w:pPr>
              <w:bidi/>
              <w:jc w:val="left"/>
              <w:rPr>
                <w:color w:val="000000"/>
                <w:sz w:val="21"/>
                <w:szCs w:val="21"/>
              </w:rPr>
            </w:pPr>
            <w:r w:rsidRPr="00FB7D98">
              <w:rPr>
                <w:color w:val="000000"/>
                <w:sz w:val="21"/>
                <w:szCs w:val="21"/>
              </w:rPr>
              <w:t>40</w:t>
            </w:r>
            <w:r w:rsidR="007573F8">
              <w:rPr>
                <w:rFonts w:hint="cs"/>
                <w:color w:val="000000"/>
                <w:sz w:val="21"/>
                <w:szCs w:val="21"/>
                <w:rtl/>
              </w:rPr>
              <w:t>-</w:t>
            </w:r>
            <w:r w:rsidRPr="00FB7D98">
              <w:rPr>
                <w:color w:val="000000"/>
                <w:sz w:val="21"/>
                <w:szCs w:val="21"/>
              </w:rPr>
              <w:t>80</w:t>
            </w:r>
          </w:p>
        </w:tc>
        <w:tc>
          <w:tcPr>
            <w:tcW w:w="91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EB56BA" w:rsidRPr="00FB7D98" w:rsidRDefault="00EB56BA" w:rsidP="00B74F76">
            <w:pPr>
              <w:bidi/>
              <w:jc w:val="center"/>
              <w:rPr>
                <w:color w:val="000000"/>
                <w:sz w:val="21"/>
                <w:szCs w:val="21"/>
              </w:rPr>
            </w:pPr>
            <w:r w:rsidRPr="00FB7D98">
              <w:rPr>
                <w:color w:val="000000"/>
                <w:sz w:val="21"/>
                <w:szCs w:val="21"/>
              </w:rPr>
              <w:t>280,000</w:t>
            </w:r>
          </w:p>
        </w:tc>
        <w:tc>
          <w:tcPr>
            <w:tcW w:w="103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EB56BA" w:rsidRPr="00FB7D98" w:rsidRDefault="00EB56BA" w:rsidP="00B74F76">
            <w:pPr>
              <w:bidi/>
              <w:jc w:val="center"/>
              <w:rPr>
                <w:color w:val="000000"/>
                <w:sz w:val="21"/>
                <w:szCs w:val="21"/>
              </w:rPr>
            </w:pPr>
            <w:r w:rsidRPr="00FB7D98">
              <w:rPr>
                <w:color w:val="000000"/>
                <w:sz w:val="21"/>
                <w:szCs w:val="21"/>
              </w:rPr>
              <w:t>540,000</w:t>
            </w:r>
          </w:p>
        </w:tc>
        <w:tc>
          <w:tcPr>
            <w:tcW w:w="110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EB56BA" w:rsidRPr="00FB7D98" w:rsidRDefault="00EB56BA" w:rsidP="00B74F76">
            <w:pPr>
              <w:bidi/>
              <w:jc w:val="center"/>
              <w:rPr>
                <w:color w:val="000000"/>
                <w:sz w:val="21"/>
                <w:szCs w:val="21"/>
              </w:rPr>
            </w:pPr>
            <w:r w:rsidRPr="00FB7D98">
              <w:rPr>
                <w:color w:val="000000"/>
                <w:sz w:val="21"/>
                <w:szCs w:val="21"/>
              </w:rPr>
              <w:t>800,000</w:t>
            </w:r>
          </w:p>
        </w:tc>
      </w:tr>
      <w:tr w:rsidR="00EB56BA" w:rsidTr="007573F8">
        <w:tc>
          <w:tcPr>
            <w:tcW w:w="1956" w:type="pct"/>
            <w:tcBorders>
              <w:top w:val="nil"/>
              <w:left w:val="single" w:sz="4" w:space="0" w:color="auto"/>
              <w:bottom w:val="single" w:sz="4" w:space="0" w:color="auto"/>
              <w:right w:val="single" w:sz="4" w:space="0" w:color="auto"/>
            </w:tcBorders>
            <w:shd w:val="clear" w:color="auto" w:fill="auto"/>
            <w:noWrap/>
            <w:tcMar>
              <w:top w:w="15" w:type="dxa"/>
              <w:left w:w="432" w:type="dxa"/>
              <w:bottom w:w="0" w:type="dxa"/>
              <w:right w:w="15" w:type="dxa"/>
            </w:tcMar>
            <w:vAlign w:val="center"/>
            <w:hideMark/>
          </w:tcPr>
          <w:p w:rsidR="00EB56BA" w:rsidRPr="00FB7D98" w:rsidRDefault="00EB56BA" w:rsidP="00B74F76">
            <w:pPr>
              <w:bidi/>
              <w:jc w:val="left"/>
              <w:rPr>
                <w:color w:val="000000"/>
                <w:sz w:val="21"/>
                <w:szCs w:val="21"/>
              </w:rPr>
            </w:pPr>
            <w:r w:rsidRPr="00FB7D98">
              <w:rPr>
                <w:color w:val="000000"/>
                <w:sz w:val="21"/>
                <w:szCs w:val="21"/>
              </w:rPr>
              <w:t>80</w:t>
            </w:r>
            <w:r w:rsidR="007573F8">
              <w:rPr>
                <w:rFonts w:hint="cs"/>
                <w:color w:val="000000"/>
                <w:sz w:val="21"/>
                <w:szCs w:val="21"/>
                <w:rtl/>
              </w:rPr>
              <w:t>-</w:t>
            </w:r>
            <w:r w:rsidRPr="00FB7D98">
              <w:rPr>
                <w:color w:val="000000"/>
                <w:sz w:val="21"/>
                <w:szCs w:val="21"/>
              </w:rPr>
              <w:t>120</w:t>
            </w:r>
          </w:p>
        </w:tc>
        <w:tc>
          <w:tcPr>
            <w:tcW w:w="91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EB56BA" w:rsidRPr="00FB7D98" w:rsidRDefault="00EB56BA" w:rsidP="00B74F76">
            <w:pPr>
              <w:bidi/>
              <w:jc w:val="center"/>
              <w:rPr>
                <w:color w:val="000000"/>
                <w:sz w:val="21"/>
                <w:szCs w:val="21"/>
              </w:rPr>
            </w:pPr>
            <w:r w:rsidRPr="00FB7D98">
              <w:rPr>
                <w:color w:val="000000"/>
                <w:sz w:val="21"/>
                <w:szCs w:val="21"/>
              </w:rPr>
              <w:t>315,000</w:t>
            </w:r>
          </w:p>
        </w:tc>
        <w:tc>
          <w:tcPr>
            <w:tcW w:w="103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EB56BA" w:rsidRPr="00FB7D98" w:rsidRDefault="00EB56BA" w:rsidP="00B74F76">
            <w:pPr>
              <w:bidi/>
              <w:jc w:val="center"/>
              <w:rPr>
                <w:color w:val="000000"/>
                <w:sz w:val="21"/>
                <w:szCs w:val="21"/>
              </w:rPr>
            </w:pPr>
            <w:r w:rsidRPr="00FB7D98">
              <w:rPr>
                <w:color w:val="000000"/>
                <w:sz w:val="21"/>
                <w:szCs w:val="21"/>
              </w:rPr>
              <w:t>607,500</w:t>
            </w:r>
          </w:p>
        </w:tc>
        <w:tc>
          <w:tcPr>
            <w:tcW w:w="110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EB56BA" w:rsidRPr="00FB7D98" w:rsidRDefault="00EB56BA" w:rsidP="00B74F76">
            <w:pPr>
              <w:bidi/>
              <w:jc w:val="center"/>
              <w:rPr>
                <w:color w:val="000000"/>
                <w:sz w:val="21"/>
                <w:szCs w:val="21"/>
              </w:rPr>
            </w:pPr>
            <w:r w:rsidRPr="00FB7D98">
              <w:rPr>
                <w:color w:val="000000"/>
                <w:sz w:val="21"/>
                <w:szCs w:val="21"/>
              </w:rPr>
              <w:t>900,000</w:t>
            </w:r>
          </w:p>
        </w:tc>
      </w:tr>
      <w:tr w:rsidR="00EB56BA" w:rsidTr="007573F8">
        <w:tc>
          <w:tcPr>
            <w:tcW w:w="1956" w:type="pct"/>
            <w:tcBorders>
              <w:top w:val="nil"/>
              <w:left w:val="single" w:sz="4" w:space="0" w:color="auto"/>
              <w:bottom w:val="single" w:sz="4" w:space="0" w:color="auto"/>
              <w:right w:val="single" w:sz="4" w:space="0" w:color="auto"/>
            </w:tcBorders>
            <w:shd w:val="clear" w:color="auto" w:fill="auto"/>
            <w:noWrap/>
            <w:tcMar>
              <w:top w:w="15" w:type="dxa"/>
              <w:left w:w="432" w:type="dxa"/>
              <w:bottom w:w="0" w:type="dxa"/>
              <w:right w:w="15" w:type="dxa"/>
            </w:tcMar>
            <w:vAlign w:val="center"/>
            <w:hideMark/>
          </w:tcPr>
          <w:p w:rsidR="00EB56BA" w:rsidRPr="00FB7D98" w:rsidRDefault="00EB56BA" w:rsidP="00B74F76">
            <w:pPr>
              <w:bidi/>
              <w:jc w:val="left"/>
              <w:rPr>
                <w:color w:val="000000"/>
                <w:sz w:val="21"/>
                <w:szCs w:val="21"/>
              </w:rPr>
            </w:pPr>
            <w:r w:rsidRPr="00FB7D98">
              <w:rPr>
                <w:color w:val="000000"/>
                <w:sz w:val="21"/>
                <w:szCs w:val="21"/>
              </w:rPr>
              <w:t>120</w:t>
            </w:r>
            <w:r w:rsidR="007573F8">
              <w:rPr>
                <w:rFonts w:hint="cs"/>
                <w:color w:val="000000"/>
                <w:sz w:val="21"/>
                <w:szCs w:val="21"/>
                <w:rtl/>
              </w:rPr>
              <w:t>-</w:t>
            </w:r>
            <w:r w:rsidRPr="00FB7D98">
              <w:rPr>
                <w:color w:val="000000"/>
                <w:sz w:val="21"/>
                <w:szCs w:val="21"/>
              </w:rPr>
              <w:t>160</w:t>
            </w:r>
          </w:p>
        </w:tc>
        <w:tc>
          <w:tcPr>
            <w:tcW w:w="91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EB56BA" w:rsidRPr="00FB7D98" w:rsidRDefault="00EB56BA" w:rsidP="00B74F76">
            <w:pPr>
              <w:bidi/>
              <w:jc w:val="center"/>
              <w:rPr>
                <w:color w:val="000000"/>
                <w:sz w:val="21"/>
                <w:szCs w:val="21"/>
              </w:rPr>
            </w:pPr>
            <w:r w:rsidRPr="00FB7D98">
              <w:rPr>
                <w:color w:val="000000"/>
                <w:sz w:val="21"/>
                <w:szCs w:val="21"/>
              </w:rPr>
              <w:t>332,500</w:t>
            </w:r>
          </w:p>
        </w:tc>
        <w:tc>
          <w:tcPr>
            <w:tcW w:w="103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EB56BA" w:rsidRPr="00FB7D98" w:rsidRDefault="00EB56BA" w:rsidP="00B74F76">
            <w:pPr>
              <w:bidi/>
              <w:jc w:val="center"/>
              <w:rPr>
                <w:color w:val="000000"/>
                <w:sz w:val="21"/>
                <w:szCs w:val="21"/>
              </w:rPr>
            </w:pPr>
            <w:r w:rsidRPr="00FB7D98">
              <w:rPr>
                <w:color w:val="000000"/>
                <w:sz w:val="21"/>
                <w:szCs w:val="21"/>
              </w:rPr>
              <w:t>641,250</w:t>
            </w:r>
          </w:p>
        </w:tc>
        <w:tc>
          <w:tcPr>
            <w:tcW w:w="110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EB56BA" w:rsidRPr="00FB7D98" w:rsidRDefault="00EB56BA" w:rsidP="00B74F76">
            <w:pPr>
              <w:bidi/>
              <w:jc w:val="center"/>
              <w:rPr>
                <w:color w:val="000000"/>
                <w:sz w:val="21"/>
                <w:szCs w:val="21"/>
              </w:rPr>
            </w:pPr>
            <w:r w:rsidRPr="00FB7D98">
              <w:rPr>
                <w:color w:val="000000"/>
                <w:sz w:val="21"/>
                <w:szCs w:val="21"/>
              </w:rPr>
              <w:t>950,000</w:t>
            </w:r>
          </w:p>
        </w:tc>
      </w:tr>
      <w:tr w:rsidR="00EB56BA" w:rsidTr="007573F8">
        <w:tc>
          <w:tcPr>
            <w:tcW w:w="1956" w:type="pct"/>
            <w:tcBorders>
              <w:top w:val="nil"/>
              <w:left w:val="single" w:sz="4" w:space="0" w:color="auto"/>
              <w:bottom w:val="single" w:sz="4" w:space="0" w:color="auto"/>
              <w:right w:val="single" w:sz="4" w:space="0" w:color="auto"/>
            </w:tcBorders>
            <w:shd w:val="clear" w:color="auto" w:fill="auto"/>
            <w:noWrap/>
            <w:tcMar>
              <w:top w:w="15" w:type="dxa"/>
              <w:left w:w="432" w:type="dxa"/>
              <w:bottom w:w="0" w:type="dxa"/>
              <w:right w:w="15" w:type="dxa"/>
            </w:tcMar>
            <w:vAlign w:val="center"/>
            <w:hideMark/>
          </w:tcPr>
          <w:p w:rsidR="00EB56BA" w:rsidRPr="00FB7D98" w:rsidRDefault="00EB56BA" w:rsidP="00B74F76">
            <w:pPr>
              <w:bidi/>
              <w:jc w:val="left"/>
              <w:rPr>
                <w:color w:val="000000"/>
                <w:sz w:val="21"/>
                <w:szCs w:val="21"/>
              </w:rPr>
            </w:pPr>
            <w:r w:rsidRPr="00FB7D98">
              <w:rPr>
                <w:color w:val="000000"/>
                <w:sz w:val="21"/>
                <w:szCs w:val="21"/>
              </w:rPr>
              <w:t>160</w:t>
            </w:r>
            <w:r w:rsidR="007573F8">
              <w:rPr>
                <w:rFonts w:hint="cs"/>
                <w:color w:val="000000"/>
                <w:sz w:val="21"/>
                <w:szCs w:val="21"/>
                <w:rtl/>
              </w:rPr>
              <w:t>-</w:t>
            </w:r>
            <w:r w:rsidRPr="00FB7D98">
              <w:rPr>
                <w:color w:val="000000"/>
                <w:sz w:val="21"/>
                <w:szCs w:val="21"/>
              </w:rPr>
              <w:t>200</w:t>
            </w:r>
          </w:p>
        </w:tc>
        <w:tc>
          <w:tcPr>
            <w:tcW w:w="91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EB56BA" w:rsidRPr="00FB7D98" w:rsidRDefault="00EB56BA" w:rsidP="00B74F76">
            <w:pPr>
              <w:bidi/>
              <w:jc w:val="center"/>
              <w:rPr>
                <w:color w:val="000000"/>
                <w:sz w:val="21"/>
                <w:szCs w:val="21"/>
              </w:rPr>
            </w:pPr>
            <w:r w:rsidRPr="00FB7D98">
              <w:rPr>
                <w:color w:val="000000"/>
                <w:sz w:val="21"/>
                <w:szCs w:val="21"/>
              </w:rPr>
              <w:t>350,000</w:t>
            </w:r>
          </w:p>
        </w:tc>
        <w:tc>
          <w:tcPr>
            <w:tcW w:w="103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EB56BA" w:rsidRPr="00FB7D98" w:rsidRDefault="00EB56BA" w:rsidP="00B74F76">
            <w:pPr>
              <w:bidi/>
              <w:jc w:val="center"/>
              <w:rPr>
                <w:color w:val="000000"/>
                <w:sz w:val="21"/>
                <w:szCs w:val="21"/>
              </w:rPr>
            </w:pPr>
            <w:r w:rsidRPr="00FB7D98">
              <w:rPr>
                <w:color w:val="000000"/>
                <w:sz w:val="21"/>
                <w:szCs w:val="21"/>
              </w:rPr>
              <w:t>675,000</w:t>
            </w:r>
          </w:p>
        </w:tc>
        <w:tc>
          <w:tcPr>
            <w:tcW w:w="110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EB56BA" w:rsidRPr="00FB7D98" w:rsidRDefault="00EB56BA" w:rsidP="00B74F76">
            <w:pPr>
              <w:bidi/>
              <w:jc w:val="center"/>
              <w:rPr>
                <w:color w:val="000000"/>
                <w:sz w:val="21"/>
                <w:szCs w:val="21"/>
              </w:rPr>
            </w:pPr>
            <w:r w:rsidRPr="00FB7D98">
              <w:rPr>
                <w:color w:val="000000"/>
                <w:sz w:val="21"/>
                <w:szCs w:val="21"/>
              </w:rPr>
              <w:t>1,000,000</w:t>
            </w:r>
          </w:p>
        </w:tc>
      </w:tr>
      <w:tr w:rsidR="00EB56BA" w:rsidTr="007573F8">
        <w:tc>
          <w:tcPr>
            <w:tcW w:w="1956" w:type="pct"/>
            <w:tcBorders>
              <w:top w:val="nil"/>
              <w:left w:val="single" w:sz="4" w:space="0" w:color="auto"/>
              <w:bottom w:val="single" w:sz="4" w:space="0" w:color="auto"/>
              <w:right w:val="single" w:sz="4" w:space="0" w:color="auto"/>
            </w:tcBorders>
            <w:shd w:val="clear" w:color="auto" w:fill="auto"/>
            <w:noWrap/>
            <w:tcMar>
              <w:top w:w="15" w:type="dxa"/>
              <w:left w:w="432" w:type="dxa"/>
              <w:bottom w:w="0" w:type="dxa"/>
              <w:right w:w="15" w:type="dxa"/>
            </w:tcMar>
            <w:vAlign w:val="center"/>
            <w:hideMark/>
          </w:tcPr>
          <w:p w:rsidR="00EB56BA" w:rsidRPr="00FB7D98" w:rsidRDefault="00EB56BA" w:rsidP="00B74F76">
            <w:pPr>
              <w:bidi/>
              <w:jc w:val="left"/>
              <w:rPr>
                <w:color w:val="000000"/>
                <w:sz w:val="21"/>
                <w:szCs w:val="21"/>
              </w:rPr>
            </w:pPr>
            <w:r w:rsidRPr="00FB7D98">
              <w:rPr>
                <w:color w:val="000000"/>
                <w:sz w:val="21"/>
                <w:szCs w:val="21"/>
              </w:rPr>
              <w:t>200</w:t>
            </w:r>
            <w:r w:rsidR="007573F8">
              <w:rPr>
                <w:rFonts w:hint="cs"/>
                <w:color w:val="000000"/>
                <w:sz w:val="21"/>
                <w:szCs w:val="21"/>
                <w:rtl/>
              </w:rPr>
              <w:t>-</w:t>
            </w:r>
            <w:r w:rsidRPr="00FB7D98">
              <w:rPr>
                <w:color w:val="000000"/>
                <w:sz w:val="21"/>
                <w:szCs w:val="21"/>
              </w:rPr>
              <w:t>320</w:t>
            </w:r>
          </w:p>
        </w:tc>
        <w:tc>
          <w:tcPr>
            <w:tcW w:w="91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EB56BA" w:rsidRPr="00FB7D98" w:rsidRDefault="00EB56BA" w:rsidP="00B74F76">
            <w:pPr>
              <w:bidi/>
              <w:jc w:val="center"/>
              <w:rPr>
                <w:color w:val="000000"/>
                <w:sz w:val="21"/>
                <w:szCs w:val="21"/>
              </w:rPr>
            </w:pPr>
            <w:r w:rsidRPr="00FB7D98">
              <w:rPr>
                <w:color w:val="000000"/>
                <w:sz w:val="21"/>
                <w:szCs w:val="21"/>
              </w:rPr>
              <w:t>560,000</w:t>
            </w:r>
          </w:p>
        </w:tc>
        <w:tc>
          <w:tcPr>
            <w:tcW w:w="103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EB56BA" w:rsidRPr="00FB7D98" w:rsidRDefault="00EB56BA" w:rsidP="00B74F76">
            <w:pPr>
              <w:bidi/>
              <w:jc w:val="center"/>
              <w:rPr>
                <w:color w:val="000000"/>
                <w:sz w:val="21"/>
                <w:szCs w:val="21"/>
              </w:rPr>
            </w:pPr>
            <w:r w:rsidRPr="00FB7D98">
              <w:rPr>
                <w:color w:val="000000"/>
                <w:sz w:val="21"/>
                <w:szCs w:val="21"/>
              </w:rPr>
              <w:t>1,080,000</w:t>
            </w:r>
          </w:p>
        </w:tc>
        <w:tc>
          <w:tcPr>
            <w:tcW w:w="110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EB56BA" w:rsidRPr="00FB7D98" w:rsidRDefault="00EB56BA" w:rsidP="00B74F76">
            <w:pPr>
              <w:bidi/>
              <w:jc w:val="center"/>
              <w:rPr>
                <w:color w:val="000000"/>
                <w:sz w:val="21"/>
                <w:szCs w:val="21"/>
              </w:rPr>
            </w:pPr>
            <w:r w:rsidRPr="00FB7D98">
              <w:rPr>
                <w:color w:val="000000"/>
                <w:sz w:val="21"/>
                <w:szCs w:val="21"/>
              </w:rPr>
              <w:t>1,600,000</w:t>
            </w:r>
          </w:p>
        </w:tc>
      </w:tr>
      <w:tr w:rsidR="00EB56BA" w:rsidTr="007573F8">
        <w:tc>
          <w:tcPr>
            <w:tcW w:w="1956" w:type="pct"/>
            <w:tcBorders>
              <w:top w:val="nil"/>
              <w:left w:val="single" w:sz="4" w:space="0" w:color="auto"/>
              <w:bottom w:val="single" w:sz="4" w:space="0" w:color="auto"/>
              <w:right w:val="single" w:sz="4" w:space="0" w:color="auto"/>
            </w:tcBorders>
            <w:shd w:val="clear" w:color="auto" w:fill="auto"/>
            <w:noWrap/>
            <w:tcMar>
              <w:top w:w="15" w:type="dxa"/>
              <w:left w:w="432" w:type="dxa"/>
              <w:bottom w:w="0" w:type="dxa"/>
              <w:right w:w="15" w:type="dxa"/>
            </w:tcMar>
            <w:vAlign w:val="center"/>
            <w:hideMark/>
          </w:tcPr>
          <w:p w:rsidR="00EB56BA" w:rsidRPr="00FB7D98" w:rsidRDefault="00EB56BA" w:rsidP="00B74F76">
            <w:pPr>
              <w:bidi/>
              <w:jc w:val="left"/>
              <w:rPr>
                <w:color w:val="000000"/>
                <w:sz w:val="21"/>
                <w:szCs w:val="21"/>
              </w:rPr>
            </w:pPr>
            <w:r w:rsidRPr="00FB7D98">
              <w:rPr>
                <w:color w:val="000000"/>
                <w:sz w:val="21"/>
                <w:szCs w:val="21"/>
              </w:rPr>
              <w:t>320</w:t>
            </w:r>
            <w:r w:rsidR="007573F8">
              <w:rPr>
                <w:rFonts w:hint="cs"/>
                <w:color w:val="000000"/>
                <w:sz w:val="21"/>
                <w:szCs w:val="21"/>
                <w:rtl/>
              </w:rPr>
              <w:t>-</w:t>
            </w:r>
            <w:r w:rsidRPr="00FB7D98">
              <w:rPr>
                <w:color w:val="000000"/>
                <w:sz w:val="21"/>
                <w:szCs w:val="21"/>
              </w:rPr>
              <w:t>360</w:t>
            </w:r>
          </w:p>
        </w:tc>
        <w:tc>
          <w:tcPr>
            <w:tcW w:w="91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EB56BA" w:rsidRPr="00FB7D98" w:rsidRDefault="00EB56BA" w:rsidP="00B74F76">
            <w:pPr>
              <w:bidi/>
              <w:jc w:val="center"/>
              <w:rPr>
                <w:color w:val="000000"/>
                <w:sz w:val="21"/>
                <w:szCs w:val="21"/>
              </w:rPr>
            </w:pPr>
            <w:r w:rsidRPr="00FB7D98">
              <w:rPr>
                <w:color w:val="000000"/>
                <w:sz w:val="21"/>
                <w:szCs w:val="21"/>
              </w:rPr>
              <w:t>630,000</w:t>
            </w:r>
          </w:p>
        </w:tc>
        <w:tc>
          <w:tcPr>
            <w:tcW w:w="103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EB56BA" w:rsidRPr="00FB7D98" w:rsidRDefault="00EB56BA" w:rsidP="00B74F76">
            <w:pPr>
              <w:bidi/>
              <w:jc w:val="center"/>
              <w:rPr>
                <w:color w:val="000000"/>
                <w:sz w:val="21"/>
                <w:szCs w:val="21"/>
              </w:rPr>
            </w:pPr>
            <w:r w:rsidRPr="00FB7D98">
              <w:rPr>
                <w:color w:val="000000"/>
                <w:sz w:val="21"/>
                <w:szCs w:val="21"/>
              </w:rPr>
              <w:t>1,215,000</w:t>
            </w:r>
          </w:p>
        </w:tc>
        <w:tc>
          <w:tcPr>
            <w:tcW w:w="110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EB56BA" w:rsidRPr="00FB7D98" w:rsidRDefault="00EB56BA" w:rsidP="00B74F76">
            <w:pPr>
              <w:bidi/>
              <w:jc w:val="center"/>
              <w:rPr>
                <w:color w:val="000000"/>
                <w:sz w:val="21"/>
                <w:szCs w:val="21"/>
              </w:rPr>
            </w:pPr>
            <w:r w:rsidRPr="00FB7D98">
              <w:rPr>
                <w:color w:val="000000"/>
                <w:sz w:val="21"/>
                <w:szCs w:val="21"/>
              </w:rPr>
              <w:t>1,800,000</w:t>
            </w:r>
          </w:p>
        </w:tc>
      </w:tr>
    </w:tbl>
    <w:p w:rsidR="00EB56BA" w:rsidRDefault="00EB56BA" w:rsidP="00B74F76">
      <w:pPr>
        <w:bidi/>
        <w:rPr>
          <w:b/>
          <w:sz w:val="21"/>
          <w:szCs w:val="21"/>
          <w:lang w:val="en-CA" w:eastAsia="en-CA"/>
        </w:rPr>
      </w:pPr>
    </w:p>
    <w:p w:rsidR="007573F8" w:rsidRPr="002407C3" w:rsidRDefault="007573F8" w:rsidP="00B74F76">
      <w:pPr>
        <w:pStyle w:val="Heading1"/>
        <w:bidi/>
        <w:rPr>
          <w:sz w:val="26"/>
          <w:szCs w:val="26"/>
        </w:rPr>
      </w:pPr>
      <w:r w:rsidRPr="002407C3">
        <w:rPr>
          <w:rFonts w:hint="cs"/>
          <w:sz w:val="26"/>
          <w:szCs w:val="26"/>
          <w:rtl/>
        </w:rPr>
        <w:t>ويتوقف توفير التمويل الإضافي اللازم لتحقيق أهداف المقرر 82/83(ج) على تصميم المرحلة الثانية من خطط إدارة إزالة المواد الهيدروكلوروفلوروكربونية من حيث الأنشطة التي ستيسر اعتماد البدائل المنخفضة أو المنعدمة القدرة على الاحترار العالمي والحفاظ على كفاءة استخدام الطاقة يمكن بمقتضى المستويات الحالية للتمويل بموجب المقرر 74/50 ومن خلال عملية إجراء التعديل الملائم للأنشطة، الاضطلاع أيضا بتدريب الفنيين وأنشطة التوعية والإرشاد لتطبيق البدائل المنخفضة أو المنعدمة القدرة على الاحترار العالمي.</w:t>
      </w:r>
      <w:r w:rsidRPr="002407C3">
        <w:rPr>
          <w:rStyle w:val="FootnoteReference"/>
          <w:sz w:val="26"/>
          <w:szCs w:val="26"/>
        </w:rPr>
        <w:t xml:space="preserve"> </w:t>
      </w:r>
      <w:r w:rsidRPr="002407C3">
        <w:rPr>
          <w:rStyle w:val="FootnoteReference"/>
          <w:sz w:val="26"/>
          <w:szCs w:val="26"/>
        </w:rPr>
        <w:footnoteReference w:id="38"/>
      </w:r>
    </w:p>
    <w:p w:rsidR="007573F8" w:rsidRPr="002407C3" w:rsidRDefault="007573F8" w:rsidP="00B74F76">
      <w:pPr>
        <w:pStyle w:val="Heading1"/>
        <w:bidi/>
        <w:rPr>
          <w:sz w:val="26"/>
          <w:szCs w:val="26"/>
        </w:rPr>
      </w:pPr>
      <w:r w:rsidRPr="002407C3">
        <w:rPr>
          <w:rFonts w:hint="cs"/>
          <w:sz w:val="26"/>
          <w:szCs w:val="26"/>
          <w:rtl/>
        </w:rPr>
        <w:t>وسوف تنشأ الحاجة الى أنشطة إضافية بالدرجة الأولى لمعالجة التنسيق بين وحدة الأوزون الوطنية والمؤسسات/ السلطات التي تتناول المسائل المتعلقة بكفاءة استخدام الطاقة لضمان إدراج قواعد هذه الكفاءة مع وضع المعايير الوطنية لاعتماد التكنولوجيات المنخفضة أو المنعدمة القدرة على الاحترار العالمي وتعزيز البنية التحتية لاعتماد الفنيين للتطبيق الآمن للتكنولوجيات المنخفضة أو الخالية من القدرة على الاحترار العالمي. وسوف تيسر هذه الأنشطة الإضافية تحقيق عملية إزالة الهيدروكلوروفلوروكربون بطريقة مستدامة وتقييم منصة لأنشطة خفض الهيدروفلوروكربون.</w:t>
      </w:r>
    </w:p>
    <w:p w:rsidR="001F2E42" w:rsidRPr="002407C3" w:rsidRDefault="001F2E42" w:rsidP="007573F8">
      <w:pPr>
        <w:pStyle w:val="Heading1"/>
        <w:bidi/>
        <w:rPr>
          <w:sz w:val="26"/>
          <w:szCs w:val="26"/>
        </w:rPr>
      </w:pPr>
      <w:r w:rsidRPr="002407C3">
        <w:rPr>
          <w:rFonts w:hint="cs"/>
          <w:sz w:val="26"/>
          <w:szCs w:val="26"/>
          <w:rtl/>
        </w:rPr>
        <w:t>وبالنسبة لخطط إدارة إزالة المواد الهيدروكلوروفلوروكربونية الجديدة أو المرحلة الجديدة من خطط إزالة إزالة الهيدروكلوروفلوروكربونية، سيتعين على البلدان تقديم طلبات تمويل إضافية تستند الى المستويات الإضافية للتمويل لكي يتم الموافقة عليها في ظل الظروف المرتبطة بها بشأن الأنشطة المشار إليها أعلاه، وبالنسبة للمرحلة الثانية من خطط إدارة إزالة المواد الهيدروكلوروفلوروكربونية التي ووفق عليها بالفعل، سيجري نظر التمويل الإضافي والظروف المرتبطة بها بالاستناد الى الخطط المعدلة خلال تقديم شريحة التمويل التالية.</w:t>
      </w:r>
    </w:p>
    <w:p w:rsidR="001F2E42" w:rsidRPr="002407C3" w:rsidRDefault="001F2E42" w:rsidP="00B74F76">
      <w:pPr>
        <w:pStyle w:val="Heading1"/>
        <w:bidi/>
        <w:rPr>
          <w:sz w:val="26"/>
          <w:szCs w:val="26"/>
        </w:rPr>
      </w:pPr>
      <w:r w:rsidRPr="002407C3">
        <w:rPr>
          <w:rFonts w:hint="cs"/>
          <w:sz w:val="26"/>
          <w:szCs w:val="26"/>
          <w:rtl/>
        </w:rPr>
        <w:t>وترتبط مؤشرات الأداء بالإجراءات النوعية التي نظرت بشأن التنفيذ، ويمكن اعتماد مؤشرات الأداء التالية مع الاضافات أو التعديلات الملائمة لقياس أداء السياسات النوعية:</w:t>
      </w:r>
    </w:p>
    <w:p w:rsidR="001F2E42" w:rsidRPr="002407C3" w:rsidRDefault="001F2E42" w:rsidP="00B74F76">
      <w:pPr>
        <w:pStyle w:val="Heading2"/>
        <w:bidi/>
        <w:rPr>
          <w:sz w:val="26"/>
          <w:szCs w:val="26"/>
        </w:rPr>
      </w:pPr>
      <w:r w:rsidRPr="002407C3">
        <w:rPr>
          <w:rFonts w:hint="cs"/>
          <w:sz w:val="26"/>
          <w:szCs w:val="26"/>
          <w:rtl/>
        </w:rPr>
        <w:t>عدد السياسات والقواعد التي وضعت ونفذت لخفض وحظر استيراد أجهزة التبريد وتكييف الهواء ومضخات الحرارة المعتمدة على الهيدروكلوروفلوروكربون وتشجع إدخال الأجهزة المعتمدة على غازات التبريد المنخفضة أو المنعدمة القدرة على الاحترار العالمي؛</w:t>
      </w:r>
    </w:p>
    <w:p w:rsidR="001F2E42" w:rsidRPr="002407C3" w:rsidRDefault="001F2E42" w:rsidP="00B74F76">
      <w:pPr>
        <w:pStyle w:val="Heading2"/>
        <w:bidi/>
        <w:rPr>
          <w:sz w:val="26"/>
          <w:szCs w:val="26"/>
        </w:rPr>
      </w:pPr>
      <w:r w:rsidRPr="002407C3">
        <w:rPr>
          <w:rFonts w:hint="cs"/>
          <w:sz w:val="26"/>
          <w:szCs w:val="26"/>
          <w:rtl/>
        </w:rPr>
        <w:t>عدد السياسات والقواعد مثل معيار أداء كفاءة الطاقة الدنيا وبرامج التوسيم لأجهزة التبريد وتكييف الهواء ومضخات الحرارة التي تتسم بكفاءة استخدام الطاقة؛</w:t>
      </w:r>
    </w:p>
    <w:p w:rsidR="001F2E42" w:rsidRPr="002407C3" w:rsidRDefault="001F2E42" w:rsidP="00B74F76">
      <w:pPr>
        <w:pStyle w:val="Heading2"/>
        <w:bidi/>
        <w:rPr>
          <w:sz w:val="26"/>
          <w:szCs w:val="26"/>
        </w:rPr>
      </w:pPr>
      <w:r w:rsidRPr="002407C3">
        <w:rPr>
          <w:rFonts w:hint="cs"/>
          <w:sz w:val="26"/>
          <w:szCs w:val="26"/>
          <w:rtl/>
        </w:rPr>
        <w:t>حالة تنفيذ المعايير وبرامج التوسيم لأجهزة التبريد وتكييف الهواء ومضخات الحرارة والتي تستند الى التكنولوجيات المنخفضة أو المنعدمة القدرة على الاحترار العالمي؛</w:t>
      </w:r>
    </w:p>
    <w:p w:rsidR="001F2E42" w:rsidRPr="002407C3" w:rsidRDefault="001F2E42" w:rsidP="00452B92">
      <w:pPr>
        <w:pStyle w:val="Heading2"/>
        <w:keepNext/>
        <w:keepLines/>
        <w:bidi/>
        <w:ind w:left="1979"/>
        <w:rPr>
          <w:sz w:val="26"/>
          <w:szCs w:val="26"/>
        </w:rPr>
      </w:pPr>
      <w:r w:rsidRPr="002407C3">
        <w:rPr>
          <w:rFonts w:hint="cs"/>
          <w:sz w:val="26"/>
          <w:szCs w:val="26"/>
          <w:rtl/>
        </w:rPr>
        <w:lastRenderedPageBreak/>
        <w:t>عدد مؤسسات التدريب التي لديها بنية أساسية لتدريب واعتماد الفنيين على الممارسات الجيدة خلال التركيب والخدمة والصيانة والتي تشمل جميع أنواع أجهزة التبريد وتكييف الهواء ومضخات الحرارة المتوافرة في البلد؛</w:t>
      </w:r>
    </w:p>
    <w:p w:rsidR="001F2E42" w:rsidRPr="002407C3" w:rsidRDefault="001F2E42" w:rsidP="00B74F76">
      <w:pPr>
        <w:pStyle w:val="Heading2"/>
        <w:bidi/>
        <w:rPr>
          <w:sz w:val="26"/>
          <w:szCs w:val="26"/>
        </w:rPr>
      </w:pPr>
      <w:r w:rsidRPr="002407C3">
        <w:rPr>
          <w:rFonts w:hint="cs"/>
          <w:sz w:val="26"/>
          <w:szCs w:val="26"/>
          <w:rtl/>
        </w:rPr>
        <w:t>عدد برامج</w:t>
      </w:r>
      <w:r w:rsidR="00B8461B" w:rsidRPr="002407C3">
        <w:rPr>
          <w:rFonts w:hint="cs"/>
          <w:sz w:val="26"/>
          <w:szCs w:val="26"/>
          <w:rtl/>
        </w:rPr>
        <w:t xml:space="preserve"> التدريب التي يجري تنفيذها والتي تتضمن تركيب وخدمة وصيانة غازات التبريد المنخفضة أو المنعدمة القدرة على الاحترار العالمي، وعدد الفنيين الذين تم تدريبهم وإدراجهم في برامج التدريب في مؤسسات التدريب؛</w:t>
      </w:r>
    </w:p>
    <w:p w:rsidR="00B8461B" w:rsidRPr="002407C3" w:rsidRDefault="00B8461B" w:rsidP="00B74F76">
      <w:pPr>
        <w:pStyle w:val="Heading2"/>
        <w:bidi/>
        <w:rPr>
          <w:sz w:val="26"/>
          <w:szCs w:val="26"/>
        </w:rPr>
      </w:pPr>
      <w:r w:rsidRPr="002407C3">
        <w:rPr>
          <w:rFonts w:hint="cs"/>
          <w:sz w:val="26"/>
          <w:szCs w:val="26"/>
          <w:rtl/>
        </w:rPr>
        <w:t>حالة إنفاذ نظم اعتماد فنيي الخدمة؛</w:t>
      </w:r>
    </w:p>
    <w:p w:rsidR="00B8461B" w:rsidRPr="002407C3" w:rsidRDefault="00B8461B" w:rsidP="00B74F76">
      <w:pPr>
        <w:pStyle w:val="Heading2"/>
        <w:bidi/>
        <w:rPr>
          <w:sz w:val="26"/>
          <w:szCs w:val="26"/>
        </w:rPr>
      </w:pPr>
      <w:r w:rsidRPr="002407C3">
        <w:rPr>
          <w:rFonts w:hint="cs"/>
          <w:sz w:val="26"/>
          <w:szCs w:val="26"/>
          <w:rtl/>
        </w:rPr>
        <w:t>الأموال الموافق عليها وصرفها على برنامج الحوافز الرائد والموجه للمستخدمين النهائيين وتأثيرات إزالة المواد المستنفدة للأوزون خلال تطبيق التكنولوجيا؛</w:t>
      </w:r>
    </w:p>
    <w:p w:rsidR="00B8461B" w:rsidRPr="002407C3" w:rsidRDefault="00B8461B" w:rsidP="00B74F76">
      <w:pPr>
        <w:pStyle w:val="Heading2"/>
        <w:bidi/>
        <w:rPr>
          <w:sz w:val="26"/>
          <w:szCs w:val="26"/>
        </w:rPr>
      </w:pPr>
      <w:r w:rsidRPr="002407C3">
        <w:rPr>
          <w:rFonts w:hint="cs"/>
          <w:sz w:val="26"/>
          <w:szCs w:val="26"/>
          <w:rtl/>
        </w:rPr>
        <w:t>عدد برامج التوعية والإرشاد التي أجريت للتشجيع على إدخال معيار أداء كفاءة استخدام الطاقة الدنيا ونظم التوسيم والاعتماد الإلزامي للفنيين وإدخال أجهزة التبريد وتكييف الهواء ومضخات الحرارة العاملة بغازات التبريد المنخفضة أو المنعدمة القدرة على الاحترار العالمي؛</w:t>
      </w:r>
    </w:p>
    <w:p w:rsidR="00B8461B" w:rsidRPr="002407C3" w:rsidRDefault="00B8461B" w:rsidP="00B74F76">
      <w:pPr>
        <w:pStyle w:val="Heading2"/>
        <w:bidi/>
        <w:rPr>
          <w:sz w:val="26"/>
          <w:szCs w:val="26"/>
        </w:rPr>
      </w:pPr>
      <w:r w:rsidRPr="002407C3">
        <w:rPr>
          <w:rFonts w:hint="cs"/>
          <w:sz w:val="26"/>
          <w:szCs w:val="26"/>
          <w:rtl/>
        </w:rPr>
        <w:t>نتائج التقارير المعنية بأنشطة الرصد والإبلاغ التي أجريت، والمعلومات المسترجعة من وحدات الأوزون الوطنية وغير ذلك من أصحاب الشأن الوطنيين بشأن تأثير هذه البرامج.</w:t>
      </w:r>
    </w:p>
    <w:p w:rsidR="00EB56BA" w:rsidRPr="002407C3" w:rsidRDefault="00B8461B" w:rsidP="00B74F76">
      <w:pPr>
        <w:bidi/>
        <w:rPr>
          <w:bCs/>
          <w:sz w:val="26"/>
          <w:szCs w:val="26"/>
        </w:rPr>
      </w:pPr>
      <w:r w:rsidRPr="002407C3">
        <w:rPr>
          <w:rFonts w:hint="cs"/>
          <w:bCs/>
          <w:sz w:val="26"/>
          <w:szCs w:val="26"/>
          <w:rtl/>
        </w:rPr>
        <w:t>التوصية</w:t>
      </w:r>
    </w:p>
    <w:p w:rsidR="00EB56BA" w:rsidRPr="002407C3" w:rsidRDefault="00EB56BA" w:rsidP="00B74F76">
      <w:pPr>
        <w:bidi/>
        <w:rPr>
          <w:sz w:val="26"/>
          <w:szCs w:val="26"/>
        </w:rPr>
      </w:pPr>
    </w:p>
    <w:p w:rsidR="00B8461B" w:rsidRPr="002407C3" w:rsidRDefault="00B8461B" w:rsidP="00AA6474">
      <w:pPr>
        <w:pStyle w:val="Heading1"/>
        <w:bidi/>
        <w:rPr>
          <w:sz w:val="26"/>
          <w:szCs w:val="26"/>
        </w:rPr>
      </w:pPr>
      <w:r w:rsidRPr="002407C3">
        <w:rPr>
          <w:rFonts w:hint="cs"/>
          <w:sz w:val="26"/>
          <w:szCs w:val="26"/>
          <w:rtl/>
        </w:rPr>
        <w:t xml:space="preserve">قد ترغب اللجنة التنفيذية في أن تحاط علما بالورقة المتعلقة بسبل تفعيل الفقرة 16 من المقرر </w:t>
      </w:r>
      <w:r w:rsidR="00AA6474">
        <w:rPr>
          <w:sz w:val="26"/>
          <w:szCs w:val="26"/>
        </w:rPr>
        <w:t>2/XXVIII</w:t>
      </w:r>
      <w:r w:rsidRPr="002407C3">
        <w:rPr>
          <w:rFonts w:hint="cs"/>
          <w:sz w:val="26"/>
          <w:szCs w:val="26"/>
          <w:rtl/>
        </w:rPr>
        <w:t xml:space="preserve">، والفقرة 2 من المقرر </w:t>
      </w:r>
      <w:r w:rsidR="00AA6474">
        <w:rPr>
          <w:sz w:val="26"/>
          <w:szCs w:val="26"/>
        </w:rPr>
        <w:t>5/XXX</w:t>
      </w:r>
      <w:r w:rsidRPr="002407C3">
        <w:rPr>
          <w:rFonts w:hint="cs"/>
          <w:sz w:val="26"/>
          <w:szCs w:val="26"/>
          <w:rtl/>
        </w:rPr>
        <w:t xml:space="preserve"> الصادر عن الأطراف مع مراعاة المعايير ومؤشرات الأداء وما يرتبط بها من آليات التمويل لخطط قطاع الخدمة في خطط إدارة إزالة المواد الهيدروكلوروفلوروكربونية القائمة الجديدة للبلدان التي ينخفض فيها حجم الاستهلاك الواردة في الوثيقة </w:t>
      </w:r>
      <w:r w:rsidRPr="002407C3">
        <w:rPr>
          <w:sz w:val="26"/>
          <w:szCs w:val="26"/>
        </w:rPr>
        <w:t>UNEP/OzL.Pro/ExCom/83/40</w:t>
      </w:r>
      <w:r w:rsidRPr="002407C3">
        <w:rPr>
          <w:rFonts w:hint="cs"/>
          <w:sz w:val="26"/>
          <w:szCs w:val="26"/>
          <w:rtl/>
        </w:rPr>
        <w:t>.</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1"/>
        <w:gridCol w:w="1872"/>
        <w:gridCol w:w="1872"/>
        <w:gridCol w:w="1872"/>
        <w:gridCol w:w="1873"/>
      </w:tblGrid>
      <w:tr w:rsidR="00052C5C" w:rsidRPr="002407C3" w:rsidTr="00B74F76">
        <w:tc>
          <w:tcPr>
            <w:tcW w:w="1871" w:type="dxa"/>
          </w:tcPr>
          <w:p w:rsidR="00052C5C" w:rsidRPr="002407C3" w:rsidRDefault="00052C5C" w:rsidP="00B74F76">
            <w:pPr>
              <w:tabs>
                <w:tab w:val="left" w:pos="8280"/>
              </w:tabs>
              <w:bidi/>
              <w:jc w:val="left"/>
              <w:rPr>
                <w:sz w:val="26"/>
                <w:szCs w:val="26"/>
              </w:rPr>
            </w:pPr>
          </w:p>
        </w:tc>
        <w:tc>
          <w:tcPr>
            <w:tcW w:w="1872" w:type="dxa"/>
          </w:tcPr>
          <w:p w:rsidR="00052C5C" w:rsidRPr="002407C3" w:rsidRDefault="00052C5C" w:rsidP="00B74F76">
            <w:pPr>
              <w:tabs>
                <w:tab w:val="left" w:pos="8280"/>
              </w:tabs>
              <w:bidi/>
              <w:jc w:val="left"/>
              <w:rPr>
                <w:sz w:val="26"/>
                <w:szCs w:val="26"/>
              </w:rPr>
            </w:pPr>
          </w:p>
        </w:tc>
        <w:tc>
          <w:tcPr>
            <w:tcW w:w="1872" w:type="dxa"/>
            <w:tcBorders>
              <w:bottom w:val="single" w:sz="4" w:space="0" w:color="auto"/>
            </w:tcBorders>
          </w:tcPr>
          <w:p w:rsidR="00052C5C" w:rsidRPr="002407C3" w:rsidRDefault="00052C5C" w:rsidP="00B74F76">
            <w:pPr>
              <w:tabs>
                <w:tab w:val="left" w:pos="8280"/>
              </w:tabs>
              <w:bidi/>
              <w:jc w:val="left"/>
              <w:rPr>
                <w:sz w:val="26"/>
                <w:szCs w:val="26"/>
              </w:rPr>
            </w:pPr>
          </w:p>
        </w:tc>
        <w:tc>
          <w:tcPr>
            <w:tcW w:w="1872" w:type="dxa"/>
          </w:tcPr>
          <w:p w:rsidR="00052C5C" w:rsidRPr="002407C3" w:rsidRDefault="00052C5C" w:rsidP="00B74F76">
            <w:pPr>
              <w:tabs>
                <w:tab w:val="left" w:pos="8280"/>
              </w:tabs>
              <w:bidi/>
              <w:jc w:val="left"/>
              <w:rPr>
                <w:sz w:val="26"/>
                <w:szCs w:val="26"/>
              </w:rPr>
            </w:pPr>
          </w:p>
        </w:tc>
        <w:tc>
          <w:tcPr>
            <w:tcW w:w="1873" w:type="dxa"/>
          </w:tcPr>
          <w:p w:rsidR="00052C5C" w:rsidRPr="002407C3" w:rsidRDefault="00052C5C" w:rsidP="00B74F76">
            <w:pPr>
              <w:tabs>
                <w:tab w:val="left" w:pos="8280"/>
              </w:tabs>
              <w:bidi/>
              <w:jc w:val="left"/>
              <w:rPr>
                <w:sz w:val="26"/>
                <w:szCs w:val="26"/>
              </w:rPr>
            </w:pPr>
          </w:p>
        </w:tc>
      </w:tr>
    </w:tbl>
    <w:p w:rsidR="00052C5C" w:rsidRPr="002407C3" w:rsidRDefault="00052C5C" w:rsidP="00B74F76">
      <w:pPr>
        <w:tabs>
          <w:tab w:val="left" w:pos="8280"/>
        </w:tabs>
        <w:bidi/>
        <w:rPr>
          <w:sz w:val="26"/>
          <w:szCs w:val="26"/>
          <w:lang w:val="en-CA"/>
        </w:rPr>
      </w:pPr>
    </w:p>
    <w:p w:rsidR="00052C5C" w:rsidRPr="002407C3" w:rsidRDefault="00052C5C" w:rsidP="00B74F76">
      <w:pPr>
        <w:tabs>
          <w:tab w:val="left" w:pos="8280"/>
        </w:tabs>
        <w:bidi/>
        <w:rPr>
          <w:sz w:val="26"/>
          <w:szCs w:val="26"/>
        </w:rPr>
      </w:pPr>
    </w:p>
    <w:sectPr w:rsidR="00052C5C" w:rsidRPr="002407C3" w:rsidSect="00896234">
      <w:headerReference w:type="even" r:id="rId10"/>
      <w:headerReference w:type="default" r:id="rId11"/>
      <w:footerReference w:type="even" r:id="rId12"/>
      <w:footerReference w:type="default" r:id="rId13"/>
      <w:headerReference w:type="first" r:id="rId14"/>
      <w:footerReference w:type="first" r:id="rId15"/>
      <w:pgSz w:w="12240" w:h="15840" w:code="1"/>
      <w:pgMar w:top="720" w:right="1440" w:bottom="864" w:left="1440" w:header="720" w:footer="475"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05B1" w:rsidRDefault="006C05B1" w:rsidP="004A504B">
      <w:r>
        <w:separator/>
      </w:r>
    </w:p>
  </w:endnote>
  <w:endnote w:type="continuationSeparator" w:id="0">
    <w:p w:rsidR="006C05B1" w:rsidRDefault="006C05B1" w:rsidP="004A5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altName w:val="Times New Roman"/>
    <w:charset w:val="00"/>
    <w:family w:val="roman"/>
    <w:pitch w:val="variable"/>
    <w:sig w:usb0="00000000" w:usb1="00000000" w:usb2="00000000" w:usb3="00000000" w:csb0="00000041" w:csb1="00000000"/>
  </w:font>
  <w:font w:name="Arabic Transparent">
    <w:panose1 w:val="020B0604020202020204"/>
    <w:charset w:val="00"/>
    <w:family w:val="swiss"/>
    <w:pitch w:val="variable"/>
    <w:sig w:usb0="E0002EFF" w:usb1="C0007843" w:usb2="00000009" w:usb3="00000000" w:csb0="000001FF" w:csb1="00000000"/>
  </w:font>
  <w:font w:name="Akhbar MT">
    <w:altName w:val="Times New Roman"/>
    <w:charset w:val="B2"/>
    <w:family w:val="auto"/>
    <w:pitch w:val="variable"/>
    <w:sig w:usb0="00002000" w:usb1="00000000" w:usb2="00000000" w:usb3="00000000" w:csb0="0000004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05B1" w:rsidRPr="0033525D" w:rsidRDefault="006C05B1">
    <w:pPr>
      <w:jc w:val="center"/>
    </w:pPr>
    <w:r>
      <w:rPr>
        <w:noProof/>
      </w:rPr>
      <w:fldChar w:fldCharType="begin"/>
    </w:r>
    <w:r>
      <w:rPr>
        <w:noProof/>
      </w:rPr>
      <w:instrText xml:space="preserve"> PAGE </w:instrText>
    </w:r>
    <w:r>
      <w:rPr>
        <w:noProof/>
      </w:rPr>
      <w:fldChar w:fldCharType="separate"/>
    </w:r>
    <w:r w:rsidR="00452B92">
      <w:rPr>
        <w:noProof/>
      </w:rPr>
      <w:t>6</w:t>
    </w:r>
    <w:r>
      <w:rPr>
        <w:noProof/>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05B1" w:rsidRPr="0033525D" w:rsidRDefault="006C05B1">
    <w:pPr>
      <w:jc w:val="center"/>
    </w:pPr>
    <w:r>
      <w:rPr>
        <w:noProof/>
      </w:rPr>
      <w:fldChar w:fldCharType="begin"/>
    </w:r>
    <w:r>
      <w:rPr>
        <w:noProof/>
      </w:rPr>
      <w:instrText xml:space="preserve"> PAGE </w:instrText>
    </w:r>
    <w:r>
      <w:rPr>
        <w:noProof/>
      </w:rPr>
      <w:fldChar w:fldCharType="separate"/>
    </w:r>
    <w:r w:rsidR="00452B92">
      <w:rPr>
        <w:noProof/>
      </w:rPr>
      <w:t>5</w:t>
    </w:r>
    <w:r>
      <w:rPr>
        <w:noProof/>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05B1" w:rsidRDefault="006C05B1" w:rsidP="00062442">
    <w:pPr>
      <w:pBdr>
        <w:top w:val="single" w:sz="4" w:space="1" w:color="auto"/>
        <w:left w:val="single" w:sz="4" w:space="0" w:color="auto"/>
        <w:bottom w:val="single" w:sz="4" w:space="1" w:color="auto"/>
        <w:right w:val="single" w:sz="4" w:space="0" w:color="auto"/>
      </w:pBdr>
      <w:bidi/>
      <w:jc w:val="center"/>
      <w:rPr>
        <w:rFonts w:cs="Arabic Transparent"/>
        <w:rtl/>
      </w:rPr>
    </w:pPr>
    <w:r>
      <w:rPr>
        <w:rFonts w:cs="Arabic Transparent" w:hint="cs"/>
        <w:rtl/>
      </w:rPr>
      <w:t>إن وثائق ما قبل دورات اللجنة التنفيذية للصندوق المتعدد الأطراف لتنفيذ بروتوكول مونتريال</w:t>
    </w:r>
    <w:r>
      <w:rPr>
        <w:rFonts w:cs="Arabic Transparent"/>
      </w:rPr>
      <w:t xml:space="preserve"> </w:t>
    </w:r>
  </w:p>
  <w:p w:rsidR="006C05B1" w:rsidRDefault="006C05B1" w:rsidP="00062442">
    <w:pPr>
      <w:pBdr>
        <w:top w:val="single" w:sz="4" w:space="1" w:color="auto"/>
        <w:left w:val="single" w:sz="4" w:space="0" w:color="auto"/>
        <w:bottom w:val="single" w:sz="4" w:space="1" w:color="auto"/>
        <w:right w:val="single" w:sz="4" w:space="0" w:color="auto"/>
      </w:pBdr>
      <w:bidi/>
      <w:jc w:val="center"/>
      <w:rPr>
        <w:rFonts w:cs="Arabic Transparent"/>
      </w:rPr>
    </w:pPr>
    <w:r>
      <w:rPr>
        <w:rFonts w:cs="Arabic Transparent" w:hint="cs"/>
        <w:rtl/>
      </w:rPr>
      <w:t>قد تصدر دون إخلال بأي قرار تتخذه اللجنة التنفيذية بعد صدورها.</w:t>
    </w:r>
    <w:r>
      <w:rPr>
        <w:rFonts w:cs="Arabic Transparent"/>
      </w:rPr>
      <w:t xml:space="preserve"> </w:t>
    </w:r>
  </w:p>
  <w:p w:rsidR="006C05B1" w:rsidRPr="00062442" w:rsidRDefault="006C05B1" w:rsidP="00062442">
    <w:pPr>
      <w:pStyle w:val="Footer"/>
      <w:rPr>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05B1" w:rsidRDefault="006C05B1" w:rsidP="00564C89">
      <w:pPr>
        <w:bidi/>
        <w:jc w:val="left"/>
      </w:pPr>
      <w:r>
        <w:separator/>
      </w:r>
    </w:p>
  </w:footnote>
  <w:footnote w:type="continuationSeparator" w:id="0">
    <w:p w:rsidR="006C05B1" w:rsidRDefault="006C05B1" w:rsidP="004A504B">
      <w:r>
        <w:continuationSeparator/>
      </w:r>
    </w:p>
  </w:footnote>
  <w:footnote w:id="1">
    <w:p w:rsidR="006C05B1" w:rsidRPr="00D57928" w:rsidRDefault="006C05B1" w:rsidP="00564C89">
      <w:pPr>
        <w:pStyle w:val="FootnoteText"/>
        <w:bidi/>
        <w:rPr>
          <w:szCs w:val="20"/>
        </w:rPr>
      </w:pPr>
      <w:r w:rsidRPr="00D57928">
        <w:rPr>
          <w:rStyle w:val="FootnoteReference"/>
          <w:szCs w:val="20"/>
        </w:rPr>
        <w:footnoteRef/>
      </w:r>
      <w:r w:rsidRPr="00D57928">
        <w:rPr>
          <w:szCs w:val="20"/>
        </w:rPr>
        <w:t xml:space="preserve"> </w:t>
      </w:r>
      <w:r>
        <w:rPr>
          <w:rFonts w:hint="cs"/>
          <w:szCs w:val="20"/>
          <w:rtl/>
        </w:rPr>
        <w:t xml:space="preserve"> الوثيقة </w:t>
      </w:r>
      <w:r w:rsidRPr="00D57928">
        <w:rPr>
          <w:szCs w:val="20"/>
        </w:rPr>
        <w:t>UNEP/OzL.Pro/ExCom/82/65 and Add.1</w:t>
      </w:r>
      <w:r>
        <w:rPr>
          <w:rFonts w:hint="cs"/>
          <w:szCs w:val="20"/>
          <w:rtl/>
        </w:rPr>
        <w:t>.</w:t>
      </w:r>
    </w:p>
  </w:footnote>
  <w:footnote w:id="2">
    <w:p w:rsidR="006C05B1" w:rsidRDefault="006C05B1" w:rsidP="000A78BF">
      <w:pPr>
        <w:pStyle w:val="FootnoteText"/>
        <w:bidi/>
        <w:rPr>
          <w:szCs w:val="20"/>
          <w:rtl/>
        </w:rPr>
      </w:pPr>
      <w:r w:rsidRPr="00D57928">
        <w:rPr>
          <w:rStyle w:val="FootnoteReference"/>
          <w:szCs w:val="20"/>
        </w:rPr>
        <w:footnoteRef/>
      </w:r>
      <w:r w:rsidRPr="00D57928">
        <w:rPr>
          <w:szCs w:val="20"/>
        </w:rPr>
        <w:t xml:space="preserve"> </w:t>
      </w:r>
      <w:r>
        <w:rPr>
          <w:rFonts w:hint="cs"/>
          <w:szCs w:val="20"/>
          <w:rtl/>
        </w:rPr>
        <w:t xml:space="preserve"> طلب المقرر </w:t>
      </w:r>
      <w:r>
        <w:rPr>
          <w:szCs w:val="20"/>
        </w:rPr>
        <w:t>10/XXIX</w:t>
      </w:r>
      <w:r>
        <w:rPr>
          <w:rFonts w:hint="cs"/>
          <w:szCs w:val="20"/>
          <w:rtl/>
        </w:rPr>
        <w:t xml:space="preserve"> فيما يتعلق بالمحافظة على كفاءة استخدام الطاقة في قطاعات التبريد وتكييف الهواء ومضخات الحرارة أو تعزيز هذه الكفاءة، إجراء تقييم خيارات ومتطلبات التكنولوجيا بما في ذلك تحديات استخدامها وأفضلياتها المستدامة البعيدة المدى وسلامتها ومنافعها البيئية من حيث معادلتها بثاني أكسيد الكربون، وبناء القدرات ومتطلبات قطاع الخدمة في قطاعات التبريد وتكييف الهواء ومضخات الحرارة وما يتصل بها من تكاليف رأسمالية وتشغيلية. كما طلبات قيام فريق التكنولوجيا والتقييم الاقتصادي بتقديم استعراضات للأنشطة، والتمويل المقدم من المؤسسات الأخرى ذات الصلة التي تعالج كفاءة استخدام الطاقة في قطاعات التبريد وتكييف الهواء ومضخات الحرارة فيما يتعلق بالمحافظة على استخدام الطاقة و/أو تعزيزها مع خفض المواد الهيدروفلوروكربون بموجب تعديل كيغالي, كما طلب من أمانة الأوزون تنظيم حلقة عمل بشأن كفاءة استخدام الطاقة مع خفض المواد الهيدروفلوروكربون خلال الاجتماع الأربعين للفريق العامل المفتوح العضوية. ثم أن يعد فريق التكنولوجيا والتقييم الاقتصادي التقرير الأول المحدث لتقديمه للاجتماع الثلاثين للأطراف مع مراعاة نتائج </w:t>
      </w:r>
      <w:r w:rsidR="000A78BF">
        <w:rPr>
          <w:rFonts w:hint="cs"/>
          <w:szCs w:val="20"/>
          <w:rtl/>
        </w:rPr>
        <w:t xml:space="preserve">حلقة </w:t>
      </w:r>
      <w:r>
        <w:rPr>
          <w:rFonts w:hint="cs"/>
          <w:szCs w:val="20"/>
          <w:rtl/>
        </w:rPr>
        <w:t>العمل.</w:t>
      </w:r>
      <w:r w:rsidRPr="00D57928">
        <w:rPr>
          <w:szCs w:val="20"/>
        </w:rPr>
        <w:t xml:space="preserve"> </w:t>
      </w:r>
    </w:p>
    <w:p w:rsidR="006C05B1" w:rsidRDefault="006C05B1" w:rsidP="00564C89">
      <w:pPr>
        <w:pStyle w:val="FootnoteText"/>
        <w:bidi/>
        <w:rPr>
          <w:szCs w:val="20"/>
          <w:rtl/>
        </w:rPr>
      </w:pPr>
    </w:p>
    <w:p w:rsidR="006C05B1" w:rsidRPr="00D57928" w:rsidRDefault="006C05B1" w:rsidP="00564C89">
      <w:pPr>
        <w:pStyle w:val="FootnoteText"/>
        <w:bidi/>
        <w:rPr>
          <w:szCs w:val="20"/>
        </w:rPr>
      </w:pPr>
    </w:p>
  </w:footnote>
  <w:footnote w:id="3">
    <w:p w:rsidR="006C05B1" w:rsidRPr="00D57928" w:rsidRDefault="006C05B1" w:rsidP="00564C89">
      <w:pPr>
        <w:pStyle w:val="FootnoteText"/>
        <w:bidi/>
        <w:rPr>
          <w:szCs w:val="20"/>
        </w:rPr>
      </w:pPr>
      <w:r w:rsidRPr="00D57928">
        <w:rPr>
          <w:rStyle w:val="FootnoteReference"/>
          <w:szCs w:val="20"/>
        </w:rPr>
        <w:footnoteRef/>
      </w:r>
      <w:r w:rsidRPr="00D57928">
        <w:rPr>
          <w:szCs w:val="20"/>
        </w:rPr>
        <w:t xml:space="preserve"> </w:t>
      </w:r>
      <w:r>
        <w:rPr>
          <w:rFonts w:hint="cs"/>
          <w:szCs w:val="20"/>
          <w:rtl/>
        </w:rPr>
        <w:t xml:space="preserve"> يطلب من اللجنة التنفيذية أن تزيد فيما يتعلق بقطاع الخدمة التمويل المتوافر بموجب المقرر 74/50 عن المبالغ المدرجة في ذلك المقرر بالنسبة للأطراف التي يصل مجموع استهلاك خط الأساس للهيدروكلوروفلوروكربون الى </w:t>
      </w:r>
      <w:r>
        <w:rPr>
          <w:szCs w:val="20"/>
        </w:rPr>
        <w:t>360</w:t>
      </w:r>
      <w:r>
        <w:rPr>
          <w:rFonts w:hint="cs"/>
          <w:szCs w:val="20"/>
          <w:rtl/>
        </w:rPr>
        <w:t xml:space="preserve"> طنا متريا ولدى الحاجة إليه لإدخال بدائل الهيدروفلوروكربون المنخفضة أو المنخفضة القدرة على الاحترار العالمي من الهيدروفلوروكربون والمحافظة على كفاءة الاستخدام في قطاع الخدمة والمستخدمين النهائيين.</w:t>
      </w:r>
    </w:p>
  </w:footnote>
  <w:footnote w:id="4">
    <w:p w:rsidR="006C05B1" w:rsidRPr="00D57928" w:rsidRDefault="006C05B1" w:rsidP="008B0199">
      <w:pPr>
        <w:pStyle w:val="FootnoteText"/>
        <w:bidi/>
        <w:rPr>
          <w:szCs w:val="20"/>
        </w:rPr>
      </w:pPr>
      <w:r w:rsidRPr="00D57928">
        <w:rPr>
          <w:rStyle w:val="FootnoteReference"/>
          <w:szCs w:val="20"/>
        </w:rPr>
        <w:footnoteRef/>
      </w:r>
      <w:r w:rsidRPr="00D57928">
        <w:rPr>
          <w:szCs w:val="20"/>
        </w:rPr>
        <w:t xml:space="preserve"> </w:t>
      </w:r>
      <w:r>
        <w:rPr>
          <w:rFonts w:hint="cs"/>
          <w:szCs w:val="20"/>
          <w:rtl/>
        </w:rPr>
        <w:t xml:space="preserve"> يطلب من اللجنة التنفيذية أن تنظر، في نطاق الفقرة 16 من المقرر </w:t>
      </w:r>
      <w:r>
        <w:rPr>
          <w:szCs w:val="20"/>
        </w:rPr>
        <w:t>2/XXVIII</w:t>
      </w:r>
      <w:r>
        <w:rPr>
          <w:rFonts w:hint="cs"/>
          <w:szCs w:val="20"/>
          <w:rtl/>
        </w:rPr>
        <w:t xml:space="preserve"> في زيادة التمويل المقدم للبلدان التي ينخفض فيها حجم الاستهلاك لمساعدتها في تنفيذ الأنشطة المحددة في الفقرة 1 من هذا المقرر.</w:t>
      </w:r>
    </w:p>
  </w:footnote>
  <w:footnote w:id="5">
    <w:p w:rsidR="006C05B1" w:rsidRPr="00D57928" w:rsidRDefault="006C05B1" w:rsidP="007A54D4">
      <w:pPr>
        <w:pStyle w:val="FootnoteText"/>
        <w:bidi/>
        <w:rPr>
          <w:szCs w:val="20"/>
        </w:rPr>
      </w:pPr>
      <w:r w:rsidRPr="00D57928">
        <w:rPr>
          <w:rStyle w:val="FootnoteReference"/>
          <w:szCs w:val="20"/>
        </w:rPr>
        <w:footnoteRef/>
      </w:r>
      <w:r w:rsidRPr="00D57928">
        <w:rPr>
          <w:szCs w:val="20"/>
        </w:rPr>
        <w:t xml:space="preserve"> </w:t>
      </w:r>
      <w:r>
        <w:rPr>
          <w:rFonts w:hint="cs"/>
          <w:szCs w:val="20"/>
          <w:rtl/>
        </w:rPr>
        <w:t xml:space="preserve"> يطلب من اللجنة التنفيذية أن تنظر في مراعاة المرونة في إطار الدعم المالي المقدم من خلال أنشطة التمكين بشأن المواد الهيدروفلوروكربونية لتمكين بلدان المادة 5 بناء على رغبتها، من استخدام جزء من هذا الدعم في سياسة كفاءة استخدام الطاقة ودعم التدريب من حيث صلته بخفض المود الخاضعة للرقابة مثل وضع وإنفاذ سياسات وقواعد لتجنب تغلغل أجهزة التبريد وتكييف الهواء ومضخات الحرارة التي من كفاءة استخدام الطاقة والترويج لدخول هذه التكنولوجيات التي تتسم بكفاءة استخدام الطاقة في هذه القطاعات والتدريب الهادف بشأن الاعتماد والسلامة والمعايير والتوعية وبناء القدرات التي تستهدف المحافظة على كفاءة استخدام الطاقة.</w:t>
      </w:r>
    </w:p>
  </w:footnote>
  <w:footnote w:id="6">
    <w:p w:rsidR="006C05B1" w:rsidRPr="00D57928" w:rsidRDefault="006C05B1" w:rsidP="00C50D7C">
      <w:pPr>
        <w:pStyle w:val="FootnoteText"/>
        <w:bidi/>
        <w:rPr>
          <w:szCs w:val="20"/>
        </w:rPr>
      </w:pPr>
      <w:r w:rsidRPr="00D57928">
        <w:rPr>
          <w:rStyle w:val="FootnoteReference"/>
          <w:szCs w:val="20"/>
        </w:rPr>
        <w:footnoteRef/>
      </w:r>
      <w:r w:rsidRPr="00D57928">
        <w:rPr>
          <w:szCs w:val="20"/>
        </w:rPr>
        <w:t xml:space="preserve"> </w:t>
      </w:r>
      <w:r>
        <w:rPr>
          <w:rFonts w:hint="cs"/>
          <w:szCs w:val="20"/>
          <w:rtl/>
        </w:rPr>
        <w:t xml:space="preserve"> يقدم لبلدان المادة 5 التي يصل استهلاكها من الهيدروكلوروفلوروكربون الى </w:t>
      </w:r>
      <w:r w:rsidRPr="00D57928">
        <w:rPr>
          <w:szCs w:val="20"/>
        </w:rPr>
        <w:t>360</w:t>
      </w:r>
      <w:r>
        <w:rPr>
          <w:rFonts w:hint="cs"/>
          <w:szCs w:val="20"/>
          <w:rtl/>
        </w:rPr>
        <w:t xml:space="preserve"> طنا متريا التمويل التي يتسق بمستوى الاستهلاك في قطاع الخدمة على أساس الفهم بأنه مازال يتعين على مقترحات المشروعات بيان أن مستويات التمويل كانت ضرورية لتحقيق أهداف الإزالة في 2020 و2025 إذا كان البلد راغبا في ذلك الى أهداف خفض أخرى.</w:t>
      </w:r>
    </w:p>
  </w:footnote>
  <w:footnote w:id="7">
    <w:p w:rsidR="006C05B1" w:rsidRPr="00D57928" w:rsidRDefault="006C05B1" w:rsidP="00AF7524">
      <w:pPr>
        <w:pStyle w:val="FootnoteText"/>
        <w:bidi/>
        <w:rPr>
          <w:szCs w:val="20"/>
          <w:lang w:val="en-CA"/>
        </w:rPr>
      </w:pPr>
      <w:r w:rsidRPr="00D57928">
        <w:rPr>
          <w:rStyle w:val="FootnoteReference"/>
          <w:szCs w:val="20"/>
        </w:rPr>
        <w:footnoteRef/>
      </w:r>
      <w:r w:rsidRPr="00D57928">
        <w:rPr>
          <w:szCs w:val="20"/>
        </w:rPr>
        <w:t xml:space="preserve"> </w:t>
      </w:r>
      <w:r>
        <w:rPr>
          <w:rFonts w:hint="cs"/>
          <w:szCs w:val="20"/>
          <w:rtl/>
          <w:lang w:val="en-CA"/>
        </w:rPr>
        <w:t xml:space="preserve"> الفقرة 16 من المقرر </w:t>
      </w:r>
      <w:r>
        <w:rPr>
          <w:szCs w:val="20"/>
        </w:rPr>
        <w:t>2/XXVII</w:t>
      </w:r>
      <w:r>
        <w:rPr>
          <w:rFonts w:hint="cs"/>
          <w:szCs w:val="20"/>
          <w:rtl/>
          <w:lang w:val="en-CA"/>
        </w:rPr>
        <w:t>.</w:t>
      </w:r>
    </w:p>
  </w:footnote>
  <w:footnote w:id="8">
    <w:p w:rsidR="006C05B1" w:rsidRPr="00D57928" w:rsidRDefault="006C05B1" w:rsidP="00AF7524">
      <w:pPr>
        <w:pStyle w:val="FootnoteText"/>
        <w:bidi/>
        <w:rPr>
          <w:szCs w:val="20"/>
          <w:lang w:val="en-CA"/>
        </w:rPr>
      </w:pPr>
      <w:r w:rsidRPr="00D57928">
        <w:rPr>
          <w:rStyle w:val="FootnoteReference"/>
          <w:szCs w:val="20"/>
        </w:rPr>
        <w:footnoteRef/>
      </w:r>
      <w:r w:rsidRPr="00D57928">
        <w:rPr>
          <w:szCs w:val="20"/>
        </w:rPr>
        <w:t xml:space="preserve"> </w:t>
      </w:r>
      <w:r>
        <w:rPr>
          <w:rFonts w:hint="cs"/>
          <w:szCs w:val="20"/>
          <w:rtl/>
          <w:lang w:val="en-CA"/>
        </w:rPr>
        <w:t xml:space="preserve"> الفقرة 2 من المقرر </w:t>
      </w:r>
      <w:r>
        <w:rPr>
          <w:szCs w:val="20"/>
          <w:lang w:val="en-CA"/>
        </w:rPr>
        <w:t>5/XXX</w:t>
      </w:r>
      <w:r>
        <w:rPr>
          <w:rFonts w:hint="cs"/>
          <w:szCs w:val="20"/>
          <w:rtl/>
          <w:lang w:val="en-CA"/>
        </w:rPr>
        <w:t>.</w:t>
      </w:r>
    </w:p>
  </w:footnote>
  <w:footnote w:id="9">
    <w:p w:rsidR="006C05B1" w:rsidRPr="00D57928" w:rsidRDefault="006C05B1" w:rsidP="00F95D00">
      <w:pPr>
        <w:pStyle w:val="FootnoteText"/>
        <w:bidi/>
        <w:rPr>
          <w:szCs w:val="20"/>
          <w:lang w:val="en-CA"/>
        </w:rPr>
      </w:pPr>
      <w:r w:rsidRPr="00D57928">
        <w:rPr>
          <w:rStyle w:val="FootnoteReference"/>
          <w:szCs w:val="20"/>
        </w:rPr>
        <w:footnoteRef/>
      </w:r>
      <w:r w:rsidRPr="00D57928">
        <w:rPr>
          <w:szCs w:val="20"/>
        </w:rPr>
        <w:t xml:space="preserve"> </w:t>
      </w:r>
      <w:r>
        <w:rPr>
          <w:rFonts w:hint="cs"/>
          <w:szCs w:val="20"/>
          <w:rtl/>
          <w:lang w:val="en-CA"/>
        </w:rPr>
        <w:t xml:space="preserve"> الكثير من هذه القضايا المتناولة هنا تنطبق على قطاع الخدمة في البلدان التي ينخفض فيها حجم الاستهلاك أيضا.</w:t>
      </w:r>
    </w:p>
  </w:footnote>
  <w:footnote w:id="10">
    <w:p w:rsidR="006C05B1" w:rsidRPr="00D57928" w:rsidRDefault="006C05B1" w:rsidP="00F95D00">
      <w:pPr>
        <w:pStyle w:val="FootnoteText"/>
        <w:bidi/>
        <w:rPr>
          <w:szCs w:val="20"/>
          <w:lang w:val="en-CA"/>
        </w:rPr>
      </w:pPr>
      <w:r w:rsidRPr="00D57928">
        <w:rPr>
          <w:rStyle w:val="FootnoteReference"/>
          <w:szCs w:val="20"/>
        </w:rPr>
        <w:footnoteRef/>
      </w:r>
      <w:r w:rsidRPr="00D57928">
        <w:rPr>
          <w:szCs w:val="20"/>
        </w:rPr>
        <w:t xml:space="preserve"> </w:t>
      </w:r>
      <w:r>
        <w:rPr>
          <w:rFonts w:hint="cs"/>
          <w:szCs w:val="20"/>
          <w:rtl/>
        </w:rPr>
        <w:t xml:space="preserve"> القواعد المتكاملة التي تتناول المعيار والتوسيم وقطاعات التبريد وتكييف الهواء ومضخات الحرارة ضرورية لتجنب الأجهزة الخالية من الكفاءة.</w:t>
      </w:r>
    </w:p>
  </w:footnote>
  <w:footnote w:id="11">
    <w:p w:rsidR="006C05B1" w:rsidRPr="00D57928" w:rsidRDefault="006C05B1" w:rsidP="007B0378">
      <w:pPr>
        <w:pStyle w:val="FootnoteText"/>
        <w:bidi/>
        <w:rPr>
          <w:szCs w:val="20"/>
        </w:rPr>
      </w:pPr>
      <w:r w:rsidRPr="00D57928">
        <w:rPr>
          <w:rStyle w:val="FootnoteReference"/>
          <w:szCs w:val="20"/>
        </w:rPr>
        <w:footnoteRef/>
      </w:r>
      <w:r w:rsidRPr="00D57928">
        <w:rPr>
          <w:szCs w:val="20"/>
        </w:rPr>
        <w:t xml:space="preserve"> </w:t>
      </w:r>
      <w:r>
        <w:rPr>
          <w:rFonts w:hint="cs"/>
          <w:szCs w:val="20"/>
          <w:rtl/>
        </w:rPr>
        <w:t xml:space="preserve"> تيسيرا للمناقشات في اللجنة التنفيذية، أدرجت النصوص ذات الصلة للوثائق في هذه الوثيقة.</w:t>
      </w:r>
    </w:p>
  </w:footnote>
  <w:footnote w:id="12">
    <w:p w:rsidR="006C05B1" w:rsidRPr="00D57928" w:rsidRDefault="006C05B1" w:rsidP="008A59B6">
      <w:pPr>
        <w:pStyle w:val="FootnoteText"/>
        <w:bidi/>
        <w:rPr>
          <w:szCs w:val="20"/>
          <w:lang w:val="en-US"/>
        </w:rPr>
      </w:pPr>
      <w:r w:rsidRPr="00D57928">
        <w:rPr>
          <w:rStyle w:val="FootnoteReference"/>
          <w:szCs w:val="20"/>
        </w:rPr>
        <w:footnoteRef/>
      </w:r>
      <w:r w:rsidRPr="00D57928">
        <w:rPr>
          <w:szCs w:val="20"/>
        </w:rPr>
        <w:t xml:space="preserve"> </w:t>
      </w:r>
      <w:r>
        <w:rPr>
          <w:rFonts w:hint="cs"/>
          <w:szCs w:val="20"/>
          <w:rtl/>
        </w:rPr>
        <w:t xml:space="preserve"> الوثيقة </w:t>
      </w:r>
      <w:r w:rsidRPr="00D57928">
        <w:rPr>
          <w:szCs w:val="20"/>
        </w:rPr>
        <w:t>UNEP/OzL.Pro/ExCom/77/70/Rev.1</w:t>
      </w:r>
      <w:r>
        <w:rPr>
          <w:rFonts w:hint="cs"/>
          <w:szCs w:val="20"/>
          <w:rtl/>
        </w:rPr>
        <w:t xml:space="preserve"> (الفقرات من 50 الى 57).</w:t>
      </w:r>
    </w:p>
  </w:footnote>
  <w:footnote w:id="13">
    <w:p w:rsidR="006C05B1" w:rsidRPr="00D57928" w:rsidRDefault="006C05B1" w:rsidP="007A2046">
      <w:pPr>
        <w:pStyle w:val="FootnoteText"/>
        <w:bidi/>
        <w:rPr>
          <w:szCs w:val="20"/>
          <w:lang w:val="en-US"/>
        </w:rPr>
      </w:pPr>
      <w:r w:rsidRPr="00D57928">
        <w:rPr>
          <w:rStyle w:val="FootnoteReference"/>
          <w:szCs w:val="20"/>
        </w:rPr>
        <w:footnoteRef/>
      </w:r>
      <w:r w:rsidRPr="00D57928">
        <w:rPr>
          <w:szCs w:val="20"/>
        </w:rPr>
        <w:t xml:space="preserve"> </w:t>
      </w:r>
      <w:r>
        <w:rPr>
          <w:rFonts w:hint="cs"/>
          <w:szCs w:val="20"/>
          <w:rtl/>
        </w:rPr>
        <w:t xml:space="preserve"> الوثيقة </w:t>
      </w:r>
      <w:r w:rsidRPr="00D57928">
        <w:rPr>
          <w:szCs w:val="20"/>
        </w:rPr>
        <w:t>UNEP/OzL.Pro/ExCom/78/5 and Corr.1</w:t>
      </w:r>
      <w:r>
        <w:rPr>
          <w:rFonts w:hint="cs"/>
          <w:szCs w:val="20"/>
          <w:rtl/>
        </w:rPr>
        <w:t xml:space="preserve"> (الفقرات من 107 الى 115 والمرفق الخامس)</w:t>
      </w:r>
    </w:p>
  </w:footnote>
  <w:footnote w:id="14">
    <w:p w:rsidR="006C05B1" w:rsidRPr="00D57928" w:rsidRDefault="006C05B1" w:rsidP="00380A47">
      <w:pPr>
        <w:pStyle w:val="FootnoteText"/>
        <w:bidi/>
        <w:rPr>
          <w:szCs w:val="20"/>
          <w:lang w:val="en-US"/>
        </w:rPr>
      </w:pPr>
      <w:r w:rsidRPr="00D57928">
        <w:rPr>
          <w:rStyle w:val="FootnoteReference"/>
          <w:szCs w:val="20"/>
        </w:rPr>
        <w:footnoteRef/>
      </w:r>
      <w:r w:rsidRPr="00D57928">
        <w:rPr>
          <w:szCs w:val="20"/>
        </w:rPr>
        <w:t xml:space="preserve"> </w:t>
      </w:r>
      <w:r>
        <w:rPr>
          <w:rFonts w:hint="cs"/>
          <w:szCs w:val="20"/>
          <w:rtl/>
        </w:rPr>
        <w:t xml:space="preserve"> الوثيقة </w:t>
      </w:r>
      <w:r w:rsidRPr="00D57928">
        <w:rPr>
          <w:szCs w:val="20"/>
        </w:rPr>
        <w:t>UNEP/OzL.Pro/ExCom/82/64</w:t>
      </w:r>
      <w:r>
        <w:rPr>
          <w:rFonts w:hint="cs"/>
          <w:szCs w:val="20"/>
          <w:rtl/>
        </w:rPr>
        <w:t xml:space="preserve"> (جميع المعلومات المتوافرة فيها تفيد في نظر هذه الوثيقة). وتشير الفقرات 77 إلى 83 بصورة محددة الى الاعتبارات الخاصة بكفاءة استخدام الطاقة في قطاع الخدمة.</w:t>
      </w:r>
    </w:p>
  </w:footnote>
  <w:footnote w:id="15">
    <w:p w:rsidR="006C05B1" w:rsidRPr="00D57928" w:rsidRDefault="006C05B1" w:rsidP="00380A47">
      <w:pPr>
        <w:pStyle w:val="FootnoteText"/>
        <w:bidi/>
        <w:rPr>
          <w:szCs w:val="20"/>
          <w:lang w:val="en-US"/>
        </w:rPr>
      </w:pPr>
      <w:r w:rsidRPr="00D57928">
        <w:rPr>
          <w:rStyle w:val="FootnoteReference"/>
          <w:szCs w:val="20"/>
        </w:rPr>
        <w:footnoteRef/>
      </w:r>
      <w:r w:rsidRPr="00D57928">
        <w:rPr>
          <w:szCs w:val="20"/>
        </w:rPr>
        <w:t xml:space="preserve"> </w:t>
      </w:r>
      <w:r>
        <w:rPr>
          <w:rFonts w:hint="cs"/>
          <w:szCs w:val="20"/>
          <w:rtl/>
        </w:rPr>
        <w:t xml:space="preserve"> بانكوك، 10 يوليه/ تموز 2017.</w:t>
      </w:r>
    </w:p>
  </w:footnote>
  <w:footnote w:id="16">
    <w:p w:rsidR="006C05B1" w:rsidRPr="00D57928" w:rsidRDefault="006C05B1" w:rsidP="00380A47">
      <w:pPr>
        <w:pStyle w:val="FootnoteText"/>
        <w:bidi/>
        <w:rPr>
          <w:szCs w:val="20"/>
        </w:rPr>
      </w:pPr>
      <w:r w:rsidRPr="00D57928">
        <w:rPr>
          <w:rStyle w:val="FootnoteReference"/>
          <w:szCs w:val="20"/>
        </w:rPr>
        <w:footnoteRef/>
      </w:r>
      <w:r w:rsidRPr="00D57928">
        <w:rPr>
          <w:szCs w:val="20"/>
        </w:rPr>
        <w:t xml:space="preserve"> </w:t>
      </w:r>
      <w:r>
        <w:rPr>
          <w:rFonts w:hint="cs"/>
          <w:szCs w:val="20"/>
          <w:rtl/>
        </w:rPr>
        <w:t xml:space="preserve"> فيتنام 9-10 يوليه/ تموز 2018.</w:t>
      </w:r>
    </w:p>
  </w:footnote>
  <w:footnote w:id="17">
    <w:p w:rsidR="006C05B1" w:rsidRPr="00D57928" w:rsidRDefault="006C05B1" w:rsidP="00380A47">
      <w:pPr>
        <w:pStyle w:val="FootnoteText"/>
        <w:bidi/>
        <w:rPr>
          <w:szCs w:val="20"/>
        </w:rPr>
      </w:pPr>
      <w:r w:rsidRPr="00D57928">
        <w:rPr>
          <w:rStyle w:val="FootnoteReference"/>
          <w:szCs w:val="20"/>
        </w:rPr>
        <w:footnoteRef/>
      </w:r>
      <w:r w:rsidRPr="00D57928">
        <w:rPr>
          <w:szCs w:val="20"/>
        </w:rPr>
        <w:t xml:space="preserve"> </w:t>
      </w:r>
      <w:r>
        <w:rPr>
          <w:rFonts w:hint="cs"/>
          <w:szCs w:val="20"/>
          <w:rtl/>
        </w:rPr>
        <w:t xml:space="preserve"> 6-8 مارس/ آذار 2018، 4-6 سبتمبر/ أيلول 2018، و5-7 مارس/ آذار 2019.</w:t>
      </w:r>
    </w:p>
  </w:footnote>
  <w:footnote w:id="18">
    <w:p w:rsidR="006C05B1" w:rsidRPr="00D57928" w:rsidRDefault="006C05B1" w:rsidP="001316E4">
      <w:pPr>
        <w:pStyle w:val="FootnoteText"/>
        <w:bidi/>
        <w:rPr>
          <w:szCs w:val="20"/>
          <w:lang w:val="en-CA"/>
        </w:rPr>
      </w:pPr>
      <w:r w:rsidRPr="00D57928">
        <w:rPr>
          <w:rStyle w:val="FootnoteReference"/>
          <w:szCs w:val="20"/>
        </w:rPr>
        <w:footnoteRef/>
      </w:r>
      <w:r w:rsidRPr="00D57928">
        <w:rPr>
          <w:szCs w:val="20"/>
        </w:rPr>
        <w:t xml:space="preserve"> </w:t>
      </w:r>
      <w:r>
        <w:rPr>
          <w:rFonts w:hint="cs"/>
          <w:szCs w:val="20"/>
          <w:rtl/>
        </w:rPr>
        <w:t xml:space="preserve"> لأغراض هذه الوثيقة يشير "قطاع خدمة التبريد" الى كل من التبريد وتكييف الهواء.</w:t>
      </w:r>
    </w:p>
  </w:footnote>
  <w:footnote w:id="19">
    <w:p w:rsidR="006C05B1" w:rsidRPr="00D57928" w:rsidRDefault="006C05B1" w:rsidP="001F19C4">
      <w:pPr>
        <w:pStyle w:val="FootnoteText"/>
        <w:bidi/>
        <w:rPr>
          <w:szCs w:val="20"/>
        </w:rPr>
      </w:pPr>
      <w:r w:rsidRPr="00D57928">
        <w:rPr>
          <w:rStyle w:val="FootnoteReference"/>
          <w:szCs w:val="20"/>
        </w:rPr>
        <w:footnoteRef/>
      </w:r>
      <w:r w:rsidRPr="00D57928">
        <w:rPr>
          <w:szCs w:val="20"/>
        </w:rPr>
        <w:t xml:space="preserve"> </w:t>
      </w:r>
      <w:r>
        <w:rPr>
          <w:rFonts w:hint="cs"/>
          <w:szCs w:val="20"/>
          <w:rtl/>
        </w:rPr>
        <w:t xml:space="preserve"> يمكن أن تشمل الاستراتيجية، </w:t>
      </w:r>
      <w:r w:rsidRPr="001F19C4">
        <w:rPr>
          <w:rFonts w:hint="cs"/>
          <w:i/>
          <w:iCs/>
          <w:szCs w:val="20"/>
          <w:rtl/>
        </w:rPr>
        <w:t>ضمن جملة أمور</w:t>
      </w:r>
      <w:r>
        <w:rPr>
          <w:rFonts w:hint="cs"/>
          <w:szCs w:val="20"/>
          <w:rtl/>
        </w:rPr>
        <w:t>، الحوافز والحوافز السلبية الاقتصادية التي تستهدف الموردين وفنيي الخدمة ومالكي المعدات، وتدريب الفنيين وأنشطة التوعية العامة والرقابة الجمركية على الأجهزة الجديدة المعتمدة على الكلوروفلوروكربون وعلى زيادة إمدادات المواد الكلوروفلوروكربون المعاد تدويرها.</w:t>
      </w:r>
    </w:p>
  </w:footnote>
  <w:footnote w:id="20">
    <w:p w:rsidR="006C05B1" w:rsidRPr="00D57928" w:rsidRDefault="006C05B1" w:rsidP="00A87E58">
      <w:pPr>
        <w:pStyle w:val="FootnoteText"/>
        <w:bidi/>
        <w:rPr>
          <w:szCs w:val="20"/>
        </w:rPr>
      </w:pPr>
      <w:r w:rsidRPr="00D57928">
        <w:rPr>
          <w:rStyle w:val="FootnoteReference"/>
          <w:szCs w:val="20"/>
        </w:rPr>
        <w:footnoteRef/>
      </w:r>
      <w:r w:rsidRPr="00D57928">
        <w:rPr>
          <w:szCs w:val="20"/>
        </w:rPr>
        <w:t xml:space="preserve"> </w:t>
      </w:r>
      <w:r>
        <w:rPr>
          <w:rFonts w:hint="cs"/>
          <w:szCs w:val="20"/>
          <w:rtl/>
        </w:rPr>
        <w:t xml:space="preserve"> لم يكن هناك منذ التصديق على بروتوكول مونتريال، سوى عدد قليل من البلدان تعاني من عدم الامتثال للبروتوكول غير أنه تم بمساعدة من الصندوق المتعدد الأطراف عادت هذه الأطراف الى الامتثال خلال فترة معينة.</w:t>
      </w:r>
    </w:p>
  </w:footnote>
  <w:footnote w:id="21">
    <w:p w:rsidR="006C05B1" w:rsidRPr="00D57928" w:rsidRDefault="006C05B1" w:rsidP="008E06D2">
      <w:pPr>
        <w:pStyle w:val="FootnoteText"/>
        <w:bidi/>
        <w:rPr>
          <w:szCs w:val="20"/>
        </w:rPr>
      </w:pPr>
      <w:r w:rsidRPr="00D57928">
        <w:rPr>
          <w:rStyle w:val="FootnoteReference"/>
          <w:szCs w:val="20"/>
        </w:rPr>
        <w:footnoteRef/>
      </w:r>
      <w:r w:rsidRPr="00D57928">
        <w:rPr>
          <w:szCs w:val="20"/>
        </w:rPr>
        <w:t xml:space="preserve"> </w:t>
      </w:r>
      <w:r>
        <w:rPr>
          <w:rFonts w:hint="cs"/>
          <w:szCs w:val="20"/>
          <w:rtl/>
        </w:rPr>
        <w:t xml:space="preserve"> فعلى سبيل المثال، ووفق على التمويل من حيث المبدأ لإزالة 62 في المائة من مجموع خط الأساس للهيدروكلوروفلوروكربون للامتثال في بلدان المادة 5 قبل فترة قوية من خفض بنسبة 35 في المائة في تدابير الرقابة في 2020.</w:t>
      </w:r>
    </w:p>
  </w:footnote>
  <w:footnote w:id="22">
    <w:p w:rsidR="006C05B1" w:rsidRPr="00D57928" w:rsidRDefault="006C05B1" w:rsidP="008E06D2">
      <w:pPr>
        <w:pStyle w:val="FootnoteText"/>
        <w:bidi/>
        <w:rPr>
          <w:szCs w:val="20"/>
        </w:rPr>
      </w:pPr>
      <w:r w:rsidRPr="00D57928">
        <w:rPr>
          <w:rStyle w:val="FootnoteReference"/>
          <w:szCs w:val="20"/>
        </w:rPr>
        <w:footnoteRef/>
      </w:r>
      <w:r w:rsidRPr="00D57928">
        <w:rPr>
          <w:szCs w:val="20"/>
        </w:rPr>
        <w:t xml:space="preserve"> </w:t>
      </w:r>
      <w:r>
        <w:rPr>
          <w:rFonts w:hint="cs"/>
          <w:szCs w:val="20"/>
          <w:rtl/>
        </w:rPr>
        <w:t xml:space="preserve"> بالنسبة للمواد وبالنسبة للأجهزة وبالنسبة لحاويات غازات التبريد وبالنسبة للمخزونات، النقل وتصميم النظم والعناصر، والحد الأقصى لشحن غازات التبريد والتركيب والخدمة والتخلص من الأجهزة بين عناصر أخرى.</w:t>
      </w:r>
    </w:p>
  </w:footnote>
  <w:footnote w:id="23">
    <w:p w:rsidR="006C05B1" w:rsidRPr="00D57928" w:rsidRDefault="006C05B1" w:rsidP="008E06D2">
      <w:pPr>
        <w:pStyle w:val="FootnoteText"/>
        <w:bidi/>
        <w:rPr>
          <w:szCs w:val="20"/>
        </w:rPr>
      </w:pPr>
      <w:r w:rsidRPr="00D57928">
        <w:rPr>
          <w:rStyle w:val="FootnoteReference"/>
          <w:szCs w:val="20"/>
        </w:rPr>
        <w:footnoteRef/>
      </w:r>
      <w:r>
        <w:rPr>
          <w:szCs w:val="20"/>
        </w:rPr>
        <w:t xml:space="preserve"> </w:t>
      </w:r>
      <w:r>
        <w:rPr>
          <w:rFonts w:hint="cs"/>
          <w:szCs w:val="20"/>
          <w:rtl/>
        </w:rPr>
        <w:t xml:space="preserve"> المقرر 72/41.</w:t>
      </w:r>
    </w:p>
  </w:footnote>
  <w:footnote w:id="24">
    <w:p w:rsidR="006C05B1" w:rsidRPr="00D57928" w:rsidRDefault="006C05B1" w:rsidP="00512997">
      <w:pPr>
        <w:pStyle w:val="FootnoteText"/>
        <w:bidi/>
        <w:rPr>
          <w:szCs w:val="20"/>
        </w:rPr>
      </w:pPr>
      <w:r w:rsidRPr="00D57928">
        <w:rPr>
          <w:rStyle w:val="FootnoteReference"/>
          <w:szCs w:val="20"/>
        </w:rPr>
        <w:footnoteRef/>
      </w:r>
      <w:r w:rsidRPr="00D57928">
        <w:rPr>
          <w:szCs w:val="20"/>
        </w:rPr>
        <w:t xml:space="preserve"> </w:t>
      </w:r>
      <w:r>
        <w:rPr>
          <w:rFonts w:hint="cs"/>
          <w:szCs w:val="20"/>
          <w:rtl/>
        </w:rPr>
        <w:t xml:space="preserve"> جرى تجميع المعايير الواردة في الدليل في أربع فئات رئيسية: (أ) معايير السلامة لتصميم وبناء وتركيب منتجات ونظم التبريد وتكييف الهواء ومضخات الحرارة، (ب) معايير الأداء لتحديد كفاءة وأداء نظم التبريد وتكييف الهواء ومضخات الحرارة وكذلك غازات التبريد، (ج) معايير الممارسة</w:t>
      </w:r>
      <w:bookmarkStart w:id="1" w:name="هنا"/>
      <w:bookmarkEnd w:id="1"/>
      <w:r>
        <w:rPr>
          <w:rFonts w:hint="cs"/>
          <w:szCs w:val="20"/>
          <w:rtl/>
          <w:lang w:bidi="ar-EG"/>
        </w:rPr>
        <w:t xml:space="preserve"> لتحديد المعارف وتوجيه أفضل الممارسات لتكنولوجيات التبريد لدى مناولة نظم وغازات هذه الأجهزة و(د) معايير الجودة التي تشمل أي صناعة إلاّ أنها تطبق على عمليات تتضمن غازات التبريد قبل الإنتاج والمحاسبة والاعتماد والتدريب.</w:t>
      </w:r>
    </w:p>
  </w:footnote>
  <w:footnote w:id="25">
    <w:p w:rsidR="006C05B1" w:rsidRPr="00D57928" w:rsidRDefault="006C05B1" w:rsidP="00512997">
      <w:pPr>
        <w:pStyle w:val="FootnoteText"/>
        <w:bidi/>
        <w:rPr>
          <w:szCs w:val="20"/>
          <w:lang w:val="en-US"/>
        </w:rPr>
      </w:pPr>
      <w:r w:rsidRPr="00D57928">
        <w:rPr>
          <w:rStyle w:val="FootnoteReference"/>
          <w:szCs w:val="20"/>
        </w:rPr>
        <w:footnoteRef/>
      </w:r>
      <w:r w:rsidRPr="00D57928">
        <w:rPr>
          <w:szCs w:val="20"/>
          <w:lang w:val="en-US"/>
        </w:rPr>
        <w:t xml:space="preserve"> </w:t>
      </w:r>
      <w:r>
        <w:rPr>
          <w:rFonts w:hint="cs"/>
          <w:szCs w:val="20"/>
          <w:rtl/>
          <w:lang w:val="en-US"/>
        </w:rPr>
        <w:t xml:space="preserve"> يسفر توسيم الطاقة عن فروق في المنتجات وتسويق معظم المنتجات التي تتسم بالكفاءة والتي تقع في الفئة المرتفعة سعرا مع العوامل الأخرى المتصلة بها. ويتمثل تأثير المعايير الواحدة عن دفع الصناعات الى إدراج العناصر التي تتسم بكفاءة الطاقة والتصميمات في المنتجات المنخفضة السعر (هامش ربح منخفض) في خطوط الإنتاج للأسواق، الأكبر في وقت آخر مما كان متوقعا.</w:t>
      </w:r>
    </w:p>
  </w:footnote>
  <w:footnote w:id="26">
    <w:p w:rsidR="006C05B1" w:rsidRPr="00D57928" w:rsidRDefault="006C05B1" w:rsidP="00AB1559">
      <w:pPr>
        <w:pStyle w:val="FootnoteText"/>
        <w:bidi/>
        <w:rPr>
          <w:szCs w:val="20"/>
        </w:rPr>
      </w:pPr>
      <w:r w:rsidRPr="00D57928">
        <w:rPr>
          <w:rStyle w:val="FootnoteReference"/>
          <w:szCs w:val="20"/>
        </w:rPr>
        <w:footnoteRef/>
      </w:r>
      <w:r w:rsidRPr="00D57928">
        <w:rPr>
          <w:szCs w:val="20"/>
        </w:rPr>
        <w:t xml:space="preserve"> </w:t>
      </w:r>
      <w:r>
        <w:rPr>
          <w:rFonts w:hint="cs"/>
          <w:szCs w:val="20"/>
          <w:rtl/>
        </w:rPr>
        <w:t xml:space="preserve"> وفي عمليات معيار أداء الطاقة الدنيا، يعقد واضعو سياسة كفاءة استخدام الطاقة مقارنا بين زيادة أسعار الشراء للأجهزة الأعلى كفاءة والوفورات في الطاقة للمستهلك، ووضعوا مستوى هذا المعيار الى مستوى "السداد" لمستهلك الطاقة خلال فترة زمنية محددة.</w:t>
      </w:r>
    </w:p>
  </w:footnote>
  <w:footnote w:id="27">
    <w:p w:rsidR="006C05B1" w:rsidRPr="00D57928" w:rsidRDefault="006C05B1" w:rsidP="00433CD1">
      <w:pPr>
        <w:bidi/>
        <w:rPr>
          <w:sz w:val="20"/>
          <w:szCs w:val="20"/>
          <w:lang w:val="en-US"/>
        </w:rPr>
      </w:pPr>
      <w:r w:rsidRPr="00D57928">
        <w:rPr>
          <w:rStyle w:val="FootnoteReference"/>
          <w:sz w:val="20"/>
          <w:szCs w:val="20"/>
        </w:rPr>
        <w:footnoteRef/>
      </w:r>
      <w:r w:rsidRPr="00D57928">
        <w:rPr>
          <w:sz w:val="20"/>
          <w:szCs w:val="20"/>
          <w:lang w:val="en-US"/>
        </w:rPr>
        <w:t xml:space="preserve"> </w:t>
      </w:r>
      <w:r>
        <w:rPr>
          <w:rFonts w:hint="cs"/>
          <w:sz w:val="20"/>
          <w:szCs w:val="20"/>
          <w:rtl/>
          <w:lang w:val="en-US"/>
        </w:rPr>
        <w:t xml:space="preserve"> مستخلص من المقرر </w:t>
      </w:r>
      <w:r>
        <w:rPr>
          <w:sz w:val="20"/>
          <w:szCs w:val="20"/>
          <w:lang w:val="en-US"/>
        </w:rPr>
        <w:t>10/XXIX</w:t>
      </w:r>
      <w:r>
        <w:rPr>
          <w:rFonts w:hint="cs"/>
          <w:sz w:val="20"/>
          <w:szCs w:val="20"/>
          <w:rtl/>
          <w:lang w:val="en-US"/>
        </w:rPr>
        <w:t xml:space="preserve"> من تقرير فريق المهام التابع لفريق التكنولوجيا والتقييم الاقتصادي وتشمل مصادر المعلومات:قاعدة بيانات </w:t>
      </w:r>
      <w:r w:rsidRPr="00D57928">
        <w:rPr>
          <w:color w:val="000000" w:themeColor="text1"/>
          <w:sz w:val="20"/>
          <w:szCs w:val="20"/>
        </w:rPr>
        <w:t>CLASP</w:t>
      </w:r>
      <w:r>
        <w:rPr>
          <w:rFonts w:hint="cs"/>
          <w:sz w:val="20"/>
          <w:szCs w:val="20"/>
          <w:rtl/>
          <w:lang w:val="en-US"/>
        </w:rPr>
        <w:t xml:space="preserve"> /2018)، </w:t>
      </w:r>
      <w:hyperlink r:id="rId1" w:history="1">
        <w:r w:rsidRPr="00D57928">
          <w:rPr>
            <w:rStyle w:val="Hyperlink"/>
            <w:color w:val="000000" w:themeColor="text1"/>
            <w:sz w:val="20"/>
            <w:szCs w:val="20"/>
          </w:rPr>
          <w:t>https://clasp.ngo/policies</w:t>
        </w:r>
      </w:hyperlink>
      <w:r>
        <w:rPr>
          <w:rFonts w:hint="cs"/>
          <w:sz w:val="20"/>
          <w:szCs w:val="20"/>
          <w:rtl/>
          <w:lang w:val="en-US"/>
        </w:rPr>
        <w:t xml:space="preserve"> (أطلع عليها في 15 أغسطس/ آب 2018) برنامج كيجالي وكفاءة التبريد، خريطة التبريد في أفريقيا، </w:t>
      </w:r>
      <w:hyperlink r:id="rId2" w:history="1">
        <w:r w:rsidRPr="00D57928">
          <w:rPr>
            <w:rStyle w:val="Hyperlink"/>
            <w:color w:val="000000" w:themeColor="text1"/>
            <w:sz w:val="20"/>
            <w:szCs w:val="20"/>
          </w:rPr>
          <w:t>https://www.k-cep.org/wp-content/uploads/2018/05/Africa-Cooling-map.pdf</w:t>
        </w:r>
      </w:hyperlink>
      <w:r w:rsidRPr="00D57928">
        <w:rPr>
          <w:color w:val="000000" w:themeColor="text1"/>
          <w:sz w:val="20"/>
          <w:szCs w:val="20"/>
        </w:rPr>
        <w:t>;</w:t>
      </w:r>
      <w:r>
        <w:rPr>
          <w:rFonts w:hint="cs"/>
          <w:sz w:val="20"/>
          <w:szCs w:val="20"/>
          <w:rtl/>
          <w:lang w:val="en-US"/>
        </w:rPr>
        <w:t xml:space="preserve"> توحيد معايير أداء الطاقة الدنيا وتوسيم الطاقة في أمريكا اللاتينية والبحر الكاريبي </w:t>
      </w:r>
      <w:r>
        <w:rPr>
          <w:sz w:val="20"/>
          <w:szCs w:val="20"/>
          <w:rtl/>
          <w:lang w:val="en-US"/>
        </w:rPr>
        <w:t>–</w:t>
      </w:r>
      <w:r>
        <w:rPr>
          <w:rFonts w:hint="cs"/>
          <w:sz w:val="20"/>
          <w:szCs w:val="20"/>
          <w:rtl/>
          <w:lang w:val="en-US"/>
        </w:rPr>
        <w:t xml:space="preserve"> الفرص والتحديات.</w:t>
      </w:r>
      <w:r w:rsidRPr="00D57928">
        <w:rPr>
          <w:color w:val="000000" w:themeColor="text1"/>
          <w:sz w:val="20"/>
          <w:szCs w:val="20"/>
        </w:rPr>
        <w:t xml:space="preserve"> </w:t>
      </w:r>
    </w:p>
  </w:footnote>
  <w:footnote w:id="28">
    <w:p w:rsidR="006C05B1" w:rsidRPr="00D57928" w:rsidRDefault="006C05B1" w:rsidP="00BA1D2D">
      <w:pPr>
        <w:pStyle w:val="FootnoteText"/>
        <w:bidi/>
        <w:rPr>
          <w:szCs w:val="20"/>
        </w:rPr>
      </w:pPr>
      <w:r w:rsidRPr="00D57928">
        <w:rPr>
          <w:rStyle w:val="FootnoteReference"/>
          <w:szCs w:val="20"/>
        </w:rPr>
        <w:footnoteRef/>
      </w:r>
      <w:r w:rsidRPr="00D57928">
        <w:rPr>
          <w:szCs w:val="20"/>
        </w:rPr>
        <w:t xml:space="preserve"> </w:t>
      </w:r>
      <w:r>
        <w:rPr>
          <w:rFonts w:hint="cs"/>
          <w:szCs w:val="20"/>
          <w:rtl/>
        </w:rPr>
        <w:t xml:space="preserve"> تتيح الوسمات المقارنة للمستهلكين عقد مقارنات بين المنتجات المتماثلة باستخدام درجات تقييم كفاءة استخدام الطاقة على التوسيم.</w:t>
      </w:r>
    </w:p>
  </w:footnote>
  <w:footnote w:id="29">
    <w:p w:rsidR="006C05B1" w:rsidRPr="00D57928" w:rsidRDefault="006C05B1" w:rsidP="00BA1D2D">
      <w:pPr>
        <w:pStyle w:val="FootnoteText"/>
        <w:bidi/>
        <w:rPr>
          <w:szCs w:val="20"/>
        </w:rPr>
      </w:pPr>
      <w:r w:rsidRPr="00D57928">
        <w:rPr>
          <w:rStyle w:val="FootnoteReference"/>
          <w:szCs w:val="20"/>
        </w:rPr>
        <w:footnoteRef/>
      </w:r>
      <w:r w:rsidRPr="00D57928">
        <w:rPr>
          <w:szCs w:val="20"/>
        </w:rPr>
        <w:t xml:space="preserve"> </w:t>
      </w:r>
      <w:r>
        <w:rPr>
          <w:rFonts w:hint="cs"/>
          <w:szCs w:val="20"/>
          <w:rtl/>
        </w:rPr>
        <w:t xml:space="preserve"> تمنح وسمات الموافقة في حالة تحقيق المنتج مجموعة من المعايير بصفها التوسيم.</w:t>
      </w:r>
    </w:p>
  </w:footnote>
  <w:footnote w:id="30">
    <w:p w:rsidR="006C05B1" w:rsidRPr="00D57928" w:rsidRDefault="006C05B1" w:rsidP="00300057">
      <w:pPr>
        <w:pStyle w:val="FootnoteText"/>
        <w:bidi/>
        <w:rPr>
          <w:szCs w:val="20"/>
        </w:rPr>
      </w:pPr>
      <w:r w:rsidRPr="00D57928">
        <w:rPr>
          <w:rStyle w:val="FootnoteReference"/>
          <w:szCs w:val="20"/>
        </w:rPr>
        <w:footnoteRef/>
      </w:r>
      <w:r w:rsidRPr="00D57928">
        <w:rPr>
          <w:szCs w:val="20"/>
        </w:rPr>
        <w:t xml:space="preserve"> </w:t>
      </w:r>
      <w:r>
        <w:rPr>
          <w:rFonts w:hint="cs"/>
          <w:szCs w:val="20"/>
          <w:rtl/>
        </w:rPr>
        <w:t xml:space="preserve"> وافقت اللجنة خلال اجتماعها التاسع والسبعين (يوليه/ تموز 2017) على تمويل أنشطة تمكينية لأنشطة </w:t>
      </w:r>
      <w:r w:rsidRPr="00BA1D2D">
        <w:rPr>
          <w:rFonts w:hint="cs"/>
          <w:i/>
          <w:iCs/>
          <w:szCs w:val="20"/>
          <w:rtl/>
        </w:rPr>
        <w:t>من بينها</w:t>
      </w:r>
      <w:r>
        <w:rPr>
          <w:rFonts w:hint="cs"/>
          <w:szCs w:val="20"/>
          <w:rtl/>
        </w:rPr>
        <w:t xml:space="preserve"> دعم: خفض المواد الهيدروكلوروفلوروكربونية، والتصديق مبكرا على تعديل كيجالي الذي يهدف الى البدء في دعم الترتيبات المؤسسية، واستعراض نظم التراخيص، والإبلاغ عن بيانات الهيدروفلوروكربون وبيان الأنشطة غير الاستثمارية والاستراتيجيات الوطنية (المقرر 79/46). وحتى الاجتماع الثاني والثمانين، حصل </w:t>
      </w:r>
      <w:r w:rsidRPr="00D57928">
        <w:rPr>
          <w:szCs w:val="20"/>
        </w:rPr>
        <w:t>130</w:t>
      </w:r>
      <w:r>
        <w:rPr>
          <w:rFonts w:hint="cs"/>
          <w:szCs w:val="20"/>
          <w:rtl/>
        </w:rPr>
        <w:t xml:space="preserve"> بلدا من بلدان المادة 5 على تمويل تنفيذ الأنشطة التمكينية ويتراوح التمويل للأنشطة التمكينية بين </w:t>
      </w:r>
      <w:r w:rsidRPr="00D57928">
        <w:rPr>
          <w:szCs w:val="20"/>
        </w:rPr>
        <w:t>50,000</w:t>
      </w:r>
      <w:r>
        <w:rPr>
          <w:rFonts w:hint="cs"/>
          <w:szCs w:val="20"/>
          <w:rtl/>
        </w:rPr>
        <w:t xml:space="preserve"> دولار أمريكي للبلدان التي يصل فيها خط أساس استهلاك الهيدروكلوروفلوروكربون الى </w:t>
      </w:r>
      <w:r w:rsidRPr="00D57928">
        <w:rPr>
          <w:szCs w:val="20"/>
        </w:rPr>
        <w:t>0.8</w:t>
      </w:r>
      <w:r>
        <w:rPr>
          <w:rFonts w:hint="cs"/>
          <w:szCs w:val="20"/>
          <w:rtl/>
        </w:rPr>
        <w:t xml:space="preserve"> طن بقدرات استنفاد الأوزون و</w:t>
      </w:r>
      <w:r w:rsidRPr="00D57928">
        <w:rPr>
          <w:szCs w:val="20"/>
        </w:rPr>
        <w:t>150,000</w:t>
      </w:r>
      <w:r>
        <w:rPr>
          <w:rFonts w:hint="cs"/>
          <w:szCs w:val="20"/>
          <w:rtl/>
        </w:rPr>
        <w:t xml:space="preserve"> دولار أمريكي للبلدان التي يتراوح فيها استهلاك خط أساس الهيدروكلوروفلوروكربون بين </w:t>
      </w:r>
      <w:r w:rsidRPr="00D57928">
        <w:rPr>
          <w:szCs w:val="20"/>
        </w:rPr>
        <w:t>17.6</w:t>
      </w:r>
      <w:r>
        <w:rPr>
          <w:rFonts w:hint="cs"/>
          <w:szCs w:val="20"/>
          <w:rtl/>
        </w:rPr>
        <w:t xml:space="preserve"> و</w:t>
      </w:r>
      <w:r w:rsidRPr="00D57928">
        <w:rPr>
          <w:szCs w:val="20"/>
        </w:rPr>
        <w:t>19.8</w:t>
      </w:r>
      <w:r>
        <w:rPr>
          <w:rFonts w:hint="cs"/>
          <w:szCs w:val="20"/>
          <w:rtl/>
        </w:rPr>
        <w:t xml:space="preserve"> طن بقدرات استنفاد الأوزون.</w:t>
      </w:r>
    </w:p>
  </w:footnote>
  <w:footnote w:id="31">
    <w:p w:rsidR="006C05B1" w:rsidRPr="00D57928" w:rsidRDefault="006C05B1" w:rsidP="00BA1D2D">
      <w:pPr>
        <w:pStyle w:val="FootnoteText"/>
        <w:bidi/>
        <w:rPr>
          <w:szCs w:val="20"/>
          <w:lang w:val="en-CA"/>
        </w:rPr>
      </w:pPr>
      <w:r w:rsidRPr="00D57928">
        <w:rPr>
          <w:rStyle w:val="FootnoteReference"/>
          <w:szCs w:val="20"/>
        </w:rPr>
        <w:footnoteRef/>
      </w:r>
      <w:r w:rsidRPr="00D57928">
        <w:rPr>
          <w:szCs w:val="20"/>
        </w:rPr>
        <w:t xml:space="preserve"> </w:t>
      </w:r>
      <w:r>
        <w:rPr>
          <w:rFonts w:hint="cs"/>
          <w:szCs w:val="20"/>
          <w:rtl/>
          <w:lang w:val="en-CA"/>
        </w:rPr>
        <w:t xml:space="preserve"> ولم يعرف بعد تأثير مبادرات كفاءة استخدام الطاقة بموجب الأنشطة التمكينية ويتوقع أن يكون محدودا.</w:t>
      </w:r>
    </w:p>
  </w:footnote>
  <w:footnote w:id="32">
    <w:p w:rsidR="006C05B1" w:rsidRPr="00D45F83" w:rsidRDefault="006C05B1" w:rsidP="00892422">
      <w:pPr>
        <w:pStyle w:val="FootnoteText"/>
        <w:bidi/>
      </w:pPr>
      <w:r>
        <w:rPr>
          <w:rStyle w:val="FootnoteReference"/>
        </w:rPr>
        <w:footnoteRef/>
      </w:r>
      <w:r>
        <w:t xml:space="preserve"> </w:t>
      </w:r>
      <w:r>
        <w:rPr>
          <w:rFonts w:hint="cs"/>
          <w:rtl/>
        </w:rPr>
        <w:t xml:space="preserve"> </w:t>
      </w:r>
      <w:r w:rsidRPr="00892422">
        <w:rPr>
          <w:rFonts w:hint="cs"/>
          <w:szCs w:val="20"/>
          <w:rtl/>
        </w:rPr>
        <w:t>المقرر 29/10 لفريق التكنولوجيا والتقييم الاقتصادي</w:t>
      </w:r>
      <w:r>
        <w:rPr>
          <w:rFonts w:hint="cs"/>
          <w:szCs w:val="20"/>
          <w:rtl/>
        </w:rPr>
        <w:t xml:space="preserve"> الوارد في تقرير فريق المهام.</w:t>
      </w:r>
    </w:p>
  </w:footnote>
  <w:footnote w:id="33">
    <w:p w:rsidR="006C05B1" w:rsidRPr="00D57928" w:rsidRDefault="006C05B1" w:rsidP="00F46768">
      <w:pPr>
        <w:pStyle w:val="FootnoteText"/>
        <w:bidi/>
        <w:rPr>
          <w:szCs w:val="20"/>
          <w:lang w:val="en-CA"/>
        </w:rPr>
      </w:pPr>
      <w:r w:rsidRPr="00D57928">
        <w:rPr>
          <w:rStyle w:val="FootnoteReference"/>
          <w:szCs w:val="20"/>
        </w:rPr>
        <w:footnoteRef/>
      </w:r>
      <w:r w:rsidRPr="00D57928">
        <w:rPr>
          <w:szCs w:val="20"/>
        </w:rPr>
        <w:t xml:space="preserve"> </w:t>
      </w:r>
      <w:r>
        <w:rPr>
          <w:rFonts w:hint="cs"/>
          <w:szCs w:val="20"/>
          <w:rtl/>
        </w:rPr>
        <w:t xml:space="preserve"> عرض بواسطة ستيفان تي الخبير التقني لمنظمة </w:t>
      </w:r>
      <w:r w:rsidRPr="00D57928">
        <w:rPr>
          <w:szCs w:val="20"/>
        </w:rPr>
        <w:t>EPEE</w:t>
      </w:r>
      <w:r>
        <w:rPr>
          <w:rFonts w:hint="cs"/>
          <w:szCs w:val="20"/>
          <w:rtl/>
        </w:rPr>
        <w:t xml:space="preserve"> خلال حلقة العمل عن فرص كفاءة استخدام الطاقة مع خفض المواد الهيدروفلوروكربون.</w:t>
      </w:r>
    </w:p>
  </w:footnote>
  <w:footnote w:id="34">
    <w:p w:rsidR="006C05B1" w:rsidRPr="00D57928" w:rsidRDefault="006C05B1" w:rsidP="003A5AF0">
      <w:pPr>
        <w:pStyle w:val="FootnoteText"/>
        <w:bidi/>
        <w:rPr>
          <w:szCs w:val="20"/>
        </w:rPr>
      </w:pPr>
      <w:r w:rsidRPr="00D57928">
        <w:rPr>
          <w:rStyle w:val="FootnoteReference"/>
          <w:szCs w:val="20"/>
        </w:rPr>
        <w:footnoteRef/>
      </w:r>
      <w:r w:rsidRPr="00D57928">
        <w:rPr>
          <w:szCs w:val="20"/>
        </w:rPr>
        <w:t xml:space="preserve"> </w:t>
      </w:r>
      <w:r>
        <w:rPr>
          <w:rFonts w:hint="cs"/>
          <w:szCs w:val="20"/>
          <w:rtl/>
        </w:rPr>
        <w:t xml:space="preserve"> مبادل الصفر في الدرجة المئوية (0 درجة مئوية) مقدار </w:t>
      </w:r>
      <w:r w:rsidRPr="00D57928">
        <w:rPr>
          <w:szCs w:val="20"/>
        </w:rPr>
        <w:t>273.15</w:t>
      </w:r>
      <w:r>
        <w:rPr>
          <w:rFonts w:hint="cs"/>
          <w:szCs w:val="20"/>
          <w:rtl/>
        </w:rPr>
        <w:t xml:space="preserve"> ك (كيلفين) مع فروق في درجات الحرارة 1 درجة مئوية وهو مايعادل الفرق بنسبة 1 ك، أو 100 درجة مئوية تحدد كنقطة غليان الماء يعادل </w:t>
      </w:r>
      <w:r w:rsidRPr="00D57928">
        <w:rPr>
          <w:szCs w:val="20"/>
        </w:rPr>
        <w:t>373.15</w:t>
      </w:r>
      <w:r>
        <w:rPr>
          <w:rFonts w:hint="cs"/>
          <w:szCs w:val="20"/>
          <w:rtl/>
        </w:rPr>
        <w:t xml:space="preserve"> ك وكل فرق بنسبة 1 ك في درجة الحرارة قد يسفر عن ارتفاع تأثير استهلاك الطاقة خلال تشغيل الأجهزة.</w:t>
      </w:r>
    </w:p>
  </w:footnote>
  <w:footnote w:id="35">
    <w:p w:rsidR="006C05B1" w:rsidRPr="00D57928" w:rsidRDefault="006C05B1" w:rsidP="003A5AF0">
      <w:pPr>
        <w:pStyle w:val="FootnoteText"/>
        <w:bidi/>
        <w:rPr>
          <w:szCs w:val="20"/>
          <w:lang w:val="en-CA"/>
        </w:rPr>
      </w:pPr>
      <w:r w:rsidRPr="00D57928">
        <w:rPr>
          <w:rStyle w:val="FootnoteReference"/>
          <w:szCs w:val="20"/>
        </w:rPr>
        <w:footnoteRef/>
      </w:r>
      <w:r w:rsidRPr="00D57928">
        <w:rPr>
          <w:szCs w:val="20"/>
        </w:rPr>
        <w:t xml:space="preserve"> </w:t>
      </w:r>
      <w:r>
        <w:rPr>
          <w:rFonts w:hint="cs"/>
          <w:szCs w:val="20"/>
          <w:rtl/>
        </w:rPr>
        <w:t xml:space="preserve"> يبدو أن هذه القيمة مرتفعة. ويشير تقرير فريق التكنولوجيا والتقييم الاقتصادي الى أن تعديلات أوضاع التحكم يمكن أن يسفر عن نحو 10 في المائة من الوفورات.</w:t>
      </w:r>
    </w:p>
  </w:footnote>
  <w:footnote w:id="36">
    <w:p w:rsidR="006C05B1" w:rsidRPr="00D57928" w:rsidRDefault="006C05B1" w:rsidP="00BE62D5">
      <w:pPr>
        <w:pStyle w:val="FootnoteText"/>
        <w:bidi/>
        <w:rPr>
          <w:szCs w:val="20"/>
        </w:rPr>
      </w:pPr>
      <w:r w:rsidRPr="00D57928">
        <w:rPr>
          <w:rStyle w:val="FootnoteReference"/>
          <w:szCs w:val="20"/>
        </w:rPr>
        <w:footnoteRef/>
      </w:r>
      <w:r w:rsidRPr="00D57928">
        <w:rPr>
          <w:szCs w:val="20"/>
        </w:rPr>
        <w:t xml:space="preserve"> </w:t>
      </w:r>
      <w:r>
        <w:rPr>
          <w:rFonts w:hint="cs"/>
          <w:szCs w:val="20"/>
          <w:rtl/>
        </w:rPr>
        <w:t xml:space="preserve"> الهيئات الدولية المسؤولة عن معايير التبريد وتكييف الهواء ومضخات الحرارة هي المنظمة الدولية للتوحيد القياسي والهيئة الدولية للتقنيات الكهربية. وهناك علاوة على ذلك هيئات معايير وطنية وإقليمية.</w:t>
      </w:r>
    </w:p>
  </w:footnote>
  <w:footnote w:id="37">
    <w:p w:rsidR="006C05B1" w:rsidRPr="00D57928" w:rsidRDefault="006C05B1" w:rsidP="00BE62D5">
      <w:pPr>
        <w:pStyle w:val="FootnoteText"/>
        <w:bidi/>
        <w:rPr>
          <w:szCs w:val="20"/>
        </w:rPr>
      </w:pPr>
      <w:r w:rsidRPr="00D57928">
        <w:rPr>
          <w:rStyle w:val="FootnoteReference"/>
          <w:szCs w:val="20"/>
        </w:rPr>
        <w:footnoteRef/>
      </w:r>
      <w:r w:rsidRPr="00D57928">
        <w:rPr>
          <w:szCs w:val="20"/>
        </w:rPr>
        <w:t xml:space="preserve"> </w:t>
      </w:r>
      <w:r>
        <w:rPr>
          <w:rFonts w:hint="cs"/>
          <w:szCs w:val="20"/>
          <w:rtl/>
        </w:rPr>
        <w:t xml:space="preserve"> ويجري تغطية أدوات ومنتجات والخدمات المقدمة في إطار برنامج المساعدة على الامتثال في اليونيب في المرفق الثالث بالوثيقة </w:t>
      </w:r>
      <w:r w:rsidRPr="00D57928">
        <w:rPr>
          <w:szCs w:val="20"/>
        </w:rPr>
        <w:t>UNEP/OzL.Pro/ExCom/82/64</w:t>
      </w:r>
      <w:r>
        <w:rPr>
          <w:rFonts w:hint="cs"/>
          <w:szCs w:val="20"/>
          <w:rtl/>
        </w:rPr>
        <w:t>.</w:t>
      </w:r>
    </w:p>
  </w:footnote>
  <w:footnote w:id="38">
    <w:p w:rsidR="006C05B1" w:rsidRPr="00D57928" w:rsidRDefault="006C05B1" w:rsidP="001F2E42">
      <w:pPr>
        <w:pStyle w:val="FootnoteText"/>
        <w:bidi/>
        <w:rPr>
          <w:szCs w:val="20"/>
          <w:lang w:val="en-CA"/>
        </w:rPr>
      </w:pPr>
      <w:r w:rsidRPr="00D57928">
        <w:rPr>
          <w:rStyle w:val="FootnoteReference"/>
          <w:szCs w:val="20"/>
        </w:rPr>
        <w:footnoteRef/>
      </w:r>
      <w:r w:rsidRPr="00D57928">
        <w:rPr>
          <w:szCs w:val="20"/>
        </w:rPr>
        <w:t xml:space="preserve"> </w:t>
      </w:r>
      <w:r>
        <w:rPr>
          <w:rFonts w:hint="cs"/>
          <w:szCs w:val="20"/>
          <w:rtl/>
        </w:rPr>
        <w:t xml:space="preserve"> يمكن تحليل برامج الحوافز الرائدة للمستخدمين النهائيين وتأثيرها وتقديمها في ورقة منفصلة للاجتماع الرابع والثمانين.</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05B1" w:rsidRPr="0033525D" w:rsidRDefault="00452B92" w:rsidP="002407C3">
    <w:pPr>
      <w:jc w:val="right"/>
    </w:pPr>
    <w:r>
      <w:fldChar w:fldCharType="begin"/>
    </w:r>
    <w:r>
      <w:instrText xml:space="preserve"> DOCPROPERTY "Document number"  \* MERGEFORMAT </w:instrText>
    </w:r>
    <w:r>
      <w:fldChar w:fldCharType="separate"/>
    </w:r>
    <w:r w:rsidR="006C05B1">
      <w:t>UNEP/OzL.Pro/ExCom/83/40</w:t>
    </w:r>
    <w:r>
      <w:fldChar w:fldCharType="end"/>
    </w:r>
  </w:p>
  <w:p w:rsidR="006C05B1" w:rsidRPr="0033525D" w:rsidRDefault="006C05B1"/>
  <w:p w:rsidR="006C05B1" w:rsidRPr="0033525D" w:rsidRDefault="006C05B1"/>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05B1" w:rsidRDefault="00452B92" w:rsidP="00CA7EAF">
    <w:r>
      <w:fldChar w:fldCharType="begin"/>
    </w:r>
    <w:r>
      <w:instrText xml:space="preserve"> DOCPROPERTY "Document number"  \* MERGEFORMAT </w:instrText>
    </w:r>
    <w:r>
      <w:fldChar w:fldCharType="separate"/>
    </w:r>
    <w:r w:rsidR="006C05B1">
      <w:t>UNEP/OzL.Pro/ExCom/83/40</w:t>
    </w:r>
    <w:r>
      <w:fldChar w:fldCharType="end"/>
    </w:r>
  </w:p>
  <w:p w:rsidR="006C05B1" w:rsidRPr="0033525D" w:rsidRDefault="006C05B1"/>
  <w:p w:rsidR="006C05B1" w:rsidRPr="0033525D" w:rsidRDefault="006C05B1">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05B1" w:rsidRDefault="006C05B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4761E4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5B627A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C923A9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532B57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27AF7F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CB6EE0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DEEBB7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5C453D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DD8EA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AF256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CBB4333A"/>
    <w:lvl w:ilvl="0">
      <w:start w:val="1"/>
      <w:numFmt w:val="decimal"/>
      <w:pStyle w:val="Heading1"/>
      <w:lvlText w:val="%1."/>
      <w:lvlJc w:val="left"/>
      <w:pPr>
        <w:tabs>
          <w:tab w:val="num" w:pos="0"/>
        </w:tabs>
        <w:ind w:left="0" w:firstLine="0"/>
      </w:pPr>
      <w:rPr>
        <w:rFonts w:hint="default"/>
      </w:rPr>
    </w:lvl>
    <w:lvl w:ilvl="1">
      <w:start w:val="1"/>
      <w:numFmt w:val="arabicAbjad"/>
      <w:pStyle w:val="Heading2"/>
      <w:lvlText w:val="(%2)"/>
      <w:lvlJc w:val="left"/>
      <w:pPr>
        <w:tabs>
          <w:tab w:val="num" w:pos="540"/>
        </w:tabs>
        <w:ind w:left="1980" w:hanging="720"/>
      </w:pPr>
      <w:rPr>
        <w:rFonts w:hint="default"/>
      </w:rPr>
    </w:lvl>
    <w:lvl w:ilvl="2">
      <w:start w:val="1"/>
      <w:numFmt w:val="lowerRoman"/>
      <w:pStyle w:val="Heading3"/>
      <w:lvlText w:val="(%3)"/>
      <w:lvlJc w:val="left"/>
      <w:pPr>
        <w:tabs>
          <w:tab w:val="num" w:pos="0"/>
        </w:tabs>
        <w:ind w:left="2160" w:hanging="720"/>
      </w:pPr>
      <w:rPr>
        <w:rFonts w:hint="default"/>
      </w:rPr>
    </w:lvl>
    <w:lvl w:ilvl="3">
      <w:start w:val="1"/>
      <w:numFmt w:val="lowerLetter"/>
      <w:pStyle w:val="Heading4"/>
      <w:lvlText w:val="%4)"/>
      <w:lvlJc w:val="left"/>
      <w:pPr>
        <w:tabs>
          <w:tab w:val="num" w:pos="-90"/>
        </w:tabs>
        <w:ind w:left="2776" w:hanging="706"/>
      </w:pPr>
      <w:rPr>
        <w:rFonts w:hint="default"/>
        <w:b w:val="0"/>
        <w:i w:val="0"/>
      </w:rPr>
    </w:lvl>
    <w:lvl w:ilvl="4">
      <w:start w:val="1"/>
      <w:numFmt w:val="decimal"/>
      <w:lvlText w:val="(%5)"/>
      <w:lvlJc w:val="left"/>
      <w:pPr>
        <w:tabs>
          <w:tab w:val="num" w:pos="0"/>
        </w:tabs>
        <w:ind w:left="3571" w:hanging="705"/>
      </w:pPr>
      <w:rPr>
        <w:rFonts w:hint="default"/>
      </w:rPr>
    </w:lvl>
    <w:lvl w:ilvl="5">
      <w:start w:val="1"/>
      <w:numFmt w:val="lowerLetter"/>
      <w:pStyle w:val="Heading6"/>
      <w:lvlText w:val="(%6)"/>
      <w:lvlJc w:val="left"/>
      <w:pPr>
        <w:tabs>
          <w:tab w:val="num" w:pos="0"/>
        </w:tabs>
        <w:ind w:left="4291" w:hanging="720"/>
      </w:pPr>
      <w:rPr>
        <w:rFonts w:hint="default"/>
      </w:rPr>
    </w:lvl>
    <w:lvl w:ilvl="6">
      <w:start w:val="1"/>
      <w:numFmt w:val="lowerRoman"/>
      <w:pStyle w:val="Heading7"/>
      <w:lvlText w:val="(%7)"/>
      <w:lvlJc w:val="left"/>
      <w:pPr>
        <w:tabs>
          <w:tab w:val="num" w:pos="0"/>
        </w:tabs>
        <w:ind w:left="4997" w:hanging="706"/>
      </w:pPr>
      <w:rPr>
        <w:rFonts w:hint="default"/>
      </w:rPr>
    </w:lvl>
    <w:lvl w:ilvl="7">
      <w:start w:val="1"/>
      <w:numFmt w:val="lowerLetter"/>
      <w:lvlText w:val="(%8)"/>
      <w:lvlJc w:val="left"/>
      <w:pPr>
        <w:tabs>
          <w:tab w:val="num" w:pos="0"/>
        </w:tabs>
        <w:ind w:left="5702" w:hanging="705"/>
      </w:pPr>
      <w:rPr>
        <w:rFonts w:hint="default"/>
      </w:rPr>
    </w:lvl>
    <w:lvl w:ilvl="8">
      <w:start w:val="1"/>
      <w:numFmt w:val="lowerRoman"/>
      <w:pStyle w:val="Heading9"/>
      <w:lvlText w:val="(%9)"/>
      <w:lvlJc w:val="left"/>
      <w:pPr>
        <w:tabs>
          <w:tab w:val="num" w:pos="0"/>
        </w:tabs>
        <w:ind w:left="6408" w:hanging="706"/>
      </w:pPr>
      <w:rPr>
        <w:rFonts w:hint="default"/>
      </w:rPr>
    </w:lvl>
  </w:abstractNum>
  <w:abstractNum w:abstractNumId="11" w15:restartNumberingAfterBreak="0">
    <w:nsid w:val="04DC0BD3"/>
    <w:multiLevelType w:val="hybridMultilevel"/>
    <w:tmpl w:val="9B266F7E"/>
    <w:lvl w:ilvl="0" w:tplc="FE024456">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083A4F78"/>
    <w:multiLevelType w:val="hybridMultilevel"/>
    <w:tmpl w:val="4D90E2D0"/>
    <w:lvl w:ilvl="0" w:tplc="04A0AE5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A3B3960"/>
    <w:multiLevelType w:val="hybridMultilevel"/>
    <w:tmpl w:val="A9083B76"/>
    <w:lvl w:ilvl="0" w:tplc="10090001">
      <w:start w:val="1"/>
      <w:numFmt w:val="bullet"/>
      <w:lvlText w:val=""/>
      <w:lvlJc w:val="left"/>
      <w:pPr>
        <w:ind w:left="2520" w:hanging="360"/>
      </w:pPr>
      <w:rPr>
        <w:rFonts w:ascii="Symbol" w:hAnsi="Symbol" w:hint="default"/>
      </w:rPr>
    </w:lvl>
    <w:lvl w:ilvl="1" w:tplc="10090003" w:tentative="1">
      <w:start w:val="1"/>
      <w:numFmt w:val="bullet"/>
      <w:lvlText w:val="o"/>
      <w:lvlJc w:val="left"/>
      <w:pPr>
        <w:ind w:left="3240" w:hanging="360"/>
      </w:pPr>
      <w:rPr>
        <w:rFonts w:ascii="Courier New" w:hAnsi="Courier New" w:cs="Courier New" w:hint="default"/>
      </w:rPr>
    </w:lvl>
    <w:lvl w:ilvl="2" w:tplc="10090005" w:tentative="1">
      <w:start w:val="1"/>
      <w:numFmt w:val="bullet"/>
      <w:lvlText w:val=""/>
      <w:lvlJc w:val="left"/>
      <w:pPr>
        <w:ind w:left="3960" w:hanging="360"/>
      </w:pPr>
      <w:rPr>
        <w:rFonts w:ascii="Wingdings" w:hAnsi="Wingdings" w:hint="default"/>
      </w:rPr>
    </w:lvl>
    <w:lvl w:ilvl="3" w:tplc="10090001" w:tentative="1">
      <w:start w:val="1"/>
      <w:numFmt w:val="bullet"/>
      <w:lvlText w:val=""/>
      <w:lvlJc w:val="left"/>
      <w:pPr>
        <w:ind w:left="4680" w:hanging="360"/>
      </w:pPr>
      <w:rPr>
        <w:rFonts w:ascii="Symbol" w:hAnsi="Symbol" w:hint="default"/>
      </w:rPr>
    </w:lvl>
    <w:lvl w:ilvl="4" w:tplc="10090003" w:tentative="1">
      <w:start w:val="1"/>
      <w:numFmt w:val="bullet"/>
      <w:lvlText w:val="o"/>
      <w:lvlJc w:val="left"/>
      <w:pPr>
        <w:ind w:left="5400" w:hanging="360"/>
      </w:pPr>
      <w:rPr>
        <w:rFonts w:ascii="Courier New" w:hAnsi="Courier New" w:cs="Courier New" w:hint="default"/>
      </w:rPr>
    </w:lvl>
    <w:lvl w:ilvl="5" w:tplc="10090005" w:tentative="1">
      <w:start w:val="1"/>
      <w:numFmt w:val="bullet"/>
      <w:lvlText w:val=""/>
      <w:lvlJc w:val="left"/>
      <w:pPr>
        <w:ind w:left="6120" w:hanging="360"/>
      </w:pPr>
      <w:rPr>
        <w:rFonts w:ascii="Wingdings" w:hAnsi="Wingdings" w:hint="default"/>
      </w:rPr>
    </w:lvl>
    <w:lvl w:ilvl="6" w:tplc="10090001" w:tentative="1">
      <w:start w:val="1"/>
      <w:numFmt w:val="bullet"/>
      <w:lvlText w:val=""/>
      <w:lvlJc w:val="left"/>
      <w:pPr>
        <w:ind w:left="6840" w:hanging="360"/>
      </w:pPr>
      <w:rPr>
        <w:rFonts w:ascii="Symbol" w:hAnsi="Symbol" w:hint="default"/>
      </w:rPr>
    </w:lvl>
    <w:lvl w:ilvl="7" w:tplc="10090003" w:tentative="1">
      <w:start w:val="1"/>
      <w:numFmt w:val="bullet"/>
      <w:lvlText w:val="o"/>
      <w:lvlJc w:val="left"/>
      <w:pPr>
        <w:ind w:left="7560" w:hanging="360"/>
      </w:pPr>
      <w:rPr>
        <w:rFonts w:ascii="Courier New" w:hAnsi="Courier New" w:cs="Courier New" w:hint="default"/>
      </w:rPr>
    </w:lvl>
    <w:lvl w:ilvl="8" w:tplc="10090005" w:tentative="1">
      <w:start w:val="1"/>
      <w:numFmt w:val="bullet"/>
      <w:lvlText w:val=""/>
      <w:lvlJc w:val="left"/>
      <w:pPr>
        <w:ind w:left="8280" w:hanging="360"/>
      </w:pPr>
      <w:rPr>
        <w:rFonts w:ascii="Wingdings" w:hAnsi="Wingdings" w:hint="default"/>
      </w:rPr>
    </w:lvl>
  </w:abstractNum>
  <w:abstractNum w:abstractNumId="14" w15:restartNumberingAfterBreak="0">
    <w:nsid w:val="0BEC0961"/>
    <w:multiLevelType w:val="hybridMultilevel"/>
    <w:tmpl w:val="0D4092A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15:restartNumberingAfterBreak="0">
    <w:nsid w:val="0CB47D7B"/>
    <w:multiLevelType w:val="multilevel"/>
    <w:tmpl w:val="65B06BF2"/>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0DBF7851"/>
    <w:multiLevelType w:val="hybridMultilevel"/>
    <w:tmpl w:val="0D20022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12614DE1"/>
    <w:multiLevelType w:val="hybridMultilevel"/>
    <w:tmpl w:val="FF224A60"/>
    <w:lvl w:ilvl="0" w:tplc="FE024456">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14D96F3C"/>
    <w:multiLevelType w:val="multilevel"/>
    <w:tmpl w:val="46024FC6"/>
    <w:lvl w:ilvl="0">
      <w:start w:val="7"/>
      <w:numFmt w:val="decimal"/>
      <w:lvlText w:val="%1."/>
      <w:lvlJc w:val="left"/>
      <w:pPr>
        <w:tabs>
          <w:tab w:val="num" w:pos="0"/>
        </w:tabs>
        <w:ind w:left="0" w:firstLine="0"/>
      </w:pPr>
      <w:rPr>
        <w:rFonts w:hint="default"/>
      </w:rPr>
    </w:lvl>
    <w:lvl w:ilvl="1">
      <w:start w:val="1"/>
      <w:numFmt w:val="lowerLetter"/>
      <w:lvlText w:val="(%2)"/>
      <w:lvlJc w:val="left"/>
      <w:pPr>
        <w:tabs>
          <w:tab w:val="num" w:pos="0"/>
        </w:tabs>
        <w:ind w:left="1440" w:hanging="720"/>
      </w:pPr>
      <w:rPr>
        <w:rFonts w:hint="default"/>
      </w:rPr>
    </w:lvl>
    <w:lvl w:ilvl="2">
      <w:start w:val="1"/>
      <w:numFmt w:val="lowerRoman"/>
      <w:lvlText w:val="(%3)"/>
      <w:lvlJc w:val="left"/>
      <w:pPr>
        <w:tabs>
          <w:tab w:val="num" w:pos="0"/>
        </w:tabs>
        <w:ind w:left="2160" w:hanging="720"/>
      </w:pPr>
      <w:rPr>
        <w:rFonts w:hint="default"/>
      </w:rPr>
    </w:lvl>
    <w:lvl w:ilvl="3">
      <w:start w:val="1"/>
      <w:numFmt w:val="lowerLetter"/>
      <w:lvlText w:val="%4)"/>
      <w:lvlJc w:val="left"/>
      <w:pPr>
        <w:tabs>
          <w:tab w:val="num" w:pos="-90"/>
        </w:tabs>
        <w:ind w:left="2776" w:hanging="706"/>
      </w:pPr>
      <w:rPr>
        <w:rFonts w:hint="default"/>
        <w:b w:val="0"/>
        <w:i w:val="0"/>
      </w:rPr>
    </w:lvl>
    <w:lvl w:ilvl="4">
      <w:start w:val="1"/>
      <w:numFmt w:val="decimal"/>
      <w:lvlText w:val="(%5)"/>
      <w:lvlJc w:val="left"/>
      <w:pPr>
        <w:tabs>
          <w:tab w:val="num" w:pos="0"/>
        </w:tabs>
        <w:ind w:left="3571" w:hanging="705"/>
      </w:pPr>
      <w:rPr>
        <w:rFonts w:hint="default"/>
      </w:rPr>
    </w:lvl>
    <w:lvl w:ilvl="5">
      <w:start w:val="1"/>
      <w:numFmt w:val="lowerLetter"/>
      <w:lvlText w:val="(%6)"/>
      <w:lvlJc w:val="left"/>
      <w:pPr>
        <w:tabs>
          <w:tab w:val="num" w:pos="0"/>
        </w:tabs>
        <w:ind w:left="4291" w:hanging="720"/>
      </w:pPr>
      <w:rPr>
        <w:rFonts w:hint="default"/>
      </w:rPr>
    </w:lvl>
    <w:lvl w:ilvl="6">
      <w:start w:val="1"/>
      <w:numFmt w:val="lowerRoman"/>
      <w:lvlText w:val="(%7)"/>
      <w:lvlJc w:val="left"/>
      <w:pPr>
        <w:tabs>
          <w:tab w:val="num" w:pos="0"/>
        </w:tabs>
        <w:ind w:left="4997" w:hanging="706"/>
      </w:pPr>
      <w:rPr>
        <w:rFonts w:hint="default"/>
      </w:rPr>
    </w:lvl>
    <w:lvl w:ilvl="7">
      <w:start w:val="1"/>
      <w:numFmt w:val="lowerLetter"/>
      <w:lvlText w:val="(%8)"/>
      <w:lvlJc w:val="left"/>
      <w:pPr>
        <w:tabs>
          <w:tab w:val="num" w:pos="0"/>
        </w:tabs>
        <w:ind w:left="5702" w:hanging="705"/>
      </w:pPr>
      <w:rPr>
        <w:rFonts w:hint="default"/>
      </w:rPr>
    </w:lvl>
    <w:lvl w:ilvl="8">
      <w:start w:val="1"/>
      <w:numFmt w:val="lowerRoman"/>
      <w:lvlText w:val="(%9)"/>
      <w:lvlJc w:val="left"/>
      <w:pPr>
        <w:tabs>
          <w:tab w:val="num" w:pos="0"/>
        </w:tabs>
        <w:ind w:left="6408" w:hanging="706"/>
      </w:pPr>
      <w:rPr>
        <w:rFonts w:hint="default"/>
      </w:rPr>
    </w:lvl>
  </w:abstractNum>
  <w:abstractNum w:abstractNumId="19" w15:restartNumberingAfterBreak="0">
    <w:nsid w:val="1B0F3EE2"/>
    <w:multiLevelType w:val="hybridMultilevel"/>
    <w:tmpl w:val="386C1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CF40339"/>
    <w:multiLevelType w:val="hybridMultilevel"/>
    <w:tmpl w:val="6ACEFECC"/>
    <w:lvl w:ilvl="0" w:tplc="ED36B258">
      <w:start w:val="1"/>
      <w:numFmt w:val="bullet"/>
      <w:lvlText w:val=""/>
      <w:lvlJc w:val="left"/>
      <w:pPr>
        <w:ind w:left="630" w:hanging="360"/>
      </w:pPr>
      <w:rPr>
        <w:rFonts w:ascii="Symbol" w:hAnsi="Symbol" w:hint="default"/>
      </w:rPr>
    </w:lvl>
    <w:lvl w:ilvl="1" w:tplc="04090003">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1" w15:restartNumberingAfterBreak="0">
    <w:nsid w:val="1D1C03A2"/>
    <w:multiLevelType w:val="hybridMultilevel"/>
    <w:tmpl w:val="D646C9A2"/>
    <w:lvl w:ilvl="0" w:tplc="FE024456">
      <w:start w:val="1"/>
      <w:numFmt w:val="lowerLetter"/>
      <w:lvlText w:val="(%1)"/>
      <w:lvlJc w:val="left"/>
      <w:pPr>
        <w:ind w:left="1440" w:hanging="360"/>
      </w:pPr>
      <w:rPr>
        <w:rFonts w:hint="default"/>
      </w:rPr>
    </w:lvl>
    <w:lvl w:ilvl="1" w:tplc="E3049D46">
      <w:numFmt w:val="bullet"/>
      <w:lvlText w:val="•"/>
      <w:lvlJc w:val="left"/>
      <w:pPr>
        <w:ind w:left="2520" w:hanging="720"/>
      </w:pPr>
      <w:rPr>
        <w:rFonts w:ascii="Times New Roman" w:eastAsia="Times New Roman" w:hAnsi="Times New Roman" w:cs="Times New Roman" w:hint="default"/>
      </w:r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2" w15:restartNumberingAfterBreak="0">
    <w:nsid w:val="1D7A15C6"/>
    <w:multiLevelType w:val="hybridMultilevel"/>
    <w:tmpl w:val="1B1C6EBC"/>
    <w:lvl w:ilvl="0" w:tplc="FE024456">
      <w:start w:val="1"/>
      <w:numFmt w:val="lowerLetter"/>
      <w:lvlText w:val="(%1)"/>
      <w:lvlJc w:val="left"/>
      <w:pPr>
        <w:ind w:left="1080" w:hanging="360"/>
      </w:pPr>
      <w:rPr>
        <w:rFont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3" w15:restartNumberingAfterBreak="0">
    <w:nsid w:val="20EB1B8C"/>
    <w:multiLevelType w:val="hybridMultilevel"/>
    <w:tmpl w:val="20E200F8"/>
    <w:lvl w:ilvl="0" w:tplc="FE024456">
      <w:start w:val="1"/>
      <w:numFmt w:val="lowerLetter"/>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2BC6015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2E9D7411"/>
    <w:multiLevelType w:val="hybridMultilevel"/>
    <w:tmpl w:val="04464174"/>
    <w:lvl w:ilvl="0" w:tplc="FE024456">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30375EB5"/>
    <w:multiLevelType w:val="hybridMultilevel"/>
    <w:tmpl w:val="3A4CD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26050D8"/>
    <w:multiLevelType w:val="hybridMultilevel"/>
    <w:tmpl w:val="74DA6DBE"/>
    <w:lvl w:ilvl="0" w:tplc="47005CA4">
      <w:start w:val="1"/>
      <w:numFmt w:val="lowerRoman"/>
      <w:pStyle w:val="Heading5"/>
      <w:lvlText w:val="%1."/>
      <w:lvlJc w:val="right"/>
      <w:pPr>
        <w:ind w:left="3583" w:hanging="360"/>
      </w:pPr>
    </w:lvl>
    <w:lvl w:ilvl="1" w:tplc="10090019" w:tentative="1">
      <w:start w:val="1"/>
      <w:numFmt w:val="lowerLetter"/>
      <w:lvlText w:val="%2."/>
      <w:lvlJc w:val="left"/>
      <w:pPr>
        <w:ind w:left="4303" w:hanging="360"/>
      </w:pPr>
    </w:lvl>
    <w:lvl w:ilvl="2" w:tplc="1009001B" w:tentative="1">
      <w:start w:val="1"/>
      <w:numFmt w:val="lowerRoman"/>
      <w:lvlText w:val="%3."/>
      <w:lvlJc w:val="right"/>
      <w:pPr>
        <w:ind w:left="5023" w:hanging="180"/>
      </w:pPr>
    </w:lvl>
    <w:lvl w:ilvl="3" w:tplc="1009000F" w:tentative="1">
      <w:start w:val="1"/>
      <w:numFmt w:val="decimal"/>
      <w:lvlText w:val="%4."/>
      <w:lvlJc w:val="left"/>
      <w:pPr>
        <w:ind w:left="5743" w:hanging="360"/>
      </w:pPr>
    </w:lvl>
    <w:lvl w:ilvl="4" w:tplc="10090019" w:tentative="1">
      <w:start w:val="1"/>
      <w:numFmt w:val="lowerLetter"/>
      <w:lvlText w:val="%5."/>
      <w:lvlJc w:val="left"/>
      <w:pPr>
        <w:ind w:left="6463" w:hanging="360"/>
      </w:pPr>
    </w:lvl>
    <w:lvl w:ilvl="5" w:tplc="1009001B" w:tentative="1">
      <w:start w:val="1"/>
      <w:numFmt w:val="lowerRoman"/>
      <w:lvlText w:val="%6."/>
      <w:lvlJc w:val="right"/>
      <w:pPr>
        <w:ind w:left="7183" w:hanging="180"/>
      </w:pPr>
    </w:lvl>
    <w:lvl w:ilvl="6" w:tplc="1009000F" w:tentative="1">
      <w:start w:val="1"/>
      <w:numFmt w:val="decimal"/>
      <w:lvlText w:val="%7."/>
      <w:lvlJc w:val="left"/>
      <w:pPr>
        <w:ind w:left="7903" w:hanging="360"/>
      </w:pPr>
    </w:lvl>
    <w:lvl w:ilvl="7" w:tplc="10090019" w:tentative="1">
      <w:start w:val="1"/>
      <w:numFmt w:val="lowerLetter"/>
      <w:lvlText w:val="%8."/>
      <w:lvlJc w:val="left"/>
      <w:pPr>
        <w:ind w:left="8623" w:hanging="360"/>
      </w:pPr>
    </w:lvl>
    <w:lvl w:ilvl="8" w:tplc="1009001B" w:tentative="1">
      <w:start w:val="1"/>
      <w:numFmt w:val="lowerRoman"/>
      <w:lvlText w:val="%9."/>
      <w:lvlJc w:val="right"/>
      <w:pPr>
        <w:ind w:left="9343" w:hanging="180"/>
      </w:pPr>
    </w:lvl>
  </w:abstractNum>
  <w:abstractNum w:abstractNumId="28" w15:restartNumberingAfterBreak="0">
    <w:nsid w:val="3A417EC1"/>
    <w:multiLevelType w:val="hybridMultilevel"/>
    <w:tmpl w:val="1D1874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3E4B00FC"/>
    <w:multiLevelType w:val="hybridMultilevel"/>
    <w:tmpl w:val="E9784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0E60990"/>
    <w:multiLevelType w:val="hybridMultilevel"/>
    <w:tmpl w:val="C5AE3CB0"/>
    <w:lvl w:ilvl="0" w:tplc="8288034A">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1" w15:restartNumberingAfterBreak="0">
    <w:nsid w:val="46463B19"/>
    <w:multiLevelType w:val="hybridMultilevel"/>
    <w:tmpl w:val="F56CEAB0"/>
    <w:lvl w:ilvl="0" w:tplc="FE024456">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2" w15:restartNumberingAfterBreak="0">
    <w:nsid w:val="4E892E7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51C54623"/>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4" w15:restartNumberingAfterBreak="0">
    <w:nsid w:val="5267772B"/>
    <w:multiLevelType w:val="hybridMultilevel"/>
    <w:tmpl w:val="7A707782"/>
    <w:lvl w:ilvl="0" w:tplc="300473E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E7F039C"/>
    <w:multiLevelType w:val="hybridMultilevel"/>
    <w:tmpl w:val="37DA12F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6" w15:restartNumberingAfterBreak="0">
    <w:nsid w:val="65F36238"/>
    <w:multiLevelType w:val="hybridMultilevel"/>
    <w:tmpl w:val="5C522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87203C7"/>
    <w:multiLevelType w:val="multilevel"/>
    <w:tmpl w:val="238401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A7D5BDD"/>
    <w:multiLevelType w:val="hybridMultilevel"/>
    <w:tmpl w:val="05A4B640"/>
    <w:lvl w:ilvl="0" w:tplc="63D45262">
      <w:start w:val="1"/>
      <w:numFmt w:val="lowerRoman"/>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15:restartNumberingAfterBreak="0">
    <w:nsid w:val="7E100F2A"/>
    <w:multiLevelType w:val="hybridMultilevel"/>
    <w:tmpl w:val="BD0C0614"/>
    <w:lvl w:ilvl="0" w:tplc="10C23008">
      <w:start w:val="1"/>
      <w:numFmt w:val="lowerLetter"/>
      <w:pStyle w:val="Header4"/>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40" w15:restartNumberingAfterBreak="0">
    <w:nsid w:val="7FDA355D"/>
    <w:multiLevelType w:val="hybridMultilevel"/>
    <w:tmpl w:val="712293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0"/>
  </w:num>
  <w:num w:numId="3">
    <w:abstractNumId w:val="10"/>
  </w:num>
  <w:num w:numId="4">
    <w:abstractNumId w:val="10"/>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4"/>
  </w:num>
  <w:num w:numId="17">
    <w:abstractNumId w:val="32"/>
  </w:num>
  <w:num w:numId="18">
    <w:abstractNumId w:val="33"/>
  </w:num>
  <w:num w:numId="19">
    <w:abstractNumId w:val="39"/>
  </w:num>
  <w:num w:numId="20">
    <w:abstractNumId w:val="27"/>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38"/>
  </w:num>
  <w:num w:numId="24">
    <w:abstractNumId w:val="17"/>
  </w:num>
  <w:num w:numId="25">
    <w:abstractNumId w:val="31"/>
  </w:num>
  <w:num w:numId="26">
    <w:abstractNumId w:val="22"/>
  </w:num>
  <w:num w:numId="27">
    <w:abstractNumId w:val="25"/>
  </w:num>
  <w:num w:numId="28">
    <w:abstractNumId w:val="23"/>
  </w:num>
  <w:num w:numId="29">
    <w:abstractNumId w:val="11"/>
  </w:num>
  <w:num w:numId="30">
    <w:abstractNumId w:val="21"/>
  </w:num>
  <w:num w:numId="31">
    <w:abstractNumId w:val="28"/>
  </w:num>
  <w:num w:numId="32">
    <w:abstractNumId w:val="13"/>
  </w:num>
  <w:num w:numId="33">
    <w:abstractNumId w:val="16"/>
  </w:num>
  <w:num w:numId="34">
    <w:abstractNumId w:val="40"/>
  </w:num>
  <w:num w:numId="35">
    <w:abstractNumId w:val="12"/>
  </w:num>
  <w:num w:numId="36">
    <w:abstractNumId w:val="35"/>
  </w:num>
  <w:num w:numId="37">
    <w:abstractNumId w:val="26"/>
  </w:num>
  <w:num w:numId="38">
    <w:abstractNumId w:val="14"/>
  </w:num>
  <w:num w:numId="39">
    <w:abstractNumId w:val="15"/>
  </w:num>
  <w:num w:numId="40">
    <w:abstractNumId w:val="34"/>
  </w:num>
  <w:num w:numId="41">
    <w:abstractNumId w:val="20"/>
  </w:num>
  <w:num w:numId="42">
    <w:abstractNumId w:val="19"/>
  </w:num>
  <w:num w:numId="43">
    <w:abstractNumId w:val="29"/>
  </w:num>
  <w:num w:numId="44">
    <w:abstractNumId w:val="30"/>
  </w:num>
  <w:num w:numId="45">
    <w:abstractNumId w:val="37"/>
  </w:num>
  <w:num w:numId="46">
    <w:abstractNumId w:val="36"/>
  </w:num>
  <w:num w:numId="4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7"/>
  <w:embedSystemFonts/>
  <w:attachedTemplate r:id="rId1"/>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stylePaneSortMethod w:val="0000"/>
  <w:styleLockTheme/>
  <w:styleLockQFSet/>
  <w:defaultTabStop w:val="720"/>
  <w:hyphenationZone w:val="283"/>
  <w:evenAndOddHeaders/>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0MbM0tTQyNTW0MDI1MzdS0lEKTi0uzszPAykwrwUA80GDZiwAAAA="/>
  </w:docVars>
  <w:rsids>
    <w:rsidRoot w:val="00EB56BA"/>
    <w:rsid w:val="00000FED"/>
    <w:rsid w:val="0000434E"/>
    <w:rsid w:val="00013627"/>
    <w:rsid w:val="000211A9"/>
    <w:rsid w:val="00031260"/>
    <w:rsid w:val="0003681A"/>
    <w:rsid w:val="00052C5C"/>
    <w:rsid w:val="00061EC2"/>
    <w:rsid w:val="00062442"/>
    <w:rsid w:val="00080ED0"/>
    <w:rsid w:val="00085B8F"/>
    <w:rsid w:val="00090481"/>
    <w:rsid w:val="000929FD"/>
    <w:rsid w:val="000A6C26"/>
    <w:rsid w:val="000A78BF"/>
    <w:rsid w:val="000B4E78"/>
    <w:rsid w:val="000D52A4"/>
    <w:rsid w:val="000D7363"/>
    <w:rsid w:val="000E07BC"/>
    <w:rsid w:val="000E71B1"/>
    <w:rsid w:val="000F1CD4"/>
    <w:rsid w:val="000F4103"/>
    <w:rsid w:val="000F70A7"/>
    <w:rsid w:val="00113CCA"/>
    <w:rsid w:val="00122F25"/>
    <w:rsid w:val="001316E4"/>
    <w:rsid w:val="00135980"/>
    <w:rsid w:val="00155BC2"/>
    <w:rsid w:val="00164719"/>
    <w:rsid w:val="00166FC4"/>
    <w:rsid w:val="001677AC"/>
    <w:rsid w:val="001804EA"/>
    <w:rsid w:val="00186419"/>
    <w:rsid w:val="00190A61"/>
    <w:rsid w:val="00196A2D"/>
    <w:rsid w:val="001A210F"/>
    <w:rsid w:val="001A3342"/>
    <w:rsid w:val="001A3E3D"/>
    <w:rsid w:val="001A7049"/>
    <w:rsid w:val="001B1D88"/>
    <w:rsid w:val="001B1E40"/>
    <w:rsid w:val="001B6487"/>
    <w:rsid w:val="001C130C"/>
    <w:rsid w:val="001C2139"/>
    <w:rsid w:val="001C3C80"/>
    <w:rsid w:val="001C764E"/>
    <w:rsid w:val="001E1052"/>
    <w:rsid w:val="001E21B1"/>
    <w:rsid w:val="001E2F93"/>
    <w:rsid w:val="001E61E5"/>
    <w:rsid w:val="001F19C4"/>
    <w:rsid w:val="001F2159"/>
    <w:rsid w:val="001F2E42"/>
    <w:rsid w:val="00207C93"/>
    <w:rsid w:val="00214863"/>
    <w:rsid w:val="002156B4"/>
    <w:rsid w:val="00216329"/>
    <w:rsid w:val="00224ACF"/>
    <w:rsid w:val="002407C3"/>
    <w:rsid w:val="002424E4"/>
    <w:rsid w:val="00253222"/>
    <w:rsid w:val="00262847"/>
    <w:rsid w:val="00281BB2"/>
    <w:rsid w:val="002A34C9"/>
    <w:rsid w:val="002A6238"/>
    <w:rsid w:val="002B08D9"/>
    <w:rsid w:val="002B72E9"/>
    <w:rsid w:val="002C62A3"/>
    <w:rsid w:val="002C7998"/>
    <w:rsid w:val="002F0BCE"/>
    <w:rsid w:val="002F1E53"/>
    <w:rsid w:val="002F2408"/>
    <w:rsid w:val="002F263D"/>
    <w:rsid w:val="002F2CAA"/>
    <w:rsid w:val="00300057"/>
    <w:rsid w:val="0030052C"/>
    <w:rsid w:val="003306E1"/>
    <w:rsid w:val="003320E4"/>
    <w:rsid w:val="0033525D"/>
    <w:rsid w:val="003414F3"/>
    <w:rsid w:val="00355E82"/>
    <w:rsid w:val="0035613E"/>
    <w:rsid w:val="00363EE9"/>
    <w:rsid w:val="00376128"/>
    <w:rsid w:val="0037742E"/>
    <w:rsid w:val="00377D56"/>
    <w:rsid w:val="00380A47"/>
    <w:rsid w:val="0038245A"/>
    <w:rsid w:val="003840E6"/>
    <w:rsid w:val="00385CFC"/>
    <w:rsid w:val="003919B9"/>
    <w:rsid w:val="0039337A"/>
    <w:rsid w:val="003A3189"/>
    <w:rsid w:val="003A3CA7"/>
    <w:rsid w:val="003A53A6"/>
    <w:rsid w:val="003A5AF0"/>
    <w:rsid w:val="003B33BD"/>
    <w:rsid w:val="003B569D"/>
    <w:rsid w:val="003C0C29"/>
    <w:rsid w:val="003C3C0E"/>
    <w:rsid w:val="003D2A33"/>
    <w:rsid w:val="003D4FAC"/>
    <w:rsid w:val="003E3B4B"/>
    <w:rsid w:val="003E7906"/>
    <w:rsid w:val="003F3C50"/>
    <w:rsid w:val="003F5FBE"/>
    <w:rsid w:val="004022E7"/>
    <w:rsid w:val="00406A6A"/>
    <w:rsid w:val="00406B22"/>
    <w:rsid w:val="004141BC"/>
    <w:rsid w:val="004174B4"/>
    <w:rsid w:val="004328A7"/>
    <w:rsid w:val="00433CD1"/>
    <w:rsid w:val="00434C74"/>
    <w:rsid w:val="0044685D"/>
    <w:rsid w:val="00452B92"/>
    <w:rsid w:val="004553C5"/>
    <w:rsid w:val="00456EB4"/>
    <w:rsid w:val="004718F3"/>
    <w:rsid w:val="00475040"/>
    <w:rsid w:val="00476C27"/>
    <w:rsid w:val="00486DD6"/>
    <w:rsid w:val="00492C59"/>
    <w:rsid w:val="00493D40"/>
    <w:rsid w:val="004967B6"/>
    <w:rsid w:val="004A3AC6"/>
    <w:rsid w:val="004A504B"/>
    <w:rsid w:val="004A6911"/>
    <w:rsid w:val="004B54E0"/>
    <w:rsid w:val="004B7384"/>
    <w:rsid w:val="004C4269"/>
    <w:rsid w:val="004C5E42"/>
    <w:rsid w:val="004C67E6"/>
    <w:rsid w:val="004D6236"/>
    <w:rsid w:val="004D7F90"/>
    <w:rsid w:val="004E4DBB"/>
    <w:rsid w:val="004E4E41"/>
    <w:rsid w:val="004E7F9C"/>
    <w:rsid w:val="004F3493"/>
    <w:rsid w:val="004F5143"/>
    <w:rsid w:val="004F693C"/>
    <w:rsid w:val="00512997"/>
    <w:rsid w:val="00512B09"/>
    <w:rsid w:val="00515B2F"/>
    <w:rsid w:val="00533796"/>
    <w:rsid w:val="00536C1B"/>
    <w:rsid w:val="00555D75"/>
    <w:rsid w:val="00560DF0"/>
    <w:rsid w:val="00564C89"/>
    <w:rsid w:val="0056759C"/>
    <w:rsid w:val="00581C2F"/>
    <w:rsid w:val="0059513E"/>
    <w:rsid w:val="005A1B44"/>
    <w:rsid w:val="005B48FF"/>
    <w:rsid w:val="005B5347"/>
    <w:rsid w:val="005D128A"/>
    <w:rsid w:val="005E4598"/>
    <w:rsid w:val="00604C15"/>
    <w:rsid w:val="00614BE0"/>
    <w:rsid w:val="006158D5"/>
    <w:rsid w:val="00625D83"/>
    <w:rsid w:val="00631E8E"/>
    <w:rsid w:val="00632BE6"/>
    <w:rsid w:val="006623E7"/>
    <w:rsid w:val="00662B80"/>
    <w:rsid w:val="00670F6C"/>
    <w:rsid w:val="006852C7"/>
    <w:rsid w:val="006852CE"/>
    <w:rsid w:val="00686E48"/>
    <w:rsid w:val="006C05B1"/>
    <w:rsid w:val="006C1727"/>
    <w:rsid w:val="006C32FD"/>
    <w:rsid w:val="006C39CE"/>
    <w:rsid w:val="006D0FCC"/>
    <w:rsid w:val="006D1D2D"/>
    <w:rsid w:val="006E1FC3"/>
    <w:rsid w:val="006E2321"/>
    <w:rsid w:val="006E521C"/>
    <w:rsid w:val="006E6227"/>
    <w:rsid w:val="0070616B"/>
    <w:rsid w:val="00706FDA"/>
    <w:rsid w:val="00711F9A"/>
    <w:rsid w:val="007121D1"/>
    <w:rsid w:val="00713810"/>
    <w:rsid w:val="00724DBC"/>
    <w:rsid w:val="007303A5"/>
    <w:rsid w:val="00730B3E"/>
    <w:rsid w:val="0073420B"/>
    <w:rsid w:val="0074255D"/>
    <w:rsid w:val="0074760E"/>
    <w:rsid w:val="00754ABA"/>
    <w:rsid w:val="007573F8"/>
    <w:rsid w:val="007951D7"/>
    <w:rsid w:val="007A1546"/>
    <w:rsid w:val="007A2046"/>
    <w:rsid w:val="007A228C"/>
    <w:rsid w:val="007A368E"/>
    <w:rsid w:val="007A54D4"/>
    <w:rsid w:val="007A5868"/>
    <w:rsid w:val="007B0378"/>
    <w:rsid w:val="007B04CE"/>
    <w:rsid w:val="007B6871"/>
    <w:rsid w:val="007B7A2F"/>
    <w:rsid w:val="007C227C"/>
    <w:rsid w:val="007C3D33"/>
    <w:rsid w:val="007D294A"/>
    <w:rsid w:val="007D47D2"/>
    <w:rsid w:val="007D6EC0"/>
    <w:rsid w:val="007D7E1D"/>
    <w:rsid w:val="007E1403"/>
    <w:rsid w:val="007E5FBB"/>
    <w:rsid w:val="008152EC"/>
    <w:rsid w:val="008307E8"/>
    <w:rsid w:val="00831979"/>
    <w:rsid w:val="00835BDE"/>
    <w:rsid w:val="00851352"/>
    <w:rsid w:val="00863230"/>
    <w:rsid w:val="008717D8"/>
    <w:rsid w:val="0087215C"/>
    <w:rsid w:val="00880E35"/>
    <w:rsid w:val="0088551C"/>
    <w:rsid w:val="008875FE"/>
    <w:rsid w:val="00887F8E"/>
    <w:rsid w:val="00892422"/>
    <w:rsid w:val="00895597"/>
    <w:rsid w:val="00896234"/>
    <w:rsid w:val="00897E43"/>
    <w:rsid w:val="008A59B6"/>
    <w:rsid w:val="008B0199"/>
    <w:rsid w:val="008C5738"/>
    <w:rsid w:val="008C7EAD"/>
    <w:rsid w:val="008D0612"/>
    <w:rsid w:val="008D0CFE"/>
    <w:rsid w:val="008D3375"/>
    <w:rsid w:val="008D6152"/>
    <w:rsid w:val="008E06D2"/>
    <w:rsid w:val="008F0F81"/>
    <w:rsid w:val="008F27BF"/>
    <w:rsid w:val="009142EC"/>
    <w:rsid w:val="009154C3"/>
    <w:rsid w:val="00923540"/>
    <w:rsid w:val="00926767"/>
    <w:rsid w:val="009361D5"/>
    <w:rsid w:val="009428A4"/>
    <w:rsid w:val="009659F4"/>
    <w:rsid w:val="00965D90"/>
    <w:rsid w:val="00970D60"/>
    <w:rsid w:val="009802BD"/>
    <w:rsid w:val="00990B46"/>
    <w:rsid w:val="009960E5"/>
    <w:rsid w:val="009A7ADC"/>
    <w:rsid w:val="009C19B7"/>
    <w:rsid w:val="009C1AD4"/>
    <w:rsid w:val="009D7C51"/>
    <w:rsid w:val="009E196C"/>
    <w:rsid w:val="009F36BF"/>
    <w:rsid w:val="00A067F2"/>
    <w:rsid w:val="00A111B6"/>
    <w:rsid w:val="00A2547B"/>
    <w:rsid w:val="00A26D27"/>
    <w:rsid w:val="00A304F4"/>
    <w:rsid w:val="00A376EE"/>
    <w:rsid w:val="00A42A99"/>
    <w:rsid w:val="00A5151A"/>
    <w:rsid w:val="00A52983"/>
    <w:rsid w:val="00A56465"/>
    <w:rsid w:val="00A57E0A"/>
    <w:rsid w:val="00A7044D"/>
    <w:rsid w:val="00A77C59"/>
    <w:rsid w:val="00A823F6"/>
    <w:rsid w:val="00A87E58"/>
    <w:rsid w:val="00A93BBA"/>
    <w:rsid w:val="00A96A71"/>
    <w:rsid w:val="00A97372"/>
    <w:rsid w:val="00AA0A89"/>
    <w:rsid w:val="00AA6429"/>
    <w:rsid w:val="00AA6474"/>
    <w:rsid w:val="00AB1559"/>
    <w:rsid w:val="00AC01AA"/>
    <w:rsid w:val="00AC4E26"/>
    <w:rsid w:val="00AC4F72"/>
    <w:rsid w:val="00AD6F73"/>
    <w:rsid w:val="00AE77AA"/>
    <w:rsid w:val="00AF2A83"/>
    <w:rsid w:val="00AF6E3A"/>
    <w:rsid w:val="00AF741A"/>
    <w:rsid w:val="00AF7524"/>
    <w:rsid w:val="00B01ADB"/>
    <w:rsid w:val="00B04161"/>
    <w:rsid w:val="00B056F9"/>
    <w:rsid w:val="00B11E3D"/>
    <w:rsid w:val="00B17E82"/>
    <w:rsid w:val="00B4575A"/>
    <w:rsid w:val="00B575BA"/>
    <w:rsid w:val="00B74F76"/>
    <w:rsid w:val="00B76429"/>
    <w:rsid w:val="00B8461B"/>
    <w:rsid w:val="00B956D4"/>
    <w:rsid w:val="00B97446"/>
    <w:rsid w:val="00BA1D2D"/>
    <w:rsid w:val="00BA7432"/>
    <w:rsid w:val="00BC1AA0"/>
    <w:rsid w:val="00BC2495"/>
    <w:rsid w:val="00BC24BD"/>
    <w:rsid w:val="00BC7EB9"/>
    <w:rsid w:val="00BD2643"/>
    <w:rsid w:val="00BD56B1"/>
    <w:rsid w:val="00BD6558"/>
    <w:rsid w:val="00BE62D5"/>
    <w:rsid w:val="00BF3022"/>
    <w:rsid w:val="00BF3214"/>
    <w:rsid w:val="00BF4191"/>
    <w:rsid w:val="00BF5573"/>
    <w:rsid w:val="00C15867"/>
    <w:rsid w:val="00C21AEE"/>
    <w:rsid w:val="00C22423"/>
    <w:rsid w:val="00C2296D"/>
    <w:rsid w:val="00C23155"/>
    <w:rsid w:val="00C35952"/>
    <w:rsid w:val="00C36598"/>
    <w:rsid w:val="00C4061B"/>
    <w:rsid w:val="00C40C41"/>
    <w:rsid w:val="00C45885"/>
    <w:rsid w:val="00C46913"/>
    <w:rsid w:val="00C50D7C"/>
    <w:rsid w:val="00C50F22"/>
    <w:rsid w:val="00C57971"/>
    <w:rsid w:val="00C64DF4"/>
    <w:rsid w:val="00C65BD7"/>
    <w:rsid w:val="00C76BA4"/>
    <w:rsid w:val="00C83A48"/>
    <w:rsid w:val="00C85865"/>
    <w:rsid w:val="00C85E85"/>
    <w:rsid w:val="00CA2EAE"/>
    <w:rsid w:val="00CA4AC1"/>
    <w:rsid w:val="00CA7EAF"/>
    <w:rsid w:val="00CB0316"/>
    <w:rsid w:val="00CB0B11"/>
    <w:rsid w:val="00CB2735"/>
    <w:rsid w:val="00CB5354"/>
    <w:rsid w:val="00CC299E"/>
    <w:rsid w:val="00CC4EC9"/>
    <w:rsid w:val="00CC6A14"/>
    <w:rsid w:val="00CC70A3"/>
    <w:rsid w:val="00CD103E"/>
    <w:rsid w:val="00CD4442"/>
    <w:rsid w:val="00CD4816"/>
    <w:rsid w:val="00CD53C3"/>
    <w:rsid w:val="00CD574E"/>
    <w:rsid w:val="00CE4C22"/>
    <w:rsid w:val="00CF41EC"/>
    <w:rsid w:val="00CF5D04"/>
    <w:rsid w:val="00D04DE4"/>
    <w:rsid w:val="00D063F1"/>
    <w:rsid w:val="00D13CD0"/>
    <w:rsid w:val="00D14F22"/>
    <w:rsid w:val="00D36A81"/>
    <w:rsid w:val="00D45F83"/>
    <w:rsid w:val="00D4741C"/>
    <w:rsid w:val="00D57918"/>
    <w:rsid w:val="00D57928"/>
    <w:rsid w:val="00D73DC6"/>
    <w:rsid w:val="00D74C1A"/>
    <w:rsid w:val="00D754C1"/>
    <w:rsid w:val="00D77393"/>
    <w:rsid w:val="00D77A35"/>
    <w:rsid w:val="00D81B3E"/>
    <w:rsid w:val="00D90C70"/>
    <w:rsid w:val="00D90E49"/>
    <w:rsid w:val="00D96ADE"/>
    <w:rsid w:val="00D97DAC"/>
    <w:rsid w:val="00DA0CE2"/>
    <w:rsid w:val="00DB350F"/>
    <w:rsid w:val="00DB748F"/>
    <w:rsid w:val="00DC27B2"/>
    <w:rsid w:val="00DC6A10"/>
    <w:rsid w:val="00DD7FF2"/>
    <w:rsid w:val="00DE1AC7"/>
    <w:rsid w:val="00DE1ADD"/>
    <w:rsid w:val="00DE657E"/>
    <w:rsid w:val="00DF4704"/>
    <w:rsid w:val="00E024AA"/>
    <w:rsid w:val="00E136DF"/>
    <w:rsid w:val="00E250F1"/>
    <w:rsid w:val="00E3550D"/>
    <w:rsid w:val="00E41335"/>
    <w:rsid w:val="00E53A50"/>
    <w:rsid w:val="00E53B89"/>
    <w:rsid w:val="00E5655A"/>
    <w:rsid w:val="00E614E0"/>
    <w:rsid w:val="00E65259"/>
    <w:rsid w:val="00E656FC"/>
    <w:rsid w:val="00E73F7F"/>
    <w:rsid w:val="00E85409"/>
    <w:rsid w:val="00EA429F"/>
    <w:rsid w:val="00EA4F9E"/>
    <w:rsid w:val="00EA63CA"/>
    <w:rsid w:val="00EA6D3B"/>
    <w:rsid w:val="00EB00AD"/>
    <w:rsid w:val="00EB136C"/>
    <w:rsid w:val="00EB480E"/>
    <w:rsid w:val="00EB56BA"/>
    <w:rsid w:val="00EB5EC6"/>
    <w:rsid w:val="00EB7FC9"/>
    <w:rsid w:val="00ED27E8"/>
    <w:rsid w:val="00ED7137"/>
    <w:rsid w:val="00EE66BA"/>
    <w:rsid w:val="00F21088"/>
    <w:rsid w:val="00F2284A"/>
    <w:rsid w:val="00F268BE"/>
    <w:rsid w:val="00F26E2B"/>
    <w:rsid w:val="00F31108"/>
    <w:rsid w:val="00F327E7"/>
    <w:rsid w:val="00F35746"/>
    <w:rsid w:val="00F36C4A"/>
    <w:rsid w:val="00F447C7"/>
    <w:rsid w:val="00F46768"/>
    <w:rsid w:val="00F5211B"/>
    <w:rsid w:val="00F554A9"/>
    <w:rsid w:val="00F716FD"/>
    <w:rsid w:val="00F80355"/>
    <w:rsid w:val="00F80953"/>
    <w:rsid w:val="00F87C43"/>
    <w:rsid w:val="00F93F48"/>
    <w:rsid w:val="00F95D00"/>
    <w:rsid w:val="00FB0C81"/>
    <w:rsid w:val="00FC2200"/>
    <w:rsid w:val="00FC2540"/>
    <w:rsid w:val="00FE6C54"/>
    <w:rsid w:val="00FF0204"/>
    <w:rsid w:val="00FF3AED"/>
    <w:rsid w:val="00FF47A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D76EE7D0-9E62-4B9C-80C2-50A67DC12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qFormat="1"/>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27E7"/>
    <w:pPr>
      <w:jc w:val="both"/>
    </w:pPr>
    <w:rPr>
      <w:sz w:val="22"/>
      <w:szCs w:val="22"/>
      <w:lang w:val="en-GB"/>
    </w:rPr>
  </w:style>
  <w:style w:type="paragraph" w:styleId="Heading1">
    <w:name w:val="heading 1"/>
    <w:aliases w:val="Para (1),Heading 1 Char,Heading 1 Char3 Char,Heading 1 Char Char1 Char,Heading 1 Char1 Char Char1 Char,Heading 1 Char Char Char Char1 Char1,Para (1) Char Char Char Char1 Char,Heading 1 Char3 Char Char Char Char1 Char,Heading 1 Char3,Heading1"/>
    <w:basedOn w:val="Normal"/>
    <w:next w:val="Normal"/>
    <w:link w:val="Heading1Char1"/>
    <w:qFormat/>
    <w:rsid w:val="0033525D"/>
    <w:pPr>
      <w:numPr>
        <w:numId w:val="1"/>
      </w:numPr>
      <w:spacing w:after="240"/>
      <w:outlineLvl w:val="0"/>
    </w:pPr>
  </w:style>
  <w:style w:type="paragraph" w:styleId="Heading2">
    <w:name w:val="heading 2"/>
    <w:aliases w:val="SubPara (a),Heading 2 Char3,Heading 2 Char Char2,Heading 2 Char1 Char Char1,SubPara (a) Char Char Char1,Heading 2 Char Char Char Char1,Heading 2 Char1 Char Char Char Char1,SubPara (a) Char1 Char Char Char Char1,Heading 2 Char2,Heading 2 Char1"/>
    <w:basedOn w:val="Normal"/>
    <w:next w:val="Normal"/>
    <w:link w:val="Heading2Char"/>
    <w:qFormat/>
    <w:rsid w:val="0033525D"/>
    <w:pPr>
      <w:widowControl w:val="0"/>
      <w:numPr>
        <w:ilvl w:val="1"/>
        <w:numId w:val="1"/>
      </w:numPr>
      <w:spacing w:after="240"/>
      <w:outlineLvl w:val="1"/>
    </w:pPr>
  </w:style>
  <w:style w:type="paragraph" w:styleId="Heading3">
    <w:name w:val="heading 3"/>
    <w:aliases w:val="Char,Char Char,Heading 3 Char1,Heading 3 Char Char,Char Char Char,Char Char1,Heading 3 Char1 Char,Heading 3 Char Char Char,Char Char Char Char,Char Char1 Char,Heading 3 Char2,Char Char2,Char Char Char1,Heading 3 Char Char1,Heading 3 Char"/>
    <w:basedOn w:val="Normal"/>
    <w:next w:val="Normal"/>
    <w:link w:val="Heading3Char3"/>
    <w:qFormat/>
    <w:rsid w:val="0033525D"/>
    <w:pPr>
      <w:widowControl w:val="0"/>
      <w:numPr>
        <w:ilvl w:val="2"/>
        <w:numId w:val="1"/>
      </w:numPr>
      <w:spacing w:after="240"/>
      <w:outlineLvl w:val="2"/>
    </w:pPr>
  </w:style>
  <w:style w:type="paragraph" w:styleId="Heading4">
    <w:name w:val="heading 4"/>
    <w:aliases w:val="Heading 11,para 4,Título 41,heading 4,Heading 41"/>
    <w:basedOn w:val="Normal"/>
    <w:next w:val="Heading9"/>
    <w:link w:val="Heading4Char"/>
    <w:qFormat/>
    <w:rsid w:val="007B6871"/>
    <w:pPr>
      <w:keepNext/>
      <w:numPr>
        <w:ilvl w:val="3"/>
        <w:numId w:val="1"/>
      </w:numPr>
      <w:spacing w:before="240" w:after="60"/>
      <w:outlineLvl w:val="3"/>
    </w:pPr>
  </w:style>
  <w:style w:type="paragraph" w:styleId="Heading5">
    <w:name w:val="heading 5"/>
    <w:basedOn w:val="Normal"/>
    <w:next w:val="Normal"/>
    <w:qFormat/>
    <w:rsid w:val="00DC6A10"/>
    <w:pPr>
      <w:keepNext/>
      <w:numPr>
        <w:numId w:val="20"/>
      </w:numPr>
      <w:spacing w:after="240"/>
      <w:ind w:left="3600" w:hanging="720"/>
      <w:outlineLvl w:val="4"/>
    </w:pPr>
  </w:style>
  <w:style w:type="paragraph" w:styleId="Heading6">
    <w:name w:val="heading 6"/>
    <w:basedOn w:val="Normal"/>
    <w:next w:val="Normal"/>
    <w:qFormat/>
    <w:rsid w:val="00A5151A"/>
    <w:pPr>
      <w:numPr>
        <w:ilvl w:val="5"/>
        <w:numId w:val="1"/>
      </w:numPr>
      <w:spacing w:before="240" w:after="60"/>
      <w:outlineLvl w:val="5"/>
    </w:pPr>
    <w:rPr>
      <w:rFonts w:ascii="Arial" w:hAnsi="Arial"/>
      <w:i/>
    </w:rPr>
  </w:style>
  <w:style w:type="paragraph" w:styleId="Heading7">
    <w:name w:val="heading 7"/>
    <w:basedOn w:val="Normal"/>
    <w:next w:val="Normal"/>
    <w:link w:val="Heading7Char"/>
    <w:qFormat/>
    <w:rsid w:val="00A5151A"/>
    <w:pPr>
      <w:numPr>
        <w:ilvl w:val="6"/>
        <w:numId w:val="1"/>
      </w:numPr>
      <w:spacing w:before="240" w:after="60"/>
      <w:outlineLvl w:val="6"/>
    </w:pPr>
    <w:rPr>
      <w:rFonts w:ascii="Arial" w:hAnsi="Arial"/>
    </w:rPr>
  </w:style>
  <w:style w:type="paragraph" w:styleId="Heading8">
    <w:name w:val="heading 8"/>
    <w:basedOn w:val="Normal"/>
    <w:next w:val="Normal"/>
    <w:qFormat/>
    <w:rsid w:val="00CC6A14"/>
    <w:pPr>
      <w:outlineLvl w:val="7"/>
    </w:pPr>
    <w:rPr>
      <w:b/>
    </w:rPr>
  </w:style>
  <w:style w:type="paragraph" w:styleId="Heading9">
    <w:name w:val="heading 9"/>
    <w:basedOn w:val="Normal"/>
    <w:next w:val="Normal"/>
    <w:qFormat/>
    <w:rsid w:val="00A5151A"/>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493D40"/>
    <w:pPr>
      <w:numPr>
        <w:numId w:val="16"/>
      </w:numPr>
    </w:pPr>
  </w:style>
  <w:style w:type="paragraph" w:styleId="Header">
    <w:name w:val="header"/>
    <w:basedOn w:val="Normal"/>
    <w:rsid w:val="00A5151A"/>
    <w:pPr>
      <w:tabs>
        <w:tab w:val="center" w:pos="4320"/>
        <w:tab w:val="right" w:pos="8640"/>
      </w:tabs>
    </w:pPr>
  </w:style>
  <w:style w:type="paragraph" w:customStyle="1" w:styleId="sub-title">
    <w:name w:val="sub-title"/>
    <w:rsid w:val="0033525D"/>
    <w:pPr>
      <w:jc w:val="both"/>
      <w:outlineLvl w:val="0"/>
    </w:pPr>
    <w:rPr>
      <w:b/>
      <w:noProof/>
      <w:sz w:val="22"/>
      <w:szCs w:val="22"/>
    </w:rPr>
  </w:style>
  <w:style w:type="paragraph" w:customStyle="1" w:styleId="Title1">
    <w:name w:val="Title1"/>
    <w:rsid w:val="0033525D"/>
    <w:pPr>
      <w:jc w:val="center"/>
      <w:outlineLvl w:val="0"/>
    </w:pPr>
    <w:rPr>
      <w:b/>
      <w:caps/>
      <w:sz w:val="22"/>
      <w:szCs w:val="22"/>
      <w:lang w:val="en-GB"/>
    </w:rPr>
  </w:style>
  <w:style w:type="paragraph" w:customStyle="1" w:styleId="Decision">
    <w:name w:val="Decision"/>
    <w:basedOn w:val="Normal"/>
    <w:rsid w:val="0033525D"/>
    <w:pPr>
      <w:keepLines/>
      <w:jc w:val="right"/>
    </w:pPr>
    <w:rPr>
      <w:b/>
    </w:rPr>
  </w:style>
  <w:style w:type="paragraph" w:customStyle="1" w:styleId="0Heading0">
    <w:name w:val="0 Heading 0"/>
    <w:link w:val="0Heading0Char2"/>
    <w:uiPriority w:val="99"/>
    <w:rsid w:val="0033525D"/>
    <w:rPr>
      <w:sz w:val="22"/>
      <w:szCs w:val="22"/>
      <w:lang w:val="en-GB"/>
    </w:rPr>
  </w:style>
  <w:style w:type="paragraph" w:styleId="Footer">
    <w:name w:val="footer"/>
    <w:basedOn w:val="Normal"/>
    <w:link w:val="FooterChar"/>
    <w:uiPriority w:val="99"/>
    <w:rsid w:val="00A5151A"/>
    <w:pPr>
      <w:tabs>
        <w:tab w:val="center" w:pos="4320"/>
        <w:tab w:val="right" w:pos="8640"/>
      </w:tabs>
    </w:pPr>
  </w:style>
  <w:style w:type="numbering" w:styleId="1ai">
    <w:name w:val="Outline List 1"/>
    <w:basedOn w:val="NoList"/>
    <w:semiHidden/>
    <w:rsid w:val="00493D40"/>
    <w:pPr>
      <w:numPr>
        <w:numId w:val="17"/>
      </w:numPr>
    </w:pPr>
  </w:style>
  <w:style w:type="numbering" w:styleId="ArticleSection">
    <w:name w:val="Outline List 3"/>
    <w:basedOn w:val="NoList"/>
    <w:semiHidden/>
    <w:rsid w:val="00493D40"/>
    <w:pPr>
      <w:numPr>
        <w:numId w:val="18"/>
      </w:numPr>
    </w:pPr>
  </w:style>
  <w:style w:type="paragraph" w:styleId="BlockText">
    <w:name w:val="Block Text"/>
    <w:basedOn w:val="Normal"/>
    <w:semiHidden/>
    <w:rsid w:val="00493D40"/>
    <w:pPr>
      <w:spacing w:after="120"/>
      <w:ind w:left="1440" w:right="1440"/>
    </w:pPr>
  </w:style>
  <w:style w:type="paragraph" w:styleId="BodyText3">
    <w:name w:val="Body Text 3"/>
    <w:basedOn w:val="Normal"/>
    <w:semiHidden/>
    <w:rsid w:val="00493D40"/>
    <w:pPr>
      <w:spacing w:after="120"/>
    </w:pPr>
    <w:rPr>
      <w:sz w:val="16"/>
      <w:szCs w:val="16"/>
    </w:rPr>
  </w:style>
  <w:style w:type="paragraph" w:styleId="BodyTextIndent3">
    <w:name w:val="Body Text Indent 3"/>
    <w:basedOn w:val="Normal"/>
    <w:semiHidden/>
    <w:rsid w:val="00493D40"/>
    <w:pPr>
      <w:spacing w:after="120"/>
      <w:ind w:left="360"/>
    </w:pPr>
    <w:rPr>
      <w:sz w:val="16"/>
      <w:szCs w:val="16"/>
    </w:rPr>
  </w:style>
  <w:style w:type="paragraph" w:styleId="PlainText">
    <w:name w:val="Plain Text"/>
    <w:basedOn w:val="Normal"/>
    <w:semiHidden/>
    <w:rsid w:val="00493D40"/>
    <w:rPr>
      <w:rFonts w:ascii="Courier New" w:hAnsi="Courier New" w:cs="Courier New"/>
      <w:sz w:val="20"/>
    </w:rPr>
  </w:style>
  <w:style w:type="table" w:styleId="Table3Deffects1">
    <w:name w:val="Table 3D effects 1"/>
    <w:basedOn w:val="TableNormal"/>
    <w:semiHidden/>
    <w:rsid w:val="00493D40"/>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93D40"/>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93D40"/>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93D40"/>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93D40"/>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93D40"/>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93D40"/>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93D40"/>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93D40"/>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93D40"/>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93D40"/>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93D40"/>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93D40"/>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93D40"/>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93D40"/>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aliases w:val="学术论文的三线表"/>
    <w:basedOn w:val="TableNormal"/>
    <w:qFormat/>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93D40"/>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93D40"/>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93D40"/>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93D40"/>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93D40"/>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93D40"/>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93D40"/>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93D40"/>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93D40"/>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93D40"/>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93D40"/>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93D40"/>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93D40"/>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93D40"/>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93D40"/>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93D40"/>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93D40"/>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ing1Char1">
    <w:name w:val="Heading 1 Char1"/>
    <w:aliases w:val="Para (1) Char,Heading 1 Char Char,Heading 1 Char3 Char Char,Heading 1 Char Char1 Char Char,Heading 1 Char1 Char Char1 Char Char,Heading 1 Char Char Char Char1 Char1 Char,Para (1) Char Char Char Char1 Char Char,Heading 1 Char3 Char1"/>
    <w:basedOn w:val="DefaultParagraphFont"/>
    <w:link w:val="Heading1"/>
    <w:rsid w:val="0033525D"/>
    <w:rPr>
      <w:sz w:val="22"/>
      <w:szCs w:val="22"/>
      <w:lang w:val="en-GB"/>
    </w:rPr>
  </w:style>
  <w:style w:type="paragraph" w:customStyle="1" w:styleId="Header4">
    <w:name w:val="Header4"/>
    <w:aliases w:val="Para 4"/>
    <w:basedOn w:val="Normal"/>
    <w:next w:val="Normal"/>
    <w:rsid w:val="00DC6A10"/>
    <w:pPr>
      <w:widowControl w:val="0"/>
      <w:numPr>
        <w:numId w:val="19"/>
      </w:numPr>
      <w:tabs>
        <w:tab w:val="left" w:pos="2880"/>
        <w:tab w:val="left" w:pos="5760"/>
      </w:tabs>
      <w:spacing w:after="240"/>
      <w:ind w:left="2880" w:hanging="720"/>
    </w:pPr>
  </w:style>
  <w:style w:type="character" w:styleId="CommentReference">
    <w:name w:val="annotation reference"/>
    <w:basedOn w:val="DefaultParagraphFont"/>
    <w:uiPriority w:val="99"/>
    <w:semiHidden/>
    <w:unhideWhenUsed/>
    <w:rsid w:val="00B04161"/>
    <w:rPr>
      <w:sz w:val="16"/>
      <w:szCs w:val="16"/>
    </w:rPr>
  </w:style>
  <w:style w:type="paragraph" w:styleId="Subtitle">
    <w:name w:val="Subtitle"/>
    <w:basedOn w:val="Normal"/>
    <w:qFormat/>
    <w:rsid w:val="0033525D"/>
    <w:pPr>
      <w:spacing w:after="60"/>
      <w:jc w:val="center"/>
      <w:outlineLvl w:val="1"/>
    </w:pPr>
    <w:rPr>
      <w:rFonts w:ascii="Arial" w:hAnsi="Arial" w:cs="Arial"/>
    </w:rPr>
  </w:style>
  <w:style w:type="paragraph" w:styleId="Title">
    <w:name w:val="Title"/>
    <w:basedOn w:val="Normal"/>
    <w:qFormat/>
    <w:rsid w:val="0033525D"/>
    <w:pPr>
      <w:spacing w:before="240" w:after="60"/>
      <w:jc w:val="center"/>
      <w:outlineLvl w:val="0"/>
    </w:pPr>
    <w:rPr>
      <w:rFonts w:ascii="Arial" w:hAnsi="Arial" w:cs="Arial"/>
      <w:b/>
      <w:bCs/>
      <w:kern w:val="28"/>
    </w:rPr>
  </w:style>
  <w:style w:type="paragraph" w:styleId="Date">
    <w:name w:val="Date"/>
    <w:basedOn w:val="Normal"/>
    <w:next w:val="Normal"/>
    <w:rsid w:val="0033525D"/>
  </w:style>
  <w:style w:type="character" w:styleId="PlaceholderText">
    <w:name w:val="Placeholder Text"/>
    <w:basedOn w:val="DefaultParagraphFont"/>
    <w:uiPriority w:val="99"/>
    <w:semiHidden/>
    <w:rsid w:val="00FC2540"/>
    <w:rPr>
      <w:color w:val="808080"/>
    </w:rPr>
  </w:style>
  <w:style w:type="paragraph" w:styleId="BalloonText">
    <w:name w:val="Balloon Text"/>
    <w:basedOn w:val="Normal"/>
    <w:link w:val="BalloonTextChar"/>
    <w:uiPriority w:val="99"/>
    <w:semiHidden/>
    <w:unhideWhenUsed/>
    <w:rsid w:val="00FC2540"/>
    <w:rPr>
      <w:rFonts w:ascii="Tahoma" w:hAnsi="Tahoma" w:cs="Tahoma"/>
      <w:sz w:val="16"/>
      <w:szCs w:val="16"/>
    </w:rPr>
  </w:style>
  <w:style w:type="character" w:customStyle="1" w:styleId="BalloonTextChar">
    <w:name w:val="Balloon Text Char"/>
    <w:basedOn w:val="DefaultParagraphFont"/>
    <w:link w:val="BalloonText"/>
    <w:uiPriority w:val="99"/>
    <w:semiHidden/>
    <w:rsid w:val="00FC2540"/>
    <w:rPr>
      <w:rFonts w:ascii="Tahoma" w:hAnsi="Tahoma" w:cs="Tahoma"/>
      <w:sz w:val="16"/>
      <w:szCs w:val="16"/>
      <w:lang w:val="en-GB"/>
    </w:rPr>
  </w:style>
  <w:style w:type="paragraph" w:styleId="CommentText">
    <w:name w:val="annotation text"/>
    <w:basedOn w:val="Normal"/>
    <w:link w:val="CommentTextChar"/>
    <w:uiPriority w:val="99"/>
    <w:semiHidden/>
    <w:unhideWhenUsed/>
    <w:rsid w:val="00B04161"/>
    <w:rPr>
      <w:sz w:val="20"/>
      <w:szCs w:val="20"/>
    </w:rPr>
  </w:style>
  <w:style w:type="character" w:customStyle="1" w:styleId="CommentTextChar">
    <w:name w:val="Comment Text Char"/>
    <w:basedOn w:val="DefaultParagraphFont"/>
    <w:link w:val="CommentText"/>
    <w:uiPriority w:val="99"/>
    <w:semiHidden/>
    <w:rsid w:val="00B04161"/>
    <w:rPr>
      <w:lang w:val="en-GB"/>
    </w:rPr>
  </w:style>
  <w:style w:type="paragraph" w:styleId="CommentSubject">
    <w:name w:val="annotation subject"/>
    <w:basedOn w:val="CommentText"/>
    <w:next w:val="CommentText"/>
    <w:link w:val="CommentSubjectChar"/>
    <w:uiPriority w:val="99"/>
    <w:semiHidden/>
    <w:unhideWhenUsed/>
    <w:rsid w:val="00B04161"/>
    <w:rPr>
      <w:b/>
      <w:bCs/>
    </w:rPr>
  </w:style>
  <w:style w:type="character" w:customStyle="1" w:styleId="CommentSubjectChar">
    <w:name w:val="Comment Subject Char"/>
    <w:basedOn w:val="CommentTextChar"/>
    <w:link w:val="CommentSubject"/>
    <w:uiPriority w:val="99"/>
    <w:semiHidden/>
    <w:rsid w:val="00B04161"/>
    <w:rPr>
      <w:b/>
      <w:bCs/>
      <w:lang w:val="en-GB"/>
    </w:rPr>
  </w:style>
  <w:style w:type="paragraph" w:customStyle="1" w:styleId="StyleHeader4Para4Left0Firstline0">
    <w:name w:val="Style Header4Para 4 + Left:  0&quot; First line:  0&quot;"/>
    <w:basedOn w:val="Header4"/>
    <w:rsid w:val="004E7F9C"/>
    <w:pPr>
      <w:ind w:left="0" w:firstLine="0"/>
    </w:pPr>
    <w:rPr>
      <w:sz w:val="20"/>
    </w:rPr>
  </w:style>
  <w:style w:type="character" w:styleId="FootnoteReference">
    <w:name w:val="footnote reference"/>
    <w:aliases w:val="-E Fußnotenzeichen,16 Point,Superscript 6 Point,Footnote text,Footnote Text1,Footnote Text2,number,Footnote reference number,Footnote symbol,note TESI,SUPERS,stylish,ftref,Footnote Reference Superscript,-E Fuﬂnotenzeichen,fr"/>
    <w:link w:val="CharCharCharCharCarChar"/>
    <w:uiPriority w:val="99"/>
    <w:qFormat/>
    <w:rsid w:val="00EB56BA"/>
    <w:rPr>
      <w:szCs w:val="18"/>
      <w:vertAlign w:val="superscript"/>
    </w:rPr>
  </w:style>
  <w:style w:type="paragraph" w:styleId="FootnoteText">
    <w:name w:val="footnote text"/>
    <w:aliases w:val="Fußnotentextf,Char1,Geneva 9,Font: Geneva 9,Boston 10,f,-E Fußnotentext,Fußnotentext Ursprung,-E Fußnotentext1,-E Fußnotentext2,-E Fußnotentext3,Fußnotentext Char1,Fußnotentext Char Char,Fußnotentext Char1 Char Char,Char1 Char Char, Char1"/>
    <w:basedOn w:val="Normal"/>
    <w:link w:val="FootnoteTextChar"/>
    <w:uiPriority w:val="99"/>
    <w:qFormat/>
    <w:rsid w:val="00EB56BA"/>
    <w:pPr>
      <w:tabs>
        <w:tab w:val="left" w:pos="1247"/>
        <w:tab w:val="left" w:pos="1814"/>
        <w:tab w:val="left" w:pos="2381"/>
        <w:tab w:val="left" w:pos="2948"/>
        <w:tab w:val="left" w:pos="3515"/>
      </w:tabs>
    </w:pPr>
    <w:rPr>
      <w:sz w:val="20"/>
      <w:szCs w:val="24"/>
    </w:rPr>
  </w:style>
  <w:style w:type="character" w:customStyle="1" w:styleId="FootnoteTextChar">
    <w:name w:val="Footnote Text Char"/>
    <w:aliases w:val="Fußnotentextf Char,Char1 Char,Geneva 9 Char,Font: Geneva 9 Char,Boston 10 Char,f Char,-E Fußnotentext Char,Fußnotentext Ursprung Char,-E Fußnotentext1 Char,-E Fußnotentext2 Char,-E Fußnotentext3 Char,Fußnotentext Char1 Char"/>
    <w:basedOn w:val="DefaultParagraphFont"/>
    <w:link w:val="FootnoteText"/>
    <w:uiPriority w:val="99"/>
    <w:rsid w:val="00EB56BA"/>
    <w:rPr>
      <w:szCs w:val="24"/>
      <w:lang w:val="en-GB"/>
    </w:rPr>
  </w:style>
  <w:style w:type="paragraph" w:customStyle="1" w:styleId="CharCharCharCharCarChar">
    <w:name w:val="Char Char Char Char Car Char"/>
    <w:aliases w:val="Char Char Char Char Car Char Char1 Char Char Char Char1 Char,Char Char Char1 Char Char Char Char1 Char,Char Char Char Char Car Char Char1 Char Char"/>
    <w:basedOn w:val="Normal"/>
    <w:next w:val="Normal"/>
    <w:link w:val="FootnoteReference"/>
    <w:uiPriority w:val="99"/>
    <w:rsid w:val="00EB56BA"/>
    <w:pPr>
      <w:spacing w:after="160" w:line="240" w:lineRule="exact"/>
    </w:pPr>
    <w:rPr>
      <w:sz w:val="20"/>
      <w:szCs w:val="18"/>
      <w:vertAlign w:val="superscript"/>
      <w:lang w:val="en-US"/>
    </w:rPr>
  </w:style>
  <w:style w:type="character" w:customStyle="1" w:styleId="Heading2Char">
    <w:name w:val="Heading 2 Char"/>
    <w:aliases w:val="SubPara (a) Char,Heading 2 Char3 Char,Heading 2 Char Char2 Char,Heading 2 Char1 Char Char1 Char,SubPara (a) Char Char Char1 Char,Heading 2 Char Char Char Char1 Char,Heading 2 Char1 Char Char Char Char1 Char,Heading 2 Char2 Char"/>
    <w:basedOn w:val="DefaultParagraphFont"/>
    <w:link w:val="Heading2"/>
    <w:rsid w:val="00EB56BA"/>
    <w:rPr>
      <w:sz w:val="22"/>
      <w:szCs w:val="22"/>
      <w:lang w:val="en-GB"/>
    </w:rPr>
  </w:style>
  <w:style w:type="character" w:customStyle="1" w:styleId="Heading3Char3">
    <w:name w:val="Heading 3 Char3"/>
    <w:aliases w:val="Char Char3,Char Char Char2,Heading 3 Char1 Char1,Heading 3 Char Char Char1,Char Char Char Char1,Char Char1 Char1,Heading 3 Char1 Char Char,Heading 3 Char Char Char Char,Char Char Char Char Char,Char Char1 Char Char,Heading 3 Char2 Char"/>
    <w:basedOn w:val="DefaultParagraphFont"/>
    <w:link w:val="Heading3"/>
    <w:rsid w:val="00EB56BA"/>
    <w:rPr>
      <w:sz w:val="22"/>
      <w:szCs w:val="22"/>
      <w:lang w:val="en-GB"/>
    </w:rPr>
  </w:style>
  <w:style w:type="paragraph" w:styleId="ListParagraph">
    <w:name w:val="List Paragraph"/>
    <w:basedOn w:val="Normal"/>
    <w:uiPriority w:val="34"/>
    <w:qFormat/>
    <w:rsid w:val="00EB56BA"/>
    <w:pPr>
      <w:ind w:left="720"/>
      <w:contextualSpacing/>
    </w:pPr>
  </w:style>
  <w:style w:type="paragraph" w:customStyle="1" w:styleId="CH1">
    <w:name w:val="CH1"/>
    <w:basedOn w:val="Normal"/>
    <w:next w:val="Normal"/>
    <w:link w:val="CH1Char"/>
    <w:rsid w:val="00EB56BA"/>
    <w:pPr>
      <w:keepNext/>
      <w:keepLines/>
      <w:tabs>
        <w:tab w:val="right" w:pos="851"/>
        <w:tab w:val="left" w:pos="1247"/>
        <w:tab w:val="left" w:pos="1814"/>
        <w:tab w:val="left" w:pos="2381"/>
        <w:tab w:val="left" w:pos="2948"/>
        <w:tab w:val="left" w:pos="3515"/>
      </w:tabs>
      <w:suppressAutoHyphens/>
      <w:spacing w:before="240" w:after="120"/>
      <w:ind w:left="1247" w:right="284" w:hanging="1247"/>
      <w:jc w:val="left"/>
    </w:pPr>
    <w:rPr>
      <w:b/>
      <w:sz w:val="28"/>
      <w:szCs w:val="28"/>
    </w:rPr>
  </w:style>
  <w:style w:type="character" w:customStyle="1" w:styleId="CH1Char">
    <w:name w:val="CH1 Char"/>
    <w:link w:val="CH1"/>
    <w:locked/>
    <w:rsid w:val="00EB56BA"/>
    <w:rPr>
      <w:b/>
      <w:sz w:val="28"/>
      <w:szCs w:val="28"/>
      <w:lang w:val="en-GB"/>
    </w:rPr>
  </w:style>
  <w:style w:type="paragraph" w:customStyle="1" w:styleId="CH2">
    <w:name w:val="CH2"/>
    <w:basedOn w:val="Normal"/>
    <w:next w:val="Normal"/>
    <w:link w:val="CH2Char"/>
    <w:rsid w:val="00EB56BA"/>
    <w:pPr>
      <w:keepNext/>
      <w:keepLines/>
      <w:tabs>
        <w:tab w:val="right" w:pos="851"/>
        <w:tab w:val="left" w:pos="1247"/>
        <w:tab w:val="left" w:pos="1814"/>
        <w:tab w:val="left" w:pos="2381"/>
        <w:tab w:val="left" w:pos="2948"/>
        <w:tab w:val="left" w:pos="3515"/>
      </w:tabs>
      <w:suppressAutoHyphens/>
      <w:spacing w:before="80" w:after="120"/>
      <w:ind w:left="1247" w:right="284" w:hanging="1247"/>
      <w:jc w:val="left"/>
    </w:pPr>
    <w:rPr>
      <w:b/>
      <w:sz w:val="24"/>
      <w:szCs w:val="24"/>
    </w:rPr>
  </w:style>
  <w:style w:type="paragraph" w:customStyle="1" w:styleId="Normalpool">
    <w:name w:val="Normal_pool"/>
    <w:link w:val="NormalpoolChar"/>
    <w:rsid w:val="00EB56BA"/>
    <w:pPr>
      <w:tabs>
        <w:tab w:val="left" w:pos="1253"/>
        <w:tab w:val="left" w:pos="1814"/>
        <w:tab w:val="left" w:pos="2376"/>
        <w:tab w:val="left" w:pos="2952"/>
        <w:tab w:val="left" w:pos="3514"/>
      </w:tabs>
    </w:pPr>
    <w:rPr>
      <w:lang w:val="en-GB"/>
    </w:rPr>
  </w:style>
  <w:style w:type="character" w:customStyle="1" w:styleId="NormalpoolChar">
    <w:name w:val="Normal_pool Char"/>
    <w:link w:val="Normalpool"/>
    <w:locked/>
    <w:rsid w:val="00EB56BA"/>
    <w:rPr>
      <w:lang w:val="en-GB"/>
    </w:rPr>
  </w:style>
  <w:style w:type="character" w:customStyle="1" w:styleId="CH2Char">
    <w:name w:val="CH2 Char"/>
    <w:link w:val="CH2"/>
    <w:locked/>
    <w:rsid w:val="00EB56BA"/>
    <w:rPr>
      <w:b/>
      <w:sz w:val="24"/>
      <w:szCs w:val="24"/>
      <w:lang w:val="en-GB"/>
    </w:rPr>
  </w:style>
  <w:style w:type="character" w:styleId="Hyperlink">
    <w:name w:val="Hyperlink"/>
    <w:basedOn w:val="DefaultParagraphFont"/>
    <w:uiPriority w:val="99"/>
    <w:unhideWhenUsed/>
    <w:rsid w:val="00EB56BA"/>
    <w:rPr>
      <w:color w:val="0000FF" w:themeColor="hyperlink"/>
      <w:u w:val="single"/>
    </w:rPr>
  </w:style>
  <w:style w:type="character" w:customStyle="1" w:styleId="FooterChar">
    <w:name w:val="Footer Char"/>
    <w:basedOn w:val="DefaultParagraphFont"/>
    <w:link w:val="Footer"/>
    <w:uiPriority w:val="99"/>
    <w:rsid w:val="00EB56BA"/>
    <w:rPr>
      <w:sz w:val="22"/>
      <w:szCs w:val="22"/>
      <w:lang w:val="en-GB"/>
    </w:rPr>
  </w:style>
  <w:style w:type="paragraph" w:styleId="Revision">
    <w:name w:val="Revision"/>
    <w:hidden/>
    <w:uiPriority w:val="99"/>
    <w:semiHidden/>
    <w:rsid w:val="00EB56BA"/>
    <w:rPr>
      <w:sz w:val="22"/>
      <w:szCs w:val="22"/>
      <w:lang w:val="en-GB"/>
    </w:rPr>
  </w:style>
  <w:style w:type="character" w:styleId="FollowedHyperlink">
    <w:name w:val="FollowedHyperlink"/>
    <w:basedOn w:val="DefaultParagraphFont"/>
    <w:uiPriority w:val="99"/>
    <w:semiHidden/>
    <w:unhideWhenUsed/>
    <w:rsid w:val="00B74F76"/>
    <w:rPr>
      <w:color w:val="800080" w:themeColor="followedHyperlink"/>
      <w:u w:val="single"/>
    </w:rPr>
  </w:style>
  <w:style w:type="character" w:customStyle="1" w:styleId="Heading4Char">
    <w:name w:val="Heading 4 Char"/>
    <w:aliases w:val="Heading 11 Char,para 4 Char,Título 41 Char,heading 4 Char,Heading 41 Char"/>
    <w:basedOn w:val="DefaultParagraphFont"/>
    <w:link w:val="Heading4"/>
    <w:rsid w:val="00B74F76"/>
    <w:rPr>
      <w:sz w:val="22"/>
      <w:szCs w:val="22"/>
      <w:lang w:val="en-GB"/>
    </w:rPr>
  </w:style>
  <w:style w:type="character" w:customStyle="1" w:styleId="Heading7Char">
    <w:name w:val="Heading 7 Char"/>
    <w:basedOn w:val="DefaultParagraphFont"/>
    <w:link w:val="Heading7"/>
    <w:rsid w:val="00B74F76"/>
    <w:rPr>
      <w:rFonts w:ascii="Arial" w:hAnsi="Arial"/>
      <w:sz w:val="22"/>
      <w:szCs w:val="22"/>
      <w:lang w:val="en-GB"/>
    </w:rPr>
  </w:style>
  <w:style w:type="character" w:customStyle="1" w:styleId="0Heading0Char2">
    <w:name w:val="0 Heading 0 Char2"/>
    <w:link w:val="0Heading0"/>
    <w:uiPriority w:val="99"/>
    <w:rsid w:val="00B74F76"/>
    <w:rPr>
      <w:sz w:val="22"/>
      <w:szCs w:val="22"/>
      <w:lang w:val="en-GB"/>
    </w:rPr>
  </w:style>
  <w:style w:type="paragraph" w:styleId="Caption">
    <w:name w:val="caption"/>
    <w:basedOn w:val="Normal"/>
    <w:next w:val="Normal"/>
    <w:qFormat/>
    <w:rsid w:val="00B74F76"/>
    <w:pPr>
      <w:bidi/>
      <w:ind w:left="180" w:hanging="180"/>
      <w:jc w:val="lowKashida"/>
    </w:pPr>
    <w:rPr>
      <w:rFonts w:cs="Simplified Arabic"/>
      <w:sz w:val="24"/>
      <w:szCs w:val="32"/>
      <w:lang w:val="en-US" w:eastAsia="en-CA" w:bidi="ar-D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225738">
      <w:bodyDiv w:val="1"/>
      <w:marLeft w:val="0"/>
      <w:marRight w:val="0"/>
      <w:marTop w:val="0"/>
      <w:marBottom w:val="0"/>
      <w:divBdr>
        <w:top w:val="none" w:sz="0" w:space="0" w:color="auto"/>
        <w:left w:val="none" w:sz="0" w:space="0" w:color="auto"/>
        <w:bottom w:val="none" w:sz="0" w:space="0" w:color="auto"/>
        <w:right w:val="none" w:sz="0" w:space="0" w:color="auto"/>
      </w:divBdr>
      <w:divsChild>
        <w:div w:id="547837370">
          <w:marLeft w:val="0"/>
          <w:marRight w:val="0"/>
          <w:marTop w:val="0"/>
          <w:marBottom w:val="6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2" Type="http://schemas.openxmlformats.org/officeDocument/2006/relationships/hyperlink" Target="https://www.k-cep.org/wp-content/uploads/2018/05/Africa-Cooling-map.pdf" TargetMode="External"/><Relationship Id="rId1" Type="http://schemas.openxmlformats.org/officeDocument/2006/relationships/hyperlink" Target="https://clasp.ngo/polici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J:\83rd\Templates\Eec83G.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3ECB1EDD0319C4599A58600013659D4" ma:contentTypeVersion="2" ma:contentTypeDescription="Create a new document." ma:contentTypeScope="" ma:versionID="5e74517bb413e2e678298693b738b261">
  <xsd:schema xmlns:xsd="http://www.w3.org/2001/XMLSchema" xmlns:p="http://schemas.microsoft.com/office/2006/metadata/properties" xmlns:ns2="ca155cdd-9bf1-4174-8a2d-8747f528ddda" xmlns:ns3="48d2d36d-b4e3-478b-a344-cdbeebaca89a" targetNamespace="http://schemas.microsoft.com/office/2006/metadata/properties" ma:root="true" ma:fieldsID="53ffe79d91a16ddf248dfa0cc0f22a42" ns2:_="" ns3:_="">
    <xsd:import namespace="ca155cdd-9bf1-4174-8a2d-8747f528ddda"/>
    <xsd:import namespace="48d2d36d-b4e3-478b-a344-cdbeebaca89a"/>
    <xsd:element name="properties">
      <xsd:complexType>
        <xsd:sequence>
          <xsd:element name="documentManagement">
            <xsd:complexType>
              <xsd:all>
                <xsd:element ref="ns2:Document_x0020_Number" minOccurs="0"/>
                <xsd:element ref="ns3:DocumentType" minOccurs="0"/>
              </xsd:all>
            </xsd:complexType>
          </xsd:element>
        </xsd:sequence>
      </xsd:complexType>
    </xsd:element>
  </xsd:schema>
  <xsd:schema xmlns:xsd="http://www.w3.org/2001/XMLSchema" xmlns:dms="http://schemas.microsoft.com/office/2006/documentManagement/types" targetNamespace="ca155cdd-9bf1-4174-8a2d-8747f528ddda" elementFormDefault="qualified">
    <xsd:import namespace="http://schemas.microsoft.com/office/2006/documentManagement/types"/>
    <xsd:element name="Document_x0020_Number" ma:index="8" nillable="true" ma:displayName="Document Number" ma:default="UNEP/OzL.Pro/ExCom/83/" ma:internalName="Document_x0020_Number">
      <xsd:simpleType>
        <xsd:restriction base="dms:Text">
          <xsd:maxLength value="255"/>
        </xsd:restriction>
      </xsd:simpleType>
    </xsd:element>
  </xsd:schema>
  <xsd:schema xmlns:xsd="http://www.w3.org/2001/XMLSchema" xmlns:dms="http://schemas.microsoft.com/office/2006/documentManagement/types" targetNamespace="48d2d36d-b4e3-478b-a344-cdbeebaca89a" elementFormDefault="qualified">
    <xsd:import namespace="http://schemas.microsoft.com/office/2006/documentManagement/types"/>
    <xsd:element name="DocumentType" ma:index="9" nillable="true" ma:displayName="DocumentType" ma:default="Pre-session" ma:format="Dropdown" ma:internalName="DocumentType">
      <xsd:simpleType>
        <xsd:restriction base="dms:Choice">
          <xsd:enumeration value="Pre-session"/>
          <xsd:enumeration value="In-session"/>
          <xsd:enumeration value="Final report"/>
          <xsd:enumeration value="Information Note"/>
          <xsd:enumeration value="Information Documen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Document_x0020_Number xmlns="ca155cdd-9bf1-4174-8a2d-8747f528ddda">UNEP/OzL.Pro/ExCom/83/40</Document_x0020_Number>
    <DocumentType xmlns="48d2d36d-b4e3-478b-a344-cdbeebaca89a">Pre-session</DocumentType>
  </documentManagement>
</p:properties>
</file>

<file path=customXml/itemProps1.xml><?xml version="1.0" encoding="utf-8"?>
<ds:datastoreItem xmlns:ds="http://schemas.openxmlformats.org/officeDocument/2006/customXml" ds:itemID="{4CC9B8C1-086C-459C-A6F6-A65D30A2CB16}"/>
</file>

<file path=customXml/itemProps2.xml><?xml version="1.0" encoding="utf-8"?>
<ds:datastoreItem xmlns:ds="http://schemas.openxmlformats.org/officeDocument/2006/customXml" ds:itemID="{D41DFEBF-603D-47EC-B4F3-D40D4047F1E4}"/>
</file>

<file path=customXml/itemProps3.xml><?xml version="1.0" encoding="utf-8"?>
<ds:datastoreItem xmlns:ds="http://schemas.openxmlformats.org/officeDocument/2006/customXml" ds:itemID="{A1B5EADA-E13C-48A8-BEE5-9273A02686A1}"/>
</file>

<file path=customXml/itemProps4.xml><?xml version="1.0" encoding="utf-8"?>
<ds:datastoreItem xmlns:ds="http://schemas.openxmlformats.org/officeDocument/2006/customXml" ds:itemID="{F76526D6-CD1A-4990-BC1A-92159A403D09}"/>
</file>

<file path=docProps/app.xml><?xml version="1.0" encoding="utf-8"?>
<Properties xmlns="http://schemas.openxmlformats.org/officeDocument/2006/extended-properties" xmlns:vt="http://schemas.openxmlformats.org/officeDocument/2006/docPropsVTypes">
  <Template>Eec83G</Template>
  <TotalTime>715</TotalTime>
  <Pages>17</Pages>
  <Words>6405</Words>
  <Characters>36514</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ورقة عن الوسائل لتفعيل الفقرة  16 من المقرر 2/28 و الفقرة 2 من المقرر 5/30 لاجتماع الأطراف </vt:lpstr>
    </vt:vector>
  </TitlesOfParts>
  <Company/>
  <LinksUpToDate>false</LinksUpToDate>
  <CharactersWithSpaces>42834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ورقة عن الوسائل لتفعيل الفقرة  16 من المقرر 2/28 و الفقرة 2 من المقرر 5/30 لاجتماع الأطراف </dc:title>
  <dc:creator>Saleh</dc:creator>
  <cp:lastModifiedBy>HBE</cp:lastModifiedBy>
  <cp:revision>68</cp:revision>
  <cp:lastPrinted>2001-05-26T16:40:00Z</cp:lastPrinted>
  <dcterms:created xsi:type="dcterms:W3CDTF">2019-05-01T16:10:00Z</dcterms:created>
  <dcterms:modified xsi:type="dcterms:W3CDTF">2019-05-14T15:26:00Z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UNEP/OzL.Pro/ExCom/83/40</vt:lpwstr>
  </property>
  <property fmtid="{D5CDD505-2E9C-101B-9397-08002B2CF9AE}" pid="3" name="Revision date">
    <vt:lpwstr>04/29/2019</vt:lpwstr>
  </property>
  <property fmtid="{D5CDD505-2E9C-101B-9397-08002B2CF9AE}" pid="4" name="ContentTypeId">
    <vt:lpwstr>0x01010033ECB1EDD0319C4599A58600013659D4</vt:lpwstr>
  </property>
</Properties>
</file>