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E162F0" w:rsidRPr="00380F86">
        <w:trPr>
          <w:trHeight w:val="720"/>
        </w:trPr>
        <w:tc>
          <w:tcPr>
            <w:tcW w:w="4410" w:type="dxa"/>
            <w:gridSpan w:val="2"/>
            <w:tcBorders>
              <w:bottom w:val="single" w:sz="18" w:space="0" w:color="auto"/>
            </w:tcBorders>
          </w:tcPr>
          <w:p w:rsidR="00E162F0" w:rsidRPr="00380F86" w:rsidRDefault="00E162F0" w:rsidP="00E162F0">
            <w:pPr>
              <w:jc w:val="left"/>
              <w:rPr>
                <w:rFonts w:ascii="Arial" w:hAnsi="Arial" w:cs="Arial"/>
                <w:b/>
                <w:bCs/>
                <w:lang w:val="en-US"/>
              </w:rPr>
            </w:pPr>
            <w:bookmarkStart w:id="0" w:name="_GoBack"/>
            <w:bookmarkEnd w:id="0"/>
            <w:r w:rsidRPr="00380F86">
              <w:rPr>
                <w:rFonts w:ascii="Arial" w:hAnsi="Arial" w:cs="Arial"/>
                <w:b/>
                <w:bCs/>
                <w:sz w:val="72"/>
                <w:szCs w:val="72"/>
                <w:lang w:val="en-US"/>
              </w:rPr>
              <w:t>EP</w:t>
            </w:r>
            <w:r w:rsidRPr="00380F86">
              <w:rPr>
                <w:rFonts w:ascii="Arial" w:hAnsi="Arial" w:cs="Arial"/>
                <w:b/>
                <w:bCs/>
                <w:sz w:val="27"/>
                <w:szCs w:val="27"/>
                <w:lang w:val="en-US"/>
              </w:rPr>
              <w:t xml:space="preserve"> </w:t>
            </w:r>
          </w:p>
        </w:tc>
        <w:tc>
          <w:tcPr>
            <w:tcW w:w="5130" w:type="dxa"/>
            <w:gridSpan w:val="2"/>
            <w:tcBorders>
              <w:bottom w:val="single" w:sz="18" w:space="0" w:color="auto"/>
            </w:tcBorders>
          </w:tcPr>
          <w:p w:rsidR="00E162F0" w:rsidRPr="00380F86" w:rsidRDefault="00E162F0" w:rsidP="00BA363A">
            <w:pPr>
              <w:pStyle w:val="Heading3"/>
              <w:numPr>
                <w:ilvl w:val="0"/>
                <w:numId w:val="0"/>
              </w:numPr>
              <w:ind w:left="270" w:right="1384"/>
              <w:rPr>
                <w:rFonts w:ascii="Times New Roman" w:hAnsi="Times New Roman" w:cs="Times New Roman"/>
                <w:b/>
                <w:bCs/>
                <w:sz w:val="48"/>
                <w:szCs w:val="48"/>
              </w:rPr>
            </w:pPr>
            <w:r w:rsidRPr="00380F86">
              <w:rPr>
                <w:rFonts w:ascii="Times New Roman" w:hAnsi="Times New Roman" w:cs="Times New Roman"/>
                <w:b/>
                <w:bCs/>
                <w:sz w:val="48"/>
                <w:szCs w:val="48"/>
                <w:rtl/>
              </w:rPr>
              <w:t>الأمم المتحدة</w:t>
            </w:r>
          </w:p>
        </w:tc>
      </w:tr>
      <w:tr w:rsidR="00E162F0" w:rsidRPr="0038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E162F0" w:rsidRPr="00380F86" w:rsidRDefault="005C0F5C" w:rsidP="00E162F0">
            <w:pPr>
              <w:spacing w:before="120"/>
              <w:jc w:val="left"/>
              <w:rPr>
                <w:lang w:val="en-US"/>
              </w:rPr>
            </w:pPr>
            <w:r>
              <w:rPr>
                <w:noProof/>
                <w:lang w:val="en-CA" w:eastAsia="en-CA" w:bidi="ar-SA"/>
              </w:rPr>
              <w:drawing>
                <wp:anchor distT="0" distB="0" distL="114300" distR="114300" simplePos="0" relativeHeight="251658240" behindDoc="0" locked="0" layoutInCell="0" allowOverlap="1" wp14:anchorId="33A959EA" wp14:editId="02EB2C85">
                  <wp:simplePos x="0" y="0"/>
                  <wp:positionH relativeFrom="column">
                    <wp:posOffset>5010785</wp:posOffset>
                  </wp:positionH>
                  <wp:positionV relativeFrom="paragraph">
                    <wp:posOffset>643890</wp:posOffset>
                  </wp:positionV>
                  <wp:extent cx="658495" cy="555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7216" behindDoc="1" locked="0" layoutInCell="0" allowOverlap="1" wp14:anchorId="13179ADF" wp14:editId="0B9D2B78">
                  <wp:simplePos x="0" y="0"/>
                  <wp:positionH relativeFrom="column">
                    <wp:posOffset>5029200</wp:posOffset>
                  </wp:positionH>
                  <wp:positionV relativeFrom="paragraph">
                    <wp:posOffset>93345</wp:posOffset>
                  </wp:positionV>
                  <wp:extent cx="579755" cy="515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F0" w:rsidRPr="00380F86">
              <w:rPr>
                <w:lang w:val="en-US"/>
              </w:rPr>
              <w:t>Distr.</w:t>
            </w:r>
          </w:p>
          <w:p w:rsidR="00E162F0" w:rsidRPr="00380F86" w:rsidRDefault="00E162F0" w:rsidP="00E162F0">
            <w:pPr>
              <w:spacing w:before="120"/>
              <w:jc w:val="left"/>
              <w:rPr>
                <w:lang w:val="en-US"/>
              </w:rPr>
            </w:pPr>
            <w:r w:rsidRPr="00380F86">
              <w:rPr>
                <w:lang w:val="en-US"/>
              </w:rPr>
              <w:t>GENERAL</w:t>
            </w:r>
          </w:p>
          <w:p w:rsidR="00E162F0" w:rsidRPr="00380F86" w:rsidRDefault="00E162F0" w:rsidP="00E162F0">
            <w:pPr>
              <w:spacing w:before="120"/>
              <w:jc w:val="left"/>
              <w:rPr>
                <w:lang w:val="en-US"/>
              </w:rPr>
            </w:pPr>
          </w:p>
          <w:p w:rsidR="00380F86" w:rsidRPr="00B5192A" w:rsidRDefault="00B5192A" w:rsidP="009F5E2A">
            <w:pPr>
              <w:rPr>
                <w:highlight w:val="yellow"/>
              </w:rPr>
            </w:pPr>
            <w:r w:rsidRPr="00B5192A">
              <w:rPr>
                <w:highlight w:val="yellow"/>
              </w:rPr>
              <w:fldChar w:fldCharType="begin"/>
            </w:r>
            <w:r w:rsidRPr="00B5192A">
              <w:rPr>
                <w:highlight w:val="yellow"/>
              </w:rPr>
              <w:instrText xml:space="preserve"> DOCPROPERTY "Document number"  \* MERGEFORMAT </w:instrText>
            </w:r>
            <w:r w:rsidRPr="00B5192A">
              <w:rPr>
                <w:highlight w:val="yellow"/>
              </w:rPr>
              <w:fldChar w:fldCharType="separate"/>
            </w:r>
            <w:r w:rsidR="009F5E2A" w:rsidRPr="00B5192A">
              <w:rPr>
                <w:highlight w:val="yellow"/>
              </w:rPr>
              <w:t>UNEP/OzL.Pro/ExCom/83/27/Rev.1*</w:t>
            </w:r>
            <w:r w:rsidRPr="00B5192A">
              <w:rPr>
                <w:highlight w:val="yellow"/>
              </w:rPr>
              <w:fldChar w:fldCharType="end"/>
            </w:r>
          </w:p>
          <w:p w:rsidR="00E162F0" w:rsidRPr="00380F86" w:rsidRDefault="00147009" w:rsidP="00F77435">
            <w:pPr>
              <w:spacing w:before="120" w:after="120"/>
              <w:jc w:val="left"/>
              <w:rPr>
                <w:rtl/>
                <w:lang w:val="en-US" w:bidi="ar-EG"/>
              </w:rPr>
            </w:pPr>
            <w:r w:rsidRPr="00B5192A">
              <w:rPr>
                <w:highlight w:val="yellow"/>
                <w:lang w:val="en-US"/>
              </w:rPr>
              <w:t>15</w:t>
            </w:r>
            <w:r w:rsidR="00EE0552" w:rsidRPr="00B5192A">
              <w:rPr>
                <w:highlight w:val="yellow"/>
                <w:lang w:val="en-US"/>
              </w:rPr>
              <w:t xml:space="preserve"> </w:t>
            </w:r>
            <w:r w:rsidR="00F77435" w:rsidRPr="00B5192A">
              <w:rPr>
                <w:highlight w:val="yellow"/>
                <w:lang w:val="en-US"/>
              </w:rPr>
              <w:t>May</w:t>
            </w:r>
            <w:r w:rsidR="00EE0552" w:rsidRPr="00B5192A">
              <w:rPr>
                <w:highlight w:val="yellow"/>
                <w:lang w:val="en-US"/>
              </w:rPr>
              <w:t xml:space="preserve"> </w:t>
            </w:r>
            <w:r w:rsidR="00C30311" w:rsidRPr="00B5192A">
              <w:rPr>
                <w:highlight w:val="yellow"/>
                <w:lang w:val="en-US"/>
              </w:rPr>
              <w:t>2019</w:t>
            </w:r>
          </w:p>
          <w:p w:rsidR="00E162F0" w:rsidRPr="00380F86" w:rsidRDefault="00E162F0" w:rsidP="00E162F0">
            <w:pPr>
              <w:spacing w:before="120"/>
              <w:jc w:val="left"/>
              <w:rPr>
                <w:lang w:val="en-US"/>
              </w:rPr>
            </w:pPr>
            <w:r w:rsidRPr="00380F86">
              <w:rPr>
                <w:lang w:val="en-US"/>
              </w:rPr>
              <w:t>ARABIC</w:t>
            </w:r>
          </w:p>
          <w:p w:rsidR="00E162F0" w:rsidRPr="00380F86" w:rsidRDefault="00E162F0" w:rsidP="00E162F0">
            <w:pPr>
              <w:spacing w:before="120"/>
              <w:jc w:val="left"/>
              <w:rPr>
                <w:lang w:val="en-US"/>
              </w:rPr>
            </w:pPr>
            <w:r w:rsidRPr="00380F86">
              <w:rPr>
                <w:lang w:val="en-US"/>
              </w:rPr>
              <w:t>ORIGINAL: ENGLISH</w:t>
            </w:r>
          </w:p>
        </w:tc>
        <w:tc>
          <w:tcPr>
            <w:tcW w:w="3402" w:type="dxa"/>
            <w:gridSpan w:val="2"/>
            <w:tcBorders>
              <w:top w:val="nil"/>
              <w:left w:val="nil"/>
              <w:bottom w:val="single" w:sz="36" w:space="0" w:color="auto"/>
              <w:right w:val="nil"/>
            </w:tcBorders>
          </w:tcPr>
          <w:p w:rsidR="00E162F0" w:rsidRPr="00380F86" w:rsidRDefault="00E162F0" w:rsidP="00E162F0">
            <w:pPr>
              <w:pStyle w:val="Heading4"/>
              <w:numPr>
                <w:ilvl w:val="0"/>
                <w:numId w:val="0"/>
              </w:numPr>
              <w:spacing w:before="0" w:after="0"/>
              <w:ind w:right="459"/>
              <w:jc w:val="right"/>
              <w:rPr>
                <w:bCs/>
                <w:sz w:val="52"/>
                <w:szCs w:val="52"/>
                <w:rtl/>
              </w:rPr>
            </w:pPr>
            <w:r w:rsidRPr="00380F86">
              <w:rPr>
                <w:bCs/>
                <w:sz w:val="52"/>
                <w:szCs w:val="52"/>
                <w:rtl/>
              </w:rPr>
              <w:t>برنامج</w:t>
            </w:r>
          </w:p>
          <w:p w:rsidR="00E162F0" w:rsidRPr="00380F86" w:rsidRDefault="00E162F0" w:rsidP="00E162F0">
            <w:pPr>
              <w:pStyle w:val="Heading4"/>
              <w:numPr>
                <w:ilvl w:val="0"/>
                <w:numId w:val="0"/>
              </w:numPr>
              <w:spacing w:before="0" w:after="0"/>
              <w:ind w:right="459"/>
              <w:jc w:val="right"/>
              <w:rPr>
                <w:bCs/>
                <w:sz w:val="52"/>
                <w:szCs w:val="52"/>
                <w:rtl/>
              </w:rPr>
            </w:pPr>
            <w:r w:rsidRPr="00380F86">
              <w:rPr>
                <w:bCs/>
                <w:sz w:val="52"/>
                <w:szCs w:val="52"/>
                <w:rtl/>
              </w:rPr>
              <w:t>الأمم المتحدة</w:t>
            </w:r>
          </w:p>
          <w:p w:rsidR="00E162F0" w:rsidRPr="00380F86" w:rsidRDefault="00E162F0" w:rsidP="00E162F0">
            <w:pPr>
              <w:pStyle w:val="Heading4"/>
              <w:numPr>
                <w:ilvl w:val="0"/>
                <w:numId w:val="0"/>
              </w:numPr>
              <w:spacing w:before="0" w:after="0"/>
              <w:ind w:right="459"/>
              <w:jc w:val="right"/>
              <w:rPr>
                <w:bCs/>
                <w:sz w:val="52"/>
                <w:szCs w:val="52"/>
                <w:rtl/>
              </w:rPr>
            </w:pPr>
            <w:r w:rsidRPr="00380F86">
              <w:rPr>
                <w:bCs/>
                <w:sz w:val="52"/>
                <w:szCs w:val="52"/>
                <w:rtl/>
              </w:rPr>
              <w:t>للبيئة</w:t>
            </w:r>
          </w:p>
          <w:p w:rsidR="00E162F0" w:rsidRPr="00380F86" w:rsidRDefault="00E162F0" w:rsidP="00E162F0">
            <w:pPr>
              <w:pStyle w:val="Heading7"/>
              <w:spacing w:before="0" w:after="0"/>
              <w:rPr>
                <w:rFonts w:ascii="Times New Roman" w:hAnsi="Times New Roman"/>
                <w:b/>
                <w:bCs/>
                <w:sz w:val="52"/>
                <w:szCs w:val="52"/>
                <w:lang w:val="en-US"/>
              </w:rPr>
            </w:pPr>
            <w:r w:rsidRPr="00380F86">
              <w:rPr>
                <w:rFonts w:ascii="Times New Roman" w:hAnsi="Times New Roman"/>
                <w:b/>
                <w:bCs/>
                <w:sz w:val="52"/>
                <w:szCs w:val="52"/>
                <w:rtl/>
              </w:rPr>
              <w:t>ل</w:t>
            </w:r>
          </w:p>
        </w:tc>
        <w:tc>
          <w:tcPr>
            <w:tcW w:w="2079" w:type="dxa"/>
            <w:tcBorders>
              <w:top w:val="nil"/>
              <w:left w:val="nil"/>
              <w:bottom w:val="single" w:sz="36" w:space="0" w:color="auto"/>
              <w:right w:val="nil"/>
            </w:tcBorders>
          </w:tcPr>
          <w:p w:rsidR="00E162F0" w:rsidRPr="00380F86" w:rsidRDefault="00E162F0" w:rsidP="00E162F0">
            <w:pPr>
              <w:rPr>
                <w:caps/>
                <w:lang w:val="en-US"/>
              </w:rPr>
            </w:pPr>
          </w:p>
          <w:p w:rsidR="00E162F0" w:rsidRPr="00380F86" w:rsidRDefault="00E162F0" w:rsidP="00E162F0">
            <w:pPr>
              <w:rPr>
                <w:lang w:val="en-US"/>
              </w:rPr>
            </w:pPr>
          </w:p>
        </w:tc>
      </w:tr>
    </w:tbl>
    <w:p w:rsidR="00E162F0" w:rsidRPr="00380F86" w:rsidRDefault="00E162F0" w:rsidP="00E162F0">
      <w:pPr>
        <w:pStyle w:val="Caption"/>
        <w:spacing w:line="200" w:lineRule="exact"/>
        <w:ind w:left="187" w:right="187" w:hanging="187"/>
        <w:jc w:val="both"/>
        <w:rPr>
          <w:rFonts w:cs="Times New Roman"/>
          <w:b/>
          <w:bCs/>
          <w:sz w:val="28"/>
          <w:szCs w:val="28"/>
          <w:rtl/>
          <w:lang w:bidi="ar-EG"/>
        </w:rPr>
      </w:pPr>
    </w:p>
    <w:p w:rsidR="00E73D7F" w:rsidRPr="002D7645" w:rsidRDefault="00E73D7F" w:rsidP="00E73D7F">
      <w:pPr>
        <w:pStyle w:val="Caption"/>
        <w:ind w:left="0" w:right="180"/>
        <w:jc w:val="both"/>
        <w:rPr>
          <w:rFonts w:cs="Times New Roman"/>
          <w:sz w:val="28"/>
          <w:szCs w:val="28"/>
          <w:rtl/>
        </w:rPr>
      </w:pPr>
      <w:r w:rsidRPr="002D7645">
        <w:rPr>
          <w:rFonts w:cs="Times New Roman"/>
          <w:sz w:val="28"/>
          <w:szCs w:val="28"/>
          <w:rtl/>
        </w:rPr>
        <w:t>اللجن</w:t>
      </w:r>
      <w:r w:rsidR="00F42F26" w:rsidRPr="002D7645">
        <w:rPr>
          <w:rFonts w:cs="Times New Roman"/>
          <w:sz w:val="28"/>
          <w:szCs w:val="28"/>
          <w:rtl/>
        </w:rPr>
        <w:t>ـ</w:t>
      </w:r>
      <w:r w:rsidRPr="002D7645">
        <w:rPr>
          <w:rFonts w:cs="Times New Roman"/>
          <w:sz w:val="28"/>
          <w:szCs w:val="28"/>
          <w:rtl/>
        </w:rPr>
        <w:t>ة التنفيـذيـة للصنـدوق المـتعـدد الأطـراف</w:t>
      </w:r>
    </w:p>
    <w:p w:rsidR="00E73D7F" w:rsidRPr="002D7645" w:rsidRDefault="00E73D7F" w:rsidP="00E73D7F">
      <w:pPr>
        <w:bidi/>
        <w:ind w:left="180" w:hanging="180"/>
        <w:jc w:val="lowKashida"/>
        <w:rPr>
          <w:sz w:val="28"/>
          <w:szCs w:val="28"/>
          <w:rtl/>
          <w:lang w:val="en-US" w:eastAsia="en-CA"/>
        </w:rPr>
      </w:pPr>
      <w:r w:rsidRPr="002D7645">
        <w:rPr>
          <w:sz w:val="28"/>
          <w:szCs w:val="28"/>
          <w:rtl/>
          <w:lang w:val="en-US" w:eastAsia="en-CA"/>
        </w:rPr>
        <w:t xml:space="preserve">لتنفيـــذ بروتوكـول مونتريــال </w:t>
      </w:r>
    </w:p>
    <w:p w:rsidR="00E73D7F" w:rsidRPr="002D7645" w:rsidRDefault="00E73D7F" w:rsidP="00C30311">
      <w:pPr>
        <w:bidi/>
        <w:jc w:val="left"/>
        <w:rPr>
          <w:sz w:val="28"/>
          <w:szCs w:val="28"/>
          <w:rtl/>
          <w:lang w:val="en-US" w:eastAsia="en-CA"/>
        </w:rPr>
      </w:pPr>
      <w:r w:rsidRPr="002D7645">
        <w:rPr>
          <w:sz w:val="28"/>
          <w:szCs w:val="28"/>
          <w:rtl/>
          <w:lang w:val="en-US" w:eastAsia="en-CA"/>
        </w:rPr>
        <w:t xml:space="preserve">الاجتمـــاع </w:t>
      </w:r>
      <w:r w:rsidR="00C30311">
        <w:rPr>
          <w:rFonts w:hint="cs"/>
          <w:sz w:val="28"/>
          <w:szCs w:val="28"/>
          <w:rtl/>
          <w:lang w:val="en-US" w:eastAsia="en-CA" w:bidi="ar-EG"/>
        </w:rPr>
        <w:t>الثالث</w:t>
      </w:r>
      <w:r w:rsidR="00EE0552">
        <w:rPr>
          <w:rFonts w:hint="cs"/>
          <w:sz w:val="28"/>
          <w:szCs w:val="28"/>
          <w:rtl/>
          <w:lang w:val="en-US" w:eastAsia="en-CA" w:bidi="ar-EG"/>
        </w:rPr>
        <w:t xml:space="preserve"> والثمانون</w:t>
      </w:r>
      <w:r w:rsidRPr="002D7645">
        <w:rPr>
          <w:sz w:val="28"/>
          <w:szCs w:val="28"/>
          <w:rtl/>
          <w:lang w:val="en-US" w:eastAsia="en-CA"/>
        </w:rPr>
        <w:t xml:space="preserve"> </w:t>
      </w:r>
    </w:p>
    <w:p w:rsidR="00E73D7F" w:rsidRPr="002D7645" w:rsidRDefault="00EE0552" w:rsidP="00C30311">
      <w:pPr>
        <w:pStyle w:val="0Heading0"/>
        <w:bidi/>
        <w:ind w:left="4"/>
        <w:rPr>
          <w:sz w:val="28"/>
          <w:szCs w:val="28"/>
          <w:lang w:val="en-CA" w:bidi="ar-DZ"/>
        </w:rPr>
      </w:pPr>
      <w:r>
        <w:rPr>
          <w:rFonts w:hint="cs"/>
          <w:sz w:val="28"/>
          <w:szCs w:val="28"/>
          <w:rtl/>
          <w:lang w:bidi="ar-DZ"/>
        </w:rPr>
        <w:t>مونتريال</w:t>
      </w:r>
      <w:r w:rsidR="00E73D7F" w:rsidRPr="002D7645">
        <w:rPr>
          <w:sz w:val="28"/>
          <w:szCs w:val="28"/>
          <w:rtl/>
          <w:lang w:bidi="ar-DZ"/>
        </w:rPr>
        <w:t xml:space="preserve">،  </w:t>
      </w:r>
      <w:r w:rsidR="00C30311">
        <w:rPr>
          <w:rFonts w:hint="cs"/>
          <w:sz w:val="28"/>
          <w:szCs w:val="28"/>
          <w:rtl/>
          <w:lang w:val="en-CA" w:bidi="ar-DZ"/>
        </w:rPr>
        <w:t xml:space="preserve">27-31 مايو/آيار 2019 </w:t>
      </w:r>
      <w:r w:rsidR="00E73D7F" w:rsidRPr="002D7645">
        <w:rPr>
          <w:sz w:val="28"/>
          <w:szCs w:val="28"/>
          <w:lang w:val="en-CA" w:bidi="ar-DZ"/>
        </w:rPr>
        <w:t xml:space="preserve"> </w:t>
      </w:r>
    </w:p>
    <w:p w:rsidR="00E73D7F" w:rsidRPr="00380F86" w:rsidRDefault="00E73D7F" w:rsidP="00E73D7F">
      <w:pPr>
        <w:pStyle w:val="0Heading0"/>
        <w:bidi/>
        <w:ind w:left="4"/>
        <w:rPr>
          <w:sz w:val="28"/>
          <w:szCs w:val="28"/>
          <w:lang w:val="en-CA" w:bidi="ar-DZ"/>
        </w:rPr>
      </w:pPr>
    </w:p>
    <w:p w:rsidR="00B5192A" w:rsidRDefault="00B5192A" w:rsidP="00655959">
      <w:pPr>
        <w:pStyle w:val="Heading2"/>
        <w:numPr>
          <w:ilvl w:val="0"/>
          <w:numId w:val="0"/>
        </w:numPr>
        <w:tabs>
          <w:tab w:val="left" w:pos="708"/>
        </w:tabs>
        <w:ind w:left="4" w:right="0"/>
        <w:jc w:val="center"/>
        <w:rPr>
          <w:b/>
          <w:bCs/>
          <w:sz w:val="32"/>
          <w:szCs w:val="32"/>
          <w:lang w:val="en-US" w:bidi="ar-LB"/>
        </w:rPr>
      </w:pPr>
    </w:p>
    <w:p w:rsidR="00380F86" w:rsidRPr="00655959" w:rsidRDefault="00817F31" w:rsidP="00655959">
      <w:pPr>
        <w:pStyle w:val="Heading2"/>
        <w:numPr>
          <w:ilvl w:val="0"/>
          <w:numId w:val="0"/>
        </w:numPr>
        <w:tabs>
          <w:tab w:val="left" w:pos="708"/>
        </w:tabs>
        <w:ind w:left="4" w:right="0"/>
        <w:jc w:val="center"/>
        <w:rPr>
          <w:b/>
          <w:bCs/>
          <w:sz w:val="32"/>
          <w:szCs w:val="32"/>
          <w:rtl/>
          <w:lang w:val="en-US" w:bidi="ar-LB"/>
        </w:rPr>
      </w:pPr>
      <w:r>
        <w:rPr>
          <w:rFonts w:hint="cs"/>
          <w:b/>
          <w:bCs/>
          <w:sz w:val="32"/>
          <w:szCs w:val="32"/>
          <w:rtl/>
          <w:lang w:val="en-US" w:bidi="ar-LB"/>
        </w:rPr>
        <w:t xml:space="preserve">مقترح مشروع: </w:t>
      </w:r>
      <w:r w:rsidR="00933C11">
        <w:rPr>
          <w:rFonts w:hint="cs"/>
          <w:b/>
          <w:bCs/>
          <w:sz w:val="32"/>
          <w:szCs w:val="32"/>
          <w:rtl/>
          <w:lang w:val="en-US" w:bidi="ar-LB"/>
        </w:rPr>
        <w:t>غابون</w:t>
      </w:r>
    </w:p>
    <w:p w:rsidR="009A2C2C" w:rsidRPr="00380F86" w:rsidRDefault="009A2C2C" w:rsidP="009A2C2C">
      <w:pPr>
        <w:pStyle w:val="Heading3"/>
        <w:numPr>
          <w:ilvl w:val="0"/>
          <w:numId w:val="0"/>
        </w:numPr>
        <w:spacing w:after="0"/>
        <w:ind w:right="0"/>
        <w:rPr>
          <w:rFonts w:ascii="Times New Roman" w:hAnsi="Times New Roman" w:cs="Times New Roman"/>
          <w:rtl/>
          <w:lang w:bidi="ar-EG"/>
        </w:rPr>
      </w:pPr>
    </w:p>
    <w:p w:rsidR="009A2C2C" w:rsidRPr="00380F86" w:rsidRDefault="00352F15" w:rsidP="00352F15">
      <w:pPr>
        <w:pStyle w:val="Heading3"/>
        <w:numPr>
          <w:ilvl w:val="0"/>
          <w:numId w:val="0"/>
        </w:numPr>
        <w:spacing w:after="0"/>
        <w:ind w:right="0" w:firstLine="720"/>
        <w:rPr>
          <w:rFonts w:ascii="Times New Roman" w:hAnsi="Times New Roman" w:cs="Times New Roman"/>
          <w:rtl/>
        </w:rPr>
      </w:pPr>
      <w:r>
        <w:rPr>
          <w:rFonts w:ascii="Times New Roman" w:hAnsi="Times New Roman" w:cs="Times New Roman" w:hint="cs"/>
          <w:rtl/>
        </w:rPr>
        <w:t>تتألف</w:t>
      </w:r>
      <w:r w:rsidR="009A2C2C" w:rsidRPr="00380F86">
        <w:rPr>
          <w:rFonts w:ascii="Times New Roman" w:hAnsi="Times New Roman" w:cs="Times New Roman"/>
          <w:rtl/>
        </w:rPr>
        <w:t xml:space="preserve"> هذه الوثيقة</w:t>
      </w:r>
      <w:r>
        <w:rPr>
          <w:rFonts w:ascii="Times New Roman" w:hAnsi="Times New Roman" w:cs="Times New Roman" w:hint="cs"/>
          <w:rtl/>
        </w:rPr>
        <w:t xml:space="preserve"> من</w:t>
      </w:r>
      <w:r w:rsidR="009A2C2C" w:rsidRPr="00380F86">
        <w:rPr>
          <w:rFonts w:ascii="Times New Roman" w:hAnsi="Times New Roman" w:cs="Times New Roman"/>
          <w:rtl/>
        </w:rPr>
        <w:t xml:space="preserve"> تعليقات وتوصي</w:t>
      </w:r>
      <w:r w:rsidR="00757B28">
        <w:rPr>
          <w:rFonts w:ascii="Times New Roman" w:hAnsi="Times New Roman" w:cs="Times New Roman" w:hint="cs"/>
          <w:rtl/>
        </w:rPr>
        <w:t>ة</w:t>
      </w:r>
      <w:r w:rsidR="009A2C2C" w:rsidRPr="00380F86">
        <w:rPr>
          <w:rFonts w:ascii="Times New Roman" w:hAnsi="Times New Roman" w:cs="Times New Roman"/>
          <w:rtl/>
        </w:rPr>
        <w:t xml:space="preserve"> </w:t>
      </w:r>
      <w:r>
        <w:rPr>
          <w:rFonts w:ascii="Times New Roman" w:hAnsi="Times New Roman" w:cs="Times New Roman" w:hint="cs"/>
          <w:rtl/>
        </w:rPr>
        <w:t>ال</w:t>
      </w:r>
      <w:r w:rsidR="009A2C2C" w:rsidRPr="00380F86">
        <w:rPr>
          <w:rFonts w:ascii="Times New Roman" w:hAnsi="Times New Roman" w:cs="Times New Roman"/>
          <w:rtl/>
        </w:rPr>
        <w:t>أمانة بشأن مقترح المشروع ال</w:t>
      </w:r>
      <w:r w:rsidR="00E73D7F" w:rsidRPr="00380F86">
        <w:rPr>
          <w:rFonts w:ascii="Times New Roman" w:hAnsi="Times New Roman" w:cs="Times New Roman"/>
          <w:rtl/>
        </w:rPr>
        <w:t>تالي</w:t>
      </w:r>
      <w:r w:rsidR="009A2C2C" w:rsidRPr="00380F86">
        <w:rPr>
          <w:rFonts w:ascii="Times New Roman" w:hAnsi="Times New Roman" w:cs="Times New Roman"/>
          <w:rtl/>
        </w:rPr>
        <w:t>:</w:t>
      </w:r>
    </w:p>
    <w:p w:rsidR="009A2C2C" w:rsidRPr="00380F86" w:rsidRDefault="009A2C2C" w:rsidP="009A2C2C">
      <w:pPr>
        <w:pStyle w:val="Heading3"/>
        <w:numPr>
          <w:ilvl w:val="0"/>
          <w:numId w:val="0"/>
        </w:numPr>
        <w:spacing w:after="0"/>
        <w:ind w:right="0"/>
        <w:rPr>
          <w:rFonts w:ascii="Times New Roman" w:hAnsi="Times New Roman" w:cs="Times New Roman"/>
          <w:rtl/>
        </w:rPr>
      </w:pPr>
    </w:p>
    <w:p w:rsidR="009A2C2C" w:rsidRPr="00380F86" w:rsidRDefault="009A2C2C" w:rsidP="009A2C2C">
      <w:pPr>
        <w:pStyle w:val="Heading3"/>
        <w:numPr>
          <w:ilvl w:val="0"/>
          <w:numId w:val="0"/>
        </w:numPr>
        <w:spacing w:after="0"/>
        <w:ind w:right="0"/>
        <w:rPr>
          <w:rFonts w:ascii="Times New Roman" w:hAnsi="Times New Roman" w:cs="Times New Roman"/>
          <w:u w:val="single"/>
          <w:rtl/>
        </w:rPr>
      </w:pPr>
      <w:r w:rsidRPr="00380F86">
        <w:rPr>
          <w:rFonts w:ascii="Times New Roman" w:hAnsi="Times New Roman" w:cs="Times New Roman"/>
          <w:u w:val="single"/>
          <w:rtl/>
        </w:rPr>
        <w:t>الإزالة</w:t>
      </w:r>
    </w:p>
    <w:p w:rsidR="009A2C2C" w:rsidRPr="00380F86" w:rsidRDefault="009A2C2C" w:rsidP="009A2C2C">
      <w:pPr>
        <w:pStyle w:val="Heading3"/>
        <w:numPr>
          <w:ilvl w:val="0"/>
          <w:numId w:val="0"/>
        </w:numPr>
        <w:spacing w:after="0"/>
        <w:ind w:right="0"/>
        <w:rPr>
          <w:rFonts w:ascii="Times New Roman" w:hAnsi="Times New Roman" w:cs="Times New Roman"/>
          <w:rtl/>
        </w:rPr>
      </w:pPr>
    </w:p>
    <w:tbl>
      <w:tblPr>
        <w:bidiVisual/>
        <w:tblW w:w="0" w:type="auto"/>
        <w:tblLook w:val="01E0" w:firstRow="1" w:lastRow="1" w:firstColumn="1" w:lastColumn="1" w:noHBand="0" w:noVBand="0"/>
      </w:tblPr>
      <w:tblGrid>
        <w:gridCol w:w="537"/>
        <w:gridCol w:w="6804"/>
        <w:gridCol w:w="2235"/>
      </w:tblGrid>
      <w:tr w:rsidR="009A2C2C" w:rsidRPr="00380F86">
        <w:tc>
          <w:tcPr>
            <w:tcW w:w="537" w:type="dxa"/>
          </w:tcPr>
          <w:p w:rsidR="009A2C2C" w:rsidRPr="00380F86" w:rsidRDefault="009A2C2C" w:rsidP="00970A27">
            <w:pPr>
              <w:pStyle w:val="Heading3"/>
              <w:numPr>
                <w:ilvl w:val="0"/>
                <w:numId w:val="0"/>
              </w:numPr>
              <w:spacing w:after="0"/>
              <w:ind w:right="0"/>
              <w:rPr>
                <w:rFonts w:ascii="Times New Roman" w:hAnsi="Times New Roman" w:cs="Times New Roman"/>
                <w:rtl/>
              </w:rPr>
            </w:pPr>
            <w:r w:rsidRPr="00380F86">
              <w:rPr>
                <w:rFonts w:ascii="Times New Roman" w:hAnsi="Times New Roman" w:cs="Times New Roman"/>
                <w:rtl/>
              </w:rPr>
              <w:t>•</w:t>
            </w:r>
          </w:p>
        </w:tc>
        <w:tc>
          <w:tcPr>
            <w:tcW w:w="6804" w:type="dxa"/>
          </w:tcPr>
          <w:p w:rsidR="00246CA3" w:rsidRPr="00380F86" w:rsidRDefault="00E73D7F" w:rsidP="00933C11">
            <w:pPr>
              <w:pStyle w:val="Heading3"/>
              <w:numPr>
                <w:ilvl w:val="0"/>
                <w:numId w:val="0"/>
              </w:numPr>
              <w:spacing w:after="0"/>
              <w:ind w:right="0"/>
              <w:jc w:val="left"/>
              <w:rPr>
                <w:rFonts w:ascii="Times New Roman" w:hAnsi="Times New Roman" w:cs="Times New Roman"/>
                <w:rtl/>
              </w:rPr>
            </w:pPr>
            <w:r w:rsidRPr="00380F86">
              <w:rPr>
                <w:rFonts w:ascii="Times New Roman" w:hAnsi="Times New Roman" w:cs="Times New Roman"/>
                <w:rtl/>
              </w:rPr>
              <w:t xml:space="preserve">خطة إدارة </w:t>
            </w:r>
            <w:r w:rsidR="009A2C2C" w:rsidRPr="00380F86">
              <w:rPr>
                <w:rFonts w:ascii="Times New Roman" w:hAnsi="Times New Roman" w:cs="Times New Roman"/>
                <w:rtl/>
              </w:rPr>
              <w:t xml:space="preserve">إزالة </w:t>
            </w:r>
            <w:r w:rsidRPr="00380F86">
              <w:rPr>
                <w:rFonts w:ascii="Times New Roman" w:hAnsi="Times New Roman" w:cs="Times New Roman"/>
                <w:rtl/>
              </w:rPr>
              <w:t xml:space="preserve">المواد </w:t>
            </w:r>
            <w:r w:rsidR="009A2C2C" w:rsidRPr="00380F86">
              <w:rPr>
                <w:rFonts w:ascii="Times New Roman" w:hAnsi="Times New Roman" w:cs="Times New Roman"/>
                <w:rtl/>
              </w:rPr>
              <w:t>الهيدروكلوروفلوروكربون</w:t>
            </w:r>
            <w:r w:rsidRPr="00380F86">
              <w:rPr>
                <w:rFonts w:ascii="Times New Roman" w:hAnsi="Times New Roman" w:cs="Times New Roman"/>
                <w:rtl/>
              </w:rPr>
              <w:t>ية</w:t>
            </w:r>
            <w:r w:rsidR="009A2C2C" w:rsidRPr="00380F86">
              <w:rPr>
                <w:rFonts w:ascii="Times New Roman" w:hAnsi="Times New Roman" w:cs="Times New Roman"/>
                <w:rtl/>
              </w:rPr>
              <w:t xml:space="preserve"> </w:t>
            </w:r>
            <w:r w:rsidRPr="00380F86">
              <w:rPr>
                <w:rFonts w:ascii="Times New Roman" w:hAnsi="Times New Roman" w:cs="Times New Roman"/>
                <w:rtl/>
              </w:rPr>
              <w:t>(</w:t>
            </w:r>
            <w:r w:rsidR="00952B8C">
              <w:rPr>
                <w:rFonts w:ascii="Times New Roman" w:hAnsi="Times New Roman" w:cs="Times New Roman" w:hint="cs"/>
                <w:rtl/>
              </w:rPr>
              <w:t xml:space="preserve">المرحلة </w:t>
            </w:r>
            <w:r w:rsidR="00933C11">
              <w:rPr>
                <w:rFonts w:ascii="Times New Roman" w:hAnsi="Times New Roman" w:cs="Times New Roman" w:hint="cs"/>
                <w:rtl/>
              </w:rPr>
              <w:t>الأولى</w:t>
            </w:r>
            <w:r w:rsidR="00BD0DB8">
              <w:rPr>
                <w:rFonts w:ascii="Times New Roman" w:hAnsi="Times New Roman" w:cs="Times New Roman" w:hint="cs"/>
                <w:rtl/>
              </w:rPr>
              <w:t>،</w:t>
            </w:r>
            <w:r w:rsidR="00952B8C">
              <w:rPr>
                <w:rFonts w:ascii="Times New Roman" w:hAnsi="Times New Roman" w:cs="Times New Roman" w:hint="cs"/>
                <w:rtl/>
              </w:rPr>
              <w:t xml:space="preserve"> </w:t>
            </w:r>
            <w:r w:rsidR="00B71114">
              <w:rPr>
                <w:rFonts w:ascii="Times New Roman" w:hAnsi="Times New Roman" w:cs="Times New Roman" w:hint="cs"/>
                <w:rtl/>
              </w:rPr>
              <w:t xml:space="preserve">الشريحة </w:t>
            </w:r>
            <w:r w:rsidR="00933C11">
              <w:rPr>
                <w:rFonts w:ascii="Times New Roman" w:hAnsi="Times New Roman" w:cs="Times New Roman" w:hint="cs"/>
                <w:rtl/>
              </w:rPr>
              <w:t>الرابعة</w:t>
            </w:r>
            <w:r w:rsidR="00B71114">
              <w:rPr>
                <w:rFonts w:ascii="Times New Roman" w:hAnsi="Times New Roman" w:cs="Times New Roman" w:hint="cs"/>
                <w:rtl/>
              </w:rPr>
              <w:t>)</w:t>
            </w:r>
            <w:r w:rsidRPr="00380F86">
              <w:rPr>
                <w:rFonts w:ascii="Times New Roman" w:hAnsi="Times New Roman" w:cs="Times New Roman"/>
                <w:rtl/>
              </w:rPr>
              <w:t xml:space="preserve"> </w:t>
            </w:r>
          </w:p>
          <w:p w:rsidR="009A2C2C" w:rsidRPr="00380F86" w:rsidRDefault="009A2C2C" w:rsidP="00817F31">
            <w:pPr>
              <w:pStyle w:val="Heading3"/>
              <w:numPr>
                <w:ilvl w:val="0"/>
                <w:numId w:val="0"/>
              </w:numPr>
              <w:spacing w:after="0"/>
              <w:ind w:right="0"/>
              <w:jc w:val="left"/>
              <w:rPr>
                <w:rFonts w:ascii="Times New Roman" w:hAnsi="Times New Roman" w:cs="Times New Roman"/>
                <w:rtl/>
              </w:rPr>
            </w:pPr>
          </w:p>
        </w:tc>
        <w:tc>
          <w:tcPr>
            <w:tcW w:w="2235" w:type="dxa"/>
          </w:tcPr>
          <w:p w:rsidR="009A2C2C" w:rsidRPr="00380F86" w:rsidRDefault="00F77435" w:rsidP="004A75F5">
            <w:pPr>
              <w:pStyle w:val="Heading3"/>
              <w:numPr>
                <w:ilvl w:val="0"/>
                <w:numId w:val="0"/>
              </w:numPr>
              <w:tabs>
                <w:tab w:val="left" w:pos="2976"/>
              </w:tabs>
              <w:spacing w:after="0"/>
              <w:ind w:left="1814" w:right="0" w:hanging="1415"/>
              <w:jc w:val="left"/>
              <w:rPr>
                <w:rFonts w:ascii="Times New Roman" w:hAnsi="Times New Roman" w:cs="Times New Roman"/>
                <w:rtl/>
                <w:lang w:bidi="ar-EG"/>
              </w:rPr>
            </w:pPr>
            <w:r>
              <w:rPr>
                <w:rFonts w:ascii="Times New Roman" w:hAnsi="Times New Roman" w:cs="Times New Roman" w:hint="cs"/>
                <w:rtl/>
              </w:rPr>
              <w:t>يونيب</w:t>
            </w:r>
            <w:r w:rsidR="00933C11">
              <w:rPr>
                <w:rFonts w:ascii="Times New Roman" w:hAnsi="Times New Roman" w:cs="Times New Roman" w:hint="cs"/>
                <w:rtl/>
              </w:rPr>
              <w:t>/يونيدو</w:t>
            </w:r>
          </w:p>
        </w:tc>
      </w:tr>
      <w:tr w:rsidR="00817F31" w:rsidRPr="00380F86">
        <w:tc>
          <w:tcPr>
            <w:tcW w:w="537" w:type="dxa"/>
          </w:tcPr>
          <w:p w:rsidR="00817F31" w:rsidRPr="00380F86" w:rsidRDefault="00817F31" w:rsidP="00970A27">
            <w:pPr>
              <w:pStyle w:val="Heading3"/>
              <w:numPr>
                <w:ilvl w:val="0"/>
                <w:numId w:val="0"/>
              </w:numPr>
              <w:spacing w:after="0"/>
              <w:ind w:right="0"/>
              <w:rPr>
                <w:rFonts w:ascii="Times New Roman" w:hAnsi="Times New Roman" w:cs="Times New Roman"/>
                <w:rtl/>
              </w:rPr>
            </w:pPr>
          </w:p>
        </w:tc>
        <w:tc>
          <w:tcPr>
            <w:tcW w:w="6804" w:type="dxa"/>
          </w:tcPr>
          <w:p w:rsidR="00817F31" w:rsidRPr="00380F86" w:rsidRDefault="00817F31" w:rsidP="00970A27">
            <w:pPr>
              <w:pStyle w:val="Heading3"/>
              <w:numPr>
                <w:ilvl w:val="0"/>
                <w:numId w:val="0"/>
              </w:numPr>
              <w:spacing w:after="0"/>
              <w:ind w:right="0"/>
              <w:jc w:val="left"/>
              <w:rPr>
                <w:rFonts w:ascii="Times New Roman" w:hAnsi="Times New Roman" w:cs="Times New Roman"/>
                <w:rtl/>
              </w:rPr>
            </w:pPr>
          </w:p>
        </w:tc>
        <w:tc>
          <w:tcPr>
            <w:tcW w:w="2235" w:type="dxa"/>
          </w:tcPr>
          <w:p w:rsidR="00817F31" w:rsidRPr="00380F86" w:rsidRDefault="00817F31" w:rsidP="00CA791A">
            <w:pPr>
              <w:pStyle w:val="Heading3"/>
              <w:numPr>
                <w:ilvl w:val="0"/>
                <w:numId w:val="0"/>
              </w:numPr>
              <w:tabs>
                <w:tab w:val="left" w:pos="2976"/>
              </w:tabs>
              <w:spacing w:after="0"/>
              <w:ind w:right="0"/>
              <w:jc w:val="left"/>
              <w:rPr>
                <w:rFonts w:ascii="Times New Roman" w:hAnsi="Times New Roman" w:cs="Times New Roman"/>
                <w:rtl/>
              </w:rPr>
            </w:pPr>
          </w:p>
        </w:tc>
      </w:tr>
    </w:tbl>
    <w:p w:rsidR="00082F68" w:rsidRPr="00380F86" w:rsidRDefault="00082F68" w:rsidP="00DA26E4">
      <w:pPr>
        <w:pStyle w:val="Heading2"/>
        <w:numPr>
          <w:ilvl w:val="0"/>
          <w:numId w:val="0"/>
        </w:numPr>
        <w:ind w:left="4"/>
        <w:rPr>
          <w:rFonts w:ascii="Times New Roman" w:hAnsi="Times New Roman" w:cs="Times New Roman"/>
          <w:rtl/>
          <w:lang w:val="en-US" w:bidi="ar-EG"/>
        </w:rPr>
      </w:pPr>
    </w:p>
    <w:p w:rsidR="00082F68" w:rsidRPr="00380F86" w:rsidRDefault="00082F68" w:rsidP="00DA26E4">
      <w:pPr>
        <w:pStyle w:val="Heading2"/>
        <w:numPr>
          <w:ilvl w:val="0"/>
          <w:numId w:val="0"/>
        </w:numPr>
        <w:ind w:left="4"/>
        <w:rPr>
          <w:rFonts w:ascii="Times New Roman" w:hAnsi="Times New Roman" w:cs="Times New Roman"/>
          <w:lang w:val="en-US"/>
        </w:rPr>
      </w:pPr>
    </w:p>
    <w:p w:rsidR="009F5E2A" w:rsidRDefault="009F5E2A" w:rsidP="00817F31">
      <w:pPr>
        <w:bidi/>
        <w:spacing w:after="80"/>
        <w:jc w:val="center"/>
        <w:rPr>
          <w:rtl/>
        </w:rPr>
      </w:pPr>
    </w:p>
    <w:p w:rsidR="0050693F" w:rsidRDefault="0050693F" w:rsidP="0050693F">
      <w:pPr>
        <w:bidi/>
        <w:spacing w:after="80"/>
        <w:jc w:val="center"/>
        <w:rPr>
          <w:rtl/>
        </w:rPr>
      </w:pPr>
    </w:p>
    <w:p w:rsidR="0050693F" w:rsidRDefault="0050693F" w:rsidP="0050693F">
      <w:pPr>
        <w:bidi/>
        <w:spacing w:after="80"/>
        <w:jc w:val="center"/>
        <w:rPr>
          <w:rtl/>
        </w:rPr>
      </w:pPr>
    </w:p>
    <w:p w:rsidR="0050693F" w:rsidRDefault="0050693F" w:rsidP="0050693F">
      <w:pPr>
        <w:bidi/>
        <w:spacing w:after="80"/>
        <w:jc w:val="center"/>
        <w:rPr>
          <w:rtl/>
        </w:rPr>
      </w:pPr>
    </w:p>
    <w:p w:rsidR="0050693F" w:rsidRDefault="0050693F" w:rsidP="0050693F">
      <w:pPr>
        <w:bidi/>
        <w:spacing w:after="80"/>
        <w:jc w:val="center"/>
      </w:pPr>
    </w:p>
    <w:p w:rsidR="009F5E2A" w:rsidRPr="009F5E2A" w:rsidRDefault="009F5E2A" w:rsidP="009F5E2A">
      <w:pPr>
        <w:bidi/>
      </w:pPr>
    </w:p>
    <w:p w:rsidR="009F5E2A" w:rsidRPr="009F5E2A" w:rsidRDefault="009F5E2A" w:rsidP="009F5E2A">
      <w:pPr>
        <w:bidi/>
      </w:pPr>
    </w:p>
    <w:p w:rsidR="009F5E2A" w:rsidRPr="009F5E2A" w:rsidRDefault="009F5E2A" w:rsidP="009F5E2A">
      <w:pPr>
        <w:bidi/>
      </w:pPr>
    </w:p>
    <w:p w:rsidR="009F5E2A" w:rsidRPr="009F5E2A" w:rsidRDefault="009F5E2A" w:rsidP="009F5E2A">
      <w:pPr>
        <w:bidi/>
      </w:pPr>
    </w:p>
    <w:p w:rsidR="009F5E2A" w:rsidRPr="009F5E2A" w:rsidRDefault="0050693F" w:rsidP="00E87BDB">
      <w:pPr>
        <w:pStyle w:val="ListParagraph"/>
        <w:bidi/>
      </w:pPr>
      <w:r w:rsidRPr="0050693F">
        <w:rPr>
          <w:rFonts w:hint="cs"/>
          <w:highlight w:val="yellow"/>
          <w:rtl/>
        </w:rPr>
        <w:t>* تم تظليل التغييرات من أجل تسهيل القراءة.</w:t>
      </w:r>
    </w:p>
    <w:p w:rsidR="009F5E2A" w:rsidRDefault="009F5E2A" w:rsidP="00817F31">
      <w:pPr>
        <w:bidi/>
        <w:spacing w:after="80"/>
        <w:jc w:val="center"/>
      </w:pPr>
    </w:p>
    <w:p w:rsidR="0050693F" w:rsidRDefault="0050693F">
      <w:pPr>
        <w:jc w:val="left"/>
        <w:rPr>
          <w:bCs/>
          <w:sz w:val="26"/>
          <w:szCs w:val="26"/>
          <w:rtl/>
          <w:lang w:bidi="ar-AE"/>
        </w:rPr>
      </w:pPr>
    </w:p>
    <w:p w:rsidR="00B5192A" w:rsidRDefault="00B5192A">
      <w:pPr>
        <w:jc w:val="left"/>
        <w:rPr>
          <w:bCs/>
          <w:sz w:val="26"/>
          <w:szCs w:val="26"/>
          <w:rtl/>
          <w:lang w:bidi="ar-AE"/>
        </w:rPr>
      </w:pPr>
    </w:p>
    <w:p w:rsidR="00817F31" w:rsidRPr="001C73F2" w:rsidRDefault="00817F31" w:rsidP="009F5E2A">
      <w:pPr>
        <w:bidi/>
        <w:spacing w:after="80"/>
        <w:jc w:val="center"/>
        <w:rPr>
          <w:bCs/>
          <w:sz w:val="26"/>
          <w:szCs w:val="26"/>
          <w:lang w:bidi="ar-EG"/>
        </w:rPr>
      </w:pPr>
      <w:r w:rsidRPr="001C73F2">
        <w:rPr>
          <w:rFonts w:hint="cs"/>
          <w:bCs/>
          <w:sz w:val="26"/>
          <w:szCs w:val="26"/>
          <w:rtl/>
          <w:lang w:bidi="ar-AE"/>
        </w:rPr>
        <w:t>ورقة تقييم المشروع – مشروعات متعددة السنوات</w:t>
      </w:r>
    </w:p>
    <w:p w:rsidR="005A2B75" w:rsidRPr="00E52DD4" w:rsidRDefault="00933C11" w:rsidP="00817F31">
      <w:pPr>
        <w:pStyle w:val="Heading3"/>
        <w:numPr>
          <w:ilvl w:val="0"/>
          <w:numId w:val="0"/>
        </w:numPr>
        <w:spacing w:after="180" w:line="216" w:lineRule="auto"/>
        <w:ind w:right="0"/>
        <w:jc w:val="center"/>
        <w:rPr>
          <w:bCs/>
          <w:szCs w:val="24"/>
          <w:rtl/>
          <w:lang w:bidi="ar-EG"/>
        </w:rPr>
      </w:pPr>
      <w:r>
        <w:rPr>
          <w:rFonts w:hint="cs"/>
          <w:bCs/>
          <w:rtl/>
          <w:lang w:bidi="ar-EG"/>
        </w:rPr>
        <w:t>غابون</w:t>
      </w:r>
    </w:p>
    <w:tbl>
      <w:tblPr>
        <w:tblStyle w:val="TableGrid"/>
        <w:bidiVisual/>
        <w:tblW w:w="11152" w:type="dxa"/>
        <w:tblInd w:w="-87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59"/>
        <w:gridCol w:w="2463"/>
        <w:gridCol w:w="2542"/>
        <w:gridCol w:w="2788"/>
      </w:tblGrid>
      <w:tr w:rsidR="00817F31" w:rsidTr="004A4ED4">
        <w:trPr>
          <w:trHeight w:val="240"/>
        </w:trPr>
        <w:tc>
          <w:tcPr>
            <w:tcW w:w="3359" w:type="dxa"/>
            <w:tcBorders>
              <w:top w:val="single" w:sz="4" w:space="0" w:color="666699"/>
              <w:left w:val="single" w:sz="4" w:space="0" w:color="666699"/>
              <w:bottom w:val="single" w:sz="4" w:space="0" w:color="666699"/>
              <w:right w:val="single" w:sz="4" w:space="0" w:color="666699"/>
            </w:tcBorders>
            <w:hideMark/>
          </w:tcPr>
          <w:p w:rsidR="00817F31" w:rsidRPr="00817F31" w:rsidRDefault="00817F31" w:rsidP="00817F31">
            <w:pPr>
              <w:bidi/>
              <w:spacing w:after="80"/>
              <w:jc w:val="left"/>
              <w:rPr>
                <w:bCs/>
                <w:sz w:val="18"/>
                <w:szCs w:val="24"/>
              </w:rPr>
            </w:pPr>
            <w:r w:rsidRPr="00817F31">
              <w:rPr>
                <w:rFonts w:hint="cs"/>
                <w:bCs/>
                <w:sz w:val="18"/>
                <w:rtl/>
              </w:rPr>
              <w:t>(أولا) عنوان المشروع</w:t>
            </w:r>
          </w:p>
        </w:tc>
        <w:tc>
          <w:tcPr>
            <w:tcW w:w="2463" w:type="dxa"/>
            <w:tcBorders>
              <w:top w:val="single" w:sz="4" w:space="0" w:color="666699"/>
              <w:left w:val="single" w:sz="4" w:space="0" w:color="666699"/>
              <w:bottom w:val="single" w:sz="4" w:space="0" w:color="666699"/>
              <w:right w:val="single" w:sz="4" w:space="0" w:color="666699"/>
            </w:tcBorders>
            <w:hideMark/>
          </w:tcPr>
          <w:p w:rsidR="00817F31" w:rsidRPr="00817F31" w:rsidRDefault="00817F31">
            <w:pPr>
              <w:spacing w:after="80"/>
              <w:jc w:val="center"/>
              <w:rPr>
                <w:bCs/>
                <w:sz w:val="18"/>
                <w:szCs w:val="24"/>
              </w:rPr>
            </w:pPr>
            <w:r w:rsidRPr="00817F31">
              <w:rPr>
                <w:rFonts w:hint="cs"/>
                <w:bCs/>
                <w:sz w:val="18"/>
                <w:rtl/>
              </w:rPr>
              <w:t>الوكالة</w:t>
            </w:r>
          </w:p>
        </w:tc>
        <w:tc>
          <w:tcPr>
            <w:tcW w:w="2542" w:type="dxa"/>
            <w:tcBorders>
              <w:top w:val="single" w:sz="4" w:space="0" w:color="666699"/>
              <w:left w:val="single" w:sz="4" w:space="0" w:color="666699"/>
              <w:bottom w:val="single" w:sz="4" w:space="0" w:color="666699"/>
              <w:right w:val="single" w:sz="4" w:space="0" w:color="666699"/>
            </w:tcBorders>
            <w:hideMark/>
          </w:tcPr>
          <w:p w:rsidR="00817F31" w:rsidRPr="00817F31" w:rsidRDefault="00817F31">
            <w:pPr>
              <w:spacing w:after="80"/>
              <w:jc w:val="center"/>
              <w:rPr>
                <w:bCs/>
                <w:sz w:val="18"/>
                <w:szCs w:val="24"/>
              </w:rPr>
            </w:pPr>
            <w:r w:rsidRPr="00817F31">
              <w:rPr>
                <w:rFonts w:hint="cs"/>
                <w:bCs/>
                <w:sz w:val="18"/>
                <w:rtl/>
              </w:rPr>
              <w:t>الاجتماع الذي تمت فيه الموافقة</w:t>
            </w:r>
          </w:p>
        </w:tc>
        <w:tc>
          <w:tcPr>
            <w:tcW w:w="2788" w:type="dxa"/>
            <w:tcBorders>
              <w:top w:val="single" w:sz="4" w:space="0" w:color="666699"/>
              <w:left w:val="single" w:sz="4" w:space="0" w:color="666699"/>
              <w:bottom w:val="single" w:sz="4" w:space="0" w:color="666699"/>
              <w:right w:val="single" w:sz="4" w:space="0" w:color="666699"/>
            </w:tcBorders>
            <w:hideMark/>
          </w:tcPr>
          <w:p w:rsidR="00817F31" w:rsidRPr="00817F31" w:rsidRDefault="00817F31">
            <w:pPr>
              <w:spacing w:after="80"/>
              <w:jc w:val="center"/>
              <w:rPr>
                <w:bCs/>
                <w:sz w:val="18"/>
                <w:szCs w:val="24"/>
              </w:rPr>
            </w:pPr>
            <w:r w:rsidRPr="00817F31">
              <w:rPr>
                <w:rFonts w:hint="cs"/>
                <w:bCs/>
                <w:sz w:val="18"/>
                <w:rtl/>
              </w:rPr>
              <w:t>تدابير الرقابة</w:t>
            </w:r>
          </w:p>
        </w:tc>
      </w:tr>
      <w:tr w:rsidR="00817F31" w:rsidTr="004A4ED4">
        <w:trPr>
          <w:trHeight w:val="240"/>
        </w:trPr>
        <w:tc>
          <w:tcPr>
            <w:tcW w:w="3359" w:type="dxa"/>
            <w:tcBorders>
              <w:top w:val="single" w:sz="4" w:space="0" w:color="666699"/>
              <w:left w:val="single" w:sz="4" w:space="0" w:color="666699"/>
              <w:bottom w:val="single" w:sz="4" w:space="0" w:color="666699"/>
              <w:right w:val="single" w:sz="4" w:space="0" w:color="666699"/>
            </w:tcBorders>
            <w:hideMark/>
          </w:tcPr>
          <w:p w:rsidR="00817F31" w:rsidRDefault="00817F31" w:rsidP="00933C11">
            <w:pPr>
              <w:bidi/>
              <w:spacing w:after="80"/>
              <w:jc w:val="left"/>
              <w:rPr>
                <w:sz w:val="18"/>
                <w:szCs w:val="24"/>
              </w:rPr>
            </w:pPr>
            <w:r>
              <w:rPr>
                <w:rFonts w:hint="cs"/>
                <w:sz w:val="18"/>
                <w:rtl/>
              </w:rPr>
              <w:t xml:space="preserve">خطة إدارة إزالة المواد </w:t>
            </w:r>
            <w:r w:rsidR="00E67A87">
              <w:rPr>
                <w:rFonts w:hint="cs"/>
                <w:sz w:val="18"/>
                <w:rtl/>
              </w:rPr>
              <w:t>ا</w:t>
            </w:r>
            <w:r>
              <w:rPr>
                <w:rFonts w:hint="cs"/>
                <w:sz w:val="18"/>
                <w:rtl/>
              </w:rPr>
              <w:t xml:space="preserve">لهيدروكلوروفلوروكربونية </w:t>
            </w:r>
            <w:r w:rsidR="00EF07B8">
              <w:rPr>
                <w:rFonts w:hint="cs"/>
                <w:sz w:val="18"/>
                <w:rtl/>
              </w:rPr>
              <w:t xml:space="preserve">(المرحلة </w:t>
            </w:r>
            <w:r w:rsidR="00933C11">
              <w:rPr>
                <w:rFonts w:hint="cs"/>
                <w:sz w:val="18"/>
                <w:rtl/>
              </w:rPr>
              <w:t>الأولى</w:t>
            </w:r>
            <w:r w:rsidR="00EF07B8">
              <w:rPr>
                <w:rFonts w:hint="cs"/>
                <w:sz w:val="18"/>
                <w:rtl/>
              </w:rPr>
              <w:t>)</w:t>
            </w:r>
          </w:p>
        </w:tc>
        <w:tc>
          <w:tcPr>
            <w:tcW w:w="2463" w:type="dxa"/>
            <w:tcBorders>
              <w:top w:val="single" w:sz="4" w:space="0" w:color="666699"/>
              <w:left w:val="single" w:sz="4" w:space="0" w:color="666699"/>
              <w:bottom w:val="single" w:sz="4" w:space="0" w:color="666699"/>
              <w:right w:val="single" w:sz="4" w:space="0" w:color="666699"/>
            </w:tcBorders>
            <w:hideMark/>
          </w:tcPr>
          <w:p w:rsidR="00817F31" w:rsidRDefault="00933C11" w:rsidP="00933C11">
            <w:pPr>
              <w:bidi/>
              <w:spacing w:after="80"/>
              <w:jc w:val="center"/>
              <w:rPr>
                <w:sz w:val="18"/>
                <w:szCs w:val="24"/>
                <w:rtl/>
                <w:lang w:bidi="ar-EG"/>
              </w:rPr>
            </w:pPr>
            <w:r>
              <w:rPr>
                <w:rFonts w:hint="cs"/>
                <w:sz w:val="18"/>
                <w:rtl/>
              </w:rPr>
              <w:t>يونيب</w:t>
            </w:r>
            <w:r w:rsidR="00EF07B8">
              <w:rPr>
                <w:rFonts w:hint="cs"/>
                <w:sz w:val="18"/>
                <w:rtl/>
              </w:rPr>
              <w:t xml:space="preserve"> (الرئيس</w:t>
            </w:r>
            <w:r w:rsidR="00B02414">
              <w:rPr>
                <w:rFonts w:hint="cs"/>
                <w:sz w:val="18"/>
                <w:rtl/>
              </w:rPr>
              <w:t>ي</w:t>
            </w:r>
            <w:r w:rsidR="00EF07B8">
              <w:rPr>
                <w:rFonts w:hint="cs"/>
                <w:sz w:val="18"/>
                <w:rtl/>
              </w:rPr>
              <w:t>ة)</w:t>
            </w:r>
            <w:r w:rsidR="0022064D">
              <w:rPr>
                <w:rFonts w:hint="cs"/>
                <w:sz w:val="18"/>
                <w:rtl/>
              </w:rPr>
              <w:t xml:space="preserve">، </w:t>
            </w:r>
            <w:r>
              <w:rPr>
                <w:rFonts w:hint="cs"/>
                <w:sz w:val="18"/>
                <w:rtl/>
              </w:rPr>
              <w:t>يونيدو</w:t>
            </w:r>
            <w:r w:rsidR="00EF07B8">
              <w:rPr>
                <w:rFonts w:hint="cs"/>
                <w:sz w:val="18"/>
                <w:rtl/>
              </w:rPr>
              <w:t xml:space="preserve"> </w:t>
            </w:r>
          </w:p>
        </w:tc>
        <w:tc>
          <w:tcPr>
            <w:tcW w:w="2542" w:type="dxa"/>
            <w:tcBorders>
              <w:top w:val="single" w:sz="4" w:space="0" w:color="666699"/>
              <w:left w:val="single" w:sz="4" w:space="0" w:color="666699"/>
              <w:bottom w:val="single" w:sz="4" w:space="0" w:color="666699"/>
              <w:right w:val="single" w:sz="4" w:space="0" w:color="666699"/>
            </w:tcBorders>
            <w:hideMark/>
          </w:tcPr>
          <w:p w:rsidR="00817F31" w:rsidRDefault="00933C11" w:rsidP="00F01330">
            <w:pPr>
              <w:spacing w:after="80"/>
              <w:jc w:val="center"/>
              <w:rPr>
                <w:sz w:val="18"/>
                <w:szCs w:val="24"/>
              </w:rPr>
            </w:pPr>
            <w:r>
              <w:rPr>
                <w:rFonts w:hint="cs"/>
                <w:sz w:val="18"/>
                <w:rtl/>
              </w:rPr>
              <w:t>الثانى والستون</w:t>
            </w:r>
          </w:p>
        </w:tc>
        <w:tc>
          <w:tcPr>
            <w:tcW w:w="2788" w:type="dxa"/>
            <w:tcBorders>
              <w:top w:val="single" w:sz="4" w:space="0" w:color="666699"/>
              <w:left w:val="single" w:sz="4" w:space="0" w:color="666699"/>
              <w:bottom w:val="single" w:sz="4" w:space="0" w:color="666699"/>
              <w:right w:val="single" w:sz="4" w:space="0" w:color="666699"/>
            </w:tcBorders>
            <w:hideMark/>
          </w:tcPr>
          <w:p w:rsidR="00817F31" w:rsidRDefault="0022064D" w:rsidP="0022064D">
            <w:pPr>
              <w:spacing w:after="80"/>
              <w:jc w:val="center"/>
              <w:rPr>
                <w:sz w:val="18"/>
                <w:szCs w:val="24"/>
              </w:rPr>
            </w:pPr>
            <w:r>
              <w:rPr>
                <w:rFonts w:hint="cs"/>
                <w:sz w:val="18"/>
                <w:rtl/>
              </w:rPr>
              <w:t>35 في المائة</w:t>
            </w:r>
            <w:r w:rsidR="00E67A87">
              <w:rPr>
                <w:rFonts w:hint="cs"/>
                <w:sz w:val="18"/>
                <w:rtl/>
              </w:rPr>
              <w:t xml:space="preserve"> بحلول </w:t>
            </w:r>
            <w:r>
              <w:rPr>
                <w:rFonts w:hint="cs"/>
                <w:sz w:val="18"/>
                <w:rtl/>
              </w:rPr>
              <w:t>2020</w:t>
            </w:r>
          </w:p>
        </w:tc>
      </w:tr>
    </w:tbl>
    <w:p w:rsidR="002C5ACC" w:rsidRPr="00380F86" w:rsidRDefault="002C5ACC" w:rsidP="002479DD">
      <w:pPr>
        <w:pStyle w:val="Heading3"/>
        <w:widowControl/>
        <w:numPr>
          <w:ilvl w:val="0"/>
          <w:numId w:val="0"/>
        </w:numPr>
        <w:tabs>
          <w:tab w:val="left" w:pos="720"/>
        </w:tabs>
        <w:spacing w:after="0" w:line="120" w:lineRule="auto"/>
        <w:ind w:right="0"/>
        <w:jc w:val="left"/>
        <w:rPr>
          <w:rFonts w:ascii="Times New Roman" w:hAnsi="Times New Roman" w:cs="Times New Roman"/>
          <w:sz w:val="20"/>
          <w:szCs w:val="20"/>
          <w:rtl/>
          <w:lang w:bidi="ar-EG"/>
        </w:rPr>
      </w:pPr>
    </w:p>
    <w:tbl>
      <w:tblPr>
        <w:bidiVisual/>
        <w:tblW w:w="11152"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152"/>
        <w:gridCol w:w="4590"/>
      </w:tblGrid>
      <w:tr w:rsidR="002C5ACC" w:rsidRPr="00380F86" w:rsidTr="00D30DE6">
        <w:tc>
          <w:tcPr>
            <w:tcW w:w="4410" w:type="dxa"/>
          </w:tcPr>
          <w:p w:rsidR="002C5ACC" w:rsidRPr="00380F86" w:rsidRDefault="002C5ACC" w:rsidP="003B057A">
            <w:pPr>
              <w:pStyle w:val="Heading3"/>
              <w:numPr>
                <w:ilvl w:val="0"/>
                <w:numId w:val="0"/>
              </w:numPr>
              <w:tabs>
                <w:tab w:val="left" w:pos="720"/>
              </w:tabs>
              <w:spacing w:after="0"/>
              <w:ind w:right="0"/>
              <w:rPr>
                <w:rFonts w:ascii="Times New Roman" w:hAnsi="Times New Roman" w:cs="Times New Roman"/>
                <w:b/>
                <w:bCs/>
                <w:sz w:val="20"/>
                <w:szCs w:val="20"/>
                <w:rtl/>
                <w:lang w:bidi="ar-EG"/>
              </w:rPr>
            </w:pPr>
            <w:r w:rsidRPr="00380F86">
              <w:rPr>
                <w:rFonts w:ascii="Times New Roman" w:hAnsi="Times New Roman" w:cs="Times New Roman"/>
                <w:b/>
                <w:bCs/>
                <w:sz w:val="20"/>
                <w:szCs w:val="20"/>
                <w:rtl/>
                <w:lang w:bidi="ar-EG"/>
              </w:rPr>
              <w:t>(ثانيا) أحدث بيانات المادة 7</w:t>
            </w:r>
            <w:r w:rsidR="00B5721D">
              <w:rPr>
                <w:rFonts w:ascii="Times New Roman" w:hAnsi="Times New Roman" w:cs="Times New Roman" w:hint="cs"/>
                <w:b/>
                <w:bCs/>
                <w:sz w:val="20"/>
                <w:szCs w:val="20"/>
                <w:rtl/>
                <w:lang w:bidi="ar-EG"/>
              </w:rPr>
              <w:t xml:space="preserve"> (المرفق جيم المجموعة الأولى)</w:t>
            </w:r>
          </w:p>
        </w:tc>
        <w:tc>
          <w:tcPr>
            <w:tcW w:w="2152" w:type="dxa"/>
          </w:tcPr>
          <w:p w:rsidR="002C5ACC" w:rsidRPr="00380F86" w:rsidRDefault="002C5ACC" w:rsidP="00B20801">
            <w:pPr>
              <w:pStyle w:val="Heading3"/>
              <w:numPr>
                <w:ilvl w:val="0"/>
                <w:numId w:val="0"/>
              </w:numPr>
              <w:tabs>
                <w:tab w:val="left" w:pos="720"/>
              </w:tabs>
              <w:spacing w:after="0"/>
              <w:ind w:right="0"/>
              <w:jc w:val="center"/>
              <w:rPr>
                <w:rFonts w:ascii="Times New Roman" w:hAnsi="Times New Roman" w:cs="Times New Roman"/>
                <w:sz w:val="20"/>
                <w:szCs w:val="20"/>
                <w:rtl/>
                <w:lang w:bidi="ar-EG"/>
              </w:rPr>
            </w:pPr>
            <w:r w:rsidRPr="00380F86">
              <w:rPr>
                <w:rFonts w:ascii="Times New Roman" w:hAnsi="Times New Roman" w:cs="Times New Roman"/>
                <w:sz w:val="20"/>
                <w:szCs w:val="20"/>
                <w:rtl/>
                <w:lang w:bidi="ar-EG"/>
              </w:rPr>
              <w:t xml:space="preserve">السنة: </w:t>
            </w:r>
            <w:r w:rsidR="00B20801">
              <w:rPr>
                <w:rFonts w:ascii="Times New Roman" w:hAnsi="Times New Roman" w:cs="Times New Roman" w:hint="cs"/>
                <w:sz w:val="20"/>
                <w:szCs w:val="20"/>
                <w:rtl/>
                <w:lang w:bidi="ar-EG"/>
              </w:rPr>
              <w:t>2017</w:t>
            </w:r>
          </w:p>
        </w:tc>
        <w:tc>
          <w:tcPr>
            <w:tcW w:w="4590" w:type="dxa"/>
          </w:tcPr>
          <w:p w:rsidR="002C5ACC" w:rsidRPr="00380F86" w:rsidRDefault="00933C11" w:rsidP="00933C11">
            <w:pPr>
              <w:pStyle w:val="Heading3"/>
              <w:numPr>
                <w:ilvl w:val="0"/>
                <w:numId w:val="0"/>
              </w:numPr>
              <w:tabs>
                <w:tab w:val="left" w:pos="720"/>
              </w:tabs>
              <w:spacing w:after="0"/>
              <w:ind w:right="0"/>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19.80 </w:t>
            </w:r>
            <w:r w:rsidR="002C5ACC" w:rsidRPr="00380F86">
              <w:rPr>
                <w:rFonts w:ascii="Times New Roman" w:hAnsi="Times New Roman" w:cs="Times New Roman"/>
                <w:sz w:val="20"/>
                <w:szCs w:val="20"/>
                <w:rtl/>
                <w:lang w:bidi="ar-EG"/>
              </w:rPr>
              <w:t xml:space="preserve"> (</w:t>
            </w:r>
            <w:r w:rsidR="00D736BC">
              <w:rPr>
                <w:rFonts w:ascii="Times New Roman" w:hAnsi="Times New Roman" w:cs="Times New Roman" w:hint="cs"/>
                <w:sz w:val="20"/>
                <w:szCs w:val="20"/>
                <w:rtl/>
                <w:lang w:bidi="ar-EG"/>
              </w:rPr>
              <w:t>أطنان</w:t>
            </w:r>
            <w:r w:rsidR="002C5ACC" w:rsidRPr="00380F86">
              <w:rPr>
                <w:rFonts w:ascii="Times New Roman" w:hAnsi="Times New Roman" w:cs="Times New Roman"/>
                <w:sz w:val="20"/>
                <w:szCs w:val="20"/>
                <w:rtl/>
                <w:lang w:bidi="ar-EG"/>
              </w:rPr>
              <w:t xml:space="preserve"> من قدرات استنفاد الأوزون)</w:t>
            </w:r>
          </w:p>
        </w:tc>
      </w:tr>
    </w:tbl>
    <w:p w:rsidR="002C5ACC" w:rsidRPr="00380F86" w:rsidRDefault="002C5ACC" w:rsidP="002C5ACC">
      <w:pPr>
        <w:widowControl w:val="0"/>
        <w:bidi/>
        <w:spacing w:line="120" w:lineRule="auto"/>
        <w:outlineLvl w:val="2"/>
        <w:rPr>
          <w:rtl/>
          <w:lang w:val="en-CA"/>
        </w:rPr>
      </w:pPr>
    </w:p>
    <w:tbl>
      <w:tblPr>
        <w:bidiVisual/>
        <w:tblW w:w="11152" w:type="dxa"/>
        <w:tblInd w:w="-87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332"/>
        <w:gridCol w:w="810"/>
        <w:gridCol w:w="720"/>
        <w:gridCol w:w="90"/>
        <w:gridCol w:w="900"/>
        <w:gridCol w:w="1080"/>
        <w:gridCol w:w="1229"/>
        <w:gridCol w:w="767"/>
        <w:gridCol w:w="794"/>
        <w:gridCol w:w="113"/>
        <w:gridCol w:w="787"/>
        <w:gridCol w:w="1530"/>
      </w:tblGrid>
      <w:tr w:rsidR="002C5ACC" w:rsidRPr="00380F86" w:rsidTr="00D30DE6">
        <w:trPr>
          <w:trHeight w:hRule="exact" w:val="374"/>
        </w:trPr>
        <w:tc>
          <w:tcPr>
            <w:tcW w:w="7161" w:type="dxa"/>
            <w:gridSpan w:val="7"/>
          </w:tcPr>
          <w:p w:rsidR="002C5ACC" w:rsidRPr="00380F86" w:rsidRDefault="002C5ACC" w:rsidP="00D736BC">
            <w:pPr>
              <w:bidi/>
              <w:spacing w:after="60"/>
              <w:jc w:val="left"/>
              <w:rPr>
                <w:b/>
                <w:sz w:val="18"/>
                <w:lang w:val="en-US" w:bidi="ar-EG"/>
              </w:rPr>
            </w:pPr>
            <w:r w:rsidRPr="00380F86">
              <w:rPr>
                <w:bCs/>
                <w:sz w:val="18"/>
                <w:rtl/>
                <w:lang w:val="en-US"/>
              </w:rPr>
              <w:t>(ثالثا)</w:t>
            </w:r>
            <w:r w:rsidRPr="00380F86">
              <w:rPr>
                <w:b/>
                <w:sz w:val="18"/>
                <w:rtl/>
                <w:lang w:val="en-US"/>
              </w:rPr>
              <w:t xml:space="preserve"> </w:t>
            </w:r>
            <w:r w:rsidR="00F67DEC" w:rsidRPr="00380F86">
              <w:rPr>
                <w:bCs/>
                <w:sz w:val="18"/>
                <w:rtl/>
                <w:lang w:val="en-US"/>
              </w:rPr>
              <w:t xml:space="preserve">أحدث </w:t>
            </w:r>
            <w:r w:rsidRPr="00380F86">
              <w:rPr>
                <w:b/>
                <w:bCs/>
                <w:sz w:val="20"/>
                <w:rtl/>
                <w:lang w:bidi="ar-EG"/>
              </w:rPr>
              <w:t>البيانات القطاعية للبرنامج القطري</w:t>
            </w:r>
            <w:r w:rsidR="00785C31" w:rsidRPr="00380F86">
              <w:rPr>
                <w:b/>
                <w:bCs/>
                <w:sz w:val="20"/>
                <w:rtl/>
                <w:lang w:bidi="ar-EG"/>
              </w:rPr>
              <w:t xml:space="preserve"> </w:t>
            </w:r>
            <w:r w:rsidRPr="00380F86">
              <w:rPr>
                <w:b/>
                <w:bCs/>
                <w:sz w:val="20"/>
                <w:rtl/>
                <w:lang w:bidi="ar-EG"/>
              </w:rPr>
              <w:t>(</w:t>
            </w:r>
            <w:r w:rsidR="00D736BC">
              <w:rPr>
                <w:rFonts w:hint="cs"/>
                <w:b/>
                <w:bCs/>
                <w:sz w:val="20"/>
                <w:rtl/>
                <w:lang w:bidi="ar-EG"/>
              </w:rPr>
              <w:t>أطنان</w:t>
            </w:r>
            <w:r w:rsidRPr="00380F86">
              <w:rPr>
                <w:b/>
                <w:bCs/>
                <w:sz w:val="20"/>
                <w:rtl/>
                <w:lang w:bidi="ar-EG"/>
              </w:rPr>
              <w:t xml:space="preserve"> من قدرات استنفاد الأوزون</w:t>
            </w:r>
            <w:r w:rsidRPr="00380F86">
              <w:rPr>
                <w:b/>
                <w:sz w:val="18"/>
                <w:rtl/>
                <w:lang w:val="en-US" w:bidi="ar-EG"/>
              </w:rPr>
              <w:t>)</w:t>
            </w:r>
          </w:p>
        </w:tc>
        <w:tc>
          <w:tcPr>
            <w:tcW w:w="3991" w:type="dxa"/>
            <w:gridSpan w:val="5"/>
          </w:tcPr>
          <w:p w:rsidR="002C5ACC" w:rsidRPr="00380F86" w:rsidRDefault="002C5ACC" w:rsidP="005073EA">
            <w:pPr>
              <w:bidi/>
              <w:spacing w:after="60"/>
              <w:jc w:val="center"/>
              <w:rPr>
                <w:bCs/>
                <w:sz w:val="18"/>
                <w:lang w:val="en-US"/>
              </w:rPr>
            </w:pPr>
            <w:r w:rsidRPr="00380F86">
              <w:rPr>
                <w:bCs/>
                <w:sz w:val="18"/>
                <w:rtl/>
                <w:lang w:val="en-US"/>
              </w:rPr>
              <w:t xml:space="preserve">السنة: </w:t>
            </w:r>
            <w:r w:rsidR="00E32862">
              <w:rPr>
                <w:rFonts w:hint="cs"/>
                <w:bCs/>
                <w:sz w:val="18"/>
                <w:rtl/>
                <w:lang w:val="en-US"/>
              </w:rPr>
              <w:t>201</w:t>
            </w:r>
            <w:r w:rsidR="005073EA">
              <w:rPr>
                <w:rFonts w:hint="cs"/>
                <w:bCs/>
                <w:sz w:val="18"/>
                <w:rtl/>
                <w:lang w:val="en-US"/>
              </w:rPr>
              <w:t>7</w:t>
            </w:r>
          </w:p>
        </w:tc>
      </w:tr>
      <w:tr w:rsidR="002C5ACC" w:rsidRPr="00380F86" w:rsidTr="00D30DE6">
        <w:trPr>
          <w:trHeight w:hRule="exact" w:val="487"/>
        </w:trPr>
        <w:tc>
          <w:tcPr>
            <w:tcW w:w="2332" w:type="dxa"/>
          </w:tcPr>
          <w:p w:rsidR="002C5ACC" w:rsidRPr="00380F86" w:rsidRDefault="002C5ACC" w:rsidP="003B057A">
            <w:pPr>
              <w:bidi/>
              <w:spacing w:after="60"/>
              <w:jc w:val="center"/>
              <w:rPr>
                <w:sz w:val="18"/>
                <w:lang w:val="en-US"/>
              </w:rPr>
            </w:pPr>
            <w:r w:rsidRPr="00380F86">
              <w:rPr>
                <w:sz w:val="18"/>
                <w:rtl/>
                <w:lang w:val="en-US"/>
              </w:rPr>
              <w:t>المادة</w:t>
            </w:r>
            <w:r w:rsidR="00F84E9F">
              <w:rPr>
                <w:rFonts w:hint="cs"/>
                <w:sz w:val="18"/>
                <w:rtl/>
                <w:lang w:val="en-US"/>
              </w:rPr>
              <w:t xml:space="preserve"> الكيميائية</w:t>
            </w:r>
          </w:p>
        </w:tc>
        <w:tc>
          <w:tcPr>
            <w:tcW w:w="810" w:type="dxa"/>
          </w:tcPr>
          <w:p w:rsidR="002C5ACC" w:rsidRPr="00380F86" w:rsidRDefault="002C5ACC" w:rsidP="003B057A">
            <w:pPr>
              <w:bidi/>
              <w:spacing w:after="60"/>
              <w:jc w:val="center"/>
              <w:rPr>
                <w:sz w:val="18"/>
                <w:lang w:val="en-US"/>
              </w:rPr>
            </w:pPr>
            <w:r w:rsidRPr="00380F86">
              <w:rPr>
                <w:sz w:val="18"/>
                <w:rtl/>
                <w:lang w:val="en-US"/>
              </w:rPr>
              <w:t>أيروسول</w:t>
            </w:r>
          </w:p>
        </w:tc>
        <w:tc>
          <w:tcPr>
            <w:tcW w:w="720" w:type="dxa"/>
          </w:tcPr>
          <w:p w:rsidR="002C5ACC" w:rsidRPr="00380F86" w:rsidRDefault="002C5ACC" w:rsidP="003B057A">
            <w:pPr>
              <w:bidi/>
              <w:spacing w:after="60"/>
              <w:jc w:val="center"/>
              <w:rPr>
                <w:sz w:val="18"/>
                <w:lang w:val="en-US"/>
              </w:rPr>
            </w:pPr>
            <w:r w:rsidRPr="00380F86">
              <w:rPr>
                <w:sz w:val="18"/>
                <w:rtl/>
                <w:lang w:val="en-US"/>
              </w:rPr>
              <w:t>رغاوي</w:t>
            </w:r>
          </w:p>
        </w:tc>
        <w:tc>
          <w:tcPr>
            <w:tcW w:w="990" w:type="dxa"/>
            <w:gridSpan w:val="2"/>
          </w:tcPr>
          <w:p w:rsidR="002C5ACC" w:rsidRPr="00380F86" w:rsidRDefault="00F84E9F" w:rsidP="003B057A">
            <w:pPr>
              <w:bidi/>
              <w:spacing w:after="60"/>
              <w:jc w:val="center"/>
              <w:rPr>
                <w:sz w:val="18"/>
                <w:lang w:val="en-US"/>
              </w:rPr>
            </w:pPr>
            <w:r>
              <w:rPr>
                <w:rFonts w:hint="cs"/>
                <w:sz w:val="18"/>
                <w:rtl/>
                <w:lang w:val="en-US"/>
              </w:rPr>
              <w:t>مكافحة</w:t>
            </w:r>
            <w:r w:rsidR="002C5ACC" w:rsidRPr="00380F86">
              <w:rPr>
                <w:sz w:val="18"/>
                <w:rtl/>
                <w:lang w:val="en-US"/>
              </w:rPr>
              <w:t xml:space="preserve"> </w:t>
            </w:r>
            <w:r>
              <w:rPr>
                <w:rFonts w:hint="cs"/>
                <w:sz w:val="18"/>
                <w:rtl/>
                <w:lang w:val="en-US"/>
              </w:rPr>
              <w:t>ال</w:t>
            </w:r>
            <w:r w:rsidR="002C5ACC" w:rsidRPr="00380F86">
              <w:rPr>
                <w:sz w:val="18"/>
                <w:rtl/>
                <w:lang w:val="en-US"/>
              </w:rPr>
              <w:t>حريق</w:t>
            </w:r>
          </w:p>
        </w:tc>
        <w:tc>
          <w:tcPr>
            <w:tcW w:w="2309" w:type="dxa"/>
            <w:gridSpan w:val="2"/>
          </w:tcPr>
          <w:p w:rsidR="002C5ACC" w:rsidRPr="00380F86" w:rsidRDefault="002C5ACC" w:rsidP="003B057A">
            <w:pPr>
              <w:bidi/>
              <w:spacing w:after="60"/>
              <w:jc w:val="center"/>
              <w:rPr>
                <w:sz w:val="18"/>
                <w:lang w:val="en-US"/>
              </w:rPr>
            </w:pPr>
            <w:r w:rsidRPr="00380F86">
              <w:rPr>
                <w:sz w:val="18"/>
                <w:rtl/>
                <w:lang w:val="en-US"/>
              </w:rPr>
              <w:t>التبريد</w:t>
            </w:r>
          </w:p>
        </w:tc>
        <w:tc>
          <w:tcPr>
            <w:tcW w:w="767" w:type="dxa"/>
          </w:tcPr>
          <w:p w:rsidR="002C5ACC" w:rsidRPr="00380F86" w:rsidRDefault="002C5ACC" w:rsidP="003B057A">
            <w:pPr>
              <w:bidi/>
              <w:spacing w:after="60"/>
              <w:jc w:val="center"/>
              <w:rPr>
                <w:sz w:val="18"/>
              </w:rPr>
            </w:pPr>
            <w:r w:rsidRPr="00380F86">
              <w:rPr>
                <w:sz w:val="18"/>
                <w:rtl/>
              </w:rPr>
              <w:t>مذيبات</w:t>
            </w:r>
          </w:p>
        </w:tc>
        <w:tc>
          <w:tcPr>
            <w:tcW w:w="794" w:type="dxa"/>
          </w:tcPr>
          <w:p w:rsidR="002C5ACC" w:rsidRPr="00380F86" w:rsidRDefault="004A051A" w:rsidP="003B057A">
            <w:pPr>
              <w:bidi/>
              <w:spacing w:after="60"/>
              <w:jc w:val="center"/>
              <w:rPr>
                <w:sz w:val="18"/>
              </w:rPr>
            </w:pPr>
            <w:r w:rsidRPr="00380F86">
              <w:rPr>
                <w:sz w:val="18"/>
                <w:rtl/>
              </w:rPr>
              <w:t xml:space="preserve">عامل </w:t>
            </w:r>
            <w:r w:rsidR="002C5ACC" w:rsidRPr="00380F86">
              <w:rPr>
                <w:sz w:val="18"/>
                <w:rtl/>
              </w:rPr>
              <w:t>تجهيز</w:t>
            </w:r>
          </w:p>
        </w:tc>
        <w:tc>
          <w:tcPr>
            <w:tcW w:w="900" w:type="dxa"/>
            <w:gridSpan w:val="2"/>
          </w:tcPr>
          <w:p w:rsidR="002C5ACC" w:rsidRPr="00380F86" w:rsidRDefault="00F84E9F" w:rsidP="003B057A">
            <w:pPr>
              <w:bidi/>
              <w:spacing w:after="60"/>
              <w:jc w:val="center"/>
              <w:rPr>
                <w:sz w:val="18"/>
              </w:rPr>
            </w:pPr>
            <w:r>
              <w:rPr>
                <w:rFonts w:hint="cs"/>
                <w:sz w:val="18"/>
                <w:rtl/>
              </w:rPr>
              <w:t>استخدام المختبرات</w:t>
            </w:r>
          </w:p>
        </w:tc>
        <w:tc>
          <w:tcPr>
            <w:tcW w:w="1530" w:type="dxa"/>
          </w:tcPr>
          <w:p w:rsidR="002C5ACC" w:rsidRPr="00380F86" w:rsidRDefault="002C5ACC" w:rsidP="003B057A">
            <w:pPr>
              <w:bidi/>
              <w:spacing w:after="60"/>
              <w:jc w:val="center"/>
              <w:rPr>
                <w:sz w:val="18"/>
              </w:rPr>
            </w:pPr>
            <w:r w:rsidRPr="00380F86">
              <w:rPr>
                <w:sz w:val="18"/>
                <w:rtl/>
              </w:rPr>
              <w:t xml:space="preserve">مجموع </w:t>
            </w:r>
            <w:r w:rsidR="004A051A" w:rsidRPr="00380F86">
              <w:rPr>
                <w:sz w:val="18"/>
                <w:rtl/>
              </w:rPr>
              <w:t xml:space="preserve">استهلاك </w:t>
            </w:r>
            <w:r w:rsidRPr="00380F86">
              <w:rPr>
                <w:sz w:val="18"/>
                <w:rtl/>
              </w:rPr>
              <w:t>القطاع</w:t>
            </w:r>
          </w:p>
        </w:tc>
      </w:tr>
      <w:tr w:rsidR="002C5ACC" w:rsidRPr="00380F86" w:rsidTr="00D30DE6">
        <w:trPr>
          <w:trHeight w:hRule="exact" w:val="240"/>
        </w:trPr>
        <w:tc>
          <w:tcPr>
            <w:tcW w:w="4852" w:type="dxa"/>
            <w:gridSpan w:val="5"/>
          </w:tcPr>
          <w:p w:rsidR="002C5ACC" w:rsidRPr="00380F86" w:rsidRDefault="002C5ACC" w:rsidP="003B057A">
            <w:pPr>
              <w:bidi/>
              <w:spacing w:after="60"/>
              <w:jc w:val="center"/>
              <w:rPr>
                <w:sz w:val="18"/>
              </w:rPr>
            </w:pPr>
          </w:p>
        </w:tc>
        <w:tc>
          <w:tcPr>
            <w:tcW w:w="1080" w:type="dxa"/>
          </w:tcPr>
          <w:p w:rsidR="002C5ACC" w:rsidRPr="00380F86" w:rsidRDefault="002C5ACC" w:rsidP="003B057A">
            <w:pPr>
              <w:bidi/>
              <w:spacing w:after="60"/>
              <w:jc w:val="center"/>
              <w:rPr>
                <w:sz w:val="18"/>
              </w:rPr>
            </w:pPr>
            <w:r w:rsidRPr="00380F86">
              <w:rPr>
                <w:sz w:val="18"/>
                <w:rtl/>
              </w:rPr>
              <w:t>التصنيع</w:t>
            </w:r>
          </w:p>
        </w:tc>
        <w:tc>
          <w:tcPr>
            <w:tcW w:w="1229" w:type="dxa"/>
          </w:tcPr>
          <w:p w:rsidR="002C5ACC" w:rsidRPr="00380F86" w:rsidRDefault="002C5ACC" w:rsidP="003B057A">
            <w:pPr>
              <w:bidi/>
              <w:spacing w:after="60"/>
              <w:jc w:val="center"/>
              <w:rPr>
                <w:sz w:val="18"/>
              </w:rPr>
            </w:pPr>
            <w:r w:rsidRPr="00380F86">
              <w:rPr>
                <w:sz w:val="18"/>
                <w:rtl/>
              </w:rPr>
              <w:t>الخدمة</w:t>
            </w:r>
          </w:p>
        </w:tc>
        <w:tc>
          <w:tcPr>
            <w:tcW w:w="3991" w:type="dxa"/>
            <w:gridSpan w:val="5"/>
          </w:tcPr>
          <w:p w:rsidR="002C5ACC" w:rsidRPr="00380F86" w:rsidRDefault="002C5ACC" w:rsidP="003B057A">
            <w:pPr>
              <w:bidi/>
              <w:spacing w:after="60"/>
              <w:jc w:val="center"/>
              <w:rPr>
                <w:sz w:val="18"/>
              </w:rPr>
            </w:pPr>
          </w:p>
        </w:tc>
      </w:tr>
      <w:tr w:rsidR="00C85742" w:rsidRPr="00380F86" w:rsidTr="00D30DE6">
        <w:trPr>
          <w:trHeight w:hRule="exact" w:val="451"/>
        </w:trPr>
        <w:tc>
          <w:tcPr>
            <w:tcW w:w="2332" w:type="dxa"/>
          </w:tcPr>
          <w:p w:rsidR="00C85742" w:rsidRPr="00147CB6" w:rsidRDefault="00C85742" w:rsidP="00C85742">
            <w:pPr>
              <w:spacing w:after="60"/>
              <w:jc w:val="right"/>
              <w:rPr>
                <w:sz w:val="20"/>
              </w:rPr>
            </w:pPr>
            <w:r w:rsidRPr="00147CB6">
              <w:rPr>
                <w:rFonts w:hint="cs"/>
                <w:sz w:val="20"/>
                <w:rtl/>
              </w:rPr>
              <w:t>هيدروكلوروفلوروكربون- 22</w:t>
            </w:r>
          </w:p>
          <w:p w:rsidR="00C85742" w:rsidRDefault="00C85742" w:rsidP="00C85742">
            <w:pPr>
              <w:spacing w:after="60"/>
              <w:jc w:val="right"/>
              <w:rPr>
                <w:sz w:val="18"/>
                <w:szCs w:val="18"/>
                <w:rtl/>
              </w:rPr>
            </w:pPr>
          </w:p>
        </w:tc>
        <w:tc>
          <w:tcPr>
            <w:tcW w:w="810" w:type="dxa"/>
          </w:tcPr>
          <w:p w:rsidR="00C85742" w:rsidRPr="00380F86" w:rsidRDefault="00C85742" w:rsidP="003B057A">
            <w:pPr>
              <w:spacing w:after="60"/>
              <w:jc w:val="right"/>
              <w:rPr>
                <w:sz w:val="18"/>
              </w:rPr>
            </w:pPr>
          </w:p>
        </w:tc>
        <w:tc>
          <w:tcPr>
            <w:tcW w:w="810" w:type="dxa"/>
            <w:gridSpan w:val="2"/>
          </w:tcPr>
          <w:p w:rsidR="00C85742" w:rsidRPr="00380F86" w:rsidRDefault="00C85742" w:rsidP="003B057A">
            <w:pPr>
              <w:spacing w:after="60"/>
              <w:jc w:val="right"/>
              <w:rPr>
                <w:sz w:val="18"/>
              </w:rPr>
            </w:pPr>
          </w:p>
        </w:tc>
        <w:tc>
          <w:tcPr>
            <w:tcW w:w="900" w:type="dxa"/>
          </w:tcPr>
          <w:p w:rsidR="00C85742" w:rsidRPr="00380F86" w:rsidRDefault="00C85742" w:rsidP="003B057A">
            <w:pPr>
              <w:spacing w:after="60"/>
              <w:jc w:val="right"/>
              <w:rPr>
                <w:sz w:val="18"/>
              </w:rPr>
            </w:pPr>
          </w:p>
        </w:tc>
        <w:tc>
          <w:tcPr>
            <w:tcW w:w="1080" w:type="dxa"/>
            <w:vAlign w:val="center"/>
          </w:tcPr>
          <w:p w:rsidR="00C85742" w:rsidRPr="00380F86" w:rsidRDefault="00C85742" w:rsidP="003B057A">
            <w:pPr>
              <w:spacing w:after="60"/>
              <w:jc w:val="right"/>
              <w:rPr>
                <w:sz w:val="18"/>
              </w:rPr>
            </w:pPr>
          </w:p>
        </w:tc>
        <w:tc>
          <w:tcPr>
            <w:tcW w:w="1229" w:type="dxa"/>
            <w:vAlign w:val="center"/>
          </w:tcPr>
          <w:p w:rsidR="00C85742" w:rsidRDefault="005073EA" w:rsidP="006A545B">
            <w:pPr>
              <w:spacing w:after="60"/>
              <w:jc w:val="right"/>
              <w:rPr>
                <w:sz w:val="18"/>
                <w:rtl/>
              </w:rPr>
            </w:pPr>
            <w:r>
              <w:rPr>
                <w:sz w:val="20"/>
                <w:rtl/>
                <w:lang w:bidi="ar-EG"/>
              </w:rPr>
              <w:t xml:space="preserve">19.80  </w:t>
            </w:r>
          </w:p>
        </w:tc>
        <w:tc>
          <w:tcPr>
            <w:tcW w:w="767" w:type="dxa"/>
            <w:vAlign w:val="center"/>
          </w:tcPr>
          <w:p w:rsidR="00C85742" w:rsidRPr="00380F86" w:rsidRDefault="00C85742" w:rsidP="003B057A">
            <w:pPr>
              <w:spacing w:after="60"/>
              <w:jc w:val="right"/>
              <w:rPr>
                <w:sz w:val="18"/>
              </w:rPr>
            </w:pPr>
          </w:p>
        </w:tc>
        <w:tc>
          <w:tcPr>
            <w:tcW w:w="907" w:type="dxa"/>
            <w:gridSpan w:val="2"/>
            <w:vAlign w:val="center"/>
          </w:tcPr>
          <w:p w:rsidR="00C85742" w:rsidRPr="00380F86" w:rsidRDefault="00C85742" w:rsidP="003B057A">
            <w:pPr>
              <w:spacing w:after="60"/>
              <w:jc w:val="right"/>
              <w:rPr>
                <w:sz w:val="18"/>
              </w:rPr>
            </w:pPr>
          </w:p>
        </w:tc>
        <w:tc>
          <w:tcPr>
            <w:tcW w:w="787" w:type="dxa"/>
            <w:vAlign w:val="center"/>
          </w:tcPr>
          <w:p w:rsidR="00C85742" w:rsidRPr="00380F86" w:rsidRDefault="00C85742" w:rsidP="003B057A">
            <w:pPr>
              <w:spacing w:after="60"/>
              <w:jc w:val="right"/>
              <w:rPr>
                <w:sz w:val="18"/>
              </w:rPr>
            </w:pPr>
          </w:p>
        </w:tc>
        <w:tc>
          <w:tcPr>
            <w:tcW w:w="1530" w:type="dxa"/>
            <w:vAlign w:val="center"/>
          </w:tcPr>
          <w:p w:rsidR="00C85742" w:rsidRDefault="005073EA" w:rsidP="006A545B">
            <w:pPr>
              <w:spacing w:after="60"/>
              <w:jc w:val="right"/>
              <w:rPr>
                <w:sz w:val="18"/>
                <w:rtl/>
              </w:rPr>
            </w:pPr>
            <w:r>
              <w:rPr>
                <w:sz w:val="20"/>
                <w:rtl/>
                <w:lang w:bidi="ar-EG"/>
              </w:rPr>
              <w:t xml:space="preserve">19.80  </w:t>
            </w:r>
          </w:p>
        </w:tc>
      </w:tr>
    </w:tbl>
    <w:p w:rsidR="002C5ACC" w:rsidRPr="00380F86" w:rsidRDefault="002C5ACC" w:rsidP="002479DD">
      <w:pPr>
        <w:bidi/>
        <w:spacing w:line="120" w:lineRule="auto"/>
        <w:jc w:val="left"/>
        <w:outlineLvl w:val="2"/>
        <w:rPr>
          <w:rtl/>
        </w:rPr>
      </w:pPr>
    </w:p>
    <w:tbl>
      <w:tblPr>
        <w:bidiVisual/>
        <w:tblW w:w="11160" w:type="dxa"/>
        <w:tblInd w:w="-87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0A0" w:firstRow="1" w:lastRow="0" w:firstColumn="1" w:lastColumn="0" w:noHBand="0" w:noVBand="0"/>
      </w:tblPr>
      <w:tblGrid>
        <w:gridCol w:w="6218"/>
        <w:gridCol w:w="674"/>
        <w:gridCol w:w="2938"/>
        <w:gridCol w:w="1330"/>
      </w:tblGrid>
      <w:tr w:rsidR="002C5ACC" w:rsidRPr="00380F86" w:rsidTr="00D30DE6">
        <w:trPr>
          <w:trHeight w:val="240"/>
        </w:trPr>
        <w:tc>
          <w:tcPr>
            <w:tcW w:w="11160" w:type="dxa"/>
            <w:gridSpan w:val="4"/>
          </w:tcPr>
          <w:p w:rsidR="002C5ACC" w:rsidRPr="00380F86" w:rsidRDefault="002C5ACC" w:rsidP="00D736BC">
            <w:pPr>
              <w:bidi/>
              <w:spacing w:after="60"/>
              <w:jc w:val="left"/>
              <w:rPr>
                <w:bCs/>
                <w:sz w:val="18"/>
                <w:rtl/>
                <w:lang w:val="en-CA" w:bidi="ar-EG"/>
              </w:rPr>
            </w:pPr>
            <w:r w:rsidRPr="00380F86">
              <w:rPr>
                <w:bCs/>
                <w:sz w:val="18"/>
                <w:rtl/>
                <w:lang w:val="en-CA" w:bidi="ar-EG"/>
              </w:rPr>
              <w:t>(رابعا) بيانات الاستهلاك (</w:t>
            </w:r>
            <w:r w:rsidR="00D736BC">
              <w:rPr>
                <w:rFonts w:hint="cs"/>
                <w:bCs/>
                <w:sz w:val="18"/>
                <w:rtl/>
                <w:lang w:val="en-CA" w:bidi="ar-EG"/>
              </w:rPr>
              <w:t>أطنان</w:t>
            </w:r>
            <w:r w:rsidRPr="00380F86">
              <w:rPr>
                <w:bCs/>
                <w:sz w:val="18"/>
                <w:rtl/>
                <w:lang w:val="en-CA" w:bidi="ar-EG"/>
              </w:rPr>
              <w:t xml:space="preserve"> من قدرات استنفاد الأوزون)</w:t>
            </w:r>
          </w:p>
        </w:tc>
      </w:tr>
      <w:tr w:rsidR="002C5ACC" w:rsidRPr="00380F86" w:rsidTr="00D30DE6">
        <w:trPr>
          <w:trHeight w:val="240"/>
        </w:trPr>
        <w:tc>
          <w:tcPr>
            <w:tcW w:w="6145" w:type="dxa"/>
          </w:tcPr>
          <w:p w:rsidR="002C5ACC" w:rsidRPr="00380F86" w:rsidRDefault="002C5ACC" w:rsidP="002979FA">
            <w:pPr>
              <w:bidi/>
              <w:spacing w:after="60"/>
              <w:jc w:val="center"/>
              <w:rPr>
                <w:sz w:val="18"/>
                <w:lang w:val="en-CA"/>
              </w:rPr>
            </w:pPr>
            <w:r w:rsidRPr="00380F86">
              <w:rPr>
                <w:sz w:val="18"/>
                <w:rtl/>
                <w:lang w:val="en-CA"/>
              </w:rPr>
              <w:t>خط الأساس 2009</w:t>
            </w:r>
            <w:r w:rsidR="004A051A" w:rsidRPr="00380F86">
              <w:rPr>
                <w:sz w:val="18"/>
                <w:rtl/>
                <w:lang w:val="en-CA"/>
              </w:rPr>
              <w:t xml:space="preserve"> </w:t>
            </w:r>
            <w:r w:rsidRPr="00380F86">
              <w:rPr>
                <w:sz w:val="18"/>
                <w:rtl/>
                <w:lang w:val="en-CA"/>
              </w:rPr>
              <w:t xml:space="preserve">- 2010 </w:t>
            </w:r>
            <w:r w:rsidR="00F67DEC" w:rsidRPr="00380F86">
              <w:rPr>
                <w:sz w:val="18"/>
                <w:rtl/>
                <w:lang w:val="en-CA"/>
              </w:rPr>
              <w:t>:</w:t>
            </w:r>
          </w:p>
        </w:tc>
        <w:tc>
          <w:tcPr>
            <w:tcW w:w="0" w:type="auto"/>
          </w:tcPr>
          <w:p w:rsidR="002C5ACC" w:rsidRPr="00380F86" w:rsidRDefault="009A0EBF" w:rsidP="009A0EBF">
            <w:pPr>
              <w:spacing w:after="60"/>
              <w:jc w:val="right"/>
              <w:rPr>
                <w:sz w:val="18"/>
              </w:rPr>
            </w:pPr>
            <w:r>
              <w:rPr>
                <w:rFonts w:hint="cs"/>
                <w:sz w:val="18"/>
                <w:rtl/>
              </w:rPr>
              <w:t>30</w:t>
            </w:r>
            <w:r w:rsidR="005950E8">
              <w:rPr>
                <w:rFonts w:hint="cs"/>
                <w:sz w:val="18"/>
                <w:rtl/>
              </w:rPr>
              <w:t>.</w:t>
            </w:r>
            <w:r>
              <w:rPr>
                <w:rFonts w:hint="cs"/>
                <w:sz w:val="18"/>
                <w:rtl/>
              </w:rPr>
              <w:t>20</w:t>
            </w:r>
          </w:p>
        </w:tc>
        <w:tc>
          <w:tcPr>
            <w:tcW w:w="0" w:type="auto"/>
          </w:tcPr>
          <w:p w:rsidR="002C5ACC" w:rsidRPr="00380F86" w:rsidRDefault="002C5ACC" w:rsidP="003B057A">
            <w:pPr>
              <w:bidi/>
              <w:spacing w:after="60"/>
              <w:jc w:val="center"/>
              <w:rPr>
                <w:sz w:val="18"/>
                <w:lang w:val="en-US"/>
              </w:rPr>
            </w:pPr>
            <w:r w:rsidRPr="00380F86">
              <w:rPr>
                <w:sz w:val="18"/>
                <w:rtl/>
                <w:lang w:val="en-US"/>
              </w:rPr>
              <w:t xml:space="preserve">نقطة </w:t>
            </w:r>
            <w:r w:rsidR="00785C31" w:rsidRPr="00380F86">
              <w:rPr>
                <w:sz w:val="18"/>
                <w:rtl/>
                <w:lang w:val="en-US"/>
              </w:rPr>
              <w:t>ال</w:t>
            </w:r>
            <w:r w:rsidRPr="00380F86">
              <w:rPr>
                <w:sz w:val="18"/>
                <w:rtl/>
                <w:lang w:val="en-US"/>
              </w:rPr>
              <w:t xml:space="preserve">بداية </w:t>
            </w:r>
            <w:r w:rsidR="0087045F">
              <w:rPr>
                <w:rFonts w:hint="cs"/>
                <w:sz w:val="18"/>
                <w:rtl/>
                <w:lang w:val="en-US"/>
              </w:rPr>
              <w:t>ل</w:t>
            </w:r>
            <w:r w:rsidR="00785C31" w:rsidRPr="00380F86">
              <w:rPr>
                <w:sz w:val="18"/>
                <w:rtl/>
                <w:lang w:val="en-US"/>
              </w:rPr>
              <w:t xml:space="preserve">إجمالي </w:t>
            </w:r>
            <w:r w:rsidRPr="00380F86">
              <w:rPr>
                <w:sz w:val="18"/>
                <w:rtl/>
                <w:lang w:val="en-US"/>
              </w:rPr>
              <w:t>التخفيض</w:t>
            </w:r>
            <w:r w:rsidR="00785C31" w:rsidRPr="00380F86">
              <w:rPr>
                <w:sz w:val="18"/>
                <w:rtl/>
                <w:lang w:val="en-US"/>
              </w:rPr>
              <w:t>ات</w:t>
            </w:r>
            <w:r w:rsidRPr="00380F86">
              <w:rPr>
                <w:sz w:val="18"/>
                <w:rtl/>
                <w:lang w:val="en-US"/>
              </w:rPr>
              <w:t xml:space="preserve"> المستدام</w:t>
            </w:r>
            <w:r w:rsidR="00785C31" w:rsidRPr="00380F86">
              <w:rPr>
                <w:sz w:val="18"/>
                <w:rtl/>
                <w:lang w:val="en-US"/>
              </w:rPr>
              <w:t>ة</w:t>
            </w:r>
            <w:r w:rsidRPr="00380F86">
              <w:rPr>
                <w:sz w:val="18"/>
                <w:rtl/>
                <w:lang w:val="en-US"/>
              </w:rPr>
              <w:t>:</w:t>
            </w:r>
          </w:p>
        </w:tc>
        <w:tc>
          <w:tcPr>
            <w:tcW w:w="1314" w:type="dxa"/>
          </w:tcPr>
          <w:p w:rsidR="009A0EBF" w:rsidRDefault="009A0EBF" w:rsidP="009A0EBF">
            <w:pPr>
              <w:spacing w:after="60"/>
              <w:jc w:val="right"/>
              <w:rPr>
                <w:sz w:val="18"/>
              </w:rPr>
            </w:pPr>
            <w:r>
              <w:rPr>
                <w:rFonts w:hint="cs"/>
                <w:sz w:val="18"/>
                <w:rtl/>
              </w:rPr>
              <w:t>30.20</w:t>
            </w:r>
          </w:p>
          <w:p w:rsidR="002C5ACC" w:rsidRPr="00380F86" w:rsidRDefault="002C5ACC" w:rsidP="006A545B">
            <w:pPr>
              <w:spacing w:after="60"/>
              <w:jc w:val="right"/>
              <w:rPr>
                <w:sz w:val="18"/>
              </w:rPr>
            </w:pPr>
          </w:p>
        </w:tc>
      </w:tr>
      <w:tr w:rsidR="002C5ACC" w:rsidRPr="00380F86" w:rsidTr="00D30DE6">
        <w:trPr>
          <w:trHeight w:val="240"/>
        </w:trPr>
        <w:tc>
          <w:tcPr>
            <w:tcW w:w="11160" w:type="dxa"/>
            <w:gridSpan w:val="4"/>
            <w:vAlign w:val="center"/>
          </w:tcPr>
          <w:p w:rsidR="002C5ACC" w:rsidRPr="00380F86" w:rsidRDefault="002C5ACC" w:rsidP="003B057A">
            <w:pPr>
              <w:bidi/>
              <w:spacing w:after="60"/>
              <w:jc w:val="center"/>
              <w:rPr>
                <w:bCs/>
                <w:sz w:val="18"/>
                <w:rtl/>
                <w:lang w:val="en-US" w:bidi="ar-EG"/>
              </w:rPr>
            </w:pPr>
            <w:r w:rsidRPr="00380F86">
              <w:rPr>
                <w:bCs/>
                <w:sz w:val="18"/>
                <w:rtl/>
                <w:lang w:val="en-US" w:bidi="ar-EG"/>
              </w:rPr>
              <w:t xml:space="preserve">الاستهلاك المؤهل للتمويل </w:t>
            </w:r>
            <w:r w:rsidRPr="00380F86">
              <w:rPr>
                <w:bCs/>
                <w:sz w:val="18"/>
                <w:rtl/>
                <w:lang w:val="en-CA" w:bidi="ar-EG"/>
              </w:rPr>
              <w:t>(أطنان من قدرات استنفاد الأوزون)</w:t>
            </w:r>
          </w:p>
        </w:tc>
      </w:tr>
      <w:tr w:rsidR="002C5ACC" w:rsidRPr="00380F86" w:rsidTr="00D30DE6">
        <w:trPr>
          <w:trHeight w:val="240"/>
        </w:trPr>
        <w:tc>
          <w:tcPr>
            <w:tcW w:w="6145" w:type="dxa"/>
          </w:tcPr>
          <w:p w:rsidR="002C5ACC" w:rsidRPr="00380F86" w:rsidRDefault="00DD0A3B" w:rsidP="003B057A">
            <w:pPr>
              <w:bidi/>
              <w:spacing w:after="60"/>
              <w:jc w:val="center"/>
              <w:rPr>
                <w:sz w:val="18"/>
                <w:rtl/>
                <w:lang w:val="en-CA" w:bidi="ar-EG"/>
              </w:rPr>
            </w:pPr>
            <w:r w:rsidRPr="00380F86">
              <w:rPr>
                <w:sz w:val="18"/>
                <w:rtl/>
                <w:lang w:val="en-CA" w:bidi="ar-EG"/>
              </w:rPr>
              <w:t>المعتمد</w:t>
            </w:r>
            <w:r w:rsidR="002C5ACC" w:rsidRPr="00380F86">
              <w:rPr>
                <w:sz w:val="18"/>
                <w:rtl/>
                <w:lang w:val="en-CA" w:bidi="ar-EG"/>
              </w:rPr>
              <w:t xml:space="preserve"> بالفعل</w:t>
            </w:r>
            <w:r w:rsidR="00785C31" w:rsidRPr="00380F86">
              <w:rPr>
                <w:sz w:val="18"/>
                <w:rtl/>
                <w:lang w:val="en-CA" w:bidi="ar-EG"/>
              </w:rPr>
              <w:t>:</w:t>
            </w:r>
          </w:p>
        </w:tc>
        <w:tc>
          <w:tcPr>
            <w:tcW w:w="0" w:type="auto"/>
          </w:tcPr>
          <w:p w:rsidR="00A542FC" w:rsidRDefault="009A0EBF" w:rsidP="009A0EBF">
            <w:pPr>
              <w:spacing w:after="60"/>
              <w:jc w:val="right"/>
              <w:rPr>
                <w:sz w:val="18"/>
              </w:rPr>
            </w:pPr>
            <w:r>
              <w:rPr>
                <w:rFonts w:hint="cs"/>
                <w:sz w:val="18"/>
                <w:rtl/>
              </w:rPr>
              <w:t>10</w:t>
            </w:r>
            <w:r w:rsidR="00A542FC">
              <w:rPr>
                <w:rFonts w:hint="cs"/>
                <w:sz w:val="18"/>
                <w:rtl/>
              </w:rPr>
              <w:t>.</w:t>
            </w:r>
            <w:r>
              <w:rPr>
                <w:rFonts w:hint="cs"/>
                <w:sz w:val="18"/>
                <w:rtl/>
              </w:rPr>
              <w:t>57</w:t>
            </w:r>
          </w:p>
          <w:p w:rsidR="002C5ACC" w:rsidRPr="00380F86" w:rsidRDefault="002C5ACC" w:rsidP="00222AC2">
            <w:pPr>
              <w:spacing w:after="60"/>
              <w:jc w:val="right"/>
              <w:rPr>
                <w:sz w:val="18"/>
              </w:rPr>
            </w:pPr>
          </w:p>
        </w:tc>
        <w:tc>
          <w:tcPr>
            <w:tcW w:w="0" w:type="auto"/>
          </w:tcPr>
          <w:p w:rsidR="002C5ACC" w:rsidRPr="00380F86" w:rsidRDefault="002C5ACC" w:rsidP="003B057A">
            <w:pPr>
              <w:bidi/>
              <w:spacing w:after="60"/>
              <w:jc w:val="center"/>
              <w:rPr>
                <w:sz w:val="18"/>
                <w:rtl/>
                <w:lang w:val="en-CA" w:bidi="ar-EG"/>
              </w:rPr>
            </w:pPr>
            <w:r w:rsidRPr="00380F86">
              <w:rPr>
                <w:sz w:val="18"/>
                <w:rtl/>
                <w:lang w:val="en-CA" w:bidi="ar-EG"/>
              </w:rPr>
              <w:t>المتبقي</w:t>
            </w:r>
            <w:r w:rsidR="00785C31" w:rsidRPr="00380F86">
              <w:rPr>
                <w:sz w:val="18"/>
                <w:rtl/>
                <w:lang w:val="en-CA" w:bidi="ar-EG"/>
              </w:rPr>
              <w:t>:</w:t>
            </w:r>
          </w:p>
        </w:tc>
        <w:tc>
          <w:tcPr>
            <w:tcW w:w="1314" w:type="dxa"/>
          </w:tcPr>
          <w:p w:rsidR="002C5ACC" w:rsidRPr="00380F86" w:rsidRDefault="009A0EBF" w:rsidP="009A0EBF">
            <w:pPr>
              <w:spacing w:after="60"/>
              <w:jc w:val="center"/>
              <w:rPr>
                <w:sz w:val="18"/>
              </w:rPr>
            </w:pPr>
            <w:r>
              <w:rPr>
                <w:rFonts w:hint="cs"/>
                <w:sz w:val="18"/>
                <w:rtl/>
              </w:rPr>
              <w:t>19</w:t>
            </w:r>
            <w:r w:rsidR="006A545B">
              <w:rPr>
                <w:rFonts w:hint="cs"/>
                <w:sz w:val="18"/>
                <w:rtl/>
              </w:rPr>
              <w:t>.</w:t>
            </w:r>
            <w:r>
              <w:rPr>
                <w:rFonts w:hint="cs"/>
                <w:sz w:val="18"/>
                <w:rtl/>
              </w:rPr>
              <w:t>63</w:t>
            </w:r>
          </w:p>
        </w:tc>
      </w:tr>
    </w:tbl>
    <w:p w:rsidR="00C74329" w:rsidRDefault="00C74329" w:rsidP="002479DD">
      <w:pPr>
        <w:bidi/>
        <w:spacing w:line="120" w:lineRule="auto"/>
        <w:jc w:val="left"/>
        <w:outlineLvl w:val="2"/>
        <w:rPr>
          <w:b/>
          <w:sz w:val="18"/>
          <w:szCs w:val="18"/>
          <w:rtl/>
          <w:lang w:val="en-US" w:bidi="ar-EG"/>
        </w:rPr>
      </w:pPr>
    </w:p>
    <w:p w:rsidR="00C74329" w:rsidRPr="00C74329" w:rsidRDefault="00C74329" w:rsidP="00C74329">
      <w:pPr>
        <w:bidi/>
        <w:spacing w:line="120" w:lineRule="auto"/>
        <w:jc w:val="left"/>
        <w:outlineLvl w:val="2"/>
        <w:rPr>
          <w:b/>
          <w:sz w:val="18"/>
          <w:szCs w:val="18"/>
          <w:rtl/>
          <w:lang w:val="en-US" w:bidi="ar-EG"/>
        </w:rPr>
      </w:pPr>
    </w:p>
    <w:tbl>
      <w:tblPr>
        <w:tblStyle w:val="TableGrid"/>
        <w:bidiVisual/>
        <w:tblW w:w="5827" w:type="pct"/>
        <w:tblInd w:w="-874" w:type="dxa"/>
        <w:tblLook w:val="04A0" w:firstRow="1" w:lastRow="0" w:firstColumn="1" w:lastColumn="0" w:noHBand="0" w:noVBand="1"/>
      </w:tblPr>
      <w:tblGrid>
        <w:gridCol w:w="2034"/>
        <w:gridCol w:w="3890"/>
        <w:gridCol w:w="1134"/>
        <w:gridCol w:w="1665"/>
        <w:gridCol w:w="2437"/>
      </w:tblGrid>
      <w:tr w:rsidR="00B163BF" w:rsidTr="00D30DE6">
        <w:trPr>
          <w:trHeight w:val="240"/>
        </w:trPr>
        <w:tc>
          <w:tcPr>
            <w:tcW w:w="2654" w:type="pct"/>
            <w:gridSpan w:val="2"/>
            <w:tcBorders>
              <w:top w:val="single" w:sz="4" w:space="0" w:color="auto"/>
              <w:left w:val="single" w:sz="4" w:space="0" w:color="auto"/>
              <w:bottom w:val="single" w:sz="4" w:space="0" w:color="auto"/>
              <w:right w:val="single" w:sz="4" w:space="0" w:color="auto"/>
            </w:tcBorders>
            <w:hideMark/>
          </w:tcPr>
          <w:p w:rsidR="00B163BF" w:rsidRDefault="00B163BF" w:rsidP="00A542FC">
            <w:pPr>
              <w:bidi/>
              <w:spacing w:after="60"/>
              <w:jc w:val="left"/>
              <w:rPr>
                <w:b/>
                <w:sz w:val="18"/>
                <w:szCs w:val="22"/>
                <w:lang w:val="en-US"/>
              </w:rPr>
            </w:pPr>
            <w:r>
              <w:rPr>
                <w:rFonts w:hint="cs"/>
                <w:bCs/>
                <w:sz w:val="20"/>
                <w:rtl/>
              </w:rPr>
              <w:t>(خامسا) خطة الأعمال</w:t>
            </w:r>
          </w:p>
        </w:tc>
        <w:tc>
          <w:tcPr>
            <w:tcW w:w="508"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center"/>
              <w:rPr>
                <w:b/>
                <w:sz w:val="18"/>
                <w:szCs w:val="22"/>
                <w:lang w:val="en-CA"/>
              </w:rPr>
            </w:pPr>
            <w:r>
              <w:rPr>
                <w:b/>
                <w:sz w:val="18"/>
                <w:lang w:val="en-CA"/>
              </w:rPr>
              <w:t>2019</w:t>
            </w:r>
          </w:p>
        </w:tc>
        <w:tc>
          <w:tcPr>
            <w:tcW w:w="746"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center"/>
              <w:rPr>
                <w:b/>
                <w:sz w:val="18"/>
                <w:szCs w:val="22"/>
                <w:lang w:val="en-CA"/>
              </w:rPr>
            </w:pPr>
            <w:r>
              <w:rPr>
                <w:b/>
                <w:sz w:val="18"/>
                <w:lang w:val="en-CA"/>
              </w:rPr>
              <w:t>2020</w:t>
            </w:r>
          </w:p>
        </w:tc>
        <w:tc>
          <w:tcPr>
            <w:tcW w:w="1093" w:type="pct"/>
            <w:tcBorders>
              <w:top w:val="single" w:sz="4" w:space="0" w:color="auto"/>
              <w:left w:val="single" w:sz="4" w:space="0" w:color="auto"/>
              <w:bottom w:val="single" w:sz="4" w:space="0" w:color="auto"/>
              <w:right w:val="single" w:sz="4" w:space="0" w:color="auto"/>
            </w:tcBorders>
            <w:hideMark/>
          </w:tcPr>
          <w:p w:rsidR="00B163BF" w:rsidRPr="00B163BF" w:rsidRDefault="00B163BF">
            <w:pPr>
              <w:spacing w:after="60"/>
              <w:jc w:val="center"/>
              <w:rPr>
                <w:bCs/>
                <w:sz w:val="18"/>
                <w:szCs w:val="22"/>
                <w:lang w:val="en-CA"/>
              </w:rPr>
            </w:pPr>
            <w:r w:rsidRPr="00B163BF">
              <w:rPr>
                <w:rFonts w:hint="cs"/>
                <w:bCs/>
                <w:sz w:val="18"/>
                <w:rtl/>
                <w:lang w:val="en-CA"/>
              </w:rPr>
              <w:t>المجموع</w:t>
            </w:r>
          </w:p>
        </w:tc>
      </w:tr>
      <w:tr w:rsidR="00B163BF" w:rsidTr="00D30DE6">
        <w:trPr>
          <w:trHeight w:val="240"/>
        </w:trPr>
        <w:tc>
          <w:tcPr>
            <w:tcW w:w="911" w:type="pct"/>
            <w:vMerge w:val="restart"/>
            <w:tcBorders>
              <w:top w:val="single" w:sz="4" w:space="0" w:color="auto"/>
              <w:left w:val="single" w:sz="4" w:space="0" w:color="auto"/>
              <w:bottom w:val="single" w:sz="4" w:space="0" w:color="auto"/>
              <w:right w:val="single" w:sz="4" w:space="0" w:color="auto"/>
            </w:tcBorders>
            <w:hideMark/>
          </w:tcPr>
          <w:p w:rsidR="00B163BF" w:rsidRDefault="00B163BF">
            <w:pPr>
              <w:spacing w:after="60"/>
              <w:jc w:val="center"/>
              <w:rPr>
                <w:sz w:val="18"/>
                <w:szCs w:val="22"/>
                <w:lang w:val="en-US"/>
              </w:rPr>
            </w:pPr>
            <w:r>
              <w:rPr>
                <w:rFonts w:hint="cs"/>
                <w:sz w:val="18"/>
                <w:rtl/>
                <w:lang w:val="en-US"/>
              </w:rPr>
              <w:t>يونيب</w:t>
            </w:r>
          </w:p>
        </w:tc>
        <w:tc>
          <w:tcPr>
            <w:tcW w:w="1743" w:type="pct"/>
            <w:tcBorders>
              <w:top w:val="single" w:sz="4" w:space="0" w:color="auto"/>
              <w:left w:val="single" w:sz="4" w:space="0" w:color="auto"/>
              <w:bottom w:val="single" w:sz="4" w:space="0" w:color="auto"/>
              <w:right w:val="single" w:sz="4" w:space="0" w:color="auto"/>
            </w:tcBorders>
            <w:hideMark/>
          </w:tcPr>
          <w:p w:rsidR="00B163BF" w:rsidRDefault="00B163BF">
            <w:pPr>
              <w:bidi/>
              <w:spacing w:after="60"/>
              <w:rPr>
                <w:sz w:val="20"/>
                <w:lang w:val="en-US"/>
              </w:rPr>
            </w:pPr>
            <w:r>
              <w:rPr>
                <w:rFonts w:hint="cs"/>
                <w:sz w:val="20"/>
                <w:rtl/>
                <w:lang w:val="en-US"/>
              </w:rPr>
              <w:t>إزالة المواد المستنفدة للأوزون (أطنان من قدرات استنفاد الأوزون)</w:t>
            </w:r>
          </w:p>
        </w:tc>
        <w:tc>
          <w:tcPr>
            <w:tcW w:w="508"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right"/>
              <w:rPr>
                <w:sz w:val="18"/>
                <w:szCs w:val="22"/>
                <w:lang w:val="en-CA"/>
              </w:rPr>
            </w:pPr>
            <w:r>
              <w:rPr>
                <w:rFonts w:hint="cs"/>
                <w:sz w:val="18"/>
                <w:rtl/>
                <w:lang w:val="en-CA"/>
              </w:rPr>
              <w:t>0.98</w:t>
            </w:r>
          </w:p>
        </w:tc>
        <w:tc>
          <w:tcPr>
            <w:tcW w:w="746"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right"/>
              <w:rPr>
                <w:sz w:val="18"/>
                <w:szCs w:val="22"/>
                <w:lang w:val="en-CA"/>
              </w:rPr>
            </w:pPr>
            <w:r>
              <w:rPr>
                <w:sz w:val="18"/>
                <w:lang w:val="en-CA"/>
              </w:rPr>
              <w:t>1.06</w:t>
            </w:r>
          </w:p>
        </w:tc>
        <w:tc>
          <w:tcPr>
            <w:tcW w:w="1093"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right"/>
              <w:rPr>
                <w:sz w:val="18"/>
                <w:szCs w:val="22"/>
                <w:lang w:val="en-CA"/>
              </w:rPr>
            </w:pPr>
            <w:r>
              <w:rPr>
                <w:sz w:val="18"/>
                <w:lang w:val="en-CA"/>
              </w:rPr>
              <w:t>2.04</w:t>
            </w:r>
          </w:p>
        </w:tc>
      </w:tr>
      <w:tr w:rsidR="00B163BF" w:rsidTr="00D30DE6">
        <w:trPr>
          <w:trHeight w:val="240"/>
        </w:trPr>
        <w:tc>
          <w:tcPr>
            <w:tcW w:w="911" w:type="pct"/>
            <w:vMerge/>
            <w:tcBorders>
              <w:top w:val="single" w:sz="4" w:space="0" w:color="auto"/>
              <w:left w:val="single" w:sz="4" w:space="0" w:color="auto"/>
              <w:bottom w:val="single" w:sz="4" w:space="0" w:color="auto"/>
              <w:right w:val="single" w:sz="4" w:space="0" w:color="auto"/>
            </w:tcBorders>
            <w:vAlign w:val="center"/>
            <w:hideMark/>
          </w:tcPr>
          <w:p w:rsidR="00B163BF" w:rsidRDefault="00B163BF">
            <w:pPr>
              <w:jc w:val="left"/>
              <w:rPr>
                <w:sz w:val="18"/>
                <w:szCs w:val="22"/>
                <w:lang w:val="en-US"/>
              </w:rPr>
            </w:pPr>
          </w:p>
        </w:tc>
        <w:tc>
          <w:tcPr>
            <w:tcW w:w="1743" w:type="pct"/>
            <w:tcBorders>
              <w:top w:val="single" w:sz="4" w:space="0" w:color="auto"/>
              <w:left w:val="single" w:sz="4" w:space="0" w:color="auto"/>
              <w:bottom w:val="single" w:sz="4" w:space="0" w:color="auto"/>
              <w:right w:val="single" w:sz="4" w:space="0" w:color="auto"/>
            </w:tcBorders>
            <w:hideMark/>
          </w:tcPr>
          <w:p w:rsidR="00B163BF" w:rsidRDefault="00B163BF">
            <w:pPr>
              <w:bidi/>
              <w:spacing w:after="60"/>
              <w:rPr>
                <w:sz w:val="20"/>
              </w:rPr>
            </w:pPr>
            <w:r>
              <w:rPr>
                <w:rFonts w:hint="cs"/>
                <w:sz w:val="20"/>
                <w:rtl/>
              </w:rPr>
              <w:t>التمويل (دولار أمريكي)</w:t>
            </w:r>
          </w:p>
        </w:tc>
        <w:tc>
          <w:tcPr>
            <w:tcW w:w="508"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right"/>
              <w:rPr>
                <w:sz w:val="18"/>
                <w:szCs w:val="22"/>
                <w:lang w:val="en-CA"/>
              </w:rPr>
            </w:pPr>
            <w:r>
              <w:rPr>
                <w:rFonts w:hint="cs"/>
                <w:sz w:val="18"/>
                <w:rtl/>
                <w:lang w:val="en-CA"/>
              </w:rPr>
              <w:t>56.500</w:t>
            </w:r>
          </w:p>
        </w:tc>
        <w:tc>
          <w:tcPr>
            <w:tcW w:w="746"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right"/>
              <w:rPr>
                <w:sz w:val="18"/>
                <w:szCs w:val="22"/>
                <w:lang w:val="en-CA"/>
              </w:rPr>
            </w:pPr>
            <w:r>
              <w:rPr>
                <w:sz w:val="18"/>
                <w:lang w:val="en-CA"/>
              </w:rPr>
              <w:t>61,020</w:t>
            </w:r>
          </w:p>
        </w:tc>
        <w:tc>
          <w:tcPr>
            <w:tcW w:w="1093" w:type="pct"/>
            <w:tcBorders>
              <w:top w:val="single" w:sz="4" w:space="0" w:color="auto"/>
              <w:left w:val="single" w:sz="4" w:space="0" w:color="auto"/>
              <w:bottom w:val="single" w:sz="4" w:space="0" w:color="auto"/>
              <w:right w:val="single" w:sz="4" w:space="0" w:color="auto"/>
            </w:tcBorders>
            <w:hideMark/>
          </w:tcPr>
          <w:p w:rsidR="00B163BF" w:rsidRDefault="00B163BF">
            <w:pPr>
              <w:spacing w:after="60"/>
              <w:jc w:val="right"/>
              <w:rPr>
                <w:sz w:val="18"/>
                <w:szCs w:val="22"/>
                <w:lang w:val="en-CA"/>
              </w:rPr>
            </w:pPr>
            <w:r>
              <w:rPr>
                <w:sz w:val="18"/>
                <w:lang w:val="en-CA"/>
              </w:rPr>
              <w:t>117,520</w:t>
            </w:r>
          </w:p>
        </w:tc>
      </w:tr>
    </w:tbl>
    <w:p w:rsidR="001979E0" w:rsidRPr="00D30DE6" w:rsidRDefault="001979E0" w:rsidP="00C74329">
      <w:pPr>
        <w:bidi/>
        <w:jc w:val="left"/>
        <w:rPr>
          <w:bCs/>
          <w:sz w:val="4"/>
          <w:szCs w:val="4"/>
          <w:rtl/>
          <w:lang w:val="en-US" w:bidi="ar-EG"/>
        </w:rPr>
      </w:pPr>
    </w:p>
    <w:tbl>
      <w:tblPr>
        <w:tblStyle w:val="TableGrid"/>
        <w:tblpPr w:leftFromText="180" w:rightFromText="180" w:vertAnchor="text" w:horzAnchor="margin" w:tblpXSpec="center" w:tblpY="154"/>
        <w:bidiVisual/>
        <w:tblW w:w="1124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62"/>
        <w:gridCol w:w="603"/>
        <w:gridCol w:w="1311"/>
        <w:gridCol w:w="806"/>
        <w:gridCol w:w="580"/>
        <w:gridCol w:w="580"/>
        <w:gridCol w:w="716"/>
        <w:gridCol w:w="627"/>
        <w:gridCol w:w="626"/>
        <w:gridCol w:w="807"/>
        <w:gridCol w:w="807"/>
        <w:gridCol w:w="716"/>
        <w:gridCol w:w="777"/>
        <w:gridCol w:w="716"/>
        <w:gridCol w:w="807"/>
      </w:tblGrid>
      <w:tr w:rsidR="00661EC5" w:rsidTr="00D30DE6">
        <w:trPr>
          <w:trHeight w:val="264"/>
          <w:jc w:val="center"/>
        </w:trPr>
        <w:tc>
          <w:tcPr>
            <w:tcW w:w="2676" w:type="dxa"/>
            <w:gridSpan w:val="3"/>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b/>
                <w:sz w:val="21"/>
                <w:szCs w:val="21"/>
                <w:lang w:val="en-CA"/>
              </w:rPr>
            </w:pPr>
            <w:r>
              <w:rPr>
                <w:rFonts w:hint="cs"/>
                <w:bCs/>
                <w:sz w:val="18"/>
                <w:szCs w:val="18"/>
                <w:rtl/>
              </w:rPr>
              <w:t>(</w:t>
            </w:r>
            <w:r>
              <w:rPr>
                <w:rFonts w:hint="cs"/>
                <w:bCs/>
                <w:sz w:val="20"/>
                <w:rtl/>
              </w:rPr>
              <w:t>سادسا) بيانات المشروع</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2011</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2012</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2013</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2014</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2015</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2016</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2017</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2018</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2019</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
                <w:sz w:val="18"/>
                <w:lang w:val="en-CA"/>
              </w:rPr>
              <w:t>2020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center"/>
              <w:rPr>
                <w:b/>
                <w:sz w:val="18"/>
                <w:szCs w:val="22"/>
                <w:lang w:val="en-CA"/>
              </w:rPr>
            </w:pPr>
            <w:r>
              <w:rPr>
                <w:bCs/>
                <w:sz w:val="21"/>
                <w:szCs w:val="21"/>
                <w:rtl/>
                <w:lang w:val="en-CA"/>
              </w:rPr>
              <w:t>المجموع</w:t>
            </w:r>
          </w:p>
        </w:tc>
      </w:tr>
      <w:tr w:rsidR="00661EC5" w:rsidTr="00D30DE6">
        <w:trPr>
          <w:trHeight w:val="479"/>
          <w:jc w:val="center"/>
        </w:trPr>
        <w:tc>
          <w:tcPr>
            <w:tcW w:w="2676" w:type="dxa"/>
            <w:gridSpan w:val="3"/>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CA"/>
              </w:rPr>
            </w:pPr>
            <w:r>
              <w:rPr>
                <w:rFonts w:hint="cs"/>
                <w:sz w:val="20"/>
                <w:rtl/>
              </w:rPr>
              <w:t>حدود استهلاك بروتوكول مونتريال</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keepNext/>
              <w:keepLines/>
              <w:jc w:val="right"/>
              <w:rPr>
                <w:color w:val="000000"/>
                <w:sz w:val="21"/>
                <w:szCs w:val="21"/>
                <w:lang w:eastAsia="en-CA"/>
              </w:rPr>
            </w:pPr>
            <w:r>
              <w:rPr>
                <w:rFonts w:hint="cs"/>
                <w:color w:val="000000"/>
                <w:sz w:val="21"/>
                <w:szCs w:val="21"/>
                <w:rtl/>
                <w:lang w:eastAsia="en-CA"/>
              </w:rPr>
              <w:t>غير متاح</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keepNext/>
              <w:keepLines/>
              <w:jc w:val="right"/>
              <w:rPr>
                <w:color w:val="000000"/>
                <w:sz w:val="21"/>
                <w:szCs w:val="21"/>
                <w:lang w:eastAsia="en-CA"/>
              </w:rPr>
            </w:pPr>
            <w:r>
              <w:rPr>
                <w:rFonts w:hint="cs"/>
                <w:color w:val="000000"/>
                <w:sz w:val="21"/>
                <w:szCs w:val="21"/>
                <w:rtl/>
                <w:lang w:eastAsia="en-CA"/>
              </w:rPr>
              <w:t>غير متاح</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n/a</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30.20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30.20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19.63</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keepNext/>
              <w:keepLines/>
              <w:jc w:val="right"/>
              <w:rPr>
                <w:color w:val="000000"/>
                <w:sz w:val="21"/>
                <w:szCs w:val="21"/>
                <w:lang w:eastAsia="en-CA"/>
              </w:rPr>
            </w:pPr>
            <w:r>
              <w:rPr>
                <w:rFonts w:hint="cs"/>
                <w:color w:val="000000"/>
                <w:sz w:val="21"/>
                <w:szCs w:val="21"/>
                <w:rtl/>
                <w:lang w:eastAsia="en-CA"/>
              </w:rPr>
              <w:t>غير متاح</w:t>
            </w:r>
          </w:p>
        </w:tc>
      </w:tr>
      <w:tr w:rsidR="00661EC5" w:rsidTr="00D30DE6">
        <w:trPr>
          <w:trHeight w:val="466"/>
          <w:jc w:val="center"/>
        </w:trPr>
        <w:tc>
          <w:tcPr>
            <w:tcW w:w="2676" w:type="dxa"/>
            <w:gridSpan w:val="3"/>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rPr>
            </w:pPr>
            <w:r>
              <w:rPr>
                <w:rFonts w:hint="cs"/>
                <w:sz w:val="20"/>
                <w:rtl/>
              </w:rPr>
              <w:t xml:space="preserve">الحد الأقصى للاستهلاك المسموح به </w:t>
            </w:r>
            <w:r>
              <w:rPr>
                <w:rFonts w:hint="cs"/>
                <w:sz w:val="20"/>
                <w:rtl/>
                <w:lang w:val="en-US"/>
              </w:rPr>
              <w:t>(أطنان من قدرات استنفاد الأوزون)</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keepNext/>
              <w:keepLines/>
              <w:jc w:val="right"/>
              <w:rPr>
                <w:color w:val="000000"/>
                <w:sz w:val="21"/>
                <w:szCs w:val="21"/>
                <w:lang w:eastAsia="en-CA"/>
              </w:rPr>
            </w:pPr>
            <w:r>
              <w:rPr>
                <w:rFonts w:hint="cs"/>
                <w:color w:val="000000"/>
                <w:sz w:val="21"/>
                <w:szCs w:val="21"/>
                <w:rtl/>
                <w:lang w:eastAsia="en-CA"/>
              </w:rPr>
              <w:t>غير متاح</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keepNext/>
              <w:keepLines/>
              <w:jc w:val="right"/>
              <w:rPr>
                <w:color w:val="000000"/>
                <w:sz w:val="21"/>
                <w:szCs w:val="21"/>
                <w:lang w:eastAsia="en-CA"/>
              </w:rPr>
            </w:pPr>
            <w:r>
              <w:rPr>
                <w:rFonts w:hint="cs"/>
                <w:color w:val="000000"/>
                <w:sz w:val="21"/>
                <w:szCs w:val="21"/>
                <w:rtl/>
                <w:lang w:eastAsia="en-CA"/>
              </w:rPr>
              <w:t>غير متاح</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n/a</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30.20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30.20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27.18</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19.63</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keepNext/>
              <w:keepLines/>
              <w:jc w:val="right"/>
              <w:rPr>
                <w:color w:val="000000"/>
                <w:sz w:val="21"/>
                <w:szCs w:val="21"/>
                <w:lang w:eastAsia="en-CA"/>
              </w:rPr>
            </w:pPr>
            <w:r>
              <w:rPr>
                <w:rFonts w:hint="cs"/>
                <w:color w:val="000000"/>
                <w:sz w:val="21"/>
                <w:szCs w:val="21"/>
                <w:rtl/>
                <w:lang w:eastAsia="en-CA"/>
              </w:rPr>
              <w:t>غير متاح</w:t>
            </w:r>
          </w:p>
        </w:tc>
      </w:tr>
      <w:tr w:rsidR="00661EC5" w:rsidTr="00D30DE6">
        <w:trPr>
          <w:trHeight w:val="275"/>
          <w:jc w:val="center"/>
        </w:trPr>
        <w:tc>
          <w:tcPr>
            <w:tcW w:w="762" w:type="dxa"/>
            <w:vMerge w:val="restart"/>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rtl/>
                <w:lang w:val="en-US"/>
              </w:rPr>
            </w:pPr>
            <w:r>
              <w:rPr>
                <w:rFonts w:hint="cs"/>
                <w:sz w:val="20"/>
                <w:rtl/>
              </w:rPr>
              <w:t xml:space="preserve">التمويل </w:t>
            </w:r>
            <w:r>
              <w:rPr>
                <w:rFonts w:hint="cs"/>
                <w:sz w:val="20"/>
                <w:rtl/>
                <w:lang w:val="en-US"/>
              </w:rPr>
              <w:t>الموافق عليه</w:t>
            </w:r>
          </w:p>
          <w:p w:rsidR="00661EC5" w:rsidRDefault="00661EC5" w:rsidP="009D38EE">
            <w:pPr>
              <w:bidi/>
              <w:spacing w:after="60"/>
              <w:jc w:val="left"/>
              <w:rPr>
                <w:sz w:val="18"/>
                <w:szCs w:val="22"/>
                <w:lang w:val="en-CA"/>
              </w:rPr>
            </w:pPr>
            <w:r>
              <w:rPr>
                <w:rFonts w:hint="cs"/>
                <w:sz w:val="20"/>
                <w:rtl/>
              </w:rPr>
              <w:t>(دولار أمريكي</w:t>
            </w:r>
          </w:p>
        </w:tc>
        <w:tc>
          <w:tcPr>
            <w:tcW w:w="603" w:type="dxa"/>
            <w:vMerge w:val="restart"/>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center"/>
              <w:rPr>
                <w:sz w:val="18"/>
                <w:szCs w:val="22"/>
                <w:lang w:val="en-CA"/>
              </w:rPr>
            </w:pPr>
            <w:r>
              <w:rPr>
                <w:rFonts w:hint="cs"/>
                <w:sz w:val="18"/>
                <w:rtl/>
                <w:lang w:val="en-CA"/>
              </w:rPr>
              <w:t>يونيب</w:t>
            </w: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المشروع</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90,000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46,000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50,100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50,000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54,000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290,100</w:t>
            </w:r>
          </w:p>
        </w:tc>
      </w:tr>
      <w:tr w:rsidR="00661EC5" w:rsidTr="00D30DE6">
        <w:trPr>
          <w:trHeight w:val="320"/>
          <w:jc w:val="center"/>
        </w:trPr>
        <w:tc>
          <w:tcPr>
            <w:tcW w:w="762" w:type="dxa"/>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603" w:type="dxa"/>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الدعم</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11,700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5,980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6,513</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6,500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7,020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37,713</w:t>
            </w:r>
          </w:p>
        </w:tc>
      </w:tr>
      <w:tr w:rsidR="00661EC5" w:rsidTr="00D30DE6">
        <w:trPr>
          <w:trHeight w:val="479"/>
          <w:jc w:val="center"/>
        </w:trPr>
        <w:tc>
          <w:tcPr>
            <w:tcW w:w="762" w:type="dxa"/>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603" w:type="dxa"/>
            <w:vMerge w:val="restart"/>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center"/>
              <w:rPr>
                <w:sz w:val="18"/>
                <w:szCs w:val="22"/>
                <w:lang w:val="en-CA"/>
              </w:rPr>
            </w:pPr>
            <w:r>
              <w:rPr>
                <w:rFonts w:hint="cs"/>
                <w:sz w:val="18"/>
                <w:rtl/>
                <w:lang w:val="en-CA"/>
              </w:rPr>
              <w:t>يونيدو</w:t>
            </w: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المشروع</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130,000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119,900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highlight w:val="yellow"/>
                <w:lang w:val="en-CA"/>
              </w:rPr>
            </w:pPr>
            <w:r>
              <w:rPr>
                <w:sz w:val="18"/>
                <w:lang w:val="en-CA"/>
              </w:rPr>
              <w:t>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249,900</w:t>
            </w:r>
          </w:p>
        </w:tc>
      </w:tr>
      <w:tr w:rsidR="00661EC5" w:rsidTr="00D30DE6">
        <w:trPr>
          <w:trHeight w:val="320"/>
          <w:jc w:val="center"/>
        </w:trPr>
        <w:tc>
          <w:tcPr>
            <w:tcW w:w="762" w:type="dxa"/>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603" w:type="dxa"/>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الدعم</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11,700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10,791</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highlight w:val="yellow"/>
                <w:lang w:val="en-CA"/>
              </w:rPr>
            </w:pPr>
            <w:r>
              <w:rPr>
                <w:sz w:val="18"/>
                <w:lang w:val="en-CA"/>
              </w:rPr>
              <w:t>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22,491</w:t>
            </w:r>
          </w:p>
        </w:tc>
      </w:tr>
      <w:tr w:rsidR="00661EC5" w:rsidTr="00D30DE6">
        <w:trPr>
          <w:trHeight w:val="479"/>
          <w:jc w:val="center"/>
        </w:trPr>
        <w:tc>
          <w:tcPr>
            <w:tcW w:w="1365" w:type="dxa"/>
            <w:gridSpan w:val="2"/>
            <w:vMerge w:val="restart"/>
            <w:tcBorders>
              <w:top w:val="single" w:sz="4" w:space="0" w:color="666699"/>
              <w:left w:val="single" w:sz="4" w:space="0" w:color="666699"/>
              <w:bottom w:val="single" w:sz="4" w:space="0" w:color="666699"/>
              <w:right w:val="single" w:sz="4" w:space="0" w:color="666699"/>
            </w:tcBorders>
            <w:hideMark/>
          </w:tcPr>
          <w:p w:rsidR="00661EC5" w:rsidRPr="009D38EE" w:rsidRDefault="00661EC5" w:rsidP="009D38EE">
            <w:pPr>
              <w:bidi/>
              <w:spacing w:after="60"/>
              <w:jc w:val="left"/>
              <w:rPr>
                <w:b/>
                <w:sz w:val="20"/>
                <w:lang w:val="en-US"/>
              </w:rPr>
            </w:pPr>
            <w:r w:rsidRPr="00D30DE6">
              <w:rPr>
                <w:rFonts w:hint="cs"/>
                <w:sz w:val="18"/>
                <w:szCs w:val="18"/>
                <w:rtl/>
                <w:lang w:val="en-US"/>
              </w:rPr>
              <w:t>الأموال التى وافقت عليها اللجنة التنفيذية (دولار أمريكي)</w:t>
            </w: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المشروع</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220,000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46,000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170,000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highlight w:val="yellow"/>
                <w:lang w:val="en-CA"/>
              </w:rPr>
            </w:pPr>
            <w:r>
              <w:rPr>
                <w:sz w:val="18"/>
                <w:lang w:val="en-CA"/>
              </w:rPr>
              <w:t>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436,000</w:t>
            </w:r>
          </w:p>
        </w:tc>
      </w:tr>
      <w:tr w:rsidR="00661EC5" w:rsidTr="00D30DE6">
        <w:trPr>
          <w:trHeight w:val="227"/>
          <w:jc w:val="center"/>
        </w:trPr>
        <w:tc>
          <w:tcPr>
            <w:tcW w:w="1365" w:type="dxa"/>
            <w:gridSpan w:val="2"/>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الدعم</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23,400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5,980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17,304</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highlight w:val="yellow"/>
                <w:lang w:val="en-CA"/>
              </w:rPr>
            </w:pPr>
            <w:r>
              <w:rPr>
                <w:sz w:val="18"/>
                <w:lang w:val="en-CA"/>
              </w:rPr>
              <w:t>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46,684</w:t>
            </w:r>
          </w:p>
        </w:tc>
      </w:tr>
      <w:tr w:rsidR="00661EC5" w:rsidTr="00D30DE6">
        <w:trPr>
          <w:trHeight w:val="479"/>
          <w:jc w:val="center"/>
        </w:trPr>
        <w:tc>
          <w:tcPr>
            <w:tcW w:w="1365" w:type="dxa"/>
            <w:gridSpan w:val="2"/>
            <w:vMerge w:val="restart"/>
            <w:tcBorders>
              <w:top w:val="single" w:sz="4" w:space="0" w:color="666699"/>
              <w:left w:val="single" w:sz="4" w:space="0" w:color="666699"/>
              <w:bottom w:val="single" w:sz="4" w:space="0" w:color="666699"/>
              <w:right w:val="single" w:sz="4" w:space="0" w:color="666699"/>
            </w:tcBorders>
            <w:hideMark/>
          </w:tcPr>
          <w:p w:rsidR="00661EC5" w:rsidRPr="00D30DE6" w:rsidRDefault="00661EC5" w:rsidP="00D30DE6">
            <w:pPr>
              <w:bidi/>
              <w:spacing w:after="60"/>
              <w:jc w:val="left"/>
              <w:rPr>
                <w:b/>
                <w:sz w:val="20"/>
                <w:lang w:val="en-US"/>
              </w:rPr>
            </w:pPr>
            <w:r w:rsidRPr="00D30DE6">
              <w:rPr>
                <w:rFonts w:hint="cs"/>
                <w:sz w:val="18"/>
                <w:szCs w:val="18"/>
                <w:rtl/>
                <w:lang w:val="en-US"/>
              </w:rPr>
              <w:t>مجموع الأموال المطلوبة للموافقة عليها في هذا الاجتماع (دولار أمريكي)</w:t>
            </w: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المشروع</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7" w:type="dxa"/>
            <w:tcBorders>
              <w:top w:val="single" w:sz="4" w:space="0" w:color="666699"/>
              <w:left w:val="single" w:sz="4" w:space="0" w:color="666699"/>
              <w:bottom w:val="single" w:sz="4" w:space="0" w:color="666699"/>
              <w:right w:val="single" w:sz="4" w:space="0" w:color="666699"/>
            </w:tcBorders>
          </w:tcPr>
          <w:p w:rsidR="00661EC5" w:rsidRDefault="00661EC5" w:rsidP="009D38EE">
            <w:pPr>
              <w:spacing w:after="60"/>
              <w:jc w:val="right"/>
              <w:rPr>
                <w:sz w:val="18"/>
                <w:szCs w:val="22"/>
                <w:lang w:val="en-CA"/>
              </w:rPr>
            </w:pP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highlight w:val="yellow"/>
                <w:lang w:val="en-CA"/>
              </w:rPr>
            </w:pPr>
            <w:r>
              <w:rPr>
                <w:sz w:val="18"/>
                <w:lang w:val="en-CA"/>
              </w:rPr>
              <w:t>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b/>
                <w:sz w:val="18"/>
                <w:szCs w:val="22"/>
                <w:lang w:val="en-CA"/>
              </w:rPr>
            </w:pPr>
            <w:r>
              <w:rPr>
                <w:b/>
                <w:sz w:val="18"/>
                <w:lang w:val="en-CA"/>
              </w:rPr>
              <w:t>50,000</w:t>
            </w:r>
            <w:r>
              <w:rPr>
                <w:b/>
                <w:sz w:val="18"/>
                <w:vertAlign w:val="superscript"/>
                <w:lang w:val="en-CA"/>
              </w:rPr>
              <w:t>*</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50,000</w:t>
            </w:r>
          </w:p>
        </w:tc>
      </w:tr>
      <w:tr w:rsidR="00661EC5" w:rsidTr="00D30DE6">
        <w:trPr>
          <w:trHeight w:val="425"/>
          <w:jc w:val="center"/>
        </w:trPr>
        <w:tc>
          <w:tcPr>
            <w:tcW w:w="1365" w:type="dxa"/>
            <w:gridSpan w:val="2"/>
            <w:vMerge/>
            <w:tcBorders>
              <w:top w:val="single" w:sz="4" w:space="0" w:color="666699"/>
              <w:left w:val="single" w:sz="4" w:space="0" w:color="666699"/>
              <w:bottom w:val="single" w:sz="4" w:space="0" w:color="666699"/>
              <w:right w:val="single" w:sz="4" w:space="0" w:color="666699"/>
            </w:tcBorders>
            <w:vAlign w:val="center"/>
            <w:hideMark/>
          </w:tcPr>
          <w:p w:rsidR="00661EC5" w:rsidRDefault="00661EC5" w:rsidP="009D38EE">
            <w:pPr>
              <w:bidi/>
              <w:jc w:val="left"/>
              <w:rPr>
                <w:sz w:val="18"/>
                <w:szCs w:val="22"/>
                <w:lang w:val="en-CA"/>
              </w:rPr>
            </w:pPr>
          </w:p>
        </w:tc>
        <w:tc>
          <w:tcPr>
            <w:tcW w:w="1311"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bidi/>
              <w:spacing w:after="60"/>
              <w:jc w:val="left"/>
              <w:rPr>
                <w:sz w:val="20"/>
                <w:lang w:val="en-US"/>
              </w:rPr>
            </w:pPr>
            <w:r>
              <w:rPr>
                <w:rFonts w:hint="cs"/>
                <w:sz w:val="20"/>
                <w:rtl/>
              </w:rPr>
              <w:t>تكاليف الدعم</w:t>
            </w:r>
          </w:p>
        </w:tc>
        <w:tc>
          <w:tcPr>
            <w:tcW w:w="80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580"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62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highlight w:val="yellow"/>
                <w:lang w:val="en-CA"/>
              </w:rPr>
            </w:pPr>
            <w:r>
              <w:rPr>
                <w:sz w:val="18"/>
                <w:lang w:val="en-CA"/>
              </w:rPr>
              <w:t>0</w:t>
            </w:r>
          </w:p>
        </w:tc>
        <w:tc>
          <w:tcPr>
            <w:tcW w:w="77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b/>
                <w:sz w:val="18"/>
                <w:szCs w:val="22"/>
                <w:lang w:val="en-CA"/>
              </w:rPr>
            </w:pPr>
            <w:r>
              <w:rPr>
                <w:b/>
                <w:sz w:val="18"/>
                <w:lang w:val="en-CA"/>
              </w:rPr>
              <w:t>6,500</w:t>
            </w:r>
            <w:r>
              <w:rPr>
                <w:b/>
                <w:sz w:val="18"/>
                <w:vertAlign w:val="superscript"/>
                <w:lang w:val="en-CA"/>
              </w:rPr>
              <w:t>*</w:t>
            </w:r>
          </w:p>
        </w:tc>
        <w:tc>
          <w:tcPr>
            <w:tcW w:w="716"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0</w:t>
            </w:r>
          </w:p>
        </w:tc>
        <w:tc>
          <w:tcPr>
            <w:tcW w:w="807" w:type="dxa"/>
            <w:tcBorders>
              <w:top w:val="single" w:sz="4" w:space="0" w:color="666699"/>
              <w:left w:val="single" w:sz="4" w:space="0" w:color="666699"/>
              <w:bottom w:val="single" w:sz="4" w:space="0" w:color="666699"/>
              <w:right w:val="single" w:sz="4" w:space="0" w:color="666699"/>
            </w:tcBorders>
            <w:hideMark/>
          </w:tcPr>
          <w:p w:rsidR="00661EC5" w:rsidRDefault="00661EC5" w:rsidP="009D38EE">
            <w:pPr>
              <w:spacing w:after="60"/>
              <w:jc w:val="right"/>
              <w:rPr>
                <w:sz w:val="18"/>
                <w:szCs w:val="22"/>
                <w:lang w:val="en-CA"/>
              </w:rPr>
            </w:pPr>
            <w:r>
              <w:rPr>
                <w:sz w:val="18"/>
                <w:lang w:val="en-CA"/>
              </w:rPr>
              <w:t>6,500</w:t>
            </w:r>
          </w:p>
        </w:tc>
      </w:tr>
    </w:tbl>
    <w:p w:rsidR="00661EC5" w:rsidRDefault="00661EC5" w:rsidP="00D30DE6">
      <w:pPr>
        <w:bidi/>
        <w:ind w:left="-810"/>
        <w:jc w:val="left"/>
        <w:rPr>
          <w:b/>
          <w:sz w:val="20"/>
          <w:rtl/>
          <w:lang w:val="en-US" w:bidi="ar-EG"/>
        </w:rPr>
      </w:pPr>
      <w:r w:rsidRPr="00661EC5">
        <w:rPr>
          <w:rFonts w:hint="cs"/>
          <w:b/>
          <w:sz w:val="20"/>
          <w:rtl/>
          <w:lang w:val="en-US" w:bidi="ar-EG"/>
        </w:rPr>
        <w:t xml:space="preserve">*كانت </w:t>
      </w:r>
      <w:r>
        <w:rPr>
          <w:rFonts w:hint="cs"/>
          <w:b/>
          <w:sz w:val="20"/>
          <w:rtl/>
          <w:lang w:val="en-US" w:bidi="ar-EG"/>
        </w:rPr>
        <w:t>الشريحة الرابعة واجبة في عام 2018.</w:t>
      </w:r>
    </w:p>
    <w:tbl>
      <w:tblPr>
        <w:tblStyle w:val="TableGrid"/>
        <w:tblpPr w:leftFromText="180" w:rightFromText="180" w:vertAnchor="text" w:horzAnchor="margin" w:tblpXSpec="center" w:tblpY="239"/>
        <w:bidiVisual/>
        <w:tblW w:w="1123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67"/>
        <w:gridCol w:w="7068"/>
      </w:tblGrid>
      <w:tr w:rsidR="00713BA4" w:rsidTr="00D30DE6">
        <w:trPr>
          <w:trHeight w:val="170"/>
          <w:jc w:val="center"/>
        </w:trPr>
        <w:tc>
          <w:tcPr>
            <w:tcW w:w="4167" w:type="dxa"/>
            <w:tcBorders>
              <w:top w:val="single" w:sz="4" w:space="0" w:color="666699"/>
              <w:left w:val="single" w:sz="4" w:space="0" w:color="666699"/>
              <w:bottom w:val="single" w:sz="4" w:space="0" w:color="666699"/>
              <w:right w:val="single" w:sz="4" w:space="0" w:color="666699"/>
            </w:tcBorders>
            <w:hideMark/>
          </w:tcPr>
          <w:p w:rsidR="00713BA4" w:rsidRDefault="00713BA4" w:rsidP="00D30DE6">
            <w:pPr>
              <w:bidi/>
              <w:jc w:val="left"/>
              <w:rPr>
                <w:b/>
                <w:sz w:val="21"/>
                <w:szCs w:val="21"/>
                <w:lang w:val="en-CA"/>
              </w:rPr>
            </w:pPr>
            <w:r>
              <w:rPr>
                <w:rFonts w:hint="cs"/>
                <w:bCs/>
                <w:sz w:val="20"/>
                <w:rtl/>
                <w:lang w:val="en-US" w:bidi="ar-EG"/>
              </w:rPr>
              <w:t>توصية الأمانة</w:t>
            </w:r>
          </w:p>
        </w:tc>
        <w:tc>
          <w:tcPr>
            <w:tcW w:w="7068" w:type="dxa"/>
            <w:tcBorders>
              <w:top w:val="single" w:sz="4" w:space="0" w:color="666699"/>
              <w:left w:val="single" w:sz="4" w:space="0" w:color="666699"/>
              <w:bottom w:val="single" w:sz="4" w:space="0" w:color="666699"/>
              <w:right w:val="single" w:sz="4" w:space="0" w:color="666699"/>
            </w:tcBorders>
            <w:hideMark/>
          </w:tcPr>
          <w:p w:rsidR="00713BA4" w:rsidRDefault="00713BA4" w:rsidP="00661018">
            <w:pPr>
              <w:jc w:val="center"/>
              <w:rPr>
                <w:sz w:val="21"/>
                <w:szCs w:val="21"/>
                <w:lang w:val="en-CA"/>
              </w:rPr>
            </w:pPr>
            <w:r>
              <w:rPr>
                <w:rFonts w:hint="cs"/>
                <w:b/>
                <w:sz w:val="20"/>
                <w:rtl/>
                <w:lang w:val="en-US" w:bidi="ar-EG"/>
              </w:rPr>
              <w:t>الموافقة ا</w:t>
            </w:r>
            <w:r w:rsidR="00661018">
              <w:rPr>
                <w:rFonts w:hint="cs"/>
                <w:b/>
                <w:sz w:val="20"/>
                <w:rtl/>
                <w:lang w:val="en-US" w:bidi="ar-EG"/>
              </w:rPr>
              <w:t>لشمولية</w:t>
            </w:r>
          </w:p>
        </w:tc>
      </w:tr>
    </w:tbl>
    <w:p w:rsidR="00D30DE6" w:rsidRDefault="00D30DE6">
      <w:pPr>
        <w:jc w:val="left"/>
        <w:rPr>
          <w:bCs/>
          <w:sz w:val="28"/>
          <w:szCs w:val="28"/>
          <w:rtl/>
          <w:lang w:val="en-US" w:bidi="ar-EG"/>
        </w:rPr>
      </w:pPr>
    </w:p>
    <w:p w:rsidR="00551923" w:rsidRPr="004E2732" w:rsidRDefault="00551923" w:rsidP="00551923">
      <w:pPr>
        <w:bidi/>
        <w:jc w:val="left"/>
        <w:rPr>
          <w:bCs/>
          <w:sz w:val="28"/>
          <w:szCs w:val="28"/>
          <w:lang w:val="en-US" w:bidi="ar-EG"/>
        </w:rPr>
      </w:pPr>
    </w:p>
    <w:p w:rsidR="00AA7FDE" w:rsidRDefault="006129B0" w:rsidP="00551923">
      <w:pPr>
        <w:bidi/>
        <w:jc w:val="center"/>
        <w:rPr>
          <w:bCs/>
          <w:sz w:val="28"/>
          <w:szCs w:val="28"/>
          <w:rtl/>
          <w:lang w:val="en-US" w:bidi="ar-EG"/>
        </w:rPr>
      </w:pPr>
      <w:r w:rsidRPr="00380F86">
        <w:rPr>
          <w:bCs/>
          <w:sz w:val="28"/>
          <w:szCs w:val="28"/>
          <w:rtl/>
          <w:lang w:val="en-US" w:bidi="ar-EG"/>
        </w:rPr>
        <w:t>وصف المشروع</w:t>
      </w:r>
    </w:p>
    <w:p w:rsidR="003A30E7" w:rsidRPr="00380F86" w:rsidRDefault="003A30E7" w:rsidP="003A30E7">
      <w:pPr>
        <w:jc w:val="center"/>
        <w:rPr>
          <w:sz w:val="28"/>
          <w:szCs w:val="22"/>
          <w:lang w:bidi="ar-EG"/>
        </w:rPr>
      </w:pPr>
    </w:p>
    <w:p w:rsidR="00AA7FDE" w:rsidRDefault="00625FA7" w:rsidP="007063A5">
      <w:pPr>
        <w:pStyle w:val="StyleComplexArabicTransparent13ptAfter12pt"/>
        <w:bidi/>
        <w:rPr>
          <w:rFonts w:cs="Times New Roman"/>
        </w:rPr>
      </w:pPr>
      <w:r w:rsidRPr="00380F86">
        <w:rPr>
          <w:rFonts w:cs="Times New Roman"/>
          <w:rtl/>
        </w:rPr>
        <w:t>1.</w:t>
      </w:r>
      <w:r w:rsidR="008550CB" w:rsidRPr="00380F86">
        <w:rPr>
          <w:rFonts w:cs="Times New Roman"/>
        </w:rPr>
        <w:tab/>
      </w:r>
      <w:r w:rsidR="009374B4" w:rsidRPr="00380F86">
        <w:rPr>
          <w:rFonts w:cs="Times New Roman"/>
          <w:rtl/>
        </w:rPr>
        <w:t xml:space="preserve">نيابة عن حكومة </w:t>
      </w:r>
      <w:r w:rsidR="00F72C7A">
        <w:rPr>
          <w:rFonts w:cs="Times New Roman" w:hint="cs"/>
          <w:rtl/>
        </w:rPr>
        <w:t>غابون</w:t>
      </w:r>
      <w:r w:rsidR="009374B4" w:rsidRPr="00380F86">
        <w:rPr>
          <w:rFonts w:cs="Times New Roman"/>
          <w:rtl/>
        </w:rPr>
        <w:t>، قدم</w:t>
      </w:r>
      <w:r w:rsidR="00BF394F">
        <w:rPr>
          <w:rFonts w:cs="Times New Roman" w:hint="cs"/>
          <w:rtl/>
        </w:rPr>
        <w:t xml:space="preserve"> </w:t>
      </w:r>
      <w:r w:rsidR="00BE7917">
        <w:rPr>
          <w:rFonts w:cs="Times New Roman" w:hint="cs"/>
          <w:rtl/>
        </w:rPr>
        <w:t>اليونيب</w:t>
      </w:r>
      <w:r w:rsidR="006D680D" w:rsidRPr="00380F86">
        <w:rPr>
          <w:rFonts w:cs="Times New Roman"/>
          <w:rtl/>
        </w:rPr>
        <w:t>، بوصفه الوكالة المنفذة الرئيسة</w:t>
      </w:r>
      <w:r w:rsidR="003A30E7">
        <w:rPr>
          <w:rFonts w:cs="Times New Roman" w:hint="cs"/>
          <w:rtl/>
        </w:rPr>
        <w:t xml:space="preserve">، </w:t>
      </w:r>
      <w:r w:rsidR="00004D1B">
        <w:rPr>
          <w:rFonts w:cs="Times New Roman" w:hint="cs"/>
          <w:rtl/>
        </w:rPr>
        <w:t>طلبا لتمويل</w:t>
      </w:r>
      <w:r w:rsidR="009374B4" w:rsidRPr="00380F86">
        <w:rPr>
          <w:rFonts w:cs="Times New Roman"/>
          <w:rtl/>
        </w:rPr>
        <w:t xml:space="preserve"> </w:t>
      </w:r>
      <w:r w:rsidR="00004D1B">
        <w:rPr>
          <w:rFonts w:cs="Times New Roman" w:hint="cs"/>
          <w:rtl/>
        </w:rPr>
        <w:t xml:space="preserve">الشريحة </w:t>
      </w:r>
      <w:r w:rsidR="00F72C7A">
        <w:rPr>
          <w:rFonts w:cs="Times New Roman" w:hint="cs"/>
          <w:rtl/>
        </w:rPr>
        <w:t>الرابعة</w:t>
      </w:r>
      <w:r w:rsidR="006D680D" w:rsidRPr="00380F86">
        <w:rPr>
          <w:rFonts w:cs="Times New Roman"/>
          <w:rtl/>
        </w:rPr>
        <w:t xml:space="preserve"> من </w:t>
      </w:r>
      <w:r w:rsidR="00004D1B">
        <w:rPr>
          <w:rFonts w:cs="Times New Roman" w:hint="cs"/>
          <w:rtl/>
        </w:rPr>
        <w:t xml:space="preserve">المرحلة </w:t>
      </w:r>
      <w:r w:rsidR="00F72C7A">
        <w:rPr>
          <w:rFonts w:cs="Times New Roman" w:hint="cs"/>
          <w:rtl/>
        </w:rPr>
        <w:t>الأولى</w:t>
      </w:r>
      <w:r w:rsidR="00004D1B">
        <w:rPr>
          <w:rFonts w:cs="Times New Roman" w:hint="cs"/>
          <w:rtl/>
        </w:rPr>
        <w:t xml:space="preserve"> من </w:t>
      </w:r>
      <w:r w:rsidR="006D680D" w:rsidRPr="00380F86">
        <w:rPr>
          <w:rFonts w:cs="Times New Roman"/>
          <w:rtl/>
        </w:rPr>
        <w:t xml:space="preserve">خطة إدارة إزالة المواد الهيدروكلوروفلوروكربونية </w:t>
      </w:r>
      <w:r w:rsidR="00BE7917">
        <w:rPr>
          <w:rFonts w:cs="Times New Roman" w:hint="cs"/>
          <w:rtl/>
        </w:rPr>
        <w:t>بم</w:t>
      </w:r>
      <w:r w:rsidR="006D680D" w:rsidRPr="00380F86">
        <w:rPr>
          <w:rFonts w:cs="Times New Roman"/>
          <w:rtl/>
        </w:rPr>
        <w:t>بل</w:t>
      </w:r>
      <w:r w:rsidR="00004D1B">
        <w:rPr>
          <w:rFonts w:cs="Times New Roman" w:hint="cs"/>
          <w:rtl/>
        </w:rPr>
        <w:t>ـ</w:t>
      </w:r>
      <w:r w:rsidR="006D680D" w:rsidRPr="00380F86">
        <w:rPr>
          <w:rFonts w:cs="Times New Roman"/>
          <w:rtl/>
        </w:rPr>
        <w:t>غ</w:t>
      </w:r>
      <w:r w:rsidR="00422BBE" w:rsidRPr="00380F86">
        <w:rPr>
          <w:rFonts w:cs="Times New Roman"/>
          <w:rtl/>
        </w:rPr>
        <w:t xml:space="preserve"> </w:t>
      </w:r>
      <w:r w:rsidR="007063A5">
        <w:rPr>
          <w:rFonts w:cs="Times New Roman"/>
          <w:lang w:val="en-US"/>
        </w:rPr>
        <w:t>50,000</w:t>
      </w:r>
      <w:r w:rsidR="00422BBE" w:rsidRPr="00380F86">
        <w:rPr>
          <w:rFonts w:cs="Times New Roman"/>
          <w:rtl/>
        </w:rPr>
        <w:t xml:space="preserve"> دولار أمريكي</w:t>
      </w:r>
      <w:r w:rsidR="00E52DD4">
        <w:rPr>
          <w:rFonts w:cs="Times New Roman" w:hint="cs"/>
          <w:rtl/>
        </w:rPr>
        <w:t xml:space="preserve"> </w:t>
      </w:r>
      <w:r w:rsidR="00963BB3" w:rsidRPr="00380F86">
        <w:rPr>
          <w:rFonts w:cs="Times New Roman"/>
          <w:rtl/>
        </w:rPr>
        <w:t>زائد</w:t>
      </w:r>
      <w:r w:rsidR="00371C7D">
        <w:rPr>
          <w:rFonts w:cs="Times New Roman" w:hint="cs"/>
          <w:rtl/>
        </w:rPr>
        <w:t>ا</w:t>
      </w:r>
      <w:r w:rsidR="00963BB3" w:rsidRPr="00380F86">
        <w:rPr>
          <w:rFonts w:cs="Times New Roman"/>
          <w:rtl/>
        </w:rPr>
        <w:t xml:space="preserve"> تكاليف دعم الوكالة البالغة </w:t>
      </w:r>
      <w:r w:rsidR="007063A5">
        <w:rPr>
          <w:rFonts w:cs="Times New Roman"/>
        </w:rPr>
        <w:t>6,500</w:t>
      </w:r>
      <w:r w:rsidR="00963BB3" w:rsidRPr="00380F86">
        <w:rPr>
          <w:rFonts w:cs="Times New Roman"/>
          <w:rtl/>
        </w:rPr>
        <w:t xml:space="preserve"> دولار أمريكي</w:t>
      </w:r>
      <w:r w:rsidR="00BE7917">
        <w:rPr>
          <w:rFonts w:cs="Times New Roman" w:hint="cs"/>
          <w:rtl/>
        </w:rPr>
        <w:t xml:space="preserve"> لليونيب</w:t>
      </w:r>
      <w:r w:rsidR="004E2732">
        <w:rPr>
          <w:rFonts w:cs="Times New Roman" w:hint="cs"/>
          <w:rtl/>
        </w:rPr>
        <w:t xml:space="preserve"> فقط.</w:t>
      </w:r>
      <w:r w:rsidR="004E2732">
        <w:rPr>
          <w:rStyle w:val="FootnoteReference"/>
          <w:rFonts w:cs="Times New Roman"/>
          <w:rtl/>
        </w:rPr>
        <w:footnoteReference w:id="1"/>
      </w:r>
      <w:r w:rsidR="00BE7917">
        <w:rPr>
          <w:rFonts w:cs="Times New Roman" w:hint="cs"/>
          <w:rtl/>
        </w:rPr>
        <w:t xml:space="preserve"> </w:t>
      </w:r>
      <w:r w:rsidR="00004D1B">
        <w:rPr>
          <w:rFonts w:cs="Times New Roman" w:hint="cs"/>
          <w:rtl/>
        </w:rPr>
        <w:t xml:space="preserve">ويشمل التقديم تقريرا مرحليا عن تنفيذ الشريحة </w:t>
      </w:r>
      <w:r w:rsidR="00F72C7A">
        <w:rPr>
          <w:rFonts w:cs="Times New Roman" w:hint="cs"/>
          <w:rtl/>
        </w:rPr>
        <w:t>الثالثة</w:t>
      </w:r>
      <w:r w:rsidR="00004D1B">
        <w:rPr>
          <w:rFonts w:cs="Times New Roman" w:hint="cs"/>
          <w:rtl/>
        </w:rPr>
        <w:t xml:space="preserve"> و</w:t>
      </w:r>
      <w:r w:rsidR="00F72C7A">
        <w:rPr>
          <w:rFonts w:cs="Times New Roman" w:hint="cs"/>
          <w:rtl/>
        </w:rPr>
        <w:t xml:space="preserve">تقرير التحقق من استهلاك </w:t>
      </w:r>
      <w:r w:rsidR="00F72C7A">
        <w:rPr>
          <w:rtl/>
        </w:rPr>
        <w:t xml:space="preserve">المواد الهيدروكلوروفلوروكربونية </w:t>
      </w:r>
      <w:r w:rsidR="00F72C7A">
        <w:rPr>
          <w:rFonts w:hint="cs"/>
          <w:rtl/>
        </w:rPr>
        <w:t xml:space="preserve"> في </w:t>
      </w:r>
      <w:r w:rsidR="00D6247C">
        <w:rPr>
          <w:rFonts w:hint="cs"/>
          <w:rtl/>
          <w:lang w:bidi="ar-EG"/>
        </w:rPr>
        <w:t>الفترة</w:t>
      </w:r>
      <w:r w:rsidR="00F72C7A">
        <w:rPr>
          <w:rFonts w:hint="cs"/>
          <w:rtl/>
        </w:rPr>
        <w:t xml:space="preserve"> من 2013 إلى 2018 و</w:t>
      </w:r>
      <w:r w:rsidR="00004D1B">
        <w:rPr>
          <w:rFonts w:cs="Times New Roman" w:hint="cs"/>
          <w:rtl/>
        </w:rPr>
        <w:t xml:space="preserve">خطة تنفيذ الشريحة </w:t>
      </w:r>
      <w:r w:rsidR="00F72C7A">
        <w:rPr>
          <w:rFonts w:cs="Times New Roman" w:hint="cs"/>
          <w:rtl/>
        </w:rPr>
        <w:t>لعامى</w:t>
      </w:r>
      <w:r w:rsidR="00004D1B">
        <w:rPr>
          <w:rFonts w:cs="Times New Roman" w:hint="cs"/>
          <w:rtl/>
        </w:rPr>
        <w:t xml:space="preserve"> </w:t>
      </w:r>
      <w:r w:rsidR="00097817">
        <w:rPr>
          <w:rFonts w:cs="Times New Roman" w:hint="cs"/>
          <w:rtl/>
        </w:rPr>
        <w:t>201</w:t>
      </w:r>
      <w:r w:rsidR="00965C06">
        <w:rPr>
          <w:rFonts w:cs="Times New Roman" w:hint="cs"/>
          <w:rtl/>
        </w:rPr>
        <w:t>9</w:t>
      </w:r>
      <w:r w:rsidR="00004D1B">
        <w:rPr>
          <w:rFonts w:cs="Times New Roman" w:hint="cs"/>
          <w:rtl/>
        </w:rPr>
        <w:t xml:space="preserve"> </w:t>
      </w:r>
      <w:r w:rsidR="00F72C7A">
        <w:rPr>
          <w:rFonts w:cs="Times New Roman" w:hint="cs"/>
          <w:rtl/>
        </w:rPr>
        <w:t>و2020</w:t>
      </w:r>
      <w:r w:rsidR="00004D1B">
        <w:rPr>
          <w:rFonts w:cs="Times New Roman" w:hint="cs"/>
          <w:rtl/>
        </w:rPr>
        <w:t>.</w:t>
      </w:r>
      <w:r w:rsidR="00097817">
        <w:rPr>
          <w:rFonts w:cs="Times New Roman" w:hint="cs"/>
          <w:rtl/>
        </w:rPr>
        <w:t xml:space="preserve"> </w:t>
      </w:r>
    </w:p>
    <w:p w:rsidR="0080709F" w:rsidRDefault="0080709F" w:rsidP="0080709F">
      <w:pPr>
        <w:pStyle w:val="StyleComplexArabicTransparent13ptAfter12pt"/>
        <w:bidi/>
        <w:rPr>
          <w:u w:val="single"/>
          <w:rtl/>
        </w:rPr>
      </w:pPr>
      <w:r w:rsidRPr="0080709F">
        <w:rPr>
          <w:rFonts w:cs="Times New Roman" w:hint="cs"/>
          <w:u w:val="single"/>
          <w:rtl/>
          <w:lang w:bidi="ar-EG"/>
        </w:rPr>
        <w:t xml:space="preserve">تقرير بشأن استهلاك </w:t>
      </w:r>
      <w:r w:rsidRPr="0080709F">
        <w:rPr>
          <w:u w:val="single"/>
          <w:rtl/>
        </w:rPr>
        <w:t>المواد الهيدروكلوروفلوروكربونية</w:t>
      </w:r>
    </w:p>
    <w:p w:rsidR="006D680D" w:rsidRPr="00380F86" w:rsidRDefault="006D680D" w:rsidP="000305BD">
      <w:pPr>
        <w:pStyle w:val="StyleComplexArabicTransparent13ptAfter12pt"/>
        <w:bidi/>
        <w:rPr>
          <w:rFonts w:cs="Times New Roman"/>
        </w:rPr>
      </w:pPr>
      <w:r w:rsidRPr="00380F86">
        <w:rPr>
          <w:rFonts w:cs="Times New Roman"/>
          <w:rtl/>
        </w:rPr>
        <w:t>2.</w:t>
      </w:r>
      <w:r w:rsidRPr="00380F86">
        <w:rPr>
          <w:rFonts w:cs="Times New Roman"/>
          <w:rtl/>
        </w:rPr>
        <w:tab/>
      </w:r>
      <w:r w:rsidR="000C48C3">
        <w:rPr>
          <w:rFonts w:cs="Times New Roman" w:hint="cs"/>
          <w:rtl/>
        </w:rPr>
        <w:t xml:space="preserve">أبلغت حكومة </w:t>
      </w:r>
      <w:r w:rsidR="000305BD">
        <w:rPr>
          <w:rFonts w:hint="cs"/>
          <w:rtl/>
        </w:rPr>
        <w:t>غابون</w:t>
      </w:r>
      <w:r w:rsidR="00254461">
        <w:rPr>
          <w:rFonts w:cs="Times New Roman" w:hint="cs"/>
          <w:rtl/>
        </w:rPr>
        <w:t xml:space="preserve"> </w:t>
      </w:r>
      <w:r w:rsidR="000C48C3">
        <w:rPr>
          <w:rFonts w:cs="Times New Roman" w:hint="cs"/>
          <w:rtl/>
        </w:rPr>
        <w:t xml:space="preserve">عن استهلاك </w:t>
      </w:r>
      <w:r w:rsidR="000C48C3">
        <w:rPr>
          <w:rFonts w:hint="cs"/>
          <w:rtl/>
        </w:rPr>
        <w:t xml:space="preserve">يبلغ </w:t>
      </w:r>
      <w:r w:rsidR="000305BD">
        <w:rPr>
          <w:rFonts w:hint="cs"/>
          <w:rtl/>
        </w:rPr>
        <w:t>19</w:t>
      </w:r>
      <w:r w:rsidR="00C02D91">
        <w:rPr>
          <w:rFonts w:hint="cs"/>
          <w:rtl/>
        </w:rPr>
        <w:t>.</w:t>
      </w:r>
      <w:r w:rsidR="000305BD">
        <w:rPr>
          <w:rFonts w:hint="cs"/>
          <w:rtl/>
        </w:rPr>
        <w:t>8</w:t>
      </w:r>
      <w:r w:rsidR="000C48C3">
        <w:rPr>
          <w:rFonts w:hint="cs"/>
          <w:rtl/>
        </w:rPr>
        <w:t xml:space="preserve"> طن من قدرات </w:t>
      </w:r>
      <w:r w:rsidR="00F97951">
        <w:rPr>
          <w:rFonts w:hint="cs"/>
          <w:rtl/>
        </w:rPr>
        <w:t xml:space="preserve">استنفاد الأوزون </w:t>
      </w:r>
      <w:r w:rsidR="000F1EA9">
        <w:rPr>
          <w:rFonts w:hint="cs"/>
          <w:rtl/>
        </w:rPr>
        <w:t xml:space="preserve">من </w:t>
      </w:r>
      <w:r w:rsidR="000F1EA9">
        <w:rPr>
          <w:rtl/>
          <w:lang w:bidi="ar-EG"/>
        </w:rPr>
        <w:t xml:space="preserve">المواد الهيدروكلوروفلوروكربونية </w:t>
      </w:r>
      <w:r w:rsidR="00F97951">
        <w:rPr>
          <w:rFonts w:hint="cs"/>
          <w:rtl/>
        </w:rPr>
        <w:t>في عام</w:t>
      </w:r>
      <w:r w:rsidR="00A70A8A">
        <w:rPr>
          <w:rFonts w:hint="cs"/>
          <w:rtl/>
        </w:rPr>
        <w:t xml:space="preserve"> </w:t>
      </w:r>
      <w:r w:rsidR="009D0761">
        <w:rPr>
          <w:rFonts w:hint="cs"/>
          <w:rtl/>
        </w:rPr>
        <w:t>201</w:t>
      </w:r>
      <w:r w:rsidR="000305BD">
        <w:rPr>
          <w:rFonts w:hint="cs"/>
          <w:rtl/>
        </w:rPr>
        <w:t>7</w:t>
      </w:r>
      <w:r w:rsidR="000A713F">
        <w:rPr>
          <w:rFonts w:hint="cs"/>
          <w:rtl/>
        </w:rPr>
        <w:t xml:space="preserve"> </w:t>
      </w:r>
      <w:r w:rsidR="00A70A8A">
        <w:rPr>
          <w:rFonts w:hint="cs"/>
          <w:rtl/>
        </w:rPr>
        <w:t xml:space="preserve">يمثل نسبة حوالى </w:t>
      </w:r>
      <w:r w:rsidR="000305BD">
        <w:rPr>
          <w:rFonts w:hint="cs"/>
          <w:rtl/>
        </w:rPr>
        <w:t>34</w:t>
      </w:r>
      <w:r w:rsidR="00A70A8A">
        <w:rPr>
          <w:rFonts w:hint="cs"/>
          <w:rtl/>
        </w:rPr>
        <w:t xml:space="preserve"> في المائة أقل من خط أساس</w:t>
      </w:r>
      <w:r w:rsidR="00F97951">
        <w:rPr>
          <w:rFonts w:hint="cs"/>
          <w:rtl/>
        </w:rPr>
        <w:t xml:space="preserve"> </w:t>
      </w:r>
      <w:r w:rsidR="00F97951" w:rsidRPr="00F97951">
        <w:rPr>
          <w:rtl/>
        </w:rPr>
        <w:t>المواد الهيدروكلوروفلوروكربونية</w:t>
      </w:r>
      <w:r w:rsidR="00F97951">
        <w:rPr>
          <w:rFonts w:hint="cs"/>
          <w:rtl/>
        </w:rPr>
        <w:t xml:space="preserve"> </w:t>
      </w:r>
      <w:r w:rsidR="00A70A8A">
        <w:rPr>
          <w:rFonts w:hint="cs"/>
          <w:rtl/>
        </w:rPr>
        <w:t>للامتثال</w:t>
      </w:r>
      <w:r w:rsidR="000305BD">
        <w:rPr>
          <w:rFonts w:hint="cs"/>
          <w:rtl/>
        </w:rPr>
        <w:t>.</w:t>
      </w:r>
      <w:r w:rsidR="000A713F">
        <w:rPr>
          <w:rFonts w:hint="cs"/>
          <w:rtl/>
        </w:rPr>
        <w:t xml:space="preserve"> </w:t>
      </w:r>
      <w:r w:rsidR="00A70A8A">
        <w:rPr>
          <w:rFonts w:hint="cs"/>
          <w:rtl/>
        </w:rPr>
        <w:t xml:space="preserve">ويرد في الجدول 1 استهلاك </w:t>
      </w:r>
      <w:r w:rsidR="00A70A8A">
        <w:rPr>
          <w:rtl/>
        </w:rPr>
        <w:t xml:space="preserve">المواد الهيدروكلوروفلوروكربونية </w:t>
      </w:r>
      <w:r w:rsidR="00F97951">
        <w:rPr>
          <w:rFonts w:hint="cs"/>
          <w:rtl/>
        </w:rPr>
        <w:t xml:space="preserve">في الفترة </w:t>
      </w:r>
      <w:r w:rsidR="00254461">
        <w:rPr>
          <w:rFonts w:hint="cs"/>
          <w:rtl/>
        </w:rPr>
        <w:t>201</w:t>
      </w:r>
      <w:r w:rsidR="00C02D91">
        <w:rPr>
          <w:rFonts w:hint="cs"/>
          <w:rtl/>
        </w:rPr>
        <w:t>4</w:t>
      </w:r>
      <w:r w:rsidR="00F97951">
        <w:rPr>
          <w:rFonts w:hint="cs"/>
          <w:rtl/>
        </w:rPr>
        <w:t>-</w:t>
      </w:r>
      <w:r w:rsidR="00254461">
        <w:rPr>
          <w:rFonts w:hint="cs"/>
          <w:rtl/>
        </w:rPr>
        <w:t>201</w:t>
      </w:r>
      <w:r w:rsidR="00C02D91">
        <w:rPr>
          <w:rFonts w:hint="cs"/>
          <w:rtl/>
        </w:rPr>
        <w:t>8</w:t>
      </w:r>
      <w:r w:rsidR="00F97951">
        <w:rPr>
          <w:rFonts w:hint="cs"/>
          <w:rtl/>
        </w:rPr>
        <w:t>.</w:t>
      </w:r>
    </w:p>
    <w:p w:rsidR="0080709F" w:rsidRPr="0080709F" w:rsidRDefault="0080709F" w:rsidP="00AD3C05">
      <w:pPr>
        <w:pStyle w:val="Heading3"/>
        <w:numPr>
          <w:ilvl w:val="0"/>
          <w:numId w:val="0"/>
        </w:numPr>
        <w:tabs>
          <w:tab w:val="left" w:pos="708"/>
        </w:tabs>
        <w:spacing w:after="180" w:line="216" w:lineRule="auto"/>
        <w:ind w:right="0"/>
        <w:rPr>
          <w:b/>
          <w:bCs/>
          <w:szCs w:val="24"/>
          <w:rtl/>
          <w:lang w:val="en-US" w:bidi="ar-EG"/>
        </w:rPr>
      </w:pPr>
      <w:r w:rsidRPr="0080709F">
        <w:rPr>
          <w:rFonts w:hint="cs"/>
          <w:b/>
          <w:bCs/>
          <w:szCs w:val="24"/>
          <w:rtl/>
          <w:lang w:val="en-US" w:bidi="ar-EG"/>
        </w:rPr>
        <w:t xml:space="preserve">الجدول 1: استهلاك </w:t>
      </w:r>
      <w:r w:rsidRPr="0080709F">
        <w:rPr>
          <w:b/>
          <w:bCs/>
          <w:szCs w:val="24"/>
          <w:rtl/>
        </w:rPr>
        <w:t>المواد الهيدروكلوروفلوروكربونية</w:t>
      </w:r>
      <w:r w:rsidRPr="0080709F">
        <w:rPr>
          <w:rFonts w:hint="cs"/>
          <w:b/>
          <w:bCs/>
          <w:szCs w:val="24"/>
          <w:rtl/>
        </w:rPr>
        <w:t xml:space="preserve"> في </w:t>
      </w:r>
      <w:r w:rsidR="00AD3C05">
        <w:rPr>
          <w:rFonts w:hint="cs"/>
          <w:bCs/>
          <w:szCs w:val="24"/>
          <w:rtl/>
        </w:rPr>
        <w:t>غابون</w:t>
      </w:r>
      <w:r w:rsidR="00F62FD9">
        <w:rPr>
          <w:rFonts w:hint="cs"/>
          <w:bCs/>
          <w:szCs w:val="24"/>
          <w:rtl/>
        </w:rPr>
        <w:t xml:space="preserve"> </w:t>
      </w:r>
      <w:r w:rsidR="00F62FD9" w:rsidRPr="0080709F">
        <w:rPr>
          <w:rFonts w:hint="cs"/>
          <w:b/>
          <w:bCs/>
          <w:szCs w:val="24"/>
          <w:rtl/>
        </w:rPr>
        <w:t xml:space="preserve"> </w:t>
      </w:r>
      <w:r w:rsidRPr="0080709F">
        <w:rPr>
          <w:rFonts w:hint="cs"/>
          <w:b/>
          <w:bCs/>
          <w:szCs w:val="24"/>
          <w:rtl/>
        </w:rPr>
        <w:t xml:space="preserve">(بيانات المادة 7 </w:t>
      </w:r>
      <w:r w:rsidR="00371C7D">
        <w:rPr>
          <w:rFonts w:hint="cs"/>
          <w:b/>
          <w:bCs/>
          <w:szCs w:val="24"/>
          <w:rtl/>
        </w:rPr>
        <w:t>ل</w:t>
      </w:r>
      <w:r w:rsidRPr="0080709F">
        <w:rPr>
          <w:rFonts w:hint="cs"/>
          <w:b/>
          <w:bCs/>
          <w:szCs w:val="24"/>
          <w:rtl/>
        </w:rPr>
        <w:t>لفترة 20</w:t>
      </w:r>
      <w:r w:rsidR="00254461">
        <w:rPr>
          <w:rFonts w:hint="cs"/>
          <w:b/>
          <w:bCs/>
          <w:szCs w:val="24"/>
          <w:rtl/>
        </w:rPr>
        <w:t>1</w:t>
      </w:r>
      <w:r w:rsidR="00965C06">
        <w:rPr>
          <w:rFonts w:hint="cs"/>
          <w:b/>
          <w:bCs/>
          <w:szCs w:val="24"/>
          <w:rtl/>
        </w:rPr>
        <w:t>4</w:t>
      </w:r>
      <w:r w:rsidRPr="0080709F">
        <w:rPr>
          <w:rFonts w:hint="cs"/>
          <w:b/>
          <w:bCs/>
          <w:szCs w:val="24"/>
          <w:rtl/>
        </w:rPr>
        <w:t>-201</w:t>
      </w:r>
      <w:r w:rsidR="00965C06">
        <w:rPr>
          <w:rFonts w:hint="cs"/>
          <w:b/>
          <w:bCs/>
          <w:szCs w:val="24"/>
          <w:rtl/>
        </w:rPr>
        <w:t>8</w:t>
      </w:r>
      <w:r w:rsidRPr="0080709F">
        <w:rPr>
          <w:rFonts w:hint="cs"/>
          <w:b/>
          <w:bCs/>
          <w:szCs w:val="24"/>
          <w:rtl/>
        </w:rPr>
        <w:t>)</w:t>
      </w:r>
    </w:p>
    <w:tbl>
      <w:tblPr>
        <w:bidiVisual/>
        <w:tblW w:w="5000" w:type="pct"/>
        <w:tblLook w:val="04A0" w:firstRow="1" w:lastRow="0" w:firstColumn="1" w:lastColumn="0" w:noHBand="0" w:noVBand="1"/>
      </w:tblPr>
      <w:tblGrid>
        <w:gridCol w:w="4775"/>
        <w:gridCol w:w="767"/>
        <w:gridCol w:w="767"/>
        <w:gridCol w:w="698"/>
        <w:gridCol w:w="744"/>
        <w:gridCol w:w="746"/>
        <w:gridCol w:w="1014"/>
      </w:tblGrid>
      <w:tr w:rsidR="00C02D91" w:rsidTr="009A5A93">
        <w:trPr>
          <w:tblHeader/>
        </w:trPr>
        <w:tc>
          <w:tcPr>
            <w:tcW w:w="251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C02D91" w:rsidRPr="007063A5" w:rsidRDefault="00C02D91" w:rsidP="00C02D91">
            <w:pPr>
              <w:widowControl w:val="0"/>
              <w:bidi/>
              <w:jc w:val="left"/>
              <w:rPr>
                <w:b/>
                <w:bCs/>
                <w:color w:val="000000"/>
                <w:sz w:val="22"/>
                <w:szCs w:val="22"/>
                <w:lang w:val="en-CA"/>
              </w:rPr>
            </w:pPr>
            <w:r w:rsidRPr="007063A5">
              <w:rPr>
                <w:b/>
                <w:bCs/>
                <w:sz w:val="22"/>
                <w:szCs w:val="22"/>
                <w:rtl/>
              </w:rPr>
              <w:t>هيدروكلوروفلوروكربون</w:t>
            </w:r>
            <w:r w:rsidR="00AD3C05" w:rsidRPr="007063A5">
              <w:rPr>
                <w:rFonts w:hint="cs"/>
                <w:b/>
                <w:bCs/>
                <w:sz w:val="22"/>
                <w:szCs w:val="22"/>
                <w:rtl/>
              </w:rPr>
              <w:t>-22</w:t>
            </w:r>
          </w:p>
        </w:tc>
        <w:tc>
          <w:tcPr>
            <w:tcW w:w="403" w:type="pct"/>
            <w:tcBorders>
              <w:top w:val="single" w:sz="4" w:space="0" w:color="auto"/>
              <w:left w:val="nil"/>
              <w:bottom w:val="single" w:sz="4" w:space="0" w:color="auto"/>
              <w:right w:val="single" w:sz="4" w:space="0" w:color="auto"/>
            </w:tcBorders>
            <w:noWrap/>
            <w:vAlign w:val="center"/>
            <w:hideMark/>
          </w:tcPr>
          <w:p w:rsidR="00C02D91" w:rsidRDefault="00C02D91">
            <w:pPr>
              <w:widowControl w:val="0"/>
              <w:jc w:val="center"/>
              <w:rPr>
                <w:b/>
                <w:bCs/>
                <w:color w:val="000000"/>
                <w:sz w:val="20"/>
                <w:lang w:val="en-CA"/>
              </w:rPr>
            </w:pPr>
            <w:r>
              <w:rPr>
                <w:b/>
                <w:bCs/>
                <w:color w:val="000000"/>
                <w:sz w:val="20"/>
                <w:lang w:val="en-CA"/>
              </w:rPr>
              <w:t>2014</w:t>
            </w:r>
          </w:p>
        </w:tc>
        <w:tc>
          <w:tcPr>
            <w:tcW w:w="403" w:type="pct"/>
            <w:tcBorders>
              <w:top w:val="single" w:sz="4" w:space="0" w:color="auto"/>
              <w:left w:val="nil"/>
              <w:bottom w:val="single" w:sz="4" w:space="0" w:color="auto"/>
              <w:right w:val="single" w:sz="4" w:space="0" w:color="auto"/>
            </w:tcBorders>
            <w:noWrap/>
            <w:vAlign w:val="center"/>
            <w:hideMark/>
          </w:tcPr>
          <w:p w:rsidR="00C02D91" w:rsidRDefault="00C02D91">
            <w:pPr>
              <w:widowControl w:val="0"/>
              <w:jc w:val="center"/>
              <w:rPr>
                <w:b/>
                <w:bCs/>
                <w:color w:val="000000"/>
                <w:sz w:val="20"/>
                <w:lang w:val="en-CA"/>
              </w:rPr>
            </w:pPr>
            <w:r>
              <w:rPr>
                <w:b/>
                <w:bCs/>
                <w:color w:val="000000"/>
                <w:sz w:val="20"/>
                <w:lang w:val="en-CA"/>
              </w:rPr>
              <w:t>2015</w:t>
            </w:r>
          </w:p>
        </w:tc>
        <w:tc>
          <w:tcPr>
            <w:tcW w:w="367" w:type="pct"/>
            <w:tcBorders>
              <w:top w:val="single" w:sz="4" w:space="0" w:color="auto"/>
              <w:left w:val="nil"/>
              <w:bottom w:val="single" w:sz="4" w:space="0" w:color="auto"/>
              <w:right w:val="single" w:sz="4" w:space="0" w:color="auto"/>
            </w:tcBorders>
            <w:noWrap/>
            <w:vAlign w:val="center"/>
            <w:hideMark/>
          </w:tcPr>
          <w:p w:rsidR="00C02D91" w:rsidRDefault="00C02D91">
            <w:pPr>
              <w:widowControl w:val="0"/>
              <w:jc w:val="center"/>
              <w:rPr>
                <w:b/>
                <w:bCs/>
                <w:color w:val="000000"/>
                <w:sz w:val="20"/>
                <w:lang w:val="en-CA"/>
              </w:rPr>
            </w:pPr>
            <w:r>
              <w:rPr>
                <w:b/>
                <w:bCs/>
                <w:color w:val="000000"/>
                <w:sz w:val="20"/>
                <w:lang w:val="en-CA"/>
              </w:rPr>
              <w:t>2016</w:t>
            </w:r>
          </w:p>
        </w:tc>
        <w:tc>
          <w:tcPr>
            <w:tcW w:w="391" w:type="pct"/>
            <w:tcBorders>
              <w:top w:val="single" w:sz="4" w:space="0" w:color="auto"/>
              <w:left w:val="nil"/>
              <w:bottom w:val="single" w:sz="4" w:space="0" w:color="auto"/>
              <w:right w:val="single" w:sz="4" w:space="0" w:color="auto"/>
            </w:tcBorders>
            <w:hideMark/>
          </w:tcPr>
          <w:p w:rsidR="00C02D91" w:rsidRDefault="00C02D91">
            <w:pPr>
              <w:widowControl w:val="0"/>
              <w:jc w:val="center"/>
              <w:rPr>
                <w:b/>
                <w:bCs/>
                <w:color w:val="000000"/>
                <w:sz w:val="20"/>
                <w:lang w:val="en-CA"/>
              </w:rPr>
            </w:pPr>
            <w:r>
              <w:rPr>
                <w:b/>
                <w:bCs/>
                <w:color w:val="000000"/>
                <w:sz w:val="20"/>
                <w:lang w:val="en-CA"/>
              </w:rPr>
              <w:t>2017</w:t>
            </w:r>
          </w:p>
        </w:tc>
        <w:tc>
          <w:tcPr>
            <w:tcW w:w="392" w:type="pct"/>
            <w:tcBorders>
              <w:top w:val="single" w:sz="4" w:space="0" w:color="auto"/>
              <w:left w:val="single" w:sz="4" w:space="0" w:color="auto"/>
              <w:bottom w:val="single" w:sz="4" w:space="0" w:color="auto"/>
              <w:right w:val="single" w:sz="4" w:space="0" w:color="auto"/>
            </w:tcBorders>
            <w:hideMark/>
          </w:tcPr>
          <w:p w:rsidR="00C02D91" w:rsidRDefault="00C02D91">
            <w:pPr>
              <w:widowControl w:val="0"/>
              <w:jc w:val="center"/>
              <w:rPr>
                <w:b/>
                <w:bCs/>
                <w:color w:val="000000"/>
                <w:sz w:val="20"/>
                <w:lang w:val="en-CA"/>
              </w:rPr>
            </w:pPr>
            <w:r>
              <w:rPr>
                <w:b/>
                <w:bCs/>
                <w:color w:val="000000"/>
                <w:sz w:val="20"/>
                <w:lang w:val="en-CA"/>
              </w:rPr>
              <w:t>2018*</w:t>
            </w:r>
          </w:p>
        </w:tc>
        <w:tc>
          <w:tcPr>
            <w:tcW w:w="533" w:type="pct"/>
            <w:tcBorders>
              <w:top w:val="single" w:sz="4" w:space="0" w:color="auto"/>
              <w:left w:val="single" w:sz="4" w:space="0" w:color="auto"/>
              <w:bottom w:val="single" w:sz="4" w:space="0" w:color="auto"/>
              <w:right w:val="single" w:sz="4" w:space="0" w:color="auto"/>
            </w:tcBorders>
            <w:noWrap/>
            <w:vAlign w:val="center"/>
            <w:hideMark/>
          </w:tcPr>
          <w:p w:rsidR="00C02D91" w:rsidRDefault="00C02D91" w:rsidP="00C02D91">
            <w:pPr>
              <w:widowControl w:val="0"/>
              <w:jc w:val="center"/>
              <w:rPr>
                <w:b/>
                <w:bCs/>
                <w:color w:val="000000"/>
                <w:sz w:val="20"/>
                <w:lang w:val="en-CA"/>
              </w:rPr>
            </w:pPr>
            <w:r>
              <w:rPr>
                <w:rFonts w:hint="cs"/>
                <w:b/>
                <w:bCs/>
                <w:color w:val="000000"/>
                <w:sz w:val="20"/>
                <w:rtl/>
              </w:rPr>
              <w:t>خط الأساس</w:t>
            </w:r>
          </w:p>
        </w:tc>
      </w:tr>
      <w:tr w:rsidR="002D0084" w:rsidTr="00385253">
        <w:tc>
          <w:tcPr>
            <w:tcW w:w="251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2D0084" w:rsidRPr="007063A5" w:rsidRDefault="002D0084" w:rsidP="00C02D91">
            <w:pPr>
              <w:widowControl w:val="0"/>
              <w:bidi/>
              <w:jc w:val="left"/>
              <w:rPr>
                <w:color w:val="000000"/>
                <w:sz w:val="22"/>
                <w:szCs w:val="22"/>
                <w:lang w:val="en-CA"/>
              </w:rPr>
            </w:pPr>
            <w:r w:rsidRPr="007063A5">
              <w:rPr>
                <w:rFonts w:hint="cs"/>
                <w:color w:val="000000"/>
                <w:sz w:val="22"/>
                <w:szCs w:val="22"/>
                <w:rtl/>
              </w:rPr>
              <w:t>أطنان مترية</w:t>
            </w:r>
          </w:p>
        </w:tc>
        <w:tc>
          <w:tcPr>
            <w:tcW w:w="403" w:type="pct"/>
            <w:tcBorders>
              <w:top w:val="nil"/>
              <w:left w:val="nil"/>
              <w:bottom w:val="single" w:sz="4" w:space="0" w:color="auto"/>
              <w:right w:val="single" w:sz="4" w:space="0" w:color="auto"/>
            </w:tcBorders>
            <w:noWrap/>
          </w:tcPr>
          <w:p w:rsidR="002D0084" w:rsidRDefault="002D0084">
            <w:pPr>
              <w:jc w:val="right"/>
              <w:rPr>
                <w:color w:val="000000"/>
                <w:sz w:val="20"/>
                <w:lang w:val="en-CA"/>
              </w:rPr>
            </w:pPr>
            <w:r>
              <w:rPr>
                <w:color w:val="000000"/>
                <w:sz w:val="20"/>
                <w:lang w:val="en-CA"/>
              </w:rPr>
              <w:t>480.0</w:t>
            </w:r>
          </w:p>
        </w:tc>
        <w:tc>
          <w:tcPr>
            <w:tcW w:w="403" w:type="pct"/>
            <w:tcBorders>
              <w:top w:val="nil"/>
              <w:left w:val="nil"/>
              <w:bottom w:val="single" w:sz="4" w:space="0" w:color="auto"/>
              <w:right w:val="single" w:sz="4" w:space="0" w:color="auto"/>
            </w:tcBorders>
            <w:noWrap/>
          </w:tcPr>
          <w:p w:rsidR="002D0084" w:rsidRDefault="002D0084">
            <w:pPr>
              <w:jc w:val="right"/>
              <w:rPr>
                <w:color w:val="000000"/>
                <w:sz w:val="20"/>
                <w:lang w:val="en-CA"/>
              </w:rPr>
            </w:pPr>
            <w:r>
              <w:rPr>
                <w:color w:val="000000"/>
                <w:sz w:val="20"/>
                <w:lang w:val="en-CA"/>
              </w:rPr>
              <w:t>350</w:t>
            </w:r>
          </w:p>
        </w:tc>
        <w:tc>
          <w:tcPr>
            <w:tcW w:w="367" w:type="pct"/>
            <w:tcBorders>
              <w:top w:val="nil"/>
              <w:left w:val="nil"/>
              <w:bottom w:val="single" w:sz="4" w:space="0" w:color="auto"/>
              <w:right w:val="single" w:sz="4" w:space="0" w:color="auto"/>
            </w:tcBorders>
            <w:noWrap/>
          </w:tcPr>
          <w:p w:rsidR="002D0084" w:rsidRDefault="002D0084">
            <w:pPr>
              <w:widowControl w:val="0"/>
              <w:jc w:val="right"/>
              <w:rPr>
                <w:bCs/>
                <w:color w:val="000000"/>
                <w:sz w:val="20"/>
                <w:lang w:val="en-CA"/>
              </w:rPr>
            </w:pPr>
            <w:r>
              <w:rPr>
                <w:bCs/>
                <w:color w:val="000000"/>
                <w:sz w:val="20"/>
                <w:lang w:val="en-CA"/>
              </w:rPr>
              <w:t>380</w:t>
            </w:r>
          </w:p>
        </w:tc>
        <w:tc>
          <w:tcPr>
            <w:tcW w:w="391" w:type="pct"/>
            <w:tcBorders>
              <w:top w:val="single" w:sz="4" w:space="0" w:color="auto"/>
              <w:left w:val="nil"/>
              <w:bottom w:val="single" w:sz="4" w:space="0" w:color="auto"/>
              <w:right w:val="single" w:sz="4" w:space="0" w:color="auto"/>
            </w:tcBorders>
          </w:tcPr>
          <w:p w:rsidR="002D0084" w:rsidRDefault="002D0084">
            <w:pPr>
              <w:widowControl w:val="0"/>
              <w:jc w:val="right"/>
              <w:rPr>
                <w:bCs/>
                <w:color w:val="000000"/>
                <w:sz w:val="20"/>
                <w:lang w:val="en-CA"/>
              </w:rPr>
            </w:pPr>
            <w:r>
              <w:rPr>
                <w:bCs/>
                <w:color w:val="000000"/>
                <w:sz w:val="20"/>
                <w:lang w:val="en-CA"/>
              </w:rPr>
              <w:t>360</w:t>
            </w:r>
          </w:p>
        </w:tc>
        <w:tc>
          <w:tcPr>
            <w:tcW w:w="392" w:type="pct"/>
            <w:tcBorders>
              <w:top w:val="nil"/>
              <w:left w:val="single" w:sz="4" w:space="0" w:color="auto"/>
              <w:bottom w:val="single" w:sz="4" w:space="0" w:color="auto"/>
              <w:right w:val="single" w:sz="4" w:space="0" w:color="auto"/>
            </w:tcBorders>
          </w:tcPr>
          <w:p w:rsidR="002D0084" w:rsidRDefault="002D0084">
            <w:pPr>
              <w:widowControl w:val="0"/>
              <w:jc w:val="right"/>
              <w:rPr>
                <w:rFonts w:eastAsiaTheme="minorHAnsi"/>
                <w:color w:val="000000"/>
                <w:sz w:val="20"/>
                <w:lang w:val="en-CA"/>
              </w:rPr>
            </w:pPr>
            <w:r>
              <w:rPr>
                <w:rFonts w:eastAsiaTheme="minorHAnsi"/>
                <w:color w:val="000000"/>
                <w:sz w:val="20"/>
                <w:lang w:val="en-CA"/>
              </w:rPr>
              <w:t>365.8</w:t>
            </w:r>
          </w:p>
        </w:tc>
        <w:tc>
          <w:tcPr>
            <w:tcW w:w="533" w:type="pct"/>
            <w:tcBorders>
              <w:top w:val="nil"/>
              <w:left w:val="single" w:sz="4" w:space="0" w:color="auto"/>
              <w:bottom w:val="single" w:sz="4" w:space="0" w:color="auto"/>
              <w:right w:val="single" w:sz="4" w:space="0" w:color="auto"/>
            </w:tcBorders>
            <w:noWrap/>
            <w:vAlign w:val="center"/>
            <w:hideMark/>
          </w:tcPr>
          <w:p w:rsidR="002D0084" w:rsidRDefault="002D0084">
            <w:pPr>
              <w:widowControl w:val="0"/>
              <w:jc w:val="right"/>
              <w:rPr>
                <w:bCs/>
                <w:color w:val="000000"/>
                <w:sz w:val="20"/>
                <w:lang w:val="en-CA"/>
              </w:rPr>
            </w:pPr>
            <w:r>
              <w:rPr>
                <w:bCs/>
                <w:color w:val="000000"/>
                <w:sz w:val="20"/>
                <w:lang w:val="en-CA"/>
              </w:rPr>
              <w:t>549.10</w:t>
            </w:r>
          </w:p>
        </w:tc>
      </w:tr>
      <w:tr w:rsidR="002D0084" w:rsidTr="00385253">
        <w:tc>
          <w:tcPr>
            <w:tcW w:w="251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rsidR="002D0084" w:rsidRPr="007063A5" w:rsidRDefault="002D0084" w:rsidP="00C02D91">
            <w:pPr>
              <w:widowControl w:val="0"/>
              <w:bidi/>
              <w:jc w:val="left"/>
              <w:rPr>
                <w:color w:val="000000"/>
                <w:sz w:val="22"/>
                <w:szCs w:val="22"/>
                <w:lang w:val="en-CA"/>
              </w:rPr>
            </w:pPr>
            <w:r w:rsidRPr="007063A5">
              <w:rPr>
                <w:color w:val="000000"/>
                <w:sz w:val="22"/>
                <w:szCs w:val="22"/>
                <w:rtl/>
              </w:rPr>
              <w:t>أطنان من قدرات استنفاد الأوزون</w:t>
            </w:r>
            <w:r w:rsidRPr="007063A5">
              <w:rPr>
                <w:color w:val="000000"/>
                <w:sz w:val="22"/>
                <w:szCs w:val="22"/>
                <w:lang w:val="en-CA"/>
              </w:rPr>
              <w:t xml:space="preserve"> </w:t>
            </w:r>
          </w:p>
        </w:tc>
        <w:tc>
          <w:tcPr>
            <w:tcW w:w="403" w:type="pct"/>
            <w:tcBorders>
              <w:top w:val="nil"/>
              <w:left w:val="nil"/>
              <w:bottom w:val="single" w:sz="4" w:space="0" w:color="auto"/>
              <w:right w:val="single" w:sz="4" w:space="0" w:color="auto"/>
            </w:tcBorders>
            <w:noWrap/>
            <w:hideMark/>
          </w:tcPr>
          <w:p w:rsidR="002D0084" w:rsidRDefault="002D0084">
            <w:pPr>
              <w:jc w:val="right"/>
              <w:rPr>
                <w:rFonts w:eastAsiaTheme="minorHAnsi"/>
                <w:color w:val="000000"/>
                <w:sz w:val="20"/>
                <w:lang w:val="en-CA"/>
              </w:rPr>
            </w:pPr>
            <w:r>
              <w:rPr>
                <w:rFonts w:eastAsiaTheme="minorHAnsi"/>
                <w:color w:val="000000"/>
                <w:sz w:val="20"/>
                <w:lang w:val="en-CA"/>
              </w:rPr>
              <w:t>26.40</w:t>
            </w:r>
          </w:p>
        </w:tc>
        <w:tc>
          <w:tcPr>
            <w:tcW w:w="403" w:type="pct"/>
            <w:tcBorders>
              <w:top w:val="nil"/>
              <w:left w:val="nil"/>
              <w:bottom w:val="single" w:sz="4" w:space="0" w:color="auto"/>
              <w:right w:val="single" w:sz="4" w:space="0" w:color="auto"/>
            </w:tcBorders>
            <w:noWrap/>
            <w:hideMark/>
          </w:tcPr>
          <w:p w:rsidR="002D0084" w:rsidRDefault="002D0084">
            <w:pPr>
              <w:jc w:val="right"/>
              <w:rPr>
                <w:color w:val="000000"/>
                <w:sz w:val="20"/>
                <w:lang w:val="en-CA"/>
              </w:rPr>
            </w:pPr>
            <w:r>
              <w:rPr>
                <w:color w:val="000000"/>
                <w:sz w:val="20"/>
                <w:lang w:val="en-CA"/>
              </w:rPr>
              <w:t>19.25</w:t>
            </w:r>
          </w:p>
        </w:tc>
        <w:tc>
          <w:tcPr>
            <w:tcW w:w="367" w:type="pct"/>
            <w:tcBorders>
              <w:top w:val="nil"/>
              <w:left w:val="nil"/>
              <w:bottom w:val="single" w:sz="4" w:space="0" w:color="auto"/>
              <w:right w:val="single" w:sz="4" w:space="0" w:color="auto"/>
            </w:tcBorders>
            <w:noWrap/>
            <w:hideMark/>
          </w:tcPr>
          <w:p w:rsidR="002D0084" w:rsidRDefault="002D0084">
            <w:pPr>
              <w:jc w:val="right"/>
              <w:rPr>
                <w:color w:val="000000"/>
                <w:sz w:val="20"/>
                <w:lang w:val="en-CA"/>
              </w:rPr>
            </w:pPr>
            <w:r>
              <w:rPr>
                <w:color w:val="000000"/>
                <w:sz w:val="20"/>
                <w:lang w:val="en-CA"/>
              </w:rPr>
              <w:t>20.90</w:t>
            </w:r>
          </w:p>
        </w:tc>
        <w:tc>
          <w:tcPr>
            <w:tcW w:w="391" w:type="pct"/>
            <w:tcBorders>
              <w:top w:val="single" w:sz="4" w:space="0" w:color="auto"/>
              <w:left w:val="nil"/>
              <w:bottom w:val="single" w:sz="4" w:space="0" w:color="auto"/>
              <w:right w:val="single" w:sz="4" w:space="0" w:color="auto"/>
            </w:tcBorders>
            <w:hideMark/>
          </w:tcPr>
          <w:p w:rsidR="002D0084" w:rsidRDefault="002D0084">
            <w:pPr>
              <w:jc w:val="right"/>
              <w:rPr>
                <w:sz w:val="20"/>
                <w:lang w:val="en-CA"/>
              </w:rPr>
            </w:pPr>
            <w:r>
              <w:rPr>
                <w:sz w:val="20"/>
                <w:lang w:val="en-CA"/>
              </w:rPr>
              <w:t>19.80</w:t>
            </w:r>
          </w:p>
        </w:tc>
        <w:tc>
          <w:tcPr>
            <w:tcW w:w="392" w:type="pct"/>
            <w:tcBorders>
              <w:top w:val="nil"/>
              <w:left w:val="single" w:sz="4" w:space="0" w:color="auto"/>
              <w:bottom w:val="single" w:sz="4" w:space="0" w:color="auto"/>
              <w:right w:val="single" w:sz="4" w:space="0" w:color="auto"/>
            </w:tcBorders>
            <w:hideMark/>
          </w:tcPr>
          <w:p w:rsidR="002D0084" w:rsidRDefault="002D0084">
            <w:pPr>
              <w:jc w:val="right"/>
              <w:rPr>
                <w:rFonts w:eastAsiaTheme="minorHAnsi"/>
                <w:color w:val="000000"/>
                <w:sz w:val="20"/>
                <w:lang w:val="en-CA"/>
              </w:rPr>
            </w:pPr>
            <w:r>
              <w:rPr>
                <w:rFonts w:eastAsiaTheme="minorHAnsi"/>
                <w:color w:val="000000"/>
                <w:sz w:val="20"/>
                <w:lang w:val="en-CA"/>
              </w:rPr>
              <w:t>20.10</w:t>
            </w:r>
          </w:p>
        </w:tc>
        <w:tc>
          <w:tcPr>
            <w:tcW w:w="533" w:type="pct"/>
            <w:tcBorders>
              <w:top w:val="nil"/>
              <w:left w:val="single" w:sz="4" w:space="0" w:color="auto"/>
              <w:bottom w:val="single" w:sz="4" w:space="0" w:color="auto"/>
              <w:right w:val="single" w:sz="4" w:space="0" w:color="auto"/>
            </w:tcBorders>
            <w:noWrap/>
            <w:hideMark/>
          </w:tcPr>
          <w:p w:rsidR="002D0084" w:rsidRDefault="002D0084">
            <w:pPr>
              <w:jc w:val="right"/>
              <w:rPr>
                <w:rFonts w:eastAsiaTheme="minorHAnsi"/>
                <w:color w:val="000000"/>
                <w:sz w:val="20"/>
                <w:lang w:val="en-CA"/>
              </w:rPr>
            </w:pPr>
            <w:r>
              <w:rPr>
                <w:rFonts w:eastAsiaTheme="minorHAnsi"/>
                <w:color w:val="000000"/>
                <w:sz w:val="20"/>
                <w:lang w:val="en-CA"/>
              </w:rPr>
              <w:t>30.20</w:t>
            </w:r>
          </w:p>
        </w:tc>
      </w:tr>
    </w:tbl>
    <w:p w:rsidR="00C02D91" w:rsidRPr="002D0084" w:rsidRDefault="00011D1E" w:rsidP="002D0084">
      <w:pPr>
        <w:bidi/>
        <w:rPr>
          <w:sz w:val="18"/>
          <w:szCs w:val="18"/>
          <w:rtl/>
          <w:lang w:val="en-US" w:bidi="ar-EG"/>
        </w:rPr>
      </w:pPr>
      <w:r w:rsidRPr="007063A5">
        <w:rPr>
          <w:rFonts w:hint="cs"/>
          <w:sz w:val="20"/>
          <w:rtl/>
          <w:lang w:val="en-US" w:bidi="ar-EG"/>
        </w:rPr>
        <w:t xml:space="preserve">* </w:t>
      </w:r>
      <w:r w:rsidR="007A0F84" w:rsidRPr="007063A5">
        <w:rPr>
          <w:rFonts w:hint="cs"/>
          <w:sz w:val="20"/>
          <w:rtl/>
          <w:lang w:val="en-US" w:bidi="ar-EG"/>
        </w:rPr>
        <w:t xml:space="preserve"> بيانات </w:t>
      </w:r>
      <w:r w:rsidR="002D0084" w:rsidRPr="007063A5">
        <w:rPr>
          <w:rFonts w:hint="cs"/>
          <w:sz w:val="20"/>
          <w:rtl/>
          <w:lang w:val="en-US" w:bidi="ar-EG"/>
        </w:rPr>
        <w:t xml:space="preserve">من تقرير التحقق لعام 2018 بشأن استهلاك </w:t>
      </w:r>
      <w:r w:rsidR="002D0084" w:rsidRPr="007063A5">
        <w:rPr>
          <w:sz w:val="20"/>
          <w:rtl/>
        </w:rPr>
        <w:t>الهيدروكلوروفلوروكربون</w:t>
      </w:r>
    </w:p>
    <w:p w:rsidR="007A0F84" w:rsidRDefault="007A0F84" w:rsidP="007A0F84">
      <w:pPr>
        <w:bidi/>
        <w:rPr>
          <w:sz w:val="26"/>
          <w:szCs w:val="26"/>
          <w:rtl/>
          <w:lang w:val="en-US" w:bidi="ar-EG"/>
        </w:rPr>
      </w:pPr>
    </w:p>
    <w:p w:rsidR="009A7972" w:rsidRDefault="00A4547A" w:rsidP="009A7972">
      <w:pPr>
        <w:bidi/>
        <w:rPr>
          <w:sz w:val="26"/>
          <w:szCs w:val="26"/>
          <w:lang w:val="en-US" w:bidi="ar-EG"/>
        </w:rPr>
      </w:pPr>
      <w:r w:rsidRPr="00380F86">
        <w:rPr>
          <w:sz w:val="26"/>
          <w:szCs w:val="26"/>
          <w:rtl/>
          <w:lang w:val="en-US" w:bidi="ar-EG"/>
        </w:rPr>
        <w:t>3.</w:t>
      </w:r>
      <w:r w:rsidRPr="00380F86">
        <w:rPr>
          <w:sz w:val="26"/>
          <w:szCs w:val="26"/>
          <w:rtl/>
          <w:lang w:val="en-US" w:bidi="ar-EG"/>
        </w:rPr>
        <w:tab/>
      </w:r>
      <w:r w:rsidR="009A7972">
        <w:rPr>
          <w:rFonts w:hint="cs"/>
          <w:sz w:val="26"/>
          <w:szCs w:val="26"/>
          <w:rtl/>
          <w:lang w:val="en-US" w:bidi="ar-EG"/>
        </w:rPr>
        <w:t>يستخدم</w:t>
      </w:r>
      <w:r w:rsidR="009A7972" w:rsidRPr="009A7972">
        <w:rPr>
          <w:rFonts w:hint="cs"/>
          <w:sz w:val="26"/>
          <w:szCs w:val="26"/>
          <w:rtl/>
          <w:lang w:val="en-US" w:bidi="ar-EG"/>
        </w:rPr>
        <w:t xml:space="preserve"> </w:t>
      </w:r>
      <w:r w:rsidR="009A7972" w:rsidRPr="009A7972">
        <w:rPr>
          <w:sz w:val="26"/>
          <w:szCs w:val="26"/>
          <w:rtl/>
        </w:rPr>
        <w:t>الهيدروكلوروفلوروكربون</w:t>
      </w:r>
      <w:r w:rsidR="009A7972">
        <w:rPr>
          <w:rFonts w:hint="cs"/>
          <w:sz w:val="26"/>
          <w:szCs w:val="26"/>
          <w:rtl/>
        </w:rPr>
        <w:t>-22 في خ</w:t>
      </w:r>
      <w:r w:rsidR="00FD4031">
        <w:rPr>
          <w:rFonts w:hint="cs"/>
          <w:sz w:val="26"/>
          <w:szCs w:val="26"/>
          <w:rtl/>
        </w:rPr>
        <w:t xml:space="preserve">دمة وصيانة معدات التبريد وتكييف </w:t>
      </w:r>
      <w:r w:rsidR="009A7972">
        <w:rPr>
          <w:rFonts w:hint="cs"/>
          <w:sz w:val="26"/>
          <w:szCs w:val="26"/>
          <w:rtl/>
        </w:rPr>
        <w:t xml:space="preserve">الهواء. ومنذ تنفيذ </w:t>
      </w:r>
      <w:r w:rsidR="009A7972" w:rsidRPr="009A7972">
        <w:rPr>
          <w:sz w:val="26"/>
          <w:szCs w:val="26"/>
          <w:rtl/>
        </w:rPr>
        <w:t>خطة إدارة إزالة المواد الهيدروكلوروفلوروكربونية</w:t>
      </w:r>
      <w:r w:rsidR="009A7972">
        <w:rPr>
          <w:rFonts w:hint="cs"/>
          <w:sz w:val="26"/>
          <w:szCs w:val="26"/>
          <w:rtl/>
        </w:rPr>
        <w:t xml:space="preserve"> في عام 2011، كان الاستهلاك أقل بشكل دائم عن خط أساس </w:t>
      </w:r>
      <w:r w:rsidR="009A7972" w:rsidRPr="009A7972">
        <w:rPr>
          <w:sz w:val="26"/>
          <w:szCs w:val="26"/>
          <w:rtl/>
        </w:rPr>
        <w:t>الهيدروكلوروفلوروكربون</w:t>
      </w:r>
      <w:r w:rsidR="009A7972">
        <w:rPr>
          <w:rFonts w:hint="cs"/>
          <w:sz w:val="26"/>
          <w:szCs w:val="26"/>
          <w:rtl/>
        </w:rPr>
        <w:t xml:space="preserve"> للامتثال وأهداف الرقابة. ويرجع انخفاض استهلاك </w:t>
      </w:r>
      <w:r w:rsidR="009A7972">
        <w:rPr>
          <w:sz w:val="26"/>
          <w:szCs w:val="26"/>
          <w:rtl/>
        </w:rPr>
        <w:t>الهيدروكلوروفلوروكربون</w:t>
      </w:r>
      <w:r w:rsidR="009A7972">
        <w:rPr>
          <w:rFonts w:hint="cs"/>
          <w:sz w:val="26"/>
          <w:szCs w:val="26"/>
          <w:rtl/>
        </w:rPr>
        <w:t xml:space="preserve"> إلى تنفيذ </w:t>
      </w:r>
      <w:r w:rsidR="009A7972">
        <w:rPr>
          <w:sz w:val="26"/>
          <w:szCs w:val="26"/>
          <w:rtl/>
        </w:rPr>
        <w:t>خطة إدارة إزالة المواد الهيدروكلوروفلوروكربونية</w:t>
      </w:r>
      <w:r w:rsidR="009A7972">
        <w:rPr>
          <w:rFonts w:hint="cs"/>
          <w:sz w:val="26"/>
          <w:szCs w:val="26"/>
          <w:rtl/>
        </w:rPr>
        <w:t xml:space="preserve">، خاصة تدريب موظفى الجمارك على التعرف على المواد </w:t>
      </w:r>
      <w:r w:rsidR="009A7972">
        <w:rPr>
          <w:sz w:val="26"/>
          <w:szCs w:val="26"/>
          <w:rtl/>
        </w:rPr>
        <w:t>الهيدروكلوروفلوروكربون</w:t>
      </w:r>
      <w:r w:rsidR="009A7972">
        <w:rPr>
          <w:rFonts w:hint="cs"/>
          <w:sz w:val="26"/>
          <w:szCs w:val="26"/>
          <w:rtl/>
        </w:rPr>
        <w:t xml:space="preserve">ية والمعدات القائمة على </w:t>
      </w:r>
      <w:r w:rsidR="009A7972">
        <w:rPr>
          <w:sz w:val="26"/>
          <w:szCs w:val="26"/>
          <w:rtl/>
        </w:rPr>
        <w:t>الهيدروكلوروفلوروكربون</w:t>
      </w:r>
      <w:r w:rsidR="009A7972">
        <w:rPr>
          <w:rFonts w:hint="cs"/>
          <w:sz w:val="26"/>
          <w:szCs w:val="26"/>
          <w:rtl/>
        </w:rPr>
        <w:t xml:space="preserve"> والتقنيين على ممارسات الخدمة الجيدة؛ واستخدام معدات خالية من الهيدروكلوروفلوروكربون-22 في البلد. وأشار اليونيب إلى أن الزيادة في عام 2016 ترجع إلى سوء الاتصالات بين الوحدة الوطنية للأوزون </w:t>
      </w:r>
      <w:r w:rsidR="00FD4031">
        <w:rPr>
          <w:rFonts w:hint="cs"/>
          <w:sz w:val="26"/>
          <w:szCs w:val="26"/>
          <w:rtl/>
        </w:rPr>
        <w:t>ومصلحة الجمارك. وهناك نظام رصد إلكترونى على وشك الانطلاق في عام 2020 ويتوقع أن يتناول القصور في الإبلاغ عن البيانا</w:t>
      </w:r>
      <w:r w:rsidR="00D6247C">
        <w:rPr>
          <w:rFonts w:hint="cs"/>
          <w:sz w:val="26"/>
          <w:szCs w:val="26"/>
          <w:rtl/>
        </w:rPr>
        <w:t>ت</w:t>
      </w:r>
      <w:r w:rsidR="00FD4031">
        <w:rPr>
          <w:rFonts w:hint="cs"/>
          <w:sz w:val="26"/>
          <w:szCs w:val="26"/>
          <w:rtl/>
        </w:rPr>
        <w:t>.</w:t>
      </w:r>
    </w:p>
    <w:p w:rsidR="00625F33" w:rsidRPr="009A7972" w:rsidRDefault="00625F33" w:rsidP="009A7972">
      <w:pPr>
        <w:bidi/>
        <w:rPr>
          <w:sz w:val="26"/>
          <w:szCs w:val="26"/>
          <w:rtl/>
          <w:lang w:val="en-US" w:bidi="ar-EG"/>
        </w:rPr>
      </w:pPr>
    </w:p>
    <w:p w:rsidR="008C1BB1" w:rsidRDefault="008C1BB1" w:rsidP="008C1BB1">
      <w:pPr>
        <w:bidi/>
        <w:spacing w:after="240"/>
        <w:rPr>
          <w:i/>
          <w:iCs/>
          <w:sz w:val="26"/>
          <w:szCs w:val="26"/>
          <w:rtl/>
          <w:lang w:val="en-US" w:bidi="ar-EG"/>
        </w:rPr>
      </w:pPr>
      <w:r>
        <w:rPr>
          <w:rFonts w:hint="cs"/>
          <w:i/>
          <w:iCs/>
          <w:sz w:val="26"/>
          <w:szCs w:val="26"/>
          <w:rtl/>
          <w:lang w:val="en-US" w:bidi="ar-EG"/>
        </w:rPr>
        <w:t>تقرير تنفيذ البرنامج القطري</w:t>
      </w:r>
    </w:p>
    <w:p w:rsidR="008C1BB1" w:rsidRDefault="0075263F" w:rsidP="00431FFF">
      <w:pPr>
        <w:bidi/>
        <w:spacing w:after="240"/>
        <w:rPr>
          <w:sz w:val="26"/>
          <w:szCs w:val="26"/>
          <w:rtl/>
        </w:rPr>
      </w:pPr>
      <w:r>
        <w:rPr>
          <w:rFonts w:hint="cs"/>
          <w:sz w:val="26"/>
          <w:szCs w:val="26"/>
          <w:rtl/>
          <w:lang w:val="en-US" w:bidi="ar-EG"/>
        </w:rPr>
        <w:t>4</w:t>
      </w:r>
      <w:r w:rsidR="008C1BB1" w:rsidRPr="008C1BB1">
        <w:rPr>
          <w:rFonts w:hint="cs"/>
          <w:sz w:val="26"/>
          <w:szCs w:val="26"/>
          <w:rtl/>
          <w:lang w:val="en-US" w:bidi="ar-EG"/>
        </w:rPr>
        <w:tab/>
      </w:r>
      <w:r w:rsidR="008C1BB1">
        <w:rPr>
          <w:rFonts w:hint="cs"/>
          <w:sz w:val="26"/>
          <w:szCs w:val="26"/>
          <w:rtl/>
          <w:lang w:val="en-US" w:bidi="ar-EG"/>
        </w:rPr>
        <w:t xml:space="preserve">أبلغت حكومة </w:t>
      </w:r>
      <w:r w:rsidR="00431FFF">
        <w:rPr>
          <w:rFonts w:hint="cs"/>
          <w:sz w:val="26"/>
          <w:szCs w:val="26"/>
          <w:rtl/>
        </w:rPr>
        <w:t>غابون</w:t>
      </w:r>
      <w:r w:rsidR="008C1BB1">
        <w:rPr>
          <w:rFonts w:hint="cs"/>
          <w:sz w:val="26"/>
          <w:szCs w:val="26"/>
          <w:rtl/>
        </w:rPr>
        <w:t xml:space="preserve"> عن بيانات استهلاك</w:t>
      </w:r>
      <w:r w:rsidR="00431FFF">
        <w:rPr>
          <w:rFonts w:hint="cs"/>
          <w:sz w:val="26"/>
          <w:szCs w:val="26"/>
          <w:rtl/>
        </w:rPr>
        <w:t xml:space="preserve"> قطاع</w:t>
      </w:r>
      <w:r w:rsidR="008C1BB1">
        <w:rPr>
          <w:rFonts w:hint="cs"/>
          <w:sz w:val="26"/>
          <w:szCs w:val="26"/>
          <w:rtl/>
        </w:rPr>
        <w:t xml:space="preserve"> </w:t>
      </w:r>
      <w:r w:rsidR="008C1BB1">
        <w:rPr>
          <w:sz w:val="26"/>
          <w:szCs w:val="26"/>
          <w:rtl/>
        </w:rPr>
        <w:t>المواد الهيدروكلوروفلوروكربونية</w:t>
      </w:r>
      <w:r w:rsidR="008C1BB1">
        <w:rPr>
          <w:rFonts w:hint="cs"/>
          <w:sz w:val="26"/>
          <w:szCs w:val="26"/>
          <w:rtl/>
        </w:rPr>
        <w:t xml:space="preserve"> </w:t>
      </w:r>
      <w:r w:rsidR="00D7067A">
        <w:rPr>
          <w:rFonts w:hint="cs"/>
          <w:sz w:val="26"/>
          <w:szCs w:val="26"/>
          <w:rtl/>
        </w:rPr>
        <w:t>بناء على</w:t>
      </w:r>
      <w:r w:rsidR="008C1BB1">
        <w:rPr>
          <w:rFonts w:hint="cs"/>
          <w:sz w:val="26"/>
          <w:szCs w:val="26"/>
          <w:rtl/>
        </w:rPr>
        <w:t xml:space="preserve"> تق</w:t>
      </w:r>
      <w:r w:rsidR="009C6645">
        <w:rPr>
          <w:rFonts w:hint="cs"/>
          <w:sz w:val="26"/>
          <w:szCs w:val="26"/>
          <w:rtl/>
        </w:rPr>
        <w:t>رير تنفيذ البرنامج القطرى لعام 2017</w:t>
      </w:r>
      <w:r w:rsidR="008C1BB1">
        <w:rPr>
          <w:rFonts w:hint="cs"/>
          <w:sz w:val="26"/>
          <w:szCs w:val="26"/>
          <w:rtl/>
        </w:rPr>
        <w:t xml:space="preserve"> </w:t>
      </w:r>
      <w:r w:rsidR="00431FFF">
        <w:rPr>
          <w:rFonts w:hint="cs"/>
          <w:sz w:val="26"/>
          <w:szCs w:val="26"/>
          <w:rtl/>
        </w:rPr>
        <w:t>ب</w:t>
      </w:r>
      <w:r w:rsidR="008C1BB1">
        <w:rPr>
          <w:rFonts w:hint="cs"/>
          <w:sz w:val="26"/>
          <w:szCs w:val="26"/>
          <w:rtl/>
        </w:rPr>
        <w:t>أنه يتمشي مع البيانات المبلغ عنها بمقتضي المادة 7 من بروتوكول مونتريال.</w:t>
      </w:r>
      <w:r>
        <w:rPr>
          <w:rFonts w:hint="cs"/>
          <w:sz w:val="26"/>
          <w:szCs w:val="26"/>
          <w:rtl/>
        </w:rPr>
        <w:t xml:space="preserve"> </w:t>
      </w:r>
      <w:r w:rsidR="00431FFF">
        <w:rPr>
          <w:rFonts w:hint="cs"/>
          <w:sz w:val="26"/>
          <w:szCs w:val="26"/>
          <w:rtl/>
        </w:rPr>
        <w:t>ومن المتوقع أن تقدم بيانات  البرنامج القطرى</w:t>
      </w:r>
      <w:r w:rsidR="007063A5">
        <w:rPr>
          <w:rFonts w:hint="cs"/>
          <w:sz w:val="26"/>
          <w:szCs w:val="26"/>
          <w:rtl/>
          <w:lang w:bidi="ar-AE"/>
        </w:rPr>
        <w:t xml:space="preserve"> للعام 2018</w:t>
      </w:r>
      <w:r>
        <w:rPr>
          <w:rFonts w:hint="cs"/>
          <w:sz w:val="26"/>
          <w:szCs w:val="26"/>
          <w:rtl/>
        </w:rPr>
        <w:t xml:space="preserve"> </w:t>
      </w:r>
      <w:r w:rsidR="00431FFF">
        <w:rPr>
          <w:rFonts w:hint="cs"/>
          <w:sz w:val="26"/>
          <w:szCs w:val="26"/>
          <w:rtl/>
        </w:rPr>
        <w:t>في آيار/مايو</w:t>
      </w:r>
      <w:r>
        <w:rPr>
          <w:rFonts w:hint="cs"/>
          <w:sz w:val="26"/>
          <w:szCs w:val="26"/>
          <w:rtl/>
        </w:rPr>
        <w:t xml:space="preserve"> 201</w:t>
      </w:r>
      <w:r w:rsidR="00431FFF">
        <w:rPr>
          <w:rFonts w:hint="cs"/>
          <w:sz w:val="26"/>
          <w:szCs w:val="26"/>
          <w:rtl/>
        </w:rPr>
        <w:t>9</w:t>
      </w:r>
      <w:r>
        <w:rPr>
          <w:rFonts w:hint="cs"/>
          <w:sz w:val="26"/>
          <w:szCs w:val="26"/>
          <w:rtl/>
        </w:rPr>
        <w:t>.</w:t>
      </w:r>
    </w:p>
    <w:p w:rsidR="00B77919" w:rsidRPr="00B77919" w:rsidRDefault="00B77919" w:rsidP="00B77919">
      <w:pPr>
        <w:bidi/>
        <w:spacing w:after="240"/>
        <w:rPr>
          <w:i/>
          <w:iCs/>
          <w:sz w:val="26"/>
          <w:szCs w:val="26"/>
          <w:rtl/>
        </w:rPr>
      </w:pPr>
      <w:r w:rsidRPr="00B77919">
        <w:rPr>
          <w:rFonts w:hint="cs"/>
          <w:i/>
          <w:iCs/>
          <w:sz w:val="26"/>
          <w:szCs w:val="26"/>
          <w:rtl/>
        </w:rPr>
        <w:t>تقرير التحقق</w:t>
      </w:r>
    </w:p>
    <w:p w:rsidR="00B114B2" w:rsidRDefault="00B114B2" w:rsidP="00F75197">
      <w:pPr>
        <w:bidi/>
        <w:spacing w:after="240"/>
        <w:rPr>
          <w:sz w:val="26"/>
          <w:szCs w:val="26"/>
          <w:rtl/>
          <w:lang w:val="en-US" w:bidi="ar-EG"/>
        </w:rPr>
      </w:pPr>
      <w:r>
        <w:rPr>
          <w:rFonts w:hint="cs"/>
          <w:sz w:val="26"/>
          <w:szCs w:val="26"/>
          <w:rtl/>
        </w:rPr>
        <w:t>5</w:t>
      </w:r>
      <w:r>
        <w:rPr>
          <w:rFonts w:hint="cs"/>
          <w:sz w:val="26"/>
          <w:szCs w:val="26"/>
          <w:rtl/>
        </w:rPr>
        <w:tab/>
      </w:r>
      <w:r w:rsidR="00B77919">
        <w:rPr>
          <w:rFonts w:hint="cs"/>
          <w:sz w:val="26"/>
          <w:szCs w:val="26"/>
          <w:rtl/>
        </w:rPr>
        <w:t>غطى تقرير التحقق الفترة بين عام 2013 و</w:t>
      </w:r>
      <w:r w:rsidR="00D6247C">
        <w:rPr>
          <w:rFonts w:hint="cs"/>
          <w:sz w:val="26"/>
          <w:szCs w:val="26"/>
          <w:rtl/>
        </w:rPr>
        <w:t xml:space="preserve">عام </w:t>
      </w:r>
      <w:r w:rsidR="00B77919">
        <w:rPr>
          <w:rFonts w:hint="cs"/>
          <w:sz w:val="26"/>
          <w:szCs w:val="26"/>
          <w:rtl/>
        </w:rPr>
        <w:t xml:space="preserve">2018. ويؤكد أن حكومة غابون تنفذ نظام ترخيص وحصص للواردات والصادرات من </w:t>
      </w:r>
      <w:r w:rsidR="00B77919">
        <w:rPr>
          <w:sz w:val="26"/>
          <w:szCs w:val="26"/>
          <w:rtl/>
        </w:rPr>
        <w:t>الهيدروكلوروفلوروكربون</w:t>
      </w:r>
      <w:r w:rsidR="00B77919">
        <w:rPr>
          <w:rFonts w:hint="cs"/>
          <w:sz w:val="26"/>
          <w:szCs w:val="26"/>
          <w:rtl/>
        </w:rPr>
        <w:t xml:space="preserve">، وأن مجموع الاستهلاك من المواد </w:t>
      </w:r>
      <w:r w:rsidR="00B77919">
        <w:rPr>
          <w:sz w:val="26"/>
          <w:szCs w:val="26"/>
          <w:rtl/>
        </w:rPr>
        <w:t>الهيدروكلوروفلوروكربون</w:t>
      </w:r>
      <w:r w:rsidR="00B77919">
        <w:rPr>
          <w:rFonts w:hint="cs"/>
          <w:sz w:val="26"/>
          <w:szCs w:val="26"/>
          <w:rtl/>
        </w:rPr>
        <w:t xml:space="preserve">ية لعام 2018 كان 20.1 </w:t>
      </w:r>
      <w:r w:rsidR="00B77919">
        <w:rPr>
          <w:sz w:val="26"/>
          <w:szCs w:val="26"/>
          <w:rtl/>
        </w:rPr>
        <w:t>طن من قدرات استنفاد الأوزون</w:t>
      </w:r>
      <w:r w:rsidR="00B77919">
        <w:rPr>
          <w:rFonts w:hint="cs"/>
          <w:sz w:val="26"/>
          <w:szCs w:val="26"/>
          <w:rtl/>
        </w:rPr>
        <w:t xml:space="preserve">، حوالى 33 في المائة أقل من </w:t>
      </w:r>
      <w:r w:rsidR="00B77919">
        <w:rPr>
          <w:rFonts w:hint="cs"/>
          <w:sz w:val="26"/>
          <w:szCs w:val="26"/>
          <w:rtl/>
        </w:rPr>
        <w:lastRenderedPageBreak/>
        <w:t xml:space="preserve">خط أساس </w:t>
      </w:r>
      <w:r w:rsidR="00B77919">
        <w:rPr>
          <w:sz w:val="26"/>
          <w:szCs w:val="26"/>
          <w:rtl/>
        </w:rPr>
        <w:t>الهيدروكلوروفلوروكربون</w:t>
      </w:r>
      <w:r w:rsidR="00B77919">
        <w:rPr>
          <w:rFonts w:hint="cs"/>
          <w:sz w:val="26"/>
          <w:szCs w:val="26"/>
          <w:rtl/>
        </w:rPr>
        <w:t xml:space="preserve"> من أجل الامتثال.</w:t>
      </w:r>
      <w:r w:rsidR="0071301E">
        <w:rPr>
          <w:rFonts w:hint="cs"/>
          <w:sz w:val="26"/>
          <w:szCs w:val="26"/>
          <w:rtl/>
          <w:lang w:bidi="ar-EG"/>
        </w:rPr>
        <w:t xml:space="preserve"> </w:t>
      </w:r>
      <w:r w:rsidR="0071301E" w:rsidRPr="000F3075">
        <w:rPr>
          <w:rFonts w:hint="cs"/>
          <w:sz w:val="26"/>
          <w:szCs w:val="26"/>
          <w:highlight w:val="yellow"/>
          <w:rtl/>
          <w:lang w:bidi="ar-EG"/>
        </w:rPr>
        <w:t xml:space="preserve">وبين تقرير التحقق زيادة كبيرة في استيراد </w:t>
      </w:r>
      <w:r w:rsidR="002C4129" w:rsidRPr="000F3075">
        <w:rPr>
          <w:rFonts w:hint="cs"/>
          <w:sz w:val="26"/>
          <w:szCs w:val="26"/>
          <w:highlight w:val="yellow"/>
          <w:rtl/>
          <w:lang w:bidi="ar-EG"/>
        </w:rPr>
        <w:t>ال</w:t>
      </w:r>
      <w:r w:rsidR="0071301E" w:rsidRPr="000F3075">
        <w:rPr>
          <w:rFonts w:hint="cs"/>
          <w:sz w:val="26"/>
          <w:szCs w:val="26"/>
          <w:highlight w:val="yellow"/>
          <w:rtl/>
          <w:lang w:bidi="ar-EG"/>
        </w:rPr>
        <w:t>مواد ا</w:t>
      </w:r>
      <w:r w:rsidR="0071301E" w:rsidRPr="000F3075">
        <w:rPr>
          <w:sz w:val="26"/>
          <w:szCs w:val="26"/>
          <w:highlight w:val="yellow"/>
          <w:rtl/>
        </w:rPr>
        <w:t>لهيدروفلوروكربون</w:t>
      </w:r>
      <w:r w:rsidR="002C4129" w:rsidRPr="000F3075">
        <w:rPr>
          <w:rFonts w:hint="cs"/>
          <w:sz w:val="26"/>
          <w:szCs w:val="26"/>
          <w:highlight w:val="yellow"/>
          <w:rtl/>
        </w:rPr>
        <w:t>ية</w:t>
      </w:r>
      <w:r w:rsidR="0071301E" w:rsidRPr="000F3075">
        <w:rPr>
          <w:rFonts w:hint="cs"/>
          <w:sz w:val="26"/>
          <w:szCs w:val="26"/>
          <w:highlight w:val="yellow"/>
          <w:rtl/>
        </w:rPr>
        <w:t xml:space="preserve"> ومخلوطات</w:t>
      </w:r>
      <w:r w:rsidR="002C4129" w:rsidRPr="000F3075">
        <w:rPr>
          <w:rFonts w:hint="cs"/>
          <w:sz w:val="26"/>
          <w:szCs w:val="26"/>
          <w:highlight w:val="yellow"/>
          <w:rtl/>
        </w:rPr>
        <w:t xml:space="preserve"> من ا</w:t>
      </w:r>
      <w:r w:rsidR="002C4129" w:rsidRPr="000F3075">
        <w:rPr>
          <w:sz w:val="26"/>
          <w:szCs w:val="26"/>
          <w:highlight w:val="yellow"/>
          <w:rtl/>
        </w:rPr>
        <w:t>لهيدروفلوروكربون،</w:t>
      </w:r>
      <w:r w:rsidR="002C4129" w:rsidRPr="000F3075">
        <w:rPr>
          <w:rFonts w:hint="cs"/>
          <w:sz w:val="26"/>
          <w:szCs w:val="26"/>
          <w:highlight w:val="yellow"/>
          <w:rtl/>
        </w:rPr>
        <w:t xml:space="preserve"> أساسا من ا</w:t>
      </w:r>
      <w:r w:rsidR="002C4129" w:rsidRPr="000F3075">
        <w:rPr>
          <w:sz w:val="26"/>
          <w:szCs w:val="26"/>
          <w:highlight w:val="yellow"/>
          <w:rtl/>
        </w:rPr>
        <w:t>لهيدروكلوروفلوروكربون</w:t>
      </w:r>
      <w:r w:rsidR="002C4129" w:rsidRPr="000F3075">
        <w:rPr>
          <w:rFonts w:hint="cs"/>
          <w:sz w:val="26"/>
          <w:szCs w:val="26"/>
          <w:highlight w:val="yellow"/>
          <w:rtl/>
        </w:rPr>
        <w:t xml:space="preserve">-134أ و </w:t>
      </w:r>
      <w:r w:rsidR="002C4129" w:rsidRPr="000F3075">
        <w:rPr>
          <w:sz w:val="26"/>
          <w:szCs w:val="26"/>
          <w:highlight w:val="yellow"/>
          <w:lang w:val="en-US"/>
        </w:rPr>
        <w:t>R-404A</w:t>
      </w:r>
      <w:r w:rsidR="002C4129" w:rsidRPr="000F3075">
        <w:rPr>
          <w:rFonts w:hint="cs"/>
          <w:sz w:val="26"/>
          <w:szCs w:val="26"/>
          <w:highlight w:val="yellow"/>
          <w:rtl/>
          <w:lang w:val="en-US" w:bidi="ar-EG"/>
        </w:rPr>
        <w:t xml:space="preserve"> و </w:t>
      </w:r>
      <w:r w:rsidR="002C4129" w:rsidRPr="000F3075">
        <w:rPr>
          <w:sz w:val="26"/>
          <w:szCs w:val="26"/>
          <w:highlight w:val="yellow"/>
          <w:lang w:val="en-US"/>
        </w:rPr>
        <w:t>R-407C</w:t>
      </w:r>
      <w:r w:rsidR="002C4129" w:rsidRPr="000F3075">
        <w:rPr>
          <w:rFonts w:hint="cs"/>
          <w:sz w:val="26"/>
          <w:szCs w:val="26"/>
          <w:highlight w:val="yellow"/>
          <w:rtl/>
          <w:lang w:val="en-US"/>
        </w:rPr>
        <w:t xml:space="preserve"> </w:t>
      </w:r>
      <w:r w:rsidR="002C4129" w:rsidRPr="000F3075">
        <w:rPr>
          <w:sz w:val="26"/>
          <w:szCs w:val="26"/>
          <w:highlight w:val="yellow"/>
          <w:lang w:val="en-US"/>
        </w:rPr>
        <w:t>R-410A</w:t>
      </w:r>
      <w:r w:rsidR="002C4129" w:rsidRPr="000F3075">
        <w:rPr>
          <w:rFonts w:hint="cs"/>
          <w:sz w:val="26"/>
          <w:szCs w:val="26"/>
          <w:highlight w:val="yellow"/>
          <w:rtl/>
          <w:lang w:val="en-US"/>
        </w:rPr>
        <w:t xml:space="preserve"> ، وإلى حد أقل، </w:t>
      </w:r>
      <w:r w:rsidR="002C4129" w:rsidRPr="000F3075">
        <w:rPr>
          <w:sz w:val="26"/>
          <w:szCs w:val="26"/>
          <w:highlight w:val="yellow"/>
          <w:lang w:val="en-US"/>
        </w:rPr>
        <w:t>600a</w:t>
      </w:r>
      <w:r w:rsidR="002C4129" w:rsidRPr="000F3075">
        <w:rPr>
          <w:rFonts w:hint="cs"/>
          <w:sz w:val="26"/>
          <w:szCs w:val="26"/>
          <w:highlight w:val="yellow"/>
          <w:rtl/>
          <w:lang w:val="en-US" w:bidi="ar-EG"/>
        </w:rPr>
        <w:t xml:space="preserve"> والأمونيا، من عام 2016</w:t>
      </w:r>
      <w:r w:rsidR="002C4129">
        <w:rPr>
          <w:rFonts w:hint="cs"/>
          <w:sz w:val="26"/>
          <w:szCs w:val="26"/>
          <w:rtl/>
          <w:lang w:val="en-US" w:bidi="ar-EG"/>
        </w:rPr>
        <w:t>.</w:t>
      </w:r>
    </w:p>
    <w:p w:rsidR="002C4129" w:rsidRPr="002C4129" w:rsidRDefault="002C4129" w:rsidP="00194801">
      <w:pPr>
        <w:bidi/>
        <w:spacing w:after="240"/>
        <w:rPr>
          <w:sz w:val="26"/>
          <w:szCs w:val="26"/>
          <w:rtl/>
          <w:lang w:val="en-US" w:bidi="ar-EG"/>
        </w:rPr>
      </w:pPr>
      <w:r>
        <w:rPr>
          <w:rFonts w:hint="cs"/>
          <w:sz w:val="26"/>
          <w:szCs w:val="26"/>
          <w:rtl/>
          <w:lang w:val="en-US" w:bidi="ar-EG"/>
        </w:rPr>
        <w:t>6</w:t>
      </w:r>
      <w:r>
        <w:rPr>
          <w:rFonts w:hint="cs"/>
          <w:sz w:val="26"/>
          <w:szCs w:val="26"/>
          <w:rtl/>
          <w:lang w:val="en-US" w:bidi="ar-EG"/>
        </w:rPr>
        <w:tab/>
      </w:r>
      <w:r w:rsidRPr="000F3075">
        <w:rPr>
          <w:rFonts w:hint="cs"/>
          <w:sz w:val="26"/>
          <w:szCs w:val="26"/>
          <w:highlight w:val="yellow"/>
          <w:rtl/>
          <w:lang w:val="en-US" w:bidi="ar-EG"/>
        </w:rPr>
        <w:t xml:space="preserve">أشار تقرير التحقق إلى رابطة مهندسي التبريد، التى أنشأت عام 2000 وبها 500 عضو </w:t>
      </w:r>
      <w:r w:rsidR="00194801" w:rsidRPr="000F3075">
        <w:rPr>
          <w:rFonts w:hint="cs"/>
          <w:sz w:val="26"/>
          <w:szCs w:val="26"/>
          <w:highlight w:val="yellow"/>
          <w:rtl/>
          <w:lang w:val="en-US" w:bidi="ar-EG"/>
        </w:rPr>
        <w:t>يشاركون ف</w:t>
      </w:r>
      <w:r w:rsidRPr="000F3075">
        <w:rPr>
          <w:rFonts w:hint="cs"/>
          <w:sz w:val="26"/>
          <w:szCs w:val="26"/>
          <w:highlight w:val="yellow"/>
          <w:rtl/>
          <w:lang w:val="en-US" w:bidi="ar-EG"/>
        </w:rPr>
        <w:t xml:space="preserve">ي تنفيذ </w:t>
      </w:r>
      <w:r w:rsidRPr="000F3075">
        <w:rPr>
          <w:sz w:val="26"/>
          <w:szCs w:val="26"/>
          <w:highlight w:val="yellow"/>
          <w:rtl/>
        </w:rPr>
        <w:t>خطة إدارة إزالة المواد الهيدروكلوروفلوروكربونية</w:t>
      </w:r>
      <w:r w:rsidR="00DF6DD5" w:rsidRPr="000F3075">
        <w:rPr>
          <w:rFonts w:hint="cs"/>
          <w:sz w:val="26"/>
          <w:szCs w:val="26"/>
          <w:highlight w:val="yellow"/>
          <w:rtl/>
        </w:rPr>
        <w:t>. وأوصت الرابطة بإنشاء مراكز تدريب اضافية في البلد؛ وضع نماذج تدريب تتكيف مع الظروف الوطنية، بما في ذلك التدريب على المعايير وإصدار الشهادات والقيام بحملات لزيادة الوعى بشأن المخاطر المرتبطة باستخدام سوائل التبريد القابلة للاشتعال والأمونيا؛ وتقديم حوافز لاستيراد سوائل تبريد بديلة.</w:t>
      </w:r>
    </w:p>
    <w:p w:rsidR="00B114B2" w:rsidRDefault="007C3C57" w:rsidP="00132CE8">
      <w:pPr>
        <w:bidi/>
        <w:spacing w:after="240"/>
        <w:rPr>
          <w:sz w:val="26"/>
          <w:szCs w:val="26"/>
          <w:rtl/>
        </w:rPr>
      </w:pPr>
      <w:r>
        <w:rPr>
          <w:rFonts w:hint="cs"/>
          <w:sz w:val="26"/>
          <w:szCs w:val="26"/>
          <w:rtl/>
        </w:rPr>
        <w:t>7</w:t>
      </w:r>
      <w:r w:rsidR="00B114B2">
        <w:rPr>
          <w:rFonts w:hint="cs"/>
          <w:sz w:val="26"/>
          <w:szCs w:val="26"/>
          <w:rtl/>
        </w:rPr>
        <w:tab/>
      </w:r>
      <w:r w:rsidR="006D295A">
        <w:rPr>
          <w:rFonts w:hint="cs"/>
          <w:sz w:val="26"/>
          <w:szCs w:val="26"/>
          <w:rtl/>
        </w:rPr>
        <w:t xml:space="preserve">أوصي التحقق: دعم التدريب وزيادة عدد موظفى الجمارك المدربين على تنفيذ اللوائح الوطنية ودون الإقليمية لاستيراد المواد المستنفدة للأوزون؛ توفير أجهزة التعرف على </w:t>
      </w:r>
      <w:r w:rsidR="006D295A">
        <w:rPr>
          <w:sz w:val="26"/>
          <w:szCs w:val="26"/>
          <w:rtl/>
        </w:rPr>
        <w:t>المواد المستنفدة للأوزون</w:t>
      </w:r>
      <w:r w:rsidR="006D295A">
        <w:rPr>
          <w:rFonts w:hint="cs"/>
          <w:sz w:val="26"/>
          <w:szCs w:val="26"/>
          <w:rtl/>
        </w:rPr>
        <w:t xml:space="preserve"> لموظفى الجمارك لدعم الرقابة على الواردات من </w:t>
      </w:r>
      <w:r w:rsidR="006D295A">
        <w:rPr>
          <w:sz w:val="26"/>
          <w:szCs w:val="26"/>
          <w:rtl/>
        </w:rPr>
        <w:t>المواد المستنفدة للأوزون</w:t>
      </w:r>
      <w:r w:rsidR="006D295A">
        <w:rPr>
          <w:rFonts w:hint="cs"/>
          <w:sz w:val="26"/>
          <w:szCs w:val="26"/>
          <w:rtl/>
        </w:rPr>
        <w:t xml:space="preserve">؛ </w:t>
      </w:r>
      <w:r w:rsidR="00184481">
        <w:rPr>
          <w:rFonts w:hint="cs"/>
          <w:sz w:val="26"/>
          <w:szCs w:val="26"/>
          <w:rtl/>
        </w:rPr>
        <w:t xml:space="preserve">الإبقاء على موظفى الجمارك المدربين في وظائفهم لمدد أطول حتى لا يتعطل تنفيذ التدابير؛ دعم تدريب </w:t>
      </w:r>
      <w:r w:rsidR="00132CE8">
        <w:rPr>
          <w:rFonts w:hint="cs"/>
          <w:sz w:val="26"/>
          <w:szCs w:val="26"/>
          <w:rtl/>
        </w:rPr>
        <w:t>المستوردين</w:t>
      </w:r>
      <w:r w:rsidR="00184481">
        <w:rPr>
          <w:rFonts w:hint="cs"/>
          <w:sz w:val="26"/>
          <w:szCs w:val="26"/>
          <w:rtl/>
        </w:rPr>
        <w:t xml:space="preserve"> على تخصيص حصص سنوية. ويوصي أيضا بتوفير نماذج تدريب لمدارس التدريب المهنى على استخدام تكنولوجيات بديلة ذات احتمالية احترار عالمى منخفضة </w:t>
      </w:r>
      <w:r w:rsidR="00184481">
        <w:rPr>
          <w:sz w:val="26"/>
          <w:szCs w:val="26"/>
          <w:rtl/>
        </w:rPr>
        <w:t>–</w:t>
      </w:r>
      <w:r w:rsidR="00184481">
        <w:rPr>
          <w:rFonts w:hint="cs"/>
          <w:sz w:val="26"/>
          <w:szCs w:val="26"/>
          <w:rtl/>
        </w:rPr>
        <w:t xml:space="preserve"> صفر؛</w:t>
      </w:r>
      <w:r w:rsidR="00132CE8">
        <w:rPr>
          <w:rFonts w:hint="cs"/>
          <w:sz w:val="26"/>
          <w:szCs w:val="26"/>
          <w:rtl/>
        </w:rPr>
        <w:t xml:space="preserve"> </w:t>
      </w:r>
      <w:r w:rsidR="00184481">
        <w:rPr>
          <w:rFonts w:hint="cs"/>
          <w:sz w:val="26"/>
          <w:szCs w:val="26"/>
          <w:rtl/>
        </w:rPr>
        <w:t xml:space="preserve">استخدام حوافز إدارية للامداد بالتكنولوجيات البديلة. </w:t>
      </w:r>
      <w:r w:rsidR="00703AA2">
        <w:rPr>
          <w:rFonts w:hint="cs"/>
          <w:sz w:val="26"/>
          <w:szCs w:val="26"/>
          <w:rtl/>
        </w:rPr>
        <w:t xml:space="preserve">وأشار اليونيب إلى أنه سيدعم </w:t>
      </w:r>
      <w:r w:rsidR="00703AA2">
        <w:rPr>
          <w:sz w:val="26"/>
          <w:szCs w:val="26"/>
          <w:rtl/>
        </w:rPr>
        <w:t>الوحدة الوطنية للأوزون</w:t>
      </w:r>
      <w:r w:rsidR="00703AA2">
        <w:rPr>
          <w:rFonts w:hint="cs"/>
          <w:sz w:val="26"/>
          <w:szCs w:val="26"/>
          <w:rtl/>
        </w:rPr>
        <w:t xml:space="preserve"> لتناول التوصيات، وقد ضمن فعلا أنشطة ذات علاقة في خطة تنفيذ الشريحة الرابعة.</w:t>
      </w:r>
    </w:p>
    <w:p w:rsidR="00625FA7" w:rsidRDefault="00916B92" w:rsidP="00703AA2">
      <w:pPr>
        <w:bidi/>
        <w:spacing w:after="240"/>
        <w:rPr>
          <w:sz w:val="26"/>
          <w:szCs w:val="26"/>
          <w:u w:val="single"/>
          <w:rtl/>
          <w:lang w:bidi="ar-EG"/>
        </w:rPr>
      </w:pPr>
      <w:r>
        <w:rPr>
          <w:rFonts w:hint="cs"/>
          <w:sz w:val="26"/>
          <w:szCs w:val="26"/>
          <w:u w:val="single"/>
          <w:rtl/>
          <w:lang w:val="en-US" w:bidi="ar-EG"/>
        </w:rPr>
        <w:t xml:space="preserve">التقرير المرحلى عن تنفيذ الشريحة </w:t>
      </w:r>
      <w:r w:rsidR="00703AA2">
        <w:rPr>
          <w:rFonts w:hint="cs"/>
          <w:sz w:val="26"/>
          <w:szCs w:val="26"/>
          <w:u w:val="single"/>
          <w:rtl/>
          <w:lang w:val="en-US" w:bidi="ar-EG"/>
        </w:rPr>
        <w:t>الثالثة</w:t>
      </w:r>
      <w:r>
        <w:rPr>
          <w:rFonts w:hint="cs"/>
          <w:sz w:val="26"/>
          <w:szCs w:val="26"/>
          <w:u w:val="single"/>
          <w:rtl/>
          <w:lang w:val="en-US" w:bidi="ar-EG"/>
        </w:rPr>
        <w:t xml:space="preserve"> من </w:t>
      </w:r>
      <w:r w:rsidRPr="0088323B">
        <w:rPr>
          <w:sz w:val="26"/>
          <w:szCs w:val="26"/>
          <w:u w:val="single"/>
          <w:rtl/>
          <w:lang w:bidi="ar-EG"/>
        </w:rPr>
        <w:t>خطة إدارة إزالة المواد الهيدروكلوروفلوروكربونية</w:t>
      </w:r>
    </w:p>
    <w:p w:rsidR="00916B92" w:rsidRPr="00916B92" w:rsidRDefault="00916B92" w:rsidP="004C41C4">
      <w:pPr>
        <w:bidi/>
        <w:spacing w:after="240"/>
        <w:rPr>
          <w:i/>
          <w:iCs/>
          <w:sz w:val="26"/>
          <w:szCs w:val="26"/>
          <w:rtl/>
          <w:lang w:val="en-US" w:bidi="ar-EG"/>
        </w:rPr>
      </w:pPr>
      <w:r w:rsidRPr="00916B92">
        <w:rPr>
          <w:rFonts w:hint="cs"/>
          <w:i/>
          <w:iCs/>
          <w:sz w:val="26"/>
          <w:szCs w:val="26"/>
          <w:rtl/>
          <w:lang w:bidi="ar-EG"/>
        </w:rPr>
        <w:t>الإطار القانوني</w:t>
      </w:r>
      <w:r w:rsidR="004C41C4">
        <w:rPr>
          <w:rFonts w:hint="cs"/>
          <w:i/>
          <w:iCs/>
          <w:sz w:val="26"/>
          <w:szCs w:val="26"/>
          <w:rtl/>
          <w:lang w:bidi="ar-EG"/>
        </w:rPr>
        <w:t xml:space="preserve"> </w:t>
      </w:r>
    </w:p>
    <w:p w:rsidR="0014738A" w:rsidRDefault="007C3C57" w:rsidP="006555FF">
      <w:pPr>
        <w:pStyle w:val="StyleComplexArabicTransparent13ptAfter12pt"/>
        <w:bidi/>
        <w:rPr>
          <w:rtl/>
        </w:rPr>
      </w:pPr>
      <w:r>
        <w:rPr>
          <w:rFonts w:cs="Times New Roman" w:hint="cs"/>
          <w:rtl/>
          <w:lang w:val="en-US" w:bidi="ar-EG"/>
        </w:rPr>
        <w:t>8</w:t>
      </w:r>
      <w:r w:rsidR="00625FA7" w:rsidRPr="00380F86">
        <w:rPr>
          <w:rFonts w:cs="Times New Roman"/>
          <w:rtl/>
          <w:lang w:val="en-US" w:bidi="ar-EG"/>
        </w:rPr>
        <w:tab/>
      </w:r>
      <w:r w:rsidR="00703AA2">
        <w:rPr>
          <w:rFonts w:cs="Times New Roman" w:hint="cs"/>
          <w:rtl/>
          <w:lang w:val="en-US" w:bidi="ar-EG"/>
        </w:rPr>
        <w:t xml:space="preserve">إن </w:t>
      </w:r>
      <w:r w:rsidR="007E78C6">
        <w:rPr>
          <w:rFonts w:hint="cs"/>
          <w:rtl/>
        </w:rPr>
        <w:t>اللجنة</w:t>
      </w:r>
      <w:r w:rsidR="00703AA2">
        <w:rPr>
          <w:rtl/>
        </w:rPr>
        <w:t xml:space="preserve"> الوطنية للأوزون</w:t>
      </w:r>
      <w:r w:rsidR="00703AA2">
        <w:rPr>
          <w:rFonts w:hint="cs"/>
          <w:rtl/>
        </w:rPr>
        <w:t>، وهى هيئة استشارية لوزارة الغابات والبيئة، مسؤولة عن وضع وتوزيع حصص الاستيراد السنوى من</w:t>
      </w:r>
      <w:r w:rsidR="00132CE8">
        <w:rPr>
          <w:rFonts w:hint="cs"/>
          <w:rtl/>
        </w:rPr>
        <w:t xml:space="preserve"> </w:t>
      </w:r>
      <w:r w:rsidR="00703AA2">
        <w:rPr>
          <w:rtl/>
        </w:rPr>
        <w:t>الهيدروكلوروفلوروكربون</w:t>
      </w:r>
      <w:r w:rsidR="00703AA2">
        <w:rPr>
          <w:rFonts w:hint="cs"/>
          <w:rtl/>
        </w:rPr>
        <w:t xml:space="preserve">. وأصبح نظام ترخيص وحصص </w:t>
      </w:r>
      <w:r w:rsidR="00703AA2">
        <w:rPr>
          <w:rtl/>
        </w:rPr>
        <w:t>الهيدروكلوروفلوروكربون</w:t>
      </w:r>
      <w:r w:rsidR="007E78C6">
        <w:rPr>
          <w:rFonts w:hint="cs"/>
          <w:rtl/>
        </w:rPr>
        <w:t xml:space="preserve"> فعالا في عام 2013، </w:t>
      </w:r>
      <w:r w:rsidR="007E78C6" w:rsidRPr="000F3075">
        <w:rPr>
          <w:rFonts w:hint="cs"/>
          <w:highlight w:val="yellow"/>
          <w:rtl/>
        </w:rPr>
        <w:t xml:space="preserve">الذي يشمل </w:t>
      </w:r>
      <w:r w:rsidR="007E78C6" w:rsidRPr="000F3075">
        <w:rPr>
          <w:highlight w:val="yellow"/>
          <w:rtl/>
        </w:rPr>
        <w:t>الهيدروكلوروفلوروكربون</w:t>
      </w:r>
      <w:r w:rsidR="007E78C6" w:rsidRPr="000F3075">
        <w:rPr>
          <w:rFonts w:hint="cs"/>
          <w:highlight w:val="yellow"/>
          <w:rtl/>
        </w:rPr>
        <w:t xml:space="preserve"> السائب</w:t>
      </w:r>
      <w:r w:rsidR="007E78C6" w:rsidRPr="000F3075">
        <w:rPr>
          <w:highlight w:val="yellow"/>
          <w:rtl/>
        </w:rPr>
        <w:t xml:space="preserve"> </w:t>
      </w:r>
      <w:r w:rsidR="007E78C6" w:rsidRPr="000F3075">
        <w:rPr>
          <w:rFonts w:hint="cs"/>
          <w:highlight w:val="yellow"/>
          <w:rtl/>
        </w:rPr>
        <w:t xml:space="preserve">والمعدات القائمة على </w:t>
      </w:r>
      <w:r w:rsidR="007E78C6" w:rsidRPr="000F3075">
        <w:rPr>
          <w:highlight w:val="yellow"/>
          <w:rtl/>
        </w:rPr>
        <w:t>الهيدروكلوروفلوروكربون</w:t>
      </w:r>
      <w:r w:rsidR="007E78C6">
        <w:rPr>
          <w:rFonts w:hint="cs"/>
          <w:rtl/>
        </w:rPr>
        <w:t xml:space="preserve">. </w:t>
      </w:r>
      <w:r w:rsidR="00703AA2">
        <w:rPr>
          <w:rFonts w:hint="cs"/>
          <w:rtl/>
        </w:rPr>
        <w:t xml:space="preserve">وتقدم </w:t>
      </w:r>
      <w:r w:rsidR="00703AA2">
        <w:rPr>
          <w:rtl/>
        </w:rPr>
        <w:t>الوحدة الوطنية للأوزون</w:t>
      </w:r>
      <w:r w:rsidR="00591603">
        <w:rPr>
          <w:rFonts w:hint="cs"/>
          <w:rtl/>
        </w:rPr>
        <w:t xml:space="preserve"> السماح</w:t>
      </w:r>
      <w:r w:rsidR="00703AA2">
        <w:rPr>
          <w:rFonts w:hint="cs"/>
          <w:rtl/>
        </w:rPr>
        <w:t xml:space="preserve"> </w:t>
      </w:r>
      <w:r w:rsidR="00591603">
        <w:rPr>
          <w:rFonts w:hint="cs"/>
          <w:rtl/>
        </w:rPr>
        <w:t>ب</w:t>
      </w:r>
      <w:r w:rsidR="00703AA2">
        <w:rPr>
          <w:rFonts w:hint="cs"/>
          <w:rtl/>
        </w:rPr>
        <w:t xml:space="preserve">اصدار ترخيص استيراد </w:t>
      </w:r>
      <w:r w:rsidR="00703AA2">
        <w:rPr>
          <w:rtl/>
        </w:rPr>
        <w:t>الهيدروكلوروفلوروكربون</w:t>
      </w:r>
      <w:r w:rsidR="00703AA2">
        <w:rPr>
          <w:rFonts w:hint="cs"/>
          <w:rtl/>
        </w:rPr>
        <w:t xml:space="preserve"> وتأذن مصلحة الجمارك بالترخيص.</w:t>
      </w:r>
      <w:r w:rsidR="007E78C6">
        <w:rPr>
          <w:rFonts w:hint="cs"/>
          <w:rtl/>
        </w:rPr>
        <w:t xml:space="preserve"> </w:t>
      </w:r>
      <w:r w:rsidR="007E78C6" w:rsidRPr="000F3075">
        <w:rPr>
          <w:rFonts w:hint="cs"/>
          <w:highlight w:val="yellow"/>
          <w:rtl/>
        </w:rPr>
        <w:t>وتنفذ حكومة الغابون اللائحة دون الإقليمية للجماعة الا</w:t>
      </w:r>
      <w:r w:rsidR="00591603" w:rsidRPr="000F3075">
        <w:rPr>
          <w:rFonts w:hint="cs"/>
          <w:highlight w:val="yellow"/>
          <w:rtl/>
        </w:rPr>
        <w:t>قتصادية والنقدية لأفريقيا الوسطى</w:t>
      </w:r>
      <w:r w:rsidR="007E78C6" w:rsidRPr="000F3075">
        <w:rPr>
          <w:rFonts w:hint="cs"/>
          <w:highlight w:val="yellow"/>
          <w:rtl/>
        </w:rPr>
        <w:t xml:space="preserve"> التى تنسق إدارة المواد الخاضعة للرقابة، بما في ذلك </w:t>
      </w:r>
      <w:r w:rsidR="007E78C6" w:rsidRPr="000F3075">
        <w:rPr>
          <w:highlight w:val="yellow"/>
          <w:rtl/>
        </w:rPr>
        <w:t>المواد الهيدروكلوروفلوروكربونية</w:t>
      </w:r>
      <w:r w:rsidR="007E78C6" w:rsidRPr="000F3075">
        <w:rPr>
          <w:rFonts w:hint="cs"/>
          <w:highlight w:val="yellow"/>
          <w:rtl/>
        </w:rPr>
        <w:t xml:space="preserve"> في الاقليم</w:t>
      </w:r>
      <w:r w:rsidR="006555FF" w:rsidRPr="000F3075">
        <w:rPr>
          <w:rFonts w:hint="cs"/>
          <w:highlight w:val="yellow"/>
          <w:rtl/>
        </w:rPr>
        <w:t xml:space="preserve"> الفرعى</w:t>
      </w:r>
      <w:r w:rsidR="007E78C6" w:rsidRPr="000F3075">
        <w:rPr>
          <w:rFonts w:hint="cs"/>
          <w:highlight w:val="yellow"/>
          <w:rtl/>
        </w:rPr>
        <w:t>.</w:t>
      </w:r>
    </w:p>
    <w:p w:rsidR="0072133A" w:rsidRPr="00931ECB" w:rsidRDefault="0072133A" w:rsidP="0072133A">
      <w:pPr>
        <w:pStyle w:val="StyleComplexArabicTransparent13ptAfter12pt"/>
        <w:bidi/>
        <w:rPr>
          <w:i/>
          <w:iCs/>
          <w:rtl/>
        </w:rPr>
      </w:pPr>
      <w:r w:rsidRPr="00931ECB">
        <w:rPr>
          <w:rFonts w:hint="cs"/>
          <w:i/>
          <w:iCs/>
          <w:rtl/>
        </w:rPr>
        <w:t>قطاع خدمة التبريد</w:t>
      </w:r>
    </w:p>
    <w:p w:rsidR="00931ECB" w:rsidRDefault="007C3C57" w:rsidP="00076386">
      <w:pPr>
        <w:pStyle w:val="StyleComplexArabicTransparent13ptAfter12pt"/>
        <w:bidi/>
        <w:rPr>
          <w:rtl/>
        </w:rPr>
      </w:pPr>
      <w:r>
        <w:rPr>
          <w:rFonts w:hint="cs"/>
          <w:rtl/>
        </w:rPr>
        <w:t>9</w:t>
      </w:r>
      <w:r w:rsidR="00C636BB">
        <w:rPr>
          <w:rFonts w:hint="cs"/>
          <w:rtl/>
        </w:rPr>
        <w:tab/>
      </w:r>
      <w:r w:rsidR="002D0847">
        <w:rPr>
          <w:rFonts w:hint="cs"/>
          <w:rtl/>
        </w:rPr>
        <w:t>تشمل الأنشطة الرئيسة المنفذة</w:t>
      </w:r>
      <w:r w:rsidR="00B44A8C">
        <w:rPr>
          <w:rFonts w:hint="cs"/>
          <w:rtl/>
        </w:rPr>
        <w:t>:</w:t>
      </w:r>
    </w:p>
    <w:p w:rsidR="00B44A8C" w:rsidRDefault="00B44A8C" w:rsidP="004B5830">
      <w:pPr>
        <w:pStyle w:val="StyleComplexArabicTransparent13ptAfter12pt"/>
        <w:bidi/>
        <w:ind w:left="1440" w:hanging="720"/>
        <w:rPr>
          <w:rtl/>
        </w:rPr>
      </w:pPr>
      <w:r>
        <w:rPr>
          <w:rFonts w:hint="cs"/>
          <w:rtl/>
        </w:rPr>
        <w:t>(أ)</w:t>
      </w:r>
      <w:r>
        <w:rPr>
          <w:rFonts w:hint="cs"/>
          <w:rtl/>
        </w:rPr>
        <w:tab/>
      </w:r>
      <w:r w:rsidR="00076386">
        <w:rPr>
          <w:rFonts w:hint="cs"/>
          <w:rtl/>
        </w:rPr>
        <w:t xml:space="preserve">زيادة الوعى في ما بين </w:t>
      </w:r>
      <w:r w:rsidR="004B5830">
        <w:rPr>
          <w:rFonts w:hint="cs"/>
          <w:rtl/>
        </w:rPr>
        <w:t xml:space="preserve">متخذى القرارات والأطراف الفاعلة: تم تدريب 35 عضو برلمان من خلال حلقة عمل بشأن إلتزام البلد بازالة </w:t>
      </w:r>
      <w:r w:rsidR="004B5830">
        <w:rPr>
          <w:rtl/>
          <w:lang w:val="en-US" w:bidi="ar-EG"/>
        </w:rPr>
        <w:t>المواد المستنفدة للأوزون</w:t>
      </w:r>
      <w:r w:rsidR="004B5830">
        <w:rPr>
          <w:rFonts w:hint="cs"/>
          <w:rtl/>
          <w:lang w:val="en-US" w:bidi="ar-EG"/>
        </w:rPr>
        <w:t xml:space="preserve"> وتعديل كيغالى؛ وتم تدريب 51 مستورد ووسيط جمركى من خلال حلقتى عمل بشأن تحديد متطلبات الحصص السنوية والواردات من </w:t>
      </w:r>
      <w:r w:rsidR="004B5830">
        <w:rPr>
          <w:rtl/>
          <w:lang w:bidi="ar-EG"/>
        </w:rPr>
        <w:t>المواد الهيدروكلوروفلوروكربونية</w:t>
      </w:r>
      <w:r w:rsidR="004B5830">
        <w:rPr>
          <w:rFonts w:hint="cs"/>
          <w:rtl/>
          <w:lang w:bidi="ar-EG"/>
        </w:rPr>
        <w:t>؛</w:t>
      </w:r>
      <w:r w:rsidR="004B5830">
        <w:rPr>
          <w:rFonts w:hint="cs"/>
          <w:rtl/>
          <w:lang w:val="en-US" w:bidi="ar-EG"/>
        </w:rPr>
        <w:t xml:space="preserve"> </w:t>
      </w:r>
    </w:p>
    <w:p w:rsidR="00B44A8C" w:rsidRDefault="00B44A8C" w:rsidP="00B36AF9">
      <w:pPr>
        <w:pStyle w:val="StyleComplexArabicTransparent13ptAfter12pt"/>
        <w:bidi/>
        <w:ind w:left="1440" w:hanging="720"/>
        <w:rPr>
          <w:rtl/>
        </w:rPr>
      </w:pPr>
      <w:r>
        <w:rPr>
          <w:rFonts w:hint="cs"/>
          <w:rtl/>
        </w:rPr>
        <w:t>(ب)</w:t>
      </w:r>
      <w:r>
        <w:rPr>
          <w:rFonts w:hint="cs"/>
          <w:rtl/>
        </w:rPr>
        <w:tab/>
      </w:r>
      <w:r w:rsidR="00B36AF9">
        <w:rPr>
          <w:rFonts w:hint="cs"/>
          <w:rtl/>
        </w:rPr>
        <w:t xml:space="preserve">التدريب وبناء القدرات والوعى: تم تدريب 100 موظف جمارك وبيئي وإنفاذ القانون من خلال أربع حلقات عمل للتعرف على </w:t>
      </w:r>
      <w:r w:rsidR="00B36AF9">
        <w:rPr>
          <w:rtl/>
          <w:lang w:bidi="ar-EG"/>
        </w:rPr>
        <w:t>المواد الهيدروكلوروفلوروكربونية</w:t>
      </w:r>
      <w:r w:rsidR="00B36AF9">
        <w:rPr>
          <w:rFonts w:hint="cs"/>
          <w:rtl/>
          <w:lang w:bidi="ar-EG"/>
        </w:rPr>
        <w:t xml:space="preserve"> والمعدات القائمة على </w:t>
      </w:r>
      <w:r w:rsidR="00B36AF9">
        <w:rPr>
          <w:rtl/>
          <w:lang w:bidi="ar-EG"/>
        </w:rPr>
        <w:t>الهيدروكلوروفلوروكربون</w:t>
      </w:r>
      <w:r w:rsidR="00E3517B">
        <w:rPr>
          <w:rFonts w:hint="cs"/>
          <w:rtl/>
          <w:lang w:bidi="ar-EG"/>
        </w:rPr>
        <w:t xml:space="preserve"> ومراقبتها. </w:t>
      </w:r>
      <w:r w:rsidR="00E3517B" w:rsidRPr="000F3075">
        <w:rPr>
          <w:rFonts w:hint="cs"/>
          <w:highlight w:val="yellow"/>
          <w:rtl/>
          <w:lang w:bidi="ar-EG"/>
        </w:rPr>
        <w:t xml:space="preserve">وأصبح موظفو الجمارك المدربين على وعى بالجوانب ذات العلاقة ببروتوكول مونتريال ومتطلبات الرقابة على </w:t>
      </w:r>
      <w:r w:rsidR="00E3517B" w:rsidRPr="000F3075">
        <w:rPr>
          <w:highlight w:val="yellow"/>
          <w:rtl/>
          <w:lang w:val="en-US" w:bidi="ar-EG"/>
        </w:rPr>
        <w:t>المواد المستنفدة للأوزون</w:t>
      </w:r>
      <w:r w:rsidR="00E3517B">
        <w:rPr>
          <w:rFonts w:hint="cs"/>
          <w:rtl/>
          <w:lang w:val="en-US" w:bidi="ar-EG"/>
        </w:rPr>
        <w:t>؛</w:t>
      </w:r>
    </w:p>
    <w:p w:rsidR="00701043" w:rsidRDefault="00701043" w:rsidP="00F92C12">
      <w:pPr>
        <w:pStyle w:val="StyleComplexArabicTransparent13ptAfter12pt"/>
        <w:bidi/>
        <w:ind w:left="1440" w:hanging="720"/>
        <w:rPr>
          <w:rtl/>
        </w:rPr>
      </w:pPr>
      <w:r>
        <w:rPr>
          <w:rFonts w:hint="cs"/>
          <w:rtl/>
        </w:rPr>
        <w:t>(ج)</w:t>
      </w:r>
      <w:r>
        <w:rPr>
          <w:rFonts w:hint="cs"/>
          <w:rtl/>
        </w:rPr>
        <w:tab/>
      </w:r>
      <w:r w:rsidR="00517172">
        <w:rPr>
          <w:rFonts w:hint="cs"/>
          <w:rtl/>
        </w:rPr>
        <w:t xml:space="preserve">تدريب تقنيي التبريد: تم تدريب 150 </w:t>
      </w:r>
      <w:r w:rsidR="00F92C12">
        <w:rPr>
          <w:rFonts w:hint="cs"/>
          <w:rtl/>
        </w:rPr>
        <w:t>تق</w:t>
      </w:r>
      <w:r w:rsidR="00517172">
        <w:rPr>
          <w:rFonts w:hint="cs"/>
          <w:rtl/>
        </w:rPr>
        <w:t>تى تبريد وتكييف هواء من خلال خمس حلقات عمل على ممارسات خدمة التبريد الجيدة</w:t>
      </w:r>
      <w:r w:rsidR="001D4695">
        <w:rPr>
          <w:rFonts w:hint="cs"/>
          <w:rtl/>
        </w:rPr>
        <w:t>،</w:t>
      </w:r>
      <w:r w:rsidR="00590239">
        <w:rPr>
          <w:rFonts w:hint="cs"/>
          <w:rtl/>
        </w:rPr>
        <w:t xml:space="preserve"> </w:t>
      </w:r>
      <w:r w:rsidR="00590239" w:rsidRPr="000F3075">
        <w:rPr>
          <w:rFonts w:hint="cs"/>
          <w:highlight w:val="yellow"/>
          <w:rtl/>
        </w:rPr>
        <w:t>المناولة الآمنة لسوائل التبريد القابلة للاشتعال</w:t>
      </w:r>
      <w:r w:rsidR="00590239">
        <w:rPr>
          <w:rFonts w:hint="cs"/>
          <w:rtl/>
        </w:rPr>
        <w:t>،</w:t>
      </w:r>
      <w:r w:rsidR="001D4695">
        <w:rPr>
          <w:rFonts w:hint="cs"/>
          <w:rtl/>
        </w:rPr>
        <w:t xml:space="preserve"> </w:t>
      </w:r>
      <w:r w:rsidR="00590239">
        <w:rPr>
          <w:rFonts w:hint="cs"/>
          <w:rtl/>
        </w:rPr>
        <w:t>وال</w:t>
      </w:r>
      <w:r w:rsidR="001D4695">
        <w:rPr>
          <w:rFonts w:hint="cs"/>
          <w:rtl/>
        </w:rPr>
        <w:t xml:space="preserve">تطورات في </w:t>
      </w:r>
      <w:r w:rsidR="001D4695">
        <w:rPr>
          <w:rFonts w:hint="cs"/>
          <w:rtl/>
        </w:rPr>
        <w:lastRenderedPageBreak/>
        <w:t xml:space="preserve">تكنولوجيات التبريد وتكييف الهواء وكفاءة الطاقة واسترداد وإعادة تدوير </w:t>
      </w:r>
      <w:r w:rsidR="001D4695">
        <w:rPr>
          <w:rtl/>
          <w:lang w:bidi="ar-EG"/>
        </w:rPr>
        <w:t>المواد الهيدروكلوروفلوروكربونية</w:t>
      </w:r>
      <w:r w:rsidR="001D4695">
        <w:rPr>
          <w:rFonts w:hint="cs"/>
          <w:rtl/>
          <w:lang w:bidi="ar-EG"/>
        </w:rPr>
        <w:t xml:space="preserve"> والمناولة الآمنة لتكنولوجيات الهيدروكربون؛</w:t>
      </w:r>
      <w:r w:rsidR="00517172">
        <w:rPr>
          <w:rFonts w:hint="cs"/>
          <w:rtl/>
        </w:rPr>
        <w:t xml:space="preserve"> </w:t>
      </w:r>
    </w:p>
    <w:p w:rsidR="00F745A7" w:rsidRPr="00F745A7" w:rsidRDefault="00F745A7" w:rsidP="00C7601B">
      <w:pPr>
        <w:pStyle w:val="StyleComplexArabicTransparent13ptAfter12pt"/>
        <w:bidi/>
        <w:ind w:left="1440" w:hanging="720"/>
        <w:rPr>
          <w:rtl/>
          <w:lang w:val="en-US" w:bidi="ar-EG"/>
        </w:rPr>
      </w:pPr>
      <w:r>
        <w:rPr>
          <w:rFonts w:hint="cs"/>
          <w:rtl/>
        </w:rPr>
        <w:t>(د)</w:t>
      </w:r>
      <w:r>
        <w:rPr>
          <w:rFonts w:hint="cs"/>
          <w:rtl/>
        </w:rPr>
        <w:tab/>
      </w:r>
      <w:r w:rsidR="006628EC">
        <w:rPr>
          <w:rFonts w:hint="cs"/>
          <w:rtl/>
        </w:rPr>
        <w:t xml:space="preserve">دعم مراكز التدريب </w:t>
      </w:r>
      <w:r w:rsidR="006628EC" w:rsidRPr="000F3075">
        <w:rPr>
          <w:rFonts w:hint="cs"/>
          <w:highlight w:val="yellow"/>
          <w:rtl/>
        </w:rPr>
        <w:t>والامداد بم</w:t>
      </w:r>
      <w:r w:rsidR="00E161F2" w:rsidRPr="000F3075">
        <w:rPr>
          <w:rFonts w:hint="cs"/>
          <w:highlight w:val="yellow"/>
          <w:rtl/>
        </w:rPr>
        <w:t>عدات</w:t>
      </w:r>
      <w:r w:rsidR="006628EC" w:rsidRPr="000F3075">
        <w:rPr>
          <w:rFonts w:hint="cs"/>
          <w:highlight w:val="yellow"/>
          <w:rtl/>
        </w:rPr>
        <w:t xml:space="preserve"> الخدمة</w:t>
      </w:r>
      <w:r w:rsidR="00E161F2" w:rsidRPr="000F3075">
        <w:rPr>
          <w:rFonts w:hint="cs"/>
          <w:highlight w:val="yellow"/>
          <w:rtl/>
        </w:rPr>
        <w:t xml:space="preserve">: </w:t>
      </w:r>
      <w:r w:rsidR="006628EC" w:rsidRPr="000F3075">
        <w:rPr>
          <w:rFonts w:hint="cs"/>
          <w:highlight w:val="yellow"/>
          <w:rtl/>
        </w:rPr>
        <w:t>تم توقيع اتفاق في ما بين الوزارات مع مركز التدريب</w:t>
      </w:r>
      <w:r w:rsidR="00C7601B" w:rsidRPr="000F3075">
        <w:rPr>
          <w:rFonts w:hint="cs"/>
          <w:highlight w:val="yellow"/>
          <w:rtl/>
        </w:rPr>
        <w:t xml:space="preserve"> </w:t>
      </w:r>
      <w:r w:rsidR="006628EC" w:rsidRPr="000F3075">
        <w:rPr>
          <w:rFonts w:hint="cs"/>
          <w:highlight w:val="yellow"/>
          <w:rtl/>
        </w:rPr>
        <w:t xml:space="preserve">("مركز بازيل للتدريب والكفاءة المهنية")؛ </w:t>
      </w:r>
      <w:r w:rsidR="00C7601B" w:rsidRPr="000F3075">
        <w:rPr>
          <w:rFonts w:hint="cs"/>
          <w:highlight w:val="yellow"/>
          <w:rtl/>
        </w:rPr>
        <w:t>و</w:t>
      </w:r>
      <w:r w:rsidR="006628EC" w:rsidRPr="000F3075">
        <w:rPr>
          <w:rFonts w:hint="cs"/>
          <w:highlight w:val="yellow"/>
          <w:rtl/>
        </w:rPr>
        <w:t xml:space="preserve">عقدت حلقة عمل لتدريب المدربين على استخدام المعدات وأعدت المواصفات التقنية للمعدات والآلات المطلوبة (مثل، </w:t>
      </w:r>
      <w:r w:rsidR="00C7601B" w:rsidRPr="000F3075">
        <w:rPr>
          <w:highlight w:val="yellow"/>
          <w:rtl/>
        </w:rPr>
        <w:t>آلات استرداد نقالى ومضخات تفريغ دوارة ذات مرحلتين ومحطتى شحن نقالى ومقياس تفريغ وشحن رقمى وأجهزة تسرب قياسي وقطع غيار</w:t>
      </w:r>
      <w:r w:rsidR="00C7601B" w:rsidRPr="000F3075">
        <w:rPr>
          <w:rFonts w:hint="cs"/>
          <w:highlight w:val="yellow"/>
          <w:rtl/>
        </w:rPr>
        <w:t>) وبدأت عملية الشراء (تعرض تنفيذ هذا النشاط إلى صعوبات، خاصة شراء المعدات والآلات نتيجة للشواغل الأمنية في البلد).</w:t>
      </w:r>
      <w:r w:rsidR="00E161F2">
        <w:rPr>
          <w:rFonts w:hint="cs"/>
          <w:rtl/>
        </w:rPr>
        <w:t xml:space="preserve"> </w:t>
      </w:r>
    </w:p>
    <w:p w:rsidR="0014738A" w:rsidRPr="0075280C" w:rsidRDefault="008909D4" w:rsidP="00B4285A">
      <w:pPr>
        <w:pStyle w:val="StyleComplexArabicTransparent13ptAfter12pt"/>
        <w:bidi/>
        <w:spacing w:after="0"/>
        <w:rPr>
          <w:rFonts w:cs="Times New Roman"/>
          <w:i/>
          <w:iCs/>
          <w:lang w:val="en-US" w:bidi="ar-EG"/>
        </w:rPr>
      </w:pPr>
      <w:r>
        <w:rPr>
          <w:rFonts w:hint="cs"/>
          <w:i/>
          <w:iCs/>
          <w:rtl/>
        </w:rPr>
        <w:t>وحدة تنفيذ المشروع ورصده</w:t>
      </w:r>
      <w:r w:rsidR="00344F1C">
        <w:rPr>
          <w:rFonts w:hint="cs"/>
          <w:i/>
          <w:iCs/>
          <w:rtl/>
        </w:rPr>
        <w:t xml:space="preserve"> </w:t>
      </w:r>
    </w:p>
    <w:p w:rsidR="00380F86" w:rsidRPr="0075280C" w:rsidRDefault="00380F86" w:rsidP="00380F86">
      <w:pPr>
        <w:pStyle w:val="StyleComplexArabicTransparent13ptAfter12pt"/>
        <w:bidi/>
        <w:spacing w:after="0"/>
        <w:rPr>
          <w:rFonts w:cs="Times New Roman"/>
          <w:rtl/>
          <w:lang w:val="en-US" w:bidi="ar-EG"/>
        </w:rPr>
      </w:pPr>
    </w:p>
    <w:p w:rsidR="00380F86" w:rsidRPr="00380F86" w:rsidRDefault="006628EC" w:rsidP="00864C14">
      <w:pPr>
        <w:pStyle w:val="StyleComplexArabicTransparent13ptAfter12pt"/>
        <w:bidi/>
        <w:spacing w:after="0"/>
        <w:rPr>
          <w:rFonts w:cs="Times New Roman"/>
          <w:rtl/>
          <w:lang w:val="en-US" w:bidi="ar-EG"/>
        </w:rPr>
      </w:pPr>
      <w:r>
        <w:rPr>
          <w:rFonts w:cs="Times New Roman" w:hint="cs"/>
          <w:rtl/>
          <w:lang w:val="en-US" w:bidi="ar-EG"/>
        </w:rPr>
        <w:t>10</w:t>
      </w:r>
      <w:r w:rsidR="00C92986" w:rsidRPr="00380F86">
        <w:rPr>
          <w:rFonts w:cs="Times New Roman"/>
          <w:rtl/>
          <w:lang w:val="en-US" w:bidi="ar-EG"/>
        </w:rPr>
        <w:tab/>
      </w:r>
      <w:r w:rsidR="00864C14">
        <w:rPr>
          <w:rFonts w:cs="Times New Roman" w:hint="cs"/>
          <w:rtl/>
          <w:lang w:val="en-US" w:bidi="ar-EG"/>
        </w:rPr>
        <w:t>إن</w:t>
      </w:r>
      <w:r w:rsidR="0087372F">
        <w:rPr>
          <w:rFonts w:cs="Times New Roman" w:hint="cs"/>
          <w:rtl/>
          <w:lang w:val="en-US" w:bidi="ar-EG"/>
        </w:rPr>
        <w:t xml:space="preserve"> </w:t>
      </w:r>
      <w:r w:rsidR="0087372F">
        <w:rPr>
          <w:rtl/>
          <w:lang w:val="en-US" w:bidi="ar-EG"/>
        </w:rPr>
        <w:t xml:space="preserve">الوحدة الوطنية للأوزون </w:t>
      </w:r>
      <w:r w:rsidR="00864C14">
        <w:rPr>
          <w:rFonts w:hint="cs"/>
          <w:rtl/>
          <w:lang w:val="en-US" w:bidi="ar-EG"/>
        </w:rPr>
        <w:t xml:space="preserve">مسؤولة عن تنسيق </w:t>
      </w:r>
      <w:r w:rsidR="0087372F">
        <w:rPr>
          <w:rFonts w:cs="Times New Roman" w:hint="cs"/>
          <w:rtl/>
          <w:lang w:val="en-US" w:bidi="ar-EG"/>
        </w:rPr>
        <w:t>تنفيذ أنشطة</w:t>
      </w:r>
      <w:r w:rsidR="00864C14">
        <w:rPr>
          <w:rFonts w:cs="Times New Roman" w:hint="cs"/>
          <w:rtl/>
          <w:lang w:val="en-US" w:bidi="ar-EG"/>
        </w:rPr>
        <w:t xml:space="preserve"> إزالة المواد المستنفدة للأوزون ورصد أنشطة</w:t>
      </w:r>
      <w:r w:rsidR="005126F9">
        <w:rPr>
          <w:rFonts w:cs="Times New Roman" w:hint="cs"/>
          <w:rtl/>
          <w:lang w:val="en-US" w:bidi="ar-EG"/>
        </w:rPr>
        <w:t xml:space="preserve"> </w:t>
      </w:r>
      <w:r w:rsidR="005126F9">
        <w:rPr>
          <w:rtl/>
          <w:lang w:bidi="ar-EG"/>
        </w:rPr>
        <w:t>خطة إدارة إزالة المواد الهيدروكلوروفلوروكربونية</w:t>
      </w:r>
      <w:r w:rsidR="00864C14">
        <w:rPr>
          <w:rFonts w:hint="cs"/>
          <w:rtl/>
          <w:lang w:bidi="ar-EG"/>
        </w:rPr>
        <w:t xml:space="preserve"> نيابة عن وزارة الغابات والبيئة.</w:t>
      </w:r>
      <w:r w:rsidR="00DB5AB4">
        <w:rPr>
          <w:rFonts w:hint="cs"/>
          <w:rtl/>
          <w:lang w:bidi="ar-EG"/>
        </w:rPr>
        <w:t xml:space="preserve"> </w:t>
      </w:r>
      <w:r w:rsidR="00864C14">
        <w:rPr>
          <w:rFonts w:hint="cs"/>
          <w:rtl/>
          <w:lang w:bidi="ar-EG"/>
        </w:rPr>
        <w:t>وقامت الوحدة الوطنية للأوزون ب</w:t>
      </w:r>
      <w:r w:rsidR="00DB5AB4">
        <w:rPr>
          <w:rFonts w:hint="cs"/>
          <w:rtl/>
          <w:lang w:bidi="ar-EG"/>
        </w:rPr>
        <w:t>توظيف استشار</w:t>
      </w:r>
      <w:r w:rsidR="00864C14">
        <w:rPr>
          <w:rFonts w:hint="cs"/>
          <w:rtl/>
          <w:lang w:bidi="ar-EG"/>
        </w:rPr>
        <w:t>يين (خبيرين في التبريد والجمارك)</w:t>
      </w:r>
      <w:r w:rsidR="00DB5AB4">
        <w:rPr>
          <w:rFonts w:hint="cs"/>
          <w:rtl/>
          <w:lang w:bidi="ar-EG"/>
        </w:rPr>
        <w:t xml:space="preserve"> </w:t>
      </w:r>
      <w:r w:rsidR="00864C14">
        <w:rPr>
          <w:rFonts w:hint="cs"/>
          <w:rtl/>
          <w:lang w:bidi="ar-EG"/>
        </w:rPr>
        <w:t xml:space="preserve">لدعم جمع البيانات وتنفيذ </w:t>
      </w:r>
      <w:r w:rsidR="00864C14">
        <w:rPr>
          <w:rtl/>
          <w:lang w:bidi="ar-EG"/>
        </w:rPr>
        <w:t>خطة إدارة إزالة المواد الهيدروكلوروفلوروكربونية</w:t>
      </w:r>
      <w:r w:rsidR="00864C14">
        <w:rPr>
          <w:rFonts w:hint="cs"/>
          <w:rtl/>
          <w:lang w:bidi="ar-EG"/>
        </w:rPr>
        <w:t>.</w:t>
      </w:r>
    </w:p>
    <w:p w:rsidR="005126F9" w:rsidRDefault="005126F9" w:rsidP="00B6774F">
      <w:pPr>
        <w:bidi/>
        <w:spacing w:after="240"/>
        <w:rPr>
          <w:sz w:val="26"/>
          <w:szCs w:val="26"/>
          <w:u w:val="single"/>
          <w:rtl/>
          <w:lang w:bidi="ar-EG"/>
        </w:rPr>
      </w:pPr>
    </w:p>
    <w:p w:rsidR="00B10329" w:rsidRPr="00380F86" w:rsidRDefault="00A65BD8" w:rsidP="005126F9">
      <w:pPr>
        <w:bidi/>
        <w:spacing w:after="240"/>
        <w:rPr>
          <w:sz w:val="26"/>
          <w:szCs w:val="26"/>
          <w:rtl/>
          <w:lang w:bidi="ar-EG"/>
        </w:rPr>
      </w:pPr>
      <w:r>
        <w:rPr>
          <w:rFonts w:hint="cs"/>
          <w:sz w:val="26"/>
          <w:szCs w:val="26"/>
          <w:u w:val="single"/>
          <w:rtl/>
          <w:lang w:bidi="ar-EG"/>
        </w:rPr>
        <w:t>مستوى صرف الأموال</w:t>
      </w:r>
    </w:p>
    <w:p w:rsidR="003E2C80" w:rsidRDefault="00835332" w:rsidP="002D0847">
      <w:pPr>
        <w:pStyle w:val="StyleComplexArabicTransparent13ptAfter12pt"/>
        <w:bidi/>
        <w:rPr>
          <w:rFonts w:cs="Times New Roman"/>
          <w:rtl/>
          <w:lang w:bidi="ar-EG"/>
        </w:rPr>
      </w:pPr>
      <w:r>
        <w:rPr>
          <w:rFonts w:cs="Times New Roman" w:hint="cs"/>
          <w:rtl/>
          <w:lang w:bidi="ar-EG"/>
        </w:rPr>
        <w:t>11</w:t>
      </w:r>
      <w:r w:rsidR="003E2C80" w:rsidRPr="00380F86">
        <w:rPr>
          <w:rFonts w:cs="Times New Roman"/>
          <w:rtl/>
          <w:lang w:bidi="ar-EG"/>
        </w:rPr>
        <w:tab/>
      </w:r>
      <w:r w:rsidR="00A65BD8">
        <w:rPr>
          <w:rFonts w:cs="Times New Roman" w:hint="cs"/>
          <w:rtl/>
          <w:lang w:bidi="ar-EG"/>
        </w:rPr>
        <w:t xml:space="preserve">حتى </w:t>
      </w:r>
      <w:r w:rsidR="00891B08">
        <w:rPr>
          <w:rFonts w:cs="Times New Roman" w:hint="cs"/>
          <w:rtl/>
          <w:lang w:bidi="ar-EG"/>
        </w:rPr>
        <w:t>آذار/مارس 2019</w:t>
      </w:r>
      <w:r w:rsidR="00A65BD8">
        <w:rPr>
          <w:rFonts w:cs="Times New Roman" w:hint="cs"/>
          <w:rtl/>
          <w:lang w:bidi="ar-EG"/>
        </w:rPr>
        <w:t>، ت</w:t>
      </w:r>
      <w:r w:rsidR="009D3872">
        <w:rPr>
          <w:rFonts w:cs="Times New Roman" w:hint="cs"/>
          <w:rtl/>
          <w:lang w:bidi="ar-EG"/>
        </w:rPr>
        <w:t>ـ</w:t>
      </w:r>
      <w:r w:rsidR="00A65BD8">
        <w:rPr>
          <w:rFonts w:cs="Times New Roman" w:hint="cs"/>
          <w:rtl/>
          <w:lang w:bidi="ar-EG"/>
        </w:rPr>
        <w:t xml:space="preserve">م صرف مبلـغ </w:t>
      </w:r>
      <w:r w:rsidR="002D0847">
        <w:rPr>
          <w:rFonts w:cs="Times New Roman" w:hint="cs"/>
          <w:rtl/>
          <w:lang w:bidi="ar-EG"/>
        </w:rPr>
        <w:t>453</w:t>
      </w:r>
      <w:r w:rsidR="00A65BD8">
        <w:rPr>
          <w:rFonts w:cs="Times New Roman" w:hint="cs"/>
          <w:rtl/>
          <w:lang w:bidi="ar-EG"/>
        </w:rPr>
        <w:t xml:space="preserve"> </w:t>
      </w:r>
      <w:r w:rsidR="002D0847">
        <w:rPr>
          <w:rFonts w:cs="Times New Roman" w:hint="cs"/>
          <w:rtl/>
          <w:lang w:bidi="ar-EG"/>
        </w:rPr>
        <w:t>295</w:t>
      </w:r>
      <w:r w:rsidR="00A65BD8">
        <w:rPr>
          <w:rFonts w:cs="Times New Roman" w:hint="cs"/>
          <w:rtl/>
          <w:lang w:bidi="ar-EG"/>
        </w:rPr>
        <w:t xml:space="preserve">  دولارا أمريكيـا</w:t>
      </w:r>
      <w:r w:rsidR="00943E62">
        <w:rPr>
          <w:rFonts w:cs="Times New Roman" w:hint="cs"/>
          <w:rtl/>
          <w:lang w:bidi="ar-EG"/>
        </w:rPr>
        <w:t xml:space="preserve"> </w:t>
      </w:r>
      <w:r w:rsidR="00A65BD8">
        <w:rPr>
          <w:rFonts w:cs="Times New Roman" w:hint="cs"/>
          <w:rtl/>
          <w:lang w:bidi="ar-EG"/>
        </w:rPr>
        <w:t xml:space="preserve">مـن مبلـغ </w:t>
      </w:r>
      <w:r w:rsidR="00F45060">
        <w:rPr>
          <w:rFonts w:cs="Times New Roman" w:hint="cs"/>
          <w:rtl/>
          <w:lang w:bidi="ar-EG"/>
        </w:rPr>
        <w:t>000</w:t>
      </w:r>
      <w:r w:rsidR="00A65BD8">
        <w:rPr>
          <w:rFonts w:cs="Times New Roman" w:hint="cs"/>
          <w:rtl/>
          <w:lang w:bidi="ar-EG"/>
        </w:rPr>
        <w:t xml:space="preserve"> </w:t>
      </w:r>
      <w:r w:rsidR="002D0847">
        <w:rPr>
          <w:rFonts w:cs="Times New Roman" w:hint="cs"/>
          <w:rtl/>
          <w:lang w:bidi="ar-EG"/>
        </w:rPr>
        <w:t>436</w:t>
      </w:r>
      <w:r w:rsidR="00E610D6">
        <w:rPr>
          <w:rFonts w:cs="Times New Roman" w:hint="cs"/>
          <w:rtl/>
          <w:lang w:bidi="ar-EG"/>
        </w:rPr>
        <w:t xml:space="preserve"> </w:t>
      </w:r>
      <w:r w:rsidR="00A65BD8">
        <w:rPr>
          <w:rFonts w:cs="Times New Roman" w:hint="cs"/>
          <w:rtl/>
          <w:lang w:bidi="ar-EG"/>
        </w:rPr>
        <w:t>دولار أمريكي</w:t>
      </w:r>
      <w:r w:rsidR="00943E62">
        <w:rPr>
          <w:rFonts w:cs="Times New Roman" w:hint="cs"/>
          <w:rtl/>
          <w:lang w:bidi="ar-EG"/>
        </w:rPr>
        <w:t xml:space="preserve"> موافق عليه حتى الآن</w:t>
      </w:r>
      <w:r w:rsidR="00A65BD8">
        <w:rPr>
          <w:rFonts w:cs="Times New Roman" w:hint="cs"/>
          <w:rtl/>
          <w:lang w:bidi="ar-EG"/>
        </w:rPr>
        <w:t xml:space="preserve"> </w:t>
      </w:r>
      <w:r w:rsidR="00CD2F81">
        <w:rPr>
          <w:rFonts w:cs="Times New Roman" w:hint="cs"/>
          <w:rtl/>
          <w:lang w:bidi="ar-EG"/>
        </w:rPr>
        <w:t>(</w:t>
      </w:r>
      <w:r w:rsidR="002D0847">
        <w:rPr>
          <w:rFonts w:cs="Times New Roman" w:hint="cs"/>
          <w:rtl/>
          <w:lang w:bidi="ar-EG"/>
        </w:rPr>
        <w:t>1</w:t>
      </w:r>
      <w:r w:rsidR="00943E62">
        <w:rPr>
          <w:rFonts w:cs="Times New Roman" w:hint="cs"/>
          <w:rtl/>
          <w:lang w:bidi="ar-EG"/>
        </w:rPr>
        <w:t>00</w:t>
      </w:r>
      <w:r w:rsidR="00CD2F81">
        <w:rPr>
          <w:rFonts w:cs="Times New Roman" w:hint="cs"/>
          <w:rtl/>
          <w:lang w:bidi="ar-EG"/>
        </w:rPr>
        <w:t xml:space="preserve"> </w:t>
      </w:r>
      <w:r w:rsidR="002D0847">
        <w:rPr>
          <w:rFonts w:cs="Times New Roman" w:hint="cs"/>
          <w:rtl/>
          <w:lang w:bidi="ar-EG"/>
        </w:rPr>
        <w:t>186</w:t>
      </w:r>
      <w:r w:rsidR="00CD2F81">
        <w:rPr>
          <w:rFonts w:cs="Times New Roman" w:hint="cs"/>
          <w:rtl/>
          <w:lang w:bidi="ar-EG"/>
        </w:rPr>
        <w:t xml:space="preserve"> </w:t>
      </w:r>
      <w:r w:rsidR="00CD2F81">
        <w:rPr>
          <w:rtl/>
          <w:lang w:bidi="ar-EG"/>
        </w:rPr>
        <w:t>دولار أمريك</w:t>
      </w:r>
      <w:r w:rsidR="00CD2F81">
        <w:rPr>
          <w:rFonts w:hint="cs"/>
          <w:rtl/>
          <w:lang w:bidi="ar-EG"/>
        </w:rPr>
        <w:t>ي</w:t>
      </w:r>
      <w:r w:rsidR="00CD2F81">
        <w:rPr>
          <w:rFonts w:cs="Times New Roman" w:hint="cs"/>
          <w:rtl/>
          <w:lang w:bidi="ar-EG"/>
        </w:rPr>
        <w:t xml:space="preserve"> </w:t>
      </w:r>
      <w:r w:rsidR="002D0847">
        <w:rPr>
          <w:rFonts w:cs="Times New Roman" w:hint="cs"/>
          <w:rtl/>
          <w:lang w:bidi="ar-EG"/>
        </w:rPr>
        <w:t>لليونيب</w:t>
      </w:r>
      <w:r w:rsidR="00CD2F81">
        <w:rPr>
          <w:rFonts w:cs="Times New Roman" w:hint="cs"/>
          <w:rtl/>
          <w:lang w:bidi="ar-EG"/>
        </w:rPr>
        <w:t xml:space="preserve"> و </w:t>
      </w:r>
      <w:r w:rsidR="002D0847">
        <w:rPr>
          <w:rFonts w:cs="Times New Roman" w:hint="cs"/>
          <w:rtl/>
          <w:lang w:bidi="ar-EG"/>
        </w:rPr>
        <w:t>353</w:t>
      </w:r>
      <w:r w:rsidR="00CD2F81">
        <w:rPr>
          <w:rFonts w:cs="Times New Roman" w:hint="cs"/>
          <w:rtl/>
          <w:lang w:bidi="ar-EG"/>
        </w:rPr>
        <w:t xml:space="preserve"> </w:t>
      </w:r>
      <w:r w:rsidR="002D0847">
        <w:rPr>
          <w:rFonts w:cs="Times New Roman" w:hint="cs"/>
          <w:rtl/>
          <w:lang w:bidi="ar-EG"/>
        </w:rPr>
        <w:t>109</w:t>
      </w:r>
      <w:r w:rsidR="00CD2F81">
        <w:rPr>
          <w:rFonts w:cs="Times New Roman" w:hint="cs"/>
          <w:rtl/>
          <w:lang w:bidi="ar-EG"/>
        </w:rPr>
        <w:t xml:space="preserve"> </w:t>
      </w:r>
      <w:r w:rsidR="00CD2F81">
        <w:rPr>
          <w:rtl/>
          <w:lang w:bidi="ar-EG"/>
        </w:rPr>
        <w:t>دولار أمر</w:t>
      </w:r>
      <w:r w:rsidR="00CD2F81">
        <w:rPr>
          <w:rFonts w:hint="cs"/>
          <w:rtl/>
          <w:lang w:bidi="ar-EG"/>
        </w:rPr>
        <w:t>ي</w:t>
      </w:r>
      <w:r w:rsidR="00CD2F81">
        <w:rPr>
          <w:rtl/>
          <w:lang w:bidi="ar-EG"/>
        </w:rPr>
        <w:t>ك</w:t>
      </w:r>
      <w:r w:rsidR="00CD2F81">
        <w:rPr>
          <w:rFonts w:hint="cs"/>
          <w:rtl/>
          <w:lang w:bidi="ar-EG"/>
        </w:rPr>
        <w:t xml:space="preserve">ي </w:t>
      </w:r>
      <w:r w:rsidR="002D0847">
        <w:rPr>
          <w:rFonts w:hint="cs"/>
          <w:rtl/>
          <w:lang w:bidi="ar-EG"/>
        </w:rPr>
        <w:t>لليونيدو</w:t>
      </w:r>
      <w:r w:rsidR="00CD2F81">
        <w:rPr>
          <w:rFonts w:hint="cs"/>
          <w:rtl/>
          <w:lang w:bidi="ar-EG"/>
        </w:rPr>
        <w:t>)</w:t>
      </w:r>
      <w:r w:rsidR="002D0847">
        <w:rPr>
          <w:rFonts w:hint="cs"/>
          <w:rtl/>
          <w:lang w:bidi="ar-EG"/>
        </w:rPr>
        <w:t xml:space="preserve"> كما يبين الجدول 2</w:t>
      </w:r>
      <w:r w:rsidR="00943E62">
        <w:rPr>
          <w:rFonts w:hint="cs"/>
          <w:rtl/>
          <w:lang w:bidi="ar-EG"/>
        </w:rPr>
        <w:t>.</w:t>
      </w:r>
      <w:r w:rsidR="00CD2F81">
        <w:rPr>
          <w:rtl/>
          <w:lang w:bidi="ar-EG"/>
        </w:rPr>
        <w:t xml:space="preserve"> </w:t>
      </w:r>
      <w:r w:rsidR="009D3872">
        <w:rPr>
          <w:rFonts w:cs="Times New Roman" w:hint="cs"/>
          <w:rtl/>
          <w:lang w:bidi="ar-EG"/>
        </w:rPr>
        <w:t xml:space="preserve">وسوف يصرف الرصيد البالغ </w:t>
      </w:r>
      <w:r w:rsidR="002D0847">
        <w:rPr>
          <w:rFonts w:cs="Times New Roman" w:hint="cs"/>
          <w:rtl/>
          <w:lang w:bidi="ar-EG"/>
        </w:rPr>
        <w:t>547</w:t>
      </w:r>
      <w:r w:rsidR="009D3872">
        <w:rPr>
          <w:rFonts w:cs="Times New Roman" w:hint="cs"/>
          <w:rtl/>
          <w:lang w:bidi="ar-EG"/>
        </w:rPr>
        <w:t xml:space="preserve"> </w:t>
      </w:r>
      <w:r w:rsidR="002D0847">
        <w:rPr>
          <w:rFonts w:cs="Times New Roman" w:hint="cs"/>
          <w:rtl/>
          <w:lang w:bidi="ar-EG"/>
        </w:rPr>
        <w:t>140</w:t>
      </w:r>
      <w:r w:rsidR="009D3872">
        <w:rPr>
          <w:rFonts w:cs="Times New Roman" w:hint="cs"/>
          <w:rtl/>
          <w:lang w:bidi="ar-EG"/>
        </w:rPr>
        <w:t xml:space="preserve"> دولار أمريكي </w:t>
      </w:r>
      <w:r w:rsidR="002D0847">
        <w:rPr>
          <w:rFonts w:cs="Times New Roman" w:hint="cs"/>
          <w:rtl/>
          <w:lang w:bidi="ar-EG"/>
        </w:rPr>
        <w:t>بين</w:t>
      </w:r>
      <w:r w:rsidR="00CD2F81">
        <w:rPr>
          <w:rFonts w:cs="Times New Roman" w:hint="cs"/>
          <w:rtl/>
          <w:lang w:bidi="ar-EG"/>
        </w:rPr>
        <w:t xml:space="preserve"> </w:t>
      </w:r>
      <w:r w:rsidR="00943E62">
        <w:rPr>
          <w:rFonts w:cs="Times New Roman" w:hint="cs"/>
          <w:rtl/>
          <w:lang w:bidi="ar-EG"/>
        </w:rPr>
        <w:t>عام</w:t>
      </w:r>
      <w:r w:rsidR="002D0847">
        <w:rPr>
          <w:rFonts w:cs="Times New Roman" w:hint="cs"/>
          <w:rtl/>
          <w:lang w:bidi="ar-EG"/>
        </w:rPr>
        <w:t>ى</w:t>
      </w:r>
      <w:r w:rsidR="00891B08">
        <w:rPr>
          <w:rFonts w:cs="Times New Roman" w:hint="cs"/>
          <w:rtl/>
          <w:lang w:bidi="ar-EG"/>
        </w:rPr>
        <w:t xml:space="preserve"> </w:t>
      </w:r>
      <w:r w:rsidR="00943E62">
        <w:rPr>
          <w:rFonts w:cs="Times New Roman" w:hint="cs"/>
          <w:rtl/>
          <w:lang w:bidi="ar-EG"/>
        </w:rPr>
        <w:t>2019</w:t>
      </w:r>
      <w:r w:rsidR="002D0847">
        <w:rPr>
          <w:rFonts w:cs="Times New Roman" w:hint="cs"/>
          <w:rtl/>
          <w:lang w:bidi="ar-EG"/>
        </w:rPr>
        <w:t xml:space="preserve"> و2020.</w:t>
      </w:r>
    </w:p>
    <w:p w:rsidR="00F86DBF" w:rsidRDefault="00F86DBF" w:rsidP="00F86DBF">
      <w:pPr>
        <w:pStyle w:val="Heading3"/>
        <w:numPr>
          <w:ilvl w:val="0"/>
          <w:numId w:val="0"/>
        </w:numPr>
        <w:tabs>
          <w:tab w:val="left" w:pos="708"/>
        </w:tabs>
        <w:spacing w:after="180" w:line="216" w:lineRule="auto"/>
        <w:ind w:right="0"/>
        <w:jc w:val="left"/>
        <w:rPr>
          <w:b/>
          <w:bCs/>
          <w:sz w:val="24"/>
          <w:szCs w:val="24"/>
        </w:rPr>
      </w:pPr>
      <w:r>
        <w:rPr>
          <w:rFonts w:cs="Times New Roman"/>
          <w:b/>
          <w:bCs/>
          <w:sz w:val="24"/>
          <w:szCs w:val="24"/>
          <w:rtl/>
          <w:lang w:bidi="ar-EG"/>
        </w:rPr>
        <w:t xml:space="preserve">الجدول 2: التقرير المالي للمرحلة الأولى من خطة إدارة إزالة </w:t>
      </w:r>
      <w:r>
        <w:rPr>
          <w:rFonts w:hint="cs"/>
          <w:b/>
          <w:bCs/>
          <w:sz w:val="24"/>
          <w:szCs w:val="24"/>
          <w:rtl/>
        </w:rPr>
        <w:t>المواد الهيدروكلوروفلوروكربونية لغابون</w:t>
      </w:r>
      <w:r>
        <w:rPr>
          <w:rFonts w:hint="cs"/>
          <w:bCs/>
          <w:szCs w:val="24"/>
          <w:rtl/>
        </w:rPr>
        <w:t xml:space="preserve"> </w:t>
      </w:r>
      <w:r>
        <w:rPr>
          <w:rFonts w:hint="cs"/>
          <w:b/>
          <w:bCs/>
          <w:sz w:val="24"/>
          <w:szCs w:val="24"/>
          <w:rtl/>
        </w:rPr>
        <w:t xml:space="preserve"> (دولار أمريكي)</w:t>
      </w:r>
    </w:p>
    <w:tbl>
      <w:tblPr>
        <w:bidiVisual/>
        <w:tblW w:w="92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22"/>
        <w:gridCol w:w="1401"/>
        <w:gridCol w:w="1401"/>
        <w:gridCol w:w="1402"/>
        <w:gridCol w:w="2383"/>
      </w:tblGrid>
      <w:tr w:rsidR="00F86DBF" w:rsidTr="00F86DBF">
        <w:trPr>
          <w:trHeight w:val="413"/>
        </w:trPr>
        <w:tc>
          <w:tcPr>
            <w:tcW w:w="2641" w:type="dxa"/>
            <w:gridSpan w:val="2"/>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rPr>
                <w:b/>
                <w:bCs/>
                <w:color w:val="000000"/>
                <w:sz w:val="20"/>
                <w:lang w:val="en-CA" w:eastAsia="en-CA"/>
              </w:rPr>
            </w:pPr>
            <w:r>
              <w:rPr>
                <w:rFonts w:hint="cs"/>
                <w:b/>
                <w:bCs/>
                <w:color w:val="000000"/>
                <w:sz w:val="20"/>
                <w:rtl/>
                <w:lang w:val="en-CA" w:eastAsia="en-CA"/>
              </w:rPr>
              <w:t>الشريحة</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jc w:val="center"/>
              <w:rPr>
                <w:bCs/>
                <w:color w:val="000000"/>
                <w:sz w:val="20"/>
                <w:lang w:val="en-CA" w:eastAsia="en-CA"/>
              </w:rPr>
            </w:pPr>
            <w:r>
              <w:rPr>
                <w:rFonts w:hint="cs"/>
                <w:bCs/>
                <w:color w:val="000000"/>
                <w:sz w:val="20"/>
                <w:rtl/>
                <w:lang w:val="en-CA" w:eastAsia="en-CA"/>
              </w:rPr>
              <w:t>يونيب</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jc w:val="center"/>
              <w:rPr>
                <w:bCs/>
                <w:color w:val="000000"/>
                <w:sz w:val="20"/>
                <w:lang w:val="en-CA" w:eastAsia="en-CA"/>
              </w:rPr>
            </w:pPr>
            <w:r>
              <w:rPr>
                <w:rFonts w:hint="cs"/>
                <w:bCs/>
                <w:color w:val="000000"/>
                <w:sz w:val="20"/>
                <w:rtl/>
                <w:lang w:val="en-CA" w:eastAsia="en-CA"/>
              </w:rPr>
              <w:t>يونيدو</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jc w:val="center"/>
              <w:rPr>
                <w:b/>
                <w:color w:val="000000"/>
                <w:sz w:val="20"/>
                <w:lang w:val="en-CA" w:eastAsia="en-CA"/>
              </w:rPr>
            </w:pPr>
            <w:r>
              <w:rPr>
                <w:rFonts w:hint="cs"/>
                <w:bCs/>
                <w:sz w:val="20"/>
                <w:rtl/>
                <w:lang w:val="en-CA"/>
              </w:rPr>
              <w:t>المجموع</w:t>
            </w:r>
          </w:p>
        </w:tc>
        <w:tc>
          <w:tcPr>
            <w:tcW w:w="2383"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jc w:val="center"/>
              <w:rPr>
                <w:b/>
                <w:color w:val="000000"/>
                <w:sz w:val="20"/>
                <w:lang w:val="en-CA" w:eastAsia="en-CA"/>
              </w:rPr>
            </w:pPr>
            <w:r>
              <w:rPr>
                <w:rFonts w:hint="cs"/>
                <w:bCs/>
                <w:sz w:val="20"/>
                <w:rtl/>
                <w:lang w:val="en-CA"/>
              </w:rPr>
              <w:t>معدل الصرف (%)</w:t>
            </w:r>
          </w:p>
        </w:tc>
      </w:tr>
      <w:tr w:rsidR="00F86DBF" w:rsidTr="00F86DBF">
        <w:trPr>
          <w:trHeight w:val="183"/>
        </w:trPr>
        <w:tc>
          <w:tcPr>
            <w:tcW w:w="1519" w:type="dxa"/>
            <w:vMerge w:val="restart"/>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jc w:val="left"/>
              <w:rPr>
                <w:sz w:val="20"/>
                <w:lang w:val="en-CA"/>
              </w:rPr>
            </w:pPr>
            <w:r>
              <w:rPr>
                <w:rFonts w:hint="cs"/>
                <w:sz w:val="20"/>
                <w:rtl/>
              </w:rPr>
              <w:t>الشريحة الأولى</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jc w:val="center"/>
              <w:rPr>
                <w:sz w:val="20"/>
              </w:rPr>
            </w:pPr>
            <w:r>
              <w:rPr>
                <w:rFonts w:hint="cs"/>
                <w:sz w:val="20"/>
                <w:rtl/>
              </w:rPr>
              <w:t>الموافق عليها</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90,000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130,000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220,000</w:t>
            </w:r>
          </w:p>
        </w:tc>
        <w:tc>
          <w:tcPr>
            <w:tcW w:w="2383" w:type="dxa"/>
            <w:vMerge w:val="restart"/>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center"/>
              <w:rPr>
                <w:color w:val="000000"/>
                <w:sz w:val="20"/>
                <w:lang w:val="en-CA" w:eastAsia="en-CA"/>
              </w:rPr>
            </w:pPr>
            <w:r>
              <w:rPr>
                <w:color w:val="000000"/>
                <w:sz w:val="20"/>
                <w:lang w:val="en-CA" w:eastAsia="en-CA"/>
              </w:rPr>
              <w:t>85.7</w:t>
            </w:r>
          </w:p>
        </w:tc>
      </w:tr>
      <w:tr w:rsidR="00F86DBF" w:rsidTr="00F86DBF">
        <w:trPr>
          <w:trHeight w:val="220"/>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rsidP="00F86DBF">
            <w:pPr>
              <w:bidi/>
              <w:jc w:val="left"/>
              <w:rPr>
                <w:bCs/>
                <w:color w:val="000000"/>
                <w:sz w:val="20"/>
                <w:lang w:val="en-CA" w:eastAsia="en-CA"/>
              </w:rPr>
            </w:pP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jc w:val="center"/>
              <w:rPr>
                <w:color w:val="000000"/>
                <w:sz w:val="20"/>
                <w:lang w:val="en-CA" w:eastAsia="en-CA"/>
              </w:rPr>
            </w:pPr>
            <w:r>
              <w:rPr>
                <w:rFonts w:hint="cs"/>
                <w:sz w:val="20"/>
                <w:rtl/>
              </w:rPr>
              <w:t>المنصرفة</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90,000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98,694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188,694</w:t>
            </w: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pPr>
              <w:jc w:val="left"/>
              <w:rPr>
                <w:color w:val="000000"/>
                <w:sz w:val="20"/>
                <w:lang w:val="en-CA" w:eastAsia="en-CA"/>
              </w:rPr>
            </w:pPr>
          </w:p>
        </w:tc>
      </w:tr>
      <w:tr w:rsidR="00F86DBF" w:rsidTr="00F86DBF">
        <w:trPr>
          <w:trHeight w:val="155"/>
        </w:trPr>
        <w:tc>
          <w:tcPr>
            <w:tcW w:w="1519" w:type="dxa"/>
            <w:vMerge w:val="restart"/>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jc w:val="left"/>
              <w:rPr>
                <w:sz w:val="20"/>
                <w:lang w:val="en-CA"/>
              </w:rPr>
            </w:pPr>
            <w:r>
              <w:rPr>
                <w:rFonts w:hint="cs"/>
                <w:sz w:val="20"/>
                <w:rtl/>
              </w:rPr>
              <w:t>الشريحة الثانية</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jc w:val="center"/>
              <w:rPr>
                <w:sz w:val="20"/>
              </w:rPr>
            </w:pPr>
            <w:r>
              <w:rPr>
                <w:rFonts w:hint="cs"/>
                <w:sz w:val="20"/>
                <w:rtl/>
              </w:rPr>
              <w:t>الموافق عليها</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46,000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46,000</w:t>
            </w:r>
          </w:p>
        </w:tc>
        <w:tc>
          <w:tcPr>
            <w:tcW w:w="2383" w:type="dxa"/>
            <w:vMerge w:val="restart"/>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center"/>
              <w:rPr>
                <w:color w:val="000000"/>
                <w:sz w:val="20"/>
                <w:lang w:val="en-CA" w:eastAsia="en-CA"/>
              </w:rPr>
            </w:pPr>
            <w:r>
              <w:rPr>
                <w:color w:val="000000"/>
                <w:sz w:val="20"/>
                <w:lang w:val="en-CA" w:eastAsia="en-CA"/>
              </w:rPr>
              <w:t>100.0</w:t>
            </w:r>
          </w:p>
        </w:tc>
      </w:tr>
      <w:tr w:rsidR="00F86DBF" w:rsidTr="00F86DBF">
        <w:trPr>
          <w:trHeight w:val="183"/>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rsidP="00F86DBF">
            <w:pPr>
              <w:bidi/>
              <w:jc w:val="left"/>
              <w:rPr>
                <w:bCs/>
                <w:color w:val="000000"/>
                <w:sz w:val="20"/>
                <w:lang w:val="en-CA" w:eastAsia="en-CA"/>
              </w:rPr>
            </w:pP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jc w:val="center"/>
              <w:rPr>
                <w:color w:val="000000"/>
                <w:sz w:val="20"/>
                <w:lang w:val="en-CA" w:eastAsia="en-CA"/>
              </w:rPr>
            </w:pPr>
            <w:r>
              <w:rPr>
                <w:rFonts w:hint="cs"/>
                <w:sz w:val="20"/>
                <w:rtl/>
              </w:rPr>
              <w:t>المنصرفة</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46,000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 xml:space="preserve">46,000 </w:t>
            </w: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pPr>
              <w:jc w:val="left"/>
              <w:rPr>
                <w:color w:val="000000"/>
                <w:sz w:val="20"/>
                <w:lang w:val="en-CA" w:eastAsia="en-CA"/>
              </w:rPr>
            </w:pPr>
          </w:p>
        </w:tc>
      </w:tr>
      <w:tr w:rsidR="00F86DBF" w:rsidTr="00F86DBF">
        <w:trPr>
          <w:trHeight w:val="127"/>
        </w:trPr>
        <w:tc>
          <w:tcPr>
            <w:tcW w:w="1519" w:type="dxa"/>
            <w:vMerge w:val="restart"/>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jc w:val="left"/>
              <w:rPr>
                <w:color w:val="000000"/>
                <w:sz w:val="20"/>
                <w:lang w:val="en-CA" w:eastAsia="en-CA"/>
              </w:rPr>
            </w:pPr>
            <w:r>
              <w:rPr>
                <w:rFonts w:hint="cs"/>
                <w:sz w:val="20"/>
                <w:rtl/>
              </w:rPr>
              <w:t>الشريحة الثالثة</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bidi/>
              <w:jc w:val="center"/>
              <w:rPr>
                <w:sz w:val="20"/>
              </w:rPr>
            </w:pPr>
            <w:r>
              <w:rPr>
                <w:rFonts w:hint="cs"/>
                <w:sz w:val="20"/>
                <w:rtl/>
              </w:rPr>
              <w:t>الموافق عليها</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50,100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119,900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170,000</w:t>
            </w:r>
          </w:p>
        </w:tc>
        <w:tc>
          <w:tcPr>
            <w:tcW w:w="2383" w:type="dxa"/>
            <w:vMerge w:val="restart"/>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center"/>
              <w:rPr>
                <w:color w:val="000000"/>
                <w:sz w:val="20"/>
                <w:lang w:val="en-CA" w:eastAsia="en-CA"/>
              </w:rPr>
            </w:pPr>
            <w:r>
              <w:rPr>
                <w:color w:val="000000"/>
                <w:sz w:val="20"/>
                <w:lang w:val="en-CA" w:eastAsia="en-CA"/>
              </w:rPr>
              <w:t>35.7</w:t>
            </w:r>
          </w:p>
        </w:tc>
      </w:tr>
      <w:tr w:rsidR="00F86DBF" w:rsidTr="00F86DBF">
        <w:trPr>
          <w:trHeight w:val="59"/>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rsidP="00F86DBF">
            <w:pPr>
              <w:bidi/>
              <w:jc w:val="left"/>
              <w:rPr>
                <w:bCs/>
                <w:color w:val="000000"/>
                <w:sz w:val="20"/>
                <w:lang w:val="en-CA" w:eastAsia="en-CA"/>
              </w:rPr>
            </w:pP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jc w:val="center"/>
              <w:rPr>
                <w:color w:val="000000"/>
                <w:sz w:val="20"/>
                <w:lang w:val="en-CA" w:eastAsia="en-CA"/>
              </w:rPr>
            </w:pPr>
            <w:r>
              <w:rPr>
                <w:rFonts w:hint="cs"/>
                <w:sz w:val="20"/>
                <w:rtl/>
              </w:rPr>
              <w:t>المنصرفة</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50,100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10,659</w:t>
            </w:r>
          </w:p>
        </w:tc>
        <w:tc>
          <w:tcPr>
            <w:tcW w:w="1402" w:type="dxa"/>
            <w:tcBorders>
              <w:top w:val="single" w:sz="4" w:space="0" w:color="auto"/>
              <w:left w:val="single" w:sz="4" w:space="0" w:color="auto"/>
              <w:bottom w:val="single" w:sz="4" w:space="0" w:color="auto"/>
              <w:right w:val="single" w:sz="4" w:space="0" w:color="auto"/>
            </w:tcBorders>
            <w:noWrap/>
            <w:vAlign w:val="center"/>
            <w:hideMark/>
          </w:tcPr>
          <w:p w:rsidR="00F86DBF" w:rsidRDefault="00F86DBF">
            <w:pPr>
              <w:keepNext/>
              <w:jc w:val="right"/>
              <w:rPr>
                <w:color w:val="000000"/>
                <w:sz w:val="20"/>
                <w:lang w:val="en-CA" w:eastAsia="en-CA"/>
              </w:rPr>
            </w:pPr>
            <w:r>
              <w:rPr>
                <w:color w:val="000000"/>
                <w:sz w:val="20"/>
                <w:lang w:val="en-CA" w:eastAsia="en-CA"/>
              </w:rPr>
              <w:t>60,759</w:t>
            </w: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pPr>
              <w:jc w:val="left"/>
              <w:rPr>
                <w:color w:val="000000"/>
                <w:sz w:val="20"/>
                <w:lang w:val="en-CA" w:eastAsia="en-CA"/>
              </w:rPr>
            </w:pPr>
          </w:p>
        </w:tc>
      </w:tr>
      <w:tr w:rsidR="00F86DBF" w:rsidTr="00F86DBF">
        <w:trPr>
          <w:trHeight w:val="59"/>
        </w:trPr>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F86DBF" w:rsidRDefault="00F86DBF">
            <w:pPr>
              <w:bidi/>
              <w:jc w:val="left"/>
              <w:rPr>
                <w:color w:val="000000"/>
                <w:sz w:val="20"/>
                <w:lang w:val="en-CA" w:eastAsia="en-CA"/>
              </w:rPr>
            </w:pPr>
            <w:r>
              <w:rPr>
                <w:rFonts w:hint="cs"/>
                <w:sz w:val="20"/>
                <w:rtl/>
                <w:lang w:val="en-CA"/>
              </w:rPr>
              <w:t>المجموع</w:t>
            </w:r>
          </w:p>
        </w:tc>
        <w:tc>
          <w:tcPr>
            <w:tcW w:w="1122" w:type="dxa"/>
            <w:tcBorders>
              <w:top w:val="single" w:sz="4" w:space="0" w:color="auto"/>
              <w:left w:val="single" w:sz="4" w:space="0" w:color="auto"/>
              <w:bottom w:val="single" w:sz="4" w:space="0" w:color="auto"/>
              <w:right w:val="single" w:sz="4" w:space="0" w:color="auto"/>
            </w:tcBorders>
            <w:vAlign w:val="center"/>
            <w:hideMark/>
          </w:tcPr>
          <w:p w:rsidR="00F86DBF" w:rsidRDefault="00F86DBF">
            <w:pPr>
              <w:bidi/>
              <w:jc w:val="center"/>
              <w:rPr>
                <w:sz w:val="20"/>
              </w:rPr>
            </w:pPr>
            <w:r>
              <w:rPr>
                <w:rFonts w:hint="cs"/>
                <w:sz w:val="20"/>
                <w:rtl/>
              </w:rPr>
              <w:t>الموافق عليها</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186,100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249,900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436,000</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center"/>
              <w:rPr>
                <w:color w:val="000000"/>
                <w:sz w:val="20"/>
                <w:lang w:val="en-CA" w:eastAsia="en-CA"/>
              </w:rPr>
            </w:pPr>
            <w:r>
              <w:rPr>
                <w:color w:val="000000"/>
                <w:sz w:val="20"/>
                <w:lang w:val="en-CA" w:eastAsia="en-CA"/>
              </w:rPr>
              <w:t>67.8</w:t>
            </w:r>
          </w:p>
        </w:tc>
      </w:tr>
      <w:tr w:rsidR="00F86DBF" w:rsidTr="00F86DBF">
        <w:trPr>
          <w:trHeight w:val="183"/>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rsidP="00F86DBF">
            <w:pPr>
              <w:bidi/>
              <w:jc w:val="left"/>
              <w:rPr>
                <w:bCs/>
                <w:color w:val="000000"/>
                <w:sz w:val="20"/>
                <w:lang w:val="en-CA" w:eastAsia="en-CA"/>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F86DBF" w:rsidRDefault="00F86DBF">
            <w:pPr>
              <w:jc w:val="center"/>
              <w:rPr>
                <w:color w:val="000000"/>
                <w:sz w:val="20"/>
                <w:lang w:val="en-CA" w:eastAsia="en-CA"/>
              </w:rPr>
            </w:pPr>
            <w:r>
              <w:rPr>
                <w:rFonts w:hint="cs"/>
                <w:sz w:val="20"/>
                <w:rtl/>
              </w:rPr>
              <w:t>المنصرفة</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186,100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109,353</w:t>
            </w:r>
          </w:p>
        </w:tc>
        <w:tc>
          <w:tcPr>
            <w:tcW w:w="1402" w:type="dxa"/>
            <w:tcBorders>
              <w:top w:val="single" w:sz="4" w:space="0" w:color="auto"/>
              <w:left w:val="single" w:sz="4" w:space="0" w:color="auto"/>
              <w:bottom w:val="single" w:sz="4" w:space="0" w:color="auto"/>
              <w:right w:val="single" w:sz="4" w:space="0" w:color="auto"/>
            </w:tcBorders>
            <w:vAlign w:val="center"/>
            <w:hideMark/>
          </w:tcPr>
          <w:p w:rsidR="00F86DBF" w:rsidRDefault="00F86DBF">
            <w:pPr>
              <w:keepNext/>
              <w:jc w:val="right"/>
              <w:rPr>
                <w:color w:val="000000"/>
                <w:sz w:val="20"/>
                <w:lang w:val="en-CA" w:eastAsia="en-CA"/>
              </w:rPr>
            </w:pPr>
            <w:r>
              <w:rPr>
                <w:color w:val="000000"/>
                <w:sz w:val="20"/>
                <w:lang w:val="en-CA" w:eastAsia="en-CA"/>
              </w:rPr>
              <w:t>295,453</w:t>
            </w: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F86DBF" w:rsidRDefault="00F86DBF">
            <w:pPr>
              <w:jc w:val="left"/>
              <w:rPr>
                <w:color w:val="000000"/>
                <w:sz w:val="20"/>
                <w:lang w:val="en-CA" w:eastAsia="en-CA"/>
              </w:rPr>
            </w:pPr>
          </w:p>
        </w:tc>
      </w:tr>
    </w:tbl>
    <w:p w:rsidR="00F86DBF" w:rsidRDefault="00F86DBF" w:rsidP="00F86DBF">
      <w:pPr>
        <w:keepNext/>
        <w:keepLines/>
        <w:spacing w:after="240"/>
        <w:rPr>
          <w:sz w:val="22"/>
          <w:szCs w:val="22"/>
          <w:u w:val="single"/>
          <w:lang w:val="en-CA"/>
        </w:rPr>
      </w:pPr>
    </w:p>
    <w:p w:rsidR="00A735B4" w:rsidRDefault="00A735B4" w:rsidP="00B114B2">
      <w:pPr>
        <w:pStyle w:val="StyleComplexArabicTransparent13ptAfter12pt"/>
        <w:bidi/>
        <w:rPr>
          <w:u w:val="single"/>
          <w:rtl/>
          <w:lang w:bidi="ar-EG"/>
        </w:rPr>
      </w:pPr>
      <w:r w:rsidRPr="00436980">
        <w:rPr>
          <w:rFonts w:cs="Times New Roman" w:hint="cs"/>
          <w:sz w:val="24"/>
          <w:szCs w:val="24"/>
          <w:u w:val="single"/>
          <w:rtl/>
          <w:lang w:bidi="ar-EG"/>
        </w:rPr>
        <w:t xml:space="preserve">خطة تنفيذ الشريحة </w:t>
      </w:r>
      <w:r w:rsidR="00B114B2">
        <w:rPr>
          <w:rFonts w:cs="Times New Roman" w:hint="cs"/>
          <w:sz w:val="24"/>
          <w:szCs w:val="24"/>
          <w:u w:val="single"/>
          <w:rtl/>
          <w:lang w:bidi="ar-EG"/>
        </w:rPr>
        <w:t>الرابعة</w:t>
      </w:r>
      <w:r w:rsidRPr="00436980">
        <w:rPr>
          <w:rFonts w:cs="Times New Roman" w:hint="cs"/>
          <w:sz w:val="24"/>
          <w:szCs w:val="24"/>
          <w:u w:val="single"/>
          <w:rtl/>
          <w:lang w:bidi="ar-EG"/>
        </w:rPr>
        <w:t xml:space="preserve"> من </w:t>
      </w:r>
      <w:r w:rsidRPr="005126F9">
        <w:rPr>
          <w:u w:val="single"/>
          <w:rtl/>
          <w:lang w:bidi="ar-EG"/>
        </w:rPr>
        <w:t>خطة إدارة إزالة المواد الهيدروكلوروفلوروكربونية</w:t>
      </w:r>
    </w:p>
    <w:p w:rsidR="00385253" w:rsidRPr="00436980" w:rsidRDefault="00385253" w:rsidP="00385253">
      <w:pPr>
        <w:pStyle w:val="StyleComplexArabicTransparent13ptAfter12pt"/>
        <w:bidi/>
        <w:rPr>
          <w:rFonts w:cs="Times New Roman"/>
          <w:sz w:val="24"/>
          <w:szCs w:val="24"/>
          <w:u w:val="single"/>
          <w:rtl/>
          <w:lang w:bidi="ar-EG"/>
        </w:rPr>
      </w:pPr>
    </w:p>
    <w:p w:rsidR="00E40BD6" w:rsidRPr="00380F86" w:rsidRDefault="00835332" w:rsidP="00A6221C">
      <w:pPr>
        <w:pStyle w:val="StyleComplexArabicTransparent13ptAfter12pt"/>
        <w:bidi/>
        <w:rPr>
          <w:rFonts w:cs="Times New Roman"/>
          <w:rtl/>
        </w:rPr>
      </w:pPr>
      <w:r>
        <w:rPr>
          <w:rFonts w:cs="Times New Roman" w:hint="cs"/>
          <w:rtl/>
        </w:rPr>
        <w:t>12</w:t>
      </w:r>
      <w:r w:rsidR="006624A1" w:rsidRPr="00380F86">
        <w:rPr>
          <w:rFonts w:cs="Times New Roman"/>
          <w:rtl/>
        </w:rPr>
        <w:tab/>
      </w:r>
      <w:r w:rsidR="00D50F35">
        <w:rPr>
          <w:rFonts w:cs="Times New Roman" w:hint="cs"/>
          <w:rtl/>
        </w:rPr>
        <w:t>سيجرى</w:t>
      </w:r>
      <w:r w:rsidR="00B6774F">
        <w:rPr>
          <w:rFonts w:cs="Times New Roman" w:hint="cs"/>
          <w:rtl/>
        </w:rPr>
        <w:t xml:space="preserve"> </w:t>
      </w:r>
      <w:r w:rsidR="00E84909">
        <w:rPr>
          <w:rFonts w:cs="Times New Roman" w:hint="cs"/>
          <w:rtl/>
        </w:rPr>
        <w:t xml:space="preserve">تنفيذ الأنشطة التالية بين </w:t>
      </w:r>
      <w:r w:rsidR="00A6221C">
        <w:rPr>
          <w:rFonts w:cs="Times New Roman" w:hint="cs"/>
          <w:rtl/>
        </w:rPr>
        <w:t>آذار</w:t>
      </w:r>
      <w:r w:rsidR="005C4FDD">
        <w:rPr>
          <w:rFonts w:cs="Times New Roman" w:hint="cs"/>
          <w:rtl/>
        </w:rPr>
        <w:t>/</w:t>
      </w:r>
      <w:r w:rsidR="00A6221C">
        <w:rPr>
          <w:rFonts w:cs="Times New Roman" w:hint="cs"/>
          <w:rtl/>
        </w:rPr>
        <w:t>مارس</w:t>
      </w:r>
      <w:r w:rsidR="005C4FDD">
        <w:rPr>
          <w:rFonts w:cs="Times New Roman" w:hint="cs"/>
          <w:rtl/>
        </w:rPr>
        <w:t xml:space="preserve"> 2019</w:t>
      </w:r>
      <w:r w:rsidR="00E84909">
        <w:rPr>
          <w:rFonts w:cs="Times New Roman" w:hint="cs"/>
          <w:rtl/>
        </w:rPr>
        <w:t xml:space="preserve"> وكانون الأول/ديسمبر 2020</w:t>
      </w:r>
      <w:r w:rsidR="008C3F18" w:rsidRPr="00380F86">
        <w:rPr>
          <w:rFonts w:cs="Times New Roman"/>
          <w:rtl/>
        </w:rPr>
        <w:t>:</w:t>
      </w:r>
    </w:p>
    <w:p w:rsidR="006624A1" w:rsidRPr="00AD7E84" w:rsidRDefault="006624A1" w:rsidP="00AD7E84">
      <w:pPr>
        <w:pStyle w:val="StyleComplexArabicTransparent13ptAfter12pt"/>
        <w:bidi/>
        <w:ind w:left="1440" w:hanging="720"/>
        <w:rPr>
          <w:rtl/>
        </w:rPr>
      </w:pPr>
      <w:r w:rsidRPr="00380F86">
        <w:rPr>
          <w:rFonts w:cs="Times New Roman"/>
          <w:rtl/>
        </w:rPr>
        <w:t>(أ)</w:t>
      </w:r>
      <w:r w:rsidRPr="00380F86">
        <w:rPr>
          <w:rFonts w:cs="Times New Roman"/>
          <w:rtl/>
        </w:rPr>
        <w:tab/>
      </w:r>
      <w:r w:rsidR="00A6221C">
        <w:rPr>
          <w:rFonts w:cs="Times New Roman" w:hint="cs"/>
          <w:rtl/>
        </w:rPr>
        <w:t xml:space="preserve">تدريب 100 موظف </w:t>
      </w:r>
      <w:r w:rsidR="00D5172F">
        <w:rPr>
          <w:rFonts w:cs="Times New Roman" w:hint="cs"/>
          <w:rtl/>
        </w:rPr>
        <w:t>جمارك</w:t>
      </w:r>
      <w:r w:rsidR="00835332">
        <w:rPr>
          <w:rFonts w:cs="Times New Roman" w:hint="cs"/>
          <w:rtl/>
        </w:rPr>
        <w:t xml:space="preserve"> </w:t>
      </w:r>
      <w:r w:rsidR="00835332" w:rsidRPr="000F3075">
        <w:rPr>
          <w:rFonts w:cs="Times New Roman" w:hint="cs"/>
          <w:highlight w:val="yellow"/>
          <w:rtl/>
        </w:rPr>
        <w:t xml:space="preserve">مع مدريبي الجمارك الذين تلقوا تدريبا في السابق، </w:t>
      </w:r>
      <w:r w:rsidR="00D5172F" w:rsidRPr="000F3075">
        <w:rPr>
          <w:rFonts w:cs="Times New Roman" w:hint="cs"/>
          <w:highlight w:val="yellow"/>
          <w:rtl/>
        </w:rPr>
        <w:t xml:space="preserve">من خلال </w:t>
      </w:r>
      <w:r w:rsidR="00D5172F" w:rsidRPr="000F3075">
        <w:rPr>
          <w:highlight w:val="yellow"/>
          <w:rtl/>
        </w:rPr>
        <w:t>أربع حلقات عمل</w:t>
      </w:r>
      <w:r w:rsidR="00D5172F" w:rsidRPr="000F3075">
        <w:rPr>
          <w:rFonts w:hint="cs"/>
          <w:highlight w:val="yellow"/>
          <w:rtl/>
        </w:rPr>
        <w:t xml:space="preserve"> </w:t>
      </w:r>
      <w:r w:rsidR="00835332" w:rsidRPr="000F3075">
        <w:rPr>
          <w:rFonts w:hint="cs"/>
          <w:highlight w:val="yellow"/>
          <w:rtl/>
        </w:rPr>
        <w:t xml:space="preserve">ليصبحوا على </w:t>
      </w:r>
      <w:r w:rsidR="00D5172F" w:rsidRPr="000F3075">
        <w:rPr>
          <w:rFonts w:hint="cs"/>
          <w:highlight w:val="yellow"/>
          <w:rtl/>
        </w:rPr>
        <w:t>معرفة</w:t>
      </w:r>
      <w:r w:rsidR="00835332" w:rsidRPr="000F3075">
        <w:rPr>
          <w:rFonts w:hint="cs"/>
          <w:highlight w:val="yellow"/>
          <w:rtl/>
        </w:rPr>
        <w:t xml:space="preserve"> بالمتطلبات</w:t>
      </w:r>
      <w:r w:rsidR="00C24635" w:rsidRPr="000F3075">
        <w:rPr>
          <w:rFonts w:hint="cs"/>
          <w:highlight w:val="yellow"/>
          <w:rtl/>
        </w:rPr>
        <w:t xml:space="preserve"> المحدثة</w:t>
      </w:r>
      <w:r w:rsidR="00835332" w:rsidRPr="000F3075">
        <w:rPr>
          <w:rFonts w:hint="cs"/>
          <w:highlight w:val="yellow"/>
          <w:rtl/>
        </w:rPr>
        <w:t xml:space="preserve"> الناظمة للرقابة على </w:t>
      </w:r>
      <w:r w:rsidR="00835332" w:rsidRPr="000F3075">
        <w:rPr>
          <w:highlight w:val="yellow"/>
          <w:rtl/>
          <w:lang w:val="en-US" w:bidi="ar-EG"/>
        </w:rPr>
        <w:t>المواد المستنفدة للأوزون</w:t>
      </w:r>
      <w:r w:rsidR="00835332" w:rsidRPr="000F3075">
        <w:rPr>
          <w:highlight w:val="yellow"/>
          <w:rtl/>
        </w:rPr>
        <w:t xml:space="preserve"> في الغابون</w:t>
      </w:r>
      <w:r w:rsidR="00835332" w:rsidRPr="000F3075">
        <w:rPr>
          <w:rFonts w:hint="cs"/>
          <w:highlight w:val="yellow"/>
          <w:rtl/>
          <w:lang w:val="en-US" w:bidi="ar-EG"/>
        </w:rPr>
        <w:t xml:space="preserve">؛ ليكونو قادرين على </w:t>
      </w:r>
      <w:r w:rsidR="00D5172F" w:rsidRPr="000F3075">
        <w:rPr>
          <w:rFonts w:hint="cs"/>
          <w:highlight w:val="yellow"/>
          <w:rtl/>
        </w:rPr>
        <w:t>التعرف</w:t>
      </w:r>
      <w:r w:rsidR="00D5172F" w:rsidRPr="000F3075">
        <w:rPr>
          <w:highlight w:val="yellow"/>
          <w:rtl/>
        </w:rPr>
        <w:t xml:space="preserve"> على </w:t>
      </w:r>
      <w:r w:rsidR="00835332" w:rsidRPr="000F3075">
        <w:rPr>
          <w:highlight w:val="yellow"/>
          <w:rtl/>
          <w:lang w:val="en-US" w:bidi="ar-EG"/>
        </w:rPr>
        <w:t>المواد المستنفدة للأوزون</w:t>
      </w:r>
      <w:r w:rsidR="00835332" w:rsidRPr="000F3075">
        <w:rPr>
          <w:rFonts w:hint="cs"/>
          <w:highlight w:val="yellow"/>
          <w:rtl/>
          <w:lang w:val="en-US" w:bidi="ar-EG"/>
        </w:rPr>
        <w:t xml:space="preserve"> وسوائل التبريد البديلة ل</w:t>
      </w:r>
      <w:r w:rsidR="00835332" w:rsidRPr="000F3075">
        <w:rPr>
          <w:highlight w:val="yellow"/>
          <w:rtl/>
          <w:lang w:val="en-US" w:bidi="ar-EG"/>
        </w:rPr>
        <w:t xml:space="preserve">لمواد المستنفدة للأوزون </w:t>
      </w:r>
      <w:r w:rsidR="00835332" w:rsidRPr="000F3075">
        <w:rPr>
          <w:rFonts w:hint="cs"/>
          <w:highlight w:val="yellow"/>
          <w:rtl/>
          <w:lang w:val="en-US" w:bidi="ar-EG"/>
        </w:rPr>
        <w:t>والشحنات المشتبه أن بها مواد خاضعة للرقابة؛ الحصول على</w:t>
      </w:r>
      <w:r w:rsidR="00835332">
        <w:rPr>
          <w:rFonts w:hint="cs"/>
          <w:rtl/>
          <w:lang w:val="en-US" w:bidi="ar-EG"/>
        </w:rPr>
        <w:t xml:space="preserve"> </w:t>
      </w:r>
      <w:r w:rsidR="00835332">
        <w:rPr>
          <w:rFonts w:hint="cs"/>
          <w:rtl/>
          <w:lang w:val="en-US" w:bidi="ar-EG"/>
        </w:rPr>
        <w:lastRenderedPageBreak/>
        <w:t xml:space="preserve">المعرفة والمهارات للتعرف على  </w:t>
      </w:r>
      <w:r w:rsidR="00D2299D">
        <w:rPr>
          <w:rtl/>
        </w:rPr>
        <w:t xml:space="preserve">المواد الهيدروكلوروفلوروكربونية </w:t>
      </w:r>
      <w:r w:rsidR="00D2299D">
        <w:rPr>
          <w:rFonts w:hint="cs"/>
          <w:rtl/>
        </w:rPr>
        <w:t xml:space="preserve"> والمعدات القائمة على </w:t>
      </w:r>
      <w:r w:rsidR="00D2299D">
        <w:rPr>
          <w:rtl/>
        </w:rPr>
        <w:t xml:space="preserve">المواد الهيدروكلوروفلوروكربونية </w:t>
      </w:r>
      <w:r w:rsidR="00A6221C">
        <w:rPr>
          <w:rFonts w:hint="cs"/>
          <w:rtl/>
        </w:rPr>
        <w:t xml:space="preserve">(يونيب) </w:t>
      </w:r>
      <w:r w:rsidR="00616E8B">
        <w:rPr>
          <w:rFonts w:cs="Times New Roman" w:hint="cs"/>
          <w:rtl/>
        </w:rPr>
        <w:t xml:space="preserve"> </w:t>
      </w:r>
      <w:r w:rsidR="00F85D11">
        <w:rPr>
          <w:rFonts w:hint="cs"/>
          <w:rtl/>
        </w:rPr>
        <w:t xml:space="preserve"> </w:t>
      </w:r>
      <w:r w:rsidR="004866C2">
        <w:rPr>
          <w:rFonts w:hint="cs"/>
          <w:rtl/>
        </w:rPr>
        <w:t xml:space="preserve">(000 </w:t>
      </w:r>
      <w:r w:rsidR="00A6221C">
        <w:rPr>
          <w:rFonts w:hint="cs"/>
          <w:rtl/>
        </w:rPr>
        <w:t>20</w:t>
      </w:r>
      <w:r w:rsidR="004866C2">
        <w:rPr>
          <w:rFonts w:hint="cs"/>
          <w:rtl/>
        </w:rPr>
        <w:t xml:space="preserve"> </w:t>
      </w:r>
      <w:r w:rsidR="004866C2">
        <w:rPr>
          <w:rtl/>
          <w:lang w:bidi="ar-EG"/>
        </w:rPr>
        <w:t>دولار أمريكي</w:t>
      </w:r>
      <w:r w:rsidR="004866C2">
        <w:rPr>
          <w:rFonts w:hint="cs"/>
          <w:rtl/>
          <w:lang w:bidi="ar-EG"/>
        </w:rPr>
        <w:t>)؛</w:t>
      </w:r>
      <w:r w:rsidR="004866C2">
        <w:rPr>
          <w:rtl/>
          <w:lang w:bidi="ar-EG"/>
        </w:rPr>
        <w:t xml:space="preserve"> </w:t>
      </w:r>
      <w:r w:rsidR="00981030">
        <w:rPr>
          <w:rtl/>
        </w:rPr>
        <w:t xml:space="preserve">     </w:t>
      </w:r>
      <w:r w:rsidR="00D50F35">
        <w:rPr>
          <w:rFonts w:cs="Times New Roman" w:hint="cs"/>
          <w:rtl/>
        </w:rPr>
        <w:t xml:space="preserve"> </w:t>
      </w:r>
      <w:r w:rsidR="009C2AA5">
        <w:rPr>
          <w:rFonts w:cs="Times New Roman" w:hint="cs"/>
          <w:rtl/>
        </w:rPr>
        <w:t xml:space="preserve"> </w:t>
      </w:r>
    </w:p>
    <w:p w:rsidR="006624A1" w:rsidRPr="00380F86" w:rsidRDefault="006624A1" w:rsidP="00564813">
      <w:pPr>
        <w:pStyle w:val="StyleComplexArabicTransparent13ptAfter12pt"/>
        <w:bidi/>
        <w:ind w:left="1440" w:hanging="720"/>
        <w:rPr>
          <w:rFonts w:cs="Times New Roman"/>
          <w:rtl/>
        </w:rPr>
      </w:pPr>
      <w:r w:rsidRPr="00380F86">
        <w:rPr>
          <w:rFonts w:cs="Times New Roman"/>
          <w:rtl/>
        </w:rPr>
        <w:t>(ب)</w:t>
      </w:r>
      <w:r w:rsidRPr="00380F86">
        <w:rPr>
          <w:rFonts w:cs="Times New Roman"/>
          <w:rtl/>
        </w:rPr>
        <w:tab/>
      </w:r>
      <w:r w:rsidR="00F92C12">
        <w:rPr>
          <w:rFonts w:cs="Times New Roman" w:hint="cs"/>
          <w:rtl/>
        </w:rPr>
        <w:t xml:space="preserve">تدريب حوالة 100 </w:t>
      </w:r>
      <w:r w:rsidR="00F92C12">
        <w:rPr>
          <w:rtl/>
        </w:rPr>
        <w:t>تقتى تبريد وتكييف هواء</w:t>
      </w:r>
      <w:r w:rsidR="005237E5">
        <w:rPr>
          <w:rFonts w:hint="cs"/>
          <w:rtl/>
        </w:rPr>
        <w:t xml:space="preserve">، </w:t>
      </w:r>
      <w:r w:rsidR="005237E5" w:rsidRPr="000F3075">
        <w:rPr>
          <w:highlight w:val="yellow"/>
          <w:rtl/>
        </w:rPr>
        <w:t xml:space="preserve">مع </w:t>
      </w:r>
      <w:r w:rsidR="005237E5" w:rsidRPr="000F3075">
        <w:rPr>
          <w:rFonts w:hint="cs"/>
          <w:highlight w:val="yellow"/>
          <w:rtl/>
        </w:rPr>
        <w:t>مدربين تقنيين ممن</w:t>
      </w:r>
      <w:r w:rsidR="005237E5" w:rsidRPr="000F3075">
        <w:rPr>
          <w:highlight w:val="yellow"/>
          <w:rtl/>
        </w:rPr>
        <w:t xml:space="preserve"> تلقوا تدريبا في السابق، من خلال أربع حلقات عمل</w:t>
      </w:r>
      <w:r w:rsidR="00F92C12" w:rsidRPr="000F3075">
        <w:rPr>
          <w:highlight w:val="yellow"/>
          <w:rtl/>
        </w:rPr>
        <w:t xml:space="preserve"> على ممارسات خدمة التبريد الجيدة، </w:t>
      </w:r>
      <w:r w:rsidR="00F92C12" w:rsidRPr="000F3075">
        <w:rPr>
          <w:rFonts w:hint="cs"/>
          <w:highlight w:val="yellow"/>
          <w:rtl/>
        </w:rPr>
        <w:t>بما في ذلك</w:t>
      </w:r>
      <w:r w:rsidR="005237E5" w:rsidRPr="000F3075">
        <w:rPr>
          <w:rFonts w:hint="cs"/>
          <w:highlight w:val="yellow"/>
          <w:rtl/>
        </w:rPr>
        <w:t xml:space="preserve"> استخدام ممارسات الخدمة الجيدة لخفض عمليات التسرب وإنبعاثات سوائل التبريد في دورات الكسح، وضمان كفاءة طاقة قصوى؛ المناولة الآمنه لسوائل التبريد القابلة للاشتعال؛</w:t>
      </w:r>
      <w:r w:rsidR="00F92C12" w:rsidRPr="000F3075">
        <w:rPr>
          <w:highlight w:val="yellow"/>
          <w:rtl/>
        </w:rPr>
        <w:t xml:space="preserve"> </w:t>
      </w:r>
      <w:r w:rsidR="005237E5" w:rsidRPr="000F3075">
        <w:rPr>
          <w:rFonts w:hint="cs"/>
          <w:highlight w:val="yellow"/>
          <w:rtl/>
        </w:rPr>
        <w:t xml:space="preserve">ممارسات </w:t>
      </w:r>
      <w:r w:rsidR="00F92C12" w:rsidRPr="000F3075">
        <w:rPr>
          <w:highlight w:val="yellow"/>
          <w:rtl/>
        </w:rPr>
        <w:t>استرداد وإعادة تدوير</w:t>
      </w:r>
      <w:r w:rsidR="00F92C12" w:rsidRPr="000F3075">
        <w:rPr>
          <w:rFonts w:hint="cs"/>
          <w:highlight w:val="yellow"/>
          <w:rtl/>
        </w:rPr>
        <w:t xml:space="preserve"> واستصلاح</w:t>
      </w:r>
      <w:r w:rsidR="005237E5" w:rsidRPr="000F3075">
        <w:rPr>
          <w:rFonts w:hint="cs"/>
          <w:highlight w:val="yellow"/>
          <w:rtl/>
        </w:rPr>
        <w:t xml:space="preserve"> سوائل التبريد وتعزيز استدامة التدريب وبناء قدرات قطاع التبريد وتكييف الهواء، التنسيق بين </w:t>
      </w:r>
      <w:r w:rsidR="005237E5" w:rsidRPr="000F3075">
        <w:rPr>
          <w:highlight w:val="yellow"/>
          <w:rtl/>
        </w:rPr>
        <w:t>قطاع التبريد وتكييف</w:t>
      </w:r>
      <w:r w:rsidR="00564813" w:rsidRPr="000F3075">
        <w:rPr>
          <w:rFonts w:hint="cs"/>
          <w:highlight w:val="yellow"/>
          <w:rtl/>
        </w:rPr>
        <w:t xml:space="preserve"> الهواء</w:t>
      </w:r>
      <w:r w:rsidR="005237E5" w:rsidRPr="000F3075">
        <w:rPr>
          <w:highlight w:val="yellow"/>
          <w:rtl/>
        </w:rPr>
        <w:t xml:space="preserve"> </w:t>
      </w:r>
      <w:r w:rsidR="005237E5" w:rsidRPr="000F3075">
        <w:rPr>
          <w:rFonts w:hint="cs"/>
          <w:highlight w:val="yellow"/>
          <w:rtl/>
        </w:rPr>
        <w:t>و</w:t>
      </w:r>
      <w:r w:rsidR="005237E5" w:rsidRPr="000F3075">
        <w:rPr>
          <w:highlight w:val="yellow"/>
          <w:rtl/>
        </w:rPr>
        <w:t>ا</w:t>
      </w:r>
      <w:r w:rsidR="00564813" w:rsidRPr="000F3075">
        <w:rPr>
          <w:rFonts w:hint="cs"/>
          <w:highlight w:val="yellow"/>
          <w:rtl/>
        </w:rPr>
        <w:t>ل</w:t>
      </w:r>
      <w:r w:rsidR="005237E5" w:rsidRPr="000F3075">
        <w:rPr>
          <w:rFonts w:hint="cs"/>
          <w:highlight w:val="yellow"/>
          <w:rtl/>
        </w:rPr>
        <w:t>وحدة الوطنية للأوزون، واختيار التكنولوجيات وسوائل التبريد</w:t>
      </w:r>
      <w:r w:rsidR="00F92C12">
        <w:rPr>
          <w:rtl/>
        </w:rPr>
        <w:t xml:space="preserve"> </w:t>
      </w:r>
      <w:r w:rsidR="00F92C12">
        <w:rPr>
          <w:rFonts w:hint="cs"/>
          <w:rtl/>
          <w:lang w:bidi="ar-EG"/>
        </w:rPr>
        <w:t xml:space="preserve">(يونيب) </w:t>
      </w:r>
      <w:r w:rsidR="004866C2">
        <w:rPr>
          <w:rFonts w:cs="Times New Roman" w:hint="cs"/>
          <w:rtl/>
        </w:rPr>
        <w:t xml:space="preserve">(000 </w:t>
      </w:r>
      <w:r w:rsidR="00F92C12">
        <w:rPr>
          <w:rFonts w:cs="Times New Roman" w:hint="cs"/>
          <w:rtl/>
        </w:rPr>
        <w:t>20</w:t>
      </w:r>
      <w:r w:rsidR="004866C2">
        <w:rPr>
          <w:rFonts w:cs="Times New Roman" w:hint="cs"/>
          <w:rtl/>
        </w:rPr>
        <w:t xml:space="preserve"> </w:t>
      </w:r>
      <w:r w:rsidR="004866C2">
        <w:rPr>
          <w:rtl/>
        </w:rPr>
        <w:t>دولار أمريكي</w:t>
      </w:r>
      <w:r w:rsidR="004866C2">
        <w:rPr>
          <w:rFonts w:hint="cs"/>
          <w:rtl/>
        </w:rPr>
        <w:t>)؛</w:t>
      </w:r>
    </w:p>
    <w:p w:rsidR="006624A1" w:rsidRDefault="006624A1" w:rsidP="00E974F8">
      <w:pPr>
        <w:pStyle w:val="StyleComplexArabicTransparent13ptAfter12pt"/>
        <w:bidi/>
        <w:ind w:left="1440" w:hanging="720"/>
        <w:rPr>
          <w:rtl/>
        </w:rPr>
      </w:pPr>
      <w:r w:rsidRPr="00380F86">
        <w:rPr>
          <w:rFonts w:cs="Times New Roman"/>
          <w:rtl/>
        </w:rPr>
        <w:t>(ج)</w:t>
      </w:r>
      <w:r w:rsidRPr="00380F86">
        <w:rPr>
          <w:rFonts w:cs="Times New Roman"/>
          <w:rtl/>
        </w:rPr>
        <w:tab/>
      </w:r>
      <w:r w:rsidR="00F92C12">
        <w:rPr>
          <w:rFonts w:cs="Times New Roman" w:hint="cs"/>
          <w:rtl/>
        </w:rPr>
        <w:t xml:space="preserve">توفير </w:t>
      </w:r>
      <w:r w:rsidR="00F92C12" w:rsidRPr="000F3075">
        <w:rPr>
          <w:rFonts w:cs="Times New Roman" w:hint="cs"/>
          <w:highlight w:val="yellow"/>
          <w:rtl/>
        </w:rPr>
        <w:t>معدات وأدوات</w:t>
      </w:r>
      <w:r w:rsidR="00131753" w:rsidRPr="000F3075">
        <w:rPr>
          <w:rFonts w:cs="Times New Roman" w:hint="cs"/>
          <w:highlight w:val="yellow"/>
          <w:rtl/>
        </w:rPr>
        <w:t xml:space="preserve"> اضافية لمركز التدريب ورابطة تقنيي التبريد</w:t>
      </w:r>
      <w:r w:rsidR="00131753">
        <w:rPr>
          <w:rStyle w:val="FootnoteReference"/>
          <w:rFonts w:cs="Times New Roman"/>
          <w:rtl/>
        </w:rPr>
        <w:footnoteReference w:id="2"/>
      </w:r>
      <w:r w:rsidR="00F92C12">
        <w:rPr>
          <w:rFonts w:cs="Times New Roman" w:hint="cs"/>
          <w:rtl/>
        </w:rPr>
        <w:t xml:space="preserve"> ، بما في ذلك </w:t>
      </w:r>
      <w:r w:rsidR="00F92C12">
        <w:rPr>
          <w:rtl/>
        </w:rPr>
        <w:t xml:space="preserve">آلات استرداد نقالى </w:t>
      </w:r>
      <w:r w:rsidR="00E974F8">
        <w:rPr>
          <w:rFonts w:hint="cs"/>
          <w:rtl/>
        </w:rPr>
        <w:t>ومضخات</w:t>
      </w:r>
      <w:r w:rsidR="00F92C12">
        <w:rPr>
          <w:rtl/>
        </w:rPr>
        <w:t xml:space="preserve"> تفريغ دوارة ذات مرحلتين ومحطتى شحن نقالى ومقياس تفريغ وشحن رقمى وأجهزة تسرب قياسي وقطع غيار ومواد استهلاكية</w:t>
      </w:r>
      <w:r w:rsidR="00F92C12">
        <w:rPr>
          <w:rFonts w:hint="cs"/>
          <w:rtl/>
        </w:rPr>
        <w:t xml:space="preserve"> (مثل، مرشحات وموصلات </w:t>
      </w:r>
      <w:r w:rsidR="00D9717C">
        <w:rPr>
          <w:rFonts w:hint="cs"/>
          <w:rtl/>
        </w:rPr>
        <w:t>وصمامات)؛ ومشاعل وخراطيم (يونيدو)</w:t>
      </w:r>
      <w:r w:rsidR="003845CB">
        <w:rPr>
          <w:rFonts w:hint="cs"/>
          <w:rtl/>
        </w:rPr>
        <w:t xml:space="preserve"> </w:t>
      </w:r>
      <w:r w:rsidR="002B1487">
        <w:rPr>
          <w:rFonts w:hint="cs"/>
          <w:rtl/>
        </w:rPr>
        <w:t>(</w:t>
      </w:r>
      <w:r w:rsidR="00D9717C">
        <w:rPr>
          <w:rFonts w:hint="cs"/>
          <w:rtl/>
        </w:rPr>
        <w:t>547</w:t>
      </w:r>
      <w:r w:rsidR="002B1487">
        <w:rPr>
          <w:rFonts w:hint="cs"/>
          <w:rtl/>
        </w:rPr>
        <w:t xml:space="preserve"> </w:t>
      </w:r>
      <w:r w:rsidR="00D9717C">
        <w:rPr>
          <w:rFonts w:hint="cs"/>
          <w:rtl/>
        </w:rPr>
        <w:t>140</w:t>
      </w:r>
      <w:r w:rsidR="002B1487">
        <w:rPr>
          <w:rFonts w:hint="cs"/>
          <w:rtl/>
        </w:rPr>
        <w:t xml:space="preserve"> </w:t>
      </w:r>
      <w:r w:rsidR="002B1487">
        <w:rPr>
          <w:rtl/>
        </w:rPr>
        <w:t>دولار أمريكي</w:t>
      </w:r>
      <w:r w:rsidR="00D9717C">
        <w:rPr>
          <w:rFonts w:hint="cs"/>
          <w:rtl/>
        </w:rPr>
        <w:t xml:space="preserve"> من الشرائح السابقة المتبقية</w:t>
      </w:r>
      <w:r w:rsidR="003845CB">
        <w:rPr>
          <w:rFonts w:hint="cs"/>
          <w:rtl/>
        </w:rPr>
        <w:t>)؛</w:t>
      </w:r>
    </w:p>
    <w:p w:rsidR="008915E7" w:rsidRDefault="008915E7" w:rsidP="002665FD">
      <w:pPr>
        <w:pStyle w:val="StyleComplexArabicTransparent13ptAfter12pt"/>
        <w:bidi/>
        <w:ind w:left="1440" w:hanging="720"/>
        <w:rPr>
          <w:rtl/>
        </w:rPr>
      </w:pPr>
      <w:r>
        <w:rPr>
          <w:rFonts w:hint="cs"/>
          <w:rtl/>
        </w:rPr>
        <w:t>(د)</w:t>
      </w:r>
      <w:r>
        <w:rPr>
          <w:rFonts w:hint="cs"/>
          <w:rtl/>
        </w:rPr>
        <w:tab/>
      </w:r>
      <w:r w:rsidR="002665FD" w:rsidRPr="000F3075">
        <w:rPr>
          <w:rFonts w:hint="cs"/>
          <w:highlight w:val="yellow"/>
          <w:rtl/>
        </w:rPr>
        <w:t>الإبلاغ عن الأنشطة و</w:t>
      </w:r>
      <w:r w:rsidR="00690C29" w:rsidRPr="000F3075">
        <w:rPr>
          <w:rFonts w:hint="cs"/>
          <w:highlight w:val="yellow"/>
          <w:rtl/>
        </w:rPr>
        <w:t>رصد</w:t>
      </w:r>
      <w:r w:rsidR="002665FD" w:rsidRPr="000F3075">
        <w:rPr>
          <w:rFonts w:hint="cs"/>
          <w:highlight w:val="yellow"/>
          <w:rtl/>
        </w:rPr>
        <w:t>ها بما في ذلك</w:t>
      </w:r>
      <w:r w:rsidR="00690C29" w:rsidRPr="000F3075">
        <w:rPr>
          <w:rFonts w:hint="cs"/>
          <w:highlight w:val="yellow"/>
          <w:rtl/>
        </w:rPr>
        <w:t xml:space="preserve"> </w:t>
      </w:r>
      <w:r w:rsidR="002665FD" w:rsidRPr="000F3075">
        <w:rPr>
          <w:rFonts w:hint="cs"/>
          <w:highlight w:val="yellow"/>
          <w:rtl/>
        </w:rPr>
        <w:t xml:space="preserve">في </w:t>
      </w:r>
      <w:r w:rsidR="00690C29" w:rsidRPr="000F3075">
        <w:rPr>
          <w:highlight w:val="yellow"/>
          <w:rtl/>
        </w:rPr>
        <w:t>خطة إدارة إزالة المواد الهيدروكلوروفلوروكربونية</w:t>
      </w:r>
      <w:r w:rsidR="00690C29">
        <w:rPr>
          <w:rFonts w:hint="cs"/>
          <w:rtl/>
        </w:rPr>
        <w:t xml:space="preserve"> </w:t>
      </w:r>
      <w:r w:rsidR="00D9717C">
        <w:rPr>
          <w:rFonts w:hint="cs"/>
          <w:rtl/>
        </w:rPr>
        <w:t xml:space="preserve">(يونيب) </w:t>
      </w:r>
      <w:r w:rsidR="004440B9">
        <w:rPr>
          <w:rtl/>
        </w:rPr>
        <w:t>(</w:t>
      </w:r>
      <w:r w:rsidR="00D9717C">
        <w:rPr>
          <w:rFonts w:hint="cs"/>
          <w:rtl/>
        </w:rPr>
        <w:t>000</w:t>
      </w:r>
      <w:r w:rsidR="00690C29">
        <w:rPr>
          <w:rFonts w:hint="cs"/>
          <w:rtl/>
        </w:rPr>
        <w:t xml:space="preserve"> </w:t>
      </w:r>
      <w:r w:rsidR="00D9717C">
        <w:rPr>
          <w:rFonts w:hint="cs"/>
          <w:rtl/>
        </w:rPr>
        <w:t>10</w:t>
      </w:r>
      <w:r w:rsidR="00690C29">
        <w:rPr>
          <w:rtl/>
        </w:rPr>
        <w:t xml:space="preserve"> دولار أمريكي)</w:t>
      </w:r>
      <w:r w:rsidR="00690C29">
        <w:rPr>
          <w:rFonts w:hint="cs"/>
          <w:rtl/>
        </w:rPr>
        <w:t>.</w:t>
      </w:r>
    </w:p>
    <w:p w:rsidR="00BB1F83" w:rsidRDefault="00BB1F83" w:rsidP="00BB1F83">
      <w:pPr>
        <w:pStyle w:val="StyleComplexArabicTransparent13ptAfter12pt"/>
        <w:bidi/>
        <w:ind w:left="1440" w:hanging="720"/>
        <w:rPr>
          <w:rtl/>
        </w:rPr>
      </w:pPr>
    </w:p>
    <w:p w:rsidR="00916C8E" w:rsidRPr="00380F86" w:rsidRDefault="00AF0FAB" w:rsidP="00AF0FAB">
      <w:pPr>
        <w:bidi/>
        <w:spacing w:line="40" w:lineRule="atLeast"/>
        <w:jc w:val="center"/>
        <w:rPr>
          <w:b/>
          <w:bCs/>
          <w:sz w:val="28"/>
          <w:szCs w:val="28"/>
          <w:rtl/>
          <w:lang w:val="en-US" w:bidi="ar-EG"/>
        </w:rPr>
      </w:pPr>
      <w:r>
        <w:rPr>
          <w:b/>
          <w:bCs/>
          <w:sz w:val="28"/>
          <w:szCs w:val="28"/>
          <w:rtl/>
          <w:lang w:val="en-US" w:bidi="ar-EG"/>
        </w:rPr>
        <w:t>تعليقـات الأمانة وتوصي</w:t>
      </w:r>
      <w:r>
        <w:rPr>
          <w:rFonts w:hint="cs"/>
          <w:b/>
          <w:bCs/>
          <w:sz w:val="28"/>
          <w:szCs w:val="28"/>
          <w:rtl/>
          <w:lang w:val="en-US" w:bidi="ar-EG"/>
        </w:rPr>
        <w:t>ت</w:t>
      </w:r>
      <w:r w:rsidR="00916C8E" w:rsidRPr="00380F86">
        <w:rPr>
          <w:b/>
          <w:bCs/>
          <w:sz w:val="28"/>
          <w:szCs w:val="28"/>
          <w:rtl/>
          <w:lang w:val="en-US" w:bidi="ar-EG"/>
        </w:rPr>
        <w:t>ـها</w:t>
      </w:r>
    </w:p>
    <w:p w:rsidR="00916C8E" w:rsidRPr="00380F86" w:rsidRDefault="00916C8E" w:rsidP="00461C66">
      <w:pPr>
        <w:bidi/>
        <w:spacing w:line="40" w:lineRule="atLeast"/>
        <w:jc w:val="center"/>
        <w:rPr>
          <w:b/>
          <w:bCs/>
          <w:sz w:val="14"/>
          <w:szCs w:val="14"/>
          <w:rtl/>
          <w:lang w:val="en-US" w:bidi="ar-EG"/>
        </w:rPr>
      </w:pPr>
    </w:p>
    <w:p w:rsidR="00916C8E" w:rsidRDefault="00916C8E" w:rsidP="00916C8E">
      <w:pPr>
        <w:bidi/>
        <w:spacing w:after="240"/>
        <w:rPr>
          <w:b/>
          <w:bCs/>
          <w:sz w:val="28"/>
          <w:szCs w:val="28"/>
          <w:rtl/>
          <w:lang w:val="en-US" w:bidi="ar-EG"/>
        </w:rPr>
      </w:pPr>
      <w:r w:rsidRPr="00380F86">
        <w:rPr>
          <w:b/>
          <w:bCs/>
          <w:sz w:val="28"/>
          <w:szCs w:val="28"/>
          <w:rtl/>
          <w:lang w:val="en-US" w:bidi="ar-EG"/>
        </w:rPr>
        <w:t>التعليقات</w:t>
      </w:r>
    </w:p>
    <w:p w:rsidR="00DB1C62" w:rsidRPr="00DB1C62" w:rsidRDefault="00DB1C62" w:rsidP="00385253">
      <w:pPr>
        <w:bidi/>
        <w:spacing w:after="240"/>
        <w:rPr>
          <w:sz w:val="28"/>
          <w:szCs w:val="28"/>
          <w:u w:val="single"/>
          <w:rtl/>
          <w:lang w:val="en-US" w:bidi="ar-EG"/>
        </w:rPr>
      </w:pPr>
      <w:r w:rsidRPr="00DB1C62">
        <w:rPr>
          <w:rFonts w:hint="cs"/>
          <w:sz w:val="28"/>
          <w:szCs w:val="28"/>
          <w:u w:val="single"/>
          <w:rtl/>
          <w:lang w:val="en-US" w:bidi="ar-EG"/>
        </w:rPr>
        <w:t xml:space="preserve">التقرير المرحلى عن تنفيذ الشريحة </w:t>
      </w:r>
      <w:r w:rsidR="00385253">
        <w:rPr>
          <w:rFonts w:hint="cs"/>
          <w:sz w:val="28"/>
          <w:szCs w:val="28"/>
          <w:u w:val="single"/>
          <w:rtl/>
          <w:lang w:val="en-US" w:bidi="ar-EG"/>
        </w:rPr>
        <w:t>الثالثة</w:t>
      </w:r>
      <w:r w:rsidRPr="00DB1C62">
        <w:rPr>
          <w:rFonts w:hint="cs"/>
          <w:sz w:val="28"/>
          <w:szCs w:val="28"/>
          <w:u w:val="single"/>
          <w:rtl/>
          <w:lang w:val="en-US" w:bidi="ar-EG"/>
        </w:rPr>
        <w:t xml:space="preserve"> من </w:t>
      </w:r>
      <w:r w:rsidRPr="003D10DC">
        <w:rPr>
          <w:sz w:val="28"/>
          <w:szCs w:val="28"/>
          <w:u w:val="single"/>
          <w:rtl/>
          <w:lang w:bidi="ar-EG"/>
        </w:rPr>
        <w:t>خطة إدارة إزالة المواد الهيدروكلوروفلوروكربونية</w:t>
      </w:r>
    </w:p>
    <w:p w:rsidR="002B1487" w:rsidRDefault="002665FD" w:rsidP="00A36A01">
      <w:pPr>
        <w:bidi/>
        <w:spacing w:after="240"/>
        <w:rPr>
          <w:sz w:val="26"/>
          <w:szCs w:val="26"/>
          <w:rtl/>
        </w:rPr>
      </w:pPr>
      <w:r>
        <w:rPr>
          <w:rFonts w:hint="cs"/>
          <w:sz w:val="26"/>
          <w:szCs w:val="26"/>
          <w:rtl/>
          <w:lang w:val="en-US" w:bidi="ar-EG"/>
        </w:rPr>
        <w:t>13</w:t>
      </w:r>
      <w:r w:rsidR="002B1487" w:rsidRPr="002B1487">
        <w:rPr>
          <w:rFonts w:hint="cs"/>
          <w:sz w:val="26"/>
          <w:szCs w:val="26"/>
          <w:rtl/>
          <w:lang w:val="en-US" w:bidi="ar-EG"/>
        </w:rPr>
        <w:tab/>
      </w:r>
      <w:r w:rsidR="00385253">
        <w:rPr>
          <w:rFonts w:hint="cs"/>
          <w:sz w:val="26"/>
          <w:szCs w:val="26"/>
          <w:rtl/>
          <w:lang w:val="en-US" w:bidi="ar-EG"/>
        </w:rPr>
        <w:t>لاحظت الأمانة أن تقديم الشريحة الرابعة تم اقتراحها في الأصل على أن تقدم في عام 2018 وتأجلت نتيجة لتأجيل الشريحة الثالثة، التى كان من المفروض أن تقدم في الأصل في عام 2016</w:t>
      </w:r>
      <w:r w:rsidR="00EE3475">
        <w:rPr>
          <w:rFonts w:hint="cs"/>
          <w:sz w:val="26"/>
          <w:szCs w:val="26"/>
          <w:rtl/>
          <w:lang w:val="en-US" w:bidi="ar-EG"/>
        </w:rPr>
        <w:t>، ونتيجة للتأخيرات في توقيع الاتفاق بين حكومة غابون واليونيب، والتغييرات المؤسسية في الوحد</w:t>
      </w:r>
      <w:r w:rsidR="00A36A01">
        <w:rPr>
          <w:rFonts w:hint="cs"/>
          <w:sz w:val="26"/>
          <w:szCs w:val="26"/>
          <w:rtl/>
          <w:lang w:val="en-US" w:bidi="ar-EG"/>
        </w:rPr>
        <w:t>ة</w:t>
      </w:r>
      <w:r w:rsidR="00EE3475">
        <w:rPr>
          <w:rFonts w:hint="cs"/>
          <w:sz w:val="26"/>
          <w:szCs w:val="26"/>
          <w:rtl/>
          <w:lang w:val="en-US" w:bidi="ar-EG"/>
        </w:rPr>
        <w:t xml:space="preserve"> الوطنية للأوزون. وبالرغم من هذه التأخيرات، تم تنفيذ الأنشطة مما نتج عنها تخفيضات في </w:t>
      </w:r>
      <w:r w:rsidR="00EE3475" w:rsidRPr="00EE3475">
        <w:rPr>
          <w:sz w:val="26"/>
          <w:szCs w:val="26"/>
          <w:rtl/>
          <w:lang w:bidi="ar-EG"/>
        </w:rPr>
        <w:t>المواد الهيدروكلوروفلوروكربونية</w:t>
      </w:r>
      <w:r w:rsidR="00EE3475">
        <w:rPr>
          <w:rFonts w:hint="cs"/>
          <w:sz w:val="26"/>
          <w:szCs w:val="26"/>
          <w:rtl/>
          <w:lang w:bidi="ar-EG"/>
        </w:rPr>
        <w:t xml:space="preserve"> أقل من المستوى المسموح به للاستهلاك. وأشار اليونيب إلى أنه ضمن التخطيط المنسق وتنفيذ والإبلاغ عن جميع الأنشطة المتبقية تمشيا مع خطة العمل، مع اليونيدو، بناء على هذا الاتفاق.</w:t>
      </w:r>
    </w:p>
    <w:p w:rsidR="00B114B2" w:rsidRDefault="00B114B2" w:rsidP="00B114B2">
      <w:pPr>
        <w:bidi/>
        <w:spacing w:after="240"/>
        <w:rPr>
          <w:i/>
          <w:iCs/>
          <w:sz w:val="28"/>
          <w:szCs w:val="28"/>
          <w:lang w:val="en-US" w:bidi="ar-EG"/>
        </w:rPr>
      </w:pPr>
      <w:r>
        <w:rPr>
          <w:rFonts w:hint="cs"/>
          <w:i/>
          <w:iCs/>
          <w:sz w:val="28"/>
          <w:szCs w:val="28"/>
          <w:rtl/>
          <w:lang w:val="en-US" w:bidi="ar-EG"/>
        </w:rPr>
        <w:t>الإطار القانونى</w:t>
      </w:r>
    </w:p>
    <w:p w:rsidR="007F124A" w:rsidRPr="000F1702" w:rsidRDefault="002665FD" w:rsidP="00E23209">
      <w:pPr>
        <w:bidi/>
        <w:spacing w:after="240"/>
        <w:rPr>
          <w:sz w:val="26"/>
          <w:szCs w:val="26"/>
          <w:lang w:val="en-US" w:bidi="ar-EG"/>
        </w:rPr>
      </w:pPr>
      <w:r>
        <w:rPr>
          <w:rFonts w:hint="cs"/>
          <w:sz w:val="26"/>
          <w:szCs w:val="26"/>
          <w:rtl/>
          <w:lang w:val="en-US" w:bidi="ar-EG"/>
        </w:rPr>
        <w:t>14</w:t>
      </w:r>
      <w:r w:rsidR="00916C8E" w:rsidRPr="007F124A">
        <w:rPr>
          <w:sz w:val="26"/>
          <w:szCs w:val="26"/>
          <w:rtl/>
          <w:lang w:val="en-US" w:bidi="ar-EG"/>
        </w:rPr>
        <w:tab/>
      </w:r>
      <w:r w:rsidR="000F1702">
        <w:rPr>
          <w:rFonts w:hint="cs"/>
          <w:sz w:val="26"/>
          <w:szCs w:val="26"/>
          <w:rtl/>
          <w:lang w:val="en-US" w:bidi="ar-EG"/>
        </w:rPr>
        <w:t>أصدرت</w:t>
      </w:r>
      <w:r w:rsidR="00014E19">
        <w:rPr>
          <w:rFonts w:hint="cs"/>
          <w:sz w:val="26"/>
          <w:szCs w:val="26"/>
          <w:rtl/>
          <w:lang w:val="en-US" w:bidi="ar-EG"/>
        </w:rPr>
        <w:t xml:space="preserve"> حكومة </w:t>
      </w:r>
      <w:r w:rsidR="000F1702">
        <w:rPr>
          <w:rFonts w:hint="cs"/>
          <w:sz w:val="26"/>
          <w:szCs w:val="26"/>
          <w:rtl/>
          <w:lang w:val="en-US" w:bidi="ar-EG"/>
        </w:rPr>
        <w:t>غابون حصة وا</w:t>
      </w:r>
      <w:r w:rsidR="00014E19">
        <w:rPr>
          <w:rFonts w:hint="cs"/>
          <w:sz w:val="26"/>
          <w:szCs w:val="26"/>
          <w:rtl/>
          <w:lang w:val="en-US" w:bidi="ar-EG"/>
        </w:rPr>
        <w:t xml:space="preserve">ردات من </w:t>
      </w:r>
      <w:r w:rsidR="000F1702" w:rsidRPr="000F1702">
        <w:rPr>
          <w:sz w:val="26"/>
          <w:szCs w:val="26"/>
          <w:rtl/>
          <w:lang w:bidi="ar-EG"/>
        </w:rPr>
        <w:t>الهيدروكلوروفلوروكربون</w:t>
      </w:r>
      <w:r w:rsidR="000F1702">
        <w:rPr>
          <w:rFonts w:hint="cs"/>
          <w:sz w:val="26"/>
          <w:szCs w:val="26"/>
          <w:rtl/>
          <w:lang w:bidi="ar-EG"/>
        </w:rPr>
        <w:t xml:space="preserve">-22 تبلغ 19.25 </w:t>
      </w:r>
      <w:r w:rsidR="000F1702" w:rsidRPr="000F1702">
        <w:rPr>
          <w:sz w:val="26"/>
          <w:szCs w:val="26"/>
          <w:rtl/>
        </w:rPr>
        <w:t>طن من قدرات استنفاد الأوزون</w:t>
      </w:r>
      <w:r w:rsidR="000F1702">
        <w:rPr>
          <w:rFonts w:hint="cs"/>
          <w:sz w:val="26"/>
          <w:szCs w:val="26"/>
          <w:rtl/>
        </w:rPr>
        <w:t xml:space="preserve">، وهى أقل من أهداف الرقابة لبروتوكول مونتريال. </w:t>
      </w:r>
      <w:r w:rsidR="00E23209">
        <w:rPr>
          <w:rFonts w:hint="cs"/>
          <w:sz w:val="26"/>
          <w:szCs w:val="26"/>
          <w:rtl/>
        </w:rPr>
        <w:t xml:space="preserve">وأبلغت الحكومة عن حظر المعدات القائمة على </w:t>
      </w:r>
      <w:r w:rsidR="00E23209">
        <w:rPr>
          <w:sz w:val="26"/>
          <w:szCs w:val="26"/>
          <w:rtl/>
          <w:lang w:bidi="ar-EG"/>
        </w:rPr>
        <w:t>الهيدروكلوروفلوروكربون-22</w:t>
      </w:r>
      <w:r w:rsidR="00E23209">
        <w:rPr>
          <w:rFonts w:hint="cs"/>
          <w:sz w:val="26"/>
          <w:szCs w:val="26"/>
          <w:rtl/>
          <w:lang w:bidi="ar-EG"/>
        </w:rPr>
        <w:t xml:space="preserve"> إبتداء من 1 يناير/كانون الثانى 2020.</w:t>
      </w:r>
    </w:p>
    <w:p w:rsidR="00AA7FDE" w:rsidRPr="00473998" w:rsidRDefault="00473998" w:rsidP="009F5E2A">
      <w:pPr>
        <w:bidi/>
        <w:spacing w:after="200"/>
        <w:rPr>
          <w:i/>
          <w:iCs/>
          <w:sz w:val="26"/>
          <w:szCs w:val="26"/>
        </w:rPr>
      </w:pPr>
      <w:r w:rsidRPr="00473998">
        <w:rPr>
          <w:rFonts w:hint="cs"/>
          <w:i/>
          <w:iCs/>
          <w:sz w:val="26"/>
          <w:szCs w:val="26"/>
          <w:rtl/>
        </w:rPr>
        <w:t>قطاع خدمة التبريد</w:t>
      </w:r>
    </w:p>
    <w:p w:rsidR="002665FD" w:rsidRDefault="002665FD" w:rsidP="009F5E2A">
      <w:pPr>
        <w:pStyle w:val="StyleComplexArabicTransparent13ptAfter12pt"/>
        <w:bidi/>
        <w:spacing w:after="200"/>
        <w:rPr>
          <w:rFonts w:cs="Times New Roman"/>
          <w:rtl/>
        </w:rPr>
      </w:pPr>
      <w:r>
        <w:rPr>
          <w:rFonts w:cs="Times New Roman" w:hint="cs"/>
          <w:rtl/>
        </w:rPr>
        <w:lastRenderedPageBreak/>
        <w:t>15</w:t>
      </w:r>
      <w:r w:rsidR="008550CB" w:rsidRPr="00380F86">
        <w:rPr>
          <w:rFonts w:cs="Times New Roman"/>
        </w:rPr>
        <w:tab/>
      </w:r>
      <w:r w:rsidR="00C21D74" w:rsidRPr="000F3075">
        <w:rPr>
          <w:rFonts w:cs="Times New Roman" w:hint="cs"/>
          <w:highlight w:val="yellow"/>
          <w:rtl/>
        </w:rPr>
        <w:t>متابعة لطلب توضيح أسباب التأخير في تنفيذ مكون مشروع اليونيدو المتعلق بشراء وتوزيع معدات مركز التدريب، أشار اليونيب (</w:t>
      </w:r>
      <w:r w:rsidR="00BB1F83" w:rsidRPr="000F3075">
        <w:rPr>
          <w:rFonts w:cs="Times New Roman" w:hint="cs"/>
          <w:highlight w:val="yellow"/>
          <w:rtl/>
        </w:rPr>
        <w:t xml:space="preserve">باعتباره </w:t>
      </w:r>
      <w:r w:rsidR="00C21D74" w:rsidRPr="000F3075">
        <w:rPr>
          <w:rFonts w:cs="Times New Roman" w:hint="cs"/>
          <w:highlight w:val="yellow"/>
          <w:rtl/>
        </w:rPr>
        <w:t>الوكالة المنفذة الرئيس</w:t>
      </w:r>
      <w:r w:rsidR="007063A5" w:rsidRPr="000F3075">
        <w:rPr>
          <w:rFonts w:cs="Times New Roman" w:hint="cs"/>
          <w:highlight w:val="yellow"/>
          <w:rtl/>
        </w:rPr>
        <w:t>ي</w:t>
      </w:r>
      <w:r w:rsidR="00C21D74" w:rsidRPr="000F3075">
        <w:rPr>
          <w:rFonts w:cs="Times New Roman" w:hint="cs"/>
          <w:highlight w:val="yellow"/>
          <w:rtl/>
        </w:rPr>
        <w:t xml:space="preserve">ة) إلى ان مجموع تمويل المرحلة الأولى قد تم تلقيه؛ ويرجع التنفيذ المحدود إلى التأخر في تنظيم بعثة لتقييم الاحتياجات من المعدات، وبعد تسليم المجموعة الأولية بتمويل من الشريحة الأولى، </w:t>
      </w:r>
      <w:r w:rsidR="00BB1F83" w:rsidRPr="000F3075">
        <w:rPr>
          <w:rFonts w:cs="Times New Roman" w:hint="cs"/>
          <w:highlight w:val="yellow"/>
          <w:rtl/>
        </w:rPr>
        <w:t xml:space="preserve">الذي </w:t>
      </w:r>
      <w:r w:rsidR="00C21D74" w:rsidRPr="000F3075">
        <w:rPr>
          <w:rFonts w:cs="Times New Roman" w:hint="cs"/>
          <w:highlight w:val="yellow"/>
          <w:rtl/>
        </w:rPr>
        <w:t xml:space="preserve">يرجع إلى مشاكل الأمن في البلد. وتم تقييم الاحتياجات من المعدات </w:t>
      </w:r>
      <w:r w:rsidR="00BB1F83" w:rsidRPr="000F3075">
        <w:rPr>
          <w:rFonts w:cs="Times New Roman" w:hint="cs"/>
          <w:highlight w:val="yellow"/>
          <w:rtl/>
        </w:rPr>
        <w:t>و</w:t>
      </w:r>
      <w:r w:rsidR="00C21D74" w:rsidRPr="000F3075">
        <w:rPr>
          <w:rFonts w:cs="Times New Roman" w:hint="cs"/>
          <w:highlight w:val="yellow"/>
          <w:rtl/>
        </w:rPr>
        <w:t>توقيع اتفاق طويل الأجل لشراء المعدات وهو</w:t>
      </w:r>
      <w:r w:rsidR="00BB1F83" w:rsidRPr="000F3075">
        <w:rPr>
          <w:rFonts w:cs="Times New Roman" w:hint="cs"/>
          <w:highlight w:val="yellow"/>
          <w:rtl/>
        </w:rPr>
        <w:t xml:space="preserve"> الآن</w:t>
      </w:r>
      <w:r w:rsidR="00C21D74" w:rsidRPr="000F3075">
        <w:rPr>
          <w:rFonts w:cs="Times New Roman" w:hint="cs"/>
          <w:highlight w:val="yellow"/>
          <w:rtl/>
        </w:rPr>
        <w:t xml:space="preserve"> قيد التنفيذ.</w:t>
      </w:r>
      <w:r w:rsidR="00C21D74">
        <w:rPr>
          <w:rFonts w:cs="Times New Roman" w:hint="cs"/>
          <w:rtl/>
        </w:rPr>
        <w:t xml:space="preserve"> </w:t>
      </w:r>
    </w:p>
    <w:p w:rsidR="006624A1" w:rsidRPr="00016F9F" w:rsidRDefault="002665FD" w:rsidP="009F5E2A">
      <w:pPr>
        <w:pStyle w:val="StyleComplexArabicTransparent13ptAfter12pt"/>
        <w:bidi/>
        <w:spacing w:after="200"/>
        <w:rPr>
          <w:rtl/>
          <w:lang w:val="en-US" w:bidi="ar-EG"/>
        </w:rPr>
      </w:pPr>
      <w:r>
        <w:rPr>
          <w:rFonts w:cs="Times New Roman" w:hint="cs"/>
          <w:rtl/>
        </w:rPr>
        <w:t>16</w:t>
      </w:r>
      <w:r>
        <w:rPr>
          <w:rFonts w:cs="Times New Roman" w:hint="cs"/>
          <w:rtl/>
        </w:rPr>
        <w:tab/>
      </w:r>
      <w:r w:rsidR="00590972" w:rsidRPr="000F3075">
        <w:rPr>
          <w:rFonts w:cs="Times New Roman" w:hint="cs"/>
          <w:highlight w:val="yellow"/>
          <w:rtl/>
        </w:rPr>
        <w:t>وفي ما يتعلق ببرنامج تدريب تقنيي التبريد، أشار اليونيب إلى أن التدريب المقدم ركز على الممارسات الجيدة لخفض إنبعاثات سوائل التبريد خل</w:t>
      </w:r>
      <w:r w:rsidR="006B55C9" w:rsidRPr="000F3075">
        <w:rPr>
          <w:rFonts w:cs="Times New Roman" w:hint="cs"/>
          <w:highlight w:val="yellow"/>
          <w:rtl/>
        </w:rPr>
        <w:t xml:space="preserve">ال </w:t>
      </w:r>
      <w:r w:rsidR="00590972" w:rsidRPr="000F3075">
        <w:rPr>
          <w:rFonts w:cs="Times New Roman" w:hint="cs"/>
          <w:highlight w:val="yellow"/>
          <w:rtl/>
        </w:rPr>
        <w:t>خدمة</w:t>
      </w:r>
      <w:r w:rsidR="006B55C9" w:rsidRPr="000F3075">
        <w:rPr>
          <w:rFonts w:cs="Times New Roman" w:hint="cs"/>
          <w:highlight w:val="yellow"/>
          <w:rtl/>
        </w:rPr>
        <w:t xml:space="preserve"> وصيانة معدات التبريد وتكييف الهواء</w:t>
      </w:r>
      <w:r w:rsidR="006B55C9">
        <w:rPr>
          <w:rFonts w:cs="Times New Roman" w:hint="cs"/>
          <w:rtl/>
        </w:rPr>
        <w:t>. و</w:t>
      </w:r>
      <w:r w:rsidR="00016F9F">
        <w:rPr>
          <w:rFonts w:cs="Times New Roman" w:hint="cs"/>
          <w:rtl/>
          <w:lang w:val="en-CA"/>
        </w:rPr>
        <w:t>أشار اليونيب</w:t>
      </w:r>
      <w:r w:rsidR="001B56B8">
        <w:rPr>
          <w:rFonts w:cs="Times New Roman" w:hint="cs"/>
          <w:rtl/>
          <w:lang w:val="en-CA"/>
        </w:rPr>
        <w:t xml:space="preserve"> أيضا</w:t>
      </w:r>
      <w:r w:rsidR="00016F9F">
        <w:rPr>
          <w:rFonts w:cs="Times New Roman" w:hint="cs"/>
          <w:rtl/>
          <w:lang w:val="en-CA"/>
        </w:rPr>
        <w:t xml:space="preserve"> إلى أن بالاضافة لأنشطة الوعى للوحدة الوطنية للأوزون، تساهم الصناعة في الزيادة المستمرة في استخدام </w:t>
      </w:r>
      <w:r w:rsidR="006B55C9">
        <w:rPr>
          <w:rFonts w:cs="Times New Roman" w:hint="cs"/>
          <w:rtl/>
          <w:lang w:val="en-CA"/>
        </w:rPr>
        <w:t xml:space="preserve">سوائل تبريد بديلة </w:t>
      </w:r>
      <w:r w:rsidR="00016F9F">
        <w:rPr>
          <w:rFonts w:cs="Times New Roman" w:hint="cs"/>
          <w:rtl/>
          <w:lang w:val="en-CA"/>
        </w:rPr>
        <w:t xml:space="preserve">بالرغم من أن البلد ليس لديه حاليا سياسة حوافز </w:t>
      </w:r>
      <w:r w:rsidR="00A36A01">
        <w:rPr>
          <w:rFonts w:cs="Times New Roman" w:hint="cs"/>
          <w:rtl/>
          <w:lang w:val="en-CA"/>
        </w:rPr>
        <w:t>للواردات</w:t>
      </w:r>
      <w:r w:rsidR="006B55C9">
        <w:rPr>
          <w:rFonts w:cs="Times New Roman" w:hint="cs"/>
          <w:rtl/>
          <w:lang w:val="en-CA"/>
        </w:rPr>
        <w:t xml:space="preserve"> (</w:t>
      </w:r>
      <w:r w:rsidR="006B55C9" w:rsidRPr="000F3075">
        <w:rPr>
          <w:rFonts w:cs="Times New Roman" w:hint="cs"/>
          <w:highlight w:val="yellow"/>
          <w:rtl/>
          <w:lang w:val="en-CA"/>
        </w:rPr>
        <w:t>اقترحت الوحدة الوطنية للأوزون على وزارة المالية خفض الضرائب على سوائل التبريد ذات احتمالية احترار عالمى منخفضة</w:t>
      </w:r>
      <w:r w:rsidR="006B55C9">
        <w:rPr>
          <w:rFonts w:cs="Times New Roman" w:hint="cs"/>
          <w:rtl/>
          <w:lang w:val="en-CA"/>
        </w:rPr>
        <w:t>)</w:t>
      </w:r>
      <w:r w:rsidR="00016F9F">
        <w:rPr>
          <w:rFonts w:cs="Times New Roman" w:hint="cs"/>
          <w:rtl/>
          <w:lang w:val="en-CA"/>
        </w:rPr>
        <w:t xml:space="preserve">. وأكد التحقق أن الهيدروفلوروكربون-134أ يستخدم في التبريد المنزلى والتجارى والصناعى وتكييف هواء المركبات؛ ويستخدم </w:t>
      </w:r>
      <w:r w:rsidR="00016F9F">
        <w:rPr>
          <w:rFonts w:cs="Times New Roman"/>
          <w:lang w:val="en-US"/>
        </w:rPr>
        <w:t>R-404A</w:t>
      </w:r>
      <w:r w:rsidR="00016F9F">
        <w:rPr>
          <w:rFonts w:cs="Times New Roman" w:hint="cs"/>
          <w:rtl/>
          <w:lang w:val="en-US" w:bidi="ar-EG"/>
        </w:rPr>
        <w:t xml:space="preserve"> في التبريد التجارى والصناعى والغرف الباردة؛ ويستخدم </w:t>
      </w:r>
      <w:r w:rsidR="00016F9F">
        <w:rPr>
          <w:rFonts w:cs="Times New Roman"/>
          <w:lang w:val="en-US" w:bidi="ar-EG"/>
        </w:rPr>
        <w:t>R-407C</w:t>
      </w:r>
      <w:r w:rsidR="00016F9F">
        <w:rPr>
          <w:rFonts w:cs="Times New Roman" w:hint="cs"/>
          <w:rtl/>
          <w:lang w:val="en-US" w:bidi="ar-EG"/>
        </w:rPr>
        <w:t xml:space="preserve"> و </w:t>
      </w:r>
      <w:r w:rsidR="00016F9F">
        <w:rPr>
          <w:rFonts w:cs="Times New Roman"/>
          <w:lang w:val="en-US" w:bidi="ar-EG"/>
        </w:rPr>
        <w:t>R-410A</w:t>
      </w:r>
      <w:r w:rsidR="00016F9F">
        <w:rPr>
          <w:rFonts w:cs="Times New Roman" w:hint="cs"/>
          <w:rtl/>
          <w:lang w:val="en-US" w:bidi="ar-EG"/>
        </w:rPr>
        <w:t xml:space="preserve"> في تكييف الهواء الفردى والتجارى والصناعى؛ </w:t>
      </w:r>
      <w:r w:rsidR="003C2FB1">
        <w:rPr>
          <w:rFonts w:cs="Times New Roman" w:hint="cs"/>
          <w:rtl/>
          <w:lang w:val="en-US" w:bidi="ar-EG"/>
        </w:rPr>
        <w:t>ويستخدم الأيزوبوتان (</w:t>
      </w:r>
      <w:r w:rsidR="003C2FB1">
        <w:rPr>
          <w:rFonts w:cs="Times New Roman"/>
          <w:lang w:val="en-US" w:bidi="ar-EG"/>
        </w:rPr>
        <w:t>R600a</w:t>
      </w:r>
      <w:r w:rsidR="003C2FB1">
        <w:rPr>
          <w:rFonts w:cs="Times New Roman" w:hint="cs"/>
          <w:rtl/>
          <w:lang w:val="en-US" w:bidi="ar-EG"/>
        </w:rPr>
        <w:t>) والأمونيا (</w:t>
      </w:r>
      <w:r w:rsidR="003C2FB1">
        <w:rPr>
          <w:rFonts w:cs="Times New Roman"/>
          <w:lang w:val="en-US" w:bidi="ar-EG"/>
        </w:rPr>
        <w:t>R-717</w:t>
      </w:r>
      <w:r w:rsidR="003C2FB1">
        <w:rPr>
          <w:rFonts w:cs="Times New Roman" w:hint="cs"/>
          <w:rtl/>
          <w:lang w:val="en-US" w:bidi="ar-EG"/>
        </w:rPr>
        <w:t>) في التبريد المنزلى والصناعى على التوالى.</w:t>
      </w:r>
    </w:p>
    <w:p w:rsidR="001A34F7" w:rsidRPr="001A34F7" w:rsidRDefault="001A34F7" w:rsidP="009F5E2A">
      <w:pPr>
        <w:pStyle w:val="StyleComplexArabicTransparent13ptAfter12pt"/>
        <w:bidi/>
        <w:spacing w:after="200"/>
        <w:rPr>
          <w:rFonts w:cs="Times New Roman"/>
          <w:u w:val="single"/>
          <w:rtl/>
          <w:lang w:bidi="ar-EG"/>
        </w:rPr>
      </w:pPr>
      <w:r w:rsidRPr="001A34F7">
        <w:rPr>
          <w:rFonts w:hint="cs"/>
          <w:u w:val="single"/>
          <w:rtl/>
          <w:lang w:val="en-US" w:bidi="ar-EG"/>
        </w:rPr>
        <w:t>الاستنتاج</w:t>
      </w:r>
    </w:p>
    <w:p w:rsidR="008D4D37" w:rsidRDefault="002665FD" w:rsidP="009F5E2A">
      <w:pPr>
        <w:pStyle w:val="StyleComplexArabicTransparent13ptAfter12pt"/>
        <w:bidi/>
        <w:spacing w:after="200"/>
        <w:rPr>
          <w:rtl/>
          <w:lang w:bidi="ar-EG"/>
        </w:rPr>
      </w:pPr>
      <w:r>
        <w:rPr>
          <w:rFonts w:cs="Times New Roman" w:hint="cs"/>
          <w:rtl/>
          <w:lang w:bidi="ar-EG"/>
        </w:rPr>
        <w:t>17</w:t>
      </w:r>
      <w:r w:rsidR="00CE29CF">
        <w:rPr>
          <w:rFonts w:cs="Times New Roman" w:hint="cs"/>
          <w:rtl/>
          <w:lang w:bidi="ar-EG"/>
        </w:rPr>
        <w:tab/>
      </w:r>
      <w:r w:rsidR="00CC2F8B">
        <w:rPr>
          <w:rFonts w:cs="Times New Roman" w:hint="cs"/>
          <w:rtl/>
          <w:lang w:bidi="ar-EG"/>
        </w:rPr>
        <w:t>ي</w:t>
      </w:r>
      <w:r w:rsidR="00741468">
        <w:rPr>
          <w:rFonts w:cs="Times New Roman" w:hint="cs"/>
          <w:rtl/>
          <w:lang w:bidi="ar-EG"/>
        </w:rPr>
        <w:t>حقق غابون</w:t>
      </w:r>
      <w:r w:rsidR="00BB5935">
        <w:rPr>
          <w:rFonts w:cs="Times New Roman" w:hint="cs"/>
          <w:rtl/>
          <w:lang w:bidi="ar-EG"/>
        </w:rPr>
        <w:t xml:space="preserve"> </w:t>
      </w:r>
      <w:r w:rsidR="00741468">
        <w:rPr>
          <w:rFonts w:cs="Times New Roman" w:hint="cs"/>
          <w:rtl/>
          <w:lang w:bidi="ar-EG"/>
        </w:rPr>
        <w:t xml:space="preserve">تقدما </w:t>
      </w:r>
      <w:r w:rsidR="004C7C15">
        <w:rPr>
          <w:rFonts w:hint="cs"/>
          <w:rtl/>
          <w:lang w:bidi="ar-EG"/>
        </w:rPr>
        <w:t xml:space="preserve">في تنفيذ المرحلة الأولى من </w:t>
      </w:r>
      <w:r w:rsidR="004C7C15">
        <w:rPr>
          <w:rtl/>
          <w:lang w:bidi="ar-EG"/>
        </w:rPr>
        <w:t>خطة إدارة إزالة المواد الهيدروكلوروفلوروكربونية</w:t>
      </w:r>
      <w:r w:rsidR="004C7C15">
        <w:rPr>
          <w:rFonts w:hint="cs"/>
          <w:rtl/>
          <w:lang w:bidi="ar-EG"/>
        </w:rPr>
        <w:t xml:space="preserve"> حتى مع تأخير في تقديم الشرائح السابقة. </w:t>
      </w:r>
      <w:r w:rsidR="001B56B8" w:rsidRPr="000F3075">
        <w:rPr>
          <w:rFonts w:hint="cs"/>
          <w:highlight w:val="yellow"/>
          <w:rtl/>
          <w:lang w:bidi="ar-EG"/>
        </w:rPr>
        <w:t>و</w:t>
      </w:r>
      <w:r w:rsidR="00CC2F8B" w:rsidRPr="000F3075">
        <w:rPr>
          <w:rFonts w:hint="cs"/>
          <w:highlight w:val="yellow"/>
          <w:rtl/>
          <w:lang w:bidi="ar-EG"/>
        </w:rPr>
        <w:t xml:space="preserve">كان الاستهلاك المقدر من </w:t>
      </w:r>
      <w:r w:rsidR="00CC2F8B" w:rsidRPr="000F3075">
        <w:rPr>
          <w:highlight w:val="yellow"/>
          <w:rtl/>
        </w:rPr>
        <w:t>الهيدروكلوروفلوروكربون</w:t>
      </w:r>
      <w:r w:rsidR="00CC2F8B" w:rsidRPr="000F3075">
        <w:rPr>
          <w:rFonts w:hint="cs"/>
          <w:highlight w:val="yellow"/>
          <w:rtl/>
        </w:rPr>
        <w:t xml:space="preserve">-22 في عام 2018 أكثر من 33 في المائة أقل من خط أساس </w:t>
      </w:r>
      <w:r w:rsidR="00CC2F8B" w:rsidRPr="000F3075">
        <w:rPr>
          <w:highlight w:val="yellow"/>
          <w:rtl/>
        </w:rPr>
        <w:t>الهيدروكلوروفلوروكربون</w:t>
      </w:r>
      <w:r w:rsidR="00CC2F8B" w:rsidRPr="000F3075">
        <w:rPr>
          <w:rFonts w:hint="cs"/>
          <w:highlight w:val="yellow"/>
          <w:rtl/>
        </w:rPr>
        <w:t xml:space="preserve"> من أجل الامتثال. وخلال تنفيذ المرحلة الأولى،</w:t>
      </w:r>
      <w:r w:rsidR="00CC2F8B">
        <w:rPr>
          <w:rFonts w:hint="cs"/>
          <w:rtl/>
        </w:rPr>
        <w:t xml:space="preserve"> س</w:t>
      </w:r>
      <w:r w:rsidR="004C7C15">
        <w:rPr>
          <w:rFonts w:hint="cs"/>
          <w:rtl/>
          <w:lang w:val="en-US" w:bidi="ar-EG"/>
        </w:rPr>
        <w:t xml:space="preserve">يدعم اليونيب الوحدة الوطنية للأوزون في تناول التوصيات الواردة في تقرير التحقق، مثل: دعم التدريب وزيادة عدد موظفى الجمارك المدربين في تنفيذ </w:t>
      </w:r>
      <w:r w:rsidR="00E345DF">
        <w:rPr>
          <w:rFonts w:hint="cs"/>
          <w:rtl/>
          <w:lang w:val="en-US" w:bidi="ar-EG"/>
        </w:rPr>
        <w:t>اللوائح</w:t>
      </w:r>
      <w:r w:rsidR="004C7C15">
        <w:rPr>
          <w:rFonts w:hint="cs"/>
          <w:rtl/>
          <w:lang w:val="en-US" w:bidi="ar-EG"/>
        </w:rPr>
        <w:t xml:space="preserve"> الوطنية ودون </w:t>
      </w:r>
      <w:r w:rsidR="00E345DF">
        <w:rPr>
          <w:rFonts w:hint="cs"/>
          <w:rtl/>
          <w:lang w:val="en-US" w:bidi="ar-EG"/>
        </w:rPr>
        <w:t>الإقليمية</w:t>
      </w:r>
      <w:r w:rsidR="004C7C15">
        <w:rPr>
          <w:rFonts w:hint="cs"/>
          <w:rtl/>
          <w:lang w:val="en-US" w:bidi="ar-EG"/>
        </w:rPr>
        <w:t xml:space="preserve"> للواردات من المواد المستنفدة للأوزون؛ </w:t>
      </w:r>
      <w:r w:rsidR="003722E1">
        <w:rPr>
          <w:rFonts w:hint="cs"/>
          <w:rtl/>
          <w:lang w:val="en-US" w:bidi="ar-EG"/>
        </w:rPr>
        <w:t>ودعم تدريب المستوردين على تخصيص الحصص السنوية. وتوفر خطة العمل لعامى 2019 و2020 تدريب عدد كبير من موظفى الجمارك وتقنيي التبريد والأطراف الفاعلة لتناول توصيات التحقق. ووصل صرف الأموال حتى الآن</w:t>
      </w:r>
      <w:r w:rsidR="0093298D">
        <w:rPr>
          <w:rFonts w:hint="cs"/>
          <w:rtl/>
          <w:lang w:val="en-US" w:bidi="ar-EG"/>
        </w:rPr>
        <w:t xml:space="preserve"> إلى</w:t>
      </w:r>
      <w:r w:rsidR="003722E1">
        <w:rPr>
          <w:rFonts w:hint="cs"/>
          <w:rtl/>
          <w:lang w:val="en-US" w:bidi="ar-EG"/>
        </w:rPr>
        <w:t xml:space="preserve"> 68 في المائة، ومن التوقع أن يزداد مع شراء </w:t>
      </w:r>
      <w:r w:rsidR="003722E1" w:rsidRPr="000F3075">
        <w:rPr>
          <w:rFonts w:hint="cs"/>
          <w:highlight w:val="yellow"/>
          <w:rtl/>
          <w:lang w:val="en-US" w:bidi="ar-EG"/>
        </w:rPr>
        <w:t>معدات</w:t>
      </w:r>
      <w:r w:rsidR="00744DE0" w:rsidRPr="000F3075">
        <w:rPr>
          <w:rFonts w:hint="cs"/>
          <w:highlight w:val="yellow"/>
          <w:rtl/>
          <w:lang w:val="en-US" w:bidi="ar-EG"/>
        </w:rPr>
        <w:t xml:space="preserve"> وأدوات الخدمة التى سيجرى شراؤها من التمويل الموافق عليه في الشريحة الثالثة الجارى</w:t>
      </w:r>
      <w:r w:rsidR="003722E1" w:rsidRPr="000F3075">
        <w:rPr>
          <w:rFonts w:hint="cs"/>
          <w:highlight w:val="yellow"/>
          <w:rtl/>
          <w:lang w:val="en-US" w:bidi="ar-EG"/>
        </w:rPr>
        <w:t>،</w:t>
      </w:r>
      <w:r w:rsidR="00744DE0" w:rsidRPr="000F3075">
        <w:rPr>
          <w:rFonts w:hint="cs"/>
          <w:highlight w:val="yellow"/>
          <w:rtl/>
          <w:lang w:val="en-US" w:bidi="ar-EG"/>
        </w:rPr>
        <w:t xml:space="preserve"> بعد توقيع الاتفاق التعاقدى المتأخر مع الحكومة.</w:t>
      </w:r>
      <w:r w:rsidR="003722E1">
        <w:rPr>
          <w:rFonts w:hint="cs"/>
          <w:rtl/>
          <w:lang w:val="en-US" w:bidi="ar-EG"/>
        </w:rPr>
        <w:t xml:space="preserve"> ومن خلال تدريب موظفى الجمارك وتقنيي التبريد على أساس مستمر وكذلك دعم مراكز التدريب، سيصبح من الممكن استدامة </w:t>
      </w:r>
      <w:r w:rsidR="003722E1">
        <w:rPr>
          <w:rtl/>
          <w:lang w:bidi="ar-EG"/>
        </w:rPr>
        <w:t>خطة إدارة إزالة المواد الهيدروكلوروفلوروكربونية</w:t>
      </w:r>
      <w:r w:rsidR="003722E1">
        <w:rPr>
          <w:rFonts w:hint="cs"/>
          <w:rtl/>
          <w:lang w:bidi="ar-EG"/>
        </w:rPr>
        <w:t xml:space="preserve">. ويبين التقرير المرحلى بشأن الأنشطة المضطلع بها، والأنشطة المخططة أن البلد يتناول وسيحقق أهداف إزالة </w:t>
      </w:r>
      <w:r w:rsidR="000A5320">
        <w:rPr>
          <w:rtl/>
          <w:lang w:bidi="ar-EG"/>
        </w:rPr>
        <w:t>الهيدروكلوروفلوروكربون</w:t>
      </w:r>
      <w:r w:rsidR="000A5320">
        <w:rPr>
          <w:rFonts w:hint="cs"/>
          <w:rtl/>
          <w:lang w:bidi="ar-EG"/>
        </w:rPr>
        <w:t>. وقد صدق البلد على تعديل كيغالى في 18 يناير/كانون الثانى 2018.</w:t>
      </w:r>
    </w:p>
    <w:p w:rsidR="008D4D37" w:rsidRPr="001A34F7" w:rsidRDefault="001A34F7" w:rsidP="009F5E2A">
      <w:pPr>
        <w:pStyle w:val="StyleComplexArabicTransparent13ptAfter12pt"/>
        <w:bidi/>
        <w:spacing w:after="200"/>
        <w:rPr>
          <w:rFonts w:cs="Times New Roman"/>
          <w:b/>
          <w:bCs/>
          <w:sz w:val="28"/>
          <w:szCs w:val="28"/>
          <w:rtl/>
          <w:lang w:bidi="ar-EG"/>
        </w:rPr>
      </w:pPr>
      <w:r w:rsidRPr="001A34F7">
        <w:rPr>
          <w:rFonts w:cs="Times New Roman" w:hint="cs"/>
          <w:b/>
          <w:bCs/>
          <w:sz w:val="28"/>
          <w:szCs w:val="28"/>
          <w:rtl/>
          <w:lang w:bidi="ar-EG"/>
        </w:rPr>
        <w:t>التوصية</w:t>
      </w:r>
    </w:p>
    <w:p w:rsidR="0063290A" w:rsidRDefault="002665FD" w:rsidP="009F5E2A">
      <w:pPr>
        <w:pStyle w:val="StyleComplexArabicTransparent13ptAfter12pt"/>
        <w:bidi/>
        <w:spacing w:after="200"/>
        <w:rPr>
          <w:rtl/>
          <w:lang w:bidi="ar-EG"/>
        </w:rPr>
      </w:pPr>
      <w:r>
        <w:rPr>
          <w:rFonts w:cs="Times New Roman" w:hint="cs"/>
          <w:rtl/>
          <w:lang w:bidi="ar-EG"/>
        </w:rPr>
        <w:t>18</w:t>
      </w:r>
      <w:r w:rsidR="008D4D37">
        <w:rPr>
          <w:rFonts w:cs="Times New Roman" w:hint="cs"/>
          <w:rtl/>
          <w:lang w:bidi="ar-EG"/>
        </w:rPr>
        <w:tab/>
      </w:r>
      <w:r w:rsidR="00B03201">
        <w:rPr>
          <w:rFonts w:cs="Times New Roman" w:hint="cs"/>
          <w:rtl/>
          <w:lang w:bidi="ar-EG"/>
        </w:rPr>
        <w:t xml:space="preserve">توصي أمانة الصندوق </w:t>
      </w:r>
      <w:r w:rsidR="005E060B">
        <w:rPr>
          <w:rFonts w:cs="Times New Roman" w:hint="cs"/>
          <w:rtl/>
          <w:lang w:bidi="ar-EG"/>
        </w:rPr>
        <w:t xml:space="preserve">اللجنة التنفيذية </w:t>
      </w:r>
      <w:r w:rsidR="00B03201">
        <w:rPr>
          <w:rFonts w:cs="Times New Roman" w:hint="cs"/>
          <w:rtl/>
          <w:lang w:bidi="ar-EG"/>
        </w:rPr>
        <w:t xml:space="preserve">أن تحاط علما بالتقرير المرحلى بشأن تنفيذ الشريحة </w:t>
      </w:r>
      <w:r w:rsidR="00CE29CF">
        <w:rPr>
          <w:rFonts w:cs="Times New Roman" w:hint="cs"/>
          <w:rtl/>
          <w:lang w:bidi="ar-EG"/>
        </w:rPr>
        <w:t>الثالثة</w:t>
      </w:r>
      <w:r w:rsidR="00B03201">
        <w:rPr>
          <w:rFonts w:cs="Times New Roman" w:hint="cs"/>
          <w:rtl/>
          <w:lang w:bidi="ar-EG"/>
        </w:rPr>
        <w:t xml:space="preserve"> من المرحلة </w:t>
      </w:r>
      <w:r w:rsidR="00CE29CF">
        <w:rPr>
          <w:rFonts w:cs="Times New Roman" w:hint="cs"/>
          <w:rtl/>
          <w:lang w:bidi="ar-EG"/>
        </w:rPr>
        <w:t>الأولى</w:t>
      </w:r>
      <w:r w:rsidR="00B03201">
        <w:rPr>
          <w:rFonts w:cs="Times New Roman" w:hint="cs"/>
          <w:rtl/>
          <w:lang w:bidi="ar-EG"/>
        </w:rPr>
        <w:t xml:space="preserve"> من </w:t>
      </w:r>
      <w:r w:rsidR="00B03201">
        <w:rPr>
          <w:rtl/>
          <w:lang w:bidi="ar-EG"/>
        </w:rPr>
        <w:t>خطة إدارة إزالة المواد الهيدروكلوروفلوروكربونية</w:t>
      </w:r>
      <w:r w:rsidR="00B03201">
        <w:rPr>
          <w:rFonts w:hint="cs"/>
          <w:rtl/>
          <w:lang w:bidi="ar-EG"/>
        </w:rPr>
        <w:t xml:space="preserve"> </w:t>
      </w:r>
      <w:r w:rsidR="00CE29CF">
        <w:rPr>
          <w:rFonts w:hint="cs"/>
          <w:rtl/>
          <w:lang w:bidi="ar-EG"/>
        </w:rPr>
        <w:t>لغابون</w:t>
      </w:r>
      <w:r w:rsidR="00CA7D49">
        <w:rPr>
          <w:rFonts w:hint="cs"/>
          <w:rtl/>
          <w:lang w:bidi="ar-EG"/>
        </w:rPr>
        <w:t>؛</w:t>
      </w:r>
      <w:r w:rsidR="005E060B">
        <w:rPr>
          <w:rFonts w:hint="cs"/>
          <w:rtl/>
          <w:lang w:bidi="ar-EG"/>
        </w:rPr>
        <w:t xml:space="preserve"> </w:t>
      </w:r>
      <w:r w:rsidR="003753B8">
        <w:rPr>
          <w:rFonts w:cs="Times New Roman" w:hint="cs"/>
          <w:rtl/>
          <w:lang w:bidi="ar-EG"/>
        </w:rPr>
        <w:t xml:space="preserve">وتوصي أيضا بالموافقة الشاملة على الشريحة </w:t>
      </w:r>
      <w:r w:rsidR="00CE29CF">
        <w:rPr>
          <w:rFonts w:cs="Times New Roman" w:hint="cs"/>
          <w:rtl/>
          <w:lang w:bidi="ar-EG"/>
        </w:rPr>
        <w:t>الرابعة</w:t>
      </w:r>
      <w:r w:rsidR="003753B8">
        <w:rPr>
          <w:rFonts w:cs="Times New Roman" w:hint="cs"/>
          <w:rtl/>
          <w:lang w:bidi="ar-EG"/>
        </w:rPr>
        <w:t xml:space="preserve"> من المرحلة </w:t>
      </w:r>
      <w:r w:rsidR="00CE29CF">
        <w:rPr>
          <w:rFonts w:cs="Times New Roman" w:hint="cs"/>
          <w:rtl/>
          <w:lang w:bidi="ar-EG"/>
        </w:rPr>
        <w:t>الأولى</w:t>
      </w:r>
      <w:r w:rsidR="003753B8">
        <w:rPr>
          <w:rFonts w:cs="Times New Roman" w:hint="cs"/>
          <w:rtl/>
          <w:lang w:bidi="ar-EG"/>
        </w:rPr>
        <w:t xml:space="preserve"> من </w:t>
      </w:r>
      <w:r w:rsidR="003753B8">
        <w:rPr>
          <w:rtl/>
          <w:lang w:bidi="ar-EG"/>
        </w:rPr>
        <w:t>خطة إدارة إزالة المواد الهيدروكلوروفلوروكربونية</w:t>
      </w:r>
      <w:r w:rsidR="003753B8">
        <w:rPr>
          <w:rFonts w:hint="cs"/>
          <w:rtl/>
          <w:lang w:bidi="ar-EG"/>
        </w:rPr>
        <w:t xml:space="preserve"> </w:t>
      </w:r>
      <w:r w:rsidR="00CE29CF">
        <w:rPr>
          <w:rFonts w:hint="cs"/>
          <w:rtl/>
          <w:lang w:bidi="ar-EG"/>
        </w:rPr>
        <w:t>لغابون</w:t>
      </w:r>
      <w:r w:rsidR="005E060B">
        <w:rPr>
          <w:rtl/>
        </w:rPr>
        <w:t xml:space="preserve"> </w:t>
      </w:r>
      <w:r w:rsidR="003753B8">
        <w:rPr>
          <w:rFonts w:hint="cs"/>
          <w:rtl/>
          <w:lang w:bidi="ar-EG"/>
        </w:rPr>
        <w:t>وخطة تنفيذ الشريحة للفترة</w:t>
      </w:r>
      <w:r w:rsidR="00085402">
        <w:rPr>
          <w:rFonts w:hint="cs"/>
          <w:rtl/>
          <w:lang w:bidi="ar-EG"/>
        </w:rPr>
        <w:t xml:space="preserve"> 201</w:t>
      </w:r>
      <w:r w:rsidR="00BA1775">
        <w:rPr>
          <w:rFonts w:hint="cs"/>
          <w:rtl/>
          <w:lang w:bidi="ar-EG"/>
        </w:rPr>
        <w:t>9</w:t>
      </w:r>
      <w:r w:rsidR="00085402">
        <w:rPr>
          <w:rFonts w:hint="cs"/>
          <w:rtl/>
          <w:lang w:bidi="ar-EG"/>
        </w:rPr>
        <w:t>-</w:t>
      </w:r>
      <w:r w:rsidR="00BA1775">
        <w:rPr>
          <w:rFonts w:hint="cs"/>
          <w:rtl/>
          <w:lang w:bidi="ar-EG"/>
        </w:rPr>
        <w:t>202</w:t>
      </w:r>
      <w:r w:rsidR="00E82399">
        <w:rPr>
          <w:rFonts w:hint="cs"/>
          <w:rtl/>
          <w:lang w:bidi="ar-EG"/>
        </w:rPr>
        <w:t>1</w:t>
      </w:r>
      <w:r w:rsidR="003753B8">
        <w:rPr>
          <w:rFonts w:hint="cs"/>
          <w:rtl/>
          <w:lang w:bidi="ar-EG"/>
        </w:rPr>
        <w:t xml:space="preserve"> عند مستوى التمويل المبين في الجدول أدناه</w:t>
      </w:r>
      <w:r w:rsidR="00690C29">
        <w:rPr>
          <w:rFonts w:hint="cs"/>
          <w:rtl/>
          <w:lang w:bidi="ar-EG"/>
        </w:rPr>
        <w:t>:</w:t>
      </w:r>
    </w:p>
    <w:tbl>
      <w:tblPr>
        <w:bidiVisual/>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3"/>
        <w:gridCol w:w="1621"/>
        <w:gridCol w:w="1381"/>
        <w:gridCol w:w="1591"/>
      </w:tblGrid>
      <w:tr w:rsidR="007517F5" w:rsidTr="00B03201">
        <w:trPr>
          <w:jc w:val="center"/>
        </w:trPr>
        <w:tc>
          <w:tcPr>
            <w:tcW w:w="540" w:type="dxa"/>
            <w:tcBorders>
              <w:top w:val="single" w:sz="4" w:space="0" w:color="auto"/>
              <w:left w:val="single" w:sz="4" w:space="0" w:color="auto"/>
              <w:bottom w:val="single" w:sz="4" w:space="0" w:color="auto"/>
              <w:right w:val="single" w:sz="4" w:space="0" w:color="auto"/>
            </w:tcBorders>
          </w:tcPr>
          <w:p w:rsidR="007517F5" w:rsidRDefault="007517F5">
            <w:pPr>
              <w:keepNext/>
              <w:jc w:val="center"/>
              <w:rPr>
                <w:b/>
                <w:bCs/>
                <w:sz w:val="22"/>
                <w:szCs w:val="22"/>
                <w:lang w:val="en-CA"/>
              </w:rPr>
            </w:pPr>
          </w:p>
        </w:tc>
        <w:tc>
          <w:tcPr>
            <w:tcW w:w="4323" w:type="dxa"/>
            <w:tcBorders>
              <w:top w:val="single" w:sz="4" w:space="0" w:color="auto"/>
              <w:left w:val="single" w:sz="4" w:space="0" w:color="auto"/>
              <w:bottom w:val="single" w:sz="4" w:space="0" w:color="auto"/>
              <w:right w:val="single" w:sz="4" w:space="0" w:color="auto"/>
            </w:tcBorders>
            <w:hideMark/>
          </w:tcPr>
          <w:p w:rsidR="007517F5" w:rsidRDefault="00DF7968">
            <w:pPr>
              <w:keepNext/>
              <w:jc w:val="center"/>
              <w:rPr>
                <w:b/>
                <w:bCs/>
                <w:sz w:val="22"/>
                <w:szCs w:val="22"/>
                <w:lang w:val="en-CA"/>
              </w:rPr>
            </w:pPr>
            <w:r>
              <w:rPr>
                <w:rFonts w:hint="cs"/>
                <w:b/>
                <w:bCs/>
                <w:rtl/>
                <w:lang w:val="en-CA"/>
              </w:rPr>
              <w:t>عنوان المشروع</w:t>
            </w:r>
          </w:p>
        </w:tc>
        <w:tc>
          <w:tcPr>
            <w:tcW w:w="162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7517F5" w:rsidRDefault="00DF7968">
            <w:pPr>
              <w:keepNext/>
              <w:jc w:val="center"/>
              <w:rPr>
                <w:b/>
                <w:bCs/>
                <w:sz w:val="22"/>
                <w:szCs w:val="22"/>
                <w:lang w:val="en-CA"/>
              </w:rPr>
            </w:pPr>
            <w:r>
              <w:rPr>
                <w:rFonts w:hint="cs"/>
                <w:b/>
                <w:bCs/>
                <w:rtl/>
                <w:lang w:val="en-CA"/>
              </w:rPr>
              <w:t>تمويل المشروع (دولار أمريكي)</w:t>
            </w:r>
          </w:p>
        </w:tc>
        <w:tc>
          <w:tcPr>
            <w:tcW w:w="138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7517F5" w:rsidRDefault="00DF7968">
            <w:pPr>
              <w:keepNext/>
              <w:jc w:val="center"/>
              <w:rPr>
                <w:b/>
                <w:bCs/>
                <w:sz w:val="22"/>
                <w:szCs w:val="22"/>
                <w:lang w:val="en-CA"/>
              </w:rPr>
            </w:pPr>
            <w:r>
              <w:rPr>
                <w:rFonts w:hint="cs"/>
                <w:b/>
                <w:bCs/>
                <w:rtl/>
                <w:lang w:val="en-CA"/>
              </w:rPr>
              <w:t xml:space="preserve">تكاليف الدعم </w:t>
            </w:r>
            <w:r>
              <w:rPr>
                <w:b/>
                <w:bCs/>
                <w:rtl/>
                <w:lang w:val="en-CA"/>
              </w:rPr>
              <w:t>(دولار أمريكي)</w:t>
            </w:r>
          </w:p>
        </w:tc>
        <w:tc>
          <w:tcPr>
            <w:tcW w:w="159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7517F5" w:rsidRDefault="00DF7968" w:rsidP="00DF7968">
            <w:pPr>
              <w:keepNext/>
              <w:jc w:val="center"/>
              <w:rPr>
                <w:b/>
                <w:bCs/>
                <w:sz w:val="22"/>
                <w:szCs w:val="22"/>
                <w:lang w:val="en-CA"/>
              </w:rPr>
            </w:pPr>
            <w:r>
              <w:rPr>
                <w:rFonts w:hint="cs"/>
                <w:b/>
                <w:bCs/>
                <w:rtl/>
                <w:lang w:val="en-CA"/>
              </w:rPr>
              <w:t xml:space="preserve">الوكالة المنفذة </w:t>
            </w:r>
          </w:p>
        </w:tc>
      </w:tr>
      <w:tr w:rsidR="007517F5" w:rsidTr="00B03201">
        <w:trPr>
          <w:jc w:val="center"/>
        </w:trPr>
        <w:tc>
          <w:tcPr>
            <w:tcW w:w="540" w:type="dxa"/>
            <w:tcBorders>
              <w:top w:val="single" w:sz="4" w:space="0" w:color="auto"/>
              <w:left w:val="single" w:sz="4" w:space="0" w:color="auto"/>
              <w:bottom w:val="single" w:sz="4" w:space="0" w:color="auto"/>
              <w:right w:val="single" w:sz="4" w:space="0" w:color="auto"/>
            </w:tcBorders>
            <w:hideMark/>
          </w:tcPr>
          <w:p w:rsidR="007517F5" w:rsidRDefault="00DF7968">
            <w:pPr>
              <w:keepNext/>
              <w:rPr>
                <w:sz w:val="22"/>
                <w:szCs w:val="22"/>
                <w:lang w:val="en-CA"/>
              </w:rPr>
            </w:pPr>
            <w:r>
              <w:rPr>
                <w:rFonts w:hint="cs"/>
                <w:rtl/>
                <w:lang w:val="en-CA"/>
              </w:rPr>
              <w:t>(أ)</w:t>
            </w:r>
          </w:p>
        </w:tc>
        <w:tc>
          <w:tcPr>
            <w:tcW w:w="4323" w:type="dxa"/>
            <w:tcBorders>
              <w:top w:val="single" w:sz="4" w:space="0" w:color="auto"/>
              <w:left w:val="single" w:sz="4" w:space="0" w:color="auto"/>
              <w:bottom w:val="single" w:sz="4" w:space="0" w:color="auto"/>
              <w:right w:val="single" w:sz="4" w:space="0" w:color="auto"/>
            </w:tcBorders>
            <w:hideMark/>
          </w:tcPr>
          <w:p w:rsidR="007517F5" w:rsidRPr="00DF7968" w:rsidRDefault="00DF7968" w:rsidP="00342097">
            <w:pPr>
              <w:keepNext/>
              <w:jc w:val="right"/>
              <w:rPr>
                <w:sz w:val="22"/>
                <w:szCs w:val="22"/>
                <w:lang w:val="en-CA"/>
              </w:rPr>
            </w:pPr>
            <w:r w:rsidRPr="00DF7968">
              <w:rPr>
                <w:sz w:val="22"/>
                <w:szCs w:val="22"/>
                <w:rtl/>
                <w:lang w:bidi="ar-EG"/>
              </w:rPr>
              <w:t>خطة إدارة إزالة المواد الهيدروكلوروفلوروكربونية</w:t>
            </w:r>
            <w:r w:rsidRPr="00DF7968">
              <w:rPr>
                <w:rFonts w:hint="cs"/>
                <w:sz w:val="22"/>
                <w:szCs w:val="22"/>
                <w:rtl/>
                <w:lang w:bidi="ar-EG"/>
              </w:rPr>
              <w:t xml:space="preserve"> (المرحلة </w:t>
            </w:r>
            <w:r w:rsidR="00342097">
              <w:rPr>
                <w:rFonts w:hint="cs"/>
                <w:sz w:val="22"/>
                <w:szCs w:val="22"/>
                <w:rtl/>
                <w:lang w:bidi="ar-EG"/>
              </w:rPr>
              <w:t>الأولى</w:t>
            </w:r>
            <w:r w:rsidRPr="00DF7968">
              <w:rPr>
                <w:rFonts w:hint="cs"/>
                <w:sz w:val="22"/>
                <w:szCs w:val="22"/>
                <w:rtl/>
                <w:lang w:bidi="ar-EG"/>
              </w:rPr>
              <w:t xml:space="preserve">، الشريحة </w:t>
            </w:r>
            <w:r w:rsidR="00342097">
              <w:rPr>
                <w:rFonts w:hint="cs"/>
                <w:sz w:val="22"/>
                <w:szCs w:val="22"/>
                <w:rtl/>
                <w:lang w:bidi="ar-EG"/>
              </w:rPr>
              <w:t>الرابعة</w:t>
            </w:r>
            <w:r w:rsidRPr="00DF7968">
              <w:rPr>
                <w:rFonts w:hint="cs"/>
                <w:sz w:val="22"/>
                <w:szCs w:val="22"/>
                <w:rtl/>
                <w:lang w:bidi="ar-EG"/>
              </w:rPr>
              <w:t>)</w:t>
            </w:r>
          </w:p>
        </w:tc>
        <w:tc>
          <w:tcPr>
            <w:tcW w:w="1621" w:type="dxa"/>
            <w:tcBorders>
              <w:top w:val="single" w:sz="4" w:space="0" w:color="auto"/>
              <w:left w:val="single" w:sz="4" w:space="0" w:color="auto"/>
              <w:bottom w:val="single" w:sz="4" w:space="0" w:color="auto"/>
              <w:right w:val="single" w:sz="4" w:space="0" w:color="auto"/>
            </w:tcBorders>
            <w:hideMark/>
          </w:tcPr>
          <w:p w:rsidR="007517F5" w:rsidRPr="00E92055" w:rsidRDefault="00CE29CF" w:rsidP="00CE29CF">
            <w:pPr>
              <w:keepNext/>
              <w:jc w:val="right"/>
              <w:rPr>
                <w:sz w:val="22"/>
                <w:szCs w:val="22"/>
                <w:lang w:val="en-CA"/>
              </w:rPr>
            </w:pPr>
            <w:r>
              <w:rPr>
                <w:rFonts w:hint="cs"/>
                <w:sz w:val="22"/>
                <w:szCs w:val="22"/>
                <w:rtl/>
                <w:lang w:val="en-CA"/>
              </w:rPr>
              <w:t>000</w:t>
            </w:r>
            <w:r w:rsidR="00E92055" w:rsidRPr="00E92055">
              <w:rPr>
                <w:rFonts w:hint="cs"/>
                <w:sz w:val="22"/>
                <w:szCs w:val="22"/>
                <w:rtl/>
                <w:lang w:val="en-CA"/>
              </w:rPr>
              <w:t xml:space="preserve"> </w:t>
            </w:r>
            <w:r>
              <w:rPr>
                <w:rFonts w:hint="cs"/>
                <w:sz w:val="22"/>
                <w:szCs w:val="22"/>
                <w:rtl/>
                <w:lang w:val="en-CA"/>
              </w:rPr>
              <w:t>50</w:t>
            </w:r>
          </w:p>
        </w:tc>
        <w:tc>
          <w:tcPr>
            <w:tcW w:w="1381" w:type="dxa"/>
            <w:tcBorders>
              <w:top w:val="single" w:sz="4" w:space="0" w:color="auto"/>
              <w:left w:val="single" w:sz="4" w:space="0" w:color="auto"/>
              <w:bottom w:val="single" w:sz="4" w:space="0" w:color="auto"/>
              <w:right w:val="single" w:sz="4" w:space="0" w:color="auto"/>
            </w:tcBorders>
            <w:hideMark/>
          </w:tcPr>
          <w:p w:rsidR="007517F5" w:rsidRPr="00E92055" w:rsidRDefault="00CE29CF" w:rsidP="00690C29">
            <w:pPr>
              <w:keepNext/>
              <w:jc w:val="right"/>
              <w:rPr>
                <w:sz w:val="22"/>
                <w:szCs w:val="22"/>
              </w:rPr>
            </w:pPr>
            <w:r>
              <w:rPr>
                <w:rFonts w:hint="cs"/>
                <w:sz w:val="22"/>
                <w:szCs w:val="22"/>
                <w:rtl/>
              </w:rPr>
              <w:t>500</w:t>
            </w:r>
            <w:r w:rsidR="00E92055" w:rsidRPr="00E92055">
              <w:rPr>
                <w:rFonts w:hint="cs"/>
                <w:sz w:val="22"/>
                <w:szCs w:val="22"/>
                <w:rtl/>
              </w:rPr>
              <w:t xml:space="preserve"> </w:t>
            </w:r>
            <w:r w:rsidR="00690C29">
              <w:rPr>
                <w:rFonts w:hint="cs"/>
                <w:sz w:val="22"/>
                <w:szCs w:val="22"/>
                <w:rtl/>
              </w:rPr>
              <w:t>6</w:t>
            </w:r>
          </w:p>
        </w:tc>
        <w:tc>
          <w:tcPr>
            <w:tcW w:w="1591" w:type="dxa"/>
            <w:tcBorders>
              <w:top w:val="single" w:sz="4" w:space="0" w:color="auto"/>
              <w:left w:val="single" w:sz="4" w:space="0" w:color="auto"/>
              <w:bottom w:val="single" w:sz="4" w:space="0" w:color="auto"/>
              <w:right w:val="single" w:sz="4" w:space="0" w:color="auto"/>
            </w:tcBorders>
            <w:hideMark/>
          </w:tcPr>
          <w:p w:rsidR="007517F5" w:rsidRPr="00E92055" w:rsidRDefault="00C549A9">
            <w:pPr>
              <w:keepNext/>
              <w:jc w:val="center"/>
              <w:rPr>
                <w:sz w:val="22"/>
                <w:szCs w:val="22"/>
                <w:lang w:val="en-CA"/>
              </w:rPr>
            </w:pPr>
            <w:r>
              <w:rPr>
                <w:rFonts w:hint="cs"/>
                <w:sz w:val="22"/>
                <w:szCs w:val="22"/>
                <w:rtl/>
                <w:lang w:val="en-CA"/>
              </w:rPr>
              <w:t>يونيب</w:t>
            </w:r>
          </w:p>
        </w:tc>
      </w:tr>
    </w:tbl>
    <w:p w:rsidR="00B03201" w:rsidRPr="00D55ADF" w:rsidRDefault="00B03201" w:rsidP="009F5E2A">
      <w:pPr>
        <w:pStyle w:val="StyleComplexArabicTransparent13ptAfter12pt"/>
        <w:bidi/>
        <w:jc w:val="center"/>
        <w:rPr>
          <w:rFonts w:cs="Times New Roman"/>
          <w:sz w:val="8"/>
          <w:szCs w:val="8"/>
          <w:lang w:bidi="ar-EG"/>
        </w:rPr>
      </w:pPr>
    </w:p>
    <w:p w:rsidR="009F5E2A" w:rsidRPr="00380F86" w:rsidRDefault="009F5E2A" w:rsidP="009F5E2A">
      <w:pPr>
        <w:pStyle w:val="StyleComplexArabicTransparent13ptAfter12pt"/>
        <w:bidi/>
        <w:jc w:val="center"/>
        <w:rPr>
          <w:rFonts w:cs="Times New Roman"/>
          <w:rtl/>
          <w:lang w:bidi="ar-EG"/>
        </w:rPr>
      </w:pPr>
      <w:r>
        <w:rPr>
          <w:rFonts w:cs="Times New Roman"/>
          <w:lang w:bidi="ar-EG"/>
        </w:rPr>
        <w:t>--------------</w:t>
      </w:r>
      <w:r>
        <w:rPr>
          <w:rFonts w:cs="Times New Roman" w:hint="cs"/>
          <w:rtl/>
          <w:lang w:bidi="ar-EG"/>
        </w:rPr>
        <w:t>---</w:t>
      </w:r>
    </w:p>
    <w:p w:rsidR="009F5E2A" w:rsidRPr="00380F86" w:rsidRDefault="009F5E2A" w:rsidP="009F5E2A">
      <w:pPr>
        <w:pStyle w:val="StyleComplexArabicTransparent13ptAfter12pt"/>
        <w:bidi/>
        <w:jc w:val="center"/>
        <w:rPr>
          <w:rFonts w:cs="Times New Roman"/>
          <w:rtl/>
          <w:lang w:bidi="ar-EG"/>
        </w:rPr>
      </w:pPr>
    </w:p>
    <w:sectPr w:rsidR="009F5E2A" w:rsidRPr="00380F86" w:rsidSect="00965C06">
      <w:headerReference w:type="even" r:id="rId10"/>
      <w:headerReference w:type="default" r:id="rId11"/>
      <w:footerReference w:type="even" r:id="rId12"/>
      <w:footerReference w:type="default" r:id="rId13"/>
      <w:footerReference w:type="first" r:id="rId14"/>
      <w:pgSz w:w="12240" w:h="15840" w:code="1"/>
      <w:pgMar w:top="720" w:right="1440" w:bottom="1296"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A8" w:rsidRDefault="001D0DA8">
      <w:r>
        <w:separator/>
      </w:r>
    </w:p>
  </w:endnote>
  <w:endnote w:type="continuationSeparator" w:id="0">
    <w:p w:rsidR="001D0DA8" w:rsidRDefault="001D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32" w:rsidRDefault="00835332">
    <w:pPr>
      <w:pStyle w:val="Footer"/>
      <w:jc w:val="center"/>
    </w:pPr>
    <w:r>
      <w:fldChar w:fldCharType="begin"/>
    </w:r>
    <w:r>
      <w:instrText xml:space="preserve"> PAGE   \* MERGEFORMAT </w:instrText>
    </w:r>
    <w:r>
      <w:fldChar w:fldCharType="separate"/>
    </w:r>
    <w:r w:rsidR="00494F55">
      <w:rPr>
        <w:noProof/>
      </w:rPr>
      <w:t>2</w:t>
    </w:r>
    <w:r>
      <w:rPr>
        <w:noProof/>
      </w:rPr>
      <w:fldChar w:fldCharType="end"/>
    </w:r>
  </w:p>
  <w:p w:rsidR="00835332" w:rsidRDefault="008353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3771"/>
      <w:docPartObj>
        <w:docPartGallery w:val="Page Numbers (Bottom of Page)"/>
        <w:docPartUnique/>
      </w:docPartObj>
    </w:sdtPr>
    <w:sdtEndPr>
      <w:rPr>
        <w:noProof/>
      </w:rPr>
    </w:sdtEndPr>
    <w:sdtContent>
      <w:p w:rsidR="00835332" w:rsidRDefault="00835332">
        <w:pPr>
          <w:pStyle w:val="Footer"/>
          <w:jc w:val="center"/>
        </w:pPr>
        <w:r>
          <w:fldChar w:fldCharType="begin"/>
        </w:r>
        <w:r>
          <w:instrText xml:space="preserve"> PAGE   \* MERGEFORMAT </w:instrText>
        </w:r>
        <w:r>
          <w:fldChar w:fldCharType="separate"/>
        </w:r>
        <w:r w:rsidR="00494F55">
          <w:rPr>
            <w:noProof/>
          </w:rPr>
          <w:t>3</w:t>
        </w:r>
        <w:r>
          <w:rPr>
            <w:noProof/>
          </w:rPr>
          <w:fldChar w:fldCharType="end"/>
        </w:r>
      </w:p>
    </w:sdtContent>
  </w:sdt>
  <w:p w:rsidR="00835332" w:rsidRDefault="008353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9576"/>
    </w:tblGrid>
    <w:tr w:rsidR="00655959" w:rsidTr="00655959">
      <w:tc>
        <w:tcPr>
          <w:tcW w:w="9576" w:type="dxa"/>
        </w:tcPr>
        <w:p w:rsidR="00655959" w:rsidRDefault="00655959" w:rsidP="00655959">
          <w:pPr>
            <w:pStyle w:val="Footer"/>
            <w:bidi/>
            <w:jc w:val="center"/>
            <w:rPr>
              <w:rtl/>
              <w:lang w:val="en-CA" w:bidi="ar-AE"/>
            </w:rPr>
          </w:pPr>
          <w:r>
            <w:rPr>
              <w:rFonts w:hint="cs"/>
              <w:rtl/>
              <w:lang w:val="en-CA" w:bidi="ar-AE"/>
            </w:rPr>
            <w:t>إن وثائق ما قبل دورات اللجنة التنفيذية  للصندوق المتعدد الأطراف لتنفيذ بروتوكول مونتريال</w:t>
          </w:r>
        </w:p>
        <w:p w:rsidR="00655959" w:rsidRDefault="00655959" w:rsidP="00655959">
          <w:pPr>
            <w:pStyle w:val="Footer"/>
            <w:bidi/>
            <w:jc w:val="center"/>
            <w:rPr>
              <w:rtl/>
              <w:lang w:val="en-CA" w:bidi="ar-AE"/>
            </w:rPr>
          </w:pPr>
          <w:r>
            <w:rPr>
              <w:rFonts w:hint="cs"/>
              <w:rtl/>
              <w:lang w:val="en-CA" w:bidi="ar-AE"/>
            </w:rPr>
            <w:t>قد تصدر دون إخلال بأي قرار تتخذه اللجنة التنفيذية بعد صدورها.</w:t>
          </w:r>
        </w:p>
      </w:tc>
    </w:tr>
  </w:tbl>
  <w:p w:rsidR="00835332" w:rsidRPr="007E6FB4" w:rsidRDefault="00835332" w:rsidP="007E6FB4">
    <w:pPr>
      <w:pStyle w:val="Footer"/>
      <w:bidi/>
      <w:jc w:val="center"/>
      <w:rPr>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A8" w:rsidRDefault="001D0DA8" w:rsidP="007063A5">
      <w:pPr>
        <w:jc w:val="right"/>
      </w:pPr>
      <w:r>
        <w:separator/>
      </w:r>
    </w:p>
  </w:footnote>
  <w:footnote w:type="continuationSeparator" w:id="0">
    <w:p w:rsidR="001D0DA8" w:rsidRDefault="001D0DA8">
      <w:r>
        <w:continuationSeparator/>
      </w:r>
    </w:p>
  </w:footnote>
  <w:footnote w:id="1">
    <w:p w:rsidR="00835332" w:rsidRPr="004E2732" w:rsidRDefault="00835332" w:rsidP="00F72C7A">
      <w:pPr>
        <w:pStyle w:val="FootnoteText"/>
        <w:bidi/>
        <w:rPr>
          <w:rtl/>
          <w:lang w:bidi="ar-EG"/>
        </w:rPr>
      </w:pPr>
      <w:r>
        <w:rPr>
          <w:rStyle w:val="FootnoteReference"/>
        </w:rPr>
        <w:footnoteRef/>
      </w:r>
      <w:r>
        <w:t xml:space="preserve"> </w:t>
      </w:r>
      <w:r>
        <w:rPr>
          <w:rFonts w:hint="cs"/>
          <w:rtl/>
          <w:lang w:bidi="ar-EG"/>
        </w:rPr>
        <w:t xml:space="preserve">  حسب الرسالة المؤرخة في 15 آذار/مارس 2019 من وزارة الغابات والبيئة المسؤولة عن خطة المناخ إلى الأمانة.</w:t>
      </w:r>
    </w:p>
  </w:footnote>
  <w:footnote w:id="2">
    <w:p w:rsidR="00131753" w:rsidRPr="00131753" w:rsidRDefault="00131753" w:rsidP="00F5220D">
      <w:pPr>
        <w:pStyle w:val="FootnoteText"/>
        <w:bidi/>
        <w:rPr>
          <w:rtl/>
          <w:lang w:val="en-US" w:bidi="ar-EG"/>
        </w:rPr>
      </w:pPr>
      <w:r>
        <w:rPr>
          <w:rStyle w:val="FootnoteReference"/>
        </w:rPr>
        <w:footnoteRef/>
      </w:r>
      <w:r>
        <w:t xml:space="preserve"> </w:t>
      </w:r>
      <w:r>
        <w:rPr>
          <w:rFonts w:hint="cs"/>
          <w:rtl/>
          <w:lang w:bidi="ar-EG"/>
        </w:rPr>
        <w:t xml:space="preserve">  خلال الشريحة الثانية، قدمت المعدات التالية، 20 مجموعة من وحدات نقالة للاسترداد ومعدات مساعدة (مثل، مشعبات وأجهزة ك</w:t>
      </w:r>
      <w:r w:rsidR="00F5220D">
        <w:rPr>
          <w:rFonts w:hint="cs"/>
          <w:rtl/>
          <w:lang w:bidi="ar-EG"/>
        </w:rPr>
        <w:t>ش</w:t>
      </w:r>
      <w:r>
        <w:rPr>
          <w:rFonts w:hint="cs"/>
          <w:rtl/>
          <w:lang w:bidi="ar-EG"/>
        </w:rPr>
        <w:t xml:space="preserve">ف التسرب وموازين وأجهزة قياس درجة الحرارة وزرديات وقاطعات للأنابيب)؛ 10 مجموعات من أجهزة التعرف على سوائل التبريد </w:t>
      </w:r>
      <w:r w:rsidR="00F5220D">
        <w:rPr>
          <w:rFonts w:hint="cs"/>
          <w:rtl/>
          <w:lang w:bidi="ar-EG"/>
        </w:rPr>
        <w:t>ومجموعات</w:t>
      </w:r>
      <w:r>
        <w:rPr>
          <w:rFonts w:hint="cs"/>
          <w:rtl/>
          <w:lang w:bidi="ar-EG"/>
        </w:rPr>
        <w:t xml:space="preserve"> أدوات؛ 30 مضخة تفريغ (</w:t>
      </w:r>
      <w:r>
        <w:rPr>
          <w:lang w:val="en-US" w:bidi="ar-EG"/>
        </w:rPr>
        <w:t>UNEP/OzL.Pro/ExCom/79/33</w:t>
      </w:r>
      <w:r>
        <w:rPr>
          <w:rFonts w:hint="cs"/>
          <w:rtl/>
          <w:lang w:val="en-US"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56" w:rsidRPr="003F73BA" w:rsidRDefault="00494F55" w:rsidP="00697E56">
    <w:pPr>
      <w:jc w:val="right"/>
    </w:pPr>
    <w:r>
      <w:fldChar w:fldCharType="begin"/>
    </w:r>
    <w:r>
      <w:instrText xml:space="preserve"> DOCPROPERTY "Document number"  \* MERGEFORMAT </w:instrText>
    </w:r>
    <w:r>
      <w:fldChar w:fldCharType="separate"/>
    </w:r>
    <w:r w:rsidR="00697E56">
      <w:t>UNEP/OzL.Pro/ExCom/83/27/Rev.1</w:t>
    </w:r>
    <w:r>
      <w:fldChar w:fldCharType="end"/>
    </w:r>
  </w:p>
  <w:p w:rsidR="009630D4" w:rsidRDefault="009630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56" w:rsidRPr="003F73BA" w:rsidRDefault="00494F55" w:rsidP="00697E56">
    <w:r>
      <w:fldChar w:fldCharType="begin"/>
    </w:r>
    <w:r>
      <w:instrText xml:space="preserve"> DOCPROPERTY "Document number"  \* MERGEFORMAT </w:instrText>
    </w:r>
    <w:r>
      <w:fldChar w:fldCharType="separate"/>
    </w:r>
    <w:r w:rsidR="00697E56">
      <w:t>UNEP/OzL.Pro/ExCom/83/27/Rev.1</w:t>
    </w:r>
    <w:r>
      <w:fldChar w:fldCharType="end"/>
    </w:r>
  </w:p>
  <w:p w:rsidR="0041213C" w:rsidRPr="0041213C" w:rsidRDefault="0041213C" w:rsidP="00933C1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644ECC2"/>
    <w:lvl w:ilvl="0">
      <w:start w:val="1"/>
      <w:numFmt w:val="arabicAlpha"/>
      <w:lvlText w:val="(%1)"/>
      <w:lvlJc w:val="left"/>
      <w:pPr>
        <w:tabs>
          <w:tab w:val="num" w:pos="1440"/>
        </w:tabs>
        <w:ind w:left="1440" w:hanging="720"/>
      </w:pPr>
      <w:rPr>
        <w:rFonts w:cs="Times New Roman" w:hint="cs"/>
        <w:szCs w:val="20"/>
      </w:rPr>
    </w:lvl>
    <w:lvl w:ilvl="1">
      <w:start w:val="1"/>
      <w:numFmt w:val="lowerLetter"/>
      <w:lvlText w:val="(%2)"/>
      <w:lvlJc w:val="left"/>
      <w:pPr>
        <w:tabs>
          <w:tab w:val="num" w:pos="0"/>
        </w:tabs>
        <w:ind w:left="1440" w:hanging="720"/>
      </w:pPr>
      <w:rPr>
        <w:rFonts w:cs="Times New Roman" w:hint="default"/>
      </w:rPr>
    </w:lvl>
    <w:lvl w:ilvl="2">
      <w:start w:val="1"/>
      <w:numFmt w:val="decimal"/>
      <w:lvlText w:val="(%3)"/>
      <w:lvlJc w:val="left"/>
      <w:pPr>
        <w:tabs>
          <w:tab w:val="num" w:pos="0"/>
        </w:tabs>
        <w:ind w:left="2155" w:hanging="681"/>
      </w:pPr>
      <w:rPr>
        <w:rFonts w:ascii="Times New Roman" w:hAnsi="Times New Roman" w:cs="Times New Roman" w:hint="default"/>
        <w:b w:val="0"/>
        <w:bCs w:val="0"/>
        <w:i w:val="0"/>
        <w:iCs w:val="0"/>
        <w:color w:val="auto"/>
        <w:sz w:val="24"/>
        <w:szCs w:val="24"/>
        <w:u w:val="none"/>
      </w:rPr>
    </w:lvl>
    <w:lvl w:ilvl="3">
      <w:start w:val="1"/>
      <w:numFmt w:val="lowerLetter"/>
      <w:pStyle w:val="Heading4"/>
      <w:lvlText w:val="%4)"/>
      <w:lvlJc w:val="left"/>
      <w:pPr>
        <w:tabs>
          <w:tab w:val="num" w:pos="0"/>
        </w:tabs>
        <w:ind w:left="2866" w:hanging="706"/>
      </w:pPr>
      <w:rPr>
        <w:rFonts w:cs="Times New Roman" w:hint="default"/>
      </w:rPr>
    </w:lvl>
    <w:lvl w:ilvl="4">
      <w:start w:val="1"/>
      <w:numFmt w:val="decimal"/>
      <w:pStyle w:val="Heading5"/>
      <w:lvlText w:val="(%5)"/>
      <w:lvlJc w:val="left"/>
      <w:pPr>
        <w:tabs>
          <w:tab w:val="num" w:pos="0"/>
        </w:tabs>
        <w:ind w:left="3571" w:hanging="705"/>
      </w:pPr>
      <w:rPr>
        <w:rFonts w:cs="Times New Roman" w:hint="default"/>
      </w:rPr>
    </w:lvl>
    <w:lvl w:ilvl="5">
      <w:start w:val="1"/>
      <w:numFmt w:val="lowerLetter"/>
      <w:pStyle w:val="Heading6"/>
      <w:lvlText w:val="(%6)"/>
      <w:lvlJc w:val="left"/>
      <w:pPr>
        <w:tabs>
          <w:tab w:val="num" w:pos="0"/>
        </w:tabs>
        <w:ind w:left="4291" w:hanging="720"/>
      </w:pPr>
      <w:rPr>
        <w:rFonts w:cs="Times New Roman" w:hint="default"/>
      </w:rPr>
    </w:lvl>
    <w:lvl w:ilvl="6">
      <w:start w:val="1"/>
      <w:numFmt w:val="lowerRoman"/>
      <w:pStyle w:val="Heading7"/>
      <w:lvlText w:val="(%7)"/>
      <w:lvlJc w:val="left"/>
      <w:pPr>
        <w:tabs>
          <w:tab w:val="num" w:pos="0"/>
        </w:tabs>
        <w:ind w:left="4997" w:hanging="706"/>
      </w:pPr>
      <w:rPr>
        <w:rFonts w:cs="Times New Roman" w:hint="default"/>
      </w:rPr>
    </w:lvl>
    <w:lvl w:ilvl="7">
      <w:start w:val="1"/>
      <w:numFmt w:val="lowerLetter"/>
      <w:pStyle w:val="Heading8"/>
      <w:lvlText w:val="(%8)"/>
      <w:lvlJc w:val="left"/>
      <w:pPr>
        <w:tabs>
          <w:tab w:val="num" w:pos="0"/>
        </w:tabs>
        <w:ind w:left="5702" w:hanging="705"/>
      </w:pPr>
      <w:rPr>
        <w:rFonts w:cs="Times New Roman" w:hint="default"/>
      </w:rPr>
    </w:lvl>
    <w:lvl w:ilvl="8">
      <w:start w:val="1"/>
      <w:numFmt w:val="lowerRoman"/>
      <w:pStyle w:val="Heading9"/>
      <w:lvlText w:val="(%9)"/>
      <w:lvlJc w:val="left"/>
      <w:pPr>
        <w:tabs>
          <w:tab w:val="num" w:pos="0"/>
        </w:tabs>
        <w:ind w:left="6408" w:hanging="706"/>
      </w:pPr>
      <w:rPr>
        <w:rFonts w:cs="Times New Roman" w:hint="default"/>
      </w:rPr>
    </w:lvl>
  </w:abstractNum>
  <w:abstractNum w:abstractNumId="1" w15:restartNumberingAfterBreak="0">
    <w:nsid w:val="02466BCD"/>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E25212"/>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6191104"/>
    <w:multiLevelType w:val="hybridMultilevel"/>
    <w:tmpl w:val="20A260F2"/>
    <w:lvl w:ilvl="0" w:tplc="240A0001">
      <w:start w:val="15"/>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2550F"/>
    <w:multiLevelType w:val="hybridMultilevel"/>
    <w:tmpl w:val="7EDE849C"/>
    <w:lvl w:ilvl="0" w:tplc="FB06B154">
      <w:start w:val="5"/>
      <w:numFmt w:val="arabicAlpha"/>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C361645"/>
    <w:multiLevelType w:val="multilevel"/>
    <w:tmpl w:val="8B84D4A8"/>
    <w:lvl w:ilvl="0">
      <w:start w:val="1"/>
      <w:numFmt w:val="decimal"/>
      <w:lvlText w:val="%1"/>
      <w:lvlJc w:val="left"/>
      <w:pPr>
        <w:tabs>
          <w:tab w:val="num" w:pos="0"/>
        </w:tabs>
      </w:pPr>
      <w:rPr>
        <w:rFonts w:ascii="Times New Roman" w:hAnsi="Times New Roman" w:cs="Times New Roman" w:hint="default"/>
        <w:b w:val="0"/>
        <w:bCs w:val="0"/>
        <w:i w:val="0"/>
        <w:iCs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994F42"/>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A91885"/>
    <w:multiLevelType w:val="hybridMultilevel"/>
    <w:tmpl w:val="DACA1944"/>
    <w:lvl w:ilvl="0" w:tplc="A914E8D6">
      <w:start w:val="1"/>
      <w:numFmt w:val="arabicAbjad"/>
      <w:pStyle w:val="Heading2"/>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093F33"/>
    <w:multiLevelType w:val="hybridMultilevel"/>
    <w:tmpl w:val="F96C68BA"/>
    <w:lvl w:ilvl="0" w:tplc="E1866278">
      <w:start w:val="1"/>
      <w:numFmt w:val="arabicAlpha"/>
      <w:lvlText w:val="(%1)"/>
      <w:lvlJc w:val="left"/>
      <w:pPr>
        <w:ind w:left="360" w:hanging="360"/>
      </w:pPr>
      <w:rPr>
        <w:rFonts w:cs="Times New Roman" w:hint="default"/>
        <w:sz w:val="2"/>
        <w:szCs w:val="24"/>
      </w:rPr>
    </w:lvl>
    <w:lvl w:ilvl="1" w:tplc="10090019">
      <w:start w:val="1"/>
      <w:numFmt w:val="lowerLetter"/>
      <w:lvlText w:val="%2."/>
      <w:lvlJc w:val="left"/>
      <w:pPr>
        <w:ind w:left="360" w:hanging="360"/>
      </w:pPr>
      <w:rPr>
        <w:rFonts w:cs="Times New Roman"/>
      </w:rPr>
    </w:lvl>
    <w:lvl w:ilvl="2" w:tplc="1009001B" w:tentative="1">
      <w:start w:val="1"/>
      <w:numFmt w:val="lowerRoman"/>
      <w:lvlText w:val="%3."/>
      <w:lvlJc w:val="right"/>
      <w:pPr>
        <w:ind w:left="1080" w:hanging="180"/>
      </w:pPr>
      <w:rPr>
        <w:rFonts w:cs="Times New Roman"/>
      </w:rPr>
    </w:lvl>
    <w:lvl w:ilvl="3" w:tplc="1009000F" w:tentative="1">
      <w:start w:val="1"/>
      <w:numFmt w:val="decimal"/>
      <w:lvlText w:val="%4."/>
      <w:lvlJc w:val="left"/>
      <w:pPr>
        <w:ind w:left="1800" w:hanging="360"/>
      </w:pPr>
      <w:rPr>
        <w:rFonts w:cs="Times New Roman"/>
      </w:rPr>
    </w:lvl>
    <w:lvl w:ilvl="4" w:tplc="10090019" w:tentative="1">
      <w:start w:val="1"/>
      <w:numFmt w:val="lowerLetter"/>
      <w:lvlText w:val="%5."/>
      <w:lvlJc w:val="left"/>
      <w:pPr>
        <w:ind w:left="2520" w:hanging="360"/>
      </w:pPr>
      <w:rPr>
        <w:rFonts w:cs="Times New Roman"/>
      </w:rPr>
    </w:lvl>
    <w:lvl w:ilvl="5" w:tplc="1009001B" w:tentative="1">
      <w:start w:val="1"/>
      <w:numFmt w:val="lowerRoman"/>
      <w:lvlText w:val="%6."/>
      <w:lvlJc w:val="right"/>
      <w:pPr>
        <w:ind w:left="3240" w:hanging="180"/>
      </w:pPr>
      <w:rPr>
        <w:rFonts w:cs="Times New Roman"/>
      </w:rPr>
    </w:lvl>
    <w:lvl w:ilvl="6" w:tplc="1009000F" w:tentative="1">
      <w:start w:val="1"/>
      <w:numFmt w:val="decimal"/>
      <w:lvlText w:val="%7."/>
      <w:lvlJc w:val="left"/>
      <w:pPr>
        <w:ind w:left="3960" w:hanging="360"/>
      </w:pPr>
      <w:rPr>
        <w:rFonts w:cs="Times New Roman"/>
      </w:rPr>
    </w:lvl>
    <w:lvl w:ilvl="7" w:tplc="10090019" w:tentative="1">
      <w:start w:val="1"/>
      <w:numFmt w:val="lowerLetter"/>
      <w:lvlText w:val="%8."/>
      <w:lvlJc w:val="left"/>
      <w:pPr>
        <w:ind w:left="4680" w:hanging="360"/>
      </w:pPr>
      <w:rPr>
        <w:rFonts w:cs="Times New Roman"/>
      </w:rPr>
    </w:lvl>
    <w:lvl w:ilvl="8" w:tplc="1009001B" w:tentative="1">
      <w:start w:val="1"/>
      <w:numFmt w:val="lowerRoman"/>
      <w:lvlText w:val="%9."/>
      <w:lvlJc w:val="right"/>
      <w:pPr>
        <w:ind w:left="5400" w:hanging="180"/>
      </w:pPr>
      <w:rPr>
        <w:rFonts w:cs="Times New Roman"/>
      </w:rPr>
    </w:lvl>
  </w:abstractNum>
  <w:abstractNum w:abstractNumId="9" w15:restartNumberingAfterBreak="0">
    <w:nsid w:val="15C83BEA"/>
    <w:multiLevelType w:val="multilevel"/>
    <w:tmpl w:val="F69C5E34"/>
    <w:lvl w:ilvl="0">
      <w:start w:val="1"/>
      <w:numFmt w:val="decimal"/>
      <w:lvlText w:val="%1."/>
      <w:lvlJc w:val="left"/>
      <w:pPr>
        <w:tabs>
          <w:tab w:val="num" w:pos="720"/>
        </w:tabs>
        <w:ind w:left="720" w:hanging="360"/>
      </w:pPr>
      <w:rPr>
        <w:rFonts w:cs="Times New Roman"/>
      </w:rPr>
    </w:lvl>
    <w:lvl w:ilvl="1">
      <w:start w:val="1"/>
      <w:numFmt w:val="arabicAbjad"/>
      <w:lvlText w:val="%2."/>
      <w:lvlJc w:val="left"/>
      <w:pPr>
        <w:tabs>
          <w:tab w:val="num" w:pos="1440"/>
        </w:tabs>
        <w:ind w:left="1440" w:hanging="360"/>
      </w:pPr>
      <w:rPr>
        <w:rFonts w:cs="Times New Roman" w:hint="default"/>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C970234"/>
    <w:multiLevelType w:val="hybridMultilevel"/>
    <w:tmpl w:val="92F09522"/>
    <w:lvl w:ilvl="0" w:tplc="438A7F0A">
      <w:start w:val="1"/>
      <w:numFmt w:val="decimal"/>
      <w:lvlText w:val="%1- "/>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0A7FE8"/>
    <w:multiLevelType w:val="multilevel"/>
    <w:tmpl w:val="F69C5E34"/>
    <w:lvl w:ilvl="0">
      <w:start w:val="1"/>
      <w:numFmt w:val="decimal"/>
      <w:lvlText w:val="%1."/>
      <w:lvlJc w:val="left"/>
      <w:pPr>
        <w:tabs>
          <w:tab w:val="num" w:pos="720"/>
        </w:tabs>
        <w:ind w:left="720" w:hanging="360"/>
      </w:pPr>
      <w:rPr>
        <w:rFonts w:cs="Times New Roman"/>
      </w:rPr>
    </w:lvl>
    <w:lvl w:ilvl="1">
      <w:start w:val="1"/>
      <w:numFmt w:val="arabicAbjad"/>
      <w:lvlText w:val="%2."/>
      <w:lvlJc w:val="left"/>
      <w:pPr>
        <w:tabs>
          <w:tab w:val="num" w:pos="1440"/>
        </w:tabs>
        <w:ind w:left="1440" w:hanging="360"/>
      </w:pPr>
      <w:rPr>
        <w:rFonts w:cs="Times New Roman" w:hint="default"/>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DC64AB3"/>
    <w:multiLevelType w:val="hybridMultilevel"/>
    <w:tmpl w:val="8B84D4A8"/>
    <w:lvl w:ilvl="0" w:tplc="04FECB22">
      <w:start w:val="1"/>
      <w:numFmt w:val="decimal"/>
      <w:lvlText w:val="%1"/>
      <w:lvlJc w:val="left"/>
      <w:pPr>
        <w:tabs>
          <w:tab w:val="num" w:pos="0"/>
        </w:tabs>
      </w:pPr>
      <w:rPr>
        <w:rFonts w:ascii="Times New Roman" w:hAnsi="Times New Roman" w:cs="Times New Roman" w:hint="default"/>
        <w:b w:val="0"/>
        <w:bCs w:val="0"/>
        <w:i w:val="0"/>
        <w:iCs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0362D6"/>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EB043F6"/>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F2D0A08"/>
    <w:multiLevelType w:val="hybridMultilevel"/>
    <w:tmpl w:val="14789E5C"/>
    <w:lvl w:ilvl="0" w:tplc="B136E804">
      <w:start w:val="1"/>
      <w:numFmt w:val="decimal"/>
      <w:pStyle w:val="Heading3"/>
      <w:lvlText w:val="(%1)"/>
      <w:lvlJc w:val="left"/>
      <w:pPr>
        <w:tabs>
          <w:tab w:val="num" w:pos="0"/>
        </w:tabs>
        <w:ind w:left="1814"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A8775B"/>
    <w:multiLevelType w:val="hybridMultilevel"/>
    <w:tmpl w:val="3A2C227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2EA09A4"/>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3FB4F54"/>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07C0F8D"/>
    <w:multiLevelType w:val="hybridMultilevel"/>
    <w:tmpl w:val="D212B716"/>
    <w:lvl w:ilvl="0" w:tplc="10090001">
      <w:numFmt w:val="bullet"/>
      <w:lvlText w:val=""/>
      <w:lvlJc w:val="left"/>
      <w:pPr>
        <w:ind w:left="720" w:hanging="360"/>
      </w:pPr>
      <w:rPr>
        <w:rFonts w:ascii="Symbol" w:eastAsia="Times New Roman" w:hAnsi="Symbol"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9128D4"/>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6528D5"/>
    <w:multiLevelType w:val="hybridMultilevel"/>
    <w:tmpl w:val="4FDAD00C"/>
    <w:lvl w:ilvl="0" w:tplc="04090001">
      <w:start w:val="1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E7B8B"/>
    <w:multiLevelType w:val="hybridMultilevel"/>
    <w:tmpl w:val="11A09A80"/>
    <w:lvl w:ilvl="0" w:tplc="A8E62A46">
      <w:start w:val="1"/>
      <w:numFmt w:val="arabicAlpha"/>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9176DD7"/>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DCF6D6F"/>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2992DF4"/>
    <w:multiLevelType w:val="hybridMultilevel"/>
    <w:tmpl w:val="F69C5E34"/>
    <w:lvl w:ilvl="0" w:tplc="0409000F">
      <w:start w:val="1"/>
      <w:numFmt w:val="decimal"/>
      <w:lvlText w:val="%1."/>
      <w:lvlJc w:val="left"/>
      <w:pPr>
        <w:tabs>
          <w:tab w:val="num" w:pos="720"/>
        </w:tabs>
        <w:ind w:left="720" w:hanging="360"/>
      </w:pPr>
      <w:rPr>
        <w:rFonts w:cs="Times New Roman"/>
      </w:rPr>
    </w:lvl>
    <w:lvl w:ilvl="1" w:tplc="F8D00366">
      <w:start w:val="1"/>
      <w:numFmt w:val="arabicAbjad"/>
      <w:lvlText w:val="%2."/>
      <w:lvlJc w:val="left"/>
      <w:pPr>
        <w:tabs>
          <w:tab w:val="num" w:pos="1440"/>
        </w:tabs>
        <w:ind w:left="1440" w:hanging="360"/>
      </w:pPr>
      <w:rPr>
        <w:rFonts w:cs="Times New Roman" w:hint="default"/>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ADA59EC"/>
    <w:multiLevelType w:val="hybridMultilevel"/>
    <w:tmpl w:val="8ECA71EA"/>
    <w:lvl w:ilvl="0" w:tplc="E8FCA3A6">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28" w15:restartNumberingAfterBreak="0">
    <w:nsid w:val="7F9F5E4F"/>
    <w:multiLevelType w:val="multilevel"/>
    <w:tmpl w:val="692086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2"/>
  </w:num>
  <w:num w:numId="4">
    <w:abstractNumId w:val="15"/>
  </w:num>
  <w:num w:numId="5">
    <w:abstractNumId w:val="27"/>
  </w:num>
  <w:num w:numId="6">
    <w:abstractNumId w:val="25"/>
  </w:num>
  <w:num w:numId="7">
    <w:abstractNumId w:val="20"/>
  </w:num>
  <w:num w:numId="8">
    <w:abstractNumId w:val="2"/>
  </w:num>
  <w:num w:numId="9">
    <w:abstractNumId w:val="18"/>
  </w:num>
  <w:num w:numId="10">
    <w:abstractNumId w:val="28"/>
  </w:num>
  <w:num w:numId="11">
    <w:abstractNumId w:val="24"/>
  </w:num>
  <w:num w:numId="12">
    <w:abstractNumId w:val="6"/>
  </w:num>
  <w:num w:numId="13">
    <w:abstractNumId w:val="13"/>
  </w:num>
  <w:num w:numId="14">
    <w:abstractNumId w:val="14"/>
  </w:num>
  <w:num w:numId="15">
    <w:abstractNumId w:val="1"/>
  </w:num>
  <w:num w:numId="16">
    <w:abstractNumId w:val="10"/>
  </w:num>
  <w:num w:numId="17">
    <w:abstractNumId w:val="5"/>
  </w:num>
  <w:num w:numId="18">
    <w:abstractNumId w:val="23"/>
  </w:num>
  <w:num w:numId="19">
    <w:abstractNumId w:val="17"/>
  </w:num>
  <w:num w:numId="20">
    <w:abstractNumId w:val="9"/>
  </w:num>
  <w:num w:numId="21">
    <w:abstractNumId w:val="11"/>
  </w:num>
  <w:num w:numId="22">
    <w:abstractNumId w:val="8"/>
  </w:num>
  <w:num w:numId="23">
    <w:abstractNumId w:val="16"/>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num>
  <w:num w:numId="28">
    <w:abstractNumId w:val="2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6E"/>
    <w:rsid w:val="000016FA"/>
    <w:rsid w:val="00001D63"/>
    <w:rsid w:val="00004D1B"/>
    <w:rsid w:val="0001060C"/>
    <w:rsid w:val="00011677"/>
    <w:rsid w:val="00011D1E"/>
    <w:rsid w:val="00012227"/>
    <w:rsid w:val="00012E90"/>
    <w:rsid w:val="000137AC"/>
    <w:rsid w:val="00014E19"/>
    <w:rsid w:val="000162AC"/>
    <w:rsid w:val="00016F9F"/>
    <w:rsid w:val="00020B61"/>
    <w:rsid w:val="00021E56"/>
    <w:rsid w:val="0003019A"/>
    <w:rsid w:val="000305BD"/>
    <w:rsid w:val="0003232B"/>
    <w:rsid w:val="00036C2A"/>
    <w:rsid w:val="000402BA"/>
    <w:rsid w:val="0004142F"/>
    <w:rsid w:val="00043AD6"/>
    <w:rsid w:val="00044165"/>
    <w:rsid w:val="00044F9F"/>
    <w:rsid w:val="0005176C"/>
    <w:rsid w:val="000526B6"/>
    <w:rsid w:val="00052DCC"/>
    <w:rsid w:val="00053668"/>
    <w:rsid w:val="000606A9"/>
    <w:rsid w:val="00060D00"/>
    <w:rsid w:val="00061C3B"/>
    <w:rsid w:val="000637B9"/>
    <w:rsid w:val="00067EF5"/>
    <w:rsid w:val="00072B27"/>
    <w:rsid w:val="000761B6"/>
    <w:rsid w:val="00076386"/>
    <w:rsid w:val="0007740C"/>
    <w:rsid w:val="00077BCD"/>
    <w:rsid w:val="000808DE"/>
    <w:rsid w:val="00081182"/>
    <w:rsid w:val="00081B99"/>
    <w:rsid w:val="00082F68"/>
    <w:rsid w:val="00083ED2"/>
    <w:rsid w:val="000848DF"/>
    <w:rsid w:val="00085402"/>
    <w:rsid w:val="00087843"/>
    <w:rsid w:val="00090DD3"/>
    <w:rsid w:val="00092A5E"/>
    <w:rsid w:val="00093055"/>
    <w:rsid w:val="00093F48"/>
    <w:rsid w:val="00095F76"/>
    <w:rsid w:val="00097817"/>
    <w:rsid w:val="000A42D1"/>
    <w:rsid w:val="000A5320"/>
    <w:rsid w:val="000A713F"/>
    <w:rsid w:val="000B1B46"/>
    <w:rsid w:val="000B45C4"/>
    <w:rsid w:val="000C0024"/>
    <w:rsid w:val="000C48C3"/>
    <w:rsid w:val="000C5EEB"/>
    <w:rsid w:val="000D1AC8"/>
    <w:rsid w:val="000D3FBF"/>
    <w:rsid w:val="000D4B48"/>
    <w:rsid w:val="000D78B1"/>
    <w:rsid w:val="000E31AB"/>
    <w:rsid w:val="000E3874"/>
    <w:rsid w:val="000E7770"/>
    <w:rsid w:val="000F1702"/>
    <w:rsid w:val="000F1BEF"/>
    <w:rsid w:val="000F1EA9"/>
    <w:rsid w:val="000F233D"/>
    <w:rsid w:val="000F3075"/>
    <w:rsid w:val="000F51F0"/>
    <w:rsid w:val="000F6209"/>
    <w:rsid w:val="000F782E"/>
    <w:rsid w:val="000F7DE5"/>
    <w:rsid w:val="00103658"/>
    <w:rsid w:val="00106929"/>
    <w:rsid w:val="001151B3"/>
    <w:rsid w:val="00115C50"/>
    <w:rsid w:val="00116733"/>
    <w:rsid w:val="0012281F"/>
    <w:rsid w:val="00122A1C"/>
    <w:rsid w:val="0012373C"/>
    <w:rsid w:val="0012480F"/>
    <w:rsid w:val="00127C9F"/>
    <w:rsid w:val="001300AC"/>
    <w:rsid w:val="00130859"/>
    <w:rsid w:val="00131753"/>
    <w:rsid w:val="00132CE8"/>
    <w:rsid w:val="00141597"/>
    <w:rsid w:val="00146F5E"/>
    <w:rsid w:val="00147009"/>
    <w:rsid w:val="0014738A"/>
    <w:rsid w:val="00147CB6"/>
    <w:rsid w:val="00152396"/>
    <w:rsid w:val="0015531A"/>
    <w:rsid w:val="001568A2"/>
    <w:rsid w:val="001575E3"/>
    <w:rsid w:val="00157856"/>
    <w:rsid w:val="00157F7B"/>
    <w:rsid w:val="001612C4"/>
    <w:rsid w:val="00161B37"/>
    <w:rsid w:val="001628D0"/>
    <w:rsid w:val="00165EB3"/>
    <w:rsid w:val="0017366B"/>
    <w:rsid w:val="00175684"/>
    <w:rsid w:val="00176A8C"/>
    <w:rsid w:val="0017782F"/>
    <w:rsid w:val="0018188D"/>
    <w:rsid w:val="00181C8F"/>
    <w:rsid w:val="00183B76"/>
    <w:rsid w:val="00184481"/>
    <w:rsid w:val="001847DA"/>
    <w:rsid w:val="00184DE5"/>
    <w:rsid w:val="001863D5"/>
    <w:rsid w:val="0018750A"/>
    <w:rsid w:val="00190FFD"/>
    <w:rsid w:val="001935C2"/>
    <w:rsid w:val="00193C1C"/>
    <w:rsid w:val="00194801"/>
    <w:rsid w:val="001979E0"/>
    <w:rsid w:val="001A03C0"/>
    <w:rsid w:val="001A249A"/>
    <w:rsid w:val="001A2A96"/>
    <w:rsid w:val="001A34F7"/>
    <w:rsid w:val="001B43DF"/>
    <w:rsid w:val="001B56B8"/>
    <w:rsid w:val="001C1161"/>
    <w:rsid w:val="001C6A63"/>
    <w:rsid w:val="001C73F2"/>
    <w:rsid w:val="001D017A"/>
    <w:rsid w:val="001D0DA8"/>
    <w:rsid w:val="001D2595"/>
    <w:rsid w:val="001D31A1"/>
    <w:rsid w:val="001D4695"/>
    <w:rsid w:val="001D4C6F"/>
    <w:rsid w:val="001D6556"/>
    <w:rsid w:val="001E5B0B"/>
    <w:rsid w:val="001F0B8B"/>
    <w:rsid w:val="001F4066"/>
    <w:rsid w:val="001F6DCD"/>
    <w:rsid w:val="00203585"/>
    <w:rsid w:val="002046D4"/>
    <w:rsid w:val="00204933"/>
    <w:rsid w:val="00207062"/>
    <w:rsid w:val="0020740F"/>
    <w:rsid w:val="00212B2A"/>
    <w:rsid w:val="00216266"/>
    <w:rsid w:val="0022064D"/>
    <w:rsid w:val="0022098F"/>
    <w:rsid w:val="00222AC2"/>
    <w:rsid w:val="00224207"/>
    <w:rsid w:val="0022479D"/>
    <w:rsid w:val="002259F0"/>
    <w:rsid w:val="00226829"/>
    <w:rsid w:val="002271FF"/>
    <w:rsid w:val="00233CB0"/>
    <w:rsid w:val="00235DB2"/>
    <w:rsid w:val="00236E27"/>
    <w:rsid w:val="002374CB"/>
    <w:rsid w:val="00243E06"/>
    <w:rsid w:val="00244066"/>
    <w:rsid w:val="0024569B"/>
    <w:rsid w:val="002463BA"/>
    <w:rsid w:val="00246CA3"/>
    <w:rsid w:val="00247661"/>
    <w:rsid w:val="002479DD"/>
    <w:rsid w:val="00247D5E"/>
    <w:rsid w:val="00252A4D"/>
    <w:rsid w:val="00253FEE"/>
    <w:rsid w:val="00254461"/>
    <w:rsid w:val="002636F9"/>
    <w:rsid w:val="00264D87"/>
    <w:rsid w:val="002665FD"/>
    <w:rsid w:val="002678E8"/>
    <w:rsid w:val="0029182C"/>
    <w:rsid w:val="00291BB3"/>
    <w:rsid w:val="0029498D"/>
    <w:rsid w:val="002979C4"/>
    <w:rsid w:val="002979FA"/>
    <w:rsid w:val="002A07F8"/>
    <w:rsid w:val="002A0957"/>
    <w:rsid w:val="002A3F1F"/>
    <w:rsid w:val="002A46A1"/>
    <w:rsid w:val="002B1487"/>
    <w:rsid w:val="002B67F6"/>
    <w:rsid w:val="002C01E1"/>
    <w:rsid w:val="002C01FB"/>
    <w:rsid w:val="002C3694"/>
    <w:rsid w:val="002C4129"/>
    <w:rsid w:val="002C5860"/>
    <w:rsid w:val="002C5ACC"/>
    <w:rsid w:val="002C6A94"/>
    <w:rsid w:val="002D0084"/>
    <w:rsid w:val="002D0847"/>
    <w:rsid w:val="002D229B"/>
    <w:rsid w:val="002D2835"/>
    <w:rsid w:val="002D3E3C"/>
    <w:rsid w:val="002D61CC"/>
    <w:rsid w:val="002D6E6E"/>
    <w:rsid w:val="002D7645"/>
    <w:rsid w:val="002E50E4"/>
    <w:rsid w:val="002E6AD0"/>
    <w:rsid w:val="002E74C7"/>
    <w:rsid w:val="002F48AF"/>
    <w:rsid w:val="00300405"/>
    <w:rsid w:val="0030082F"/>
    <w:rsid w:val="003068A6"/>
    <w:rsid w:val="0031066A"/>
    <w:rsid w:val="0031235C"/>
    <w:rsid w:val="00314A80"/>
    <w:rsid w:val="00316DEC"/>
    <w:rsid w:val="00321A1D"/>
    <w:rsid w:val="00321E9A"/>
    <w:rsid w:val="00327624"/>
    <w:rsid w:val="0033382D"/>
    <w:rsid w:val="00334148"/>
    <w:rsid w:val="003359B3"/>
    <w:rsid w:val="00342097"/>
    <w:rsid w:val="00343A0A"/>
    <w:rsid w:val="00344F1C"/>
    <w:rsid w:val="003451F3"/>
    <w:rsid w:val="00346C1E"/>
    <w:rsid w:val="003474EB"/>
    <w:rsid w:val="003479E1"/>
    <w:rsid w:val="00352F15"/>
    <w:rsid w:val="00362850"/>
    <w:rsid w:val="00365FC2"/>
    <w:rsid w:val="0037191D"/>
    <w:rsid w:val="00371C7D"/>
    <w:rsid w:val="003722E1"/>
    <w:rsid w:val="003753B8"/>
    <w:rsid w:val="00375433"/>
    <w:rsid w:val="00376ED1"/>
    <w:rsid w:val="00377676"/>
    <w:rsid w:val="00380F86"/>
    <w:rsid w:val="003845CB"/>
    <w:rsid w:val="00385253"/>
    <w:rsid w:val="003862CB"/>
    <w:rsid w:val="003936D5"/>
    <w:rsid w:val="003953C0"/>
    <w:rsid w:val="003A08D5"/>
    <w:rsid w:val="003A2353"/>
    <w:rsid w:val="003A30E7"/>
    <w:rsid w:val="003B057A"/>
    <w:rsid w:val="003B2D84"/>
    <w:rsid w:val="003B59C8"/>
    <w:rsid w:val="003C0ADD"/>
    <w:rsid w:val="003C2FB1"/>
    <w:rsid w:val="003C646E"/>
    <w:rsid w:val="003D0A98"/>
    <w:rsid w:val="003D10DC"/>
    <w:rsid w:val="003D1B6C"/>
    <w:rsid w:val="003E2A97"/>
    <w:rsid w:val="003E2C80"/>
    <w:rsid w:val="003E5A71"/>
    <w:rsid w:val="003E5B5B"/>
    <w:rsid w:val="003F388C"/>
    <w:rsid w:val="003F6686"/>
    <w:rsid w:val="004016CA"/>
    <w:rsid w:val="0041131C"/>
    <w:rsid w:val="0041213C"/>
    <w:rsid w:val="00415DD2"/>
    <w:rsid w:val="004227A0"/>
    <w:rsid w:val="00422BBE"/>
    <w:rsid w:val="00423963"/>
    <w:rsid w:val="00424DD1"/>
    <w:rsid w:val="00425C0F"/>
    <w:rsid w:val="0042789F"/>
    <w:rsid w:val="00427AEC"/>
    <w:rsid w:val="00431FFF"/>
    <w:rsid w:val="00432BB6"/>
    <w:rsid w:val="00435592"/>
    <w:rsid w:val="00436980"/>
    <w:rsid w:val="00441F7B"/>
    <w:rsid w:val="00442B72"/>
    <w:rsid w:val="004440B9"/>
    <w:rsid w:val="0044717E"/>
    <w:rsid w:val="004506DC"/>
    <w:rsid w:val="00453081"/>
    <w:rsid w:val="00453774"/>
    <w:rsid w:val="00453FBE"/>
    <w:rsid w:val="00456725"/>
    <w:rsid w:val="00461C66"/>
    <w:rsid w:val="00473998"/>
    <w:rsid w:val="004766AE"/>
    <w:rsid w:val="00476A70"/>
    <w:rsid w:val="00477A24"/>
    <w:rsid w:val="00486397"/>
    <w:rsid w:val="004866C2"/>
    <w:rsid w:val="00494D93"/>
    <w:rsid w:val="00494F55"/>
    <w:rsid w:val="004A051A"/>
    <w:rsid w:val="004A1BA9"/>
    <w:rsid w:val="004A44DE"/>
    <w:rsid w:val="004A4ED4"/>
    <w:rsid w:val="004A63E4"/>
    <w:rsid w:val="004A75F5"/>
    <w:rsid w:val="004B5830"/>
    <w:rsid w:val="004B6A1C"/>
    <w:rsid w:val="004C41C4"/>
    <w:rsid w:val="004C52E8"/>
    <w:rsid w:val="004C5A25"/>
    <w:rsid w:val="004C5AA2"/>
    <w:rsid w:val="004C64B3"/>
    <w:rsid w:val="004C72EA"/>
    <w:rsid w:val="004C78D0"/>
    <w:rsid w:val="004C7B95"/>
    <w:rsid w:val="004C7C15"/>
    <w:rsid w:val="004D0722"/>
    <w:rsid w:val="004D7CBE"/>
    <w:rsid w:val="004E2732"/>
    <w:rsid w:val="004E7985"/>
    <w:rsid w:val="004F2AA5"/>
    <w:rsid w:val="004F4998"/>
    <w:rsid w:val="004F7743"/>
    <w:rsid w:val="00503126"/>
    <w:rsid w:val="005059F2"/>
    <w:rsid w:val="0050693F"/>
    <w:rsid w:val="005073EA"/>
    <w:rsid w:val="005108B1"/>
    <w:rsid w:val="00510A98"/>
    <w:rsid w:val="00511F65"/>
    <w:rsid w:val="005126F9"/>
    <w:rsid w:val="00516E42"/>
    <w:rsid w:val="00517172"/>
    <w:rsid w:val="0052008D"/>
    <w:rsid w:val="005237E5"/>
    <w:rsid w:val="00524A1B"/>
    <w:rsid w:val="005263C4"/>
    <w:rsid w:val="00527249"/>
    <w:rsid w:val="00535148"/>
    <w:rsid w:val="005358BD"/>
    <w:rsid w:val="005408CE"/>
    <w:rsid w:val="00540BC9"/>
    <w:rsid w:val="00541E2E"/>
    <w:rsid w:val="00544825"/>
    <w:rsid w:val="005468BB"/>
    <w:rsid w:val="00547AF9"/>
    <w:rsid w:val="00550DCD"/>
    <w:rsid w:val="00550F84"/>
    <w:rsid w:val="00551923"/>
    <w:rsid w:val="00551FD5"/>
    <w:rsid w:val="00552425"/>
    <w:rsid w:val="00554576"/>
    <w:rsid w:val="0055492A"/>
    <w:rsid w:val="00555A99"/>
    <w:rsid w:val="005610CE"/>
    <w:rsid w:val="005637F0"/>
    <w:rsid w:val="00564813"/>
    <w:rsid w:val="0056512E"/>
    <w:rsid w:val="00567B55"/>
    <w:rsid w:val="005752BC"/>
    <w:rsid w:val="005758B3"/>
    <w:rsid w:val="00575925"/>
    <w:rsid w:val="00576178"/>
    <w:rsid w:val="00577526"/>
    <w:rsid w:val="005777A3"/>
    <w:rsid w:val="00577B21"/>
    <w:rsid w:val="0058340C"/>
    <w:rsid w:val="00585F5A"/>
    <w:rsid w:val="00590239"/>
    <w:rsid w:val="00590972"/>
    <w:rsid w:val="00591603"/>
    <w:rsid w:val="00591BAF"/>
    <w:rsid w:val="005950E8"/>
    <w:rsid w:val="00596F94"/>
    <w:rsid w:val="005A0B6A"/>
    <w:rsid w:val="005A1D81"/>
    <w:rsid w:val="005A2B09"/>
    <w:rsid w:val="005A2B75"/>
    <w:rsid w:val="005A2EC4"/>
    <w:rsid w:val="005A46E8"/>
    <w:rsid w:val="005B1957"/>
    <w:rsid w:val="005B1ED8"/>
    <w:rsid w:val="005B26D3"/>
    <w:rsid w:val="005C0F5C"/>
    <w:rsid w:val="005C131A"/>
    <w:rsid w:val="005C2149"/>
    <w:rsid w:val="005C4FDD"/>
    <w:rsid w:val="005D0A4C"/>
    <w:rsid w:val="005D15F3"/>
    <w:rsid w:val="005D6B43"/>
    <w:rsid w:val="005D7A02"/>
    <w:rsid w:val="005E060B"/>
    <w:rsid w:val="005F1E9C"/>
    <w:rsid w:val="005F4E51"/>
    <w:rsid w:val="005F5E06"/>
    <w:rsid w:val="005F5EBB"/>
    <w:rsid w:val="006023B5"/>
    <w:rsid w:val="006066A8"/>
    <w:rsid w:val="00610C6E"/>
    <w:rsid w:val="006129B0"/>
    <w:rsid w:val="00616DD1"/>
    <w:rsid w:val="00616E8B"/>
    <w:rsid w:val="00620CA6"/>
    <w:rsid w:val="0062253E"/>
    <w:rsid w:val="006254B1"/>
    <w:rsid w:val="0062563F"/>
    <w:rsid w:val="00625F33"/>
    <w:rsid w:val="00625FA7"/>
    <w:rsid w:val="00627EDC"/>
    <w:rsid w:val="00630C73"/>
    <w:rsid w:val="00632625"/>
    <w:rsid w:val="0063290A"/>
    <w:rsid w:val="00636716"/>
    <w:rsid w:val="0064699E"/>
    <w:rsid w:val="00651C7E"/>
    <w:rsid w:val="0065375B"/>
    <w:rsid w:val="006555FF"/>
    <w:rsid w:val="00655959"/>
    <w:rsid w:val="00661018"/>
    <w:rsid w:val="00661E37"/>
    <w:rsid w:val="00661EC5"/>
    <w:rsid w:val="006624A1"/>
    <w:rsid w:val="006628EC"/>
    <w:rsid w:val="00664202"/>
    <w:rsid w:val="0066477A"/>
    <w:rsid w:val="00670AF3"/>
    <w:rsid w:val="00671C6D"/>
    <w:rsid w:val="006725B4"/>
    <w:rsid w:val="0067371D"/>
    <w:rsid w:val="00674D78"/>
    <w:rsid w:val="006759ED"/>
    <w:rsid w:val="00677708"/>
    <w:rsid w:val="00686448"/>
    <w:rsid w:val="00690C29"/>
    <w:rsid w:val="0069582B"/>
    <w:rsid w:val="00695AE2"/>
    <w:rsid w:val="00697E56"/>
    <w:rsid w:val="006A545B"/>
    <w:rsid w:val="006A5CD3"/>
    <w:rsid w:val="006A7500"/>
    <w:rsid w:val="006A7587"/>
    <w:rsid w:val="006B55C9"/>
    <w:rsid w:val="006B66C0"/>
    <w:rsid w:val="006C33C0"/>
    <w:rsid w:val="006C424A"/>
    <w:rsid w:val="006C5DEE"/>
    <w:rsid w:val="006D1FA2"/>
    <w:rsid w:val="006D295A"/>
    <w:rsid w:val="006D680D"/>
    <w:rsid w:val="006D7A7D"/>
    <w:rsid w:val="006E003B"/>
    <w:rsid w:val="006E0BD2"/>
    <w:rsid w:val="006E4705"/>
    <w:rsid w:val="006E6059"/>
    <w:rsid w:val="006E74A0"/>
    <w:rsid w:val="006E7B6F"/>
    <w:rsid w:val="006F1F8D"/>
    <w:rsid w:val="006F650D"/>
    <w:rsid w:val="006F6A36"/>
    <w:rsid w:val="00701043"/>
    <w:rsid w:val="0070324A"/>
    <w:rsid w:val="00703559"/>
    <w:rsid w:val="00703586"/>
    <w:rsid w:val="00703AA2"/>
    <w:rsid w:val="007048D9"/>
    <w:rsid w:val="00704B6F"/>
    <w:rsid w:val="007055D5"/>
    <w:rsid w:val="00705984"/>
    <w:rsid w:val="007063A5"/>
    <w:rsid w:val="00710777"/>
    <w:rsid w:val="00710F2F"/>
    <w:rsid w:val="007120D9"/>
    <w:rsid w:val="0071301E"/>
    <w:rsid w:val="00713BA4"/>
    <w:rsid w:val="00714ABB"/>
    <w:rsid w:val="007171EB"/>
    <w:rsid w:val="007176E6"/>
    <w:rsid w:val="00720067"/>
    <w:rsid w:val="00720E95"/>
    <w:rsid w:val="0072133A"/>
    <w:rsid w:val="00721478"/>
    <w:rsid w:val="00724A49"/>
    <w:rsid w:val="007366E3"/>
    <w:rsid w:val="007400BD"/>
    <w:rsid w:val="00741468"/>
    <w:rsid w:val="0074178C"/>
    <w:rsid w:val="00744DE0"/>
    <w:rsid w:val="007517F5"/>
    <w:rsid w:val="0075263F"/>
    <w:rsid w:val="0075280C"/>
    <w:rsid w:val="007530F1"/>
    <w:rsid w:val="00755380"/>
    <w:rsid w:val="0075550B"/>
    <w:rsid w:val="007555D6"/>
    <w:rsid w:val="00757B28"/>
    <w:rsid w:val="00762208"/>
    <w:rsid w:val="0076406C"/>
    <w:rsid w:val="00764C7F"/>
    <w:rsid w:val="007656E7"/>
    <w:rsid w:val="00765E7F"/>
    <w:rsid w:val="0077073E"/>
    <w:rsid w:val="00772553"/>
    <w:rsid w:val="007752A1"/>
    <w:rsid w:val="00775874"/>
    <w:rsid w:val="007805CC"/>
    <w:rsid w:val="007839AA"/>
    <w:rsid w:val="00785C31"/>
    <w:rsid w:val="00787127"/>
    <w:rsid w:val="007911CE"/>
    <w:rsid w:val="00791210"/>
    <w:rsid w:val="00791256"/>
    <w:rsid w:val="00793C02"/>
    <w:rsid w:val="00793E7E"/>
    <w:rsid w:val="00794235"/>
    <w:rsid w:val="00795F1C"/>
    <w:rsid w:val="00797382"/>
    <w:rsid w:val="007A0F84"/>
    <w:rsid w:val="007A1534"/>
    <w:rsid w:val="007A2D54"/>
    <w:rsid w:val="007A582B"/>
    <w:rsid w:val="007B0CE3"/>
    <w:rsid w:val="007C3C57"/>
    <w:rsid w:val="007C4ED1"/>
    <w:rsid w:val="007C5F1D"/>
    <w:rsid w:val="007D3915"/>
    <w:rsid w:val="007D7A09"/>
    <w:rsid w:val="007D7C3C"/>
    <w:rsid w:val="007D7F7C"/>
    <w:rsid w:val="007E0811"/>
    <w:rsid w:val="007E1929"/>
    <w:rsid w:val="007E3D89"/>
    <w:rsid w:val="007E4BA6"/>
    <w:rsid w:val="007E6645"/>
    <w:rsid w:val="007E6FB4"/>
    <w:rsid w:val="007E78C6"/>
    <w:rsid w:val="007F124A"/>
    <w:rsid w:val="007F31EA"/>
    <w:rsid w:val="007F4561"/>
    <w:rsid w:val="007F4BE9"/>
    <w:rsid w:val="007F6551"/>
    <w:rsid w:val="008008EC"/>
    <w:rsid w:val="0080345A"/>
    <w:rsid w:val="0080709F"/>
    <w:rsid w:val="008123F3"/>
    <w:rsid w:val="008144E0"/>
    <w:rsid w:val="00816595"/>
    <w:rsid w:val="0081679E"/>
    <w:rsid w:val="00816C42"/>
    <w:rsid w:val="00817F31"/>
    <w:rsid w:val="00822386"/>
    <w:rsid w:val="00822393"/>
    <w:rsid w:val="00823E95"/>
    <w:rsid w:val="0082617E"/>
    <w:rsid w:val="00826F7B"/>
    <w:rsid w:val="0083024A"/>
    <w:rsid w:val="00832043"/>
    <w:rsid w:val="00832DE2"/>
    <w:rsid w:val="00833A48"/>
    <w:rsid w:val="00835332"/>
    <w:rsid w:val="00840397"/>
    <w:rsid w:val="00840A56"/>
    <w:rsid w:val="00844777"/>
    <w:rsid w:val="00845576"/>
    <w:rsid w:val="0084766A"/>
    <w:rsid w:val="00850A4C"/>
    <w:rsid w:val="0085137B"/>
    <w:rsid w:val="008550CB"/>
    <w:rsid w:val="008601F8"/>
    <w:rsid w:val="00862FAA"/>
    <w:rsid w:val="00863B53"/>
    <w:rsid w:val="0086459D"/>
    <w:rsid w:val="00864C14"/>
    <w:rsid w:val="00865351"/>
    <w:rsid w:val="0086578B"/>
    <w:rsid w:val="00865BED"/>
    <w:rsid w:val="008677E7"/>
    <w:rsid w:val="0087045F"/>
    <w:rsid w:val="0087372F"/>
    <w:rsid w:val="00873AB8"/>
    <w:rsid w:val="00873B5C"/>
    <w:rsid w:val="0088323B"/>
    <w:rsid w:val="00884494"/>
    <w:rsid w:val="008859ED"/>
    <w:rsid w:val="00887BD4"/>
    <w:rsid w:val="00890879"/>
    <w:rsid w:val="008909D4"/>
    <w:rsid w:val="008915E7"/>
    <w:rsid w:val="00891B08"/>
    <w:rsid w:val="008948BD"/>
    <w:rsid w:val="00896387"/>
    <w:rsid w:val="008971BA"/>
    <w:rsid w:val="008A4EAC"/>
    <w:rsid w:val="008A6581"/>
    <w:rsid w:val="008B2AFA"/>
    <w:rsid w:val="008B47C6"/>
    <w:rsid w:val="008B52EC"/>
    <w:rsid w:val="008C1BB1"/>
    <w:rsid w:val="008C26A1"/>
    <w:rsid w:val="008C3D0A"/>
    <w:rsid w:val="008C3F18"/>
    <w:rsid w:val="008C6F58"/>
    <w:rsid w:val="008C778B"/>
    <w:rsid w:val="008D1617"/>
    <w:rsid w:val="008D27E8"/>
    <w:rsid w:val="008D33D4"/>
    <w:rsid w:val="008D4D37"/>
    <w:rsid w:val="008D71A6"/>
    <w:rsid w:val="008E0458"/>
    <w:rsid w:val="008E2021"/>
    <w:rsid w:val="008E521E"/>
    <w:rsid w:val="00903FA0"/>
    <w:rsid w:val="0090690B"/>
    <w:rsid w:val="0091153D"/>
    <w:rsid w:val="00916B92"/>
    <w:rsid w:val="00916C8E"/>
    <w:rsid w:val="00921CF0"/>
    <w:rsid w:val="009222F3"/>
    <w:rsid w:val="00923E94"/>
    <w:rsid w:val="00924E22"/>
    <w:rsid w:val="0092591A"/>
    <w:rsid w:val="009279A5"/>
    <w:rsid w:val="00930202"/>
    <w:rsid w:val="00931B11"/>
    <w:rsid w:val="00931ECB"/>
    <w:rsid w:val="0093298D"/>
    <w:rsid w:val="00933C11"/>
    <w:rsid w:val="00936015"/>
    <w:rsid w:val="00936D24"/>
    <w:rsid w:val="009374B4"/>
    <w:rsid w:val="00943A93"/>
    <w:rsid w:val="00943C53"/>
    <w:rsid w:val="00943E62"/>
    <w:rsid w:val="00952B8C"/>
    <w:rsid w:val="009554B7"/>
    <w:rsid w:val="00961143"/>
    <w:rsid w:val="00962BB0"/>
    <w:rsid w:val="009630D4"/>
    <w:rsid w:val="00963892"/>
    <w:rsid w:val="00963BB3"/>
    <w:rsid w:val="00965C06"/>
    <w:rsid w:val="00965D32"/>
    <w:rsid w:val="00970A27"/>
    <w:rsid w:val="00974F21"/>
    <w:rsid w:val="009758BF"/>
    <w:rsid w:val="00976D96"/>
    <w:rsid w:val="00976F41"/>
    <w:rsid w:val="00981030"/>
    <w:rsid w:val="00996BF0"/>
    <w:rsid w:val="009A0EBF"/>
    <w:rsid w:val="009A1909"/>
    <w:rsid w:val="009A19FF"/>
    <w:rsid w:val="009A2C2C"/>
    <w:rsid w:val="009A3B7B"/>
    <w:rsid w:val="009A5A93"/>
    <w:rsid w:val="009A75DA"/>
    <w:rsid w:val="009A7972"/>
    <w:rsid w:val="009B0F12"/>
    <w:rsid w:val="009B15BD"/>
    <w:rsid w:val="009B76DE"/>
    <w:rsid w:val="009C2AA5"/>
    <w:rsid w:val="009C43C0"/>
    <w:rsid w:val="009C6645"/>
    <w:rsid w:val="009D0761"/>
    <w:rsid w:val="009D3266"/>
    <w:rsid w:val="009D3872"/>
    <w:rsid w:val="009D38EE"/>
    <w:rsid w:val="009E26C4"/>
    <w:rsid w:val="009E5518"/>
    <w:rsid w:val="009F5E2A"/>
    <w:rsid w:val="00A05204"/>
    <w:rsid w:val="00A111B1"/>
    <w:rsid w:val="00A1599C"/>
    <w:rsid w:val="00A27D9C"/>
    <w:rsid w:val="00A316F6"/>
    <w:rsid w:val="00A3320E"/>
    <w:rsid w:val="00A34E75"/>
    <w:rsid w:val="00A36A01"/>
    <w:rsid w:val="00A37019"/>
    <w:rsid w:val="00A37A50"/>
    <w:rsid w:val="00A43601"/>
    <w:rsid w:val="00A4547A"/>
    <w:rsid w:val="00A501D5"/>
    <w:rsid w:val="00A50996"/>
    <w:rsid w:val="00A539AF"/>
    <w:rsid w:val="00A542FC"/>
    <w:rsid w:val="00A54C43"/>
    <w:rsid w:val="00A54C70"/>
    <w:rsid w:val="00A557C1"/>
    <w:rsid w:val="00A571C1"/>
    <w:rsid w:val="00A60C73"/>
    <w:rsid w:val="00A6221C"/>
    <w:rsid w:val="00A645D1"/>
    <w:rsid w:val="00A65BD8"/>
    <w:rsid w:val="00A6730F"/>
    <w:rsid w:val="00A6754A"/>
    <w:rsid w:val="00A706BD"/>
    <w:rsid w:val="00A70A8A"/>
    <w:rsid w:val="00A73542"/>
    <w:rsid w:val="00A735B4"/>
    <w:rsid w:val="00A85111"/>
    <w:rsid w:val="00A85BA4"/>
    <w:rsid w:val="00A9042C"/>
    <w:rsid w:val="00A92658"/>
    <w:rsid w:val="00A92E6E"/>
    <w:rsid w:val="00A94035"/>
    <w:rsid w:val="00A97C9A"/>
    <w:rsid w:val="00AA56B4"/>
    <w:rsid w:val="00AA70C9"/>
    <w:rsid w:val="00AA7FDE"/>
    <w:rsid w:val="00AB0044"/>
    <w:rsid w:val="00AB667B"/>
    <w:rsid w:val="00AC1087"/>
    <w:rsid w:val="00AC3896"/>
    <w:rsid w:val="00AD0EB9"/>
    <w:rsid w:val="00AD1885"/>
    <w:rsid w:val="00AD3C05"/>
    <w:rsid w:val="00AD47DF"/>
    <w:rsid w:val="00AD68C5"/>
    <w:rsid w:val="00AD7E84"/>
    <w:rsid w:val="00AE1069"/>
    <w:rsid w:val="00AE3469"/>
    <w:rsid w:val="00AE38E9"/>
    <w:rsid w:val="00AE5018"/>
    <w:rsid w:val="00AF0FAB"/>
    <w:rsid w:val="00AF1413"/>
    <w:rsid w:val="00AF188C"/>
    <w:rsid w:val="00AF2538"/>
    <w:rsid w:val="00AF4192"/>
    <w:rsid w:val="00AF5422"/>
    <w:rsid w:val="00AF7C24"/>
    <w:rsid w:val="00AF7CBF"/>
    <w:rsid w:val="00B0211A"/>
    <w:rsid w:val="00B02414"/>
    <w:rsid w:val="00B03201"/>
    <w:rsid w:val="00B053E3"/>
    <w:rsid w:val="00B07DEF"/>
    <w:rsid w:val="00B10329"/>
    <w:rsid w:val="00B11295"/>
    <w:rsid w:val="00B114B2"/>
    <w:rsid w:val="00B11C65"/>
    <w:rsid w:val="00B163BF"/>
    <w:rsid w:val="00B16D81"/>
    <w:rsid w:val="00B17160"/>
    <w:rsid w:val="00B20801"/>
    <w:rsid w:val="00B21E58"/>
    <w:rsid w:val="00B2400B"/>
    <w:rsid w:val="00B24987"/>
    <w:rsid w:val="00B31BCC"/>
    <w:rsid w:val="00B36AF9"/>
    <w:rsid w:val="00B425B5"/>
    <w:rsid w:val="00B4285A"/>
    <w:rsid w:val="00B431E0"/>
    <w:rsid w:val="00B44A8C"/>
    <w:rsid w:val="00B4522E"/>
    <w:rsid w:val="00B46528"/>
    <w:rsid w:val="00B503E9"/>
    <w:rsid w:val="00B512A2"/>
    <w:rsid w:val="00B5192A"/>
    <w:rsid w:val="00B51D2D"/>
    <w:rsid w:val="00B5714F"/>
    <w:rsid w:val="00B5721D"/>
    <w:rsid w:val="00B57F24"/>
    <w:rsid w:val="00B61D4A"/>
    <w:rsid w:val="00B61E5F"/>
    <w:rsid w:val="00B63D7B"/>
    <w:rsid w:val="00B6774F"/>
    <w:rsid w:val="00B67C64"/>
    <w:rsid w:val="00B70210"/>
    <w:rsid w:val="00B71114"/>
    <w:rsid w:val="00B734CF"/>
    <w:rsid w:val="00B73FB4"/>
    <w:rsid w:val="00B74E2C"/>
    <w:rsid w:val="00B7699C"/>
    <w:rsid w:val="00B77919"/>
    <w:rsid w:val="00B84E50"/>
    <w:rsid w:val="00B904D0"/>
    <w:rsid w:val="00B908FE"/>
    <w:rsid w:val="00B95C84"/>
    <w:rsid w:val="00B97CE2"/>
    <w:rsid w:val="00BA1775"/>
    <w:rsid w:val="00BA1A79"/>
    <w:rsid w:val="00BA363A"/>
    <w:rsid w:val="00BA74EB"/>
    <w:rsid w:val="00BB1F83"/>
    <w:rsid w:val="00BB5935"/>
    <w:rsid w:val="00BC3A2E"/>
    <w:rsid w:val="00BC468C"/>
    <w:rsid w:val="00BC5A27"/>
    <w:rsid w:val="00BD0DB8"/>
    <w:rsid w:val="00BD1165"/>
    <w:rsid w:val="00BD49E7"/>
    <w:rsid w:val="00BD5099"/>
    <w:rsid w:val="00BD7811"/>
    <w:rsid w:val="00BE0EAC"/>
    <w:rsid w:val="00BE3E73"/>
    <w:rsid w:val="00BE6E58"/>
    <w:rsid w:val="00BE7917"/>
    <w:rsid w:val="00BF0D5A"/>
    <w:rsid w:val="00BF394F"/>
    <w:rsid w:val="00BF635A"/>
    <w:rsid w:val="00BF68FD"/>
    <w:rsid w:val="00BF715F"/>
    <w:rsid w:val="00C02D91"/>
    <w:rsid w:val="00C10377"/>
    <w:rsid w:val="00C1343F"/>
    <w:rsid w:val="00C138FE"/>
    <w:rsid w:val="00C1535E"/>
    <w:rsid w:val="00C21D74"/>
    <w:rsid w:val="00C22DD0"/>
    <w:rsid w:val="00C23551"/>
    <w:rsid w:val="00C24635"/>
    <w:rsid w:val="00C258AA"/>
    <w:rsid w:val="00C30311"/>
    <w:rsid w:val="00C305E3"/>
    <w:rsid w:val="00C30E23"/>
    <w:rsid w:val="00C35677"/>
    <w:rsid w:val="00C36742"/>
    <w:rsid w:val="00C37887"/>
    <w:rsid w:val="00C429DC"/>
    <w:rsid w:val="00C43E4F"/>
    <w:rsid w:val="00C43FCB"/>
    <w:rsid w:val="00C44ED5"/>
    <w:rsid w:val="00C45A19"/>
    <w:rsid w:val="00C52C33"/>
    <w:rsid w:val="00C549A9"/>
    <w:rsid w:val="00C636BB"/>
    <w:rsid w:val="00C65053"/>
    <w:rsid w:val="00C657B3"/>
    <w:rsid w:val="00C70003"/>
    <w:rsid w:val="00C73E50"/>
    <w:rsid w:val="00C74329"/>
    <w:rsid w:val="00C7601B"/>
    <w:rsid w:val="00C76087"/>
    <w:rsid w:val="00C76B0B"/>
    <w:rsid w:val="00C82140"/>
    <w:rsid w:val="00C8342C"/>
    <w:rsid w:val="00C85742"/>
    <w:rsid w:val="00C858B4"/>
    <w:rsid w:val="00C92986"/>
    <w:rsid w:val="00C93618"/>
    <w:rsid w:val="00CA791A"/>
    <w:rsid w:val="00CA7D49"/>
    <w:rsid w:val="00CB2D4C"/>
    <w:rsid w:val="00CB42EA"/>
    <w:rsid w:val="00CB4408"/>
    <w:rsid w:val="00CC0DC0"/>
    <w:rsid w:val="00CC2F8B"/>
    <w:rsid w:val="00CC5705"/>
    <w:rsid w:val="00CC689D"/>
    <w:rsid w:val="00CC6F6E"/>
    <w:rsid w:val="00CD07AC"/>
    <w:rsid w:val="00CD1855"/>
    <w:rsid w:val="00CD2F81"/>
    <w:rsid w:val="00CE1497"/>
    <w:rsid w:val="00CE29CF"/>
    <w:rsid w:val="00CE2D37"/>
    <w:rsid w:val="00CE2ED8"/>
    <w:rsid w:val="00CF3935"/>
    <w:rsid w:val="00CF57E0"/>
    <w:rsid w:val="00CF5D48"/>
    <w:rsid w:val="00CF70C5"/>
    <w:rsid w:val="00D062B8"/>
    <w:rsid w:val="00D15C18"/>
    <w:rsid w:val="00D20A2A"/>
    <w:rsid w:val="00D2299D"/>
    <w:rsid w:val="00D239CB"/>
    <w:rsid w:val="00D25B3D"/>
    <w:rsid w:val="00D264AB"/>
    <w:rsid w:val="00D30DE6"/>
    <w:rsid w:val="00D30EC1"/>
    <w:rsid w:val="00D3361C"/>
    <w:rsid w:val="00D35415"/>
    <w:rsid w:val="00D35439"/>
    <w:rsid w:val="00D35711"/>
    <w:rsid w:val="00D363BC"/>
    <w:rsid w:val="00D4142C"/>
    <w:rsid w:val="00D458EB"/>
    <w:rsid w:val="00D46347"/>
    <w:rsid w:val="00D50F35"/>
    <w:rsid w:val="00D5172F"/>
    <w:rsid w:val="00D51F02"/>
    <w:rsid w:val="00D529A0"/>
    <w:rsid w:val="00D55ADF"/>
    <w:rsid w:val="00D55EEC"/>
    <w:rsid w:val="00D612CD"/>
    <w:rsid w:val="00D6247C"/>
    <w:rsid w:val="00D640A5"/>
    <w:rsid w:val="00D6476C"/>
    <w:rsid w:val="00D651FE"/>
    <w:rsid w:val="00D65D17"/>
    <w:rsid w:val="00D66E87"/>
    <w:rsid w:val="00D6736F"/>
    <w:rsid w:val="00D7067A"/>
    <w:rsid w:val="00D736BC"/>
    <w:rsid w:val="00D74AC0"/>
    <w:rsid w:val="00D75ECD"/>
    <w:rsid w:val="00D77BFE"/>
    <w:rsid w:val="00D77EC3"/>
    <w:rsid w:val="00D83228"/>
    <w:rsid w:val="00D869CD"/>
    <w:rsid w:val="00D86E81"/>
    <w:rsid w:val="00D91D6E"/>
    <w:rsid w:val="00D93F27"/>
    <w:rsid w:val="00D9717C"/>
    <w:rsid w:val="00D9759A"/>
    <w:rsid w:val="00DA26E4"/>
    <w:rsid w:val="00DA3853"/>
    <w:rsid w:val="00DA5C19"/>
    <w:rsid w:val="00DA6432"/>
    <w:rsid w:val="00DA6876"/>
    <w:rsid w:val="00DA7B8B"/>
    <w:rsid w:val="00DA7C0D"/>
    <w:rsid w:val="00DB1C62"/>
    <w:rsid w:val="00DB2944"/>
    <w:rsid w:val="00DB5AB4"/>
    <w:rsid w:val="00DB7025"/>
    <w:rsid w:val="00DB7CF6"/>
    <w:rsid w:val="00DC1753"/>
    <w:rsid w:val="00DC3278"/>
    <w:rsid w:val="00DC560E"/>
    <w:rsid w:val="00DC7BCC"/>
    <w:rsid w:val="00DD0A3B"/>
    <w:rsid w:val="00DD2045"/>
    <w:rsid w:val="00DD3611"/>
    <w:rsid w:val="00DD3D6D"/>
    <w:rsid w:val="00DD4742"/>
    <w:rsid w:val="00DD4D11"/>
    <w:rsid w:val="00DE1A03"/>
    <w:rsid w:val="00DE3308"/>
    <w:rsid w:val="00DF0159"/>
    <w:rsid w:val="00DF05E6"/>
    <w:rsid w:val="00DF57FF"/>
    <w:rsid w:val="00DF6DD5"/>
    <w:rsid w:val="00DF7567"/>
    <w:rsid w:val="00DF7968"/>
    <w:rsid w:val="00E0526E"/>
    <w:rsid w:val="00E07918"/>
    <w:rsid w:val="00E1085F"/>
    <w:rsid w:val="00E11454"/>
    <w:rsid w:val="00E11BD8"/>
    <w:rsid w:val="00E155C6"/>
    <w:rsid w:val="00E15D41"/>
    <w:rsid w:val="00E161F2"/>
    <w:rsid w:val="00E162F0"/>
    <w:rsid w:val="00E23209"/>
    <w:rsid w:val="00E32862"/>
    <w:rsid w:val="00E345DF"/>
    <w:rsid w:val="00E3517B"/>
    <w:rsid w:val="00E37CEF"/>
    <w:rsid w:val="00E40367"/>
    <w:rsid w:val="00E40BD6"/>
    <w:rsid w:val="00E42A4D"/>
    <w:rsid w:val="00E46522"/>
    <w:rsid w:val="00E52855"/>
    <w:rsid w:val="00E52DD4"/>
    <w:rsid w:val="00E5449B"/>
    <w:rsid w:val="00E55A2D"/>
    <w:rsid w:val="00E55A65"/>
    <w:rsid w:val="00E60464"/>
    <w:rsid w:val="00E608B6"/>
    <w:rsid w:val="00E610D6"/>
    <w:rsid w:val="00E622EC"/>
    <w:rsid w:val="00E642FC"/>
    <w:rsid w:val="00E6786D"/>
    <w:rsid w:val="00E67A87"/>
    <w:rsid w:val="00E71244"/>
    <w:rsid w:val="00E71E3E"/>
    <w:rsid w:val="00E73D7F"/>
    <w:rsid w:val="00E77399"/>
    <w:rsid w:val="00E818A0"/>
    <w:rsid w:val="00E820DC"/>
    <w:rsid w:val="00E82399"/>
    <w:rsid w:val="00E84909"/>
    <w:rsid w:val="00E84A1C"/>
    <w:rsid w:val="00E87BDB"/>
    <w:rsid w:val="00E9093E"/>
    <w:rsid w:val="00E92055"/>
    <w:rsid w:val="00E92607"/>
    <w:rsid w:val="00E926F6"/>
    <w:rsid w:val="00E92998"/>
    <w:rsid w:val="00E92DEE"/>
    <w:rsid w:val="00E94E37"/>
    <w:rsid w:val="00E974EA"/>
    <w:rsid w:val="00E974F8"/>
    <w:rsid w:val="00E976AA"/>
    <w:rsid w:val="00EA0CBB"/>
    <w:rsid w:val="00EA2661"/>
    <w:rsid w:val="00EB1FC3"/>
    <w:rsid w:val="00EB2F18"/>
    <w:rsid w:val="00EB6898"/>
    <w:rsid w:val="00EB6D2F"/>
    <w:rsid w:val="00EC1B4D"/>
    <w:rsid w:val="00ED0D74"/>
    <w:rsid w:val="00ED12E7"/>
    <w:rsid w:val="00ED2D1C"/>
    <w:rsid w:val="00ED2D5C"/>
    <w:rsid w:val="00ED3D19"/>
    <w:rsid w:val="00ED6718"/>
    <w:rsid w:val="00EE0552"/>
    <w:rsid w:val="00EE0E42"/>
    <w:rsid w:val="00EE1A1D"/>
    <w:rsid w:val="00EE3475"/>
    <w:rsid w:val="00EE53EA"/>
    <w:rsid w:val="00EF07B8"/>
    <w:rsid w:val="00EF68DC"/>
    <w:rsid w:val="00F01330"/>
    <w:rsid w:val="00F04B94"/>
    <w:rsid w:val="00F05BCD"/>
    <w:rsid w:val="00F060AA"/>
    <w:rsid w:val="00F07559"/>
    <w:rsid w:val="00F10EDD"/>
    <w:rsid w:val="00F11C1F"/>
    <w:rsid w:val="00F1265F"/>
    <w:rsid w:val="00F13AE4"/>
    <w:rsid w:val="00F2100B"/>
    <w:rsid w:val="00F224BC"/>
    <w:rsid w:val="00F22888"/>
    <w:rsid w:val="00F235C8"/>
    <w:rsid w:val="00F33E66"/>
    <w:rsid w:val="00F41A1C"/>
    <w:rsid w:val="00F42F26"/>
    <w:rsid w:val="00F439AE"/>
    <w:rsid w:val="00F43DBC"/>
    <w:rsid w:val="00F45060"/>
    <w:rsid w:val="00F4621D"/>
    <w:rsid w:val="00F505D8"/>
    <w:rsid w:val="00F5220D"/>
    <w:rsid w:val="00F52D37"/>
    <w:rsid w:val="00F53003"/>
    <w:rsid w:val="00F543B5"/>
    <w:rsid w:val="00F62FD9"/>
    <w:rsid w:val="00F67AEE"/>
    <w:rsid w:val="00F67AF4"/>
    <w:rsid w:val="00F67DEC"/>
    <w:rsid w:val="00F72C7A"/>
    <w:rsid w:val="00F745A7"/>
    <w:rsid w:val="00F75197"/>
    <w:rsid w:val="00F768DC"/>
    <w:rsid w:val="00F77435"/>
    <w:rsid w:val="00F80226"/>
    <w:rsid w:val="00F8350D"/>
    <w:rsid w:val="00F84D26"/>
    <w:rsid w:val="00F84E9F"/>
    <w:rsid w:val="00F85D11"/>
    <w:rsid w:val="00F86DBF"/>
    <w:rsid w:val="00F870D2"/>
    <w:rsid w:val="00F921FD"/>
    <w:rsid w:val="00F928F2"/>
    <w:rsid w:val="00F92C12"/>
    <w:rsid w:val="00F93777"/>
    <w:rsid w:val="00F96075"/>
    <w:rsid w:val="00F9640C"/>
    <w:rsid w:val="00F97951"/>
    <w:rsid w:val="00FA22FC"/>
    <w:rsid w:val="00FB42C1"/>
    <w:rsid w:val="00FC6B71"/>
    <w:rsid w:val="00FC7828"/>
    <w:rsid w:val="00FD0E51"/>
    <w:rsid w:val="00FD4031"/>
    <w:rsid w:val="00FD47AD"/>
    <w:rsid w:val="00FD55F8"/>
    <w:rsid w:val="00FE2636"/>
    <w:rsid w:val="00FF0D65"/>
    <w:rsid w:val="00FF115C"/>
    <w:rsid w:val="00FF65D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3F0916C-696C-4C63-88AE-EBD6F912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37"/>
    <w:pPr>
      <w:jc w:val="both"/>
    </w:pPr>
    <w:rPr>
      <w:sz w:val="24"/>
      <w:lang w:val="en-GB" w:eastAsia="en-US" w:bidi="ar-DZ"/>
    </w:rPr>
  </w:style>
  <w:style w:type="paragraph" w:styleId="Heading1">
    <w:name w:val="heading 1"/>
    <w:aliases w:val="Para (1)"/>
    <w:basedOn w:val="Normal"/>
    <w:autoRedefine/>
    <w:qFormat/>
    <w:rsid w:val="00AE38E9"/>
    <w:pPr>
      <w:bidi/>
      <w:ind w:firstLine="960"/>
      <w:outlineLvl w:val="0"/>
    </w:pPr>
    <w:rPr>
      <w:rFonts w:ascii="Arabic Transparent" w:hAnsi="Arabic Transparent" w:cs="Arabic Transparent"/>
      <w:sz w:val="26"/>
      <w:szCs w:val="26"/>
    </w:rPr>
  </w:style>
  <w:style w:type="paragraph" w:styleId="Heading2">
    <w:name w:val="heading 2"/>
    <w:aliases w:val="SubPara (أ)"/>
    <w:basedOn w:val="Normal"/>
    <w:link w:val="Heading2Char"/>
    <w:qFormat/>
    <w:rsid w:val="00F439AE"/>
    <w:pPr>
      <w:widowControl w:val="0"/>
      <w:numPr>
        <w:numId w:val="2"/>
      </w:numPr>
      <w:bidi/>
      <w:spacing w:after="240"/>
      <w:ind w:right="1440"/>
      <w:outlineLvl w:val="1"/>
    </w:pPr>
    <w:rPr>
      <w:rFonts w:ascii="Arabic Transparent" w:hAnsi="Arabic Transparent" w:cs="Arabic Transparent"/>
      <w:sz w:val="26"/>
      <w:szCs w:val="26"/>
    </w:rPr>
  </w:style>
  <w:style w:type="paragraph" w:styleId="Heading3">
    <w:name w:val="heading 3"/>
    <w:aliases w:val="Char,Char Char,Heading 3 Char,Heading 3 Char1,Heading 3 Char Char,Char Char Char,Char Char1"/>
    <w:basedOn w:val="Normal"/>
    <w:link w:val="Heading3Char2"/>
    <w:qFormat/>
    <w:rsid w:val="00630C73"/>
    <w:pPr>
      <w:widowControl w:val="0"/>
      <w:numPr>
        <w:numId w:val="4"/>
      </w:numPr>
      <w:bidi/>
      <w:spacing w:after="240"/>
      <w:ind w:right="2160"/>
      <w:outlineLvl w:val="2"/>
    </w:pPr>
    <w:rPr>
      <w:rFonts w:ascii="Arabic Transparent" w:hAnsi="Arabic Transparent" w:cs="Arabic Transparent"/>
      <w:sz w:val="26"/>
      <w:szCs w:val="26"/>
    </w:rPr>
  </w:style>
  <w:style w:type="paragraph" w:styleId="Heading4">
    <w:name w:val="heading 4"/>
    <w:basedOn w:val="Normal"/>
    <w:next w:val="Normal"/>
    <w:qFormat/>
    <w:rsid w:val="00F43DBC"/>
    <w:pPr>
      <w:keepNext/>
      <w:numPr>
        <w:ilvl w:val="3"/>
        <w:numId w:val="1"/>
      </w:numPr>
      <w:spacing w:before="240" w:after="60"/>
      <w:ind w:right="2866"/>
      <w:outlineLvl w:val="3"/>
    </w:pPr>
    <w:rPr>
      <w:b/>
      <w:i/>
    </w:rPr>
  </w:style>
  <w:style w:type="paragraph" w:styleId="Heading5">
    <w:name w:val="heading 5"/>
    <w:basedOn w:val="Normal"/>
    <w:next w:val="Normal"/>
    <w:qFormat/>
    <w:rsid w:val="00F43DBC"/>
    <w:pPr>
      <w:numPr>
        <w:ilvl w:val="4"/>
        <w:numId w:val="1"/>
      </w:numPr>
      <w:spacing w:before="240" w:after="60"/>
      <w:ind w:right="3571"/>
      <w:outlineLvl w:val="4"/>
    </w:pPr>
    <w:rPr>
      <w:rFonts w:ascii="Arial" w:hAnsi="Arial"/>
      <w:sz w:val="22"/>
    </w:rPr>
  </w:style>
  <w:style w:type="paragraph" w:styleId="Heading6">
    <w:name w:val="heading 6"/>
    <w:basedOn w:val="Normal"/>
    <w:next w:val="Normal"/>
    <w:qFormat/>
    <w:rsid w:val="00F43DBC"/>
    <w:pPr>
      <w:numPr>
        <w:ilvl w:val="5"/>
        <w:numId w:val="1"/>
      </w:numPr>
      <w:spacing w:before="240" w:after="60"/>
      <w:ind w:right="4291"/>
      <w:outlineLvl w:val="5"/>
    </w:pPr>
    <w:rPr>
      <w:rFonts w:ascii="Arial" w:hAnsi="Arial"/>
      <w:i/>
      <w:sz w:val="22"/>
    </w:rPr>
  </w:style>
  <w:style w:type="paragraph" w:styleId="Heading7">
    <w:name w:val="heading 7"/>
    <w:basedOn w:val="Normal"/>
    <w:next w:val="Normal"/>
    <w:qFormat/>
    <w:rsid w:val="00F43DBC"/>
    <w:pPr>
      <w:numPr>
        <w:ilvl w:val="6"/>
        <w:numId w:val="1"/>
      </w:numPr>
      <w:spacing w:before="240" w:after="60"/>
      <w:ind w:right="4997"/>
      <w:outlineLvl w:val="6"/>
    </w:pPr>
    <w:rPr>
      <w:rFonts w:ascii="Arial" w:hAnsi="Arial"/>
    </w:rPr>
  </w:style>
  <w:style w:type="paragraph" w:styleId="Heading8">
    <w:name w:val="heading 8"/>
    <w:basedOn w:val="Normal"/>
    <w:next w:val="Normal"/>
    <w:qFormat/>
    <w:rsid w:val="00F43DBC"/>
    <w:pPr>
      <w:numPr>
        <w:ilvl w:val="7"/>
        <w:numId w:val="1"/>
      </w:numPr>
      <w:spacing w:before="240" w:after="60"/>
      <w:ind w:right="5702"/>
      <w:outlineLvl w:val="7"/>
    </w:pPr>
    <w:rPr>
      <w:rFonts w:ascii="Arial" w:hAnsi="Arial"/>
      <w:i/>
    </w:rPr>
  </w:style>
  <w:style w:type="paragraph" w:styleId="Heading9">
    <w:name w:val="heading 9"/>
    <w:basedOn w:val="Normal"/>
    <w:next w:val="Normal"/>
    <w:qFormat/>
    <w:rsid w:val="00F43DBC"/>
    <w:pPr>
      <w:numPr>
        <w:ilvl w:val="8"/>
        <w:numId w:val="1"/>
      </w:numPr>
      <w:spacing w:before="240" w:after="60"/>
      <w:ind w:right="64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er"/>
    <w:next w:val="Header"/>
    <w:semiHidden/>
    <w:rsid w:val="00161B37"/>
    <w:pPr>
      <w:tabs>
        <w:tab w:val="clear" w:pos="4320"/>
        <w:tab w:val="clear" w:pos="8640"/>
      </w:tabs>
    </w:pPr>
    <w:rPr>
      <w:b/>
      <w:u w:val="single"/>
    </w:rPr>
  </w:style>
  <w:style w:type="paragraph" w:styleId="Header">
    <w:name w:val="header"/>
    <w:basedOn w:val="Normal"/>
    <w:link w:val="HeaderChar"/>
    <w:uiPriority w:val="99"/>
    <w:rsid w:val="00161B37"/>
    <w:pPr>
      <w:tabs>
        <w:tab w:val="center" w:pos="4320"/>
        <w:tab w:val="right" w:pos="8640"/>
      </w:tabs>
    </w:pPr>
  </w:style>
  <w:style w:type="paragraph" w:customStyle="1" w:styleId="sub-title">
    <w:name w:val="sub-title"/>
    <w:semiHidden/>
    <w:rsid w:val="00161B37"/>
    <w:pPr>
      <w:jc w:val="both"/>
      <w:outlineLvl w:val="0"/>
    </w:pPr>
    <w:rPr>
      <w:b/>
      <w:noProof/>
      <w:sz w:val="24"/>
      <w:lang w:val="en-US" w:eastAsia="en-US"/>
    </w:rPr>
  </w:style>
  <w:style w:type="character" w:styleId="PageNumber">
    <w:name w:val="page number"/>
    <w:semiHidden/>
    <w:rsid w:val="00161B37"/>
    <w:rPr>
      <w:rFonts w:cs="Times New Roman"/>
    </w:rPr>
  </w:style>
  <w:style w:type="paragraph" w:customStyle="1" w:styleId="Title1">
    <w:name w:val="Title1"/>
    <w:semiHidden/>
    <w:rsid w:val="00161B37"/>
    <w:pPr>
      <w:jc w:val="center"/>
      <w:outlineLvl w:val="0"/>
    </w:pPr>
    <w:rPr>
      <w:b/>
      <w:caps/>
      <w:sz w:val="24"/>
      <w:lang w:val="en-GB" w:eastAsia="en-US"/>
    </w:rPr>
  </w:style>
  <w:style w:type="paragraph" w:customStyle="1" w:styleId="Decision">
    <w:name w:val="Decision"/>
    <w:basedOn w:val="Normal"/>
    <w:semiHidden/>
    <w:rsid w:val="00161B37"/>
    <w:pPr>
      <w:keepLines/>
      <w:jc w:val="right"/>
    </w:pPr>
    <w:rPr>
      <w:b/>
    </w:rPr>
  </w:style>
  <w:style w:type="paragraph" w:customStyle="1" w:styleId="0Heading0">
    <w:name w:val="0 Heading 0"/>
    <w:semiHidden/>
    <w:rsid w:val="00161B37"/>
    <w:rPr>
      <w:sz w:val="24"/>
      <w:lang w:val="en-GB" w:eastAsia="en-US"/>
    </w:rPr>
  </w:style>
  <w:style w:type="paragraph" w:styleId="Footer">
    <w:name w:val="footer"/>
    <w:basedOn w:val="Normal"/>
    <w:link w:val="FooterChar"/>
    <w:uiPriority w:val="99"/>
    <w:rsid w:val="00161B37"/>
    <w:pPr>
      <w:tabs>
        <w:tab w:val="center" w:pos="4320"/>
        <w:tab w:val="right" w:pos="8640"/>
      </w:tabs>
    </w:pPr>
  </w:style>
  <w:style w:type="paragraph" w:customStyle="1" w:styleId="Filenameandpath">
    <w:name w:val="Filename and path"/>
    <w:semiHidden/>
    <w:rsid w:val="00161B37"/>
    <w:rPr>
      <w:lang w:val="en-US" w:eastAsia="en-US"/>
    </w:rPr>
  </w:style>
  <w:style w:type="paragraph" w:styleId="Caption">
    <w:name w:val="caption"/>
    <w:basedOn w:val="Normal"/>
    <w:next w:val="Normal"/>
    <w:qFormat/>
    <w:rsid w:val="00161B37"/>
    <w:pPr>
      <w:bidi/>
      <w:ind w:left="180" w:hanging="180"/>
      <w:jc w:val="lowKashida"/>
    </w:pPr>
    <w:rPr>
      <w:rFonts w:cs="Simplified Arabic"/>
      <w:szCs w:val="32"/>
      <w:lang w:val="en-US" w:eastAsia="en-CA"/>
    </w:rPr>
  </w:style>
  <w:style w:type="table" w:styleId="TableGrid">
    <w:name w:val="Table Grid"/>
    <w:basedOn w:val="TableNormal"/>
    <w:rsid w:val="009A2C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4"/>
    <w:aliases w:val="Para 4"/>
    <w:basedOn w:val="Normal"/>
    <w:next w:val="Normal"/>
    <w:rsid w:val="00AA7FDE"/>
    <w:pPr>
      <w:widowControl w:val="0"/>
      <w:numPr>
        <w:numId w:val="5"/>
      </w:numPr>
      <w:tabs>
        <w:tab w:val="left" w:pos="2880"/>
        <w:tab w:val="left" w:pos="5760"/>
      </w:tabs>
      <w:spacing w:after="240"/>
      <w:ind w:left="2520"/>
    </w:pPr>
    <w:rPr>
      <w:sz w:val="22"/>
      <w:szCs w:val="22"/>
      <w:lang w:bidi="ar-SA"/>
    </w:rPr>
  </w:style>
  <w:style w:type="paragraph" w:customStyle="1" w:styleId="StyleHeader4Para4Left0Firstline0">
    <w:name w:val="Style Header4Para 4 + Left:  0&quot; First line:  0&quot;"/>
    <w:basedOn w:val="Header4"/>
    <w:rsid w:val="00AA7FDE"/>
    <w:pPr>
      <w:ind w:left="0" w:firstLine="0"/>
    </w:pPr>
    <w:rPr>
      <w:sz w:val="20"/>
    </w:rPr>
  </w:style>
  <w:style w:type="paragraph" w:customStyle="1" w:styleId="Footer1">
    <w:name w:val="Footer1"/>
    <w:basedOn w:val="Normal"/>
    <w:rsid w:val="00AA7FDE"/>
    <w:pPr>
      <w:widowControl w:val="0"/>
      <w:tabs>
        <w:tab w:val="center" w:pos="4320"/>
        <w:tab w:val="right" w:pos="8640"/>
        <w:tab w:val="left" w:pos="9000"/>
      </w:tabs>
      <w:jc w:val="left"/>
    </w:pPr>
    <w:rPr>
      <w:sz w:val="20"/>
      <w:lang w:val="en-US" w:bidi="ar-SA"/>
    </w:rPr>
  </w:style>
  <w:style w:type="paragraph" w:styleId="ListParagraph">
    <w:name w:val="List Paragraph"/>
    <w:basedOn w:val="Normal"/>
    <w:qFormat/>
    <w:rsid w:val="00E6786D"/>
    <w:pPr>
      <w:ind w:left="720"/>
      <w:contextualSpacing/>
      <w:jc w:val="left"/>
    </w:pPr>
    <w:rPr>
      <w:rFonts w:eastAsia="SimSun"/>
      <w:szCs w:val="24"/>
      <w:lang w:val="en-CA" w:eastAsia="zh-CN" w:bidi="ar-SA"/>
    </w:rPr>
  </w:style>
  <w:style w:type="character" w:customStyle="1" w:styleId="FooterChar">
    <w:name w:val="Footer Char"/>
    <w:link w:val="Footer"/>
    <w:uiPriority w:val="99"/>
    <w:rsid w:val="0014738A"/>
    <w:rPr>
      <w:sz w:val="24"/>
      <w:lang w:val="en-GB" w:eastAsia="en-US" w:bidi="ar-DZ"/>
    </w:rPr>
  </w:style>
  <w:style w:type="character" w:customStyle="1" w:styleId="HeaderChar">
    <w:name w:val="Header Char"/>
    <w:link w:val="Header"/>
    <w:uiPriority w:val="99"/>
    <w:rsid w:val="00116733"/>
    <w:rPr>
      <w:sz w:val="24"/>
      <w:lang w:val="en-GB" w:eastAsia="en-US" w:bidi="ar-DZ"/>
    </w:rPr>
  </w:style>
  <w:style w:type="paragraph" w:styleId="BalloonText">
    <w:name w:val="Balloon Text"/>
    <w:basedOn w:val="Normal"/>
    <w:link w:val="BalloonTextChar"/>
    <w:rsid w:val="00116733"/>
    <w:rPr>
      <w:rFonts w:ascii="Tahoma" w:hAnsi="Tahoma" w:cs="Tahoma"/>
      <w:sz w:val="16"/>
      <w:szCs w:val="16"/>
    </w:rPr>
  </w:style>
  <w:style w:type="character" w:customStyle="1" w:styleId="BalloonTextChar">
    <w:name w:val="Balloon Text Char"/>
    <w:link w:val="BalloonText"/>
    <w:rsid w:val="00116733"/>
    <w:rPr>
      <w:rFonts w:ascii="Tahoma" w:hAnsi="Tahoma" w:cs="Tahoma"/>
      <w:sz w:val="16"/>
      <w:szCs w:val="16"/>
      <w:lang w:val="en-GB" w:eastAsia="en-US" w:bidi="ar-DZ"/>
    </w:rPr>
  </w:style>
  <w:style w:type="character" w:styleId="Emphasis">
    <w:name w:val="Emphasis"/>
    <w:qFormat/>
    <w:rsid w:val="00C76087"/>
    <w:rPr>
      <w:i/>
      <w:iCs/>
    </w:rPr>
  </w:style>
  <w:style w:type="paragraph" w:customStyle="1" w:styleId="StyleComplexArabicTransparent13ptAfter12pt">
    <w:name w:val="Style (Complex) Arabic Transparent 13 pt After:  12 pt"/>
    <w:basedOn w:val="Normal"/>
    <w:rsid w:val="00C70003"/>
    <w:pPr>
      <w:spacing w:after="240"/>
    </w:pPr>
    <w:rPr>
      <w:rFonts w:cs="Arabic Transparent"/>
      <w:sz w:val="26"/>
      <w:szCs w:val="26"/>
    </w:rPr>
  </w:style>
  <w:style w:type="character" w:customStyle="1" w:styleId="Heading3Char2">
    <w:name w:val="Heading 3 Char2"/>
    <w:aliases w:val="Char Char2,Char Char Char1,Heading 3 Char Char1,Heading 3 Char1 Char,Heading 3 Char Char Char,Char Char Char Char,Char Char1 Char"/>
    <w:link w:val="Heading3"/>
    <w:rsid w:val="005A2B75"/>
    <w:rPr>
      <w:rFonts w:ascii="Arabic Transparent" w:hAnsi="Arabic Transparent" w:cs="Arabic Transparent"/>
      <w:sz w:val="26"/>
      <w:szCs w:val="26"/>
      <w:lang w:val="en-GB" w:eastAsia="en-US" w:bidi="ar-DZ"/>
    </w:rPr>
  </w:style>
  <w:style w:type="paragraph" w:styleId="FootnoteText">
    <w:name w:val="footnote text"/>
    <w:basedOn w:val="Normal"/>
    <w:link w:val="FootnoteTextChar"/>
    <w:rsid w:val="00D93F27"/>
    <w:rPr>
      <w:sz w:val="20"/>
    </w:rPr>
  </w:style>
  <w:style w:type="character" w:customStyle="1" w:styleId="FootnoteTextChar">
    <w:name w:val="Footnote Text Char"/>
    <w:link w:val="FootnoteText"/>
    <w:rsid w:val="00D93F27"/>
    <w:rPr>
      <w:lang w:val="en-GB" w:eastAsia="en-US" w:bidi="ar-DZ"/>
    </w:rPr>
  </w:style>
  <w:style w:type="character" w:styleId="FootnoteReference">
    <w:name w:val="footnote reference"/>
    <w:rsid w:val="00D93F27"/>
    <w:rPr>
      <w:vertAlign w:val="superscript"/>
    </w:rPr>
  </w:style>
  <w:style w:type="character" w:customStyle="1" w:styleId="Heading2Char">
    <w:name w:val="Heading 2 Char"/>
    <w:aliases w:val="SubPara (أ) Char"/>
    <w:basedOn w:val="DefaultParagraphFont"/>
    <w:link w:val="Heading2"/>
    <w:rsid w:val="00817F31"/>
    <w:rPr>
      <w:rFonts w:ascii="Arabic Transparent" w:hAnsi="Arabic Transparent" w:cs="Arabic Transparent"/>
      <w:sz w:val="26"/>
      <w:szCs w:val="26"/>
      <w:lang w:val="en-GB" w:eastAsia="en-US" w:bidi="ar-DZ"/>
    </w:rPr>
  </w:style>
  <w:style w:type="table" w:customStyle="1" w:styleId="TableGrid1">
    <w:name w:val="Table Grid1"/>
    <w:basedOn w:val="TableNormal"/>
    <w:next w:val="TableGrid"/>
    <w:rsid w:val="00021E56"/>
    <w:pPr>
      <w:jc w:val="both"/>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4">
      <w:bodyDiv w:val="1"/>
      <w:marLeft w:val="0"/>
      <w:marRight w:val="0"/>
      <w:marTop w:val="0"/>
      <w:marBottom w:val="0"/>
      <w:divBdr>
        <w:top w:val="none" w:sz="0" w:space="0" w:color="auto"/>
        <w:left w:val="none" w:sz="0" w:space="0" w:color="auto"/>
        <w:bottom w:val="none" w:sz="0" w:space="0" w:color="auto"/>
        <w:right w:val="none" w:sz="0" w:space="0" w:color="auto"/>
      </w:divBdr>
    </w:div>
    <w:div w:id="7489001">
      <w:bodyDiv w:val="1"/>
      <w:marLeft w:val="0"/>
      <w:marRight w:val="0"/>
      <w:marTop w:val="0"/>
      <w:marBottom w:val="0"/>
      <w:divBdr>
        <w:top w:val="none" w:sz="0" w:space="0" w:color="auto"/>
        <w:left w:val="none" w:sz="0" w:space="0" w:color="auto"/>
        <w:bottom w:val="none" w:sz="0" w:space="0" w:color="auto"/>
        <w:right w:val="none" w:sz="0" w:space="0" w:color="auto"/>
      </w:divBdr>
    </w:div>
    <w:div w:id="26374985">
      <w:bodyDiv w:val="1"/>
      <w:marLeft w:val="0"/>
      <w:marRight w:val="0"/>
      <w:marTop w:val="0"/>
      <w:marBottom w:val="0"/>
      <w:divBdr>
        <w:top w:val="none" w:sz="0" w:space="0" w:color="auto"/>
        <w:left w:val="none" w:sz="0" w:space="0" w:color="auto"/>
        <w:bottom w:val="none" w:sz="0" w:space="0" w:color="auto"/>
        <w:right w:val="none" w:sz="0" w:space="0" w:color="auto"/>
      </w:divBdr>
    </w:div>
    <w:div w:id="57675785">
      <w:bodyDiv w:val="1"/>
      <w:marLeft w:val="0"/>
      <w:marRight w:val="0"/>
      <w:marTop w:val="0"/>
      <w:marBottom w:val="0"/>
      <w:divBdr>
        <w:top w:val="none" w:sz="0" w:space="0" w:color="auto"/>
        <w:left w:val="none" w:sz="0" w:space="0" w:color="auto"/>
        <w:bottom w:val="none" w:sz="0" w:space="0" w:color="auto"/>
        <w:right w:val="none" w:sz="0" w:space="0" w:color="auto"/>
      </w:divBdr>
    </w:div>
    <w:div w:id="61415825">
      <w:bodyDiv w:val="1"/>
      <w:marLeft w:val="0"/>
      <w:marRight w:val="0"/>
      <w:marTop w:val="0"/>
      <w:marBottom w:val="0"/>
      <w:divBdr>
        <w:top w:val="none" w:sz="0" w:space="0" w:color="auto"/>
        <w:left w:val="none" w:sz="0" w:space="0" w:color="auto"/>
        <w:bottom w:val="none" w:sz="0" w:space="0" w:color="auto"/>
        <w:right w:val="none" w:sz="0" w:space="0" w:color="auto"/>
      </w:divBdr>
    </w:div>
    <w:div w:id="69160026">
      <w:bodyDiv w:val="1"/>
      <w:marLeft w:val="0"/>
      <w:marRight w:val="0"/>
      <w:marTop w:val="0"/>
      <w:marBottom w:val="0"/>
      <w:divBdr>
        <w:top w:val="none" w:sz="0" w:space="0" w:color="auto"/>
        <w:left w:val="none" w:sz="0" w:space="0" w:color="auto"/>
        <w:bottom w:val="none" w:sz="0" w:space="0" w:color="auto"/>
        <w:right w:val="none" w:sz="0" w:space="0" w:color="auto"/>
      </w:divBdr>
    </w:div>
    <w:div w:id="85465552">
      <w:bodyDiv w:val="1"/>
      <w:marLeft w:val="0"/>
      <w:marRight w:val="0"/>
      <w:marTop w:val="0"/>
      <w:marBottom w:val="0"/>
      <w:divBdr>
        <w:top w:val="none" w:sz="0" w:space="0" w:color="auto"/>
        <w:left w:val="none" w:sz="0" w:space="0" w:color="auto"/>
        <w:bottom w:val="none" w:sz="0" w:space="0" w:color="auto"/>
        <w:right w:val="none" w:sz="0" w:space="0" w:color="auto"/>
      </w:divBdr>
    </w:div>
    <w:div w:id="106631438">
      <w:bodyDiv w:val="1"/>
      <w:marLeft w:val="0"/>
      <w:marRight w:val="0"/>
      <w:marTop w:val="0"/>
      <w:marBottom w:val="0"/>
      <w:divBdr>
        <w:top w:val="none" w:sz="0" w:space="0" w:color="auto"/>
        <w:left w:val="none" w:sz="0" w:space="0" w:color="auto"/>
        <w:bottom w:val="none" w:sz="0" w:space="0" w:color="auto"/>
        <w:right w:val="none" w:sz="0" w:space="0" w:color="auto"/>
      </w:divBdr>
    </w:div>
    <w:div w:id="118650167">
      <w:bodyDiv w:val="1"/>
      <w:marLeft w:val="0"/>
      <w:marRight w:val="0"/>
      <w:marTop w:val="0"/>
      <w:marBottom w:val="0"/>
      <w:divBdr>
        <w:top w:val="none" w:sz="0" w:space="0" w:color="auto"/>
        <w:left w:val="none" w:sz="0" w:space="0" w:color="auto"/>
        <w:bottom w:val="none" w:sz="0" w:space="0" w:color="auto"/>
        <w:right w:val="none" w:sz="0" w:space="0" w:color="auto"/>
      </w:divBdr>
    </w:div>
    <w:div w:id="136532695">
      <w:bodyDiv w:val="1"/>
      <w:marLeft w:val="0"/>
      <w:marRight w:val="0"/>
      <w:marTop w:val="0"/>
      <w:marBottom w:val="0"/>
      <w:divBdr>
        <w:top w:val="none" w:sz="0" w:space="0" w:color="auto"/>
        <w:left w:val="none" w:sz="0" w:space="0" w:color="auto"/>
        <w:bottom w:val="none" w:sz="0" w:space="0" w:color="auto"/>
        <w:right w:val="none" w:sz="0" w:space="0" w:color="auto"/>
      </w:divBdr>
    </w:div>
    <w:div w:id="147283991">
      <w:bodyDiv w:val="1"/>
      <w:marLeft w:val="0"/>
      <w:marRight w:val="0"/>
      <w:marTop w:val="0"/>
      <w:marBottom w:val="0"/>
      <w:divBdr>
        <w:top w:val="none" w:sz="0" w:space="0" w:color="auto"/>
        <w:left w:val="none" w:sz="0" w:space="0" w:color="auto"/>
        <w:bottom w:val="none" w:sz="0" w:space="0" w:color="auto"/>
        <w:right w:val="none" w:sz="0" w:space="0" w:color="auto"/>
      </w:divBdr>
    </w:div>
    <w:div w:id="158619432">
      <w:bodyDiv w:val="1"/>
      <w:marLeft w:val="0"/>
      <w:marRight w:val="0"/>
      <w:marTop w:val="0"/>
      <w:marBottom w:val="0"/>
      <w:divBdr>
        <w:top w:val="none" w:sz="0" w:space="0" w:color="auto"/>
        <w:left w:val="none" w:sz="0" w:space="0" w:color="auto"/>
        <w:bottom w:val="none" w:sz="0" w:space="0" w:color="auto"/>
        <w:right w:val="none" w:sz="0" w:space="0" w:color="auto"/>
      </w:divBdr>
    </w:div>
    <w:div w:id="162668081">
      <w:bodyDiv w:val="1"/>
      <w:marLeft w:val="0"/>
      <w:marRight w:val="0"/>
      <w:marTop w:val="0"/>
      <w:marBottom w:val="0"/>
      <w:divBdr>
        <w:top w:val="none" w:sz="0" w:space="0" w:color="auto"/>
        <w:left w:val="none" w:sz="0" w:space="0" w:color="auto"/>
        <w:bottom w:val="none" w:sz="0" w:space="0" w:color="auto"/>
        <w:right w:val="none" w:sz="0" w:space="0" w:color="auto"/>
      </w:divBdr>
    </w:div>
    <w:div w:id="165444171">
      <w:bodyDiv w:val="1"/>
      <w:marLeft w:val="0"/>
      <w:marRight w:val="0"/>
      <w:marTop w:val="0"/>
      <w:marBottom w:val="0"/>
      <w:divBdr>
        <w:top w:val="none" w:sz="0" w:space="0" w:color="auto"/>
        <w:left w:val="none" w:sz="0" w:space="0" w:color="auto"/>
        <w:bottom w:val="none" w:sz="0" w:space="0" w:color="auto"/>
        <w:right w:val="none" w:sz="0" w:space="0" w:color="auto"/>
      </w:divBdr>
    </w:div>
    <w:div w:id="167988829">
      <w:bodyDiv w:val="1"/>
      <w:marLeft w:val="0"/>
      <w:marRight w:val="0"/>
      <w:marTop w:val="0"/>
      <w:marBottom w:val="0"/>
      <w:divBdr>
        <w:top w:val="none" w:sz="0" w:space="0" w:color="auto"/>
        <w:left w:val="none" w:sz="0" w:space="0" w:color="auto"/>
        <w:bottom w:val="none" w:sz="0" w:space="0" w:color="auto"/>
        <w:right w:val="none" w:sz="0" w:space="0" w:color="auto"/>
      </w:divBdr>
    </w:div>
    <w:div w:id="168296548">
      <w:bodyDiv w:val="1"/>
      <w:marLeft w:val="0"/>
      <w:marRight w:val="0"/>
      <w:marTop w:val="0"/>
      <w:marBottom w:val="0"/>
      <w:divBdr>
        <w:top w:val="none" w:sz="0" w:space="0" w:color="auto"/>
        <w:left w:val="none" w:sz="0" w:space="0" w:color="auto"/>
        <w:bottom w:val="none" w:sz="0" w:space="0" w:color="auto"/>
        <w:right w:val="none" w:sz="0" w:space="0" w:color="auto"/>
      </w:divBdr>
    </w:div>
    <w:div w:id="181556635">
      <w:bodyDiv w:val="1"/>
      <w:marLeft w:val="0"/>
      <w:marRight w:val="0"/>
      <w:marTop w:val="0"/>
      <w:marBottom w:val="0"/>
      <w:divBdr>
        <w:top w:val="none" w:sz="0" w:space="0" w:color="auto"/>
        <w:left w:val="none" w:sz="0" w:space="0" w:color="auto"/>
        <w:bottom w:val="none" w:sz="0" w:space="0" w:color="auto"/>
        <w:right w:val="none" w:sz="0" w:space="0" w:color="auto"/>
      </w:divBdr>
    </w:div>
    <w:div w:id="199099261">
      <w:bodyDiv w:val="1"/>
      <w:marLeft w:val="0"/>
      <w:marRight w:val="0"/>
      <w:marTop w:val="0"/>
      <w:marBottom w:val="0"/>
      <w:divBdr>
        <w:top w:val="none" w:sz="0" w:space="0" w:color="auto"/>
        <w:left w:val="none" w:sz="0" w:space="0" w:color="auto"/>
        <w:bottom w:val="none" w:sz="0" w:space="0" w:color="auto"/>
        <w:right w:val="none" w:sz="0" w:space="0" w:color="auto"/>
      </w:divBdr>
    </w:div>
    <w:div w:id="218321455">
      <w:bodyDiv w:val="1"/>
      <w:marLeft w:val="0"/>
      <w:marRight w:val="0"/>
      <w:marTop w:val="0"/>
      <w:marBottom w:val="0"/>
      <w:divBdr>
        <w:top w:val="none" w:sz="0" w:space="0" w:color="auto"/>
        <w:left w:val="none" w:sz="0" w:space="0" w:color="auto"/>
        <w:bottom w:val="none" w:sz="0" w:space="0" w:color="auto"/>
        <w:right w:val="none" w:sz="0" w:space="0" w:color="auto"/>
      </w:divBdr>
    </w:div>
    <w:div w:id="219757880">
      <w:bodyDiv w:val="1"/>
      <w:marLeft w:val="0"/>
      <w:marRight w:val="0"/>
      <w:marTop w:val="0"/>
      <w:marBottom w:val="0"/>
      <w:divBdr>
        <w:top w:val="none" w:sz="0" w:space="0" w:color="auto"/>
        <w:left w:val="none" w:sz="0" w:space="0" w:color="auto"/>
        <w:bottom w:val="none" w:sz="0" w:space="0" w:color="auto"/>
        <w:right w:val="none" w:sz="0" w:space="0" w:color="auto"/>
      </w:divBdr>
    </w:div>
    <w:div w:id="240065409">
      <w:bodyDiv w:val="1"/>
      <w:marLeft w:val="0"/>
      <w:marRight w:val="0"/>
      <w:marTop w:val="0"/>
      <w:marBottom w:val="0"/>
      <w:divBdr>
        <w:top w:val="none" w:sz="0" w:space="0" w:color="auto"/>
        <w:left w:val="none" w:sz="0" w:space="0" w:color="auto"/>
        <w:bottom w:val="none" w:sz="0" w:space="0" w:color="auto"/>
        <w:right w:val="none" w:sz="0" w:space="0" w:color="auto"/>
      </w:divBdr>
    </w:div>
    <w:div w:id="249656704">
      <w:bodyDiv w:val="1"/>
      <w:marLeft w:val="0"/>
      <w:marRight w:val="0"/>
      <w:marTop w:val="0"/>
      <w:marBottom w:val="0"/>
      <w:divBdr>
        <w:top w:val="none" w:sz="0" w:space="0" w:color="auto"/>
        <w:left w:val="none" w:sz="0" w:space="0" w:color="auto"/>
        <w:bottom w:val="none" w:sz="0" w:space="0" w:color="auto"/>
        <w:right w:val="none" w:sz="0" w:space="0" w:color="auto"/>
      </w:divBdr>
    </w:div>
    <w:div w:id="252400440">
      <w:bodyDiv w:val="1"/>
      <w:marLeft w:val="0"/>
      <w:marRight w:val="0"/>
      <w:marTop w:val="0"/>
      <w:marBottom w:val="0"/>
      <w:divBdr>
        <w:top w:val="none" w:sz="0" w:space="0" w:color="auto"/>
        <w:left w:val="none" w:sz="0" w:space="0" w:color="auto"/>
        <w:bottom w:val="none" w:sz="0" w:space="0" w:color="auto"/>
        <w:right w:val="none" w:sz="0" w:space="0" w:color="auto"/>
      </w:divBdr>
    </w:div>
    <w:div w:id="277875004">
      <w:bodyDiv w:val="1"/>
      <w:marLeft w:val="0"/>
      <w:marRight w:val="0"/>
      <w:marTop w:val="0"/>
      <w:marBottom w:val="0"/>
      <w:divBdr>
        <w:top w:val="none" w:sz="0" w:space="0" w:color="auto"/>
        <w:left w:val="none" w:sz="0" w:space="0" w:color="auto"/>
        <w:bottom w:val="none" w:sz="0" w:space="0" w:color="auto"/>
        <w:right w:val="none" w:sz="0" w:space="0" w:color="auto"/>
      </w:divBdr>
    </w:div>
    <w:div w:id="284773426">
      <w:bodyDiv w:val="1"/>
      <w:marLeft w:val="0"/>
      <w:marRight w:val="0"/>
      <w:marTop w:val="0"/>
      <w:marBottom w:val="0"/>
      <w:divBdr>
        <w:top w:val="none" w:sz="0" w:space="0" w:color="auto"/>
        <w:left w:val="none" w:sz="0" w:space="0" w:color="auto"/>
        <w:bottom w:val="none" w:sz="0" w:space="0" w:color="auto"/>
        <w:right w:val="none" w:sz="0" w:space="0" w:color="auto"/>
      </w:divBdr>
    </w:div>
    <w:div w:id="294794778">
      <w:bodyDiv w:val="1"/>
      <w:marLeft w:val="0"/>
      <w:marRight w:val="0"/>
      <w:marTop w:val="0"/>
      <w:marBottom w:val="0"/>
      <w:divBdr>
        <w:top w:val="none" w:sz="0" w:space="0" w:color="auto"/>
        <w:left w:val="none" w:sz="0" w:space="0" w:color="auto"/>
        <w:bottom w:val="none" w:sz="0" w:space="0" w:color="auto"/>
        <w:right w:val="none" w:sz="0" w:space="0" w:color="auto"/>
      </w:divBdr>
    </w:div>
    <w:div w:id="307325646">
      <w:bodyDiv w:val="1"/>
      <w:marLeft w:val="0"/>
      <w:marRight w:val="0"/>
      <w:marTop w:val="0"/>
      <w:marBottom w:val="0"/>
      <w:divBdr>
        <w:top w:val="none" w:sz="0" w:space="0" w:color="auto"/>
        <w:left w:val="none" w:sz="0" w:space="0" w:color="auto"/>
        <w:bottom w:val="none" w:sz="0" w:space="0" w:color="auto"/>
        <w:right w:val="none" w:sz="0" w:space="0" w:color="auto"/>
      </w:divBdr>
    </w:div>
    <w:div w:id="307898351">
      <w:bodyDiv w:val="1"/>
      <w:marLeft w:val="0"/>
      <w:marRight w:val="0"/>
      <w:marTop w:val="0"/>
      <w:marBottom w:val="0"/>
      <w:divBdr>
        <w:top w:val="none" w:sz="0" w:space="0" w:color="auto"/>
        <w:left w:val="none" w:sz="0" w:space="0" w:color="auto"/>
        <w:bottom w:val="none" w:sz="0" w:space="0" w:color="auto"/>
        <w:right w:val="none" w:sz="0" w:space="0" w:color="auto"/>
      </w:divBdr>
    </w:div>
    <w:div w:id="319577484">
      <w:bodyDiv w:val="1"/>
      <w:marLeft w:val="0"/>
      <w:marRight w:val="0"/>
      <w:marTop w:val="0"/>
      <w:marBottom w:val="0"/>
      <w:divBdr>
        <w:top w:val="none" w:sz="0" w:space="0" w:color="auto"/>
        <w:left w:val="none" w:sz="0" w:space="0" w:color="auto"/>
        <w:bottom w:val="none" w:sz="0" w:space="0" w:color="auto"/>
        <w:right w:val="none" w:sz="0" w:space="0" w:color="auto"/>
      </w:divBdr>
    </w:div>
    <w:div w:id="324014431">
      <w:bodyDiv w:val="1"/>
      <w:marLeft w:val="0"/>
      <w:marRight w:val="0"/>
      <w:marTop w:val="0"/>
      <w:marBottom w:val="0"/>
      <w:divBdr>
        <w:top w:val="none" w:sz="0" w:space="0" w:color="auto"/>
        <w:left w:val="none" w:sz="0" w:space="0" w:color="auto"/>
        <w:bottom w:val="none" w:sz="0" w:space="0" w:color="auto"/>
        <w:right w:val="none" w:sz="0" w:space="0" w:color="auto"/>
      </w:divBdr>
    </w:div>
    <w:div w:id="329017872">
      <w:bodyDiv w:val="1"/>
      <w:marLeft w:val="0"/>
      <w:marRight w:val="0"/>
      <w:marTop w:val="0"/>
      <w:marBottom w:val="0"/>
      <w:divBdr>
        <w:top w:val="none" w:sz="0" w:space="0" w:color="auto"/>
        <w:left w:val="none" w:sz="0" w:space="0" w:color="auto"/>
        <w:bottom w:val="none" w:sz="0" w:space="0" w:color="auto"/>
        <w:right w:val="none" w:sz="0" w:space="0" w:color="auto"/>
      </w:divBdr>
    </w:div>
    <w:div w:id="329676948">
      <w:bodyDiv w:val="1"/>
      <w:marLeft w:val="0"/>
      <w:marRight w:val="0"/>
      <w:marTop w:val="0"/>
      <w:marBottom w:val="0"/>
      <w:divBdr>
        <w:top w:val="none" w:sz="0" w:space="0" w:color="auto"/>
        <w:left w:val="none" w:sz="0" w:space="0" w:color="auto"/>
        <w:bottom w:val="none" w:sz="0" w:space="0" w:color="auto"/>
        <w:right w:val="none" w:sz="0" w:space="0" w:color="auto"/>
      </w:divBdr>
    </w:div>
    <w:div w:id="332027741">
      <w:bodyDiv w:val="1"/>
      <w:marLeft w:val="0"/>
      <w:marRight w:val="0"/>
      <w:marTop w:val="0"/>
      <w:marBottom w:val="0"/>
      <w:divBdr>
        <w:top w:val="none" w:sz="0" w:space="0" w:color="auto"/>
        <w:left w:val="none" w:sz="0" w:space="0" w:color="auto"/>
        <w:bottom w:val="none" w:sz="0" w:space="0" w:color="auto"/>
        <w:right w:val="none" w:sz="0" w:space="0" w:color="auto"/>
      </w:divBdr>
    </w:div>
    <w:div w:id="339545164">
      <w:bodyDiv w:val="1"/>
      <w:marLeft w:val="0"/>
      <w:marRight w:val="0"/>
      <w:marTop w:val="0"/>
      <w:marBottom w:val="0"/>
      <w:divBdr>
        <w:top w:val="none" w:sz="0" w:space="0" w:color="auto"/>
        <w:left w:val="none" w:sz="0" w:space="0" w:color="auto"/>
        <w:bottom w:val="none" w:sz="0" w:space="0" w:color="auto"/>
        <w:right w:val="none" w:sz="0" w:space="0" w:color="auto"/>
      </w:divBdr>
    </w:div>
    <w:div w:id="349111930">
      <w:bodyDiv w:val="1"/>
      <w:marLeft w:val="0"/>
      <w:marRight w:val="0"/>
      <w:marTop w:val="0"/>
      <w:marBottom w:val="0"/>
      <w:divBdr>
        <w:top w:val="none" w:sz="0" w:space="0" w:color="auto"/>
        <w:left w:val="none" w:sz="0" w:space="0" w:color="auto"/>
        <w:bottom w:val="none" w:sz="0" w:space="0" w:color="auto"/>
        <w:right w:val="none" w:sz="0" w:space="0" w:color="auto"/>
      </w:divBdr>
    </w:div>
    <w:div w:id="355470073">
      <w:bodyDiv w:val="1"/>
      <w:marLeft w:val="0"/>
      <w:marRight w:val="0"/>
      <w:marTop w:val="0"/>
      <w:marBottom w:val="0"/>
      <w:divBdr>
        <w:top w:val="none" w:sz="0" w:space="0" w:color="auto"/>
        <w:left w:val="none" w:sz="0" w:space="0" w:color="auto"/>
        <w:bottom w:val="none" w:sz="0" w:space="0" w:color="auto"/>
        <w:right w:val="none" w:sz="0" w:space="0" w:color="auto"/>
      </w:divBdr>
    </w:div>
    <w:div w:id="375086102">
      <w:bodyDiv w:val="1"/>
      <w:marLeft w:val="0"/>
      <w:marRight w:val="0"/>
      <w:marTop w:val="0"/>
      <w:marBottom w:val="0"/>
      <w:divBdr>
        <w:top w:val="none" w:sz="0" w:space="0" w:color="auto"/>
        <w:left w:val="none" w:sz="0" w:space="0" w:color="auto"/>
        <w:bottom w:val="none" w:sz="0" w:space="0" w:color="auto"/>
        <w:right w:val="none" w:sz="0" w:space="0" w:color="auto"/>
      </w:divBdr>
    </w:div>
    <w:div w:id="389117167">
      <w:bodyDiv w:val="1"/>
      <w:marLeft w:val="0"/>
      <w:marRight w:val="0"/>
      <w:marTop w:val="0"/>
      <w:marBottom w:val="0"/>
      <w:divBdr>
        <w:top w:val="none" w:sz="0" w:space="0" w:color="auto"/>
        <w:left w:val="none" w:sz="0" w:space="0" w:color="auto"/>
        <w:bottom w:val="none" w:sz="0" w:space="0" w:color="auto"/>
        <w:right w:val="none" w:sz="0" w:space="0" w:color="auto"/>
      </w:divBdr>
    </w:div>
    <w:div w:id="400569562">
      <w:bodyDiv w:val="1"/>
      <w:marLeft w:val="0"/>
      <w:marRight w:val="0"/>
      <w:marTop w:val="0"/>
      <w:marBottom w:val="0"/>
      <w:divBdr>
        <w:top w:val="none" w:sz="0" w:space="0" w:color="auto"/>
        <w:left w:val="none" w:sz="0" w:space="0" w:color="auto"/>
        <w:bottom w:val="none" w:sz="0" w:space="0" w:color="auto"/>
        <w:right w:val="none" w:sz="0" w:space="0" w:color="auto"/>
      </w:divBdr>
    </w:div>
    <w:div w:id="401221259">
      <w:bodyDiv w:val="1"/>
      <w:marLeft w:val="0"/>
      <w:marRight w:val="0"/>
      <w:marTop w:val="0"/>
      <w:marBottom w:val="0"/>
      <w:divBdr>
        <w:top w:val="none" w:sz="0" w:space="0" w:color="auto"/>
        <w:left w:val="none" w:sz="0" w:space="0" w:color="auto"/>
        <w:bottom w:val="none" w:sz="0" w:space="0" w:color="auto"/>
        <w:right w:val="none" w:sz="0" w:space="0" w:color="auto"/>
      </w:divBdr>
    </w:div>
    <w:div w:id="404835577">
      <w:bodyDiv w:val="1"/>
      <w:marLeft w:val="0"/>
      <w:marRight w:val="0"/>
      <w:marTop w:val="0"/>
      <w:marBottom w:val="0"/>
      <w:divBdr>
        <w:top w:val="none" w:sz="0" w:space="0" w:color="auto"/>
        <w:left w:val="none" w:sz="0" w:space="0" w:color="auto"/>
        <w:bottom w:val="none" w:sz="0" w:space="0" w:color="auto"/>
        <w:right w:val="none" w:sz="0" w:space="0" w:color="auto"/>
      </w:divBdr>
    </w:div>
    <w:div w:id="413629944">
      <w:bodyDiv w:val="1"/>
      <w:marLeft w:val="0"/>
      <w:marRight w:val="0"/>
      <w:marTop w:val="0"/>
      <w:marBottom w:val="0"/>
      <w:divBdr>
        <w:top w:val="none" w:sz="0" w:space="0" w:color="auto"/>
        <w:left w:val="none" w:sz="0" w:space="0" w:color="auto"/>
        <w:bottom w:val="none" w:sz="0" w:space="0" w:color="auto"/>
        <w:right w:val="none" w:sz="0" w:space="0" w:color="auto"/>
      </w:divBdr>
    </w:div>
    <w:div w:id="415056606">
      <w:bodyDiv w:val="1"/>
      <w:marLeft w:val="0"/>
      <w:marRight w:val="0"/>
      <w:marTop w:val="0"/>
      <w:marBottom w:val="0"/>
      <w:divBdr>
        <w:top w:val="none" w:sz="0" w:space="0" w:color="auto"/>
        <w:left w:val="none" w:sz="0" w:space="0" w:color="auto"/>
        <w:bottom w:val="none" w:sz="0" w:space="0" w:color="auto"/>
        <w:right w:val="none" w:sz="0" w:space="0" w:color="auto"/>
      </w:divBdr>
    </w:div>
    <w:div w:id="418404207">
      <w:bodyDiv w:val="1"/>
      <w:marLeft w:val="0"/>
      <w:marRight w:val="0"/>
      <w:marTop w:val="0"/>
      <w:marBottom w:val="0"/>
      <w:divBdr>
        <w:top w:val="none" w:sz="0" w:space="0" w:color="auto"/>
        <w:left w:val="none" w:sz="0" w:space="0" w:color="auto"/>
        <w:bottom w:val="none" w:sz="0" w:space="0" w:color="auto"/>
        <w:right w:val="none" w:sz="0" w:space="0" w:color="auto"/>
      </w:divBdr>
    </w:div>
    <w:div w:id="442311339">
      <w:bodyDiv w:val="1"/>
      <w:marLeft w:val="0"/>
      <w:marRight w:val="0"/>
      <w:marTop w:val="0"/>
      <w:marBottom w:val="0"/>
      <w:divBdr>
        <w:top w:val="none" w:sz="0" w:space="0" w:color="auto"/>
        <w:left w:val="none" w:sz="0" w:space="0" w:color="auto"/>
        <w:bottom w:val="none" w:sz="0" w:space="0" w:color="auto"/>
        <w:right w:val="none" w:sz="0" w:space="0" w:color="auto"/>
      </w:divBdr>
    </w:div>
    <w:div w:id="449781165">
      <w:bodyDiv w:val="1"/>
      <w:marLeft w:val="0"/>
      <w:marRight w:val="0"/>
      <w:marTop w:val="0"/>
      <w:marBottom w:val="0"/>
      <w:divBdr>
        <w:top w:val="none" w:sz="0" w:space="0" w:color="auto"/>
        <w:left w:val="none" w:sz="0" w:space="0" w:color="auto"/>
        <w:bottom w:val="none" w:sz="0" w:space="0" w:color="auto"/>
        <w:right w:val="none" w:sz="0" w:space="0" w:color="auto"/>
      </w:divBdr>
    </w:div>
    <w:div w:id="454910096">
      <w:bodyDiv w:val="1"/>
      <w:marLeft w:val="0"/>
      <w:marRight w:val="0"/>
      <w:marTop w:val="0"/>
      <w:marBottom w:val="0"/>
      <w:divBdr>
        <w:top w:val="none" w:sz="0" w:space="0" w:color="auto"/>
        <w:left w:val="none" w:sz="0" w:space="0" w:color="auto"/>
        <w:bottom w:val="none" w:sz="0" w:space="0" w:color="auto"/>
        <w:right w:val="none" w:sz="0" w:space="0" w:color="auto"/>
      </w:divBdr>
    </w:div>
    <w:div w:id="459342923">
      <w:bodyDiv w:val="1"/>
      <w:marLeft w:val="0"/>
      <w:marRight w:val="0"/>
      <w:marTop w:val="0"/>
      <w:marBottom w:val="0"/>
      <w:divBdr>
        <w:top w:val="none" w:sz="0" w:space="0" w:color="auto"/>
        <w:left w:val="none" w:sz="0" w:space="0" w:color="auto"/>
        <w:bottom w:val="none" w:sz="0" w:space="0" w:color="auto"/>
        <w:right w:val="none" w:sz="0" w:space="0" w:color="auto"/>
      </w:divBdr>
    </w:div>
    <w:div w:id="466819477">
      <w:bodyDiv w:val="1"/>
      <w:marLeft w:val="0"/>
      <w:marRight w:val="0"/>
      <w:marTop w:val="0"/>
      <w:marBottom w:val="0"/>
      <w:divBdr>
        <w:top w:val="none" w:sz="0" w:space="0" w:color="auto"/>
        <w:left w:val="none" w:sz="0" w:space="0" w:color="auto"/>
        <w:bottom w:val="none" w:sz="0" w:space="0" w:color="auto"/>
        <w:right w:val="none" w:sz="0" w:space="0" w:color="auto"/>
      </w:divBdr>
    </w:div>
    <w:div w:id="468014332">
      <w:bodyDiv w:val="1"/>
      <w:marLeft w:val="0"/>
      <w:marRight w:val="0"/>
      <w:marTop w:val="0"/>
      <w:marBottom w:val="0"/>
      <w:divBdr>
        <w:top w:val="none" w:sz="0" w:space="0" w:color="auto"/>
        <w:left w:val="none" w:sz="0" w:space="0" w:color="auto"/>
        <w:bottom w:val="none" w:sz="0" w:space="0" w:color="auto"/>
        <w:right w:val="none" w:sz="0" w:space="0" w:color="auto"/>
      </w:divBdr>
    </w:div>
    <w:div w:id="469589122">
      <w:bodyDiv w:val="1"/>
      <w:marLeft w:val="0"/>
      <w:marRight w:val="0"/>
      <w:marTop w:val="0"/>
      <w:marBottom w:val="0"/>
      <w:divBdr>
        <w:top w:val="none" w:sz="0" w:space="0" w:color="auto"/>
        <w:left w:val="none" w:sz="0" w:space="0" w:color="auto"/>
        <w:bottom w:val="none" w:sz="0" w:space="0" w:color="auto"/>
        <w:right w:val="none" w:sz="0" w:space="0" w:color="auto"/>
      </w:divBdr>
    </w:div>
    <w:div w:id="474762548">
      <w:bodyDiv w:val="1"/>
      <w:marLeft w:val="0"/>
      <w:marRight w:val="0"/>
      <w:marTop w:val="0"/>
      <w:marBottom w:val="0"/>
      <w:divBdr>
        <w:top w:val="none" w:sz="0" w:space="0" w:color="auto"/>
        <w:left w:val="none" w:sz="0" w:space="0" w:color="auto"/>
        <w:bottom w:val="none" w:sz="0" w:space="0" w:color="auto"/>
        <w:right w:val="none" w:sz="0" w:space="0" w:color="auto"/>
      </w:divBdr>
    </w:div>
    <w:div w:id="483812274">
      <w:bodyDiv w:val="1"/>
      <w:marLeft w:val="0"/>
      <w:marRight w:val="0"/>
      <w:marTop w:val="0"/>
      <w:marBottom w:val="0"/>
      <w:divBdr>
        <w:top w:val="none" w:sz="0" w:space="0" w:color="auto"/>
        <w:left w:val="none" w:sz="0" w:space="0" w:color="auto"/>
        <w:bottom w:val="none" w:sz="0" w:space="0" w:color="auto"/>
        <w:right w:val="none" w:sz="0" w:space="0" w:color="auto"/>
      </w:divBdr>
    </w:div>
    <w:div w:id="484856976">
      <w:bodyDiv w:val="1"/>
      <w:marLeft w:val="0"/>
      <w:marRight w:val="0"/>
      <w:marTop w:val="0"/>
      <w:marBottom w:val="0"/>
      <w:divBdr>
        <w:top w:val="none" w:sz="0" w:space="0" w:color="auto"/>
        <w:left w:val="none" w:sz="0" w:space="0" w:color="auto"/>
        <w:bottom w:val="none" w:sz="0" w:space="0" w:color="auto"/>
        <w:right w:val="none" w:sz="0" w:space="0" w:color="auto"/>
      </w:divBdr>
    </w:div>
    <w:div w:id="504321382">
      <w:bodyDiv w:val="1"/>
      <w:marLeft w:val="0"/>
      <w:marRight w:val="0"/>
      <w:marTop w:val="0"/>
      <w:marBottom w:val="0"/>
      <w:divBdr>
        <w:top w:val="none" w:sz="0" w:space="0" w:color="auto"/>
        <w:left w:val="none" w:sz="0" w:space="0" w:color="auto"/>
        <w:bottom w:val="none" w:sz="0" w:space="0" w:color="auto"/>
        <w:right w:val="none" w:sz="0" w:space="0" w:color="auto"/>
      </w:divBdr>
    </w:div>
    <w:div w:id="506750668">
      <w:bodyDiv w:val="1"/>
      <w:marLeft w:val="0"/>
      <w:marRight w:val="0"/>
      <w:marTop w:val="0"/>
      <w:marBottom w:val="0"/>
      <w:divBdr>
        <w:top w:val="none" w:sz="0" w:space="0" w:color="auto"/>
        <w:left w:val="none" w:sz="0" w:space="0" w:color="auto"/>
        <w:bottom w:val="none" w:sz="0" w:space="0" w:color="auto"/>
        <w:right w:val="none" w:sz="0" w:space="0" w:color="auto"/>
      </w:divBdr>
    </w:div>
    <w:div w:id="508058704">
      <w:bodyDiv w:val="1"/>
      <w:marLeft w:val="0"/>
      <w:marRight w:val="0"/>
      <w:marTop w:val="0"/>
      <w:marBottom w:val="0"/>
      <w:divBdr>
        <w:top w:val="none" w:sz="0" w:space="0" w:color="auto"/>
        <w:left w:val="none" w:sz="0" w:space="0" w:color="auto"/>
        <w:bottom w:val="none" w:sz="0" w:space="0" w:color="auto"/>
        <w:right w:val="none" w:sz="0" w:space="0" w:color="auto"/>
      </w:divBdr>
    </w:div>
    <w:div w:id="525795554">
      <w:bodyDiv w:val="1"/>
      <w:marLeft w:val="0"/>
      <w:marRight w:val="0"/>
      <w:marTop w:val="0"/>
      <w:marBottom w:val="0"/>
      <w:divBdr>
        <w:top w:val="none" w:sz="0" w:space="0" w:color="auto"/>
        <w:left w:val="none" w:sz="0" w:space="0" w:color="auto"/>
        <w:bottom w:val="none" w:sz="0" w:space="0" w:color="auto"/>
        <w:right w:val="none" w:sz="0" w:space="0" w:color="auto"/>
      </w:divBdr>
    </w:div>
    <w:div w:id="556745178">
      <w:bodyDiv w:val="1"/>
      <w:marLeft w:val="0"/>
      <w:marRight w:val="0"/>
      <w:marTop w:val="0"/>
      <w:marBottom w:val="0"/>
      <w:divBdr>
        <w:top w:val="none" w:sz="0" w:space="0" w:color="auto"/>
        <w:left w:val="none" w:sz="0" w:space="0" w:color="auto"/>
        <w:bottom w:val="none" w:sz="0" w:space="0" w:color="auto"/>
        <w:right w:val="none" w:sz="0" w:space="0" w:color="auto"/>
      </w:divBdr>
    </w:div>
    <w:div w:id="558904514">
      <w:bodyDiv w:val="1"/>
      <w:marLeft w:val="0"/>
      <w:marRight w:val="0"/>
      <w:marTop w:val="0"/>
      <w:marBottom w:val="0"/>
      <w:divBdr>
        <w:top w:val="none" w:sz="0" w:space="0" w:color="auto"/>
        <w:left w:val="none" w:sz="0" w:space="0" w:color="auto"/>
        <w:bottom w:val="none" w:sz="0" w:space="0" w:color="auto"/>
        <w:right w:val="none" w:sz="0" w:space="0" w:color="auto"/>
      </w:divBdr>
    </w:div>
    <w:div w:id="560141213">
      <w:bodyDiv w:val="1"/>
      <w:marLeft w:val="0"/>
      <w:marRight w:val="0"/>
      <w:marTop w:val="0"/>
      <w:marBottom w:val="0"/>
      <w:divBdr>
        <w:top w:val="none" w:sz="0" w:space="0" w:color="auto"/>
        <w:left w:val="none" w:sz="0" w:space="0" w:color="auto"/>
        <w:bottom w:val="none" w:sz="0" w:space="0" w:color="auto"/>
        <w:right w:val="none" w:sz="0" w:space="0" w:color="auto"/>
      </w:divBdr>
    </w:div>
    <w:div w:id="562722423">
      <w:bodyDiv w:val="1"/>
      <w:marLeft w:val="0"/>
      <w:marRight w:val="0"/>
      <w:marTop w:val="0"/>
      <w:marBottom w:val="0"/>
      <w:divBdr>
        <w:top w:val="none" w:sz="0" w:space="0" w:color="auto"/>
        <w:left w:val="none" w:sz="0" w:space="0" w:color="auto"/>
        <w:bottom w:val="none" w:sz="0" w:space="0" w:color="auto"/>
        <w:right w:val="none" w:sz="0" w:space="0" w:color="auto"/>
      </w:divBdr>
    </w:div>
    <w:div w:id="569197404">
      <w:bodyDiv w:val="1"/>
      <w:marLeft w:val="0"/>
      <w:marRight w:val="0"/>
      <w:marTop w:val="0"/>
      <w:marBottom w:val="0"/>
      <w:divBdr>
        <w:top w:val="none" w:sz="0" w:space="0" w:color="auto"/>
        <w:left w:val="none" w:sz="0" w:space="0" w:color="auto"/>
        <w:bottom w:val="none" w:sz="0" w:space="0" w:color="auto"/>
        <w:right w:val="none" w:sz="0" w:space="0" w:color="auto"/>
      </w:divBdr>
    </w:div>
    <w:div w:id="575867715">
      <w:bodyDiv w:val="1"/>
      <w:marLeft w:val="0"/>
      <w:marRight w:val="0"/>
      <w:marTop w:val="0"/>
      <w:marBottom w:val="0"/>
      <w:divBdr>
        <w:top w:val="none" w:sz="0" w:space="0" w:color="auto"/>
        <w:left w:val="none" w:sz="0" w:space="0" w:color="auto"/>
        <w:bottom w:val="none" w:sz="0" w:space="0" w:color="auto"/>
        <w:right w:val="none" w:sz="0" w:space="0" w:color="auto"/>
      </w:divBdr>
    </w:div>
    <w:div w:id="576944180">
      <w:bodyDiv w:val="1"/>
      <w:marLeft w:val="0"/>
      <w:marRight w:val="0"/>
      <w:marTop w:val="0"/>
      <w:marBottom w:val="0"/>
      <w:divBdr>
        <w:top w:val="none" w:sz="0" w:space="0" w:color="auto"/>
        <w:left w:val="none" w:sz="0" w:space="0" w:color="auto"/>
        <w:bottom w:val="none" w:sz="0" w:space="0" w:color="auto"/>
        <w:right w:val="none" w:sz="0" w:space="0" w:color="auto"/>
      </w:divBdr>
    </w:div>
    <w:div w:id="583146715">
      <w:bodyDiv w:val="1"/>
      <w:marLeft w:val="0"/>
      <w:marRight w:val="0"/>
      <w:marTop w:val="0"/>
      <w:marBottom w:val="0"/>
      <w:divBdr>
        <w:top w:val="none" w:sz="0" w:space="0" w:color="auto"/>
        <w:left w:val="none" w:sz="0" w:space="0" w:color="auto"/>
        <w:bottom w:val="none" w:sz="0" w:space="0" w:color="auto"/>
        <w:right w:val="none" w:sz="0" w:space="0" w:color="auto"/>
      </w:divBdr>
    </w:div>
    <w:div w:id="586427572">
      <w:bodyDiv w:val="1"/>
      <w:marLeft w:val="0"/>
      <w:marRight w:val="0"/>
      <w:marTop w:val="0"/>
      <w:marBottom w:val="0"/>
      <w:divBdr>
        <w:top w:val="none" w:sz="0" w:space="0" w:color="auto"/>
        <w:left w:val="none" w:sz="0" w:space="0" w:color="auto"/>
        <w:bottom w:val="none" w:sz="0" w:space="0" w:color="auto"/>
        <w:right w:val="none" w:sz="0" w:space="0" w:color="auto"/>
      </w:divBdr>
    </w:div>
    <w:div w:id="591864029">
      <w:bodyDiv w:val="1"/>
      <w:marLeft w:val="0"/>
      <w:marRight w:val="0"/>
      <w:marTop w:val="0"/>
      <w:marBottom w:val="0"/>
      <w:divBdr>
        <w:top w:val="none" w:sz="0" w:space="0" w:color="auto"/>
        <w:left w:val="none" w:sz="0" w:space="0" w:color="auto"/>
        <w:bottom w:val="none" w:sz="0" w:space="0" w:color="auto"/>
        <w:right w:val="none" w:sz="0" w:space="0" w:color="auto"/>
      </w:divBdr>
    </w:div>
    <w:div w:id="614095798">
      <w:bodyDiv w:val="1"/>
      <w:marLeft w:val="0"/>
      <w:marRight w:val="0"/>
      <w:marTop w:val="0"/>
      <w:marBottom w:val="0"/>
      <w:divBdr>
        <w:top w:val="none" w:sz="0" w:space="0" w:color="auto"/>
        <w:left w:val="none" w:sz="0" w:space="0" w:color="auto"/>
        <w:bottom w:val="none" w:sz="0" w:space="0" w:color="auto"/>
        <w:right w:val="none" w:sz="0" w:space="0" w:color="auto"/>
      </w:divBdr>
    </w:div>
    <w:div w:id="631717433">
      <w:bodyDiv w:val="1"/>
      <w:marLeft w:val="0"/>
      <w:marRight w:val="0"/>
      <w:marTop w:val="0"/>
      <w:marBottom w:val="0"/>
      <w:divBdr>
        <w:top w:val="none" w:sz="0" w:space="0" w:color="auto"/>
        <w:left w:val="none" w:sz="0" w:space="0" w:color="auto"/>
        <w:bottom w:val="none" w:sz="0" w:space="0" w:color="auto"/>
        <w:right w:val="none" w:sz="0" w:space="0" w:color="auto"/>
      </w:divBdr>
    </w:div>
    <w:div w:id="642004148">
      <w:bodyDiv w:val="1"/>
      <w:marLeft w:val="0"/>
      <w:marRight w:val="0"/>
      <w:marTop w:val="0"/>
      <w:marBottom w:val="0"/>
      <w:divBdr>
        <w:top w:val="none" w:sz="0" w:space="0" w:color="auto"/>
        <w:left w:val="none" w:sz="0" w:space="0" w:color="auto"/>
        <w:bottom w:val="none" w:sz="0" w:space="0" w:color="auto"/>
        <w:right w:val="none" w:sz="0" w:space="0" w:color="auto"/>
      </w:divBdr>
    </w:div>
    <w:div w:id="647591810">
      <w:bodyDiv w:val="1"/>
      <w:marLeft w:val="0"/>
      <w:marRight w:val="0"/>
      <w:marTop w:val="0"/>
      <w:marBottom w:val="0"/>
      <w:divBdr>
        <w:top w:val="none" w:sz="0" w:space="0" w:color="auto"/>
        <w:left w:val="none" w:sz="0" w:space="0" w:color="auto"/>
        <w:bottom w:val="none" w:sz="0" w:space="0" w:color="auto"/>
        <w:right w:val="none" w:sz="0" w:space="0" w:color="auto"/>
      </w:divBdr>
    </w:div>
    <w:div w:id="662776082">
      <w:bodyDiv w:val="1"/>
      <w:marLeft w:val="0"/>
      <w:marRight w:val="0"/>
      <w:marTop w:val="0"/>
      <w:marBottom w:val="0"/>
      <w:divBdr>
        <w:top w:val="none" w:sz="0" w:space="0" w:color="auto"/>
        <w:left w:val="none" w:sz="0" w:space="0" w:color="auto"/>
        <w:bottom w:val="none" w:sz="0" w:space="0" w:color="auto"/>
        <w:right w:val="none" w:sz="0" w:space="0" w:color="auto"/>
      </w:divBdr>
    </w:div>
    <w:div w:id="668405495">
      <w:bodyDiv w:val="1"/>
      <w:marLeft w:val="0"/>
      <w:marRight w:val="0"/>
      <w:marTop w:val="0"/>
      <w:marBottom w:val="0"/>
      <w:divBdr>
        <w:top w:val="none" w:sz="0" w:space="0" w:color="auto"/>
        <w:left w:val="none" w:sz="0" w:space="0" w:color="auto"/>
        <w:bottom w:val="none" w:sz="0" w:space="0" w:color="auto"/>
        <w:right w:val="none" w:sz="0" w:space="0" w:color="auto"/>
      </w:divBdr>
    </w:div>
    <w:div w:id="688917014">
      <w:bodyDiv w:val="1"/>
      <w:marLeft w:val="0"/>
      <w:marRight w:val="0"/>
      <w:marTop w:val="0"/>
      <w:marBottom w:val="0"/>
      <w:divBdr>
        <w:top w:val="none" w:sz="0" w:space="0" w:color="auto"/>
        <w:left w:val="none" w:sz="0" w:space="0" w:color="auto"/>
        <w:bottom w:val="none" w:sz="0" w:space="0" w:color="auto"/>
        <w:right w:val="none" w:sz="0" w:space="0" w:color="auto"/>
      </w:divBdr>
    </w:div>
    <w:div w:id="712998237">
      <w:bodyDiv w:val="1"/>
      <w:marLeft w:val="0"/>
      <w:marRight w:val="0"/>
      <w:marTop w:val="0"/>
      <w:marBottom w:val="0"/>
      <w:divBdr>
        <w:top w:val="none" w:sz="0" w:space="0" w:color="auto"/>
        <w:left w:val="none" w:sz="0" w:space="0" w:color="auto"/>
        <w:bottom w:val="none" w:sz="0" w:space="0" w:color="auto"/>
        <w:right w:val="none" w:sz="0" w:space="0" w:color="auto"/>
      </w:divBdr>
    </w:div>
    <w:div w:id="730275164">
      <w:bodyDiv w:val="1"/>
      <w:marLeft w:val="0"/>
      <w:marRight w:val="0"/>
      <w:marTop w:val="0"/>
      <w:marBottom w:val="0"/>
      <w:divBdr>
        <w:top w:val="none" w:sz="0" w:space="0" w:color="auto"/>
        <w:left w:val="none" w:sz="0" w:space="0" w:color="auto"/>
        <w:bottom w:val="none" w:sz="0" w:space="0" w:color="auto"/>
        <w:right w:val="none" w:sz="0" w:space="0" w:color="auto"/>
      </w:divBdr>
    </w:div>
    <w:div w:id="731464812">
      <w:bodyDiv w:val="1"/>
      <w:marLeft w:val="0"/>
      <w:marRight w:val="0"/>
      <w:marTop w:val="0"/>
      <w:marBottom w:val="0"/>
      <w:divBdr>
        <w:top w:val="none" w:sz="0" w:space="0" w:color="auto"/>
        <w:left w:val="none" w:sz="0" w:space="0" w:color="auto"/>
        <w:bottom w:val="none" w:sz="0" w:space="0" w:color="auto"/>
        <w:right w:val="none" w:sz="0" w:space="0" w:color="auto"/>
      </w:divBdr>
    </w:div>
    <w:div w:id="735738198">
      <w:bodyDiv w:val="1"/>
      <w:marLeft w:val="0"/>
      <w:marRight w:val="0"/>
      <w:marTop w:val="0"/>
      <w:marBottom w:val="0"/>
      <w:divBdr>
        <w:top w:val="none" w:sz="0" w:space="0" w:color="auto"/>
        <w:left w:val="none" w:sz="0" w:space="0" w:color="auto"/>
        <w:bottom w:val="none" w:sz="0" w:space="0" w:color="auto"/>
        <w:right w:val="none" w:sz="0" w:space="0" w:color="auto"/>
      </w:divBdr>
    </w:div>
    <w:div w:id="759520920">
      <w:bodyDiv w:val="1"/>
      <w:marLeft w:val="0"/>
      <w:marRight w:val="0"/>
      <w:marTop w:val="0"/>
      <w:marBottom w:val="0"/>
      <w:divBdr>
        <w:top w:val="none" w:sz="0" w:space="0" w:color="auto"/>
        <w:left w:val="none" w:sz="0" w:space="0" w:color="auto"/>
        <w:bottom w:val="none" w:sz="0" w:space="0" w:color="auto"/>
        <w:right w:val="none" w:sz="0" w:space="0" w:color="auto"/>
      </w:divBdr>
    </w:div>
    <w:div w:id="764962079">
      <w:bodyDiv w:val="1"/>
      <w:marLeft w:val="0"/>
      <w:marRight w:val="0"/>
      <w:marTop w:val="0"/>
      <w:marBottom w:val="0"/>
      <w:divBdr>
        <w:top w:val="none" w:sz="0" w:space="0" w:color="auto"/>
        <w:left w:val="none" w:sz="0" w:space="0" w:color="auto"/>
        <w:bottom w:val="none" w:sz="0" w:space="0" w:color="auto"/>
        <w:right w:val="none" w:sz="0" w:space="0" w:color="auto"/>
      </w:divBdr>
    </w:div>
    <w:div w:id="782576534">
      <w:bodyDiv w:val="1"/>
      <w:marLeft w:val="0"/>
      <w:marRight w:val="0"/>
      <w:marTop w:val="0"/>
      <w:marBottom w:val="0"/>
      <w:divBdr>
        <w:top w:val="none" w:sz="0" w:space="0" w:color="auto"/>
        <w:left w:val="none" w:sz="0" w:space="0" w:color="auto"/>
        <w:bottom w:val="none" w:sz="0" w:space="0" w:color="auto"/>
        <w:right w:val="none" w:sz="0" w:space="0" w:color="auto"/>
      </w:divBdr>
    </w:div>
    <w:div w:id="796266528">
      <w:bodyDiv w:val="1"/>
      <w:marLeft w:val="0"/>
      <w:marRight w:val="0"/>
      <w:marTop w:val="0"/>
      <w:marBottom w:val="0"/>
      <w:divBdr>
        <w:top w:val="none" w:sz="0" w:space="0" w:color="auto"/>
        <w:left w:val="none" w:sz="0" w:space="0" w:color="auto"/>
        <w:bottom w:val="none" w:sz="0" w:space="0" w:color="auto"/>
        <w:right w:val="none" w:sz="0" w:space="0" w:color="auto"/>
      </w:divBdr>
    </w:div>
    <w:div w:id="799542517">
      <w:bodyDiv w:val="1"/>
      <w:marLeft w:val="0"/>
      <w:marRight w:val="0"/>
      <w:marTop w:val="0"/>
      <w:marBottom w:val="0"/>
      <w:divBdr>
        <w:top w:val="none" w:sz="0" w:space="0" w:color="auto"/>
        <w:left w:val="none" w:sz="0" w:space="0" w:color="auto"/>
        <w:bottom w:val="none" w:sz="0" w:space="0" w:color="auto"/>
        <w:right w:val="none" w:sz="0" w:space="0" w:color="auto"/>
      </w:divBdr>
    </w:div>
    <w:div w:id="810488687">
      <w:bodyDiv w:val="1"/>
      <w:marLeft w:val="0"/>
      <w:marRight w:val="0"/>
      <w:marTop w:val="0"/>
      <w:marBottom w:val="0"/>
      <w:divBdr>
        <w:top w:val="none" w:sz="0" w:space="0" w:color="auto"/>
        <w:left w:val="none" w:sz="0" w:space="0" w:color="auto"/>
        <w:bottom w:val="none" w:sz="0" w:space="0" w:color="auto"/>
        <w:right w:val="none" w:sz="0" w:space="0" w:color="auto"/>
      </w:divBdr>
    </w:div>
    <w:div w:id="811485532">
      <w:bodyDiv w:val="1"/>
      <w:marLeft w:val="0"/>
      <w:marRight w:val="0"/>
      <w:marTop w:val="0"/>
      <w:marBottom w:val="0"/>
      <w:divBdr>
        <w:top w:val="none" w:sz="0" w:space="0" w:color="auto"/>
        <w:left w:val="none" w:sz="0" w:space="0" w:color="auto"/>
        <w:bottom w:val="none" w:sz="0" w:space="0" w:color="auto"/>
        <w:right w:val="none" w:sz="0" w:space="0" w:color="auto"/>
      </w:divBdr>
    </w:div>
    <w:div w:id="815344009">
      <w:bodyDiv w:val="1"/>
      <w:marLeft w:val="0"/>
      <w:marRight w:val="0"/>
      <w:marTop w:val="0"/>
      <w:marBottom w:val="0"/>
      <w:divBdr>
        <w:top w:val="none" w:sz="0" w:space="0" w:color="auto"/>
        <w:left w:val="none" w:sz="0" w:space="0" w:color="auto"/>
        <w:bottom w:val="none" w:sz="0" w:space="0" w:color="auto"/>
        <w:right w:val="none" w:sz="0" w:space="0" w:color="auto"/>
      </w:divBdr>
    </w:div>
    <w:div w:id="819464039">
      <w:bodyDiv w:val="1"/>
      <w:marLeft w:val="0"/>
      <w:marRight w:val="0"/>
      <w:marTop w:val="0"/>
      <w:marBottom w:val="0"/>
      <w:divBdr>
        <w:top w:val="none" w:sz="0" w:space="0" w:color="auto"/>
        <w:left w:val="none" w:sz="0" w:space="0" w:color="auto"/>
        <w:bottom w:val="none" w:sz="0" w:space="0" w:color="auto"/>
        <w:right w:val="none" w:sz="0" w:space="0" w:color="auto"/>
      </w:divBdr>
    </w:div>
    <w:div w:id="843595812">
      <w:bodyDiv w:val="1"/>
      <w:marLeft w:val="0"/>
      <w:marRight w:val="0"/>
      <w:marTop w:val="0"/>
      <w:marBottom w:val="0"/>
      <w:divBdr>
        <w:top w:val="none" w:sz="0" w:space="0" w:color="auto"/>
        <w:left w:val="none" w:sz="0" w:space="0" w:color="auto"/>
        <w:bottom w:val="none" w:sz="0" w:space="0" w:color="auto"/>
        <w:right w:val="none" w:sz="0" w:space="0" w:color="auto"/>
      </w:divBdr>
    </w:div>
    <w:div w:id="845512150">
      <w:bodyDiv w:val="1"/>
      <w:marLeft w:val="0"/>
      <w:marRight w:val="0"/>
      <w:marTop w:val="0"/>
      <w:marBottom w:val="0"/>
      <w:divBdr>
        <w:top w:val="none" w:sz="0" w:space="0" w:color="auto"/>
        <w:left w:val="none" w:sz="0" w:space="0" w:color="auto"/>
        <w:bottom w:val="none" w:sz="0" w:space="0" w:color="auto"/>
        <w:right w:val="none" w:sz="0" w:space="0" w:color="auto"/>
      </w:divBdr>
    </w:div>
    <w:div w:id="856894235">
      <w:bodyDiv w:val="1"/>
      <w:marLeft w:val="0"/>
      <w:marRight w:val="0"/>
      <w:marTop w:val="0"/>
      <w:marBottom w:val="0"/>
      <w:divBdr>
        <w:top w:val="none" w:sz="0" w:space="0" w:color="auto"/>
        <w:left w:val="none" w:sz="0" w:space="0" w:color="auto"/>
        <w:bottom w:val="none" w:sz="0" w:space="0" w:color="auto"/>
        <w:right w:val="none" w:sz="0" w:space="0" w:color="auto"/>
      </w:divBdr>
    </w:div>
    <w:div w:id="862786374">
      <w:bodyDiv w:val="1"/>
      <w:marLeft w:val="0"/>
      <w:marRight w:val="0"/>
      <w:marTop w:val="0"/>
      <w:marBottom w:val="0"/>
      <w:divBdr>
        <w:top w:val="none" w:sz="0" w:space="0" w:color="auto"/>
        <w:left w:val="none" w:sz="0" w:space="0" w:color="auto"/>
        <w:bottom w:val="none" w:sz="0" w:space="0" w:color="auto"/>
        <w:right w:val="none" w:sz="0" w:space="0" w:color="auto"/>
      </w:divBdr>
    </w:div>
    <w:div w:id="863058256">
      <w:bodyDiv w:val="1"/>
      <w:marLeft w:val="0"/>
      <w:marRight w:val="0"/>
      <w:marTop w:val="0"/>
      <w:marBottom w:val="0"/>
      <w:divBdr>
        <w:top w:val="none" w:sz="0" w:space="0" w:color="auto"/>
        <w:left w:val="none" w:sz="0" w:space="0" w:color="auto"/>
        <w:bottom w:val="none" w:sz="0" w:space="0" w:color="auto"/>
        <w:right w:val="none" w:sz="0" w:space="0" w:color="auto"/>
      </w:divBdr>
    </w:div>
    <w:div w:id="871840109">
      <w:bodyDiv w:val="1"/>
      <w:marLeft w:val="0"/>
      <w:marRight w:val="0"/>
      <w:marTop w:val="0"/>
      <w:marBottom w:val="0"/>
      <w:divBdr>
        <w:top w:val="none" w:sz="0" w:space="0" w:color="auto"/>
        <w:left w:val="none" w:sz="0" w:space="0" w:color="auto"/>
        <w:bottom w:val="none" w:sz="0" w:space="0" w:color="auto"/>
        <w:right w:val="none" w:sz="0" w:space="0" w:color="auto"/>
      </w:divBdr>
    </w:div>
    <w:div w:id="899484320">
      <w:bodyDiv w:val="1"/>
      <w:marLeft w:val="0"/>
      <w:marRight w:val="0"/>
      <w:marTop w:val="0"/>
      <w:marBottom w:val="0"/>
      <w:divBdr>
        <w:top w:val="none" w:sz="0" w:space="0" w:color="auto"/>
        <w:left w:val="none" w:sz="0" w:space="0" w:color="auto"/>
        <w:bottom w:val="none" w:sz="0" w:space="0" w:color="auto"/>
        <w:right w:val="none" w:sz="0" w:space="0" w:color="auto"/>
      </w:divBdr>
    </w:div>
    <w:div w:id="901451552">
      <w:bodyDiv w:val="1"/>
      <w:marLeft w:val="0"/>
      <w:marRight w:val="0"/>
      <w:marTop w:val="0"/>
      <w:marBottom w:val="0"/>
      <w:divBdr>
        <w:top w:val="none" w:sz="0" w:space="0" w:color="auto"/>
        <w:left w:val="none" w:sz="0" w:space="0" w:color="auto"/>
        <w:bottom w:val="none" w:sz="0" w:space="0" w:color="auto"/>
        <w:right w:val="none" w:sz="0" w:space="0" w:color="auto"/>
      </w:divBdr>
    </w:div>
    <w:div w:id="934557890">
      <w:bodyDiv w:val="1"/>
      <w:marLeft w:val="0"/>
      <w:marRight w:val="0"/>
      <w:marTop w:val="0"/>
      <w:marBottom w:val="0"/>
      <w:divBdr>
        <w:top w:val="none" w:sz="0" w:space="0" w:color="auto"/>
        <w:left w:val="none" w:sz="0" w:space="0" w:color="auto"/>
        <w:bottom w:val="none" w:sz="0" w:space="0" w:color="auto"/>
        <w:right w:val="none" w:sz="0" w:space="0" w:color="auto"/>
      </w:divBdr>
    </w:div>
    <w:div w:id="952588546">
      <w:bodyDiv w:val="1"/>
      <w:marLeft w:val="0"/>
      <w:marRight w:val="0"/>
      <w:marTop w:val="0"/>
      <w:marBottom w:val="0"/>
      <w:divBdr>
        <w:top w:val="none" w:sz="0" w:space="0" w:color="auto"/>
        <w:left w:val="none" w:sz="0" w:space="0" w:color="auto"/>
        <w:bottom w:val="none" w:sz="0" w:space="0" w:color="auto"/>
        <w:right w:val="none" w:sz="0" w:space="0" w:color="auto"/>
      </w:divBdr>
    </w:div>
    <w:div w:id="989477366">
      <w:bodyDiv w:val="1"/>
      <w:marLeft w:val="0"/>
      <w:marRight w:val="0"/>
      <w:marTop w:val="0"/>
      <w:marBottom w:val="0"/>
      <w:divBdr>
        <w:top w:val="none" w:sz="0" w:space="0" w:color="auto"/>
        <w:left w:val="none" w:sz="0" w:space="0" w:color="auto"/>
        <w:bottom w:val="none" w:sz="0" w:space="0" w:color="auto"/>
        <w:right w:val="none" w:sz="0" w:space="0" w:color="auto"/>
      </w:divBdr>
    </w:div>
    <w:div w:id="991985184">
      <w:bodyDiv w:val="1"/>
      <w:marLeft w:val="0"/>
      <w:marRight w:val="0"/>
      <w:marTop w:val="0"/>
      <w:marBottom w:val="0"/>
      <w:divBdr>
        <w:top w:val="none" w:sz="0" w:space="0" w:color="auto"/>
        <w:left w:val="none" w:sz="0" w:space="0" w:color="auto"/>
        <w:bottom w:val="none" w:sz="0" w:space="0" w:color="auto"/>
        <w:right w:val="none" w:sz="0" w:space="0" w:color="auto"/>
      </w:divBdr>
    </w:div>
    <w:div w:id="1006253357">
      <w:bodyDiv w:val="1"/>
      <w:marLeft w:val="0"/>
      <w:marRight w:val="0"/>
      <w:marTop w:val="0"/>
      <w:marBottom w:val="0"/>
      <w:divBdr>
        <w:top w:val="none" w:sz="0" w:space="0" w:color="auto"/>
        <w:left w:val="none" w:sz="0" w:space="0" w:color="auto"/>
        <w:bottom w:val="none" w:sz="0" w:space="0" w:color="auto"/>
        <w:right w:val="none" w:sz="0" w:space="0" w:color="auto"/>
      </w:divBdr>
    </w:div>
    <w:div w:id="1043166192">
      <w:bodyDiv w:val="1"/>
      <w:marLeft w:val="0"/>
      <w:marRight w:val="0"/>
      <w:marTop w:val="0"/>
      <w:marBottom w:val="0"/>
      <w:divBdr>
        <w:top w:val="none" w:sz="0" w:space="0" w:color="auto"/>
        <w:left w:val="none" w:sz="0" w:space="0" w:color="auto"/>
        <w:bottom w:val="none" w:sz="0" w:space="0" w:color="auto"/>
        <w:right w:val="none" w:sz="0" w:space="0" w:color="auto"/>
      </w:divBdr>
    </w:div>
    <w:div w:id="1044139802">
      <w:bodyDiv w:val="1"/>
      <w:marLeft w:val="0"/>
      <w:marRight w:val="0"/>
      <w:marTop w:val="0"/>
      <w:marBottom w:val="0"/>
      <w:divBdr>
        <w:top w:val="none" w:sz="0" w:space="0" w:color="auto"/>
        <w:left w:val="none" w:sz="0" w:space="0" w:color="auto"/>
        <w:bottom w:val="none" w:sz="0" w:space="0" w:color="auto"/>
        <w:right w:val="none" w:sz="0" w:space="0" w:color="auto"/>
      </w:divBdr>
    </w:div>
    <w:div w:id="1049769565">
      <w:bodyDiv w:val="1"/>
      <w:marLeft w:val="0"/>
      <w:marRight w:val="0"/>
      <w:marTop w:val="0"/>
      <w:marBottom w:val="0"/>
      <w:divBdr>
        <w:top w:val="none" w:sz="0" w:space="0" w:color="auto"/>
        <w:left w:val="none" w:sz="0" w:space="0" w:color="auto"/>
        <w:bottom w:val="none" w:sz="0" w:space="0" w:color="auto"/>
        <w:right w:val="none" w:sz="0" w:space="0" w:color="auto"/>
      </w:divBdr>
    </w:div>
    <w:div w:id="1054045074">
      <w:bodyDiv w:val="1"/>
      <w:marLeft w:val="0"/>
      <w:marRight w:val="0"/>
      <w:marTop w:val="0"/>
      <w:marBottom w:val="0"/>
      <w:divBdr>
        <w:top w:val="none" w:sz="0" w:space="0" w:color="auto"/>
        <w:left w:val="none" w:sz="0" w:space="0" w:color="auto"/>
        <w:bottom w:val="none" w:sz="0" w:space="0" w:color="auto"/>
        <w:right w:val="none" w:sz="0" w:space="0" w:color="auto"/>
      </w:divBdr>
    </w:div>
    <w:div w:id="1054354612">
      <w:bodyDiv w:val="1"/>
      <w:marLeft w:val="0"/>
      <w:marRight w:val="0"/>
      <w:marTop w:val="0"/>
      <w:marBottom w:val="0"/>
      <w:divBdr>
        <w:top w:val="none" w:sz="0" w:space="0" w:color="auto"/>
        <w:left w:val="none" w:sz="0" w:space="0" w:color="auto"/>
        <w:bottom w:val="none" w:sz="0" w:space="0" w:color="auto"/>
        <w:right w:val="none" w:sz="0" w:space="0" w:color="auto"/>
      </w:divBdr>
    </w:div>
    <w:div w:id="1070621176">
      <w:bodyDiv w:val="1"/>
      <w:marLeft w:val="0"/>
      <w:marRight w:val="0"/>
      <w:marTop w:val="0"/>
      <w:marBottom w:val="0"/>
      <w:divBdr>
        <w:top w:val="none" w:sz="0" w:space="0" w:color="auto"/>
        <w:left w:val="none" w:sz="0" w:space="0" w:color="auto"/>
        <w:bottom w:val="none" w:sz="0" w:space="0" w:color="auto"/>
        <w:right w:val="none" w:sz="0" w:space="0" w:color="auto"/>
      </w:divBdr>
    </w:div>
    <w:div w:id="1070807899">
      <w:bodyDiv w:val="1"/>
      <w:marLeft w:val="0"/>
      <w:marRight w:val="0"/>
      <w:marTop w:val="0"/>
      <w:marBottom w:val="0"/>
      <w:divBdr>
        <w:top w:val="none" w:sz="0" w:space="0" w:color="auto"/>
        <w:left w:val="none" w:sz="0" w:space="0" w:color="auto"/>
        <w:bottom w:val="none" w:sz="0" w:space="0" w:color="auto"/>
        <w:right w:val="none" w:sz="0" w:space="0" w:color="auto"/>
      </w:divBdr>
    </w:div>
    <w:div w:id="1071655215">
      <w:bodyDiv w:val="1"/>
      <w:marLeft w:val="0"/>
      <w:marRight w:val="0"/>
      <w:marTop w:val="0"/>
      <w:marBottom w:val="0"/>
      <w:divBdr>
        <w:top w:val="none" w:sz="0" w:space="0" w:color="auto"/>
        <w:left w:val="none" w:sz="0" w:space="0" w:color="auto"/>
        <w:bottom w:val="none" w:sz="0" w:space="0" w:color="auto"/>
        <w:right w:val="none" w:sz="0" w:space="0" w:color="auto"/>
      </w:divBdr>
    </w:div>
    <w:div w:id="1079592361">
      <w:bodyDiv w:val="1"/>
      <w:marLeft w:val="0"/>
      <w:marRight w:val="0"/>
      <w:marTop w:val="0"/>
      <w:marBottom w:val="0"/>
      <w:divBdr>
        <w:top w:val="none" w:sz="0" w:space="0" w:color="auto"/>
        <w:left w:val="none" w:sz="0" w:space="0" w:color="auto"/>
        <w:bottom w:val="none" w:sz="0" w:space="0" w:color="auto"/>
        <w:right w:val="none" w:sz="0" w:space="0" w:color="auto"/>
      </w:divBdr>
    </w:div>
    <w:div w:id="1091973128">
      <w:bodyDiv w:val="1"/>
      <w:marLeft w:val="0"/>
      <w:marRight w:val="0"/>
      <w:marTop w:val="0"/>
      <w:marBottom w:val="0"/>
      <w:divBdr>
        <w:top w:val="none" w:sz="0" w:space="0" w:color="auto"/>
        <w:left w:val="none" w:sz="0" w:space="0" w:color="auto"/>
        <w:bottom w:val="none" w:sz="0" w:space="0" w:color="auto"/>
        <w:right w:val="none" w:sz="0" w:space="0" w:color="auto"/>
      </w:divBdr>
    </w:div>
    <w:div w:id="1099331330">
      <w:bodyDiv w:val="1"/>
      <w:marLeft w:val="0"/>
      <w:marRight w:val="0"/>
      <w:marTop w:val="0"/>
      <w:marBottom w:val="0"/>
      <w:divBdr>
        <w:top w:val="none" w:sz="0" w:space="0" w:color="auto"/>
        <w:left w:val="none" w:sz="0" w:space="0" w:color="auto"/>
        <w:bottom w:val="none" w:sz="0" w:space="0" w:color="auto"/>
        <w:right w:val="none" w:sz="0" w:space="0" w:color="auto"/>
      </w:divBdr>
    </w:div>
    <w:div w:id="1137843000">
      <w:bodyDiv w:val="1"/>
      <w:marLeft w:val="0"/>
      <w:marRight w:val="0"/>
      <w:marTop w:val="0"/>
      <w:marBottom w:val="0"/>
      <w:divBdr>
        <w:top w:val="none" w:sz="0" w:space="0" w:color="auto"/>
        <w:left w:val="none" w:sz="0" w:space="0" w:color="auto"/>
        <w:bottom w:val="none" w:sz="0" w:space="0" w:color="auto"/>
        <w:right w:val="none" w:sz="0" w:space="0" w:color="auto"/>
      </w:divBdr>
    </w:div>
    <w:div w:id="1142231975">
      <w:bodyDiv w:val="1"/>
      <w:marLeft w:val="0"/>
      <w:marRight w:val="0"/>
      <w:marTop w:val="0"/>
      <w:marBottom w:val="0"/>
      <w:divBdr>
        <w:top w:val="none" w:sz="0" w:space="0" w:color="auto"/>
        <w:left w:val="none" w:sz="0" w:space="0" w:color="auto"/>
        <w:bottom w:val="none" w:sz="0" w:space="0" w:color="auto"/>
        <w:right w:val="none" w:sz="0" w:space="0" w:color="auto"/>
      </w:divBdr>
    </w:div>
    <w:div w:id="1142962955">
      <w:bodyDiv w:val="1"/>
      <w:marLeft w:val="0"/>
      <w:marRight w:val="0"/>
      <w:marTop w:val="0"/>
      <w:marBottom w:val="0"/>
      <w:divBdr>
        <w:top w:val="none" w:sz="0" w:space="0" w:color="auto"/>
        <w:left w:val="none" w:sz="0" w:space="0" w:color="auto"/>
        <w:bottom w:val="none" w:sz="0" w:space="0" w:color="auto"/>
        <w:right w:val="none" w:sz="0" w:space="0" w:color="auto"/>
      </w:divBdr>
    </w:div>
    <w:div w:id="1153984132">
      <w:bodyDiv w:val="1"/>
      <w:marLeft w:val="0"/>
      <w:marRight w:val="0"/>
      <w:marTop w:val="0"/>
      <w:marBottom w:val="0"/>
      <w:divBdr>
        <w:top w:val="none" w:sz="0" w:space="0" w:color="auto"/>
        <w:left w:val="none" w:sz="0" w:space="0" w:color="auto"/>
        <w:bottom w:val="none" w:sz="0" w:space="0" w:color="auto"/>
        <w:right w:val="none" w:sz="0" w:space="0" w:color="auto"/>
      </w:divBdr>
    </w:div>
    <w:div w:id="1190949762">
      <w:bodyDiv w:val="1"/>
      <w:marLeft w:val="0"/>
      <w:marRight w:val="0"/>
      <w:marTop w:val="0"/>
      <w:marBottom w:val="0"/>
      <w:divBdr>
        <w:top w:val="none" w:sz="0" w:space="0" w:color="auto"/>
        <w:left w:val="none" w:sz="0" w:space="0" w:color="auto"/>
        <w:bottom w:val="none" w:sz="0" w:space="0" w:color="auto"/>
        <w:right w:val="none" w:sz="0" w:space="0" w:color="auto"/>
      </w:divBdr>
    </w:div>
    <w:div w:id="1211571667">
      <w:bodyDiv w:val="1"/>
      <w:marLeft w:val="0"/>
      <w:marRight w:val="0"/>
      <w:marTop w:val="0"/>
      <w:marBottom w:val="0"/>
      <w:divBdr>
        <w:top w:val="none" w:sz="0" w:space="0" w:color="auto"/>
        <w:left w:val="none" w:sz="0" w:space="0" w:color="auto"/>
        <w:bottom w:val="none" w:sz="0" w:space="0" w:color="auto"/>
        <w:right w:val="none" w:sz="0" w:space="0" w:color="auto"/>
      </w:divBdr>
    </w:div>
    <w:div w:id="1215969491">
      <w:bodyDiv w:val="1"/>
      <w:marLeft w:val="0"/>
      <w:marRight w:val="0"/>
      <w:marTop w:val="0"/>
      <w:marBottom w:val="0"/>
      <w:divBdr>
        <w:top w:val="none" w:sz="0" w:space="0" w:color="auto"/>
        <w:left w:val="none" w:sz="0" w:space="0" w:color="auto"/>
        <w:bottom w:val="none" w:sz="0" w:space="0" w:color="auto"/>
        <w:right w:val="none" w:sz="0" w:space="0" w:color="auto"/>
      </w:divBdr>
    </w:div>
    <w:div w:id="1224294775">
      <w:bodyDiv w:val="1"/>
      <w:marLeft w:val="0"/>
      <w:marRight w:val="0"/>
      <w:marTop w:val="0"/>
      <w:marBottom w:val="0"/>
      <w:divBdr>
        <w:top w:val="none" w:sz="0" w:space="0" w:color="auto"/>
        <w:left w:val="none" w:sz="0" w:space="0" w:color="auto"/>
        <w:bottom w:val="none" w:sz="0" w:space="0" w:color="auto"/>
        <w:right w:val="none" w:sz="0" w:space="0" w:color="auto"/>
      </w:divBdr>
    </w:div>
    <w:div w:id="1244028386">
      <w:bodyDiv w:val="1"/>
      <w:marLeft w:val="0"/>
      <w:marRight w:val="0"/>
      <w:marTop w:val="0"/>
      <w:marBottom w:val="0"/>
      <w:divBdr>
        <w:top w:val="none" w:sz="0" w:space="0" w:color="auto"/>
        <w:left w:val="none" w:sz="0" w:space="0" w:color="auto"/>
        <w:bottom w:val="none" w:sz="0" w:space="0" w:color="auto"/>
        <w:right w:val="none" w:sz="0" w:space="0" w:color="auto"/>
      </w:divBdr>
    </w:div>
    <w:div w:id="1259488116">
      <w:bodyDiv w:val="1"/>
      <w:marLeft w:val="0"/>
      <w:marRight w:val="0"/>
      <w:marTop w:val="0"/>
      <w:marBottom w:val="0"/>
      <w:divBdr>
        <w:top w:val="none" w:sz="0" w:space="0" w:color="auto"/>
        <w:left w:val="none" w:sz="0" w:space="0" w:color="auto"/>
        <w:bottom w:val="none" w:sz="0" w:space="0" w:color="auto"/>
        <w:right w:val="none" w:sz="0" w:space="0" w:color="auto"/>
      </w:divBdr>
    </w:div>
    <w:div w:id="1282108984">
      <w:bodyDiv w:val="1"/>
      <w:marLeft w:val="0"/>
      <w:marRight w:val="0"/>
      <w:marTop w:val="0"/>
      <w:marBottom w:val="0"/>
      <w:divBdr>
        <w:top w:val="none" w:sz="0" w:space="0" w:color="auto"/>
        <w:left w:val="none" w:sz="0" w:space="0" w:color="auto"/>
        <w:bottom w:val="none" w:sz="0" w:space="0" w:color="auto"/>
        <w:right w:val="none" w:sz="0" w:space="0" w:color="auto"/>
      </w:divBdr>
    </w:div>
    <w:div w:id="1295673432">
      <w:bodyDiv w:val="1"/>
      <w:marLeft w:val="0"/>
      <w:marRight w:val="0"/>
      <w:marTop w:val="0"/>
      <w:marBottom w:val="0"/>
      <w:divBdr>
        <w:top w:val="none" w:sz="0" w:space="0" w:color="auto"/>
        <w:left w:val="none" w:sz="0" w:space="0" w:color="auto"/>
        <w:bottom w:val="none" w:sz="0" w:space="0" w:color="auto"/>
        <w:right w:val="none" w:sz="0" w:space="0" w:color="auto"/>
      </w:divBdr>
    </w:div>
    <w:div w:id="1320421738">
      <w:bodyDiv w:val="1"/>
      <w:marLeft w:val="0"/>
      <w:marRight w:val="0"/>
      <w:marTop w:val="0"/>
      <w:marBottom w:val="0"/>
      <w:divBdr>
        <w:top w:val="none" w:sz="0" w:space="0" w:color="auto"/>
        <w:left w:val="none" w:sz="0" w:space="0" w:color="auto"/>
        <w:bottom w:val="none" w:sz="0" w:space="0" w:color="auto"/>
        <w:right w:val="none" w:sz="0" w:space="0" w:color="auto"/>
      </w:divBdr>
    </w:div>
    <w:div w:id="1329943924">
      <w:bodyDiv w:val="1"/>
      <w:marLeft w:val="0"/>
      <w:marRight w:val="0"/>
      <w:marTop w:val="0"/>
      <w:marBottom w:val="0"/>
      <w:divBdr>
        <w:top w:val="none" w:sz="0" w:space="0" w:color="auto"/>
        <w:left w:val="none" w:sz="0" w:space="0" w:color="auto"/>
        <w:bottom w:val="none" w:sz="0" w:space="0" w:color="auto"/>
        <w:right w:val="none" w:sz="0" w:space="0" w:color="auto"/>
      </w:divBdr>
    </w:div>
    <w:div w:id="1340548982">
      <w:bodyDiv w:val="1"/>
      <w:marLeft w:val="0"/>
      <w:marRight w:val="0"/>
      <w:marTop w:val="0"/>
      <w:marBottom w:val="0"/>
      <w:divBdr>
        <w:top w:val="none" w:sz="0" w:space="0" w:color="auto"/>
        <w:left w:val="none" w:sz="0" w:space="0" w:color="auto"/>
        <w:bottom w:val="none" w:sz="0" w:space="0" w:color="auto"/>
        <w:right w:val="none" w:sz="0" w:space="0" w:color="auto"/>
      </w:divBdr>
    </w:div>
    <w:div w:id="1342001927">
      <w:bodyDiv w:val="1"/>
      <w:marLeft w:val="0"/>
      <w:marRight w:val="0"/>
      <w:marTop w:val="0"/>
      <w:marBottom w:val="0"/>
      <w:divBdr>
        <w:top w:val="none" w:sz="0" w:space="0" w:color="auto"/>
        <w:left w:val="none" w:sz="0" w:space="0" w:color="auto"/>
        <w:bottom w:val="none" w:sz="0" w:space="0" w:color="auto"/>
        <w:right w:val="none" w:sz="0" w:space="0" w:color="auto"/>
      </w:divBdr>
    </w:div>
    <w:div w:id="1352297967">
      <w:bodyDiv w:val="1"/>
      <w:marLeft w:val="0"/>
      <w:marRight w:val="0"/>
      <w:marTop w:val="0"/>
      <w:marBottom w:val="0"/>
      <w:divBdr>
        <w:top w:val="none" w:sz="0" w:space="0" w:color="auto"/>
        <w:left w:val="none" w:sz="0" w:space="0" w:color="auto"/>
        <w:bottom w:val="none" w:sz="0" w:space="0" w:color="auto"/>
        <w:right w:val="none" w:sz="0" w:space="0" w:color="auto"/>
      </w:divBdr>
    </w:div>
    <w:div w:id="1355421491">
      <w:bodyDiv w:val="1"/>
      <w:marLeft w:val="0"/>
      <w:marRight w:val="0"/>
      <w:marTop w:val="0"/>
      <w:marBottom w:val="0"/>
      <w:divBdr>
        <w:top w:val="none" w:sz="0" w:space="0" w:color="auto"/>
        <w:left w:val="none" w:sz="0" w:space="0" w:color="auto"/>
        <w:bottom w:val="none" w:sz="0" w:space="0" w:color="auto"/>
        <w:right w:val="none" w:sz="0" w:space="0" w:color="auto"/>
      </w:divBdr>
    </w:div>
    <w:div w:id="1362125201">
      <w:bodyDiv w:val="1"/>
      <w:marLeft w:val="0"/>
      <w:marRight w:val="0"/>
      <w:marTop w:val="0"/>
      <w:marBottom w:val="0"/>
      <w:divBdr>
        <w:top w:val="none" w:sz="0" w:space="0" w:color="auto"/>
        <w:left w:val="none" w:sz="0" w:space="0" w:color="auto"/>
        <w:bottom w:val="none" w:sz="0" w:space="0" w:color="auto"/>
        <w:right w:val="none" w:sz="0" w:space="0" w:color="auto"/>
      </w:divBdr>
    </w:div>
    <w:div w:id="1363626281">
      <w:bodyDiv w:val="1"/>
      <w:marLeft w:val="0"/>
      <w:marRight w:val="0"/>
      <w:marTop w:val="0"/>
      <w:marBottom w:val="0"/>
      <w:divBdr>
        <w:top w:val="none" w:sz="0" w:space="0" w:color="auto"/>
        <w:left w:val="none" w:sz="0" w:space="0" w:color="auto"/>
        <w:bottom w:val="none" w:sz="0" w:space="0" w:color="auto"/>
        <w:right w:val="none" w:sz="0" w:space="0" w:color="auto"/>
      </w:divBdr>
    </w:div>
    <w:div w:id="1384061973">
      <w:bodyDiv w:val="1"/>
      <w:marLeft w:val="0"/>
      <w:marRight w:val="0"/>
      <w:marTop w:val="0"/>
      <w:marBottom w:val="0"/>
      <w:divBdr>
        <w:top w:val="none" w:sz="0" w:space="0" w:color="auto"/>
        <w:left w:val="none" w:sz="0" w:space="0" w:color="auto"/>
        <w:bottom w:val="none" w:sz="0" w:space="0" w:color="auto"/>
        <w:right w:val="none" w:sz="0" w:space="0" w:color="auto"/>
      </w:divBdr>
    </w:div>
    <w:div w:id="1421222379">
      <w:bodyDiv w:val="1"/>
      <w:marLeft w:val="0"/>
      <w:marRight w:val="0"/>
      <w:marTop w:val="0"/>
      <w:marBottom w:val="0"/>
      <w:divBdr>
        <w:top w:val="none" w:sz="0" w:space="0" w:color="auto"/>
        <w:left w:val="none" w:sz="0" w:space="0" w:color="auto"/>
        <w:bottom w:val="none" w:sz="0" w:space="0" w:color="auto"/>
        <w:right w:val="none" w:sz="0" w:space="0" w:color="auto"/>
      </w:divBdr>
    </w:div>
    <w:div w:id="1442068874">
      <w:bodyDiv w:val="1"/>
      <w:marLeft w:val="0"/>
      <w:marRight w:val="0"/>
      <w:marTop w:val="0"/>
      <w:marBottom w:val="0"/>
      <w:divBdr>
        <w:top w:val="none" w:sz="0" w:space="0" w:color="auto"/>
        <w:left w:val="none" w:sz="0" w:space="0" w:color="auto"/>
        <w:bottom w:val="none" w:sz="0" w:space="0" w:color="auto"/>
        <w:right w:val="none" w:sz="0" w:space="0" w:color="auto"/>
      </w:divBdr>
    </w:div>
    <w:div w:id="1443694262">
      <w:bodyDiv w:val="1"/>
      <w:marLeft w:val="0"/>
      <w:marRight w:val="0"/>
      <w:marTop w:val="0"/>
      <w:marBottom w:val="0"/>
      <w:divBdr>
        <w:top w:val="none" w:sz="0" w:space="0" w:color="auto"/>
        <w:left w:val="none" w:sz="0" w:space="0" w:color="auto"/>
        <w:bottom w:val="none" w:sz="0" w:space="0" w:color="auto"/>
        <w:right w:val="none" w:sz="0" w:space="0" w:color="auto"/>
      </w:divBdr>
    </w:div>
    <w:div w:id="1448160670">
      <w:bodyDiv w:val="1"/>
      <w:marLeft w:val="0"/>
      <w:marRight w:val="0"/>
      <w:marTop w:val="0"/>
      <w:marBottom w:val="0"/>
      <w:divBdr>
        <w:top w:val="none" w:sz="0" w:space="0" w:color="auto"/>
        <w:left w:val="none" w:sz="0" w:space="0" w:color="auto"/>
        <w:bottom w:val="none" w:sz="0" w:space="0" w:color="auto"/>
        <w:right w:val="none" w:sz="0" w:space="0" w:color="auto"/>
      </w:divBdr>
    </w:div>
    <w:div w:id="1478566652">
      <w:bodyDiv w:val="1"/>
      <w:marLeft w:val="0"/>
      <w:marRight w:val="0"/>
      <w:marTop w:val="0"/>
      <w:marBottom w:val="0"/>
      <w:divBdr>
        <w:top w:val="none" w:sz="0" w:space="0" w:color="auto"/>
        <w:left w:val="none" w:sz="0" w:space="0" w:color="auto"/>
        <w:bottom w:val="none" w:sz="0" w:space="0" w:color="auto"/>
        <w:right w:val="none" w:sz="0" w:space="0" w:color="auto"/>
      </w:divBdr>
    </w:div>
    <w:div w:id="1526290149">
      <w:bodyDiv w:val="1"/>
      <w:marLeft w:val="0"/>
      <w:marRight w:val="0"/>
      <w:marTop w:val="0"/>
      <w:marBottom w:val="0"/>
      <w:divBdr>
        <w:top w:val="none" w:sz="0" w:space="0" w:color="auto"/>
        <w:left w:val="none" w:sz="0" w:space="0" w:color="auto"/>
        <w:bottom w:val="none" w:sz="0" w:space="0" w:color="auto"/>
        <w:right w:val="none" w:sz="0" w:space="0" w:color="auto"/>
      </w:divBdr>
    </w:div>
    <w:div w:id="1527714163">
      <w:bodyDiv w:val="1"/>
      <w:marLeft w:val="0"/>
      <w:marRight w:val="0"/>
      <w:marTop w:val="0"/>
      <w:marBottom w:val="0"/>
      <w:divBdr>
        <w:top w:val="none" w:sz="0" w:space="0" w:color="auto"/>
        <w:left w:val="none" w:sz="0" w:space="0" w:color="auto"/>
        <w:bottom w:val="none" w:sz="0" w:space="0" w:color="auto"/>
        <w:right w:val="none" w:sz="0" w:space="0" w:color="auto"/>
      </w:divBdr>
    </w:div>
    <w:div w:id="1540237902">
      <w:bodyDiv w:val="1"/>
      <w:marLeft w:val="0"/>
      <w:marRight w:val="0"/>
      <w:marTop w:val="0"/>
      <w:marBottom w:val="0"/>
      <w:divBdr>
        <w:top w:val="none" w:sz="0" w:space="0" w:color="auto"/>
        <w:left w:val="none" w:sz="0" w:space="0" w:color="auto"/>
        <w:bottom w:val="none" w:sz="0" w:space="0" w:color="auto"/>
        <w:right w:val="none" w:sz="0" w:space="0" w:color="auto"/>
      </w:divBdr>
    </w:div>
    <w:div w:id="1543398697">
      <w:bodyDiv w:val="1"/>
      <w:marLeft w:val="0"/>
      <w:marRight w:val="0"/>
      <w:marTop w:val="0"/>
      <w:marBottom w:val="0"/>
      <w:divBdr>
        <w:top w:val="none" w:sz="0" w:space="0" w:color="auto"/>
        <w:left w:val="none" w:sz="0" w:space="0" w:color="auto"/>
        <w:bottom w:val="none" w:sz="0" w:space="0" w:color="auto"/>
        <w:right w:val="none" w:sz="0" w:space="0" w:color="auto"/>
      </w:divBdr>
    </w:div>
    <w:div w:id="1545368748">
      <w:bodyDiv w:val="1"/>
      <w:marLeft w:val="0"/>
      <w:marRight w:val="0"/>
      <w:marTop w:val="0"/>
      <w:marBottom w:val="0"/>
      <w:divBdr>
        <w:top w:val="none" w:sz="0" w:space="0" w:color="auto"/>
        <w:left w:val="none" w:sz="0" w:space="0" w:color="auto"/>
        <w:bottom w:val="none" w:sz="0" w:space="0" w:color="auto"/>
        <w:right w:val="none" w:sz="0" w:space="0" w:color="auto"/>
      </w:divBdr>
    </w:div>
    <w:div w:id="1546869977">
      <w:bodyDiv w:val="1"/>
      <w:marLeft w:val="0"/>
      <w:marRight w:val="0"/>
      <w:marTop w:val="0"/>
      <w:marBottom w:val="0"/>
      <w:divBdr>
        <w:top w:val="none" w:sz="0" w:space="0" w:color="auto"/>
        <w:left w:val="none" w:sz="0" w:space="0" w:color="auto"/>
        <w:bottom w:val="none" w:sz="0" w:space="0" w:color="auto"/>
        <w:right w:val="none" w:sz="0" w:space="0" w:color="auto"/>
      </w:divBdr>
    </w:div>
    <w:div w:id="1547790822">
      <w:bodyDiv w:val="1"/>
      <w:marLeft w:val="0"/>
      <w:marRight w:val="0"/>
      <w:marTop w:val="0"/>
      <w:marBottom w:val="0"/>
      <w:divBdr>
        <w:top w:val="none" w:sz="0" w:space="0" w:color="auto"/>
        <w:left w:val="none" w:sz="0" w:space="0" w:color="auto"/>
        <w:bottom w:val="none" w:sz="0" w:space="0" w:color="auto"/>
        <w:right w:val="none" w:sz="0" w:space="0" w:color="auto"/>
      </w:divBdr>
    </w:div>
    <w:div w:id="1562593990">
      <w:bodyDiv w:val="1"/>
      <w:marLeft w:val="0"/>
      <w:marRight w:val="0"/>
      <w:marTop w:val="0"/>
      <w:marBottom w:val="0"/>
      <w:divBdr>
        <w:top w:val="none" w:sz="0" w:space="0" w:color="auto"/>
        <w:left w:val="none" w:sz="0" w:space="0" w:color="auto"/>
        <w:bottom w:val="none" w:sz="0" w:space="0" w:color="auto"/>
        <w:right w:val="none" w:sz="0" w:space="0" w:color="auto"/>
      </w:divBdr>
    </w:div>
    <w:div w:id="1564953042">
      <w:bodyDiv w:val="1"/>
      <w:marLeft w:val="0"/>
      <w:marRight w:val="0"/>
      <w:marTop w:val="0"/>
      <w:marBottom w:val="0"/>
      <w:divBdr>
        <w:top w:val="none" w:sz="0" w:space="0" w:color="auto"/>
        <w:left w:val="none" w:sz="0" w:space="0" w:color="auto"/>
        <w:bottom w:val="none" w:sz="0" w:space="0" w:color="auto"/>
        <w:right w:val="none" w:sz="0" w:space="0" w:color="auto"/>
      </w:divBdr>
    </w:div>
    <w:div w:id="1566256445">
      <w:bodyDiv w:val="1"/>
      <w:marLeft w:val="0"/>
      <w:marRight w:val="0"/>
      <w:marTop w:val="0"/>
      <w:marBottom w:val="0"/>
      <w:divBdr>
        <w:top w:val="none" w:sz="0" w:space="0" w:color="auto"/>
        <w:left w:val="none" w:sz="0" w:space="0" w:color="auto"/>
        <w:bottom w:val="none" w:sz="0" w:space="0" w:color="auto"/>
        <w:right w:val="none" w:sz="0" w:space="0" w:color="auto"/>
      </w:divBdr>
    </w:div>
    <w:div w:id="1581065189">
      <w:bodyDiv w:val="1"/>
      <w:marLeft w:val="0"/>
      <w:marRight w:val="0"/>
      <w:marTop w:val="0"/>
      <w:marBottom w:val="0"/>
      <w:divBdr>
        <w:top w:val="none" w:sz="0" w:space="0" w:color="auto"/>
        <w:left w:val="none" w:sz="0" w:space="0" w:color="auto"/>
        <w:bottom w:val="none" w:sz="0" w:space="0" w:color="auto"/>
        <w:right w:val="none" w:sz="0" w:space="0" w:color="auto"/>
      </w:divBdr>
    </w:div>
    <w:div w:id="1586956536">
      <w:bodyDiv w:val="1"/>
      <w:marLeft w:val="0"/>
      <w:marRight w:val="0"/>
      <w:marTop w:val="0"/>
      <w:marBottom w:val="0"/>
      <w:divBdr>
        <w:top w:val="none" w:sz="0" w:space="0" w:color="auto"/>
        <w:left w:val="none" w:sz="0" w:space="0" w:color="auto"/>
        <w:bottom w:val="none" w:sz="0" w:space="0" w:color="auto"/>
        <w:right w:val="none" w:sz="0" w:space="0" w:color="auto"/>
      </w:divBdr>
    </w:div>
    <w:div w:id="1594974369">
      <w:bodyDiv w:val="1"/>
      <w:marLeft w:val="0"/>
      <w:marRight w:val="0"/>
      <w:marTop w:val="0"/>
      <w:marBottom w:val="0"/>
      <w:divBdr>
        <w:top w:val="none" w:sz="0" w:space="0" w:color="auto"/>
        <w:left w:val="none" w:sz="0" w:space="0" w:color="auto"/>
        <w:bottom w:val="none" w:sz="0" w:space="0" w:color="auto"/>
        <w:right w:val="none" w:sz="0" w:space="0" w:color="auto"/>
      </w:divBdr>
    </w:div>
    <w:div w:id="1608271057">
      <w:bodyDiv w:val="1"/>
      <w:marLeft w:val="0"/>
      <w:marRight w:val="0"/>
      <w:marTop w:val="0"/>
      <w:marBottom w:val="0"/>
      <w:divBdr>
        <w:top w:val="none" w:sz="0" w:space="0" w:color="auto"/>
        <w:left w:val="none" w:sz="0" w:space="0" w:color="auto"/>
        <w:bottom w:val="none" w:sz="0" w:space="0" w:color="auto"/>
        <w:right w:val="none" w:sz="0" w:space="0" w:color="auto"/>
      </w:divBdr>
    </w:div>
    <w:div w:id="1613899195">
      <w:bodyDiv w:val="1"/>
      <w:marLeft w:val="0"/>
      <w:marRight w:val="0"/>
      <w:marTop w:val="0"/>
      <w:marBottom w:val="0"/>
      <w:divBdr>
        <w:top w:val="none" w:sz="0" w:space="0" w:color="auto"/>
        <w:left w:val="none" w:sz="0" w:space="0" w:color="auto"/>
        <w:bottom w:val="none" w:sz="0" w:space="0" w:color="auto"/>
        <w:right w:val="none" w:sz="0" w:space="0" w:color="auto"/>
      </w:divBdr>
    </w:div>
    <w:div w:id="1647780762">
      <w:bodyDiv w:val="1"/>
      <w:marLeft w:val="0"/>
      <w:marRight w:val="0"/>
      <w:marTop w:val="0"/>
      <w:marBottom w:val="0"/>
      <w:divBdr>
        <w:top w:val="none" w:sz="0" w:space="0" w:color="auto"/>
        <w:left w:val="none" w:sz="0" w:space="0" w:color="auto"/>
        <w:bottom w:val="none" w:sz="0" w:space="0" w:color="auto"/>
        <w:right w:val="none" w:sz="0" w:space="0" w:color="auto"/>
      </w:divBdr>
    </w:div>
    <w:div w:id="1647975697">
      <w:bodyDiv w:val="1"/>
      <w:marLeft w:val="0"/>
      <w:marRight w:val="0"/>
      <w:marTop w:val="0"/>
      <w:marBottom w:val="0"/>
      <w:divBdr>
        <w:top w:val="none" w:sz="0" w:space="0" w:color="auto"/>
        <w:left w:val="none" w:sz="0" w:space="0" w:color="auto"/>
        <w:bottom w:val="none" w:sz="0" w:space="0" w:color="auto"/>
        <w:right w:val="none" w:sz="0" w:space="0" w:color="auto"/>
      </w:divBdr>
    </w:div>
    <w:div w:id="1669937818">
      <w:bodyDiv w:val="1"/>
      <w:marLeft w:val="0"/>
      <w:marRight w:val="0"/>
      <w:marTop w:val="0"/>
      <w:marBottom w:val="0"/>
      <w:divBdr>
        <w:top w:val="none" w:sz="0" w:space="0" w:color="auto"/>
        <w:left w:val="none" w:sz="0" w:space="0" w:color="auto"/>
        <w:bottom w:val="none" w:sz="0" w:space="0" w:color="auto"/>
        <w:right w:val="none" w:sz="0" w:space="0" w:color="auto"/>
      </w:divBdr>
    </w:div>
    <w:div w:id="1673146207">
      <w:bodyDiv w:val="1"/>
      <w:marLeft w:val="0"/>
      <w:marRight w:val="0"/>
      <w:marTop w:val="0"/>
      <w:marBottom w:val="0"/>
      <w:divBdr>
        <w:top w:val="none" w:sz="0" w:space="0" w:color="auto"/>
        <w:left w:val="none" w:sz="0" w:space="0" w:color="auto"/>
        <w:bottom w:val="none" w:sz="0" w:space="0" w:color="auto"/>
        <w:right w:val="none" w:sz="0" w:space="0" w:color="auto"/>
      </w:divBdr>
    </w:div>
    <w:div w:id="1677222278">
      <w:bodyDiv w:val="1"/>
      <w:marLeft w:val="0"/>
      <w:marRight w:val="0"/>
      <w:marTop w:val="0"/>
      <w:marBottom w:val="0"/>
      <w:divBdr>
        <w:top w:val="none" w:sz="0" w:space="0" w:color="auto"/>
        <w:left w:val="none" w:sz="0" w:space="0" w:color="auto"/>
        <w:bottom w:val="none" w:sz="0" w:space="0" w:color="auto"/>
        <w:right w:val="none" w:sz="0" w:space="0" w:color="auto"/>
      </w:divBdr>
    </w:div>
    <w:div w:id="1682509054">
      <w:bodyDiv w:val="1"/>
      <w:marLeft w:val="0"/>
      <w:marRight w:val="0"/>
      <w:marTop w:val="0"/>
      <w:marBottom w:val="0"/>
      <w:divBdr>
        <w:top w:val="none" w:sz="0" w:space="0" w:color="auto"/>
        <w:left w:val="none" w:sz="0" w:space="0" w:color="auto"/>
        <w:bottom w:val="none" w:sz="0" w:space="0" w:color="auto"/>
        <w:right w:val="none" w:sz="0" w:space="0" w:color="auto"/>
      </w:divBdr>
    </w:div>
    <w:div w:id="1742092865">
      <w:bodyDiv w:val="1"/>
      <w:marLeft w:val="0"/>
      <w:marRight w:val="0"/>
      <w:marTop w:val="0"/>
      <w:marBottom w:val="0"/>
      <w:divBdr>
        <w:top w:val="none" w:sz="0" w:space="0" w:color="auto"/>
        <w:left w:val="none" w:sz="0" w:space="0" w:color="auto"/>
        <w:bottom w:val="none" w:sz="0" w:space="0" w:color="auto"/>
        <w:right w:val="none" w:sz="0" w:space="0" w:color="auto"/>
      </w:divBdr>
    </w:div>
    <w:div w:id="1744252770">
      <w:bodyDiv w:val="1"/>
      <w:marLeft w:val="0"/>
      <w:marRight w:val="0"/>
      <w:marTop w:val="0"/>
      <w:marBottom w:val="0"/>
      <w:divBdr>
        <w:top w:val="none" w:sz="0" w:space="0" w:color="auto"/>
        <w:left w:val="none" w:sz="0" w:space="0" w:color="auto"/>
        <w:bottom w:val="none" w:sz="0" w:space="0" w:color="auto"/>
        <w:right w:val="none" w:sz="0" w:space="0" w:color="auto"/>
      </w:divBdr>
    </w:div>
    <w:div w:id="1752653545">
      <w:bodyDiv w:val="1"/>
      <w:marLeft w:val="0"/>
      <w:marRight w:val="0"/>
      <w:marTop w:val="0"/>
      <w:marBottom w:val="0"/>
      <w:divBdr>
        <w:top w:val="none" w:sz="0" w:space="0" w:color="auto"/>
        <w:left w:val="none" w:sz="0" w:space="0" w:color="auto"/>
        <w:bottom w:val="none" w:sz="0" w:space="0" w:color="auto"/>
        <w:right w:val="none" w:sz="0" w:space="0" w:color="auto"/>
      </w:divBdr>
    </w:div>
    <w:div w:id="1769814065">
      <w:bodyDiv w:val="1"/>
      <w:marLeft w:val="0"/>
      <w:marRight w:val="0"/>
      <w:marTop w:val="0"/>
      <w:marBottom w:val="0"/>
      <w:divBdr>
        <w:top w:val="none" w:sz="0" w:space="0" w:color="auto"/>
        <w:left w:val="none" w:sz="0" w:space="0" w:color="auto"/>
        <w:bottom w:val="none" w:sz="0" w:space="0" w:color="auto"/>
        <w:right w:val="none" w:sz="0" w:space="0" w:color="auto"/>
      </w:divBdr>
    </w:div>
    <w:div w:id="1773354986">
      <w:bodyDiv w:val="1"/>
      <w:marLeft w:val="0"/>
      <w:marRight w:val="0"/>
      <w:marTop w:val="0"/>
      <w:marBottom w:val="0"/>
      <w:divBdr>
        <w:top w:val="none" w:sz="0" w:space="0" w:color="auto"/>
        <w:left w:val="none" w:sz="0" w:space="0" w:color="auto"/>
        <w:bottom w:val="none" w:sz="0" w:space="0" w:color="auto"/>
        <w:right w:val="none" w:sz="0" w:space="0" w:color="auto"/>
      </w:divBdr>
    </w:div>
    <w:div w:id="1781144476">
      <w:bodyDiv w:val="1"/>
      <w:marLeft w:val="0"/>
      <w:marRight w:val="0"/>
      <w:marTop w:val="0"/>
      <w:marBottom w:val="0"/>
      <w:divBdr>
        <w:top w:val="none" w:sz="0" w:space="0" w:color="auto"/>
        <w:left w:val="none" w:sz="0" w:space="0" w:color="auto"/>
        <w:bottom w:val="none" w:sz="0" w:space="0" w:color="auto"/>
        <w:right w:val="none" w:sz="0" w:space="0" w:color="auto"/>
      </w:divBdr>
    </w:div>
    <w:div w:id="1793590575">
      <w:bodyDiv w:val="1"/>
      <w:marLeft w:val="0"/>
      <w:marRight w:val="0"/>
      <w:marTop w:val="0"/>
      <w:marBottom w:val="0"/>
      <w:divBdr>
        <w:top w:val="none" w:sz="0" w:space="0" w:color="auto"/>
        <w:left w:val="none" w:sz="0" w:space="0" w:color="auto"/>
        <w:bottom w:val="none" w:sz="0" w:space="0" w:color="auto"/>
        <w:right w:val="none" w:sz="0" w:space="0" w:color="auto"/>
      </w:divBdr>
    </w:div>
    <w:div w:id="1793747310">
      <w:bodyDiv w:val="1"/>
      <w:marLeft w:val="0"/>
      <w:marRight w:val="0"/>
      <w:marTop w:val="0"/>
      <w:marBottom w:val="0"/>
      <w:divBdr>
        <w:top w:val="none" w:sz="0" w:space="0" w:color="auto"/>
        <w:left w:val="none" w:sz="0" w:space="0" w:color="auto"/>
        <w:bottom w:val="none" w:sz="0" w:space="0" w:color="auto"/>
        <w:right w:val="none" w:sz="0" w:space="0" w:color="auto"/>
      </w:divBdr>
    </w:div>
    <w:div w:id="1828159015">
      <w:bodyDiv w:val="1"/>
      <w:marLeft w:val="0"/>
      <w:marRight w:val="0"/>
      <w:marTop w:val="0"/>
      <w:marBottom w:val="0"/>
      <w:divBdr>
        <w:top w:val="none" w:sz="0" w:space="0" w:color="auto"/>
        <w:left w:val="none" w:sz="0" w:space="0" w:color="auto"/>
        <w:bottom w:val="none" w:sz="0" w:space="0" w:color="auto"/>
        <w:right w:val="none" w:sz="0" w:space="0" w:color="auto"/>
      </w:divBdr>
    </w:div>
    <w:div w:id="1828398448">
      <w:bodyDiv w:val="1"/>
      <w:marLeft w:val="0"/>
      <w:marRight w:val="0"/>
      <w:marTop w:val="0"/>
      <w:marBottom w:val="0"/>
      <w:divBdr>
        <w:top w:val="none" w:sz="0" w:space="0" w:color="auto"/>
        <w:left w:val="none" w:sz="0" w:space="0" w:color="auto"/>
        <w:bottom w:val="none" w:sz="0" w:space="0" w:color="auto"/>
        <w:right w:val="none" w:sz="0" w:space="0" w:color="auto"/>
      </w:divBdr>
    </w:div>
    <w:div w:id="1839928113">
      <w:bodyDiv w:val="1"/>
      <w:marLeft w:val="0"/>
      <w:marRight w:val="0"/>
      <w:marTop w:val="0"/>
      <w:marBottom w:val="0"/>
      <w:divBdr>
        <w:top w:val="none" w:sz="0" w:space="0" w:color="auto"/>
        <w:left w:val="none" w:sz="0" w:space="0" w:color="auto"/>
        <w:bottom w:val="none" w:sz="0" w:space="0" w:color="auto"/>
        <w:right w:val="none" w:sz="0" w:space="0" w:color="auto"/>
      </w:divBdr>
    </w:div>
    <w:div w:id="1843667497">
      <w:bodyDiv w:val="1"/>
      <w:marLeft w:val="0"/>
      <w:marRight w:val="0"/>
      <w:marTop w:val="0"/>
      <w:marBottom w:val="0"/>
      <w:divBdr>
        <w:top w:val="none" w:sz="0" w:space="0" w:color="auto"/>
        <w:left w:val="none" w:sz="0" w:space="0" w:color="auto"/>
        <w:bottom w:val="none" w:sz="0" w:space="0" w:color="auto"/>
        <w:right w:val="none" w:sz="0" w:space="0" w:color="auto"/>
      </w:divBdr>
    </w:div>
    <w:div w:id="1863130067">
      <w:bodyDiv w:val="1"/>
      <w:marLeft w:val="0"/>
      <w:marRight w:val="0"/>
      <w:marTop w:val="0"/>
      <w:marBottom w:val="0"/>
      <w:divBdr>
        <w:top w:val="none" w:sz="0" w:space="0" w:color="auto"/>
        <w:left w:val="none" w:sz="0" w:space="0" w:color="auto"/>
        <w:bottom w:val="none" w:sz="0" w:space="0" w:color="auto"/>
        <w:right w:val="none" w:sz="0" w:space="0" w:color="auto"/>
      </w:divBdr>
    </w:div>
    <w:div w:id="1866551691">
      <w:bodyDiv w:val="1"/>
      <w:marLeft w:val="0"/>
      <w:marRight w:val="0"/>
      <w:marTop w:val="0"/>
      <w:marBottom w:val="0"/>
      <w:divBdr>
        <w:top w:val="none" w:sz="0" w:space="0" w:color="auto"/>
        <w:left w:val="none" w:sz="0" w:space="0" w:color="auto"/>
        <w:bottom w:val="none" w:sz="0" w:space="0" w:color="auto"/>
        <w:right w:val="none" w:sz="0" w:space="0" w:color="auto"/>
      </w:divBdr>
    </w:div>
    <w:div w:id="1868105293">
      <w:bodyDiv w:val="1"/>
      <w:marLeft w:val="0"/>
      <w:marRight w:val="0"/>
      <w:marTop w:val="0"/>
      <w:marBottom w:val="0"/>
      <w:divBdr>
        <w:top w:val="none" w:sz="0" w:space="0" w:color="auto"/>
        <w:left w:val="none" w:sz="0" w:space="0" w:color="auto"/>
        <w:bottom w:val="none" w:sz="0" w:space="0" w:color="auto"/>
        <w:right w:val="none" w:sz="0" w:space="0" w:color="auto"/>
      </w:divBdr>
    </w:div>
    <w:div w:id="1893081337">
      <w:bodyDiv w:val="1"/>
      <w:marLeft w:val="0"/>
      <w:marRight w:val="0"/>
      <w:marTop w:val="0"/>
      <w:marBottom w:val="0"/>
      <w:divBdr>
        <w:top w:val="none" w:sz="0" w:space="0" w:color="auto"/>
        <w:left w:val="none" w:sz="0" w:space="0" w:color="auto"/>
        <w:bottom w:val="none" w:sz="0" w:space="0" w:color="auto"/>
        <w:right w:val="none" w:sz="0" w:space="0" w:color="auto"/>
      </w:divBdr>
    </w:div>
    <w:div w:id="1902206668">
      <w:bodyDiv w:val="1"/>
      <w:marLeft w:val="0"/>
      <w:marRight w:val="0"/>
      <w:marTop w:val="0"/>
      <w:marBottom w:val="0"/>
      <w:divBdr>
        <w:top w:val="none" w:sz="0" w:space="0" w:color="auto"/>
        <w:left w:val="none" w:sz="0" w:space="0" w:color="auto"/>
        <w:bottom w:val="none" w:sz="0" w:space="0" w:color="auto"/>
        <w:right w:val="none" w:sz="0" w:space="0" w:color="auto"/>
      </w:divBdr>
    </w:div>
    <w:div w:id="1903757421">
      <w:bodyDiv w:val="1"/>
      <w:marLeft w:val="0"/>
      <w:marRight w:val="0"/>
      <w:marTop w:val="0"/>
      <w:marBottom w:val="0"/>
      <w:divBdr>
        <w:top w:val="none" w:sz="0" w:space="0" w:color="auto"/>
        <w:left w:val="none" w:sz="0" w:space="0" w:color="auto"/>
        <w:bottom w:val="none" w:sz="0" w:space="0" w:color="auto"/>
        <w:right w:val="none" w:sz="0" w:space="0" w:color="auto"/>
      </w:divBdr>
    </w:div>
    <w:div w:id="1907104049">
      <w:bodyDiv w:val="1"/>
      <w:marLeft w:val="0"/>
      <w:marRight w:val="0"/>
      <w:marTop w:val="0"/>
      <w:marBottom w:val="0"/>
      <w:divBdr>
        <w:top w:val="none" w:sz="0" w:space="0" w:color="auto"/>
        <w:left w:val="none" w:sz="0" w:space="0" w:color="auto"/>
        <w:bottom w:val="none" w:sz="0" w:space="0" w:color="auto"/>
        <w:right w:val="none" w:sz="0" w:space="0" w:color="auto"/>
      </w:divBdr>
    </w:div>
    <w:div w:id="1907714838">
      <w:bodyDiv w:val="1"/>
      <w:marLeft w:val="0"/>
      <w:marRight w:val="0"/>
      <w:marTop w:val="0"/>
      <w:marBottom w:val="0"/>
      <w:divBdr>
        <w:top w:val="none" w:sz="0" w:space="0" w:color="auto"/>
        <w:left w:val="none" w:sz="0" w:space="0" w:color="auto"/>
        <w:bottom w:val="none" w:sz="0" w:space="0" w:color="auto"/>
        <w:right w:val="none" w:sz="0" w:space="0" w:color="auto"/>
      </w:divBdr>
    </w:div>
    <w:div w:id="1908607716">
      <w:bodyDiv w:val="1"/>
      <w:marLeft w:val="0"/>
      <w:marRight w:val="0"/>
      <w:marTop w:val="0"/>
      <w:marBottom w:val="0"/>
      <w:divBdr>
        <w:top w:val="none" w:sz="0" w:space="0" w:color="auto"/>
        <w:left w:val="none" w:sz="0" w:space="0" w:color="auto"/>
        <w:bottom w:val="none" w:sz="0" w:space="0" w:color="auto"/>
        <w:right w:val="none" w:sz="0" w:space="0" w:color="auto"/>
      </w:divBdr>
    </w:div>
    <w:div w:id="1910074789">
      <w:bodyDiv w:val="1"/>
      <w:marLeft w:val="0"/>
      <w:marRight w:val="0"/>
      <w:marTop w:val="0"/>
      <w:marBottom w:val="0"/>
      <w:divBdr>
        <w:top w:val="none" w:sz="0" w:space="0" w:color="auto"/>
        <w:left w:val="none" w:sz="0" w:space="0" w:color="auto"/>
        <w:bottom w:val="none" w:sz="0" w:space="0" w:color="auto"/>
        <w:right w:val="none" w:sz="0" w:space="0" w:color="auto"/>
      </w:divBdr>
    </w:div>
    <w:div w:id="1918905223">
      <w:bodyDiv w:val="1"/>
      <w:marLeft w:val="0"/>
      <w:marRight w:val="0"/>
      <w:marTop w:val="0"/>
      <w:marBottom w:val="0"/>
      <w:divBdr>
        <w:top w:val="none" w:sz="0" w:space="0" w:color="auto"/>
        <w:left w:val="none" w:sz="0" w:space="0" w:color="auto"/>
        <w:bottom w:val="none" w:sz="0" w:space="0" w:color="auto"/>
        <w:right w:val="none" w:sz="0" w:space="0" w:color="auto"/>
      </w:divBdr>
    </w:div>
    <w:div w:id="1920140267">
      <w:bodyDiv w:val="1"/>
      <w:marLeft w:val="0"/>
      <w:marRight w:val="0"/>
      <w:marTop w:val="0"/>
      <w:marBottom w:val="0"/>
      <w:divBdr>
        <w:top w:val="none" w:sz="0" w:space="0" w:color="auto"/>
        <w:left w:val="none" w:sz="0" w:space="0" w:color="auto"/>
        <w:bottom w:val="none" w:sz="0" w:space="0" w:color="auto"/>
        <w:right w:val="none" w:sz="0" w:space="0" w:color="auto"/>
      </w:divBdr>
    </w:div>
    <w:div w:id="1958176977">
      <w:bodyDiv w:val="1"/>
      <w:marLeft w:val="0"/>
      <w:marRight w:val="0"/>
      <w:marTop w:val="0"/>
      <w:marBottom w:val="0"/>
      <w:divBdr>
        <w:top w:val="none" w:sz="0" w:space="0" w:color="auto"/>
        <w:left w:val="none" w:sz="0" w:space="0" w:color="auto"/>
        <w:bottom w:val="none" w:sz="0" w:space="0" w:color="auto"/>
        <w:right w:val="none" w:sz="0" w:space="0" w:color="auto"/>
      </w:divBdr>
    </w:div>
    <w:div w:id="1971470748">
      <w:bodyDiv w:val="1"/>
      <w:marLeft w:val="0"/>
      <w:marRight w:val="0"/>
      <w:marTop w:val="0"/>
      <w:marBottom w:val="0"/>
      <w:divBdr>
        <w:top w:val="none" w:sz="0" w:space="0" w:color="auto"/>
        <w:left w:val="none" w:sz="0" w:space="0" w:color="auto"/>
        <w:bottom w:val="none" w:sz="0" w:space="0" w:color="auto"/>
        <w:right w:val="none" w:sz="0" w:space="0" w:color="auto"/>
      </w:divBdr>
    </w:div>
    <w:div w:id="1981500745">
      <w:bodyDiv w:val="1"/>
      <w:marLeft w:val="0"/>
      <w:marRight w:val="0"/>
      <w:marTop w:val="0"/>
      <w:marBottom w:val="0"/>
      <w:divBdr>
        <w:top w:val="none" w:sz="0" w:space="0" w:color="auto"/>
        <w:left w:val="none" w:sz="0" w:space="0" w:color="auto"/>
        <w:bottom w:val="none" w:sz="0" w:space="0" w:color="auto"/>
        <w:right w:val="none" w:sz="0" w:space="0" w:color="auto"/>
      </w:divBdr>
    </w:div>
    <w:div w:id="1993875638">
      <w:bodyDiv w:val="1"/>
      <w:marLeft w:val="0"/>
      <w:marRight w:val="0"/>
      <w:marTop w:val="0"/>
      <w:marBottom w:val="0"/>
      <w:divBdr>
        <w:top w:val="none" w:sz="0" w:space="0" w:color="auto"/>
        <w:left w:val="none" w:sz="0" w:space="0" w:color="auto"/>
        <w:bottom w:val="none" w:sz="0" w:space="0" w:color="auto"/>
        <w:right w:val="none" w:sz="0" w:space="0" w:color="auto"/>
      </w:divBdr>
    </w:div>
    <w:div w:id="2006125195">
      <w:bodyDiv w:val="1"/>
      <w:marLeft w:val="0"/>
      <w:marRight w:val="0"/>
      <w:marTop w:val="0"/>
      <w:marBottom w:val="0"/>
      <w:divBdr>
        <w:top w:val="none" w:sz="0" w:space="0" w:color="auto"/>
        <w:left w:val="none" w:sz="0" w:space="0" w:color="auto"/>
        <w:bottom w:val="none" w:sz="0" w:space="0" w:color="auto"/>
        <w:right w:val="none" w:sz="0" w:space="0" w:color="auto"/>
      </w:divBdr>
    </w:div>
    <w:div w:id="2024162384">
      <w:bodyDiv w:val="1"/>
      <w:marLeft w:val="0"/>
      <w:marRight w:val="0"/>
      <w:marTop w:val="0"/>
      <w:marBottom w:val="0"/>
      <w:divBdr>
        <w:top w:val="none" w:sz="0" w:space="0" w:color="auto"/>
        <w:left w:val="none" w:sz="0" w:space="0" w:color="auto"/>
        <w:bottom w:val="none" w:sz="0" w:space="0" w:color="auto"/>
        <w:right w:val="none" w:sz="0" w:space="0" w:color="auto"/>
      </w:divBdr>
    </w:div>
    <w:div w:id="2053915418">
      <w:bodyDiv w:val="1"/>
      <w:marLeft w:val="0"/>
      <w:marRight w:val="0"/>
      <w:marTop w:val="0"/>
      <w:marBottom w:val="0"/>
      <w:divBdr>
        <w:top w:val="none" w:sz="0" w:space="0" w:color="auto"/>
        <w:left w:val="none" w:sz="0" w:space="0" w:color="auto"/>
        <w:bottom w:val="none" w:sz="0" w:space="0" w:color="auto"/>
        <w:right w:val="none" w:sz="0" w:space="0" w:color="auto"/>
      </w:divBdr>
    </w:div>
    <w:div w:id="2057506143">
      <w:bodyDiv w:val="1"/>
      <w:marLeft w:val="0"/>
      <w:marRight w:val="0"/>
      <w:marTop w:val="0"/>
      <w:marBottom w:val="0"/>
      <w:divBdr>
        <w:top w:val="none" w:sz="0" w:space="0" w:color="auto"/>
        <w:left w:val="none" w:sz="0" w:space="0" w:color="auto"/>
        <w:bottom w:val="none" w:sz="0" w:space="0" w:color="auto"/>
        <w:right w:val="none" w:sz="0" w:space="0" w:color="auto"/>
      </w:divBdr>
    </w:div>
    <w:div w:id="2069262818">
      <w:bodyDiv w:val="1"/>
      <w:marLeft w:val="0"/>
      <w:marRight w:val="0"/>
      <w:marTop w:val="0"/>
      <w:marBottom w:val="0"/>
      <w:divBdr>
        <w:top w:val="none" w:sz="0" w:space="0" w:color="auto"/>
        <w:left w:val="none" w:sz="0" w:space="0" w:color="auto"/>
        <w:bottom w:val="none" w:sz="0" w:space="0" w:color="auto"/>
        <w:right w:val="none" w:sz="0" w:space="0" w:color="auto"/>
      </w:divBdr>
    </w:div>
    <w:div w:id="2070641594">
      <w:bodyDiv w:val="1"/>
      <w:marLeft w:val="0"/>
      <w:marRight w:val="0"/>
      <w:marTop w:val="0"/>
      <w:marBottom w:val="0"/>
      <w:divBdr>
        <w:top w:val="none" w:sz="0" w:space="0" w:color="auto"/>
        <w:left w:val="none" w:sz="0" w:space="0" w:color="auto"/>
        <w:bottom w:val="none" w:sz="0" w:space="0" w:color="auto"/>
        <w:right w:val="none" w:sz="0" w:space="0" w:color="auto"/>
      </w:divBdr>
    </w:div>
    <w:div w:id="2086297363">
      <w:bodyDiv w:val="1"/>
      <w:marLeft w:val="0"/>
      <w:marRight w:val="0"/>
      <w:marTop w:val="0"/>
      <w:marBottom w:val="0"/>
      <w:divBdr>
        <w:top w:val="none" w:sz="0" w:space="0" w:color="auto"/>
        <w:left w:val="none" w:sz="0" w:space="0" w:color="auto"/>
        <w:bottom w:val="none" w:sz="0" w:space="0" w:color="auto"/>
        <w:right w:val="none" w:sz="0" w:space="0" w:color="auto"/>
      </w:divBdr>
    </w:div>
    <w:div w:id="2091656594">
      <w:bodyDiv w:val="1"/>
      <w:marLeft w:val="0"/>
      <w:marRight w:val="0"/>
      <w:marTop w:val="0"/>
      <w:marBottom w:val="0"/>
      <w:divBdr>
        <w:top w:val="none" w:sz="0" w:space="0" w:color="auto"/>
        <w:left w:val="none" w:sz="0" w:space="0" w:color="auto"/>
        <w:bottom w:val="none" w:sz="0" w:space="0" w:color="auto"/>
        <w:right w:val="none" w:sz="0" w:space="0" w:color="auto"/>
      </w:divBdr>
    </w:div>
    <w:div w:id="2095935980">
      <w:bodyDiv w:val="1"/>
      <w:marLeft w:val="0"/>
      <w:marRight w:val="0"/>
      <w:marTop w:val="0"/>
      <w:marBottom w:val="0"/>
      <w:divBdr>
        <w:top w:val="none" w:sz="0" w:space="0" w:color="auto"/>
        <w:left w:val="none" w:sz="0" w:space="0" w:color="auto"/>
        <w:bottom w:val="none" w:sz="0" w:space="0" w:color="auto"/>
        <w:right w:val="none" w:sz="0" w:space="0" w:color="auto"/>
      </w:divBdr>
    </w:div>
    <w:div w:id="21048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san%20Esmat\Desktop\Copy%20of%20A-template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UNEP/OzL.Pro/ExCom/83/27/Rev.1</Document_x0020_Number>
    <DocumentType xmlns="48d2d36d-b4e3-478b-a344-cdbeebaca89a">Pre-session</DocumentType>
  </documentManagement>
</p:properties>
</file>

<file path=customXml/itemProps1.xml><?xml version="1.0" encoding="utf-8"?>
<ds:datastoreItem xmlns:ds="http://schemas.openxmlformats.org/officeDocument/2006/customXml" ds:itemID="{CB035622-E0EC-4DA5-ACC6-4905A54F2057}"/>
</file>

<file path=customXml/itemProps2.xml><?xml version="1.0" encoding="utf-8"?>
<ds:datastoreItem xmlns:ds="http://schemas.openxmlformats.org/officeDocument/2006/customXml" ds:itemID="{7943D896-C82F-4D59-ACDC-6B502DFC40EF}"/>
</file>

<file path=customXml/itemProps3.xml><?xml version="1.0" encoding="utf-8"?>
<ds:datastoreItem xmlns:ds="http://schemas.openxmlformats.org/officeDocument/2006/customXml" ds:itemID="{84EFF466-9BCC-4E23-93E5-DD9135D19DC2}"/>
</file>

<file path=customXml/itemProps4.xml><?xml version="1.0" encoding="utf-8"?>
<ds:datastoreItem xmlns:ds="http://schemas.openxmlformats.org/officeDocument/2006/customXml" ds:itemID="{E89BD931-6992-443C-939E-66751120F63D}"/>
</file>

<file path=docProps/app.xml><?xml version="1.0" encoding="utf-8"?>
<Properties xmlns="http://schemas.openxmlformats.org/officeDocument/2006/extended-properties" xmlns:vt="http://schemas.openxmlformats.org/officeDocument/2006/docPropsVTypes">
  <Template>Copy of A-template61</Template>
  <TotalTime>305</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مقترح مشروع: غابون (مراجعة)</vt:lpstr>
    </vt:vector>
  </TitlesOfParts>
  <Company>UNMFS</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غابون - مراجعة </dc:title>
  <dc:creator>UNMFS</dc:creator>
  <cp:lastModifiedBy>HBE</cp:lastModifiedBy>
  <cp:revision>70</cp:revision>
  <cp:lastPrinted>2019-05-22T20:37:00Z</cp:lastPrinted>
  <dcterms:created xsi:type="dcterms:W3CDTF">2019-05-16T06:43:00Z</dcterms:created>
  <dcterms:modified xsi:type="dcterms:W3CDTF">2019-05-24T20:18:00Z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UNEP/OzL.Pro/ExCom/83/27/Rev.1</vt:lpwstr>
  </property>
  <property fmtid="{D5CDD505-2E9C-101B-9397-08002B2CF9AE}" pid="3" name="Revision date">
    <vt:lpwstr>5/15/2019</vt:lpwstr>
  </property>
  <property fmtid="{D5CDD505-2E9C-101B-9397-08002B2CF9AE}" pid="4" name="ContentTypeId">
    <vt:lpwstr>0x01010033ECB1EDD0319C4599A58600013659D4</vt:lpwstr>
  </property>
</Properties>
</file>