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44288C" w:rsidTr="0047533D">
        <w:trPr>
          <w:trHeight w:val="720"/>
        </w:trPr>
        <w:tc>
          <w:tcPr>
            <w:tcW w:w="5490" w:type="dxa"/>
            <w:gridSpan w:val="2"/>
            <w:tcBorders>
              <w:bottom w:val="single" w:sz="18" w:space="0" w:color="auto"/>
            </w:tcBorders>
          </w:tcPr>
          <w:p w:rsidR="00C15867" w:rsidRPr="0044288C" w:rsidRDefault="00C15867" w:rsidP="0047533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44288C">
              <w:rPr>
                <w:rFonts w:ascii="Univers" w:hAnsi="Univers"/>
                <w:b/>
                <w:sz w:val="28"/>
                <w:szCs w:val="28"/>
                <w:lang w:val="en-CA"/>
              </w:rPr>
              <w:t>UNITED</w:t>
            </w:r>
            <w:r w:rsidRPr="0044288C">
              <w:rPr>
                <w:rFonts w:ascii="Univers" w:hAnsi="Univers"/>
                <w:b/>
                <w:sz w:val="28"/>
                <w:szCs w:val="28"/>
                <w:lang w:val="en-CA"/>
              </w:rPr>
              <w:br/>
              <w:t>NATIONS</w:t>
            </w:r>
          </w:p>
        </w:tc>
        <w:tc>
          <w:tcPr>
            <w:tcW w:w="4590" w:type="dxa"/>
            <w:tcBorders>
              <w:bottom w:val="single" w:sz="18" w:space="0" w:color="auto"/>
            </w:tcBorders>
          </w:tcPr>
          <w:p w:rsidR="00C15867" w:rsidRPr="0044288C" w:rsidRDefault="00C15867" w:rsidP="0047533D">
            <w:pPr>
              <w:jc w:val="right"/>
              <w:rPr>
                <w:sz w:val="52"/>
                <w:szCs w:val="52"/>
                <w:lang w:val="en-CA"/>
              </w:rPr>
            </w:pPr>
            <w:r w:rsidRPr="0044288C">
              <w:rPr>
                <w:rFonts w:ascii="Univers Bold" w:hAnsi="Univers Bold"/>
                <w:b/>
                <w:sz w:val="72"/>
                <w:lang w:val="en-CA"/>
              </w:rPr>
              <w:t>EP</w:t>
            </w:r>
          </w:p>
        </w:tc>
      </w:tr>
      <w:tr w:rsidR="00C15867" w:rsidRPr="0044288C" w:rsidTr="004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44288C" w:rsidRDefault="00011061" w:rsidP="0047533D">
            <w:pPr>
              <w:spacing w:before="120"/>
              <w:rPr>
                <w:lang w:val="en-CA"/>
              </w:rPr>
            </w:pPr>
            <w:r w:rsidRPr="0044288C">
              <w:rPr>
                <w:noProof/>
                <w:lang w:val="en-CA" w:eastAsia="en-CA"/>
              </w:rPr>
              <w:drawing>
                <wp:anchor distT="0" distB="0" distL="114300" distR="114300" simplePos="0" relativeHeight="251660288" behindDoc="0" locked="0" layoutInCell="1" allowOverlap="1" wp14:anchorId="768225B0" wp14:editId="79ECBEDB">
                  <wp:simplePos x="0" y="0"/>
                  <wp:positionH relativeFrom="column">
                    <wp:posOffset>-27233</wp:posOffset>
                  </wp:positionH>
                  <wp:positionV relativeFrom="paragraph">
                    <wp:posOffset>840740</wp:posOffset>
                  </wp:positionV>
                  <wp:extent cx="880110" cy="775970"/>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5970"/>
                          </a:xfrm>
                          <a:prstGeom prst="rect">
                            <a:avLst/>
                          </a:prstGeom>
                          <a:noFill/>
                        </pic:spPr>
                      </pic:pic>
                    </a:graphicData>
                  </a:graphic>
                  <wp14:sizeRelH relativeFrom="margin">
                    <wp14:pctWidth>0</wp14:pctWidth>
                  </wp14:sizeRelH>
                  <wp14:sizeRelV relativeFrom="margin">
                    <wp14:pctHeight>0</wp14:pctHeight>
                  </wp14:sizeRelV>
                </wp:anchor>
              </w:drawing>
            </w:r>
            <w:r w:rsidRPr="0044288C">
              <w:rPr>
                <w:noProof/>
                <w:lang w:val="en-CA" w:eastAsia="en-CA"/>
              </w:rPr>
              <w:drawing>
                <wp:anchor distT="0" distB="0" distL="114300" distR="114300" simplePos="0" relativeHeight="251661312" behindDoc="1" locked="0" layoutInCell="0" allowOverlap="1" wp14:anchorId="57C2E3A0" wp14:editId="6AA34558">
                  <wp:simplePos x="0" y="0"/>
                  <wp:positionH relativeFrom="column">
                    <wp:posOffset>0</wp:posOffset>
                  </wp:positionH>
                  <wp:positionV relativeFrom="paragraph">
                    <wp:posOffset>70413</wp:posOffset>
                  </wp:positionV>
                  <wp:extent cx="82296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44288C" w:rsidRDefault="00C15867" w:rsidP="0047533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44288C">
              <w:rPr>
                <w:rFonts w:ascii="Univers" w:hAnsi="Univers"/>
                <w:b/>
                <w:sz w:val="32"/>
                <w:lang w:val="en-CA"/>
              </w:rPr>
              <w:t>United Nations</w:t>
            </w:r>
          </w:p>
          <w:p w:rsidR="00C15867" w:rsidRPr="0044288C" w:rsidRDefault="00C15867" w:rsidP="0047533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44288C">
              <w:rPr>
                <w:rFonts w:ascii="Univers" w:hAnsi="Univers"/>
                <w:b/>
                <w:sz w:val="32"/>
                <w:lang w:val="en-CA"/>
              </w:rPr>
              <w:t>Environment</w:t>
            </w:r>
          </w:p>
          <w:p w:rsidR="00C15867" w:rsidRPr="0044288C" w:rsidRDefault="00C15867" w:rsidP="0047533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44288C">
              <w:rPr>
                <w:rFonts w:ascii="Univers" w:hAnsi="Univers"/>
                <w:b/>
                <w:sz w:val="32"/>
                <w:lang w:val="en-CA"/>
              </w:rPr>
              <w:t>Programme</w:t>
            </w:r>
          </w:p>
          <w:p w:rsidR="00C15867" w:rsidRPr="0044288C" w:rsidRDefault="00C15867" w:rsidP="0047533D">
            <w:pPr>
              <w:spacing w:before="720"/>
              <w:ind w:left="158"/>
              <w:rPr>
                <w:lang w:val="en-CA"/>
              </w:rPr>
            </w:pPr>
          </w:p>
        </w:tc>
        <w:tc>
          <w:tcPr>
            <w:tcW w:w="4590" w:type="dxa"/>
            <w:tcBorders>
              <w:top w:val="nil"/>
              <w:left w:val="nil"/>
              <w:bottom w:val="single" w:sz="36" w:space="0" w:color="auto"/>
              <w:right w:val="nil"/>
            </w:tcBorders>
          </w:tcPr>
          <w:p w:rsidR="00C15867" w:rsidRPr="0044288C" w:rsidRDefault="00C15867" w:rsidP="0047533D">
            <w:pPr>
              <w:rPr>
                <w:lang w:val="en-CA"/>
              </w:rPr>
            </w:pPr>
            <w:r w:rsidRPr="0044288C">
              <w:rPr>
                <w:lang w:val="en-CA"/>
              </w:rPr>
              <w:t>Distr.</w:t>
            </w:r>
          </w:p>
          <w:p w:rsidR="00923540" w:rsidRPr="0044288C" w:rsidRDefault="00923540" w:rsidP="00923540">
            <w:pPr>
              <w:rPr>
                <w:lang w:val="en-CA"/>
              </w:rPr>
            </w:pPr>
            <w:r w:rsidRPr="0044288C">
              <w:rPr>
                <w:lang w:val="en-CA"/>
              </w:rPr>
              <w:t>GENERAL</w:t>
            </w:r>
          </w:p>
          <w:p w:rsidR="00C15867" w:rsidRPr="0044288C" w:rsidRDefault="00C15867" w:rsidP="0047533D">
            <w:pPr>
              <w:rPr>
                <w:lang w:val="en-CA"/>
              </w:rPr>
            </w:pPr>
          </w:p>
          <w:p w:rsidR="00C15867" w:rsidRPr="0044288C" w:rsidRDefault="00C15867" w:rsidP="0047533D">
            <w:pPr>
              <w:rPr>
                <w:lang w:val="en-CA"/>
              </w:rPr>
            </w:pPr>
          </w:p>
          <w:p w:rsidR="00C15867" w:rsidRPr="0044288C" w:rsidRDefault="001804EA" w:rsidP="0047533D">
            <w:pPr>
              <w:rPr>
                <w:lang w:val="en-CA"/>
              </w:rPr>
            </w:pPr>
            <w:r w:rsidRPr="0044288C">
              <w:rPr>
                <w:lang w:val="en-CA"/>
              </w:rPr>
              <w:fldChar w:fldCharType="begin"/>
            </w:r>
            <w:r w:rsidRPr="0044288C">
              <w:rPr>
                <w:lang w:val="en-CA"/>
              </w:rPr>
              <w:instrText xml:space="preserve"> DOCPROPERTY "Document number"  \* MERGEFORMAT </w:instrText>
            </w:r>
            <w:r w:rsidRPr="0044288C">
              <w:rPr>
                <w:lang w:val="en-CA"/>
              </w:rPr>
              <w:fldChar w:fldCharType="separate"/>
            </w:r>
            <w:r w:rsidR="00A67988" w:rsidRPr="0044288C">
              <w:rPr>
                <w:lang w:val="en-CA"/>
              </w:rPr>
              <w:t>UNEP/OzL.Pro/ExCom/82/68/Corr.1</w:t>
            </w:r>
            <w:r w:rsidRPr="0044288C">
              <w:rPr>
                <w:lang w:val="en-CA"/>
              </w:rPr>
              <w:fldChar w:fldCharType="end"/>
            </w:r>
          </w:p>
          <w:p w:rsidR="00C15867" w:rsidRPr="0044288C" w:rsidRDefault="00BC2495" w:rsidP="0047533D">
            <w:pPr>
              <w:rPr>
                <w:lang w:val="en-CA"/>
              </w:rPr>
            </w:pPr>
            <w:r w:rsidRPr="0044288C">
              <w:rPr>
                <w:lang w:val="en-CA"/>
              </w:rPr>
              <w:fldChar w:fldCharType="begin"/>
            </w:r>
            <w:r w:rsidR="00851352" w:rsidRPr="0044288C">
              <w:rPr>
                <w:lang w:val="en-CA"/>
              </w:rPr>
              <w:instrText xml:space="preserve"> DOCPROPERTY "Revision date" \@ "d MMMM YYYY"  \* MERGEFORMAT </w:instrText>
            </w:r>
            <w:r w:rsidRPr="0044288C">
              <w:rPr>
                <w:lang w:val="en-CA"/>
              </w:rPr>
              <w:fldChar w:fldCharType="separate"/>
            </w:r>
            <w:r w:rsidR="00A67988" w:rsidRPr="0044288C">
              <w:rPr>
                <w:lang w:val="en-CA"/>
              </w:rPr>
              <w:t>23 November 2018</w:t>
            </w:r>
            <w:r w:rsidRPr="0044288C">
              <w:rPr>
                <w:lang w:val="en-CA"/>
              </w:rPr>
              <w:fldChar w:fldCharType="end"/>
            </w:r>
          </w:p>
          <w:p w:rsidR="00C15867" w:rsidRPr="0044288C" w:rsidRDefault="00C15867" w:rsidP="0047533D">
            <w:pPr>
              <w:rPr>
                <w:caps/>
                <w:lang w:val="en-CA"/>
              </w:rPr>
            </w:pPr>
          </w:p>
          <w:p w:rsidR="00C15867" w:rsidRPr="0044288C" w:rsidRDefault="00C15867" w:rsidP="0047533D">
            <w:pPr>
              <w:rPr>
                <w:lang w:val="en-CA"/>
              </w:rPr>
            </w:pPr>
            <w:r w:rsidRPr="0044288C">
              <w:rPr>
                <w:lang w:val="en-CA"/>
              </w:rPr>
              <w:t>ORIGINAL: ENGLISH</w:t>
            </w:r>
          </w:p>
        </w:tc>
      </w:tr>
    </w:tbl>
    <w:p w:rsidR="009E196C" w:rsidRPr="0044288C" w:rsidRDefault="00C15867" w:rsidP="009E196C">
      <w:pPr>
        <w:jc w:val="left"/>
        <w:rPr>
          <w:lang w:val="en-CA"/>
        </w:rPr>
      </w:pPr>
      <w:r w:rsidRPr="0044288C">
        <w:rPr>
          <w:lang w:val="en-CA"/>
        </w:rPr>
        <w:t>EXECUTIVE COMMITTEE OF</w:t>
      </w:r>
      <w:r w:rsidRPr="0044288C">
        <w:rPr>
          <w:lang w:val="en-CA"/>
        </w:rPr>
        <w:br/>
        <w:t xml:space="preserve">  THE MULTILATERAL FUND FOR THE</w:t>
      </w:r>
      <w:r w:rsidRPr="0044288C">
        <w:rPr>
          <w:lang w:val="en-CA"/>
        </w:rPr>
        <w:br/>
        <w:t xml:space="preserve">  IMPLEMENTATION OF THE MONTREAL PROTOCOL</w:t>
      </w:r>
      <w:r w:rsidRPr="0044288C">
        <w:rPr>
          <w:lang w:val="en-CA"/>
        </w:rPr>
        <w:br/>
      </w:r>
      <w:r w:rsidR="009E196C" w:rsidRPr="0044288C">
        <w:rPr>
          <w:lang w:val="en-CA"/>
        </w:rPr>
        <w:t>Eighty-</w:t>
      </w:r>
      <w:r w:rsidR="00533796" w:rsidRPr="0044288C">
        <w:rPr>
          <w:lang w:val="en-CA"/>
        </w:rPr>
        <w:t>second</w:t>
      </w:r>
      <w:r w:rsidR="009E196C" w:rsidRPr="0044288C">
        <w:rPr>
          <w:lang w:val="en-CA"/>
        </w:rPr>
        <w:t xml:space="preserve"> Meeting</w:t>
      </w:r>
    </w:p>
    <w:p w:rsidR="009E196C" w:rsidRPr="0044288C" w:rsidRDefault="009E196C" w:rsidP="009E196C">
      <w:pPr>
        <w:jc w:val="left"/>
        <w:rPr>
          <w:lang w:val="en-CA"/>
        </w:rPr>
      </w:pPr>
      <w:r w:rsidRPr="0044288C">
        <w:rPr>
          <w:lang w:val="en-CA"/>
        </w:rPr>
        <w:t xml:space="preserve">Montreal, </w:t>
      </w:r>
      <w:r w:rsidR="00533796" w:rsidRPr="0044288C">
        <w:rPr>
          <w:lang w:val="en-CA"/>
        </w:rPr>
        <w:t>3</w:t>
      </w:r>
      <w:r w:rsidRPr="0044288C">
        <w:rPr>
          <w:lang w:val="en-CA"/>
        </w:rPr>
        <w:t>-</w:t>
      </w:r>
      <w:r w:rsidR="00533796" w:rsidRPr="0044288C">
        <w:rPr>
          <w:lang w:val="en-CA"/>
        </w:rPr>
        <w:t>7</w:t>
      </w:r>
      <w:r w:rsidRPr="0044288C">
        <w:rPr>
          <w:lang w:val="en-CA"/>
        </w:rPr>
        <w:t xml:space="preserve"> </w:t>
      </w:r>
      <w:r w:rsidR="00533796" w:rsidRPr="0044288C">
        <w:rPr>
          <w:lang w:val="en-CA"/>
        </w:rPr>
        <w:t>December</w:t>
      </w:r>
      <w:r w:rsidRPr="0044288C">
        <w:rPr>
          <w:lang w:val="en-CA"/>
        </w:rPr>
        <w:t xml:space="preserve"> 2018</w:t>
      </w:r>
    </w:p>
    <w:p w:rsidR="00C15867" w:rsidRPr="0044288C" w:rsidRDefault="00C15867" w:rsidP="009960E5">
      <w:pPr>
        <w:jc w:val="left"/>
        <w:rPr>
          <w:lang w:val="en-CA"/>
        </w:rPr>
      </w:pPr>
    </w:p>
    <w:p w:rsidR="00A67988" w:rsidRDefault="00A67988" w:rsidP="009960E5">
      <w:pPr>
        <w:jc w:val="left"/>
        <w:rPr>
          <w:lang w:val="en-CA"/>
        </w:rPr>
      </w:pPr>
    </w:p>
    <w:p w:rsidR="00F0695F" w:rsidRPr="0044288C" w:rsidRDefault="00F0695F" w:rsidP="009960E5">
      <w:pPr>
        <w:jc w:val="left"/>
        <w:rPr>
          <w:lang w:val="en-CA"/>
        </w:rPr>
      </w:pPr>
    </w:p>
    <w:p w:rsidR="00D7598F" w:rsidRPr="0044288C" w:rsidRDefault="00D7598F" w:rsidP="00D7598F">
      <w:pPr>
        <w:jc w:val="center"/>
        <w:rPr>
          <w:b/>
          <w:lang w:val="en-CA"/>
        </w:rPr>
      </w:pPr>
      <w:r w:rsidRPr="0044288C">
        <w:rPr>
          <w:b/>
          <w:lang w:val="en-CA"/>
        </w:rPr>
        <w:t>Corrigendum</w:t>
      </w:r>
    </w:p>
    <w:p w:rsidR="00D7598F" w:rsidRPr="0044288C" w:rsidRDefault="00D7598F" w:rsidP="00D7598F">
      <w:pPr>
        <w:rPr>
          <w:lang w:val="en-CA"/>
        </w:rPr>
      </w:pPr>
    </w:p>
    <w:p w:rsidR="00D7598F" w:rsidRPr="0044288C" w:rsidRDefault="00D7598F" w:rsidP="00D7598F">
      <w:pPr>
        <w:jc w:val="center"/>
        <w:rPr>
          <w:b/>
          <w:caps/>
          <w:lang w:val="en-CA"/>
        </w:rPr>
      </w:pPr>
      <w:r w:rsidRPr="0044288C">
        <w:rPr>
          <w:b/>
          <w:caps/>
          <w:lang w:val="en-CA"/>
        </w:rPr>
        <w:t>cost-effective options for controLling HFC-23 by-product Emissions</w:t>
      </w:r>
    </w:p>
    <w:p w:rsidR="00D7598F" w:rsidRPr="0044288C" w:rsidRDefault="00D7598F" w:rsidP="00D7598F">
      <w:pPr>
        <w:jc w:val="center"/>
        <w:rPr>
          <w:b/>
          <w:lang w:val="en-CA"/>
        </w:rPr>
      </w:pPr>
      <w:r w:rsidRPr="0044288C">
        <w:rPr>
          <w:b/>
          <w:caps/>
          <w:lang w:val="en-CA"/>
        </w:rPr>
        <w:t>(</w:t>
      </w:r>
      <w:r w:rsidRPr="0044288C">
        <w:rPr>
          <w:b/>
          <w:lang w:val="en-CA"/>
        </w:rPr>
        <w:t>DECISION 81/68(e))</w:t>
      </w:r>
    </w:p>
    <w:p w:rsidR="00D7598F" w:rsidRPr="0044288C" w:rsidRDefault="00D7598F" w:rsidP="00D7598F">
      <w:pPr>
        <w:jc w:val="center"/>
        <w:rPr>
          <w:b/>
          <w:lang w:val="en-CA"/>
        </w:rPr>
      </w:pPr>
    </w:p>
    <w:p w:rsidR="00D7598F" w:rsidRPr="0044288C" w:rsidRDefault="00D7598F" w:rsidP="00D7598F">
      <w:pPr>
        <w:rPr>
          <w:lang w:val="en-CA"/>
        </w:rPr>
      </w:pPr>
      <w:r w:rsidRPr="0044288C">
        <w:rPr>
          <w:lang w:val="en-CA"/>
        </w:rPr>
        <w:t>This document is being issued to:</w:t>
      </w:r>
    </w:p>
    <w:p w:rsidR="00D7598F" w:rsidRPr="0044288C" w:rsidRDefault="00D7598F" w:rsidP="00D7598F">
      <w:pPr>
        <w:rPr>
          <w:lang w:val="en-CA"/>
        </w:rPr>
      </w:pPr>
    </w:p>
    <w:p w:rsidR="00F0695F" w:rsidRDefault="00F0695F" w:rsidP="00D7598F">
      <w:pPr>
        <w:pStyle w:val="ListParagraph"/>
        <w:numPr>
          <w:ilvl w:val="0"/>
          <w:numId w:val="22"/>
        </w:numPr>
        <w:rPr>
          <w:lang w:val="en-CA"/>
        </w:rPr>
      </w:pPr>
      <w:r w:rsidRPr="00F0695F">
        <w:rPr>
          <w:b/>
          <w:lang w:val="en-CA"/>
        </w:rPr>
        <w:t>Replace</w:t>
      </w:r>
      <w:r>
        <w:rPr>
          <w:lang w:val="en-CA"/>
        </w:rPr>
        <w:t xml:space="preserve"> “895,459” </w:t>
      </w:r>
      <w:r w:rsidRPr="00F0695F">
        <w:rPr>
          <w:b/>
          <w:lang w:val="en-CA"/>
        </w:rPr>
        <w:t>with</w:t>
      </w:r>
      <w:r>
        <w:rPr>
          <w:lang w:val="en-CA"/>
        </w:rPr>
        <w:t xml:space="preserve"> “947,132” in paragraph 9</w:t>
      </w:r>
    </w:p>
    <w:p w:rsidR="00F0695F" w:rsidRPr="00F0695F" w:rsidRDefault="00F0695F" w:rsidP="00F0695F">
      <w:pPr>
        <w:pStyle w:val="ListParagraph"/>
        <w:rPr>
          <w:lang w:val="en-CA"/>
        </w:rPr>
      </w:pPr>
    </w:p>
    <w:p w:rsidR="00D7598F" w:rsidRDefault="00D7598F" w:rsidP="00D7598F">
      <w:pPr>
        <w:pStyle w:val="ListParagraph"/>
        <w:numPr>
          <w:ilvl w:val="0"/>
          <w:numId w:val="22"/>
        </w:numPr>
        <w:rPr>
          <w:lang w:val="en-CA"/>
        </w:rPr>
      </w:pPr>
      <w:r w:rsidRPr="0044288C">
        <w:rPr>
          <w:b/>
          <w:lang w:val="en-CA"/>
        </w:rPr>
        <w:t>Replace</w:t>
      </w:r>
      <w:r w:rsidRPr="0044288C">
        <w:rPr>
          <w:lang w:val="en-CA"/>
        </w:rPr>
        <w:t xml:space="preserve"> </w:t>
      </w:r>
      <w:r w:rsidR="00F0695F">
        <w:rPr>
          <w:lang w:val="en-CA"/>
        </w:rPr>
        <w:t xml:space="preserve">“593,047**” </w:t>
      </w:r>
      <w:r w:rsidR="004D6488" w:rsidRPr="004D6488">
        <w:rPr>
          <w:b/>
          <w:lang w:val="en-CA"/>
        </w:rPr>
        <w:t>with</w:t>
      </w:r>
      <w:r w:rsidR="004D6488">
        <w:rPr>
          <w:lang w:val="en-CA"/>
        </w:rPr>
        <w:t xml:space="preserve"> “</w:t>
      </w:r>
      <w:bookmarkStart w:id="0" w:name="_GoBack"/>
      <w:bookmarkEnd w:id="0"/>
      <w:r w:rsidR="004D6488">
        <w:rPr>
          <w:lang w:val="en-CA"/>
        </w:rPr>
        <w:t xml:space="preserve">644,721”; “673,656” </w:t>
      </w:r>
      <w:r w:rsidR="004D6488" w:rsidRPr="004D6488">
        <w:rPr>
          <w:b/>
          <w:lang w:val="en-CA"/>
        </w:rPr>
        <w:t>with</w:t>
      </w:r>
      <w:r w:rsidR="004D6488">
        <w:rPr>
          <w:lang w:val="en-CA"/>
        </w:rPr>
        <w:t xml:space="preserve"> “725,329” and “895,459”</w:t>
      </w:r>
      <w:r w:rsidR="00F0695F">
        <w:rPr>
          <w:lang w:val="en-CA"/>
        </w:rPr>
        <w:t xml:space="preserve"> </w:t>
      </w:r>
      <w:r w:rsidR="00F0695F" w:rsidRPr="00F0695F">
        <w:rPr>
          <w:b/>
          <w:lang w:val="en-CA"/>
        </w:rPr>
        <w:t>with</w:t>
      </w:r>
      <w:r w:rsidR="004D6488">
        <w:rPr>
          <w:lang w:val="en-CA"/>
        </w:rPr>
        <w:t xml:space="preserve"> “947,132” </w:t>
      </w:r>
      <w:r w:rsidR="00F0695F">
        <w:rPr>
          <w:lang w:val="en-CA"/>
        </w:rPr>
        <w:t xml:space="preserve">under the “2017” column </w:t>
      </w:r>
      <w:r w:rsidR="004D6488">
        <w:rPr>
          <w:lang w:val="en-CA"/>
        </w:rPr>
        <w:t>in Table 1</w:t>
      </w:r>
    </w:p>
    <w:p w:rsidR="004D6488" w:rsidRDefault="004D6488" w:rsidP="004D6488">
      <w:pPr>
        <w:pStyle w:val="ListParagraph"/>
        <w:rPr>
          <w:lang w:val="en-CA"/>
        </w:rPr>
      </w:pPr>
    </w:p>
    <w:p w:rsidR="004D6488" w:rsidRDefault="004D6488" w:rsidP="00D7598F">
      <w:pPr>
        <w:pStyle w:val="ListParagraph"/>
        <w:numPr>
          <w:ilvl w:val="0"/>
          <w:numId w:val="22"/>
        </w:numPr>
        <w:rPr>
          <w:lang w:val="en-CA"/>
        </w:rPr>
      </w:pPr>
      <w:r w:rsidRPr="004D6488">
        <w:rPr>
          <w:b/>
          <w:lang w:val="en-CA"/>
        </w:rPr>
        <w:t>Remove</w:t>
      </w:r>
      <w:r>
        <w:rPr>
          <w:lang w:val="en-CA"/>
        </w:rPr>
        <w:t xml:space="preserve"> the second footnote to Table 1</w:t>
      </w:r>
    </w:p>
    <w:p w:rsidR="004D6488" w:rsidRPr="004D6488" w:rsidRDefault="004D6488" w:rsidP="004D6488">
      <w:pPr>
        <w:rPr>
          <w:lang w:val="en-CA"/>
        </w:rPr>
      </w:pPr>
    </w:p>
    <w:p w:rsidR="00D2442A" w:rsidRPr="0044288C" w:rsidRDefault="00D2442A" w:rsidP="00A67988">
      <w:pPr>
        <w:pStyle w:val="ListParagraph"/>
        <w:keepNext/>
        <w:keepLines/>
        <w:numPr>
          <w:ilvl w:val="0"/>
          <w:numId w:val="22"/>
        </w:numPr>
        <w:rPr>
          <w:lang w:val="en-CA"/>
        </w:rPr>
      </w:pPr>
      <w:r w:rsidRPr="0044288C">
        <w:rPr>
          <w:b/>
          <w:lang w:val="en-CA"/>
        </w:rPr>
        <w:t>Replace</w:t>
      </w:r>
      <w:r w:rsidRPr="0044288C">
        <w:rPr>
          <w:lang w:val="en-CA"/>
        </w:rPr>
        <w:t xml:space="preserve"> </w:t>
      </w:r>
      <w:r w:rsidR="004D6488">
        <w:rPr>
          <w:lang w:val="en-CA"/>
        </w:rPr>
        <w:t>three rows in Table 2</w:t>
      </w:r>
      <w:r w:rsidR="00F0695F">
        <w:rPr>
          <w:lang w:val="en-CA"/>
        </w:rPr>
        <w:t xml:space="preserve"> and</w:t>
      </w:r>
      <w:r w:rsidR="000B1594">
        <w:rPr>
          <w:lang w:val="en-CA"/>
        </w:rPr>
        <w:t xml:space="preserve"> footnote “d”,</w:t>
      </w:r>
      <w:r w:rsidR="004D6488">
        <w:rPr>
          <w:lang w:val="en-CA"/>
        </w:rPr>
        <w:t xml:space="preserve"> and </w:t>
      </w:r>
      <w:r w:rsidR="004D6488" w:rsidRPr="004D6488">
        <w:rPr>
          <w:b/>
          <w:lang w:val="en-CA"/>
        </w:rPr>
        <w:t>add</w:t>
      </w:r>
      <w:r w:rsidR="004D6488">
        <w:rPr>
          <w:lang w:val="en-CA"/>
        </w:rPr>
        <w:t xml:space="preserve"> footnote “e”</w:t>
      </w:r>
      <w:r w:rsidR="00F0695F">
        <w:rPr>
          <w:lang w:val="en-CA"/>
        </w:rPr>
        <w:t>,</w:t>
      </w:r>
      <w:r w:rsidR="000B1594">
        <w:rPr>
          <w:lang w:val="en-CA"/>
        </w:rPr>
        <w:t xml:space="preserve"> as follows</w:t>
      </w:r>
      <w:r w:rsidRPr="0044288C">
        <w:rPr>
          <w:lang w:val="en-CA"/>
        </w:rPr>
        <w:t>:</w:t>
      </w:r>
    </w:p>
    <w:p w:rsidR="004A7E11" w:rsidRPr="0044288C" w:rsidRDefault="004A7E11" w:rsidP="00A67988">
      <w:pPr>
        <w:keepNext/>
        <w:keepLines/>
        <w:rPr>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744"/>
        <w:gridCol w:w="1032"/>
        <w:gridCol w:w="1049"/>
        <w:gridCol w:w="1051"/>
        <w:gridCol w:w="1051"/>
        <w:gridCol w:w="1049"/>
        <w:gridCol w:w="1047"/>
      </w:tblGrid>
      <w:tr w:rsidR="00D2442A" w:rsidRPr="0044288C" w:rsidTr="002228B8">
        <w:trPr>
          <w:trHeight w:val="53"/>
        </w:trPr>
        <w:tc>
          <w:tcPr>
            <w:tcW w:w="1244" w:type="pct"/>
            <w:shd w:val="clear" w:color="auto" w:fill="auto"/>
            <w:noWrap/>
            <w:hideMark/>
          </w:tcPr>
          <w:p w:rsidR="00D2442A" w:rsidRPr="0044288C" w:rsidRDefault="00D2442A" w:rsidP="00A67988">
            <w:pPr>
              <w:keepNext/>
              <w:keepLines/>
              <w:jc w:val="left"/>
              <w:rPr>
                <w:color w:val="000000"/>
                <w:sz w:val="18"/>
                <w:szCs w:val="18"/>
                <w:lang w:val="en-CA" w:eastAsia="zh-CN"/>
              </w:rPr>
            </w:pPr>
            <w:r w:rsidRPr="0044288C">
              <w:rPr>
                <w:color w:val="000000"/>
                <w:sz w:val="18"/>
                <w:szCs w:val="18"/>
                <w:lang w:val="en-CA" w:eastAsia="zh-CN"/>
              </w:rPr>
              <w:t>China</w:t>
            </w:r>
          </w:p>
        </w:tc>
        <w:tc>
          <w:tcPr>
            <w:tcW w:w="398" w:type="pct"/>
            <w:shd w:val="clear" w:color="auto" w:fill="auto"/>
            <w:noWrap/>
            <w:hideMark/>
          </w:tcPr>
          <w:p w:rsidR="00D2442A" w:rsidRPr="0044288C" w:rsidRDefault="00D2442A" w:rsidP="00A67988">
            <w:pPr>
              <w:keepNext/>
              <w:keepLines/>
              <w:jc w:val="right"/>
              <w:rPr>
                <w:color w:val="000000"/>
                <w:sz w:val="18"/>
                <w:szCs w:val="18"/>
                <w:lang w:val="en-CA" w:eastAsia="zh-CN"/>
              </w:rPr>
            </w:pPr>
            <w:r w:rsidRPr="0044288C">
              <w:rPr>
                <w:color w:val="000000"/>
                <w:sz w:val="18"/>
                <w:szCs w:val="18"/>
                <w:lang w:val="en-CA" w:eastAsia="zh-CN"/>
              </w:rPr>
              <w:t>32</w:t>
            </w:r>
          </w:p>
        </w:tc>
        <w:tc>
          <w:tcPr>
            <w:tcW w:w="552" w:type="pct"/>
            <w:shd w:val="clear" w:color="auto" w:fill="auto"/>
            <w:noWrap/>
            <w:hideMark/>
          </w:tcPr>
          <w:p w:rsidR="00D2442A" w:rsidRPr="0044288C" w:rsidRDefault="00D2442A" w:rsidP="00A67988">
            <w:pPr>
              <w:keepNext/>
              <w:keepLines/>
              <w:ind w:right="-17"/>
              <w:jc w:val="right"/>
              <w:rPr>
                <w:color w:val="000000"/>
                <w:sz w:val="18"/>
                <w:szCs w:val="18"/>
                <w:lang w:val="en-CA" w:eastAsia="zh-CN"/>
              </w:rPr>
            </w:pPr>
            <w:r w:rsidRPr="0044288C">
              <w:rPr>
                <w:color w:val="000000"/>
                <w:sz w:val="18"/>
                <w:szCs w:val="18"/>
                <w:lang w:val="en-CA" w:eastAsia="zh-CN"/>
              </w:rPr>
              <w:t>2.44</w:t>
            </w:r>
            <w:r w:rsidRPr="0044288C">
              <w:rPr>
                <w:color w:val="000000"/>
                <w:sz w:val="18"/>
                <w:szCs w:val="18"/>
                <w:vertAlign w:val="superscript"/>
                <w:lang w:val="en-CA" w:eastAsia="zh-CN"/>
              </w:rPr>
              <w:t>c</w:t>
            </w:r>
            <w:r w:rsidRPr="0044288C">
              <w:rPr>
                <w:color w:val="000000"/>
                <w:sz w:val="18"/>
                <w:szCs w:val="18"/>
                <w:lang w:val="en-CA" w:eastAsia="zh-CN"/>
              </w:rPr>
              <w:t>, 2.</w:t>
            </w:r>
            <w:r w:rsidR="00744432" w:rsidRPr="0044288C">
              <w:rPr>
                <w:color w:val="000000"/>
                <w:sz w:val="18"/>
                <w:szCs w:val="18"/>
                <w:lang w:val="en-CA" w:eastAsia="zh-CN"/>
              </w:rPr>
              <w:t>41</w:t>
            </w:r>
            <w:r w:rsidRPr="0044288C">
              <w:rPr>
                <w:color w:val="000000"/>
                <w:sz w:val="18"/>
                <w:szCs w:val="18"/>
                <w:vertAlign w:val="superscript"/>
                <w:lang w:val="en-CA" w:eastAsia="zh-CN"/>
              </w:rPr>
              <w:t>d</w:t>
            </w:r>
          </w:p>
        </w:tc>
        <w:tc>
          <w:tcPr>
            <w:tcW w:w="561" w:type="pct"/>
            <w:shd w:val="clear" w:color="auto" w:fill="auto"/>
          </w:tcPr>
          <w:p w:rsidR="00D2442A" w:rsidRPr="0044288C" w:rsidRDefault="00D2442A" w:rsidP="00A67988">
            <w:pPr>
              <w:keepNext/>
              <w:keepLines/>
              <w:jc w:val="right"/>
              <w:rPr>
                <w:color w:val="000000"/>
                <w:sz w:val="18"/>
                <w:szCs w:val="18"/>
                <w:lang w:val="en-CA"/>
              </w:rPr>
            </w:pPr>
            <w:r w:rsidRPr="0044288C">
              <w:rPr>
                <w:sz w:val="18"/>
                <w:szCs w:val="18"/>
                <w:lang w:val="en-CA"/>
              </w:rPr>
              <w:t xml:space="preserve"> </w:t>
            </w:r>
            <w:r w:rsidR="00A50F92" w:rsidRPr="0044288C">
              <w:rPr>
                <w:sz w:val="18"/>
                <w:szCs w:val="18"/>
                <w:lang w:val="en-CA"/>
              </w:rPr>
              <w:t>17,089</w:t>
            </w:r>
            <w:r w:rsidR="007B199D" w:rsidRPr="0044288C">
              <w:rPr>
                <w:sz w:val="18"/>
                <w:szCs w:val="18"/>
                <w:vertAlign w:val="superscript"/>
                <w:lang w:val="en-CA"/>
              </w:rPr>
              <w:t>e</w:t>
            </w:r>
            <w:r w:rsidRPr="0044288C">
              <w:rPr>
                <w:sz w:val="18"/>
                <w:szCs w:val="18"/>
                <w:lang w:val="en-CA"/>
              </w:rPr>
              <w:t xml:space="preserve"> </w:t>
            </w:r>
          </w:p>
        </w:tc>
        <w:tc>
          <w:tcPr>
            <w:tcW w:w="562" w:type="pct"/>
            <w:shd w:val="clear" w:color="auto" w:fill="auto"/>
          </w:tcPr>
          <w:p w:rsidR="00D2442A" w:rsidRPr="0044288C" w:rsidRDefault="00D2442A" w:rsidP="00A67988">
            <w:pPr>
              <w:keepNext/>
              <w:keepLines/>
              <w:jc w:val="right"/>
              <w:rPr>
                <w:color w:val="000000"/>
                <w:sz w:val="18"/>
                <w:szCs w:val="18"/>
                <w:lang w:val="en-CA"/>
              </w:rPr>
            </w:pPr>
            <w:r w:rsidRPr="0044288C">
              <w:rPr>
                <w:sz w:val="18"/>
                <w:szCs w:val="18"/>
                <w:lang w:val="en-CA"/>
              </w:rPr>
              <w:t xml:space="preserve"> 17,3</w:t>
            </w:r>
            <w:r w:rsidR="00A50F92" w:rsidRPr="0044288C">
              <w:rPr>
                <w:sz w:val="18"/>
                <w:szCs w:val="18"/>
                <w:lang w:val="en-CA"/>
              </w:rPr>
              <w:t>51</w:t>
            </w:r>
            <w:r w:rsidR="007B199D" w:rsidRPr="0044288C">
              <w:rPr>
                <w:sz w:val="18"/>
                <w:szCs w:val="18"/>
                <w:vertAlign w:val="superscript"/>
                <w:lang w:val="en-CA"/>
              </w:rPr>
              <w:t>e</w:t>
            </w:r>
            <w:r w:rsidRPr="0044288C">
              <w:rPr>
                <w:sz w:val="18"/>
                <w:szCs w:val="18"/>
                <w:lang w:val="en-CA"/>
              </w:rPr>
              <w:t xml:space="preserve"> </w:t>
            </w:r>
          </w:p>
        </w:tc>
        <w:tc>
          <w:tcPr>
            <w:tcW w:w="562" w:type="pct"/>
            <w:shd w:val="clear" w:color="auto" w:fill="auto"/>
          </w:tcPr>
          <w:p w:rsidR="00D2442A" w:rsidRPr="0044288C" w:rsidRDefault="00D2442A" w:rsidP="00A67988">
            <w:pPr>
              <w:keepNext/>
              <w:keepLines/>
              <w:jc w:val="right"/>
              <w:rPr>
                <w:color w:val="000000"/>
                <w:sz w:val="18"/>
                <w:szCs w:val="18"/>
                <w:lang w:val="en-CA"/>
              </w:rPr>
            </w:pPr>
            <w:r w:rsidRPr="0044288C">
              <w:rPr>
                <w:sz w:val="18"/>
                <w:szCs w:val="18"/>
                <w:lang w:val="en-CA"/>
              </w:rPr>
              <w:t xml:space="preserve"> 13,604</w:t>
            </w:r>
            <w:r w:rsidR="007B199D" w:rsidRPr="0044288C">
              <w:rPr>
                <w:sz w:val="18"/>
                <w:szCs w:val="18"/>
                <w:vertAlign w:val="superscript"/>
                <w:lang w:val="en-CA"/>
              </w:rPr>
              <w:t>e</w:t>
            </w:r>
            <w:r w:rsidRPr="0044288C">
              <w:rPr>
                <w:sz w:val="18"/>
                <w:szCs w:val="18"/>
                <w:lang w:val="en-CA"/>
              </w:rPr>
              <w:t xml:space="preserve"> </w:t>
            </w:r>
          </w:p>
        </w:tc>
        <w:tc>
          <w:tcPr>
            <w:tcW w:w="561" w:type="pct"/>
            <w:shd w:val="clear" w:color="auto" w:fill="auto"/>
            <w:noWrap/>
            <w:hideMark/>
          </w:tcPr>
          <w:p w:rsidR="00D2442A" w:rsidRPr="0044288C" w:rsidRDefault="00D2442A" w:rsidP="00A67988">
            <w:pPr>
              <w:keepNext/>
              <w:keepLines/>
              <w:jc w:val="right"/>
              <w:rPr>
                <w:color w:val="000000"/>
                <w:sz w:val="18"/>
                <w:szCs w:val="18"/>
                <w:lang w:val="en-CA"/>
              </w:rPr>
            </w:pPr>
            <w:r w:rsidRPr="0044288C">
              <w:rPr>
                <w:sz w:val="18"/>
                <w:szCs w:val="18"/>
                <w:lang w:val="en-CA"/>
              </w:rPr>
              <w:t xml:space="preserve"> 13,949 </w:t>
            </w:r>
          </w:p>
        </w:tc>
        <w:tc>
          <w:tcPr>
            <w:tcW w:w="560" w:type="pct"/>
            <w:shd w:val="clear" w:color="auto" w:fill="auto"/>
            <w:noWrap/>
            <w:hideMark/>
          </w:tcPr>
          <w:p w:rsidR="00D2442A" w:rsidRPr="0044288C" w:rsidRDefault="00DD34C7" w:rsidP="00A67988">
            <w:pPr>
              <w:keepNext/>
              <w:keepLines/>
              <w:jc w:val="right"/>
              <w:rPr>
                <w:color w:val="000000"/>
                <w:sz w:val="18"/>
                <w:szCs w:val="18"/>
                <w:lang w:val="en-CA"/>
              </w:rPr>
            </w:pPr>
            <w:r w:rsidRPr="0044288C">
              <w:rPr>
                <w:sz w:val="18"/>
                <w:szCs w:val="18"/>
                <w:lang w:val="en-CA"/>
              </w:rPr>
              <w:t>15,517</w:t>
            </w:r>
            <w:r w:rsidR="00D2442A" w:rsidRPr="0044288C">
              <w:rPr>
                <w:sz w:val="18"/>
                <w:szCs w:val="18"/>
                <w:lang w:val="en-CA"/>
              </w:rPr>
              <w:t xml:space="preserve"> </w:t>
            </w:r>
          </w:p>
        </w:tc>
      </w:tr>
      <w:tr w:rsidR="001051EF" w:rsidRPr="0044288C" w:rsidTr="002228B8">
        <w:trPr>
          <w:trHeight w:val="53"/>
        </w:trPr>
        <w:tc>
          <w:tcPr>
            <w:tcW w:w="1244" w:type="pct"/>
            <w:shd w:val="clear" w:color="auto" w:fill="auto"/>
            <w:noWrap/>
            <w:hideMark/>
          </w:tcPr>
          <w:p w:rsidR="001051EF" w:rsidRPr="0044288C" w:rsidRDefault="001051EF" w:rsidP="001051EF">
            <w:pPr>
              <w:jc w:val="left"/>
              <w:rPr>
                <w:color w:val="000000"/>
                <w:sz w:val="18"/>
                <w:szCs w:val="18"/>
                <w:lang w:val="en-CA" w:eastAsia="zh-CN"/>
              </w:rPr>
            </w:pPr>
            <w:r w:rsidRPr="0044288C">
              <w:rPr>
                <w:color w:val="000000"/>
                <w:sz w:val="18"/>
                <w:szCs w:val="18"/>
                <w:lang w:val="en-CA" w:eastAsia="zh-CN"/>
              </w:rPr>
              <w:t>Sub-total for Article 5 countries</w:t>
            </w:r>
          </w:p>
        </w:tc>
        <w:tc>
          <w:tcPr>
            <w:tcW w:w="398" w:type="pct"/>
            <w:shd w:val="clear" w:color="auto" w:fill="auto"/>
            <w:noWrap/>
            <w:hideMark/>
          </w:tcPr>
          <w:p w:rsidR="001051EF" w:rsidRPr="0044288C" w:rsidRDefault="001051EF" w:rsidP="001051EF">
            <w:pPr>
              <w:jc w:val="right"/>
              <w:rPr>
                <w:color w:val="000000"/>
                <w:sz w:val="18"/>
                <w:szCs w:val="18"/>
                <w:lang w:val="en-CA" w:eastAsia="zh-CN"/>
              </w:rPr>
            </w:pPr>
            <w:r w:rsidRPr="0044288C">
              <w:rPr>
                <w:color w:val="000000"/>
                <w:sz w:val="18"/>
                <w:szCs w:val="18"/>
                <w:lang w:val="en-CA" w:eastAsia="zh-CN"/>
              </w:rPr>
              <w:t>43</w:t>
            </w:r>
          </w:p>
        </w:tc>
        <w:tc>
          <w:tcPr>
            <w:tcW w:w="552" w:type="pct"/>
            <w:shd w:val="clear" w:color="auto" w:fill="auto"/>
            <w:noWrap/>
            <w:hideMark/>
          </w:tcPr>
          <w:p w:rsidR="001051EF" w:rsidRPr="0044288C" w:rsidRDefault="001051EF" w:rsidP="001051EF">
            <w:pPr>
              <w:jc w:val="right"/>
              <w:rPr>
                <w:color w:val="000000"/>
                <w:sz w:val="18"/>
                <w:szCs w:val="18"/>
                <w:lang w:val="en-CA" w:eastAsia="zh-CN"/>
              </w:rPr>
            </w:pPr>
          </w:p>
        </w:tc>
        <w:tc>
          <w:tcPr>
            <w:tcW w:w="561" w:type="pct"/>
            <w:shd w:val="clear" w:color="auto" w:fill="auto"/>
          </w:tcPr>
          <w:p w:rsidR="001051EF" w:rsidRPr="0044288C" w:rsidRDefault="001051EF" w:rsidP="001051EF">
            <w:pPr>
              <w:jc w:val="right"/>
              <w:rPr>
                <w:color w:val="000000"/>
                <w:sz w:val="18"/>
                <w:szCs w:val="18"/>
                <w:lang w:val="en-CA"/>
              </w:rPr>
            </w:pPr>
            <w:r w:rsidRPr="0044288C">
              <w:rPr>
                <w:sz w:val="18"/>
                <w:szCs w:val="18"/>
                <w:lang w:val="en-CA"/>
              </w:rPr>
              <w:t xml:space="preserve"> 18,803 </w:t>
            </w:r>
          </w:p>
        </w:tc>
        <w:tc>
          <w:tcPr>
            <w:tcW w:w="562" w:type="pct"/>
            <w:shd w:val="clear" w:color="auto" w:fill="auto"/>
          </w:tcPr>
          <w:p w:rsidR="001051EF" w:rsidRPr="0044288C" w:rsidRDefault="001051EF" w:rsidP="001051EF">
            <w:pPr>
              <w:jc w:val="right"/>
              <w:rPr>
                <w:color w:val="000000"/>
                <w:sz w:val="18"/>
                <w:szCs w:val="18"/>
                <w:lang w:val="en-CA"/>
              </w:rPr>
            </w:pPr>
            <w:r w:rsidRPr="0044288C">
              <w:rPr>
                <w:sz w:val="18"/>
                <w:szCs w:val="18"/>
                <w:lang w:val="en-CA"/>
              </w:rPr>
              <w:t xml:space="preserve"> 19,506 </w:t>
            </w:r>
          </w:p>
        </w:tc>
        <w:tc>
          <w:tcPr>
            <w:tcW w:w="562" w:type="pct"/>
            <w:shd w:val="clear" w:color="auto" w:fill="auto"/>
          </w:tcPr>
          <w:p w:rsidR="001051EF" w:rsidRPr="0044288C" w:rsidRDefault="001051EF" w:rsidP="001051EF">
            <w:pPr>
              <w:jc w:val="right"/>
              <w:rPr>
                <w:color w:val="000000"/>
                <w:sz w:val="18"/>
                <w:szCs w:val="18"/>
                <w:lang w:val="en-CA"/>
              </w:rPr>
            </w:pPr>
            <w:r w:rsidRPr="0044288C">
              <w:rPr>
                <w:sz w:val="18"/>
                <w:szCs w:val="18"/>
                <w:lang w:val="en-CA"/>
              </w:rPr>
              <w:t xml:space="preserve"> 15,585 </w:t>
            </w:r>
          </w:p>
        </w:tc>
        <w:tc>
          <w:tcPr>
            <w:tcW w:w="561" w:type="pct"/>
            <w:shd w:val="clear" w:color="auto" w:fill="auto"/>
            <w:noWrap/>
            <w:hideMark/>
          </w:tcPr>
          <w:p w:rsidR="001051EF" w:rsidRPr="0044288C" w:rsidRDefault="001051EF" w:rsidP="001051EF">
            <w:pPr>
              <w:jc w:val="right"/>
              <w:rPr>
                <w:color w:val="000000"/>
                <w:sz w:val="18"/>
                <w:szCs w:val="18"/>
                <w:lang w:val="en-CA"/>
              </w:rPr>
            </w:pPr>
            <w:r w:rsidRPr="0044288C">
              <w:rPr>
                <w:sz w:val="18"/>
                <w:szCs w:val="18"/>
                <w:lang w:val="en-CA"/>
              </w:rPr>
              <w:t xml:space="preserve"> 16,022 </w:t>
            </w:r>
          </w:p>
        </w:tc>
        <w:tc>
          <w:tcPr>
            <w:tcW w:w="560" w:type="pct"/>
            <w:shd w:val="clear" w:color="auto" w:fill="auto"/>
            <w:noWrap/>
            <w:hideMark/>
          </w:tcPr>
          <w:p w:rsidR="001051EF" w:rsidRPr="001051EF" w:rsidRDefault="001051EF" w:rsidP="001051EF">
            <w:pPr>
              <w:jc w:val="right"/>
              <w:rPr>
                <w:sz w:val="18"/>
                <w:szCs w:val="18"/>
              </w:rPr>
            </w:pPr>
            <w:r w:rsidRPr="001051EF">
              <w:rPr>
                <w:sz w:val="18"/>
                <w:szCs w:val="18"/>
              </w:rPr>
              <w:t>17,849</w:t>
            </w:r>
          </w:p>
        </w:tc>
      </w:tr>
      <w:tr w:rsidR="001051EF" w:rsidRPr="0044288C" w:rsidTr="002228B8">
        <w:trPr>
          <w:trHeight w:val="117"/>
        </w:trPr>
        <w:tc>
          <w:tcPr>
            <w:tcW w:w="1244" w:type="pct"/>
            <w:shd w:val="clear" w:color="auto" w:fill="auto"/>
            <w:noWrap/>
            <w:hideMark/>
          </w:tcPr>
          <w:p w:rsidR="001051EF" w:rsidRPr="0044288C" w:rsidRDefault="001051EF" w:rsidP="001051EF">
            <w:pPr>
              <w:jc w:val="left"/>
              <w:rPr>
                <w:color w:val="000000"/>
                <w:sz w:val="18"/>
                <w:szCs w:val="18"/>
                <w:lang w:val="en-CA" w:eastAsia="zh-CN"/>
              </w:rPr>
            </w:pPr>
            <w:r w:rsidRPr="0044288C">
              <w:rPr>
                <w:color w:val="000000"/>
                <w:sz w:val="18"/>
                <w:szCs w:val="18"/>
                <w:lang w:val="en-CA" w:eastAsia="zh-CN"/>
              </w:rPr>
              <w:t>Total</w:t>
            </w:r>
          </w:p>
        </w:tc>
        <w:tc>
          <w:tcPr>
            <w:tcW w:w="398" w:type="pct"/>
            <w:shd w:val="clear" w:color="auto" w:fill="auto"/>
            <w:noWrap/>
            <w:hideMark/>
          </w:tcPr>
          <w:p w:rsidR="001051EF" w:rsidRPr="0044288C" w:rsidRDefault="001051EF" w:rsidP="001051EF">
            <w:pPr>
              <w:jc w:val="right"/>
              <w:rPr>
                <w:color w:val="000000"/>
                <w:sz w:val="18"/>
                <w:szCs w:val="18"/>
                <w:lang w:val="en-CA" w:eastAsia="zh-CN"/>
              </w:rPr>
            </w:pPr>
            <w:r w:rsidRPr="0044288C">
              <w:rPr>
                <w:color w:val="000000"/>
                <w:sz w:val="18"/>
                <w:szCs w:val="18"/>
                <w:lang w:val="en-CA" w:eastAsia="zh-CN"/>
              </w:rPr>
              <w:t> </w:t>
            </w:r>
          </w:p>
        </w:tc>
        <w:tc>
          <w:tcPr>
            <w:tcW w:w="552" w:type="pct"/>
            <w:shd w:val="clear" w:color="auto" w:fill="auto"/>
            <w:noWrap/>
            <w:hideMark/>
          </w:tcPr>
          <w:p w:rsidR="001051EF" w:rsidRPr="0044288C" w:rsidRDefault="001051EF" w:rsidP="001051EF">
            <w:pPr>
              <w:jc w:val="right"/>
              <w:rPr>
                <w:color w:val="000000"/>
                <w:sz w:val="18"/>
                <w:szCs w:val="18"/>
                <w:lang w:val="en-CA" w:eastAsia="zh-CN"/>
              </w:rPr>
            </w:pPr>
            <w:r w:rsidRPr="0044288C">
              <w:rPr>
                <w:color w:val="000000"/>
                <w:sz w:val="18"/>
                <w:szCs w:val="18"/>
                <w:lang w:val="en-CA" w:eastAsia="zh-CN"/>
              </w:rPr>
              <w:t> </w:t>
            </w:r>
          </w:p>
        </w:tc>
        <w:tc>
          <w:tcPr>
            <w:tcW w:w="561" w:type="pct"/>
            <w:shd w:val="clear" w:color="auto" w:fill="auto"/>
          </w:tcPr>
          <w:p w:rsidR="001051EF" w:rsidRPr="0044288C" w:rsidRDefault="001051EF" w:rsidP="001051EF">
            <w:pPr>
              <w:jc w:val="right"/>
              <w:rPr>
                <w:color w:val="000000"/>
                <w:sz w:val="18"/>
                <w:szCs w:val="18"/>
                <w:lang w:val="en-CA"/>
              </w:rPr>
            </w:pPr>
            <w:r w:rsidRPr="0044288C">
              <w:rPr>
                <w:sz w:val="18"/>
                <w:szCs w:val="18"/>
                <w:lang w:val="en-CA"/>
              </w:rPr>
              <w:t xml:space="preserve"> 22,673 </w:t>
            </w:r>
          </w:p>
        </w:tc>
        <w:tc>
          <w:tcPr>
            <w:tcW w:w="562" w:type="pct"/>
            <w:shd w:val="clear" w:color="auto" w:fill="auto"/>
          </w:tcPr>
          <w:p w:rsidR="001051EF" w:rsidRPr="0044288C" w:rsidRDefault="001051EF" w:rsidP="001051EF">
            <w:pPr>
              <w:jc w:val="right"/>
              <w:rPr>
                <w:color w:val="000000"/>
                <w:sz w:val="18"/>
                <w:szCs w:val="18"/>
                <w:lang w:val="en-CA"/>
              </w:rPr>
            </w:pPr>
            <w:r w:rsidRPr="0044288C">
              <w:rPr>
                <w:sz w:val="18"/>
                <w:szCs w:val="18"/>
                <w:lang w:val="en-CA"/>
              </w:rPr>
              <w:t xml:space="preserve"> 23,707 </w:t>
            </w:r>
          </w:p>
        </w:tc>
        <w:tc>
          <w:tcPr>
            <w:tcW w:w="562" w:type="pct"/>
            <w:shd w:val="clear" w:color="auto" w:fill="auto"/>
          </w:tcPr>
          <w:p w:rsidR="001051EF" w:rsidRPr="0044288C" w:rsidRDefault="001051EF" w:rsidP="001051EF">
            <w:pPr>
              <w:jc w:val="right"/>
              <w:rPr>
                <w:color w:val="000000"/>
                <w:sz w:val="18"/>
                <w:szCs w:val="18"/>
                <w:lang w:val="en-CA"/>
              </w:rPr>
            </w:pPr>
            <w:r w:rsidRPr="0044288C">
              <w:rPr>
                <w:sz w:val="18"/>
                <w:szCs w:val="18"/>
                <w:lang w:val="en-CA"/>
              </w:rPr>
              <w:t xml:space="preserve"> 20,089 </w:t>
            </w:r>
          </w:p>
        </w:tc>
        <w:tc>
          <w:tcPr>
            <w:tcW w:w="561" w:type="pct"/>
            <w:shd w:val="clear" w:color="auto" w:fill="auto"/>
            <w:noWrap/>
          </w:tcPr>
          <w:p w:rsidR="001051EF" w:rsidRPr="0044288C" w:rsidRDefault="001051EF" w:rsidP="001051EF">
            <w:pPr>
              <w:jc w:val="right"/>
              <w:rPr>
                <w:color w:val="000000"/>
                <w:sz w:val="18"/>
                <w:szCs w:val="18"/>
                <w:highlight w:val="yellow"/>
                <w:lang w:val="en-CA"/>
              </w:rPr>
            </w:pPr>
            <w:r w:rsidRPr="0044288C">
              <w:rPr>
                <w:sz w:val="18"/>
                <w:szCs w:val="18"/>
                <w:lang w:val="en-CA"/>
              </w:rPr>
              <w:t xml:space="preserve"> 20,199 </w:t>
            </w:r>
          </w:p>
        </w:tc>
        <w:tc>
          <w:tcPr>
            <w:tcW w:w="560" w:type="pct"/>
            <w:shd w:val="clear" w:color="auto" w:fill="auto"/>
            <w:noWrap/>
          </w:tcPr>
          <w:p w:rsidR="001051EF" w:rsidRPr="001051EF" w:rsidRDefault="001051EF" w:rsidP="001051EF">
            <w:pPr>
              <w:jc w:val="right"/>
              <w:rPr>
                <w:sz w:val="18"/>
                <w:szCs w:val="18"/>
              </w:rPr>
            </w:pPr>
            <w:r w:rsidRPr="001051EF">
              <w:rPr>
                <w:sz w:val="18"/>
                <w:szCs w:val="18"/>
              </w:rPr>
              <w:t>22,285</w:t>
            </w:r>
          </w:p>
        </w:tc>
      </w:tr>
    </w:tbl>
    <w:p w:rsidR="000B1594" w:rsidRDefault="000B1594" w:rsidP="007B199D">
      <w:pPr>
        <w:rPr>
          <w:sz w:val="16"/>
          <w:szCs w:val="16"/>
        </w:rPr>
      </w:pPr>
      <w:r w:rsidRPr="000B1594">
        <w:rPr>
          <w:sz w:val="16"/>
          <w:szCs w:val="16"/>
          <w:vertAlign w:val="superscript"/>
        </w:rPr>
        <w:t>d</w:t>
      </w:r>
      <w:r>
        <w:rPr>
          <w:sz w:val="16"/>
          <w:szCs w:val="16"/>
        </w:rPr>
        <w:t xml:space="preserve"> </w:t>
      </w:r>
      <w:r w:rsidRPr="0030201A">
        <w:rPr>
          <w:sz w:val="16"/>
          <w:szCs w:val="16"/>
        </w:rPr>
        <w:t xml:space="preserve">The </w:t>
      </w:r>
      <w:r>
        <w:rPr>
          <w:sz w:val="16"/>
          <w:szCs w:val="16"/>
        </w:rPr>
        <w:t xml:space="preserve">average 2017 </w:t>
      </w:r>
      <w:r w:rsidRPr="0030201A">
        <w:rPr>
          <w:sz w:val="16"/>
          <w:szCs w:val="16"/>
        </w:rPr>
        <w:t xml:space="preserve">HFC-23 by-product generation rate </w:t>
      </w:r>
      <w:r>
        <w:rPr>
          <w:sz w:val="16"/>
          <w:szCs w:val="16"/>
        </w:rPr>
        <w:t>at the HCFC-22 production facilities that were included in the 2017 verification is 2.36 per cent</w:t>
      </w:r>
      <w:r w:rsidRPr="0030201A">
        <w:rPr>
          <w:sz w:val="16"/>
          <w:szCs w:val="16"/>
        </w:rPr>
        <w:t>.</w:t>
      </w:r>
      <w:r>
        <w:rPr>
          <w:sz w:val="16"/>
          <w:szCs w:val="16"/>
        </w:rPr>
        <w:t xml:space="preserve"> Three HCFC-22 production lines that generated HFC-23 in 2017 and that were established after 2010 were not included in the verification report; a </w:t>
      </w:r>
      <w:r>
        <w:rPr>
          <w:i/>
          <w:sz w:val="16"/>
          <w:szCs w:val="16"/>
        </w:rPr>
        <w:t>w</w:t>
      </w:r>
      <w:r>
        <w:rPr>
          <w:sz w:val="16"/>
          <w:szCs w:val="16"/>
        </w:rPr>
        <w:t xml:space="preserve"> rate of 3 per cent was used for those lines</w:t>
      </w:r>
    </w:p>
    <w:p w:rsidR="007B199D" w:rsidRPr="0044288C" w:rsidRDefault="007B199D" w:rsidP="007B199D">
      <w:pPr>
        <w:rPr>
          <w:sz w:val="16"/>
          <w:szCs w:val="16"/>
          <w:lang w:val="en-CA"/>
        </w:rPr>
      </w:pPr>
      <w:r w:rsidRPr="0044288C">
        <w:rPr>
          <w:sz w:val="16"/>
          <w:szCs w:val="16"/>
          <w:vertAlign w:val="superscript"/>
          <w:lang w:val="en-CA"/>
        </w:rPr>
        <w:t>e</w:t>
      </w:r>
      <w:r w:rsidRPr="0044288C">
        <w:rPr>
          <w:sz w:val="16"/>
          <w:szCs w:val="16"/>
          <w:lang w:val="en-CA"/>
        </w:rPr>
        <w:t xml:space="preserve"> The HFC-23 by-product generation rate for 2013, 2014, and 2015 as </w:t>
      </w:r>
      <w:r w:rsidR="00A50F92" w:rsidRPr="0044288C">
        <w:rPr>
          <w:sz w:val="16"/>
          <w:szCs w:val="16"/>
          <w:lang w:val="en-CA"/>
        </w:rPr>
        <w:t>reported</w:t>
      </w:r>
      <w:r w:rsidRPr="0044288C">
        <w:rPr>
          <w:sz w:val="16"/>
          <w:szCs w:val="16"/>
          <w:lang w:val="en-CA"/>
        </w:rPr>
        <w:t xml:space="preserve"> in the </w:t>
      </w:r>
      <w:r w:rsidR="00A50F92" w:rsidRPr="0044288C">
        <w:rPr>
          <w:sz w:val="16"/>
          <w:szCs w:val="16"/>
          <w:lang w:val="en-CA"/>
        </w:rPr>
        <w:t>2017</w:t>
      </w:r>
      <w:r w:rsidRPr="0044288C">
        <w:rPr>
          <w:sz w:val="16"/>
          <w:szCs w:val="16"/>
          <w:lang w:val="en-CA"/>
        </w:rPr>
        <w:t xml:space="preserve"> verification report.</w:t>
      </w:r>
    </w:p>
    <w:p w:rsidR="00D2442A" w:rsidRPr="0044288C" w:rsidRDefault="00D2442A" w:rsidP="00D2442A">
      <w:pPr>
        <w:rPr>
          <w:lang w:val="en-CA"/>
        </w:rPr>
      </w:pPr>
    </w:p>
    <w:p w:rsidR="00D7598F" w:rsidRPr="0044288C" w:rsidRDefault="00D7598F" w:rsidP="00D7598F">
      <w:pPr>
        <w:pStyle w:val="ListParagraph"/>
        <w:numPr>
          <w:ilvl w:val="0"/>
          <w:numId w:val="22"/>
        </w:numPr>
        <w:rPr>
          <w:lang w:val="en-CA"/>
        </w:rPr>
      </w:pPr>
      <w:r w:rsidRPr="0044288C">
        <w:rPr>
          <w:b/>
          <w:lang w:val="en-CA"/>
        </w:rPr>
        <w:t>Replace</w:t>
      </w:r>
      <w:r w:rsidRPr="0044288C">
        <w:rPr>
          <w:lang w:val="en-CA"/>
        </w:rPr>
        <w:t xml:space="preserve"> </w:t>
      </w:r>
      <w:r w:rsidR="00DD34C7" w:rsidRPr="0044288C">
        <w:rPr>
          <w:lang w:val="en-CA"/>
        </w:rPr>
        <w:t>paragraph</w:t>
      </w:r>
      <w:r w:rsidR="004D6488">
        <w:rPr>
          <w:lang w:val="en-CA"/>
        </w:rPr>
        <w:t> </w:t>
      </w:r>
      <w:r w:rsidR="00DD34C7" w:rsidRPr="0044288C">
        <w:rPr>
          <w:lang w:val="en-CA"/>
        </w:rPr>
        <w:t xml:space="preserve">11(b) </w:t>
      </w:r>
      <w:r w:rsidRPr="0044288C">
        <w:rPr>
          <w:lang w:val="en-CA"/>
        </w:rPr>
        <w:t>as follows:</w:t>
      </w:r>
    </w:p>
    <w:p w:rsidR="00D7598F" w:rsidRPr="0044288C" w:rsidRDefault="00D7598F" w:rsidP="00D7598F">
      <w:pPr>
        <w:rPr>
          <w:lang w:val="en-CA"/>
        </w:rPr>
      </w:pPr>
    </w:p>
    <w:p w:rsidR="00DD34C7" w:rsidRDefault="00DD34C7" w:rsidP="00DD34C7">
      <w:pPr>
        <w:pStyle w:val="Heading2"/>
        <w:numPr>
          <w:ilvl w:val="1"/>
          <w:numId w:val="23"/>
        </w:numPr>
        <w:rPr>
          <w:lang w:val="en-CA"/>
        </w:rPr>
      </w:pPr>
      <w:r w:rsidRPr="0044288C">
        <w:rPr>
          <w:lang w:val="en-CA"/>
        </w:rPr>
        <w:t xml:space="preserve">For China, the </w:t>
      </w:r>
      <w:r w:rsidRPr="0044288C">
        <w:rPr>
          <w:i/>
          <w:lang w:val="en-CA"/>
        </w:rPr>
        <w:t>w</w:t>
      </w:r>
      <w:r w:rsidRPr="0044288C">
        <w:rPr>
          <w:lang w:val="en-CA"/>
        </w:rPr>
        <w:t xml:space="preserve"> rates reported in the verification reports submitted </w:t>
      </w:r>
      <w:r w:rsidR="0040395A" w:rsidRPr="0044288C">
        <w:rPr>
          <w:lang w:val="en-CA"/>
        </w:rPr>
        <w:t xml:space="preserve">for the 15 HCFC-22 production lines established before 2010, </w:t>
      </w:r>
      <w:r w:rsidRPr="0044288C">
        <w:rPr>
          <w:lang w:val="en-CA"/>
        </w:rPr>
        <w:t xml:space="preserve">in line with the Agreement on the HCFC production phase-out management plan (HPPMP). The amounts of HFC-23 are measured in some plants through meters; where no meters are installed, the amounts of HFC-23 are estimated using </w:t>
      </w:r>
      <w:r w:rsidRPr="0044288C">
        <w:rPr>
          <w:i/>
          <w:lang w:val="en-CA"/>
        </w:rPr>
        <w:t xml:space="preserve">w </w:t>
      </w:r>
      <w:r w:rsidRPr="0044288C">
        <w:rPr>
          <w:lang w:val="en-CA"/>
        </w:rPr>
        <w:t xml:space="preserve">rate of 3 per cent. </w:t>
      </w:r>
      <w:r w:rsidR="0040395A" w:rsidRPr="0044288C">
        <w:rPr>
          <w:lang w:val="en-CA"/>
        </w:rPr>
        <w:t xml:space="preserve">A </w:t>
      </w:r>
      <w:r w:rsidR="0040395A" w:rsidRPr="0044288C">
        <w:rPr>
          <w:i/>
          <w:lang w:val="en-CA"/>
        </w:rPr>
        <w:t xml:space="preserve">w </w:t>
      </w:r>
      <w:r w:rsidR="0040395A" w:rsidRPr="0044288C">
        <w:rPr>
          <w:lang w:val="en-CA"/>
        </w:rPr>
        <w:t xml:space="preserve">rate of 3 per cent was also used to estimate the HFC-23 by-product generated at three additional HCFC-22 production lines that were </w:t>
      </w:r>
      <w:r w:rsidR="0040395A" w:rsidRPr="0044288C">
        <w:rPr>
          <w:lang w:val="en-CA"/>
        </w:rPr>
        <w:lastRenderedPageBreak/>
        <w:t>established after 2010, that only produce for feedstock, and that are not included in the verification reports</w:t>
      </w:r>
      <w:r w:rsidRPr="0044288C">
        <w:rPr>
          <w:lang w:val="en-CA"/>
        </w:rPr>
        <w:t xml:space="preserve">; </w:t>
      </w:r>
    </w:p>
    <w:p w:rsidR="002228B8" w:rsidRPr="0044288C" w:rsidRDefault="002228B8" w:rsidP="002228B8">
      <w:pPr>
        <w:pStyle w:val="ListParagraph"/>
        <w:keepNext/>
        <w:keepLines/>
        <w:numPr>
          <w:ilvl w:val="0"/>
          <w:numId w:val="22"/>
        </w:numPr>
        <w:rPr>
          <w:lang w:val="en-CA"/>
        </w:rPr>
      </w:pPr>
      <w:r w:rsidRPr="0044288C">
        <w:rPr>
          <w:b/>
          <w:lang w:val="en-CA"/>
        </w:rPr>
        <w:t>Replace</w:t>
      </w:r>
      <w:r w:rsidRPr="0044288C">
        <w:rPr>
          <w:lang w:val="en-CA"/>
        </w:rPr>
        <w:t xml:space="preserve"> footnote 7 </w:t>
      </w:r>
      <w:r w:rsidR="00604929">
        <w:rPr>
          <w:lang w:val="en-CA"/>
        </w:rPr>
        <w:t xml:space="preserve">of paragraph 12 </w:t>
      </w:r>
      <w:r w:rsidRPr="0044288C">
        <w:rPr>
          <w:lang w:val="en-CA"/>
        </w:rPr>
        <w:t>as follows:</w:t>
      </w:r>
    </w:p>
    <w:p w:rsidR="002228B8" w:rsidRPr="0044288C" w:rsidRDefault="002228B8" w:rsidP="002228B8">
      <w:pPr>
        <w:keepNext/>
        <w:keepLines/>
        <w:jc w:val="left"/>
        <w:rPr>
          <w:lang w:val="en-CA"/>
        </w:rPr>
      </w:pPr>
    </w:p>
    <w:p w:rsidR="002228B8" w:rsidRDefault="00604929" w:rsidP="00604929">
      <w:pPr>
        <w:ind w:left="720"/>
        <w:rPr>
          <w:lang w:val="en-CA"/>
        </w:rPr>
      </w:pPr>
      <w:r>
        <w:rPr>
          <w:lang w:val="en-CA"/>
        </w:rPr>
        <w:t>7.</w:t>
      </w:r>
      <w:r>
        <w:rPr>
          <w:lang w:val="en-CA"/>
        </w:rPr>
        <w:tab/>
      </w:r>
      <w:r w:rsidR="002228B8" w:rsidRPr="0044288C">
        <w:rPr>
          <w:lang w:val="en-CA"/>
        </w:rPr>
        <w:t>The Parties approved the following technologies for the destruction of HFC-23: gaseous/fume oxidation; liquid injection incineration; reactor cracking; rotary kiln incineration; argon plasma arc; nitrogen plasma arc; chemical reaction with H</w:t>
      </w:r>
      <w:r w:rsidR="002228B8" w:rsidRPr="0044288C">
        <w:rPr>
          <w:vertAlign w:val="subscript"/>
          <w:lang w:val="en-CA"/>
        </w:rPr>
        <w:t>2</w:t>
      </w:r>
      <w:r w:rsidR="002228B8" w:rsidRPr="0044288C">
        <w:rPr>
          <w:lang w:val="en-CA"/>
        </w:rPr>
        <w:t xml:space="preserve"> and CO</w:t>
      </w:r>
      <w:r w:rsidR="002228B8" w:rsidRPr="0044288C">
        <w:rPr>
          <w:vertAlign w:val="subscript"/>
          <w:lang w:val="en-CA"/>
        </w:rPr>
        <w:t>2</w:t>
      </w:r>
      <w:r w:rsidR="002228B8" w:rsidRPr="0044288C">
        <w:rPr>
          <w:lang w:val="en-CA"/>
        </w:rPr>
        <w:t>; superheated steam reactor (decision XXX/6). The Secretariat is aware of one feedstock use of HFC-23: for the production of halon-1301, which is in turn used as a feedstock during the manufacture of fipronil, an agricultural pesticide. Capture and use for controlled uses is expected to result in the eventual release of emissions of HFC-23, thus delaying rather than avoiding such emissions.</w:t>
      </w:r>
    </w:p>
    <w:p w:rsidR="00604929" w:rsidRDefault="00604929" w:rsidP="00604929">
      <w:pPr>
        <w:ind w:left="720"/>
        <w:rPr>
          <w:lang w:val="en-CA"/>
        </w:rPr>
      </w:pPr>
    </w:p>
    <w:p w:rsidR="00E516E9" w:rsidRPr="0044288C" w:rsidRDefault="00E516E9" w:rsidP="002228B8">
      <w:pPr>
        <w:pStyle w:val="ListParagraph"/>
        <w:keepNext/>
        <w:keepLines/>
        <w:numPr>
          <w:ilvl w:val="0"/>
          <w:numId w:val="22"/>
        </w:numPr>
        <w:rPr>
          <w:lang w:val="en-CA"/>
        </w:rPr>
      </w:pPr>
      <w:r w:rsidRPr="0044288C">
        <w:rPr>
          <w:b/>
          <w:lang w:val="en-CA"/>
        </w:rPr>
        <w:t>Replace</w:t>
      </w:r>
      <w:r w:rsidRPr="0044288C">
        <w:rPr>
          <w:lang w:val="en-CA"/>
        </w:rPr>
        <w:t xml:space="preserve"> </w:t>
      </w:r>
      <w:r w:rsidR="00F0695F">
        <w:rPr>
          <w:lang w:val="en-CA"/>
        </w:rPr>
        <w:t xml:space="preserve">the last two sentences of </w:t>
      </w:r>
      <w:r w:rsidRPr="0044288C">
        <w:rPr>
          <w:lang w:val="en-CA"/>
        </w:rPr>
        <w:t>paragraph 23 as follows:</w:t>
      </w:r>
    </w:p>
    <w:p w:rsidR="00D7598F" w:rsidRPr="0044288C" w:rsidRDefault="00D7598F" w:rsidP="002228B8">
      <w:pPr>
        <w:keepNext/>
        <w:keepLines/>
        <w:jc w:val="left"/>
        <w:rPr>
          <w:lang w:val="en-CA"/>
        </w:rPr>
      </w:pPr>
    </w:p>
    <w:p w:rsidR="00E516E9" w:rsidRDefault="00E516E9" w:rsidP="00604929">
      <w:pPr>
        <w:ind w:left="720"/>
        <w:rPr>
          <w:lang w:val="en-CA"/>
        </w:rPr>
      </w:pPr>
      <w:r w:rsidRPr="0044288C">
        <w:rPr>
          <w:lang w:val="en-CA"/>
        </w:rPr>
        <w:t>The verifications conducted for 2013 through 2017 have included the relevant information on HFC</w:t>
      </w:r>
      <w:r w:rsidR="00F0695F">
        <w:rPr>
          <w:lang w:val="en-CA"/>
        </w:rPr>
        <w:noBreakHyphen/>
      </w:r>
      <w:r w:rsidRPr="0044288C">
        <w:rPr>
          <w:lang w:val="en-CA"/>
        </w:rPr>
        <w:t>23 emission</w:t>
      </w:r>
      <w:r w:rsidR="00D73618">
        <w:rPr>
          <w:lang w:val="en-CA"/>
        </w:rPr>
        <w:t>s</w:t>
      </w:r>
      <w:r w:rsidRPr="0044288C">
        <w:rPr>
          <w:lang w:val="en-CA"/>
        </w:rPr>
        <w:t xml:space="preserve"> in the HCFC-22 producers </w:t>
      </w:r>
      <w:r w:rsidR="007E5E93" w:rsidRPr="0044288C">
        <w:rPr>
          <w:lang w:val="en-CA"/>
        </w:rPr>
        <w:t>established before 2010</w:t>
      </w:r>
      <w:r w:rsidRPr="0044288C">
        <w:rPr>
          <w:lang w:val="en-CA"/>
        </w:rPr>
        <w:t>. The three most recent verification report</w:t>
      </w:r>
      <w:r w:rsidR="00F0695F">
        <w:rPr>
          <w:lang w:val="en-CA"/>
        </w:rPr>
        <w:t>s</w:t>
      </w:r>
      <w:r w:rsidRPr="0044288C">
        <w:rPr>
          <w:lang w:val="en-CA"/>
        </w:rPr>
        <w:t xml:space="preserve">, for 2015, 2016 and 2017, </w:t>
      </w:r>
      <w:r w:rsidR="00F0695F">
        <w:rPr>
          <w:lang w:val="en-CA"/>
        </w:rPr>
        <w:t>show</w:t>
      </w:r>
      <w:r w:rsidRPr="0044288C">
        <w:rPr>
          <w:lang w:val="en-CA"/>
        </w:rPr>
        <w:t xml:space="preserve"> the progress made by the Government of China in reducing HFC-23 emissions</w:t>
      </w:r>
      <w:r w:rsidR="007E5E93" w:rsidRPr="0044288C">
        <w:rPr>
          <w:lang w:val="en-CA"/>
        </w:rPr>
        <w:t xml:space="preserve"> from the HCFC-22 producers established before 2010</w:t>
      </w:r>
      <w:r w:rsidRPr="0044288C">
        <w:rPr>
          <w:lang w:val="en-CA"/>
        </w:rPr>
        <w:t xml:space="preserve">, in line with </w:t>
      </w:r>
      <w:r w:rsidR="005E5268" w:rsidRPr="0044288C">
        <w:rPr>
          <w:lang w:val="en-CA"/>
        </w:rPr>
        <w:t>policies</w:t>
      </w:r>
      <w:r w:rsidRPr="0044288C">
        <w:rPr>
          <w:lang w:val="en-CA"/>
        </w:rPr>
        <w:t xml:space="preserve"> issued by the Government: the per cent HFC-23 by</w:t>
      </w:r>
      <w:r w:rsidRPr="0044288C">
        <w:rPr>
          <w:lang w:val="en-CA"/>
        </w:rPr>
        <w:noBreakHyphen/>
        <w:t xml:space="preserve">product that was incinerated </w:t>
      </w:r>
      <w:r w:rsidR="005E5268" w:rsidRPr="0044288C">
        <w:rPr>
          <w:lang w:val="en-CA"/>
        </w:rPr>
        <w:t xml:space="preserve">at those producers </w:t>
      </w:r>
      <w:r w:rsidRPr="0044288C">
        <w:rPr>
          <w:lang w:val="en-CA"/>
        </w:rPr>
        <w:t>increased from 45 per cent in 2015, to 93 per cent in 2016, and to 98 per cent</w:t>
      </w:r>
      <w:r w:rsidR="007E5E93" w:rsidRPr="0044288C">
        <w:rPr>
          <w:lang w:val="en-CA"/>
        </w:rPr>
        <w:t xml:space="preserve"> in 2017. </w:t>
      </w:r>
      <w:r w:rsidR="005E5268" w:rsidRPr="0044288C">
        <w:rPr>
          <w:lang w:val="en-CA"/>
        </w:rPr>
        <w:t>Information on the t</w:t>
      </w:r>
      <w:r w:rsidR="007E5E93" w:rsidRPr="0044288C">
        <w:rPr>
          <w:lang w:val="en-CA"/>
        </w:rPr>
        <w:t xml:space="preserve">hree HCFC-22 producers that were established after 2010 </w:t>
      </w:r>
      <w:r w:rsidR="005E5268" w:rsidRPr="0044288C">
        <w:rPr>
          <w:lang w:val="en-CA"/>
        </w:rPr>
        <w:t xml:space="preserve">was not included in the verification reports. The three producers have </w:t>
      </w:r>
      <w:r w:rsidR="007E5E93" w:rsidRPr="0044288C">
        <w:rPr>
          <w:lang w:val="en-CA"/>
        </w:rPr>
        <w:t>each installed an HFC-23 destruction facility; however, data on the quantity of HFC-23 by-product destroyed at those facilities was not available</w:t>
      </w:r>
      <w:r w:rsidR="00D73618">
        <w:rPr>
          <w:lang w:val="en-CA"/>
        </w:rPr>
        <w:t xml:space="preserve"> at the time of finalization of the present document</w:t>
      </w:r>
      <w:r w:rsidR="007E5E93" w:rsidRPr="0044288C">
        <w:rPr>
          <w:lang w:val="en-CA"/>
        </w:rPr>
        <w:t>.</w:t>
      </w:r>
    </w:p>
    <w:p w:rsidR="002228B8" w:rsidRDefault="002228B8" w:rsidP="002228B8">
      <w:pPr>
        <w:rPr>
          <w:lang w:val="en-CA"/>
        </w:rPr>
      </w:pPr>
    </w:p>
    <w:p w:rsidR="002228B8" w:rsidRDefault="002228B8" w:rsidP="002228B8">
      <w:pPr>
        <w:rPr>
          <w:lang w:val="en-CA"/>
        </w:rPr>
      </w:pPr>
    </w:p>
    <w:p w:rsidR="002228B8" w:rsidRDefault="002228B8" w:rsidP="002228B8">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2228B8" w:rsidTr="002228B8">
        <w:tc>
          <w:tcPr>
            <w:tcW w:w="1870" w:type="dxa"/>
          </w:tcPr>
          <w:p w:rsidR="002228B8" w:rsidRDefault="002228B8" w:rsidP="002228B8">
            <w:pPr>
              <w:rPr>
                <w:lang w:val="en-CA"/>
              </w:rPr>
            </w:pPr>
          </w:p>
        </w:tc>
        <w:tc>
          <w:tcPr>
            <w:tcW w:w="1870" w:type="dxa"/>
          </w:tcPr>
          <w:p w:rsidR="002228B8" w:rsidRDefault="002228B8" w:rsidP="002228B8">
            <w:pPr>
              <w:rPr>
                <w:lang w:val="en-CA"/>
              </w:rPr>
            </w:pPr>
          </w:p>
        </w:tc>
        <w:tc>
          <w:tcPr>
            <w:tcW w:w="1870" w:type="dxa"/>
            <w:tcBorders>
              <w:bottom w:val="single" w:sz="4" w:space="0" w:color="auto"/>
            </w:tcBorders>
          </w:tcPr>
          <w:p w:rsidR="002228B8" w:rsidRDefault="002228B8" w:rsidP="002228B8">
            <w:pPr>
              <w:rPr>
                <w:lang w:val="en-CA"/>
              </w:rPr>
            </w:pPr>
          </w:p>
        </w:tc>
        <w:tc>
          <w:tcPr>
            <w:tcW w:w="1870" w:type="dxa"/>
          </w:tcPr>
          <w:p w:rsidR="002228B8" w:rsidRDefault="002228B8" w:rsidP="002228B8">
            <w:pPr>
              <w:rPr>
                <w:lang w:val="en-CA"/>
              </w:rPr>
            </w:pPr>
          </w:p>
        </w:tc>
        <w:tc>
          <w:tcPr>
            <w:tcW w:w="1870" w:type="dxa"/>
          </w:tcPr>
          <w:p w:rsidR="002228B8" w:rsidRDefault="002228B8" w:rsidP="002228B8">
            <w:pPr>
              <w:rPr>
                <w:lang w:val="en-CA"/>
              </w:rPr>
            </w:pPr>
          </w:p>
        </w:tc>
      </w:tr>
    </w:tbl>
    <w:p w:rsidR="002228B8" w:rsidRPr="002228B8" w:rsidRDefault="002228B8" w:rsidP="002228B8">
      <w:pPr>
        <w:rPr>
          <w:lang w:val="en-CA"/>
        </w:rPr>
      </w:pPr>
    </w:p>
    <w:sectPr w:rsidR="002228B8" w:rsidRPr="002228B8"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A20" w:rsidRDefault="000A7A20" w:rsidP="004A504B">
      <w:r>
        <w:separator/>
      </w:r>
    </w:p>
  </w:endnote>
  <w:endnote w:type="continuationSeparator" w:id="0">
    <w:p w:rsidR="000A7A20" w:rsidRDefault="000A7A20"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33D" w:rsidRPr="00FF1066" w:rsidRDefault="0047533D">
    <w:pPr>
      <w:jc w:val="center"/>
      <w:rPr>
        <w:lang w:val="en-CA"/>
      </w:rPr>
    </w:pPr>
    <w:r w:rsidRPr="00FF1066">
      <w:rPr>
        <w:lang w:val="en-CA"/>
      </w:rPr>
      <w:fldChar w:fldCharType="begin"/>
    </w:r>
    <w:r w:rsidRPr="00FF1066">
      <w:rPr>
        <w:lang w:val="en-CA"/>
      </w:rPr>
      <w:instrText xml:space="preserve"> PAGE </w:instrText>
    </w:r>
    <w:r w:rsidRPr="00FF1066">
      <w:rPr>
        <w:lang w:val="en-CA"/>
      </w:rPr>
      <w:fldChar w:fldCharType="separate"/>
    </w:r>
    <w:r w:rsidR="00F0695F">
      <w:rPr>
        <w:noProof/>
        <w:lang w:val="en-CA"/>
      </w:rPr>
      <w:t>2</w:t>
    </w:r>
    <w:r w:rsidRPr="00FF1066">
      <w:rPr>
        <w:noProof/>
        <w:lang w:val="en-C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33D" w:rsidRPr="00FF1066" w:rsidRDefault="0047533D">
    <w:pPr>
      <w:jc w:val="center"/>
      <w:rPr>
        <w:lang w:val="en-CA"/>
      </w:rPr>
    </w:pPr>
    <w:r w:rsidRPr="00FF1066">
      <w:rPr>
        <w:lang w:val="en-CA"/>
      </w:rPr>
      <w:fldChar w:fldCharType="begin"/>
    </w:r>
    <w:r w:rsidRPr="00FF1066">
      <w:rPr>
        <w:lang w:val="en-CA"/>
      </w:rPr>
      <w:instrText xml:space="preserve"> PAGE </w:instrText>
    </w:r>
    <w:r w:rsidRPr="00FF1066">
      <w:rPr>
        <w:lang w:val="en-CA"/>
      </w:rPr>
      <w:fldChar w:fldCharType="separate"/>
    </w:r>
    <w:r w:rsidR="004D6488">
      <w:rPr>
        <w:noProof/>
        <w:lang w:val="en-CA"/>
      </w:rPr>
      <w:t>3</w:t>
    </w:r>
    <w:r w:rsidRPr="00FF1066">
      <w:rPr>
        <w:noProof/>
        <w:lang w:val="en-C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33D" w:rsidRPr="00FF1066" w:rsidRDefault="0047533D" w:rsidP="004E7F9C">
    <w:pPr>
      <w:pBdr>
        <w:top w:val="single" w:sz="4" w:space="1" w:color="auto"/>
        <w:left w:val="single" w:sz="4" w:space="4" w:color="auto"/>
        <w:bottom w:val="single" w:sz="4" w:space="1" w:color="auto"/>
        <w:right w:val="single" w:sz="4" w:space="4" w:color="auto"/>
      </w:pBdr>
      <w:jc w:val="center"/>
      <w:rPr>
        <w:sz w:val="18"/>
        <w:szCs w:val="18"/>
        <w:lang w:val="en-CA"/>
      </w:rPr>
    </w:pPr>
    <w:r w:rsidRPr="00FF1066">
      <w:rPr>
        <w:sz w:val="18"/>
        <w:szCs w:val="18"/>
        <w:lang w:val="en-CA"/>
      </w:rPr>
      <w:t>Pre-session documents of the Executive Committee of the Multilateral Fund for the Implementation of the Montreal Protocol are without prejudice to any decision that the Executive Committee might take following issuance of the document.</w:t>
    </w:r>
  </w:p>
  <w:p w:rsidR="0047533D" w:rsidRPr="00FF1066" w:rsidRDefault="0047533D" w:rsidP="004E7F9C">
    <w:pPr>
      <w:pBdr>
        <w:top w:val="single" w:sz="4" w:space="1" w:color="auto"/>
        <w:left w:val="single" w:sz="4" w:space="4" w:color="auto"/>
        <w:bottom w:val="single" w:sz="4" w:space="1" w:color="auto"/>
        <w:right w:val="single" w:sz="4" w:space="4" w:color="auto"/>
      </w:pBdr>
      <w:jc w:val="center"/>
      <w:rPr>
        <w:sz w:val="18"/>
        <w:szCs w:val="18"/>
        <w:lang w:val="en-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A20" w:rsidRDefault="000A7A20" w:rsidP="004A504B">
      <w:r>
        <w:separator/>
      </w:r>
    </w:p>
  </w:footnote>
  <w:footnote w:type="continuationSeparator" w:id="0">
    <w:p w:rsidR="000A7A20" w:rsidRDefault="000A7A20" w:rsidP="004A5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33D" w:rsidRPr="00DF266B" w:rsidRDefault="006A605D">
    <w:pPr>
      <w:rPr>
        <w:lang w:val="en-CA"/>
      </w:rPr>
    </w:pPr>
    <w:r w:rsidRPr="00DF266B">
      <w:rPr>
        <w:lang w:val="en-CA"/>
      </w:rPr>
      <w:fldChar w:fldCharType="begin"/>
    </w:r>
    <w:r w:rsidRPr="00DF266B">
      <w:rPr>
        <w:lang w:val="en-CA"/>
      </w:rPr>
      <w:instrText xml:space="preserve"> DOCPROPERTY "Document number"  \* MERGEFORMAT </w:instrText>
    </w:r>
    <w:r w:rsidRPr="00DF266B">
      <w:rPr>
        <w:lang w:val="en-CA"/>
      </w:rPr>
      <w:fldChar w:fldCharType="separate"/>
    </w:r>
    <w:r w:rsidR="0044288C">
      <w:rPr>
        <w:lang w:val="en-CA"/>
      </w:rPr>
      <w:t>UNEP/OzL.Pro/ExCom/82/68/Corr.1</w:t>
    </w:r>
    <w:r w:rsidRPr="00DF266B">
      <w:rPr>
        <w:lang w:val="en-CA"/>
      </w:rPr>
      <w:fldChar w:fldCharType="end"/>
    </w:r>
  </w:p>
  <w:p w:rsidR="0047533D" w:rsidRPr="00DF266B" w:rsidRDefault="0047533D">
    <w:pPr>
      <w:rPr>
        <w:lang w:val="en-CA"/>
      </w:rPr>
    </w:pPr>
  </w:p>
  <w:p w:rsidR="0047533D" w:rsidRPr="00DF266B" w:rsidRDefault="0047533D">
    <w:pPr>
      <w:rPr>
        <w:lang w:val="en-C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33D" w:rsidRPr="00DF266B" w:rsidRDefault="006A605D">
    <w:pPr>
      <w:jc w:val="right"/>
      <w:rPr>
        <w:lang w:val="en-CA"/>
      </w:rPr>
    </w:pPr>
    <w:r w:rsidRPr="00DF266B">
      <w:rPr>
        <w:lang w:val="en-CA"/>
      </w:rPr>
      <w:fldChar w:fldCharType="begin"/>
    </w:r>
    <w:r w:rsidRPr="00DF266B">
      <w:rPr>
        <w:lang w:val="en-CA"/>
      </w:rPr>
      <w:instrText xml:space="preserve"> DOCPROPERTY "Document number"  \* MERGEFORMAT </w:instrText>
    </w:r>
    <w:r w:rsidRPr="00DF266B">
      <w:rPr>
        <w:lang w:val="en-CA"/>
      </w:rPr>
      <w:fldChar w:fldCharType="separate"/>
    </w:r>
    <w:r w:rsidR="0044288C">
      <w:rPr>
        <w:lang w:val="en-CA"/>
      </w:rPr>
      <w:t>UNEP/OzL.Pro/ExCom/82/68/Corr.1</w:t>
    </w:r>
    <w:r w:rsidRPr="00DF266B">
      <w:rPr>
        <w:lang w:val="en-CA"/>
      </w:rPr>
      <w:fldChar w:fldCharType="end"/>
    </w:r>
  </w:p>
  <w:p w:rsidR="0047533D" w:rsidRPr="00DF266B" w:rsidRDefault="0047533D">
    <w:pPr>
      <w:rPr>
        <w:lang w:val="en-CA"/>
      </w:rPr>
    </w:pPr>
  </w:p>
  <w:p w:rsidR="0047533D" w:rsidRPr="00DF266B" w:rsidRDefault="0047533D">
    <w:pPr>
      <w:pStyle w:val="Header"/>
      <w:rPr>
        <w:lang w:val="en-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A483B10"/>
    <w:lvl w:ilvl="0">
      <w:start w:val="1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86762E7"/>
    <w:multiLevelType w:val="hybridMultilevel"/>
    <w:tmpl w:val="3C18D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7"/>
  </w:num>
  <w:num w:numId="20">
    <w:abstractNumId w:val="12"/>
  </w:num>
  <w:num w:numId="21">
    <w:abstractNumId w:val="15"/>
  </w:num>
  <w:num w:numId="22">
    <w:abstractNumId w:val="16"/>
  </w:num>
  <w:num w:numId="23">
    <w:abstractNumId w:val="1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qwUAsnCYfywAAAA="/>
  </w:docVars>
  <w:rsids>
    <w:rsidRoot w:val="001D1539"/>
    <w:rsid w:val="00000FED"/>
    <w:rsid w:val="0000434E"/>
    <w:rsid w:val="00011061"/>
    <w:rsid w:val="000211A9"/>
    <w:rsid w:val="00031260"/>
    <w:rsid w:val="0003681A"/>
    <w:rsid w:val="00061EC2"/>
    <w:rsid w:val="00065C85"/>
    <w:rsid w:val="00080ED0"/>
    <w:rsid w:val="00085B8F"/>
    <w:rsid w:val="00090481"/>
    <w:rsid w:val="000A6C26"/>
    <w:rsid w:val="000A7A20"/>
    <w:rsid w:val="000B1594"/>
    <w:rsid w:val="000D52A4"/>
    <w:rsid w:val="000E07BC"/>
    <w:rsid w:val="000F1CD4"/>
    <w:rsid w:val="000F4103"/>
    <w:rsid w:val="000F70A7"/>
    <w:rsid w:val="001051EF"/>
    <w:rsid w:val="00113CCA"/>
    <w:rsid w:val="00122F25"/>
    <w:rsid w:val="00135980"/>
    <w:rsid w:val="00142B91"/>
    <w:rsid w:val="00151675"/>
    <w:rsid w:val="00164719"/>
    <w:rsid w:val="00166FC4"/>
    <w:rsid w:val="001677AC"/>
    <w:rsid w:val="00175DF8"/>
    <w:rsid w:val="001804EA"/>
    <w:rsid w:val="00190A61"/>
    <w:rsid w:val="001A3342"/>
    <w:rsid w:val="001A3E3D"/>
    <w:rsid w:val="001A7049"/>
    <w:rsid w:val="001B1E40"/>
    <w:rsid w:val="001C764E"/>
    <w:rsid w:val="001D1539"/>
    <w:rsid w:val="001E1052"/>
    <w:rsid w:val="001E21B1"/>
    <w:rsid w:val="001E2F93"/>
    <w:rsid w:val="001E61E5"/>
    <w:rsid w:val="001F2159"/>
    <w:rsid w:val="00214863"/>
    <w:rsid w:val="002156B4"/>
    <w:rsid w:val="002228B8"/>
    <w:rsid w:val="00253222"/>
    <w:rsid w:val="00262847"/>
    <w:rsid w:val="00281BB2"/>
    <w:rsid w:val="002B0424"/>
    <w:rsid w:val="002B275A"/>
    <w:rsid w:val="002B72E9"/>
    <w:rsid w:val="002C64C0"/>
    <w:rsid w:val="002C7998"/>
    <w:rsid w:val="002F1E53"/>
    <w:rsid w:val="002F2CAA"/>
    <w:rsid w:val="0030052C"/>
    <w:rsid w:val="003306E1"/>
    <w:rsid w:val="003320E4"/>
    <w:rsid w:val="0033525D"/>
    <w:rsid w:val="003414F3"/>
    <w:rsid w:val="0035613E"/>
    <w:rsid w:val="00363EE9"/>
    <w:rsid w:val="00376128"/>
    <w:rsid w:val="0037742E"/>
    <w:rsid w:val="0038245A"/>
    <w:rsid w:val="00385CFC"/>
    <w:rsid w:val="0039337A"/>
    <w:rsid w:val="003A3189"/>
    <w:rsid w:val="003B33BD"/>
    <w:rsid w:val="003B569D"/>
    <w:rsid w:val="003C3C0E"/>
    <w:rsid w:val="003D4FAC"/>
    <w:rsid w:val="003E7906"/>
    <w:rsid w:val="003F3C50"/>
    <w:rsid w:val="0040395A"/>
    <w:rsid w:val="00406A6A"/>
    <w:rsid w:val="00406B22"/>
    <w:rsid w:val="0040761C"/>
    <w:rsid w:val="004202B5"/>
    <w:rsid w:val="004263E0"/>
    <w:rsid w:val="004328A7"/>
    <w:rsid w:val="00434C74"/>
    <w:rsid w:val="0044288C"/>
    <w:rsid w:val="00456EB4"/>
    <w:rsid w:val="004718F3"/>
    <w:rsid w:val="00475040"/>
    <w:rsid w:val="0047533D"/>
    <w:rsid w:val="00493D40"/>
    <w:rsid w:val="004967B6"/>
    <w:rsid w:val="004A504B"/>
    <w:rsid w:val="004A6911"/>
    <w:rsid w:val="004A7E11"/>
    <w:rsid w:val="004B54E0"/>
    <w:rsid w:val="004B7384"/>
    <w:rsid w:val="004C4269"/>
    <w:rsid w:val="004D6236"/>
    <w:rsid w:val="004D6488"/>
    <w:rsid w:val="004D7F90"/>
    <w:rsid w:val="004E4DBB"/>
    <w:rsid w:val="004E4E41"/>
    <w:rsid w:val="004E7F9C"/>
    <w:rsid w:val="004F3493"/>
    <w:rsid w:val="004F5143"/>
    <w:rsid w:val="00512B09"/>
    <w:rsid w:val="00533796"/>
    <w:rsid w:val="00555D75"/>
    <w:rsid w:val="00560DF0"/>
    <w:rsid w:val="0056759C"/>
    <w:rsid w:val="0057106C"/>
    <w:rsid w:val="0059513E"/>
    <w:rsid w:val="005B48FF"/>
    <w:rsid w:val="005E5268"/>
    <w:rsid w:val="00604929"/>
    <w:rsid w:val="00604C15"/>
    <w:rsid w:val="006158D5"/>
    <w:rsid w:val="00625D83"/>
    <w:rsid w:val="00655879"/>
    <w:rsid w:val="006623E7"/>
    <w:rsid w:val="00662B80"/>
    <w:rsid w:val="00670F6C"/>
    <w:rsid w:val="006852C7"/>
    <w:rsid w:val="006A57AD"/>
    <w:rsid w:val="006A605D"/>
    <w:rsid w:val="006C1727"/>
    <w:rsid w:val="006C32FD"/>
    <w:rsid w:val="006C39CE"/>
    <w:rsid w:val="006D0FCC"/>
    <w:rsid w:val="006E1FC3"/>
    <w:rsid w:val="006F4745"/>
    <w:rsid w:val="0070616B"/>
    <w:rsid w:val="00706FDA"/>
    <w:rsid w:val="00711F9A"/>
    <w:rsid w:val="00713810"/>
    <w:rsid w:val="00723086"/>
    <w:rsid w:val="007303A5"/>
    <w:rsid w:val="00730B3E"/>
    <w:rsid w:val="0073420B"/>
    <w:rsid w:val="00744432"/>
    <w:rsid w:val="0074760E"/>
    <w:rsid w:val="007535E4"/>
    <w:rsid w:val="00754ABA"/>
    <w:rsid w:val="00772ECE"/>
    <w:rsid w:val="00781914"/>
    <w:rsid w:val="007838DD"/>
    <w:rsid w:val="007A1546"/>
    <w:rsid w:val="007A228C"/>
    <w:rsid w:val="007A368E"/>
    <w:rsid w:val="007A5868"/>
    <w:rsid w:val="007B04CE"/>
    <w:rsid w:val="007B199D"/>
    <w:rsid w:val="007B6871"/>
    <w:rsid w:val="007B7A2F"/>
    <w:rsid w:val="007C3D33"/>
    <w:rsid w:val="007D1EED"/>
    <w:rsid w:val="007D294A"/>
    <w:rsid w:val="007D47D2"/>
    <w:rsid w:val="007D6EC0"/>
    <w:rsid w:val="007D7E1D"/>
    <w:rsid w:val="007E5E93"/>
    <w:rsid w:val="00831979"/>
    <w:rsid w:val="00851352"/>
    <w:rsid w:val="00863230"/>
    <w:rsid w:val="008717D8"/>
    <w:rsid w:val="0087215C"/>
    <w:rsid w:val="008769F2"/>
    <w:rsid w:val="00880E35"/>
    <w:rsid w:val="008875FE"/>
    <w:rsid w:val="00887F8E"/>
    <w:rsid w:val="00896234"/>
    <w:rsid w:val="00897E43"/>
    <w:rsid w:val="008C5738"/>
    <w:rsid w:val="008C7EAD"/>
    <w:rsid w:val="008D0CFE"/>
    <w:rsid w:val="008D6152"/>
    <w:rsid w:val="008F0F81"/>
    <w:rsid w:val="008F27BF"/>
    <w:rsid w:val="009045C1"/>
    <w:rsid w:val="009142EC"/>
    <w:rsid w:val="009154C3"/>
    <w:rsid w:val="00923540"/>
    <w:rsid w:val="00926767"/>
    <w:rsid w:val="009361D5"/>
    <w:rsid w:val="009428A4"/>
    <w:rsid w:val="009659F4"/>
    <w:rsid w:val="00970D60"/>
    <w:rsid w:val="009960E5"/>
    <w:rsid w:val="009A7ADC"/>
    <w:rsid w:val="009C19B7"/>
    <w:rsid w:val="009D7C51"/>
    <w:rsid w:val="009E196C"/>
    <w:rsid w:val="009F36BF"/>
    <w:rsid w:val="00A111B6"/>
    <w:rsid w:val="00A26D27"/>
    <w:rsid w:val="00A26E19"/>
    <w:rsid w:val="00A320D2"/>
    <w:rsid w:val="00A376EE"/>
    <w:rsid w:val="00A42A99"/>
    <w:rsid w:val="00A50F92"/>
    <w:rsid w:val="00A5151A"/>
    <w:rsid w:val="00A57E0A"/>
    <w:rsid w:val="00A67988"/>
    <w:rsid w:val="00A823F6"/>
    <w:rsid w:val="00AA0A89"/>
    <w:rsid w:val="00AA6429"/>
    <w:rsid w:val="00AA6FFB"/>
    <w:rsid w:val="00AB269C"/>
    <w:rsid w:val="00AC01AA"/>
    <w:rsid w:val="00AC4F72"/>
    <w:rsid w:val="00AF741A"/>
    <w:rsid w:val="00B01ADB"/>
    <w:rsid w:val="00B04161"/>
    <w:rsid w:val="00B056F9"/>
    <w:rsid w:val="00B11E3D"/>
    <w:rsid w:val="00B17E82"/>
    <w:rsid w:val="00B25724"/>
    <w:rsid w:val="00B4575A"/>
    <w:rsid w:val="00B575BA"/>
    <w:rsid w:val="00B76429"/>
    <w:rsid w:val="00B956D4"/>
    <w:rsid w:val="00B97446"/>
    <w:rsid w:val="00BA7432"/>
    <w:rsid w:val="00BC1AA0"/>
    <w:rsid w:val="00BC2495"/>
    <w:rsid w:val="00BC7EB9"/>
    <w:rsid w:val="00BD2643"/>
    <w:rsid w:val="00BD56B1"/>
    <w:rsid w:val="00BD6558"/>
    <w:rsid w:val="00BF3022"/>
    <w:rsid w:val="00BF3214"/>
    <w:rsid w:val="00BF5573"/>
    <w:rsid w:val="00C15867"/>
    <w:rsid w:val="00C2296D"/>
    <w:rsid w:val="00C23155"/>
    <w:rsid w:val="00C40C41"/>
    <w:rsid w:val="00C45885"/>
    <w:rsid w:val="00C50F22"/>
    <w:rsid w:val="00C57971"/>
    <w:rsid w:val="00C65BD7"/>
    <w:rsid w:val="00C76BA4"/>
    <w:rsid w:val="00C83A48"/>
    <w:rsid w:val="00C85865"/>
    <w:rsid w:val="00C85E85"/>
    <w:rsid w:val="00CA2EAE"/>
    <w:rsid w:val="00CA4AC1"/>
    <w:rsid w:val="00CB0316"/>
    <w:rsid w:val="00CB0B11"/>
    <w:rsid w:val="00CB5354"/>
    <w:rsid w:val="00CC6A14"/>
    <w:rsid w:val="00CC70A3"/>
    <w:rsid w:val="00CD4442"/>
    <w:rsid w:val="00CD53C3"/>
    <w:rsid w:val="00CD574E"/>
    <w:rsid w:val="00CE4C22"/>
    <w:rsid w:val="00CF41EC"/>
    <w:rsid w:val="00CF5D04"/>
    <w:rsid w:val="00D04DE4"/>
    <w:rsid w:val="00D063F1"/>
    <w:rsid w:val="00D14F22"/>
    <w:rsid w:val="00D2442A"/>
    <w:rsid w:val="00D4741C"/>
    <w:rsid w:val="00D57918"/>
    <w:rsid w:val="00D73618"/>
    <w:rsid w:val="00D73DC6"/>
    <w:rsid w:val="00D74C1A"/>
    <w:rsid w:val="00D754C1"/>
    <w:rsid w:val="00D7598F"/>
    <w:rsid w:val="00D77393"/>
    <w:rsid w:val="00D77A35"/>
    <w:rsid w:val="00D81B3E"/>
    <w:rsid w:val="00D90C70"/>
    <w:rsid w:val="00D90E49"/>
    <w:rsid w:val="00D96ADE"/>
    <w:rsid w:val="00DC2203"/>
    <w:rsid w:val="00DC6A10"/>
    <w:rsid w:val="00DD34C7"/>
    <w:rsid w:val="00DE657E"/>
    <w:rsid w:val="00DF266B"/>
    <w:rsid w:val="00DF4704"/>
    <w:rsid w:val="00E024AA"/>
    <w:rsid w:val="00E250F1"/>
    <w:rsid w:val="00E3550D"/>
    <w:rsid w:val="00E51079"/>
    <w:rsid w:val="00E516E9"/>
    <w:rsid w:val="00E614E0"/>
    <w:rsid w:val="00E73F7F"/>
    <w:rsid w:val="00E85409"/>
    <w:rsid w:val="00EA429F"/>
    <w:rsid w:val="00EA4F9E"/>
    <w:rsid w:val="00EA63CA"/>
    <w:rsid w:val="00EA6D3B"/>
    <w:rsid w:val="00EB00AD"/>
    <w:rsid w:val="00EB136C"/>
    <w:rsid w:val="00EB480E"/>
    <w:rsid w:val="00EB5EC6"/>
    <w:rsid w:val="00EB7FC9"/>
    <w:rsid w:val="00EC6F2A"/>
    <w:rsid w:val="00ED27E8"/>
    <w:rsid w:val="00ED7137"/>
    <w:rsid w:val="00F0695F"/>
    <w:rsid w:val="00F21088"/>
    <w:rsid w:val="00F327E7"/>
    <w:rsid w:val="00F35746"/>
    <w:rsid w:val="00F447C7"/>
    <w:rsid w:val="00F5211B"/>
    <w:rsid w:val="00F554A9"/>
    <w:rsid w:val="00F716FD"/>
    <w:rsid w:val="00F80355"/>
    <w:rsid w:val="00F87C43"/>
    <w:rsid w:val="00F97C83"/>
    <w:rsid w:val="00FB0C81"/>
    <w:rsid w:val="00FC2200"/>
    <w:rsid w:val="00FC2540"/>
    <w:rsid w:val="00FD37AF"/>
    <w:rsid w:val="00FF0204"/>
    <w:rsid w:val="00FF1066"/>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19173"/>
  <w15:docId w15:val="{70199055-343B-4CBA-A499-5D92058F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772ECE"/>
    <w:pPr>
      <w:ind w:left="720"/>
      <w:contextualSpacing/>
    </w:pPr>
  </w:style>
  <w:style w:type="paragraph" w:styleId="FootnoteText">
    <w:name w:val="footnote text"/>
    <w:aliases w:val="Fußnotentextf, Char1, Char1 Char Char,Char1,Char1 Char Char"/>
    <w:basedOn w:val="Normal"/>
    <w:link w:val="FootnoteTextChar"/>
    <w:uiPriority w:val="99"/>
    <w:unhideWhenUsed/>
    <w:qFormat/>
    <w:rsid w:val="007535E4"/>
    <w:rPr>
      <w:sz w:val="20"/>
      <w:szCs w:val="20"/>
    </w:rPr>
  </w:style>
  <w:style w:type="character" w:customStyle="1" w:styleId="FootnoteTextChar">
    <w:name w:val="Footnote Text Char"/>
    <w:aliases w:val="Fußnotentextf Char, Char1 Char, Char1 Char Char Char,Char1 Char,Char1 Char Char Char"/>
    <w:basedOn w:val="DefaultParagraphFont"/>
    <w:link w:val="FootnoteText"/>
    <w:uiPriority w:val="99"/>
    <w:rsid w:val="007535E4"/>
    <w:rPr>
      <w:lang w:val="en-GB"/>
    </w:rPr>
  </w:style>
  <w:style w:type="character" w:styleId="FootnoteReference">
    <w:name w:val="footnote reference"/>
    <w:aliases w:val="Footnote text,16 Point,Superscript 6 Point,Footnote Text1,Footnote Text2"/>
    <w:basedOn w:val="DefaultParagraphFont"/>
    <w:uiPriority w:val="99"/>
    <w:unhideWhenUsed/>
    <w:rsid w:val="007535E4"/>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DD34C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2nd\Templates\Eec82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4C8415FE8D8F42AA10616BA921B3F7" ma:contentTypeVersion="5" ma:contentTypeDescription="Create a new document." ma:contentTypeScope="" ma:versionID="89ffa1b3de917aacaf747eb5745ea9f6">
  <xsd:schema xmlns:xsd="http://www.w3.org/2001/XMLSchema" xmlns:p="http://schemas.microsoft.com/office/2006/metadata/properties" xmlns:ns2="6b03d5a6-c642-4a08-93b6-965b66bfac2e" xmlns:ns3="64e33b30-101d-41de-b951-961aab25ea29" xmlns:ns4="89241aeb-a0fc-4d28-aa20-d0d0ed30b803" targetNamespace="http://schemas.microsoft.com/office/2006/metadata/properties" ma:root="true" ma:fieldsID="90a9ee67d4ce4f60fb9ca78fd3b75463" ns2:_="" ns3:_="" ns4:_="">
    <xsd:import namespace="6b03d5a6-c642-4a08-93b6-965b66bfac2e"/>
    <xsd:import namespace="64e33b30-101d-41de-b951-961aab25ea29"/>
    <xsd:import namespace="89241aeb-a0fc-4d28-aa20-d0d0ed30b803"/>
    <xsd:element name="properties">
      <xsd:complexType>
        <xsd:sequence>
          <xsd:element name="documentManagement">
            <xsd:complexType>
              <xsd:all>
                <xsd:element ref="ns2:Document_x0020_Number" minOccurs="0"/>
                <xsd:element ref="ns3:DocumentType" minOccurs="0"/>
                <xsd:element ref="ns4:File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2/"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89241aeb-a0fc-4d28-aa20-d0d0ed30b803" elementFormDefault="qualified">
    <xsd:import namespace="http://schemas.microsoft.com/office/2006/documentManagement/types"/>
    <xsd:element name="FileType" ma:index="10" nillable="true" ma:displayName="FileType" ma:default="Word" ma:description="PDF&#10;Word&#10;Excel" ma:internalName="File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UNEP/OzL.Pro/ExCom/82/68/Corr.1</Document_x0020_Number>
    <FileType xmlns="89241aeb-a0fc-4d28-aa20-d0d0ed30b803">Word</FileType>
    <DocumentType xmlns="64e33b30-101d-41de-b951-961aab25ea29">Pre-session</DocumentType>
  </documentManagement>
</p:properties>
</file>

<file path=customXml/itemProps1.xml><?xml version="1.0" encoding="utf-8"?>
<ds:datastoreItem xmlns:ds="http://schemas.openxmlformats.org/officeDocument/2006/customXml" ds:itemID="{AF9B2C1D-8571-4FD7-877B-338D86D4C19E}"/>
</file>

<file path=customXml/itemProps2.xml><?xml version="1.0" encoding="utf-8"?>
<ds:datastoreItem xmlns:ds="http://schemas.openxmlformats.org/officeDocument/2006/customXml" ds:itemID="{1B9E4F58-E42A-4206-98BE-806D62CC24D7}"/>
</file>

<file path=customXml/itemProps3.xml><?xml version="1.0" encoding="utf-8"?>
<ds:datastoreItem xmlns:ds="http://schemas.openxmlformats.org/officeDocument/2006/customXml" ds:itemID="{7BBB17FA-FFBE-4242-B95A-43221356AD41}"/>
</file>

<file path=customXml/itemProps4.xml><?xml version="1.0" encoding="utf-8"?>
<ds:datastoreItem xmlns:ds="http://schemas.openxmlformats.org/officeDocument/2006/customXml" ds:itemID="{98A5D62C-0D49-45A5-9370-6EED488F03AC}"/>
</file>

<file path=docProps/app.xml><?xml version="1.0" encoding="utf-8"?>
<Properties xmlns="http://schemas.openxmlformats.org/officeDocument/2006/extended-properties" xmlns:vt="http://schemas.openxmlformats.org/officeDocument/2006/docPropsVTypes">
  <Template>Eec82G.dotm</Template>
  <TotalTime>12</TotalTime>
  <Pages>2</Pages>
  <Words>565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Corrigendum - Cost-effective options for controlling HFC-23 by-product emissions (decision 81/68(e))</vt:lpstr>
    </vt:vector>
  </TitlesOfParts>
  <Company>UNMFS</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Cost-effective options for controlling HFC-23 by-product emissions (decision 81/68(e))</dc:title>
  <dc:subject>82nd ExCom</dc:subject>
  <dc:creator>Patricia Chau</dc:creator>
  <cp:lastModifiedBy>Patricia Chau</cp:lastModifiedBy>
  <cp:revision>5</cp:revision>
  <cp:lastPrinted>2018-11-23T13:57:00Z</cp:lastPrinted>
  <dcterms:created xsi:type="dcterms:W3CDTF">2018-11-23T15:40:00Z</dcterms:created>
  <dcterms:modified xsi:type="dcterms:W3CDTF">2018-11-23T20:26:00Z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UNEP/OzL.Pro/ExCom/82/68/Corr.1</vt:lpwstr>
  </property>
  <property fmtid="{D5CDD505-2E9C-101B-9397-08002B2CF9AE}" pid="3" name="Revision date">
    <vt:lpwstr>11/23/2018</vt:lpwstr>
  </property>
  <property fmtid="{D5CDD505-2E9C-101B-9397-08002B2CF9AE}" pid="4" name="ContentTypeId">
    <vt:lpwstr>0x010100E84C8415FE8D8F42AA10616BA921B3F7</vt:lpwstr>
  </property>
</Properties>
</file>