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3155FE">
        <w:trPr>
          <w:trHeight w:val="720"/>
        </w:trPr>
        <w:tc>
          <w:tcPr>
            <w:tcW w:w="5490" w:type="dxa"/>
            <w:gridSpan w:val="2"/>
            <w:tcBorders>
              <w:bottom w:val="single" w:sz="18" w:space="0" w:color="auto"/>
            </w:tcBorders>
          </w:tcPr>
          <w:p w:rsidR="00C15867" w:rsidRPr="0000434E" w:rsidRDefault="00C15867" w:rsidP="003155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3155FE">
            <w:pPr>
              <w:jc w:val="right"/>
              <w:rPr>
                <w:sz w:val="52"/>
                <w:szCs w:val="52"/>
              </w:rPr>
            </w:pPr>
            <w:r>
              <w:rPr>
                <w:rFonts w:ascii="Univers Bold" w:hAnsi="Univers Bold"/>
                <w:b/>
                <w:sz w:val="72"/>
              </w:rPr>
              <w:t>EP</w:t>
            </w:r>
          </w:p>
        </w:tc>
      </w:tr>
      <w:tr w:rsidR="00C15867" w:rsidTr="00315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9E7A71" w:rsidP="003155FE">
            <w:pPr>
              <w:spacing w:before="120"/>
            </w:pPr>
            <w:r>
              <w:rPr>
                <w:noProof/>
                <w:lang w:val="en-US"/>
              </w:rPr>
              <w:drawing>
                <wp:anchor distT="0" distB="0" distL="114300" distR="114300" simplePos="0" relativeHeight="251661312" behindDoc="1" locked="0" layoutInCell="0" allowOverlap="1" wp14:anchorId="14788B12" wp14:editId="6F7BFD37">
                  <wp:simplePos x="0" y="0"/>
                  <wp:positionH relativeFrom="column">
                    <wp:posOffset>15240</wp:posOffset>
                  </wp:positionH>
                  <wp:positionV relativeFrom="paragraph">
                    <wp:posOffset>99060</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22960" cy="731520"/>
                          </a:xfrm>
                          <a:prstGeom prst="rect">
                            <a:avLst/>
                          </a:prstGeom>
                          <a:noFill/>
                        </pic:spPr>
                      </pic:pic>
                    </a:graphicData>
                  </a:graphic>
                </wp:anchor>
              </w:drawing>
            </w:r>
            <w:r w:rsidR="00C15867">
              <w:rPr>
                <w:noProof/>
                <w:lang w:val="en-US"/>
              </w:rPr>
              <w:drawing>
                <wp:anchor distT="0" distB="0" distL="114300" distR="114300" simplePos="0" relativeHeight="251660288" behindDoc="0" locked="0" layoutInCell="1" allowOverlap="1" wp14:anchorId="102FADBB" wp14:editId="102899E8">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rsidR="00C15867" w:rsidRDefault="00C15867" w:rsidP="003155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3155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3155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3155FE">
            <w:pPr>
              <w:spacing w:before="720"/>
              <w:ind w:left="158"/>
            </w:pPr>
          </w:p>
        </w:tc>
        <w:tc>
          <w:tcPr>
            <w:tcW w:w="4590" w:type="dxa"/>
            <w:tcBorders>
              <w:top w:val="nil"/>
              <w:left w:val="nil"/>
              <w:bottom w:val="single" w:sz="36" w:space="0" w:color="auto"/>
              <w:right w:val="nil"/>
            </w:tcBorders>
          </w:tcPr>
          <w:p w:rsidR="00C15867" w:rsidRPr="0033525D" w:rsidRDefault="00C15867" w:rsidP="003155FE">
            <w:r w:rsidRPr="0033525D">
              <w:t>Distr.</w:t>
            </w:r>
          </w:p>
          <w:p w:rsidR="00923540" w:rsidRPr="0033525D" w:rsidRDefault="00923540" w:rsidP="00923540">
            <w:r w:rsidRPr="0033525D">
              <w:t>GENERAL</w:t>
            </w:r>
          </w:p>
          <w:p w:rsidR="00C15867" w:rsidRPr="0033525D" w:rsidRDefault="00C15867" w:rsidP="003155FE"/>
          <w:p w:rsidR="00C15867" w:rsidRPr="003F73BA" w:rsidRDefault="00C15867" w:rsidP="003155FE"/>
          <w:p w:rsidR="00C15867" w:rsidRPr="003F73BA" w:rsidRDefault="00163541" w:rsidP="003155FE">
            <w:r>
              <w:fldChar w:fldCharType="begin"/>
            </w:r>
            <w:r>
              <w:instrText xml:space="preserve"> DOCPROPERTY "Document number"  \* MERGEFORMAT </w:instrText>
            </w:r>
            <w:r>
              <w:fldChar w:fldCharType="separate"/>
            </w:r>
            <w:r w:rsidR="00FA1338">
              <w:t>UNEP/</w:t>
            </w:r>
            <w:proofErr w:type="spellStart"/>
            <w:r w:rsidR="00FA1338">
              <w:t>OzL.Pro</w:t>
            </w:r>
            <w:proofErr w:type="spellEnd"/>
            <w:r w:rsidR="00FA1338">
              <w:t>/</w:t>
            </w:r>
            <w:proofErr w:type="spellStart"/>
            <w:r w:rsidR="00FA1338">
              <w:t>ExCom</w:t>
            </w:r>
            <w:proofErr w:type="spellEnd"/>
            <w:r w:rsidR="00FA1338">
              <w:t>/81/49</w:t>
            </w:r>
            <w:r>
              <w:fldChar w:fldCharType="end"/>
            </w:r>
          </w:p>
          <w:p w:rsidR="00C15867" w:rsidRPr="003F73BA" w:rsidRDefault="00BC2495" w:rsidP="003155FE">
            <w:r>
              <w:fldChar w:fldCharType="begin"/>
            </w:r>
            <w:r w:rsidR="00851352">
              <w:instrText xml:space="preserve"> DOCPROPERTY "Revision date" \@ "d MMMM YYYY"  \* MERGEFORMAT </w:instrText>
            </w:r>
            <w:r>
              <w:fldChar w:fldCharType="separate"/>
            </w:r>
            <w:r w:rsidR="00FA1338">
              <w:t>22 May 2018</w:t>
            </w:r>
            <w:r>
              <w:fldChar w:fldCharType="end"/>
            </w:r>
          </w:p>
          <w:p w:rsidR="00C15867" w:rsidRPr="00000FED" w:rsidRDefault="00C15867" w:rsidP="003155FE">
            <w:pPr>
              <w:rPr>
                <w:caps/>
              </w:rPr>
            </w:pPr>
          </w:p>
          <w:p w:rsidR="00C15867" w:rsidRDefault="00C15867" w:rsidP="003155FE">
            <w:r w:rsidRPr="0033525D">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 xml:space="preserve">Eighty-first </w:t>
      </w:r>
      <w:r w:rsidR="009E196C">
        <w:t>Meeting</w:t>
      </w:r>
    </w:p>
    <w:p w:rsidR="009E196C" w:rsidRPr="006C39CE" w:rsidRDefault="009E196C" w:rsidP="009E196C">
      <w:pPr>
        <w:jc w:val="left"/>
        <w:rPr>
          <w:lang w:val="en-CA"/>
        </w:rPr>
      </w:pPr>
      <w:r>
        <w:rPr>
          <w:lang w:val="en-CA"/>
        </w:rPr>
        <w:t>Montreal</w:t>
      </w:r>
      <w:r w:rsidRPr="00042E3E">
        <w:rPr>
          <w:lang w:val="en-CA"/>
        </w:rPr>
        <w:t xml:space="preserve">, </w:t>
      </w:r>
      <w:r>
        <w:t>18-22 June 2018</w:t>
      </w:r>
    </w:p>
    <w:p w:rsidR="00C15867" w:rsidRPr="00765DE4" w:rsidRDefault="00C15867" w:rsidP="009960E5">
      <w:pPr>
        <w:jc w:val="left"/>
        <w:rPr>
          <w:lang w:val="en-US"/>
        </w:rPr>
      </w:pPr>
    </w:p>
    <w:p w:rsidR="004E7F9C" w:rsidRDefault="004E7F9C" w:rsidP="004E7F9C">
      <w:pPr>
        <w:pStyle w:val="Title1"/>
      </w:pPr>
    </w:p>
    <w:p w:rsidR="004E7F9C" w:rsidRDefault="004E7F9C" w:rsidP="004E7F9C">
      <w:pPr>
        <w:pStyle w:val="Title1"/>
      </w:pPr>
    </w:p>
    <w:p w:rsidR="004E7F9C" w:rsidRDefault="004E7F9C" w:rsidP="004E7F9C">
      <w:pPr>
        <w:pStyle w:val="Heading1"/>
        <w:numPr>
          <w:ilvl w:val="0"/>
          <w:numId w:val="0"/>
        </w:numPr>
      </w:pPr>
    </w:p>
    <w:p w:rsidR="009E7A71" w:rsidRPr="00C32095" w:rsidRDefault="009E7A71" w:rsidP="009E7A71">
      <w:pPr>
        <w:jc w:val="center"/>
        <w:rPr>
          <w:b/>
        </w:rPr>
      </w:pPr>
      <w:r w:rsidRPr="00C32095">
        <w:rPr>
          <w:b/>
        </w:rPr>
        <w:t xml:space="preserve">PROJECT PROPOSAL:  </w:t>
      </w:r>
      <w:r>
        <w:rPr>
          <w:b/>
        </w:rPr>
        <w:t>SURINAME</w:t>
      </w:r>
    </w:p>
    <w:p w:rsidR="008C5738" w:rsidRDefault="008C5738" w:rsidP="002A4A19">
      <w:pPr>
        <w:pStyle w:val="StyleHeader4Para4Left0Firstline0"/>
        <w:numPr>
          <w:ilvl w:val="0"/>
          <w:numId w:val="0"/>
        </w:numPr>
        <w:spacing w:line="360" w:lineRule="auto"/>
      </w:pPr>
    </w:p>
    <w:p w:rsidR="009E7A71" w:rsidRPr="00C32095" w:rsidRDefault="009E7A71" w:rsidP="00D92E57">
      <w:pPr>
        <w:ind w:firstLine="720"/>
      </w:pPr>
      <w:r w:rsidRPr="00C32095">
        <w:t xml:space="preserve">This document consists of the comments and recommendation of the Secretariat on the following project proposal: </w:t>
      </w:r>
    </w:p>
    <w:p w:rsidR="009E7A71" w:rsidRPr="00C32095" w:rsidRDefault="009E7A71" w:rsidP="002A4A19">
      <w:pPr>
        <w:spacing w:line="360" w:lineRule="auto"/>
      </w:pPr>
    </w:p>
    <w:p w:rsidR="009E7A71" w:rsidRDefault="009E7A71" w:rsidP="009E7A71">
      <w:pPr>
        <w:pStyle w:val="StyleHeader4Para4Left0Firstline0"/>
        <w:numPr>
          <w:ilvl w:val="0"/>
          <w:numId w:val="0"/>
        </w:numPr>
        <w:rPr>
          <w:u w:val="single"/>
        </w:rPr>
      </w:pPr>
      <w:r w:rsidRPr="00C32095">
        <w:rPr>
          <w:u w:val="single"/>
        </w:rPr>
        <w:t>Phase-out</w:t>
      </w:r>
    </w:p>
    <w:tbl>
      <w:tblPr>
        <w:tblW w:w="0" w:type="auto"/>
        <w:tblLook w:val="0000" w:firstRow="0" w:lastRow="0" w:firstColumn="0" w:lastColumn="0" w:noHBand="0" w:noVBand="0"/>
      </w:tblPr>
      <w:tblGrid>
        <w:gridCol w:w="465"/>
        <w:gridCol w:w="6092"/>
        <w:gridCol w:w="2803"/>
      </w:tblGrid>
      <w:tr w:rsidR="009E7A71" w:rsidRPr="00C32095" w:rsidTr="003155FE">
        <w:trPr>
          <w:cantSplit/>
        </w:trPr>
        <w:tc>
          <w:tcPr>
            <w:tcW w:w="468" w:type="dxa"/>
          </w:tcPr>
          <w:p w:rsidR="009E7A71" w:rsidRPr="00C32095" w:rsidRDefault="009E7A71" w:rsidP="009E7A71">
            <w:pPr>
              <w:numPr>
                <w:ilvl w:val="0"/>
                <w:numId w:val="21"/>
              </w:numPr>
              <w:tabs>
                <w:tab w:val="num" w:pos="360"/>
              </w:tabs>
              <w:ind w:left="360"/>
              <w:jc w:val="left"/>
            </w:pPr>
          </w:p>
        </w:tc>
        <w:tc>
          <w:tcPr>
            <w:tcW w:w="6161" w:type="dxa"/>
          </w:tcPr>
          <w:p w:rsidR="009E7A71" w:rsidRPr="00C32095" w:rsidRDefault="009E7A71" w:rsidP="003155FE">
            <w:pPr>
              <w:ind w:right="-18"/>
              <w:rPr>
                <w:szCs w:val="24"/>
              </w:rPr>
            </w:pPr>
            <w:r w:rsidRPr="00C32095">
              <w:t xml:space="preserve">HCFC phase-out management plan (stage I, </w:t>
            </w:r>
            <w:r>
              <w:t>third</w:t>
            </w:r>
            <w:r w:rsidRPr="00C32095">
              <w:t> tranche)</w:t>
            </w:r>
          </w:p>
        </w:tc>
        <w:tc>
          <w:tcPr>
            <w:tcW w:w="2839" w:type="dxa"/>
          </w:tcPr>
          <w:p w:rsidR="009E7A71" w:rsidRPr="00C32095" w:rsidRDefault="009E7A71" w:rsidP="00717F45">
            <w:pPr>
              <w:ind w:left="-558"/>
              <w:jc w:val="right"/>
              <w:rPr>
                <w:snapToGrid w:val="0"/>
                <w:color w:val="000000"/>
                <w:highlight w:val="cyan"/>
              </w:rPr>
            </w:pPr>
            <w:r>
              <w:t>UNEP</w:t>
            </w:r>
            <w:r w:rsidR="00717F45">
              <w:t xml:space="preserve"> and </w:t>
            </w:r>
            <w:r>
              <w:t>UNIDO</w:t>
            </w:r>
          </w:p>
        </w:tc>
      </w:tr>
    </w:tbl>
    <w:p w:rsidR="009E7A71" w:rsidRDefault="009E7A71" w:rsidP="009E7A71">
      <w:pPr>
        <w:pStyle w:val="StyleHeader4Para4Left0Firstline0"/>
        <w:numPr>
          <w:ilvl w:val="0"/>
          <w:numId w:val="0"/>
        </w:numPr>
      </w:pPr>
    </w:p>
    <w:p w:rsidR="008C5738" w:rsidRDefault="004E7F9C" w:rsidP="004E7F9C">
      <w:pPr>
        <w:pStyle w:val="StyleHeader4Para4Left0Firstline0"/>
        <w:numPr>
          <w:ilvl w:val="0"/>
          <w:numId w:val="0"/>
        </w:numPr>
      </w:pPr>
      <w:r>
        <w:br w:type="page"/>
      </w:r>
    </w:p>
    <w:p w:rsidR="009E7A71" w:rsidRDefault="009E7A71" w:rsidP="009E7A71">
      <w:pPr>
        <w:spacing w:after="80"/>
        <w:jc w:val="center"/>
        <w:rPr>
          <w:b/>
          <w:sz w:val="24"/>
        </w:rPr>
      </w:pPr>
      <w:r w:rsidRPr="003E57C8">
        <w:rPr>
          <w:b/>
          <w:sz w:val="24"/>
        </w:rPr>
        <w:lastRenderedPageBreak/>
        <w:t>PROJECT EVALUATION SHEET – MULTI-YEAR PROJECTS</w:t>
      </w:r>
    </w:p>
    <w:p w:rsidR="009E7A71" w:rsidRPr="00654F5E" w:rsidRDefault="009E7A71" w:rsidP="009E7A71">
      <w:pPr>
        <w:spacing w:after="80"/>
        <w:jc w:val="center"/>
      </w:pPr>
      <w:r w:rsidRPr="003E57C8">
        <w:rPr>
          <w:b/>
          <w:sz w:val="24"/>
        </w:rPr>
        <w:t>Suriname</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85"/>
        <w:gridCol w:w="2463"/>
        <w:gridCol w:w="2542"/>
        <w:gridCol w:w="2510"/>
      </w:tblGrid>
      <w:tr w:rsidR="009E7A71" w:rsidRPr="003E57C8" w:rsidTr="003155FE">
        <w:trPr>
          <w:trHeight w:val="240"/>
        </w:trPr>
        <w:tc>
          <w:tcPr>
            <w:tcW w:w="3294" w:type="dxa"/>
            <w:shd w:val="clear" w:color="auto" w:fill="auto"/>
          </w:tcPr>
          <w:p w:rsidR="009E7A71" w:rsidRPr="003E57C8" w:rsidRDefault="009E7A71" w:rsidP="003155FE">
            <w:pPr>
              <w:spacing w:after="80"/>
              <w:jc w:val="left"/>
              <w:rPr>
                <w:b/>
                <w:sz w:val="18"/>
              </w:rPr>
            </w:pPr>
            <w:r w:rsidRPr="003E57C8">
              <w:rPr>
                <w:b/>
                <w:sz w:val="18"/>
              </w:rPr>
              <w:t>(I) PROJECT TITLE</w:t>
            </w:r>
          </w:p>
        </w:tc>
        <w:tc>
          <w:tcPr>
            <w:tcW w:w="3294" w:type="dxa"/>
            <w:shd w:val="clear" w:color="auto" w:fill="auto"/>
          </w:tcPr>
          <w:p w:rsidR="009E7A71" w:rsidRPr="003E57C8" w:rsidRDefault="009E7A71" w:rsidP="003155FE">
            <w:pPr>
              <w:spacing w:after="80"/>
              <w:jc w:val="center"/>
              <w:rPr>
                <w:b/>
                <w:sz w:val="18"/>
              </w:rPr>
            </w:pPr>
            <w:r w:rsidRPr="003E57C8">
              <w:rPr>
                <w:b/>
                <w:sz w:val="18"/>
              </w:rPr>
              <w:t>AGENCY</w:t>
            </w:r>
          </w:p>
        </w:tc>
        <w:tc>
          <w:tcPr>
            <w:tcW w:w="3294" w:type="dxa"/>
            <w:shd w:val="clear" w:color="auto" w:fill="auto"/>
          </w:tcPr>
          <w:p w:rsidR="009E7A71" w:rsidRPr="003E57C8" w:rsidRDefault="009E7A71" w:rsidP="003155FE">
            <w:pPr>
              <w:spacing w:after="80"/>
              <w:jc w:val="center"/>
              <w:rPr>
                <w:b/>
                <w:sz w:val="18"/>
              </w:rPr>
            </w:pPr>
            <w:r w:rsidRPr="003E57C8">
              <w:rPr>
                <w:b/>
                <w:sz w:val="18"/>
              </w:rPr>
              <w:t>MEETING APPROVED</w:t>
            </w:r>
          </w:p>
        </w:tc>
        <w:tc>
          <w:tcPr>
            <w:tcW w:w="3294" w:type="dxa"/>
            <w:shd w:val="clear" w:color="auto" w:fill="auto"/>
          </w:tcPr>
          <w:p w:rsidR="009E7A71" w:rsidRPr="003E57C8" w:rsidRDefault="009E7A71" w:rsidP="003155FE">
            <w:pPr>
              <w:spacing w:after="80"/>
              <w:jc w:val="center"/>
              <w:rPr>
                <w:b/>
                <w:sz w:val="18"/>
              </w:rPr>
            </w:pPr>
            <w:r w:rsidRPr="003E57C8">
              <w:rPr>
                <w:b/>
                <w:sz w:val="18"/>
              </w:rPr>
              <w:t>CONTROL MEASURE</w:t>
            </w:r>
          </w:p>
        </w:tc>
      </w:tr>
      <w:tr w:rsidR="009E7A71" w:rsidRPr="003E57C8" w:rsidTr="003155FE">
        <w:trPr>
          <w:trHeight w:val="240"/>
        </w:trPr>
        <w:tc>
          <w:tcPr>
            <w:tcW w:w="3294" w:type="dxa"/>
            <w:shd w:val="clear" w:color="auto" w:fill="auto"/>
          </w:tcPr>
          <w:p w:rsidR="009E7A71" w:rsidRPr="003E57C8" w:rsidRDefault="009E7A71" w:rsidP="003155FE">
            <w:pPr>
              <w:spacing w:after="80"/>
              <w:jc w:val="center"/>
              <w:rPr>
                <w:sz w:val="18"/>
              </w:rPr>
            </w:pPr>
            <w:r>
              <w:rPr>
                <w:sz w:val="18"/>
              </w:rPr>
              <w:t>HCFC phase out plan (Stage I)</w:t>
            </w:r>
          </w:p>
        </w:tc>
        <w:tc>
          <w:tcPr>
            <w:tcW w:w="3294" w:type="dxa"/>
            <w:shd w:val="clear" w:color="auto" w:fill="auto"/>
          </w:tcPr>
          <w:p w:rsidR="009E7A71" w:rsidRPr="003E57C8" w:rsidRDefault="009E7A71" w:rsidP="003155FE">
            <w:pPr>
              <w:spacing w:after="80"/>
              <w:jc w:val="center"/>
              <w:rPr>
                <w:sz w:val="18"/>
              </w:rPr>
            </w:pPr>
            <w:r>
              <w:rPr>
                <w:sz w:val="18"/>
              </w:rPr>
              <w:t>UNEP (lead), UNIDO</w:t>
            </w:r>
          </w:p>
        </w:tc>
        <w:tc>
          <w:tcPr>
            <w:tcW w:w="3294" w:type="dxa"/>
            <w:shd w:val="clear" w:color="auto" w:fill="auto"/>
          </w:tcPr>
          <w:p w:rsidR="009E7A71" w:rsidRPr="003E57C8" w:rsidRDefault="009E7A71" w:rsidP="003155FE">
            <w:pPr>
              <w:spacing w:after="80"/>
              <w:jc w:val="center"/>
              <w:rPr>
                <w:sz w:val="18"/>
              </w:rPr>
            </w:pPr>
            <w:r>
              <w:rPr>
                <w:sz w:val="18"/>
              </w:rPr>
              <w:t>65</w:t>
            </w:r>
            <w:r w:rsidRPr="001D06E3">
              <w:rPr>
                <w:sz w:val="18"/>
                <w:vertAlign w:val="superscript"/>
              </w:rPr>
              <w:t>th</w:t>
            </w:r>
          </w:p>
        </w:tc>
        <w:tc>
          <w:tcPr>
            <w:tcW w:w="3294" w:type="dxa"/>
            <w:shd w:val="clear" w:color="auto" w:fill="auto"/>
          </w:tcPr>
          <w:p w:rsidR="009E7A71" w:rsidRPr="003E57C8" w:rsidRDefault="009E7A71" w:rsidP="003155FE">
            <w:pPr>
              <w:spacing w:after="80"/>
              <w:jc w:val="center"/>
              <w:rPr>
                <w:sz w:val="18"/>
              </w:rPr>
            </w:pPr>
            <w:r>
              <w:rPr>
                <w:sz w:val="18"/>
              </w:rPr>
              <w:t>35% by 2020</w:t>
            </w:r>
          </w:p>
        </w:tc>
      </w:tr>
    </w:tbl>
    <w:p w:rsidR="009E7A71" w:rsidRDefault="009E7A71" w:rsidP="009E7A71">
      <w:pPr>
        <w:spacing w:after="60"/>
        <w:jc w:val="cente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43"/>
        <w:gridCol w:w="794"/>
        <w:gridCol w:w="634"/>
        <w:gridCol w:w="906"/>
        <w:gridCol w:w="1301"/>
        <w:gridCol w:w="453"/>
        <w:gridCol w:w="453"/>
        <w:gridCol w:w="1289"/>
        <w:gridCol w:w="453"/>
        <w:gridCol w:w="453"/>
        <w:gridCol w:w="587"/>
        <w:gridCol w:w="1434"/>
      </w:tblGrid>
      <w:tr w:rsidR="009E7A71" w:rsidRPr="003E57C8" w:rsidTr="003155FE">
        <w:trPr>
          <w:trHeight w:val="240"/>
        </w:trPr>
        <w:tc>
          <w:tcPr>
            <w:tcW w:w="5200" w:type="dxa"/>
            <w:gridSpan w:val="6"/>
            <w:shd w:val="clear" w:color="auto" w:fill="auto"/>
          </w:tcPr>
          <w:p w:rsidR="009E7A71" w:rsidRPr="003E57C8" w:rsidRDefault="009E7A71" w:rsidP="003155FE">
            <w:pPr>
              <w:spacing w:after="60"/>
              <w:jc w:val="left"/>
              <w:rPr>
                <w:b/>
                <w:sz w:val="18"/>
              </w:rPr>
            </w:pPr>
            <w:r w:rsidRPr="003E57C8">
              <w:rPr>
                <w:b/>
                <w:sz w:val="18"/>
              </w:rPr>
              <w:t>(II) LATEST ARTICLE 7 DATA (Annex C Group l)</w:t>
            </w:r>
          </w:p>
        </w:tc>
        <w:tc>
          <w:tcPr>
            <w:tcW w:w="2400" w:type="dxa"/>
            <w:gridSpan w:val="3"/>
            <w:shd w:val="clear" w:color="auto" w:fill="auto"/>
          </w:tcPr>
          <w:p w:rsidR="009E7A71" w:rsidRPr="003E57C8" w:rsidRDefault="009E7A71" w:rsidP="003155FE">
            <w:pPr>
              <w:spacing w:after="60"/>
              <w:jc w:val="center"/>
              <w:rPr>
                <w:sz w:val="18"/>
              </w:rPr>
            </w:pPr>
            <w:r>
              <w:rPr>
                <w:sz w:val="18"/>
              </w:rPr>
              <w:t>Year: 2016</w:t>
            </w:r>
          </w:p>
        </w:tc>
        <w:tc>
          <w:tcPr>
            <w:tcW w:w="2400" w:type="dxa"/>
            <w:gridSpan w:val="3"/>
            <w:shd w:val="clear" w:color="auto" w:fill="auto"/>
          </w:tcPr>
          <w:p w:rsidR="009E7A71" w:rsidRPr="003E57C8" w:rsidRDefault="009E7A71" w:rsidP="003155FE">
            <w:pPr>
              <w:spacing w:after="60"/>
              <w:jc w:val="right"/>
              <w:rPr>
                <w:sz w:val="18"/>
              </w:rPr>
            </w:pPr>
            <w:r>
              <w:rPr>
                <w:sz w:val="18"/>
              </w:rPr>
              <w:t>0.99 (ODP tonnes)</w:t>
            </w:r>
          </w:p>
        </w:tc>
      </w:tr>
      <w:tr w:rsidR="009E7A71" w:rsidRPr="003E57C8" w:rsidTr="003155FE">
        <w:trPr>
          <w:trHeight w:val="240"/>
        </w:trPr>
        <w:tc>
          <w:tcPr>
            <w:tcW w:w="0" w:type="auto"/>
            <w:gridSpan w:val="10"/>
            <w:shd w:val="clear" w:color="auto" w:fill="auto"/>
          </w:tcPr>
          <w:p w:rsidR="009E7A71" w:rsidRPr="003E57C8" w:rsidRDefault="009E7A71" w:rsidP="003155FE">
            <w:pPr>
              <w:spacing w:after="60"/>
              <w:jc w:val="left"/>
              <w:rPr>
                <w:b/>
                <w:sz w:val="18"/>
              </w:rPr>
            </w:pPr>
            <w:r w:rsidRPr="003E57C8">
              <w:rPr>
                <w:b/>
                <w:sz w:val="18"/>
              </w:rPr>
              <w:t>(III) LATEST COUNTRY PROGRAMME SECTORAL DATA (ODP tonnes)</w:t>
            </w:r>
          </w:p>
        </w:tc>
        <w:tc>
          <w:tcPr>
            <w:tcW w:w="0" w:type="auto"/>
            <w:gridSpan w:val="2"/>
            <w:shd w:val="clear" w:color="auto" w:fill="auto"/>
          </w:tcPr>
          <w:p w:rsidR="009E7A71" w:rsidRPr="003E57C8" w:rsidRDefault="009E7A71" w:rsidP="003155FE">
            <w:pPr>
              <w:spacing w:after="60"/>
              <w:jc w:val="right"/>
              <w:rPr>
                <w:b/>
                <w:sz w:val="18"/>
              </w:rPr>
            </w:pPr>
            <w:r w:rsidRPr="003E57C8">
              <w:rPr>
                <w:b/>
                <w:sz w:val="18"/>
              </w:rPr>
              <w:t>Year: 201</w:t>
            </w:r>
            <w:r>
              <w:rPr>
                <w:b/>
                <w:sz w:val="18"/>
              </w:rPr>
              <w:t>7</w:t>
            </w:r>
          </w:p>
        </w:tc>
      </w:tr>
      <w:tr w:rsidR="009E7A71" w:rsidRPr="003E57C8" w:rsidTr="003155FE">
        <w:trPr>
          <w:trHeight w:val="240"/>
        </w:trPr>
        <w:tc>
          <w:tcPr>
            <w:tcW w:w="0" w:type="auto"/>
            <w:shd w:val="clear" w:color="auto" w:fill="auto"/>
          </w:tcPr>
          <w:p w:rsidR="009E7A71" w:rsidRPr="003E57C8" w:rsidRDefault="009E7A71" w:rsidP="003155FE">
            <w:pPr>
              <w:spacing w:after="60"/>
              <w:jc w:val="center"/>
              <w:rPr>
                <w:sz w:val="18"/>
              </w:rPr>
            </w:pPr>
            <w:r>
              <w:rPr>
                <w:sz w:val="18"/>
              </w:rPr>
              <w:t>Chemical</w:t>
            </w:r>
          </w:p>
        </w:tc>
        <w:tc>
          <w:tcPr>
            <w:tcW w:w="0" w:type="auto"/>
            <w:shd w:val="clear" w:color="auto" w:fill="auto"/>
          </w:tcPr>
          <w:p w:rsidR="009E7A71" w:rsidRPr="003E57C8" w:rsidRDefault="009E7A71" w:rsidP="003155FE">
            <w:pPr>
              <w:spacing w:after="60"/>
              <w:jc w:val="center"/>
              <w:rPr>
                <w:sz w:val="18"/>
              </w:rPr>
            </w:pPr>
            <w:r>
              <w:rPr>
                <w:sz w:val="18"/>
              </w:rPr>
              <w:t>Aerosol</w:t>
            </w:r>
          </w:p>
        </w:tc>
        <w:tc>
          <w:tcPr>
            <w:tcW w:w="0" w:type="auto"/>
            <w:shd w:val="clear" w:color="auto" w:fill="auto"/>
          </w:tcPr>
          <w:p w:rsidR="009E7A71" w:rsidRPr="003E57C8" w:rsidRDefault="009E7A71" w:rsidP="003155FE">
            <w:pPr>
              <w:spacing w:after="60"/>
              <w:jc w:val="center"/>
              <w:rPr>
                <w:sz w:val="18"/>
              </w:rPr>
            </w:pPr>
            <w:r>
              <w:rPr>
                <w:sz w:val="18"/>
              </w:rPr>
              <w:t>Foam</w:t>
            </w:r>
          </w:p>
        </w:tc>
        <w:tc>
          <w:tcPr>
            <w:tcW w:w="0" w:type="auto"/>
            <w:shd w:val="clear" w:color="auto" w:fill="auto"/>
          </w:tcPr>
          <w:p w:rsidR="009E7A71" w:rsidRPr="003E57C8" w:rsidRDefault="009E7A71" w:rsidP="003155FE">
            <w:pPr>
              <w:spacing w:after="60"/>
              <w:jc w:val="center"/>
              <w:rPr>
                <w:sz w:val="18"/>
              </w:rPr>
            </w:pPr>
            <w:r>
              <w:rPr>
                <w:sz w:val="18"/>
              </w:rPr>
              <w:t>Fire fighting</w:t>
            </w:r>
          </w:p>
        </w:tc>
        <w:tc>
          <w:tcPr>
            <w:tcW w:w="0" w:type="auto"/>
            <w:gridSpan w:val="3"/>
            <w:shd w:val="clear" w:color="auto" w:fill="auto"/>
          </w:tcPr>
          <w:p w:rsidR="009E7A71" w:rsidRPr="003E57C8" w:rsidRDefault="009E7A71" w:rsidP="003155FE">
            <w:pPr>
              <w:spacing w:after="60"/>
              <w:jc w:val="center"/>
              <w:rPr>
                <w:sz w:val="18"/>
              </w:rPr>
            </w:pPr>
            <w:r>
              <w:rPr>
                <w:sz w:val="18"/>
              </w:rPr>
              <w:t>Refrigeration</w:t>
            </w:r>
          </w:p>
        </w:tc>
        <w:tc>
          <w:tcPr>
            <w:tcW w:w="0" w:type="auto"/>
            <w:shd w:val="clear" w:color="auto" w:fill="auto"/>
          </w:tcPr>
          <w:p w:rsidR="009E7A71" w:rsidRPr="003E57C8" w:rsidRDefault="009E7A71" w:rsidP="003155FE">
            <w:pPr>
              <w:spacing w:after="60"/>
              <w:jc w:val="center"/>
              <w:rPr>
                <w:sz w:val="18"/>
              </w:rPr>
            </w:pPr>
            <w:r>
              <w:rPr>
                <w:sz w:val="18"/>
              </w:rPr>
              <w:t>Solvent</w:t>
            </w:r>
          </w:p>
        </w:tc>
        <w:tc>
          <w:tcPr>
            <w:tcW w:w="0" w:type="auto"/>
            <w:gridSpan w:val="2"/>
            <w:shd w:val="clear" w:color="auto" w:fill="auto"/>
          </w:tcPr>
          <w:p w:rsidR="009E7A71" w:rsidRPr="003E57C8" w:rsidRDefault="009E7A71" w:rsidP="003155FE">
            <w:pPr>
              <w:spacing w:after="60"/>
              <w:jc w:val="center"/>
              <w:rPr>
                <w:sz w:val="18"/>
              </w:rPr>
            </w:pPr>
            <w:r>
              <w:rPr>
                <w:sz w:val="18"/>
              </w:rPr>
              <w:t>Process agent</w:t>
            </w:r>
          </w:p>
        </w:tc>
        <w:tc>
          <w:tcPr>
            <w:tcW w:w="0" w:type="auto"/>
            <w:shd w:val="clear" w:color="auto" w:fill="auto"/>
          </w:tcPr>
          <w:p w:rsidR="009E7A71" w:rsidRPr="003E57C8" w:rsidRDefault="009E7A71" w:rsidP="003155FE">
            <w:pPr>
              <w:spacing w:after="60"/>
              <w:jc w:val="center"/>
              <w:rPr>
                <w:sz w:val="18"/>
              </w:rPr>
            </w:pPr>
            <w:r>
              <w:rPr>
                <w:sz w:val="18"/>
              </w:rPr>
              <w:t>Lab use</w:t>
            </w:r>
          </w:p>
        </w:tc>
        <w:tc>
          <w:tcPr>
            <w:tcW w:w="0" w:type="auto"/>
            <w:shd w:val="clear" w:color="auto" w:fill="auto"/>
          </w:tcPr>
          <w:p w:rsidR="009E7A71" w:rsidRPr="003E57C8" w:rsidRDefault="009E7A71" w:rsidP="003155FE">
            <w:pPr>
              <w:spacing w:after="60"/>
              <w:jc w:val="center"/>
              <w:rPr>
                <w:sz w:val="18"/>
              </w:rPr>
            </w:pPr>
            <w:r>
              <w:rPr>
                <w:sz w:val="18"/>
              </w:rPr>
              <w:t>Total sector consumption</w:t>
            </w:r>
          </w:p>
        </w:tc>
      </w:tr>
      <w:tr w:rsidR="009E7A71" w:rsidRPr="003E57C8" w:rsidTr="003155FE">
        <w:trPr>
          <w:trHeight w:val="240"/>
        </w:trPr>
        <w:tc>
          <w:tcPr>
            <w:tcW w:w="0" w:type="auto"/>
            <w:gridSpan w:val="4"/>
            <w:shd w:val="clear" w:color="auto" w:fill="auto"/>
          </w:tcPr>
          <w:p w:rsidR="009E7A71" w:rsidRPr="003E57C8" w:rsidRDefault="009E7A71" w:rsidP="003155FE">
            <w:pPr>
              <w:spacing w:after="60"/>
              <w:jc w:val="center"/>
              <w:rPr>
                <w:sz w:val="18"/>
              </w:rPr>
            </w:pPr>
            <w:r>
              <w:rPr>
                <w:sz w:val="18"/>
              </w:rPr>
              <w:t xml:space="preserve"> </w:t>
            </w:r>
          </w:p>
        </w:tc>
        <w:tc>
          <w:tcPr>
            <w:tcW w:w="0" w:type="auto"/>
            <w:shd w:val="clear" w:color="auto" w:fill="auto"/>
          </w:tcPr>
          <w:p w:rsidR="009E7A71" w:rsidRPr="003E57C8" w:rsidRDefault="009E7A71" w:rsidP="003155FE">
            <w:pPr>
              <w:spacing w:after="60"/>
              <w:jc w:val="center"/>
              <w:rPr>
                <w:sz w:val="18"/>
              </w:rPr>
            </w:pPr>
            <w:r>
              <w:rPr>
                <w:sz w:val="18"/>
              </w:rPr>
              <w:t>Manufacturing</w:t>
            </w:r>
          </w:p>
        </w:tc>
        <w:tc>
          <w:tcPr>
            <w:tcW w:w="0" w:type="auto"/>
            <w:gridSpan w:val="2"/>
            <w:shd w:val="clear" w:color="auto" w:fill="auto"/>
          </w:tcPr>
          <w:p w:rsidR="009E7A71" w:rsidRPr="003E57C8" w:rsidRDefault="009E7A71" w:rsidP="003155FE">
            <w:pPr>
              <w:spacing w:after="60"/>
              <w:jc w:val="center"/>
              <w:rPr>
                <w:sz w:val="18"/>
              </w:rPr>
            </w:pPr>
            <w:r>
              <w:rPr>
                <w:sz w:val="18"/>
              </w:rPr>
              <w:t>Servicing</w:t>
            </w:r>
          </w:p>
        </w:tc>
        <w:tc>
          <w:tcPr>
            <w:tcW w:w="0" w:type="auto"/>
            <w:gridSpan w:val="5"/>
            <w:shd w:val="clear" w:color="auto" w:fill="auto"/>
          </w:tcPr>
          <w:p w:rsidR="009E7A71" w:rsidRPr="003E57C8" w:rsidRDefault="009E7A71" w:rsidP="003155FE">
            <w:pPr>
              <w:spacing w:after="60"/>
              <w:jc w:val="center"/>
              <w:rPr>
                <w:sz w:val="18"/>
              </w:rPr>
            </w:pPr>
          </w:p>
        </w:tc>
      </w:tr>
      <w:tr w:rsidR="009E7A71" w:rsidRPr="003E57C8" w:rsidTr="003155FE">
        <w:trPr>
          <w:trHeight w:val="240"/>
        </w:trPr>
        <w:tc>
          <w:tcPr>
            <w:tcW w:w="1200" w:type="dxa"/>
            <w:shd w:val="clear" w:color="auto" w:fill="auto"/>
          </w:tcPr>
          <w:p w:rsidR="009E7A71" w:rsidRPr="003E57C8" w:rsidRDefault="009E7A71" w:rsidP="003155FE">
            <w:pPr>
              <w:spacing w:after="60"/>
              <w:jc w:val="left"/>
              <w:rPr>
                <w:sz w:val="18"/>
              </w:rPr>
            </w:pPr>
            <w:r>
              <w:rPr>
                <w:sz w:val="18"/>
              </w:rPr>
              <w:t>HCFC-123</w:t>
            </w: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r>
      <w:tr w:rsidR="009E7A71" w:rsidRPr="003E57C8" w:rsidTr="003155FE">
        <w:trPr>
          <w:trHeight w:val="240"/>
        </w:trPr>
        <w:tc>
          <w:tcPr>
            <w:tcW w:w="1200" w:type="dxa"/>
            <w:shd w:val="clear" w:color="auto" w:fill="auto"/>
          </w:tcPr>
          <w:p w:rsidR="009E7A71" w:rsidRPr="003E57C8" w:rsidRDefault="009E7A71" w:rsidP="003155FE">
            <w:pPr>
              <w:spacing w:after="60"/>
              <w:jc w:val="left"/>
              <w:rPr>
                <w:sz w:val="18"/>
              </w:rPr>
            </w:pPr>
            <w:r>
              <w:rPr>
                <w:sz w:val="18"/>
              </w:rPr>
              <w:t>HCFC-124</w:t>
            </w: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r>
      <w:tr w:rsidR="009E7A71" w:rsidRPr="003E57C8" w:rsidTr="003155FE">
        <w:trPr>
          <w:trHeight w:val="240"/>
        </w:trPr>
        <w:tc>
          <w:tcPr>
            <w:tcW w:w="1200" w:type="dxa"/>
            <w:shd w:val="clear" w:color="auto" w:fill="auto"/>
          </w:tcPr>
          <w:p w:rsidR="009E7A71" w:rsidRPr="003E57C8" w:rsidRDefault="009E7A71" w:rsidP="003155FE">
            <w:pPr>
              <w:spacing w:after="60"/>
              <w:jc w:val="left"/>
              <w:rPr>
                <w:sz w:val="18"/>
              </w:rPr>
            </w:pPr>
            <w:r>
              <w:rPr>
                <w:sz w:val="18"/>
              </w:rPr>
              <w:t>HCFC-141b</w:t>
            </w: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r>
      <w:tr w:rsidR="009E7A71" w:rsidRPr="003E57C8" w:rsidTr="003155FE">
        <w:trPr>
          <w:trHeight w:val="240"/>
        </w:trPr>
        <w:tc>
          <w:tcPr>
            <w:tcW w:w="1200" w:type="dxa"/>
            <w:shd w:val="clear" w:color="auto" w:fill="auto"/>
          </w:tcPr>
          <w:p w:rsidR="009E7A71" w:rsidRPr="003E57C8" w:rsidRDefault="009E7A71" w:rsidP="003155FE">
            <w:pPr>
              <w:spacing w:after="60"/>
              <w:jc w:val="left"/>
              <w:rPr>
                <w:sz w:val="18"/>
              </w:rPr>
            </w:pPr>
            <w:r>
              <w:rPr>
                <w:sz w:val="18"/>
              </w:rPr>
              <w:t>HCFC-142b</w:t>
            </w: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r>
              <w:rPr>
                <w:sz w:val="18"/>
              </w:rPr>
              <w:t xml:space="preserve"> </w:t>
            </w: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r>
              <w:rPr>
                <w:sz w:val="18"/>
              </w:rPr>
              <w:t xml:space="preserve"> </w:t>
            </w:r>
          </w:p>
        </w:tc>
      </w:tr>
      <w:tr w:rsidR="009E7A71" w:rsidRPr="003E57C8" w:rsidTr="003155FE">
        <w:trPr>
          <w:trHeight w:val="240"/>
        </w:trPr>
        <w:tc>
          <w:tcPr>
            <w:tcW w:w="1200" w:type="dxa"/>
            <w:shd w:val="clear" w:color="auto" w:fill="auto"/>
          </w:tcPr>
          <w:p w:rsidR="009E7A71" w:rsidRPr="003E57C8" w:rsidRDefault="009E7A71" w:rsidP="003155FE">
            <w:pPr>
              <w:spacing w:after="60"/>
              <w:jc w:val="left"/>
              <w:rPr>
                <w:sz w:val="18"/>
              </w:rPr>
            </w:pPr>
            <w:r>
              <w:rPr>
                <w:sz w:val="18"/>
              </w:rPr>
              <w:t>HCFC-22</w:t>
            </w: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r>
              <w:rPr>
                <w:sz w:val="18"/>
              </w:rPr>
              <w:t>1.15</w:t>
            </w:r>
          </w:p>
        </w:tc>
        <w:tc>
          <w:tcPr>
            <w:tcW w:w="0" w:type="auto"/>
            <w:shd w:val="clear" w:color="auto" w:fill="auto"/>
          </w:tcPr>
          <w:p w:rsidR="009E7A71" w:rsidRPr="003E57C8" w:rsidRDefault="009E7A71" w:rsidP="003155FE">
            <w:pPr>
              <w:spacing w:after="60"/>
              <w:jc w:val="right"/>
              <w:rPr>
                <w:sz w:val="18"/>
              </w:rPr>
            </w:pPr>
          </w:p>
        </w:tc>
        <w:tc>
          <w:tcPr>
            <w:tcW w:w="0" w:type="auto"/>
            <w:gridSpan w:val="2"/>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p>
        </w:tc>
        <w:tc>
          <w:tcPr>
            <w:tcW w:w="0" w:type="auto"/>
            <w:shd w:val="clear" w:color="auto" w:fill="auto"/>
          </w:tcPr>
          <w:p w:rsidR="009E7A71" w:rsidRPr="003E57C8" w:rsidRDefault="009E7A71" w:rsidP="003155FE">
            <w:pPr>
              <w:spacing w:after="60"/>
              <w:jc w:val="right"/>
              <w:rPr>
                <w:sz w:val="18"/>
              </w:rPr>
            </w:pPr>
            <w:r>
              <w:rPr>
                <w:sz w:val="18"/>
              </w:rPr>
              <w:t>1.15</w:t>
            </w:r>
          </w:p>
        </w:tc>
      </w:tr>
    </w:tbl>
    <w:p w:rsidR="009E7A71" w:rsidRDefault="009E7A71" w:rsidP="009E7A71">
      <w:pPr>
        <w:jc w:val="cente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86"/>
        <w:gridCol w:w="805"/>
        <w:gridCol w:w="5704"/>
        <w:gridCol w:w="805"/>
      </w:tblGrid>
      <w:tr w:rsidR="009E7A71" w:rsidRPr="00762707" w:rsidTr="003155FE">
        <w:trPr>
          <w:trHeight w:val="240"/>
        </w:trPr>
        <w:tc>
          <w:tcPr>
            <w:tcW w:w="0" w:type="auto"/>
            <w:gridSpan w:val="4"/>
            <w:shd w:val="clear" w:color="auto" w:fill="auto"/>
          </w:tcPr>
          <w:p w:rsidR="009E7A71" w:rsidRPr="00762707" w:rsidRDefault="009E7A71" w:rsidP="003155FE">
            <w:pPr>
              <w:spacing w:after="60"/>
              <w:jc w:val="left"/>
              <w:rPr>
                <w:b/>
                <w:sz w:val="18"/>
                <w:lang w:val="en-CA"/>
              </w:rPr>
            </w:pPr>
            <w:r w:rsidRPr="00762707">
              <w:rPr>
                <w:b/>
                <w:sz w:val="18"/>
                <w:lang w:val="en-CA"/>
              </w:rPr>
              <w:t>(IV) CONSUMPTION DATA (ODP tonnes)</w:t>
            </w:r>
          </w:p>
        </w:tc>
      </w:tr>
      <w:tr w:rsidR="009E7A71" w:rsidRPr="00762707" w:rsidTr="003155FE">
        <w:trPr>
          <w:trHeight w:val="240"/>
        </w:trPr>
        <w:tc>
          <w:tcPr>
            <w:tcW w:w="0" w:type="auto"/>
            <w:shd w:val="clear" w:color="auto" w:fill="auto"/>
          </w:tcPr>
          <w:p w:rsidR="009E7A71" w:rsidRPr="00762707" w:rsidRDefault="009E7A71" w:rsidP="003155FE">
            <w:pPr>
              <w:spacing w:after="60"/>
              <w:jc w:val="center"/>
              <w:rPr>
                <w:sz w:val="18"/>
                <w:lang w:val="en-CA"/>
              </w:rPr>
            </w:pPr>
            <w:r w:rsidRPr="00762707">
              <w:rPr>
                <w:sz w:val="18"/>
                <w:lang w:val="en-CA"/>
              </w:rPr>
              <w:t>2009 - 2010 baseline:</w:t>
            </w:r>
          </w:p>
        </w:tc>
        <w:tc>
          <w:tcPr>
            <w:tcW w:w="0" w:type="auto"/>
            <w:shd w:val="clear" w:color="auto" w:fill="auto"/>
          </w:tcPr>
          <w:p w:rsidR="009E7A71" w:rsidRPr="00762707" w:rsidRDefault="009E7A71" w:rsidP="003155FE">
            <w:pPr>
              <w:spacing w:after="60"/>
              <w:jc w:val="right"/>
              <w:rPr>
                <w:sz w:val="18"/>
                <w:lang w:val="en-CA"/>
              </w:rPr>
            </w:pPr>
            <w:r w:rsidRPr="00762707">
              <w:rPr>
                <w:sz w:val="18"/>
                <w:lang w:val="en-CA"/>
              </w:rPr>
              <w:t>2.0</w:t>
            </w:r>
          </w:p>
        </w:tc>
        <w:tc>
          <w:tcPr>
            <w:tcW w:w="0" w:type="auto"/>
            <w:shd w:val="clear" w:color="auto" w:fill="auto"/>
          </w:tcPr>
          <w:p w:rsidR="009E7A71" w:rsidRPr="00762707" w:rsidRDefault="009E7A71" w:rsidP="003155FE">
            <w:pPr>
              <w:spacing w:after="60"/>
              <w:jc w:val="center"/>
              <w:rPr>
                <w:sz w:val="18"/>
                <w:lang w:val="en-CA"/>
              </w:rPr>
            </w:pPr>
            <w:r w:rsidRPr="00762707">
              <w:rPr>
                <w:sz w:val="18"/>
                <w:lang w:val="en-CA"/>
              </w:rPr>
              <w:t>Starting point for sustained aggregate reductions:</w:t>
            </w:r>
          </w:p>
        </w:tc>
        <w:tc>
          <w:tcPr>
            <w:tcW w:w="0" w:type="auto"/>
            <w:shd w:val="clear" w:color="auto" w:fill="auto"/>
          </w:tcPr>
          <w:p w:rsidR="009E7A71" w:rsidRPr="00762707" w:rsidRDefault="009E7A71" w:rsidP="003155FE">
            <w:pPr>
              <w:spacing w:after="60"/>
              <w:jc w:val="right"/>
              <w:rPr>
                <w:sz w:val="18"/>
                <w:lang w:val="en-CA"/>
              </w:rPr>
            </w:pPr>
            <w:r w:rsidRPr="00762707">
              <w:rPr>
                <w:sz w:val="18"/>
                <w:lang w:val="en-CA"/>
              </w:rPr>
              <w:t>1.98</w:t>
            </w:r>
          </w:p>
        </w:tc>
      </w:tr>
      <w:tr w:rsidR="009E7A71" w:rsidRPr="00762707" w:rsidTr="003155FE">
        <w:trPr>
          <w:trHeight w:val="240"/>
        </w:trPr>
        <w:tc>
          <w:tcPr>
            <w:tcW w:w="0" w:type="auto"/>
            <w:gridSpan w:val="4"/>
            <w:shd w:val="clear" w:color="auto" w:fill="auto"/>
          </w:tcPr>
          <w:p w:rsidR="009E7A71" w:rsidRPr="00762707" w:rsidRDefault="009E7A71" w:rsidP="003155FE">
            <w:pPr>
              <w:spacing w:after="60"/>
              <w:jc w:val="center"/>
              <w:rPr>
                <w:b/>
                <w:sz w:val="18"/>
                <w:lang w:val="en-CA"/>
              </w:rPr>
            </w:pPr>
            <w:r w:rsidRPr="00762707">
              <w:rPr>
                <w:b/>
                <w:sz w:val="18"/>
                <w:lang w:val="en-CA"/>
              </w:rPr>
              <w:t>CONSUMPTION ELIGIBLE FOR FUNDING (ODP tonnes)</w:t>
            </w:r>
          </w:p>
        </w:tc>
      </w:tr>
      <w:tr w:rsidR="009E7A71" w:rsidRPr="00762707" w:rsidTr="003155FE">
        <w:trPr>
          <w:trHeight w:val="240"/>
        </w:trPr>
        <w:tc>
          <w:tcPr>
            <w:tcW w:w="0" w:type="auto"/>
            <w:shd w:val="clear" w:color="auto" w:fill="auto"/>
          </w:tcPr>
          <w:p w:rsidR="009E7A71" w:rsidRPr="00762707" w:rsidRDefault="009E7A71" w:rsidP="003155FE">
            <w:pPr>
              <w:spacing w:after="60"/>
              <w:jc w:val="center"/>
              <w:rPr>
                <w:sz w:val="18"/>
                <w:lang w:val="en-CA"/>
              </w:rPr>
            </w:pPr>
            <w:r w:rsidRPr="00762707">
              <w:rPr>
                <w:sz w:val="18"/>
                <w:lang w:val="en-CA"/>
              </w:rPr>
              <w:t>Already approved:</w:t>
            </w:r>
          </w:p>
        </w:tc>
        <w:tc>
          <w:tcPr>
            <w:tcW w:w="0" w:type="auto"/>
            <w:shd w:val="clear" w:color="auto" w:fill="auto"/>
          </w:tcPr>
          <w:p w:rsidR="009E7A71" w:rsidRPr="00762707" w:rsidRDefault="009E7A71" w:rsidP="003155FE">
            <w:pPr>
              <w:spacing w:after="60"/>
              <w:jc w:val="right"/>
              <w:rPr>
                <w:sz w:val="18"/>
                <w:lang w:val="en-CA"/>
              </w:rPr>
            </w:pPr>
            <w:r w:rsidRPr="00762707">
              <w:rPr>
                <w:sz w:val="18"/>
                <w:lang w:val="en-CA"/>
              </w:rPr>
              <w:t>0.69</w:t>
            </w:r>
          </w:p>
        </w:tc>
        <w:tc>
          <w:tcPr>
            <w:tcW w:w="0" w:type="auto"/>
            <w:shd w:val="clear" w:color="auto" w:fill="auto"/>
          </w:tcPr>
          <w:p w:rsidR="009E7A71" w:rsidRPr="00762707" w:rsidRDefault="009E7A71" w:rsidP="003155FE">
            <w:pPr>
              <w:spacing w:after="60"/>
              <w:jc w:val="center"/>
              <w:rPr>
                <w:sz w:val="18"/>
                <w:lang w:val="en-CA"/>
              </w:rPr>
            </w:pPr>
            <w:r w:rsidRPr="00762707">
              <w:rPr>
                <w:sz w:val="18"/>
                <w:lang w:val="en-CA"/>
              </w:rPr>
              <w:t>Remaining:</w:t>
            </w:r>
          </w:p>
        </w:tc>
        <w:tc>
          <w:tcPr>
            <w:tcW w:w="0" w:type="auto"/>
            <w:shd w:val="clear" w:color="auto" w:fill="auto"/>
          </w:tcPr>
          <w:p w:rsidR="009E7A71" w:rsidRPr="00762707" w:rsidRDefault="009E7A71" w:rsidP="003155FE">
            <w:pPr>
              <w:spacing w:after="60"/>
              <w:jc w:val="right"/>
              <w:rPr>
                <w:sz w:val="18"/>
                <w:lang w:val="en-CA"/>
              </w:rPr>
            </w:pPr>
            <w:r w:rsidRPr="00762707">
              <w:rPr>
                <w:sz w:val="18"/>
                <w:lang w:val="en-CA"/>
              </w:rPr>
              <w:t>1.29</w:t>
            </w:r>
          </w:p>
        </w:tc>
      </w:tr>
    </w:tbl>
    <w:p w:rsidR="009E7A71" w:rsidRPr="00762707" w:rsidRDefault="009E7A71" w:rsidP="009E7A71">
      <w:pPr>
        <w:jc w:val="center"/>
        <w:rPr>
          <w:lang w:val="en-CA"/>
        </w:rPr>
      </w:pPr>
    </w:p>
    <w:tbl>
      <w:tblPr>
        <w:tblStyle w:val="TableGrid"/>
        <w:tblW w:w="100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13"/>
        <w:gridCol w:w="2708"/>
        <w:gridCol w:w="1574"/>
        <w:gridCol w:w="1574"/>
        <w:gridCol w:w="1574"/>
        <w:gridCol w:w="1717"/>
      </w:tblGrid>
      <w:tr w:rsidR="009E7A71" w:rsidRPr="00762707" w:rsidTr="00127E0D">
        <w:trPr>
          <w:trHeight w:val="240"/>
        </w:trPr>
        <w:tc>
          <w:tcPr>
            <w:tcW w:w="0" w:type="auto"/>
            <w:gridSpan w:val="2"/>
            <w:shd w:val="clear" w:color="auto" w:fill="auto"/>
          </w:tcPr>
          <w:p w:rsidR="009E7A71" w:rsidRPr="00762707" w:rsidRDefault="009E7A71" w:rsidP="003155FE">
            <w:pPr>
              <w:spacing w:after="60"/>
              <w:jc w:val="left"/>
              <w:rPr>
                <w:b/>
                <w:sz w:val="18"/>
                <w:lang w:val="en-CA"/>
              </w:rPr>
            </w:pPr>
            <w:r w:rsidRPr="00762707">
              <w:rPr>
                <w:b/>
                <w:sz w:val="18"/>
                <w:lang w:val="en-CA"/>
              </w:rPr>
              <w:t>(V) BUSINESS PLAN</w:t>
            </w:r>
          </w:p>
        </w:tc>
        <w:tc>
          <w:tcPr>
            <w:tcW w:w="1574" w:type="dxa"/>
            <w:shd w:val="clear" w:color="auto" w:fill="auto"/>
          </w:tcPr>
          <w:p w:rsidR="009E7A71" w:rsidRPr="00762707" w:rsidRDefault="009E7A71" w:rsidP="003155FE">
            <w:pPr>
              <w:spacing w:after="60"/>
              <w:jc w:val="center"/>
              <w:rPr>
                <w:b/>
                <w:sz w:val="18"/>
                <w:lang w:val="en-CA"/>
              </w:rPr>
            </w:pPr>
            <w:r w:rsidRPr="00762707">
              <w:rPr>
                <w:b/>
                <w:sz w:val="18"/>
                <w:lang w:val="en-CA"/>
              </w:rPr>
              <w:t>2018</w:t>
            </w:r>
          </w:p>
        </w:tc>
        <w:tc>
          <w:tcPr>
            <w:tcW w:w="1574" w:type="dxa"/>
            <w:shd w:val="clear" w:color="auto" w:fill="auto"/>
          </w:tcPr>
          <w:p w:rsidR="009E7A71" w:rsidRPr="00762707" w:rsidRDefault="009E7A71" w:rsidP="003155FE">
            <w:pPr>
              <w:spacing w:after="60"/>
              <w:jc w:val="center"/>
              <w:rPr>
                <w:b/>
                <w:sz w:val="18"/>
                <w:lang w:val="en-CA"/>
              </w:rPr>
            </w:pPr>
            <w:r w:rsidRPr="00762707">
              <w:rPr>
                <w:b/>
                <w:sz w:val="18"/>
                <w:lang w:val="en-CA"/>
              </w:rPr>
              <w:t>2019</w:t>
            </w:r>
          </w:p>
        </w:tc>
        <w:tc>
          <w:tcPr>
            <w:tcW w:w="1574" w:type="dxa"/>
            <w:shd w:val="clear" w:color="auto" w:fill="auto"/>
          </w:tcPr>
          <w:p w:rsidR="009E7A71" w:rsidRPr="00762707" w:rsidRDefault="009E7A71" w:rsidP="003155FE">
            <w:pPr>
              <w:spacing w:after="60"/>
              <w:jc w:val="center"/>
              <w:rPr>
                <w:b/>
                <w:sz w:val="18"/>
                <w:lang w:val="en-CA"/>
              </w:rPr>
            </w:pPr>
            <w:r w:rsidRPr="00762707">
              <w:rPr>
                <w:b/>
                <w:sz w:val="18"/>
                <w:lang w:val="en-CA"/>
              </w:rPr>
              <w:t>2020</w:t>
            </w:r>
          </w:p>
        </w:tc>
        <w:tc>
          <w:tcPr>
            <w:tcW w:w="1717" w:type="dxa"/>
            <w:shd w:val="clear" w:color="auto" w:fill="auto"/>
          </w:tcPr>
          <w:p w:rsidR="009E7A71" w:rsidRPr="00762707" w:rsidRDefault="009E7A71" w:rsidP="003155FE">
            <w:pPr>
              <w:spacing w:after="60"/>
              <w:jc w:val="center"/>
              <w:rPr>
                <w:b/>
                <w:sz w:val="18"/>
                <w:lang w:val="en-CA"/>
              </w:rPr>
            </w:pPr>
            <w:r w:rsidRPr="00762707">
              <w:rPr>
                <w:b/>
                <w:sz w:val="18"/>
                <w:lang w:val="en-CA"/>
              </w:rPr>
              <w:t>Total</w:t>
            </w:r>
          </w:p>
        </w:tc>
      </w:tr>
      <w:tr w:rsidR="009E7A71" w:rsidRPr="00762707" w:rsidTr="00127E0D">
        <w:trPr>
          <w:trHeight w:val="240"/>
        </w:trPr>
        <w:tc>
          <w:tcPr>
            <w:tcW w:w="0" w:type="auto"/>
            <w:vMerge w:val="restart"/>
            <w:shd w:val="clear" w:color="auto" w:fill="auto"/>
          </w:tcPr>
          <w:p w:rsidR="009E7A71" w:rsidRPr="00762707" w:rsidRDefault="009E7A71" w:rsidP="003155FE">
            <w:pPr>
              <w:spacing w:after="60"/>
              <w:jc w:val="center"/>
              <w:rPr>
                <w:sz w:val="18"/>
                <w:lang w:val="en-CA"/>
              </w:rPr>
            </w:pPr>
            <w:r w:rsidRPr="00762707">
              <w:rPr>
                <w:sz w:val="18"/>
                <w:lang w:val="en-CA"/>
              </w:rPr>
              <w:t>UNIDO</w:t>
            </w:r>
          </w:p>
        </w:tc>
        <w:tc>
          <w:tcPr>
            <w:tcW w:w="0" w:type="auto"/>
            <w:shd w:val="clear" w:color="auto" w:fill="auto"/>
          </w:tcPr>
          <w:p w:rsidR="009E7A71" w:rsidRPr="00762707" w:rsidRDefault="009E7A71" w:rsidP="003155FE">
            <w:pPr>
              <w:spacing w:after="60"/>
              <w:jc w:val="left"/>
              <w:rPr>
                <w:sz w:val="18"/>
                <w:lang w:val="en-CA"/>
              </w:rPr>
            </w:pPr>
            <w:r w:rsidRPr="00762707">
              <w:rPr>
                <w:sz w:val="18"/>
                <w:lang w:val="en-CA"/>
              </w:rPr>
              <w:t>ODS phase-out (ODP tonnes)</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0.10</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0</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0.03</w:t>
            </w:r>
          </w:p>
        </w:tc>
        <w:tc>
          <w:tcPr>
            <w:tcW w:w="1717" w:type="dxa"/>
            <w:shd w:val="clear" w:color="auto" w:fill="auto"/>
          </w:tcPr>
          <w:p w:rsidR="009E7A71" w:rsidRPr="00762707" w:rsidRDefault="009E7A71" w:rsidP="003155FE">
            <w:pPr>
              <w:spacing w:after="60"/>
              <w:jc w:val="right"/>
              <w:rPr>
                <w:sz w:val="18"/>
                <w:lang w:val="en-CA"/>
              </w:rPr>
            </w:pPr>
            <w:r w:rsidRPr="00762707">
              <w:rPr>
                <w:sz w:val="18"/>
                <w:lang w:val="en-CA"/>
              </w:rPr>
              <w:fldChar w:fldCharType="begin"/>
            </w:r>
            <w:r w:rsidRPr="00762707">
              <w:rPr>
                <w:sz w:val="18"/>
                <w:lang w:val="en-CA"/>
              </w:rPr>
              <w:instrText xml:space="preserve"> =SUM(LEFT) </w:instrText>
            </w:r>
            <w:r w:rsidRPr="00762707">
              <w:rPr>
                <w:sz w:val="18"/>
                <w:lang w:val="en-CA"/>
              </w:rPr>
              <w:fldChar w:fldCharType="separate"/>
            </w:r>
            <w:r w:rsidRPr="00762707">
              <w:rPr>
                <w:noProof/>
                <w:sz w:val="18"/>
                <w:lang w:val="en-CA"/>
              </w:rPr>
              <w:t>0.13</w:t>
            </w:r>
            <w:r w:rsidRPr="00762707">
              <w:rPr>
                <w:sz w:val="18"/>
                <w:lang w:val="en-CA"/>
              </w:rPr>
              <w:fldChar w:fldCharType="end"/>
            </w:r>
          </w:p>
        </w:tc>
      </w:tr>
      <w:tr w:rsidR="009E7A71" w:rsidRPr="00762707" w:rsidTr="00127E0D">
        <w:trPr>
          <w:trHeight w:val="240"/>
        </w:trPr>
        <w:tc>
          <w:tcPr>
            <w:tcW w:w="0" w:type="auto"/>
            <w:vMerge/>
            <w:shd w:val="clear" w:color="auto" w:fill="auto"/>
          </w:tcPr>
          <w:p w:rsidR="009E7A71" w:rsidRPr="00762707" w:rsidRDefault="009E7A71" w:rsidP="003155FE">
            <w:pPr>
              <w:spacing w:after="60"/>
              <w:jc w:val="center"/>
              <w:rPr>
                <w:sz w:val="18"/>
                <w:lang w:val="en-CA"/>
              </w:rPr>
            </w:pPr>
          </w:p>
        </w:tc>
        <w:tc>
          <w:tcPr>
            <w:tcW w:w="0" w:type="auto"/>
            <w:shd w:val="clear" w:color="auto" w:fill="auto"/>
          </w:tcPr>
          <w:p w:rsidR="009E7A71" w:rsidRPr="00762707" w:rsidRDefault="009E7A71" w:rsidP="003155FE">
            <w:pPr>
              <w:spacing w:after="60"/>
              <w:jc w:val="left"/>
              <w:rPr>
                <w:sz w:val="18"/>
                <w:lang w:val="en-CA"/>
              </w:rPr>
            </w:pPr>
            <w:r w:rsidRPr="00762707">
              <w:rPr>
                <w:sz w:val="18"/>
                <w:lang w:val="en-CA"/>
              </w:rPr>
              <w:t>Funding (US $)</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31,610</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0</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9,810</w:t>
            </w:r>
          </w:p>
        </w:tc>
        <w:tc>
          <w:tcPr>
            <w:tcW w:w="1717" w:type="dxa"/>
            <w:shd w:val="clear" w:color="auto" w:fill="auto"/>
          </w:tcPr>
          <w:p w:rsidR="009E7A71" w:rsidRPr="00762707" w:rsidRDefault="009E7A71" w:rsidP="003155FE">
            <w:pPr>
              <w:spacing w:after="60"/>
              <w:jc w:val="right"/>
              <w:rPr>
                <w:sz w:val="18"/>
                <w:lang w:val="en-CA"/>
              </w:rPr>
            </w:pPr>
            <w:r w:rsidRPr="00762707">
              <w:rPr>
                <w:sz w:val="18"/>
                <w:lang w:val="en-CA"/>
              </w:rPr>
              <w:fldChar w:fldCharType="begin"/>
            </w:r>
            <w:r w:rsidRPr="00762707">
              <w:rPr>
                <w:sz w:val="18"/>
                <w:lang w:val="en-CA"/>
              </w:rPr>
              <w:instrText xml:space="preserve"> =SUM(left) </w:instrText>
            </w:r>
            <w:r w:rsidRPr="00762707">
              <w:rPr>
                <w:sz w:val="18"/>
                <w:lang w:val="en-CA"/>
              </w:rPr>
              <w:fldChar w:fldCharType="separate"/>
            </w:r>
            <w:r w:rsidRPr="00762707">
              <w:rPr>
                <w:noProof/>
                <w:sz w:val="18"/>
                <w:lang w:val="en-CA"/>
              </w:rPr>
              <w:t>41,420</w:t>
            </w:r>
            <w:r w:rsidRPr="00762707">
              <w:rPr>
                <w:sz w:val="18"/>
                <w:lang w:val="en-CA"/>
              </w:rPr>
              <w:fldChar w:fldCharType="end"/>
            </w:r>
          </w:p>
        </w:tc>
      </w:tr>
      <w:tr w:rsidR="009E7A71" w:rsidRPr="00762707" w:rsidTr="00127E0D">
        <w:trPr>
          <w:trHeight w:val="240"/>
        </w:trPr>
        <w:tc>
          <w:tcPr>
            <w:tcW w:w="0" w:type="auto"/>
            <w:vMerge w:val="restart"/>
            <w:shd w:val="clear" w:color="auto" w:fill="auto"/>
          </w:tcPr>
          <w:p w:rsidR="009E7A71" w:rsidRPr="00762707" w:rsidRDefault="009E7A71" w:rsidP="003155FE">
            <w:pPr>
              <w:spacing w:after="60"/>
              <w:jc w:val="center"/>
              <w:rPr>
                <w:sz w:val="18"/>
                <w:lang w:val="en-CA"/>
              </w:rPr>
            </w:pPr>
            <w:r w:rsidRPr="00762707">
              <w:rPr>
                <w:sz w:val="18"/>
                <w:lang w:val="en-CA"/>
              </w:rPr>
              <w:t>UNEP</w:t>
            </w:r>
          </w:p>
        </w:tc>
        <w:tc>
          <w:tcPr>
            <w:tcW w:w="0" w:type="auto"/>
            <w:shd w:val="clear" w:color="auto" w:fill="auto"/>
          </w:tcPr>
          <w:p w:rsidR="009E7A71" w:rsidRPr="00762707" w:rsidRDefault="009E7A71" w:rsidP="003155FE">
            <w:pPr>
              <w:spacing w:after="60"/>
              <w:jc w:val="left"/>
              <w:rPr>
                <w:sz w:val="18"/>
                <w:lang w:val="en-CA"/>
              </w:rPr>
            </w:pPr>
            <w:r w:rsidRPr="00762707">
              <w:rPr>
                <w:sz w:val="18"/>
                <w:lang w:val="en-CA"/>
              </w:rPr>
              <w:t>ODS phase-out (ODP tonnes)</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0.12</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0</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0.04</w:t>
            </w:r>
          </w:p>
        </w:tc>
        <w:tc>
          <w:tcPr>
            <w:tcW w:w="1717" w:type="dxa"/>
            <w:shd w:val="clear" w:color="auto" w:fill="auto"/>
          </w:tcPr>
          <w:p w:rsidR="009E7A71" w:rsidRPr="00762707" w:rsidRDefault="009E7A71" w:rsidP="003155FE">
            <w:pPr>
              <w:spacing w:after="60"/>
              <w:jc w:val="right"/>
              <w:rPr>
                <w:sz w:val="18"/>
                <w:lang w:val="en-CA"/>
              </w:rPr>
            </w:pPr>
            <w:r w:rsidRPr="00762707">
              <w:rPr>
                <w:sz w:val="18"/>
                <w:lang w:val="en-CA"/>
              </w:rPr>
              <w:fldChar w:fldCharType="begin"/>
            </w:r>
            <w:r w:rsidRPr="00762707">
              <w:rPr>
                <w:sz w:val="18"/>
                <w:lang w:val="en-CA"/>
              </w:rPr>
              <w:instrText xml:space="preserve"> =SUM(left) </w:instrText>
            </w:r>
            <w:r w:rsidRPr="00762707">
              <w:rPr>
                <w:sz w:val="18"/>
                <w:lang w:val="en-CA"/>
              </w:rPr>
              <w:fldChar w:fldCharType="separate"/>
            </w:r>
            <w:r w:rsidRPr="00762707">
              <w:rPr>
                <w:noProof/>
                <w:sz w:val="18"/>
                <w:lang w:val="en-CA"/>
              </w:rPr>
              <w:t>0.16</w:t>
            </w:r>
            <w:r w:rsidRPr="00762707">
              <w:rPr>
                <w:sz w:val="18"/>
                <w:lang w:val="en-CA"/>
              </w:rPr>
              <w:fldChar w:fldCharType="end"/>
            </w:r>
          </w:p>
        </w:tc>
      </w:tr>
      <w:tr w:rsidR="009E7A71" w:rsidRPr="00762707" w:rsidTr="00127E0D">
        <w:trPr>
          <w:trHeight w:val="240"/>
        </w:trPr>
        <w:tc>
          <w:tcPr>
            <w:tcW w:w="0" w:type="auto"/>
            <w:vMerge/>
            <w:shd w:val="clear" w:color="auto" w:fill="auto"/>
          </w:tcPr>
          <w:p w:rsidR="009E7A71" w:rsidRPr="00762707" w:rsidRDefault="009E7A71" w:rsidP="003155FE">
            <w:pPr>
              <w:spacing w:after="60"/>
              <w:jc w:val="center"/>
              <w:rPr>
                <w:sz w:val="18"/>
                <w:lang w:val="en-CA"/>
              </w:rPr>
            </w:pPr>
          </w:p>
        </w:tc>
        <w:tc>
          <w:tcPr>
            <w:tcW w:w="0" w:type="auto"/>
            <w:shd w:val="clear" w:color="auto" w:fill="auto"/>
          </w:tcPr>
          <w:p w:rsidR="009E7A71" w:rsidRPr="00762707" w:rsidRDefault="009E7A71" w:rsidP="003155FE">
            <w:pPr>
              <w:spacing w:after="60"/>
              <w:jc w:val="left"/>
              <w:rPr>
                <w:sz w:val="18"/>
                <w:lang w:val="en-CA"/>
              </w:rPr>
            </w:pPr>
            <w:r w:rsidRPr="00762707">
              <w:rPr>
                <w:sz w:val="18"/>
                <w:lang w:val="en-CA"/>
              </w:rPr>
              <w:t>Funding (US $)</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39,550</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0</w:t>
            </w:r>
          </w:p>
        </w:tc>
        <w:tc>
          <w:tcPr>
            <w:tcW w:w="1574" w:type="dxa"/>
            <w:shd w:val="clear" w:color="auto" w:fill="auto"/>
          </w:tcPr>
          <w:p w:rsidR="009E7A71" w:rsidRPr="00762707" w:rsidRDefault="009E7A71" w:rsidP="003155FE">
            <w:pPr>
              <w:spacing w:after="60"/>
              <w:jc w:val="right"/>
              <w:rPr>
                <w:sz w:val="18"/>
                <w:lang w:val="en-CA"/>
              </w:rPr>
            </w:pPr>
            <w:r w:rsidRPr="00762707">
              <w:rPr>
                <w:sz w:val="18"/>
                <w:lang w:val="en-CA"/>
              </w:rPr>
              <w:t>15,255</w:t>
            </w:r>
          </w:p>
        </w:tc>
        <w:tc>
          <w:tcPr>
            <w:tcW w:w="1717" w:type="dxa"/>
            <w:shd w:val="clear" w:color="auto" w:fill="auto"/>
          </w:tcPr>
          <w:p w:rsidR="009E7A71" w:rsidRPr="00762707" w:rsidRDefault="009E7A71" w:rsidP="003155FE">
            <w:pPr>
              <w:spacing w:after="60"/>
              <w:jc w:val="right"/>
              <w:rPr>
                <w:sz w:val="18"/>
                <w:lang w:val="en-CA"/>
              </w:rPr>
            </w:pPr>
            <w:r w:rsidRPr="00762707">
              <w:rPr>
                <w:sz w:val="18"/>
                <w:lang w:val="en-CA"/>
              </w:rPr>
              <w:fldChar w:fldCharType="begin"/>
            </w:r>
            <w:r w:rsidRPr="00762707">
              <w:rPr>
                <w:sz w:val="18"/>
                <w:lang w:val="en-CA"/>
              </w:rPr>
              <w:instrText xml:space="preserve"> =SUM(left) </w:instrText>
            </w:r>
            <w:r w:rsidRPr="00762707">
              <w:rPr>
                <w:sz w:val="18"/>
                <w:lang w:val="en-CA"/>
              </w:rPr>
              <w:fldChar w:fldCharType="separate"/>
            </w:r>
            <w:r w:rsidRPr="00762707">
              <w:rPr>
                <w:noProof/>
                <w:sz w:val="18"/>
                <w:lang w:val="en-CA"/>
              </w:rPr>
              <w:t>54,805</w:t>
            </w:r>
            <w:r w:rsidRPr="00762707">
              <w:rPr>
                <w:sz w:val="18"/>
                <w:lang w:val="en-CA"/>
              </w:rPr>
              <w:fldChar w:fldCharType="end"/>
            </w:r>
          </w:p>
        </w:tc>
      </w:tr>
    </w:tbl>
    <w:p w:rsidR="009E7A71" w:rsidRPr="00762707" w:rsidRDefault="009E7A71" w:rsidP="009E7A71">
      <w:pPr>
        <w:jc w:val="center"/>
        <w:rPr>
          <w:lang w:val="en-CA"/>
        </w:rPr>
      </w:pPr>
    </w:p>
    <w:tbl>
      <w:tblPr>
        <w:tblStyle w:val="TableGrid"/>
        <w:tblW w:w="538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76"/>
        <w:gridCol w:w="797"/>
        <w:gridCol w:w="787"/>
        <w:gridCol w:w="712"/>
        <w:gridCol w:w="576"/>
        <w:gridCol w:w="711"/>
        <w:gridCol w:w="576"/>
        <w:gridCol w:w="711"/>
        <w:gridCol w:w="711"/>
        <w:gridCol w:w="594"/>
        <w:gridCol w:w="711"/>
        <w:gridCol w:w="694"/>
        <w:gridCol w:w="711"/>
        <w:gridCol w:w="994"/>
      </w:tblGrid>
      <w:tr w:rsidR="009E7A71" w:rsidRPr="00762707" w:rsidTr="00184647">
        <w:tc>
          <w:tcPr>
            <w:tcW w:w="1172" w:type="pct"/>
            <w:gridSpan w:val="3"/>
            <w:shd w:val="clear" w:color="auto" w:fill="auto"/>
          </w:tcPr>
          <w:p w:rsidR="009E7A71" w:rsidRPr="00762707" w:rsidRDefault="009E7A71" w:rsidP="003155FE">
            <w:pPr>
              <w:spacing w:after="60"/>
              <w:jc w:val="left"/>
              <w:rPr>
                <w:b/>
                <w:sz w:val="18"/>
                <w:lang w:val="en-CA"/>
              </w:rPr>
            </w:pPr>
            <w:r w:rsidRPr="00762707">
              <w:rPr>
                <w:b/>
                <w:sz w:val="18"/>
                <w:lang w:val="en-CA"/>
              </w:rPr>
              <w:t>(VI) PROJECT DATA</w:t>
            </w:r>
          </w:p>
        </w:tc>
        <w:tc>
          <w:tcPr>
            <w:tcW w:w="354" w:type="pct"/>
            <w:shd w:val="clear" w:color="auto" w:fill="auto"/>
          </w:tcPr>
          <w:p w:rsidR="009E7A71" w:rsidRPr="00762707" w:rsidRDefault="009E7A71" w:rsidP="003155FE">
            <w:pPr>
              <w:spacing w:after="60"/>
              <w:jc w:val="center"/>
              <w:rPr>
                <w:b/>
                <w:sz w:val="18"/>
                <w:lang w:val="en-CA"/>
              </w:rPr>
            </w:pPr>
            <w:r w:rsidRPr="00762707">
              <w:rPr>
                <w:b/>
                <w:sz w:val="18"/>
                <w:lang w:val="en-CA"/>
              </w:rPr>
              <w:t>2011</w:t>
            </w:r>
          </w:p>
        </w:tc>
        <w:tc>
          <w:tcPr>
            <w:tcW w:w="286" w:type="pct"/>
            <w:shd w:val="clear" w:color="auto" w:fill="auto"/>
          </w:tcPr>
          <w:p w:rsidR="009E7A71" w:rsidRPr="00762707" w:rsidRDefault="009E7A71" w:rsidP="003155FE">
            <w:pPr>
              <w:spacing w:after="60"/>
              <w:jc w:val="center"/>
              <w:rPr>
                <w:b/>
                <w:sz w:val="18"/>
                <w:lang w:val="en-CA"/>
              </w:rPr>
            </w:pPr>
            <w:r w:rsidRPr="00762707">
              <w:rPr>
                <w:b/>
                <w:sz w:val="18"/>
                <w:lang w:val="en-CA"/>
              </w:rPr>
              <w:t>2012</w:t>
            </w:r>
          </w:p>
        </w:tc>
        <w:tc>
          <w:tcPr>
            <w:tcW w:w="353" w:type="pct"/>
            <w:shd w:val="clear" w:color="auto" w:fill="auto"/>
          </w:tcPr>
          <w:p w:rsidR="009E7A71" w:rsidRPr="00762707" w:rsidRDefault="009E7A71" w:rsidP="003155FE">
            <w:pPr>
              <w:spacing w:after="60"/>
              <w:jc w:val="center"/>
              <w:rPr>
                <w:b/>
                <w:sz w:val="18"/>
                <w:lang w:val="en-CA"/>
              </w:rPr>
            </w:pPr>
            <w:r w:rsidRPr="00762707">
              <w:rPr>
                <w:b/>
                <w:sz w:val="18"/>
                <w:lang w:val="en-CA"/>
              </w:rPr>
              <w:t>2013</w:t>
            </w:r>
          </w:p>
        </w:tc>
        <w:tc>
          <w:tcPr>
            <w:tcW w:w="286" w:type="pct"/>
            <w:shd w:val="clear" w:color="auto" w:fill="auto"/>
          </w:tcPr>
          <w:p w:rsidR="009E7A71" w:rsidRPr="00762707" w:rsidRDefault="009E7A71" w:rsidP="003155FE">
            <w:pPr>
              <w:spacing w:after="60"/>
              <w:jc w:val="center"/>
              <w:rPr>
                <w:b/>
                <w:sz w:val="18"/>
                <w:lang w:val="en-CA"/>
              </w:rPr>
            </w:pPr>
            <w:r w:rsidRPr="00762707">
              <w:rPr>
                <w:b/>
                <w:sz w:val="18"/>
                <w:lang w:val="en-CA"/>
              </w:rPr>
              <w:t>2014</w:t>
            </w:r>
          </w:p>
        </w:tc>
        <w:tc>
          <w:tcPr>
            <w:tcW w:w="353" w:type="pct"/>
            <w:shd w:val="clear" w:color="auto" w:fill="auto"/>
          </w:tcPr>
          <w:p w:rsidR="009E7A71" w:rsidRPr="00762707" w:rsidRDefault="009E7A71" w:rsidP="003155FE">
            <w:pPr>
              <w:spacing w:after="60"/>
              <w:jc w:val="center"/>
              <w:rPr>
                <w:b/>
                <w:sz w:val="18"/>
                <w:lang w:val="en-CA"/>
              </w:rPr>
            </w:pPr>
            <w:r w:rsidRPr="00762707">
              <w:rPr>
                <w:b/>
                <w:sz w:val="18"/>
                <w:lang w:val="en-CA"/>
              </w:rPr>
              <w:t>2015</w:t>
            </w:r>
            <w:r w:rsidR="00883973">
              <w:rPr>
                <w:b/>
                <w:sz w:val="18"/>
                <w:lang w:val="en-CA"/>
              </w:rPr>
              <w:t>*</w:t>
            </w:r>
          </w:p>
        </w:tc>
        <w:tc>
          <w:tcPr>
            <w:tcW w:w="353" w:type="pct"/>
            <w:shd w:val="clear" w:color="auto" w:fill="auto"/>
          </w:tcPr>
          <w:p w:rsidR="009E7A71" w:rsidRPr="00762707" w:rsidRDefault="009E7A71" w:rsidP="003155FE">
            <w:pPr>
              <w:spacing w:after="60"/>
              <w:jc w:val="center"/>
              <w:rPr>
                <w:b/>
                <w:sz w:val="18"/>
                <w:lang w:val="en-CA"/>
              </w:rPr>
            </w:pPr>
            <w:r w:rsidRPr="00762707">
              <w:rPr>
                <w:b/>
                <w:sz w:val="18"/>
                <w:lang w:val="en-CA"/>
              </w:rPr>
              <w:t>2016</w:t>
            </w:r>
          </w:p>
        </w:tc>
        <w:tc>
          <w:tcPr>
            <w:tcW w:w="295" w:type="pct"/>
            <w:shd w:val="clear" w:color="auto" w:fill="auto"/>
          </w:tcPr>
          <w:p w:rsidR="009E7A71" w:rsidRPr="00762707" w:rsidRDefault="009E7A71" w:rsidP="003155FE">
            <w:pPr>
              <w:spacing w:after="60"/>
              <w:jc w:val="center"/>
              <w:rPr>
                <w:b/>
                <w:sz w:val="18"/>
                <w:lang w:val="en-CA"/>
              </w:rPr>
            </w:pPr>
            <w:r w:rsidRPr="00762707">
              <w:rPr>
                <w:b/>
                <w:sz w:val="18"/>
                <w:lang w:val="en-CA"/>
              </w:rPr>
              <w:t>2017</w:t>
            </w:r>
          </w:p>
        </w:tc>
        <w:tc>
          <w:tcPr>
            <w:tcW w:w="353" w:type="pct"/>
            <w:shd w:val="clear" w:color="auto" w:fill="auto"/>
          </w:tcPr>
          <w:p w:rsidR="009E7A71" w:rsidRPr="00762707" w:rsidRDefault="009E7A71" w:rsidP="003155FE">
            <w:pPr>
              <w:spacing w:after="60"/>
              <w:jc w:val="center"/>
              <w:rPr>
                <w:b/>
                <w:sz w:val="18"/>
                <w:lang w:val="en-CA"/>
              </w:rPr>
            </w:pPr>
            <w:r w:rsidRPr="00762707">
              <w:rPr>
                <w:b/>
                <w:sz w:val="18"/>
                <w:lang w:val="en-CA"/>
              </w:rPr>
              <w:t>2018</w:t>
            </w:r>
            <w:r w:rsidR="00883973">
              <w:rPr>
                <w:b/>
                <w:sz w:val="18"/>
                <w:lang w:val="en-CA"/>
              </w:rPr>
              <w:t>*</w:t>
            </w:r>
          </w:p>
        </w:tc>
        <w:tc>
          <w:tcPr>
            <w:tcW w:w="345" w:type="pct"/>
            <w:shd w:val="clear" w:color="auto" w:fill="auto"/>
          </w:tcPr>
          <w:p w:rsidR="009E7A71" w:rsidRPr="00762707" w:rsidRDefault="009E7A71" w:rsidP="003155FE">
            <w:pPr>
              <w:spacing w:after="60"/>
              <w:jc w:val="center"/>
              <w:rPr>
                <w:b/>
                <w:sz w:val="18"/>
                <w:lang w:val="en-CA"/>
              </w:rPr>
            </w:pPr>
            <w:r w:rsidRPr="00762707">
              <w:rPr>
                <w:b/>
                <w:sz w:val="18"/>
                <w:lang w:val="en-CA"/>
              </w:rPr>
              <w:t>2019</w:t>
            </w:r>
          </w:p>
        </w:tc>
        <w:tc>
          <w:tcPr>
            <w:tcW w:w="353" w:type="pct"/>
            <w:shd w:val="clear" w:color="auto" w:fill="auto"/>
          </w:tcPr>
          <w:p w:rsidR="009E7A71" w:rsidRPr="00762707" w:rsidRDefault="009E7A71" w:rsidP="003155FE">
            <w:pPr>
              <w:spacing w:after="60"/>
              <w:jc w:val="center"/>
              <w:rPr>
                <w:b/>
                <w:sz w:val="18"/>
                <w:lang w:val="en-CA"/>
              </w:rPr>
            </w:pPr>
            <w:r w:rsidRPr="00762707">
              <w:rPr>
                <w:b/>
                <w:sz w:val="18"/>
                <w:lang w:val="en-CA"/>
              </w:rPr>
              <w:t>2020</w:t>
            </w:r>
          </w:p>
        </w:tc>
        <w:tc>
          <w:tcPr>
            <w:tcW w:w="494" w:type="pct"/>
            <w:shd w:val="clear" w:color="auto" w:fill="auto"/>
          </w:tcPr>
          <w:p w:rsidR="009E7A71" w:rsidRPr="00762707" w:rsidRDefault="009E7A71" w:rsidP="003155FE">
            <w:pPr>
              <w:spacing w:after="60"/>
              <w:jc w:val="center"/>
              <w:rPr>
                <w:b/>
                <w:sz w:val="18"/>
                <w:lang w:val="en-CA"/>
              </w:rPr>
            </w:pPr>
            <w:r w:rsidRPr="00762707">
              <w:rPr>
                <w:b/>
                <w:sz w:val="18"/>
                <w:lang w:val="en-CA"/>
              </w:rPr>
              <w:t>Total</w:t>
            </w:r>
          </w:p>
        </w:tc>
      </w:tr>
      <w:tr w:rsidR="009E7A71" w:rsidRPr="00762707" w:rsidTr="00184647">
        <w:tc>
          <w:tcPr>
            <w:tcW w:w="1172" w:type="pct"/>
            <w:gridSpan w:val="3"/>
            <w:shd w:val="clear" w:color="auto" w:fill="auto"/>
          </w:tcPr>
          <w:p w:rsidR="009E7A71" w:rsidRPr="00762707" w:rsidRDefault="009E7A71" w:rsidP="003155FE">
            <w:pPr>
              <w:spacing w:after="60"/>
              <w:jc w:val="left"/>
              <w:rPr>
                <w:sz w:val="18"/>
                <w:lang w:val="en-CA"/>
              </w:rPr>
            </w:pPr>
            <w:r w:rsidRPr="00762707">
              <w:rPr>
                <w:sz w:val="18"/>
                <w:lang w:val="en-CA"/>
              </w:rPr>
              <w:t>Montreal Protocol consumption limits</w:t>
            </w:r>
          </w:p>
        </w:tc>
        <w:tc>
          <w:tcPr>
            <w:tcW w:w="354" w:type="pct"/>
            <w:shd w:val="clear" w:color="auto" w:fill="auto"/>
          </w:tcPr>
          <w:p w:rsidR="009E7A71" w:rsidRPr="00762707" w:rsidRDefault="009E7A71" w:rsidP="003155FE">
            <w:pPr>
              <w:spacing w:after="60"/>
              <w:jc w:val="center"/>
              <w:rPr>
                <w:sz w:val="18"/>
                <w:lang w:val="en-CA"/>
              </w:rPr>
            </w:pPr>
            <w:r w:rsidRPr="00762707">
              <w:rPr>
                <w:sz w:val="18"/>
                <w:lang w:val="en-CA"/>
              </w:rPr>
              <w:t>n/a</w:t>
            </w:r>
          </w:p>
        </w:tc>
        <w:tc>
          <w:tcPr>
            <w:tcW w:w="286" w:type="pct"/>
            <w:shd w:val="clear" w:color="auto" w:fill="auto"/>
          </w:tcPr>
          <w:p w:rsidR="009E7A71" w:rsidRPr="00762707" w:rsidRDefault="009E7A71" w:rsidP="003155FE">
            <w:pPr>
              <w:spacing w:after="60"/>
              <w:jc w:val="center"/>
              <w:rPr>
                <w:sz w:val="18"/>
                <w:lang w:val="en-CA"/>
              </w:rPr>
            </w:pPr>
            <w:r w:rsidRPr="00762707">
              <w:rPr>
                <w:sz w:val="18"/>
                <w:lang w:val="en-CA"/>
              </w:rPr>
              <w:t>n/a</w:t>
            </w:r>
          </w:p>
        </w:tc>
        <w:tc>
          <w:tcPr>
            <w:tcW w:w="353" w:type="pct"/>
            <w:shd w:val="clear" w:color="auto" w:fill="auto"/>
          </w:tcPr>
          <w:p w:rsidR="009E7A71" w:rsidRPr="00762707" w:rsidRDefault="009E7A71" w:rsidP="003155FE">
            <w:pPr>
              <w:spacing w:after="60"/>
              <w:jc w:val="left"/>
              <w:rPr>
                <w:sz w:val="18"/>
                <w:lang w:val="en-CA"/>
              </w:rPr>
            </w:pPr>
            <w:r w:rsidRPr="00762707">
              <w:rPr>
                <w:sz w:val="18"/>
                <w:lang w:val="en-CA"/>
              </w:rPr>
              <w:t>1.98</w:t>
            </w:r>
          </w:p>
        </w:tc>
        <w:tc>
          <w:tcPr>
            <w:tcW w:w="286" w:type="pct"/>
            <w:shd w:val="clear" w:color="auto" w:fill="auto"/>
          </w:tcPr>
          <w:p w:rsidR="009E7A71" w:rsidRPr="00762707" w:rsidRDefault="009E7A71" w:rsidP="003155FE">
            <w:pPr>
              <w:spacing w:after="60"/>
              <w:jc w:val="left"/>
              <w:rPr>
                <w:sz w:val="18"/>
                <w:lang w:val="en-CA"/>
              </w:rPr>
            </w:pPr>
            <w:r w:rsidRPr="00762707">
              <w:rPr>
                <w:sz w:val="18"/>
                <w:lang w:val="en-CA"/>
              </w:rPr>
              <w:t>1.98</w:t>
            </w:r>
          </w:p>
        </w:tc>
        <w:tc>
          <w:tcPr>
            <w:tcW w:w="353"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353"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295"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353"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345"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353" w:type="pct"/>
            <w:shd w:val="clear" w:color="auto" w:fill="auto"/>
          </w:tcPr>
          <w:p w:rsidR="009E7A71" w:rsidRPr="00762707" w:rsidRDefault="009E7A71" w:rsidP="003155FE">
            <w:pPr>
              <w:spacing w:after="60"/>
              <w:jc w:val="right"/>
              <w:rPr>
                <w:sz w:val="18"/>
                <w:lang w:val="en-CA"/>
              </w:rPr>
            </w:pPr>
            <w:r w:rsidRPr="00762707">
              <w:rPr>
                <w:sz w:val="18"/>
                <w:lang w:val="en-CA"/>
              </w:rPr>
              <w:t>1.29</w:t>
            </w:r>
          </w:p>
        </w:tc>
        <w:tc>
          <w:tcPr>
            <w:tcW w:w="494" w:type="pct"/>
            <w:shd w:val="clear" w:color="auto" w:fill="auto"/>
          </w:tcPr>
          <w:p w:rsidR="009E7A71" w:rsidRPr="00762707" w:rsidRDefault="009E7A71" w:rsidP="003155FE">
            <w:pPr>
              <w:spacing w:after="60"/>
              <w:jc w:val="center"/>
              <w:rPr>
                <w:sz w:val="18"/>
                <w:lang w:val="en-CA"/>
              </w:rPr>
            </w:pPr>
            <w:r w:rsidRPr="00762707">
              <w:rPr>
                <w:sz w:val="18"/>
                <w:lang w:val="en-CA"/>
              </w:rPr>
              <w:t>n/a</w:t>
            </w:r>
          </w:p>
        </w:tc>
      </w:tr>
      <w:tr w:rsidR="009E7A71" w:rsidRPr="00762707" w:rsidTr="00184647">
        <w:tc>
          <w:tcPr>
            <w:tcW w:w="1172" w:type="pct"/>
            <w:gridSpan w:val="3"/>
            <w:shd w:val="clear" w:color="auto" w:fill="auto"/>
          </w:tcPr>
          <w:p w:rsidR="009E7A71" w:rsidRPr="00762707" w:rsidRDefault="009E7A71" w:rsidP="003155FE">
            <w:pPr>
              <w:spacing w:after="60"/>
              <w:jc w:val="left"/>
              <w:rPr>
                <w:sz w:val="18"/>
                <w:lang w:val="en-CA"/>
              </w:rPr>
            </w:pPr>
            <w:r w:rsidRPr="00762707">
              <w:rPr>
                <w:sz w:val="18"/>
                <w:lang w:val="en-CA"/>
              </w:rPr>
              <w:t>Maximum allowable consumption (ODP tonnes)</w:t>
            </w:r>
          </w:p>
        </w:tc>
        <w:tc>
          <w:tcPr>
            <w:tcW w:w="354" w:type="pct"/>
            <w:shd w:val="clear" w:color="auto" w:fill="auto"/>
          </w:tcPr>
          <w:p w:rsidR="009E7A71" w:rsidRPr="00762707" w:rsidRDefault="009E7A71" w:rsidP="003155FE">
            <w:pPr>
              <w:spacing w:after="60"/>
              <w:jc w:val="center"/>
              <w:rPr>
                <w:sz w:val="18"/>
                <w:lang w:val="en-CA"/>
              </w:rPr>
            </w:pPr>
            <w:r w:rsidRPr="00762707">
              <w:rPr>
                <w:sz w:val="18"/>
                <w:lang w:val="en-CA"/>
              </w:rPr>
              <w:t>n/a</w:t>
            </w:r>
          </w:p>
        </w:tc>
        <w:tc>
          <w:tcPr>
            <w:tcW w:w="286" w:type="pct"/>
            <w:shd w:val="clear" w:color="auto" w:fill="auto"/>
          </w:tcPr>
          <w:p w:rsidR="009E7A71" w:rsidRPr="00762707" w:rsidRDefault="009E7A71" w:rsidP="003155FE">
            <w:pPr>
              <w:spacing w:after="60"/>
              <w:jc w:val="center"/>
              <w:rPr>
                <w:sz w:val="18"/>
                <w:lang w:val="en-CA"/>
              </w:rPr>
            </w:pPr>
            <w:r w:rsidRPr="00762707">
              <w:rPr>
                <w:sz w:val="18"/>
                <w:lang w:val="en-CA"/>
              </w:rPr>
              <w:t>n/a</w:t>
            </w:r>
          </w:p>
        </w:tc>
        <w:tc>
          <w:tcPr>
            <w:tcW w:w="353" w:type="pct"/>
            <w:shd w:val="clear" w:color="auto" w:fill="auto"/>
          </w:tcPr>
          <w:p w:rsidR="009E7A71" w:rsidRPr="00762707" w:rsidRDefault="009E7A71" w:rsidP="003155FE">
            <w:pPr>
              <w:spacing w:after="60"/>
              <w:jc w:val="left"/>
              <w:rPr>
                <w:sz w:val="18"/>
                <w:lang w:val="en-CA"/>
              </w:rPr>
            </w:pPr>
            <w:r w:rsidRPr="00762707">
              <w:rPr>
                <w:sz w:val="18"/>
                <w:lang w:val="en-CA"/>
              </w:rPr>
              <w:t>1.98</w:t>
            </w:r>
          </w:p>
        </w:tc>
        <w:tc>
          <w:tcPr>
            <w:tcW w:w="286" w:type="pct"/>
            <w:shd w:val="clear" w:color="auto" w:fill="auto"/>
          </w:tcPr>
          <w:p w:rsidR="009E7A71" w:rsidRPr="00762707" w:rsidRDefault="009E7A71" w:rsidP="003155FE">
            <w:pPr>
              <w:spacing w:after="60"/>
              <w:jc w:val="left"/>
              <w:rPr>
                <w:sz w:val="18"/>
                <w:lang w:val="en-CA"/>
              </w:rPr>
            </w:pPr>
            <w:r w:rsidRPr="00762707">
              <w:rPr>
                <w:sz w:val="18"/>
                <w:lang w:val="en-CA"/>
              </w:rPr>
              <w:t>1.98</w:t>
            </w:r>
          </w:p>
        </w:tc>
        <w:tc>
          <w:tcPr>
            <w:tcW w:w="353"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353"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295"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353"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345" w:type="pct"/>
            <w:shd w:val="clear" w:color="auto" w:fill="auto"/>
          </w:tcPr>
          <w:p w:rsidR="009E7A71" w:rsidRPr="00762707" w:rsidRDefault="009E7A71" w:rsidP="003155FE">
            <w:pPr>
              <w:spacing w:after="60"/>
              <w:jc w:val="left"/>
              <w:rPr>
                <w:sz w:val="18"/>
                <w:lang w:val="en-CA"/>
              </w:rPr>
            </w:pPr>
            <w:r w:rsidRPr="00762707">
              <w:rPr>
                <w:sz w:val="18"/>
                <w:lang w:val="en-CA"/>
              </w:rPr>
              <w:t>1.78</w:t>
            </w:r>
          </w:p>
        </w:tc>
        <w:tc>
          <w:tcPr>
            <w:tcW w:w="353" w:type="pct"/>
            <w:shd w:val="clear" w:color="auto" w:fill="auto"/>
          </w:tcPr>
          <w:p w:rsidR="009E7A71" w:rsidRPr="00762707" w:rsidRDefault="009E7A71" w:rsidP="003155FE">
            <w:pPr>
              <w:spacing w:after="60"/>
              <w:jc w:val="right"/>
              <w:rPr>
                <w:sz w:val="18"/>
                <w:lang w:val="en-CA"/>
              </w:rPr>
            </w:pPr>
            <w:r w:rsidRPr="00762707">
              <w:rPr>
                <w:sz w:val="18"/>
                <w:lang w:val="en-CA"/>
              </w:rPr>
              <w:t>1.29</w:t>
            </w:r>
          </w:p>
        </w:tc>
        <w:tc>
          <w:tcPr>
            <w:tcW w:w="494" w:type="pct"/>
            <w:shd w:val="clear" w:color="auto" w:fill="auto"/>
          </w:tcPr>
          <w:p w:rsidR="009E7A71" w:rsidRPr="00762707" w:rsidRDefault="009E7A71" w:rsidP="003155FE">
            <w:pPr>
              <w:spacing w:after="60"/>
              <w:jc w:val="center"/>
              <w:rPr>
                <w:sz w:val="18"/>
                <w:lang w:val="en-CA"/>
              </w:rPr>
            </w:pPr>
            <w:r w:rsidRPr="00762707">
              <w:rPr>
                <w:sz w:val="18"/>
                <w:lang w:val="en-CA"/>
              </w:rPr>
              <w:t>n/a</w:t>
            </w:r>
          </w:p>
        </w:tc>
      </w:tr>
      <w:tr w:rsidR="009E7A71" w:rsidRPr="00762707" w:rsidTr="00184647">
        <w:tc>
          <w:tcPr>
            <w:tcW w:w="386" w:type="pct"/>
            <w:vMerge w:val="restart"/>
            <w:shd w:val="clear" w:color="auto" w:fill="auto"/>
          </w:tcPr>
          <w:p w:rsidR="009E7A71" w:rsidRPr="00762707" w:rsidRDefault="009E7A71" w:rsidP="003155FE">
            <w:pPr>
              <w:spacing w:after="60"/>
              <w:jc w:val="left"/>
              <w:rPr>
                <w:sz w:val="18"/>
                <w:lang w:val="en-CA"/>
              </w:rPr>
            </w:pPr>
            <w:r w:rsidRPr="00762707">
              <w:rPr>
                <w:sz w:val="18"/>
                <w:lang w:val="en-CA"/>
              </w:rPr>
              <w:t>Agreed funding (US $)</w:t>
            </w:r>
          </w:p>
        </w:tc>
        <w:tc>
          <w:tcPr>
            <w:tcW w:w="396" w:type="pct"/>
            <w:vMerge w:val="restart"/>
            <w:shd w:val="clear" w:color="auto" w:fill="auto"/>
          </w:tcPr>
          <w:p w:rsidR="009E7A71" w:rsidRPr="00762707" w:rsidRDefault="009E7A71" w:rsidP="003155FE">
            <w:pPr>
              <w:spacing w:after="60"/>
              <w:jc w:val="center"/>
              <w:rPr>
                <w:sz w:val="18"/>
                <w:lang w:val="en-CA"/>
              </w:rPr>
            </w:pPr>
            <w:r w:rsidRPr="00762707">
              <w:rPr>
                <w:sz w:val="18"/>
                <w:lang w:val="en-CA"/>
              </w:rPr>
              <w:t>UNEP</w:t>
            </w:r>
          </w:p>
        </w:tc>
        <w:tc>
          <w:tcPr>
            <w:tcW w:w="391" w:type="pct"/>
            <w:shd w:val="clear" w:color="auto" w:fill="auto"/>
          </w:tcPr>
          <w:p w:rsidR="009E7A71" w:rsidRPr="00762707" w:rsidRDefault="009E7A71" w:rsidP="003155FE">
            <w:pPr>
              <w:spacing w:after="60"/>
              <w:jc w:val="left"/>
              <w:rPr>
                <w:sz w:val="18"/>
                <w:lang w:val="en-CA"/>
              </w:rPr>
            </w:pPr>
            <w:r w:rsidRPr="00762707">
              <w:rPr>
                <w:sz w:val="18"/>
                <w:lang w:val="en-CA"/>
              </w:rPr>
              <w:t>Project costs</w:t>
            </w:r>
          </w:p>
        </w:tc>
        <w:tc>
          <w:tcPr>
            <w:tcW w:w="354" w:type="pct"/>
            <w:shd w:val="clear" w:color="auto" w:fill="auto"/>
          </w:tcPr>
          <w:p w:rsidR="009E7A71" w:rsidRPr="00762707" w:rsidRDefault="009E7A71" w:rsidP="009E7A71">
            <w:pPr>
              <w:spacing w:after="60"/>
              <w:jc w:val="right"/>
              <w:rPr>
                <w:sz w:val="18"/>
                <w:lang w:val="en-CA"/>
              </w:rPr>
            </w:pPr>
            <w:r w:rsidRPr="00762707">
              <w:rPr>
                <w:sz w:val="18"/>
                <w:lang w:val="en-CA"/>
              </w:rPr>
              <w:t>27,000</w:t>
            </w:r>
          </w:p>
        </w:tc>
        <w:tc>
          <w:tcPr>
            <w:tcW w:w="286"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28,500</w:t>
            </w:r>
          </w:p>
        </w:tc>
        <w:tc>
          <w:tcPr>
            <w:tcW w:w="286"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35,000</w:t>
            </w:r>
          </w:p>
        </w:tc>
        <w:tc>
          <w:tcPr>
            <w:tcW w:w="295"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345"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13,500</w:t>
            </w:r>
          </w:p>
        </w:tc>
        <w:tc>
          <w:tcPr>
            <w:tcW w:w="494" w:type="pct"/>
            <w:shd w:val="clear" w:color="auto" w:fill="auto"/>
          </w:tcPr>
          <w:p w:rsidR="009E7A71" w:rsidRPr="00762707" w:rsidRDefault="009E7A71" w:rsidP="009E7A71">
            <w:pPr>
              <w:spacing w:after="60"/>
              <w:jc w:val="right"/>
              <w:rPr>
                <w:sz w:val="18"/>
                <w:lang w:val="en-CA"/>
              </w:rPr>
            </w:pPr>
            <w:r w:rsidRPr="00762707">
              <w:rPr>
                <w:sz w:val="18"/>
                <w:lang w:val="en-CA"/>
              </w:rPr>
              <w:t>104,000</w:t>
            </w:r>
          </w:p>
        </w:tc>
      </w:tr>
      <w:tr w:rsidR="009E7A71" w:rsidRPr="00762707" w:rsidTr="00184647">
        <w:tc>
          <w:tcPr>
            <w:tcW w:w="386" w:type="pct"/>
            <w:vMerge/>
            <w:shd w:val="clear" w:color="auto" w:fill="auto"/>
          </w:tcPr>
          <w:p w:rsidR="009E7A71" w:rsidRPr="00762707" w:rsidRDefault="009E7A71" w:rsidP="003155FE">
            <w:pPr>
              <w:spacing w:after="60"/>
              <w:jc w:val="center"/>
              <w:rPr>
                <w:sz w:val="18"/>
                <w:lang w:val="en-CA"/>
              </w:rPr>
            </w:pPr>
          </w:p>
        </w:tc>
        <w:tc>
          <w:tcPr>
            <w:tcW w:w="396" w:type="pct"/>
            <w:vMerge/>
            <w:shd w:val="clear" w:color="auto" w:fill="auto"/>
          </w:tcPr>
          <w:p w:rsidR="009E7A71" w:rsidRPr="00762707" w:rsidRDefault="009E7A71" w:rsidP="003155FE">
            <w:pPr>
              <w:spacing w:after="60"/>
              <w:jc w:val="center"/>
              <w:rPr>
                <w:sz w:val="18"/>
                <w:lang w:val="en-CA"/>
              </w:rPr>
            </w:pPr>
          </w:p>
        </w:tc>
        <w:tc>
          <w:tcPr>
            <w:tcW w:w="391" w:type="pct"/>
            <w:shd w:val="clear" w:color="auto" w:fill="auto"/>
          </w:tcPr>
          <w:p w:rsidR="009E7A71" w:rsidRPr="00762707" w:rsidRDefault="009E7A71" w:rsidP="003155FE">
            <w:pPr>
              <w:spacing w:after="60"/>
              <w:jc w:val="left"/>
              <w:rPr>
                <w:sz w:val="18"/>
                <w:lang w:val="en-CA"/>
              </w:rPr>
            </w:pPr>
            <w:r w:rsidRPr="00762707">
              <w:rPr>
                <w:sz w:val="18"/>
                <w:lang w:val="en-CA"/>
              </w:rPr>
              <w:t>Support costs</w:t>
            </w:r>
          </w:p>
        </w:tc>
        <w:tc>
          <w:tcPr>
            <w:tcW w:w="354" w:type="pct"/>
            <w:shd w:val="clear" w:color="auto" w:fill="auto"/>
          </w:tcPr>
          <w:p w:rsidR="009E7A71" w:rsidRPr="00762707" w:rsidRDefault="009E7A71" w:rsidP="009E7A71">
            <w:pPr>
              <w:spacing w:after="60"/>
              <w:jc w:val="right"/>
              <w:rPr>
                <w:sz w:val="18"/>
                <w:lang w:val="en-CA"/>
              </w:rPr>
            </w:pPr>
            <w:r w:rsidRPr="00762707">
              <w:rPr>
                <w:sz w:val="18"/>
                <w:lang w:val="en-CA"/>
              </w:rPr>
              <w:t>3,510</w:t>
            </w:r>
          </w:p>
        </w:tc>
        <w:tc>
          <w:tcPr>
            <w:tcW w:w="286"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3,705</w:t>
            </w:r>
          </w:p>
        </w:tc>
        <w:tc>
          <w:tcPr>
            <w:tcW w:w="286"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4,550</w:t>
            </w:r>
          </w:p>
        </w:tc>
        <w:tc>
          <w:tcPr>
            <w:tcW w:w="295"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345"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1,755</w:t>
            </w:r>
          </w:p>
        </w:tc>
        <w:tc>
          <w:tcPr>
            <w:tcW w:w="494" w:type="pct"/>
            <w:shd w:val="clear" w:color="auto" w:fill="auto"/>
          </w:tcPr>
          <w:p w:rsidR="009E7A71" w:rsidRPr="00762707" w:rsidRDefault="009E7A71" w:rsidP="009E7A71">
            <w:pPr>
              <w:spacing w:after="60"/>
              <w:jc w:val="right"/>
              <w:rPr>
                <w:sz w:val="18"/>
                <w:lang w:val="en-CA"/>
              </w:rPr>
            </w:pPr>
            <w:r w:rsidRPr="00762707">
              <w:rPr>
                <w:sz w:val="18"/>
                <w:lang w:val="en-CA"/>
              </w:rPr>
              <w:t>13,520</w:t>
            </w:r>
          </w:p>
        </w:tc>
      </w:tr>
      <w:tr w:rsidR="009E7A71" w:rsidRPr="00762707" w:rsidTr="00184647">
        <w:tc>
          <w:tcPr>
            <w:tcW w:w="386" w:type="pct"/>
            <w:vMerge/>
            <w:shd w:val="clear" w:color="auto" w:fill="auto"/>
          </w:tcPr>
          <w:p w:rsidR="009E7A71" w:rsidRPr="00762707" w:rsidRDefault="009E7A71" w:rsidP="003155FE">
            <w:pPr>
              <w:spacing w:after="60"/>
              <w:jc w:val="center"/>
              <w:rPr>
                <w:sz w:val="18"/>
                <w:lang w:val="en-CA"/>
              </w:rPr>
            </w:pPr>
          </w:p>
        </w:tc>
        <w:tc>
          <w:tcPr>
            <w:tcW w:w="396" w:type="pct"/>
            <w:vMerge w:val="restart"/>
            <w:shd w:val="clear" w:color="auto" w:fill="auto"/>
          </w:tcPr>
          <w:p w:rsidR="009E7A71" w:rsidRPr="00762707" w:rsidRDefault="009E7A71" w:rsidP="003155FE">
            <w:pPr>
              <w:spacing w:after="60"/>
              <w:jc w:val="center"/>
              <w:rPr>
                <w:sz w:val="18"/>
                <w:lang w:val="en-CA"/>
              </w:rPr>
            </w:pPr>
            <w:r w:rsidRPr="00762707">
              <w:rPr>
                <w:sz w:val="18"/>
                <w:lang w:val="en-CA"/>
              </w:rPr>
              <w:t>UNIDO</w:t>
            </w:r>
          </w:p>
        </w:tc>
        <w:tc>
          <w:tcPr>
            <w:tcW w:w="391" w:type="pct"/>
            <w:shd w:val="clear" w:color="auto" w:fill="auto"/>
          </w:tcPr>
          <w:p w:rsidR="009E7A71" w:rsidRPr="00762707" w:rsidRDefault="009E7A71" w:rsidP="003155FE">
            <w:pPr>
              <w:spacing w:after="60"/>
              <w:jc w:val="left"/>
              <w:rPr>
                <w:sz w:val="18"/>
                <w:lang w:val="en-CA"/>
              </w:rPr>
            </w:pPr>
            <w:r w:rsidRPr="00762707">
              <w:rPr>
                <w:sz w:val="18"/>
                <w:lang w:val="en-CA"/>
              </w:rPr>
              <w:t>Project costs</w:t>
            </w:r>
          </w:p>
        </w:tc>
        <w:tc>
          <w:tcPr>
            <w:tcW w:w="354" w:type="pct"/>
            <w:shd w:val="clear" w:color="auto" w:fill="auto"/>
          </w:tcPr>
          <w:p w:rsidR="009E7A71" w:rsidRPr="00762707" w:rsidRDefault="009E7A71" w:rsidP="009E7A71">
            <w:pPr>
              <w:spacing w:after="60"/>
              <w:jc w:val="right"/>
              <w:rPr>
                <w:sz w:val="18"/>
                <w:lang w:val="en-CA"/>
              </w:rPr>
            </w:pPr>
            <w:r w:rsidRPr="00762707">
              <w:rPr>
                <w:sz w:val="18"/>
                <w:lang w:val="en-CA"/>
              </w:rPr>
              <w:t>68,000</w:t>
            </w:r>
          </w:p>
        </w:tc>
        <w:tc>
          <w:tcPr>
            <w:tcW w:w="286"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286"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29,000</w:t>
            </w:r>
          </w:p>
        </w:tc>
        <w:tc>
          <w:tcPr>
            <w:tcW w:w="295"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345"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9,000</w:t>
            </w:r>
          </w:p>
        </w:tc>
        <w:tc>
          <w:tcPr>
            <w:tcW w:w="494" w:type="pct"/>
            <w:shd w:val="clear" w:color="auto" w:fill="auto"/>
          </w:tcPr>
          <w:p w:rsidR="009E7A71" w:rsidRPr="00762707" w:rsidRDefault="009E7A71" w:rsidP="009E7A71">
            <w:pPr>
              <w:spacing w:after="60"/>
              <w:jc w:val="right"/>
              <w:rPr>
                <w:sz w:val="18"/>
                <w:lang w:val="en-CA"/>
              </w:rPr>
            </w:pPr>
            <w:r w:rsidRPr="00762707">
              <w:rPr>
                <w:sz w:val="18"/>
                <w:lang w:val="en-CA"/>
              </w:rPr>
              <w:t>106,000</w:t>
            </w:r>
          </w:p>
        </w:tc>
      </w:tr>
      <w:tr w:rsidR="009E7A71" w:rsidRPr="00762707" w:rsidTr="00184647">
        <w:tc>
          <w:tcPr>
            <w:tcW w:w="386" w:type="pct"/>
            <w:vMerge/>
            <w:shd w:val="clear" w:color="auto" w:fill="auto"/>
          </w:tcPr>
          <w:p w:rsidR="009E7A71" w:rsidRPr="00762707" w:rsidRDefault="009E7A71" w:rsidP="003155FE">
            <w:pPr>
              <w:spacing w:after="60"/>
              <w:jc w:val="center"/>
              <w:rPr>
                <w:sz w:val="18"/>
                <w:lang w:val="en-CA"/>
              </w:rPr>
            </w:pPr>
          </w:p>
        </w:tc>
        <w:tc>
          <w:tcPr>
            <w:tcW w:w="396" w:type="pct"/>
            <w:vMerge/>
            <w:shd w:val="clear" w:color="auto" w:fill="auto"/>
          </w:tcPr>
          <w:p w:rsidR="009E7A71" w:rsidRPr="00762707" w:rsidRDefault="009E7A71" w:rsidP="003155FE">
            <w:pPr>
              <w:spacing w:after="60"/>
              <w:jc w:val="center"/>
              <w:rPr>
                <w:sz w:val="18"/>
                <w:lang w:val="en-CA"/>
              </w:rPr>
            </w:pPr>
          </w:p>
        </w:tc>
        <w:tc>
          <w:tcPr>
            <w:tcW w:w="391" w:type="pct"/>
            <w:shd w:val="clear" w:color="auto" w:fill="auto"/>
          </w:tcPr>
          <w:p w:rsidR="009E7A71" w:rsidRPr="00762707" w:rsidRDefault="009E7A71" w:rsidP="003155FE">
            <w:pPr>
              <w:spacing w:after="60"/>
              <w:jc w:val="left"/>
              <w:rPr>
                <w:sz w:val="18"/>
                <w:lang w:val="en-CA"/>
              </w:rPr>
            </w:pPr>
            <w:r w:rsidRPr="00762707">
              <w:rPr>
                <w:sz w:val="18"/>
                <w:lang w:val="en-CA"/>
              </w:rPr>
              <w:t>Support costs</w:t>
            </w:r>
          </w:p>
        </w:tc>
        <w:tc>
          <w:tcPr>
            <w:tcW w:w="354" w:type="pct"/>
            <w:shd w:val="clear" w:color="auto" w:fill="auto"/>
          </w:tcPr>
          <w:p w:rsidR="009E7A71" w:rsidRPr="00762707" w:rsidRDefault="009E7A71" w:rsidP="009E7A71">
            <w:pPr>
              <w:spacing w:after="60"/>
              <w:jc w:val="right"/>
              <w:rPr>
                <w:sz w:val="18"/>
                <w:lang w:val="en-CA"/>
              </w:rPr>
            </w:pPr>
            <w:r w:rsidRPr="00762707">
              <w:rPr>
                <w:sz w:val="18"/>
                <w:lang w:val="en-CA"/>
              </w:rPr>
              <w:t>6,120</w:t>
            </w:r>
          </w:p>
        </w:tc>
        <w:tc>
          <w:tcPr>
            <w:tcW w:w="286"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286"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2,610</w:t>
            </w:r>
          </w:p>
        </w:tc>
        <w:tc>
          <w:tcPr>
            <w:tcW w:w="295"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345" w:type="pct"/>
            <w:shd w:val="clear" w:color="auto" w:fill="auto"/>
          </w:tcPr>
          <w:p w:rsidR="009E7A71" w:rsidRPr="00762707" w:rsidRDefault="009E7A71" w:rsidP="009E7A71">
            <w:pPr>
              <w:spacing w:after="60"/>
              <w:jc w:val="right"/>
              <w:rPr>
                <w:sz w:val="18"/>
                <w:lang w:val="en-CA"/>
              </w:rPr>
            </w:pPr>
            <w:r>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810</w:t>
            </w:r>
          </w:p>
        </w:tc>
        <w:tc>
          <w:tcPr>
            <w:tcW w:w="494" w:type="pct"/>
            <w:shd w:val="clear" w:color="auto" w:fill="auto"/>
          </w:tcPr>
          <w:p w:rsidR="009E7A71" w:rsidRPr="00762707" w:rsidRDefault="009E7A71" w:rsidP="009E7A71">
            <w:pPr>
              <w:spacing w:after="60"/>
              <w:jc w:val="right"/>
              <w:rPr>
                <w:sz w:val="18"/>
                <w:lang w:val="en-CA"/>
              </w:rPr>
            </w:pPr>
            <w:r w:rsidRPr="00762707">
              <w:rPr>
                <w:sz w:val="18"/>
                <w:lang w:val="en-CA"/>
              </w:rPr>
              <w:t>9,540</w:t>
            </w:r>
          </w:p>
        </w:tc>
      </w:tr>
      <w:tr w:rsidR="009E7A71" w:rsidRPr="00762707" w:rsidTr="00184647">
        <w:tc>
          <w:tcPr>
            <w:tcW w:w="781" w:type="pct"/>
            <w:gridSpan w:val="2"/>
            <w:vMerge w:val="restart"/>
            <w:shd w:val="clear" w:color="auto" w:fill="auto"/>
          </w:tcPr>
          <w:p w:rsidR="009E7A71" w:rsidRPr="00762707" w:rsidRDefault="009E7A71" w:rsidP="003155FE">
            <w:pPr>
              <w:spacing w:after="60"/>
              <w:jc w:val="left"/>
              <w:rPr>
                <w:sz w:val="18"/>
                <w:lang w:val="en-CA"/>
              </w:rPr>
            </w:pPr>
            <w:r w:rsidRPr="00762707">
              <w:rPr>
                <w:sz w:val="18"/>
                <w:lang w:val="en-CA"/>
              </w:rPr>
              <w:t xml:space="preserve">Funds approved by </w:t>
            </w:r>
            <w:proofErr w:type="spellStart"/>
            <w:r w:rsidRPr="00762707">
              <w:rPr>
                <w:sz w:val="18"/>
                <w:lang w:val="en-CA"/>
              </w:rPr>
              <w:t>ExCom</w:t>
            </w:r>
            <w:proofErr w:type="spellEnd"/>
            <w:r w:rsidRPr="00762707">
              <w:rPr>
                <w:sz w:val="18"/>
                <w:lang w:val="en-CA"/>
              </w:rPr>
              <w:t xml:space="preserve"> (US $)</w:t>
            </w:r>
          </w:p>
        </w:tc>
        <w:tc>
          <w:tcPr>
            <w:tcW w:w="391" w:type="pct"/>
            <w:shd w:val="clear" w:color="auto" w:fill="auto"/>
          </w:tcPr>
          <w:p w:rsidR="009E7A71" w:rsidRPr="00762707" w:rsidRDefault="009E7A71" w:rsidP="003155FE">
            <w:pPr>
              <w:spacing w:after="60"/>
              <w:jc w:val="left"/>
              <w:rPr>
                <w:sz w:val="18"/>
                <w:lang w:val="en-CA"/>
              </w:rPr>
            </w:pPr>
            <w:r w:rsidRPr="00762707">
              <w:rPr>
                <w:sz w:val="18"/>
                <w:lang w:val="en-CA"/>
              </w:rPr>
              <w:t>Project costs</w:t>
            </w:r>
          </w:p>
        </w:tc>
        <w:tc>
          <w:tcPr>
            <w:tcW w:w="354" w:type="pct"/>
            <w:shd w:val="clear" w:color="auto" w:fill="auto"/>
          </w:tcPr>
          <w:p w:rsidR="009E7A71" w:rsidRPr="00762707" w:rsidRDefault="009E7A71" w:rsidP="009E7A71">
            <w:pPr>
              <w:spacing w:after="60"/>
              <w:jc w:val="right"/>
              <w:rPr>
                <w:sz w:val="18"/>
                <w:lang w:val="en-CA"/>
              </w:rPr>
            </w:pPr>
            <w:r w:rsidRPr="00762707">
              <w:rPr>
                <w:sz w:val="18"/>
                <w:lang w:val="en-CA"/>
              </w:rPr>
              <w:t>95,000</w:t>
            </w:r>
          </w:p>
        </w:tc>
        <w:tc>
          <w:tcPr>
            <w:tcW w:w="286"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286"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28,500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295"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345"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494" w:type="pct"/>
            <w:shd w:val="clear" w:color="auto" w:fill="auto"/>
          </w:tcPr>
          <w:p w:rsidR="009E7A71" w:rsidRPr="00762707" w:rsidRDefault="009E7A71" w:rsidP="009E7A71">
            <w:pPr>
              <w:spacing w:after="60"/>
              <w:jc w:val="right"/>
              <w:rPr>
                <w:sz w:val="18"/>
                <w:lang w:val="en-CA"/>
              </w:rPr>
            </w:pPr>
            <w:r w:rsidRPr="00762707">
              <w:rPr>
                <w:sz w:val="18"/>
                <w:lang w:val="en-CA"/>
              </w:rPr>
              <w:t>123,500</w:t>
            </w:r>
          </w:p>
        </w:tc>
      </w:tr>
      <w:tr w:rsidR="009E7A71" w:rsidRPr="00762707" w:rsidTr="00184647">
        <w:tc>
          <w:tcPr>
            <w:tcW w:w="781" w:type="pct"/>
            <w:gridSpan w:val="2"/>
            <w:vMerge/>
            <w:shd w:val="clear" w:color="auto" w:fill="auto"/>
          </w:tcPr>
          <w:p w:rsidR="009E7A71" w:rsidRPr="00762707" w:rsidRDefault="009E7A71" w:rsidP="003155FE">
            <w:pPr>
              <w:spacing w:after="60"/>
              <w:jc w:val="center"/>
              <w:rPr>
                <w:sz w:val="18"/>
                <w:lang w:val="en-CA"/>
              </w:rPr>
            </w:pPr>
          </w:p>
        </w:tc>
        <w:tc>
          <w:tcPr>
            <w:tcW w:w="391" w:type="pct"/>
            <w:shd w:val="clear" w:color="auto" w:fill="auto"/>
          </w:tcPr>
          <w:p w:rsidR="009E7A71" w:rsidRPr="00762707" w:rsidRDefault="009E7A71" w:rsidP="003155FE">
            <w:pPr>
              <w:spacing w:after="60"/>
              <w:jc w:val="left"/>
              <w:rPr>
                <w:sz w:val="18"/>
                <w:lang w:val="en-CA"/>
              </w:rPr>
            </w:pPr>
            <w:r w:rsidRPr="00762707">
              <w:rPr>
                <w:sz w:val="18"/>
                <w:lang w:val="en-CA"/>
              </w:rPr>
              <w:t>Support costs</w:t>
            </w:r>
          </w:p>
        </w:tc>
        <w:tc>
          <w:tcPr>
            <w:tcW w:w="354" w:type="pct"/>
            <w:shd w:val="clear" w:color="auto" w:fill="auto"/>
          </w:tcPr>
          <w:p w:rsidR="009E7A71" w:rsidRPr="00762707" w:rsidRDefault="009E7A71" w:rsidP="009E7A71">
            <w:pPr>
              <w:spacing w:after="60"/>
              <w:jc w:val="right"/>
              <w:rPr>
                <w:sz w:val="18"/>
                <w:lang w:val="en-CA"/>
              </w:rPr>
            </w:pPr>
            <w:r w:rsidRPr="00762707">
              <w:rPr>
                <w:sz w:val="18"/>
                <w:lang w:val="en-CA"/>
              </w:rPr>
              <w:t>9,630</w:t>
            </w:r>
          </w:p>
        </w:tc>
        <w:tc>
          <w:tcPr>
            <w:tcW w:w="286"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Pr>
                <w:sz w:val="18"/>
                <w:lang w:val="en-CA"/>
              </w:rPr>
              <w:t>0</w:t>
            </w:r>
          </w:p>
        </w:tc>
        <w:tc>
          <w:tcPr>
            <w:tcW w:w="286"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3,705</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295"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0</w:t>
            </w:r>
          </w:p>
        </w:tc>
        <w:tc>
          <w:tcPr>
            <w:tcW w:w="345"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494" w:type="pct"/>
            <w:shd w:val="clear" w:color="auto" w:fill="auto"/>
          </w:tcPr>
          <w:p w:rsidR="009E7A71" w:rsidRPr="00762707" w:rsidRDefault="009E7A71" w:rsidP="009E7A71">
            <w:pPr>
              <w:spacing w:after="60"/>
              <w:jc w:val="right"/>
              <w:rPr>
                <w:sz w:val="18"/>
                <w:lang w:val="en-CA"/>
              </w:rPr>
            </w:pPr>
            <w:r w:rsidRPr="00762707">
              <w:rPr>
                <w:sz w:val="18"/>
                <w:lang w:val="en-CA"/>
              </w:rPr>
              <w:t>13,335</w:t>
            </w:r>
          </w:p>
        </w:tc>
      </w:tr>
      <w:tr w:rsidR="009E7A71" w:rsidRPr="00762707" w:rsidTr="00184647">
        <w:tc>
          <w:tcPr>
            <w:tcW w:w="781" w:type="pct"/>
            <w:gridSpan w:val="2"/>
            <w:vMerge w:val="restart"/>
            <w:shd w:val="clear" w:color="auto" w:fill="auto"/>
          </w:tcPr>
          <w:p w:rsidR="009E7A71" w:rsidRPr="00762707" w:rsidRDefault="009E7A71" w:rsidP="003155FE">
            <w:pPr>
              <w:spacing w:after="60"/>
              <w:jc w:val="left"/>
              <w:rPr>
                <w:sz w:val="18"/>
                <w:lang w:val="en-CA"/>
              </w:rPr>
            </w:pPr>
            <w:r w:rsidRPr="00762707">
              <w:rPr>
                <w:sz w:val="18"/>
                <w:lang w:val="en-CA"/>
              </w:rPr>
              <w:t>Total funds requested for approval at this meeting (US $)</w:t>
            </w:r>
          </w:p>
        </w:tc>
        <w:tc>
          <w:tcPr>
            <w:tcW w:w="391" w:type="pct"/>
            <w:shd w:val="clear" w:color="auto" w:fill="auto"/>
          </w:tcPr>
          <w:p w:rsidR="009E7A71" w:rsidRPr="00762707" w:rsidRDefault="009E7A71" w:rsidP="003155FE">
            <w:pPr>
              <w:spacing w:after="60"/>
              <w:jc w:val="left"/>
              <w:rPr>
                <w:sz w:val="18"/>
                <w:lang w:val="en-CA"/>
              </w:rPr>
            </w:pPr>
            <w:r w:rsidRPr="00762707">
              <w:rPr>
                <w:sz w:val="18"/>
                <w:lang w:val="en-CA"/>
              </w:rPr>
              <w:t>Project costs</w:t>
            </w:r>
          </w:p>
        </w:tc>
        <w:tc>
          <w:tcPr>
            <w:tcW w:w="354" w:type="pct"/>
            <w:shd w:val="clear" w:color="auto" w:fill="auto"/>
          </w:tcPr>
          <w:p w:rsidR="009E7A71" w:rsidRPr="00762707" w:rsidRDefault="009E7A71" w:rsidP="009E7A71">
            <w:pPr>
              <w:spacing w:after="60"/>
              <w:jc w:val="right"/>
              <w:rPr>
                <w:sz w:val="18"/>
                <w:lang w:val="en-CA"/>
              </w:rPr>
            </w:pPr>
          </w:p>
        </w:tc>
        <w:tc>
          <w:tcPr>
            <w:tcW w:w="286"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286"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295"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64,000</w:t>
            </w:r>
          </w:p>
        </w:tc>
        <w:tc>
          <w:tcPr>
            <w:tcW w:w="345"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494" w:type="pct"/>
            <w:shd w:val="clear" w:color="auto" w:fill="auto"/>
          </w:tcPr>
          <w:p w:rsidR="009E7A71" w:rsidRPr="00762707" w:rsidRDefault="009E7A71" w:rsidP="009E7A71">
            <w:pPr>
              <w:spacing w:after="60"/>
              <w:jc w:val="right"/>
              <w:rPr>
                <w:sz w:val="18"/>
                <w:lang w:val="en-CA"/>
              </w:rPr>
            </w:pPr>
            <w:r w:rsidRPr="00762707">
              <w:rPr>
                <w:sz w:val="18"/>
                <w:lang w:val="en-CA"/>
              </w:rPr>
              <w:t>64,000</w:t>
            </w:r>
          </w:p>
        </w:tc>
      </w:tr>
      <w:tr w:rsidR="009E7A71" w:rsidRPr="00762707" w:rsidTr="00184647">
        <w:tc>
          <w:tcPr>
            <w:tcW w:w="781" w:type="pct"/>
            <w:gridSpan w:val="2"/>
            <w:vMerge/>
            <w:shd w:val="clear" w:color="auto" w:fill="auto"/>
          </w:tcPr>
          <w:p w:rsidR="009E7A71" w:rsidRPr="00762707" w:rsidRDefault="009E7A71" w:rsidP="003155FE">
            <w:pPr>
              <w:spacing w:after="60"/>
              <w:jc w:val="center"/>
              <w:rPr>
                <w:sz w:val="18"/>
                <w:lang w:val="en-CA"/>
              </w:rPr>
            </w:pPr>
          </w:p>
        </w:tc>
        <w:tc>
          <w:tcPr>
            <w:tcW w:w="391" w:type="pct"/>
            <w:shd w:val="clear" w:color="auto" w:fill="auto"/>
          </w:tcPr>
          <w:p w:rsidR="009E7A71" w:rsidRPr="00762707" w:rsidRDefault="009E7A71" w:rsidP="003155FE">
            <w:pPr>
              <w:spacing w:after="60"/>
              <w:jc w:val="left"/>
              <w:rPr>
                <w:sz w:val="18"/>
                <w:lang w:val="en-CA"/>
              </w:rPr>
            </w:pPr>
            <w:r w:rsidRPr="00762707">
              <w:rPr>
                <w:sz w:val="18"/>
                <w:lang w:val="en-CA"/>
              </w:rPr>
              <w:t>Support costs</w:t>
            </w:r>
          </w:p>
        </w:tc>
        <w:tc>
          <w:tcPr>
            <w:tcW w:w="354" w:type="pct"/>
            <w:shd w:val="clear" w:color="auto" w:fill="auto"/>
          </w:tcPr>
          <w:p w:rsidR="009E7A71" w:rsidRPr="00762707" w:rsidRDefault="009E7A71" w:rsidP="009E7A71">
            <w:pPr>
              <w:spacing w:after="60"/>
              <w:jc w:val="right"/>
              <w:rPr>
                <w:sz w:val="18"/>
                <w:lang w:val="en-CA"/>
              </w:rPr>
            </w:pPr>
          </w:p>
        </w:tc>
        <w:tc>
          <w:tcPr>
            <w:tcW w:w="286"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286"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295"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r w:rsidRPr="00762707">
              <w:rPr>
                <w:sz w:val="18"/>
                <w:lang w:val="en-CA"/>
              </w:rPr>
              <w:t>7,160</w:t>
            </w:r>
          </w:p>
        </w:tc>
        <w:tc>
          <w:tcPr>
            <w:tcW w:w="345" w:type="pct"/>
            <w:shd w:val="clear" w:color="auto" w:fill="auto"/>
          </w:tcPr>
          <w:p w:rsidR="009E7A71" w:rsidRPr="00762707" w:rsidRDefault="009E7A71" w:rsidP="009E7A71">
            <w:pPr>
              <w:spacing w:after="60"/>
              <w:jc w:val="right"/>
              <w:rPr>
                <w:sz w:val="18"/>
                <w:lang w:val="en-CA"/>
              </w:rPr>
            </w:pPr>
          </w:p>
        </w:tc>
        <w:tc>
          <w:tcPr>
            <w:tcW w:w="353" w:type="pct"/>
            <w:shd w:val="clear" w:color="auto" w:fill="auto"/>
          </w:tcPr>
          <w:p w:rsidR="009E7A71" w:rsidRPr="00762707" w:rsidRDefault="009E7A71" w:rsidP="009E7A71">
            <w:pPr>
              <w:spacing w:after="60"/>
              <w:jc w:val="right"/>
              <w:rPr>
                <w:sz w:val="18"/>
                <w:lang w:val="en-CA"/>
              </w:rPr>
            </w:pPr>
          </w:p>
        </w:tc>
        <w:tc>
          <w:tcPr>
            <w:tcW w:w="494" w:type="pct"/>
            <w:shd w:val="clear" w:color="auto" w:fill="auto"/>
          </w:tcPr>
          <w:p w:rsidR="009E7A71" w:rsidRPr="00762707" w:rsidRDefault="009E7A71" w:rsidP="009E7A71">
            <w:pPr>
              <w:spacing w:after="60"/>
              <w:jc w:val="right"/>
              <w:rPr>
                <w:sz w:val="18"/>
                <w:lang w:val="en-CA"/>
              </w:rPr>
            </w:pPr>
            <w:r w:rsidRPr="00762707">
              <w:rPr>
                <w:sz w:val="18"/>
                <w:lang w:val="en-CA"/>
              </w:rPr>
              <w:t>7,160</w:t>
            </w:r>
          </w:p>
        </w:tc>
      </w:tr>
    </w:tbl>
    <w:p w:rsidR="009E7A71" w:rsidRPr="00184647" w:rsidRDefault="00184647" w:rsidP="00184647">
      <w:pPr>
        <w:spacing w:after="60"/>
        <w:jc w:val="left"/>
        <w:rPr>
          <w:sz w:val="20"/>
          <w:szCs w:val="20"/>
          <w:lang w:val="en-CA"/>
        </w:rPr>
      </w:pPr>
      <w:r w:rsidRPr="00184647">
        <w:rPr>
          <w:sz w:val="20"/>
          <w:szCs w:val="20"/>
          <w:lang w:val="en-CA"/>
        </w:rPr>
        <w:t>*The second tranche should have been submitted in 2013 and the third tranche in 2016.</w:t>
      </w:r>
    </w:p>
    <w:tbl>
      <w:tblPr>
        <w:tblStyle w:val="TableGrid"/>
        <w:tblW w:w="100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60"/>
      </w:tblGrid>
      <w:tr w:rsidR="009E7A71" w:rsidRPr="00762707" w:rsidTr="00127E0D">
        <w:trPr>
          <w:trHeight w:val="240"/>
        </w:trPr>
        <w:tc>
          <w:tcPr>
            <w:tcW w:w="3000" w:type="dxa"/>
            <w:shd w:val="clear" w:color="auto" w:fill="auto"/>
          </w:tcPr>
          <w:p w:rsidR="009E7A71" w:rsidRPr="00762707" w:rsidRDefault="009E7A71" w:rsidP="003155FE">
            <w:pPr>
              <w:spacing w:after="60"/>
              <w:jc w:val="left"/>
              <w:rPr>
                <w:b/>
                <w:sz w:val="18"/>
                <w:lang w:val="en-CA"/>
              </w:rPr>
            </w:pPr>
            <w:r w:rsidRPr="00762707">
              <w:rPr>
                <w:b/>
                <w:sz w:val="18"/>
                <w:lang w:val="en-CA"/>
              </w:rPr>
              <w:t>Secretariat's recommendation:</w:t>
            </w:r>
          </w:p>
        </w:tc>
        <w:tc>
          <w:tcPr>
            <w:tcW w:w="7060" w:type="dxa"/>
            <w:shd w:val="clear" w:color="auto" w:fill="auto"/>
          </w:tcPr>
          <w:p w:rsidR="009E7A71" w:rsidRPr="00762707" w:rsidRDefault="00184647" w:rsidP="003155FE">
            <w:pPr>
              <w:spacing w:after="60"/>
              <w:jc w:val="center"/>
              <w:rPr>
                <w:sz w:val="18"/>
                <w:lang w:val="en-CA"/>
              </w:rPr>
            </w:pPr>
            <w:r>
              <w:rPr>
                <w:sz w:val="18"/>
                <w:lang w:val="en-CA"/>
              </w:rPr>
              <w:t>Blanket approval</w:t>
            </w:r>
          </w:p>
        </w:tc>
      </w:tr>
    </w:tbl>
    <w:p w:rsidR="008C5738" w:rsidRPr="009E7A71" w:rsidRDefault="009E7A71" w:rsidP="009E7A71">
      <w:pPr>
        <w:pStyle w:val="StyleHeader4Para4Left0Firstline0"/>
        <w:numPr>
          <w:ilvl w:val="0"/>
          <w:numId w:val="0"/>
        </w:numPr>
        <w:jc w:val="center"/>
        <w:rPr>
          <w:sz w:val="22"/>
        </w:rPr>
      </w:pPr>
      <w:r w:rsidRPr="009E7A71">
        <w:rPr>
          <w:b/>
          <w:sz w:val="22"/>
        </w:rPr>
        <w:lastRenderedPageBreak/>
        <w:t>PROJECT DESCRIPTION</w:t>
      </w:r>
      <w:bookmarkStart w:id="0" w:name="_GoBack"/>
      <w:bookmarkEnd w:id="0"/>
    </w:p>
    <w:p w:rsidR="009E7A71" w:rsidRDefault="009E7A71" w:rsidP="00D92E57">
      <w:pPr>
        <w:pStyle w:val="Heading1"/>
      </w:pPr>
      <w:r>
        <w:t>On behalf of the Government of Suriname, UNEP as the lead implementing agency, has submitted a request for funding for the third tranche of stage I of the HCFC phase out management plan (HPMP),</w:t>
      </w:r>
      <w:r>
        <w:rPr>
          <w:rStyle w:val="FootnoteReference"/>
        </w:rPr>
        <w:footnoteReference w:id="1"/>
      </w:r>
      <w:r>
        <w:t xml:space="preserve"> at </w:t>
      </w:r>
      <w:r w:rsidR="00184647">
        <w:t>a total cost</w:t>
      </w:r>
      <w:r>
        <w:t xml:space="preserve"> of US $</w:t>
      </w:r>
      <w:r w:rsidR="00184647">
        <w:t>71,160</w:t>
      </w:r>
      <w:r w:rsidR="00883973">
        <w:t>,</w:t>
      </w:r>
      <w:r w:rsidR="00184647">
        <w:t xml:space="preserve"> consisting of </w:t>
      </w:r>
      <w:r>
        <w:t>US $35,000, plus agency support costs of US $4,550 for UNEP</w:t>
      </w:r>
      <w:r w:rsidR="00184647">
        <w:t>,</w:t>
      </w:r>
      <w:r w:rsidR="00217E28">
        <w:t> </w:t>
      </w:r>
      <w:r>
        <w:t xml:space="preserve">and US $29,000, plus agency support costs of US $2,610 for UNIDO. The submission includes a progress report on the implementation of the second tranche, </w:t>
      </w:r>
      <w:r w:rsidR="00184647">
        <w:t xml:space="preserve">the verification report on HCFC consumption for 2013-2017, </w:t>
      </w:r>
      <w:r>
        <w:t>and the tranche implementation plan for 2018 to 2020.</w:t>
      </w:r>
    </w:p>
    <w:p w:rsidR="009E7A71" w:rsidRPr="009E7A71" w:rsidRDefault="009E7A71" w:rsidP="009E7A71">
      <w:pPr>
        <w:pStyle w:val="StyleHeader4Para4Left0Firstline0"/>
        <w:numPr>
          <w:ilvl w:val="0"/>
          <w:numId w:val="0"/>
        </w:numPr>
        <w:rPr>
          <w:sz w:val="22"/>
          <w:u w:val="single"/>
        </w:rPr>
      </w:pPr>
      <w:r w:rsidRPr="009E7A71">
        <w:rPr>
          <w:sz w:val="22"/>
          <w:u w:val="single"/>
        </w:rPr>
        <w:t>Report on HCFC consumption</w:t>
      </w:r>
    </w:p>
    <w:p w:rsidR="008C5738" w:rsidRDefault="009E7A71" w:rsidP="00D92E57">
      <w:pPr>
        <w:pStyle w:val="Heading1"/>
      </w:pPr>
      <w:r>
        <w:t>The Government of Suriname reported a consumption of 0.99 ODP tonnes of HCFC in 2016</w:t>
      </w:r>
      <w:r w:rsidR="00CB066C">
        <w:t xml:space="preserve"> </w:t>
      </w:r>
      <w:r w:rsidR="009E16E8">
        <w:t xml:space="preserve">and an estimated consumption of 1.15 ODP tonnes for 2017, </w:t>
      </w:r>
      <w:r w:rsidR="00D35B6B">
        <w:t>which</w:t>
      </w:r>
      <w:r w:rsidR="00883973">
        <w:t xml:space="preserve"> were 51 per cent and </w:t>
      </w:r>
      <w:r w:rsidR="009E16E8">
        <w:t>43</w:t>
      </w:r>
      <w:r w:rsidR="00D35B6B">
        <w:t xml:space="preserve"> per cent </w:t>
      </w:r>
      <w:r w:rsidR="009E16E8">
        <w:t>below</w:t>
      </w:r>
      <w:r w:rsidR="00D35B6B">
        <w:t xml:space="preserve"> the </w:t>
      </w:r>
      <w:r w:rsidR="009E16E8">
        <w:t xml:space="preserve">HCFC </w:t>
      </w:r>
      <w:r w:rsidR="00D35B6B">
        <w:t xml:space="preserve">baseline </w:t>
      </w:r>
      <w:r w:rsidR="009E16E8">
        <w:t>for compliance, respectively</w:t>
      </w:r>
      <w:r>
        <w:t>. The 201</w:t>
      </w:r>
      <w:r w:rsidR="00717F45">
        <w:t>3</w:t>
      </w:r>
      <w:r>
        <w:t>-2017 HCFC consumption is shown in Table 1.</w:t>
      </w:r>
    </w:p>
    <w:p w:rsidR="009E7A71" w:rsidRPr="009E7A71" w:rsidRDefault="009E7A71" w:rsidP="009E7A71">
      <w:pPr>
        <w:rPr>
          <w:b/>
        </w:rPr>
      </w:pPr>
      <w:r w:rsidRPr="009E7A71">
        <w:rPr>
          <w:b/>
        </w:rPr>
        <w:t>Table 1. HCFC consumption in Suriname (201</w:t>
      </w:r>
      <w:r w:rsidR="00BE4E4B">
        <w:rPr>
          <w:b/>
        </w:rPr>
        <w:t>3</w:t>
      </w:r>
      <w:r w:rsidRPr="009E7A71">
        <w:rPr>
          <w:b/>
        </w:rPr>
        <w:t>-201</w:t>
      </w:r>
      <w:r w:rsidR="00BE4E4B">
        <w:rPr>
          <w:b/>
        </w:rPr>
        <w:t>7</w:t>
      </w:r>
      <w:r w:rsidRPr="009E7A71">
        <w:rPr>
          <w:b/>
        </w:rPr>
        <w:t xml:space="preserve"> Article 7 data)</w:t>
      </w:r>
    </w:p>
    <w:tbl>
      <w:tblPr>
        <w:tblW w:w="5000" w:type="pct"/>
        <w:tblLook w:val="04A0" w:firstRow="1" w:lastRow="0" w:firstColumn="1" w:lastColumn="0" w:noHBand="0" w:noVBand="1"/>
      </w:tblPr>
      <w:tblGrid>
        <w:gridCol w:w="2746"/>
        <w:gridCol w:w="1100"/>
        <w:gridCol w:w="1101"/>
        <w:gridCol w:w="1101"/>
        <w:gridCol w:w="1100"/>
        <w:gridCol w:w="1101"/>
        <w:gridCol w:w="1101"/>
      </w:tblGrid>
      <w:tr w:rsidR="00BE4E4B" w:rsidRPr="00127E0D" w:rsidTr="00BE4E4B">
        <w:trPr>
          <w:tblHeader/>
        </w:trPr>
        <w:tc>
          <w:tcPr>
            <w:tcW w:w="146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b/>
                <w:bCs/>
                <w:color w:val="000000"/>
                <w:sz w:val="20"/>
                <w:szCs w:val="20"/>
              </w:rPr>
            </w:pPr>
            <w:r w:rsidRPr="00127E0D">
              <w:rPr>
                <w:b/>
                <w:bCs/>
                <w:color w:val="000000"/>
                <w:sz w:val="20"/>
                <w:szCs w:val="20"/>
              </w:rPr>
              <w:t>HCFC</w:t>
            </w:r>
          </w:p>
        </w:tc>
        <w:tc>
          <w:tcPr>
            <w:tcW w:w="588" w:type="pct"/>
            <w:tcBorders>
              <w:top w:val="single" w:sz="4" w:space="0" w:color="auto"/>
              <w:left w:val="nil"/>
              <w:bottom w:val="single" w:sz="4" w:space="0" w:color="auto"/>
              <w:right w:val="single" w:sz="4" w:space="0" w:color="auto"/>
            </w:tcBorders>
            <w:noWrap/>
            <w:hideMark/>
          </w:tcPr>
          <w:p w:rsidR="00BE4E4B" w:rsidRPr="00127E0D" w:rsidRDefault="00BE4E4B" w:rsidP="003155FE">
            <w:pPr>
              <w:widowControl w:val="0"/>
              <w:jc w:val="center"/>
              <w:rPr>
                <w:b/>
                <w:bCs/>
                <w:color w:val="000000"/>
                <w:sz w:val="20"/>
                <w:szCs w:val="20"/>
              </w:rPr>
            </w:pPr>
            <w:r w:rsidRPr="00127E0D">
              <w:rPr>
                <w:b/>
                <w:bCs/>
                <w:color w:val="000000"/>
                <w:sz w:val="20"/>
                <w:szCs w:val="20"/>
              </w:rPr>
              <w:t>2013</w:t>
            </w:r>
          </w:p>
        </w:tc>
        <w:tc>
          <w:tcPr>
            <w:tcW w:w="589" w:type="pct"/>
            <w:tcBorders>
              <w:top w:val="single" w:sz="4" w:space="0" w:color="auto"/>
              <w:left w:val="single" w:sz="4" w:space="0" w:color="auto"/>
              <w:bottom w:val="single" w:sz="4" w:space="0" w:color="auto"/>
              <w:right w:val="single" w:sz="4" w:space="0" w:color="auto"/>
            </w:tcBorders>
          </w:tcPr>
          <w:p w:rsidR="00BE4E4B" w:rsidRPr="00127E0D" w:rsidRDefault="00BE4E4B" w:rsidP="003155FE">
            <w:pPr>
              <w:widowControl w:val="0"/>
              <w:jc w:val="center"/>
              <w:rPr>
                <w:b/>
                <w:bCs/>
                <w:color w:val="000000"/>
                <w:sz w:val="20"/>
                <w:szCs w:val="20"/>
              </w:rPr>
            </w:pPr>
            <w:r w:rsidRPr="00127E0D">
              <w:rPr>
                <w:b/>
                <w:bCs/>
                <w:color w:val="000000"/>
                <w:sz w:val="20"/>
                <w:szCs w:val="20"/>
              </w:rPr>
              <w:t>2014</w:t>
            </w:r>
          </w:p>
        </w:tc>
        <w:tc>
          <w:tcPr>
            <w:tcW w:w="589" w:type="pct"/>
            <w:tcBorders>
              <w:top w:val="single" w:sz="4" w:space="0" w:color="auto"/>
              <w:left w:val="single" w:sz="4" w:space="0" w:color="auto"/>
              <w:bottom w:val="single" w:sz="4" w:space="0" w:color="auto"/>
              <w:right w:val="single" w:sz="4" w:space="0" w:color="auto"/>
            </w:tcBorders>
          </w:tcPr>
          <w:p w:rsidR="00BE4E4B" w:rsidRPr="00127E0D" w:rsidRDefault="00BE4E4B" w:rsidP="003155FE">
            <w:pPr>
              <w:widowControl w:val="0"/>
              <w:jc w:val="center"/>
              <w:rPr>
                <w:b/>
                <w:bCs/>
                <w:color w:val="000000"/>
                <w:sz w:val="20"/>
                <w:szCs w:val="20"/>
              </w:rPr>
            </w:pPr>
            <w:r w:rsidRPr="00127E0D">
              <w:rPr>
                <w:b/>
                <w:bCs/>
                <w:color w:val="000000"/>
                <w:sz w:val="20"/>
                <w:szCs w:val="20"/>
              </w:rPr>
              <w:t>2015</w:t>
            </w:r>
          </w:p>
        </w:tc>
        <w:tc>
          <w:tcPr>
            <w:tcW w:w="588" w:type="pct"/>
            <w:tcBorders>
              <w:top w:val="single" w:sz="4" w:space="0" w:color="auto"/>
              <w:left w:val="single" w:sz="4" w:space="0" w:color="auto"/>
              <w:bottom w:val="single" w:sz="4" w:space="0" w:color="auto"/>
              <w:right w:val="single" w:sz="4" w:space="0" w:color="auto"/>
            </w:tcBorders>
          </w:tcPr>
          <w:p w:rsidR="00BE4E4B" w:rsidRPr="00127E0D" w:rsidRDefault="00BE4E4B" w:rsidP="003155FE">
            <w:pPr>
              <w:widowControl w:val="0"/>
              <w:jc w:val="center"/>
              <w:rPr>
                <w:b/>
                <w:bCs/>
                <w:color w:val="000000"/>
                <w:sz w:val="20"/>
                <w:szCs w:val="20"/>
              </w:rPr>
            </w:pPr>
            <w:r w:rsidRPr="00127E0D">
              <w:rPr>
                <w:b/>
                <w:bCs/>
                <w:color w:val="000000"/>
                <w:sz w:val="20"/>
                <w:szCs w:val="20"/>
              </w:rPr>
              <w:t>2016</w:t>
            </w:r>
          </w:p>
        </w:tc>
        <w:tc>
          <w:tcPr>
            <w:tcW w:w="589" w:type="pct"/>
            <w:tcBorders>
              <w:top w:val="single" w:sz="4" w:space="0" w:color="auto"/>
              <w:left w:val="single" w:sz="4" w:space="0" w:color="auto"/>
              <w:bottom w:val="single" w:sz="4" w:space="0" w:color="auto"/>
              <w:right w:val="single" w:sz="4" w:space="0" w:color="auto"/>
            </w:tcBorders>
          </w:tcPr>
          <w:p w:rsidR="00BE4E4B" w:rsidRPr="00127E0D" w:rsidRDefault="00BE4E4B" w:rsidP="003155FE">
            <w:pPr>
              <w:widowControl w:val="0"/>
              <w:jc w:val="center"/>
              <w:rPr>
                <w:b/>
                <w:bCs/>
                <w:color w:val="000000"/>
                <w:sz w:val="20"/>
                <w:szCs w:val="20"/>
              </w:rPr>
            </w:pPr>
            <w:r w:rsidRPr="00127E0D">
              <w:rPr>
                <w:b/>
                <w:bCs/>
                <w:color w:val="000000"/>
                <w:sz w:val="20"/>
                <w:szCs w:val="20"/>
              </w:rPr>
              <w:t>2017*</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E4B" w:rsidRPr="00127E0D" w:rsidRDefault="00BE4E4B" w:rsidP="003155FE">
            <w:pPr>
              <w:widowControl w:val="0"/>
              <w:jc w:val="center"/>
              <w:rPr>
                <w:b/>
                <w:bCs/>
                <w:color w:val="000000"/>
                <w:sz w:val="20"/>
                <w:szCs w:val="20"/>
              </w:rPr>
            </w:pPr>
            <w:r w:rsidRPr="00127E0D">
              <w:rPr>
                <w:b/>
                <w:bCs/>
                <w:color w:val="000000"/>
                <w:sz w:val="20"/>
                <w:szCs w:val="20"/>
              </w:rPr>
              <w:t>Baseline</w:t>
            </w:r>
          </w:p>
        </w:tc>
      </w:tr>
      <w:tr w:rsidR="00BE4E4B" w:rsidRPr="00127E0D" w:rsidTr="00BE4E4B">
        <w:tc>
          <w:tcPr>
            <w:tcW w:w="146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b/>
                <w:bCs/>
                <w:color w:val="000000"/>
                <w:sz w:val="20"/>
                <w:szCs w:val="20"/>
              </w:rPr>
            </w:pPr>
            <w:r w:rsidRPr="00127E0D">
              <w:rPr>
                <w:b/>
                <w:bCs/>
                <w:color w:val="000000"/>
                <w:sz w:val="20"/>
                <w:szCs w:val="20"/>
              </w:rPr>
              <w:t>Metric tonnes</w:t>
            </w:r>
          </w:p>
        </w:tc>
        <w:tc>
          <w:tcPr>
            <w:tcW w:w="588" w:type="pct"/>
            <w:tcBorders>
              <w:top w:val="single" w:sz="4" w:space="0" w:color="auto"/>
              <w:left w:val="nil"/>
              <w:bottom w:val="single" w:sz="4" w:space="0" w:color="auto"/>
              <w:right w:val="single" w:sz="4" w:space="0" w:color="auto"/>
            </w:tcBorders>
            <w:noWrap/>
            <w:hideMark/>
          </w:tcPr>
          <w:p w:rsidR="00BE4E4B" w:rsidRPr="00127E0D" w:rsidRDefault="00BE4E4B" w:rsidP="003155FE">
            <w:pPr>
              <w:widowControl w:val="0"/>
              <w:jc w:val="center"/>
              <w:rPr>
                <w:b/>
                <w:bCs/>
                <w:color w:val="000000"/>
                <w:sz w:val="20"/>
                <w:szCs w:val="20"/>
              </w:rPr>
            </w:pP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center"/>
              <w:rPr>
                <w:b/>
                <w:bCs/>
                <w:color w:val="000000"/>
                <w:sz w:val="20"/>
                <w:szCs w:val="20"/>
              </w:rPr>
            </w:pP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center"/>
              <w:rPr>
                <w:b/>
                <w:bCs/>
                <w:color w:val="000000"/>
                <w:sz w:val="20"/>
                <w:szCs w:val="20"/>
              </w:rPr>
            </w:pPr>
          </w:p>
        </w:tc>
        <w:tc>
          <w:tcPr>
            <w:tcW w:w="588"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center"/>
              <w:rPr>
                <w:b/>
                <w:bCs/>
                <w:color w:val="000000"/>
                <w:sz w:val="20"/>
                <w:szCs w:val="20"/>
              </w:rPr>
            </w:pP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center"/>
              <w:rPr>
                <w:b/>
                <w:bCs/>
                <w:color w:val="000000"/>
                <w:sz w:val="20"/>
                <w:szCs w:val="20"/>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BE4E4B" w:rsidRPr="00127E0D" w:rsidRDefault="00BE4E4B" w:rsidP="003155FE">
            <w:pPr>
              <w:widowControl w:val="0"/>
              <w:jc w:val="center"/>
              <w:rPr>
                <w:b/>
                <w:bCs/>
                <w:color w:val="000000"/>
                <w:sz w:val="20"/>
                <w:szCs w:val="20"/>
              </w:rPr>
            </w:pPr>
          </w:p>
        </w:tc>
      </w:tr>
      <w:tr w:rsidR="00BE4E4B" w:rsidRPr="00127E0D" w:rsidTr="00BE4E4B">
        <w:tc>
          <w:tcPr>
            <w:tcW w:w="146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color w:val="000000"/>
                <w:sz w:val="20"/>
                <w:szCs w:val="20"/>
              </w:rPr>
            </w:pPr>
            <w:r w:rsidRPr="00127E0D">
              <w:rPr>
                <w:color w:val="000000"/>
                <w:sz w:val="20"/>
                <w:szCs w:val="20"/>
              </w:rPr>
              <w:t>HCFC-22</w:t>
            </w:r>
          </w:p>
        </w:tc>
        <w:tc>
          <w:tcPr>
            <w:tcW w:w="588" w:type="pct"/>
            <w:tcBorders>
              <w:top w:val="single" w:sz="4" w:space="0" w:color="auto"/>
              <w:left w:val="nil"/>
              <w:bottom w:val="single" w:sz="4" w:space="0" w:color="auto"/>
              <w:right w:val="single" w:sz="4" w:space="0" w:color="auto"/>
            </w:tcBorders>
            <w:noWrap/>
          </w:tcPr>
          <w:p w:rsidR="00BE4E4B" w:rsidRPr="00127E0D" w:rsidRDefault="00BE4E4B" w:rsidP="003155FE">
            <w:pPr>
              <w:jc w:val="right"/>
              <w:rPr>
                <w:color w:val="000000"/>
                <w:sz w:val="20"/>
                <w:szCs w:val="20"/>
              </w:rPr>
            </w:pPr>
            <w:r w:rsidRPr="00127E0D">
              <w:rPr>
                <w:color w:val="000000"/>
                <w:sz w:val="20"/>
                <w:szCs w:val="20"/>
              </w:rPr>
              <w:t>22.50</w:t>
            </w:r>
          </w:p>
        </w:tc>
        <w:tc>
          <w:tcPr>
            <w:tcW w:w="589" w:type="pct"/>
            <w:tcBorders>
              <w:top w:val="nil"/>
              <w:left w:val="single" w:sz="4" w:space="0" w:color="auto"/>
              <w:bottom w:val="single" w:sz="4" w:space="0" w:color="auto"/>
              <w:right w:val="single" w:sz="4" w:space="0" w:color="auto"/>
            </w:tcBorders>
          </w:tcPr>
          <w:p w:rsidR="00BE4E4B" w:rsidRPr="00127E0D" w:rsidRDefault="009E16E8" w:rsidP="003155FE">
            <w:pPr>
              <w:widowControl w:val="0"/>
              <w:jc w:val="right"/>
              <w:rPr>
                <w:color w:val="000000"/>
                <w:sz w:val="20"/>
                <w:szCs w:val="20"/>
              </w:rPr>
            </w:pPr>
            <w:r>
              <w:rPr>
                <w:color w:val="000000"/>
                <w:sz w:val="20"/>
                <w:szCs w:val="20"/>
              </w:rPr>
              <w:t>27.13</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r w:rsidRPr="00127E0D">
              <w:rPr>
                <w:color w:val="000000"/>
                <w:sz w:val="20"/>
                <w:szCs w:val="20"/>
              </w:rPr>
              <w:t>25.54</w:t>
            </w:r>
          </w:p>
        </w:tc>
        <w:tc>
          <w:tcPr>
            <w:tcW w:w="588"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18.05</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20.90</w:t>
            </w:r>
          </w:p>
        </w:tc>
        <w:tc>
          <w:tcPr>
            <w:tcW w:w="589" w:type="pct"/>
            <w:tcBorders>
              <w:top w:val="nil"/>
              <w:left w:val="single" w:sz="4" w:space="0" w:color="auto"/>
              <w:bottom w:val="single" w:sz="4" w:space="0" w:color="auto"/>
              <w:right w:val="single" w:sz="4" w:space="0" w:color="auto"/>
            </w:tcBorders>
            <w:shd w:val="clear" w:color="auto" w:fill="auto"/>
            <w:noWrap/>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35.3</w:t>
            </w:r>
          </w:p>
        </w:tc>
      </w:tr>
      <w:tr w:rsidR="00BE4E4B" w:rsidRPr="00127E0D" w:rsidTr="00BE4E4B">
        <w:tc>
          <w:tcPr>
            <w:tcW w:w="146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color w:val="000000"/>
                <w:sz w:val="20"/>
                <w:szCs w:val="20"/>
              </w:rPr>
            </w:pPr>
            <w:r w:rsidRPr="00127E0D">
              <w:rPr>
                <w:color w:val="000000"/>
                <w:sz w:val="20"/>
                <w:szCs w:val="20"/>
              </w:rPr>
              <w:t>HCFC-142b</w:t>
            </w:r>
          </w:p>
        </w:tc>
        <w:tc>
          <w:tcPr>
            <w:tcW w:w="588" w:type="pct"/>
            <w:tcBorders>
              <w:top w:val="single" w:sz="4" w:space="0" w:color="auto"/>
              <w:left w:val="nil"/>
              <w:bottom w:val="single" w:sz="4" w:space="0" w:color="auto"/>
              <w:right w:val="single" w:sz="4" w:space="0" w:color="auto"/>
            </w:tcBorders>
            <w:noWrap/>
          </w:tcPr>
          <w:p w:rsidR="00BE4E4B" w:rsidRPr="00127E0D" w:rsidRDefault="00BE4E4B" w:rsidP="003155FE">
            <w:pPr>
              <w:jc w:val="right"/>
              <w:rPr>
                <w:color w:val="000000"/>
                <w:sz w:val="20"/>
                <w:szCs w:val="20"/>
              </w:rPr>
            </w:pPr>
            <w:r w:rsidRPr="00127E0D">
              <w:rPr>
                <w:color w:val="000000"/>
                <w:sz w:val="20"/>
                <w:szCs w:val="20"/>
              </w:rPr>
              <w:t>0.00</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r w:rsidRPr="00127E0D">
              <w:rPr>
                <w:color w:val="000000"/>
                <w:sz w:val="20"/>
                <w:szCs w:val="20"/>
              </w:rPr>
              <w:t>0.00</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r w:rsidRPr="00127E0D">
              <w:rPr>
                <w:color w:val="000000"/>
                <w:sz w:val="20"/>
                <w:szCs w:val="20"/>
              </w:rPr>
              <w:t>0.00</w:t>
            </w:r>
          </w:p>
        </w:tc>
        <w:tc>
          <w:tcPr>
            <w:tcW w:w="588"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0.00</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0.00</w:t>
            </w:r>
          </w:p>
        </w:tc>
        <w:tc>
          <w:tcPr>
            <w:tcW w:w="589" w:type="pct"/>
            <w:tcBorders>
              <w:top w:val="nil"/>
              <w:left w:val="single" w:sz="4" w:space="0" w:color="auto"/>
              <w:bottom w:val="single" w:sz="4" w:space="0" w:color="auto"/>
              <w:right w:val="single" w:sz="4" w:space="0" w:color="auto"/>
            </w:tcBorders>
            <w:shd w:val="clear" w:color="auto" w:fill="auto"/>
            <w:noWrap/>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0.6</w:t>
            </w:r>
          </w:p>
        </w:tc>
      </w:tr>
      <w:tr w:rsidR="00BE4E4B" w:rsidRPr="00127E0D" w:rsidTr="00BE4E4B">
        <w:tc>
          <w:tcPr>
            <w:tcW w:w="146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b/>
                <w:color w:val="000000"/>
                <w:sz w:val="20"/>
                <w:szCs w:val="20"/>
              </w:rPr>
            </w:pPr>
            <w:r w:rsidRPr="00127E0D">
              <w:rPr>
                <w:b/>
                <w:color w:val="000000"/>
                <w:sz w:val="20"/>
                <w:szCs w:val="20"/>
              </w:rPr>
              <w:t>Total (metric tonnes)</w:t>
            </w:r>
          </w:p>
        </w:tc>
        <w:tc>
          <w:tcPr>
            <w:tcW w:w="588" w:type="pct"/>
            <w:tcBorders>
              <w:top w:val="single" w:sz="4" w:space="0" w:color="auto"/>
              <w:left w:val="nil"/>
              <w:bottom w:val="single" w:sz="4" w:space="0" w:color="auto"/>
              <w:right w:val="single" w:sz="4" w:space="0" w:color="auto"/>
            </w:tcBorders>
            <w:noWrap/>
          </w:tcPr>
          <w:p w:rsidR="00BE4E4B" w:rsidRPr="00127E0D" w:rsidRDefault="00BE4E4B" w:rsidP="003155FE">
            <w:pPr>
              <w:jc w:val="right"/>
              <w:rPr>
                <w:b/>
                <w:color w:val="000000"/>
                <w:sz w:val="20"/>
                <w:szCs w:val="20"/>
              </w:rPr>
            </w:pPr>
            <w:r w:rsidRPr="00127E0D">
              <w:rPr>
                <w:b/>
                <w:color w:val="000000"/>
                <w:sz w:val="20"/>
                <w:szCs w:val="20"/>
              </w:rPr>
              <w:t>22.50</w:t>
            </w:r>
          </w:p>
        </w:tc>
        <w:tc>
          <w:tcPr>
            <w:tcW w:w="589" w:type="pct"/>
            <w:tcBorders>
              <w:top w:val="nil"/>
              <w:left w:val="single" w:sz="4" w:space="0" w:color="auto"/>
              <w:bottom w:val="single" w:sz="4" w:space="0" w:color="auto"/>
              <w:right w:val="single" w:sz="4" w:space="0" w:color="auto"/>
            </w:tcBorders>
          </w:tcPr>
          <w:p w:rsidR="00BE4E4B" w:rsidRPr="00127E0D" w:rsidRDefault="009E16E8" w:rsidP="003155FE">
            <w:pPr>
              <w:jc w:val="right"/>
              <w:rPr>
                <w:b/>
                <w:sz w:val="20"/>
                <w:szCs w:val="20"/>
              </w:rPr>
            </w:pPr>
            <w:r>
              <w:rPr>
                <w:b/>
                <w:sz w:val="20"/>
                <w:szCs w:val="20"/>
              </w:rPr>
              <w:t>27.13</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jc w:val="right"/>
              <w:rPr>
                <w:b/>
                <w:sz w:val="20"/>
                <w:szCs w:val="20"/>
              </w:rPr>
            </w:pPr>
            <w:r w:rsidRPr="00127E0D">
              <w:rPr>
                <w:b/>
                <w:sz w:val="20"/>
                <w:szCs w:val="20"/>
              </w:rPr>
              <w:t>25.54</w:t>
            </w:r>
          </w:p>
        </w:tc>
        <w:tc>
          <w:tcPr>
            <w:tcW w:w="588"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b/>
                <w:color w:val="000000"/>
                <w:sz w:val="20"/>
                <w:szCs w:val="20"/>
              </w:rPr>
            </w:pPr>
            <w:r w:rsidRPr="00127E0D">
              <w:rPr>
                <w:rFonts w:eastAsiaTheme="minorHAnsi"/>
                <w:b/>
                <w:color w:val="000000"/>
                <w:sz w:val="20"/>
                <w:szCs w:val="20"/>
              </w:rPr>
              <w:t>18.05</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b/>
                <w:color w:val="000000"/>
                <w:sz w:val="20"/>
                <w:szCs w:val="20"/>
              </w:rPr>
            </w:pPr>
            <w:r w:rsidRPr="00127E0D">
              <w:rPr>
                <w:rFonts w:eastAsiaTheme="minorHAnsi"/>
                <w:b/>
                <w:color w:val="000000"/>
                <w:sz w:val="20"/>
                <w:szCs w:val="20"/>
              </w:rPr>
              <w:t>20.90</w:t>
            </w:r>
          </w:p>
        </w:tc>
        <w:tc>
          <w:tcPr>
            <w:tcW w:w="589" w:type="pct"/>
            <w:tcBorders>
              <w:top w:val="nil"/>
              <w:left w:val="single" w:sz="4" w:space="0" w:color="auto"/>
              <w:bottom w:val="single" w:sz="4" w:space="0" w:color="auto"/>
              <w:right w:val="single" w:sz="4" w:space="0" w:color="auto"/>
            </w:tcBorders>
            <w:shd w:val="clear" w:color="auto" w:fill="auto"/>
            <w:noWrap/>
          </w:tcPr>
          <w:p w:rsidR="00BE4E4B" w:rsidRPr="00127E0D" w:rsidRDefault="00BE4E4B" w:rsidP="003155FE">
            <w:pPr>
              <w:jc w:val="right"/>
              <w:rPr>
                <w:rFonts w:eastAsiaTheme="minorHAnsi"/>
                <w:b/>
                <w:color w:val="000000"/>
                <w:sz w:val="20"/>
                <w:szCs w:val="20"/>
              </w:rPr>
            </w:pPr>
            <w:r w:rsidRPr="00127E0D">
              <w:rPr>
                <w:rFonts w:eastAsiaTheme="minorHAnsi"/>
                <w:b/>
                <w:color w:val="000000"/>
                <w:sz w:val="20"/>
                <w:szCs w:val="20"/>
              </w:rPr>
              <w:t>33.9</w:t>
            </w:r>
          </w:p>
        </w:tc>
      </w:tr>
      <w:tr w:rsidR="00BE4E4B" w:rsidRPr="00127E0D" w:rsidTr="00BE4E4B">
        <w:tc>
          <w:tcPr>
            <w:tcW w:w="146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b/>
                <w:bCs/>
                <w:color w:val="000000"/>
                <w:sz w:val="20"/>
                <w:szCs w:val="20"/>
              </w:rPr>
            </w:pPr>
            <w:r w:rsidRPr="00127E0D">
              <w:rPr>
                <w:b/>
                <w:bCs/>
                <w:color w:val="000000"/>
                <w:sz w:val="20"/>
                <w:szCs w:val="20"/>
              </w:rPr>
              <w:t>ODP tonnes</w:t>
            </w:r>
          </w:p>
        </w:tc>
        <w:tc>
          <w:tcPr>
            <w:tcW w:w="588" w:type="pct"/>
            <w:tcBorders>
              <w:top w:val="single" w:sz="4" w:space="0" w:color="auto"/>
              <w:left w:val="nil"/>
              <w:bottom w:val="single" w:sz="4" w:space="0" w:color="auto"/>
              <w:right w:val="single" w:sz="4" w:space="0" w:color="auto"/>
            </w:tcBorders>
            <w:noWrap/>
          </w:tcPr>
          <w:p w:rsidR="00BE4E4B" w:rsidRPr="00127E0D" w:rsidRDefault="00BE4E4B" w:rsidP="003155FE">
            <w:pPr>
              <w:widowControl w:val="0"/>
              <w:jc w:val="right"/>
              <w:rPr>
                <w:color w:val="000000"/>
                <w:sz w:val="20"/>
                <w:szCs w:val="20"/>
              </w:rPr>
            </w:pP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p>
        </w:tc>
        <w:tc>
          <w:tcPr>
            <w:tcW w:w="588"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BE4E4B" w:rsidRPr="00127E0D" w:rsidRDefault="00BE4E4B" w:rsidP="003155FE">
            <w:pPr>
              <w:widowControl w:val="0"/>
              <w:jc w:val="right"/>
              <w:rPr>
                <w:color w:val="000000"/>
                <w:sz w:val="20"/>
                <w:szCs w:val="20"/>
              </w:rPr>
            </w:pPr>
          </w:p>
        </w:tc>
      </w:tr>
      <w:tr w:rsidR="00BE4E4B" w:rsidRPr="00127E0D" w:rsidTr="00BE4E4B">
        <w:tc>
          <w:tcPr>
            <w:tcW w:w="146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color w:val="000000"/>
                <w:sz w:val="20"/>
                <w:szCs w:val="20"/>
              </w:rPr>
            </w:pPr>
            <w:r w:rsidRPr="00127E0D">
              <w:rPr>
                <w:color w:val="000000"/>
                <w:sz w:val="20"/>
                <w:szCs w:val="20"/>
              </w:rPr>
              <w:t>HCFC-22</w:t>
            </w:r>
          </w:p>
        </w:tc>
        <w:tc>
          <w:tcPr>
            <w:tcW w:w="588" w:type="pct"/>
            <w:tcBorders>
              <w:top w:val="single" w:sz="4" w:space="0" w:color="auto"/>
              <w:left w:val="nil"/>
              <w:bottom w:val="single" w:sz="4" w:space="0" w:color="auto"/>
              <w:right w:val="single" w:sz="4" w:space="0" w:color="auto"/>
            </w:tcBorders>
            <w:noWrap/>
          </w:tcPr>
          <w:p w:rsidR="00BE4E4B" w:rsidRPr="00127E0D" w:rsidRDefault="00BE4E4B" w:rsidP="003155FE">
            <w:pPr>
              <w:jc w:val="right"/>
              <w:rPr>
                <w:color w:val="000000"/>
                <w:sz w:val="20"/>
                <w:szCs w:val="20"/>
              </w:rPr>
            </w:pPr>
            <w:r w:rsidRPr="00127E0D">
              <w:rPr>
                <w:color w:val="000000"/>
                <w:sz w:val="20"/>
                <w:szCs w:val="20"/>
              </w:rPr>
              <w:t>1.24</w:t>
            </w:r>
          </w:p>
        </w:tc>
        <w:tc>
          <w:tcPr>
            <w:tcW w:w="589" w:type="pct"/>
            <w:tcBorders>
              <w:top w:val="nil"/>
              <w:left w:val="single" w:sz="4" w:space="0" w:color="auto"/>
              <w:bottom w:val="single" w:sz="4" w:space="0" w:color="auto"/>
              <w:right w:val="single" w:sz="4" w:space="0" w:color="auto"/>
            </w:tcBorders>
          </w:tcPr>
          <w:p w:rsidR="00BE4E4B" w:rsidRPr="00127E0D" w:rsidRDefault="00BE4E4B" w:rsidP="009E16E8">
            <w:pPr>
              <w:widowControl w:val="0"/>
              <w:jc w:val="right"/>
              <w:rPr>
                <w:color w:val="000000"/>
                <w:sz w:val="20"/>
                <w:szCs w:val="20"/>
              </w:rPr>
            </w:pPr>
            <w:r w:rsidRPr="00127E0D">
              <w:rPr>
                <w:color w:val="000000"/>
                <w:sz w:val="20"/>
                <w:szCs w:val="20"/>
              </w:rPr>
              <w:t>1.</w:t>
            </w:r>
            <w:r w:rsidR="009E16E8">
              <w:rPr>
                <w:color w:val="000000"/>
                <w:sz w:val="20"/>
                <w:szCs w:val="20"/>
              </w:rPr>
              <w:t>49</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r w:rsidRPr="00127E0D">
              <w:rPr>
                <w:color w:val="000000"/>
                <w:sz w:val="20"/>
                <w:szCs w:val="20"/>
              </w:rPr>
              <w:t>1.40</w:t>
            </w:r>
          </w:p>
        </w:tc>
        <w:tc>
          <w:tcPr>
            <w:tcW w:w="588"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0.99</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1.15</w:t>
            </w:r>
          </w:p>
        </w:tc>
        <w:tc>
          <w:tcPr>
            <w:tcW w:w="589" w:type="pct"/>
            <w:tcBorders>
              <w:top w:val="nil"/>
              <w:left w:val="single" w:sz="4" w:space="0" w:color="auto"/>
              <w:bottom w:val="single" w:sz="4" w:space="0" w:color="auto"/>
              <w:right w:val="single" w:sz="4" w:space="0" w:color="auto"/>
            </w:tcBorders>
            <w:shd w:val="clear" w:color="auto" w:fill="auto"/>
            <w:noWrap/>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2.0</w:t>
            </w:r>
          </w:p>
        </w:tc>
      </w:tr>
      <w:tr w:rsidR="00BE4E4B" w:rsidRPr="00127E0D" w:rsidTr="00BE4E4B">
        <w:tc>
          <w:tcPr>
            <w:tcW w:w="146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color w:val="000000"/>
                <w:sz w:val="20"/>
                <w:szCs w:val="20"/>
              </w:rPr>
            </w:pPr>
            <w:r w:rsidRPr="00127E0D">
              <w:rPr>
                <w:color w:val="000000"/>
                <w:sz w:val="20"/>
                <w:szCs w:val="20"/>
              </w:rPr>
              <w:t>HCFC-142b</w:t>
            </w:r>
          </w:p>
        </w:tc>
        <w:tc>
          <w:tcPr>
            <w:tcW w:w="588" w:type="pct"/>
            <w:tcBorders>
              <w:top w:val="single" w:sz="4" w:space="0" w:color="auto"/>
              <w:left w:val="nil"/>
              <w:bottom w:val="single" w:sz="4" w:space="0" w:color="auto"/>
              <w:right w:val="single" w:sz="4" w:space="0" w:color="auto"/>
            </w:tcBorders>
            <w:noWrap/>
          </w:tcPr>
          <w:p w:rsidR="00BE4E4B" w:rsidRPr="00127E0D" w:rsidRDefault="00BE4E4B" w:rsidP="003155FE">
            <w:pPr>
              <w:jc w:val="right"/>
              <w:rPr>
                <w:color w:val="000000"/>
                <w:sz w:val="20"/>
                <w:szCs w:val="20"/>
              </w:rPr>
            </w:pPr>
            <w:r w:rsidRPr="00127E0D">
              <w:rPr>
                <w:color w:val="000000"/>
                <w:sz w:val="20"/>
                <w:szCs w:val="20"/>
              </w:rPr>
              <w:t>0.00</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r w:rsidRPr="00127E0D">
              <w:rPr>
                <w:color w:val="000000"/>
                <w:sz w:val="20"/>
                <w:szCs w:val="20"/>
              </w:rPr>
              <w:t>0.00</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widowControl w:val="0"/>
              <w:jc w:val="right"/>
              <w:rPr>
                <w:color w:val="000000"/>
                <w:sz w:val="20"/>
                <w:szCs w:val="20"/>
              </w:rPr>
            </w:pPr>
            <w:r w:rsidRPr="00127E0D">
              <w:rPr>
                <w:color w:val="000000"/>
                <w:sz w:val="20"/>
                <w:szCs w:val="20"/>
              </w:rPr>
              <w:t>0.00</w:t>
            </w:r>
          </w:p>
        </w:tc>
        <w:tc>
          <w:tcPr>
            <w:tcW w:w="588"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0.00</w:t>
            </w:r>
          </w:p>
        </w:tc>
        <w:tc>
          <w:tcPr>
            <w:tcW w:w="589" w:type="pct"/>
            <w:tcBorders>
              <w:top w:val="nil"/>
              <w:left w:val="single" w:sz="4" w:space="0" w:color="auto"/>
              <w:bottom w:val="single" w:sz="4" w:space="0" w:color="auto"/>
              <w:right w:val="single" w:sz="4" w:space="0" w:color="auto"/>
            </w:tcBorders>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0.00</w:t>
            </w:r>
          </w:p>
        </w:tc>
        <w:tc>
          <w:tcPr>
            <w:tcW w:w="589" w:type="pct"/>
            <w:tcBorders>
              <w:top w:val="nil"/>
              <w:left w:val="single" w:sz="4" w:space="0" w:color="auto"/>
              <w:bottom w:val="single" w:sz="4" w:space="0" w:color="auto"/>
              <w:right w:val="single" w:sz="4" w:space="0" w:color="auto"/>
            </w:tcBorders>
            <w:shd w:val="clear" w:color="auto" w:fill="auto"/>
            <w:noWrap/>
          </w:tcPr>
          <w:p w:rsidR="00BE4E4B" w:rsidRPr="00127E0D" w:rsidRDefault="00BE4E4B" w:rsidP="003155FE">
            <w:pPr>
              <w:jc w:val="right"/>
              <w:rPr>
                <w:rFonts w:eastAsiaTheme="minorHAnsi"/>
                <w:color w:val="000000"/>
                <w:sz w:val="20"/>
                <w:szCs w:val="20"/>
              </w:rPr>
            </w:pPr>
            <w:r w:rsidRPr="00127E0D">
              <w:rPr>
                <w:rFonts w:eastAsiaTheme="minorHAnsi"/>
                <w:color w:val="000000"/>
                <w:sz w:val="20"/>
                <w:szCs w:val="20"/>
              </w:rPr>
              <w:t>0.0</w:t>
            </w:r>
          </w:p>
        </w:tc>
      </w:tr>
      <w:tr w:rsidR="00BE4E4B" w:rsidRPr="00127E0D" w:rsidTr="00BE4E4B">
        <w:tc>
          <w:tcPr>
            <w:tcW w:w="146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E4E4B" w:rsidRPr="00127E0D" w:rsidRDefault="00BE4E4B" w:rsidP="003155FE">
            <w:pPr>
              <w:widowControl w:val="0"/>
              <w:jc w:val="left"/>
              <w:rPr>
                <w:b/>
                <w:color w:val="000000"/>
                <w:sz w:val="20"/>
                <w:szCs w:val="20"/>
              </w:rPr>
            </w:pPr>
            <w:r w:rsidRPr="00127E0D">
              <w:rPr>
                <w:b/>
                <w:color w:val="000000"/>
                <w:sz w:val="20"/>
                <w:szCs w:val="20"/>
              </w:rPr>
              <w:t>Total (ODP tonnes)</w:t>
            </w:r>
          </w:p>
        </w:tc>
        <w:tc>
          <w:tcPr>
            <w:tcW w:w="588" w:type="pct"/>
            <w:tcBorders>
              <w:top w:val="single" w:sz="4" w:space="0" w:color="auto"/>
              <w:left w:val="nil"/>
              <w:bottom w:val="single" w:sz="4" w:space="0" w:color="auto"/>
              <w:right w:val="single" w:sz="4" w:space="0" w:color="auto"/>
            </w:tcBorders>
            <w:noWrap/>
          </w:tcPr>
          <w:p w:rsidR="00BE4E4B" w:rsidRPr="00127E0D" w:rsidRDefault="00BE4E4B" w:rsidP="003155FE">
            <w:pPr>
              <w:jc w:val="right"/>
              <w:rPr>
                <w:b/>
                <w:color w:val="000000"/>
                <w:sz w:val="20"/>
                <w:szCs w:val="20"/>
              </w:rPr>
            </w:pPr>
            <w:r w:rsidRPr="00127E0D">
              <w:rPr>
                <w:b/>
                <w:color w:val="000000"/>
                <w:sz w:val="20"/>
                <w:szCs w:val="20"/>
              </w:rPr>
              <w:t>1.24</w:t>
            </w:r>
          </w:p>
        </w:tc>
        <w:tc>
          <w:tcPr>
            <w:tcW w:w="589" w:type="pct"/>
            <w:tcBorders>
              <w:top w:val="single" w:sz="4" w:space="0" w:color="auto"/>
              <w:left w:val="single" w:sz="4" w:space="0" w:color="auto"/>
              <w:bottom w:val="single" w:sz="4" w:space="0" w:color="auto"/>
              <w:right w:val="single" w:sz="4" w:space="0" w:color="auto"/>
            </w:tcBorders>
          </w:tcPr>
          <w:p w:rsidR="00BE4E4B" w:rsidRPr="00127E0D" w:rsidRDefault="009E16E8" w:rsidP="003155FE">
            <w:pPr>
              <w:widowControl w:val="0"/>
              <w:jc w:val="right"/>
              <w:rPr>
                <w:b/>
                <w:color w:val="000000"/>
                <w:sz w:val="20"/>
                <w:szCs w:val="20"/>
              </w:rPr>
            </w:pPr>
            <w:r>
              <w:rPr>
                <w:b/>
                <w:color w:val="000000"/>
                <w:sz w:val="20"/>
                <w:szCs w:val="20"/>
              </w:rPr>
              <w:t>1.49</w:t>
            </w:r>
          </w:p>
        </w:tc>
        <w:tc>
          <w:tcPr>
            <w:tcW w:w="589" w:type="pct"/>
            <w:tcBorders>
              <w:top w:val="single" w:sz="4" w:space="0" w:color="auto"/>
              <w:left w:val="single" w:sz="4" w:space="0" w:color="auto"/>
              <w:bottom w:val="single" w:sz="4" w:space="0" w:color="auto"/>
              <w:right w:val="single" w:sz="4" w:space="0" w:color="auto"/>
            </w:tcBorders>
          </w:tcPr>
          <w:p w:rsidR="00BE4E4B" w:rsidRPr="00127E0D" w:rsidRDefault="00BE4E4B" w:rsidP="003155FE">
            <w:pPr>
              <w:widowControl w:val="0"/>
              <w:jc w:val="right"/>
              <w:rPr>
                <w:b/>
                <w:color w:val="000000"/>
                <w:sz w:val="20"/>
                <w:szCs w:val="20"/>
              </w:rPr>
            </w:pPr>
            <w:r w:rsidRPr="00127E0D">
              <w:rPr>
                <w:b/>
                <w:color w:val="000000"/>
                <w:sz w:val="20"/>
                <w:szCs w:val="20"/>
              </w:rPr>
              <w:t>1.40</w:t>
            </w:r>
          </w:p>
        </w:tc>
        <w:tc>
          <w:tcPr>
            <w:tcW w:w="588" w:type="pct"/>
            <w:tcBorders>
              <w:top w:val="single" w:sz="4" w:space="0" w:color="auto"/>
              <w:left w:val="single" w:sz="4" w:space="0" w:color="auto"/>
              <w:bottom w:val="single" w:sz="4" w:space="0" w:color="auto"/>
              <w:right w:val="single" w:sz="4" w:space="0" w:color="auto"/>
            </w:tcBorders>
          </w:tcPr>
          <w:p w:rsidR="00BE4E4B" w:rsidRPr="00127E0D" w:rsidRDefault="00BE4E4B" w:rsidP="003155FE">
            <w:pPr>
              <w:jc w:val="right"/>
              <w:rPr>
                <w:rFonts w:eastAsiaTheme="minorHAnsi"/>
                <w:b/>
                <w:color w:val="000000"/>
                <w:sz w:val="20"/>
                <w:szCs w:val="20"/>
              </w:rPr>
            </w:pPr>
            <w:r w:rsidRPr="00127E0D">
              <w:rPr>
                <w:rFonts w:eastAsiaTheme="minorHAnsi"/>
                <w:b/>
                <w:color w:val="000000"/>
                <w:sz w:val="20"/>
                <w:szCs w:val="20"/>
              </w:rPr>
              <w:t>0.99</w:t>
            </w:r>
          </w:p>
        </w:tc>
        <w:tc>
          <w:tcPr>
            <w:tcW w:w="589" w:type="pct"/>
            <w:tcBorders>
              <w:top w:val="single" w:sz="4" w:space="0" w:color="auto"/>
              <w:left w:val="single" w:sz="4" w:space="0" w:color="auto"/>
              <w:bottom w:val="single" w:sz="4" w:space="0" w:color="auto"/>
              <w:right w:val="single" w:sz="4" w:space="0" w:color="auto"/>
            </w:tcBorders>
          </w:tcPr>
          <w:p w:rsidR="00BE4E4B" w:rsidRPr="00127E0D" w:rsidRDefault="00BE4E4B" w:rsidP="003155FE">
            <w:pPr>
              <w:jc w:val="right"/>
              <w:rPr>
                <w:rFonts w:eastAsiaTheme="minorHAnsi"/>
                <w:b/>
                <w:color w:val="000000"/>
                <w:sz w:val="20"/>
                <w:szCs w:val="20"/>
              </w:rPr>
            </w:pPr>
            <w:r w:rsidRPr="00127E0D">
              <w:rPr>
                <w:rFonts w:eastAsiaTheme="minorHAnsi"/>
                <w:b/>
                <w:color w:val="000000"/>
                <w:sz w:val="20"/>
                <w:szCs w:val="20"/>
              </w:rPr>
              <w:t>1.15</w:t>
            </w:r>
          </w:p>
        </w:tc>
        <w:tc>
          <w:tcPr>
            <w:tcW w:w="589" w:type="pct"/>
            <w:tcBorders>
              <w:top w:val="single" w:sz="4" w:space="0" w:color="auto"/>
              <w:left w:val="single" w:sz="4" w:space="0" w:color="auto"/>
              <w:bottom w:val="single" w:sz="4" w:space="0" w:color="auto"/>
              <w:right w:val="single" w:sz="4" w:space="0" w:color="auto"/>
            </w:tcBorders>
            <w:shd w:val="clear" w:color="auto" w:fill="auto"/>
            <w:noWrap/>
          </w:tcPr>
          <w:p w:rsidR="00BE4E4B" w:rsidRPr="00127E0D" w:rsidRDefault="00BE4E4B" w:rsidP="003155FE">
            <w:pPr>
              <w:jc w:val="right"/>
              <w:rPr>
                <w:rFonts w:eastAsiaTheme="minorHAnsi"/>
                <w:b/>
                <w:color w:val="000000"/>
                <w:sz w:val="20"/>
                <w:szCs w:val="20"/>
              </w:rPr>
            </w:pPr>
            <w:r w:rsidRPr="00127E0D">
              <w:rPr>
                <w:rFonts w:eastAsiaTheme="minorHAnsi"/>
                <w:b/>
                <w:color w:val="000000"/>
                <w:sz w:val="20"/>
                <w:szCs w:val="20"/>
              </w:rPr>
              <w:t>2.0</w:t>
            </w:r>
          </w:p>
        </w:tc>
      </w:tr>
    </w:tbl>
    <w:p w:rsidR="009E7A71" w:rsidRDefault="009E7A71" w:rsidP="009E7A71">
      <w:pPr>
        <w:rPr>
          <w:sz w:val="18"/>
        </w:rPr>
      </w:pPr>
      <w:r w:rsidRPr="009E7A71">
        <w:rPr>
          <w:sz w:val="18"/>
        </w:rPr>
        <w:t>*Country programme</w:t>
      </w:r>
      <w:r w:rsidR="00717F45">
        <w:rPr>
          <w:sz w:val="18"/>
        </w:rPr>
        <w:t xml:space="preserve"> </w:t>
      </w:r>
      <w:r w:rsidRPr="009E7A71">
        <w:rPr>
          <w:sz w:val="18"/>
        </w:rPr>
        <w:t xml:space="preserve">data submitted on </w:t>
      </w:r>
      <w:r>
        <w:rPr>
          <w:sz w:val="18"/>
        </w:rPr>
        <w:t>1 May 2018</w:t>
      </w:r>
      <w:r w:rsidRPr="009E7A71">
        <w:rPr>
          <w:sz w:val="18"/>
        </w:rPr>
        <w:t>.</w:t>
      </w:r>
    </w:p>
    <w:p w:rsidR="009E7A71" w:rsidRPr="009E7A71" w:rsidRDefault="009E7A71" w:rsidP="009E7A71"/>
    <w:p w:rsidR="000852A2" w:rsidRPr="000852A2" w:rsidRDefault="009E16E8" w:rsidP="00D92E57">
      <w:pPr>
        <w:pStyle w:val="Heading1"/>
      </w:pPr>
      <w:r>
        <w:t>Despite the small consumption increase in 2017, t</w:t>
      </w:r>
      <w:r w:rsidR="000852A2" w:rsidRPr="000852A2">
        <w:t xml:space="preserve">he consumption </w:t>
      </w:r>
      <w:r>
        <w:t>has been decreasing since 2014 due to increase in introduction</w:t>
      </w:r>
      <w:r w:rsidR="000852A2" w:rsidRPr="000852A2">
        <w:t xml:space="preserve"> of HCFC</w:t>
      </w:r>
      <w:r w:rsidR="00BD0711">
        <w:t>-</w:t>
      </w:r>
      <w:r w:rsidR="000852A2" w:rsidRPr="000852A2">
        <w:t>free alternatives</w:t>
      </w:r>
      <w:r>
        <w:t xml:space="preserve"> (</w:t>
      </w:r>
      <w:r w:rsidRPr="009E16E8">
        <w:t>R-410A, R-407A, R-404A</w:t>
      </w:r>
      <w:r w:rsidR="005B025C">
        <w:t xml:space="preserve"> </w:t>
      </w:r>
      <w:r w:rsidR="00A841B8">
        <w:t>and hydrocarbons</w:t>
      </w:r>
      <w:r w:rsidR="00DE15F1">
        <w:t> </w:t>
      </w:r>
      <w:r w:rsidR="00A841B8">
        <w:t>(HCs)</w:t>
      </w:r>
      <w:r w:rsidR="005B025C">
        <w:t>)</w:t>
      </w:r>
      <w:r w:rsidR="000852A2" w:rsidRPr="000852A2">
        <w:t xml:space="preserve">, controls on </w:t>
      </w:r>
      <w:r>
        <w:t xml:space="preserve">imports of </w:t>
      </w:r>
      <w:r w:rsidR="000852A2" w:rsidRPr="000852A2">
        <w:t>HCFC</w:t>
      </w:r>
      <w:r>
        <w:t>s</w:t>
      </w:r>
      <w:r w:rsidR="000852A2" w:rsidRPr="000852A2">
        <w:t xml:space="preserve"> consumption </w:t>
      </w:r>
      <w:r w:rsidR="00BE4E4B">
        <w:t xml:space="preserve">and training and capacity building of refrigeration </w:t>
      </w:r>
      <w:r w:rsidR="006716BC">
        <w:t xml:space="preserve">and air-conditioning (RAC) </w:t>
      </w:r>
      <w:r w:rsidR="00BE4E4B">
        <w:t>technicians</w:t>
      </w:r>
      <w:r w:rsidR="000852A2" w:rsidRPr="000852A2">
        <w:t>.</w:t>
      </w:r>
    </w:p>
    <w:p w:rsidR="000852A2" w:rsidRPr="000852A2" w:rsidRDefault="000852A2" w:rsidP="00D92E57">
      <w:pPr>
        <w:pStyle w:val="StyleHeader4Para4Left0Firstline0"/>
        <w:numPr>
          <w:ilvl w:val="0"/>
          <w:numId w:val="0"/>
        </w:numPr>
        <w:rPr>
          <w:i/>
          <w:sz w:val="22"/>
        </w:rPr>
      </w:pPr>
      <w:r w:rsidRPr="000852A2">
        <w:rPr>
          <w:i/>
          <w:sz w:val="22"/>
        </w:rPr>
        <w:t>Country programme (CP) implementation report</w:t>
      </w:r>
    </w:p>
    <w:p w:rsidR="000852A2" w:rsidRPr="000852A2" w:rsidRDefault="000852A2" w:rsidP="00D92E57">
      <w:pPr>
        <w:pStyle w:val="Heading1"/>
      </w:pPr>
      <w:r w:rsidRPr="000852A2">
        <w:t>The Government of Suriname reported sector HCFC consumption data under 201</w:t>
      </w:r>
      <w:r w:rsidR="006716BC">
        <w:t>6</w:t>
      </w:r>
      <w:r w:rsidRPr="000852A2">
        <w:t xml:space="preserve"> CP</w:t>
      </w:r>
      <w:r w:rsidR="00DE15F1">
        <w:t> </w:t>
      </w:r>
      <w:r w:rsidR="009E16E8">
        <w:t xml:space="preserve">implementation </w:t>
      </w:r>
      <w:r w:rsidRPr="000852A2">
        <w:t>report</w:t>
      </w:r>
      <w:r w:rsidR="006716BC">
        <w:t xml:space="preserve"> is consistent with </w:t>
      </w:r>
      <w:r w:rsidR="009E16E8">
        <w:t xml:space="preserve">the </w:t>
      </w:r>
      <w:r w:rsidR="006716BC">
        <w:t>data report</w:t>
      </w:r>
      <w:r w:rsidR="009E16E8">
        <w:t>ed</w:t>
      </w:r>
      <w:r w:rsidR="006716BC">
        <w:t xml:space="preserve"> under Article 7 of the Montreal Protocol</w:t>
      </w:r>
      <w:r w:rsidR="00127E0D">
        <w:t>.</w:t>
      </w:r>
    </w:p>
    <w:p w:rsidR="00D1707A" w:rsidRPr="00A841B8" w:rsidRDefault="00D1707A" w:rsidP="00D92E57">
      <w:pPr>
        <w:pStyle w:val="StyleHeader4Para4Left0Firstline0"/>
        <w:numPr>
          <w:ilvl w:val="0"/>
          <w:numId w:val="0"/>
        </w:numPr>
        <w:rPr>
          <w:sz w:val="22"/>
        </w:rPr>
      </w:pPr>
      <w:r w:rsidRPr="000852A2">
        <w:rPr>
          <w:i/>
          <w:sz w:val="22"/>
        </w:rPr>
        <w:t>Verification report</w:t>
      </w:r>
    </w:p>
    <w:p w:rsidR="00883973" w:rsidRDefault="00D1707A" w:rsidP="00D92E57">
      <w:pPr>
        <w:pStyle w:val="Heading1"/>
        <w:rPr>
          <w:i/>
        </w:rPr>
      </w:pPr>
      <w:r w:rsidRPr="00A841B8">
        <w:t>The verification report confirm</w:t>
      </w:r>
      <w:r w:rsidR="00883973" w:rsidRPr="00A841B8">
        <w:t>ed</w:t>
      </w:r>
      <w:r w:rsidRPr="00A841B8">
        <w:t xml:space="preserve"> that HCFC consumption for the years 2013 to 2017 </w:t>
      </w:r>
      <w:r w:rsidR="00883973" w:rsidRPr="00A841B8">
        <w:t>was</w:t>
      </w:r>
      <w:r w:rsidRPr="00A841B8">
        <w:t xml:space="preserve"> below</w:t>
      </w:r>
      <w:r>
        <w:t xml:space="preserve"> the Montreal Protocol and </w:t>
      </w:r>
      <w:r w:rsidR="00883973">
        <w:t>the A</w:t>
      </w:r>
      <w:r>
        <w:t>greement targets</w:t>
      </w:r>
      <w:r w:rsidRPr="000852A2">
        <w:t>. The verification report also identifie</w:t>
      </w:r>
      <w:r>
        <w:t>d</w:t>
      </w:r>
      <w:r w:rsidRPr="000852A2">
        <w:t xml:space="preserve"> gaps relating to implementation of import-export licensing and monitoring procedures</w:t>
      </w:r>
      <w:r>
        <w:t xml:space="preserve"> such as mandatory no-objection certificates from </w:t>
      </w:r>
      <w:r w:rsidR="00883973">
        <w:t xml:space="preserve">the </w:t>
      </w:r>
      <w:r>
        <w:t>National Ozone Unit (NOU) before HCFC</w:t>
      </w:r>
      <w:r w:rsidR="00883973">
        <w:t>s</w:t>
      </w:r>
      <w:r>
        <w:t xml:space="preserve"> are imported and data compilation on imports of HCFCs by importers</w:t>
      </w:r>
      <w:r w:rsidR="00883973">
        <w:t>.</w:t>
      </w:r>
    </w:p>
    <w:p w:rsidR="00883973" w:rsidRPr="00590333" w:rsidRDefault="00883973" w:rsidP="00D92E57">
      <w:pPr>
        <w:pStyle w:val="Heading1"/>
        <w:keepNext/>
        <w:numPr>
          <w:ilvl w:val="0"/>
          <w:numId w:val="0"/>
        </w:numPr>
        <w:rPr>
          <w:u w:val="single"/>
        </w:rPr>
      </w:pPr>
      <w:r w:rsidRPr="00590333">
        <w:rPr>
          <w:u w:val="single"/>
        </w:rPr>
        <w:t>Progress report on the implementation of the second tranche of the HPMP</w:t>
      </w:r>
    </w:p>
    <w:p w:rsidR="000852A2" w:rsidRPr="00883973" w:rsidRDefault="000852A2" w:rsidP="00D92E57">
      <w:pPr>
        <w:pStyle w:val="Heading1"/>
        <w:keepNext/>
        <w:numPr>
          <w:ilvl w:val="0"/>
          <w:numId w:val="0"/>
        </w:numPr>
        <w:rPr>
          <w:i/>
        </w:rPr>
      </w:pPr>
      <w:r w:rsidRPr="00883973">
        <w:rPr>
          <w:i/>
        </w:rPr>
        <w:t>Legal framework</w:t>
      </w:r>
    </w:p>
    <w:p w:rsidR="000852A2" w:rsidRPr="000852A2" w:rsidRDefault="000852A2" w:rsidP="00163541">
      <w:pPr>
        <w:pStyle w:val="Heading1"/>
        <w:keepNext/>
      </w:pPr>
      <w:r w:rsidRPr="000852A2">
        <w:t xml:space="preserve">The Government of Suriname has established a licensing and quota system for HCFC imports and exports. The system is </w:t>
      </w:r>
      <w:r w:rsidR="009E16E8">
        <w:t xml:space="preserve">operational and is being </w:t>
      </w:r>
      <w:r w:rsidRPr="000852A2">
        <w:t xml:space="preserve">implemented by the Ministry of Trade and Industry and </w:t>
      </w:r>
      <w:r w:rsidRPr="000852A2">
        <w:lastRenderedPageBreak/>
        <w:t xml:space="preserve">operates </w:t>
      </w:r>
      <w:r w:rsidR="00BD0711">
        <w:t>o</w:t>
      </w:r>
      <w:r w:rsidRPr="000852A2">
        <w:t>n a ‘first come, first served’ basis with the preference given to annual regular importers.</w:t>
      </w:r>
      <w:r w:rsidR="00A4325E">
        <w:t> </w:t>
      </w:r>
      <w:r w:rsidR="00D35B6B">
        <w:t>The</w:t>
      </w:r>
      <w:r w:rsidR="00DE15F1">
        <w:t> </w:t>
      </w:r>
      <w:r w:rsidR="00D35B6B">
        <w:t xml:space="preserve">Government </w:t>
      </w:r>
      <w:r w:rsidR="00CD22A2">
        <w:t>would</w:t>
      </w:r>
      <w:r w:rsidR="00D35B6B">
        <w:t xml:space="preserve"> be considering import bans on HCFC-based equipment in future. </w:t>
      </w:r>
    </w:p>
    <w:p w:rsidR="000852A2" w:rsidRPr="000852A2" w:rsidRDefault="000852A2" w:rsidP="00163541">
      <w:pPr>
        <w:pStyle w:val="StyleHeader4Para4Left0Firstline0"/>
        <w:numPr>
          <w:ilvl w:val="0"/>
          <w:numId w:val="0"/>
        </w:numPr>
        <w:rPr>
          <w:i/>
          <w:sz w:val="22"/>
        </w:rPr>
      </w:pPr>
      <w:r w:rsidRPr="000852A2">
        <w:rPr>
          <w:i/>
          <w:sz w:val="22"/>
        </w:rPr>
        <w:t>Refrigeration servicing sector</w:t>
      </w:r>
    </w:p>
    <w:p w:rsidR="000852A2" w:rsidRPr="000852A2" w:rsidRDefault="000852A2" w:rsidP="00163541">
      <w:pPr>
        <w:pStyle w:val="Heading1"/>
      </w:pPr>
      <w:r w:rsidRPr="000852A2">
        <w:t>The following activities were implemented</w:t>
      </w:r>
      <w:r>
        <w:t>:</w:t>
      </w:r>
    </w:p>
    <w:p w:rsidR="000852A2" w:rsidRPr="000852A2" w:rsidRDefault="00D1707A" w:rsidP="00163541">
      <w:pPr>
        <w:pStyle w:val="Heading2"/>
      </w:pPr>
      <w:r>
        <w:t>Thirty</w:t>
      </w:r>
      <w:r w:rsidR="000852A2" w:rsidRPr="000852A2">
        <w:t xml:space="preserve"> customs officers and 10 officers from Bureau of Standards were trained on ODS</w:t>
      </w:r>
      <w:r w:rsidR="00DE15F1">
        <w:t> </w:t>
      </w:r>
      <w:r w:rsidR="000852A2" w:rsidRPr="000852A2">
        <w:t>trade monitoring and control, HCFC regulations an</w:t>
      </w:r>
      <w:r w:rsidR="00BD0711">
        <w:t>d control measures; support</w:t>
      </w:r>
      <w:r>
        <w:t xml:space="preserve"> was provided</w:t>
      </w:r>
      <w:r w:rsidR="00BD0711">
        <w:t xml:space="preserve"> to </w:t>
      </w:r>
      <w:r>
        <w:t>c</w:t>
      </w:r>
      <w:r w:rsidR="000852A2" w:rsidRPr="000852A2">
        <w:t xml:space="preserve">ustoms </w:t>
      </w:r>
      <w:r>
        <w:t xml:space="preserve">officers </w:t>
      </w:r>
      <w:r w:rsidR="000852A2" w:rsidRPr="000852A2">
        <w:t xml:space="preserve">and </w:t>
      </w:r>
      <w:r w:rsidR="008B0728" w:rsidRPr="00D1707A">
        <w:t>Air-conditioning, Refrigeration and Ventilation</w:t>
      </w:r>
      <w:r w:rsidR="00DE15F1">
        <w:t> </w:t>
      </w:r>
      <w:r w:rsidR="008B0728" w:rsidRPr="00D1707A">
        <w:t>Association of Suriname</w:t>
      </w:r>
      <w:r w:rsidR="00883973">
        <w:t xml:space="preserve"> (</w:t>
      </w:r>
      <w:r w:rsidR="000852A2" w:rsidRPr="000852A2">
        <w:t>ARVAS</w:t>
      </w:r>
      <w:r w:rsidR="00883973">
        <w:t>)</w:t>
      </w:r>
      <w:r w:rsidR="000852A2" w:rsidRPr="000852A2">
        <w:t xml:space="preserve"> on use of</w:t>
      </w:r>
      <w:r>
        <w:t xml:space="preserve"> multi-refrigerant</w:t>
      </w:r>
      <w:r w:rsidR="000852A2" w:rsidRPr="000852A2">
        <w:t xml:space="preserve"> identifiers and verifying imported </w:t>
      </w:r>
      <w:r w:rsidR="00BD0711">
        <w:t>refrigerants</w:t>
      </w:r>
      <w:r>
        <w:t xml:space="preserve"> using the identifiers</w:t>
      </w:r>
      <w:r w:rsidR="00BD0711">
        <w:t>;</w:t>
      </w:r>
    </w:p>
    <w:p w:rsidR="000852A2" w:rsidRPr="000852A2" w:rsidRDefault="00D1707A" w:rsidP="00163541">
      <w:pPr>
        <w:pStyle w:val="Heading2"/>
      </w:pPr>
      <w:r>
        <w:t>Fifty</w:t>
      </w:r>
      <w:r w:rsidR="000852A2" w:rsidRPr="000852A2">
        <w:t xml:space="preserve"> technicians were trained in three workshops on good service practices and use of alternatives </w:t>
      </w:r>
      <w:r>
        <w:t>in a safe manner</w:t>
      </w:r>
      <w:r w:rsidR="000852A2" w:rsidRPr="000852A2">
        <w:t xml:space="preserve">; four technicians participated in </w:t>
      </w:r>
      <w:r w:rsidR="00BD0711" w:rsidRPr="000852A2">
        <w:t xml:space="preserve">train-the-trainer regional workshop </w:t>
      </w:r>
      <w:r w:rsidR="000852A2" w:rsidRPr="000852A2">
        <w:t xml:space="preserve">in Grenada on use of flammable refrigerants in </w:t>
      </w:r>
      <w:r>
        <w:t xml:space="preserve">HC-based </w:t>
      </w:r>
      <w:r w:rsidR="00BD0711">
        <w:t>RAC</w:t>
      </w:r>
      <w:r w:rsidR="000852A2" w:rsidRPr="000852A2">
        <w:t xml:space="preserve"> equipment and </w:t>
      </w:r>
      <w:r>
        <w:t>following the training</w:t>
      </w:r>
      <w:r w:rsidR="000852A2" w:rsidRPr="000852A2">
        <w:t>, these technicians have developed a curriculum/training program</w:t>
      </w:r>
      <w:r>
        <w:t>me</w:t>
      </w:r>
      <w:r w:rsidR="00BD0711">
        <w:t xml:space="preserve"> for training local technicians;</w:t>
      </w:r>
    </w:p>
    <w:p w:rsidR="000852A2" w:rsidRPr="000852A2" w:rsidRDefault="00D1707A" w:rsidP="00163541">
      <w:pPr>
        <w:pStyle w:val="Heading2"/>
      </w:pPr>
      <w:r>
        <w:t>B</w:t>
      </w:r>
      <w:r w:rsidR="000852A2" w:rsidRPr="000852A2">
        <w:t>asic refrigeration tools for good servicing</w:t>
      </w:r>
      <w:r>
        <w:t xml:space="preserve"> (e.g., vacuum pump, identifiers, service tools)</w:t>
      </w:r>
      <w:r w:rsidR="000852A2" w:rsidRPr="000852A2">
        <w:t>,</w:t>
      </w:r>
      <w:r w:rsidR="00DE15F1">
        <w:t> </w:t>
      </w:r>
      <w:r w:rsidR="000852A2" w:rsidRPr="000852A2">
        <w:t>recovery</w:t>
      </w:r>
      <w:r w:rsidR="00BD0711">
        <w:t>-</w:t>
      </w:r>
      <w:r w:rsidR="000852A2" w:rsidRPr="000852A2">
        <w:t xml:space="preserve">related tools and accessories </w:t>
      </w:r>
      <w:r>
        <w:t xml:space="preserve">were distributed </w:t>
      </w:r>
      <w:r w:rsidR="000852A2" w:rsidRPr="000852A2">
        <w:t>to 20 service technicians;</w:t>
      </w:r>
      <w:r w:rsidR="00A4325E">
        <w:t> </w:t>
      </w:r>
      <w:r w:rsidR="00BD0711">
        <w:t>and</w:t>
      </w:r>
    </w:p>
    <w:p w:rsidR="000852A2" w:rsidRPr="000852A2" w:rsidRDefault="000852A2" w:rsidP="00163541">
      <w:pPr>
        <w:pStyle w:val="Heading2"/>
      </w:pPr>
      <w:r w:rsidRPr="000852A2">
        <w:t xml:space="preserve">Awareness activities </w:t>
      </w:r>
      <w:r w:rsidR="00D1707A">
        <w:t xml:space="preserve">were carried out </w:t>
      </w:r>
      <w:r w:rsidRPr="000852A2">
        <w:t>for technicians on alternative technologies and HCFC phase-out activities (250 brochures); 100 Customs Quick Tools</w:t>
      </w:r>
      <w:r w:rsidR="00D1707A">
        <w:t xml:space="preserve"> were</w:t>
      </w:r>
      <w:r w:rsidRPr="000852A2">
        <w:t xml:space="preserve"> reproduced and distributed to Customs Department, </w:t>
      </w:r>
      <w:r w:rsidR="00BD0711" w:rsidRPr="000852A2">
        <w:t xml:space="preserve">importers and </w:t>
      </w:r>
      <w:r w:rsidR="00D1707A">
        <w:t xml:space="preserve">refrigeration </w:t>
      </w:r>
      <w:r w:rsidR="00BD0711" w:rsidRPr="000852A2">
        <w:t>technicians</w:t>
      </w:r>
      <w:r w:rsidRPr="000852A2">
        <w:t xml:space="preserve">; </w:t>
      </w:r>
      <w:r w:rsidR="00D1707A">
        <w:t xml:space="preserve">and </w:t>
      </w:r>
      <w:r w:rsidRPr="000852A2">
        <w:t>ODS</w:t>
      </w:r>
      <w:r w:rsidR="00B87202">
        <w:t> </w:t>
      </w:r>
      <w:r w:rsidRPr="000852A2">
        <w:t xml:space="preserve">data </w:t>
      </w:r>
      <w:r w:rsidR="00D1707A">
        <w:t xml:space="preserve">was publicised </w:t>
      </w:r>
      <w:r w:rsidRPr="000852A2">
        <w:t>in environmental statistics data for 2017.</w:t>
      </w:r>
    </w:p>
    <w:p w:rsidR="000852A2" w:rsidRPr="000852A2" w:rsidRDefault="000852A2" w:rsidP="00163541">
      <w:pPr>
        <w:pStyle w:val="StyleHeader4Para4Left0Firstline0"/>
        <w:keepNext/>
        <w:widowControl/>
        <w:numPr>
          <w:ilvl w:val="0"/>
          <w:numId w:val="0"/>
        </w:numPr>
        <w:rPr>
          <w:i/>
          <w:sz w:val="22"/>
        </w:rPr>
      </w:pPr>
      <w:r w:rsidRPr="000852A2">
        <w:rPr>
          <w:i/>
          <w:sz w:val="22"/>
        </w:rPr>
        <w:t>Project implementation and monitoring</w:t>
      </w:r>
    </w:p>
    <w:p w:rsidR="000852A2" w:rsidRPr="000852A2" w:rsidRDefault="000852A2" w:rsidP="00163541">
      <w:pPr>
        <w:pStyle w:val="Heading1"/>
        <w:keepNext/>
      </w:pPr>
      <w:r w:rsidRPr="000852A2">
        <w:t>The NOU, located within the National Institute for Environment and Development (NIMOS),</w:t>
      </w:r>
      <w:r w:rsidR="00B87202">
        <w:t> </w:t>
      </w:r>
      <w:r w:rsidRPr="000852A2">
        <w:t xml:space="preserve">undertakes project monitoring activities and manages day to day activities relating to </w:t>
      </w:r>
      <w:r w:rsidR="003155FE" w:rsidRPr="000852A2">
        <w:t xml:space="preserve">stage </w:t>
      </w:r>
      <w:proofErr w:type="gramStart"/>
      <w:r w:rsidR="003155FE" w:rsidRPr="000852A2">
        <w:t>I</w:t>
      </w:r>
      <w:proofErr w:type="gramEnd"/>
      <w:r w:rsidR="003155FE" w:rsidRPr="000852A2">
        <w:t xml:space="preserve"> </w:t>
      </w:r>
      <w:r w:rsidR="003155FE">
        <w:t xml:space="preserve">of the </w:t>
      </w:r>
      <w:r w:rsidRPr="000852A2">
        <w:t>HPMP.</w:t>
      </w:r>
      <w:r w:rsidR="00BD0711">
        <w:t xml:space="preserve"> </w:t>
      </w:r>
      <w:r w:rsidRPr="000852A2">
        <w:t xml:space="preserve">ARVAS provides support to </w:t>
      </w:r>
      <w:r w:rsidR="003155FE">
        <w:t xml:space="preserve">the </w:t>
      </w:r>
      <w:r w:rsidRPr="000852A2">
        <w:t>NOU on training activities and technical support to service sector.</w:t>
      </w:r>
    </w:p>
    <w:p w:rsidR="000852A2" w:rsidRPr="000852A2" w:rsidRDefault="000852A2" w:rsidP="00163541">
      <w:pPr>
        <w:pStyle w:val="StyleHeader4Para4Left0Firstline0"/>
        <w:numPr>
          <w:ilvl w:val="0"/>
          <w:numId w:val="0"/>
        </w:numPr>
        <w:rPr>
          <w:sz w:val="22"/>
          <w:u w:val="single"/>
        </w:rPr>
      </w:pPr>
      <w:r w:rsidRPr="000852A2">
        <w:rPr>
          <w:sz w:val="22"/>
          <w:u w:val="single"/>
        </w:rPr>
        <w:t>Level of fund disbursement</w:t>
      </w:r>
    </w:p>
    <w:p w:rsidR="000852A2" w:rsidRDefault="000852A2" w:rsidP="00163541">
      <w:pPr>
        <w:pStyle w:val="Heading1"/>
      </w:pPr>
      <w:r w:rsidRPr="000852A2">
        <w:t xml:space="preserve">As of April 2018, of the US $123,500 </w:t>
      </w:r>
      <w:r w:rsidR="003155FE" w:rsidRPr="000852A2">
        <w:t xml:space="preserve">approved </w:t>
      </w:r>
      <w:r w:rsidRPr="000852A2">
        <w:t xml:space="preserve">so far, US $117,800 </w:t>
      </w:r>
      <w:r w:rsidR="003155FE">
        <w:t>has</w:t>
      </w:r>
      <w:r w:rsidRPr="000852A2">
        <w:t xml:space="preserve"> been disbursed</w:t>
      </w:r>
      <w:r>
        <w:t xml:space="preserve"> (US</w:t>
      </w:r>
      <w:r w:rsidR="00883973">
        <w:t> </w:t>
      </w:r>
      <w:r>
        <w:t>$49,800 for UNEP and US $</w:t>
      </w:r>
      <w:r w:rsidRPr="000852A2">
        <w:t xml:space="preserve">68,000 for UNIDO) </w:t>
      </w:r>
      <w:r w:rsidR="003155FE">
        <w:t xml:space="preserve">as shown in </w:t>
      </w:r>
      <w:r w:rsidRPr="000852A2">
        <w:t>Table 2</w:t>
      </w:r>
      <w:r>
        <w:t>.</w:t>
      </w:r>
      <w:r w:rsidR="006716BC">
        <w:t xml:space="preserve">  The remaining funds will be disbursed in </w:t>
      </w:r>
      <w:r w:rsidR="003155FE">
        <w:t>2018</w:t>
      </w:r>
      <w:r w:rsidR="006716BC">
        <w:t>.</w:t>
      </w:r>
    </w:p>
    <w:p w:rsidR="000852A2" w:rsidRPr="000852A2" w:rsidRDefault="000852A2" w:rsidP="000852A2">
      <w:pPr>
        <w:rPr>
          <w:b/>
        </w:rPr>
      </w:pPr>
      <w:r w:rsidRPr="000852A2">
        <w:rPr>
          <w:b/>
        </w:rPr>
        <w:t>Table 2. Financial report of stage I of the HPMP for Suriname (US $)</w:t>
      </w:r>
    </w:p>
    <w:tbl>
      <w:tblPr>
        <w:tblStyle w:val="TableGrid"/>
        <w:tblW w:w="5000" w:type="pct"/>
        <w:tblLook w:val="04A0" w:firstRow="1" w:lastRow="0" w:firstColumn="1" w:lastColumn="0" w:noHBand="0" w:noVBand="1"/>
      </w:tblPr>
      <w:tblGrid>
        <w:gridCol w:w="1670"/>
        <w:gridCol w:w="1273"/>
        <w:gridCol w:w="1287"/>
        <w:gridCol w:w="1273"/>
        <w:gridCol w:w="1287"/>
        <w:gridCol w:w="1273"/>
        <w:gridCol w:w="1287"/>
      </w:tblGrid>
      <w:tr w:rsidR="000852A2" w:rsidRPr="000852A2" w:rsidTr="00127E0D">
        <w:tc>
          <w:tcPr>
            <w:tcW w:w="893" w:type="pct"/>
            <w:vMerge w:val="restart"/>
          </w:tcPr>
          <w:p w:rsidR="000852A2" w:rsidRPr="000852A2" w:rsidRDefault="000852A2" w:rsidP="003155FE">
            <w:pPr>
              <w:pStyle w:val="Heading1"/>
              <w:numPr>
                <w:ilvl w:val="0"/>
                <w:numId w:val="0"/>
              </w:numPr>
              <w:outlineLvl w:val="0"/>
              <w:rPr>
                <w:b/>
                <w:sz w:val="20"/>
                <w:szCs w:val="20"/>
                <w:lang w:val="en-CA"/>
              </w:rPr>
            </w:pPr>
            <w:r w:rsidRPr="000852A2">
              <w:rPr>
                <w:b/>
                <w:sz w:val="20"/>
                <w:szCs w:val="20"/>
                <w:lang w:val="en-CA"/>
              </w:rPr>
              <w:t>Agency</w:t>
            </w:r>
          </w:p>
        </w:tc>
        <w:tc>
          <w:tcPr>
            <w:tcW w:w="1369" w:type="pct"/>
            <w:gridSpan w:val="2"/>
          </w:tcPr>
          <w:p w:rsidR="000852A2" w:rsidRPr="000852A2" w:rsidRDefault="000852A2" w:rsidP="003155FE">
            <w:pPr>
              <w:jc w:val="center"/>
              <w:rPr>
                <w:b/>
                <w:sz w:val="20"/>
                <w:szCs w:val="20"/>
                <w:lang w:val="en-CA"/>
              </w:rPr>
            </w:pPr>
            <w:r w:rsidRPr="000852A2">
              <w:rPr>
                <w:b/>
                <w:sz w:val="20"/>
                <w:szCs w:val="20"/>
                <w:lang w:val="en-CA"/>
              </w:rPr>
              <w:t>First tranche</w:t>
            </w:r>
          </w:p>
        </w:tc>
        <w:tc>
          <w:tcPr>
            <w:tcW w:w="1369" w:type="pct"/>
            <w:gridSpan w:val="2"/>
          </w:tcPr>
          <w:p w:rsidR="000852A2" w:rsidRPr="000852A2" w:rsidRDefault="000852A2" w:rsidP="003155FE">
            <w:pPr>
              <w:jc w:val="center"/>
              <w:rPr>
                <w:b/>
                <w:sz w:val="20"/>
                <w:szCs w:val="20"/>
                <w:lang w:val="en-CA"/>
              </w:rPr>
            </w:pPr>
            <w:r w:rsidRPr="000852A2">
              <w:rPr>
                <w:b/>
                <w:sz w:val="20"/>
                <w:szCs w:val="20"/>
                <w:lang w:val="en-CA"/>
              </w:rPr>
              <w:t>Second tranche</w:t>
            </w:r>
          </w:p>
        </w:tc>
        <w:tc>
          <w:tcPr>
            <w:tcW w:w="1369" w:type="pct"/>
            <w:gridSpan w:val="2"/>
          </w:tcPr>
          <w:p w:rsidR="000852A2" w:rsidRPr="000852A2" w:rsidRDefault="000852A2" w:rsidP="003155FE">
            <w:pPr>
              <w:jc w:val="center"/>
              <w:rPr>
                <w:b/>
                <w:sz w:val="20"/>
                <w:szCs w:val="20"/>
                <w:lang w:val="en-CA"/>
              </w:rPr>
            </w:pPr>
            <w:r w:rsidRPr="000852A2">
              <w:rPr>
                <w:b/>
                <w:sz w:val="20"/>
                <w:szCs w:val="20"/>
                <w:lang w:val="en-CA"/>
              </w:rPr>
              <w:t>Total approved</w:t>
            </w:r>
          </w:p>
        </w:tc>
      </w:tr>
      <w:tr w:rsidR="000852A2" w:rsidRPr="000852A2" w:rsidTr="00127E0D">
        <w:tc>
          <w:tcPr>
            <w:tcW w:w="893" w:type="pct"/>
            <w:vMerge/>
          </w:tcPr>
          <w:p w:rsidR="000852A2" w:rsidRPr="000852A2" w:rsidRDefault="000852A2" w:rsidP="003155FE">
            <w:pPr>
              <w:jc w:val="center"/>
              <w:rPr>
                <w:b/>
                <w:sz w:val="20"/>
                <w:szCs w:val="20"/>
                <w:lang w:val="en-CA"/>
              </w:rPr>
            </w:pPr>
          </w:p>
        </w:tc>
        <w:tc>
          <w:tcPr>
            <w:tcW w:w="681" w:type="pct"/>
          </w:tcPr>
          <w:p w:rsidR="000852A2" w:rsidRPr="000852A2" w:rsidRDefault="000852A2" w:rsidP="003155FE">
            <w:pPr>
              <w:jc w:val="center"/>
              <w:rPr>
                <w:b/>
                <w:sz w:val="20"/>
                <w:szCs w:val="20"/>
                <w:lang w:val="en-CA"/>
              </w:rPr>
            </w:pPr>
            <w:r w:rsidRPr="000852A2">
              <w:rPr>
                <w:b/>
                <w:sz w:val="20"/>
                <w:szCs w:val="20"/>
                <w:lang w:val="en-CA"/>
              </w:rPr>
              <w:t>Approved</w:t>
            </w:r>
          </w:p>
        </w:tc>
        <w:tc>
          <w:tcPr>
            <w:tcW w:w="688" w:type="pct"/>
          </w:tcPr>
          <w:p w:rsidR="000852A2" w:rsidRPr="000852A2" w:rsidRDefault="000852A2" w:rsidP="003155FE">
            <w:pPr>
              <w:jc w:val="center"/>
              <w:rPr>
                <w:b/>
                <w:sz w:val="20"/>
                <w:szCs w:val="20"/>
                <w:lang w:val="en-CA"/>
              </w:rPr>
            </w:pPr>
            <w:r w:rsidRPr="000852A2">
              <w:rPr>
                <w:b/>
                <w:sz w:val="20"/>
                <w:szCs w:val="20"/>
                <w:lang w:val="en-CA"/>
              </w:rPr>
              <w:t>Disbursed</w:t>
            </w:r>
          </w:p>
        </w:tc>
        <w:tc>
          <w:tcPr>
            <w:tcW w:w="681" w:type="pct"/>
          </w:tcPr>
          <w:p w:rsidR="000852A2" w:rsidRPr="000852A2" w:rsidRDefault="000852A2" w:rsidP="003155FE">
            <w:pPr>
              <w:jc w:val="center"/>
              <w:rPr>
                <w:b/>
                <w:sz w:val="20"/>
                <w:szCs w:val="20"/>
                <w:lang w:val="en-CA"/>
              </w:rPr>
            </w:pPr>
            <w:r w:rsidRPr="000852A2">
              <w:rPr>
                <w:b/>
                <w:sz w:val="20"/>
                <w:szCs w:val="20"/>
                <w:lang w:val="en-CA"/>
              </w:rPr>
              <w:t>Approved</w:t>
            </w:r>
          </w:p>
        </w:tc>
        <w:tc>
          <w:tcPr>
            <w:tcW w:w="688" w:type="pct"/>
          </w:tcPr>
          <w:p w:rsidR="000852A2" w:rsidRPr="000852A2" w:rsidRDefault="000852A2" w:rsidP="003155FE">
            <w:pPr>
              <w:jc w:val="center"/>
              <w:rPr>
                <w:b/>
                <w:sz w:val="20"/>
                <w:szCs w:val="20"/>
                <w:lang w:val="en-CA"/>
              </w:rPr>
            </w:pPr>
            <w:r w:rsidRPr="000852A2">
              <w:rPr>
                <w:b/>
                <w:sz w:val="20"/>
                <w:szCs w:val="20"/>
                <w:lang w:val="en-CA"/>
              </w:rPr>
              <w:t>Disbursed</w:t>
            </w:r>
          </w:p>
        </w:tc>
        <w:tc>
          <w:tcPr>
            <w:tcW w:w="681" w:type="pct"/>
          </w:tcPr>
          <w:p w:rsidR="000852A2" w:rsidRPr="000852A2" w:rsidRDefault="000852A2" w:rsidP="003155FE">
            <w:pPr>
              <w:jc w:val="center"/>
              <w:rPr>
                <w:b/>
                <w:sz w:val="20"/>
                <w:szCs w:val="20"/>
                <w:lang w:val="en-CA"/>
              </w:rPr>
            </w:pPr>
            <w:r w:rsidRPr="000852A2">
              <w:rPr>
                <w:b/>
                <w:sz w:val="20"/>
                <w:szCs w:val="20"/>
                <w:lang w:val="en-CA"/>
              </w:rPr>
              <w:t>Approved</w:t>
            </w:r>
          </w:p>
        </w:tc>
        <w:tc>
          <w:tcPr>
            <w:tcW w:w="688" w:type="pct"/>
          </w:tcPr>
          <w:p w:rsidR="000852A2" w:rsidRPr="000852A2" w:rsidRDefault="000852A2" w:rsidP="003155FE">
            <w:pPr>
              <w:jc w:val="center"/>
              <w:rPr>
                <w:b/>
                <w:sz w:val="20"/>
                <w:szCs w:val="20"/>
                <w:lang w:val="en-CA"/>
              </w:rPr>
            </w:pPr>
            <w:r w:rsidRPr="000852A2">
              <w:rPr>
                <w:b/>
                <w:sz w:val="20"/>
                <w:szCs w:val="20"/>
                <w:lang w:val="en-CA"/>
              </w:rPr>
              <w:t>Disbursed</w:t>
            </w:r>
          </w:p>
        </w:tc>
      </w:tr>
      <w:tr w:rsidR="000852A2" w:rsidRPr="000852A2" w:rsidTr="00127E0D">
        <w:tc>
          <w:tcPr>
            <w:tcW w:w="893" w:type="pct"/>
          </w:tcPr>
          <w:p w:rsidR="000852A2" w:rsidRPr="000852A2" w:rsidRDefault="000852A2" w:rsidP="003155FE">
            <w:pPr>
              <w:rPr>
                <w:sz w:val="20"/>
                <w:szCs w:val="20"/>
                <w:lang w:val="en-CA"/>
              </w:rPr>
            </w:pPr>
            <w:r w:rsidRPr="000852A2">
              <w:rPr>
                <w:sz w:val="20"/>
                <w:szCs w:val="20"/>
                <w:lang w:val="en-CA"/>
              </w:rPr>
              <w:t>UNEP</w:t>
            </w:r>
          </w:p>
        </w:tc>
        <w:tc>
          <w:tcPr>
            <w:tcW w:w="681" w:type="pct"/>
          </w:tcPr>
          <w:p w:rsidR="000852A2" w:rsidRPr="000852A2" w:rsidRDefault="000852A2" w:rsidP="003155FE">
            <w:pPr>
              <w:jc w:val="right"/>
              <w:rPr>
                <w:sz w:val="20"/>
                <w:szCs w:val="20"/>
                <w:lang w:val="en-CA"/>
              </w:rPr>
            </w:pPr>
            <w:r w:rsidRPr="000852A2">
              <w:rPr>
                <w:sz w:val="20"/>
                <w:szCs w:val="20"/>
                <w:lang w:val="en-CA"/>
              </w:rPr>
              <w:t>27,000</w:t>
            </w:r>
          </w:p>
        </w:tc>
        <w:tc>
          <w:tcPr>
            <w:tcW w:w="688" w:type="pct"/>
          </w:tcPr>
          <w:p w:rsidR="000852A2" w:rsidRPr="000852A2" w:rsidRDefault="000852A2" w:rsidP="003155FE">
            <w:pPr>
              <w:jc w:val="right"/>
              <w:rPr>
                <w:sz w:val="20"/>
                <w:szCs w:val="20"/>
                <w:lang w:val="en-CA"/>
              </w:rPr>
            </w:pPr>
            <w:r w:rsidRPr="000852A2">
              <w:rPr>
                <w:sz w:val="20"/>
                <w:szCs w:val="20"/>
                <w:lang w:val="en-CA"/>
              </w:rPr>
              <w:t>27,000</w:t>
            </w:r>
          </w:p>
        </w:tc>
        <w:tc>
          <w:tcPr>
            <w:tcW w:w="681" w:type="pct"/>
          </w:tcPr>
          <w:p w:rsidR="000852A2" w:rsidRPr="000852A2" w:rsidRDefault="000852A2" w:rsidP="003155FE">
            <w:pPr>
              <w:jc w:val="right"/>
              <w:rPr>
                <w:sz w:val="20"/>
                <w:szCs w:val="20"/>
                <w:lang w:val="en-CA"/>
              </w:rPr>
            </w:pPr>
            <w:r w:rsidRPr="000852A2">
              <w:rPr>
                <w:sz w:val="20"/>
                <w:szCs w:val="20"/>
                <w:lang w:val="en-CA"/>
              </w:rPr>
              <w:t>28,500</w:t>
            </w:r>
          </w:p>
        </w:tc>
        <w:tc>
          <w:tcPr>
            <w:tcW w:w="688" w:type="pct"/>
          </w:tcPr>
          <w:p w:rsidR="000852A2" w:rsidRPr="000852A2" w:rsidRDefault="000852A2" w:rsidP="003155FE">
            <w:pPr>
              <w:jc w:val="right"/>
              <w:rPr>
                <w:sz w:val="20"/>
                <w:szCs w:val="20"/>
                <w:lang w:val="en-CA"/>
              </w:rPr>
            </w:pPr>
            <w:r w:rsidRPr="000852A2">
              <w:rPr>
                <w:sz w:val="20"/>
                <w:szCs w:val="20"/>
                <w:lang w:val="en-CA"/>
              </w:rPr>
              <w:t>18,280</w:t>
            </w:r>
          </w:p>
        </w:tc>
        <w:tc>
          <w:tcPr>
            <w:tcW w:w="681" w:type="pct"/>
          </w:tcPr>
          <w:p w:rsidR="000852A2" w:rsidRPr="000852A2" w:rsidRDefault="000852A2" w:rsidP="003155FE">
            <w:pPr>
              <w:jc w:val="right"/>
              <w:rPr>
                <w:sz w:val="20"/>
                <w:szCs w:val="20"/>
                <w:lang w:val="en-CA"/>
              </w:rPr>
            </w:pPr>
            <w:r w:rsidRPr="000852A2">
              <w:rPr>
                <w:sz w:val="20"/>
                <w:szCs w:val="20"/>
                <w:lang w:val="en-CA"/>
              </w:rPr>
              <w:t>55,500</w:t>
            </w:r>
          </w:p>
        </w:tc>
        <w:tc>
          <w:tcPr>
            <w:tcW w:w="688" w:type="pct"/>
          </w:tcPr>
          <w:p w:rsidR="000852A2" w:rsidRPr="000852A2" w:rsidRDefault="000852A2" w:rsidP="003155FE">
            <w:pPr>
              <w:jc w:val="right"/>
              <w:rPr>
                <w:sz w:val="20"/>
                <w:szCs w:val="20"/>
                <w:lang w:val="en-CA"/>
              </w:rPr>
            </w:pPr>
            <w:r w:rsidRPr="000852A2">
              <w:rPr>
                <w:sz w:val="20"/>
                <w:szCs w:val="20"/>
                <w:lang w:val="en-CA"/>
              </w:rPr>
              <w:t>49,800</w:t>
            </w:r>
          </w:p>
        </w:tc>
      </w:tr>
      <w:tr w:rsidR="000852A2" w:rsidRPr="000852A2" w:rsidTr="00127E0D">
        <w:tc>
          <w:tcPr>
            <w:tcW w:w="893" w:type="pct"/>
          </w:tcPr>
          <w:p w:rsidR="000852A2" w:rsidRPr="000852A2" w:rsidRDefault="000852A2" w:rsidP="003155FE">
            <w:pPr>
              <w:rPr>
                <w:sz w:val="20"/>
                <w:szCs w:val="20"/>
                <w:lang w:val="en-CA"/>
              </w:rPr>
            </w:pPr>
            <w:r w:rsidRPr="000852A2">
              <w:rPr>
                <w:sz w:val="20"/>
                <w:szCs w:val="20"/>
                <w:lang w:val="en-CA"/>
              </w:rPr>
              <w:t>UNIDO</w:t>
            </w:r>
          </w:p>
        </w:tc>
        <w:tc>
          <w:tcPr>
            <w:tcW w:w="681" w:type="pct"/>
          </w:tcPr>
          <w:p w:rsidR="000852A2" w:rsidRPr="000852A2" w:rsidRDefault="000852A2" w:rsidP="003155FE">
            <w:pPr>
              <w:jc w:val="right"/>
              <w:rPr>
                <w:sz w:val="20"/>
                <w:szCs w:val="20"/>
                <w:lang w:val="en-CA"/>
              </w:rPr>
            </w:pPr>
            <w:r w:rsidRPr="000852A2">
              <w:rPr>
                <w:sz w:val="20"/>
                <w:szCs w:val="20"/>
                <w:lang w:val="en-CA"/>
              </w:rPr>
              <w:t>68,000</w:t>
            </w:r>
          </w:p>
        </w:tc>
        <w:tc>
          <w:tcPr>
            <w:tcW w:w="688" w:type="pct"/>
          </w:tcPr>
          <w:p w:rsidR="000852A2" w:rsidRPr="000852A2" w:rsidRDefault="000852A2" w:rsidP="003155FE">
            <w:pPr>
              <w:jc w:val="right"/>
              <w:rPr>
                <w:sz w:val="20"/>
                <w:szCs w:val="20"/>
                <w:lang w:val="en-CA"/>
              </w:rPr>
            </w:pPr>
            <w:r w:rsidRPr="000852A2">
              <w:rPr>
                <w:sz w:val="20"/>
                <w:szCs w:val="20"/>
                <w:lang w:val="en-CA"/>
              </w:rPr>
              <w:t>68,000</w:t>
            </w:r>
          </w:p>
        </w:tc>
        <w:tc>
          <w:tcPr>
            <w:tcW w:w="681" w:type="pct"/>
          </w:tcPr>
          <w:p w:rsidR="000852A2" w:rsidRPr="000852A2" w:rsidRDefault="003155FE" w:rsidP="003155FE">
            <w:pPr>
              <w:jc w:val="right"/>
              <w:rPr>
                <w:sz w:val="20"/>
                <w:szCs w:val="20"/>
                <w:lang w:val="en-CA"/>
              </w:rPr>
            </w:pPr>
            <w:r>
              <w:rPr>
                <w:sz w:val="20"/>
                <w:szCs w:val="20"/>
                <w:lang w:val="en-CA"/>
              </w:rPr>
              <w:t>0</w:t>
            </w:r>
          </w:p>
        </w:tc>
        <w:tc>
          <w:tcPr>
            <w:tcW w:w="688" w:type="pct"/>
          </w:tcPr>
          <w:p w:rsidR="000852A2" w:rsidRPr="000852A2" w:rsidRDefault="003155FE" w:rsidP="003155FE">
            <w:pPr>
              <w:jc w:val="right"/>
              <w:rPr>
                <w:sz w:val="20"/>
                <w:szCs w:val="20"/>
                <w:lang w:val="en-CA"/>
              </w:rPr>
            </w:pPr>
            <w:r>
              <w:rPr>
                <w:sz w:val="20"/>
                <w:szCs w:val="20"/>
                <w:lang w:val="en-CA"/>
              </w:rPr>
              <w:t>0</w:t>
            </w:r>
          </w:p>
        </w:tc>
        <w:tc>
          <w:tcPr>
            <w:tcW w:w="681" w:type="pct"/>
          </w:tcPr>
          <w:p w:rsidR="000852A2" w:rsidRPr="000852A2" w:rsidRDefault="000852A2" w:rsidP="003155FE">
            <w:pPr>
              <w:jc w:val="right"/>
              <w:rPr>
                <w:sz w:val="20"/>
                <w:szCs w:val="20"/>
                <w:lang w:val="en-CA"/>
              </w:rPr>
            </w:pPr>
            <w:r w:rsidRPr="000852A2">
              <w:rPr>
                <w:sz w:val="20"/>
                <w:szCs w:val="20"/>
                <w:lang w:val="en-CA"/>
              </w:rPr>
              <w:t>68,000</w:t>
            </w:r>
          </w:p>
        </w:tc>
        <w:tc>
          <w:tcPr>
            <w:tcW w:w="688" w:type="pct"/>
          </w:tcPr>
          <w:p w:rsidR="000852A2" w:rsidRPr="000852A2" w:rsidRDefault="000852A2" w:rsidP="003155FE">
            <w:pPr>
              <w:jc w:val="right"/>
              <w:rPr>
                <w:sz w:val="20"/>
                <w:szCs w:val="20"/>
                <w:lang w:val="en-CA"/>
              </w:rPr>
            </w:pPr>
            <w:r w:rsidRPr="000852A2">
              <w:rPr>
                <w:sz w:val="20"/>
                <w:szCs w:val="20"/>
                <w:lang w:val="en-CA"/>
              </w:rPr>
              <w:t>68,000</w:t>
            </w:r>
          </w:p>
        </w:tc>
      </w:tr>
      <w:tr w:rsidR="000852A2" w:rsidRPr="000852A2" w:rsidTr="00127E0D">
        <w:tc>
          <w:tcPr>
            <w:tcW w:w="893" w:type="pct"/>
          </w:tcPr>
          <w:p w:rsidR="000852A2" w:rsidRPr="000852A2" w:rsidRDefault="000852A2" w:rsidP="003155FE">
            <w:pPr>
              <w:rPr>
                <w:b/>
                <w:sz w:val="20"/>
                <w:szCs w:val="20"/>
                <w:lang w:val="en-CA"/>
              </w:rPr>
            </w:pPr>
            <w:r w:rsidRPr="000852A2">
              <w:rPr>
                <w:b/>
                <w:sz w:val="20"/>
                <w:szCs w:val="20"/>
                <w:lang w:val="en-CA"/>
              </w:rPr>
              <w:t>Total</w:t>
            </w:r>
          </w:p>
        </w:tc>
        <w:tc>
          <w:tcPr>
            <w:tcW w:w="681" w:type="pct"/>
          </w:tcPr>
          <w:p w:rsidR="000852A2" w:rsidRPr="000852A2" w:rsidRDefault="000852A2" w:rsidP="003155FE">
            <w:pPr>
              <w:jc w:val="right"/>
              <w:rPr>
                <w:sz w:val="20"/>
                <w:szCs w:val="20"/>
                <w:lang w:val="en-CA"/>
              </w:rPr>
            </w:pPr>
            <w:r w:rsidRPr="000852A2">
              <w:rPr>
                <w:sz w:val="20"/>
                <w:szCs w:val="20"/>
                <w:lang w:val="en-CA"/>
              </w:rPr>
              <w:t>95,000</w:t>
            </w:r>
          </w:p>
        </w:tc>
        <w:tc>
          <w:tcPr>
            <w:tcW w:w="688" w:type="pct"/>
          </w:tcPr>
          <w:p w:rsidR="000852A2" w:rsidRPr="000852A2" w:rsidRDefault="000852A2" w:rsidP="003155FE">
            <w:pPr>
              <w:jc w:val="right"/>
              <w:rPr>
                <w:sz w:val="20"/>
                <w:szCs w:val="20"/>
                <w:lang w:val="en-CA"/>
              </w:rPr>
            </w:pPr>
            <w:r w:rsidRPr="000852A2">
              <w:rPr>
                <w:sz w:val="20"/>
                <w:szCs w:val="20"/>
                <w:lang w:val="en-CA"/>
              </w:rPr>
              <w:t>95,000</w:t>
            </w:r>
          </w:p>
        </w:tc>
        <w:tc>
          <w:tcPr>
            <w:tcW w:w="681" w:type="pct"/>
          </w:tcPr>
          <w:p w:rsidR="000852A2" w:rsidRPr="000852A2" w:rsidRDefault="000852A2" w:rsidP="003155FE">
            <w:pPr>
              <w:jc w:val="right"/>
              <w:rPr>
                <w:sz w:val="20"/>
                <w:szCs w:val="20"/>
                <w:lang w:val="en-CA"/>
              </w:rPr>
            </w:pPr>
            <w:r w:rsidRPr="000852A2">
              <w:rPr>
                <w:sz w:val="20"/>
                <w:szCs w:val="20"/>
                <w:lang w:val="en-CA"/>
              </w:rPr>
              <w:t>28,500</w:t>
            </w:r>
          </w:p>
        </w:tc>
        <w:tc>
          <w:tcPr>
            <w:tcW w:w="688" w:type="pct"/>
          </w:tcPr>
          <w:p w:rsidR="000852A2" w:rsidRPr="000852A2" w:rsidRDefault="000852A2" w:rsidP="003155FE">
            <w:pPr>
              <w:jc w:val="right"/>
              <w:rPr>
                <w:sz w:val="20"/>
                <w:szCs w:val="20"/>
                <w:lang w:val="en-CA"/>
              </w:rPr>
            </w:pPr>
            <w:r w:rsidRPr="000852A2">
              <w:rPr>
                <w:sz w:val="20"/>
                <w:szCs w:val="20"/>
                <w:lang w:val="en-CA"/>
              </w:rPr>
              <w:t>18,280</w:t>
            </w:r>
          </w:p>
        </w:tc>
        <w:tc>
          <w:tcPr>
            <w:tcW w:w="681" w:type="pct"/>
          </w:tcPr>
          <w:p w:rsidR="000852A2" w:rsidRPr="000852A2" w:rsidRDefault="000852A2" w:rsidP="003155FE">
            <w:pPr>
              <w:jc w:val="right"/>
              <w:rPr>
                <w:sz w:val="20"/>
                <w:szCs w:val="20"/>
                <w:lang w:val="en-CA"/>
              </w:rPr>
            </w:pPr>
            <w:r w:rsidRPr="000852A2">
              <w:rPr>
                <w:sz w:val="20"/>
                <w:szCs w:val="20"/>
                <w:lang w:val="en-CA"/>
              </w:rPr>
              <w:t>123,500</w:t>
            </w:r>
          </w:p>
        </w:tc>
        <w:tc>
          <w:tcPr>
            <w:tcW w:w="688" w:type="pct"/>
          </w:tcPr>
          <w:p w:rsidR="000852A2" w:rsidRPr="000852A2" w:rsidRDefault="000852A2" w:rsidP="003155FE">
            <w:pPr>
              <w:jc w:val="right"/>
              <w:rPr>
                <w:sz w:val="20"/>
                <w:szCs w:val="20"/>
                <w:lang w:val="en-CA"/>
              </w:rPr>
            </w:pPr>
            <w:r w:rsidRPr="000852A2">
              <w:rPr>
                <w:sz w:val="20"/>
                <w:szCs w:val="20"/>
                <w:lang w:val="en-CA"/>
              </w:rPr>
              <w:t>117,800</w:t>
            </w:r>
          </w:p>
        </w:tc>
      </w:tr>
      <w:tr w:rsidR="000852A2" w:rsidRPr="000852A2" w:rsidTr="00127E0D">
        <w:tc>
          <w:tcPr>
            <w:tcW w:w="893" w:type="pct"/>
          </w:tcPr>
          <w:p w:rsidR="000852A2" w:rsidRPr="000852A2" w:rsidRDefault="000852A2" w:rsidP="003155FE">
            <w:pPr>
              <w:jc w:val="left"/>
              <w:rPr>
                <w:b/>
                <w:sz w:val="20"/>
                <w:szCs w:val="20"/>
                <w:lang w:val="en-CA"/>
              </w:rPr>
            </w:pPr>
            <w:r w:rsidRPr="000852A2">
              <w:rPr>
                <w:b/>
                <w:sz w:val="20"/>
                <w:szCs w:val="20"/>
                <w:lang w:val="en-CA"/>
              </w:rPr>
              <w:t>Disbursement rate (%)</w:t>
            </w:r>
          </w:p>
        </w:tc>
        <w:tc>
          <w:tcPr>
            <w:tcW w:w="1369" w:type="pct"/>
            <w:gridSpan w:val="2"/>
          </w:tcPr>
          <w:p w:rsidR="000852A2" w:rsidRPr="000852A2" w:rsidRDefault="000852A2" w:rsidP="003155FE">
            <w:pPr>
              <w:jc w:val="center"/>
              <w:rPr>
                <w:sz w:val="20"/>
                <w:szCs w:val="20"/>
                <w:lang w:val="en-CA"/>
              </w:rPr>
            </w:pPr>
            <w:r w:rsidRPr="000852A2">
              <w:rPr>
                <w:sz w:val="20"/>
                <w:szCs w:val="20"/>
                <w:lang w:val="en-CA"/>
              </w:rPr>
              <w:t>100.0</w:t>
            </w:r>
          </w:p>
        </w:tc>
        <w:tc>
          <w:tcPr>
            <w:tcW w:w="1369" w:type="pct"/>
            <w:gridSpan w:val="2"/>
          </w:tcPr>
          <w:p w:rsidR="000852A2" w:rsidRPr="000852A2" w:rsidRDefault="000852A2" w:rsidP="003155FE">
            <w:pPr>
              <w:jc w:val="center"/>
              <w:rPr>
                <w:sz w:val="20"/>
                <w:szCs w:val="20"/>
                <w:lang w:val="en-CA"/>
              </w:rPr>
            </w:pPr>
            <w:r w:rsidRPr="000852A2">
              <w:rPr>
                <w:sz w:val="20"/>
                <w:szCs w:val="20"/>
                <w:lang w:val="en-CA"/>
              </w:rPr>
              <w:t>64</w:t>
            </w:r>
          </w:p>
        </w:tc>
        <w:tc>
          <w:tcPr>
            <w:tcW w:w="1369" w:type="pct"/>
            <w:gridSpan w:val="2"/>
          </w:tcPr>
          <w:p w:rsidR="000852A2" w:rsidRPr="000852A2" w:rsidRDefault="000852A2" w:rsidP="003155FE">
            <w:pPr>
              <w:jc w:val="center"/>
              <w:rPr>
                <w:sz w:val="20"/>
                <w:szCs w:val="20"/>
                <w:lang w:val="en-CA"/>
              </w:rPr>
            </w:pPr>
            <w:r w:rsidRPr="000852A2">
              <w:rPr>
                <w:sz w:val="20"/>
                <w:szCs w:val="20"/>
                <w:lang w:val="en-CA"/>
              </w:rPr>
              <w:t>95</w:t>
            </w:r>
          </w:p>
        </w:tc>
      </w:tr>
    </w:tbl>
    <w:p w:rsidR="000852A2" w:rsidRPr="000852A2" w:rsidRDefault="000852A2" w:rsidP="000852A2"/>
    <w:p w:rsidR="000852A2" w:rsidRPr="00F42D15" w:rsidRDefault="000852A2" w:rsidP="00163541">
      <w:pPr>
        <w:pStyle w:val="StyleHeader4Para4Left0Firstline0"/>
        <w:keepNext/>
        <w:keepLines/>
        <w:numPr>
          <w:ilvl w:val="0"/>
          <w:numId w:val="0"/>
        </w:numPr>
        <w:rPr>
          <w:sz w:val="22"/>
          <w:u w:val="single"/>
        </w:rPr>
      </w:pPr>
      <w:r w:rsidRPr="00F42D15">
        <w:rPr>
          <w:sz w:val="22"/>
          <w:u w:val="single"/>
        </w:rPr>
        <w:lastRenderedPageBreak/>
        <w:t>Implementation plan for the third tranche of the HPMP</w:t>
      </w:r>
    </w:p>
    <w:p w:rsidR="000852A2" w:rsidRDefault="00D35B6B" w:rsidP="00163541">
      <w:pPr>
        <w:pStyle w:val="Heading1"/>
        <w:keepNext/>
        <w:keepLines/>
      </w:pPr>
      <w:r>
        <w:t>The following activities will be implemented</w:t>
      </w:r>
      <w:r w:rsidR="00CB066C">
        <w:t xml:space="preserve"> between July 2018 and December </w:t>
      </w:r>
      <w:r w:rsidR="00411D2F">
        <w:t>2020</w:t>
      </w:r>
      <w:r w:rsidR="00541225">
        <w:t>:</w:t>
      </w:r>
    </w:p>
    <w:p w:rsidR="003155FE" w:rsidRDefault="003155FE" w:rsidP="00163541">
      <w:pPr>
        <w:pStyle w:val="Heading2"/>
        <w:keepNext/>
        <w:keepLines/>
      </w:pPr>
      <w:r>
        <w:t>Training of 30 customs officers and 10 officers from the Bureau of Standards on data collection, HCFC import and export monitoring, and HFC-based equipment import monitoring; training programme for 15 customs brokers in two workshops on HCFC trade monitoring, identification of ODS and other refrigerants as well as refrigeration equipment with special emphasis on HFC</w:t>
      </w:r>
      <w:r w:rsidR="008B0728">
        <w:t>-</w:t>
      </w:r>
      <w:r>
        <w:t>based equipment and training of refrigerant importers and retailers on record keeping and reporting, and penalties under national regulations relating to ODS (UNEP) (US $8,500);</w:t>
      </w:r>
    </w:p>
    <w:p w:rsidR="000852A2" w:rsidRDefault="003155FE" w:rsidP="00163541">
      <w:pPr>
        <w:pStyle w:val="Heading2"/>
      </w:pPr>
      <w:r>
        <w:t>Training of</w:t>
      </w:r>
      <w:r w:rsidR="000852A2">
        <w:t xml:space="preserve"> 50</w:t>
      </w:r>
      <w:r w:rsidR="008B0728">
        <w:t xml:space="preserve"> RAC</w:t>
      </w:r>
      <w:r w:rsidR="000852A2">
        <w:t xml:space="preserve"> technicians in </w:t>
      </w:r>
      <w:r w:rsidR="00BD0711">
        <w:t>four</w:t>
      </w:r>
      <w:r w:rsidR="000852A2">
        <w:t xml:space="preserve"> training workshops on good servicing practices and </w:t>
      </w:r>
      <w:r>
        <w:t xml:space="preserve">safe </w:t>
      </w:r>
      <w:r w:rsidR="000852A2">
        <w:t xml:space="preserve">use of new </w:t>
      </w:r>
      <w:r>
        <w:t xml:space="preserve">alternative </w:t>
      </w:r>
      <w:r w:rsidR="000852A2">
        <w:t>refrigerants (UNEP) (US $9,500);</w:t>
      </w:r>
    </w:p>
    <w:p w:rsidR="0023132A" w:rsidRDefault="0023132A" w:rsidP="00163541">
      <w:pPr>
        <w:pStyle w:val="Heading2"/>
      </w:pPr>
      <w:r>
        <w:t>Procurement of basic equipment and tools (e.g., recovery equipment, servicing tools, leak detection equipment) for recovery of refrigerant and good service practices</w:t>
      </w:r>
      <w:r w:rsidR="008B0728">
        <w:t>,</w:t>
      </w:r>
      <w:r>
        <w:t xml:space="preserve"> for distribution to service technicians after receiving training (UNIDO) (US $29,000)</w:t>
      </w:r>
      <w:r w:rsidR="008B0728">
        <w:t>;</w:t>
      </w:r>
    </w:p>
    <w:p w:rsidR="000852A2" w:rsidRDefault="000852A2" w:rsidP="00163541">
      <w:pPr>
        <w:pStyle w:val="Heading2"/>
      </w:pPr>
      <w:r>
        <w:t xml:space="preserve">Publication </w:t>
      </w:r>
      <w:r w:rsidR="003155FE">
        <w:t xml:space="preserve">of </w:t>
      </w:r>
      <w:r>
        <w:t>awareness materials on HCFC phase-out including alternative refrigerants</w:t>
      </w:r>
      <w:r w:rsidR="003155FE">
        <w:t>;</w:t>
      </w:r>
      <w:r w:rsidR="00A4325E">
        <w:t> </w:t>
      </w:r>
      <w:r>
        <w:t>information outreach on HCFC licensing and quota system and related compliance requirements</w:t>
      </w:r>
      <w:r w:rsidR="003155FE">
        <w:t>;</w:t>
      </w:r>
      <w:r>
        <w:t xml:space="preserve"> and development of a commercial video on good practices and alternative refrigerants (UNEP) (</w:t>
      </w:r>
      <w:r w:rsidR="0023132A">
        <w:t>US $</w:t>
      </w:r>
      <w:r>
        <w:t>6,500);</w:t>
      </w:r>
      <w:r w:rsidR="008B0728">
        <w:t xml:space="preserve"> and</w:t>
      </w:r>
      <w:r>
        <w:t xml:space="preserve"> </w:t>
      </w:r>
    </w:p>
    <w:p w:rsidR="000852A2" w:rsidRDefault="000852A2" w:rsidP="00163541">
      <w:pPr>
        <w:pStyle w:val="Heading2"/>
        <w:keepNext/>
        <w:widowControl/>
      </w:pPr>
      <w:r>
        <w:t>Coordination and management of HPMP including project monitoring and reporting (UNEP) (US $10,500)</w:t>
      </w:r>
      <w:r w:rsidR="008B0728">
        <w:t>.</w:t>
      </w:r>
      <w:r>
        <w:t xml:space="preserve"> </w:t>
      </w:r>
    </w:p>
    <w:p w:rsidR="000852A2" w:rsidRPr="00F42D15" w:rsidRDefault="000852A2" w:rsidP="00163541">
      <w:pPr>
        <w:pStyle w:val="StyleHeader4Para4Left0Firstline0"/>
        <w:numPr>
          <w:ilvl w:val="0"/>
          <w:numId w:val="0"/>
        </w:numPr>
        <w:jc w:val="center"/>
        <w:rPr>
          <w:b/>
          <w:sz w:val="22"/>
        </w:rPr>
      </w:pPr>
      <w:r w:rsidRPr="00F42D15">
        <w:rPr>
          <w:b/>
          <w:sz w:val="22"/>
        </w:rPr>
        <w:t>SECRETARIAT’S COMMENTS AND RECOMMENDATION</w:t>
      </w:r>
    </w:p>
    <w:p w:rsidR="000852A2" w:rsidRPr="00F42D15" w:rsidRDefault="000852A2" w:rsidP="00163541">
      <w:pPr>
        <w:pStyle w:val="StyleHeader4Para4Left0Firstline0"/>
        <w:numPr>
          <w:ilvl w:val="0"/>
          <w:numId w:val="0"/>
        </w:numPr>
        <w:rPr>
          <w:b/>
          <w:sz w:val="22"/>
        </w:rPr>
      </w:pPr>
      <w:r w:rsidRPr="00F42D15">
        <w:rPr>
          <w:b/>
          <w:sz w:val="22"/>
        </w:rPr>
        <w:t>COMMENTS</w:t>
      </w:r>
    </w:p>
    <w:p w:rsidR="000852A2" w:rsidRPr="00F42D15" w:rsidRDefault="000852A2" w:rsidP="00163541">
      <w:pPr>
        <w:pStyle w:val="StyleHeader4Para4Left0Firstline0"/>
        <w:numPr>
          <w:ilvl w:val="0"/>
          <w:numId w:val="0"/>
        </w:numPr>
        <w:rPr>
          <w:sz w:val="22"/>
          <w:u w:val="single"/>
        </w:rPr>
      </w:pPr>
      <w:r w:rsidRPr="00F42D15">
        <w:rPr>
          <w:sz w:val="22"/>
          <w:u w:val="single"/>
        </w:rPr>
        <w:t>Tranche submission delay</w:t>
      </w:r>
    </w:p>
    <w:p w:rsidR="000852A2" w:rsidRDefault="000852A2" w:rsidP="00163541">
      <w:pPr>
        <w:pStyle w:val="Heading1"/>
      </w:pPr>
      <w:r>
        <w:t xml:space="preserve">UNEP clarified that </w:t>
      </w:r>
      <w:r w:rsidR="0023132A">
        <w:t xml:space="preserve">the </w:t>
      </w:r>
      <w:r>
        <w:t>third tranche request was delayed due to change</w:t>
      </w:r>
      <w:r w:rsidR="0023132A">
        <w:t>s</w:t>
      </w:r>
      <w:r>
        <w:t xml:space="preserve"> </w:t>
      </w:r>
      <w:r w:rsidR="00F40438">
        <w:t>in administration in the Government</w:t>
      </w:r>
      <w:r>
        <w:t xml:space="preserve"> that resulted in longer time for </w:t>
      </w:r>
      <w:r w:rsidR="0023132A">
        <w:t>implementation of ongoing activities and initiation of new</w:t>
      </w:r>
      <w:r>
        <w:t xml:space="preserve"> activities and </w:t>
      </w:r>
      <w:r w:rsidR="0023132A">
        <w:t>a longer time required</w:t>
      </w:r>
      <w:r>
        <w:t xml:space="preserve"> for completion of </w:t>
      </w:r>
      <w:r w:rsidR="008B0728">
        <w:t xml:space="preserve">the </w:t>
      </w:r>
      <w:r>
        <w:t>verification report.</w:t>
      </w:r>
      <w:r w:rsidR="0023132A">
        <w:t xml:space="preserve">  These issues have </w:t>
      </w:r>
      <w:r w:rsidR="00E16456">
        <w:t xml:space="preserve">now </w:t>
      </w:r>
      <w:r w:rsidR="0023132A">
        <w:t>been resolved</w:t>
      </w:r>
      <w:r w:rsidR="00CB066C">
        <w:t>.</w:t>
      </w:r>
    </w:p>
    <w:p w:rsidR="0023132A" w:rsidRPr="0023132A" w:rsidRDefault="0023132A" w:rsidP="00163541">
      <w:pPr>
        <w:pStyle w:val="StyleHeader4Para4Left0Firstline0"/>
        <w:keepNext/>
        <w:keepLines/>
        <w:numPr>
          <w:ilvl w:val="0"/>
          <w:numId w:val="0"/>
        </w:numPr>
        <w:rPr>
          <w:sz w:val="22"/>
          <w:u w:val="single"/>
        </w:rPr>
      </w:pPr>
      <w:r w:rsidRPr="0023132A">
        <w:rPr>
          <w:sz w:val="22"/>
          <w:u w:val="single"/>
        </w:rPr>
        <w:t>Report on HCFC consumption</w:t>
      </w:r>
    </w:p>
    <w:p w:rsidR="000852A2" w:rsidRPr="00F42D15" w:rsidRDefault="000852A2" w:rsidP="00163541">
      <w:pPr>
        <w:pStyle w:val="StyleHeader4Para4Left0Firstline0"/>
        <w:keepNext/>
        <w:keepLines/>
        <w:numPr>
          <w:ilvl w:val="0"/>
          <w:numId w:val="0"/>
        </w:numPr>
        <w:rPr>
          <w:i/>
        </w:rPr>
      </w:pPr>
      <w:r w:rsidRPr="00F42D15">
        <w:rPr>
          <w:i/>
          <w:sz w:val="22"/>
        </w:rPr>
        <w:t>Verification report</w:t>
      </w:r>
    </w:p>
    <w:p w:rsidR="000852A2" w:rsidRDefault="000852A2" w:rsidP="00163541">
      <w:pPr>
        <w:pStyle w:val="Heading1"/>
        <w:keepNext/>
        <w:keepLines/>
      </w:pPr>
      <w:r>
        <w:t xml:space="preserve">The verification report for the period 2013 to 2017 highlighted several issues relating to implementation of licensing and quota system of HCFCs </w:t>
      </w:r>
      <w:r w:rsidR="0023132A">
        <w:t>as summarised</w:t>
      </w:r>
      <w:r>
        <w:t xml:space="preserve"> below</w:t>
      </w:r>
      <w:r w:rsidR="002A11A9">
        <w:t>:</w:t>
      </w:r>
    </w:p>
    <w:p w:rsidR="000852A2" w:rsidRDefault="000852A2" w:rsidP="00163541">
      <w:pPr>
        <w:pStyle w:val="Heading2"/>
      </w:pPr>
      <w:r>
        <w:t xml:space="preserve">The quota system that was implemented from 2014 necessitates </w:t>
      </w:r>
      <w:r w:rsidR="0023132A">
        <w:t>issuance of</w:t>
      </w:r>
      <w:r w:rsidR="00B87202">
        <w:t xml:space="preserve"> </w:t>
      </w:r>
      <w:r w:rsidR="00292581">
        <w:t>“N</w:t>
      </w:r>
      <w:r>
        <w:t>o</w:t>
      </w:r>
      <w:r w:rsidR="00B87202">
        <w:t> </w:t>
      </w:r>
      <w:r>
        <w:t>objection</w:t>
      </w:r>
      <w:r w:rsidR="00292581">
        <w:t>”</w:t>
      </w:r>
      <w:r w:rsidR="00B87202">
        <w:t> </w:t>
      </w:r>
      <w:r>
        <w:t>letter from</w:t>
      </w:r>
      <w:r w:rsidR="0023132A">
        <w:t xml:space="preserve"> the</w:t>
      </w:r>
      <w:r>
        <w:t xml:space="preserve"> NOU to importers prior to imports</w:t>
      </w:r>
      <w:r w:rsidR="0023132A">
        <w:t xml:space="preserve"> of HCFCs</w:t>
      </w:r>
      <w:r>
        <w:t xml:space="preserve">; </w:t>
      </w:r>
      <w:r w:rsidR="0023132A">
        <w:t xml:space="preserve">however, </w:t>
      </w:r>
      <w:r>
        <w:t xml:space="preserve">this </w:t>
      </w:r>
      <w:r w:rsidR="0023132A">
        <w:t>process was</w:t>
      </w:r>
      <w:r>
        <w:t xml:space="preserve"> not followed in many import</w:t>
      </w:r>
      <w:r w:rsidR="00AA231D">
        <w:t xml:space="preserve"> transactions</w:t>
      </w:r>
      <w:r w:rsidR="0023132A">
        <w:t>;</w:t>
      </w:r>
      <w:r w:rsidR="00AA231D">
        <w:t xml:space="preserve"> </w:t>
      </w:r>
      <w:r w:rsidR="0023132A">
        <w:t xml:space="preserve">in other cases, </w:t>
      </w:r>
      <w:r w:rsidR="005B025C">
        <w:t xml:space="preserve">imports </w:t>
      </w:r>
      <w:r w:rsidR="00217E28">
        <w:t xml:space="preserve">were </w:t>
      </w:r>
      <w:r w:rsidR="005B025C">
        <w:t>effected even without no</w:t>
      </w:r>
      <w:r w:rsidR="00217E28">
        <w:t>-</w:t>
      </w:r>
      <w:r w:rsidR="0023132A">
        <w:t>objection letter.  As a result, there was a possibility of total HCFC imports exceeding national HCFC import quota resulting in non-compliance with Montreal Protocol targets.</w:t>
      </w:r>
    </w:p>
    <w:p w:rsidR="000852A2" w:rsidRDefault="000852A2" w:rsidP="00163541">
      <w:pPr>
        <w:pStyle w:val="Heading2"/>
        <w:keepNext/>
        <w:keepLines/>
      </w:pPr>
      <w:r>
        <w:lastRenderedPageBreak/>
        <w:t xml:space="preserve">The </w:t>
      </w:r>
      <w:r w:rsidR="0023132A">
        <w:t xml:space="preserve">report on the </w:t>
      </w:r>
      <w:r>
        <w:t>imported refrigerants in many instances include</w:t>
      </w:r>
      <w:r w:rsidR="0023132A">
        <w:t>d</w:t>
      </w:r>
      <w:r>
        <w:t xml:space="preserve"> multiple refrigerants (both </w:t>
      </w:r>
      <w:r w:rsidR="0023132A">
        <w:t>HCFCs and non-HCFCs</w:t>
      </w:r>
      <w:r>
        <w:t>)</w:t>
      </w:r>
      <w:r w:rsidR="008B0728">
        <w:t xml:space="preserve"> recorded</w:t>
      </w:r>
      <w:r>
        <w:t xml:space="preserve"> </w:t>
      </w:r>
      <w:r w:rsidR="00814CB6">
        <w:t>with</w:t>
      </w:r>
      <w:r>
        <w:t xml:space="preserve"> incorrect HS codes, making it difficult to identify and report</w:t>
      </w:r>
      <w:r w:rsidR="00814CB6">
        <w:t xml:space="preserve"> on imported quantity of</w:t>
      </w:r>
      <w:r>
        <w:t xml:space="preserve"> HCFCs;</w:t>
      </w:r>
      <w:r w:rsidR="002A11A9">
        <w:t xml:space="preserve"> and</w:t>
      </w:r>
    </w:p>
    <w:p w:rsidR="000852A2" w:rsidRDefault="000852A2" w:rsidP="00163541">
      <w:pPr>
        <w:pStyle w:val="Heading2"/>
      </w:pPr>
      <w:r>
        <w:t xml:space="preserve">No penalties or incentives </w:t>
      </w:r>
      <w:r w:rsidR="00814CB6">
        <w:t>were</w:t>
      </w:r>
      <w:r>
        <w:t xml:space="preserve"> in place for encouraging importers to follow correct procedures for accurate</w:t>
      </w:r>
      <w:r w:rsidR="003339E2">
        <w:t>ly</w:t>
      </w:r>
      <w:r>
        <w:t xml:space="preserve"> repor</w:t>
      </w:r>
      <w:r w:rsidR="00814CB6">
        <w:t>ting</w:t>
      </w:r>
      <w:r>
        <w:t xml:space="preserve"> imports of HCFCs</w:t>
      </w:r>
      <w:r w:rsidR="002A11A9">
        <w:t>.</w:t>
      </w:r>
    </w:p>
    <w:p w:rsidR="008B0728" w:rsidRDefault="000852A2" w:rsidP="00163541">
      <w:pPr>
        <w:pStyle w:val="Heading1"/>
      </w:pPr>
      <w:r>
        <w:t>The Secretariat expressed concerns</w:t>
      </w:r>
      <w:r w:rsidR="003339E2">
        <w:t xml:space="preserve"> to UNEP</w:t>
      </w:r>
      <w:r w:rsidR="00411D2F">
        <w:t xml:space="preserve"> </w:t>
      </w:r>
      <w:r>
        <w:t>relating to</w:t>
      </w:r>
      <w:r w:rsidR="003339E2">
        <w:t xml:space="preserve"> the lack of operational import/export licensing and quota systems as required under </w:t>
      </w:r>
      <w:r>
        <w:t>decision 63/17</w:t>
      </w:r>
      <w:r w:rsidR="00FD7240">
        <w:t>, noting</w:t>
      </w:r>
      <w:r>
        <w:t xml:space="preserve"> </w:t>
      </w:r>
      <w:r w:rsidR="00FD7240">
        <w:t xml:space="preserve">that </w:t>
      </w:r>
      <w:r w:rsidR="00DB458D">
        <w:t>these practices</w:t>
      </w:r>
      <w:r>
        <w:t xml:space="preserve"> could result in import of HCFCs exceed</w:t>
      </w:r>
      <w:r w:rsidR="00127E0D">
        <w:t>ing</w:t>
      </w:r>
      <w:r>
        <w:t xml:space="preserve"> the targets </w:t>
      </w:r>
      <w:r w:rsidR="00FD7240">
        <w:t>set in the A</w:t>
      </w:r>
      <w:r>
        <w:t>greement</w:t>
      </w:r>
      <w:r w:rsidR="00FD7240">
        <w:t xml:space="preserve"> with the Executive Committee</w:t>
      </w:r>
      <w:r w:rsidR="00DB458D">
        <w:t>.</w:t>
      </w:r>
      <w:r w:rsidR="00A4325E">
        <w:t> </w:t>
      </w:r>
      <w:r>
        <w:t>UNEP</w:t>
      </w:r>
      <w:r w:rsidR="00B87202">
        <w:t> </w:t>
      </w:r>
      <w:r>
        <w:t>explained that</w:t>
      </w:r>
      <w:r w:rsidR="00FD7240">
        <w:t xml:space="preserve"> HCFC consumption under</w:t>
      </w:r>
      <w:r w:rsidR="00292581">
        <w:t xml:space="preserve"> Article 7 is reported by</w:t>
      </w:r>
      <w:r w:rsidR="00FD7240">
        <w:t xml:space="preserve"> the</w:t>
      </w:r>
      <w:r w:rsidR="00B87202">
        <w:t xml:space="preserve"> NOU based on import data </w:t>
      </w:r>
      <w:r w:rsidR="00292581">
        <w:t>confirmed</w:t>
      </w:r>
      <w:r w:rsidR="00B87202">
        <w:t xml:space="preserve"> </w:t>
      </w:r>
      <w:r w:rsidR="00292581">
        <w:t>with customs information</w:t>
      </w:r>
      <w:r w:rsidR="00FD7240">
        <w:t>; however,</w:t>
      </w:r>
      <w:r w:rsidR="00411D2F">
        <w:t xml:space="preserve"> </w:t>
      </w:r>
      <w:r w:rsidR="00DB458D">
        <w:t xml:space="preserve">this could not be verified as customs data could not be provided to the verifier due to </w:t>
      </w:r>
      <w:r w:rsidR="0040282A">
        <w:t xml:space="preserve">computer </w:t>
      </w:r>
      <w:r w:rsidR="00DB458D">
        <w:t>hardware failure</w:t>
      </w:r>
      <w:r w:rsidR="00FD7240">
        <w:t xml:space="preserve">. Nevertheless, </w:t>
      </w:r>
      <w:r w:rsidR="00FD7240" w:rsidRPr="00D1707A">
        <w:t>UNEP has confirmed that upon receipt of verification report recommendations, the Government has undertaken information outreach and awareness activities relating to the licensing and quota system with importers in cooperation with ARVAS</w:t>
      </w:r>
      <w:r w:rsidR="00FD7240">
        <w:t>.</w:t>
      </w:r>
    </w:p>
    <w:p w:rsidR="00FD7240" w:rsidRDefault="00FD7240" w:rsidP="00163541">
      <w:pPr>
        <w:pStyle w:val="Heading1"/>
      </w:pPr>
      <w:r>
        <w:t>UNEP</w:t>
      </w:r>
      <w:r w:rsidR="000852A2">
        <w:t xml:space="preserve"> also mentioned that missions to </w:t>
      </w:r>
      <w:r>
        <w:t xml:space="preserve">the country to </w:t>
      </w:r>
      <w:r w:rsidR="000852A2">
        <w:t xml:space="preserve">address import-export controls of HCFCs </w:t>
      </w:r>
      <w:r>
        <w:t>were planned since</w:t>
      </w:r>
      <w:r w:rsidR="000852A2">
        <w:t xml:space="preserve"> 2017 </w:t>
      </w:r>
      <w:r w:rsidR="008B0728">
        <w:t xml:space="preserve">but could not be undertaken </w:t>
      </w:r>
      <w:r w:rsidR="000852A2">
        <w:t>due to administrative difficulties faced by the Government</w:t>
      </w:r>
      <w:r w:rsidR="008B0728">
        <w:t>.</w:t>
      </w:r>
      <w:r w:rsidR="000852A2">
        <w:t xml:space="preserve"> </w:t>
      </w:r>
      <w:r>
        <w:t>UNEP is now</w:t>
      </w:r>
      <w:r w:rsidR="000852A2">
        <w:t xml:space="preserve"> planning a mission in the second quarter of 2018</w:t>
      </w:r>
      <w:r>
        <w:t>, where specific actions to be taken for strengthening import/export licensing and quota systems including HCFC data monitoring at importers, retailers, enforcement officers and ARVAS will be discussed.  UNEP will continue monitoring these actions during implementation of HPMP.  It was agreed that the approval of the last tranche of</w:t>
      </w:r>
      <w:r w:rsidR="008B0728">
        <w:t> </w:t>
      </w:r>
      <w:r>
        <w:t>stage</w:t>
      </w:r>
      <w:r w:rsidR="00B87202">
        <w:t> </w:t>
      </w:r>
      <w:r>
        <w:t>I</w:t>
      </w:r>
      <w:r w:rsidR="00A4325E">
        <w:t> </w:t>
      </w:r>
      <w:r>
        <w:t xml:space="preserve">of </w:t>
      </w:r>
      <w:r w:rsidR="008B0728">
        <w:t xml:space="preserve">the </w:t>
      </w:r>
      <w:r>
        <w:t xml:space="preserve">HPMP would be subject to fully addressing all </w:t>
      </w:r>
      <w:r w:rsidR="008B0728">
        <w:t xml:space="preserve">the </w:t>
      </w:r>
      <w:r>
        <w:t xml:space="preserve">recommendations contained in the verification report.  </w:t>
      </w:r>
    </w:p>
    <w:p w:rsidR="00FD7240" w:rsidRPr="00FD7240" w:rsidRDefault="00FD7240" w:rsidP="00163541">
      <w:pPr>
        <w:pStyle w:val="Heading1"/>
        <w:numPr>
          <w:ilvl w:val="0"/>
          <w:numId w:val="0"/>
        </w:numPr>
        <w:rPr>
          <w:u w:val="single"/>
        </w:rPr>
      </w:pPr>
      <w:r w:rsidRPr="00FD7240">
        <w:rPr>
          <w:u w:val="single"/>
        </w:rPr>
        <w:t>Progress report on the implementation of the second tranche of the HPMP</w:t>
      </w:r>
    </w:p>
    <w:p w:rsidR="000852A2" w:rsidRPr="00FD7240" w:rsidRDefault="000852A2" w:rsidP="00163541">
      <w:pPr>
        <w:pStyle w:val="Heading1"/>
        <w:numPr>
          <w:ilvl w:val="0"/>
          <w:numId w:val="0"/>
        </w:numPr>
        <w:rPr>
          <w:i/>
        </w:rPr>
      </w:pPr>
      <w:r w:rsidRPr="00FD7240">
        <w:rPr>
          <w:i/>
        </w:rPr>
        <w:t>Legal framework</w:t>
      </w:r>
    </w:p>
    <w:p w:rsidR="000852A2" w:rsidRDefault="000852A2" w:rsidP="00163541">
      <w:pPr>
        <w:pStyle w:val="Heading1"/>
      </w:pPr>
      <w:r>
        <w:t xml:space="preserve">The </w:t>
      </w:r>
      <w:r w:rsidR="00095D82">
        <w:t xml:space="preserve">Government of Suriname has already issued HCFC import quotas for 2018 at 1.49 ODP tonnes to four importers which is lower than the Montreal Protocol targets.  </w:t>
      </w:r>
    </w:p>
    <w:p w:rsidR="000852A2" w:rsidRPr="00F42D15" w:rsidRDefault="000852A2" w:rsidP="00163541">
      <w:pPr>
        <w:pStyle w:val="StyleHeader4Para4Left0Firstline0"/>
        <w:numPr>
          <w:ilvl w:val="0"/>
          <w:numId w:val="0"/>
        </w:numPr>
        <w:rPr>
          <w:i/>
        </w:rPr>
      </w:pPr>
      <w:r w:rsidRPr="00F42D15">
        <w:rPr>
          <w:i/>
          <w:sz w:val="22"/>
        </w:rPr>
        <w:t>Refrigeration servicing sector</w:t>
      </w:r>
    </w:p>
    <w:p w:rsidR="000852A2" w:rsidRDefault="00095D82" w:rsidP="00163541">
      <w:pPr>
        <w:pStyle w:val="Heading1"/>
      </w:pPr>
      <w:r>
        <w:t xml:space="preserve">Regarding awareness and adoption of HCFC-free technologies, </w:t>
      </w:r>
      <w:r w:rsidR="00FA333A">
        <w:t xml:space="preserve">UNEP clarified that </w:t>
      </w:r>
      <w:r w:rsidR="000852A2">
        <w:t xml:space="preserve">the NOU will provide information to </w:t>
      </w:r>
      <w:r w:rsidR="008B0728">
        <w:t>the refrigeration</w:t>
      </w:r>
      <w:r w:rsidR="00CD3802">
        <w:t xml:space="preserve"> </w:t>
      </w:r>
      <w:r w:rsidR="000852A2">
        <w:t xml:space="preserve">service sector through training, workshops and awareness campaigns. </w:t>
      </w:r>
      <w:r>
        <w:t xml:space="preserve">Furthermore, </w:t>
      </w:r>
      <w:r w:rsidR="000852A2">
        <w:t>ARVAS works closely with the NOU on technical information sharing with the industry on emerging HCFC</w:t>
      </w:r>
      <w:r w:rsidR="00E83047">
        <w:t>-</w:t>
      </w:r>
      <w:r w:rsidR="000852A2">
        <w:t>free alternatives; the Government</w:t>
      </w:r>
      <w:r w:rsidR="00B87202">
        <w:t xml:space="preserve"> also encourages import and use </w:t>
      </w:r>
      <w:r w:rsidR="000852A2">
        <w:t>of</w:t>
      </w:r>
      <w:r w:rsidR="00B87202">
        <w:t xml:space="preserve">             </w:t>
      </w:r>
      <w:r w:rsidR="000852A2">
        <w:t>low</w:t>
      </w:r>
      <w:r w:rsidR="00B87202">
        <w:t>-G</w:t>
      </w:r>
      <w:r w:rsidR="000852A2">
        <w:t>WP</w:t>
      </w:r>
      <w:r w:rsidR="00B87202">
        <w:t> </w:t>
      </w:r>
      <w:r w:rsidR="000852A2">
        <w:t>alternatives such as R-290 and R-717.</w:t>
      </w:r>
    </w:p>
    <w:p w:rsidR="000852A2" w:rsidRDefault="00095D82" w:rsidP="00163541">
      <w:pPr>
        <w:pStyle w:val="Heading1"/>
      </w:pPr>
      <w:r>
        <w:t xml:space="preserve">Regarding training </w:t>
      </w:r>
      <w:r w:rsidR="000D12D2">
        <w:t xml:space="preserve">on </w:t>
      </w:r>
      <w:r>
        <w:t xml:space="preserve">use of low-GWP flammable refrigerants </w:t>
      </w:r>
      <w:r w:rsidR="00CD3802">
        <w:t xml:space="preserve">in RAC equipment </w:t>
      </w:r>
      <w:r>
        <w:t xml:space="preserve">and in </w:t>
      </w:r>
      <w:r w:rsidR="000852A2">
        <w:t>the context of decisions 72/17 and 73/34, UNEP clari</w:t>
      </w:r>
      <w:r>
        <w:t xml:space="preserve">fied that the Government is aware of the decisions and not </w:t>
      </w:r>
      <w:r w:rsidR="000852A2">
        <w:t xml:space="preserve">actively promoting the retrofit of existing </w:t>
      </w:r>
      <w:r w:rsidR="00E83047">
        <w:t>RAC</w:t>
      </w:r>
      <w:r w:rsidR="000852A2">
        <w:t xml:space="preserve"> equipment to HC technology. The service technicians are sensitized on the risks associated with retrofit of equipment designed for non</w:t>
      </w:r>
      <w:r w:rsidR="002A11A9">
        <w:noBreakHyphen/>
      </w:r>
      <w:r w:rsidR="000852A2">
        <w:t xml:space="preserve">flammable to flammable </w:t>
      </w:r>
      <w:r>
        <w:t>refrigerant</w:t>
      </w:r>
      <w:r w:rsidR="000852A2">
        <w:t xml:space="preserve">s and </w:t>
      </w:r>
      <w:r w:rsidR="00E83047">
        <w:t>do</w:t>
      </w:r>
      <w:r w:rsidR="000852A2">
        <w:t xml:space="preserve"> not encourage such retrofits. NOU is working </w:t>
      </w:r>
      <w:r w:rsidR="00127E0D">
        <w:t xml:space="preserve">with the </w:t>
      </w:r>
      <w:r w:rsidR="000852A2">
        <w:t>Bureau of Standards and other organisations on development of certification standards for service technicians that includes safe use of flammable refrigerants</w:t>
      </w:r>
      <w:r>
        <w:t xml:space="preserve"> in RAC equipment</w:t>
      </w:r>
      <w:r w:rsidR="000852A2">
        <w:t>; this certification is likely to be in place in the next two years.</w:t>
      </w:r>
    </w:p>
    <w:p w:rsidR="00CD22A2" w:rsidRPr="00CD22A2" w:rsidRDefault="00CD22A2" w:rsidP="00163541">
      <w:pPr>
        <w:pStyle w:val="Heading1"/>
      </w:pPr>
      <w:r>
        <w:t xml:space="preserve">UNEP </w:t>
      </w:r>
      <w:r w:rsidR="00CD3802">
        <w:t>provided additional information on the</w:t>
      </w:r>
      <w:r>
        <w:t xml:space="preserve"> current approach of the Government</w:t>
      </w:r>
      <w:r w:rsidR="00516A0C">
        <w:t xml:space="preserve"> on capacity building and training</w:t>
      </w:r>
      <w:r>
        <w:t xml:space="preserve"> </w:t>
      </w:r>
      <w:r w:rsidR="00CD3802">
        <w:t xml:space="preserve">which </w:t>
      </w:r>
      <w:r w:rsidR="00516A0C">
        <w:t>includes</w:t>
      </w:r>
      <w:r>
        <w:t xml:space="preserve"> working with the</w:t>
      </w:r>
      <w:r w:rsidRPr="00CD22A2">
        <w:t xml:space="preserve"> two technic</w:t>
      </w:r>
      <w:r>
        <w:t>al training</w:t>
      </w:r>
      <w:r w:rsidRPr="00CD22A2">
        <w:t xml:space="preserve"> institutions</w:t>
      </w:r>
      <w:r>
        <w:rPr>
          <w:rStyle w:val="FootnoteReference"/>
        </w:rPr>
        <w:footnoteReference w:id="2"/>
      </w:r>
      <w:r w:rsidRPr="00CD22A2">
        <w:t xml:space="preserve"> in </w:t>
      </w:r>
      <w:r>
        <w:t xml:space="preserve">training </w:t>
      </w:r>
      <w:r>
        <w:lastRenderedPageBreak/>
        <w:t>RAC</w:t>
      </w:r>
      <w:r w:rsidR="00B87202">
        <w:t> </w:t>
      </w:r>
      <w:r w:rsidRPr="00CD22A2">
        <w:t xml:space="preserve">technicians and customs </w:t>
      </w:r>
      <w:r w:rsidR="00516A0C">
        <w:t>on HPMP activities</w:t>
      </w:r>
      <w:r>
        <w:t xml:space="preserve">, </w:t>
      </w:r>
      <w:r w:rsidR="00516A0C">
        <w:t>implementing</w:t>
      </w:r>
      <w:r>
        <w:t xml:space="preserve"> training in close cooperation with ARVAS and </w:t>
      </w:r>
      <w:r w:rsidR="00516A0C">
        <w:t>implementation of program</w:t>
      </w:r>
      <w:r w:rsidR="00095D82">
        <w:t>me</w:t>
      </w:r>
      <w:r w:rsidR="00516A0C">
        <w:t xml:space="preserve"> for </w:t>
      </w:r>
      <w:r>
        <w:t>certification of technicians</w:t>
      </w:r>
      <w:r w:rsidR="00095D82">
        <w:t xml:space="preserve"> in the next two years</w:t>
      </w:r>
      <w:r w:rsidR="00516A0C">
        <w:t>; these steps</w:t>
      </w:r>
      <w:r>
        <w:t xml:space="preserve"> would result in sustainable capacity of RAC technicians on good service practices and monitoring</w:t>
      </w:r>
      <w:r w:rsidR="00095D82">
        <w:t xml:space="preserve"> of customs on</w:t>
      </w:r>
      <w:r>
        <w:t xml:space="preserve"> HCFCs </w:t>
      </w:r>
      <w:r w:rsidR="00095D82">
        <w:t xml:space="preserve">use </w:t>
      </w:r>
      <w:r>
        <w:t>in the country</w:t>
      </w:r>
      <w:r w:rsidRPr="00CD22A2">
        <w:t xml:space="preserve">.   </w:t>
      </w:r>
    </w:p>
    <w:p w:rsidR="000852A2" w:rsidRPr="00F42D15" w:rsidRDefault="000852A2" w:rsidP="00163541">
      <w:pPr>
        <w:pStyle w:val="StyleHeader4Para4Left0Firstline0"/>
        <w:numPr>
          <w:ilvl w:val="0"/>
          <w:numId w:val="0"/>
        </w:numPr>
        <w:rPr>
          <w:u w:val="single"/>
        </w:rPr>
      </w:pPr>
      <w:r w:rsidRPr="00F42D15">
        <w:rPr>
          <w:sz w:val="22"/>
          <w:u w:val="single"/>
        </w:rPr>
        <w:t xml:space="preserve">Conclusion </w:t>
      </w:r>
    </w:p>
    <w:p w:rsidR="000852A2" w:rsidRDefault="000852A2" w:rsidP="00163541">
      <w:pPr>
        <w:pStyle w:val="Heading1"/>
      </w:pPr>
      <w:r>
        <w:t>The Secretariat noted that Suriname was in compliance with the Montreal Protocol in 2016 based on Article 7 data report</w:t>
      </w:r>
      <w:r w:rsidR="00095D82">
        <w:t xml:space="preserve"> and the 2017 data under CP implementation report is 4</w:t>
      </w:r>
      <w:r w:rsidR="00CD3802">
        <w:t>3</w:t>
      </w:r>
      <w:r w:rsidR="00095D82">
        <w:t xml:space="preserve"> per cent below the baseline for compliance</w:t>
      </w:r>
      <w:r>
        <w:t xml:space="preserve">; however, </w:t>
      </w:r>
      <w:r w:rsidR="00152F8B">
        <w:t xml:space="preserve">additional actions have been identified and </w:t>
      </w:r>
      <w:r w:rsidR="00CD3802">
        <w:t xml:space="preserve">will be </w:t>
      </w:r>
      <w:r w:rsidR="00152F8B">
        <w:t xml:space="preserve">implemented to </w:t>
      </w:r>
      <w:r w:rsidR="00CD3802">
        <w:t xml:space="preserve">improve and </w:t>
      </w:r>
      <w:r w:rsidR="00152F8B">
        <w:t>strengthen the</w:t>
      </w:r>
      <w:r>
        <w:t xml:space="preserve"> licensing and quota systems</w:t>
      </w:r>
      <w:r w:rsidR="00152F8B">
        <w:t>,</w:t>
      </w:r>
      <w:r>
        <w:t xml:space="preserve"> monitoring procedures, data management and controls.</w:t>
      </w:r>
      <w:r w:rsidR="00A4325E">
        <w:t> </w:t>
      </w:r>
      <w:r>
        <w:t>The</w:t>
      </w:r>
      <w:r w:rsidR="00B87202">
        <w:t> </w:t>
      </w:r>
      <w:r>
        <w:t xml:space="preserve">Government proposes to continue working with industry </w:t>
      </w:r>
      <w:r w:rsidR="00E83047">
        <w:t>to ensure</w:t>
      </w:r>
      <w:r>
        <w:t xml:space="preserve"> compliance with HCFC import</w:t>
      </w:r>
      <w:r w:rsidR="00152F8B">
        <w:t>/</w:t>
      </w:r>
      <w:r>
        <w:t>export procedures</w:t>
      </w:r>
      <w:r w:rsidR="00516A0C">
        <w:t xml:space="preserve"> including data collection and reporting</w:t>
      </w:r>
      <w:r>
        <w:t xml:space="preserve"> during the third tranche.</w:t>
      </w:r>
      <w:r w:rsidR="002A11A9">
        <w:t xml:space="preserve"> </w:t>
      </w:r>
      <w:r w:rsidR="00152F8B">
        <w:t>Despite the delays in project initiation, s</w:t>
      </w:r>
      <w:r>
        <w:t xml:space="preserve">ervice sector training and technical information outreach is progressing satisfactorily in cooperation with ARVAS. Training of technicians on good practices and safe use of alternatives will continue and additional equipment support </w:t>
      </w:r>
      <w:r w:rsidR="00516A0C">
        <w:t>would be provided</w:t>
      </w:r>
      <w:r>
        <w:t xml:space="preserve"> </w:t>
      </w:r>
      <w:r w:rsidR="00516A0C">
        <w:t>to</w:t>
      </w:r>
      <w:r>
        <w:t xml:space="preserve"> tec</w:t>
      </w:r>
      <w:r w:rsidR="002A11A9">
        <w:t xml:space="preserve">hnicians during </w:t>
      </w:r>
      <w:r w:rsidR="00E83047">
        <w:t xml:space="preserve">the </w:t>
      </w:r>
      <w:r w:rsidR="002A11A9">
        <w:t xml:space="preserve">third tranche. </w:t>
      </w:r>
      <w:r>
        <w:t xml:space="preserve">The Government will continue to implement the planned activities to ensure compliance with the future targets in stage I. </w:t>
      </w:r>
    </w:p>
    <w:p w:rsidR="000852A2" w:rsidRPr="00F42D15" w:rsidRDefault="000852A2" w:rsidP="00163541">
      <w:pPr>
        <w:pStyle w:val="StyleHeader4Para4Left0Firstline0"/>
        <w:numPr>
          <w:ilvl w:val="0"/>
          <w:numId w:val="0"/>
        </w:numPr>
        <w:rPr>
          <w:b/>
        </w:rPr>
      </w:pPr>
      <w:r w:rsidRPr="00F42D15">
        <w:rPr>
          <w:b/>
          <w:sz w:val="22"/>
        </w:rPr>
        <w:t>RECOMMENDATION</w:t>
      </w:r>
      <w:r w:rsidRPr="00F42D15">
        <w:rPr>
          <w:b/>
        </w:rPr>
        <w:t xml:space="preserve"> </w:t>
      </w:r>
    </w:p>
    <w:p w:rsidR="000852A2" w:rsidRDefault="000852A2" w:rsidP="00163541">
      <w:pPr>
        <w:pStyle w:val="Heading1"/>
      </w:pPr>
      <w:r>
        <w:t>The Fund Secretariat recommends that the Executive Committee takes note of the progress report on the implementation of the second tranche of stage I of the HCFC phase-out management plan (HPMP) for Suriname</w:t>
      </w:r>
      <w:r w:rsidR="00152F8B">
        <w:t xml:space="preserve">, and </w:t>
      </w:r>
      <w:r>
        <w:t>further recommends blanket approval of the third tranche of stage I of the HPMP for Suriname, and the corresponding 2018 to 2020 tranche implementation plan, at the funding level shown in the table below, on the understanding that:</w:t>
      </w:r>
    </w:p>
    <w:p w:rsidR="000852A2" w:rsidRDefault="00152F8B" w:rsidP="00163541">
      <w:pPr>
        <w:pStyle w:val="Heading2"/>
      </w:pPr>
      <w:r>
        <w:t xml:space="preserve">Funding under the </w:t>
      </w:r>
      <w:r w:rsidR="000852A2">
        <w:t xml:space="preserve">last tranche of stage I of the HPMP for Suriname would be considered only after the Government </w:t>
      </w:r>
      <w:r>
        <w:t>of Suriname has addressed all the issues identified in the verification report and implemented relevant actions that had strengthened import/export licensing and quota systems</w:t>
      </w:r>
      <w:r w:rsidR="000852A2">
        <w:t xml:space="preserve">; and </w:t>
      </w:r>
    </w:p>
    <w:p w:rsidR="00F42D15" w:rsidRDefault="00152F8B" w:rsidP="00163541">
      <w:pPr>
        <w:pStyle w:val="Heading2"/>
      </w:pPr>
      <w:r>
        <w:t>I</w:t>
      </w:r>
      <w:r w:rsidR="000852A2">
        <w:t xml:space="preserve">f Suriname were to decide to proceed with retrofits and associated servicing to flammable and toxic refrigerants in refrigeration and air-conditioning equipment originally designed for non-flammable substances, it would do so assuming all associated responsibilities and risks and only in accordance with the relevant standards and protocols.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F42D15" w:rsidRPr="00263049" w:rsidTr="003155FE">
        <w:tc>
          <w:tcPr>
            <w:tcW w:w="540" w:type="dxa"/>
          </w:tcPr>
          <w:p w:rsidR="00F42D15" w:rsidRPr="00263049" w:rsidRDefault="00F42D15" w:rsidP="003155FE">
            <w:pPr>
              <w:jc w:val="center"/>
              <w:rPr>
                <w:b/>
                <w:bCs/>
                <w:sz w:val="20"/>
                <w:szCs w:val="20"/>
              </w:rPr>
            </w:pPr>
          </w:p>
        </w:tc>
        <w:tc>
          <w:tcPr>
            <w:tcW w:w="4320" w:type="dxa"/>
          </w:tcPr>
          <w:p w:rsidR="00F42D15" w:rsidRPr="00263049" w:rsidRDefault="00F42D15" w:rsidP="003155FE">
            <w:pPr>
              <w:jc w:val="center"/>
              <w:rPr>
                <w:b/>
                <w:bCs/>
                <w:sz w:val="20"/>
                <w:szCs w:val="20"/>
              </w:rPr>
            </w:pPr>
            <w:r w:rsidRPr="00263049">
              <w:rPr>
                <w:b/>
                <w:bCs/>
                <w:sz w:val="20"/>
                <w:szCs w:val="20"/>
              </w:rPr>
              <w:t>Project title</w:t>
            </w:r>
          </w:p>
        </w:tc>
        <w:tc>
          <w:tcPr>
            <w:tcW w:w="1620" w:type="dxa"/>
            <w:tcMar>
              <w:left w:w="29" w:type="dxa"/>
              <w:right w:w="29" w:type="dxa"/>
            </w:tcMar>
          </w:tcPr>
          <w:p w:rsidR="00F42D15" w:rsidRPr="00263049" w:rsidRDefault="00F42D15" w:rsidP="003155FE">
            <w:pPr>
              <w:jc w:val="center"/>
              <w:rPr>
                <w:b/>
                <w:bCs/>
                <w:sz w:val="20"/>
                <w:szCs w:val="20"/>
              </w:rPr>
            </w:pPr>
            <w:r w:rsidRPr="00263049">
              <w:rPr>
                <w:b/>
                <w:bCs/>
                <w:sz w:val="20"/>
                <w:szCs w:val="20"/>
              </w:rPr>
              <w:t>Project funding (US $)</w:t>
            </w:r>
          </w:p>
        </w:tc>
        <w:tc>
          <w:tcPr>
            <w:tcW w:w="1380" w:type="dxa"/>
            <w:tcMar>
              <w:left w:w="29" w:type="dxa"/>
              <w:right w:w="29" w:type="dxa"/>
            </w:tcMar>
          </w:tcPr>
          <w:p w:rsidR="00F42D15" w:rsidRPr="00263049" w:rsidRDefault="00F42D15" w:rsidP="003155FE">
            <w:pPr>
              <w:jc w:val="center"/>
              <w:rPr>
                <w:b/>
                <w:bCs/>
                <w:sz w:val="20"/>
                <w:szCs w:val="20"/>
              </w:rPr>
            </w:pPr>
            <w:r w:rsidRPr="00263049">
              <w:rPr>
                <w:b/>
                <w:bCs/>
                <w:sz w:val="20"/>
                <w:szCs w:val="20"/>
              </w:rPr>
              <w:t>Support cost (US $)</w:t>
            </w:r>
          </w:p>
        </w:tc>
        <w:tc>
          <w:tcPr>
            <w:tcW w:w="1590" w:type="dxa"/>
            <w:tcMar>
              <w:left w:w="29" w:type="dxa"/>
              <w:right w:w="29" w:type="dxa"/>
            </w:tcMar>
          </w:tcPr>
          <w:p w:rsidR="00F42D15" w:rsidRPr="00263049" w:rsidRDefault="00F42D15" w:rsidP="003155FE">
            <w:pPr>
              <w:jc w:val="center"/>
              <w:rPr>
                <w:b/>
                <w:bCs/>
                <w:sz w:val="20"/>
                <w:szCs w:val="20"/>
              </w:rPr>
            </w:pPr>
            <w:r w:rsidRPr="00263049">
              <w:rPr>
                <w:b/>
                <w:bCs/>
                <w:sz w:val="20"/>
                <w:szCs w:val="20"/>
              </w:rPr>
              <w:t>Implementing agency</w:t>
            </w:r>
          </w:p>
        </w:tc>
      </w:tr>
      <w:tr w:rsidR="00F42D15" w:rsidRPr="00263049" w:rsidTr="003155FE">
        <w:tc>
          <w:tcPr>
            <w:tcW w:w="540" w:type="dxa"/>
          </w:tcPr>
          <w:p w:rsidR="00F42D15" w:rsidRPr="00263049" w:rsidRDefault="00F42D15" w:rsidP="003155FE">
            <w:pPr>
              <w:rPr>
                <w:sz w:val="20"/>
                <w:szCs w:val="20"/>
              </w:rPr>
            </w:pPr>
            <w:r w:rsidRPr="00263049">
              <w:rPr>
                <w:sz w:val="20"/>
                <w:szCs w:val="20"/>
              </w:rPr>
              <w:t>(a)</w:t>
            </w:r>
          </w:p>
        </w:tc>
        <w:tc>
          <w:tcPr>
            <w:tcW w:w="4320" w:type="dxa"/>
          </w:tcPr>
          <w:p w:rsidR="00F42D15" w:rsidRPr="00263049" w:rsidRDefault="00F42D15" w:rsidP="003155FE">
            <w:pPr>
              <w:rPr>
                <w:sz w:val="20"/>
                <w:szCs w:val="20"/>
              </w:rPr>
            </w:pPr>
            <w:r w:rsidRPr="00263049">
              <w:rPr>
                <w:sz w:val="20"/>
                <w:szCs w:val="20"/>
              </w:rPr>
              <w:t xml:space="preserve">HCFC phase-out management plan (stage I, </w:t>
            </w:r>
            <w:r>
              <w:rPr>
                <w:sz w:val="20"/>
                <w:szCs w:val="20"/>
              </w:rPr>
              <w:t xml:space="preserve">third </w:t>
            </w:r>
            <w:r w:rsidRPr="00263049">
              <w:rPr>
                <w:sz w:val="20"/>
                <w:szCs w:val="20"/>
              </w:rPr>
              <w:t>tranche)</w:t>
            </w:r>
          </w:p>
        </w:tc>
        <w:tc>
          <w:tcPr>
            <w:tcW w:w="1620" w:type="dxa"/>
          </w:tcPr>
          <w:p w:rsidR="00F42D15" w:rsidRPr="0061500F" w:rsidRDefault="00F42D15" w:rsidP="003155FE">
            <w:pPr>
              <w:jc w:val="right"/>
              <w:rPr>
                <w:sz w:val="20"/>
                <w:szCs w:val="20"/>
              </w:rPr>
            </w:pPr>
            <w:r w:rsidRPr="0061500F">
              <w:rPr>
                <w:sz w:val="20"/>
                <w:szCs w:val="20"/>
              </w:rPr>
              <w:t>35,000</w:t>
            </w:r>
          </w:p>
        </w:tc>
        <w:tc>
          <w:tcPr>
            <w:tcW w:w="1380" w:type="dxa"/>
          </w:tcPr>
          <w:p w:rsidR="00F42D15" w:rsidRPr="0061500F" w:rsidRDefault="00F42D15" w:rsidP="003155FE">
            <w:pPr>
              <w:jc w:val="right"/>
              <w:rPr>
                <w:sz w:val="20"/>
                <w:szCs w:val="20"/>
              </w:rPr>
            </w:pPr>
            <w:r w:rsidRPr="0061500F">
              <w:rPr>
                <w:sz w:val="20"/>
                <w:szCs w:val="20"/>
              </w:rPr>
              <w:t>4,550</w:t>
            </w:r>
          </w:p>
        </w:tc>
        <w:tc>
          <w:tcPr>
            <w:tcW w:w="1590" w:type="dxa"/>
          </w:tcPr>
          <w:p w:rsidR="00F42D15" w:rsidRPr="0061500F" w:rsidRDefault="00F42D15" w:rsidP="003155FE">
            <w:pPr>
              <w:jc w:val="center"/>
              <w:rPr>
                <w:sz w:val="20"/>
                <w:szCs w:val="20"/>
              </w:rPr>
            </w:pPr>
            <w:r w:rsidRPr="0061500F">
              <w:rPr>
                <w:sz w:val="20"/>
                <w:szCs w:val="20"/>
              </w:rPr>
              <w:t>UNEP</w:t>
            </w:r>
          </w:p>
        </w:tc>
      </w:tr>
      <w:tr w:rsidR="00F42D15" w:rsidRPr="00263049" w:rsidTr="003155FE">
        <w:tc>
          <w:tcPr>
            <w:tcW w:w="540" w:type="dxa"/>
          </w:tcPr>
          <w:p w:rsidR="00F42D15" w:rsidRPr="00263049" w:rsidRDefault="00F42D15" w:rsidP="003155FE">
            <w:pPr>
              <w:rPr>
                <w:sz w:val="20"/>
                <w:szCs w:val="20"/>
              </w:rPr>
            </w:pPr>
            <w:r>
              <w:rPr>
                <w:sz w:val="20"/>
                <w:szCs w:val="20"/>
              </w:rPr>
              <w:t>(b)</w:t>
            </w:r>
          </w:p>
        </w:tc>
        <w:tc>
          <w:tcPr>
            <w:tcW w:w="4320" w:type="dxa"/>
          </w:tcPr>
          <w:p w:rsidR="00F42D15" w:rsidRPr="00263049" w:rsidRDefault="00F42D15" w:rsidP="003155FE">
            <w:pPr>
              <w:rPr>
                <w:sz w:val="20"/>
                <w:szCs w:val="20"/>
              </w:rPr>
            </w:pPr>
            <w:r w:rsidRPr="00263049">
              <w:rPr>
                <w:sz w:val="20"/>
                <w:szCs w:val="20"/>
              </w:rPr>
              <w:t xml:space="preserve">HCFC phase-out management plan (stage I, </w:t>
            </w:r>
            <w:r>
              <w:rPr>
                <w:sz w:val="20"/>
                <w:szCs w:val="20"/>
              </w:rPr>
              <w:t xml:space="preserve">third </w:t>
            </w:r>
            <w:r w:rsidRPr="00263049">
              <w:rPr>
                <w:sz w:val="20"/>
                <w:szCs w:val="20"/>
              </w:rPr>
              <w:t>tranche)</w:t>
            </w:r>
          </w:p>
        </w:tc>
        <w:tc>
          <w:tcPr>
            <w:tcW w:w="1620" w:type="dxa"/>
          </w:tcPr>
          <w:p w:rsidR="00F42D15" w:rsidRPr="0061500F" w:rsidRDefault="00F42D15" w:rsidP="003155FE">
            <w:pPr>
              <w:jc w:val="right"/>
              <w:rPr>
                <w:sz w:val="20"/>
                <w:szCs w:val="20"/>
              </w:rPr>
            </w:pPr>
            <w:r w:rsidRPr="0061500F">
              <w:rPr>
                <w:sz w:val="20"/>
                <w:szCs w:val="20"/>
              </w:rPr>
              <w:t>29,000</w:t>
            </w:r>
          </w:p>
        </w:tc>
        <w:tc>
          <w:tcPr>
            <w:tcW w:w="1380" w:type="dxa"/>
          </w:tcPr>
          <w:p w:rsidR="00F42D15" w:rsidRPr="0061500F" w:rsidRDefault="00F42D15" w:rsidP="003155FE">
            <w:pPr>
              <w:jc w:val="right"/>
              <w:rPr>
                <w:sz w:val="20"/>
                <w:szCs w:val="20"/>
              </w:rPr>
            </w:pPr>
            <w:r w:rsidRPr="0061500F">
              <w:rPr>
                <w:sz w:val="20"/>
                <w:szCs w:val="20"/>
              </w:rPr>
              <w:t>2,610</w:t>
            </w:r>
          </w:p>
        </w:tc>
        <w:tc>
          <w:tcPr>
            <w:tcW w:w="1590" w:type="dxa"/>
          </w:tcPr>
          <w:p w:rsidR="00F42D15" w:rsidRPr="0061500F" w:rsidRDefault="00F42D15" w:rsidP="003155FE">
            <w:pPr>
              <w:jc w:val="center"/>
              <w:rPr>
                <w:sz w:val="20"/>
                <w:szCs w:val="20"/>
              </w:rPr>
            </w:pPr>
            <w:r w:rsidRPr="0061500F">
              <w:rPr>
                <w:sz w:val="20"/>
                <w:szCs w:val="20"/>
              </w:rPr>
              <w:t>UNIDO</w:t>
            </w:r>
          </w:p>
        </w:tc>
      </w:tr>
    </w:tbl>
    <w:p w:rsidR="00F42D15" w:rsidRDefault="00F42D15" w:rsidP="00F42D15">
      <w:pPr>
        <w:pStyle w:val="Heading2"/>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F42D15">
        <w:tc>
          <w:tcPr>
            <w:tcW w:w="1871" w:type="dxa"/>
          </w:tcPr>
          <w:p w:rsidR="00E85409" w:rsidRDefault="00E85409" w:rsidP="003155FE"/>
        </w:tc>
        <w:tc>
          <w:tcPr>
            <w:tcW w:w="1872" w:type="dxa"/>
          </w:tcPr>
          <w:p w:rsidR="00E85409" w:rsidRDefault="00E85409" w:rsidP="003155FE"/>
        </w:tc>
        <w:tc>
          <w:tcPr>
            <w:tcW w:w="1872" w:type="dxa"/>
            <w:tcBorders>
              <w:bottom w:val="single" w:sz="4" w:space="0" w:color="auto"/>
            </w:tcBorders>
          </w:tcPr>
          <w:p w:rsidR="00E85409" w:rsidRDefault="00E85409" w:rsidP="003155FE"/>
        </w:tc>
        <w:tc>
          <w:tcPr>
            <w:tcW w:w="1872" w:type="dxa"/>
          </w:tcPr>
          <w:p w:rsidR="00E85409" w:rsidRDefault="00E85409" w:rsidP="003155FE"/>
        </w:tc>
        <w:tc>
          <w:tcPr>
            <w:tcW w:w="1873" w:type="dxa"/>
          </w:tcPr>
          <w:p w:rsidR="00E85409" w:rsidRDefault="00E85409" w:rsidP="003155FE"/>
        </w:tc>
      </w:tr>
    </w:tbl>
    <w:p w:rsidR="00E85409" w:rsidRPr="00B04161" w:rsidRDefault="00E85409" w:rsidP="004E7F9C">
      <w:pPr>
        <w:rPr>
          <w:lang w:val="en-CA"/>
        </w:rPr>
      </w:pPr>
    </w:p>
    <w:sectPr w:rsidR="00E85409" w:rsidRPr="00B04161"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28" w:rsidRDefault="008B0728" w:rsidP="004A504B">
      <w:r>
        <w:separator/>
      </w:r>
    </w:p>
  </w:endnote>
  <w:endnote w:type="continuationSeparator" w:id="0">
    <w:p w:rsidR="008B0728" w:rsidRDefault="008B072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28" w:rsidRPr="0033525D" w:rsidRDefault="008B0728">
    <w:pPr>
      <w:jc w:val="center"/>
    </w:pPr>
    <w:r>
      <w:fldChar w:fldCharType="begin"/>
    </w:r>
    <w:r>
      <w:instrText xml:space="preserve"> PAGE </w:instrText>
    </w:r>
    <w:r>
      <w:fldChar w:fldCharType="separate"/>
    </w:r>
    <w:r w:rsidR="00C8386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28" w:rsidRPr="0033525D" w:rsidRDefault="008B0728">
    <w:pPr>
      <w:jc w:val="center"/>
    </w:pPr>
    <w:r>
      <w:fldChar w:fldCharType="begin"/>
    </w:r>
    <w:r>
      <w:instrText xml:space="preserve"> PAGE </w:instrText>
    </w:r>
    <w:r>
      <w:fldChar w:fldCharType="separate"/>
    </w:r>
    <w:r w:rsidR="00C8386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28" w:rsidRDefault="008B0728"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8B0728" w:rsidRDefault="008B0728"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28" w:rsidRDefault="008B0728" w:rsidP="004A504B">
      <w:r>
        <w:separator/>
      </w:r>
    </w:p>
  </w:footnote>
  <w:footnote w:type="continuationSeparator" w:id="0">
    <w:p w:rsidR="008B0728" w:rsidRDefault="008B0728" w:rsidP="004A504B">
      <w:r>
        <w:continuationSeparator/>
      </w:r>
    </w:p>
  </w:footnote>
  <w:footnote w:id="1">
    <w:p w:rsidR="008B0728" w:rsidRPr="009E7A71" w:rsidRDefault="008B0728">
      <w:pPr>
        <w:pStyle w:val="FootnoteText"/>
        <w:rPr>
          <w:lang w:val="en-CA"/>
        </w:rPr>
      </w:pPr>
      <w:r>
        <w:rPr>
          <w:rStyle w:val="FootnoteReference"/>
        </w:rPr>
        <w:footnoteRef/>
      </w:r>
      <w:r>
        <w:t xml:space="preserve"> </w:t>
      </w:r>
      <w:r w:rsidRPr="009E7A71">
        <w:t xml:space="preserve">As per the letter of </w:t>
      </w:r>
      <w:r>
        <w:t xml:space="preserve">16 April </w:t>
      </w:r>
      <w:r w:rsidRPr="009E7A71">
        <w:t xml:space="preserve">2018 from the </w:t>
      </w:r>
      <w:r w:rsidRPr="000852A2">
        <w:t xml:space="preserve">National Institute of Environment and </w:t>
      </w:r>
      <w:r w:rsidRPr="00F40438">
        <w:t>Development of Suriname to the Secretariat.</w:t>
      </w:r>
    </w:p>
  </w:footnote>
  <w:footnote w:id="2">
    <w:p w:rsidR="008B0728" w:rsidRPr="00CD22A2" w:rsidRDefault="008B0728" w:rsidP="00CD22A2">
      <w:pPr>
        <w:pStyle w:val="FootnoteText"/>
        <w:rPr>
          <w:lang w:val="en-CA"/>
        </w:rPr>
      </w:pPr>
      <w:r>
        <w:rPr>
          <w:rStyle w:val="FootnoteReference"/>
        </w:rPr>
        <w:footnoteRef/>
      </w:r>
      <w:r>
        <w:t xml:space="preserve"> </w:t>
      </w:r>
      <w:r w:rsidRPr="00CD22A2">
        <w:t>NATIN (</w:t>
      </w:r>
      <w:proofErr w:type="spellStart"/>
      <w:r w:rsidRPr="00CD22A2">
        <w:t>Natuurtechnisch</w:t>
      </w:r>
      <w:proofErr w:type="spellEnd"/>
      <w:r w:rsidRPr="00CD22A2">
        <w:t xml:space="preserve"> </w:t>
      </w:r>
      <w:proofErr w:type="spellStart"/>
      <w:r w:rsidRPr="00CD22A2">
        <w:t>Instituut</w:t>
      </w:r>
      <w:proofErr w:type="spellEnd"/>
      <w:r w:rsidRPr="00CD22A2">
        <w:t xml:space="preserve"> or Nature Technical Institute - secondary technical level) and SAO (</w:t>
      </w:r>
      <w:proofErr w:type="spellStart"/>
      <w:r w:rsidRPr="00CD22A2">
        <w:t>Stichting</w:t>
      </w:r>
      <w:proofErr w:type="spellEnd"/>
      <w:r w:rsidRPr="00CD22A2">
        <w:t xml:space="preserve"> </w:t>
      </w:r>
      <w:proofErr w:type="spellStart"/>
      <w:r w:rsidRPr="00CD22A2">
        <w:t>Arbeidsmobilisatie</w:t>
      </w:r>
      <w:proofErr w:type="spellEnd"/>
      <w:r w:rsidRPr="00CD22A2">
        <w:t xml:space="preserve"> or the Foundation Labour Mobilisation - primary technical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28" w:rsidRPr="0033525D" w:rsidRDefault="00163541">
    <w:r>
      <w:fldChar w:fldCharType="begin"/>
    </w:r>
    <w:r>
      <w:instrText xml:space="preserve"> DOCPROPERTY "Document number"  \* MERGEFORMAT </w:instrText>
    </w:r>
    <w:r>
      <w:fldChar w:fldCharType="separate"/>
    </w:r>
    <w:r w:rsidR="00C8386E">
      <w:t>UNEP/</w:t>
    </w:r>
    <w:proofErr w:type="spellStart"/>
    <w:r w:rsidR="00C8386E">
      <w:t>OzL.Pro</w:t>
    </w:r>
    <w:proofErr w:type="spellEnd"/>
    <w:r w:rsidR="00C8386E">
      <w:t>/</w:t>
    </w:r>
    <w:proofErr w:type="spellStart"/>
    <w:r w:rsidR="00C8386E">
      <w:t>ExCom</w:t>
    </w:r>
    <w:proofErr w:type="spellEnd"/>
    <w:r w:rsidR="00C8386E">
      <w:t>/81/49</w:t>
    </w:r>
    <w:r>
      <w:fldChar w:fldCharType="end"/>
    </w:r>
  </w:p>
  <w:p w:rsidR="008B0728" w:rsidRPr="0033525D" w:rsidRDefault="008B0728"/>
  <w:p w:rsidR="008B0728" w:rsidRPr="0033525D" w:rsidRDefault="008B07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28" w:rsidRPr="0033525D" w:rsidRDefault="00163541">
    <w:pPr>
      <w:jc w:val="right"/>
    </w:pPr>
    <w:r>
      <w:fldChar w:fldCharType="begin"/>
    </w:r>
    <w:r>
      <w:instrText xml:space="preserve"> DOCPROPERTY "Document number"  \* MERGEFORMAT </w:instrText>
    </w:r>
    <w:r>
      <w:fldChar w:fldCharType="separate"/>
    </w:r>
    <w:r w:rsidR="00C8386E">
      <w:t>UNEP/</w:t>
    </w:r>
    <w:proofErr w:type="spellStart"/>
    <w:r w:rsidR="00C8386E">
      <w:t>OzL.Pro</w:t>
    </w:r>
    <w:proofErr w:type="spellEnd"/>
    <w:r w:rsidR="00C8386E">
      <w:t>/</w:t>
    </w:r>
    <w:proofErr w:type="spellStart"/>
    <w:r w:rsidR="00C8386E">
      <w:t>ExCom</w:t>
    </w:r>
    <w:proofErr w:type="spellEnd"/>
    <w:r w:rsidR="00C8386E">
      <w:t>/81/49</w:t>
    </w:r>
    <w:r>
      <w:fldChar w:fldCharType="end"/>
    </w:r>
  </w:p>
  <w:p w:rsidR="008B0728" w:rsidRPr="0033525D" w:rsidRDefault="008B0728"/>
  <w:p w:rsidR="008B0728" w:rsidRPr="0033525D" w:rsidRDefault="008B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AEAA3EC"/>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8824AE"/>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5E53583"/>
    <w:multiLevelType w:val="multilevel"/>
    <w:tmpl w:val="5D449526"/>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7"/>
  </w:num>
  <w:num w:numId="20">
    <w:abstractNumId w:val="13"/>
  </w:num>
  <w:num w:numId="21">
    <w:abstractNumId w:val="11"/>
  </w:num>
  <w:num w:numId="22">
    <w:abstractNumId w:val="10"/>
  </w:num>
  <w:num w:numId="23">
    <w:abstractNumId w:val="10"/>
  </w:num>
  <w:num w:numId="24">
    <w:abstractNumId w:val="10"/>
  </w:num>
  <w:num w:numId="25">
    <w:abstractNumId w:val="14"/>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QUAMBKuTSwAAAA="/>
  </w:docVars>
  <w:rsids>
    <w:rsidRoot w:val="009E7A71"/>
    <w:rsid w:val="00000FED"/>
    <w:rsid w:val="0000434E"/>
    <w:rsid w:val="000211A9"/>
    <w:rsid w:val="00025918"/>
    <w:rsid w:val="00031260"/>
    <w:rsid w:val="0003681A"/>
    <w:rsid w:val="00061EC2"/>
    <w:rsid w:val="00080ED0"/>
    <w:rsid w:val="000852A2"/>
    <w:rsid w:val="00085B8F"/>
    <w:rsid w:val="00090481"/>
    <w:rsid w:val="00095D82"/>
    <w:rsid w:val="000A6C26"/>
    <w:rsid w:val="000D12D2"/>
    <w:rsid w:val="000E07BC"/>
    <w:rsid w:val="000F1CD4"/>
    <w:rsid w:val="000F4103"/>
    <w:rsid w:val="000F70A7"/>
    <w:rsid w:val="00122F25"/>
    <w:rsid w:val="00127E0D"/>
    <w:rsid w:val="00135980"/>
    <w:rsid w:val="00151A21"/>
    <w:rsid w:val="00152F8B"/>
    <w:rsid w:val="00163541"/>
    <w:rsid w:val="00164719"/>
    <w:rsid w:val="00166FC4"/>
    <w:rsid w:val="001677AC"/>
    <w:rsid w:val="001804EA"/>
    <w:rsid w:val="00184647"/>
    <w:rsid w:val="00190A61"/>
    <w:rsid w:val="001A07AB"/>
    <w:rsid w:val="001A3342"/>
    <w:rsid w:val="001A3E3D"/>
    <w:rsid w:val="001A7049"/>
    <w:rsid w:val="001B1E40"/>
    <w:rsid w:val="001C764E"/>
    <w:rsid w:val="001E1052"/>
    <w:rsid w:val="001E21B1"/>
    <w:rsid w:val="001E2F93"/>
    <w:rsid w:val="001E61E5"/>
    <w:rsid w:val="001F2159"/>
    <w:rsid w:val="00214863"/>
    <w:rsid w:val="002156B4"/>
    <w:rsid w:val="00217E28"/>
    <w:rsid w:val="0023132A"/>
    <w:rsid w:val="00253222"/>
    <w:rsid w:val="00262847"/>
    <w:rsid w:val="00281BB2"/>
    <w:rsid w:val="00292581"/>
    <w:rsid w:val="002A11A9"/>
    <w:rsid w:val="002A4A19"/>
    <w:rsid w:val="002B72E9"/>
    <w:rsid w:val="002C7998"/>
    <w:rsid w:val="002F1E53"/>
    <w:rsid w:val="002F2CAA"/>
    <w:rsid w:val="0030052C"/>
    <w:rsid w:val="003155FE"/>
    <w:rsid w:val="003306E1"/>
    <w:rsid w:val="003320E4"/>
    <w:rsid w:val="003339E2"/>
    <w:rsid w:val="0033525D"/>
    <w:rsid w:val="003414F3"/>
    <w:rsid w:val="0035613E"/>
    <w:rsid w:val="00363EE9"/>
    <w:rsid w:val="00376128"/>
    <w:rsid w:val="0037742E"/>
    <w:rsid w:val="0038245A"/>
    <w:rsid w:val="00385CFC"/>
    <w:rsid w:val="0039337A"/>
    <w:rsid w:val="003A3189"/>
    <w:rsid w:val="003B33BD"/>
    <w:rsid w:val="003B569D"/>
    <w:rsid w:val="003C3C0E"/>
    <w:rsid w:val="003D4FAC"/>
    <w:rsid w:val="003E7906"/>
    <w:rsid w:val="003F3C50"/>
    <w:rsid w:val="0040282A"/>
    <w:rsid w:val="00406A6A"/>
    <w:rsid w:val="00406B22"/>
    <w:rsid w:val="00411D2F"/>
    <w:rsid w:val="004328A7"/>
    <w:rsid w:val="00434C74"/>
    <w:rsid w:val="00456EB4"/>
    <w:rsid w:val="004718F3"/>
    <w:rsid w:val="00475040"/>
    <w:rsid w:val="00493D40"/>
    <w:rsid w:val="004967B6"/>
    <w:rsid w:val="004A504B"/>
    <w:rsid w:val="004A6911"/>
    <w:rsid w:val="004B54E0"/>
    <w:rsid w:val="004B7384"/>
    <w:rsid w:val="004C4269"/>
    <w:rsid w:val="004D6236"/>
    <w:rsid w:val="004E4DBB"/>
    <w:rsid w:val="004E4E41"/>
    <w:rsid w:val="004E7F9C"/>
    <w:rsid w:val="004F3493"/>
    <w:rsid w:val="004F5143"/>
    <w:rsid w:val="00512B09"/>
    <w:rsid w:val="00516A0C"/>
    <w:rsid w:val="00541225"/>
    <w:rsid w:val="00555D75"/>
    <w:rsid w:val="00560DF0"/>
    <w:rsid w:val="00566311"/>
    <w:rsid w:val="0056759C"/>
    <w:rsid w:val="00590333"/>
    <w:rsid w:val="0059513E"/>
    <w:rsid w:val="005B025C"/>
    <w:rsid w:val="005B48FF"/>
    <w:rsid w:val="00604C15"/>
    <w:rsid w:val="006158D5"/>
    <w:rsid w:val="00625D83"/>
    <w:rsid w:val="006623E7"/>
    <w:rsid w:val="00662B80"/>
    <w:rsid w:val="00670F6C"/>
    <w:rsid w:val="006716BC"/>
    <w:rsid w:val="006852C7"/>
    <w:rsid w:val="006C1727"/>
    <w:rsid w:val="006C32FD"/>
    <w:rsid w:val="006C39CE"/>
    <w:rsid w:val="006D0FCC"/>
    <w:rsid w:val="006E1FC3"/>
    <w:rsid w:val="0070616B"/>
    <w:rsid w:val="00706FDA"/>
    <w:rsid w:val="00711F9A"/>
    <w:rsid w:val="00713810"/>
    <w:rsid w:val="00715B95"/>
    <w:rsid w:val="00717F45"/>
    <w:rsid w:val="007303A5"/>
    <w:rsid w:val="00730B3E"/>
    <w:rsid w:val="0073420B"/>
    <w:rsid w:val="0074760E"/>
    <w:rsid w:val="00754ABA"/>
    <w:rsid w:val="00782F83"/>
    <w:rsid w:val="007A1546"/>
    <w:rsid w:val="007A228C"/>
    <w:rsid w:val="007A368E"/>
    <w:rsid w:val="007A5868"/>
    <w:rsid w:val="007B04CE"/>
    <w:rsid w:val="007B6871"/>
    <w:rsid w:val="007B7A2F"/>
    <w:rsid w:val="007C3D33"/>
    <w:rsid w:val="007D294A"/>
    <w:rsid w:val="007D47D2"/>
    <w:rsid w:val="007D6EC0"/>
    <w:rsid w:val="007D7E1D"/>
    <w:rsid w:val="00814CB6"/>
    <w:rsid w:val="00831979"/>
    <w:rsid w:val="00833268"/>
    <w:rsid w:val="00851352"/>
    <w:rsid w:val="00863230"/>
    <w:rsid w:val="008717D8"/>
    <w:rsid w:val="0087215C"/>
    <w:rsid w:val="00883973"/>
    <w:rsid w:val="008875FE"/>
    <w:rsid w:val="00887F8E"/>
    <w:rsid w:val="00896234"/>
    <w:rsid w:val="00897E43"/>
    <w:rsid w:val="008B0728"/>
    <w:rsid w:val="008C5738"/>
    <w:rsid w:val="008C7EAD"/>
    <w:rsid w:val="008D0CFE"/>
    <w:rsid w:val="008D6152"/>
    <w:rsid w:val="008F0F81"/>
    <w:rsid w:val="008F27BF"/>
    <w:rsid w:val="009142EC"/>
    <w:rsid w:val="009154C3"/>
    <w:rsid w:val="00923540"/>
    <w:rsid w:val="00926767"/>
    <w:rsid w:val="009361D5"/>
    <w:rsid w:val="009428A4"/>
    <w:rsid w:val="009659F4"/>
    <w:rsid w:val="00970D60"/>
    <w:rsid w:val="009960E5"/>
    <w:rsid w:val="009A7ADC"/>
    <w:rsid w:val="009C19B7"/>
    <w:rsid w:val="009D7C51"/>
    <w:rsid w:val="009E16E8"/>
    <w:rsid w:val="009E196C"/>
    <w:rsid w:val="009E7A71"/>
    <w:rsid w:val="009F36BF"/>
    <w:rsid w:val="00A111B6"/>
    <w:rsid w:val="00A26D27"/>
    <w:rsid w:val="00A376EE"/>
    <w:rsid w:val="00A42A99"/>
    <w:rsid w:val="00A4325E"/>
    <w:rsid w:val="00A5151A"/>
    <w:rsid w:val="00A57E0A"/>
    <w:rsid w:val="00A823F6"/>
    <w:rsid w:val="00A841B8"/>
    <w:rsid w:val="00AA0A89"/>
    <w:rsid w:val="00AA231D"/>
    <w:rsid w:val="00AA6429"/>
    <w:rsid w:val="00AC01AA"/>
    <w:rsid w:val="00AC4F72"/>
    <w:rsid w:val="00AF741A"/>
    <w:rsid w:val="00B01ADB"/>
    <w:rsid w:val="00B04161"/>
    <w:rsid w:val="00B056F9"/>
    <w:rsid w:val="00B11E3D"/>
    <w:rsid w:val="00B14E3F"/>
    <w:rsid w:val="00B17E82"/>
    <w:rsid w:val="00B43F2A"/>
    <w:rsid w:val="00B4575A"/>
    <w:rsid w:val="00B575BA"/>
    <w:rsid w:val="00B76429"/>
    <w:rsid w:val="00B87202"/>
    <w:rsid w:val="00B956D4"/>
    <w:rsid w:val="00B97446"/>
    <w:rsid w:val="00BA48DE"/>
    <w:rsid w:val="00BA7432"/>
    <w:rsid w:val="00BC1AA0"/>
    <w:rsid w:val="00BC2495"/>
    <w:rsid w:val="00BC7EB9"/>
    <w:rsid w:val="00BD0711"/>
    <w:rsid w:val="00BD2643"/>
    <w:rsid w:val="00BD56B1"/>
    <w:rsid w:val="00BD6558"/>
    <w:rsid w:val="00BE4E4B"/>
    <w:rsid w:val="00BF3022"/>
    <w:rsid w:val="00BF3214"/>
    <w:rsid w:val="00BF5573"/>
    <w:rsid w:val="00C00BFB"/>
    <w:rsid w:val="00C15867"/>
    <w:rsid w:val="00C2296D"/>
    <w:rsid w:val="00C23155"/>
    <w:rsid w:val="00C40C41"/>
    <w:rsid w:val="00C45885"/>
    <w:rsid w:val="00C50F22"/>
    <w:rsid w:val="00C537B6"/>
    <w:rsid w:val="00C57971"/>
    <w:rsid w:val="00C76BA4"/>
    <w:rsid w:val="00C8386E"/>
    <w:rsid w:val="00C83A48"/>
    <w:rsid w:val="00C85865"/>
    <w:rsid w:val="00C85E85"/>
    <w:rsid w:val="00CA2EAE"/>
    <w:rsid w:val="00CA4AC1"/>
    <w:rsid w:val="00CB0316"/>
    <w:rsid w:val="00CB066C"/>
    <w:rsid w:val="00CB0B11"/>
    <w:rsid w:val="00CB5354"/>
    <w:rsid w:val="00CC6A14"/>
    <w:rsid w:val="00CC70A3"/>
    <w:rsid w:val="00CD22A2"/>
    <w:rsid w:val="00CD3802"/>
    <w:rsid w:val="00CD4442"/>
    <w:rsid w:val="00CD53C3"/>
    <w:rsid w:val="00CD574E"/>
    <w:rsid w:val="00CE4C22"/>
    <w:rsid w:val="00CF41EC"/>
    <w:rsid w:val="00CF5D04"/>
    <w:rsid w:val="00D04DE4"/>
    <w:rsid w:val="00D063F1"/>
    <w:rsid w:val="00D14F22"/>
    <w:rsid w:val="00D1707A"/>
    <w:rsid w:val="00D35B6B"/>
    <w:rsid w:val="00D4741C"/>
    <w:rsid w:val="00D57918"/>
    <w:rsid w:val="00D73DC6"/>
    <w:rsid w:val="00D74C1A"/>
    <w:rsid w:val="00D754C1"/>
    <w:rsid w:val="00D77393"/>
    <w:rsid w:val="00D77A35"/>
    <w:rsid w:val="00D81B3E"/>
    <w:rsid w:val="00D90C70"/>
    <w:rsid w:val="00D90E49"/>
    <w:rsid w:val="00D92E57"/>
    <w:rsid w:val="00D96ADE"/>
    <w:rsid w:val="00DB458D"/>
    <w:rsid w:val="00DC6A10"/>
    <w:rsid w:val="00DE15F1"/>
    <w:rsid w:val="00DE657E"/>
    <w:rsid w:val="00DF4704"/>
    <w:rsid w:val="00E024AA"/>
    <w:rsid w:val="00E16456"/>
    <w:rsid w:val="00E250F1"/>
    <w:rsid w:val="00E3550D"/>
    <w:rsid w:val="00E614E0"/>
    <w:rsid w:val="00E73F7F"/>
    <w:rsid w:val="00E83047"/>
    <w:rsid w:val="00E85409"/>
    <w:rsid w:val="00EA2995"/>
    <w:rsid w:val="00EA429F"/>
    <w:rsid w:val="00EA4F9E"/>
    <w:rsid w:val="00EA63CA"/>
    <w:rsid w:val="00EA6D3B"/>
    <w:rsid w:val="00EB00AD"/>
    <w:rsid w:val="00EB136C"/>
    <w:rsid w:val="00EB480E"/>
    <w:rsid w:val="00EB5EC6"/>
    <w:rsid w:val="00EB7FC9"/>
    <w:rsid w:val="00ED27E8"/>
    <w:rsid w:val="00ED7137"/>
    <w:rsid w:val="00EF5EB8"/>
    <w:rsid w:val="00F016FD"/>
    <w:rsid w:val="00F21088"/>
    <w:rsid w:val="00F327E7"/>
    <w:rsid w:val="00F35746"/>
    <w:rsid w:val="00F40438"/>
    <w:rsid w:val="00F42D15"/>
    <w:rsid w:val="00F447C7"/>
    <w:rsid w:val="00F554A9"/>
    <w:rsid w:val="00F716FD"/>
    <w:rsid w:val="00F80355"/>
    <w:rsid w:val="00FA1338"/>
    <w:rsid w:val="00FA333A"/>
    <w:rsid w:val="00FB0C81"/>
    <w:rsid w:val="00FC2200"/>
    <w:rsid w:val="00FC2540"/>
    <w:rsid w:val="00FD7240"/>
    <w:rsid w:val="00FF0204"/>
    <w:rsid w:val="00FF3AED"/>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A37A4"/>
  <w15:docId w15:val="{39D1F2FD-87D5-4D33-9724-2F8C8D0B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semiHidden/>
    <w:unhideWhenUsed/>
    <w:rsid w:val="009E7A71"/>
    <w:rPr>
      <w:sz w:val="20"/>
      <w:szCs w:val="20"/>
    </w:rPr>
  </w:style>
  <w:style w:type="character" w:customStyle="1" w:styleId="FootnoteTextChar">
    <w:name w:val="Footnote Text Char"/>
    <w:basedOn w:val="DefaultParagraphFont"/>
    <w:link w:val="FootnoteText"/>
    <w:uiPriority w:val="99"/>
    <w:semiHidden/>
    <w:rsid w:val="009E7A71"/>
    <w:rPr>
      <w:lang w:val="en-GB"/>
    </w:rPr>
  </w:style>
  <w:style w:type="character" w:styleId="FootnoteReference">
    <w:name w:val="footnote reference"/>
    <w:basedOn w:val="DefaultParagraphFont"/>
    <w:uiPriority w:val="99"/>
    <w:semiHidden/>
    <w:unhideWhenUsed/>
    <w:rsid w:val="009E7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Nanette\81st%20meeting\04%20-%20Templates\Eec81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UNEP/OzL.Pro/ExCom/81/49</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DAC8E6-EA0B-4C1D-9231-C1F02562D10E}"/>
</file>

<file path=customXml/itemProps2.xml><?xml version="1.0" encoding="utf-8"?>
<ds:datastoreItem xmlns:ds="http://schemas.openxmlformats.org/officeDocument/2006/customXml" ds:itemID="{1BEBA5D7-3D9C-4202-94BC-DFA3A3F74265}"/>
</file>

<file path=customXml/itemProps3.xml><?xml version="1.0" encoding="utf-8"?>
<ds:datastoreItem xmlns:ds="http://schemas.openxmlformats.org/officeDocument/2006/customXml" ds:itemID="{2F066A8F-5884-406D-A4FB-DA76186DB1DA}"/>
</file>

<file path=customXml/itemProps4.xml><?xml version="1.0" encoding="utf-8"?>
<ds:datastoreItem xmlns:ds="http://schemas.openxmlformats.org/officeDocument/2006/customXml" ds:itemID="{1AF5FD5F-A884-4856-908A-37DC735E6214}"/>
</file>

<file path=docProps/app.xml><?xml version="1.0" encoding="utf-8"?>
<Properties xmlns="http://schemas.openxmlformats.org/officeDocument/2006/extended-properties" xmlns:vt="http://schemas.openxmlformats.org/officeDocument/2006/docPropsVTypes">
  <Template>Eec81G</Template>
  <TotalTime>29</TotalTime>
  <Pages>7</Pages>
  <Words>2456</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Project proposal: Suriname</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Suriname</dc:title>
  <dc:creator>Out Going e-mail</dc:creator>
  <cp:lastModifiedBy>Out Going e-mail</cp:lastModifiedBy>
  <cp:revision>5</cp:revision>
  <cp:lastPrinted>2018-05-22T16:02:00Z</cp:lastPrinted>
  <dcterms:created xsi:type="dcterms:W3CDTF">2018-05-22T14:33:00Z</dcterms:created>
  <dcterms:modified xsi:type="dcterms:W3CDTF">2018-05-22T16:02:00Z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UNEP/OzL.Pro/ExCom/81/49</vt:lpwstr>
  </property>
  <property fmtid="{D5CDD505-2E9C-101B-9397-08002B2CF9AE}" pid="3" name="Revision date">
    <vt:lpwstr>5/22/2018</vt:lpwstr>
  </property>
  <property fmtid="{D5CDD505-2E9C-101B-9397-08002B2CF9AE}" pid="4" name="ContentTypeId">
    <vt:lpwstr>0x0101004B13B1B27BA23146A32B327DDC69C6DE</vt:lpwstr>
  </property>
</Properties>
</file>