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B75955" w14:paraId="774C77B5" w14:textId="77777777" w:rsidTr="00532805">
        <w:trPr>
          <w:trHeight w:val="720"/>
        </w:trPr>
        <w:tc>
          <w:tcPr>
            <w:tcW w:w="5490" w:type="dxa"/>
            <w:gridSpan w:val="2"/>
            <w:tcBorders>
              <w:bottom w:val="single" w:sz="18" w:space="0" w:color="auto"/>
            </w:tcBorders>
          </w:tcPr>
          <w:p w14:paraId="6858A3CE" w14:textId="77777777" w:rsidR="00C15867" w:rsidRPr="00B75955"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B75955">
              <w:rPr>
                <w:rFonts w:ascii="Univers" w:hAnsi="Univers"/>
                <w:b/>
                <w:sz w:val="28"/>
                <w:szCs w:val="28"/>
                <w:lang w:val="en-CA"/>
              </w:rPr>
              <w:t>UNITED</w:t>
            </w:r>
            <w:r w:rsidRPr="00B75955">
              <w:rPr>
                <w:rFonts w:ascii="Univers" w:hAnsi="Univers"/>
                <w:b/>
                <w:sz w:val="28"/>
                <w:szCs w:val="28"/>
                <w:lang w:val="en-CA"/>
              </w:rPr>
              <w:br/>
              <w:t>NATIONS</w:t>
            </w:r>
          </w:p>
        </w:tc>
        <w:tc>
          <w:tcPr>
            <w:tcW w:w="4590" w:type="dxa"/>
            <w:tcBorders>
              <w:bottom w:val="single" w:sz="18" w:space="0" w:color="auto"/>
            </w:tcBorders>
          </w:tcPr>
          <w:p w14:paraId="2B91112B" w14:textId="77777777" w:rsidR="00C15867" w:rsidRPr="00B75955" w:rsidRDefault="00C15867" w:rsidP="00532805">
            <w:pPr>
              <w:jc w:val="right"/>
              <w:rPr>
                <w:sz w:val="52"/>
                <w:szCs w:val="52"/>
                <w:lang w:val="en-CA"/>
              </w:rPr>
            </w:pPr>
            <w:r w:rsidRPr="00B75955">
              <w:rPr>
                <w:rFonts w:ascii="Univers Bold" w:hAnsi="Univers Bold"/>
                <w:b/>
                <w:sz w:val="72"/>
                <w:lang w:val="en-CA"/>
              </w:rPr>
              <w:t>EP</w:t>
            </w:r>
          </w:p>
        </w:tc>
      </w:tr>
      <w:tr w:rsidR="00C15867" w:rsidRPr="00B75955" w14:paraId="378D46F0" w14:textId="77777777" w:rsidTr="0053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B9959D5" w14:textId="77777777" w:rsidR="00C15867" w:rsidRPr="00B75955" w:rsidRDefault="00C15867" w:rsidP="00532805">
            <w:pPr>
              <w:spacing w:before="120"/>
              <w:rPr>
                <w:lang w:val="en-CA"/>
              </w:rPr>
            </w:pPr>
            <w:r w:rsidRPr="00B75955">
              <w:rPr>
                <w:noProof/>
                <w:lang w:val="en-CA" w:eastAsia="en-CA"/>
              </w:rPr>
              <w:drawing>
                <wp:anchor distT="0" distB="0" distL="114300" distR="114300" simplePos="0" relativeHeight="251660288" behindDoc="0" locked="0" layoutInCell="1" allowOverlap="1" wp14:anchorId="6074B14C" wp14:editId="77C2AB0A">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B75955">
              <w:rPr>
                <w:noProof/>
                <w:lang w:val="en-CA" w:eastAsia="en-CA"/>
              </w:rPr>
              <w:drawing>
                <wp:anchor distT="0" distB="0" distL="114300" distR="114300" simplePos="0" relativeHeight="251661312" behindDoc="1" locked="0" layoutInCell="0" allowOverlap="1" wp14:anchorId="02289732" wp14:editId="6A3D16AE">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55181C9D" w14:textId="77777777" w:rsidR="00C15867" w:rsidRPr="00B75955"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B75955">
              <w:rPr>
                <w:rFonts w:ascii="Univers" w:hAnsi="Univers"/>
                <w:b/>
                <w:sz w:val="32"/>
                <w:lang w:val="en-CA"/>
              </w:rPr>
              <w:t>United Nations</w:t>
            </w:r>
          </w:p>
          <w:p w14:paraId="190EA3E1" w14:textId="77777777" w:rsidR="00C15867" w:rsidRPr="00B75955"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B75955">
              <w:rPr>
                <w:rFonts w:ascii="Univers" w:hAnsi="Univers"/>
                <w:b/>
                <w:sz w:val="32"/>
                <w:lang w:val="en-CA"/>
              </w:rPr>
              <w:t>Environment</w:t>
            </w:r>
          </w:p>
          <w:p w14:paraId="61B1B758" w14:textId="77777777" w:rsidR="00C15867" w:rsidRPr="00B75955"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B75955">
              <w:rPr>
                <w:rFonts w:ascii="Univers" w:hAnsi="Univers"/>
                <w:b/>
                <w:sz w:val="32"/>
                <w:lang w:val="en-CA"/>
              </w:rPr>
              <w:t>Programme</w:t>
            </w:r>
          </w:p>
          <w:p w14:paraId="79D3852E" w14:textId="77777777" w:rsidR="00C15867" w:rsidRPr="00B75955" w:rsidRDefault="00C15867" w:rsidP="00532805">
            <w:pPr>
              <w:spacing w:before="720"/>
              <w:ind w:left="158"/>
              <w:rPr>
                <w:lang w:val="en-CA"/>
              </w:rPr>
            </w:pPr>
          </w:p>
        </w:tc>
        <w:tc>
          <w:tcPr>
            <w:tcW w:w="4590" w:type="dxa"/>
            <w:tcBorders>
              <w:top w:val="nil"/>
              <w:left w:val="nil"/>
              <w:bottom w:val="single" w:sz="36" w:space="0" w:color="auto"/>
              <w:right w:val="nil"/>
            </w:tcBorders>
          </w:tcPr>
          <w:p w14:paraId="42A92A39" w14:textId="77777777" w:rsidR="00C15867" w:rsidRPr="00B75955" w:rsidRDefault="00C15867" w:rsidP="00532805">
            <w:pPr>
              <w:rPr>
                <w:lang w:val="en-CA"/>
              </w:rPr>
            </w:pPr>
            <w:r w:rsidRPr="00B75955">
              <w:rPr>
                <w:lang w:val="en-CA"/>
              </w:rPr>
              <w:t>Distr.</w:t>
            </w:r>
          </w:p>
          <w:p w14:paraId="6EC5B7ED" w14:textId="77777777" w:rsidR="00923540" w:rsidRPr="00B75955" w:rsidRDefault="00923540" w:rsidP="00923540">
            <w:pPr>
              <w:rPr>
                <w:lang w:val="en-CA"/>
              </w:rPr>
            </w:pPr>
            <w:r w:rsidRPr="00B75955">
              <w:rPr>
                <w:lang w:val="en-CA"/>
              </w:rPr>
              <w:t>GENERAL</w:t>
            </w:r>
          </w:p>
          <w:p w14:paraId="322DFC87" w14:textId="77777777" w:rsidR="00C15867" w:rsidRPr="00B75955" w:rsidRDefault="00C15867" w:rsidP="00532805">
            <w:pPr>
              <w:rPr>
                <w:lang w:val="en-CA"/>
              </w:rPr>
            </w:pPr>
          </w:p>
          <w:p w14:paraId="293DA395" w14:textId="77777777" w:rsidR="00C15867" w:rsidRPr="00B75955" w:rsidRDefault="00C15867" w:rsidP="00532805">
            <w:pPr>
              <w:rPr>
                <w:lang w:val="en-CA"/>
              </w:rPr>
            </w:pPr>
          </w:p>
          <w:p w14:paraId="3CB94B1E" w14:textId="5FD7BD79" w:rsidR="00C15867" w:rsidRPr="00B75955" w:rsidRDefault="00C93410" w:rsidP="00532805">
            <w:pPr>
              <w:rPr>
                <w:lang w:val="en-CA"/>
              </w:rPr>
            </w:pPr>
            <w:r w:rsidRPr="00B75955">
              <w:rPr>
                <w:lang w:val="en-CA"/>
              </w:rPr>
              <w:fldChar w:fldCharType="begin"/>
            </w:r>
            <w:r w:rsidRPr="00B75955">
              <w:rPr>
                <w:lang w:val="en-CA"/>
              </w:rPr>
              <w:instrText xml:space="preserve"> DOCPROPERTY "Document number"  \* MERGEFORMAT </w:instrText>
            </w:r>
            <w:r w:rsidRPr="00B75955">
              <w:rPr>
                <w:lang w:val="en-CA"/>
              </w:rPr>
              <w:fldChar w:fldCharType="separate"/>
            </w:r>
            <w:r w:rsidR="00281025" w:rsidRPr="00B75955">
              <w:rPr>
                <w:lang w:val="en-CA"/>
              </w:rPr>
              <w:t>UNEP/</w:t>
            </w:r>
            <w:proofErr w:type="spellStart"/>
            <w:r w:rsidR="00281025" w:rsidRPr="00B75955">
              <w:rPr>
                <w:lang w:val="en-CA"/>
              </w:rPr>
              <w:t>OzL.Pro</w:t>
            </w:r>
            <w:proofErr w:type="spellEnd"/>
            <w:r w:rsidR="00281025" w:rsidRPr="00B75955">
              <w:rPr>
                <w:lang w:val="en-CA"/>
              </w:rPr>
              <w:t>/</w:t>
            </w:r>
            <w:proofErr w:type="spellStart"/>
            <w:r w:rsidR="00281025" w:rsidRPr="00B75955">
              <w:rPr>
                <w:lang w:val="en-CA"/>
              </w:rPr>
              <w:t>ExCom</w:t>
            </w:r>
            <w:proofErr w:type="spellEnd"/>
            <w:r w:rsidR="00281025" w:rsidRPr="00B75955">
              <w:rPr>
                <w:lang w:val="en-CA"/>
              </w:rPr>
              <w:t>/81/29</w:t>
            </w:r>
            <w:r w:rsidRPr="00B75955">
              <w:rPr>
                <w:lang w:val="en-CA"/>
              </w:rPr>
              <w:fldChar w:fldCharType="end"/>
            </w:r>
          </w:p>
          <w:p w14:paraId="2B839C62" w14:textId="258CAA7F" w:rsidR="00C15867" w:rsidRPr="00B75955" w:rsidRDefault="00BC2495" w:rsidP="00532805">
            <w:pPr>
              <w:rPr>
                <w:lang w:val="en-CA"/>
              </w:rPr>
            </w:pPr>
            <w:r w:rsidRPr="00B75955">
              <w:rPr>
                <w:lang w:val="en-CA"/>
              </w:rPr>
              <w:fldChar w:fldCharType="begin"/>
            </w:r>
            <w:r w:rsidR="00851352" w:rsidRPr="00B75955">
              <w:rPr>
                <w:lang w:val="en-CA"/>
              </w:rPr>
              <w:instrText xml:space="preserve"> DOCPROPERTY "Revision date" \@ "d MMMM YYYY"  \* MERGEFORMAT </w:instrText>
            </w:r>
            <w:r w:rsidRPr="00B75955">
              <w:rPr>
                <w:lang w:val="en-CA"/>
              </w:rPr>
              <w:fldChar w:fldCharType="separate"/>
            </w:r>
            <w:r w:rsidR="00D2582E">
              <w:rPr>
                <w:lang w:val="en-CA"/>
              </w:rPr>
              <w:t>1 June 2018</w:t>
            </w:r>
            <w:r w:rsidRPr="00B75955">
              <w:rPr>
                <w:lang w:val="en-CA"/>
              </w:rPr>
              <w:fldChar w:fldCharType="end"/>
            </w:r>
          </w:p>
          <w:p w14:paraId="73133750" w14:textId="77777777" w:rsidR="00C15867" w:rsidRPr="00B75955" w:rsidRDefault="00C15867" w:rsidP="00532805">
            <w:pPr>
              <w:rPr>
                <w:caps/>
                <w:lang w:val="en-CA"/>
              </w:rPr>
            </w:pPr>
          </w:p>
          <w:p w14:paraId="433DDE7D" w14:textId="77777777" w:rsidR="00C15867" w:rsidRPr="00B75955" w:rsidRDefault="00C15867" w:rsidP="00532805">
            <w:pPr>
              <w:rPr>
                <w:lang w:val="en-CA"/>
              </w:rPr>
            </w:pPr>
            <w:r w:rsidRPr="00B75955">
              <w:rPr>
                <w:lang w:val="en-CA"/>
              </w:rPr>
              <w:t>ORIGINAL: ENGLISH</w:t>
            </w:r>
          </w:p>
        </w:tc>
      </w:tr>
    </w:tbl>
    <w:p w14:paraId="41E743BF" w14:textId="0CA4FF40" w:rsidR="00BF3022" w:rsidRPr="00B75955" w:rsidRDefault="00C15867" w:rsidP="00BF3022">
      <w:pPr>
        <w:jc w:val="left"/>
        <w:rPr>
          <w:lang w:val="en-CA"/>
        </w:rPr>
      </w:pPr>
      <w:r w:rsidRPr="00B75955">
        <w:rPr>
          <w:lang w:val="en-CA"/>
        </w:rPr>
        <w:t>EXECUTIVE COMMITTEE OF</w:t>
      </w:r>
      <w:r w:rsidRPr="00B75955">
        <w:rPr>
          <w:lang w:val="en-CA"/>
        </w:rPr>
        <w:br/>
      </w:r>
      <w:r w:rsidR="00F35DE2" w:rsidRPr="00B75955">
        <w:rPr>
          <w:lang w:val="en-CA"/>
        </w:rPr>
        <w:t xml:space="preserve"> </w:t>
      </w:r>
      <w:r w:rsidRPr="00B75955">
        <w:rPr>
          <w:lang w:val="en-CA"/>
        </w:rPr>
        <w:t>THE MULTILATERAL FUND FOR THE</w:t>
      </w:r>
      <w:r w:rsidRPr="00B75955">
        <w:rPr>
          <w:lang w:val="en-CA"/>
        </w:rPr>
        <w:br/>
      </w:r>
      <w:r w:rsidR="00F35DE2" w:rsidRPr="00B75955">
        <w:rPr>
          <w:lang w:val="en-CA"/>
        </w:rPr>
        <w:t xml:space="preserve"> </w:t>
      </w:r>
      <w:r w:rsidRPr="00B75955">
        <w:rPr>
          <w:lang w:val="en-CA"/>
        </w:rPr>
        <w:t>IMPLEMENTATION OF THE MONTREAL PROTOCOL</w:t>
      </w:r>
      <w:r w:rsidRPr="00B75955">
        <w:rPr>
          <w:lang w:val="en-CA"/>
        </w:rPr>
        <w:br/>
      </w:r>
      <w:r w:rsidR="003B33BD" w:rsidRPr="00B75955">
        <w:rPr>
          <w:lang w:val="en-CA"/>
        </w:rPr>
        <w:t>Eight</w:t>
      </w:r>
      <w:r w:rsidR="00C66973" w:rsidRPr="00B75955">
        <w:rPr>
          <w:lang w:val="en-CA"/>
        </w:rPr>
        <w:t>y-first</w:t>
      </w:r>
      <w:r w:rsidR="00831979" w:rsidRPr="00B75955">
        <w:rPr>
          <w:lang w:val="en-CA"/>
        </w:rPr>
        <w:t xml:space="preserve"> </w:t>
      </w:r>
      <w:r w:rsidR="00BF3022" w:rsidRPr="00B75955">
        <w:rPr>
          <w:lang w:val="en-CA"/>
        </w:rPr>
        <w:t>Meeting</w:t>
      </w:r>
    </w:p>
    <w:p w14:paraId="601ED911" w14:textId="77777777" w:rsidR="009960E5" w:rsidRPr="00B75955" w:rsidRDefault="003B33BD" w:rsidP="00BF3022">
      <w:pPr>
        <w:jc w:val="left"/>
        <w:rPr>
          <w:lang w:val="en-CA"/>
        </w:rPr>
      </w:pPr>
      <w:r w:rsidRPr="00B75955">
        <w:rPr>
          <w:lang w:val="en-CA"/>
        </w:rPr>
        <w:t>Montreal</w:t>
      </w:r>
      <w:r w:rsidR="00BF3022" w:rsidRPr="00B75955">
        <w:rPr>
          <w:lang w:val="en-CA"/>
        </w:rPr>
        <w:t xml:space="preserve">, </w:t>
      </w:r>
      <w:r w:rsidRPr="00B75955">
        <w:rPr>
          <w:lang w:val="en-CA"/>
        </w:rPr>
        <w:t>1</w:t>
      </w:r>
      <w:r w:rsidR="008F49E1" w:rsidRPr="00B75955">
        <w:rPr>
          <w:lang w:val="en-CA"/>
        </w:rPr>
        <w:t>8</w:t>
      </w:r>
      <w:r w:rsidR="009154C3" w:rsidRPr="00B75955">
        <w:rPr>
          <w:lang w:val="en-CA"/>
        </w:rPr>
        <w:t>-</w:t>
      </w:r>
      <w:r w:rsidR="008F49E1" w:rsidRPr="00B75955">
        <w:rPr>
          <w:lang w:val="en-CA"/>
        </w:rPr>
        <w:t>22</w:t>
      </w:r>
      <w:r w:rsidRPr="00B75955">
        <w:rPr>
          <w:lang w:val="en-CA"/>
        </w:rPr>
        <w:t xml:space="preserve"> </w:t>
      </w:r>
      <w:r w:rsidR="00C66973" w:rsidRPr="00B75955">
        <w:rPr>
          <w:lang w:val="en-CA"/>
        </w:rPr>
        <w:t>June</w:t>
      </w:r>
      <w:r w:rsidRPr="00B75955">
        <w:rPr>
          <w:lang w:val="en-CA"/>
        </w:rPr>
        <w:t xml:space="preserve"> 201</w:t>
      </w:r>
      <w:r w:rsidR="00C66973" w:rsidRPr="00B75955">
        <w:rPr>
          <w:lang w:val="en-CA"/>
        </w:rPr>
        <w:t>8</w:t>
      </w:r>
    </w:p>
    <w:p w14:paraId="5F7BAB82" w14:textId="77777777" w:rsidR="0048787E" w:rsidRPr="00B75955" w:rsidRDefault="0048787E" w:rsidP="0048787E">
      <w:pPr>
        <w:jc w:val="left"/>
        <w:rPr>
          <w:lang w:val="en-CA"/>
        </w:rPr>
      </w:pPr>
    </w:p>
    <w:p w14:paraId="21A6E998" w14:textId="77777777" w:rsidR="0048787E" w:rsidRPr="00B75955" w:rsidRDefault="0048787E" w:rsidP="0048787E">
      <w:pPr>
        <w:pStyle w:val="Heading1"/>
        <w:numPr>
          <w:ilvl w:val="0"/>
          <w:numId w:val="0"/>
        </w:numPr>
        <w:spacing w:after="0"/>
        <w:rPr>
          <w:lang w:val="en-CA"/>
        </w:rPr>
      </w:pPr>
    </w:p>
    <w:p w14:paraId="1B5C29AA" w14:textId="422C11CD" w:rsidR="008A4C7A" w:rsidRPr="00B75955" w:rsidRDefault="008A4C7A" w:rsidP="008A4C7A">
      <w:pPr>
        <w:pStyle w:val="Title1"/>
        <w:rPr>
          <w:lang w:val="en-CA"/>
        </w:rPr>
      </w:pPr>
      <w:r w:rsidRPr="00B75955">
        <w:rPr>
          <w:lang w:val="en-CA"/>
        </w:rPr>
        <w:t>PROJECT PROPOSALS:</w:t>
      </w:r>
      <w:r w:rsidR="00F35DE2" w:rsidRPr="00B75955">
        <w:rPr>
          <w:lang w:val="en-CA"/>
        </w:rPr>
        <w:t xml:space="preserve"> </w:t>
      </w:r>
      <w:r w:rsidRPr="00B75955">
        <w:rPr>
          <w:lang w:val="en-CA"/>
        </w:rPr>
        <w:t>CHINA</w:t>
      </w:r>
    </w:p>
    <w:p w14:paraId="39B71023" w14:textId="77777777" w:rsidR="008A4C7A" w:rsidRPr="00B75955" w:rsidRDefault="008A4C7A" w:rsidP="008A4C7A">
      <w:pPr>
        <w:rPr>
          <w:lang w:val="en-CA"/>
        </w:rPr>
      </w:pPr>
    </w:p>
    <w:p w14:paraId="3EF2DD17" w14:textId="5E1B30E7" w:rsidR="008A4C7A" w:rsidRPr="00B75955" w:rsidRDefault="008A4C7A" w:rsidP="008A4C7A">
      <w:pPr>
        <w:ind w:firstLine="720"/>
        <w:rPr>
          <w:lang w:val="en-CA"/>
        </w:rPr>
      </w:pPr>
      <w:r w:rsidRPr="00B75955">
        <w:rPr>
          <w:lang w:val="en-CA"/>
        </w:rPr>
        <w:t>This document consists of the comments and recommendations of the Fund Secretariat on the following project proposals:</w:t>
      </w:r>
    </w:p>
    <w:p w14:paraId="3112DDC2" w14:textId="77777777" w:rsidR="00281025" w:rsidRPr="00B75955" w:rsidRDefault="00281025" w:rsidP="00281025">
      <w:pPr>
        <w:rPr>
          <w:lang w:val="en-CA"/>
        </w:rPr>
      </w:pPr>
    </w:p>
    <w:p w14:paraId="3BD21B9E" w14:textId="77777777" w:rsidR="00281025" w:rsidRPr="00B75955" w:rsidRDefault="00281025" w:rsidP="00281025">
      <w:pPr>
        <w:rPr>
          <w:u w:val="single"/>
          <w:lang w:val="en-CA"/>
        </w:rPr>
      </w:pPr>
      <w:r w:rsidRPr="00B75955">
        <w:rPr>
          <w:u w:val="single"/>
          <w:lang w:val="en-CA"/>
        </w:rPr>
        <w:t>Foam</w:t>
      </w:r>
    </w:p>
    <w:p w14:paraId="067A4276" w14:textId="77777777" w:rsidR="00281025" w:rsidRPr="00B75955" w:rsidRDefault="00281025" w:rsidP="00281025">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3"/>
        <w:gridCol w:w="3787"/>
      </w:tblGrid>
      <w:tr w:rsidR="00281025" w:rsidRPr="00B75955" w14:paraId="1384DD44" w14:textId="77777777" w:rsidTr="00881319">
        <w:tc>
          <w:tcPr>
            <w:tcW w:w="5688" w:type="dxa"/>
          </w:tcPr>
          <w:p w14:paraId="1B5455FA" w14:textId="6CAF0D40" w:rsidR="00281025" w:rsidRPr="00B75955" w:rsidRDefault="00881319" w:rsidP="00881319">
            <w:pPr>
              <w:pStyle w:val="ListParagraph"/>
              <w:numPr>
                <w:ilvl w:val="0"/>
                <w:numId w:val="26"/>
              </w:numPr>
              <w:ind w:hanging="720"/>
              <w:rPr>
                <w:lang w:val="en-CA"/>
              </w:rPr>
            </w:pPr>
            <w:r w:rsidRPr="00B75955">
              <w:rPr>
                <w:lang w:val="en-CA"/>
              </w:rPr>
              <w:t xml:space="preserve">Conversion of polyurethane foam panels in domestic refrigeration manufacturing at Hisense </w:t>
            </w:r>
            <w:proofErr w:type="spellStart"/>
            <w:r w:rsidRPr="00B75955">
              <w:rPr>
                <w:lang w:val="en-CA"/>
              </w:rPr>
              <w:t>Kelon</w:t>
            </w:r>
            <w:proofErr w:type="spellEnd"/>
            <w:r w:rsidRPr="00B75955">
              <w:rPr>
                <w:lang w:val="en-CA"/>
              </w:rPr>
              <w:t xml:space="preserve"> from the use of </w:t>
            </w:r>
            <w:proofErr w:type="spellStart"/>
            <w:r w:rsidRPr="00B75955">
              <w:rPr>
                <w:lang w:val="en-CA"/>
              </w:rPr>
              <w:t>cyclopentane</w:t>
            </w:r>
            <w:proofErr w:type="spellEnd"/>
            <w:r w:rsidRPr="00B75955">
              <w:rPr>
                <w:lang w:val="en-CA"/>
              </w:rPr>
              <w:t xml:space="preserve"> and HFC-245fa to the use of </w:t>
            </w:r>
            <w:proofErr w:type="spellStart"/>
            <w:r w:rsidRPr="00B75955">
              <w:rPr>
                <w:lang w:val="en-CA"/>
              </w:rPr>
              <w:t>cyclopentane</w:t>
            </w:r>
            <w:proofErr w:type="spellEnd"/>
            <w:r w:rsidRPr="00B75955">
              <w:rPr>
                <w:lang w:val="en-CA"/>
              </w:rPr>
              <w:t xml:space="preserve"> and HFO-1233zd as the blowing agent</w:t>
            </w:r>
          </w:p>
        </w:tc>
        <w:tc>
          <w:tcPr>
            <w:tcW w:w="3888" w:type="dxa"/>
          </w:tcPr>
          <w:p w14:paraId="0D7318A3" w14:textId="1EBEE731" w:rsidR="00281025" w:rsidRPr="00B75955" w:rsidRDefault="00881319" w:rsidP="00881319">
            <w:pPr>
              <w:jc w:val="right"/>
              <w:rPr>
                <w:lang w:val="en-CA"/>
              </w:rPr>
            </w:pPr>
            <w:r w:rsidRPr="00B75955">
              <w:rPr>
                <w:lang w:val="en-CA"/>
              </w:rPr>
              <w:t>UNDP</w:t>
            </w:r>
          </w:p>
        </w:tc>
      </w:tr>
    </w:tbl>
    <w:p w14:paraId="6B292815" w14:textId="77777777" w:rsidR="00281025" w:rsidRPr="00B75955" w:rsidRDefault="00281025" w:rsidP="00281025">
      <w:pPr>
        <w:rPr>
          <w:lang w:val="en-CA"/>
        </w:rPr>
      </w:pPr>
    </w:p>
    <w:p w14:paraId="781AB117" w14:textId="77777777" w:rsidR="008A4C7A" w:rsidRPr="00B75955" w:rsidRDefault="008A4C7A" w:rsidP="008A4C7A">
      <w:pPr>
        <w:rPr>
          <w:u w:val="single"/>
          <w:lang w:val="en-CA"/>
        </w:rPr>
      </w:pPr>
      <w:r w:rsidRPr="00B75955">
        <w:rPr>
          <w:u w:val="single"/>
          <w:lang w:val="en-CA"/>
        </w:rPr>
        <w:t>Phase-out</w:t>
      </w:r>
    </w:p>
    <w:p w14:paraId="3308C75A" w14:textId="77777777" w:rsidR="008A4C7A" w:rsidRPr="00B75955" w:rsidRDefault="008A4C7A" w:rsidP="008A4C7A">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1"/>
        <w:gridCol w:w="3789"/>
      </w:tblGrid>
      <w:tr w:rsidR="00881319" w:rsidRPr="00B75955" w14:paraId="70C1ED55" w14:textId="77777777" w:rsidTr="00881319">
        <w:tc>
          <w:tcPr>
            <w:tcW w:w="5688" w:type="dxa"/>
          </w:tcPr>
          <w:p w14:paraId="4F730E35" w14:textId="7B1F387C" w:rsidR="00881319" w:rsidRPr="00B75955" w:rsidRDefault="00881319" w:rsidP="00881319">
            <w:pPr>
              <w:pStyle w:val="ListParagraph"/>
              <w:numPr>
                <w:ilvl w:val="0"/>
                <w:numId w:val="26"/>
              </w:numPr>
              <w:ind w:hanging="720"/>
              <w:rPr>
                <w:lang w:val="en-CA"/>
              </w:rPr>
            </w:pPr>
            <w:r w:rsidRPr="00B75955">
              <w:rPr>
                <w:lang w:val="en-CA"/>
              </w:rPr>
              <w:t>HCFC phase-out management plan (stage I):</w:t>
            </w:r>
          </w:p>
          <w:p w14:paraId="4FE6D5B7" w14:textId="0A673EAC" w:rsidR="00881319" w:rsidRPr="00B75955" w:rsidRDefault="00881319" w:rsidP="00881319">
            <w:pPr>
              <w:pStyle w:val="ListParagraph"/>
              <w:rPr>
                <w:lang w:val="en-CA"/>
              </w:rPr>
            </w:pPr>
            <w:r w:rsidRPr="00B75955">
              <w:rPr>
                <w:lang w:val="en-CA"/>
              </w:rPr>
              <w:t>Final</w:t>
            </w:r>
            <w:r w:rsidR="00BD2293" w:rsidRPr="00B75955">
              <w:rPr>
                <w:lang w:val="en-CA"/>
              </w:rPr>
              <w:t xml:space="preserve"> progress</w:t>
            </w:r>
            <w:r w:rsidRPr="00B75955">
              <w:rPr>
                <w:lang w:val="en-CA"/>
              </w:rPr>
              <w:t xml:space="preserve"> report on the solvent sector</w:t>
            </w:r>
          </w:p>
        </w:tc>
        <w:tc>
          <w:tcPr>
            <w:tcW w:w="3888" w:type="dxa"/>
          </w:tcPr>
          <w:p w14:paraId="6849C2C5" w14:textId="761245F7" w:rsidR="00881319" w:rsidRPr="00B75955" w:rsidRDefault="00881319" w:rsidP="00881319">
            <w:pPr>
              <w:jc w:val="right"/>
              <w:rPr>
                <w:lang w:val="en-CA"/>
              </w:rPr>
            </w:pPr>
            <w:r w:rsidRPr="00B75955">
              <w:rPr>
                <w:lang w:val="en-CA"/>
              </w:rPr>
              <w:t>UNDP</w:t>
            </w:r>
          </w:p>
        </w:tc>
      </w:tr>
    </w:tbl>
    <w:p w14:paraId="72D4953E" w14:textId="35A6DFA0" w:rsidR="008A4C7A" w:rsidRPr="00B75955" w:rsidRDefault="008A4C7A" w:rsidP="008A4C7A">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3792"/>
      </w:tblGrid>
      <w:tr w:rsidR="00227187" w:rsidRPr="00B75955" w14:paraId="6E20057F" w14:textId="77777777" w:rsidTr="00BE1161">
        <w:tc>
          <w:tcPr>
            <w:tcW w:w="5568" w:type="dxa"/>
          </w:tcPr>
          <w:p w14:paraId="606E6BA6" w14:textId="518F068C" w:rsidR="00227187" w:rsidRPr="00B75955" w:rsidRDefault="00227187" w:rsidP="00227187">
            <w:pPr>
              <w:pStyle w:val="ListParagraph"/>
              <w:numPr>
                <w:ilvl w:val="0"/>
                <w:numId w:val="26"/>
              </w:numPr>
              <w:ind w:hanging="720"/>
              <w:rPr>
                <w:lang w:val="en-CA"/>
              </w:rPr>
            </w:pPr>
            <w:r w:rsidRPr="00B75955">
              <w:rPr>
                <w:lang w:val="en-CA"/>
              </w:rPr>
              <w:t>HCFC phase-out management plan (stage II</w:t>
            </w:r>
            <w:r w:rsidR="00FC5EF7" w:rsidRPr="00B75955">
              <w:rPr>
                <w:lang w:val="en-CA"/>
              </w:rPr>
              <w:t>)</w:t>
            </w:r>
            <w:r w:rsidRPr="00B75955">
              <w:rPr>
                <w:lang w:val="en-CA"/>
              </w:rPr>
              <w:t>:</w:t>
            </w:r>
          </w:p>
          <w:p w14:paraId="0724B086" w14:textId="67963532" w:rsidR="00227187" w:rsidRPr="00B75955" w:rsidRDefault="00227187" w:rsidP="00227187">
            <w:pPr>
              <w:pStyle w:val="ListParagraph"/>
              <w:rPr>
                <w:lang w:val="en-CA"/>
              </w:rPr>
            </w:pPr>
          </w:p>
          <w:p w14:paraId="0883BEC5" w14:textId="77777777" w:rsidR="00FC5EF7" w:rsidRPr="00B75955" w:rsidRDefault="00FC5EF7" w:rsidP="00227187">
            <w:pPr>
              <w:pStyle w:val="ListParagraph"/>
              <w:rPr>
                <w:lang w:val="en-CA"/>
              </w:rPr>
            </w:pPr>
          </w:p>
          <w:p w14:paraId="580D29CF" w14:textId="34AE33E7" w:rsidR="00227187" w:rsidRDefault="00227187" w:rsidP="00227187">
            <w:pPr>
              <w:pStyle w:val="ListParagraph"/>
              <w:rPr>
                <w:lang w:val="en-CA"/>
              </w:rPr>
            </w:pPr>
            <w:r w:rsidRPr="00B75955">
              <w:rPr>
                <w:lang w:val="en-CA"/>
              </w:rPr>
              <w:t xml:space="preserve">Room air-conditioning manufacturing and heat pump water heaters sector </w:t>
            </w:r>
            <w:r w:rsidR="00FC5EF7" w:rsidRPr="00B75955">
              <w:rPr>
                <w:lang w:val="en-CA"/>
              </w:rPr>
              <w:t>plan (second tranche)</w:t>
            </w:r>
          </w:p>
          <w:p w14:paraId="1A0A05E1" w14:textId="77777777" w:rsidR="00ED1D90" w:rsidRPr="00B75955" w:rsidRDefault="00ED1D90" w:rsidP="00227187">
            <w:pPr>
              <w:pStyle w:val="ListParagraph"/>
              <w:rPr>
                <w:lang w:val="en-CA"/>
              </w:rPr>
            </w:pPr>
          </w:p>
          <w:p w14:paraId="75180550" w14:textId="77777777" w:rsidR="00227187" w:rsidRDefault="00227187" w:rsidP="00227187">
            <w:pPr>
              <w:pStyle w:val="ListParagraph"/>
              <w:rPr>
                <w:lang w:val="en-CA"/>
              </w:rPr>
            </w:pPr>
            <w:r w:rsidRPr="00B75955">
              <w:rPr>
                <w:lang w:val="en-CA"/>
              </w:rPr>
              <w:t>Refrigeration servicing sector plan and enabling programme</w:t>
            </w:r>
            <w:r w:rsidR="00FC5EF7" w:rsidRPr="00B75955">
              <w:rPr>
                <w:lang w:val="en-CA"/>
              </w:rPr>
              <w:t xml:space="preserve"> (second tranche)</w:t>
            </w:r>
          </w:p>
          <w:p w14:paraId="65FEE344" w14:textId="77777777" w:rsidR="00BE1161" w:rsidRPr="00B75955" w:rsidRDefault="00BE1161" w:rsidP="00BE1161">
            <w:pPr>
              <w:rPr>
                <w:lang w:val="en-CA"/>
              </w:rPr>
            </w:pPr>
          </w:p>
          <w:p w14:paraId="7E619073" w14:textId="0160F678" w:rsidR="00BE1161" w:rsidRPr="00B75955" w:rsidRDefault="00BE1161" w:rsidP="00BE1161">
            <w:pPr>
              <w:rPr>
                <w:u w:val="single"/>
                <w:lang w:val="en-CA"/>
              </w:rPr>
            </w:pPr>
            <w:r w:rsidRPr="00B75955">
              <w:rPr>
                <w:u w:val="single"/>
                <w:lang w:val="en-CA"/>
              </w:rPr>
              <w:t>Phase-out</w:t>
            </w:r>
            <w:r>
              <w:rPr>
                <w:u w:val="single"/>
                <w:lang w:val="en-CA"/>
              </w:rPr>
              <w:t xml:space="preserve"> / Production</w:t>
            </w:r>
          </w:p>
          <w:p w14:paraId="7FEF896E" w14:textId="77777777" w:rsidR="00BE1161" w:rsidRPr="00B75955" w:rsidRDefault="00BE1161" w:rsidP="00BE1161">
            <w:pPr>
              <w:rPr>
                <w:lang w:val="en-CA"/>
              </w:rPr>
            </w:pPr>
          </w:p>
          <w:p w14:paraId="0C09E097" w14:textId="45E339D7" w:rsidR="00BE1161" w:rsidRPr="00B75955" w:rsidRDefault="00BE1161" w:rsidP="00BE1161">
            <w:pPr>
              <w:pStyle w:val="ListParagraph"/>
              <w:numPr>
                <w:ilvl w:val="0"/>
                <w:numId w:val="26"/>
              </w:numPr>
              <w:ind w:hanging="720"/>
              <w:rPr>
                <w:lang w:val="en-CA"/>
              </w:rPr>
            </w:pPr>
            <w:r>
              <w:rPr>
                <w:lang w:val="en-CA"/>
              </w:rPr>
              <w:t>Draft financial reporting format for annual project management unit expenditures for the HCFC phase</w:t>
            </w:r>
            <w:r>
              <w:rPr>
                <w:lang w:val="en-CA"/>
              </w:rPr>
              <w:noBreakHyphen/>
              <w:t>out management plan and HCFC production phase</w:t>
            </w:r>
            <w:r>
              <w:rPr>
                <w:lang w:val="en-CA"/>
              </w:rPr>
              <w:noBreakHyphen/>
              <w:t>out management plan</w:t>
            </w:r>
          </w:p>
        </w:tc>
        <w:tc>
          <w:tcPr>
            <w:tcW w:w="3792" w:type="dxa"/>
          </w:tcPr>
          <w:p w14:paraId="71F9B407" w14:textId="77777777" w:rsidR="00227187" w:rsidRPr="00B75955" w:rsidRDefault="00227187" w:rsidP="00227187">
            <w:pPr>
              <w:jc w:val="right"/>
              <w:rPr>
                <w:lang w:val="en-CA"/>
              </w:rPr>
            </w:pPr>
            <w:r w:rsidRPr="00B75955">
              <w:rPr>
                <w:lang w:val="en-CA"/>
              </w:rPr>
              <w:t>UNDP, UNEP, UNIDO, World Bank,</w:t>
            </w:r>
          </w:p>
          <w:p w14:paraId="137C7312" w14:textId="77777777" w:rsidR="00227187" w:rsidRPr="00B75955" w:rsidRDefault="00227187" w:rsidP="00227187">
            <w:pPr>
              <w:jc w:val="right"/>
              <w:rPr>
                <w:lang w:val="en-CA"/>
              </w:rPr>
            </w:pPr>
            <w:r w:rsidRPr="00B75955">
              <w:rPr>
                <w:lang w:val="en-CA"/>
              </w:rPr>
              <w:t xml:space="preserve"> Germany, Italy and Japan</w:t>
            </w:r>
          </w:p>
          <w:p w14:paraId="28573D33" w14:textId="77777777" w:rsidR="00227187" w:rsidRPr="00B75955" w:rsidRDefault="00227187" w:rsidP="00227187">
            <w:pPr>
              <w:jc w:val="right"/>
              <w:rPr>
                <w:lang w:val="en-CA"/>
              </w:rPr>
            </w:pPr>
          </w:p>
          <w:p w14:paraId="13E83167" w14:textId="77777777" w:rsidR="00227187" w:rsidRPr="00B75955" w:rsidRDefault="00227187" w:rsidP="00227187">
            <w:pPr>
              <w:jc w:val="right"/>
              <w:rPr>
                <w:lang w:val="en-CA"/>
              </w:rPr>
            </w:pPr>
            <w:r w:rsidRPr="00B75955">
              <w:rPr>
                <w:lang w:val="en-CA"/>
              </w:rPr>
              <w:t>UNIDO and Italy</w:t>
            </w:r>
          </w:p>
          <w:p w14:paraId="4DBBE87A" w14:textId="2339251C" w:rsidR="00227187" w:rsidRDefault="00227187" w:rsidP="00227187">
            <w:pPr>
              <w:jc w:val="right"/>
              <w:rPr>
                <w:lang w:val="en-CA"/>
              </w:rPr>
            </w:pPr>
          </w:p>
          <w:p w14:paraId="6251778A" w14:textId="77777777" w:rsidR="00ED1D90" w:rsidRPr="00B75955" w:rsidRDefault="00ED1D90" w:rsidP="00227187">
            <w:pPr>
              <w:jc w:val="right"/>
              <w:rPr>
                <w:lang w:val="en-CA"/>
              </w:rPr>
            </w:pPr>
          </w:p>
          <w:p w14:paraId="413A7B29" w14:textId="77777777" w:rsidR="00227187" w:rsidRDefault="00227187" w:rsidP="00227187">
            <w:pPr>
              <w:jc w:val="right"/>
              <w:rPr>
                <w:lang w:val="en-CA"/>
              </w:rPr>
            </w:pPr>
            <w:r w:rsidRPr="00B75955">
              <w:rPr>
                <w:lang w:val="en-CA"/>
              </w:rPr>
              <w:t>UNEP, Germany and Japan</w:t>
            </w:r>
          </w:p>
          <w:p w14:paraId="1051873E" w14:textId="77777777" w:rsidR="00DB471D" w:rsidRDefault="00DB471D" w:rsidP="00227187">
            <w:pPr>
              <w:jc w:val="right"/>
              <w:rPr>
                <w:lang w:val="en-CA"/>
              </w:rPr>
            </w:pPr>
          </w:p>
          <w:p w14:paraId="43EA27F0" w14:textId="77777777" w:rsidR="00DB471D" w:rsidRDefault="00DB471D" w:rsidP="00227187">
            <w:pPr>
              <w:jc w:val="right"/>
              <w:rPr>
                <w:lang w:val="en-CA"/>
              </w:rPr>
            </w:pPr>
          </w:p>
          <w:p w14:paraId="576A3470" w14:textId="77777777" w:rsidR="00DB471D" w:rsidRDefault="00DB471D" w:rsidP="00227187">
            <w:pPr>
              <w:jc w:val="right"/>
              <w:rPr>
                <w:lang w:val="en-CA"/>
              </w:rPr>
            </w:pPr>
          </w:p>
          <w:p w14:paraId="20521566" w14:textId="77777777" w:rsidR="00DB471D" w:rsidRDefault="00DB471D" w:rsidP="00227187">
            <w:pPr>
              <w:jc w:val="right"/>
              <w:rPr>
                <w:lang w:val="en-CA"/>
              </w:rPr>
            </w:pPr>
          </w:p>
          <w:p w14:paraId="3CD262AB" w14:textId="4C272ACD" w:rsidR="00DB471D" w:rsidRPr="00B75955" w:rsidRDefault="00DB471D" w:rsidP="00227187">
            <w:pPr>
              <w:jc w:val="right"/>
              <w:rPr>
                <w:lang w:val="en-CA"/>
              </w:rPr>
            </w:pPr>
            <w:r>
              <w:rPr>
                <w:lang w:val="en-CA"/>
              </w:rPr>
              <w:t>UNDP and World Bank</w:t>
            </w:r>
          </w:p>
        </w:tc>
      </w:tr>
    </w:tbl>
    <w:p w14:paraId="24C9D2A4" w14:textId="77777777" w:rsidR="002378DF" w:rsidRDefault="002378DF">
      <w:pPr>
        <w:jc w:val="left"/>
        <w:rPr>
          <w:lang w:val="en-CA"/>
        </w:rPr>
        <w:sectPr w:rsidR="002378DF" w:rsidSect="008A4C7A">
          <w:headerReference w:type="even" r:id="rId10"/>
          <w:headerReference w:type="default" r:id="rId11"/>
          <w:footerReference w:type="even" r:id="rId12"/>
          <w:footerReference w:type="default" r:id="rId13"/>
          <w:headerReference w:type="first" r:id="rId14"/>
          <w:footerReference w:type="first" r:id="rId15"/>
          <w:pgSz w:w="12240" w:h="15840" w:code="1"/>
          <w:pgMar w:top="600" w:right="1440" w:bottom="600" w:left="1440" w:header="720" w:footer="475" w:gutter="0"/>
          <w:cols w:space="720"/>
          <w:titlePg/>
          <w:docGrid w:linePitch="299"/>
        </w:sectPr>
      </w:pPr>
    </w:p>
    <w:p w14:paraId="76E50F8D" w14:textId="77B98FAD" w:rsidR="0001415F" w:rsidRPr="00B75955" w:rsidRDefault="0001415F">
      <w:pPr>
        <w:jc w:val="left"/>
        <w:rPr>
          <w:lang w:val="en-CA"/>
        </w:rPr>
      </w:pPr>
    </w:p>
    <w:p w14:paraId="6D688AE3" w14:textId="77777777" w:rsidR="00AA5A06" w:rsidRPr="00E640EA" w:rsidRDefault="00AA5A06" w:rsidP="00AA5A06">
      <w:pPr>
        <w:keepLines/>
        <w:jc w:val="center"/>
        <w:rPr>
          <w:b/>
        </w:rPr>
      </w:pPr>
      <w:r w:rsidRPr="00E640EA">
        <w:rPr>
          <w:b/>
        </w:rPr>
        <w:t>PROJECT EVALUATION SHEET – NON-MULTI-YEAR PROJECT</w:t>
      </w:r>
    </w:p>
    <w:p w14:paraId="5EA5132F" w14:textId="77777777" w:rsidR="00AA5A06" w:rsidRPr="00AD0704" w:rsidRDefault="00AA5A06" w:rsidP="00AA5A06">
      <w:pPr>
        <w:rPr>
          <w:sz w:val="20"/>
        </w:rPr>
      </w:pPr>
    </w:p>
    <w:p w14:paraId="7DDDE17D" w14:textId="77777777" w:rsidR="00AA5A06" w:rsidRPr="00E640EA" w:rsidRDefault="00AA5A06" w:rsidP="00AA5A06">
      <w:pPr>
        <w:ind w:firstLine="720"/>
        <w:jc w:val="center"/>
        <w:rPr>
          <w:b/>
          <w:szCs w:val="24"/>
        </w:rPr>
      </w:pPr>
      <w:r>
        <w:rPr>
          <w:b/>
          <w:szCs w:val="24"/>
        </w:rPr>
        <w:t>China</w:t>
      </w:r>
    </w:p>
    <w:p w14:paraId="44207C6F" w14:textId="77777777" w:rsidR="00AA5A06" w:rsidRPr="00E640EA" w:rsidRDefault="00AA5A06" w:rsidP="00AA5A06">
      <w:pPr>
        <w:rPr>
          <w:sz w:val="20"/>
        </w:rPr>
      </w:pPr>
    </w:p>
    <w:p w14:paraId="2D528A43" w14:textId="77777777" w:rsidR="00AA5A06" w:rsidRPr="009117C6" w:rsidRDefault="00AA5A06" w:rsidP="00AA5A06">
      <w:pPr>
        <w:tabs>
          <w:tab w:val="left" w:pos="5580"/>
        </w:tabs>
        <w:ind w:right="-540"/>
        <w:rPr>
          <w:b/>
          <w:sz w:val="20"/>
        </w:rPr>
      </w:pPr>
      <w:r w:rsidRPr="009117C6">
        <w:rPr>
          <w:b/>
          <w:caps/>
          <w:sz w:val="20"/>
        </w:rPr>
        <w:t>Project title(S)</w:t>
      </w:r>
      <w:r w:rsidRPr="009117C6">
        <w:rPr>
          <w:b/>
          <w:sz w:val="20"/>
        </w:rPr>
        <w:tab/>
      </w:r>
      <w:r w:rsidRPr="009117C6">
        <w:rPr>
          <w:b/>
          <w:caps/>
          <w:sz w:val="20"/>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7"/>
        <w:gridCol w:w="6575"/>
        <w:gridCol w:w="2308"/>
      </w:tblGrid>
      <w:tr w:rsidR="00AA5A06" w:rsidRPr="009117C6" w14:paraId="1955ED52" w14:textId="77777777" w:rsidTr="00546503">
        <w:trPr>
          <w:trHeight w:val="251"/>
        </w:trPr>
        <w:tc>
          <w:tcPr>
            <w:tcW w:w="467" w:type="dxa"/>
            <w:tcBorders>
              <w:bottom w:val="single" w:sz="4" w:space="0" w:color="auto"/>
            </w:tcBorders>
          </w:tcPr>
          <w:p w14:paraId="528F014F" w14:textId="77777777" w:rsidR="00AA5A06" w:rsidRPr="009117C6" w:rsidRDefault="00AA5A06" w:rsidP="00546503">
            <w:pPr>
              <w:tabs>
                <w:tab w:val="left" w:pos="383"/>
              </w:tabs>
              <w:rPr>
                <w:sz w:val="20"/>
                <w:szCs w:val="20"/>
              </w:rPr>
            </w:pPr>
            <w:r w:rsidRPr="009117C6">
              <w:rPr>
                <w:sz w:val="20"/>
                <w:szCs w:val="20"/>
              </w:rPr>
              <w:t>(a)</w:t>
            </w:r>
          </w:p>
        </w:tc>
        <w:tc>
          <w:tcPr>
            <w:tcW w:w="6575" w:type="dxa"/>
            <w:tcBorders>
              <w:bottom w:val="single" w:sz="4" w:space="0" w:color="auto"/>
              <w:right w:val="single" w:sz="4" w:space="0" w:color="auto"/>
            </w:tcBorders>
          </w:tcPr>
          <w:p w14:paraId="53320CCA" w14:textId="77777777" w:rsidR="00AA5A06" w:rsidRPr="009117C6" w:rsidRDefault="00AA5A06" w:rsidP="00546503">
            <w:pPr>
              <w:tabs>
                <w:tab w:val="left" w:pos="383"/>
              </w:tabs>
              <w:rPr>
                <w:sz w:val="20"/>
                <w:szCs w:val="20"/>
              </w:rPr>
            </w:pPr>
            <w:r w:rsidRPr="009117C6">
              <w:rPr>
                <w:sz w:val="20"/>
                <w:szCs w:val="20"/>
                <w:lang w:val="en-CA"/>
              </w:rPr>
              <w:t xml:space="preserve">Conversion of polyurethane foam panels in domestic refrigeration manufacturing at Hisense </w:t>
            </w:r>
            <w:proofErr w:type="spellStart"/>
            <w:r w:rsidRPr="009117C6">
              <w:rPr>
                <w:sz w:val="20"/>
                <w:szCs w:val="20"/>
                <w:lang w:val="en-CA"/>
              </w:rPr>
              <w:t>Kelon</w:t>
            </w:r>
            <w:proofErr w:type="spellEnd"/>
            <w:r w:rsidRPr="009117C6">
              <w:rPr>
                <w:sz w:val="20"/>
                <w:szCs w:val="20"/>
                <w:lang w:val="en-CA"/>
              </w:rPr>
              <w:t xml:space="preserve"> from the use of </w:t>
            </w:r>
            <w:proofErr w:type="spellStart"/>
            <w:r w:rsidRPr="009117C6">
              <w:rPr>
                <w:sz w:val="20"/>
                <w:szCs w:val="20"/>
                <w:lang w:val="en-CA"/>
              </w:rPr>
              <w:t>cyclopentane</w:t>
            </w:r>
            <w:proofErr w:type="spellEnd"/>
            <w:r w:rsidRPr="009117C6">
              <w:rPr>
                <w:sz w:val="20"/>
                <w:szCs w:val="20"/>
                <w:lang w:val="en-CA"/>
              </w:rPr>
              <w:t xml:space="preserve"> and HFC-245fa to </w:t>
            </w:r>
            <w:r>
              <w:rPr>
                <w:sz w:val="20"/>
                <w:szCs w:val="20"/>
                <w:lang w:val="en-CA"/>
              </w:rPr>
              <w:t xml:space="preserve">the use of </w:t>
            </w:r>
            <w:proofErr w:type="spellStart"/>
            <w:r w:rsidRPr="009117C6">
              <w:rPr>
                <w:sz w:val="20"/>
                <w:szCs w:val="20"/>
                <w:lang w:val="en-CA"/>
              </w:rPr>
              <w:t>cyclopentane</w:t>
            </w:r>
            <w:proofErr w:type="spellEnd"/>
            <w:r w:rsidRPr="009117C6">
              <w:rPr>
                <w:sz w:val="20"/>
                <w:szCs w:val="20"/>
                <w:lang w:val="en-CA"/>
              </w:rPr>
              <w:t xml:space="preserve"> and HFO-1233zd as </w:t>
            </w:r>
            <w:r>
              <w:rPr>
                <w:sz w:val="20"/>
                <w:szCs w:val="20"/>
                <w:lang w:val="en-CA"/>
              </w:rPr>
              <w:t xml:space="preserve">the </w:t>
            </w:r>
            <w:r w:rsidRPr="009117C6">
              <w:rPr>
                <w:sz w:val="20"/>
                <w:szCs w:val="20"/>
                <w:lang w:val="en-CA"/>
              </w:rPr>
              <w:t xml:space="preserve">blowing agent. </w:t>
            </w:r>
          </w:p>
        </w:tc>
        <w:tc>
          <w:tcPr>
            <w:tcW w:w="2308" w:type="dxa"/>
            <w:tcBorders>
              <w:top w:val="single" w:sz="4" w:space="0" w:color="auto"/>
              <w:left w:val="single" w:sz="4" w:space="0" w:color="auto"/>
              <w:bottom w:val="single" w:sz="4" w:space="0" w:color="auto"/>
            </w:tcBorders>
          </w:tcPr>
          <w:p w14:paraId="42217A19" w14:textId="77777777" w:rsidR="00AA5A06" w:rsidRPr="009117C6" w:rsidRDefault="00AA5A06" w:rsidP="00546503">
            <w:pPr>
              <w:jc w:val="right"/>
              <w:rPr>
                <w:sz w:val="20"/>
                <w:szCs w:val="20"/>
              </w:rPr>
            </w:pPr>
            <w:r w:rsidRPr="009117C6">
              <w:rPr>
                <w:sz w:val="20"/>
                <w:szCs w:val="20"/>
              </w:rPr>
              <w:t>UNDP</w:t>
            </w:r>
          </w:p>
        </w:tc>
      </w:tr>
    </w:tbl>
    <w:p w14:paraId="107E2D45" w14:textId="77777777" w:rsidR="00AA5A06" w:rsidRPr="009117C6" w:rsidRDefault="00AA5A06" w:rsidP="00AA5A06">
      <w:pPr>
        <w:rPr>
          <w:sz w:val="20"/>
        </w:rPr>
      </w:pPr>
    </w:p>
    <w:tbl>
      <w:tblPr>
        <w:tblStyle w:val="TableGrid"/>
        <w:tblW w:w="0" w:type="auto"/>
        <w:jc w:val="center"/>
        <w:tblLook w:val="01E0" w:firstRow="1" w:lastRow="1" w:firstColumn="1" w:lastColumn="1" w:noHBand="0" w:noVBand="0"/>
      </w:tblPr>
      <w:tblGrid>
        <w:gridCol w:w="5098"/>
        <w:gridCol w:w="4252"/>
      </w:tblGrid>
      <w:tr w:rsidR="00AA5A06" w:rsidRPr="00E640EA" w14:paraId="0F9C1E80" w14:textId="77777777" w:rsidTr="00546503">
        <w:trPr>
          <w:jc w:val="center"/>
        </w:trPr>
        <w:tc>
          <w:tcPr>
            <w:tcW w:w="5098" w:type="dxa"/>
          </w:tcPr>
          <w:p w14:paraId="539B78AC" w14:textId="77777777" w:rsidR="00AA5A06" w:rsidRPr="009117C6" w:rsidRDefault="00AA5A06" w:rsidP="00546503">
            <w:pPr>
              <w:rPr>
                <w:sz w:val="20"/>
              </w:rPr>
            </w:pPr>
            <w:r w:rsidRPr="009117C6">
              <w:rPr>
                <w:b/>
                <w:caps/>
                <w:sz w:val="20"/>
              </w:rPr>
              <w:t>National coordinating agency</w:t>
            </w:r>
          </w:p>
        </w:tc>
        <w:tc>
          <w:tcPr>
            <w:tcW w:w="4252" w:type="dxa"/>
          </w:tcPr>
          <w:p w14:paraId="0E7138B4" w14:textId="77777777" w:rsidR="00AA5A06" w:rsidRDefault="00AA5A06" w:rsidP="00546503">
            <w:pPr>
              <w:jc w:val="right"/>
              <w:rPr>
                <w:sz w:val="20"/>
              </w:rPr>
            </w:pPr>
            <w:r w:rsidRPr="009117C6">
              <w:rPr>
                <w:sz w:val="20"/>
              </w:rPr>
              <w:t>F</w:t>
            </w:r>
            <w:r>
              <w:rPr>
                <w:sz w:val="20"/>
              </w:rPr>
              <w:t xml:space="preserve">oreign </w:t>
            </w:r>
            <w:r w:rsidRPr="009117C6">
              <w:rPr>
                <w:sz w:val="20"/>
              </w:rPr>
              <w:t>E</w:t>
            </w:r>
            <w:r>
              <w:rPr>
                <w:sz w:val="20"/>
              </w:rPr>
              <w:t xml:space="preserve">conomic </w:t>
            </w:r>
            <w:r w:rsidRPr="009117C6">
              <w:rPr>
                <w:sz w:val="20"/>
              </w:rPr>
              <w:t>C</w:t>
            </w:r>
            <w:r>
              <w:rPr>
                <w:sz w:val="20"/>
              </w:rPr>
              <w:t xml:space="preserve">ooperation </w:t>
            </w:r>
            <w:r w:rsidRPr="009117C6">
              <w:rPr>
                <w:sz w:val="20"/>
              </w:rPr>
              <w:t>O</w:t>
            </w:r>
            <w:r>
              <w:rPr>
                <w:sz w:val="20"/>
              </w:rPr>
              <w:t>ffice</w:t>
            </w:r>
            <w:r w:rsidRPr="009117C6">
              <w:rPr>
                <w:sz w:val="20"/>
              </w:rPr>
              <w:t>/</w:t>
            </w:r>
          </w:p>
          <w:p w14:paraId="2898F92E" w14:textId="77777777" w:rsidR="00AA5A06" w:rsidRPr="00E640EA" w:rsidRDefault="00AA5A06" w:rsidP="00546503">
            <w:pPr>
              <w:jc w:val="right"/>
              <w:rPr>
                <w:sz w:val="20"/>
              </w:rPr>
            </w:pPr>
            <w:r w:rsidRPr="009117C6">
              <w:rPr>
                <w:sz w:val="20"/>
              </w:rPr>
              <w:t>Ministry of Environmental Protection</w:t>
            </w:r>
          </w:p>
        </w:tc>
      </w:tr>
    </w:tbl>
    <w:p w14:paraId="734ABE3B" w14:textId="77777777" w:rsidR="00AA5A06" w:rsidRPr="00E640EA" w:rsidRDefault="00AA5A06" w:rsidP="00AA5A06">
      <w:pPr>
        <w:rPr>
          <w:caps/>
          <w:sz w:val="20"/>
        </w:rPr>
      </w:pPr>
    </w:p>
    <w:p w14:paraId="1570E44F" w14:textId="77777777" w:rsidR="00AA5A06" w:rsidRPr="00E640EA" w:rsidRDefault="00AA5A06" w:rsidP="00AA5A06">
      <w:pPr>
        <w:rPr>
          <w:b/>
          <w:caps/>
          <w:sz w:val="20"/>
        </w:rPr>
      </w:pPr>
      <w:r w:rsidRPr="00E640EA">
        <w:rPr>
          <w:b/>
          <w:caps/>
          <w:sz w:val="20"/>
        </w:rPr>
        <w:t xml:space="preserve">LateSt reported consumption data for ODS addressed in project </w:t>
      </w:r>
    </w:p>
    <w:p w14:paraId="26F35C61" w14:textId="77777777" w:rsidR="00AA5A06" w:rsidRPr="00E640EA" w:rsidRDefault="00AA5A06" w:rsidP="00AA5A06">
      <w:pPr>
        <w:rPr>
          <w:b/>
          <w:caps/>
          <w:sz w:val="20"/>
        </w:rPr>
      </w:pPr>
      <w:r w:rsidRPr="00E640EA">
        <w:rPr>
          <w:b/>
          <w:caps/>
          <w:sz w:val="20"/>
        </w:rPr>
        <w:t>A: Article</w:t>
      </w:r>
      <w:r>
        <w:rPr>
          <w:b/>
          <w:caps/>
          <w:sz w:val="20"/>
        </w:rPr>
        <w:t xml:space="preserve"> </w:t>
      </w:r>
      <w:r w:rsidRPr="00E640EA">
        <w:rPr>
          <w:b/>
          <w:caps/>
          <w:sz w:val="20"/>
        </w:rPr>
        <w:t>7 data (</w:t>
      </w:r>
      <w:r>
        <w:rPr>
          <w:b/>
          <w:caps/>
          <w:sz w:val="20"/>
        </w:rPr>
        <w:t>METRIC</w:t>
      </w:r>
      <w:r w:rsidRPr="00E640EA">
        <w:rPr>
          <w:b/>
          <w:caps/>
          <w:sz w:val="20"/>
        </w:rPr>
        <w:t xml:space="preserve"> tonnes</w:t>
      </w:r>
      <w:r>
        <w:rPr>
          <w:b/>
          <w:caps/>
          <w:sz w:val="20"/>
        </w:rPr>
        <w:t xml:space="preserve"> (MT)</w:t>
      </w:r>
      <w:r w:rsidRPr="00E640EA">
        <w:rPr>
          <w:b/>
          <w:caps/>
          <w:sz w:val="20"/>
        </w:rPr>
        <w:t xml:space="preserve">, </w:t>
      </w:r>
      <w:r>
        <w:rPr>
          <w:b/>
          <w:caps/>
          <w:sz w:val="20"/>
        </w:rPr>
        <w:t>2017</w:t>
      </w:r>
      <w:r w:rsidRPr="00E640EA">
        <w:rPr>
          <w:b/>
          <w:caps/>
          <w:sz w:val="20"/>
        </w:rPr>
        <w:t xml:space="preserve">, as </w:t>
      </w:r>
      <w:r>
        <w:rPr>
          <w:b/>
          <w:caps/>
          <w:sz w:val="20"/>
        </w:rPr>
        <w:t>OF MAY 2018</w:t>
      </w:r>
      <w:r w:rsidRPr="00E640EA">
        <w:rPr>
          <w:b/>
          <w:caps/>
          <w:sz w:val="20"/>
        </w:rPr>
        <w:t>)</w:t>
      </w:r>
    </w:p>
    <w:tbl>
      <w:tblPr>
        <w:tblStyle w:val="TableGrid"/>
        <w:tblpPr w:leftFromText="180" w:rightFromText="180" w:vertAnchor="text" w:horzAnchor="margin" w:tblpXSpec="center" w:tblpY="90"/>
        <w:tblW w:w="9331" w:type="dxa"/>
        <w:tblLook w:val="01E0" w:firstRow="1" w:lastRow="1" w:firstColumn="1" w:lastColumn="1" w:noHBand="0" w:noVBand="0"/>
      </w:tblPr>
      <w:tblGrid>
        <w:gridCol w:w="8071"/>
        <w:gridCol w:w="1260"/>
      </w:tblGrid>
      <w:tr w:rsidR="00AA5A06" w:rsidRPr="00E640EA" w14:paraId="2670B59D" w14:textId="77777777" w:rsidTr="00546503">
        <w:tc>
          <w:tcPr>
            <w:tcW w:w="8071" w:type="dxa"/>
          </w:tcPr>
          <w:p w14:paraId="612BB91F" w14:textId="77777777" w:rsidR="00AA5A06" w:rsidRPr="00E640EA" w:rsidRDefault="00AA5A06" w:rsidP="00546503">
            <w:pPr>
              <w:jc w:val="left"/>
              <w:rPr>
                <w:sz w:val="20"/>
                <w:highlight w:val="yellow"/>
              </w:rPr>
            </w:pPr>
            <w:r w:rsidRPr="00E640EA">
              <w:rPr>
                <w:sz w:val="20"/>
              </w:rPr>
              <w:t>HFCs</w:t>
            </w:r>
          </w:p>
        </w:tc>
        <w:tc>
          <w:tcPr>
            <w:tcW w:w="1260" w:type="dxa"/>
          </w:tcPr>
          <w:p w14:paraId="6569C9D4" w14:textId="77777777" w:rsidR="00AA5A06" w:rsidRPr="00E640EA" w:rsidRDefault="00AA5A06" w:rsidP="00546503">
            <w:pPr>
              <w:jc w:val="right"/>
              <w:rPr>
                <w:sz w:val="20"/>
              </w:rPr>
            </w:pPr>
            <w:r>
              <w:rPr>
                <w:sz w:val="20"/>
              </w:rPr>
              <w:t>n/a</w:t>
            </w:r>
          </w:p>
        </w:tc>
      </w:tr>
    </w:tbl>
    <w:p w14:paraId="4CF41B94" w14:textId="77777777" w:rsidR="00AA5A06" w:rsidRPr="00E640EA" w:rsidRDefault="00AA5A06" w:rsidP="00AA5A06">
      <w:pPr>
        <w:rPr>
          <w:b/>
          <w:caps/>
          <w:sz w:val="20"/>
        </w:rPr>
      </w:pPr>
      <w:r w:rsidRPr="00E640EA">
        <w:rPr>
          <w:b/>
          <w:sz w:val="20"/>
        </w:rPr>
        <w:t xml:space="preserve">B: COUNTRY PROGRAMME SECTORAL DATA </w:t>
      </w:r>
      <w:r w:rsidRPr="00E640EA">
        <w:rPr>
          <w:b/>
          <w:caps/>
          <w:sz w:val="20"/>
        </w:rPr>
        <w:t>(</w:t>
      </w:r>
      <w:r>
        <w:rPr>
          <w:b/>
          <w:caps/>
          <w:sz w:val="20"/>
        </w:rPr>
        <w:t>MT</w:t>
      </w:r>
      <w:r w:rsidRPr="00E640EA">
        <w:rPr>
          <w:b/>
          <w:caps/>
          <w:sz w:val="20"/>
        </w:rPr>
        <w:t xml:space="preserve">, </w:t>
      </w:r>
      <w:r>
        <w:rPr>
          <w:b/>
          <w:caps/>
          <w:sz w:val="20"/>
        </w:rPr>
        <w:t>2017</w:t>
      </w:r>
      <w:r w:rsidRPr="00E640EA">
        <w:rPr>
          <w:b/>
          <w:caps/>
          <w:sz w:val="20"/>
        </w:rPr>
        <w:t xml:space="preserve">, as </w:t>
      </w:r>
      <w:r>
        <w:rPr>
          <w:b/>
          <w:caps/>
          <w:sz w:val="20"/>
        </w:rPr>
        <w:t>OF MAY 2018)</w:t>
      </w:r>
    </w:p>
    <w:tbl>
      <w:tblPr>
        <w:tblStyle w:val="TableGrid"/>
        <w:tblW w:w="9344" w:type="dxa"/>
        <w:jc w:val="center"/>
        <w:tblLayout w:type="fixed"/>
        <w:tblLook w:val="01E0" w:firstRow="1" w:lastRow="1" w:firstColumn="1" w:lastColumn="1" w:noHBand="0" w:noVBand="0"/>
      </w:tblPr>
      <w:tblGrid>
        <w:gridCol w:w="8145"/>
        <w:gridCol w:w="1199"/>
      </w:tblGrid>
      <w:tr w:rsidR="00AA5A06" w:rsidRPr="00E640EA" w14:paraId="67FE93F1" w14:textId="77777777" w:rsidTr="00546503">
        <w:trPr>
          <w:jc w:val="center"/>
        </w:trPr>
        <w:tc>
          <w:tcPr>
            <w:tcW w:w="8145" w:type="dxa"/>
            <w:tcBorders>
              <w:right w:val="single" w:sz="4" w:space="0" w:color="auto"/>
            </w:tcBorders>
          </w:tcPr>
          <w:p w14:paraId="4BD2EAE9" w14:textId="77777777" w:rsidR="00AA5A06" w:rsidRPr="00E640EA" w:rsidRDefault="00AA5A06" w:rsidP="00546503">
            <w:pPr>
              <w:rPr>
                <w:sz w:val="20"/>
              </w:rPr>
            </w:pPr>
            <w:r w:rsidRPr="00E640EA">
              <w:rPr>
                <w:sz w:val="20"/>
              </w:rPr>
              <w:t>HFCs</w:t>
            </w:r>
          </w:p>
        </w:tc>
        <w:tc>
          <w:tcPr>
            <w:tcW w:w="1199" w:type="dxa"/>
            <w:tcBorders>
              <w:left w:val="single" w:sz="4" w:space="0" w:color="auto"/>
              <w:right w:val="single" w:sz="4" w:space="0" w:color="auto"/>
            </w:tcBorders>
            <w:shd w:val="clear" w:color="auto" w:fill="auto"/>
          </w:tcPr>
          <w:p w14:paraId="758AC6EE" w14:textId="77777777" w:rsidR="00AA5A06" w:rsidRPr="00E640EA" w:rsidRDefault="00AA5A06" w:rsidP="00546503">
            <w:pPr>
              <w:jc w:val="right"/>
              <w:rPr>
                <w:sz w:val="20"/>
              </w:rPr>
            </w:pPr>
            <w:r>
              <w:rPr>
                <w:sz w:val="20"/>
              </w:rPr>
              <w:t>*</w:t>
            </w:r>
          </w:p>
        </w:tc>
      </w:tr>
    </w:tbl>
    <w:p w14:paraId="0BDFBF64" w14:textId="77777777" w:rsidR="00AA5A06" w:rsidRDefault="00AA5A06" w:rsidP="00AA5A06">
      <w:pPr>
        <w:rPr>
          <w:sz w:val="18"/>
          <w:szCs w:val="18"/>
          <w:lang w:val="en-CA"/>
        </w:rPr>
      </w:pPr>
      <w:r w:rsidRPr="008C44BD">
        <w:t>*</w:t>
      </w:r>
      <w:r w:rsidRPr="008C44BD">
        <w:rPr>
          <w:sz w:val="18"/>
          <w:szCs w:val="18"/>
          <w:lang w:val="en-CA"/>
        </w:rPr>
        <w:t>Total consumption of 10,400 </w:t>
      </w:r>
      <w:proofErr w:type="spellStart"/>
      <w:r w:rsidRPr="008C44BD">
        <w:rPr>
          <w:sz w:val="18"/>
          <w:szCs w:val="18"/>
          <w:lang w:val="en-CA"/>
        </w:rPr>
        <w:t>mt</w:t>
      </w:r>
      <w:proofErr w:type="spellEnd"/>
      <w:r w:rsidRPr="008C44BD">
        <w:rPr>
          <w:sz w:val="18"/>
          <w:szCs w:val="18"/>
          <w:lang w:val="en-CA"/>
        </w:rPr>
        <w:t xml:space="preserve"> of HFC-245fa is estimated for 2017 for the manufacture of domestic refrigerators (source: project proposal).</w:t>
      </w:r>
    </w:p>
    <w:p w14:paraId="5A61FE77" w14:textId="77777777" w:rsidR="00AA5A06" w:rsidRPr="00E640EA" w:rsidRDefault="00AA5A06" w:rsidP="00AA5A06">
      <w:pPr>
        <w:rPr>
          <w:sz w:val="20"/>
        </w:rPr>
      </w:pPr>
    </w:p>
    <w:tbl>
      <w:tblPr>
        <w:tblStyle w:val="TableGrid"/>
        <w:tblW w:w="0" w:type="auto"/>
        <w:jc w:val="center"/>
        <w:tblLook w:val="01E0" w:firstRow="1" w:lastRow="1" w:firstColumn="1" w:lastColumn="1" w:noHBand="0" w:noVBand="0"/>
      </w:tblPr>
      <w:tblGrid>
        <w:gridCol w:w="7393"/>
        <w:gridCol w:w="1957"/>
      </w:tblGrid>
      <w:tr w:rsidR="00AA5A06" w:rsidRPr="00E640EA" w14:paraId="2F46573E" w14:textId="77777777" w:rsidTr="00546503">
        <w:trPr>
          <w:jc w:val="center"/>
        </w:trPr>
        <w:tc>
          <w:tcPr>
            <w:tcW w:w="7488" w:type="dxa"/>
          </w:tcPr>
          <w:p w14:paraId="08F1DD3E" w14:textId="77777777" w:rsidR="00AA5A06" w:rsidRPr="00E640EA" w:rsidRDefault="00AA5A06" w:rsidP="00546503">
            <w:pPr>
              <w:rPr>
                <w:b/>
                <w:sz w:val="20"/>
              </w:rPr>
            </w:pPr>
            <w:r w:rsidRPr="00E640EA">
              <w:rPr>
                <w:b/>
                <w:sz w:val="20"/>
              </w:rPr>
              <w:t>HFC consumption remaining eligible for funding (ODP tonnes)</w:t>
            </w:r>
          </w:p>
        </w:tc>
        <w:tc>
          <w:tcPr>
            <w:tcW w:w="1980" w:type="dxa"/>
          </w:tcPr>
          <w:p w14:paraId="41C14A25" w14:textId="77777777" w:rsidR="00AA5A06" w:rsidRPr="00E640EA" w:rsidRDefault="00AA5A06" w:rsidP="00546503">
            <w:pPr>
              <w:jc w:val="right"/>
              <w:rPr>
                <w:sz w:val="20"/>
              </w:rPr>
            </w:pPr>
            <w:r w:rsidRPr="00E640EA">
              <w:rPr>
                <w:sz w:val="20"/>
              </w:rPr>
              <w:t>n/a</w:t>
            </w:r>
          </w:p>
        </w:tc>
      </w:tr>
    </w:tbl>
    <w:p w14:paraId="388DAB48" w14:textId="77777777" w:rsidR="00AA5A06" w:rsidRPr="00E640EA" w:rsidRDefault="00AA5A06" w:rsidP="00AA5A06">
      <w:pPr>
        <w:rPr>
          <w:sz w:val="20"/>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186"/>
        <w:gridCol w:w="450"/>
        <w:gridCol w:w="2573"/>
        <w:gridCol w:w="2141"/>
      </w:tblGrid>
      <w:tr w:rsidR="00AA5A06" w:rsidRPr="00E640EA" w14:paraId="34465F2D" w14:textId="77777777" w:rsidTr="00546503">
        <w:trPr>
          <w:trHeight w:val="248"/>
        </w:trPr>
        <w:tc>
          <w:tcPr>
            <w:tcW w:w="4248" w:type="dxa"/>
            <w:vMerge w:val="restart"/>
            <w:tcBorders>
              <w:right w:val="single" w:sz="4" w:space="0" w:color="auto"/>
            </w:tcBorders>
          </w:tcPr>
          <w:p w14:paraId="2DF0C71E" w14:textId="77777777" w:rsidR="00AA5A06" w:rsidRPr="00E640EA" w:rsidRDefault="00AA5A06" w:rsidP="00546503">
            <w:pPr>
              <w:jc w:val="left"/>
              <w:rPr>
                <w:i/>
                <w:sz w:val="20"/>
              </w:rPr>
            </w:pPr>
            <w:r w:rsidRPr="00E640EA">
              <w:rPr>
                <w:b/>
                <w:caps/>
                <w:sz w:val="20"/>
              </w:rPr>
              <w:t>Current year Business Plan ALLOCATIONS</w:t>
            </w:r>
          </w:p>
        </w:tc>
        <w:tc>
          <w:tcPr>
            <w:tcW w:w="450" w:type="dxa"/>
            <w:tcBorders>
              <w:left w:val="single" w:sz="4" w:space="0" w:color="auto"/>
              <w:right w:val="single" w:sz="4" w:space="0" w:color="auto"/>
            </w:tcBorders>
          </w:tcPr>
          <w:p w14:paraId="09139B33" w14:textId="77777777" w:rsidR="00AA5A06" w:rsidRPr="00E640EA" w:rsidRDefault="00AA5A06" w:rsidP="00546503">
            <w:pPr>
              <w:rPr>
                <w:i/>
                <w:sz w:val="20"/>
              </w:rPr>
            </w:pPr>
          </w:p>
        </w:tc>
        <w:tc>
          <w:tcPr>
            <w:tcW w:w="2610" w:type="dxa"/>
            <w:tcBorders>
              <w:left w:val="single" w:sz="4" w:space="0" w:color="auto"/>
              <w:right w:val="single" w:sz="4" w:space="0" w:color="auto"/>
            </w:tcBorders>
          </w:tcPr>
          <w:p w14:paraId="5035AA13" w14:textId="77777777" w:rsidR="00AA5A06" w:rsidRPr="00E640EA" w:rsidRDefault="00AA5A06" w:rsidP="00546503">
            <w:pPr>
              <w:jc w:val="center"/>
              <w:rPr>
                <w:b/>
                <w:i/>
                <w:sz w:val="20"/>
              </w:rPr>
            </w:pPr>
            <w:r w:rsidRPr="00E640EA">
              <w:rPr>
                <w:b/>
                <w:sz w:val="20"/>
              </w:rPr>
              <w:t xml:space="preserve">Funding </w:t>
            </w:r>
            <w:r>
              <w:rPr>
                <w:b/>
                <w:sz w:val="20"/>
              </w:rPr>
              <w:t>(US $)</w:t>
            </w:r>
          </w:p>
        </w:tc>
        <w:tc>
          <w:tcPr>
            <w:tcW w:w="2160" w:type="dxa"/>
            <w:tcBorders>
              <w:left w:val="single" w:sz="4" w:space="0" w:color="auto"/>
            </w:tcBorders>
          </w:tcPr>
          <w:p w14:paraId="35CA7DBC" w14:textId="77777777" w:rsidR="00AA5A06" w:rsidRPr="00E640EA" w:rsidRDefault="00AA5A06" w:rsidP="00546503">
            <w:pPr>
              <w:jc w:val="center"/>
              <w:rPr>
                <w:b/>
                <w:i/>
                <w:sz w:val="20"/>
              </w:rPr>
            </w:pPr>
            <w:r w:rsidRPr="00E640EA">
              <w:rPr>
                <w:b/>
                <w:sz w:val="20"/>
              </w:rPr>
              <w:t xml:space="preserve">Phase-out </w:t>
            </w:r>
            <w:r>
              <w:rPr>
                <w:b/>
                <w:sz w:val="20"/>
              </w:rPr>
              <w:t>(</w:t>
            </w:r>
            <w:r w:rsidRPr="00E640EA">
              <w:rPr>
                <w:b/>
                <w:sz w:val="20"/>
              </w:rPr>
              <w:t>ODP</w:t>
            </w:r>
            <w:r>
              <w:rPr>
                <w:b/>
                <w:sz w:val="20"/>
              </w:rPr>
              <w:t> </w:t>
            </w:r>
            <w:r w:rsidRPr="00E640EA">
              <w:rPr>
                <w:b/>
                <w:sz w:val="20"/>
              </w:rPr>
              <w:t>tonnes</w:t>
            </w:r>
            <w:r>
              <w:rPr>
                <w:b/>
                <w:sz w:val="20"/>
              </w:rPr>
              <w:t>)</w:t>
            </w:r>
          </w:p>
        </w:tc>
      </w:tr>
      <w:tr w:rsidR="00AA5A06" w:rsidRPr="00E640EA" w14:paraId="2BE2E156" w14:textId="77777777" w:rsidTr="00546503">
        <w:trPr>
          <w:trHeight w:val="172"/>
        </w:trPr>
        <w:tc>
          <w:tcPr>
            <w:tcW w:w="4248" w:type="dxa"/>
            <w:vMerge/>
            <w:tcBorders>
              <w:right w:val="single" w:sz="4" w:space="0" w:color="auto"/>
            </w:tcBorders>
          </w:tcPr>
          <w:p w14:paraId="0ABE1EF0" w14:textId="77777777" w:rsidR="00AA5A06" w:rsidRPr="00E640EA" w:rsidRDefault="00AA5A06" w:rsidP="00546503">
            <w:pPr>
              <w:rPr>
                <w:sz w:val="20"/>
              </w:rPr>
            </w:pPr>
          </w:p>
        </w:tc>
        <w:tc>
          <w:tcPr>
            <w:tcW w:w="450" w:type="dxa"/>
            <w:tcBorders>
              <w:left w:val="single" w:sz="4" w:space="0" w:color="auto"/>
              <w:right w:val="single" w:sz="4" w:space="0" w:color="auto"/>
            </w:tcBorders>
          </w:tcPr>
          <w:p w14:paraId="3AB58BA5" w14:textId="77777777" w:rsidR="00AA5A06" w:rsidRPr="00E640EA" w:rsidRDefault="00AA5A06" w:rsidP="00546503">
            <w:pPr>
              <w:rPr>
                <w:sz w:val="20"/>
              </w:rPr>
            </w:pPr>
            <w:r w:rsidRPr="00E640EA">
              <w:rPr>
                <w:sz w:val="20"/>
              </w:rPr>
              <w:t>(a)</w:t>
            </w:r>
          </w:p>
        </w:tc>
        <w:tc>
          <w:tcPr>
            <w:tcW w:w="2610" w:type="dxa"/>
            <w:tcBorders>
              <w:left w:val="single" w:sz="4" w:space="0" w:color="auto"/>
              <w:right w:val="single" w:sz="4" w:space="0" w:color="auto"/>
            </w:tcBorders>
          </w:tcPr>
          <w:p w14:paraId="61BB0418" w14:textId="77777777" w:rsidR="00AA5A06" w:rsidRPr="00E640EA" w:rsidRDefault="00AA5A06" w:rsidP="00546503">
            <w:pPr>
              <w:jc w:val="right"/>
              <w:rPr>
                <w:sz w:val="20"/>
              </w:rPr>
            </w:pPr>
            <w:r>
              <w:rPr>
                <w:lang w:val="en-CA"/>
              </w:rPr>
              <w:t>1,217,897</w:t>
            </w:r>
          </w:p>
        </w:tc>
        <w:tc>
          <w:tcPr>
            <w:tcW w:w="2160" w:type="dxa"/>
            <w:tcBorders>
              <w:left w:val="single" w:sz="4" w:space="0" w:color="auto"/>
            </w:tcBorders>
          </w:tcPr>
          <w:p w14:paraId="5E98EDAD" w14:textId="77777777" w:rsidR="00AA5A06" w:rsidRPr="00E640EA" w:rsidRDefault="00AA5A06" w:rsidP="00546503">
            <w:pPr>
              <w:jc w:val="right"/>
              <w:rPr>
                <w:sz w:val="20"/>
              </w:rPr>
            </w:pPr>
            <w:r>
              <w:rPr>
                <w:sz w:val="20"/>
              </w:rPr>
              <w:t>0.0</w:t>
            </w:r>
            <w:r w:rsidRPr="00E640EA">
              <w:rPr>
                <w:sz w:val="20"/>
              </w:rPr>
              <w:t>0</w:t>
            </w:r>
          </w:p>
        </w:tc>
      </w:tr>
    </w:tbl>
    <w:p w14:paraId="39EB71C4" w14:textId="77777777" w:rsidR="00AA5A06" w:rsidRDefault="00AA5A06" w:rsidP="00AA5A06">
      <w:pPr>
        <w:rPr>
          <w:sz w:val="20"/>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3"/>
        <w:gridCol w:w="4985"/>
        <w:gridCol w:w="1554"/>
        <w:gridCol w:w="1554"/>
      </w:tblGrid>
      <w:tr w:rsidR="00AA5A06" w:rsidRPr="00E640EA" w14:paraId="0D140AE3"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187837A9"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b/>
                <w:sz w:val="20"/>
                <w:lang w:val="en-CA"/>
              </w:rPr>
            </w:pPr>
            <w:r w:rsidRPr="00E640EA">
              <w:rPr>
                <w:rFonts w:eastAsia="Calibri"/>
                <w:b/>
                <w:sz w:val="20"/>
                <w:lang w:val="en-CA"/>
              </w:rPr>
              <w:t>PROJECT TITLE:</w:t>
            </w:r>
          </w:p>
        </w:tc>
        <w:tc>
          <w:tcPr>
            <w:tcW w:w="1554" w:type="dxa"/>
            <w:tcBorders>
              <w:top w:val="single" w:sz="4" w:space="0" w:color="auto"/>
              <w:left w:val="single" w:sz="4" w:space="0" w:color="auto"/>
              <w:bottom w:val="single" w:sz="4" w:space="0" w:color="auto"/>
              <w:right w:val="single" w:sz="4" w:space="0" w:color="auto"/>
            </w:tcBorders>
          </w:tcPr>
          <w:p w14:paraId="56FBFE7F"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1C5F3F81"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sz w:val="20"/>
                <w:lang w:val="en-CA"/>
              </w:rPr>
            </w:pPr>
          </w:p>
        </w:tc>
      </w:tr>
      <w:tr w:rsidR="00AA5A06" w:rsidRPr="00E640EA" w14:paraId="7629A025" w14:textId="77777777" w:rsidTr="00546503">
        <w:trPr>
          <w:jc w:val="center"/>
        </w:trPr>
        <w:tc>
          <w:tcPr>
            <w:tcW w:w="6238" w:type="dxa"/>
            <w:gridSpan w:val="2"/>
            <w:vMerge w:val="restart"/>
            <w:tcBorders>
              <w:top w:val="single" w:sz="4" w:space="0" w:color="auto"/>
              <w:left w:val="single" w:sz="4" w:space="0" w:color="auto"/>
              <w:right w:val="single" w:sz="4" w:space="0" w:color="auto"/>
            </w:tcBorders>
            <w:vAlign w:val="center"/>
          </w:tcPr>
          <w:p w14:paraId="54F263D5"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sz w:val="20"/>
              </w:rPr>
              <w:t>HFC-</w:t>
            </w:r>
            <w:r>
              <w:rPr>
                <w:sz w:val="20"/>
              </w:rPr>
              <w:t>245fa</w:t>
            </w:r>
            <w:r w:rsidRPr="00E640EA">
              <w:rPr>
                <w:sz w:val="20"/>
              </w:rPr>
              <w:t xml:space="preserve"> used at enterprise</w:t>
            </w:r>
            <w:r>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71ECB326"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w:t>
            </w:r>
            <w:r w:rsidRPr="00E640EA">
              <w:rPr>
                <w:rFonts w:eastAsia="Calibri"/>
                <w:sz w:val="20"/>
                <w:lang w:val="en-CA"/>
              </w:rPr>
              <w:t>t</w:t>
            </w:r>
            <w:proofErr w:type="spellEnd"/>
          </w:p>
        </w:tc>
        <w:tc>
          <w:tcPr>
            <w:tcW w:w="1554" w:type="dxa"/>
            <w:tcBorders>
              <w:top w:val="single" w:sz="4" w:space="0" w:color="auto"/>
              <w:left w:val="single" w:sz="4" w:space="0" w:color="auto"/>
              <w:bottom w:val="single" w:sz="4" w:space="0" w:color="auto"/>
              <w:right w:val="single" w:sz="4" w:space="0" w:color="auto"/>
            </w:tcBorders>
          </w:tcPr>
          <w:p w14:paraId="20A1B1AB"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1,200</w:t>
            </w:r>
          </w:p>
        </w:tc>
      </w:tr>
      <w:tr w:rsidR="00AA5A06" w:rsidRPr="00E640EA" w14:paraId="67C8EE64" w14:textId="77777777" w:rsidTr="00546503">
        <w:trPr>
          <w:jc w:val="center"/>
        </w:trPr>
        <w:tc>
          <w:tcPr>
            <w:tcW w:w="6238" w:type="dxa"/>
            <w:gridSpan w:val="2"/>
            <w:vMerge/>
            <w:tcBorders>
              <w:left w:val="single" w:sz="4" w:space="0" w:color="auto"/>
              <w:bottom w:val="single" w:sz="4" w:space="0" w:color="auto"/>
              <w:right w:val="single" w:sz="4" w:space="0" w:color="auto"/>
            </w:tcBorders>
          </w:tcPr>
          <w:p w14:paraId="35F1A008"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11951EA9"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2</w:t>
            </w:r>
            <w:r w:rsidRPr="00E640EA">
              <w:rPr>
                <w:rFonts w:eastAsia="Calibri"/>
                <w:sz w:val="20"/>
                <w:lang w:val="en-CA"/>
              </w:rPr>
              <w:t xml:space="preserve"> eq.</w:t>
            </w:r>
          </w:p>
        </w:tc>
        <w:tc>
          <w:tcPr>
            <w:tcW w:w="1554" w:type="dxa"/>
            <w:tcBorders>
              <w:top w:val="single" w:sz="4" w:space="0" w:color="auto"/>
              <w:left w:val="single" w:sz="4" w:space="0" w:color="auto"/>
              <w:bottom w:val="single" w:sz="4" w:space="0" w:color="auto"/>
              <w:right w:val="single" w:sz="4" w:space="0" w:color="auto"/>
            </w:tcBorders>
          </w:tcPr>
          <w:p w14:paraId="20C60560"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1,236,000</w:t>
            </w:r>
          </w:p>
        </w:tc>
      </w:tr>
      <w:tr w:rsidR="00AA5A06" w:rsidRPr="00E640EA" w14:paraId="27BD79DD" w14:textId="77777777" w:rsidTr="00546503">
        <w:trPr>
          <w:jc w:val="center"/>
        </w:trPr>
        <w:tc>
          <w:tcPr>
            <w:tcW w:w="6238" w:type="dxa"/>
            <w:gridSpan w:val="2"/>
            <w:vMerge w:val="restart"/>
            <w:tcBorders>
              <w:top w:val="single" w:sz="4" w:space="0" w:color="auto"/>
              <w:left w:val="single" w:sz="4" w:space="0" w:color="auto"/>
              <w:right w:val="single" w:sz="4" w:space="0" w:color="auto"/>
            </w:tcBorders>
            <w:vAlign w:val="center"/>
          </w:tcPr>
          <w:p w14:paraId="226E6D36"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HFC-</w:t>
            </w:r>
            <w:r>
              <w:rPr>
                <w:rFonts w:eastAsia="Calibri"/>
                <w:sz w:val="20"/>
                <w:lang w:val="en-CA"/>
              </w:rPr>
              <w:t>245fa</w:t>
            </w:r>
            <w:r w:rsidRPr="00E640EA">
              <w:rPr>
                <w:rFonts w:eastAsia="Calibri"/>
                <w:sz w:val="20"/>
                <w:lang w:val="en-CA"/>
              </w:rPr>
              <w:t xml:space="preserve"> to be phased out through this project:</w:t>
            </w:r>
          </w:p>
        </w:tc>
        <w:tc>
          <w:tcPr>
            <w:tcW w:w="1554" w:type="dxa"/>
            <w:tcBorders>
              <w:top w:val="single" w:sz="4" w:space="0" w:color="auto"/>
              <w:left w:val="single" w:sz="4" w:space="0" w:color="auto"/>
              <w:bottom w:val="single" w:sz="4" w:space="0" w:color="auto"/>
              <w:right w:val="single" w:sz="4" w:space="0" w:color="auto"/>
            </w:tcBorders>
          </w:tcPr>
          <w:p w14:paraId="01608644"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w:t>
            </w:r>
            <w:r w:rsidRPr="00E640EA">
              <w:rPr>
                <w:rFonts w:eastAsia="Calibri"/>
                <w:sz w:val="20"/>
                <w:lang w:val="en-CA"/>
              </w:rPr>
              <w:t>t</w:t>
            </w:r>
            <w:proofErr w:type="spellEnd"/>
          </w:p>
        </w:tc>
        <w:tc>
          <w:tcPr>
            <w:tcW w:w="1554" w:type="dxa"/>
            <w:tcBorders>
              <w:top w:val="single" w:sz="4" w:space="0" w:color="auto"/>
              <w:left w:val="single" w:sz="4" w:space="0" w:color="auto"/>
              <w:bottom w:val="single" w:sz="4" w:space="0" w:color="auto"/>
              <w:right w:val="single" w:sz="4" w:space="0" w:color="auto"/>
            </w:tcBorders>
          </w:tcPr>
          <w:p w14:paraId="6F0B836A"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250</w:t>
            </w:r>
          </w:p>
        </w:tc>
      </w:tr>
      <w:tr w:rsidR="00AA5A06" w:rsidRPr="00E640EA" w14:paraId="7C332472" w14:textId="77777777" w:rsidTr="00546503">
        <w:trPr>
          <w:jc w:val="center"/>
        </w:trPr>
        <w:tc>
          <w:tcPr>
            <w:tcW w:w="6238" w:type="dxa"/>
            <w:gridSpan w:val="2"/>
            <w:vMerge/>
            <w:tcBorders>
              <w:left w:val="single" w:sz="4" w:space="0" w:color="auto"/>
              <w:bottom w:val="single" w:sz="4" w:space="0" w:color="auto"/>
              <w:right w:val="single" w:sz="4" w:space="0" w:color="auto"/>
            </w:tcBorders>
          </w:tcPr>
          <w:p w14:paraId="2AF8D825"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2788DA83" w14:textId="50999041"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2</w:t>
            </w:r>
            <w:r w:rsidRPr="00E640EA">
              <w:rPr>
                <w:rFonts w:eastAsia="Calibri"/>
                <w:sz w:val="20"/>
                <w:lang w:val="en-CA"/>
              </w:rPr>
              <w:t xml:space="preserve"> eq</w:t>
            </w:r>
            <w:r>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4833899D"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257,500</w:t>
            </w:r>
          </w:p>
        </w:tc>
      </w:tr>
      <w:tr w:rsidR="00AA5A06" w:rsidRPr="00E640EA" w14:paraId="36A9C874" w14:textId="77777777" w:rsidTr="00546503">
        <w:trPr>
          <w:jc w:val="center"/>
        </w:trPr>
        <w:tc>
          <w:tcPr>
            <w:tcW w:w="6238" w:type="dxa"/>
            <w:gridSpan w:val="2"/>
            <w:vMerge w:val="restart"/>
            <w:tcBorders>
              <w:top w:val="single" w:sz="4" w:space="0" w:color="auto"/>
              <w:left w:val="single" w:sz="4" w:space="0" w:color="auto"/>
              <w:right w:val="single" w:sz="4" w:space="0" w:color="auto"/>
            </w:tcBorders>
            <w:vAlign w:val="center"/>
          </w:tcPr>
          <w:p w14:paraId="510A3681"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HFC-</w:t>
            </w:r>
            <w:r>
              <w:rPr>
                <w:rFonts w:eastAsia="Calibri"/>
                <w:sz w:val="20"/>
                <w:lang w:val="en-CA"/>
              </w:rPr>
              <w:t>245fa</w:t>
            </w:r>
            <w:r w:rsidRPr="00E640EA">
              <w:rPr>
                <w:rFonts w:eastAsia="Calibri"/>
                <w:sz w:val="20"/>
                <w:lang w:val="en-CA"/>
              </w:rPr>
              <w:t>/alternatives to be phased in</w:t>
            </w:r>
            <w:r>
              <w:rPr>
                <w:rFonts w:eastAsia="Calibri"/>
                <w:sz w:val="20"/>
                <w:lang w:val="en-CA"/>
              </w:rPr>
              <w:t>:</w:t>
            </w:r>
            <w:r w:rsidRPr="00E640EA">
              <w:rPr>
                <w:rFonts w:eastAsia="Calibri"/>
                <w:sz w:val="20"/>
                <w:lang w:val="en-CA"/>
              </w:rPr>
              <w:t xml:space="preserve"> </w:t>
            </w:r>
          </w:p>
        </w:tc>
        <w:tc>
          <w:tcPr>
            <w:tcW w:w="1554" w:type="dxa"/>
            <w:tcBorders>
              <w:top w:val="single" w:sz="4" w:space="0" w:color="auto"/>
              <w:left w:val="single" w:sz="4" w:space="0" w:color="auto"/>
              <w:bottom w:val="single" w:sz="4" w:space="0" w:color="auto"/>
              <w:right w:val="single" w:sz="4" w:space="0" w:color="auto"/>
            </w:tcBorders>
          </w:tcPr>
          <w:p w14:paraId="0FD9CDE8"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w:t>
            </w:r>
            <w:r w:rsidRPr="00E640EA">
              <w:rPr>
                <w:rFonts w:eastAsia="Calibri"/>
                <w:sz w:val="20"/>
                <w:lang w:val="en-CA"/>
              </w:rPr>
              <w:t>t</w:t>
            </w:r>
            <w:proofErr w:type="spellEnd"/>
          </w:p>
        </w:tc>
        <w:tc>
          <w:tcPr>
            <w:tcW w:w="1554" w:type="dxa"/>
            <w:tcBorders>
              <w:top w:val="single" w:sz="4" w:space="0" w:color="auto"/>
              <w:left w:val="single" w:sz="4" w:space="0" w:color="auto"/>
              <w:bottom w:val="single" w:sz="4" w:space="0" w:color="auto"/>
              <w:right w:val="single" w:sz="4" w:space="0" w:color="auto"/>
            </w:tcBorders>
          </w:tcPr>
          <w:p w14:paraId="31BCE4FF"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250</w:t>
            </w:r>
          </w:p>
        </w:tc>
      </w:tr>
      <w:tr w:rsidR="00AA5A06" w:rsidRPr="00E640EA" w14:paraId="293A4872" w14:textId="77777777" w:rsidTr="00546503">
        <w:trPr>
          <w:jc w:val="center"/>
        </w:trPr>
        <w:tc>
          <w:tcPr>
            <w:tcW w:w="6238" w:type="dxa"/>
            <w:gridSpan w:val="2"/>
            <w:vMerge/>
            <w:tcBorders>
              <w:left w:val="single" w:sz="4" w:space="0" w:color="auto"/>
              <w:bottom w:val="single" w:sz="4" w:space="0" w:color="auto"/>
              <w:right w:val="single" w:sz="4" w:space="0" w:color="auto"/>
            </w:tcBorders>
            <w:vAlign w:val="center"/>
          </w:tcPr>
          <w:p w14:paraId="2A7BDE5D"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6D0E4F8D" w14:textId="63248C8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2</w:t>
            </w:r>
            <w:r w:rsidRPr="00E640EA">
              <w:rPr>
                <w:rFonts w:eastAsia="Calibri"/>
                <w:sz w:val="20"/>
                <w:lang w:val="en-CA"/>
              </w:rPr>
              <w:t xml:space="preserve"> eq</w:t>
            </w:r>
            <w:r>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590ED626"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750</w:t>
            </w:r>
          </w:p>
        </w:tc>
      </w:tr>
      <w:tr w:rsidR="00AA5A06" w:rsidRPr="00E640EA" w14:paraId="519E5B80"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3BFA12AF"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Project duration (months):</w:t>
            </w:r>
          </w:p>
        </w:tc>
        <w:tc>
          <w:tcPr>
            <w:tcW w:w="1554" w:type="dxa"/>
            <w:tcBorders>
              <w:top w:val="single" w:sz="4" w:space="0" w:color="auto"/>
              <w:left w:val="single" w:sz="4" w:space="0" w:color="auto"/>
              <w:bottom w:val="single" w:sz="4" w:space="0" w:color="auto"/>
              <w:right w:val="single" w:sz="4" w:space="0" w:color="auto"/>
            </w:tcBorders>
          </w:tcPr>
          <w:p w14:paraId="03AB922E" w14:textId="77777777" w:rsidR="00AA5A06" w:rsidRPr="00E640EA" w:rsidRDefault="00AA5A06" w:rsidP="00546503">
            <w:pPr>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68139094" w14:textId="77777777" w:rsidR="00AA5A06" w:rsidRPr="00E640EA" w:rsidRDefault="00AA5A06" w:rsidP="00546503">
            <w:pPr>
              <w:jc w:val="right"/>
              <w:rPr>
                <w:rFonts w:eastAsia="Calibri"/>
                <w:sz w:val="20"/>
                <w:lang w:val="en-CA"/>
              </w:rPr>
            </w:pPr>
            <w:r>
              <w:rPr>
                <w:rFonts w:eastAsia="Calibri"/>
                <w:sz w:val="20"/>
                <w:lang w:val="en-CA"/>
              </w:rPr>
              <w:t>24</w:t>
            </w:r>
          </w:p>
        </w:tc>
      </w:tr>
      <w:tr w:rsidR="00AA5A06" w:rsidRPr="008C44BD" w14:paraId="1964F06E"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43292041"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Initial amount requested (</w:t>
            </w:r>
            <w:r>
              <w:rPr>
                <w:rFonts w:eastAsia="Calibri"/>
                <w:sz w:val="20"/>
                <w:lang w:val="en-CA"/>
              </w:rPr>
              <w:t>US $</w:t>
            </w:r>
            <w:r w:rsidRPr="00E640EA">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1BC746E4"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highlight w:val="cyan"/>
                <w:lang w:val="en-CA"/>
              </w:rPr>
            </w:pPr>
          </w:p>
        </w:tc>
        <w:tc>
          <w:tcPr>
            <w:tcW w:w="1554" w:type="dxa"/>
            <w:tcBorders>
              <w:top w:val="single" w:sz="4" w:space="0" w:color="auto"/>
              <w:left w:val="single" w:sz="4" w:space="0" w:color="auto"/>
              <w:bottom w:val="single" w:sz="4" w:space="0" w:color="auto"/>
              <w:right w:val="single" w:sz="4" w:space="0" w:color="auto"/>
            </w:tcBorders>
          </w:tcPr>
          <w:p w14:paraId="46F7542C" w14:textId="77777777" w:rsidR="00AA5A06" w:rsidRPr="008C44BD"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sidRPr="008C44BD">
              <w:rPr>
                <w:rFonts w:eastAsia="Calibri"/>
                <w:sz w:val="20"/>
                <w:lang w:val="en-CA"/>
              </w:rPr>
              <w:t>3,877,300</w:t>
            </w:r>
          </w:p>
        </w:tc>
      </w:tr>
      <w:tr w:rsidR="00AA5A06" w:rsidRPr="00E640EA" w14:paraId="094C5265"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50687AA3"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Final project costs (</w:t>
            </w:r>
            <w:r>
              <w:rPr>
                <w:rFonts w:eastAsia="Calibri"/>
                <w:sz w:val="20"/>
                <w:lang w:val="en-CA"/>
              </w:rPr>
              <w:t>US $</w:t>
            </w:r>
            <w:r w:rsidRPr="00E640EA">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53358E6A"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highlight w:val="green"/>
                <w:lang w:val="en-CA"/>
              </w:rPr>
            </w:pPr>
          </w:p>
        </w:tc>
        <w:tc>
          <w:tcPr>
            <w:tcW w:w="1554" w:type="dxa"/>
            <w:tcBorders>
              <w:top w:val="single" w:sz="4" w:space="0" w:color="auto"/>
              <w:left w:val="single" w:sz="4" w:space="0" w:color="auto"/>
              <w:bottom w:val="single" w:sz="4" w:space="0" w:color="auto"/>
              <w:right w:val="single" w:sz="4" w:space="0" w:color="auto"/>
            </w:tcBorders>
          </w:tcPr>
          <w:p w14:paraId="48A5521F"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highlight w:val="green"/>
                <w:lang w:val="en-CA"/>
              </w:rPr>
            </w:pPr>
          </w:p>
        </w:tc>
      </w:tr>
      <w:tr w:rsidR="00AA5A06" w:rsidRPr="00E640EA" w14:paraId="59DF2279" w14:textId="77777777" w:rsidTr="00546503">
        <w:trPr>
          <w:jc w:val="center"/>
        </w:trPr>
        <w:tc>
          <w:tcPr>
            <w:tcW w:w="1253" w:type="dxa"/>
            <w:tcBorders>
              <w:top w:val="single" w:sz="4" w:space="0" w:color="auto"/>
              <w:left w:val="single" w:sz="4" w:space="0" w:color="auto"/>
              <w:bottom w:val="single" w:sz="4" w:space="0" w:color="auto"/>
              <w:right w:val="nil"/>
            </w:tcBorders>
          </w:tcPr>
          <w:p w14:paraId="5001AC15"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4985" w:type="dxa"/>
            <w:tcBorders>
              <w:top w:val="single" w:sz="4" w:space="0" w:color="auto"/>
              <w:left w:val="nil"/>
              <w:bottom w:val="single" w:sz="4" w:space="0" w:color="auto"/>
              <w:right w:val="single" w:sz="4" w:space="0" w:color="auto"/>
            </w:tcBorders>
          </w:tcPr>
          <w:p w14:paraId="6B336EBA" w14:textId="77777777" w:rsidR="00AA5A06" w:rsidRPr="00E640EA" w:rsidRDefault="00AA5A06" w:rsidP="00546503">
            <w:pPr>
              <w:tabs>
                <w:tab w:val="left" w:pos="-717"/>
                <w:tab w:val="left" w:pos="5042"/>
                <w:tab w:val="left" w:pos="5762"/>
                <w:tab w:val="left" w:pos="6482"/>
                <w:tab w:val="left" w:pos="7202"/>
                <w:tab w:val="left" w:pos="7922"/>
              </w:tabs>
              <w:ind w:right="-108"/>
              <w:jc w:val="left"/>
              <w:rPr>
                <w:rFonts w:eastAsia="Calibri"/>
                <w:sz w:val="20"/>
                <w:lang w:val="en-CA"/>
              </w:rPr>
            </w:pPr>
            <w:r w:rsidRPr="00E640EA">
              <w:rPr>
                <w:rFonts w:eastAsia="Calibri"/>
                <w:sz w:val="20"/>
                <w:lang w:val="en-CA"/>
              </w:rPr>
              <w:t>Incremental capital cost</w:t>
            </w:r>
            <w:r>
              <w:rPr>
                <w:rFonts w:eastAsia="Calibri"/>
                <w:sz w:val="20"/>
                <w:lang w:val="en-CA"/>
              </w:rPr>
              <w:t>s</w:t>
            </w:r>
            <w:r w:rsidRPr="00E640EA">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2F2BD241"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3F2DC4AE"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r>
      <w:tr w:rsidR="00AA5A06" w:rsidRPr="00E640EA" w14:paraId="10A01145" w14:textId="77777777" w:rsidTr="00546503">
        <w:trPr>
          <w:jc w:val="center"/>
        </w:trPr>
        <w:tc>
          <w:tcPr>
            <w:tcW w:w="1253" w:type="dxa"/>
            <w:tcBorders>
              <w:top w:val="single" w:sz="4" w:space="0" w:color="auto"/>
              <w:left w:val="single" w:sz="4" w:space="0" w:color="auto"/>
              <w:bottom w:val="single" w:sz="4" w:space="0" w:color="auto"/>
              <w:right w:val="nil"/>
            </w:tcBorders>
          </w:tcPr>
          <w:p w14:paraId="603A5EF0"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4985" w:type="dxa"/>
            <w:tcBorders>
              <w:top w:val="single" w:sz="4" w:space="0" w:color="auto"/>
              <w:left w:val="nil"/>
              <w:bottom w:val="single" w:sz="4" w:space="0" w:color="auto"/>
              <w:right w:val="single" w:sz="4" w:space="0" w:color="auto"/>
            </w:tcBorders>
          </w:tcPr>
          <w:p w14:paraId="3A58F501" w14:textId="77777777" w:rsidR="00AA5A06" w:rsidRPr="00E640EA" w:rsidRDefault="00AA5A06" w:rsidP="00546503">
            <w:pPr>
              <w:tabs>
                <w:tab w:val="left" w:pos="-717"/>
                <w:tab w:val="left" w:pos="5042"/>
                <w:tab w:val="left" w:pos="5762"/>
                <w:tab w:val="left" w:pos="6482"/>
                <w:tab w:val="left" w:pos="7202"/>
                <w:tab w:val="left" w:pos="7922"/>
              </w:tabs>
              <w:ind w:right="2052"/>
              <w:jc w:val="left"/>
              <w:rPr>
                <w:rFonts w:eastAsia="Calibri"/>
                <w:sz w:val="20"/>
                <w:lang w:val="en-CA"/>
              </w:rPr>
            </w:pPr>
            <w:r w:rsidRPr="00E640EA">
              <w:rPr>
                <w:rFonts w:eastAsia="Calibri"/>
                <w:sz w:val="20"/>
                <w:lang w:val="en-CA"/>
              </w:rPr>
              <w:t>Contingency (10 %):</w:t>
            </w:r>
          </w:p>
        </w:tc>
        <w:tc>
          <w:tcPr>
            <w:tcW w:w="1554" w:type="dxa"/>
            <w:tcBorders>
              <w:top w:val="single" w:sz="4" w:space="0" w:color="auto"/>
              <w:left w:val="single" w:sz="4" w:space="0" w:color="auto"/>
              <w:bottom w:val="single" w:sz="4" w:space="0" w:color="auto"/>
              <w:right w:val="single" w:sz="4" w:space="0" w:color="auto"/>
            </w:tcBorders>
          </w:tcPr>
          <w:p w14:paraId="01BBFCB6"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23DA8153"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r>
      <w:tr w:rsidR="00AA5A06" w:rsidRPr="00E640EA" w14:paraId="4BF11191" w14:textId="77777777" w:rsidTr="00546503">
        <w:trPr>
          <w:jc w:val="center"/>
        </w:trPr>
        <w:tc>
          <w:tcPr>
            <w:tcW w:w="1253" w:type="dxa"/>
            <w:tcBorders>
              <w:top w:val="single" w:sz="4" w:space="0" w:color="auto"/>
              <w:left w:val="single" w:sz="4" w:space="0" w:color="auto"/>
              <w:bottom w:val="single" w:sz="4" w:space="0" w:color="auto"/>
              <w:right w:val="nil"/>
            </w:tcBorders>
          </w:tcPr>
          <w:p w14:paraId="67C32C73"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4985" w:type="dxa"/>
            <w:tcBorders>
              <w:top w:val="single" w:sz="4" w:space="0" w:color="auto"/>
              <w:left w:val="nil"/>
              <w:bottom w:val="single" w:sz="4" w:space="0" w:color="auto"/>
              <w:right w:val="single" w:sz="4" w:space="0" w:color="auto"/>
            </w:tcBorders>
          </w:tcPr>
          <w:p w14:paraId="458D344F" w14:textId="77777777" w:rsidR="00AA5A06" w:rsidRPr="00E640EA" w:rsidRDefault="00AA5A06" w:rsidP="00546503">
            <w:pPr>
              <w:tabs>
                <w:tab w:val="left" w:pos="-717"/>
                <w:tab w:val="left" w:pos="5042"/>
                <w:tab w:val="left" w:pos="5762"/>
                <w:tab w:val="left" w:pos="6482"/>
                <w:tab w:val="left" w:pos="7202"/>
                <w:tab w:val="left" w:pos="7922"/>
              </w:tabs>
              <w:ind w:right="1422"/>
              <w:jc w:val="left"/>
              <w:rPr>
                <w:rFonts w:eastAsia="Calibri"/>
                <w:sz w:val="20"/>
                <w:lang w:val="en-CA"/>
              </w:rPr>
            </w:pPr>
            <w:r w:rsidRPr="00E640EA">
              <w:rPr>
                <w:rFonts w:eastAsia="Calibri"/>
                <w:sz w:val="20"/>
                <w:lang w:val="en-CA"/>
              </w:rPr>
              <w:t>Incremental operating cost</w:t>
            </w:r>
            <w:r>
              <w:rPr>
                <w:rFonts w:eastAsia="Calibri"/>
                <w:sz w:val="20"/>
                <w:lang w:val="en-CA"/>
              </w:rPr>
              <w:t>s</w:t>
            </w:r>
            <w:r w:rsidRPr="00E640EA">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551C9031"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43D48B4E"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r>
      <w:tr w:rsidR="00AA5A06" w:rsidRPr="00E640EA" w14:paraId="72D82F13" w14:textId="77777777" w:rsidTr="00546503">
        <w:trPr>
          <w:jc w:val="center"/>
        </w:trPr>
        <w:tc>
          <w:tcPr>
            <w:tcW w:w="1253" w:type="dxa"/>
            <w:tcBorders>
              <w:top w:val="single" w:sz="4" w:space="0" w:color="auto"/>
              <w:left w:val="single" w:sz="4" w:space="0" w:color="auto"/>
              <w:bottom w:val="single" w:sz="4" w:space="0" w:color="auto"/>
              <w:right w:val="nil"/>
            </w:tcBorders>
          </w:tcPr>
          <w:p w14:paraId="7A3BC688"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4985" w:type="dxa"/>
            <w:tcBorders>
              <w:top w:val="single" w:sz="4" w:space="0" w:color="auto"/>
              <w:left w:val="nil"/>
              <w:bottom w:val="single" w:sz="4" w:space="0" w:color="auto"/>
              <w:right w:val="single" w:sz="4" w:space="0" w:color="auto"/>
            </w:tcBorders>
          </w:tcPr>
          <w:p w14:paraId="623C4DF5" w14:textId="77777777" w:rsidR="00AA5A06" w:rsidRPr="00E640EA" w:rsidRDefault="00AA5A06" w:rsidP="00546503">
            <w:pPr>
              <w:tabs>
                <w:tab w:val="left" w:pos="-717"/>
                <w:tab w:val="left" w:pos="5042"/>
                <w:tab w:val="left" w:pos="5762"/>
                <w:tab w:val="left" w:pos="6482"/>
                <w:tab w:val="left" w:pos="7202"/>
                <w:tab w:val="left" w:pos="7922"/>
              </w:tabs>
              <w:ind w:right="2052"/>
              <w:jc w:val="left"/>
              <w:rPr>
                <w:rFonts w:eastAsia="Calibri"/>
                <w:sz w:val="20"/>
                <w:lang w:val="en-CA"/>
              </w:rPr>
            </w:pPr>
            <w:r w:rsidRPr="00E640EA">
              <w:rPr>
                <w:rFonts w:eastAsia="Calibri"/>
                <w:sz w:val="20"/>
                <w:lang w:val="en-CA"/>
              </w:rPr>
              <w:t>Total project cost</w:t>
            </w:r>
            <w:r>
              <w:rPr>
                <w:rFonts w:eastAsia="Calibri"/>
                <w:sz w:val="20"/>
                <w:lang w:val="en-CA"/>
              </w:rPr>
              <w:t>s</w:t>
            </w:r>
            <w:r w:rsidRPr="00E640EA">
              <w:rPr>
                <w:rFonts w:eastAsia="Calibri"/>
                <w:sz w:val="20"/>
                <w:lang w:val="en-CA"/>
              </w:rPr>
              <w:t xml:space="preserve">: </w:t>
            </w:r>
          </w:p>
        </w:tc>
        <w:tc>
          <w:tcPr>
            <w:tcW w:w="1554" w:type="dxa"/>
            <w:tcBorders>
              <w:top w:val="single" w:sz="4" w:space="0" w:color="auto"/>
              <w:left w:val="single" w:sz="4" w:space="0" w:color="auto"/>
              <w:bottom w:val="single" w:sz="4" w:space="0" w:color="auto"/>
              <w:right w:val="single" w:sz="4" w:space="0" w:color="auto"/>
            </w:tcBorders>
          </w:tcPr>
          <w:p w14:paraId="3E87A844"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754F00A2"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r>
      <w:tr w:rsidR="00AA5A06" w:rsidRPr="00E640EA" w14:paraId="48C27724"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6A92DF37"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Local ownership (%):</w:t>
            </w:r>
          </w:p>
        </w:tc>
        <w:tc>
          <w:tcPr>
            <w:tcW w:w="1554" w:type="dxa"/>
            <w:tcBorders>
              <w:top w:val="single" w:sz="4" w:space="0" w:color="auto"/>
              <w:left w:val="single" w:sz="4" w:space="0" w:color="auto"/>
              <w:bottom w:val="single" w:sz="4" w:space="0" w:color="auto"/>
              <w:right w:val="single" w:sz="4" w:space="0" w:color="auto"/>
            </w:tcBorders>
          </w:tcPr>
          <w:p w14:paraId="1F8A2FCD" w14:textId="77777777" w:rsidR="00AA5A06" w:rsidRPr="00E640EA" w:rsidRDefault="00AA5A06" w:rsidP="00546503">
            <w:pPr>
              <w:widowControl w:val="0"/>
              <w:tabs>
                <w:tab w:val="center" w:pos="4320"/>
                <w:tab w:val="right" w:pos="8640"/>
                <w:tab w:val="left" w:pos="9000"/>
              </w:tabs>
              <w:jc w:val="right"/>
              <w:rPr>
                <w:rFonts w:eastAsia="Calibri"/>
                <w:snapToGrid w:val="0"/>
                <w:sz w:val="20"/>
                <w:szCs w:val="20"/>
              </w:rPr>
            </w:pPr>
          </w:p>
        </w:tc>
        <w:tc>
          <w:tcPr>
            <w:tcW w:w="1554" w:type="dxa"/>
            <w:tcBorders>
              <w:top w:val="single" w:sz="4" w:space="0" w:color="auto"/>
              <w:left w:val="single" w:sz="4" w:space="0" w:color="auto"/>
              <w:bottom w:val="single" w:sz="4" w:space="0" w:color="auto"/>
              <w:right w:val="single" w:sz="4" w:space="0" w:color="auto"/>
            </w:tcBorders>
          </w:tcPr>
          <w:p w14:paraId="135897C1" w14:textId="77777777" w:rsidR="00AA5A06" w:rsidRPr="00E640EA" w:rsidRDefault="00AA5A06" w:rsidP="00546503">
            <w:pPr>
              <w:widowControl w:val="0"/>
              <w:tabs>
                <w:tab w:val="center" w:pos="4320"/>
                <w:tab w:val="right" w:pos="8640"/>
                <w:tab w:val="left" w:pos="9000"/>
              </w:tabs>
              <w:jc w:val="right"/>
              <w:rPr>
                <w:rFonts w:eastAsia="Calibri"/>
                <w:snapToGrid w:val="0"/>
                <w:sz w:val="20"/>
                <w:szCs w:val="20"/>
              </w:rPr>
            </w:pPr>
            <w:r>
              <w:rPr>
                <w:rFonts w:eastAsia="Calibri"/>
                <w:snapToGrid w:val="0"/>
                <w:sz w:val="20"/>
                <w:szCs w:val="20"/>
              </w:rPr>
              <w:t>100</w:t>
            </w:r>
          </w:p>
        </w:tc>
      </w:tr>
      <w:tr w:rsidR="00AA5A06" w:rsidRPr="00E640EA" w14:paraId="5BE67200"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67618A79"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Export component (%):</w:t>
            </w:r>
          </w:p>
        </w:tc>
        <w:tc>
          <w:tcPr>
            <w:tcW w:w="1554" w:type="dxa"/>
            <w:tcBorders>
              <w:top w:val="single" w:sz="4" w:space="0" w:color="auto"/>
              <w:left w:val="single" w:sz="4" w:space="0" w:color="auto"/>
              <w:bottom w:val="single" w:sz="4" w:space="0" w:color="auto"/>
              <w:right w:val="single" w:sz="4" w:space="0" w:color="auto"/>
            </w:tcBorders>
          </w:tcPr>
          <w:p w14:paraId="240A4177"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387E2F39"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8</w:t>
            </w:r>
          </w:p>
        </w:tc>
      </w:tr>
      <w:tr w:rsidR="00AA5A06" w:rsidRPr="00E640EA" w14:paraId="4E96FAB0"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32B0511A"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Requested grant (</w:t>
            </w:r>
            <w:r>
              <w:rPr>
                <w:rFonts w:eastAsia="Calibri"/>
                <w:sz w:val="20"/>
                <w:lang w:val="en-CA"/>
              </w:rPr>
              <w:t>US $</w:t>
            </w:r>
            <w:r w:rsidRPr="00E640EA">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312429E3"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5367C254"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3,877,300</w:t>
            </w:r>
          </w:p>
        </w:tc>
      </w:tr>
      <w:tr w:rsidR="00AA5A06" w:rsidRPr="00E640EA" w14:paraId="27ABA695" w14:textId="77777777" w:rsidTr="00546503">
        <w:trPr>
          <w:jc w:val="center"/>
        </w:trPr>
        <w:tc>
          <w:tcPr>
            <w:tcW w:w="6238" w:type="dxa"/>
            <w:gridSpan w:val="2"/>
            <w:vMerge w:val="restart"/>
            <w:tcBorders>
              <w:top w:val="single" w:sz="4" w:space="0" w:color="auto"/>
              <w:left w:val="single" w:sz="4" w:space="0" w:color="auto"/>
              <w:right w:val="single" w:sz="4" w:space="0" w:color="auto"/>
            </w:tcBorders>
            <w:vAlign w:val="center"/>
          </w:tcPr>
          <w:p w14:paraId="111C1A8A"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Cost-effectiveness</w:t>
            </w:r>
            <w:r>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7E32E97C"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Pr>
                <w:rFonts w:eastAsia="Calibri"/>
                <w:sz w:val="20"/>
                <w:lang w:val="en-CA"/>
              </w:rPr>
              <w:t>US $</w:t>
            </w:r>
            <w:r w:rsidRPr="00E640EA">
              <w:rPr>
                <w:rFonts w:eastAsia="Calibri"/>
                <w:sz w:val="20"/>
                <w:lang w:val="en-CA"/>
              </w:rPr>
              <w:t>/kg</w:t>
            </w:r>
          </w:p>
        </w:tc>
        <w:tc>
          <w:tcPr>
            <w:tcW w:w="1554" w:type="dxa"/>
            <w:tcBorders>
              <w:top w:val="single" w:sz="4" w:space="0" w:color="auto"/>
              <w:left w:val="single" w:sz="4" w:space="0" w:color="auto"/>
              <w:bottom w:val="single" w:sz="4" w:space="0" w:color="auto"/>
              <w:right w:val="single" w:sz="4" w:space="0" w:color="auto"/>
            </w:tcBorders>
          </w:tcPr>
          <w:p w14:paraId="02343396"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15.51</w:t>
            </w:r>
          </w:p>
        </w:tc>
      </w:tr>
      <w:tr w:rsidR="00AA5A06" w:rsidRPr="00E640EA" w14:paraId="3A224AC1" w14:textId="77777777" w:rsidTr="00546503">
        <w:trPr>
          <w:jc w:val="center"/>
        </w:trPr>
        <w:tc>
          <w:tcPr>
            <w:tcW w:w="6238" w:type="dxa"/>
            <w:gridSpan w:val="2"/>
            <w:vMerge/>
            <w:tcBorders>
              <w:left w:val="single" w:sz="4" w:space="0" w:color="auto"/>
              <w:bottom w:val="single" w:sz="4" w:space="0" w:color="auto"/>
              <w:right w:val="single" w:sz="4" w:space="0" w:color="auto"/>
            </w:tcBorders>
          </w:tcPr>
          <w:p w14:paraId="7F227898"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68796796" w14:textId="302A693D"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Pr>
                <w:rFonts w:eastAsia="Calibri"/>
                <w:sz w:val="20"/>
                <w:lang w:val="en-CA"/>
              </w:rPr>
              <w:t>US $</w:t>
            </w:r>
            <w:r w:rsidRPr="00E640EA">
              <w:rPr>
                <w:rFonts w:eastAsia="Calibri"/>
                <w:sz w:val="20"/>
                <w:lang w:val="en-CA"/>
              </w:rPr>
              <w:t>/</w:t>
            </w:r>
            <w:proofErr w:type="spellStart"/>
            <w:r>
              <w:rPr>
                <w:rFonts w:eastAsia="Calibri"/>
                <w:sz w:val="20"/>
                <w:lang w:val="en-CA"/>
              </w:rPr>
              <w:t>mt</w:t>
            </w:r>
            <w:proofErr w:type="spellEnd"/>
            <w:r>
              <w:rPr>
                <w:rFonts w:eastAsia="Calibri"/>
                <w:sz w:val="20"/>
                <w:lang w:val="en-CA"/>
              </w:rPr>
              <w:t xml:space="preserve"> </w:t>
            </w:r>
            <w:r w:rsidRPr="00E640EA">
              <w:rPr>
                <w:rFonts w:eastAsia="Calibri"/>
                <w:sz w:val="20"/>
                <w:lang w:val="en-CA"/>
              </w:rPr>
              <w:t>CO</w:t>
            </w:r>
            <w:r w:rsidRPr="00E640EA">
              <w:rPr>
                <w:rFonts w:eastAsia="Calibri"/>
                <w:sz w:val="20"/>
                <w:vertAlign w:val="subscript"/>
                <w:lang w:val="en-CA"/>
              </w:rPr>
              <w:t xml:space="preserve">2 </w:t>
            </w:r>
            <w:r w:rsidRPr="00E640EA">
              <w:rPr>
                <w:rFonts w:eastAsia="Calibri"/>
                <w:sz w:val="20"/>
                <w:lang w:val="en-CA"/>
              </w:rPr>
              <w:t>eq</w:t>
            </w:r>
            <w:r>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1487D5D0"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15.06</w:t>
            </w:r>
          </w:p>
        </w:tc>
      </w:tr>
      <w:tr w:rsidR="00AA5A06" w:rsidRPr="00E640EA" w14:paraId="0826EAA2"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509A9ECF"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Implementing agency support cost (</w:t>
            </w:r>
            <w:r>
              <w:rPr>
                <w:rFonts w:eastAsia="Calibri"/>
                <w:sz w:val="20"/>
                <w:lang w:val="en-CA"/>
              </w:rPr>
              <w:t>US $</w:t>
            </w:r>
            <w:r w:rsidRPr="00E640EA">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56CB5D17"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52BF18CA"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271,411</w:t>
            </w:r>
          </w:p>
        </w:tc>
      </w:tr>
      <w:tr w:rsidR="00AA5A06" w:rsidRPr="00E640EA" w14:paraId="78FBD7CD"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5803F5E2"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Total cost of project to Multilateral Fund (</w:t>
            </w:r>
            <w:r>
              <w:rPr>
                <w:rFonts w:eastAsia="Calibri"/>
                <w:sz w:val="20"/>
                <w:lang w:val="en-CA"/>
              </w:rPr>
              <w:t>US $</w:t>
            </w:r>
            <w:r w:rsidRPr="00E640EA">
              <w:rPr>
                <w:rFonts w:eastAsia="Calibri"/>
                <w:sz w:val="20"/>
                <w:lang w:val="en-CA"/>
              </w:rPr>
              <w:t>):</w:t>
            </w:r>
          </w:p>
        </w:tc>
        <w:tc>
          <w:tcPr>
            <w:tcW w:w="1554" w:type="dxa"/>
            <w:tcBorders>
              <w:top w:val="single" w:sz="4" w:space="0" w:color="auto"/>
              <w:left w:val="single" w:sz="4" w:space="0" w:color="auto"/>
              <w:bottom w:val="single" w:sz="4" w:space="0" w:color="auto"/>
              <w:right w:val="single" w:sz="4" w:space="0" w:color="auto"/>
            </w:tcBorders>
          </w:tcPr>
          <w:p w14:paraId="2AFCBF50"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3D441C3B"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4,148,711</w:t>
            </w:r>
          </w:p>
        </w:tc>
      </w:tr>
      <w:tr w:rsidR="00AA5A06" w:rsidRPr="00E640EA" w14:paraId="2226FEAC"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7092C18A"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Status of counterpart funding (Y/N):</w:t>
            </w:r>
          </w:p>
        </w:tc>
        <w:tc>
          <w:tcPr>
            <w:tcW w:w="1554" w:type="dxa"/>
            <w:tcBorders>
              <w:top w:val="single" w:sz="4" w:space="0" w:color="auto"/>
              <w:left w:val="single" w:sz="4" w:space="0" w:color="auto"/>
              <w:bottom w:val="single" w:sz="4" w:space="0" w:color="auto"/>
              <w:right w:val="single" w:sz="4" w:space="0" w:color="auto"/>
            </w:tcBorders>
          </w:tcPr>
          <w:p w14:paraId="4917C4E4"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2FE93F1D"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Y</w:t>
            </w:r>
          </w:p>
        </w:tc>
      </w:tr>
      <w:tr w:rsidR="00AA5A06" w:rsidRPr="00E640EA" w14:paraId="3F777944" w14:textId="77777777" w:rsidTr="00546503">
        <w:trPr>
          <w:jc w:val="center"/>
        </w:trPr>
        <w:tc>
          <w:tcPr>
            <w:tcW w:w="6238" w:type="dxa"/>
            <w:gridSpan w:val="2"/>
            <w:tcBorders>
              <w:top w:val="single" w:sz="4" w:space="0" w:color="auto"/>
              <w:left w:val="single" w:sz="4" w:space="0" w:color="auto"/>
              <w:bottom w:val="single" w:sz="4" w:space="0" w:color="auto"/>
              <w:right w:val="single" w:sz="4" w:space="0" w:color="auto"/>
            </w:tcBorders>
          </w:tcPr>
          <w:p w14:paraId="4D04DCBB"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20"/>
                <w:lang w:val="en-CA"/>
              </w:rPr>
            </w:pPr>
            <w:r w:rsidRPr="00E640EA">
              <w:rPr>
                <w:rFonts w:eastAsia="Calibri"/>
                <w:sz w:val="20"/>
                <w:lang w:val="en-CA"/>
              </w:rPr>
              <w:t>Project monitoring milestones included (Y/N):</w:t>
            </w:r>
          </w:p>
        </w:tc>
        <w:tc>
          <w:tcPr>
            <w:tcW w:w="1554" w:type="dxa"/>
            <w:tcBorders>
              <w:top w:val="single" w:sz="4" w:space="0" w:color="auto"/>
              <w:left w:val="single" w:sz="4" w:space="0" w:color="auto"/>
              <w:bottom w:val="single" w:sz="4" w:space="0" w:color="auto"/>
              <w:right w:val="single" w:sz="4" w:space="0" w:color="auto"/>
            </w:tcBorders>
          </w:tcPr>
          <w:p w14:paraId="4E94E061"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p>
        </w:tc>
        <w:tc>
          <w:tcPr>
            <w:tcW w:w="1554" w:type="dxa"/>
            <w:tcBorders>
              <w:top w:val="single" w:sz="4" w:space="0" w:color="auto"/>
              <w:left w:val="single" w:sz="4" w:space="0" w:color="auto"/>
              <w:bottom w:val="single" w:sz="4" w:space="0" w:color="auto"/>
              <w:right w:val="single" w:sz="4" w:space="0" w:color="auto"/>
            </w:tcBorders>
          </w:tcPr>
          <w:p w14:paraId="4070B90A" w14:textId="77777777" w:rsidR="00AA5A06" w:rsidRPr="00E640EA"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20"/>
                <w:lang w:val="en-CA"/>
              </w:rPr>
            </w:pPr>
            <w:r>
              <w:rPr>
                <w:rFonts w:eastAsia="Calibri"/>
                <w:sz w:val="20"/>
                <w:lang w:val="en-CA"/>
              </w:rPr>
              <w:t>Y</w:t>
            </w:r>
          </w:p>
        </w:tc>
      </w:tr>
    </w:tbl>
    <w:p w14:paraId="65740E3A" w14:textId="77777777" w:rsidR="00AA5A06" w:rsidRDefault="00AA5A06" w:rsidP="00AA5A06">
      <w:pPr>
        <w:rPr>
          <w:sz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3"/>
        <w:gridCol w:w="3112"/>
      </w:tblGrid>
      <w:tr w:rsidR="00AA5A06" w:rsidRPr="008C44BD" w14:paraId="1B14390F" w14:textId="77777777" w:rsidTr="00546503">
        <w:trPr>
          <w:trHeight w:val="296"/>
          <w:jc w:val="center"/>
        </w:trPr>
        <w:tc>
          <w:tcPr>
            <w:tcW w:w="6353" w:type="dxa"/>
            <w:tcBorders>
              <w:top w:val="single" w:sz="4" w:space="0" w:color="auto"/>
              <w:left w:val="single" w:sz="4" w:space="0" w:color="auto"/>
              <w:bottom w:val="single" w:sz="4" w:space="0" w:color="auto"/>
              <w:right w:val="single" w:sz="4" w:space="0" w:color="auto"/>
            </w:tcBorders>
          </w:tcPr>
          <w:p w14:paraId="3052AFD2" w14:textId="77777777" w:rsidR="00AA5A06" w:rsidRPr="008C44BD"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b/>
                <w:sz w:val="20"/>
              </w:rPr>
            </w:pPr>
            <w:r w:rsidRPr="008C44BD">
              <w:rPr>
                <w:b/>
                <w:sz w:val="20"/>
              </w:rPr>
              <w:t>SECRETARIAT’S RECOMMENDATION</w:t>
            </w:r>
          </w:p>
        </w:tc>
        <w:tc>
          <w:tcPr>
            <w:tcW w:w="3112" w:type="dxa"/>
            <w:tcBorders>
              <w:top w:val="single" w:sz="4" w:space="0" w:color="auto"/>
              <w:left w:val="single" w:sz="4" w:space="0" w:color="auto"/>
              <w:bottom w:val="single" w:sz="4" w:space="0" w:color="auto"/>
              <w:right w:val="single" w:sz="4" w:space="0" w:color="auto"/>
            </w:tcBorders>
          </w:tcPr>
          <w:p w14:paraId="6F2FE294" w14:textId="77777777" w:rsidR="00AA5A06" w:rsidRPr="008C44BD" w:rsidRDefault="00AA5A06" w:rsidP="005465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8C44BD">
              <w:rPr>
                <w:sz w:val="20"/>
              </w:rPr>
              <w:t>For individual consideration</w:t>
            </w:r>
          </w:p>
        </w:tc>
      </w:tr>
    </w:tbl>
    <w:p w14:paraId="632ED659" w14:textId="77777777" w:rsidR="00AA5A06" w:rsidRDefault="00AA5A06" w:rsidP="00AA5A06">
      <w:pPr>
        <w:rPr>
          <w:b/>
        </w:rPr>
      </w:pPr>
    </w:p>
    <w:p w14:paraId="16E20B3F" w14:textId="5F631725" w:rsidR="00AA5A06" w:rsidRDefault="00AA5A06">
      <w:pPr>
        <w:jc w:val="left"/>
        <w:rPr>
          <w:b/>
        </w:rPr>
      </w:pPr>
      <w:r>
        <w:rPr>
          <w:b/>
        </w:rPr>
        <w:br w:type="page"/>
      </w:r>
    </w:p>
    <w:p w14:paraId="4B9B86FF" w14:textId="77777777" w:rsidR="00AA5A06" w:rsidRDefault="00AA5A06" w:rsidP="00AA5A06">
      <w:pPr>
        <w:jc w:val="center"/>
        <w:outlineLvl w:val="0"/>
        <w:rPr>
          <w:b/>
        </w:rPr>
      </w:pPr>
    </w:p>
    <w:p w14:paraId="2896D136" w14:textId="77777777" w:rsidR="00AA5A06" w:rsidRDefault="00AA5A06" w:rsidP="00AA5A06">
      <w:pPr>
        <w:jc w:val="center"/>
        <w:outlineLvl w:val="0"/>
        <w:rPr>
          <w:b/>
        </w:rPr>
      </w:pPr>
      <w:r w:rsidRPr="00E640EA">
        <w:rPr>
          <w:b/>
        </w:rPr>
        <w:t>PROJECT DESCRIPTION</w:t>
      </w:r>
    </w:p>
    <w:p w14:paraId="3CE4BFA9" w14:textId="77777777" w:rsidR="00AA5A06" w:rsidRPr="00E640EA" w:rsidRDefault="00AA5A06" w:rsidP="00AA5A06">
      <w:pPr>
        <w:jc w:val="center"/>
        <w:outlineLvl w:val="0"/>
        <w:rPr>
          <w:b/>
        </w:rPr>
      </w:pPr>
    </w:p>
    <w:p w14:paraId="2E999554" w14:textId="77777777" w:rsidR="00AA5A06" w:rsidRDefault="00AA5A06" w:rsidP="00AA5A06">
      <w:pPr>
        <w:pStyle w:val="Heading1"/>
      </w:pPr>
      <w:r w:rsidRPr="00E640EA">
        <w:t xml:space="preserve">On behalf of the Government of </w:t>
      </w:r>
      <w:r>
        <w:t>China</w:t>
      </w:r>
      <w:r w:rsidRPr="00E640EA">
        <w:t xml:space="preserve">, </w:t>
      </w:r>
      <w:r>
        <w:t>UNDP</w:t>
      </w:r>
      <w:r w:rsidRPr="00E640EA">
        <w:t xml:space="preserve"> has submitted a project proposal to convert the manufacturing of </w:t>
      </w:r>
      <w:r w:rsidRPr="00BB649E">
        <w:t xml:space="preserve">polyurethane (PU) foam panels in domestic refrigeration at Hisense </w:t>
      </w:r>
      <w:proofErr w:type="spellStart"/>
      <w:r w:rsidRPr="00BB649E">
        <w:t>Kelon</w:t>
      </w:r>
      <w:proofErr w:type="spellEnd"/>
      <w:r w:rsidRPr="00BB649E">
        <w:t xml:space="preserve"> Electrical Holdings Company Ltd (Hisense </w:t>
      </w:r>
      <w:proofErr w:type="spellStart"/>
      <w:r w:rsidRPr="00BB649E">
        <w:t>Kelon</w:t>
      </w:r>
      <w:proofErr w:type="spellEnd"/>
      <w:r w:rsidRPr="00BB649E">
        <w:t xml:space="preserve">) from the use of </w:t>
      </w:r>
      <w:proofErr w:type="spellStart"/>
      <w:r w:rsidRPr="00BB649E">
        <w:t>cyclopentane</w:t>
      </w:r>
      <w:proofErr w:type="spellEnd"/>
      <w:r w:rsidRPr="00BB649E">
        <w:t xml:space="preserve"> and HFC-245fa to </w:t>
      </w:r>
      <w:r>
        <w:t xml:space="preserve">the use of </w:t>
      </w:r>
      <w:proofErr w:type="spellStart"/>
      <w:r w:rsidRPr="00BB649E">
        <w:t>cyclopentane</w:t>
      </w:r>
      <w:proofErr w:type="spellEnd"/>
      <w:r w:rsidRPr="00BB649E">
        <w:t xml:space="preserve"> and HFO-1233zd as </w:t>
      </w:r>
      <w:r>
        <w:t xml:space="preserve">the </w:t>
      </w:r>
      <w:r w:rsidRPr="00BB649E">
        <w:t>blowing agent</w:t>
      </w:r>
      <w:r>
        <w:t>,</w:t>
      </w:r>
      <w:r w:rsidRPr="00BB649E">
        <w:t xml:space="preserve"> at a cost of </w:t>
      </w:r>
      <w:r>
        <w:t>US $</w:t>
      </w:r>
      <w:r w:rsidRPr="00BB649E">
        <w:t xml:space="preserve">3,877,300, as originally submitted, plus agency support costs of </w:t>
      </w:r>
      <w:r>
        <w:t>US $</w:t>
      </w:r>
      <w:r w:rsidRPr="00BB649E">
        <w:rPr>
          <w:rFonts w:hint="eastAsia"/>
        </w:rPr>
        <w:t>271,411</w:t>
      </w:r>
      <w:r w:rsidRPr="00BB649E">
        <w:t xml:space="preserve">. </w:t>
      </w:r>
    </w:p>
    <w:p w14:paraId="550296AC" w14:textId="77777777" w:rsidR="00AA5A06" w:rsidRPr="007D2AA2" w:rsidRDefault="00AA5A06" w:rsidP="00AA5A06">
      <w:pPr>
        <w:rPr>
          <w:u w:val="single"/>
        </w:rPr>
      </w:pPr>
      <w:r w:rsidRPr="007D2AA2">
        <w:rPr>
          <w:u w:val="single"/>
        </w:rPr>
        <w:t>HFC consumption and sector background</w:t>
      </w:r>
    </w:p>
    <w:p w14:paraId="5F5B388C" w14:textId="77777777" w:rsidR="00AA5A06" w:rsidRDefault="00AA5A06" w:rsidP="00AA5A06">
      <w:pPr>
        <w:rPr>
          <w:highlight w:val="yellow"/>
        </w:rPr>
      </w:pPr>
    </w:p>
    <w:p w14:paraId="49953A8F" w14:textId="77777777" w:rsidR="00AA5A06" w:rsidRPr="00132E46" w:rsidRDefault="00AA5A06" w:rsidP="00AA5A06">
      <w:pPr>
        <w:pStyle w:val="Heading1"/>
      </w:pPr>
      <w:r w:rsidRPr="00132E46">
        <w:t>At the 74</w:t>
      </w:r>
      <w:r w:rsidRPr="00132E46">
        <w:rPr>
          <w:vertAlign w:val="superscript"/>
        </w:rPr>
        <w:t>th</w:t>
      </w:r>
      <w:r w:rsidRPr="00132E46">
        <w:t xml:space="preserve"> or 75</w:t>
      </w:r>
      <w:r w:rsidRPr="00132E46">
        <w:rPr>
          <w:vertAlign w:val="superscript"/>
        </w:rPr>
        <w:t>th</w:t>
      </w:r>
      <w:r w:rsidRPr="00132E46">
        <w:t xml:space="preserve"> meetings, the Government of China did not submit a request for funding for a survey on ODS alternatives, in line with decision 74/53. Therefore, no information on the total consumption of HFCs and their sectoral distribution in the country is available. </w:t>
      </w:r>
    </w:p>
    <w:p w14:paraId="7CF468C5" w14:textId="77777777" w:rsidR="00AA5A06" w:rsidRPr="00132E46" w:rsidRDefault="00AA5A06" w:rsidP="00AA5A06">
      <w:pPr>
        <w:pStyle w:val="Heading1"/>
        <w:rPr>
          <w:lang w:val="en-CA"/>
        </w:rPr>
      </w:pPr>
      <w:r w:rsidRPr="00132E46">
        <w:t xml:space="preserve">The HCFC consumption baseline for China (35,814 ODP tonnes) represented 54 per cent of aggregated baseline for all Article 5 countries (19,269 ODP tonnes). As reference, information on the </w:t>
      </w:r>
      <w:r w:rsidRPr="00132E46">
        <w:rPr>
          <w:lang w:val="en-CA"/>
        </w:rPr>
        <w:t>aggregate level of HFC consumption in Article 5 countries is contained in t</w:t>
      </w:r>
      <w:r w:rsidRPr="00132E46">
        <w:t>he reports prepared by the Technology and Economic Assessment Panel (TEAP) Task Force under decisions XXV/5 and XXVI/9. Based on these reports, t</w:t>
      </w:r>
      <w:r w:rsidRPr="00132E46">
        <w:rPr>
          <w:lang w:val="en-CA"/>
        </w:rPr>
        <w:t>he aggregate level of HFC consumption in Article 5 countries amounted to 284,325 </w:t>
      </w:r>
      <w:r>
        <w:rPr>
          <w:lang w:val="en-CA"/>
        </w:rPr>
        <w:t>metric tonnes (</w:t>
      </w:r>
      <w:proofErr w:type="spellStart"/>
      <w:r w:rsidRPr="00132E46">
        <w:rPr>
          <w:lang w:val="en-CA"/>
        </w:rPr>
        <w:t>mt</w:t>
      </w:r>
      <w:proofErr w:type="spellEnd"/>
      <w:r>
        <w:rPr>
          <w:lang w:val="en-CA"/>
        </w:rPr>
        <w:t>)</w:t>
      </w:r>
      <w:r w:rsidRPr="00132E46">
        <w:rPr>
          <w:lang w:val="en-CA"/>
        </w:rPr>
        <w:t xml:space="preserve"> in 2015; consumption of HFC-134a, R-410A, R-407C, R-404A and R-507A represented more than 97 per cent of the total consumption. Under a business-as-usual scenario, aggregate HFC consumption would be expected to increase to 1,021,216 </w:t>
      </w:r>
      <w:r>
        <w:rPr>
          <w:lang w:val="en-CA"/>
        </w:rPr>
        <w:t>metric tonnes (</w:t>
      </w:r>
      <w:proofErr w:type="spellStart"/>
      <w:r w:rsidRPr="00132E46">
        <w:rPr>
          <w:lang w:val="en-CA"/>
        </w:rPr>
        <w:t>mt</w:t>
      </w:r>
      <w:proofErr w:type="spellEnd"/>
      <w:r>
        <w:rPr>
          <w:lang w:val="en-CA"/>
        </w:rPr>
        <w:t>)</w:t>
      </w:r>
      <w:r w:rsidRPr="00132E46">
        <w:rPr>
          <w:lang w:val="en-CA"/>
        </w:rPr>
        <w:t xml:space="preserve"> in 2030, with an average annual growth rate of 9.9 per cent between 2015 and 2025, as shown in Table 1. </w:t>
      </w:r>
    </w:p>
    <w:p w14:paraId="47645230" w14:textId="77777777" w:rsidR="00AA5A06" w:rsidRPr="00546503" w:rsidRDefault="00AA5A06" w:rsidP="00AA5A06">
      <w:pPr>
        <w:outlineLvl w:val="0"/>
        <w:rPr>
          <w:b/>
          <w:lang w:val="en-CA"/>
        </w:rPr>
      </w:pPr>
      <w:r w:rsidRPr="00546503">
        <w:rPr>
          <w:b/>
          <w:lang w:val="en-CA"/>
        </w:rPr>
        <w:t>Table 1. HFC consumption in Article 5 countries reported by the TEAP Task Force</w:t>
      </w:r>
    </w:p>
    <w:tbl>
      <w:tblPr>
        <w:tblW w:w="9473" w:type="dxa"/>
        <w:tblInd w:w="-5" w:type="dxa"/>
        <w:tblLayout w:type="fixed"/>
        <w:tblLook w:val="04A0" w:firstRow="1" w:lastRow="0" w:firstColumn="1" w:lastColumn="0" w:noHBand="0" w:noVBand="1"/>
      </w:tblPr>
      <w:tblGrid>
        <w:gridCol w:w="2723"/>
        <w:gridCol w:w="1350"/>
        <w:gridCol w:w="1350"/>
        <w:gridCol w:w="1350"/>
        <w:gridCol w:w="1350"/>
        <w:gridCol w:w="1350"/>
      </w:tblGrid>
      <w:tr w:rsidR="00AA5A06" w:rsidRPr="00546503" w14:paraId="65521272" w14:textId="77777777" w:rsidTr="00546503">
        <w:trPr>
          <w:tblHeader/>
        </w:trPr>
        <w:tc>
          <w:tcPr>
            <w:tcW w:w="2723" w:type="dxa"/>
            <w:vMerge w:val="restart"/>
            <w:tcBorders>
              <w:top w:val="single" w:sz="4" w:space="0" w:color="auto"/>
              <w:left w:val="single" w:sz="4" w:space="0" w:color="auto"/>
              <w:right w:val="single" w:sz="4" w:space="0" w:color="auto"/>
            </w:tcBorders>
            <w:shd w:val="clear" w:color="auto" w:fill="auto"/>
            <w:noWrap/>
            <w:vAlign w:val="center"/>
          </w:tcPr>
          <w:p w14:paraId="6EB1E8C1" w14:textId="77777777" w:rsidR="00AA5A06" w:rsidRPr="00546503" w:rsidRDefault="00AA5A06" w:rsidP="00546503">
            <w:pPr>
              <w:jc w:val="left"/>
              <w:rPr>
                <w:b/>
                <w:bCs/>
                <w:color w:val="000000"/>
                <w:sz w:val="20"/>
                <w:szCs w:val="20"/>
                <w:lang w:val="en-CA" w:eastAsia="en-CA"/>
              </w:rPr>
            </w:pPr>
            <w:r w:rsidRPr="00546503">
              <w:rPr>
                <w:b/>
                <w:bCs/>
                <w:color w:val="000000"/>
                <w:sz w:val="20"/>
                <w:szCs w:val="20"/>
                <w:lang w:val="en-CA" w:eastAsia="en-CA"/>
              </w:rPr>
              <w:t>HFC</w:t>
            </w:r>
          </w:p>
        </w:tc>
        <w:tc>
          <w:tcPr>
            <w:tcW w:w="5400" w:type="dxa"/>
            <w:gridSpan w:val="4"/>
            <w:tcBorders>
              <w:top w:val="single" w:sz="4" w:space="0" w:color="auto"/>
              <w:left w:val="nil"/>
              <w:bottom w:val="single" w:sz="4" w:space="0" w:color="auto"/>
              <w:right w:val="single" w:sz="4" w:space="0" w:color="auto"/>
            </w:tcBorders>
            <w:shd w:val="clear" w:color="auto" w:fill="auto"/>
            <w:noWrap/>
            <w:vAlign w:val="bottom"/>
          </w:tcPr>
          <w:p w14:paraId="3A3B34D7" w14:textId="77777777" w:rsidR="00AA5A06" w:rsidRPr="00546503" w:rsidRDefault="00AA5A06" w:rsidP="00546503">
            <w:pPr>
              <w:jc w:val="center"/>
              <w:rPr>
                <w:b/>
                <w:bCs/>
                <w:color w:val="000000"/>
                <w:sz w:val="20"/>
                <w:szCs w:val="20"/>
                <w:lang w:val="en-CA" w:eastAsia="en-CA"/>
              </w:rPr>
            </w:pPr>
            <w:r w:rsidRPr="00546503">
              <w:rPr>
                <w:b/>
                <w:bCs/>
                <w:color w:val="000000"/>
                <w:sz w:val="20"/>
                <w:szCs w:val="20"/>
                <w:lang w:val="en-CA" w:eastAsia="en-CA"/>
              </w:rPr>
              <w:t>Consumption (</w:t>
            </w:r>
            <w:proofErr w:type="spellStart"/>
            <w:r w:rsidRPr="00546503">
              <w:rPr>
                <w:b/>
                <w:bCs/>
                <w:color w:val="000000"/>
                <w:sz w:val="20"/>
                <w:szCs w:val="20"/>
                <w:lang w:val="en-CA" w:eastAsia="en-CA"/>
              </w:rPr>
              <w:t>mt</w:t>
            </w:r>
            <w:proofErr w:type="spellEnd"/>
            <w:r w:rsidRPr="00546503">
              <w:rPr>
                <w:b/>
                <w:bCs/>
                <w:color w:val="000000"/>
                <w:sz w:val="20"/>
                <w:szCs w:val="20"/>
                <w:lang w:val="en-CA" w:eastAsia="en-CA"/>
              </w:rPr>
              <w:t>)</w:t>
            </w:r>
          </w:p>
        </w:tc>
        <w:tc>
          <w:tcPr>
            <w:tcW w:w="1350" w:type="dxa"/>
            <w:vMerge w:val="restart"/>
            <w:tcBorders>
              <w:top w:val="single" w:sz="4" w:space="0" w:color="auto"/>
              <w:left w:val="nil"/>
              <w:right w:val="single" w:sz="4" w:space="0" w:color="auto"/>
            </w:tcBorders>
            <w:shd w:val="clear" w:color="auto" w:fill="auto"/>
            <w:noWrap/>
            <w:vAlign w:val="center"/>
          </w:tcPr>
          <w:p w14:paraId="0C66F858" w14:textId="77777777" w:rsidR="00AA5A06" w:rsidRPr="00546503" w:rsidRDefault="00AA5A06" w:rsidP="00546503">
            <w:pPr>
              <w:jc w:val="center"/>
              <w:rPr>
                <w:b/>
                <w:color w:val="000000"/>
                <w:sz w:val="20"/>
                <w:szCs w:val="20"/>
                <w:lang w:val="en-CA" w:eastAsia="en-CA"/>
              </w:rPr>
            </w:pPr>
            <w:r w:rsidRPr="00546503">
              <w:rPr>
                <w:b/>
                <w:color w:val="000000"/>
                <w:sz w:val="20"/>
                <w:szCs w:val="20"/>
                <w:lang w:val="en-CA" w:eastAsia="en-CA"/>
              </w:rPr>
              <w:t>Growth rate (%)*</w:t>
            </w:r>
          </w:p>
        </w:tc>
      </w:tr>
      <w:tr w:rsidR="00AA5A06" w:rsidRPr="00546503" w14:paraId="785AAB5A" w14:textId="77777777" w:rsidTr="00546503">
        <w:trPr>
          <w:tblHeader/>
        </w:trPr>
        <w:tc>
          <w:tcPr>
            <w:tcW w:w="2723" w:type="dxa"/>
            <w:vMerge/>
            <w:tcBorders>
              <w:left w:val="single" w:sz="4" w:space="0" w:color="auto"/>
              <w:bottom w:val="single" w:sz="4" w:space="0" w:color="auto"/>
              <w:right w:val="single" w:sz="4" w:space="0" w:color="auto"/>
            </w:tcBorders>
            <w:shd w:val="clear" w:color="auto" w:fill="auto"/>
            <w:noWrap/>
            <w:vAlign w:val="bottom"/>
            <w:hideMark/>
          </w:tcPr>
          <w:p w14:paraId="189A8E63" w14:textId="77777777" w:rsidR="00AA5A06" w:rsidRPr="00546503" w:rsidRDefault="00AA5A06" w:rsidP="00546503">
            <w:pPr>
              <w:jc w:val="left"/>
              <w:rPr>
                <w:b/>
                <w:bCs/>
                <w:color w:val="000000"/>
                <w:sz w:val="20"/>
                <w:szCs w:val="20"/>
                <w:lang w:val="en-CA" w:eastAsia="en-CA"/>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C551FD0" w14:textId="77777777" w:rsidR="00AA5A06" w:rsidRPr="00546503" w:rsidRDefault="00AA5A06" w:rsidP="00546503">
            <w:pPr>
              <w:jc w:val="center"/>
              <w:rPr>
                <w:b/>
                <w:bCs/>
                <w:color w:val="000000"/>
                <w:sz w:val="20"/>
                <w:szCs w:val="20"/>
                <w:lang w:val="en-CA" w:eastAsia="en-CA"/>
              </w:rPr>
            </w:pPr>
            <w:r w:rsidRPr="00546503">
              <w:rPr>
                <w:b/>
                <w:bCs/>
                <w:color w:val="000000"/>
                <w:sz w:val="20"/>
                <w:szCs w:val="20"/>
                <w:lang w:val="en-CA" w:eastAsia="en-CA"/>
              </w:rPr>
              <w:t>2015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8B26313" w14:textId="77777777" w:rsidR="00AA5A06" w:rsidRPr="00546503" w:rsidRDefault="00AA5A06" w:rsidP="00546503">
            <w:pPr>
              <w:jc w:val="center"/>
              <w:rPr>
                <w:b/>
                <w:bCs/>
                <w:color w:val="000000"/>
                <w:sz w:val="20"/>
                <w:szCs w:val="20"/>
                <w:lang w:val="en-CA" w:eastAsia="en-CA"/>
              </w:rPr>
            </w:pPr>
            <w:r w:rsidRPr="00546503">
              <w:rPr>
                <w:b/>
                <w:bCs/>
                <w:color w:val="000000"/>
                <w:sz w:val="20"/>
                <w:szCs w:val="20"/>
                <w:lang w:val="en-CA" w:eastAsia="en-CA"/>
              </w:rPr>
              <w:t>2020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E8FBB21" w14:textId="77777777" w:rsidR="00AA5A06" w:rsidRPr="00546503" w:rsidRDefault="00AA5A06" w:rsidP="00546503">
            <w:pPr>
              <w:jc w:val="center"/>
              <w:rPr>
                <w:b/>
                <w:bCs/>
                <w:color w:val="000000"/>
                <w:sz w:val="20"/>
                <w:szCs w:val="20"/>
                <w:lang w:val="en-CA" w:eastAsia="en-CA"/>
              </w:rPr>
            </w:pPr>
            <w:r w:rsidRPr="00546503">
              <w:rPr>
                <w:b/>
                <w:bCs/>
                <w:color w:val="000000"/>
                <w:sz w:val="20"/>
                <w:szCs w:val="20"/>
                <w:lang w:val="en-CA" w:eastAsia="en-CA"/>
              </w:rPr>
              <w:t>2025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B0A91B2" w14:textId="77777777" w:rsidR="00AA5A06" w:rsidRPr="00546503" w:rsidRDefault="00AA5A06" w:rsidP="00546503">
            <w:pPr>
              <w:jc w:val="center"/>
              <w:rPr>
                <w:b/>
                <w:bCs/>
                <w:color w:val="000000"/>
                <w:sz w:val="20"/>
                <w:szCs w:val="20"/>
                <w:lang w:val="en-CA" w:eastAsia="en-CA"/>
              </w:rPr>
            </w:pPr>
            <w:r w:rsidRPr="00546503">
              <w:rPr>
                <w:b/>
                <w:bCs/>
                <w:color w:val="000000"/>
                <w:sz w:val="20"/>
                <w:szCs w:val="20"/>
                <w:lang w:val="en-CA" w:eastAsia="en-CA"/>
              </w:rPr>
              <w:t>2030</w:t>
            </w:r>
          </w:p>
        </w:tc>
        <w:tc>
          <w:tcPr>
            <w:tcW w:w="1350" w:type="dxa"/>
            <w:vMerge/>
            <w:tcBorders>
              <w:left w:val="nil"/>
              <w:bottom w:val="single" w:sz="4" w:space="0" w:color="auto"/>
              <w:right w:val="single" w:sz="4" w:space="0" w:color="auto"/>
            </w:tcBorders>
            <w:shd w:val="clear" w:color="auto" w:fill="auto"/>
            <w:noWrap/>
            <w:vAlign w:val="bottom"/>
            <w:hideMark/>
          </w:tcPr>
          <w:p w14:paraId="2F840FB0" w14:textId="77777777" w:rsidR="00AA5A06" w:rsidRPr="00546503" w:rsidRDefault="00AA5A06" w:rsidP="00546503">
            <w:pPr>
              <w:jc w:val="left"/>
              <w:rPr>
                <w:b/>
                <w:color w:val="000000"/>
                <w:sz w:val="20"/>
                <w:szCs w:val="20"/>
                <w:lang w:val="en-CA" w:eastAsia="en-CA"/>
              </w:rPr>
            </w:pPr>
          </w:p>
        </w:tc>
      </w:tr>
      <w:tr w:rsidR="00AA5A06" w:rsidRPr="00546503" w14:paraId="2D6E302D" w14:textId="77777777" w:rsidTr="00546503">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496C826C" w14:textId="77777777" w:rsidR="00AA5A06" w:rsidRPr="00546503" w:rsidRDefault="00AA5A06" w:rsidP="00546503">
            <w:pPr>
              <w:jc w:val="left"/>
              <w:rPr>
                <w:color w:val="000000"/>
                <w:sz w:val="20"/>
                <w:szCs w:val="20"/>
                <w:lang w:val="en-CA" w:eastAsia="en-CA"/>
              </w:rPr>
            </w:pPr>
            <w:r w:rsidRPr="00546503">
              <w:rPr>
                <w:color w:val="000000"/>
                <w:sz w:val="20"/>
                <w:szCs w:val="20"/>
                <w:lang w:val="en-CA" w:eastAsia="en-CA"/>
              </w:rPr>
              <w:t>HFC-134a</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62D44445"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78,688</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044BFF82"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106,731</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7295DC0A"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139,547</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7A276636"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177,432</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hideMark/>
          </w:tcPr>
          <w:p w14:paraId="54892C1D" w14:textId="77777777" w:rsidR="00AA5A06" w:rsidRPr="00546503" w:rsidRDefault="00AA5A06" w:rsidP="00546503">
            <w:pPr>
              <w:jc w:val="right"/>
              <w:rPr>
                <w:sz w:val="20"/>
                <w:szCs w:val="20"/>
              </w:rPr>
            </w:pPr>
            <w:r w:rsidRPr="00546503">
              <w:rPr>
                <w:sz w:val="20"/>
                <w:szCs w:val="20"/>
              </w:rPr>
              <w:t>5.9</w:t>
            </w:r>
          </w:p>
        </w:tc>
      </w:tr>
      <w:tr w:rsidR="00AA5A06" w:rsidRPr="00546503" w14:paraId="3462A8F5" w14:textId="77777777" w:rsidTr="00546503">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773AE771" w14:textId="77777777" w:rsidR="00AA5A06" w:rsidRPr="00546503" w:rsidRDefault="00AA5A06" w:rsidP="00546503">
            <w:pPr>
              <w:jc w:val="left"/>
              <w:rPr>
                <w:color w:val="000000"/>
                <w:sz w:val="20"/>
                <w:szCs w:val="20"/>
                <w:lang w:val="en-CA" w:eastAsia="en-CA"/>
              </w:rPr>
            </w:pPr>
            <w:r w:rsidRPr="00546503">
              <w:rPr>
                <w:color w:val="000000"/>
                <w:sz w:val="20"/>
                <w:szCs w:val="20"/>
                <w:lang w:val="en-CA" w:eastAsia="en-CA"/>
              </w:rPr>
              <w:t>R-410A</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29CDC3A0"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106,661</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55D6A86A"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192,770</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2707DBCD"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284,682</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73881386"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364,845</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hideMark/>
          </w:tcPr>
          <w:p w14:paraId="4661E388" w14:textId="77777777" w:rsidR="00AA5A06" w:rsidRPr="00546503" w:rsidRDefault="00AA5A06" w:rsidP="00546503">
            <w:pPr>
              <w:jc w:val="right"/>
              <w:rPr>
                <w:sz w:val="20"/>
                <w:szCs w:val="20"/>
              </w:rPr>
            </w:pPr>
            <w:r w:rsidRPr="00546503">
              <w:rPr>
                <w:sz w:val="20"/>
                <w:szCs w:val="20"/>
              </w:rPr>
              <w:t>10.3</w:t>
            </w:r>
          </w:p>
        </w:tc>
      </w:tr>
      <w:tr w:rsidR="00AA5A06" w:rsidRPr="00546503" w14:paraId="75F27B2E" w14:textId="77777777" w:rsidTr="00546503">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47F87C98" w14:textId="77777777" w:rsidR="00AA5A06" w:rsidRPr="00546503" w:rsidRDefault="00AA5A06" w:rsidP="00546503">
            <w:pPr>
              <w:jc w:val="left"/>
              <w:rPr>
                <w:color w:val="000000"/>
                <w:sz w:val="20"/>
                <w:szCs w:val="20"/>
                <w:lang w:val="en-CA" w:eastAsia="en-CA"/>
              </w:rPr>
            </w:pPr>
            <w:r w:rsidRPr="00546503">
              <w:rPr>
                <w:color w:val="000000"/>
                <w:sz w:val="20"/>
                <w:szCs w:val="20"/>
                <w:lang w:val="en-CA" w:eastAsia="en-CA"/>
              </w:rPr>
              <w:t>R-407C</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22D0B8E6"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55,278</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3C5215B0"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101,216</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3416DB61"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174,433</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6BEAD4EE"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285,500</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hideMark/>
          </w:tcPr>
          <w:p w14:paraId="2AF78D3F" w14:textId="77777777" w:rsidR="00AA5A06" w:rsidRPr="00546503" w:rsidRDefault="00AA5A06" w:rsidP="00546503">
            <w:pPr>
              <w:jc w:val="right"/>
              <w:rPr>
                <w:sz w:val="20"/>
                <w:szCs w:val="20"/>
              </w:rPr>
            </w:pPr>
            <w:r w:rsidRPr="00546503">
              <w:rPr>
                <w:sz w:val="20"/>
                <w:szCs w:val="20"/>
              </w:rPr>
              <w:t>12.2</w:t>
            </w:r>
          </w:p>
        </w:tc>
      </w:tr>
      <w:tr w:rsidR="00AA5A06" w:rsidRPr="00546503" w14:paraId="7AAE0B94" w14:textId="77777777" w:rsidTr="00546503">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726C96FC" w14:textId="77777777" w:rsidR="00AA5A06" w:rsidRPr="00546503" w:rsidRDefault="00AA5A06" w:rsidP="00546503">
            <w:pPr>
              <w:jc w:val="left"/>
              <w:rPr>
                <w:color w:val="000000"/>
                <w:sz w:val="20"/>
                <w:szCs w:val="20"/>
                <w:lang w:val="en-CA" w:eastAsia="en-CA"/>
              </w:rPr>
            </w:pPr>
            <w:r w:rsidRPr="00546503">
              <w:rPr>
                <w:color w:val="000000"/>
                <w:sz w:val="20"/>
                <w:szCs w:val="20"/>
                <w:lang w:val="en-CA" w:eastAsia="en-CA"/>
              </w:rPr>
              <w:t>R-404A</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4AE92461"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18,202</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6D256731"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31,982</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4EF4A75B"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55,964</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1AC51EE9"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83,845</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hideMark/>
          </w:tcPr>
          <w:p w14:paraId="173F83C0" w14:textId="77777777" w:rsidR="00AA5A06" w:rsidRPr="00546503" w:rsidRDefault="00AA5A06" w:rsidP="00546503">
            <w:pPr>
              <w:jc w:val="right"/>
              <w:rPr>
                <w:sz w:val="20"/>
                <w:szCs w:val="20"/>
              </w:rPr>
            </w:pPr>
            <w:r w:rsidRPr="00546503">
              <w:rPr>
                <w:sz w:val="20"/>
                <w:szCs w:val="20"/>
              </w:rPr>
              <w:t>11.9</w:t>
            </w:r>
          </w:p>
        </w:tc>
      </w:tr>
      <w:tr w:rsidR="00AA5A06" w:rsidRPr="00546503" w14:paraId="4EF1B52E" w14:textId="77777777" w:rsidTr="00546503">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01FF1AC4" w14:textId="77777777" w:rsidR="00AA5A06" w:rsidRPr="00546503" w:rsidRDefault="00AA5A06" w:rsidP="00546503">
            <w:pPr>
              <w:jc w:val="left"/>
              <w:rPr>
                <w:color w:val="000000"/>
                <w:sz w:val="20"/>
                <w:szCs w:val="20"/>
                <w:lang w:val="en-CA" w:eastAsia="en-CA"/>
              </w:rPr>
            </w:pPr>
            <w:r w:rsidRPr="00546503">
              <w:rPr>
                <w:color w:val="000000"/>
                <w:sz w:val="20"/>
                <w:szCs w:val="20"/>
                <w:lang w:val="en-CA" w:eastAsia="en-CA"/>
              </w:rPr>
              <w:t>R-507A</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32B27731"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18,202</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0393702B"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31,982</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4A42D22D"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55,964</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0085D6CD"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83,845</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hideMark/>
          </w:tcPr>
          <w:p w14:paraId="298E30C5" w14:textId="77777777" w:rsidR="00AA5A06" w:rsidRPr="00546503" w:rsidRDefault="00AA5A06" w:rsidP="00546503">
            <w:pPr>
              <w:jc w:val="right"/>
              <w:rPr>
                <w:sz w:val="20"/>
                <w:szCs w:val="20"/>
              </w:rPr>
            </w:pPr>
            <w:r w:rsidRPr="00546503">
              <w:rPr>
                <w:sz w:val="20"/>
                <w:szCs w:val="20"/>
              </w:rPr>
              <w:t>11.9</w:t>
            </w:r>
          </w:p>
        </w:tc>
      </w:tr>
      <w:tr w:rsidR="00AA5A06" w:rsidRPr="00546503" w14:paraId="5816F41B" w14:textId="77777777" w:rsidTr="00546503">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29C09338" w14:textId="77777777" w:rsidR="00AA5A06" w:rsidRPr="00546503" w:rsidRDefault="00AA5A06" w:rsidP="00546503">
            <w:pPr>
              <w:jc w:val="left"/>
              <w:rPr>
                <w:color w:val="000000"/>
                <w:sz w:val="20"/>
                <w:szCs w:val="20"/>
                <w:lang w:val="en-CA" w:eastAsia="en-CA"/>
              </w:rPr>
            </w:pPr>
            <w:r w:rsidRPr="00546503">
              <w:rPr>
                <w:color w:val="000000"/>
                <w:sz w:val="20"/>
                <w:szCs w:val="20"/>
                <w:lang w:val="en-CA" w:eastAsia="en-CA"/>
              </w:rPr>
              <w:t>HFC-152a</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5BDCA3E8"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3,364</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3A88EFF2"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5,669</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3269E9A3"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11,280</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2434DA13"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15,225</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hideMark/>
          </w:tcPr>
          <w:p w14:paraId="1A9EC5CC" w14:textId="77777777" w:rsidR="00AA5A06" w:rsidRPr="00546503" w:rsidRDefault="00AA5A06" w:rsidP="00546503">
            <w:pPr>
              <w:jc w:val="right"/>
              <w:rPr>
                <w:sz w:val="20"/>
                <w:szCs w:val="20"/>
              </w:rPr>
            </w:pPr>
            <w:r w:rsidRPr="00546503">
              <w:rPr>
                <w:sz w:val="20"/>
                <w:szCs w:val="20"/>
              </w:rPr>
              <w:t>12.9</w:t>
            </w:r>
          </w:p>
        </w:tc>
      </w:tr>
      <w:tr w:rsidR="00AA5A06" w:rsidRPr="00546503" w14:paraId="77283569" w14:textId="77777777" w:rsidTr="00546503">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039F9737" w14:textId="77777777" w:rsidR="00AA5A06" w:rsidRPr="00546503" w:rsidRDefault="00AA5A06" w:rsidP="00546503">
            <w:pPr>
              <w:jc w:val="left"/>
              <w:rPr>
                <w:color w:val="000000"/>
                <w:sz w:val="20"/>
                <w:szCs w:val="20"/>
                <w:lang w:val="en-CA" w:eastAsia="en-CA"/>
              </w:rPr>
            </w:pPr>
            <w:r w:rsidRPr="00546503">
              <w:rPr>
                <w:color w:val="000000"/>
                <w:sz w:val="20"/>
                <w:szCs w:val="20"/>
                <w:lang w:val="en-CA" w:eastAsia="en-CA"/>
              </w:rPr>
              <w:t>HFC-245fa</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1C78BF92"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2,172</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5F5A0C6B"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3,840</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1C9B508C"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4,986</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0D6DBF03"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5,504</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hideMark/>
          </w:tcPr>
          <w:p w14:paraId="464599C0" w14:textId="77777777" w:rsidR="00AA5A06" w:rsidRPr="00546503" w:rsidRDefault="00AA5A06" w:rsidP="00546503">
            <w:pPr>
              <w:jc w:val="right"/>
              <w:rPr>
                <w:sz w:val="20"/>
                <w:szCs w:val="20"/>
              </w:rPr>
            </w:pPr>
            <w:r w:rsidRPr="00546503">
              <w:rPr>
                <w:sz w:val="20"/>
                <w:szCs w:val="20"/>
              </w:rPr>
              <w:t>8.7</w:t>
            </w:r>
          </w:p>
        </w:tc>
      </w:tr>
      <w:tr w:rsidR="00AA5A06" w:rsidRPr="00546503" w14:paraId="0509C7DB" w14:textId="77777777" w:rsidTr="00546503">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5C95F51A" w14:textId="77777777" w:rsidR="00AA5A06" w:rsidRPr="00546503" w:rsidRDefault="00AA5A06" w:rsidP="00546503">
            <w:pPr>
              <w:jc w:val="left"/>
              <w:rPr>
                <w:color w:val="000000"/>
                <w:sz w:val="20"/>
                <w:szCs w:val="20"/>
                <w:lang w:val="en-CA" w:eastAsia="en-CA"/>
              </w:rPr>
            </w:pPr>
            <w:r w:rsidRPr="00546503">
              <w:rPr>
                <w:color w:val="000000"/>
                <w:sz w:val="20"/>
                <w:szCs w:val="20"/>
                <w:lang w:val="en-CA" w:eastAsia="en-CA"/>
              </w:rPr>
              <w:t>HFC-365mfc/HFC-227ea</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7FE8DF4D"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1,758</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23CB8CA7"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3,428</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52DFA9ED"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4,546</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6986B8F8"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5,020</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hideMark/>
          </w:tcPr>
          <w:p w14:paraId="7072F40F" w14:textId="77777777" w:rsidR="00AA5A06" w:rsidRPr="00546503" w:rsidRDefault="00AA5A06" w:rsidP="00546503">
            <w:pPr>
              <w:jc w:val="right"/>
              <w:rPr>
                <w:sz w:val="20"/>
                <w:szCs w:val="20"/>
              </w:rPr>
            </w:pPr>
            <w:r w:rsidRPr="00546503">
              <w:rPr>
                <w:sz w:val="20"/>
                <w:szCs w:val="20"/>
              </w:rPr>
              <w:t>10.0</w:t>
            </w:r>
          </w:p>
        </w:tc>
      </w:tr>
      <w:tr w:rsidR="00AA5A06" w:rsidRPr="00546503" w14:paraId="1BC8C8A3" w14:textId="77777777" w:rsidTr="00546503">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6344DF51" w14:textId="77777777" w:rsidR="00AA5A06" w:rsidRPr="00546503" w:rsidRDefault="00AA5A06" w:rsidP="00546503">
            <w:pPr>
              <w:jc w:val="left"/>
              <w:rPr>
                <w:color w:val="000000"/>
                <w:sz w:val="20"/>
                <w:szCs w:val="20"/>
                <w:lang w:val="en-CA" w:eastAsia="en-CA"/>
              </w:rPr>
            </w:pPr>
            <w:r w:rsidRPr="00546503">
              <w:rPr>
                <w:color w:val="000000"/>
                <w:sz w:val="20"/>
                <w:szCs w:val="20"/>
                <w:lang w:val="en-CA" w:eastAsia="en-CA"/>
              </w:rPr>
              <w:t>Total</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6438208F"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284,325</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5845EAA2"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477,618</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0D473D25"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731,402</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01016453" w14:textId="77777777" w:rsidR="00AA5A06" w:rsidRPr="00546503" w:rsidRDefault="00AA5A06" w:rsidP="00546503">
            <w:pPr>
              <w:jc w:val="right"/>
              <w:rPr>
                <w:color w:val="000000"/>
                <w:sz w:val="20"/>
                <w:szCs w:val="20"/>
                <w:lang w:val="en-CA" w:eastAsia="en-CA"/>
              </w:rPr>
            </w:pPr>
            <w:r w:rsidRPr="00546503">
              <w:rPr>
                <w:color w:val="000000"/>
                <w:sz w:val="20"/>
                <w:szCs w:val="20"/>
                <w:lang w:val="en-CA" w:eastAsia="en-CA"/>
              </w:rPr>
              <w:t>1,021,216</w:t>
            </w:r>
          </w:p>
        </w:tc>
        <w:tc>
          <w:tcPr>
            <w:tcW w:w="1350" w:type="dxa"/>
            <w:tcBorders>
              <w:top w:val="nil"/>
              <w:left w:val="nil"/>
              <w:bottom w:val="single" w:sz="4" w:space="0" w:color="auto"/>
              <w:right w:val="single" w:sz="4" w:space="0" w:color="auto"/>
            </w:tcBorders>
            <w:shd w:val="clear" w:color="auto" w:fill="auto"/>
            <w:noWrap/>
            <w:tcMar>
              <w:left w:w="115" w:type="dxa"/>
              <w:right w:w="288" w:type="dxa"/>
            </w:tcMar>
            <w:hideMark/>
          </w:tcPr>
          <w:p w14:paraId="2D727A41" w14:textId="77777777" w:rsidR="00AA5A06" w:rsidRPr="00546503" w:rsidRDefault="00AA5A06" w:rsidP="00546503">
            <w:pPr>
              <w:jc w:val="right"/>
              <w:rPr>
                <w:sz w:val="20"/>
                <w:szCs w:val="20"/>
              </w:rPr>
            </w:pPr>
            <w:r w:rsidRPr="00546503">
              <w:rPr>
                <w:sz w:val="20"/>
                <w:szCs w:val="20"/>
              </w:rPr>
              <w:t>9.9</w:t>
            </w:r>
          </w:p>
        </w:tc>
      </w:tr>
    </w:tbl>
    <w:p w14:paraId="00C5DCF6" w14:textId="77777777" w:rsidR="00AA5A06" w:rsidRPr="00546503" w:rsidRDefault="00AA5A06" w:rsidP="00AA5A06">
      <w:pPr>
        <w:ind w:left="1440" w:hanging="1440"/>
        <w:outlineLvl w:val="0"/>
        <w:rPr>
          <w:sz w:val="16"/>
          <w:szCs w:val="16"/>
          <w:lang w:val="en-CA"/>
        </w:rPr>
      </w:pPr>
      <w:r w:rsidRPr="00546503">
        <w:rPr>
          <w:sz w:val="16"/>
          <w:szCs w:val="16"/>
          <w:lang w:val="en-CA"/>
        </w:rPr>
        <w:t>* Average growth rate between 2015 and 2025.</w:t>
      </w:r>
    </w:p>
    <w:p w14:paraId="41BA8CFD" w14:textId="77777777" w:rsidR="00AA5A06" w:rsidRPr="00132E46" w:rsidRDefault="00AA5A06" w:rsidP="00AA5A06"/>
    <w:p w14:paraId="2CBFB046" w14:textId="77777777" w:rsidR="00AA5A06" w:rsidRPr="00132E46" w:rsidRDefault="00AA5A06" w:rsidP="00AA5A06">
      <w:pPr>
        <w:pStyle w:val="Heading1"/>
      </w:pPr>
      <w:r>
        <w:t xml:space="preserve">The domestic refrigeration </w:t>
      </w:r>
      <w:r w:rsidRPr="00132E46">
        <w:t>manufacturing sector in China accounts for 50 per cent of global production. Between 2011 and 2016, China produced on average 70 million domestic refrigerators/year. In</w:t>
      </w:r>
      <w:r>
        <w:t> </w:t>
      </w:r>
      <w:r w:rsidRPr="00132E46">
        <w:t>2017, production increased to 75,160,000 units. Of the more than 200 domestic refrigeration manufacturers</w:t>
      </w:r>
      <w:r>
        <w:t xml:space="preserve"> in China, 30 of them </w:t>
      </w:r>
      <w:r w:rsidRPr="00132E46">
        <w:t xml:space="preserve">produce 95 per cent of the units, and five of them (Haier, Hisense </w:t>
      </w:r>
      <w:proofErr w:type="spellStart"/>
      <w:r w:rsidRPr="00132E46">
        <w:t>Kelon</w:t>
      </w:r>
      <w:proofErr w:type="spellEnd"/>
      <w:r w:rsidRPr="00132E46">
        <w:t xml:space="preserve">, </w:t>
      </w:r>
      <w:proofErr w:type="spellStart"/>
      <w:r w:rsidRPr="00132E46">
        <w:t>Meiling</w:t>
      </w:r>
      <w:proofErr w:type="spellEnd"/>
      <w:r w:rsidRPr="00132E46">
        <w:t xml:space="preserve">, </w:t>
      </w:r>
      <w:proofErr w:type="spellStart"/>
      <w:r w:rsidRPr="00132E46">
        <w:t>Midea</w:t>
      </w:r>
      <w:proofErr w:type="spellEnd"/>
      <w:r w:rsidRPr="00132E46">
        <w:t xml:space="preserve"> and Siemens) produce around 70 per cent. </w:t>
      </w:r>
    </w:p>
    <w:p w14:paraId="50DA3968" w14:textId="77777777" w:rsidR="00AA5A06" w:rsidRDefault="00AA5A06" w:rsidP="00AA5A06">
      <w:pPr>
        <w:pStyle w:val="Heading1"/>
      </w:pPr>
      <w:r>
        <w:t xml:space="preserve">Between </w:t>
      </w:r>
      <w:r w:rsidRPr="00A260E9">
        <w:t>200</w:t>
      </w:r>
      <w:r>
        <w:t>0</w:t>
      </w:r>
      <w:r w:rsidRPr="00A260E9">
        <w:t xml:space="preserve"> </w:t>
      </w:r>
      <w:r>
        <w:t>and</w:t>
      </w:r>
      <w:r w:rsidRPr="00A260E9">
        <w:t xml:space="preserve"> 2015</w:t>
      </w:r>
      <w:r>
        <w:t>, f</w:t>
      </w:r>
      <w:r w:rsidRPr="00A260E9">
        <w:t>ollowing the phase</w:t>
      </w:r>
      <w:r>
        <w:t>-</w:t>
      </w:r>
      <w:r w:rsidRPr="00A260E9">
        <w:t xml:space="preserve">out of CFC-11, </w:t>
      </w:r>
      <w:proofErr w:type="spellStart"/>
      <w:r w:rsidRPr="00A260E9">
        <w:t>cyclopentane</w:t>
      </w:r>
      <w:proofErr w:type="spellEnd"/>
      <w:r w:rsidRPr="00A260E9">
        <w:t xml:space="preserve"> was used widely as </w:t>
      </w:r>
      <w:r>
        <w:t xml:space="preserve">a </w:t>
      </w:r>
      <w:r w:rsidRPr="00A260E9">
        <w:t xml:space="preserve">blowing agent in </w:t>
      </w:r>
      <w:r>
        <w:t xml:space="preserve">the </w:t>
      </w:r>
      <w:r w:rsidRPr="00A260E9">
        <w:t>domestic refrigerat</w:t>
      </w:r>
      <w:r>
        <w:t>ion</w:t>
      </w:r>
      <w:r w:rsidRPr="00A260E9">
        <w:t xml:space="preserve"> sector. </w:t>
      </w:r>
      <w:r>
        <w:t xml:space="preserve">Given the </w:t>
      </w:r>
      <w:r w:rsidRPr="00A260E9">
        <w:t>gradual</w:t>
      </w:r>
      <w:r>
        <w:t>ly</w:t>
      </w:r>
      <w:r w:rsidRPr="00A260E9">
        <w:t xml:space="preserve"> increasing requirements </w:t>
      </w:r>
      <w:r>
        <w:t>relating to</w:t>
      </w:r>
      <w:r w:rsidRPr="00A260E9">
        <w:t xml:space="preserve"> energy effic</w:t>
      </w:r>
      <w:r>
        <w:t>ienc</w:t>
      </w:r>
      <w:r w:rsidRPr="00A260E9">
        <w:t>y</w:t>
      </w:r>
      <w:r>
        <w:t>, in</w:t>
      </w:r>
      <w:r w:rsidRPr="00A260E9">
        <w:t xml:space="preserve"> 2000 </w:t>
      </w:r>
      <w:r>
        <w:t>the domestic refrigeration</w:t>
      </w:r>
      <w:r w:rsidRPr="00A260E9">
        <w:t xml:space="preserve"> sector</w:t>
      </w:r>
      <w:r>
        <w:t xml:space="preserve"> in China</w:t>
      </w:r>
      <w:r w:rsidRPr="00A260E9">
        <w:t xml:space="preserve"> started </w:t>
      </w:r>
      <w:r>
        <w:t xml:space="preserve">conducting </w:t>
      </w:r>
      <w:r w:rsidRPr="00A260E9">
        <w:t xml:space="preserve">research </w:t>
      </w:r>
      <w:r>
        <w:t>into</w:t>
      </w:r>
      <w:r w:rsidRPr="00A260E9">
        <w:t xml:space="preserve"> the use of </w:t>
      </w:r>
      <w:proofErr w:type="spellStart"/>
      <w:r w:rsidRPr="00A260E9">
        <w:t>cycl</w:t>
      </w:r>
      <w:r>
        <w:t>o</w:t>
      </w:r>
      <w:r w:rsidRPr="00A260E9">
        <w:t>pentane</w:t>
      </w:r>
      <w:proofErr w:type="spellEnd"/>
      <w:r w:rsidRPr="00A260E9">
        <w:t xml:space="preserve"> </w:t>
      </w:r>
      <w:r>
        <w:t>mixed with</w:t>
      </w:r>
      <w:r w:rsidRPr="00A260E9">
        <w:t xml:space="preserve"> HFC</w:t>
      </w:r>
      <w:r>
        <w:noBreakHyphen/>
      </w:r>
      <w:r w:rsidRPr="00A260E9">
        <w:t xml:space="preserve">245fa </w:t>
      </w:r>
      <w:r>
        <w:t xml:space="preserve">(C5+HFC-245fa) </w:t>
      </w:r>
      <w:r w:rsidRPr="00A260E9">
        <w:t xml:space="preserve">to improve </w:t>
      </w:r>
      <w:r>
        <w:t xml:space="preserve">the </w:t>
      </w:r>
      <w:r w:rsidRPr="00A260E9">
        <w:t>thermal</w:t>
      </w:r>
      <w:r>
        <w:t>-</w:t>
      </w:r>
      <w:r w:rsidRPr="00A260E9">
        <w:t xml:space="preserve">insulation performance of pure </w:t>
      </w:r>
      <w:proofErr w:type="spellStart"/>
      <w:r w:rsidRPr="00A260E9">
        <w:t>cyclopentane</w:t>
      </w:r>
      <w:proofErr w:type="spellEnd"/>
      <w:r w:rsidRPr="00A260E9">
        <w:t>.</w:t>
      </w:r>
    </w:p>
    <w:p w14:paraId="5ED92BA9" w14:textId="77777777" w:rsidR="00AA5A06" w:rsidRDefault="00AA5A06" w:rsidP="00AA5A06">
      <w:pPr>
        <w:pStyle w:val="Heading1"/>
      </w:pPr>
      <w:r w:rsidRPr="00962CAE">
        <w:t xml:space="preserve">Hisense </w:t>
      </w:r>
      <w:proofErr w:type="spellStart"/>
      <w:r w:rsidRPr="00962CAE">
        <w:t>Kelon</w:t>
      </w:r>
      <w:proofErr w:type="spellEnd"/>
      <w:r>
        <w:t xml:space="preserve"> was</w:t>
      </w:r>
      <w:r w:rsidRPr="00962CAE">
        <w:t xml:space="preserve"> the first manufacturer in China to commercialize domestic refrigerator</w:t>
      </w:r>
      <w:r>
        <w:t>s</w:t>
      </w:r>
      <w:r w:rsidRPr="00962CAE">
        <w:t xml:space="preserve"> using C5+HFC-245fa technology</w:t>
      </w:r>
      <w:r>
        <w:t xml:space="preserve">. Around 2015, the blend became one of the main </w:t>
      </w:r>
      <w:r w:rsidRPr="00962CAE">
        <w:t>insulation technolog</w:t>
      </w:r>
      <w:r>
        <w:t>ies</w:t>
      </w:r>
      <w:r w:rsidRPr="00962CAE">
        <w:t xml:space="preserve"> in the domestic refrigerator industry.</w:t>
      </w:r>
      <w:r>
        <w:t xml:space="preserve"> It is estimated that 10,400 </w:t>
      </w:r>
      <w:proofErr w:type="spellStart"/>
      <w:r>
        <w:t>mt</w:t>
      </w:r>
      <w:proofErr w:type="spellEnd"/>
      <w:r>
        <w:t xml:space="preserve"> of HFC-</w:t>
      </w:r>
      <w:r w:rsidRPr="00ED1D90">
        <w:t xml:space="preserve">245fa were used in 2017 in the China </w:t>
      </w:r>
      <w:r w:rsidRPr="00ED1D90">
        <w:lastRenderedPageBreak/>
        <w:t>domestic refrigerator sector; consumption could grow as enterprises stri</w:t>
      </w:r>
      <w:r>
        <w:t xml:space="preserve">ve to meet ever stricter </w:t>
      </w:r>
      <w:r w:rsidRPr="00962CAE">
        <w:t>energy</w:t>
      </w:r>
      <w:r>
        <w:noBreakHyphen/>
      </w:r>
      <w:r w:rsidRPr="00962CAE">
        <w:t>efficiency standard</w:t>
      </w:r>
      <w:r>
        <w:t>s.</w:t>
      </w:r>
    </w:p>
    <w:p w14:paraId="4C6CED47" w14:textId="77777777" w:rsidR="00AA5A06" w:rsidRPr="007D2AA2" w:rsidRDefault="00AA5A06" w:rsidP="00AA5A06">
      <w:pPr>
        <w:keepNext/>
        <w:rPr>
          <w:u w:val="single"/>
        </w:rPr>
      </w:pPr>
      <w:r w:rsidRPr="007D2AA2">
        <w:rPr>
          <w:u w:val="single"/>
        </w:rPr>
        <w:t>Enterprise background</w:t>
      </w:r>
    </w:p>
    <w:p w14:paraId="09D79271" w14:textId="77777777" w:rsidR="00AA5A06" w:rsidRPr="007871D3" w:rsidRDefault="00AA5A06" w:rsidP="00AA5A06">
      <w:pPr>
        <w:rPr>
          <w:highlight w:val="yellow"/>
        </w:rPr>
      </w:pPr>
    </w:p>
    <w:p w14:paraId="2E199DC4" w14:textId="77777777" w:rsidR="00AA5A06" w:rsidRDefault="00AA5A06" w:rsidP="00AA5A06">
      <w:pPr>
        <w:pStyle w:val="Heading1"/>
      </w:pPr>
      <w:r w:rsidRPr="004C3333">
        <w:t>Hisense</w:t>
      </w:r>
      <w:r>
        <w:t xml:space="preserve"> </w:t>
      </w:r>
      <w:proofErr w:type="spellStart"/>
      <w:r w:rsidRPr="004C3333">
        <w:t>Kelon</w:t>
      </w:r>
      <w:proofErr w:type="spellEnd"/>
      <w:r w:rsidRPr="004C3333">
        <w:t xml:space="preserve">, a locally owned enterprise, is one of the </w:t>
      </w:r>
      <w:r>
        <w:t xml:space="preserve">country’s </w:t>
      </w:r>
      <w:r w:rsidRPr="004C3333">
        <w:t>largest manufacturers of white</w:t>
      </w:r>
      <w:r>
        <w:noBreakHyphen/>
      </w:r>
      <w:r w:rsidRPr="004C3333">
        <w:t>line electrical household appliances, inc</w:t>
      </w:r>
      <w:r>
        <w:t>l</w:t>
      </w:r>
      <w:r w:rsidRPr="004C3333">
        <w:t>uding refrigerators</w:t>
      </w:r>
      <w:r>
        <w:t xml:space="preserve"> and</w:t>
      </w:r>
      <w:r w:rsidRPr="004C3333">
        <w:t xml:space="preserve"> freezers </w:t>
      </w:r>
      <w:r>
        <w:t>with volumes from 50 to 650 litres,</w:t>
      </w:r>
      <w:r w:rsidRPr="004C3333">
        <w:t xml:space="preserve"> and washing machines</w:t>
      </w:r>
      <w:r>
        <w:t xml:space="preserve">. In </w:t>
      </w:r>
      <w:r w:rsidRPr="004C3333">
        <w:t>2017</w:t>
      </w:r>
      <w:r>
        <w:t>,</w:t>
      </w:r>
      <w:r w:rsidRPr="004C3333">
        <w:t xml:space="preserve"> </w:t>
      </w:r>
      <w:r>
        <w:t xml:space="preserve">it </w:t>
      </w:r>
      <w:r w:rsidRPr="004C3333">
        <w:t xml:space="preserve">produced around 10,700,000 domestic refrigerators, about 3,750,000 </w:t>
      </w:r>
      <w:r>
        <w:t xml:space="preserve">of which </w:t>
      </w:r>
      <w:r w:rsidRPr="004C3333">
        <w:t>were exported</w:t>
      </w:r>
      <w:r>
        <w:t xml:space="preserve"> (one million units using C5+HFO-1233zd were exported to the European Union)</w:t>
      </w:r>
      <w:r w:rsidRPr="004C3333">
        <w:t xml:space="preserve">. </w:t>
      </w:r>
    </w:p>
    <w:p w14:paraId="27C64232" w14:textId="77777777" w:rsidR="00AA5A06" w:rsidRDefault="00AA5A06" w:rsidP="00AA5A06">
      <w:pPr>
        <w:pStyle w:val="Heading1"/>
      </w:pPr>
      <w:r>
        <w:t xml:space="preserve">The enterprise </w:t>
      </w:r>
      <w:r w:rsidRPr="004C3333">
        <w:t>has four production</w:t>
      </w:r>
      <w:r>
        <w:t xml:space="preserve"> facilities </w:t>
      </w:r>
      <w:r w:rsidRPr="004C3333">
        <w:t>in China</w:t>
      </w:r>
      <w:r>
        <w:t>; it uses C5</w:t>
      </w:r>
      <w:r w:rsidRPr="004C3333">
        <w:t>+HFC-245fa</w:t>
      </w:r>
      <w:r>
        <w:t xml:space="preserve"> as its main foaming technology</w:t>
      </w:r>
      <w:r w:rsidRPr="004C3333">
        <w:t xml:space="preserve">, </w:t>
      </w:r>
      <w:r>
        <w:t xml:space="preserve">with </w:t>
      </w:r>
      <w:r w:rsidRPr="004C3333">
        <w:t xml:space="preserve">total consumption </w:t>
      </w:r>
      <w:r>
        <w:t xml:space="preserve">of </w:t>
      </w:r>
      <w:r w:rsidRPr="004C3333">
        <w:t>HFC</w:t>
      </w:r>
      <w:r>
        <w:noBreakHyphen/>
      </w:r>
      <w:r w:rsidRPr="004C3333">
        <w:t xml:space="preserve">245fa </w:t>
      </w:r>
      <w:r>
        <w:t xml:space="preserve">of </w:t>
      </w:r>
      <w:r w:rsidRPr="004C3333">
        <w:t>1,200</w:t>
      </w:r>
      <w:r>
        <w:t xml:space="preserve"> </w:t>
      </w:r>
      <w:proofErr w:type="spellStart"/>
      <w:r>
        <w:t>mt</w:t>
      </w:r>
      <w:r w:rsidRPr="004C3333">
        <w:t>.</w:t>
      </w:r>
      <w:proofErr w:type="spellEnd"/>
    </w:p>
    <w:p w14:paraId="7BE63168" w14:textId="77777777" w:rsidR="00AA5A06" w:rsidRDefault="00AA5A06" w:rsidP="00AA5A06">
      <w:pPr>
        <w:rPr>
          <w:u w:val="single"/>
        </w:rPr>
      </w:pPr>
      <w:r w:rsidRPr="00E640EA">
        <w:rPr>
          <w:u w:val="single"/>
        </w:rPr>
        <w:t xml:space="preserve">Project </w:t>
      </w:r>
      <w:r>
        <w:rPr>
          <w:u w:val="single"/>
        </w:rPr>
        <w:t>description and costs</w:t>
      </w:r>
    </w:p>
    <w:p w14:paraId="49025A4B" w14:textId="77777777" w:rsidR="00AA5A06" w:rsidRPr="00E640EA" w:rsidRDefault="00AA5A06" w:rsidP="00AA5A06">
      <w:pPr>
        <w:rPr>
          <w:u w:val="single"/>
        </w:rPr>
      </w:pPr>
    </w:p>
    <w:p w14:paraId="7A4EBE4B" w14:textId="77777777" w:rsidR="00AA5A06" w:rsidRDefault="00AA5A06" w:rsidP="00AA5A06">
      <w:pPr>
        <w:pStyle w:val="Heading1"/>
      </w:pPr>
      <w:r>
        <w:t xml:space="preserve">Currently available alternatives to HFC-245fa in domestic refrigeration include </w:t>
      </w:r>
      <w:proofErr w:type="spellStart"/>
      <w:r>
        <w:t>cyclopentane</w:t>
      </w:r>
      <w:proofErr w:type="spellEnd"/>
      <w:r>
        <w:t xml:space="preserve">, HFO-1233zd and HFO-1336mzz. The enterprise has selected a blend of </w:t>
      </w:r>
      <w:proofErr w:type="spellStart"/>
      <w:r>
        <w:t>cyclopentane</w:t>
      </w:r>
      <w:proofErr w:type="spellEnd"/>
      <w:r>
        <w:t xml:space="preserve"> and HFO-1233zd (C5+HFO-1233zd) owing to the availability of HFO-1233zd on the local market, the high cost of pure HFOs, its past experience with dual-component foaming technology, and the excellent thermal-insulation performance of the blend, which could lead to refrigerator energy-efficiency gains of one per cent in comparison with C5+HFC</w:t>
      </w:r>
      <w:r>
        <w:noBreakHyphen/>
        <w:t>245fa.</w:t>
      </w:r>
    </w:p>
    <w:p w14:paraId="39E7354A" w14:textId="77777777" w:rsidR="00AA5A06" w:rsidRDefault="00AA5A06" w:rsidP="00AA5A06">
      <w:pPr>
        <w:pStyle w:val="Heading1"/>
      </w:pPr>
      <w:r>
        <w:t xml:space="preserve">Hisense </w:t>
      </w:r>
      <w:proofErr w:type="spellStart"/>
      <w:r>
        <w:t>Kelon</w:t>
      </w:r>
      <w:proofErr w:type="spellEnd"/>
      <w:r>
        <w:t xml:space="preserve"> aims to convert one domestic-refrigerator manufacturing line, located in </w:t>
      </w:r>
      <w:proofErr w:type="spellStart"/>
      <w:r>
        <w:t>Guandong</w:t>
      </w:r>
      <w:proofErr w:type="spellEnd"/>
      <w:r>
        <w:t>, with a production capacity of 1,200,000 units/year and consumption of 250</w:t>
      </w:r>
      <w:r w:rsidRPr="00E640EA">
        <w:t> </w:t>
      </w:r>
      <w:proofErr w:type="spellStart"/>
      <w:r w:rsidRPr="00E640EA">
        <w:t>mt</w:t>
      </w:r>
      <w:proofErr w:type="spellEnd"/>
      <w:r w:rsidRPr="005E4260">
        <w:t xml:space="preserve"> </w:t>
      </w:r>
      <w:r>
        <w:t xml:space="preserve">of HFC-245fa. The line was established in 1991 to operate with CFC-11, and converted with the assistance of </w:t>
      </w:r>
      <w:r w:rsidRPr="004C3333">
        <w:t>Multilateral Fund</w:t>
      </w:r>
      <w:r w:rsidRPr="004C3333">
        <w:rPr>
          <w:rStyle w:val="FootnoteReference"/>
        </w:rPr>
        <w:footnoteReference w:id="1"/>
      </w:r>
      <w:r w:rsidRPr="004C3333">
        <w:t xml:space="preserve"> </w:t>
      </w:r>
      <w:r>
        <w:t xml:space="preserve">to </w:t>
      </w:r>
      <w:proofErr w:type="spellStart"/>
      <w:r>
        <w:t>cyclopentane</w:t>
      </w:r>
      <w:proofErr w:type="spellEnd"/>
      <w:r>
        <w:t xml:space="preserve"> in 1997; in 2007 the enterprise converted to C5+HFC-245fa technology with its own resources. In 2017, eight per cent of its production was exported to non</w:t>
      </w:r>
      <w:r>
        <w:noBreakHyphen/>
        <w:t>Article 5 countries.</w:t>
      </w:r>
    </w:p>
    <w:p w14:paraId="75F41D0A" w14:textId="77777777" w:rsidR="00AA5A06" w:rsidRDefault="00AA5A06" w:rsidP="00AA5A06">
      <w:pPr>
        <w:pStyle w:val="Heading1"/>
      </w:pPr>
      <w:r w:rsidRPr="00B23FFD">
        <w:t>The following changes to the manufact</w:t>
      </w:r>
      <w:r>
        <w:t xml:space="preserve">uring equipment </w:t>
      </w:r>
      <w:r w:rsidRPr="00B23FFD">
        <w:t>are</w:t>
      </w:r>
      <w:r>
        <w:t xml:space="preserve"> proposed to enable the introduction of C5+HFO-1233zd:</w:t>
      </w:r>
    </w:p>
    <w:p w14:paraId="310AFB93" w14:textId="77777777" w:rsidR="00AA5A06" w:rsidRDefault="00AA5A06" w:rsidP="00AA5A06">
      <w:pPr>
        <w:pStyle w:val="Heading2"/>
        <w:numPr>
          <w:ilvl w:val="1"/>
          <w:numId w:val="1"/>
        </w:numPr>
      </w:pPr>
      <w:r>
        <w:t>Replacement of all plastic sealing rings in cylinders, pipes and foaming equipment on account of the solvent properties of HFO-1233zd;</w:t>
      </w:r>
    </w:p>
    <w:p w14:paraId="0D620275" w14:textId="77777777" w:rsidR="00AA5A06" w:rsidRDefault="00AA5A06" w:rsidP="00AA5A06">
      <w:pPr>
        <w:pStyle w:val="Heading2"/>
        <w:numPr>
          <w:ilvl w:val="1"/>
          <w:numId w:val="1"/>
        </w:numPr>
      </w:pPr>
      <w:r>
        <w:t>Conversion of the polyether-supply control system to address the change in the mixing ratios of blowing agents and polyols;</w:t>
      </w:r>
    </w:p>
    <w:p w14:paraId="040503FF" w14:textId="77777777" w:rsidR="00AA5A06" w:rsidRDefault="00AA5A06" w:rsidP="00AA5A06">
      <w:pPr>
        <w:pStyle w:val="Heading2"/>
        <w:numPr>
          <w:ilvl w:val="1"/>
          <w:numId w:val="1"/>
        </w:numPr>
      </w:pPr>
      <w:r>
        <w:t>Conversion of the static pre-mixing unit owing to HFO solvency and temperature sensitivity (replacement of sealing rings, new thermal-static system);</w:t>
      </w:r>
    </w:p>
    <w:p w14:paraId="4F76F7AC" w14:textId="77777777" w:rsidR="00AA5A06" w:rsidRPr="00A61450" w:rsidRDefault="00AA5A06" w:rsidP="00AA5A06">
      <w:pPr>
        <w:pStyle w:val="Heading2"/>
        <w:numPr>
          <w:ilvl w:val="1"/>
          <w:numId w:val="1"/>
        </w:numPr>
      </w:pPr>
      <w:r>
        <w:t xml:space="preserve">Conversion of the 27-year-old foam machine (installed </w:t>
      </w:r>
      <w:r w:rsidRPr="00ED1D90">
        <w:t>in 1991, and composed of four foam dispensers, each with two heads used for five workstations) to meet the stricter temperature-control requirements of HFO-1233zd, including: addition</w:t>
      </w:r>
      <w:r>
        <w:t xml:space="preserve"> of thermostatic control devices in four foaming rooms; addition of water-controlled thermal-static devices to the existing jigs and moulds in 40 workstations; change of parts of the foaming equipment owing to properties of the HFO; a change in ratio between polyols and </w:t>
      </w:r>
      <w:r w:rsidRPr="006C1187">
        <w:t xml:space="preserve">methylene diphenyl </w:t>
      </w:r>
      <w:proofErr w:type="spellStart"/>
      <w:r w:rsidRPr="006C1187">
        <w:t>diisocyanate</w:t>
      </w:r>
      <w:proofErr w:type="spellEnd"/>
      <w:r>
        <w:t xml:space="preserve"> (MDI); and the construction of a new pre-heating system.</w:t>
      </w:r>
    </w:p>
    <w:p w14:paraId="22085781" w14:textId="77777777" w:rsidR="00AA5A06" w:rsidRDefault="00AA5A06" w:rsidP="00AA5A06">
      <w:pPr>
        <w:pStyle w:val="Heading1"/>
      </w:pPr>
      <w:r>
        <w:t xml:space="preserve">The above modifications cover only the part of the foaming equipment that produces cabinets. The enterprise itself will fund the conversion of the foam dispenser used to produce doors. </w:t>
      </w:r>
    </w:p>
    <w:p w14:paraId="3511B76C" w14:textId="77777777" w:rsidR="00AA5A06" w:rsidRPr="00E94421" w:rsidRDefault="00AA5A06" w:rsidP="00AA5A06">
      <w:pPr>
        <w:keepNext/>
        <w:keepLines/>
        <w:rPr>
          <w:i/>
        </w:rPr>
      </w:pPr>
      <w:r w:rsidRPr="00E94421">
        <w:rPr>
          <w:i/>
        </w:rPr>
        <w:lastRenderedPageBreak/>
        <w:t>Project costs</w:t>
      </w:r>
    </w:p>
    <w:p w14:paraId="03B66F9F" w14:textId="77777777" w:rsidR="00AA5A06" w:rsidRPr="00DD1F52" w:rsidRDefault="00AA5A06" w:rsidP="00AA5A06">
      <w:pPr>
        <w:keepNext/>
        <w:keepLines/>
      </w:pPr>
    </w:p>
    <w:p w14:paraId="08E4E1E2" w14:textId="77777777" w:rsidR="00AA5A06" w:rsidRDefault="00AA5A06" w:rsidP="00AA5A06">
      <w:pPr>
        <w:pStyle w:val="Heading1"/>
        <w:keepNext/>
        <w:keepLines/>
      </w:pPr>
      <w:r w:rsidRPr="00DD1F52">
        <w:t>The incremental capital costs (ICC</w:t>
      </w:r>
      <w:r>
        <w:t>s</w:t>
      </w:r>
      <w:r w:rsidRPr="00DD1F52">
        <w:t xml:space="preserve">), as submitted, amount to </w:t>
      </w:r>
      <w:r>
        <w:t>US $</w:t>
      </w:r>
      <w:r w:rsidRPr="00DD1F52">
        <w:t>2,313,300 as shown in Table</w:t>
      </w:r>
      <w:r>
        <w:t> 1</w:t>
      </w:r>
      <w:r w:rsidRPr="00DD1F52">
        <w:t>.</w:t>
      </w:r>
    </w:p>
    <w:p w14:paraId="4FBA5AA4" w14:textId="77777777" w:rsidR="00AA5A06" w:rsidRPr="00A12814" w:rsidRDefault="00AA5A06" w:rsidP="00AA5A06">
      <w:pPr>
        <w:keepNext/>
        <w:keepLines/>
        <w:rPr>
          <w:b/>
        </w:rPr>
      </w:pPr>
      <w:r w:rsidRPr="00A12814">
        <w:rPr>
          <w:b/>
        </w:rPr>
        <w:t xml:space="preserve">Table </w:t>
      </w:r>
      <w:r>
        <w:rPr>
          <w:b/>
        </w:rPr>
        <w:t>1</w:t>
      </w:r>
      <w:r w:rsidRPr="00A12814">
        <w:rPr>
          <w:b/>
        </w:rPr>
        <w:t>. ICC</w:t>
      </w:r>
      <w:r>
        <w:rPr>
          <w:b/>
        </w:rPr>
        <w:t>s</w:t>
      </w:r>
      <w:r w:rsidRPr="00A12814">
        <w:rPr>
          <w:b/>
        </w:rPr>
        <w:t xml:space="preserve"> for the conversion of domestic refrigerators </w:t>
      </w:r>
      <w:r>
        <w:rPr>
          <w:b/>
        </w:rPr>
        <w:t xml:space="preserve">(PU foam) in Hisense </w:t>
      </w:r>
      <w:proofErr w:type="spellStart"/>
      <w:r>
        <w:rPr>
          <w:b/>
        </w:rPr>
        <w:t>Kelon</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3690"/>
        <w:gridCol w:w="1350"/>
        <w:gridCol w:w="1462"/>
        <w:gridCol w:w="1593"/>
      </w:tblGrid>
      <w:tr w:rsidR="00AA5A06" w:rsidRPr="008B6EEE" w14:paraId="7FCDCD90" w14:textId="77777777" w:rsidTr="00546503">
        <w:trPr>
          <w:cantSplit/>
          <w:trHeight w:val="461"/>
          <w:tblHeader/>
        </w:trPr>
        <w:tc>
          <w:tcPr>
            <w:tcW w:w="671" w:type="pct"/>
            <w:shd w:val="clear" w:color="auto" w:fill="auto"/>
            <w:vAlign w:val="center"/>
          </w:tcPr>
          <w:p w14:paraId="3B34209E" w14:textId="77777777" w:rsidR="00AA5A06" w:rsidRPr="008B6EEE" w:rsidRDefault="00AA5A06" w:rsidP="00546503">
            <w:pPr>
              <w:keepNext/>
              <w:keepLines/>
              <w:jc w:val="center"/>
              <w:rPr>
                <w:b/>
                <w:sz w:val="20"/>
                <w:szCs w:val="20"/>
              </w:rPr>
            </w:pPr>
            <w:r w:rsidRPr="008B6EEE">
              <w:rPr>
                <w:b/>
                <w:sz w:val="20"/>
                <w:szCs w:val="20"/>
              </w:rPr>
              <w:t>Category</w:t>
            </w:r>
          </w:p>
        </w:tc>
        <w:tc>
          <w:tcPr>
            <w:tcW w:w="1973" w:type="pct"/>
            <w:shd w:val="clear" w:color="auto" w:fill="auto"/>
            <w:vAlign w:val="center"/>
          </w:tcPr>
          <w:p w14:paraId="59D41B79" w14:textId="77777777" w:rsidR="00AA5A06" w:rsidRPr="008B6EEE" w:rsidRDefault="00AA5A06" w:rsidP="00546503">
            <w:pPr>
              <w:keepNext/>
              <w:keepLines/>
              <w:jc w:val="center"/>
              <w:rPr>
                <w:b/>
                <w:sz w:val="20"/>
                <w:szCs w:val="20"/>
              </w:rPr>
            </w:pPr>
            <w:r w:rsidRPr="008B6EEE">
              <w:rPr>
                <w:b/>
                <w:sz w:val="20"/>
                <w:szCs w:val="20"/>
              </w:rPr>
              <w:t>Equipment</w:t>
            </w:r>
          </w:p>
        </w:tc>
        <w:tc>
          <w:tcPr>
            <w:tcW w:w="722" w:type="pct"/>
            <w:shd w:val="clear" w:color="auto" w:fill="auto"/>
            <w:vAlign w:val="center"/>
          </w:tcPr>
          <w:p w14:paraId="392ED523" w14:textId="77777777" w:rsidR="00AA5A06" w:rsidRPr="008B6EEE" w:rsidRDefault="00AA5A06" w:rsidP="00546503">
            <w:pPr>
              <w:keepNext/>
              <w:keepLines/>
              <w:jc w:val="center"/>
              <w:rPr>
                <w:b/>
                <w:sz w:val="20"/>
                <w:szCs w:val="20"/>
              </w:rPr>
            </w:pPr>
            <w:r w:rsidRPr="008B6EEE">
              <w:rPr>
                <w:b/>
                <w:sz w:val="20"/>
                <w:szCs w:val="20"/>
              </w:rPr>
              <w:t>Quantity</w:t>
            </w:r>
          </w:p>
        </w:tc>
        <w:tc>
          <w:tcPr>
            <w:tcW w:w="782" w:type="pct"/>
            <w:shd w:val="clear" w:color="auto" w:fill="auto"/>
            <w:vAlign w:val="center"/>
          </w:tcPr>
          <w:p w14:paraId="54B373EF" w14:textId="77777777" w:rsidR="00AA5A06" w:rsidRPr="008B6EEE" w:rsidRDefault="00AA5A06" w:rsidP="00546503">
            <w:pPr>
              <w:keepNext/>
              <w:keepLines/>
              <w:jc w:val="center"/>
              <w:rPr>
                <w:b/>
                <w:sz w:val="20"/>
                <w:szCs w:val="20"/>
              </w:rPr>
            </w:pPr>
            <w:r w:rsidRPr="008B6EEE">
              <w:rPr>
                <w:b/>
                <w:sz w:val="20"/>
                <w:szCs w:val="20"/>
              </w:rPr>
              <w:t>Cost per unit (</w:t>
            </w:r>
            <w:r>
              <w:rPr>
                <w:b/>
                <w:sz w:val="20"/>
                <w:szCs w:val="20"/>
              </w:rPr>
              <w:t>US $</w:t>
            </w:r>
            <w:r w:rsidRPr="008B6EEE">
              <w:rPr>
                <w:b/>
                <w:sz w:val="20"/>
                <w:szCs w:val="20"/>
              </w:rPr>
              <w:t>)</w:t>
            </w:r>
          </w:p>
        </w:tc>
        <w:tc>
          <w:tcPr>
            <w:tcW w:w="852" w:type="pct"/>
            <w:shd w:val="clear" w:color="auto" w:fill="auto"/>
            <w:vAlign w:val="center"/>
          </w:tcPr>
          <w:p w14:paraId="037377F6" w14:textId="77777777" w:rsidR="00AA5A06" w:rsidRPr="008B6EEE" w:rsidRDefault="00AA5A06" w:rsidP="00546503">
            <w:pPr>
              <w:keepNext/>
              <w:keepLines/>
              <w:jc w:val="center"/>
              <w:rPr>
                <w:b/>
                <w:sz w:val="20"/>
                <w:szCs w:val="20"/>
              </w:rPr>
            </w:pPr>
            <w:r w:rsidRPr="008B6EEE">
              <w:rPr>
                <w:b/>
                <w:sz w:val="20"/>
                <w:szCs w:val="20"/>
              </w:rPr>
              <w:t>Cost (</w:t>
            </w:r>
            <w:r>
              <w:rPr>
                <w:b/>
                <w:sz w:val="20"/>
                <w:szCs w:val="20"/>
              </w:rPr>
              <w:t>US $</w:t>
            </w:r>
            <w:r w:rsidRPr="008B6EEE">
              <w:rPr>
                <w:b/>
                <w:sz w:val="20"/>
                <w:szCs w:val="20"/>
              </w:rPr>
              <w:t>)</w:t>
            </w:r>
          </w:p>
        </w:tc>
      </w:tr>
      <w:tr w:rsidR="00AA5A06" w:rsidRPr="008B6EEE" w14:paraId="79418B68" w14:textId="77777777" w:rsidTr="00546503">
        <w:trPr>
          <w:cantSplit/>
        </w:trPr>
        <w:tc>
          <w:tcPr>
            <w:tcW w:w="671" w:type="pct"/>
            <w:vMerge w:val="restart"/>
            <w:shd w:val="clear" w:color="auto" w:fill="auto"/>
            <w:vAlign w:val="center"/>
          </w:tcPr>
          <w:p w14:paraId="15540C2B" w14:textId="77777777" w:rsidR="00AA5A06" w:rsidRPr="008B6EEE" w:rsidRDefault="00AA5A06" w:rsidP="00546503">
            <w:pPr>
              <w:keepNext/>
              <w:keepLines/>
              <w:jc w:val="left"/>
              <w:rPr>
                <w:sz w:val="20"/>
                <w:szCs w:val="20"/>
              </w:rPr>
            </w:pPr>
            <w:r w:rsidRPr="008B6EEE">
              <w:rPr>
                <w:sz w:val="20"/>
                <w:szCs w:val="20"/>
              </w:rPr>
              <w:t>Storage and supply</w:t>
            </w:r>
          </w:p>
        </w:tc>
        <w:tc>
          <w:tcPr>
            <w:tcW w:w="1973" w:type="pct"/>
            <w:shd w:val="clear" w:color="auto" w:fill="auto"/>
            <w:vAlign w:val="center"/>
          </w:tcPr>
          <w:p w14:paraId="54639507" w14:textId="77777777" w:rsidR="00AA5A06" w:rsidRPr="008B6EEE" w:rsidRDefault="00AA5A06" w:rsidP="00546503">
            <w:pPr>
              <w:keepNext/>
              <w:keepLines/>
              <w:rPr>
                <w:sz w:val="20"/>
                <w:szCs w:val="20"/>
              </w:rPr>
            </w:pPr>
            <w:r w:rsidRPr="008B6EEE">
              <w:rPr>
                <w:sz w:val="20"/>
                <w:szCs w:val="20"/>
              </w:rPr>
              <w:t>Tank, pipes and their sealing rings</w:t>
            </w:r>
          </w:p>
        </w:tc>
        <w:tc>
          <w:tcPr>
            <w:tcW w:w="722" w:type="pct"/>
            <w:shd w:val="clear" w:color="auto" w:fill="auto"/>
            <w:vAlign w:val="center"/>
          </w:tcPr>
          <w:p w14:paraId="0B590B5B" w14:textId="77777777" w:rsidR="00AA5A06" w:rsidRPr="008B6EEE" w:rsidRDefault="00AA5A06" w:rsidP="00546503">
            <w:pPr>
              <w:keepNext/>
              <w:keepLines/>
              <w:jc w:val="center"/>
              <w:rPr>
                <w:sz w:val="20"/>
                <w:szCs w:val="20"/>
              </w:rPr>
            </w:pPr>
            <w:r w:rsidRPr="008B6EEE">
              <w:rPr>
                <w:sz w:val="20"/>
                <w:szCs w:val="20"/>
              </w:rPr>
              <w:t>1</w:t>
            </w:r>
          </w:p>
        </w:tc>
        <w:tc>
          <w:tcPr>
            <w:tcW w:w="782" w:type="pct"/>
            <w:shd w:val="clear" w:color="auto" w:fill="auto"/>
            <w:vAlign w:val="center"/>
          </w:tcPr>
          <w:p w14:paraId="7215656B" w14:textId="77777777" w:rsidR="00AA5A06" w:rsidRPr="008B6EEE" w:rsidRDefault="00AA5A06" w:rsidP="00546503">
            <w:pPr>
              <w:keepNext/>
              <w:keepLines/>
              <w:jc w:val="right"/>
              <w:rPr>
                <w:sz w:val="20"/>
                <w:szCs w:val="20"/>
              </w:rPr>
            </w:pPr>
            <w:r w:rsidRPr="008B6EEE">
              <w:rPr>
                <w:sz w:val="20"/>
                <w:szCs w:val="20"/>
              </w:rPr>
              <w:t>8,000</w:t>
            </w:r>
          </w:p>
        </w:tc>
        <w:tc>
          <w:tcPr>
            <w:tcW w:w="852" w:type="pct"/>
            <w:shd w:val="clear" w:color="auto" w:fill="auto"/>
            <w:vAlign w:val="center"/>
          </w:tcPr>
          <w:p w14:paraId="39E09F06" w14:textId="77777777" w:rsidR="00AA5A06" w:rsidRPr="008B6EEE" w:rsidRDefault="00AA5A06" w:rsidP="00546503">
            <w:pPr>
              <w:keepNext/>
              <w:keepLines/>
              <w:jc w:val="right"/>
              <w:rPr>
                <w:sz w:val="20"/>
                <w:szCs w:val="20"/>
              </w:rPr>
            </w:pPr>
            <w:r w:rsidRPr="008B6EEE">
              <w:rPr>
                <w:sz w:val="20"/>
                <w:szCs w:val="20"/>
              </w:rPr>
              <w:t>8,000</w:t>
            </w:r>
          </w:p>
        </w:tc>
      </w:tr>
      <w:tr w:rsidR="00AA5A06" w:rsidRPr="008B6EEE" w14:paraId="3354DFEC" w14:textId="77777777" w:rsidTr="00546503">
        <w:trPr>
          <w:cantSplit/>
        </w:trPr>
        <w:tc>
          <w:tcPr>
            <w:tcW w:w="671" w:type="pct"/>
            <w:vMerge/>
            <w:shd w:val="clear" w:color="auto" w:fill="auto"/>
            <w:vAlign w:val="center"/>
          </w:tcPr>
          <w:p w14:paraId="628E1A01" w14:textId="77777777" w:rsidR="00AA5A06" w:rsidRPr="008B6EEE" w:rsidRDefault="00AA5A06" w:rsidP="00546503">
            <w:pPr>
              <w:keepNext/>
              <w:keepLines/>
              <w:jc w:val="left"/>
              <w:rPr>
                <w:sz w:val="20"/>
                <w:szCs w:val="20"/>
              </w:rPr>
            </w:pPr>
          </w:p>
        </w:tc>
        <w:tc>
          <w:tcPr>
            <w:tcW w:w="1973" w:type="pct"/>
            <w:shd w:val="clear" w:color="auto" w:fill="auto"/>
            <w:vAlign w:val="center"/>
          </w:tcPr>
          <w:p w14:paraId="008870B5" w14:textId="77777777" w:rsidR="00AA5A06" w:rsidRPr="008B6EEE" w:rsidRDefault="00AA5A06" w:rsidP="00546503">
            <w:pPr>
              <w:keepNext/>
              <w:keepLines/>
              <w:rPr>
                <w:sz w:val="20"/>
                <w:szCs w:val="20"/>
              </w:rPr>
            </w:pPr>
            <w:r w:rsidRPr="008B6EEE">
              <w:rPr>
                <w:sz w:val="20"/>
                <w:szCs w:val="20"/>
              </w:rPr>
              <w:t>Pumps and supply</w:t>
            </w:r>
            <w:r>
              <w:rPr>
                <w:sz w:val="20"/>
                <w:szCs w:val="20"/>
              </w:rPr>
              <w:t>-</w:t>
            </w:r>
            <w:r w:rsidRPr="008B6EEE">
              <w:rPr>
                <w:sz w:val="20"/>
                <w:szCs w:val="20"/>
              </w:rPr>
              <w:t>control systems</w:t>
            </w:r>
          </w:p>
        </w:tc>
        <w:tc>
          <w:tcPr>
            <w:tcW w:w="722" w:type="pct"/>
            <w:shd w:val="clear" w:color="auto" w:fill="auto"/>
            <w:vAlign w:val="center"/>
          </w:tcPr>
          <w:p w14:paraId="0D588927" w14:textId="77777777" w:rsidR="00AA5A06" w:rsidRPr="008B6EEE" w:rsidRDefault="00AA5A06" w:rsidP="00546503">
            <w:pPr>
              <w:keepNext/>
              <w:keepLines/>
              <w:jc w:val="center"/>
              <w:rPr>
                <w:sz w:val="20"/>
                <w:szCs w:val="20"/>
              </w:rPr>
            </w:pPr>
            <w:r w:rsidRPr="008B6EEE">
              <w:rPr>
                <w:sz w:val="20"/>
                <w:szCs w:val="20"/>
              </w:rPr>
              <w:t>1</w:t>
            </w:r>
          </w:p>
        </w:tc>
        <w:tc>
          <w:tcPr>
            <w:tcW w:w="782" w:type="pct"/>
            <w:shd w:val="clear" w:color="auto" w:fill="auto"/>
            <w:vAlign w:val="center"/>
          </w:tcPr>
          <w:p w14:paraId="189255E5" w14:textId="77777777" w:rsidR="00AA5A06" w:rsidRPr="008B6EEE" w:rsidRDefault="00AA5A06" w:rsidP="00546503">
            <w:pPr>
              <w:keepNext/>
              <w:keepLines/>
              <w:jc w:val="right"/>
              <w:rPr>
                <w:sz w:val="20"/>
                <w:szCs w:val="20"/>
              </w:rPr>
            </w:pPr>
            <w:r w:rsidRPr="008B6EEE">
              <w:rPr>
                <w:sz w:val="20"/>
                <w:szCs w:val="20"/>
              </w:rPr>
              <w:t>57,000</w:t>
            </w:r>
          </w:p>
        </w:tc>
        <w:tc>
          <w:tcPr>
            <w:tcW w:w="852" w:type="pct"/>
            <w:shd w:val="clear" w:color="auto" w:fill="auto"/>
            <w:vAlign w:val="center"/>
          </w:tcPr>
          <w:p w14:paraId="40F5DE10" w14:textId="77777777" w:rsidR="00AA5A06" w:rsidRPr="008B6EEE" w:rsidRDefault="00AA5A06" w:rsidP="00546503">
            <w:pPr>
              <w:keepNext/>
              <w:keepLines/>
              <w:jc w:val="right"/>
              <w:rPr>
                <w:sz w:val="20"/>
                <w:szCs w:val="20"/>
              </w:rPr>
            </w:pPr>
            <w:r w:rsidRPr="008B6EEE">
              <w:rPr>
                <w:sz w:val="20"/>
                <w:szCs w:val="20"/>
              </w:rPr>
              <w:t>57,000</w:t>
            </w:r>
          </w:p>
        </w:tc>
      </w:tr>
      <w:tr w:rsidR="00AA5A06" w:rsidRPr="008B6EEE" w14:paraId="4684AEF9" w14:textId="77777777" w:rsidTr="00546503">
        <w:trPr>
          <w:cantSplit/>
          <w:trHeight w:val="80"/>
        </w:trPr>
        <w:tc>
          <w:tcPr>
            <w:tcW w:w="671" w:type="pct"/>
            <w:vMerge w:val="restart"/>
            <w:shd w:val="clear" w:color="auto" w:fill="auto"/>
            <w:vAlign w:val="center"/>
          </w:tcPr>
          <w:p w14:paraId="5A1F2345" w14:textId="77777777" w:rsidR="00AA5A06" w:rsidRPr="008B6EEE" w:rsidRDefault="00AA5A06" w:rsidP="00546503">
            <w:pPr>
              <w:jc w:val="left"/>
              <w:rPr>
                <w:sz w:val="20"/>
                <w:szCs w:val="20"/>
              </w:rPr>
            </w:pPr>
            <w:r w:rsidRPr="008B6EEE">
              <w:rPr>
                <w:sz w:val="20"/>
                <w:szCs w:val="20"/>
              </w:rPr>
              <w:t>Pre</w:t>
            </w:r>
            <w:r>
              <w:rPr>
                <w:sz w:val="20"/>
                <w:szCs w:val="20"/>
              </w:rPr>
              <w:t>-</w:t>
            </w:r>
            <w:r w:rsidRPr="008B6EEE">
              <w:rPr>
                <w:sz w:val="20"/>
                <w:szCs w:val="20"/>
              </w:rPr>
              <w:t>mixing machine</w:t>
            </w:r>
          </w:p>
        </w:tc>
        <w:tc>
          <w:tcPr>
            <w:tcW w:w="1973" w:type="pct"/>
            <w:shd w:val="clear" w:color="auto" w:fill="auto"/>
            <w:vAlign w:val="center"/>
          </w:tcPr>
          <w:p w14:paraId="7798F34B" w14:textId="77777777" w:rsidR="00AA5A06" w:rsidRPr="008B6EEE" w:rsidRDefault="00AA5A06" w:rsidP="00546503">
            <w:pPr>
              <w:rPr>
                <w:sz w:val="20"/>
                <w:szCs w:val="20"/>
              </w:rPr>
            </w:pPr>
            <w:r w:rsidRPr="008B6EEE">
              <w:rPr>
                <w:sz w:val="20"/>
                <w:szCs w:val="20"/>
              </w:rPr>
              <w:t>Static pre</w:t>
            </w:r>
            <w:r>
              <w:rPr>
                <w:sz w:val="20"/>
                <w:szCs w:val="20"/>
              </w:rPr>
              <w:t>-</w:t>
            </w:r>
            <w:r w:rsidRPr="008B6EEE">
              <w:rPr>
                <w:sz w:val="20"/>
                <w:szCs w:val="20"/>
              </w:rPr>
              <w:t>mixing machine</w:t>
            </w:r>
          </w:p>
        </w:tc>
        <w:tc>
          <w:tcPr>
            <w:tcW w:w="722" w:type="pct"/>
            <w:shd w:val="clear" w:color="auto" w:fill="auto"/>
            <w:vAlign w:val="center"/>
          </w:tcPr>
          <w:p w14:paraId="41BA6D4C" w14:textId="77777777" w:rsidR="00AA5A06" w:rsidRPr="008B6EEE" w:rsidRDefault="00AA5A06" w:rsidP="00546503">
            <w:pPr>
              <w:jc w:val="center"/>
              <w:rPr>
                <w:sz w:val="20"/>
                <w:szCs w:val="20"/>
              </w:rPr>
            </w:pPr>
            <w:r w:rsidRPr="008B6EEE">
              <w:rPr>
                <w:sz w:val="20"/>
                <w:szCs w:val="20"/>
              </w:rPr>
              <w:t>1</w:t>
            </w:r>
          </w:p>
        </w:tc>
        <w:tc>
          <w:tcPr>
            <w:tcW w:w="782" w:type="pct"/>
            <w:shd w:val="clear" w:color="auto" w:fill="auto"/>
            <w:vAlign w:val="center"/>
          </w:tcPr>
          <w:p w14:paraId="27FFC990" w14:textId="77777777" w:rsidR="00AA5A06" w:rsidRPr="008B6EEE" w:rsidRDefault="00AA5A06" w:rsidP="00546503">
            <w:pPr>
              <w:jc w:val="right"/>
              <w:rPr>
                <w:sz w:val="20"/>
                <w:szCs w:val="20"/>
              </w:rPr>
            </w:pPr>
            <w:r w:rsidRPr="008B6EEE">
              <w:rPr>
                <w:sz w:val="20"/>
                <w:szCs w:val="20"/>
              </w:rPr>
              <w:t>140,000</w:t>
            </w:r>
          </w:p>
        </w:tc>
        <w:tc>
          <w:tcPr>
            <w:tcW w:w="852" w:type="pct"/>
            <w:shd w:val="clear" w:color="auto" w:fill="auto"/>
            <w:vAlign w:val="center"/>
          </w:tcPr>
          <w:p w14:paraId="1AE461B2" w14:textId="77777777" w:rsidR="00AA5A06" w:rsidRPr="008B6EEE" w:rsidRDefault="00AA5A06" w:rsidP="00546503">
            <w:pPr>
              <w:jc w:val="right"/>
              <w:rPr>
                <w:sz w:val="20"/>
                <w:szCs w:val="20"/>
              </w:rPr>
            </w:pPr>
            <w:r w:rsidRPr="008B6EEE">
              <w:rPr>
                <w:sz w:val="20"/>
                <w:szCs w:val="20"/>
              </w:rPr>
              <w:t>140,000</w:t>
            </w:r>
          </w:p>
        </w:tc>
      </w:tr>
      <w:tr w:rsidR="00AA5A06" w:rsidRPr="008B6EEE" w14:paraId="12BE95BA" w14:textId="77777777" w:rsidTr="00546503">
        <w:trPr>
          <w:cantSplit/>
          <w:trHeight w:val="54"/>
        </w:trPr>
        <w:tc>
          <w:tcPr>
            <w:tcW w:w="671" w:type="pct"/>
            <w:vMerge/>
            <w:shd w:val="clear" w:color="auto" w:fill="auto"/>
            <w:vAlign w:val="center"/>
          </w:tcPr>
          <w:p w14:paraId="6B3960F8" w14:textId="77777777" w:rsidR="00AA5A06" w:rsidRPr="008B6EEE" w:rsidRDefault="00AA5A06" w:rsidP="00546503">
            <w:pPr>
              <w:jc w:val="left"/>
              <w:rPr>
                <w:sz w:val="20"/>
                <w:szCs w:val="20"/>
              </w:rPr>
            </w:pPr>
          </w:p>
        </w:tc>
        <w:tc>
          <w:tcPr>
            <w:tcW w:w="1973" w:type="pct"/>
            <w:shd w:val="clear" w:color="auto" w:fill="auto"/>
            <w:vAlign w:val="center"/>
          </w:tcPr>
          <w:p w14:paraId="1349F41F" w14:textId="77777777" w:rsidR="00AA5A06" w:rsidRPr="008B6EEE" w:rsidRDefault="00AA5A06" w:rsidP="00546503">
            <w:pPr>
              <w:rPr>
                <w:sz w:val="20"/>
                <w:szCs w:val="20"/>
              </w:rPr>
            </w:pPr>
            <w:r w:rsidRPr="008B6EEE">
              <w:rPr>
                <w:sz w:val="20"/>
                <w:szCs w:val="20"/>
              </w:rPr>
              <w:t>Thermal-static system</w:t>
            </w:r>
          </w:p>
        </w:tc>
        <w:tc>
          <w:tcPr>
            <w:tcW w:w="722" w:type="pct"/>
            <w:shd w:val="clear" w:color="auto" w:fill="auto"/>
            <w:vAlign w:val="center"/>
          </w:tcPr>
          <w:p w14:paraId="1726FDA4" w14:textId="77777777" w:rsidR="00AA5A06" w:rsidRPr="008B6EEE" w:rsidRDefault="00AA5A06" w:rsidP="00546503">
            <w:pPr>
              <w:jc w:val="center"/>
              <w:rPr>
                <w:sz w:val="20"/>
                <w:szCs w:val="20"/>
              </w:rPr>
            </w:pPr>
            <w:r w:rsidRPr="008B6EEE">
              <w:rPr>
                <w:sz w:val="20"/>
                <w:szCs w:val="20"/>
              </w:rPr>
              <w:t>1</w:t>
            </w:r>
          </w:p>
        </w:tc>
        <w:tc>
          <w:tcPr>
            <w:tcW w:w="782" w:type="pct"/>
            <w:shd w:val="clear" w:color="auto" w:fill="auto"/>
            <w:vAlign w:val="center"/>
          </w:tcPr>
          <w:p w14:paraId="4DDD2EC8" w14:textId="77777777" w:rsidR="00AA5A06" w:rsidRPr="008B6EEE" w:rsidRDefault="00AA5A06" w:rsidP="00546503">
            <w:pPr>
              <w:jc w:val="right"/>
              <w:rPr>
                <w:sz w:val="20"/>
                <w:szCs w:val="20"/>
              </w:rPr>
            </w:pPr>
            <w:r w:rsidRPr="008B6EEE">
              <w:rPr>
                <w:sz w:val="20"/>
                <w:szCs w:val="20"/>
              </w:rPr>
              <w:t>110,000</w:t>
            </w:r>
          </w:p>
        </w:tc>
        <w:tc>
          <w:tcPr>
            <w:tcW w:w="852" w:type="pct"/>
            <w:shd w:val="clear" w:color="auto" w:fill="auto"/>
            <w:vAlign w:val="center"/>
          </w:tcPr>
          <w:p w14:paraId="39587CF5" w14:textId="77777777" w:rsidR="00AA5A06" w:rsidRPr="008B6EEE" w:rsidRDefault="00AA5A06" w:rsidP="00546503">
            <w:pPr>
              <w:jc w:val="right"/>
              <w:rPr>
                <w:sz w:val="20"/>
                <w:szCs w:val="20"/>
              </w:rPr>
            </w:pPr>
            <w:r w:rsidRPr="008B6EEE">
              <w:rPr>
                <w:sz w:val="20"/>
                <w:szCs w:val="20"/>
              </w:rPr>
              <w:t>110,000</w:t>
            </w:r>
          </w:p>
        </w:tc>
      </w:tr>
      <w:tr w:rsidR="00AA5A06" w:rsidRPr="008B6EEE" w14:paraId="4F648ABD" w14:textId="77777777" w:rsidTr="00546503">
        <w:trPr>
          <w:cantSplit/>
        </w:trPr>
        <w:tc>
          <w:tcPr>
            <w:tcW w:w="671" w:type="pct"/>
            <w:vMerge w:val="restart"/>
            <w:shd w:val="clear" w:color="auto" w:fill="auto"/>
            <w:vAlign w:val="center"/>
          </w:tcPr>
          <w:p w14:paraId="3482C86D" w14:textId="77777777" w:rsidR="00AA5A06" w:rsidRPr="008B6EEE" w:rsidRDefault="00AA5A06" w:rsidP="00546503">
            <w:pPr>
              <w:jc w:val="left"/>
              <w:rPr>
                <w:sz w:val="20"/>
                <w:szCs w:val="20"/>
              </w:rPr>
            </w:pPr>
            <w:r w:rsidRPr="008B6EEE">
              <w:rPr>
                <w:sz w:val="20"/>
                <w:szCs w:val="20"/>
              </w:rPr>
              <w:t>Foaming machine for cabinet</w:t>
            </w:r>
          </w:p>
        </w:tc>
        <w:tc>
          <w:tcPr>
            <w:tcW w:w="1973" w:type="pct"/>
            <w:shd w:val="clear" w:color="auto" w:fill="auto"/>
            <w:vAlign w:val="center"/>
          </w:tcPr>
          <w:p w14:paraId="184FDEDB" w14:textId="77777777" w:rsidR="00AA5A06" w:rsidRPr="008B6EEE" w:rsidRDefault="00AA5A06" w:rsidP="00546503">
            <w:pPr>
              <w:rPr>
                <w:sz w:val="20"/>
                <w:szCs w:val="20"/>
              </w:rPr>
            </w:pPr>
            <w:r w:rsidRPr="008B6EEE">
              <w:rPr>
                <w:sz w:val="20"/>
                <w:szCs w:val="20"/>
              </w:rPr>
              <w:t>Thermal-static system for foaming room</w:t>
            </w:r>
          </w:p>
        </w:tc>
        <w:tc>
          <w:tcPr>
            <w:tcW w:w="722" w:type="pct"/>
            <w:shd w:val="clear" w:color="auto" w:fill="auto"/>
            <w:vAlign w:val="center"/>
          </w:tcPr>
          <w:p w14:paraId="4B25488E" w14:textId="77777777" w:rsidR="00AA5A06" w:rsidRPr="008B6EEE" w:rsidRDefault="00AA5A06" w:rsidP="00546503">
            <w:pPr>
              <w:jc w:val="center"/>
              <w:rPr>
                <w:sz w:val="20"/>
                <w:szCs w:val="20"/>
              </w:rPr>
            </w:pPr>
            <w:r w:rsidRPr="008B6EEE">
              <w:rPr>
                <w:sz w:val="20"/>
                <w:szCs w:val="20"/>
              </w:rPr>
              <w:t>4</w:t>
            </w:r>
          </w:p>
        </w:tc>
        <w:tc>
          <w:tcPr>
            <w:tcW w:w="782" w:type="pct"/>
            <w:shd w:val="clear" w:color="auto" w:fill="auto"/>
            <w:vAlign w:val="center"/>
          </w:tcPr>
          <w:p w14:paraId="705D56FC" w14:textId="77777777" w:rsidR="00AA5A06" w:rsidRPr="008B6EEE" w:rsidRDefault="00AA5A06" w:rsidP="00546503">
            <w:pPr>
              <w:jc w:val="right"/>
              <w:rPr>
                <w:sz w:val="20"/>
                <w:szCs w:val="20"/>
              </w:rPr>
            </w:pPr>
            <w:r w:rsidRPr="008B6EEE">
              <w:rPr>
                <w:sz w:val="20"/>
                <w:szCs w:val="20"/>
              </w:rPr>
              <w:t>25,000</w:t>
            </w:r>
          </w:p>
        </w:tc>
        <w:tc>
          <w:tcPr>
            <w:tcW w:w="852" w:type="pct"/>
            <w:shd w:val="clear" w:color="auto" w:fill="auto"/>
            <w:vAlign w:val="center"/>
          </w:tcPr>
          <w:p w14:paraId="47DEF4DD" w14:textId="77777777" w:rsidR="00AA5A06" w:rsidRPr="008B6EEE" w:rsidRDefault="00AA5A06" w:rsidP="00546503">
            <w:pPr>
              <w:jc w:val="right"/>
              <w:rPr>
                <w:sz w:val="20"/>
                <w:szCs w:val="20"/>
              </w:rPr>
            </w:pPr>
            <w:r w:rsidRPr="008B6EEE">
              <w:rPr>
                <w:sz w:val="20"/>
                <w:szCs w:val="20"/>
              </w:rPr>
              <w:t>100,000</w:t>
            </w:r>
          </w:p>
        </w:tc>
      </w:tr>
      <w:tr w:rsidR="00AA5A06" w:rsidRPr="008B6EEE" w14:paraId="3D5223B0" w14:textId="77777777" w:rsidTr="00546503">
        <w:trPr>
          <w:cantSplit/>
        </w:trPr>
        <w:tc>
          <w:tcPr>
            <w:tcW w:w="671" w:type="pct"/>
            <w:vMerge/>
            <w:shd w:val="clear" w:color="auto" w:fill="auto"/>
            <w:vAlign w:val="center"/>
          </w:tcPr>
          <w:p w14:paraId="5F2B674D" w14:textId="77777777" w:rsidR="00AA5A06" w:rsidRPr="008B6EEE" w:rsidRDefault="00AA5A06" w:rsidP="00546503">
            <w:pPr>
              <w:rPr>
                <w:sz w:val="20"/>
                <w:szCs w:val="20"/>
              </w:rPr>
            </w:pPr>
          </w:p>
        </w:tc>
        <w:tc>
          <w:tcPr>
            <w:tcW w:w="1973" w:type="pct"/>
            <w:shd w:val="clear" w:color="auto" w:fill="auto"/>
            <w:vAlign w:val="center"/>
          </w:tcPr>
          <w:p w14:paraId="1F26CB5E" w14:textId="77777777" w:rsidR="00AA5A06" w:rsidRPr="008B6EEE" w:rsidRDefault="00AA5A06" w:rsidP="00546503">
            <w:pPr>
              <w:rPr>
                <w:sz w:val="20"/>
                <w:szCs w:val="20"/>
              </w:rPr>
            </w:pPr>
            <w:r w:rsidRPr="008B6EEE">
              <w:rPr>
                <w:sz w:val="20"/>
                <w:szCs w:val="20"/>
              </w:rPr>
              <w:t>Thermal-static system for jigs and moulds</w:t>
            </w:r>
          </w:p>
        </w:tc>
        <w:tc>
          <w:tcPr>
            <w:tcW w:w="722" w:type="pct"/>
            <w:shd w:val="clear" w:color="auto" w:fill="auto"/>
            <w:vAlign w:val="center"/>
          </w:tcPr>
          <w:p w14:paraId="2E54992F" w14:textId="77777777" w:rsidR="00AA5A06" w:rsidRPr="008B6EEE" w:rsidRDefault="00AA5A06" w:rsidP="00546503">
            <w:pPr>
              <w:jc w:val="center"/>
              <w:rPr>
                <w:sz w:val="20"/>
                <w:szCs w:val="20"/>
              </w:rPr>
            </w:pPr>
            <w:r w:rsidRPr="008B6EEE">
              <w:rPr>
                <w:sz w:val="20"/>
                <w:szCs w:val="20"/>
              </w:rPr>
              <w:t>40</w:t>
            </w:r>
          </w:p>
        </w:tc>
        <w:tc>
          <w:tcPr>
            <w:tcW w:w="782" w:type="pct"/>
            <w:shd w:val="clear" w:color="auto" w:fill="auto"/>
            <w:vAlign w:val="center"/>
          </w:tcPr>
          <w:p w14:paraId="7E857736" w14:textId="77777777" w:rsidR="00AA5A06" w:rsidRPr="008B6EEE" w:rsidRDefault="00AA5A06" w:rsidP="00546503">
            <w:pPr>
              <w:jc w:val="right"/>
              <w:rPr>
                <w:sz w:val="20"/>
                <w:szCs w:val="20"/>
              </w:rPr>
            </w:pPr>
            <w:r w:rsidRPr="008B6EEE">
              <w:rPr>
                <w:sz w:val="20"/>
                <w:szCs w:val="20"/>
              </w:rPr>
              <w:t>24,000</w:t>
            </w:r>
          </w:p>
        </w:tc>
        <w:tc>
          <w:tcPr>
            <w:tcW w:w="852" w:type="pct"/>
            <w:shd w:val="clear" w:color="auto" w:fill="auto"/>
            <w:vAlign w:val="center"/>
          </w:tcPr>
          <w:p w14:paraId="613B5C55" w14:textId="77777777" w:rsidR="00AA5A06" w:rsidRPr="008B6EEE" w:rsidRDefault="00AA5A06" w:rsidP="00546503">
            <w:pPr>
              <w:jc w:val="right"/>
              <w:rPr>
                <w:sz w:val="20"/>
                <w:szCs w:val="20"/>
              </w:rPr>
            </w:pPr>
            <w:r w:rsidRPr="008B6EEE">
              <w:rPr>
                <w:sz w:val="20"/>
                <w:szCs w:val="20"/>
              </w:rPr>
              <w:t>960,000</w:t>
            </w:r>
          </w:p>
        </w:tc>
      </w:tr>
      <w:tr w:rsidR="00AA5A06" w:rsidRPr="008B6EEE" w14:paraId="604D102C" w14:textId="77777777" w:rsidTr="00546503">
        <w:trPr>
          <w:cantSplit/>
        </w:trPr>
        <w:tc>
          <w:tcPr>
            <w:tcW w:w="671" w:type="pct"/>
            <w:vMerge/>
            <w:shd w:val="clear" w:color="auto" w:fill="auto"/>
            <w:vAlign w:val="center"/>
          </w:tcPr>
          <w:p w14:paraId="132FE59E" w14:textId="77777777" w:rsidR="00AA5A06" w:rsidRPr="008B6EEE" w:rsidRDefault="00AA5A06" w:rsidP="00546503">
            <w:pPr>
              <w:rPr>
                <w:sz w:val="20"/>
                <w:szCs w:val="20"/>
              </w:rPr>
            </w:pPr>
          </w:p>
        </w:tc>
        <w:tc>
          <w:tcPr>
            <w:tcW w:w="1973" w:type="pct"/>
            <w:shd w:val="clear" w:color="auto" w:fill="auto"/>
            <w:vAlign w:val="center"/>
          </w:tcPr>
          <w:p w14:paraId="2F88873C" w14:textId="77777777" w:rsidR="00AA5A06" w:rsidRPr="008B6EEE" w:rsidRDefault="00AA5A06" w:rsidP="00546503">
            <w:pPr>
              <w:rPr>
                <w:sz w:val="20"/>
                <w:szCs w:val="20"/>
              </w:rPr>
            </w:pPr>
            <w:r w:rsidRPr="008B6EEE">
              <w:rPr>
                <w:sz w:val="20"/>
                <w:szCs w:val="20"/>
              </w:rPr>
              <w:t>Conversion of wet part of foaming machine</w:t>
            </w:r>
          </w:p>
        </w:tc>
        <w:tc>
          <w:tcPr>
            <w:tcW w:w="722" w:type="pct"/>
            <w:shd w:val="clear" w:color="auto" w:fill="auto"/>
            <w:vAlign w:val="center"/>
          </w:tcPr>
          <w:p w14:paraId="23B8E26A" w14:textId="77777777" w:rsidR="00AA5A06" w:rsidRPr="008B6EEE" w:rsidRDefault="00AA5A06" w:rsidP="00546503">
            <w:pPr>
              <w:jc w:val="center"/>
              <w:rPr>
                <w:sz w:val="20"/>
                <w:szCs w:val="20"/>
              </w:rPr>
            </w:pPr>
            <w:r w:rsidRPr="008B6EEE">
              <w:rPr>
                <w:sz w:val="20"/>
                <w:szCs w:val="20"/>
              </w:rPr>
              <w:t>4</w:t>
            </w:r>
          </w:p>
        </w:tc>
        <w:tc>
          <w:tcPr>
            <w:tcW w:w="782" w:type="pct"/>
            <w:shd w:val="clear" w:color="auto" w:fill="auto"/>
            <w:vAlign w:val="center"/>
          </w:tcPr>
          <w:p w14:paraId="06D2B947" w14:textId="77777777" w:rsidR="00AA5A06" w:rsidRPr="008B6EEE" w:rsidRDefault="00AA5A06" w:rsidP="00546503">
            <w:pPr>
              <w:jc w:val="right"/>
              <w:rPr>
                <w:sz w:val="20"/>
                <w:szCs w:val="20"/>
              </w:rPr>
            </w:pPr>
            <w:r w:rsidRPr="008B6EEE">
              <w:rPr>
                <w:sz w:val="20"/>
                <w:szCs w:val="20"/>
              </w:rPr>
              <w:t>160,000</w:t>
            </w:r>
          </w:p>
        </w:tc>
        <w:tc>
          <w:tcPr>
            <w:tcW w:w="852" w:type="pct"/>
            <w:shd w:val="clear" w:color="auto" w:fill="auto"/>
            <w:vAlign w:val="center"/>
          </w:tcPr>
          <w:p w14:paraId="5D1A982E" w14:textId="77777777" w:rsidR="00AA5A06" w:rsidRPr="008B6EEE" w:rsidRDefault="00AA5A06" w:rsidP="00546503">
            <w:pPr>
              <w:jc w:val="right"/>
              <w:rPr>
                <w:sz w:val="20"/>
                <w:szCs w:val="20"/>
              </w:rPr>
            </w:pPr>
            <w:r w:rsidRPr="008B6EEE">
              <w:rPr>
                <w:sz w:val="20"/>
                <w:szCs w:val="20"/>
              </w:rPr>
              <w:t>640,000</w:t>
            </w:r>
          </w:p>
        </w:tc>
      </w:tr>
      <w:tr w:rsidR="00AA5A06" w:rsidRPr="008B6EEE" w14:paraId="7CA360D6" w14:textId="77777777" w:rsidTr="00546503">
        <w:trPr>
          <w:cantSplit/>
        </w:trPr>
        <w:tc>
          <w:tcPr>
            <w:tcW w:w="671" w:type="pct"/>
            <w:vMerge/>
            <w:shd w:val="clear" w:color="auto" w:fill="auto"/>
            <w:vAlign w:val="center"/>
          </w:tcPr>
          <w:p w14:paraId="077264AB" w14:textId="77777777" w:rsidR="00AA5A06" w:rsidRPr="008B6EEE" w:rsidRDefault="00AA5A06" w:rsidP="00546503">
            <w:pPr>
              <w:rPr>
                <w:sz w:val="20"/>
                <w:szCs w:val="20"/>
              </w:rPr>
            </w:pPr>
          </w:p>
        </w:tc>
        <w:tc>
          <w:tcPr>
            <w:tcW w:w="1973" w:type="pct"/>
            <w:shd w:val="clear" w:color="auto" w:fill="auto"/>
            <w:vAlign w:val="center"/>
          </w:tcPr>
          <w:p w14:paraId="4A8CB130" w14:textId="77777777" w:rsidR="00AA5A06" w:rsidRPr="008B6EEE" w:rsidRDefault="00AA5A06" w:rsidP="00546503">
            <w:pPr>
              <w:rPr>
                <w:sz w:val="20"/>
                <w:szCs w:val="20"/>
              </w:rPr>
            </w:pPr>
            <w:r w:rsidRPr="008B6EEE">
              <w:rPr>
                <w:sz w:val="20"/>
                <w:szCs w:val="20"/>
              </w:rPr>
              <w:t>Cabinet pre-heating systems</w:t>
            </w:r>
          </w:p>
        </w:tc>
        <w:tc>
          <w:tcPr>
            <w:tcW w:w="722" w:type="pct"/>
            <w:shd w:val="clear" w:color="auto" w:fill="auto"/>
            <w:vAlign w:val="center"/>
          </w:tcPr>
          <w:p w14:paraId="127659B4" w14:textId="77777777" w:rsidR="00AA5A06" w:rsidRPr="008B6EEE" w:rsidRDefault="00AA5A06" w:rsidP="00546503">
            <w:pPr>
              <w:jc w:val="center"/>
              <w:rPr>
                <w:sz w:val="20"/>
                <w:szCs w:val="20"/>
              </w:rPr>
            </w:pPr>
            <w:r w:rsidRPr="008B6EEE">
              <w:rPr>
                <w:sz w:val="20"/>
                <w:szCs w:val="20"/>
              </w:rPr>
              <w:t>4</w:t>
            </w:r>
          </w:p>
        </w:tc>
        <w:tc>
          <w:tcPr>
            <w:tcW w:w="782" w:type="pct"/>
            <w:shd w:val="clear" w:color="auto" w:fill="auto"/>
            <w:vAlign w:val="center"/>
          </w:tcPr>
          <w:p w14:paraId="615C0B02" w14:textId="77777777" w:rsidR="00AA5A06" w:rsidRPr="008B6EEE" w:rsidRDefault="00AA5A06" w:rsidP="00546503">
            <w:pPr>
              <w:jc w:val="right"/>
              <w:rPr>
                <w:sz w:val="20"/>
                <w:szCs w:val="20"/>
              </w:rPr>
            </w:pPr>
            <w:r w:rsidRPr="008B6EEE">
              <w:rPr>
                <w:sz w:val="20"/>
                <w:szCs w:val="20"/>
              </w:rPr>
              <w:t>22,000</w:t>
            </w:r>
          </w:p>
        </w:tc>
        <w:tc>
          <w:tcPr>
            <w:tcW w:w="852" w:type="pct"/>
            <w:shd w:val="clear" w:color="auto" w:fill="auto"/>
            <w:vAlign w:val="center"/>
          </w:tcPr>
          <w:p w14:paraId="231F238B" w14:textId="77777777" w:rsidR="00AA5A06" w:rsidRPr="008B6EEE" w:rsidRDefault="00AA5A06" w:rsidP="00546503">
            <w:pPr>
              <w:jc w:val="right"/>
              <w:rPr>
                <w:sz w:val="20"/>
                <w:szCs w:val="20"/>
              </w:rPr>
            </w:pPr>
            <w:r w:rsidRPr="008B6EEE">
              <w:rPr>
                <w:sz w:val="20"/>
                <w:szCs w:val="20"/>
              </w:rPr>
              <w:t>88,000</w:t>
            </w:r>
          </w:p>
        </w:tc>
      </w:tr>
      <w:tr w:rsidR="00AA5A06" w:rsidRPr="000F4288" w14:paraId="348E59DB" w14:textId="77777777" w:rsidTr="00546503">
        <w:trPr>
          <w:cantSplit/>
        </w:trPr>
        <w:tc>
          <w:tcPr>
            <w:tcW w:w="4148" w:type="pct"/>
            <w:gridSpan w:val="4"/>
            <w:shd w:val="clear" w:color="auto" w:fill="auto"/>
            <w:vAlign w:val="center"/>
          </w:tcPr>
          <w:p w14:paraId="22C6EDAD" w14:textId="7FDBFBF8" w:rsidR="00AA5A06" w:rsidRPr="000F4288" w:rsidRDefault="00AA5A06" w:rsidP="00546503">
            <w:pPr>
              <w:jc w:val="left"/>
              <w:rPr>
                <w:b/>
                <w:sz w:val="20"/>
                <w:szCs w:val="20"/>
              </w:rPr>
            </w:pPr>
            <w:r w:rsidRPr="000F4288">
              <w:rPr>
                <w:b/>
                <w:sz w:val="20"/>
                <w:szCs w:val="20"/>
              </w:rPr>
              <w:t>Sub</w:t>
            </w:r>
            <w:r w:rsidR="00546503">
              <w:rPr>
                <w:b/>
                <w:sz w:val="20"/>
                <w:szCs w:val="20"/>
              </w:rPr>
              <w:t>-</w:t>
            </w:r>
            <w:r w:rsidRPr="000F4288">
              <w:rPr>
                <w:b/>
                <w:sz w:val="20"/>
                <w:szCs w:val="20"/>
              </w:rPr>
              <w:t>total ICC</w:t>
            </w:r>
            <w:r>
              <w:rPr>
                <w:b/>
                <w:sz w:val="20"/>
                <w:szCs w:val="20"/>
              </w:rPr>
              <w:t>s</w:t>
            </w:r>
          </w:p>
        </w:tc>
        <w:tc>
          <w:tcPr>
            <w:tcW w:w="852" w:type="pct"/>
            <w:shd w:val="clear" w:color="auto" w:fill="auto"/>
            <w:vAlign w:val="center"/>
          </w:tcPr>
          <w:p w14:paraId="4498CA1B" w14:textId="77777777" w:rsidR="00AA5A06" w:rsidRPr="000F4288" w:rsidRDefault="00AA5A06" w:rsidP="00546503">
            <w:pPr>
              <w:jc w:val="right"/>
              <w:rPr>
                <w:b/>
                <w:sz w:val="20"/>
                <w:szCs w:val="20"/>
              </w:rPr>
            </w:pPr>
            <w:r w:rsidRPr="000F4288">
              <w:rPr>
                <w:b/>
                <w:sz w:val="20"/>
                <w:szCs w:val="20"/>
              </w:rPr>
              <w:t>2,103,000</w:t>
            </w:r>
          </w:p>
        </w:tc>
      </w:tr>
      <w:tr w:rsidR="00AA5A06" w:rsidRPr="000F4288" w14:paraId="7C30731C" w14:textId="77777777" w:rsidTr="00546503">
        <w:trPr>
          <w:cantSplit/>
        </w:trPr>
        <w:tc>
          <w:tcPr>
            <w:tcW w:w="4148" w:type="pct"/>
            <w:gridSpan w:val="4"/>
            <w:shd w:val="clear" w:color="auto" w:fill="auto"/>
            <w:vAlign w:val="center"/>
          </w:tcPr>
          <w:p w14:paraId="5419FD8D" w14:textId="77777777" w:rsidR="00AA5A06" w:rsidRPr="000F4288" w:rsidRDefault="00AA5A06" w:rsidP="00546503">
            <w:pPr>
              <w:jc w:val="left"/>
              <w:rPr>
                <w:sz w:val="20"/>
                <w:szCs w:val="20"/>
              </w:rPr>
            </w:pPr>
            <w:r w:rsidRPr="000F4288">
              <w:rPr>
                <w:sz w:val="20"/>
                <w:szCs w:val="20"/>
              </w:rPr>
              <w:t>Contingencies (10 %)</w:t>
            </w:r>
          </w:p>
        </w:tc>
        <w:tc>
          <w:tcPr>
            <w:tcW w:w="852" w:type="pct"/>
            <w:shd w:val="clear" w:color="auto" w:fill="auto"/>
            <w:vAlign w:val="center"/>
          </w:tcPr>
          <w:p w14:paraId="0420DFA5" w14:textId="77777777" w:rsidR="00AA5A06" w:rsidRPr="000F4288" w:rsidRDefault="00AA5A06" w:rsidP="00546503">
            <w:pPr>
              <w:jc w:val="right"/>
              <w:rPr>
                <w:sz w:val="20"/>
                <w:szCs w:val="20"/>
              </w:rPr>
            </w:pPr>
            <w:r w:rsidRPr="000F4288">
              <w:rPr>
                <w:sz w:val="20"/>
                <w:szCs w:val="20"/>
              </w:rPr>
              <w:t>210,300</w:t>
            </w:r>
          </w:p>
        </w:tc>
      </w:tr>
      <w:tr w:rsidR="00AA5A06" w:rsidRPr="000F4288" w14:paraId="3DE50CBB" w14:textId="77777777" w:rsidTr="00546503">
        <w:trPr>
          <w:cantSplit/>
        </w:trPr>
        <w:tc>
          <w:tcPr>
            <w:tcW w:w="4148" w:type="pct"/>
            <w:gridSpan w:val="4"/>
            <w:shd w:val="clear" w:color="auto" w:fill="auto"/>
            <w:vAlign w:val="center"/>
          </w:tcPr>
          <w:p w14:paraId="69BD05E3" w14:textId="77777777" w:rsidR="00AA5A06" w:rsidRPr="000F4288" w:rsidRDefault="00AA5A06" w:rsidP="00546503">
            <w:pPr>
              <w:jc w:val="left"/>
              <w:rPr>
                <w:b/>
                <w:sz w:val="20"/>
                <w:szCs w:val="20"/>
              </w:rPr>
            </w:pPr>
            <w:r w:rsidRPr="000F4288">
              <w:rPr>
                <w:b/>
                <w:sz w:val="20"/>
                <w:szCs w:val="20"/>
              </w:rPr>
              <w:t>Total ICC</w:t>
            </w:r>
            <w:r>
              <w:rPr>
                <w:b/>
                <w:sz w:val="20"/>
                <w:szCs w:val="20"/>
              </w:rPr>
              <w:t>s</w:t>
            </w:r>
          </w:p>
        </w:tc>
        <w:tc>
          <w:tcPr>
            <w:tcW w:w="852" w:type="pct"/>
            <w:shd w:val="clear" w:color="auto" w:fill="auto"/>
            <w:vAlign w:val="center"/>
          </w:tcPr>
          <w:p w14:paraId="1397B41A" w14:textId="77777777" w:rsidR="00AA5A06" w:rsidRPr="000F4288" w:rsidRDefault="00AA5A06" w:rsidP="00546503">
            <w:pPr>
              <w:jc w:val="right"/>
              <w:rPr>
                <w:b/>
                <w:sz w:val="20"/>
                <w:szCs w:val="20"/>
              </w:rPr>
            </w:pPr>
            <w:r w:rsidRPr="000F4288">
              <w:rPr>
                <w:b/>
                <w:sz w:val="20"/>
                <w:szCs w:val="20"/>
              </w:rPr>
              <w:t>2,313,300</w:t>
            </w:r>
          </w:p>
        </w:tc>
      </w:tr>
    </w:tbl>
    <w:p w14:paraId="1726401F" w14:textId="77777777" w:rsidR="00AA5A06" w:rsidRDefault="00AA5A06" w:rsidP="00AA5A06">
      <w:pPr>
        <w:pStyle w:val="Heading1"/>
        <w:numPr>
          <w:ilvl w:val="0"/>
          <w:numId w:val="0"/>
        </w:numPr>
        <w:spacing w:after="0"/>
      </w:pPr>
    </w:p>
    <w:p w14:paraId="3176A51A" w14:textId="77777777" w:rsidR="00AA5A06" w:rsidRPr="00DD1F52" w:rsidRDefault="00AA5A06" w:rsidP="00AA5A06">
      <w:pPr>
        <w:pStyle w:val="Heading1"/>
      </w:pPr>
      <w:r>
        <w:t>The i</w:t>
      </w:r>
      <w:r w:rsidRPr="00DD1F52">
        <w:t>ncremental operating costs (IOC</w:t>
      </w:r>
      <w:r>
        <w:t>s</w:t>
      </w:r>
      <w:r w:rsidRPr="00DD1F52">
        <w:t>) w</w:t>
      </w:r>
      <w:r>
        <w:t>ere estimated at US $6.00/kg using a medium-capacity refrigeration unit (300 litres) as the reference for the calculation. The</w:t>
      </w:r>
      <w:r w:rsidRPr="00DD1F52">
        <w:t xml:space="preserve"> </w:t>
      </w:r>
      <w:r>
        <w:t>f</w:t>
      </w:r>
      <w:r w:rsidRPr="00DD1F52">
        <w:t xml:space="preserve">unding requested for </w:t>
      </w:r>
      <w:r>
        <w:t xml:space="preserve">the </w:t>
      </w:r>
      <w:r w:rsidRPr="00DD1F52">
        <w:t>total IOC</w:t>
      </w:r>
      <w:r>
        <w:t>s</w:t>
      </w:r>
      <w:r w:rsidRPr="00DD1F52">
        <w:t xml:space="preserve"> for one year is </w:t>
      </w:r>
      <w:r>
        <w:t>US $1</w:t>
      </w:r>
      <w:r w:rsidRPr="00DD1F52">
        <w:t>,</w:t>
      </w:r>
      <w:r>
        <w:t>500</w:t>
      </w:r>
      <w:r w:rsidRPr="00DD1F52">
        <w:t>,</w:t>
      </w:r>
      <w:r>
        <w:t>00</w:t>
      </w:r>
      <w:r w:rsidRPr="00DD1F52">
        <w:t>0, as shown in Table </w:t>
      </w:r>
      <w:r>
        <w:t>2</w:t>
      </w:r>
      <w:r w:rsidRPr="00DD1F52">
        <w:t>.</w:t>
      </w:r>
    </w:p>
    <w:p w14:paraId="2FA8A6FF" w14:textId="77777777" w:rsidR="00AA5A06" w:rsidRPr="00A12814" w:rsidRDefault="00AA5A06" w:rsidP="00AA5A06">
      <w:pPr>
        <w:keepNext/>
        <w:keepLines/>
      </w:pPr>
      <w:r w:rsidRPr="00A12814">
        <w:rPr>
          <w:b/>
        </w:rPr>
        <w:t>Table 2. IOC</w:t>
      </w:r>
      <w:r>
        <w:rPr>
          <w:b/>
        </w:rPr>
        <w:t>s</w:t>
      </w:r>
      <w:r w:rsidRPr="00A12814">
        <w:rPr>
          <w:b/>
        </w:rPr>
        <w:t xml:space="preserve"> for domestic refrigerator manufacturing</w:t>
      </w:r>
      <w:r>
        <w:rPr>
          <w:b/>
        </w:rPr>
        <w:t xml:space="preserve"> (PU foam)</w:t>
      </w:r>
      <w:r w:rsidRPr="00A12814">
        <w:rPr>
          <w:b/>
        </w:rPr>
        <w:t xml:space="preserve"> in</w:t>
      </w:r>
      <w:r>
        <w:rPr>
          <w:b/>
        </w:rPr>
        <w:t xml:space="preserve"> H</w:t>
      </w:r>
      <w:r w:rsidRPr="00A12814">
        <w:rPr>
          <w:b/>
        </w:rPr>
        <w:t xml:space="preserve">isense </w:t>
      </w:r>
      <w:proofErr w:type="spellStart"/>
      <w:r w:rsidRPr="00A12814">
        <w:rPr>
          <w:b/>
        </w:rPr>
        <w:t>Kelon</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9"/>
        <w:gridCol w:w="1040"/>
        <w:gridCol w:w="1260"/>
        <w:gridCol w:w="1171"/>
        <w:gridCol w:w="1042"/>
        <w:gridCol w:w="1206"/>
        <w:gridCol w:w="1077"/>
      </w:tblGrid>
      <w:tr w:rsidR="00AA5A06" w:rsidRPr="000769C3" w14:paraId="1558C615" w14:textId="77777777" w:rsidTr="00546503">
        <w:trPr>
          <w:tblHeader/>
        </w:trPr>
        <w:tc>
          <w:tcPr>
            <w:tcW w:w="832" w:type="pct"/>
            <w:vMerge w:val="restart"/>
            <w:shd w:val="clear" w:color="auto" w:fill="auto"/>
            <w:vAlign w:val="center"/>
          </w:tcPr>
          <w:p w14:paraId="741B423A" w14:textId="77777777" w:rsidR="00AA5A06" w:rsidRPr="000769C3" w:rsidRDefault="00AA5A06" w:rsidP="00546503">
            <w:pPr>
              <w:jc w:val="center"/>
              <w:rPr>
                <w:b/>
                <w:sz w:val="20"/>
                <w:szCs w:val="20"/>
              </w:rPr>
            </w:pPr>
            <w:r w:rsidRPr="000769C3">
              <w:rPr>
                <w:b/>
                <w:sz w:val="20"/>
                <w:szCs w:val="20"/>
              </w:rPr>
              <w:t>Item</w:t>
            </w:r>
          </w:p>
        </w:tc>
        <w:tc>
          <w:tcPr>
            <w:tcW w:w="1764" w:type="pct"/>
            <w:gridSpan w:val="3"/>
            <w:shd w:val="clear" w:color="auto" w:fill="auto"/>
            <w:vAlign w:val="center"/>
          </w:tcPr>
          <w:p w14:paraId="54C890BF" w14:textId="77777777" w:rsidR="00AA5A06" w:rsidRPr="000769C3" w:rsidRDefault="00AA5A06" w:rsidP="00546503">
            <w:pPr>
              <w:jc w:val="center"/>
              <w:rPr>
                <w:b/>
                <w:sz w:val="20"/>
                <w:szCs w:val="20"/>
              </w:rPr>
            </w:pPr>
            <w:r w:rsidRPr="000769C3">
              <w:rPr>
                <w:b/>
                <w:sz w:val="20"/>
                <w:szCs w:val="20"/>
              </w:rPr>
              <w:t>Cost before conversion</w:t>
            </w:r>
          </w:p>
        </w:tc>
        <w:tc>
          <w:tcPr>
            <w:tcW w:w="1828" w:type="pct"/>
            <w:gridSpan w:val="3"/>
            <w:shd w:val="clear" w:color="auto" w:fill="auto"/>
            <w:vAlign w:val="center"/>
          </w:tcPr>
          <w:p w14:paraId="2D65DBF6" w14:textId="77777777" w:rsidR="00AA5A06" w:rsidRPr="000769C3" w:rsidRDefault="00AA5A06" w:rsidP="00546503">
            <w:pPr>
              <w:jc w:val="center"/>
              <w:rPr>
                <w:b/>
                <w:sz w:val="20"/>
                <w:szCs w:val="20"/>
              </w:rPr>
            </w:pPr>
            <w:r w:rsidRPr="000769C3">
              <w:rPr>
                <w:b/>
                <w:sz w:val="20"/>
                <w:szCs w:val="20"/>
              </w:rPr>
              <w:t>Cost after conversion</w:t>
            </w:r>
          </w:p>
        </w:tc>
        <w:tc>
          <w:tcPr>
            <w:tcW w:w="576" w:type="pct"/>
            <w:vMerge w:val="restart"/>
            <w:shd w:val="clear" w:color="auto" w:fill="auto"/>
            <w:vAlign w:val="center"/>
          </w:tcPr>
          <w:p w14:paraId="37B42769" w14:textId="77777777" w:rsidR="00AA5A06" w:rsidRPr="000769C3" w:rsidRDefault="00AA5A06" w:rsidP="00546503">
            <w:pPr>
              <w:jc w:val="center"/>
              <w:rPr>
                <w:b/>
                <w:sz w:val="20"/>
                <w:szCs w:val="20"/>
              </w:rPr>
            </w:pPr>
            <w:r w:rsidRPr="000769C3">
              <w:rPr>
                <w:b/>
                <w:sz w:val="20"/>
                <w:szCs w:val="20"/>
              </w:rPr>
              <w:t>IOC</w:t>
            </w:r>
            <w:r>
              <w:rPr>
                <w:b/>
                <w:sz w:val="20"/>
                <w:szCs w:val="20"/>
              </w:rPr>
              <w:t>s</w:t>
            </w:r>
            <w:r w:rsidRPr="000769C3">
              <w:rPr>
                <w:b/>
                <w:sz w:val="20"/>
                <w:szCs w:val="20"/>
              </w:rPr>
              <w:t xml:space="preserve"> (</w:t>
            </w:r>
            <w:r>
              <w:rPr>
                <w:b/>
                <w:sz w:val="20"/>
                <w:szCs w:val="20"/>
              </w:rPr>
              <w:t>US $</w:t>
            </w:r>
            <w:r w:rsidRPr="000769C3">
              <w:rPr>
                <w:b/>
                <w:sz w:val="20"/>
                <w:szCs w:val="20"/>
              </w:rPr>
              <w:t xml:space="preserve"> per unit)</w:t>
            </w:r>
          </w:p>
        </w:tc>
      </w:tr>
      <w:tr w:rsidR="00AA5A06" w:rsidRPr="000769C3" w14:paraId="7740800C" w14:textId="77777777" w:rsidTr="00546503">
        <w:trPr>
          <w:tblHeader/>
        </w:trPr>
        <w:tc>
          <w:tcPr>
            <w:tcW w:w="832" w:type="pct"/>
            <w:vMerge/>
            <w:shd w:val="clear" w:color="auto" w:fill="auto"/>
            <w:vAlign w:val="center"/>
          </w:tcPr>
          <w:p w14:paraId="09B3CC6E" w14:textId="77777777" w:rsidR="00AA5A06" w:rsidRPr="000769C3" w:rsidRDefault="00AA5A06" w:rsidP="00546503">
            <w:pPr>
              <w:rPr>
                <w:b/>
                <w:sz w:val="20"/>
                <w:szCs w:val="20"/>
              </w:rPr>
            </w:pPr>
          </w:p>
        </w:tc>
        <w:tc>
          <w:tcPr>
            <w:tcW w:w="534" w:type="pct"/>
            <w:shd w:val="clear" w:color="auto" w:fill="auto"/>
            <w:vAlign w:val="center"/>
          </w:tcPr>
          <w:p w14:paraId="51B63F4C" w14:textId="77777777" w:rsidR="00AA5A06" w:rsidRPr="000769C3" w:rsidRDefault="00AA5A06" w:rsidP="00546503">
            <w:pPr>
              <w:jc w:val="center"/>
              <w:rPr>
                <w:b/>
                <w:sz w:val="20"/>
                <w:szCs w:val="20"/>
              </w:rPr>
            </w:pPr>
            <w:r w:rsidRPr="000769C3">
              <w:rPr>
                <w:b/>
                <w:sz w:val="20"/>
                <w:szCs w:val="20"/>
              </w:rPr>
              <w:t>Amount (kg/unit)</w:t>
            </w:r>
          </w:p>
        </w:tc>
        <w:tc>
          <w:tcPr>
            <w:tcW w:w="556" w:type="pct"/>
            <w:shd w:val="clear" w:color="auto" w:fill="auto"/>
            <w:vAlign w:val="center"/>
          </w:tcPr>
          <w:p w14:paraId="57A72E4F" w14:textId="77777777" w:rsidR="00AA5A06" w:rsidRPr="000769C3" w:rsidRDefault="00AA5A06" w:rsidP="00546503">
            <w:pPr>
              <w:jc w:val="center"/>
              <w:rPr>
                <w:b/>
                <w:sz w:val="20"/>
                <w:szCs w:val="20"/>
              </w:rPr>
            </w:pPr>
            <w:r w:rsidRPr="000769C3">
              <w:rPr>
                <w:b/>
                <w:sz w:val="20"/>
                <w:szCs w:val="20"/>
              </w:rPr>
              <w:t>Price (</w:t>
            </w:r>
            <w:r>
              <w:rPr>
                <w:b/>
                <w:sz w:val="20"/>
                <w:szCs w:val="20"/>
              </w:rPr>
              <w:t>US $</w:t>
            </w:r>
            <w:r w:rsidRPr="000769C3">
              <w:rPr>
                <w:b/>
                <w:sz w:val="20"/>
                <w:szCs w:val="20"/>
              </w:rPr>
              <w:t>/kg)</w:t>
            </w:r>
          </w:p>
        </w:tc>
        <w:tc>
          <w:tcPr>
            <w:tcW w:w="674" w:type="pct"/>
            <w:shd w:val="clear" w:color="auto" w:fill="auto"/>
            <w:vAlign w:val="center"/>
          </w:tcPr>
          <w:p w14:paraId="43A87586" w14:textId="77777777" w:rsidR="00AA5A06" w:rsidRPr="000769C3" w:rsidRDefault="00AA5A06" w:rsidP="00546503">
            <w:pPr>
              <w:jc w:val="center"/>
              <w:rPr>
                <w:b/>
                <w:sz w:val="20"/>
                <w:szCs w:val="20"/>
              </w:rPr>
            </w:pPr>
            <w:r w:rsidRPr="000769C3">
              <w:rPr>
                <w:b/>
                <w:sz w:val="20"/>
                <w:szCs w:val="20"/>
              </w:rPr>
              <w:t>Cost (</w:t>
            </w:r>
            <w:r>
              <w:rPr>
                <w:b/>
                <w:sz w:val="20"/>
                <w:szCs w:val="20"/>
              </w:rPr>
              <w:t>US $</w:t>
            </w:r>
            <w:r w:rsidRPr="000769C3">
              <w:rPr>
                <w:b/>
                <w:sz w:val="20"/>
                <w:szCs w:val="20"/>
              </w:rPr>
              <w:t>/unit)</w:t>
            </w:r>
          </w:p>
        </w:tc>
        <w:tc>
          <w:tcPr>
            <w:tcW w:w="626" w:type="pct"/>
            <w:shd w:val="clear" w:color="auto" w:fill="auto"/>
            <w:vAlign w:val="center"/>
          </w:tcPr>
          <w:p w14:paraId="30B173F1" w14:textId="77777777" w:rsidR="00AA5A06" w:rsidRPr="000769C3" w:rsidRDefault="00AA5A06" w:rsidP="00546503">
            <w:pPr>
              <w:jc w:val="center"/>
              <w:rPr>
                <w:b/>
                <w:sz w:val="20"/>
                <w:szCs w:val="20"/>
              </w:rPr>
            </w:pPr>
            <w:r w:rsidRPr="000769C3">
              <w:rPr>
                <w:b/>
                <w:sz w:val="20"/>
                <w:szCs w:val="20"/>
              </w:rPr>
              <w:t>Amount (kg/unit)</w:t>
            </w:r>
          </w:p>
        </w:tc>
        <w:tc>
          <w:tcPr>
            <w:tcW w:w="557" w:type="pct"/>
            <w:shd w:val="clear" w:color="auto" w:fill="auto"/>
            <w:vAlign w:val="center"/>
          </w:tcPr>
          <w:p w14:paraId="22B9AB5C" w14:textId="77777777" w:rsidR="00AA5A06" w:rsidRPr="000769C3" w:rsidRDefault="00AA5A06" w:rsidP="00546503">
            <w:pPr>
              <w:jc w:val="center"/>
              <w:rPr>
                <w:b/>
                <w:sz w:val="20"/>
                <w:szCs w:val="20"/>
              </w:rPr>
            </w:pPr>
            <w:r w:rsidRPr="000769C3">
              <w:rPr>
                <w:b/>
                <w:sz w:val="20"/>
                <w:szCs w:val="20"/>
              </w:rPr>
              <w:t>Price (</w:t>
            </w:r>
            <w:r>
              <w:rPr>
                <w:b/>
                <w:sz w:val="20"/>
                <w:szCs w:val="20"/>
              </w:rPr>
              <w:t>US $</w:t>
            </w:r>
            <w:r w:rsidRPr="000769C3">
              <w:rPr>
                <w:b/>
                <w:sz w:val="20"/>
                <w:szCs w:val="20"/>
              </w:rPr>
              <w:t>/kg)</w:t>
            </w:r>
          </w:p>
        </w:tc>
        <w:tc>
          <w:tcPr>
            <w:tcW w:w="645" w:type="pct"/>
            <w:shd w:val="clear" w:color="auto" w:fill="auto"/>
            <w:vAlign w:val="center"/>
          </w:tcPr>
          <w:p w14:paraId="47EFB4D9" w14:textId="77777777" w:rsidR="00AA5A06" w:rsidRPr="000769C3" w:rsidRDefault="00AA5A06" w:rsidP="00546503">
            <w:pPr>
              <w:jc w:val="center"/>
              <w:rPr>
                <w:b/>
                <w:sz w:val="20"/>
                <w:szCs w:val="20"/>
              </w:rPr>
            </w:pPr>
            <w:r w:rsidRPr="000769C3">
              <w:rPr>
                <w:b/>
                <w:sz w:val="20"/>
                <w:szCs w:val="20"/>
              </w:rPr>
              <w:t>Cost (</w:t>
            </w:r>
            <w:r>
              <w:rPr>
                <w:b/>
                <w:sz w:val="20"/>
                <w:szCs w:val="20"/>
              </w:rPr>
              <w:t>US $</w:t>
            </w:r>
            <w:r w:rsidRPr="000769C3">
              <w:rPr>
                <w:b/>
                <w:sz w:val="20"/>
                <w:szCs w:val="20"/>
              </w:rPr>
              <w:t>/unit)</w:t>
            </w:r>
          </w:p>
        </w:tc>
        <w:tc>
          <w:tcPr>
            <w:tcW w:w="576" w:type="pct"/>
            <w:vMerge/>
            <w:shd w:val="clear" w:color="auto" w:fill="auto"/>
            <w:vAlign w:val="center"/>
          </w:tcPr>
          <w:p w14:paraId="51F9CD29" w14:textId="77777777" w:rsidR="00AA5A06" w:rsidRPr="000769C3" w:rsidRDefault="00AA5A06" w:rsidP="00546503">
            <w:pPr>
              <w:rPr>
                <w:b/>
                <w:sz w:val="20"/>
                <w:szCs w:val="20"/>
              </w:rPr>
            </w:pPr>
          </w:p>
        </w:tc>
      </w:tr>
      <w:tr w:rsidR="00AA5A06" w:rsidRPr="000769C3" w14:paraId="61A4456C" w14:textId="77777777" w:rsidTr="00546503">
        <w:trPr>
          <w:tblHeader/>
        </w:trPr>
        <w:tc>
          <w:tcPr>
            <w:tcW w:w="5000" w:type="pct"/>
            <w:gridSpan w:val="8"/>
            <w:shd w:val="clear" w:color="auto" w:fill="auto"/>
            <w:vAlign w:val="center"/>
          </w:tcPr>
          <w:p w14:paraId="007D4A9E" w14:textId="77777777" w:rsidR="00AA5A06" w:rsidRPr="000769C3" w:rsidRDefault="00AA5A06" w:rsidP="00546503">
            <w:pPr>
              <w:rPr>
                <w:b/>
                <w:sz w:val="20"/>
                <w:szCs w:val="20"/>
              </w:rPr>
            </w:pPr>
            <w:r>
              <w:rPr>
                <w:b/>
                <w:sz w:val="20"/>
                <w:szCs w:val="20"/>
              </w:rPr>
              <w:t>Cabinet</w:t>
            </w:r>
          </w:p>
        </w:tc>
      </w:tr>
      <w:tr w:rsidR="00AA5A06" w:rsidRPr="000769C3" w14:paraId="6A377D73" w14:textId="77777777" w:rsidTr="00546503">
        <w:trPr>
          <w:trHeight w:val="54"/>
        </w:trPr>
        <w:tc>
          <w:tcPr>
            <w:tcW w:w="832" w:type="pct"/>
            <w:shd w:val="clear" w:color="auto" w:fill="auto"/>
            <w:vAlign w:val="center"/>
          </w:tcPr>
          <w:p w14:paraId="760818A6" w14:textId="77777777" w:rsidR="00AA5A06" w:rsidRPr="000769C3" w:rsidRDefault="00AA5A06" w:rsidP="00546503">
            <w:pPr>
              <w:jc w:val="left"/>
              <w:rPr>
                <w:sz w:val="20"/>
                <w:szCs w:val="20"/>
              </w:rPr>
            </w:pPr>
            <w:r>
              <w:rPr>
                <w:sz w:val="20"/>
                <w:szCs w:val="20"/>
              </w:rPr>
              <w:t>Polyols</w:t>
            </w:r>
          </w:p>
        </w:tc>
        <w:tc>
          <w:tcPr>
            <w:tcW w:w="534" w:type="pct"/>
            <w:shd w:val="clear" w:color="auto" w:fill="auto"/>
            <w:vAlign w:val="center"/>
          </w:tcPr>
          <w:p w14:paraId="2FA68A7F" w14:textId="77777777" w:rsidR="00AA5A06" w:rsidRPr="000769C3" w:rsidRDefault="00AA5A06" w:rsidP="00546503">
            <w:pPr>
              <w:jc w:val="right"/>
              <w:rPr>
                <w:sz w:val="20"/>
                <w:szCs w:val="20"/>
              </w:rPr>
            </w:pPr>
            <w:r w:rsidRPr="000769C3">
              <w:rPr>
                <w:sz w:val="20"/>
                <w:szCs w:val="20"/>
              </w:rPr>
              <w:t>2.71</w:t>
            </w:r>
          </w:p>
        </w:tc>
        <w:tc>
          <w:tcPr>
            <w:tcW w:w="556" w:type="pct"/>
            <w:shd w:val="clear" w:color="auto" w:fill="auto"/>
            <w:vAlign w:val="center"/>
          </w:tcPr>
          <w:p w14:paraId="231BFD16" w14:textId="77777777" w:rsidR="00AA5A06" w:rsidRPr="000769C3" w:rsidRDefault="00AA5A06" w:rsidP="00546503">
            <w:pPr>
              <w:jc w:val="right"/>
              <w:rPr>
                <w:sz w:val="20"/>
                <w:szCs w:val="20"/>
              </w:rPr>
            </w:pPr>
            <w:r w:rsidRPr="000769C3">
              <w:rPr>
                <w:sz w:val="20"/>
                <w:szCs w:val="20"/>
              </w:rPr>
              <w:t>2.15</w:t>
            </w:r>
          </w:p>
        </w:tc>
        <w:tc>
          <w:tcPr>
            <w:tcW w:w="674" w:type="pct"/>
            <w:shd w:val="clear" w:color="auto" w:fill="auto"/>
            <w:vAlign w:val="center"/>
          </w:tcPr>
          <w:p w14:paraId="03C8EB65" w14:textId="77777777" w:rsidR="00AA5A06" w:rsidRPr="000769C3" w:rsidRDefault="00AA5A06" w:rsidP="00546503">
            <w:pPr>
              <w:jc w:val="right"/>
              <w:rPr>
                <w:sz w:val="20"/>
                <w:szCs w:val="20"/>
              </w:rPr>
            </w:pPr>
            <w:r w:rsidRPr="000769C3">
              <w:rPr>
                <w:sz w:val="20"/>
                <w:szCs w:val="20"/>
              </w:rPr>
              <w:t>5.83</w:t>
            </w:r>
          </w:p>
        </w:tc>
        <w:tc>
          <w:tcPr>
            <w:tcW w:w="626" w:type="pct"/>
            <w:shd w:val="clear" w:color="auto" w:fill="auto"/>
            <w:vAlign w:val="center"/>
          </w:tcPr>
          <w:p w14:paraId="4DFB3039" w14:textId="77777777" w:rsidR="00AA5A06" w:rsidRPr="000769C3" w:rsidRDefault="00AA5A06" w:rsidP="00546503">
            <w:pPr>
              <w:jc w:val="right"/>
              <w:rPr>
                <w:sz w:val="20"/>
                <w:szCs w:val="20"/>
              </w:rPr>
            </w:pPr>
            <w:r w:rsidRPr="000769C3">
              <w:rPr>
                <w:sz w:val="20"/>
                <w:szCs w:val="20"/>
              </w:rPr>
              <w:t>2.84</w:t>
            </w:r>
          </w:p>
        </w:tc>
        <w:tc>
          <w:tcPr>
            <w:tcW w:w="557" w:type="pct"/>
            <w:shd w:val="clear" w:color="auto" w:fill="auto"/>
            <w:vAlign w:val="center"/>
          </w:tcPr>
          <w:p w14:paraId="3875CCD4" w14:textId="77777777" w:rsidR="00AA5A06" w:rsidRPr="000769C3" w:rsidRDefault="00AA5A06" w:rsidP="00546503">
            <w:pPr>
              <w:jc w:val="right"/>
              <w:rPr>
                <w:sz w:val="20"/>
                <w:szCs w:val="20"/>
              </w:rPr>
            </w:pPr>
            <w:r w:rsidRPr="000769C3">
              <w:rPr>
                <w:sz w:val="20"/>
                <w:szCs w:val="20"/>
              </w:rPr>
              <w:t>2.16</w:t>
            </w:r>
          </w:p>
        </w:tc>
        <w:tc>
          <w:tcPr>
            <w:tcW w:w="645" w:type="pct"/>
            <w:shd w:val="clear" w:color="auto" w:fill="auto"/>
            <w:vAlign w:val="center"/>
          </w:tcPr>
          <w:p w14:paraId="1A3FBDDB" w14:textId="77777777" w:rsidR="00AA5A06" w:rsidRPr="000769C3" w:rsidRDefault="00AA5A06" w:rsidP="00546503">
            <w:pPr>
              <w:jc w:val="right"/>
              <w:rPr>
                <w:sz w:val="20"/>
                <w:szCs w:val="20"/>
              </w:rPr>
            </w:pPr>
            <w:r w:rsidRPr="000769C3">
              <w:rPr>
                <w:sz w:val="20"/>
                <w:szCs w:val="20"/>
              </w:rPr>
              <w:t>6.15</w:t>
            </w:r>
          </w:p>
        </w:tc>
        <w:tc>
          <w:tcPr>
            <w:tcW w:w="576" w:type="pct"/>
            <w:shd w:val="clear" w:color="auto" w:fill="auto"/>
            <w:vAlign w:val="center"/>
          </w:tcPr>
          <w:p w14:paraId="1A63300F" w14:textId="77777777" w:rsidR="00AA5A06" w:rsidRPr="000769C3" w:rsidRDefault="00AA5A06" w:rsidP="00546503">
            <w:pPr>
              <w:jc w:val="right"/>
              <w:rPr>
                <w:sz w:val="20"/>
                <w:szCs w:val="20"/>
              </w:rPr>
            </w:pPr>
            <w:r w:rsidRPr="000769C3">
              <w:rPr>
                <w:sz w:val="20"/>
                <w:szCs w:val="20"/>
              </w:rPr>
              <w:t>0.32</w:t>
            </w:r>
          </w:p>
        </w:tc>
      </w:tr>
      <w:tr w:rsidR="00AA5A06" w:rsidRPr="000769C3" w14:paraId="35DAF1DA" w14:textId="77777777" w:rsidTr="00546503">
        <w:tc>
          <w:tcPr>
            <w:tcW w:w="832" w:type="pct"/>
            <w:shd w:val="clear" w:color="auto" w:fill="auto"/>
            <w:vAlign w:val="center"/>
          </w:tcPr>
          <w:p w14:paraId="6DD481FC" w14:textId="77777777" w:rsidR="00AA5A06" w:rsidRPr="000769C3" w:rsidRDefault="00AA5A06" w:rsidP="00546503">
            <w:pPr>
              <w:jc w:val="left"/>
              <w:rPr>
                <w:sz w:val="20"/>
                <w:szCs w:val="20"/>
              </w:rPr>
            </w:pPr>
            <w:r w:rsidRPr="000769C3">
              <w:rPr>
                <w:sz w:val="20"/>
                <w:szCs w:val="20"/>
              </w:rPr>
              <w:t>HFC</w:t>
            </w:r>
            <w:r>
              <w:rPr>
                <w:sz w:val="20"/>
                <w:szCs w:val="20"/>
              </w:rPr>
              <w:t>s</w:t>
            </w:r>
            <w:r w:rsidRPr="000769C3">
              <w:rPr>
                <w:sz w:val="20"/>
                <w:szCs w:val="20"/>
              </w:rPr>
              <w:t xml:space="preserve"> or HFO</w:t>
            </w:r>
            <w:r>
              <w:rPr>
                <w:sz w:val="20"/>
                <w:szCs w:val="20"/>
              </w:rPr>
              <w:t>s</w:t>
            </w:r>
          </w:p>
        </w:tc>
        <w:tc>
          <w:tcPr>
            <w:tcW w:w="534" w:type="pct"/>
            <w:shd w:val="clear" w:color="auto" w:fill="auto"/>
            <w:vAlign w:val="center"/>
          </w:tcPr>
          <w:p w14:paraId="0C8B9F41" w14:textId="77777777" w:rsidR="00AA5A06" w:rsidRPr="000769C3" w:rsidRDefault="00AA5A06" w:rsidP="00546503">
            <w:pPr>
              <w:jc w:val="right"/>
              <w:rPr>
                <w:sz w:val="20"/>
                <w:szCs w:val="20"/>
              </w:rPr>
            </w:pPr>
            <w:r w:rsidRPr="000769C3">
              <w:rPr>
                <w:sz w:val="20"/>
                <w:szCs w:val="20"/>
              </w:rPr>
              <w:t>0.19</w:t>
            </w:r>
          </w:p>
        </w:tc>
        <w:tc>
          <w:tcPr>
            <w:tcW w:w="556" w:type="pct"/>
            <w:shd w:val="clear" w:color="auto" w:fill="auto"/>
            <w:vAlign w:val="center"/>
          </w:tcPr>
          <w:p w14:paraId="63693A15" w14:textId="77777777" w:rsidR="00AA5A06" w:rsidRPr="000769C3" w:rsidRDefault="00AA5A06" w:rsidP="00546503">
            <w:pPr>
              <w:jc w:val="right"/>
              <w:rPr>
                <w:sz w:val="20"/>
                <w:szCs w:val="20"/>
              </w:rPr>
            </w:pPr>
            <w:r w:rsidRPr="000769C3">
              <w:rPr>
                <w:sz w:val="20"/>
                <w:szCs w:val="20"/>
              </w:rPr>
              <w:t>6.03</w:t>
            </w:r>
          </w:p>
        </w:tc>
        <w:tc>
          <w:tcPr>
            <w:tcW w:w="674" w:type="pct"/>
            <w:shd w:val="clear" w:color="auto" w:fill="auto"/>
            <w:vAlign w:val="center"/>
          </w:tcPr>
          <w:p w14:paraId="56E61DAE" w14:textId="77777777" w:rsidR="00AA5A06" w:rsidRPr="000769C3" w:rsidRDefault="00AA5A06" w:rsidP="00546503">
            <w:pPr>
              <w:jc w:val="right"/>
              <w:rPr>
                <w:sz w:val="20"/>
                <w:szCs w:val="20"/>
              </w:rPr>
            </w:pPr>
            <w:r w:rsidRPr="000769C3">
              <w:rPr>
                <w:sz w:val="20"/>
                <w:szCs w:val="20"/>
              </w:rPr>
              <w:t>1.15</w:t>
            </w:r>
          </w:p>
        </w:tc>
        <w:tc>
          <w:tcPr>
            <w:tcW w:w="626" w:type="pct"/>
            <w:shd w:val="clear" w:color="auto" w:fill="auto"/>
            <w:vAlign w:val="center"/>
          </w:tcPr>
          <w:p w14:paraId="550D852F" w14:textId="77777777" w:rsidR="00AA5A06" w:rsidRPr="000769C3" w:rsidRDefault="00AA5A06" w:rsidP="00546503">
            <w:pPr>
              <w:jc w:val="right"/>
              <w:rPr>
                <w:sz w:val="20"/>
                <w:szCs w:val="20"/>
              </w:rPr>
            </w:pPr>
            <w:r w:rsidRPr="000769C3">
              <w:rPr>
                <w:sz w:val="20"/>
                <w:szCs w:val="20"/>
              </w:rPr>
              <w:t>0.18</w:t>
            </w:r>
          </w:p>
        </w:tc>
        <w:tc>
          <w:tcPr>
            <w:tcW w:w="557" w:type="pct"/>
            <w:shd w:val="clear" w:color="auto" w:fill="auto"/>
            <w:vAlign w:val="center"/>
          </w:tcPr>
          <w:p w14:paraId="02BB4846" w14:textId="77777777" w:rsidR="00AA5A06" w:rsidRPr="000769C3" w:rsidRDefault="00AA5A06" w:rsidP="00546503">
            <w:pPr>
              <w:jc w:val="right"/>
              <w:rPr>
                <w:sz w:val="20"/>
                <w:szCs w:val="20"/>
              </w:rPr>
            </w:pPr>
            <w:r w:rsidRPr="000769C3">
              <w:rPr>
                <w:sz w:val="20"/>
                <w:szCs w:val="20"/>
              </w:rPr>
              <w:t>8.92</w:t>
            </w:r>
          </w:p>
        </w:tc>
        <w:tc>
          <w:tcPr>
            <w:tcW w:w="645" w:type="pct"/>
            <w:shd w:val="clear" w:color="auto" w:fill="auto"/>
            <w:vAlign w:val="center"/>
          </w:tcPr>
          <w:p w14:paraId="65D063FE" w14:textId="77777777" w:rsidR="00AA5A06" w:rsidRPr="000769C3" w:rsidRDefault="00AA5A06" w:rsidP="00546503">
            <w:pPr>
              <w:jc w:val="right"/>
              <w:rPr>
                <w:sz w:val="20"/>
                <w:szCs w:val="20"/>
              </w:rPr>
            </w:pPr>
            <w:r w:rsidRPr="000769C3">
              <w:rPr>
                <w:sz w:val="20"/>
                <w:szCs w:val="20"/>
              </w:rPr>
              <w:t>1.65</w:t>
            </w:r>
          </w:p>
        </w:tc>
        <w:tc>
          <w:tcPr>
            <w:tcW w:w="576" w:type="pct"/>
            <w:shd w:val="clear" w:color="auto" w:fill="auto"/>
            <w:vAlign w:val="center"/>
          </w:tcPr>
          <w:p w14:paraId="0698FAD2" w14:textId="77777777" w:rsidR="00AA5A06" w:rsidRPr="000769C3" w:rsidRDefault="00AA5A06" w:rsidP="00546503">
            <w:pPr>
              <w:jc w:val="right"/>
              <w:rPr>
                <w:sz w:val="20"/>
                <w:szCs w:val="20"/>
              </w:rPr>
            </w:pPr>
            <w:r w:rsidRPr="000769C3">
              <w:rPr>
                <w:sz w:val="20"/>
                <w:szCs w:val="20"/>
              </w:rPr>
              <w:t>0.50</w:t>
            </w:r>
          </w:p>
        </w:tc>
      </w:tr>
      <w:tr w:rsidR="00AA5A06" w:rsidRPr="000769C3" w14:paraId="6206E0B1" w14:textId="77777777" w:rsidTr="00546503">
        <w:trPr>
          <w:trHeight w:val="54"/>
        </w:trPr>
        <w:tc>
          <w:tcPr>
            <w:tcW w:w="832" w:type="pct"/>
            <w:shd w:val="clear" w:color="auto" w:fill="auto"/>
            <w:vAlign w:val="center"/>
          </w:tcPr>
          <w:p w14:paraId="2B7D0E70" w14:textId="77777777" w:rsidR="00AA5A06" w:rsidRPr="000769C3" w:rsidRDefault="00AA5A06" w:rsidP="00546503">
            <w:pPr>
              <w:jc w:val="left"/>
              <w:rPr>
                <w:sz w:val="20"/>
                <w:szCs w:val="20"/>
              </w:rPr>
            </w:pPr>
            <w:r w:rsidRPr="000769C3">
              <w:rPr>
                <w:sz w:val="20"/>
                <w:szCs w:val="20"/>
              </w:rPr>
              <w:t>C5</w:t>
            </w:r>
          </w:p>
        </w:tc>
        <w:tc>
          <w:tcPr>
            <w:tcW w:w="534" w:type="pct"/>
            <w:shd w:val="clear" w:color="auto" w:fill="auto"/>
            <w:vAlign w:val="center"/>
          </w:tcPr>
          <w:p w14:paraId="779FBB25" w14:textId="77777777" w:rsidR="00AA5A06" w:rsidRPr="000769C3" w:rsidRDefault="00AA5A06" w:rsidP="00546503">
            <w:pPr>
              <w:jc w:val="right"/>
              <w:rPr>
                <w:sz w:val="20"/>
                <w:szCs w:val="20"/>
              </w:rPr>
            </w:pPr>
            <w:r w:rsidRPr="000769C3">
              <w:rPr>
                <w:sz w:val="20"/>
                <w:szCs w:val="20"/>
              </w:rPr>
              <w:t>0.35</w:t>
            </w:r>
          </w:p>
        </w:tc>
        <w:tc>
          <w:tcPr>
            <w:tcW w:w="556" w:type="pct"/>
            <w:shd w:val="clear" w:color="auto" w:fill="auto"/>
            <w:vAlign w:val="center"/>
          </w:tcPr>
          <w:p w14:paraId="45DB8030" w14:textId="77777777" w:rsidR="00AA5A06" w:rsidRPr="000769C3" w:rsidRDefault="00AA5A06" w:rsidP="00546503">
            <w:pPr>
              <w:jc w:val="right"/>
              <w:rPr>
                <w:sz w:val="20"/>
                <w:szCs w:val="20"/>
              </w:rPr>
            </w:pPr>
            <w:r w:rsidRPr="000769C3">
              <w:rPr>
                <w:sz w:val="20"/>
                <w:szCs w:val="20"/>
              </w:rPr>
              <w:t>1.51</w:t>
            </w:r>
          </w:p>
        </w:tc>
        <w:tc>
          <w:tcPr>
            <w:tcW w:w="674" w:type="pct"/>
            <w:shd w:val="clear" w:color="auto" w:fill="auto"/>
            <w:vAlign w:val="center"/>
          </w:tcPr>
          <w:p w14:paraId="10D1941F" w14:textId="77777777" w:rsidR="00AA5A06" w:rsidRPr="000769C3" w:rsidRDefault="00AA5A06" w:rsidP="00546503">
            <w:pPr>
              <w:jc w:val="right"/>
              <w:rPr>
                <w:sz w:val="20"/>
                <w:szCs w:val="20"/>
              </w:rPr>
            </w:pPr>
            <w:r w:rsidRPr="000769C3">
              <w:rPr>
                <w:sz w:val="20"/>
                <w:szCs w:val="20"/>
              </w:rPr>
              <w:t>0.53</w:t>
            </w:r>
          </w:p>
        </w:tc>
        <w:tc>
          <w:tcPr>
            <w:tcW w:w="626" w:type="pct"/>
            <w:shd w:val="clear" w:color="auto" w:fill="auto"/>
            <w:vAlign w:val="center"/>
          </w:tcPr>
          <w:p w14:paraId="532C2534" w14:textId="77777777" w:rsidR="00AA5A06" w:rsidRPr="000769C3" w:rsidRDefault="00AA5A06" w:rsidP="00546503">
            <w:pPr>
              <w:jc w:val="right"/>
              <w:rPr>
                <w:sz w:val="20"/>
                <w:szCs w:val="20"/>
              </w:rPr>
            </w:pPr>
            <w:r w:rsidRPr="000769C3">
              <w:rPr>
                <w:sz w:val="20"/>
                <w:szCs w:val="20"/>
              </w:rPr>
              <w:t>0.36</w:t>
            </w:r>
          </w:p>
        </w:tc>
        <w:tc>
          <w:tcPr>
            <w:tcW w:w="557" w:type="pct"/>
            <w:shd w:val="clear" w:color="auto" w:fill="auto"/>
            <w:vAlign w:val="center"/>
          </w:tcPr>
          <w:p w14:paraId="5F9C21B7" w14:textId="77777777" w:rsidR="00AA5A06" w:rsidRPr="000769C3" w:rsidRDefault="00AA5A06" w:rsidP="00546503">
            <w:pPr>
              <w:jc w:val="right"/>
              <w:rPr>
                <w:sz w:val="20"/>
                <w:szCs w:val="20"/>
              </w:rPr>
            </w:pPr>
            <w:r w:rsidRPr="000769C3">
              <w:rPr>
                <w:sz w:val="20"/>
                <w:szCs w:val="20"/>
              </w:rPr>
              <w:t>1.51</w:t>
            </w:r>
          </w:p>
        </w:tc>
        <w:tc>
          <w:tcPr>
            <w:tcW w:w="645" w:type="pct"/>
            <w:shd w:val="clear" w:color="auto" w:fill="auto"/>
            <w:vAlign w:val="center"/>
          </w:tcPr>
          <w:p w14:paraId="03C663EB" w14:textId="77777777" w:rsidR="00AA5A06" w:rsidRPr="000769C3" w:rsidRDefault="00AA5A06" w:rsidP="00546503">
            <w:pPr>
              <w:jc w:val="right"/>
              <w:rPr>
                <w:sz w:val="20"/>
                <w:szCs w:val="20"/>
              </w:rPr>
            </w:pPr>
            <w:r w:rsidRPr="000769C3">
              <w:rPr>
                <w:sz w:val="20"/>
                <w:szCs w:val="20"/>
              </w:rPr>
              <w:t>0.55</w:t>
            </w:r>
          </w:p>
        </w:tc>
        <w:tc>
          <w:tcPr>
            <w:tcW w:w="576" w:type="pct"/>
            <w:shd w:val="clear" w:color="auto" w:fill="auto"/>
            <w:vAlign w:val="center"/>
          </w:tcPr>
          <w:p w14:paraId="6CF3DA34" w14:textId="77777777" w:rsidR="00AA5A06" w:rsidRPr="000769C3" w:rsidRDefault="00AA5A06" w:rsidP="00546503">
            <w:pPr>
              <w:jc w:val="right"/>
              <w:rPr>
                <w:sz w:val="20"/>
                <w:szCs w:val="20"/>
              </w:rPr>
            </w:pPr>
            <w:r w:rsidRPr="000769C3">
              <w:rPr>
                <w:sz w:val="20"/>
                <w:szCs w:val="20"/>
              </w:rPr>
              <w:t>0.02</w:t>
            </w:r>
          </w:p>
        </w:tc>
      </w:tr>
      <w:tr w:rsidR="00AA5A06" w:rsidRPr="000769C3" w14:paraId="1EE1044B" w14:textId="77777777" w:rsidTr="00546503">
        <w:trPr>
          <w:trHeight w:val="54"/>
        </w:trPr>
        <w:tc>
          <w:tcPr>
            <w:tcW w:w="832" w:type="pct"/>
            <w:shd w:val="clear" w:color="auto" w:fill="auto"/>
            <w:vAlign w:val="center"/>
          </w:tcPr>
          <w:p w14:paraId="3CE6E468" w14:textId="77777777" w:rsidR="00AA5A06" w:rsidRPr="002A49C3" w:rsidRDefault="00AA5A06" w:rsidP="00546503">
            <w:pPr>
              <w:jc w:val="left"/>
            </w:pPr>
            <w:r>
              <w:rPr>
                <w:sz w:val="20"/>
                <w:szCs w:val="20"/>
              </w:rPr>
              <w:t>M</w:t>
            </w:r>
            <w:r w:rsidRPr="002A49C3">
              <w:rPr>
                <w:sz w:val="20"/>
                <w:szCs w:val="20"/>
              </w:rPr>
              <w:t>DI</w:t>
            </w:r>
          </w:p>
        </w:tc>
        <w:tc>
          <w:tcPr>
            <w:tcW w:w="534" w:type="pct"/>
            <w:shd w:val="clear" w:color="auto" w:fill="auto"/>
            <w:vAlign w:val="center"/>
          </w:tcPr>
          <w:p w14:paraId="00D53829" w14:textId="77777777" w:rsidR="00AA5A06" w:rsidRPr="000769C3" w:rsidRDefault="00AA5A06" w:rsidP="00546503">
            <w:pPr>
              <w:jc w:val="right"/>
              <w:rPr>
                <w:sz w:val="20"/>
                <w:szCs w:val="20"/>
              </w:rPr>
            </w:pPr>
            <w:r w:rsidRPr="000769C3">
              <w:rPr>
                <w:sz w:val="20"/>
                <w:szCs w:val="20"/>
              </w:rPr>
              <w:t>3.91</w:t>
            </w:r>
          </w:p>
        </w:tc>
        <w:tc>
          <w:tcPr>
            <w:tcW w:w="556" w:type="pct"/>
            <w:shd w:val="clear" w:color="auto" w:fill="auto"/>
            <w:vAlign w:val="center"/>
          </w:tcPr>
          <w:p w14:paraId="0ED83039" w14:textId="77777777" w:rsidR="00AA5A06" w:rsidRPr="000769C3" w:rsidRDefault="00AA5A06" w:rsidP="00546503">
            <w:pPr>
              <w:jc w:val="right"/>
              <w:rPr>
                <w:sz w:val="20"/>
                <w:szCs w:val="20"/>
              </w:rPr>
            </w:pPr>
            <w:r w:rsidRPr="000769C3">
              <w:rPr>
                <w:sz w:val="20"/>
                <w:szCs w:val="20"/>
              </w:rPr>
              <w:t>3.97</w:t>
            </w:r>
          </w:p>
        </w:tc>
        <w:tc>
          <w:tcPr>
            <w:tcW w:w="674" w:type="pct"/>
            <w:shd w:val="clear" w:color="auto" w:fill="auto"/>
            <w:vAlign w:val="center"/>
          </w:tcPr>
          <w:p w14:paraId="16BEBE72" w14:textId="77777777" w:rsidR="00AA5A06" w:rsidRPr="000769C3" w:rsidRDefault="00AA5A06" w:rsidP="00546503">
            <w:pPr>
              <w:jc w:val="right"/>
              <w:rPr>
                <w:sz w:val="20"/>
                <w:szCs w:val="20"/>
              </w:rPr>
            </w:pPr>
            <w:r w:rsidRPr="000769C3">
              <w:rPr>
                <w:sz w:val="20"/>
                <w:szCs w:val="20"/>
              </w:rPr>
              <w:t>15.51</w:t>
            </w:r>
          </w:p>
        </w:tc>
        <w:tc>
          <w:tcPr>
            <w:tcW w:w="626" w:type="pct"/>
            <w:shd w:val="clear" w:color="auto" w:fill="auto"/>
            <w:vAlign w:val="center"/>
          </w:tcPr>
          <w:p w14:paraId="2E9CE22F" w14:textId="77777777" w:rsidR="00AA5A06" w:rsidRPr="000769C3" w:rsidRDefault="00AA5A06" w:rsidP="00546503">
            <w:pPr>
              <w:jc w:val="right"/>
              <w:rPr>
                <w:sz w:val="20"/>
                <w:szCs w:val="20"/>
              </w:rPr>
            </w:pPr>
            <w:r w:rsidRPr="000769C3">
              <w:rPr>
                <w:sz w:val="20"/>
                <w:szCs w:val="20"/>
              </w:rPr>
              <w:t>4.04</w:t>
            </w:r>
          </w:p>
        </w:tc>
        <w:tc>
          <w:tcPr>
            <w:tcW w:w="557" w:type="pct"/>
            <w:shd w:val="clear" w:color="auto" w:fill="auto"/>
            <w:vAlign w:val="center"/>
          </w:tcPr>
          <w:p w14:paraId="539E0133" w14:textId="77777777" w:rsidR="00AA5A06" w:rsidRPr="000769C3" w:rsidRDefault="00AA5A06" w:rsidP="00546503">
            <w:pPr>
              <w:jc w:val="right"/>
              <w:rPr>
                <w:sz w:val="20"/>
                <w:szCs w:val="20"/>
              </w:rPr>
            </w:pPr>
            <w:r w:rsidRPr="000769C3">
              <w:rPr>
                <w:sz w:val="20"/>
                <w:szCs w:val="20"/>
              </w:rPr>
              <w:t>3.97</w:t>
            </w:r>
          </w:p>
        </w:tc>
        <w:tc>
          <w:tcPr>
            <w:tcW w:w="645" w:type="pct"/>
            <w:shd w:val="clear" w:color="auto" w:fill="auto"/>
            <w:vAlign w:val="center"/>
          </w:tcPr>
          <w:p w14:paraId="6FA0D4BC" w14:textId="77777777" w:rsidR="00AA5A06" w:rsidRPr="000769C3" w:rsidRDefault="00AA5A06" w:rsidP="00546503">
            <w:pPr>
              <w:jc w:val="right"/>
              <w:rPr>
                <w:sz w:val="20"/>
                <w:szCs w:val="20"/>
              </w:rPr>
            </w:pPr>
            <w:r w:rsidRPr="000769C3">
              <w:rPr>
                <w:sz w:val="20"/>
                <w:szCs w:val="20"/>
              </w:rPr>
              <w:t>16.02</w:t>
            </w:r>
          </w:p>
        </w:tc>
        <w:tc>
          <w:tcPr>
            <w:tcW w:w="576" w:type="pct"/>
            <w:shd w:val="clear" w:color="auto" w:fill="auto"/>
            <w:vAlign w:val="center"/>
          </w:tcPr>
          <w:p w14:paraId="080E124F" w14:textId="77777777" w:rsidR="00AA5A06" w:rsidRPr="000769C3" w:rsidRDefault="00AA5A06" w:rsidP="00546503">
            <w:pPr>
              <w:jc w:val="right"/>
              <w:rPr>
                <w:sz w:val="20"/>
                <w:szCs w:val="20"/>
              </w:rPr>
            </w:pPr>
            <w:r w:rsidRPr="000769C3">
              <w:rPr>
                <w:sz w:val="20"/>
                <w:szCs w:val="20"/>
              </w:rPr>
              <w:t>0.51</w:t>
            </w:r>
          </w:p>
        </w:tc>
      </w:tr>
      <w:tr w:rsidR="00AA5A06" w:rsidRPr="000769C3" w14:paraId="5CB5EC62" w14:textId="77777777" w:rsidTr="00546503">
        <w:trPr>
          <w:trHeight w:val="54"/>
        </w:trPr>
        <w:tc>
          <w:tcPr>
            <w:tcW w:w="5000" w:type="pct"/>
            <w:gridSpan w:val="8"/>
            <w:shd w:val="clear" w:color="auto" w:fill="auto"/>
            <w:vAlign w:val="center"/>
          </w:tcPr>
          <w:p w14:paraId="396E6F70" w14:textId="77777777" w:rsidR="00AA5A06" w:rsidRPr="002A49C3" w:rsidRDefault="00AA5A06" w:rsidP="00546503">
            <w:pPr>
              <w:jc w:val="left"/>
              <w:rPr>
                <w:b/>
                <w:sz w:val="20"/>
                <w:szCs w:val="20"/>
              </w:rPr>
            </w:pPr>
            <w:r w:rsidRPr="002A49C3">
              <w:rPr>
                <w:b/>
                <w:sz w:val="20"/>
                <w:szCs w:val="20"/>
              </w:rPr>
              <w:t>Door</w:t>
            </w:r>
          </w:p>
        </w:tc>
      </w:tr>
      <w:tr w:rsidR="00AA5A06" w:rsidRPr="000769C3" w14:paraId="1F407F0F" w14:textId="77777777" w:rsidTr="00546503">
        <w:tc>
          <w:tcPr>
            <w:tcW w:w="832" w:type="pct"/>
            <w:shd w:val="clear" w:color="auto" w:fill="auto"/>
            <w:vAlign w:val="center"/>
          </w:tcPr>
          <w:p w14:paraId="4A3A5D7E" w14:textId="77777777" w:rsidR="00AA5A06" w:rsidRPr="000769C3" w:rsidRDefault="00AA5A06" w:rsidP="00546503">
            <w:pPr>
              <w:jc w:val="left"/>
              <w:rPr>
                <w:sz w:val="20"/>
                <w:szCs w:val="20"/>
              </w:rPr>
            </w:pPr>
            <w:r>
              <w:rPr>
                <w:sz w:val="20"/>
                <w:szCs w:val="20"/>
              </w:rPr>
              <w:t>Polyols</w:t>
            </w:r>
          </w:p>
        </w:tc>
        <w:tc>
          <w:tcPr>
            <w:tcW w:w="534" w:type="pct"/>
            <w:shd w:val="clear" w:color="auto" w:fill="auto"/>
            <w:vAlign w:val="center"/>
          </w:tcPr>
          <w:p w14:paraId="3C218836" w14:textId="77777777" w:rsidR="00AA5A06" w:rsidRPr="000769C3" w:rsidRDefault="00AA5A06" w:rsidP="00546503">
            <w:pPr>
              <w:jc w:val="right"/>
              <w:rPr>
                <w:sz w:val="20"/>
                <w:szCs w:val="20"/>
              </w:rPr>
            </w:pPr>
            <w:r w:rsidRPr="000769C3">
              <w:rPr>
                <w:sz w:val="20"/>
                <w:szCs w:val="20"/>
              </w:rPr>
              <w:t>1.22</w:t>
            </w:r>
          </w:p>
        </w:tc>
        <w:tc>
          <w:tcPr>
            <w:tcW w:w="556" w:type="pct"/>
            <w:shd w:val="clear" w:color="auto" w:fill="auto"/>
            <w:vAlign w:val="center"/>
          </w:tcPr>
          <w:p w14:paraId="6D73467F" w14:textId="77777777" w:rsidR="00AA5A06" w:rsidRPr="000769C3" w:rsidRDefault="00AA5A06" w:rsidP="00546503">
            <w:pPr>
              <w:jc w:val="right"/>
              <w:rPr>
                <w:sz w:val="20"/>
                <w:szCs w:val="20"/>
              </w:rPr>
            </w:pPr>
            <w:r w:rsidRPr="000769C3">
              <w:rPr>
                <w:sz w:val="20"/>
                <w:szCs w:val="20"/>
              </w:rPr>
              <w:t>2.15</w:t>
            </w:r>
          </w:p>
        </w:tc>
        <w:tc>
          <w:tcPr>
            <w:tcW w:w="674" w:type="pct"/>
            <w:shd w:val="clear" w:color="auto" w:fill="auto"/>
            <w:vAlign w:val="center"/>
          </w:tcPr>
          <w:p w14:paraId="7A646FE4" w14:textId="77777777" w:rsidR="00AA5A06" w:rsidRPr="000769C3" w:rsidRDefault="00AA5A06" w:rsidP="00546503">
            <w:pPr>
              <w:jc w:val="right"/>
              <w:rPr>
                <w:sz w:val="20"/>
                <w:szCs w:val="20"/>
              </w:rPr>
            </w:pPr>
            <w:r w:rsidRPr="000769C3">
              <w:rPr>
                <w:sz w:val="20"/>
                <w:szCs w:val="20"/>
              </w:rPr>
              <w:t>2.63</w:t>
            </w:r>
          </w:p>
        </w:tc>
        <w:tc>
          <w:tcPr>
            <w:tcW w:w="626" w:type="pct"/>
            <w:shd w:val="clear" w:color="auto" w:fill="auto"/>
            <w:vAlign w:val="center"/>
          </w:tcPr>
          <w:p w14:paraId="7A258479" w14:textId="77777777" w:rsidR="00AA5A06" w:rsidRPr="000769C3" w:rsidRDefault="00AA5A06" w:rsidP="00546503">
            <w:pPr>
              <w:jc w:val="right"/>
              <w:rPr>
                <w:sz w:val="20"/>
                <w:szCs w:val="20"/>
              </w:rPr>
            </w:pPr>
            <w:r w:rsidRPr="000769C3">
              <w:rPr>
                <w:sz w:val="20"/>
                <w:szCs w:val="20"/>
              </w:rPr>
              <w:t>1.22</w:t>
            </w:r>
          </w:p>
        </w:tc>
        <w:tc>
          <w:tcPr>
            <w:tcW w:w="557" w:type="pct"/>
            <w:shd w:val="clear" w:color="auto" w:fill="auto"/>
            <w:vAlign w:val="center"/>
          </w:tcPr>
          <w:p w14:paraId="0C57FF89" w14:textId="77777777" w:rsidR="00AA5A06" w:rsidRPr="000769C3" w:rsidRDefault="00AA5A06" w:rsidP="00546503">
            <w:pPr>
              <w:jc w:val="right"/>
              <w:rPr>
                <w:sz w:val="20"/>
                <w:szCs w:val="20"/>
              </w:rPr>
            </w:pPr>
            <w:r w:rsidRPr="000769C3">
              <w:rPr>
                <w:sz w:val="20"/>
                <w:szCs w:val="20"/>
              </w:rPr>
              <w:t>2.16</w:t>
            </w:r>
          </w:p>
        </w:tc>
        <w:tc>
          <w:tcPr>
            <w:tcW w:w="645" w:type="pct"/>
            <w:shd w:val="clear" w:color="auto" w:fill="auto"/>
            <w:vAlign w:val="center"/>
          </w:tcPr>
          <w:p w14:paraId="26F2DBB3" w14:textId="77777777" w:rsidR="00AA5A06" w:rsidRPr="000769C3" w:rsidRDefault="00AA5A06" w:rsidP="00546503">
            <w:pPr>
              <w:jc w:val="right"/>
              <w:rPr>
                <w:sz w:val="20"/>
                <w:szCs w:val="20"/>
              </w:rPr>
            </w:pPr>
            <w:r w:rsidRPr="000769C3">
              <w:rPr>
                <w:sz w:val="20"/>
                <w:szCs w:val="20"/>
              </w:rPr>
              <w:t>2.64</w:t>
            </w:r>
          </w:p>
        </w:tc>
        <w:tc>
          <w:tcPr>
            <w:tcW w:w="576" w:type="pct"/>
            <w:shd w:val="clear" w:color="auto" w:fill="auto"/>
            <w:vAlign w:val="center"/>
          </w:tcPr>
          <w:p w14:paraId="4DE32CF5" w14:textId="77777777" w:rsidR="00AA5A06" w:rsidRPr="000769C3" w:rsidRDefault="00AA5A06" w:rsidP="00546503">
            <w:pPr>
              <w:jc w:val="right"/>
              <w:rPr>
                <w:sz w:val="20"/>
                <w:szCs w:val="20"/>
              </w:rPr>
            </w:pPr>
            <w:r w:rsidRPr="000769C3">
              <w:rPr>
                <w:sz w:val="20"/>
                <w:szCs w:val="20"/>
              </w:rPr>
              <w:t>0.01</w:t>
            </w:r>
          </w:p>
        </w:tc>
      </w:tr>
      <w:tr w:rsidR="00AA5A06" w:rsidRPr="000769C3" w14:paraId="45906E22" w14:textId="77777777" w:rsidTr="00546503">
        <w:trPr>
          <w:trHeight w:val="54"/>
        </w:trPr>
        <w:tc>
          <w:tcPr>
            <w:tcW w:w="832" w:type="pct"/>
            <w:shd w:val="clear" w:color="auto" w:fill="auto"/>
            <w:vAlign w:val="center"/>
          </w:tcPr>
          <w:p w14:paraId="085723F1" w14:textId="77777777" w:rsidR="00AA5A06" w:rsidRPr="000769C3" w:rsidRDefault="00AA5A06" w:rsidP="00546503">
            <w:pPr>
              <w:jc w:val="left"/>
              <w:rPr>
                <w:sz w:val="20"/>
                <w:szCs w:val="20"/>
              </w:rPr>
            </w:pPr>
            <w:r w:rsidRPr="000769C3">
              <w:rPr>
                <w:sz w:val="20"/>
                <w:szCs w:val="20"/>
              </w:rPr>
              <w:t>HFC</w:t>
            </w:r>
            <w:r>
              <w:rPr>
                <w:sz w:val="20"/>
                <w:szCs w:val="20"/>
              </w:rPr>
              <w:t>s</w:t>
            </w:r>
            <w:r w:rsidRPr="000769C3">
              <w:rPr>
                <w:sz w:val="20"/>
                <w:szCs w:val="20"/>
              </w:rPr>
              <w:t xml:space="preserve"> or HFO</w:t>
            </w:r>
            <w:r>
              <w:rPr>
                <w:sz w:val="20"/>
                <w:szCs w:val="20"/>
              </w:rPr>
              <w:t>s</w:t>
            </w:r>
          </w:p>
        </w:tc>
        <w:tc>
          <w:tcPr>
            <w:tcW w:w="534" w:type="pct"/>
            <w:shd w:val="clear" w:color="auto" w:fill="auto"/>
            <w:vAlign w:val="center"/>
          </w:tcPr>
          <w:p w14:paraId="120A7E97" w14:textId="77777777" w:rsidR="00AA5A06" w:rsidRPr="000769C3" w:rsidRDefault="00AA5A06" w:rsidP="00546503">
            <w:pPr>
              <w:jc w:val="right"/>
              <w:rPr>
                <w:sz w:val="20"/>
                <w:szCs w:val="20"/>
              </w:rPr>
            </w:pPr>
            <w:r w:rsidRPr="000769C3">
              <w:rPr>
                <w:sz w:val="20"/>
                <w:szCs w:val="20"/>
              </w:rPr>
              <w:t>0.07</w:t>
            </w:r>
          </w:p>
        </w:tc>
        <w:tc>
          <w:tcPr>
            <w:tcW w:w="556" w:type="pct"/>
            <w:shd w:val="clear" w:color="auto" w:fill="auto"/>
            <w:vAlign w:val="center"/>
          </w:tcPr>
          <w:p w14:paraId="37A71683" w14:textId="77777777" w:rsidR="00AA5A06" w:rsidRPr="000769C3" w:rsidRDefault="00AA5A06" w:rsidP="00546503">
            <w:pPr>
              <w:jc w:val="right"/>
              <w:rPr>
                <w:sz w:val="20"/>
                <w:szCs w:val="20"/>
              </w:rPr>
            </w:pPr>
            <w:r w:rsidRPr="000769C3">
              <w:rPr>
                <w:sz w:val="20"/>
                <w:szCs w:val="20"/>
              </w:rPr>
              <w:t>6.03</w:t>
            </w:r>
          </w:p>
        </w:tc>
        <w:tc>
          <w:tcPr>
            <w:tcW w:w="674" w:type="pct"/>
            <w:shd w:val="clear" w:color="auto" w:fill="auto"/>
            <w:vAlign w:val="center"/>
          </w:tcPr>
          <w:p w14:paraId="20176726" w14:textId="77777777" w:rsidR="00AA5A06" w:rsidRPr="000769C3" w:rsidRDefault="00AA5A06" w:rsidP="00546503">
            <w:pPr>
              <w:jc w:val="right"/>
              <w:rPr>
                <w:sz w:val="20"/>
                <w:szCs w:val="20"/>
              </w:rPr>
            </w:pPr>
            <w:r w:rsidRPr="000769C3">
              <w:rPr>
                <w:sz w:val="20"/>
                <w:szCs w:val="20"/>
              </w:rPr>
              <w:t>0.41</w:t>
            </w:r>
          </w:p>
        </w:tc>
        <w:tc>
          <w:tcPr>
            <w:tcW w:w="626" w:type="pct"/>
            <w:shd w:val="clear" w:color="auto" w:fill="auto"/>
            <w:vAlign w:val="center"/>
          </w:tcPr>
          <w:p w14:paraId="3CDCE230" w14:textId="77777777" w:rsidR="00AA5A06" w:rsidRPr="000769C3" w:rsidRDefault="00AA5A06" w:rsidP="00546503">
            <w:pPr>
              <w:jc w:val="right"/>
              <w:rPr>
                <w:sz w:val="20"/>
                <w:szCs w:val="20"/>
              </w:rPr>
            </w:pPr>
            <w:r w:rsidRPr="000769C3">
              <w:rPr>
                <w:sz w:val="20"/>
                <w:szCs w:val="20"/>
              </w:rPr>
              <w:t>0.07</w:t>
            </w:r>
          </w:p>
        </w:tc>
        <w:tc>
          <w:tcPr>
            <w:tcW w:w="557" w:type="pct"/>
            <w:shd w:val="clear" w:color="auto" w:fill="auto"/>
            <w:vAlign w:val="center"/>
          </w:tcPr>
          <w:p w14:paraId="00DE2CEC" w14:textId="77777777" w:rsidR="00AA5A06" w:rsidRPr="000769C3" w:rsidRDefault="00AA5A06" w:rsidP="00546503">
            <w:pPr>
              <w:jc w:val="right"/>
              <w:rPr>
                <w:sz w:val="20"/>
                <w:szCs w:val="20"/>
              </w:rPr>
            </w:pPr>
            <w:r w:rsidRPr="000769C3">
              <w:rPr>
                <w:sz w:val="20"/>
                <w:szCs w:val="20"/>
              </w:rPr>
              <w:t>8.92</w:t>
            </w:r>
          </w:p>
        </w:tc>
        <w:tc>
          <w:tcPr>
            <w:tcW w:w="645" w:type="pct"/>
            <w:shd w:val="clear" w:color="auto" w:fill="auto"/>
            <w:vAlign w:val="center"/>
          </w:tcPr>
          <w:p w14:paraId="666E1946" w14:textId="77777777" w:rsidR="00AA5A06" w:rsidRPr="000769C3" w:rsidRDefault="00AA5A06" w:rsidP="00546503">
            <w:pPr>
              <w:jc w:val="right"/>
              <w:rPr>
                <w:sz w:val="20"/>
                <w:szCs w:val="20"/>
              </w:rPr>
            </w:pPr>
            <w:r w:rsidRPr="000769C3">
              <w:rPr>
                <w:sz w:val="20"/>
                <w:szCs w:val="20"/>
              </w:rPr>
              <w:t>0.60</w:t>
            </w:r>
          </w:p>
        </w:tc>
        <w:tc>
          <w:tcPr>
            <w:tcW w:w="576" w:type="pct"/>
            <w:shd w:val="clear" w:color="auto" w:fill="auto"/>
            <w:vAlign w:val="center"/>
          </w:tcPr>
          <w:p w14:paraId="28CC6D78" w14:textId="77777777" w:rsidR="00AA5A06" w:rsidRPr="000769C3" w:rsidRDefault="00AA5A06" w:rsidP="00546503">
            <w:pPr>
              <w:jc w:val="right"/>
              <w:rPr>
                <w:sz w:val="20"/>
                <w:szCs w:val="20"/>
              </w:rPr>
            </w:pPr>
            <w:r w:rsidRPr="000769C3">
              <w:rPr>
                <w:sz w:val="20"/>
                <w:szCs w:val="20"/>
              </w:rPr>
              <w:t>0.19</w:t>
            </w:r>
          </w:p>
        </w:tc>
      </w:tr>
      <w:tr w:rsidR="00AA5A06" w:rsidRPr="000769C3" w14:paraId="0F1260DE" w14:textId="77777777" w:rsidTr="00546503">
        <w:trPr>
          <w:trHeight w:val="54"/>
        </w:trPr>
        <w:tc>
          <w:tcPr>
            <w:tcW w:w="832" w:type="pct"/>
            <w:shd w:val="clear" w:color="auto" w:fill="auto"/>
            <w:vAlign w:val="center"/>
          </w:tcPr>
          <w:p w14:paraId="50DDEA83" w14:textId="77777777" w:rsidR="00AA5A06" w:rsidRPr="000769C3" w:rsidRDefault="00AA5A06" w:rsidP="00546503">
            <w:pPr>
              <w:jc w:val="left"/>
              <w:rPr>
                <w:sz w:val="20"/>
                <w:szCs w:val="20"/>
              </w:rPr>
            </w:pPr>
            <w:r w:rsidRPr="000769C3">
              <w:rPr>
                <w:sz w:val="20"/>
                <w:szCs w:val="20"/>
              </w:rPr>
              <w:t>C5</w:t>
            </w:r>
          </w:p>
        </w:tc>
        <w:tc>
          <w:tcPr>
            <w:tcW w:w="534" w:type="pct"/>
            <w:shd w:val="clear" w:color="auto" w:fill="auto"/>
            <w:vAlign w:val="center"/>
          </w:tcPr>
          <w:p w14:paraId="6C7A8D76" w14:textId="77777777" w:rsidR="00AA5A06" w:rsidRPr="000769C3" w:rsidRDefault="00AA5A06" w:rsidP="00546503">
            <w:pPr>
              <w:jc w:val="right"/>
              <w:rPr>
                <w:sz w:val="20"/>
                <w:szCs w:val="20"/>
              </w:rPr>
            </w:pPr>
            <w:r w:rsidRPr="000769C3">
              <w:rPr>
                <w:sz w:val="20"/>
                <w:szCs w:val="20"/>
              </w:rPr>
              <w:t>0.14</w:t>
            </w:r>
          </w:p>
        </w:tc>
        <w:tc>
          <w:tcPr>
            <w:tcW w:w="556" w:type="pct"/>
            <w:shd w:val="clear" w:color="auto" w:fill="auto"/>
            <w:vAlign w:val="center"/>
          </w:tcPr>
          <w:p w14:paraId="3491DAF5" w14:textId="77777777" w:rsidR="00AA5A06" w:rsidRPr="000769C3" w:rsidRDefault="00AA5A06" w:rsidP="00546503">
            <w:pPr>
              <w:jc w:val="right"/>
              <w:rPr>
                <w:sz w:val="20"/>
                <w:szCs w:val="20"/>
              </w:rPr>
            </w:pPr>
            <w:r w:rsidRPr="000769C3">
              <w:rPr>
                <w:sz w:val="20"/>
                <w:szCs w:val="20"/>
              </w:rPr>
              <w:t>1.51</w:t>
            </w:r>
          </w:p>
        </w:tc>
        <w:tc>
          <w:tcPr>
            <w:tcW w:w="674" w:type="pct"/>
            <w:shd w:val="clear" w:color="auto" w:fill="auto"/>
            <w:vAlign w:val="center"/>
          </w:tcPr>
          <w:p w14:paraId="5A89C2D7" w14:textId="77777777" w:rsidR="00AA5A06" w:rsidRPr="000769C3" w:rsidRDefault="00AA5A06" w:rsidP="00546503">
            <w:pPr>
              <w:jc w:val="right"/>
              <w:rPr>
                <w:sz w:val="20"/>
                <w:szCs w:val="20"/>
              </w:rPr>
            </w:pPr>
            <w:r w:rsidRPr="000769C3">
              <w:rPr>
                <w:sz w:val="20"/>
                <w:szCs w:val="20"/>
              </w:rPr>
              <w:t>0.21</w:t>
            </w:r>
          </w:p>
        </w:tc>
        <w:tc>
          <w:tcPr>
            <w:tcW w:w="626" w:type="pct"/>
            <w:shd w:val="clear" w:color="auto" w:fill="auto"/>
            <w:vAlign w:val="center"/>
          </w:tcPr>
          <w:p w14:paraId="7204AA23" w14:textId="77777777" w:rsidR="00AA5A06" w:rsidRPr="000769C3" w:rsidRDefault="00AA5A06" w:rsidP="00546503">
            <w:pPr>
              <w:jc w:val="right"/>
              <w:rPr>
                <w:sz w:val="20"/>
                <w:szCs w:val="20"/>
              </w:rPr>
            </w:pPr>
            <w:r w:rsidRPr="000769C3">
              <w:rPr>
                <w:sz w:val="20"/>
                <w:szCs w:val="20"/>
              </w:rPr>
              <w:t>0.15</w:t>
            </w:r>
          </w:p>
        </w:tc>
        <w:tc>
          <w:tcPr>
            <w:tcW w:w="557" w:type="pct"/>
            <w:shd w:val="clear" w:color="auto" w:fill="auto"/>
            <w:vAlign w:val="center"/>
          </w:tcPr>
          <w:p w14:paraId="38000078" w14:textId="77777777" w:rsidR="00AA5A06" w:rsidRPr="000769C3" w:rsidRDefault="00AA5A06" w:rsidP="00546503">
            <w:pPr>
              <w:jc w:val="right"/>
              <w:rPr>
                <w:sz w:val="20"/>
                <w:szCs w:val="20"/>
              </w:rPr>
            </w:pPr>
            <w:r w:rsidRPr="000769C3">
              <w:rPr>
                <w:sz w:val="20"/>
                <w:szCs w:val="20"/>
              </w:rPr>
              <w:t>1.51</w:t>
            </w:r>
          </w:p>
        </w:tc>
        <w:tc>
          <w:tcPr>
            <w:tcW w:w="645" w:type="pct"/>
            <w:shd w:val="clear" w:color="auto" w:fill="auto"/>
            <w:vAlign w:val="center"/>
          </w:tcPr>
          <w:p w14:paraId="731EC9E4" w14:textId="77777777" w:rsidR="00AA5A06" w:rsidRPr="000769C3" w:rsidRDefault="00AA5A06" w:rsidP="00546503">
            <w:pPr>
              <w:jc w:val="right"/>
              <w:rPr>
                <w:sz w:val="20"/>
                <w:szCs w:val="20"/>
              </w:rPr>
            </w:pPr>
            <w:r w:rsidRPr="000769C3">
              <w:rPr>
                <w:sz w:val="20"/>
                <w:szCs w:val="20"/>
              </w:rPr>
              <w:t>0.22</w:t>
            </w:r>
          </w:p>
        </w:tc>
        <w:tc>
          <w:tcPr>
            <w:tcW w:w="576" w:type="pct"/>
            <w:shd w:val="clear" w:color="auto" w:fill="auto"/>
            <w:vAlign w:val="center"/>
          </w:tcPr>
          <w:p w14:paraId="7F3428E9" w14:textId="77777777" w:rsidR="00AA5A06" w:rsidRPr="000769C3" w:rsidRDefault="00AA5A06" w:rsidP="00546503">
            <w:pPr>
              <w:jc w:val="right"/>
              <w:rPr>
                <w:sz w:val="20"/>
                <w:szCs w:val="20"/>
              </w:rPr>
            </w:pPr>
            <w:r w:rsidRPr="000769C3">
              <w:rPr>
                <w:sz w:val="20"/>
                <w:szCs w:val="20"/>
              </w:rPr>
              <w:t>0.01</w:t>
            </w:r>
          </w:p>
        </w:tc>
      </w:tr>
      <w:tr w:rsidR="00AA5A06" w:rsidRPr="000769C3" w14:paraId="5BB17455" w14:textId="77777777" w:rsidTr="00546503">
        <w:trPr>
          <w:trHeight w:val="233"/>
        </w:trPr>
        <w:tc>
          <w:tcPr>
            <w:tcW w:w="832" w:type="pct"/>
            <w:shd w:val="clear" w:color="auto" w:fill="auto"/>
            <w:vAlign w:val="center"/>
          </w:tcPr>
          <w:p w14:paraId="4F1ADF9E" w14:textId="77777777" w:rsidR="00AA5A06" w:rsidRPr="001B1B50" w:rsidRDefault="00AA5A06" w:rsidP="00546503">
            <w:pPr>
              <w:jc w:val="left"/>
              <w:rPr>
                <w:sz w:val="20"/>
                <w:szCs w:val="20"/>
              </w:rPr>
            </w:pPr>
            <w:r w:rsidRPr="001B1B50">
              <w:rPr>
                <w:sz w:val="20"/>
                <w:szCs w:val="20"/>
              </w:rPr>
              <w:t>MDI</w:t>
            </w:r>
          </w:p>
        </w:tc>
        <w:tc>
          <w:tcPr>
            <w:tcW w:w="534" w:type="pct"/>
            <w:shd w:val="clear" w:color="auto" w:fill="auto"/>
            <w:vAlign w:val="center"/>
          </w:tcPr>
          <w:p w14:paraId="5501885D" w14:textId="77777777" w:rsidR="00AA5A06" w:rsidRPr="000769C3" w:rsidRDefault="00AA5A06" w:rsidP="00546503">
            <w:pPr>
              <w:jc w:val="right"/>
              <w:rPr>
                <w:sz w:val="20"/>
                <w:szCs w:val="20"/>
              </w:rPr>
            </w:pPr>
            <w:r w:rsidRPr="000769C3">
              <w:rPr>
                <w:sz w:val="20"/>
                <w:szCs w:val="20"/>
              </w:rPr>
              <w:t>1.72</w:t>
            </w:r>
          </w:p>
        </w:tc>
        <w:tc>
          <w:tcPr>
            <w:tcW w:w="556" w:type="pct"/>
            <w:shd w:val="clear" w:color="auto" w:fill="auto"/>
            <w:vAlign w:val="center"/>
          </w:tcPr>
          <w:p w14:paraId="36D93B11" w14:textId="77777777" w:rsidR="00AA5A06" w:rsidRPr="000769C3" w:rsidRDefault="00AA5A06" w:rsidP="00546503">
            <w:pPr>
              <w:jc w:val="right"/>
              <w:rPr>
                <w:sz w:val="20"/>
                <w:szCs w:val="20"/>
              </w:rPr>
            </w:pPr>
            <w:r w:rsidRPr="000769C3">
              <w:rPr>
                <w:sz w:val="20"/>
                <w:szCs w:val="20"/>
              </w:rPr>
              <w:t>3.97</w:t>
            </w:r>
          </w:p>
        </w:tc>
        <w:tc>
          <w:tcPr>
            <w:tcW w:w="674" w:type="pct"/>
            <w:shd w:val="clear" w:color="auto" w:fill="auto"/>
            <w:vAlign w:val="center"/>
          </w:tcPr>
          <w:p w14:paraId="46BBC880" w14:textId="77777777" w:rsidR="00AA5A06" w:rsidRPr="000769C3" w:rsidRDefault="00AA5A06" w:rsidP="00546503">
            <w:pPr>
              <w:jc w:val="right"/>
              <w:rPr>
                <w:sz w:val="20"/>
                <w:szCs w:val="20"/>
              </w:rPr>
            </w:pPr>
            <w:r w:rsidRPr="000769C3">
              <w:rPr>
                <w:sz w:val="20"/>
                <w:szCs w:val="20"/>
              </w:rPr>
              <w:t>6.82</w:t>
            </w:r>
          </w:p>
        </w:tc>
        <w:tc>
          <w:tcPr>
            <w:tcW w:w="626" w:type="pct"/>
            <w:shd w:val="clear" w:color="auto" w:fill="auto"/>
            <w:vAlign w:val="center"/>
          </w:tcPr>
          <w:p w14:paraId="2D07C1B9" w14:textId="77777777" w:rsidR="00AA5A06" w:rsidRPr="000769C3" w:rsidRDefault="00AA5A06" w:rsidP="00546503">
            <w:pPr>
              <w:jc w:val="right"/>
              <w:rPr>
                <w:sz w:val="20"/>
                <w:szCs w:val="20"/>
              </w:rPr>
            </w:pPr>
            <w:r w:rsidRPr="000769C3">
              <w:rPr>
                <w:sz w:val="20"/>
                <w:szCs w:val="20"/>
              </w:rPr>
              <w:t>1.72</w:t>
            </w:r>
          </w:p>
        </w:tc>
        <w:tc>
          <w:tcPr>
            <w:tcW w:w="557" w:type="pct"/>
            <w:shd w:val="clear" w:color="auto" w:fill="auto"/>
            <w:vAlign w:val="center"/>
          </w:tcPr>
          <w:p w14:paraId="1D9FAD47" w14:textId="77777777" w:rsidR="00AA5A06" w:rsidRPr="000769C3" w:rsidRDefault="00AA5A06" w:rsidP="00546503">
            <w:pPr>
              <w:jc w:val="right"/>
              <w:rPr>
                <w:sz w:val="20"/>
                <w:szCs w:val="20"/>
              </w:rPr>
            </w:pPr>
            <w:r w:rsidRPr="000769C3">
              <w:rPr>
                <w:sz w:val="20"/>
                <w:szCs w:val="20"/>
              </w:rPr>
              <w:t>3.97</w:t>
            </w:r>
          </w:p>
        </w:tc>
        <w:tc>
          <w:tcPr>
            <w:tcW w:w="645" w:type="pct"/>
            <w:shd w:val="clear" w:color="auto" w:fill="auto"/>
            <w:vAlign w:val="center"/>
          </w:tcPr>
          <w:p w14:paraId="11C732D2" w14:textId="77777777" w:rsidR="00AA5A06" w:rsidRPr="000769C3" w:rsidRDefault="00AA5A06" w:rsidP="00546503">
            <w:pPr>
              <w:jc w:val="right"/>
              <w:rPr>
                <w:sz w:val="20"/>
                <w:szCs w:val="20"/>
              </w:rPr>
            </w:pPr>
            <w:r w:rsidRPr="000769C3">
              <w:rPr>
                <w:sz w:val="20"/>
                <w:szCs w:val="20"/>
              </w:rPr>
              <w:t>6.82</w:t>
            </w:r>
          </w:p>
        </w:tc>
        <w:tc>
          <w:tcPr>
            <w:tcW w:w="576" w:type="pct"/>
            <w:shd w:val="clear" w:color="auto" w:fill="auto"/>
            <w:vAlign w:val="center"/>
          </w:tcPr>
          <w:p w14:paraId="21F55458" w14:textId="77777777" w:rsidR="00AA5A06" w:rsidRPr="000769C3" w:rsidRDefault="00AA5A06" w:rsidP="00546503">
            <w:pPr>
              <w:jc w:val="right"/>
              <w:rPr>
                <w:sz w:val="20"/>
                <w:szCs w:val="20"/>
              </w:rPr>
            </w:pPr>
            <w:r w:rsidRPr="000769C3">
              <w:rPr>
                <w:sz w:val="20"/>
                <w:szCs w:val="20"/>
              </w:rPr>
              <w:t>0.00</w:t>
            </w:r>
          </w:p>
        </w:tc>
      </w:tr>
      <w:tr w:rsidR="00AA5A06" w:rsidRPr="000769C3" w14:paraId="0C5DDCF3" w14:textId="77777777" w:rsidTr="00546503">
        <w:tc>
          <w:tcPr>
            <w:tcW w:w="1922" w:type="pct"/>
            <w:gridSpan w:val="3"/>
            <w:shd w:val="clear" w:color="auto" w:fill="auto"/>
            <w:vAlign w:val="center"/>
          </w:tcPr>
          <w:p w14:paraId="41C8BBD8" w14:textId="77777777" w:rsidR="00AA5A06" w:rsidRPr="000769C3" w:rsidRDefault="00AA5A06" w:rsidP="00546503">
            <w:pPr>
              <w:jc w:val="left"/>
              <w:rPr>
                <w:sz w:val="20"/>
                <w:szCs w:val="20"/>
              </w:rPr>
            </w:pPr>
            <w:r w:rsidRPr="000769C3">
              <w:rPr>
                <w:sz w:val="20"/>
                <w:szCs w:val="20"/>
              </w:rPr>
              <w:t>Cost per unit (</w:t>
            </w:r>
            <w:r>
              <w:rPr>
                <w:sz w:val="20"/>
                <w:szCs w:val="20"/>
              </w:rPr>
              <w:t>US $</w:t>
            </w:r>
            <w:r w:rsidRPr="000769C3">
              <w:rPr>
                <w:sz w:val="20"/>
                <w:szCs w:val="20"/>
              </w:rPr>
              <w:t>)</w:t>
            </w:r>
          </w:p>
        </w:tc>
        <w:tc>
          <w:tcPr>
            <w:tcW w:w="674" w:type="pct"/>
            <w:shd w:val="clear" w:color="auto" w:fill="auto"/>
            <w:vAlign w:val="center"/>
          </w:tcPr>
          <w:p w14:paraId="4CDB1493" w14:textId="77777777" w:rsidR="00AA5A06" w:rsidRPr="000769C3" w:rsidRDefault="00AA5A06" w:rsidP="00546503">
            <w:pPr>
              <w:jc w:val="right"/>
              <w:rPr>
                <w:sz w:val="20"/>
                <w:szCs w:val="20"/>
              </w:rPr>
            </w:pPr>
            <w:r w:rsidRPr="000769C3">
              <w:rPr>
                <w:sz w:val="20"/>
                <w:szCs w:val="20"/>
              </w:rPr>
              <w:t>33.08</w:t>
            </w:r>
          </w:p>
        </w:tc>
        <w:tc>
          <w:tcPr>
            <w:tcW w:w="1183" w:type="pct"/>
            <w:gridSpan w:val="2"/>
            <w:shd w:val="clear" w:color="auto" w:fill="auto"/>
            <w:vAlign w:val="center"/>
          </w:tcPr>
          <w:p w14:paraId="0BB133B5" w14:textId="77777777" w:rsidR="00AA5A06" w:rsidRPr="000769C3" w:rsidRDefault="00AA5A06" w:rsidP="00546503">
            <w:pPr>
              <w:jc w:val="right"/>
              <w:rPr>
                <w:sz w:val="20"/>
                <w:szCs w:val="20"/>
              </w:rPr>
            </w:pPr>
          </w:p>
        </w:tc>
        <w:tc>
          <w:tcPr>
            <w:tcW w:w="645" w:type="pct"/>
            <w:shd w:val="clear" w:color="auto" w:fill="auto"/>
            <w:vAlign w:val="center"/>
          </w:tcPr>
          <w:p w14:paraId="2819543D" w14:textId="77777777" w:rsidR="00AA5A06" w:rsidRPr="000769C3" w:rsidRDefault="00AA5A06" w:rsidP="00546503">
            <w:pPr>
              <w:jc w:val="right"/>
              <w:rPr>
                <w:sz w:val="20"/>
                <w:szCs w:val="20"/>
              </w:rPr>
            </w:pPr>
            <w:r w:rsidRPr="000769C3">
              <w:rPr>
                <w:sz w:val="20"/>
                <w:szCs w:val="20"/>
              </w:rPr>
              <w:t>34.64</w:t>
            </w:r>
          </w:p>
        </w:tc>
        <w:tc>
          <w:tcPr>
            <w:tcW w:w="576" w:type="pct"/>
            <w:shd w:val="clear" w:color="auto" w:fill="auto"/>
            <w:vAlign w:val="center"/>
          </w:tcPr>
          <w:p w14:paraId="6EC16573" w14:textId="77777777" w:rsidR="00AA5A06" w:rsidRPr="000769C3" w:rsidRDefault="00AA5A06" w:rsidP="00546503">
            <w:pPr>
              <w:jc w:val="right"/>
              <w:rPr>
                <w:sz w:val="20"/>
                <w:szCs w:val="20"/>
              </w:rPr>
            </w:pPr>
            <w:r w:rsidRPr="000769C3">
              <w:rPr>
                <w:sz w:val="20"/>
                <w:szCs w:val="20"/>
              </w:rPr>
              <w:t>1.56</w:t>
            </w:r>
          </w:p>
        </w:tc>
      </w:tr>
      <w:tr w:rsidR="00AA5A06" w:rsidRPr="000769C3" w14:paraId="38835300" w14:textId="77777777" w:rsidTr="00546503">
        <w:tc>
          <w:tcPr>
            <w:tcW w:w="4424" w:type="pct"/>
            <w:gridSpan w:val="7"/>
            <w:shd w:val="clear" w:color="auto" w:fill="auto"/>
          </w:tcPr>
          <w:p w14:paraId="07F2069C" w14:textId="77777777" w:rsidR="00AA5A06" w:rsidRPr="000769C3" w:rsidRDefault="00AA5A06" w:rsidP="00546503">
            <w:pPr>
              <w:jc w:val="left"/>
              <w:rPr>
                <w:sz w:val="20"/>
                <w:szCs w:val="20"/>
              </w:rPr>
            </w:pPr>
            <w:r w:rsidRPr="000769C3">
              <w:rPr>
                <w:sz w:val="20"/>
                <w:szCs w:val="20"/>
              </w:rPr>
              <w:t>HFC-245fa consumption per sample unit (kg)</w:t>
            </w:r>
          </w:p>
        </w:tc>
        <w:tc>
          <w:tcPr>
            <w:tcW w:w="576" w:type="pct"/>
            <w:shd w:val="clear" w:color="auto" w:fill="auto"/>
            <w:vAlign w:val="center"/>
          </w:tcPr>
          <w:p w14:paraId="6AF44837" w14:textId="77777777" w:rsidR="00AA5A06" w:rsidRPr="000769C3" w:rsidRDefault="00AA5A06" w:rsidP="00546503">
            <w:pPr>
              <w:jc w:val="right"/>
              <w:rPr>
                <w:sz w:val="20"/>
                <w:szCs w:val="20"/>
              </w:rPr>
            </w:pPr>
            <w:r w:rsidRPr="000769C3">
              <w:rPr>
                <w:sz w:val="20"/>
                <w:szCs w:val="20"/>
              </w:rPr>
              <w:t>0.26</w:t>
            </w:r>
          </w:p>
        </w:tc>
      </w:tr>
      <w:tr w:rsidR="00AA5A06" w:rsidRPr="000769C3" w14:paraId="27462881" w14:textId="77777777" w:rsidTr="00546503">
        <w:tc>
          <w:tcPr>
            <w:tcW w:w="4424" w:type="pct"/>
            <w:gridSpan w:val="7"/>
            <w:shd w:val="clear" w:color="auto" w:fill="auto"/>
          </w:tcPr>
          <w:p w14:paraId="21140BEE" w14:textId="77777777" w:rsidR="00AA5A06" w:rsidRPr="000769C3" w:rsidRDefault="00AA5A06" w:rsidP="00546503">
            <w:pPr>
              <w:jc w:val="left"/>
              <w:rPr>
                <w:sz w:val="20"/>
                <w:szCs w:val="20"/>
              </w:rPr>
            </w:pPr>
            <w:r>
              <w:rPr>
                <w:sz w:val="20"/>
                <w:szCs w:val="20"/>
              </w:rPr>
              <w:t xml:space="preserve">IOCs </w:t>
            </w:r>
            <w:r w:rsidRPr="000769C3">
              <w:rPr>
                <w:sz w:val="20"/>
                <w:szCs w:val="20"/>
              </w:rPr>
              <w:t>per kg (</w:t>
            </w:r>
            <w:r>
              <w:rPr>
                <w:sz w:val="20"/>
                <w:szCs w:val="20"/>
              </w:rPr>
              <w:t>US $</w:t>
            </w:r>
            <w:r w:rsidRPr="000769C3">
              <w:rPr>
                <w:sz w:val="20"/>
                <w:szCs w:val="20"/>
              </w:rPr>
              <w:t>/kg)</w:t>
            </w:r>
          </w:p>
        </w:tc>
        <w:tc>
          <w:tcPr>
            <w:tcW w:w="576" w:type="pct"/>
            <w:shd w:val="clear" w:color="auto" w:fill="auto"/>
            <w:vAlign w:val="center"/>
          </w:tcPr>
          <w:p w14:paraId="191A76A4" w14:textId="77777777" w:rsidR="00AA5A06" w:rsidRPr="000769C3" w:rsidRDefault="00AA5A06" w:rsidP="00546503">
            <w:pPr>
              <w:jc w:val="right"/>
              <w:rPr>
                <w:sz w:val="20"/>
                <w:szCs w:val="20"/>
              </w:rPr>
            </w:pPr>
            <w:r w:rsidRPr="000769C3">
              <w:rPr>
                <w:sz w:val="20"/>
                <w:szCs w:val="20"/>
              </w:rPr>
              <w:t>6.00</w:t>
            </w:r>
          </w:p>
        </w:tc>
      </w:tr>
      <w:tr w:rsidR="00AA5A06" w:rsidRPr="000769C3" w14:paraId="31BF4E34" w14:textId="77777777" w:rsidTr="00546503">
        <w:tc>
          <w:tcPr>
            <w:tcW w:w="4424" w:type="pct"/>
            <w:gridSpan w:val="7"/>
            <w:shd w:val="clear" w:color="auto" w:fill="auto"/>
          </w:tcPr>
          <w:p w14:paraId="498C95CF" w14:textId="77777777" w:rsidR="00AA5A06" w:rsidRPr="000769C3" w:rsidRDefault="00AA5A06" w:rsidP="00546503">
            <w:pPr>
              <w:jc w:val="left"/>
              <w:rPr>
                <w:sz w:val="20"/>
                <w:szCs w:val="20"/>
              </w:rPr>
            </w:pPr>
            <w:r w:rsidRPr="000769C3">
              <w:rPr>
                <w:sz w:val="20"/>
                <w:szCs w:val="20"/>
              </w:rPr>
              <w:t>Baseline HFC-245fa consumption (kg)</w:t>
            </w:r>
          </w:p>
        </w:tc>
        <w:tc>
          <w:tcPr>
            <w:tcW w:w="576" w:type="pct"/>
            <w:shd w:val="clear" w:color="auto" w:fill="auto"/>
            <w:vAlign w:val="center"/>
          </w:tcPr>
          <w:p w14:paraId="315C01D6" w14:textId="77777777" w:rsidR="00AA5A06" w:rsidRPr="000769C3" w:rsidRDefault="00AA5A06" w:rsidP="00546503">
            <w:pPr>
              <w:jc w:val="right"/>
              <w:rPr>
                <w:sz w:val="20"/>
                <w:szCs w:val="20"/>
              </w:rPr>
            </w:pPr>
            <w:r w:rsidRPr="000769C3">
              <w:rPr>
                <w:sz w:val="20"/>
                <w:szCs w:val="20"/>
              </w:rPr>
              <w:t>250,000</w:t>
            </w:r>
          </w:p>
        </w:tc>
      </w:tr>
      <w:tr w:rsidR="00AA5A06" w:rsidRPr="000769C3" w14:paraId="05C88DB9" w14:textId="77777777" w:rsidTr="00546503">
        <w:tc>
          <w:tcPr>
            <w:tcW w:w="4424" w:type="pct"/>
            <w:gridSpan w:val="7"/>
            <w:shd w:val="clear" w:color="auto" w:fill="auto"/>
          </w:tcPr>
          <w:p w14:paraId="1327E41B" w14:textId="77777777" w:rsidR="00AA5A06" w:rsidRPr="000769C3" w:rsidRDefault="00AA5A06" w:rsidP="00546503">
            <w:pPr>
              <w:jc w:val="left"/>
              <w:rPr>
                <w:b/>
                <w:sz w:val="20"/>
                <w:szCs w:val="20"/>
              </w:rPr>
            </w:pPr>
            <w:r w:rsidRPr="000769C3">
              <w:rPr>
                <w:b/>
                <w:sz w:val="20"/>
                <w:szCs w:val="20"/>
              </w:rPr>
              <w:t>IOC</w:t>
            </w:r>
            <w:r>
              <w:rPr>
                <w:b/>
                <w:sz w:val="20"/>
                <w:szCs w:val="20"/>
              </w:rPr>
              <w:t>s</w:t>
            </w:r>
            <w:r w:rsidRPr="000769C3">
              <w:rPr>
                <w:b/>
                <w:sz w:val="20"/>
                <w:szCs w:val="20"/>
              </w:rPr>
              <w:t xml:space="preserve"> (</w:t>
            </w:r>
            <w:r>
              <w:rPr>
                <w:b/>
                <w:sz w:val="20"/>
                <w:szCs w:val="20"/>
              </w:rPr>
              <w:t>US $</w:t>
            </w:r>
            <w:r w:rsidRPr="000769C3">
              <w:rPr>
                <w:b/>
                <w:sz w:val="20"/>
                <w:szCs w:val="20"/>
              </w:rPr>
              <w:t>)</w:t>
            </w:r>
          </w:p>
        </w:tc>
        <w:tc>
          <w:tcPr>
            <w:tcW w:w="576" w:type="pct"/>
            <w:shd w:val="clear" w:color="auto" w:fill="auto"/>
            <w:vAlign w:val="center"/>
          </w:tcPr>
          <w:p w14:paraId="7C6690A9" w14:textId="77777777" w:rsidR="00AA5A06" w:rsidRPr="000769C3" w:rsidRDefault="00AA5A06" w:rsidP="00546503">
            <w:pPr>
              <w:jc w:val="center"/>
              <w:rPr>
                <w:b/>
                <w:sz w:val="20"/>
                <w:szCs w:val="20"/>
              </w:rPr>
            </w:pPr>
            <w:r w:rsidRPr="000769C3">
              <w:rPr>
                <w:b/>
                <w:sz w:val="20"/>
                <w:szCs w:val="20"/>
              </w:rPr>
              <w:t>1,500,000</w:t>
            </w:r>
          </w:p>
        </w:tc>
      </w:tr>
    </w:tbl>
    <w:p w14:paraId="79F19C17" w14:textId="77777777" w:rsidR="00AA5A06" w:rsidRDefault="00AA5A06" w:rsidP="00AA5A06">
      <w:pPr>
        <w:rPr>
          <w:highlight w:val="yellow"/>
        </w:rPr>
      </w:pPr>
    </w:p>
    <w:p w14:paraId="44FE0CCD" w14:textId="77777777" w:rsidR="00AA5A06" w:rsidRPr="00865077" w:rsidRDefault="00AA5A06" w:rsidP="00AA5A06">
      <w:pPr>
        <w:pStyle w:val="Heading1"/>
      </w:pPr>
      <w:r w:rsidRPr="00865077">
        <w:t xml:space="preserve">An additional </w:t>
      </w:r>
      <w:r>
        <w:t>US $</w:t>
      </w:r>
      <w:r w:rsidRPr="00865077">
        <w:t xml:space="preserve">64,000 </w:t>
      </w:r>
      <w:r>
        <w:t>is</w:t>
      </w:r>
      <w:r w:rsidRPr="00865077">
        <w:t xml:space="preserve"> requested for technical assistance activities</w:t>
      </w:r>
      <w:r>
        <w:t>,</w:t>
      </w:r>
      <w:r w:rsidRPr="00865077">
        <w:t xml:space="preserve"> including research </w:t>
      </w:r>
      <w:r>
        <w:t xml:space="preserve">into </w:t>
      </w:r>
      <w:r w:rsidRPr="00865077">
        <w:t xml:space="preserve">formulation, staff training, project monitoring and evaluation, </w:t>
      </w:r>
      <w:r>
        <w:t xml:space="preserve">an </w:t>
      </w:r>
      <w:r w:rsidRPr="00865077">
        <w:t>independent safety review and progress reporting and dissemination.</w:t>
      </w:r>
      <w:r>
        <w:t xml:space="preserve"> </w:t>
      </w:r>
    </w:p>
    <w:p w14:paraId="613DE46B" w14:textId="77777777" w:rsidR="00AA5A06" w:rsidRPr="00AA5A06" w:rsidRDefault="00AA5A06" w:rsidP="00AA5A06">
      <w:pPr>
        <w:pStyle w:val="Heading1"/>
      </w:pPr>
      <w:r w:rsidRPr="00AA5A06">
        <w:t>The total cost of the project, as submitted, is US $3,877,300, with a cost-effectiveness of US $15.51/kg, as shown in Table 3.</w:t>
      </w:r>
    </w:p>
    <w:p w14:paraId="1E70D5CF" w14:textId="77777777" w:rsidR="00AA5A06" w:rsidRPr="002A49C3" w:rsidRDefault="00AA5A06" w:rsidP="00AA5A06">
      <w:pPr>
        <w:pStyle w:val="Heading1"/>
        <w:keepNext/>
        <w:keepLines/>
        <w:numPr>
          <w:ilvl w:val="0"/>
          <w:numId w:val="0"/>
        </w:numPr>
        <w:spacing w:after="0"/>
        <w:rPr>
          <w:b/>
        </w:rPr>
      </w:pPr>
      <w:r w:rsidRPr="002A49C3">
        <w:rPr>
          <w:b/>
        </w:rPr>
        <w:lastRenderedPageBreak/>
        <w:t>Table 3</w:t>
      </w:r>
      <w:r>
        <w:rPr>
          <w:b/>
        </w:rPr>
        <w:t>.</w:t>
      </w:r>
      <w:r w:rsidRPr="002A49C3">
        <w:rPr>
          <w:b/>
        </w:rPr>
        <w:t xml:space="preserve"> Total cost for the </w:t>
      </w:r>
      <w:r w:rsidRPr="002A49C3">
        <w:rPr>
          <w:b/>
          <w:lang w:val="en-CA"/>
        </w:rPr>
        <w:t xml:space="preserve">conversion </w:t>
      </w:r>
      <w:r w:rsidRPr="002A49C3">
        <w:rPr>
          <w:b/>
        </w:rPr>
        <w:t xml:space="preserve">of domestic refrigerators (PU foam) in Hisense </w:t>
      </w:r>
      <w:proofErr w:type="spellStart"/>
      <w:r w:rsidRPr="002A49C3">
        <w:rPr>
          <w:b/>
        </w:rPr>
        <w:t>Kelon</w:t>
      </w:r>
      <w:proofErr w:type="spellEnd"/>
    </w:p>
    <w:tbl>
      <w:tblPr>
        <w:tblStyle w:val="TableGrid"/>
        <w:tblW w:w="0" w:type="auto"/>
        <w:tblLook w:val="04A0" w:firstRow="1" w:lastRow="0" w:firstColumn="1" w:lastColumn="0" w:noHBand="0" w:noVBand="1"/>
      </w:tblPr>
      <w:tblGrid>
        <w:gridCol w:w="5665"/>
        <w:gridCol w:w="3685"/>
      </w:tblGrid>
      <w:tr w:rsidR="00AA5A06" w:rsidRPr="00546503" w14:paraId="75D7014D" w14:textId="77777777" w:rsidTr="00546503">
        <w:tc>
          <w:tcPr>
            <w:tcW w:w="5665" w:type="dxa"/>
          </w:tcPr>
          <w:p w14:paraId="69C7201E" w14:textId="77777777" w:rsidR="00AA5A06" w:rsidRPr="00546503" w:rsidRDefault="00AA5A06" w:rsidP="00546503">
            <w:pPr>
              <w:keepNext/>
              <w:keepLines/>
              <w:jc w:val="center"/>
              <w:rPr>
                <w:b/>
                <w:sz w:val="20"/>
                <w:szCs w:val="20"/>
                <w:lang w:val="en-CA"/>
              </w:rPr>
            </w:pPr>
            <w:r w:rsidRPr="00546503">
              <w:rPr>
                <w:b/>
                <w:sz w:val="20"/>
                <w:szCs w:val="20"/>
                <w:lang w:val="en-CA"/>
              </w:rPr>
              <w:t>Item</w:t>
            </w:r>
          </w:p>
        </w:tc>
        <w:tc>
          <w:tcPr>
            <w:tcW w:w="3685" w:type="dxa"/>
          </w:tcPr>
          <w:p w14:paraId="17280866" w14:textId="77777777" w:rsidR="00AA5A06" w:rsidRPr="00546503" w:rsidRDefault="00AA5A06" w:rsidP="00546503">
            <w:pPr>
              <w:keepNext/>
              <w:keepLines/>
              <w:jc w:val="center"/>
              <w:rPr>
                <w:b/>
                <w:sz w:val="20"/>
                <w:szCs w:val="20"/>
                <w:lang w:val="en-CA"/>
              </w:rPr>
            </w:pPr>
            <w:r w:rsidRPr="00546503">
              <w:rPr>
                <w:b/>
                <w:sz w:val="20"/>
                <w:szCs w:val="20"/>
                <w:lang w:val="en-CA"/>
              </w:rPr>
              <w:t>Cost (US $)</w:t>
            </w:r>
          </w:p>
        </w:tc>
      </w:tr>
      <w:tr w:rsidR="00AA5A06" w:rsidRPr="00546503" w14:paraId="347FFFDC" w14:textId="77777777" w:rsidTr="00546503">
        <w:tc>
          <w:tcPr>
            <w:tcW w:w="5665" w:type="dxa"/>
          </w:tcPr>
          <w:p w14:paraId="5459D56B" w14:textId="77777777" w:rsidR="00AA5A06" w:rsidRPr="00546503" w:rsidRDefault="00AA5A06" w:rsidP="00546503">
            <w:pPr>
              <w:keepNext/>
              <w:keepLines/>
              <w:jc w:val="left"/>
              <w:rPr>
                <w:sz w:val="20"/>
                <w:szCs w:val="20"/>
                <w:lang w:val="en-CA"/>
              </w:rPr>
            </w:pPr>
            <w:r w:rsidRPr="00546503">
              <w:rPr>
                <w:sz w:val="20"/>
                <w:szCs w:val="20"/>
                <w:lang w:val="en-CA"/>
              </w:rPr>
              <w:t>ICCs</w:t>
            </w:r>
          </w:p>
        </w:tc>
        <w:tc>
          <w:tcPr>
            <w:tcW w:w="3685" w:type="dxa"/>
            <w:tcMar>
              <w:left w:w="115" w:type="dxa"/>
              <w:right w:w="720" w:type="dxa"/>
            </w:tcMar>
          </w:tcPr>
          <w:p w14:paraId="155D39D3" w14:textId="77777777" w:rsidR="00AA5A06" w:rsidRPr="00546503" w:rsidRDefault="00AA5A06" w:rsidP="00546503">
            <w:pPr>
              <w:keepNext/>
              <w:keepLines/>
              <w:jc w:val="right"/>
              <w:rPr>
                <w:sz w:val="20"/>
                <w:szCs w:val="20"/>
                <w:lang w:val="en-CA"/>
              </w:rPr>
            </w:pPr>
            <w:r w:rsidRPr="00546503">
              <w:rPr>
                <w:sz w:val="20"/>
                <w:szCs w:val="20"/>
                <w:lang w:val="en-CA"/>
              </w:rPr>
              <w:t>2,313,300</w:t>
            </w:r>
          </w:p>
        </w:tc>
      </w:tr>
      <w:tr w:rsidR="00AA5A06" w:rsidRPr="00546503" w14:paraId="0E87C394" w14:textId="77777777" w:rsidTr="00546503">
        <w:tc>
          <w:tcPr>
            <w:tcW w:w="5665" w:type="dxa"/>
          </w:tcPr>
          <w:p w14:paraId="2D877B35" w14:textId="77777777" w:rsidR="00AA5A06" w:rsidRPr="00546503" w:rsidRDefault="00AA5A06" w:rsidP="00546503">
            <w:pPr>
              <w:keepNext/>
              <w:keepLines/>
              <w:jc w:val="left"/>
              <w:rPr>
                <w:sz w:val="20"/>
                <w:szCs w:val="20"/>
                <w:lang w:val="en-CA"/>
              </w:rPr>
            </w:pPr>
            <w:r w:rsidRPr="00546503">
              <w:rPr>
                <w:sz w:val="20"/>
                <w:szCs w:val="20"/>
                <w:lang w:val="en-CA"/>
              </w:rPr>
              <w:t>IOCs</w:t>
            </w:r>
          </w:p>
        </w:tc>
        <w:tc>
          <w:tcPr>
            <w:tcW w:w="3685" w:type="dxa"/>
            <w:tcMar>
              <w:left w:w="115" w:type="dxa"/>
              <w:right w:w="720" w:type="dxa"/>
            </w:tcMar>
          </w:tcPr>
          <w:p w14:paraId="418E6364" w14:textId="77777777" w:rsidR="00AA5A06" w:rsidRPr="00546503" w:rsidRDefault="00AA5A06" w:rsidP="00546503">
            <w:pPr>
              <w:keepNext/>
              <w:keepLines/>
              <w:jc w:val="right"/>
              <w:rPr>
                <w:sz w:val="20"/>
                <w:szCs w:val="20"/>
                <w:lang w:val="en-CA"/>
              </w:rPr>
            </w:pPr>
            <w:r w:rsidRPr="00546503">
              <w:rPr>
                <w:sz w:val="20"/>
                <w:szCs w:val="20"/>
                <w:lang w:val="en-CA"/>
              </w:rPr>
              <w:t>1,500,000</w:t>
            </w:r>
          </w:p>
        </w:tc>
      </w:tr>
      <w:tr w:rsidR="00AA5A06" w:rsidRPr="00546503" w14:paraId="2F66BB7D" w14:textId="77777777" w:rsidTr="00546503">
        <w:tc>
          <w:tcPr>
            <w:tcW w:w="5665" w:type="dxa"/>
          </w:tcPr>
          <w:p w14:paraId="0966CCDA" w14:textId="77777777" w:rsidR="00AA5A06" w:rsidRPr="00546503" w:rsidRDefault="00AA5A06" w:rsidP="00546503">
            <w:pPr>
              <w:keepNext/>
              <w:keepLines/>
              <w:jc w:val="left"/>
              <w:rPr>
                <w:sz w:val="20"/>
                <w:szCs w:val="20"/>
                <w:lang w:val="en-CA"/>
              </w:rPr>
            </w:pPr>
            <w:r w:rsidRPr="00546503">
              <w:rPr>
                <w:sz w:val="20"/>
                <w:szCs w:val="20"/>
                <w:lang w:val="en-CA"/>
              </w:rPr>
              <w:t>Technical assistance</w:t>
            </w:r>
          </w:p>
        </w:tc>
        <w:tc>
          <w:tcPr>
            <w:tcW w:w="3685" w:type="dxa"/>
            <w:tcMar>
              <w:left w:w="115" w:type="dxa"/>
              <w:right w:w="720" w:type="dxa"/>
            </w:tcMar>
          </w:tcPr>
          <w:p w14:paraId="47CD70A1" w14:textId="77777777" w:rsidR="00AA5A06" w:rsidRPr="00546503" w:rsidRDefault="00AA5A06" w:rsidP="00546503">
            <w:pPr>
              <w:keepNext/>
              <w:keepLines/>
              <w:jc w:val="right"/>
              <w:rPr>
                <w:sz w:val="20"/>
                <w:szCs w:val="20"/>
                <w:lang w:val="en-CA"/>
              </w:rPr>
            </w:pPr>
            <w:r w:rsidRPr="00546503">
              <w:rPr>
                <w:sz w:val="20"/>
                <w:szCs w:val="20"/>
                <w:lang w:val="en-CA"/>
              </w:rPr>
              <w:t>64,000</w:t>
            </w:r>
          </w:p>
        </w:tc>
      </w:tr>
      <w:tr w:rsidR="00AA5A06" w:rsidRPr="00546503" w14:paraId="3EBFEDAD" w14:textId="77777777" w:rsidTr="00546503">
        <w:tc>
          <w:tcPr>
            <w:tcW w:w="5665" w:type="dxa"/>
          </w:tcPr>
          <w:p w14:paraId="13336C93" w14:textId="77777777" w:rsidR="00AA5A06" w:rsidRPr="00546503" w:rsidRDefault="00AA5A06" w:rsidP="00546503">
            <w:pPr>
              <w:keepNext/>
              <w:keepLines/>
              <w:jc w:val="left"/>
              <w:rPr>
                <w:b/>
                <w:sz w:val="20"/>
                <w:szCs w:val="20"/>
                <w:lang w:val="en-CA"/>
              </w:rPr>
            </w:pPr>
            <w:r w:rsidRPr="00546503">
              <w:rPr>
                <w:b/>
                <w:sz w:val="20"/>
                <w:szCs w:val="20"/>
                <w:lang w:val="en-CA"/>
              </w:rPr>
              <w:t>Total cost</w:t>
            </w:r>
          </w:p>
        </w:tc>
        <w:tc>
          <w:tcPr>
            <w:tcW w:w="3685" w:type="dxa"/>
            <w:tcMar>
              <w:left w:w="115" w:type="dxa"/>
              <w:right w:w="720" w:type="dxa"/>
            </w:tcMar>
          </w:tcPr>
          <w:p w14:paraId="36D905CA" w14:textId="77777777" w:rsidR="00AA5A06" w:rsidRPr="00546503" w:rsidRDefault="00AA5A06" w:rsidP="00546503">
            <w:pPr>
              <w:keepNext/>
              <w:keepLines/>
              <w:jc w:val="right"/>
              <w:rPr>
                <w:b/>
                <w:sz w:val="20"/>
                <w:szCs w:val="20"/>
                <w:lang w:val="en-CA"/>
              </w:rPr>
            </w:pPr>
            <w:r w:rsidRPr="00546503">
              <w:rPr>
                <w:b/>
                <w:sz w:val="20"/>
                <w:szCs w:val="20"/>
                <w:lang w:val="en-CA"/>
              </w:rPr>
              <w:t>3,877,300</w:t>
            </w:r>
          </w:p>
        </w:tc>
      </w:tr>
      <w:tr w:rsidR="00AA5A06" w:rsidRPr="00546503" w14:paraId="3E71CDD2" w14:textId="77777777" w:rsidTr="00546503">
        <w:tc>
          <w:tcPr>
            <w:tcW w:w="5665" w:type="dxa"/>
          </w:tcPr>
          <w:p w14:paraId="640DD0C6" w14:textId="77777777" w:rsidR="00AA5A06" w:rsidRPr="00546503" w:rsidRDefault="00AA5A06" w:rsidP="00546503">
            <w:pPr>
              <w:jc w:val="left"/>
              <w:rPr>
                <w:sz w:val="20"/>
                <w:szCs w:val="20"/>
                <w:lang w:val="en-CA"/>
              </w:rPr>
            </w:pPr>
            <w:r w:rsidRPr="00546503">
              <w:rPr>
                <w:sz w:val="20"/>
                <w:szCs w:val="20"/>
                <w:lang w:val="en-CA"/>
              </w:rPr>
              <w:t>HFC-245fa consumption (</w:t>
            </w:r>
            <w:proofErr w:type="spellStart"/>
            <w:r w:rsidRPr="00546503">
              <w:rPr>
                <w:sz w:val="20"/>
                <w:szCs w:val="20"/>
                <w:lang w:val="en-CA"/>
              </w:rPr>
              <w:t>mt</w:t>
            </w:r>
            <w:proofErr w:type="spellEnd"/>
            <w:r w:rsidRPr="00546503">
              <w:rPr>
                <w:sz w:val="20"/>
                <w:szCs w:val="20"/>
                <w:lang w:val="en-CA"/>
              </w:rPr>
              <w:t>)</w:t>
            </w:r>
          </w:p>
        </w:tc>
        <w:tc>
          <w:tcPr>
            <w:tcW w:w="3685" w:type="dxa"/>
            <w:tcMar>
              <w:left w:w="115" w:type="dxa"/>
              <w:right w:w="720" w:type="dxa"/>
            </w:tcMar>
          </w:tcPr>
          <w:p w14:paraId="010F2E59" w14:textId="77777777" w:rsidR="00AA5A06" w:rsidRPr="00546503" w:rsidRDefault="00AA5A06" w:rsidP="00546503">
            <w:pPr>
              <w:jc w:val="right"/>
              <w:rPr>
                <w:sz w:val="20"/>
                <w:szCs w:val="20"/>
                <w:lang w:val="en-CA"/>
              </w:rPr>
            </w:pPr>
            <w:r w:rsidRPr="00546503">
              <w:rPr>
                <w:sz w:val="20"/>
                <w:szCs w:val="20"/>
                <w:lang w:val="en-CA"/>
              </w:rPr>
              <w:t>250</w:t>
            </w:r>
          </w:p>
        </w:tc>
      </w:tr>
      <w:tr w:rsidR="00AA5A06" w:rsidRPr="00546503" w14:paraId="225314C7" w14:textId="77777777" w:rsidTr="00546503">
        <w:tc>
          <w:tcPr>
            <w:tcW w:w="5665" w:type="dxa"/>
          </w:tcPr>
          <w:p w14:paraId="2EF1C1B1" w14:textId="7C322D90" w:rsidR="00AA5A06" w:rsidRPr="00546503" w:rsidRDefault="00AA5A06" w:rsidP="00546503">
            <w:pPr>
              <w:jc w:val="left"/>
              <w:rPr>
                <w:sz w:val="20"/>
                <w:szCs w:val="20"/>
                <w:lang w:val="en-CA"/>
              </w:rPr>
            </w:pPr>
            <w:r w:rsidRPr="00546503">
              <w:rPr>
                <w:sz w:val="20"/>
                <w:szCs w:val="20"/>
                <w:lang w:val="en-CA"/>
              </w:rPr>
              <w:t>HFC-245fa consumption (</w:t>
            </w:r>
            <w:proofErr w:type="spellStart"/>
            <w:r w:rsidRPr="00546503">
              <w:rPr>
                <w:sz w:val="20"/>
                <w:szCs w:val="20"/>
                <w:lang w:val="en-CA"/>
              </w:rPr>
              <w:t>mt</w:t>
            </w:r>
            <w:proofErr w:type="spellEnd"/>
            <w:r w:rsidRPr="00546503">
              <w:rPr>
                <w:sz w:val="20"/>
                <w:szCs w:val="20"/>
                <w:lang w:val="en-CA"/>
              </w:rPr>
              <w:t xml:space="preserve"> CO</w:t>
            </w:r>
            <w:r w:rsidRPr="00546503">
              <w:rPr>
                <w:sz w:val="20"/>
                <w:szCs w:val="20"/>
                <w:vertAlign w:val="subscript"/>
                <w:lang w:val="en-CA"/>
              </w:rPr>
              <w:t>2</w:t>
            </w:r>
            <w:r w:rsidRPr="00546503">
              <w:rPr>
                <w:sz w:val="20"/>
                <w:szCs w:val="20"/>
                <w:lang w:val="en-CA"/>
              </w:rPr>
              <w:t>-eq</w:t>
            </w:r>
            <w:r w:rsidR="00546503" w:rsidRPr="00546503">
              <w:rPr>
                <w:sz w:val="20"/>
                <w:szCs w:val="20"/>
                <w:lang w:val="en-CA"/>
              </w:rPr>
              <w:t>.</w:t>
            </w:r>
            <w:r w:rsidRPr="00546503">
              <w:rPr>
                <w:sz w:val="20"/>
                <w:szCs w:val="20"/>
                <w:lang w:val="en-CA"/>
              </w:rPr>
              <w:t>)</w:t>
            </w:r>
          </w:p>
        </w:tc>
        <w:tc>
          <w:tcPr>
            <w:tcW w:w="3685" w:type="dxa"/>
            <w:tcMar>
              <w:left w:w="115" w:type="dxa"/>
              <w:right w:w="720" w:type="dxa"/>
            </w:tcMar>
          </w:tcPr>
          <w:p w14:paraId="0BA05E6C" w14:textId="77777777" w:rsidR="00AA5A06" w:rsidRPr="00546503" w:rsidRDefault="00AA5A06" w:rsidP="00546503">
            <w:pPr>
              <w:jc w:val="right"/>
              <w:rPr>
                <w:sz w:val="20"/>
                <w:szCs w:val="20"/>
                <w:lang w:val="en-CA"/>
              </w:rPr>
            </w:pPr>
            <w:r w:rsidRPr="00546503">
              <w:rPr>
                <w:sz w:val="20"/>
                <w:szCs w:val="20"/>
                <w:lang w:val="en-CA"/>
              </w:rPr>
              <w:t>257,500</w:t>
            </w:r>
          </w:p>
        </w:tc>
      </w:tr>
      <w:tr w:rsidR="00AA5A06" w:rsidRPr="00546503" w14:paraId="299B07CD" w14:textId="77777777" w:rsidTr="00546503">
        <w:tc>
          <w:tcPr>
            <w:tcW w:w="5665" w:type="dxa"/>
          </w:tcPr>
          <w:p w14:paraId="6850CAF7" w14:textId="77777777" w:rsidR="00AA5A06" w:rsidRPr="00546503" w:rsidRDefault="00AA5A06" w:rsidP="00546503">
            <w:pPr>
              <w:jc w:val="left"/>
              <w:rPr>
                <w:sz w:val="20"/>
                <w:szCs w:val="20"/>
                <w:lang w:val="en-CA"/>
              </w:rPr>
            </w:pPr>
            <w:r w:rsidRPr="00546503">
              <w:rPr>
                <w:sz w:val="20"/>
                <w:szCs w:val="20"/>
                <w:lang w:val="en-CA"/>
              </w:rPr>
              <w:t>Cost-effectiveness (US $/kg)</w:t>
            </w:r>
          </w:p>
        </w:tc>
        <w:tc>
          <w:tcPr>
            <w:tcW w:w="3685" w:type="dxa"/>
            <w:tcMar>
              <w:left w:w="115" w:type="dxa"/>
              <w:right w:w="720" w:type="dxa"/>
            </w:tcMar>
          </w:tcPr>
          <w:p w14:paraId="7E875A2A" w14:textId="77777777" w:rsidR="00AA5A06" w:rsidRPr="00546503" w:rsidRDefault="00AA5A06" w:rsidP="00546503">
            <w:pPr>
              <w:jc w:val="right"/>
              <w:rPr>
                <w:sz w:val="20"/>
                <w:szCs w:val="20"/>
                <w:lang w:val="en-CA"/>
              </w:rPr>
            </w:pPr>
            <w:r w:rsidRPr="00546503">
              <w:rPr>
                <w:sz w:val="20"/>
                <w:szCs w:val="20"/>
                <w:lang w:val="en-CA"/>
              </w:rPr>
              <w:t>15.51</w:t>
            </w:r>
          </w:p>
        </w:tc>
      </w:tr>
      <w:tr w:rsidR="00AA5A06" w:rsidRPr="00546503" w14:paraId="61E404C7" w14:textId="77777777" w:rsidTr="00546503">
        <w:tc>
          <w:tcPr>
            <w:tcW w:w="5665" w:type="dxa"/>
          </w:tcPr>
          <w:p w14:paraId="3B8717C5" w14:textId="692F3543" w:rsidR="00AA5A06" w:rsidRPr="00546503" w:rsidRDefault="00AA5A06" w:rsidP="00546503">
            <w:pPr>
              <w:jc w:val="left"/>
              <w:rPr>
                <w:sz w:val="20"/>
                <w:szCs w:val="20"/>
                <w:lang w:val="en-CA"/>
              </w:rPr>
            </w:pPr>
            <w:r w:rsidRPr="00546503">
              <w:rPr>
                <w:sz w:val="20"/>
                <w:szCs w:val="20"/>
                <w:lang w:val="en-CA"/>
              </w:rPr>
              <w:t>Cost-effectiveness (US $/</w:t>
            </w:r>
            <w:proofErr w:type="spellStart"/>
            <w:r w:rsidRPr="00546503">
              <w:rPr>
                <w:sz w:val="20"/>
                <w:szCs w:val="20"/>
                <w:lang w:val="en-CA"/>
              </w:rPr>
              <w:t>mt</w:t>
            </w:r>
            <w:proofErr w:type="spellEnd"/>
            <w:r w:rsidRPr="00546503">
              <w:rPr>
                <w:sz w:val="20"/>
                <w:szCs w:val="20"/>
                <w:lang w:val="en-CA"/>
              </w:rPr>
              <w:t xml:space="preserve"> CO</w:t>
            </w:r>
            <w:r w:rsidRPr="00546503">
              <w:rPr>
                <w:sz w:val="20"/>
                <w:szCs w:val="20"/>
                <w:vertAlign w:val="subscript"/>
                <w:lang w:val="en-CA"/>
              </w:rPr>
              <w:t>2</w:t>
            </w:r>
            <w:r w:rsidRPr="00546503">
              <w:rPr>
                <w:sz w:val="20"/>
                <w:szCs w:val="20"/>
                <w:lang w:val="en-CA"/>
              </w:rPr>
              <w:t>-eq</w:t>
            </w:r>
            <w:r w:rsidR="00546503" w:rsidRPr="00546503">
              <w:rPr>
                <w:sz w:val="20"/>
                <w:szCs w:val="20"/>
                <w:lang w:val="en-CA"/>
              </w:rPr>
              <w:t>.</w:t>
            </w:r>
            <w:r w:rsidRPr="00546503">
              <w:rPr>
                <w:sz w:val="20"/>
                <w:szCs w:val="20"/>
                <w:lang w:val="en-CA"/>
              </w:rPr>
              <w:t>)</w:t>
            </w:r>
          </w:p>
        </w:tc>
        <w:tc>
          <w:tcPr>
            <w:tcW w:w="3685" w:type="dxa"/>
            <w:tcMar>
              <w:left w:w="115" w:type="dxa"/>
              <w:right w:w="720" w:type="dxa"/>
            </w:tcMar>
          </w:tcPr>
          <w:p w14:paraId="48A7A14E" w14:textId="77777777" w:rsidR="00AA5A06" w:rsidRPr="00546503" w:rsidRDefault="00AA5A06" w:rsidP="00546503">
            <w:pPr>
              <w:jc w:val="right"/>
              <w:rPr>
                <w:sz w:val="20"/>
                <w:szCs w:val="20"/>
                <w:lang w:val="en-CA"/>
              </w:rPr>
            </w:pPr>
            <w:r w:rsidRPr="00546503">
              <w:rPr>
                <w:sz w:val="20"/>
                <w:szCs w:val="20"/>
                <w:lang w:val="en-CA"/>
              </w:rPr>
              <w:t>15.06</w:t>
            </w:r>
          </w:p>
        </w:tc>
      </w:tr>
    </w:tbl>
    <w:p w14:paraId="03981F29" w14:textId="77777777" w:rsidR="00AA5A06" w:rsidRDefault="00AA5A06" w:rsidP="00AA5A06">
      <w:pPr>
        <w:jc w:val="center"/>
        <w:rPr>
          <w:b/>
          <w:lang w:val="en-CA"/>
        </w:rPr>
      </w:pPr>
    </w:p>
    <w:p w14:paraId="7DF02BB4" w14:textId="77777777" w:rsidR="00AA5A06" w:rsidRPr="0042496D" w:rsidRDefault="00AA5A06" w:rsidP="00AA5A06">
      <w:pPr>
        <w:pStyle w:val="Heading1"/>
        <w:rPr>
          <w:lang w:val="en-CA"/>
        </w:rPr>
      </w:pPr>
      <w:r w:rsidRPr="0042496D">
        <w:rPr>
          <w:lang w:val="en-CA"/>
        </w:rPr>
        <w:t>The project will be implemented in 24 months.</w:t>
      </w:r>
    </w:p>
    <w:p w14:paraId="4D284BCA" w14:textId="77777777" w:rsidR="00AA5A06" w:rsidRDefault="00AA5A06" w:rsidP="00AA5A06">
      <w:pPr>
        <w:jc w:val="center"/>
        <w:rPr>
          <w:b/>
          <w:lang w:val="en-CA"/>
        </w:rPr>
      </w:pPr>
    </w:p>
    <w:p w14:paraId="01C980FF" w14:textId="30F54A18" w:rsidR="00AA5A06" w:rsidRDefault="00AA5A06" w:rsidP="00AA5A06">
      <w:pPr>
        <w:jc w:val="center"/>
        <w:rPr>
          <w:b/>
          <w:lang w:val="en-CA"/>
        </w:rPr>
      </w:pPr>
      <w:r w:rsidRPr="00945F98">
        <w:rPr>
          <w:b/>
          <w:lang w:val="en-CA"/>
        </w:rPr>
        <w:t>SECRETARIAT’S COMMENTS AND RECOMMENDATION</w:t>
      </w:r>
    </w:p>
    <w:p w14:paraId="2A6659A1" w14:textId="77777777" w:rsidR="00AA5A06" w:rsidRPr="00945F98" w:rsidRDefault="00AA5A06" w:rsidP="00AA5A06">
      <w:pPr>
        <w:jc w:val="center"/>
        <w:rPr>
          <w:b/>
          <w:lang w:val="en-CA"/>
        </w:rPr>
      </w:pPr>
    </w:p>
    <w:p w14:paraId="338948AA" w14:textId="77777777" w:rsidR="00AA5A06" w:rsidRDefault="00AA5A06" w:rsidP="00AA5A06">
      <w:pPr>
        <w:rPr>
          <w:b/>
          <w:lang w:val="en-CA"/>
        </w:rPr>
      </w:pPr>
      <w:r w:rsidRPr="00945F98">
        <w:rPr>
          <w:b/>
          <w:lang w:val="en-CA"/>
        </w:rPr>
        <w:t>COMMENTS</w:t>
      </w:r>
    </w:p>
    <w:p w14:paraId="34B55DB4" w14:textId="77777777" w:rsidR="00AA5A06" w:rsidRDefault="00AA5A06" w:rsidP="00AA5A06">
      <w:pPr>
        <w:rPr>
          <w:b/>
          <w:lang w:val="en-CA"/>
        </w:rPr>
      </w:pPr>
    </w:p>
    <w:p w14:paraId="2CD881DB" w14:textId="77777777" w:rsidR="00AA5A06" w:rsidRPr="008B3549" w:rsidRDefault="00AA5A06" w:rsidP="00AA5A06">
      <w:pPr>
        <w:rPr>
          <w:u w:val="single"/>
          <w:lang w:val="en-CA"/>
        </w:rPr>
      </w:pPr>
      <w:r w:rsidRPr="008B3549">
        <w:rPr>
          <w:u w:val="single"/>
          <w:lang w:val="en-CA"/>
        </w:rPr>
        <w:t>Eligibility</w:t>
      </w:r>
    </w:p>
    <w:p w14:paraId="08FA82A2" w14:textId="77777777" w:rsidR="00AA5A06" w:rsidRPr="00945F98" w:rsidRDefault="00AA5A06" w:rsidP="00AA5A06">
      <w:pPr>
        <w:rPr>
          <w:lang w:val="en-CA"/>
        </w:rPr>
      </w:pPr>
    </w:p>
    <w:p w14:paraId="0D722CB0" w14:textId="77777777" w:rsidR="00AA5A06" w:rsidRPr="00F87A7A" w:rsidRDefault="00AA5A06" w:rsidP="00AA5A06">
      <w:pPr>
        <w:pStyle w:val="Heading1"/>
        <w:rPr>
          <w:u w:val="single"/>
          <w:lang w:val="en-CA"/>
        </w:rPr>
      </w:pPr>
      <w:r w:rsidRPr="00C14380">
        <w:t xml:space="preserve">This project has been submitted in line with decisions 78/3(g) and 79/45. </w:t>
      </w:r>
      <w:r>
        <w:t>T</w:t>
      </w:r>
      <w:r w:rsidRPr="0053220F">
        <w:t xml:space="preserve">he </w:t>
      </w:r>
      <w:r>
        <w:t xml:space="preserve">project </w:t>
      </w:r>
      <w:r w:rsidRPr="0053220F">
        <w:t xml:space="preserve">endorsement letter from the Government of </w:t>
      </w:r>
      <w:r>
        <w:t>China</w:t>
      </w:r>
      <w:r w:rsidRPr="0053220F">
        <w:t xml:space="preserve"> indicates</w:t>
      </w:r>
      <w:r>
        <w:t>:</w:t>
      </w:r>
      <w:r w:rsidRPr="0053220F">
        <w:t xml:space="preserve"> the </w:t>
      </w:r>
      <w:r>
        <w:t xml:space="preserve">intention of the </w:t>
      </w:r>
      <w:r w:rsidRPr="0053220F">
        <w:t xml:space="preserve">Government to ratify </w:t>
      </w:r>
      <w:r>
        <w:t xml:space="preserve">the </w:t>
      </w:r>
      <w:r w:rsidRPr="0053220F">
        <w:t>Kigali Amendment; that the Government is aware that</w:t>
      </w:r>
      <w:r>
        <w:t xml:space="preserve">, </w:t>
      </w:r>
      <w:r w:rsidRPr="0053220F">
        <w:t>if th</w:t>
      </w:r>
      <w:r>
        <w:t>e</w:t>
      </w:r>
      <w:r w:rsidRPr="0053220F">
        <w:t xml:space="preserve"> project </w:t>
      </w:r>
      <w:r>
        <w:t>is</w:t>
      </w:r>
      <w:r w:rsidRPr="0053220F">
        <w:t xml:space="preserve"> approved by the Executive Committee</w:t>
      </w:r>
      <w:r>
        <w:t>,</w:t>
      </w:r>
      <w:r w:rsidRPr="0053220F">
        <w:t xml:space="preserve"> no further funding w</w:t>
      </w:r>
      <w:r>
        <w:t>ill</w:t>
      </w:r>
      <w:r w:rsidRPr="0053220F">
        <w:t xml:space="preserve"> be available until the instrument of ratification of the Kigali Amendment ha</w:t>
      </w:r>
      <w:r>
        <w:t>s</w:t>
      </w:r>
      <w:r w:rsidRPr="0053220F">
        <w:t xml:space="preserve"> been received by the depositary at the United Nations Headquarters in New York; and that the Government acknowledges that</w:t>
      </w:r>
      <w:r>
        <w:t>,</w:t>
      </w:r>
      <w:r w:rsidRPr="0053220F">
        <w:t xml:space="preserve"> </w:t>
      </w:r>
      <w:r>
        <w:t>if</w:t>
      </w:r>
      <w:r w:rsidRPr="0053220F">
        <w:t xml:space="preserve"> th</w:t>
      </w:r>
      <w:r>
        <w:t>e</w:t>
      </w:r>
      <w:r w:rsidRPr="0053220F">
        <w:t xml:space="preserve"> project is approved, any HFC </w:t>
      </w:r>
      <w:r>
        <w:t>phased out</w:t>
      </w:r>
      <w:r w:rsidRPr="0053220F">
        <w:t xml:space="preserve"> w</w:t>
      </w:r>
      <w:r>
        <w:t>ill</w:t>
      </w:r>
      <w:r w:rsidRPr="0053220F">
        <w:t xml:space="preserve"> be deducted from </w:t>
      </w:r>
      <w:r>
        <w:t>any</w:t>
      </w:r>
      <w:r w:rsidRPr="0053220F">
        <w:t xml:space="preserve"> starting point agreed in the future.</w:t>
      </w:r>
    </w:p>
    <w:p w14:paraId="70291960" w14:textId="77777777" w:rsidR="00AA5A06" w:rsidRPr="00C14380" w:rsidRDefault="00AA5A06" w:rsidP="00AA5A06">
      <w:pPr>
        <w:pStyle w:val="Heading1"/>
        <w:rPr>
          <w:u w:val="single"/>
          <w:lang w:val="en-CA"/>
        </w:rPr>
      </w:pPr>
      <w:r w:rsidRPr="00C14380">
        <w:t xml:space="preserve">The Secretariat has reviewed the project </w:t>
      </w:r>
      <w:r>
        <w:t xml:space="preserve">on </w:t>
      </w:r>
      <w:r w:rsidRPr="00C14380">
        <w:t>the basis of similar projects approved for the conversion to HFOs in PU foam</w:t>
      </w:r>
      <w:r>
        <w:t>.</w:t>
      </w:r>
    </w:p>
    <w:p w14:paraId="73BF75FA" w14:textId="77777777" w:rsidR="00AA5A06" w:rsidRDefault="00AA5A06" w:rsidP="00AA5A06">
      <w:pPr>
        <w:pStyle w:val="Heading1"/>
        <w:numPr>
          <w:ilvl w:val="0"/>
          <w:numId w:val="0"/>
        </w:numPr>
        <w:spacing w:after="0"/>
        <w:rPr>
          <w:u w:val="single"/>
          <w:lang w:val="en-CA"/>
        </w:rPr>
      </w:pPr>
      <w:r w:rsidRPr="00924683">
        <w:rPr>
          <w:u w:val="single"/>
        </w:rPr>
        <w:t>Maturity of the technology, replicability and sustainability</w:t>
      </w:r>
      <w:r w:rsidRPr="00924683">
        <w:rPr>
          <w:u w:val="single"/>
          <w:lang w:val="en-CA"/>
        </w:rPr>
        <w:t xml:space="preserve"> of the conversion</w:t>
      </w:r>
    </w:p>
    <w:p w14:paraId="131DECA3" w14:textId="77777777" w:rsidR="00AA5A06" w:rsidRPr="00F87A7A" w:rsidRDefault="00AA5A06" w:rsidP="00AA5A06">
      <w:pPr>
        <w:rPr>
          <w:lang w:val="en-CA"/>
        </w:rPr>
      </w:pPr>
    </w:p>
    <w:p w14:paraId="7E0BE395" w14:textId="77777777" w:rsidR="00AA5A06" w:rsidRPr="00B72F02" w:rsidRDefault="00AA5A06" w:rsidP="00AA5A06">
      <w:pPr>
        <w:pStyle w:val="Heading1"/>
        <w:rPr>
          <w:lang w:val="en-CA"/>
        </w:rPr>
      </w:pPr>
      <w:r w:rsidRPr="00B72F02">
        <w:rPr>
          <w:lang w:val="en-CA"/>
        </w:rPr>
        <w:t>The potential replicability of this project is high</w:t>
      </w:r>
      <w:r>
        <w:rPr>
          <w:lang w:val="en-CA"/>
        </w:rPr>
        <w:t>,</w:t>
      </w:r>
      <w:r w:rsidRPr="00B72F02">
        <w:rPr>
          <w:lang w:val="en-CA"/>
        </w:rPr>
        <w:t xml:space="preserve"> considering that the line to be converted produces 1.2 million refrigerators, the enterprise produces 10 million </w:t>
      </w:r>
      <w:r>
        <w:rPr>
          <w:lang w:val="en-CA"/>
        </w:rPr>
        <w:t xml:space="preserve">of such units, </w:t>
      </w:r>
      <w:r w:rsidRPr="00B72F02">
        <w:rPr>
          <w:lang w:val="en-CA"/>
        </w:rPr>
        <w:t xml:space="preserve">and the entire sector in China produces 70 million. </w:t>
      </w:r>
      <w:r>
        <w:rPr>
          <w:lang w:val="en-CA"/>
        </w:rPr>
        <w:t>However,</w:t>
      </w:r>
      <w:r w:rsidRPr="00B72F02">
        <w:rPr>
          <w:lang w:val="en-CA"/>
        </w:rPr>
        <w:t xml:space="preserve"> </w:t>
      </w:r>
      <w:r>
        <w:rPr>
          <w:lang w:val="en-CA"/>
        </w:rPr>
        <w:t xml:space="preserve">the </w:t>
      </w:r>
      <w:r w:rsidRPr="00B72F02">
        <w:rPr>
          <w:lang w:val="en-CA"/>
        </w:rPr>
        <w:t xml:space="preserve">use of C5+HFO is exclusively </w:t>
      </w:r>
      <w:r>
        <w:rPr>
          <w:lang w:val="en-CA"/>
        </w:rPr>
        <w:t xml:space="preserve">for units that </w:t>
      </w:r>
      <w:r w:rsidRPr="00B72F02">
        <w:rPr>
          <w:lang w:val="en-CA"/>
        </w:rPr>
        <w:t>supply the European Union market, as the price of the product</w:t>
      </w:r>
      <w:r>
        <w:rPr>
          <w:lang w:val="en-CA"/>
        </w:rPr>
        <w:t>s</w:t>
      </w:r>
      <w:r w:rsidRPr="00B72F02">
        <w:rPr>
          <w:lang w:val="en-CA"/>
        </w:rPr>
        <w:t xml:space="preserve"> is not competitive in </w:t>
      </w:r>
      <w:r>
        <w:rPr>
          <w:lang w:val="en-CA"/>
        </w:rPr>
        <w:t xml:space="preserve">China and in </w:t>
      </w:r>
      <w:r w:rsidRPr="00B72F02">
        <w:rPr>
          <w:lang w:val="en-CA"/>
        </w:rPr>
        <w:t xml:space="preserve">Article 5 </w:t>
      </w:r>
      <w:r>
        <w:rPr>
          <w:lang w:val="en-CA"/>
        </w:rPr>
        <w:t>countries</w:t>
      </w:r>
      <w:r w:rsidRPr="00B72F02">
        <w:rPr>
          <w:lang w:val="en-CA"/>
        </w:rPr>
        <w:t>. UNDP considers that</w:t>
      </w:r>
      <w:r>
        <w:rPr>
          <w:lang w:val="en-CA"/>
        </w:rPr>
        <w:t>,</w:t>
      </w:r>
      <w:r w:rsidRPr="00B72F02">
        <w:rPr>
          <w:lang w:val="en-CA"/>
        </w:rPr>
        <w:t xml:space="preserve"> </w:t>
      </w:r>
      <w:r>
        <w:rPr>
          <w:lang w:val="en-CA"/>
        </w:rPr>
        <w:t xml:space="preserve">as governments </w:t>
      </w:r>
      <w:r w:rsidRPr="00B72F02">
        <w:rPr>
          <w:lang w:val="en-CA"/>
        </w:rPr>
        <w:t>take action to control the applicat</w:t>
      </w:r>
      <w:r>
        <w:rPr>
          <w:lang w:val="en-CA"/>
        </w:rPr>
        <w:t xml:space="preserve">ion of technologies with high global-warming potential (GWP), </w:t>
      </w:r>
      <w:r w:rsidRPr="00B72F02">
        <w:rPr>
          <w:lang w:val="en-CA"/>
        </w:rPr>
        <w:t xml:space="preserve">the market demand for products </w:t>
      </w:r>
      <w:r>
        <w:rPr>
          <w:lang w:val="en-CA"/>
        </w:rPr>
        <w:t>using</w:t>
      </w:r>
      <w:r w:rsidRPr="00B72F02">
        <w:rPr>
          <w:lang w:val="en-CA"/>
        </w:rPr>
        <w:t xml:space="preserve"> low</w:t>
      </w:r>
      <w:r>
        <w:rPr>
          <w:lang w:val="en-CA"/>
        </w:rPr>
        <w:t>-</w:t>
      </w:r>
      <w:r w:rsidRPr="00B72F02">
        <w:rPr>
          <w:lang w:val="en-CA"/>
        </w:rPr>
        <w:t>GWP alternatives will likely increase</w:t>
      </w:r>
      <w:r>
        <w:rPr>
          <w:lang w:val="en-CA"/>
        </w:rPr>
        <w:t xml:space="preserve">, making </w:t>
      </w:r>
      <w:r w:rsidRPr="00B72F02">
        <w:rPr>
          <w:lang w:val="en-CA"/>
        </w:rPr>
        <w:t xml:space="preserve">C5+HFO-based domestic refrigerators more competitive. </w:t>
      </w:r>
      <w:r>
        <w:rPr>
          <w:lang w:val="en-CA"/>
        </w:rPr>
        <w:t xml:space="preserve">At present, it is </w:t>
      </w:r>
      <w:r w:rsidRPr="00B72F02">
        <w:rPr>
          <w:lang w:val="en-CA"/>
        </w:rPr>
        <w:t xml:space="preserve">difficult </w:t>
      </w:r>
      <w:r>
        <w:rPr>
          <w:lang w:val="en-CA"/>
        </w:rPr>
        <w:t xml:space="preserve">to </w:t>
      </w:r>
      <w:r w:rsidRPr="00B72F02">
        <w:rPr>
          <w:lang w:val="en-CA"/>
        </w:rPr>
        <w:t>estimate the fut</w:t>
      </w:r>
      <w:r>
        <w:rPr>
          <w:lang w:val="en-CA"/>
        </w:rPr>
        <w:t xml:space="preserve">ure market after the conversion, but Hisense </w:t>
      </w:r>
      <w:proofErr w:type="spellStart"/>
      <w:r w:rsidRPr="00B72F02">
        <w:rPr>
          <w:lang w:val="en-CA"/>
        </w:rPr>
        <w:t>Kelon</w:t>
      </w:r>
      <w:proofErr w:type="spellEnd"/>
      <w:r w:rsidRPr="00B72F02">
        <w:rPr>
          <w:lang w:val="en-CA"/>
        </w:rPr>
        <w:t xml:space="preserve"> plans to promote the new products using C5+HFO </w:t>
      </w:r>
      <w:r>
        <w:rPr>
          <w:lang w:val="en-CA"/>
        </w:rPr>
        <w:t>o</w:t>
      </w:r>
      <w:r w:rsidRPr="00B72F02">
        <w:rPr>
          <w:lang w:val="en-CA"/>
        </w:rPr>
        <w:t>n the market</w:t>
      </w:r>
      <w:r>
        <w:rPr>
          <w:lang w:val="en-CA"/>
        </w:rPr>
        <w:t>, and the Government and i</w:t>
      </w:r>
      <w:r w:rsidRPr="005F4798">
        <w:rPr>
          <w:lang w:val="en-CA"/>
        </w:rPr>
        <w:t xml:space="preserve">ndustrial associations </w:t>
      </w:r>
      <w:r>
        <w:rPr>
          <w:lang w:val="en-CA"/>
        </w:rPr>
        <w:t xml:space="preserve">will </w:t>
      </w:r>
      <w:r w:rsidRPr="005F4798">
        <w:rPr>
          <w:lang w:val="en-CA"/>
        </w:rPr>
        <w:t>promote the use of low-</w:t>
      </w:r>
      <w:r>
        <w:rPr>
          <w:lang w:val="en-CA"/>
        </w:rPr>
        <w:t>GWP</w:t>
      </w:r>
      <w:r w:rsidRPr="005F4798">
        <w:rPr>
          <w:lang w:val="en-CA"/>
        </w:rPr>
        <w:t xml:space="preserve"> technologies </w:t>
      </w:r>
      <w:r>
        <w:rPr>
          <w:lang w:val="en-CA"/>
        </w:rPr>
        <w:t>among</w:t>
      </w:r>
      <w:r w:rsidRPr="005F4798">
        <w:rPr>
          <w:lang w:val="en-CA"/>
        </w:rPr>
        <w:t xml:space="preserve"> manufacturing industries</w:t>
      </w:r>
      <w:r>
        <w:rPr>
          <w:lang w:val="en-CA"/>
        </w:rPr>
        <w:t>.</w:t>
      </w:r>
    </w:p>
    <w:p w14:paraId="2926B814" w14:textId="77777777" w:rsidR="00AA5A06" w:rsidRPr="008B3549" w:rsidRDefault="00AA5A06" w:rsidP="00AA5A06">
      <w:pPr>
        <w:pStyle w:val="Heading1"/>
        <w:rPr>
          <w:lang w:val="en-CA"/>
        </w:rPr>
      </w:pPr>
      <w:r>
        <w:rPr>
          <w:lang w:val="en-CA"/>
        </w:rPr>
        <w:t>Noting the uncertainty with regard to the commercialization of the product on the local market, t</w:t>
      </w:r>
      <w:r w:rsidRPr="00B72F02">
        <w:rPr>
          <w:lang w:val="en-CA"/>
        </w:rPr>
        <w:t>he Secretariat</w:t>
      </w:r>
      <w:r>
        <w:rPr>
          <w:lang w:val="en-CA"/>
        </w:rPr>
        <w:t xml:space="preserve"> </w:t>
      </w:r>
      <w:r w:rsidRPr="00B72F02">
        <w:rPr>
          <w:lang w:val="en-CA"/>
        </w:rPr>
        <w:t xml:space="preserve">asked </w:t>
      </w:r>
      <w:r>
        <w:rPr>
          <w:lang w:val="en-CA"/>
        </w:rPr>
        <w:t>whether,</w:t>
      </w:r>
      <w:r w:rsidRPr="00B72F02">
        <w:rPr>
          <w:lang w:val="en-CA"/>
        </w:rPr>
        <w:t xml:space="preserve"> </w:t>
      </w:r>
      <w:r>
        <w:rPr>
          <w:lang w:val="en-CA"/>
        </w:rPr>
        <w:t>in</w:t>
      </w:r>
      <w:r w:rsidRPr="00B72F02">
        <w:rPr>
          <w:lang w:val="en-CA"/>
        </w:rPr>
        <w:t xml:space="preserve"> implementing this project</w:t>
      </w:r>
      <w:r>
        <w:rPr>
          <w:lang w:val="en-CA"/>
        </w:rPr>
        <w:t>,</w:t>
      </w:r>
      <w:r w:rsidRPr="00B72F02">
        <w:rPr>
          <w:lang w:val="en-CA"/>
        </w:rPr>
        <w:t xml:space="preserve"> the enterprise c</w:t>
      </w:r>
      <w:r>
        <w:rPr>
          <w:lang w:val="en-CA"/>
        </w:rPr>
        <w:t>ould commit not to increase HFC</w:t>
      </w:r>
      <w:r>
        <w:rPr>
          <w:lang w:val="en-CA"/>
        </w:rPr>
        <w:noBreakHyphen/>
      </w:r>
      <w:r w:rsidRPr="00B72F02">
        <w:rPr>
          <w:lang w:val="en-CA"/>
        </w:rPr>
        <w:t>based manufacturing in other lines</w:t>
      </w:r>
      <w:r>
        <w:rPr>
          <w:lang w:val="en-CA"/>
        </w:rPr>
        <w:t xml:space="preserve"> in order to compensate for the possible low sales of the C5+HFO</w:t>
      </w:r>
      <w:r>
        <w:rPr>
          <w:lang w:val="en-CA"/>
        </w:rPr>
        <w:noBreakHyphen/>
        <w:t>based products.</w:t>
      </w:r>
      <w:r w:rsidRPr="00B72F02">
        <w:rPr>
          <w:lang w:val="en-CA"/>
        </w:rPr>
        <w:t xml:space="preserve"> The enterprise</w:t>
      </w:r>
      <w:r>
        <w:rPr>
          <w:lang w:val="en-CA"/>
        </w:rPr>
        <w:t xml:space="preserve"> can, however, </w:t>
      </w:r>
      <w:r w:rsidRPr="00B72F02">
        <w:rPr>
          <w:lang w:val="en-CA"/>
        </w:rPr>
        <w:t xml:space="preserve">commit </w:t>
      </w:r>
      <w:r>
        <w:rPr>
          <w:lang w:val="en-CA"/>
        </w:rPr>
        <w:t xml:space="preserve">only </w:t>
      </w:r>
      <w:r w:rsidRPr="00B72F02">
        <w:rPr>
          <w:lang w:val="en-CA"/>
        </w:rPr>
        <w:t xml:space="preserve">to </w:t>
      </w:r>
      <w:r>
        <w:rPr>
          <w:lang w:val="en-CA"/>
        </w:rPr>
        <w:t xml:space="preserve">ceasing the </w:t>
      </w:r>
      <w:r w:rsidRPr="00B72F02">
        <w:rPr>
          <w:lang w:val="en-CA"/>
        </w:rPr>
        <w:t xml:space="preserve">use </w:t>
      </w:r>
      <w:r>
        <w:rPr>
          <w:lang w:val="en-CA"/>
        </w:rPr>
        <w:t xml:space="preserve">of </w:t>
      </w:r>
      <w:r w:rsidRPr="00B72F02">
        <w:rPr>
          <w:lang w:val="en-CA"/>
        </w:rPr>
        <w:t>ODS or high</w:t>
      </w:r>
      <w:r>
        <w:rPr>
          <w:lang w:val="en-CA"/>
        </w:rPr>
        <w:noBreakHyphen/>
      </w:r>
      <w:r w:rsidRPr="00B72F02">
        <w:rPr>
          <w:lang w:val="en-CA"/>
        </w:rPr>
        <w:t xml:space="preserve">GWP HFC in the converted line. </w:t>
      </w:r>
    </w:p>
    <w:p w14:paraId="4D708EF0" w14:textId="77777777" w:rsidR="00AA5A06" w:rsidRDefault="00AA5A06" w:rsidP="00AA5A06">
      <w:pPr>
        <w:keepNext/>
        <w:keepLines/>
        <w:rPr>
          <w:u w:val="single"/>
          <w:lang w:val="en-CA"/>
        </w:rPr>
      </w:pPr>
      <w:r w:rsidRPr="00C94414">
        <w:rPr>
          <w:u w:val="single"/>
          <w:lang w:val="en-CA"/>
        </w:rPr>
        <w:lastRenderedPageBreak/>
        <w:t>Incremental cost calculations</w:t>
      </w:r>
    </w:p>
    <w:p w14:paraId="72286573" w14:textId="77777777" w:rsidR="00AA5A06" w:rsidRPr="00C94414" w:rsidRDefault="00AA5A06" w:rsidP="00AA5A06">
      <w:pPr>
        <w:keepNext/>
        <w:keepLines/>
        <w:rPr>
          <w:u w:val="single"/>
          <w:lang w:val="en-CA"/>
        </w:rPr>
      </w:pPr>
    </w:p>
    <w:p w14:paraId="12C8EBEF" w14:textId="77777777" w:rsidR="00AA5A06" w:rsidRDefault="00AA5A06" w:rsidP="00AA5A06">
      <w:pPr>
        <w:pStyle w:val="Heading1"/>
        <w:keepNext/>
        <w:keepLines/>
        <w:rPr>
          <w:lang w:val="en-CA"/>
        </w:rPr>
      </w:pPr>
      <w:r w:rsidRPr="00295C5B">
        <w:rPr>
          <w:lang w:val="en-CA"/>
        </w:rPr>
        <w:t xml:space="preserve">UNDP informed </w:t>
      </w:r>
      <w:r>
        <w:rPr>
          <w:lang w:val="en-CA"/>
        </w:rPr>
        <w:t xml:space="preserve">the Secretariat </w:t>
      </w:r>
      <w:r w:rsidRPr="00295C5B">
        <w:rPr>
          <w:lang w:val="en-CA"/>
        </w:rPr>
        <w:t>that ther</w:t>
      </w:r>
      <w:r>
        <w:rPr>
          <w:lang w:val="en-CA"/>
        </w:rPr>
        <w:t>e</w:t>
      </w:r>
      <w:r w:rsidRPr="00295C5B">
        <w:rPr>
          <w:lang w:val="en-CA"/>
        </w:rPr>
        <w:t xml:space="preserve"> is </w:t>
      </w:r>
      <w:r>
        <w:rPr>
          <w:lang w:val="en-CA"/>
        </w:rPr>
        <w:t xml:space="preserve">a </w:t>
      </w:r>
      <w:r w:rsidRPr="00295C5B">
        <w:rPr>
          <w:lang w:val="en-CA"/>
        </w:rPr>
        <w:t>supply of HFO-1233zd in China</w:t>
      </w:r>
      <w:r>
        <w:rPr>
          <w:lang w:val="en-CA"/>
        </w:rPr>
        <w:t xml:space="preserve">, and that </w:t>
      </w:r>
      <w:r w:rsidRPr="00295C5B">
        <w:rPr>
          <w:lang w:val="en-CA"/>
        </w:rPr>
        <w:t xml:space="preserve">Hisense </w:t>
      </w:r>
      <w:proofErr w:type="spellStart"/>
      <w:r w:rsidRPr="00295C5B">
        <w:rPr>
          <w:lang w:val="en-CA"/>
        </w:rPr>
        <w:t>Kelon</w:t>
      </w:r>
      <w:proofErr w:type="spellEnd"/>
      <w:r w:rsidRPr="00295C5B">
        <w:rPr>
          <w:lang w:val="en-CA"/>
        </w:rPr>
        <w:t xml:space="preserve"> is already producing </w:t>
      </w:r>
      <w:r>
        <w:rPr>
          <w:lang w:val="en-CA"/>
        </w:rPr>
        <w:t>one</w:t>
      </w:r>
      <w:r w:rsidRPr="00295C5B">
        <w:rPr>
          <w:lang w:val="en-CA"/>
        </w:rPr>
        <w:t xml:space="preserve"> million refrigerators with C5+HFO-1233zd.</w:t>
      </w:r>
      <w:r>
        <w:rPr>
          <w:lang w:val="en-CA"/>
        </w:rPr>
        <w:t xml:space="preserve"> In this regard, </w:t>
      </w:r>
      <w:r w:rsidRPr="00956801">
        <w:rPr>
          <w:lang w:val="en-CA"/>
        </w:rPr>
        <w:t xml:space="preserve">the Secretariat enquired </w:t>
      </w:r>
      <w:r>
        <w:rPr>
          <w:lang w:val="en-CA"/>
        </w:rPr>
        <w:t>whether</w:t>
      </w:r>
      <w:r w:rsidRPr="00956801">
        <w:rPr>
          <w:lang w:val="en-CA"/>
        </w:rPr>
        <w:t xml:space="preserve"> </w:t>
      </w:r>
      <w:r>
        <w:rPr>
          <w:lang w:val="en-CA"/>
        </w:rPr>
        <w:t xml:space="preserve">it </w:t>
      </w:r>
      <w:r w:rsidRPr="00956801">
        <w:rPr>
          <w:lang w:val="en-CA"/>
        </w:rPr>
        <w:t>would already</w:t>
      </w:r>
      <w:r>
        <w:rPr>
          <w:lang w:val="en-CA"/>
        </w:rPr>
        <w:t xml:space="preserve"> be</w:t>
      </w:r>
      <w:r w:rsidRPr="00956801">
        <w:rPr>
          <w:lang w:val="en-CA"/>
        </w:rPr>
        <w:t xml:space="preserve"> in position to provide information on the ICC</w:t>
      </w:r>
      <w:r>
        <w:rPr>
          <w:lang w:val="en-CA"/>
        </w:rPr>
        <w:t>s</w:t>
      </w:r>
      <w:r w:rsidRPr="00956801">
        <w:rPr>
          <w:lang w:val="en-CA"/>
        </w:rPr>
        <w:t xml:space="preserve"> and IOC</w:t>
      </w:r>
      <w:r>
        <w:rPr>
          <w:lang w:val="en-CA"/>
        </w:rPr>
        <w:t>s</w:t>
      </w:r>
      <w:r w:rsidRPr="00956801">
        <w:rPr>
          <w:lang w:val="en-CA"/>
        </w:rPr>
        <w:t xml:space="preserve"> of each of the products </w:t>
      </w:r>
      <w:r>
        <w:rPr>
          <w:lang w:val="en-CA"/>
        </w:rPr>
        <w:t xml:space="preserve">converted from HFC to </w:t>
      </w:r>
      <w:r w:rsidRPr="00956801">
        <w:rPr>
          <w:lang w:val="en-CA"/>
        </w:rPr>
        <w:t xml:space="preserve">HFO. UNDP explained that </w:t>
      </w:r>
      <w:r>
        <w:rPr>
          <w:lang w:val="en-CA"/>
        </w:rPr>
        <w:t xml:space="preserve">the </w:t>
      </w:r>
      <w:r w:rsidRPr="00956801">
        <w:rPr>
          <w:lang w:val="en-CA"/>
        </w:rPr>
        <w:t xml:space="preserve">conversion </w:t>
      </w:r>
      <w:r>
        <w:rPr>
          <w:lang w:val="en-CA"/>
        </w:rPr>
        <w:t xml:space="preserve">had been rather </w:t>
      </w:r>
      <w:r w:rsidRPr="00956801">
        <w:rPr>
          <w:lang w:val="en-CA"/>
        </w:rPr>
        <w:t>complicated</w:t>
      </w:r>
      <w:r>
        <w:rPr>
          <w:lang w:val="en-CA"/>
        </w:rPr>
        <w:t xml:space="preserve"> and </w:t>
      </w:r>
      <w:r w:rsidRPr="00956801">
        <w:rPr>
          <w:lang w:val="en-CA"/>
        </w:rPr>
        <w:t>includ</w:t>
      </w:r>
      <w:r>
        <w:rPr>
          <w:lang w:val="en-CA"/>
        </w:rPr>
        <w:t>ed</w:t>
      </w:r>
      <w:r w:rsidRPr="00956801">
        <w:rPr>
          <w:lang w:val="en-CA"/>
        </w:rPr>
        <w:t xml:space="preserve"> procurement of equipment</w:t>
      </w:r>
      <w:r>
        <w:rPr>
          <w:lang w:val="en-CA"/>
        </w:rPr>
        <w:t>, part of which would not be i</w:t>
      </w:r>
      <w:r w:rsidRPr="00956801">
        <w:rPr>
          <w:lang w:val="en-CA"/>
        </w:rPr>
        <w:t xml:space="preserve">ncremental </w:t>
      </w:r>
      <w:r>
        <w:rPr>
          <w:lang w:val="en-CA"/>
        </w:rPr>
        <w:t xml:space="preserve">under </w:t>
      </w:r>
      <w:r w:rsidRPr="00956801">
        <w:rPr>
          <w:lang w:val="en-CA"/>
        </w:rPr>
        <w:t>the Multilateral Fund.</w:t>
      </w:r>
    </w:p>
    <w:p w14:paraId="410FECBE" w14:textId="77777777" w:rsidR="00AA5A06" w:rsidRDefault="00AA5A06" w:rsidP="00AA5A06">
      <w:pPr>
        <w:pStyle w:val="Heading1"/>
        <w:rPr>
          <w:lang w:val="en-CA"/>
        </w:rPr>
      </w:pPr>
      <w:r>
        <w:rPr>
          <w:lang w:val="en-CA"/>
        </w:rPr>
        <w:t xml:space="preserve">With regard to </w:t>
      </w:r>
      <w:r w:rsidRPr="0095150B">
        <w:rPr>
          <w:lang w:val="en-CA"/>
        </w:rPr>
        <w:t xml:space="preserve">the equipment </w:t>
      </w:r>
      <w:r>
        <w:rPr>
          <w:lang w:val="en-CA"/>
        </w:rPr>
        <w:t>included in the project proposal</w:t>
      </w:r>
      <w:r w:rsidRPr="0095150B">
        <w:rPr>
          <w:lang w:val="en-CA"/>
        </w:rPr>
        <w:t xml:space="preserve">, </w:t>
      </w:r>
      <w:r>
        <w:rPr>
          <w:lang w:val="en-CA"/>
        </w:rPr>
        <w:t>UNDP highlighted</w:t>
      </w:r>
      <w:r w:rsidRPr="0095150B">
        <w:rPr>
          <w:lang w:val="en-CA"/>
        </w:rPr>
        <w:t xml:space="preserve"> that HFO-1233zd has different characteristics </w:t>
      </w:r>
      <w:r>
        <w:rPr>
          <w:lang w:val="en-CA"/>
        </w:rPr>
        <w:t>from</w:t>
      </w:r>
      <w:r w:rsidRPr="0095150B">
        <w:rPr>
          <w:lang w:val="en-CA"/>
        </w:rPr>
        <w:t xml:space="preserve"> HFC-245fa, including </w:t>
      </w:r>
      <w:r>
        <w:rPr>
          <w:lang w:val="en-CA"/>
        </w:rPr>
        <w:t xml:space="preserve">in terms of </w:t>
      </w:r>
      <w:r w:rsidRPr="0095150B">
        <w:rPr>
          <w:lang w:val="en-CA"/>
        </w:rPr>
        <w:t>solvency and thermal</w:t>
      </w:r>
      <w:r>
        <w:rPr>
          <w:lang w:val="en-CA"/>
        </w:rPr>
        <w:t xml:space="preserve"> </w:t>
      </w:r>
      <w:r w:rsidRPr="0095150B">
        <w:rPr>
          <w:lang w:val="en-CA"/>
        </w:rPr>
        <w:t xml:space="preserve">sensitivity. </w:t>
      </w:r>
      <w:r>
        <w:rPr>
          <w:lang w:val="en-CA"/>
        </w:rPr>
        <w:t>T</w:t>
      </w:r>
      <w:r w:rsidRPr="0095150B">
        <w:rPr>
          <w:lang w:val="en-CA"/>
        </w:rPr>
        <w:t>he equipment related to pre-mixing, storage</w:t>
      </w:r>
      <w:r>
        <w:rPr>
          <w:lang w:val="en-CA"/>
        </w:rPr>
        <w:t xml:space="preserve"> and the</w:t>
      </w:r>
      <w:r w:rsidRPr="0095150B">
        <w:rPr>
          <w:lang w:val="en-CA"/>
        </w:rPr>
        <w:t xml:space="preserve"> foaming process </w:t>
      </w:r>
      <w:r>
        <w:rPr>
          <w:lang w:val="en-CA"/>
        </w:rPr>
        <w:t>needs</w:t>
      </w:r>
      <w:r w:rsidRPr="0095150B">
        <w:rPr>
          <w:lang w:val="en-CA"/>
        </w:rPr>
        <w:t xml:space="preserve"> to be converted</w:t>
      </w:r>
      <w:r>
        <w:rPr>
          <w:lang w:val="en-CA"/>
        </w:rPr>
        <w:t xml:space="preserve"> to be </w:t>
      </w:r>
      <w:r w:rsidRPr="0095150B">
        <w:rPr>
          <w:lang w:val="en-CA"/>
        </w:rPr>
        <w:t xml:space="preserve">suitable for </w:t>
      </w:r>
      <w:r>
        <w:rPr>
          <w:lang w:val="en-CA"/>
        </w:rPr>
        <w:t>HFO</w:t>
      </w:r>
      <w:r w:rsidRPr="0095150B">
        <w:rPr>
          <w:lang w:val="en-CA"/>
        </w:rPr>
        <w:t xml:space="preserve"> application</w:t>
      </w:r>
      <w:r>
        <w:rPr>
          <w:lang w:val="en-CA"/>
        </w:rPr>
        <w:t>s</w:t>
      </w:r>
      <w:r w:rsidRPr="0095150B">
        <w:rPr>
          <w:lang w:val="en-CA"/>
        </w:rPr>
        <w:t>. Since the stability of HFO is poorer than that of HFC-245fa</w:t>
      </w:r>
      <w:r>
        <w:rPr>
          <w:lang w:val="en-CA"/>
        </w:rPr>
        <w:t>,</w:t>
      </w:r>
      <w:r w:rsidRPr="0095150B">
        <w:rPr>
          <w:lang w:val="en-CA"/>
        </w:rPr>
        <w:t xml:space="preserve"> </w:t>
      </w:r>
      <w:r>
        <w:rPr>
          <w:lang w:val="en-CA"/>
        </w:rPr>
        <w:t xml:space="preserve">owing </w:t>
      </w:r>
      <w:r w:rsidRPr="0095150B">
        <w:rPr>
          <w:lang w:val="en-CA"/>
        </w:rPr>
        <w:t>to its d</w:t>
      </w:r>
      <w:r>
        <w:rPr>
          <w:lang w:val="en-CA"/>
        </w:rPr>
        <w:t xml:space="preserve">ouble </w:t>
      </w:r>
      <w:r w:rsidRPr="0095150B">
        <w:rPr>
          <w:lang w:val="en-CA"/>
        </w:rPr>
        <w:t xml:space="preserve">bond, </w:t>
      </w:r>
      <w:r>
        <w:rPr>
          <w:lang w:val="en-CA"/>
        </w:rPr>
        <w:t xml:space="preserve">there will be </w:t>
      </w:r>
      <w:r w:rsidRPr="0095150B">
        <w:rPr>
          <w:lang w:val="en-CA"/>
        </w:rPr>
        <w:t xml:space="preserve">more stringent requirements </w:t>
      </w:r>
      <w:r>
        <w:rPr>
          <w:lang w:val="en-CA"/>
        </w:rPr>
        <w:t xml:space="preserve">placed </w:t>
      </w:r>
      <w:r w:rsidRPr="0095150B">
        <w:rPr>
          <w:lang w:val="en-CA"/>
        </w:rPr>
        <w:t>on pre-mixing and storage facilities</w:t>
      </w:r>
      <w:r>
        <w:rPr>
          <w:lang w:val="en-CA"/>
        </w:rPr>
        <w:t xml:space="preserve"> that</w:t>
      </w:r>
      <w:r w:rsidRPr="0095150B">
        <w:rPr>
          <w:lang w:val="en-CA"/>
        </w:rPr>
        <w:t xml:space="preserve"> cannot be </w:t>
      </w:r>
      <w:r>
        <w:rPr>
          <w:lang w:val="en-CA"/>
        </w:rPr>
        <w:t>met</w:t>
      </w:r>
      <w:r w:rsidRPr="0095150B">
        <w:rPr>
          <w:lang w:val="en-CA"/>
        </w:rPr>
        <w:t xml:space="preserve"> with the existing equipment for HFC-245fa. </w:t>
      </w:r>
      <w:r>
        <w:rPr>
          <w:lang w:val="en-CA"/>
        </w:rPr>
        <w:t>I</w:t>
      </w:r>
      <w:r w:rsidRPr="0095150B">
        <w:rPr>
          <w:lang w:val="en-CA"/>
        </w:rPr>
        <w:t xml:space="preserve">t might be possible to replace HFC-245fa </w:t>
      </w:r>
      <w:r>
        <w:rPr>
          <w:lang w:val="en-CA"/>
        </w:rPr>
        <w:t xml:space="preserve">with HFOs in </w:t>
      </w:r>
      <w:r w:rsidRPr="0095150B">
        <w:rPr>
          <w:lang w:val="en-CA"/>
        </w:rPr>
        <w:t>the newest equipment</w:t>
      </w:r>
      <w:r>
        <w:rPr>
          <w:lang w:val="en-CA"/>
        </w:rPr>
        <w:t xml:space="preserve"> </w:t>
      </w:r>
      <w:r w:rsidRPr="0095150B">
        <w:rPr>
          <w:lang w:val="en-CA"/>
        </w:rPr>
        <w:t xml:space="preserve">without substantial </w:t>
      </w:r>
      <w:r>
        <w:rPr>
          <w:lang w:val="en-CA"/>
        </w:rPr>
        <w:t xml:space="preserve">ICCs; however, the current equipment of the enterprise would require </w:t>
      </w:r>
      <w:r w:rsidRPr="0095150B">
        <w:rPr>
          <w:lang w:val="en-CA"/>
        </w:rPr>
        <w:t>substantial change</w:t>
      </w:r>
      <w:r>
        <w:rPr>
          <w:lang w:val="en-CA"/>
        </w:rPr>
        <w:t>s</w:t>
      </w:r>
      <w:r w:rsidRPr="0095150B">
        <w:rPr>
          <w:lang w:val="en-CA"/>
        </w:rPr>
        <w:t xml:space="preserve"> or </w:t>
      </w:r>
      <w:r>
        <w:rPr>
          <w:lang w:val="en-CA"/>
        </w:rPr>
        <w:t>complete replacement</w:t>
      </w:r>
      <w:r w:rsidRPr="0095150B">
        <w:rPr>
          <w:lang w:val="en-CA"/>
        </w:rPr>
        <w:t>.</w:t>
      </w:r>
    </w:p>
    <w:p w14:paraId="1AFA025A" w14:textId="77777777" w:rsidR="00AA5A06" w:rsidRPr="00401C35" w:rsidRDefault="00AA5A06" w:rsidP="00AA5A06">
      <w:pPr>
        <w:pStyle w:val="Heading1"/>
        <w:rPr>
          <w:lang w:val="en-CA"/>
        </w:rPr>
      </w:pPr>
      <w:r w:rsidRPr="00401C35">
        <w:rPr>
          <w:lang w:val="en-CA"/>
        </w:rPr>
        <w:t xml:space="preserve">After reviewing existing information on HFOs and consulting a foam expert, </w:t>
      </w:r>
      <w:r>
        <w:rPr>
          <w:lang w:val="en-CA"/>
        </w:rPr>
        <w:t xml:space="preserve">however, </w:t>
      </w:r>
      <w:r w:rsidRPr="00401C35">
        <w:rPr>
          <w:lang w:val="en-CA"/>
        </w:rPr>
        <w:t xml:space="preserve">the Secretariat </w:t>
      </w:r>
      <w:r>
        <w:rPr>
          <w:lang w:val="en-CA"/>
        </w:rPr>
        <w:t xml:space="preserve">considered the equipment items in the project proposal are not incremental for </w:t>
      </w:r>
      <w:r w:rsidRPr="00401C35">
        <w:rPr>
          <w:lang w:val="en-CA"/>
        </w:rPr>
        <w:t>the following</w:t>
      </w:r>
      <w:r>
        <w:rPr>
          <w:lang w:val="en-CA"/>
        </w:rPr>
        <w:t xml:space="preserve"> reasons</w:t>
      </w:r>
      <w:r w:rsidRPr="00401C35">
        <w:rPr>
          <w:lang w:val="en-CA"/>
        </w:rPr>
        <w:t>:</w:t>
      </w:r>
    </w:p>
    <w:p w14:paraId="0438FB8F" w14:textId="77777777" w:rsidR="00AA5A06" w:rsidRPr="00956801" w:rsidRDefault="00AA5A06" w:rsidP="00AA5A06">
      <w:pPr>
        <w:pStyle w:val="Heading2"/>
        <w:numPr>
          <w:ilvl w:val="1"/>
          <w:numId w:val="1"/>
        </w:numPr>
        <w:rPr>
          <w:lang w:val="en-CA"/>
        </w:rPr>
      </w:pPr>
      <w:r>
        <w:rPr>
          <w:lang w:val="en-CA"/>
        </w:rPr>
        <w:t>A</w:t>
      </w:r>
      <w:r w:rsidRPr="00956801">
        <w:rPr>
          <w:lang w:val="en-CA"/>
        </w:rPr>
        <w:t>ccording to the HFO-1233zd manufacturer, one of the main strengths of this blowing agent is t</w:t>
      </w:r>
      <w:r>
        <w:rPr>
          <w:lang w:val="en-CA"/>
        </w:rPr>
        <w:t>hat it can</w:t>
      </w:r>
      <w:r w:rsidRPr="00956801">
        <w:rPr>
          <w:lang w:val="en-CA"/>
        </w:rPr>
        <w:t xml:space="preserve"> be a “near drop-in replacement for liquid HCFC</w:t>
      </w:r>
      <w:r>
        <w:rPr>
          <w:lang w:val="en-CA"/>
        </w:rPr>
        <w:t>s</w:t>
      </w:r>
      <w:r w:rsidRPr="00956801">
        <w:rPr>
          <w:lang w:val="en-CA"/>
        </w:rPr>
        <w:t>, HFC</w:t>
      </w:r>
      <w:r>
        <w:rPr>
          <w:lang w:val="en-CA"/>
        </w:rPr>
        <w:t>s</w:t>
      </w:r>
      <w:r w:rsidRPr="00956801">
        <w:rPr>
          <w:lang w:val="en-CA"/>
        </w:rPr>
        <w:t xml:space="preserve">, </w:t>
      </w:r>
      <w:r>
        <w:rPr>
          <w:lang w:val="en-CA"/>
        </w:rPr>
        <w:t>hydrocarbons (</w:t>
      </w:r>
      <w:r w:rsidRPr="00956801">
        <w:rPr>
          <w:lang w:val="en-CA"/>
        </w:rPr>
        <w:t>HC</w:t>
      </w:r>
      <w:r>
        <w:rPr>
          <w:lang w:val="en-CA"/>
        </w:rPr>
        <w:t>s)</w:t>
      </w:r>
      <w:r w:rsidRPr="00956801">
        <w:rPr>
          <w:lang w:val="en-CA"/>
        </w:rPr>
        <w:t xml:space="preserve"> and other non-fluorocarbon blowing agents”;</w:t>
      </w:r>
    </w:p>
    <w:p w14:paraId="19174DA8" w14:textId="77777777" w:rsidR="00AA5A06" w:rsidRPr="00956801" w:rsidRDefault="00AA5A06" w:rsidP="00AA5A06">
      <w:pPr>
        <w:pStyle w:val="Heading2"/>
        <w:numPr>
          <w:ilvl w:val="1"/>
          <w:numId w:val="1"/>
        </w:numPr>
        <w:rPr>
          <w:lang w:val="en-CA"/>
        </w:rPr>
      </w:pPr>
      <w:r w:rsidRPr="00956801">
        <w:rPr>
          <w:lang w:val="en-CA"/>
        </w:rPr>
        <w:t xml:space="preserve">The last report of the </w:t>
      </w:r>
      <w:r>
        <w:rPr>
          <w:lang w:val="en-CA"/>
        </w:rPr>
        <w:t>R</w:t>
      </w:r>
      <w:r w:rsidRPr="00956801">
        <w:rPr>
          <w:lang w:val="en-CA"/>
        </w:rPr>
        <w:t xml:space="preserve">igid and </w:t>
      </w:r>
      <w:r>
        <w:rPr>
          <w:lang w:val="en-CA"/>
        </w:rPr>
        <w:t>F</w:t>
      </w:r>
      <w:r w:rsidRPr="00956801">
        <w:rPr>
          <w:lang w:val="en-CA"/>
        </w:rPr>
        <w:t xml:space="preserve">lexible </w:t>
      </w:r>
      <w:r>
        <w:rPr>
          <w:lang w:val="en-CA"/>
        </w:rPr>
        <w:t>F</w:t>
      </w:r>
      <w:r w:rsidRPr="00956801">
        <w:rPr>
          <w:lang w:val="en-CA"/>
        </w:rPr>
        <w:t xml:space="preserve">oam </w:t>
      </w:r>
      <w:r>
        <w:rPr>
          <w:lang w:val="en-CA"/>
        </w:rPr>
        <w:t>T</w:t>
      </w:r>
      <w:r w:rsidRPr="00956801">
        <w:rPr>
          <w:lang w:val="en-CA"/>
        </w:rPr>
        <w:t xml:space="preserve">echnical </w:t>
      </w:r>
      <w:r>
        <w:rPr>
          <w:lang w:val="en-CA"/>
        </w:rPr>
        <w:t>O</w:t>
      </w:r>
      <w:r w:rsidRPr="00956801">
        <w:rPr>
          <w:lang w:val="en-CA"/>
        </w:rPr>
        <w:t xml:space="preserve">ptions </w:t>
      </w:r>
      <w:r>
        <w:rPr>
          <w:lang w:val="en-CA"/>
        </w:rPr>
        <w:t>C</w:t>
      </w:r>
      <w:r w:rsidRPr="00956801">
        <w:rPr>
          <w:lang w:val="en-CA"/>
        </w:rPr>
        <w:t xml:space="preserve">ommittee of </w:t>
      </w:r>
      <w:r>
        <w:rPr>
          <w:lang w:val="en-CA"/>
        </w:rPr>
        <w:t xml:space="preserve">the </w:t>
      </w:r>
      <w:r w:rsidRPr="00956801">
        <w:rPr>
          <w:lang w:val="en-CA"/>
        </w:rPr>
        <w:t>T</w:t>
      </w:r>
      <w:r>
        <w:rPr>
          <w:lang w:val="en-CA"/>
        </w:rPr>
        <w:t>echnology and Economic Assessment Panel</w:t>
      </w:r>
      <w:r w:rsidRPr="00956801">
        <w:rPr>
          <w:lang w:val="en-CA"/>
        </w:rPr>
        <w:t xml:space="preserve"> (2014) also highlights the low </w:t>
      </w:r>
      <w:r>
        <w:rPr>
          <w:lang w:val="en-CA"/>
        </w:rPr>
        <w:t>ICCs</w:t>
      </w:r>
      <w:r w:rsidRPr="00956801">
        <w:rPr>
          <w:lang w:val="en-CA"/>
        </w:rPr>
        <w:t xml:space="preserve"> required for manufacturing appliances</w:t>
      </w:r>
      <w:r>
        <w:rPr>
          <w:lang w:val="en-CA"/>
        </w:rPr>
        <w:t>,</w:t>
      </w:r>
      <w:r w:rsidRPr="00956801">
        <w:rPr>
          <w:lang w:val="en-CA"/>
        </w:rPr>
        <w:t xml:space="preserve"> including </w:t>
      </w:r>
      <w:r>
        <w:rPr>
          <w:lang w:val="en-CA"/>
        </w:rPr>
        <w:t xml:space="preserve">those for </w:t>
      </w:r>
      <w:r w:rsidRPr="00956801">
        <w:rPr>
          <w:lang w:val="en-CA"/>
        </w:rPr>
        <w:t>domestic and commercial refrigeration</w:t>
      </w:r>
      <w:r>
        <w:rPr>
          <w:lang w:val="en-CA"/>
        </w:rPr>
        <w:t>,</w:t>
      </w:r>
      <w:r w:rsidRPr="00956801">
        <w:rPr>
          <w:lang w:val="en-CA"/>
        </w:rPr>
        <w:t xml:space="preserve"> </w:t>
      </w:r>
      <w:r>
        <w:rPr>
          <w:lang w:val="en-CA"/>
        </w:rPr>
        <w:t>using</w:t>
      </w:r>
      <w:r w:rsidRPr="00956801">
        <w:rPr>
          <w:lang w:val="en-CA"/>
        </w:rPr>
        <w:t xml:space="preserve"> HFO, and </w:t>
      </w:r>
      <w:r>
        <w:rPr>
          <w:lang w:val="en-CA"/>
        </w:rPr>
        <w:t>the superior</w:t>
      </w:r>
      <w:r w:rsidRPr="00956801">
        <w:rPr>
          <w:lang w:val="en-CA"/>
        </w:rPr>
        <w:t xml:space="preserve"> energy</w:t>
      </w:r>
      <w:r>
        <w:rPr>
          <w:lang w:val="en-CA"/>
        </w:rPr>
        <w:t>-</w:t>
      </w:r>
      <w:r w:rsidRPr="00956801">
        <w:rPr>
          <w:lang w:val="en-CA"/>
        </w:rPr>
        <w:t xml:space="preserve">efficiency performance </w:t>
      </w:r>
      <w:r>
        <w:rPr>
          <w:lang w:val="en-CA"/>
        </w:rPr>
        <w:t xml:space="preserve">in relation to </w:t>
      </w:r>
      <w:r w:rsidRPr="00956801">
        <w:rPr>
          <w:lang w:val="en-CA"/>
        </w:rPr>
        <w:t>saturated HFCs; the only disadvantage is the high operating cost;</w:t>
      </w:r>
    </w:p>
    <w:p w14:paraId="2E0ADC0E" w14:textId="77777777" w:rsidR="00AA5A06" w:rsidRPr="00956801" w:rsidRDefault="00AA5A06" w:rsidP="00AA5A06">
      <w:pPr>
        <w:pStyle w:val="Heading2"/>
        <w:numPr>
          <w:ilvl w:val="1"/>
          <w:numId w:val="1"/>
        </w:numPr>
        <w:rPr>
          <w:lang w:val="en-CA"/>
        </w:rPr>
      </w:pPr>
      <w:r w:rsidRPr="00956801">
        <w:rPr>
          <w:lang w:val="en-CA"/>
        </w:rPr>
        <w:t>The</w:t>
      </w:r>
      <w:r>
        <w:rPr>
          <w:lang w:val="en-CA"/>
        </w:rPr>
        <w:t xml:space="preserve"> study on</w:t>
      </w:r>
      <w:r w:rsidRPr="00956801">
        <w:rPr>
          <w:lang w:val="en-CA"/>
        </w:rPr>
        <w:t xml:space="preserve"> “Blowing </w:t>
      </w:r>
      <w:r>
        <w:rPr>
          <w:lang w:val="en-CA"/>
        </w:rPr>
        <w:t>a</w:t>
      </w:r>
      <w:r w:rsidRPr="00956801">
        <w:rPr>
          <w:lang w:val="en-CA"/>
        </w:rPr>
        <w:t xml:space="preserve">gent </w:t>
      </w:r>
      <w:r>
        <w:rPr>
          <w:lang w:val="en-CA"/>
        </w:rPr>
        <w:t>c</w:t>
      </w:r>
      <w:r w:rsidRPr="00956801">
        <w:rPr>
          <w:lang w:val="en-CA"/>
        </w:rPr>
        <w:t>onversions from HCFC-141</w:t>
      </w:r>
      <w:r>
        <w:rPr>
          <w:lang w:val="en-CA"/>
        </w:rPr>
        <w:t>b</w:t>
      </w:r>
      <w:r w:rsidRPr="00956801">
        <w:rPr>
          <w:lang w:val="en-CA"/>
        </w:rPr>
        <w:t xml:space="preserve"> to </w:t>
      </w:r>
      <w:r>
        <w:rPr>
          <w:lang w:val="en-CA"/>
        </w:rPr>
        <w:t>alternatives in Article 5 countries,”</w:t>
      </w:r>
      <w:r w:rsidRPr="00956801">
        <w:rPr>
          <w:lang w:val="en-CA"/>
        </w:rPr>
        <w:t xml:space="preserve"> </w:t>
      </w:r>
      <w:r>
        <w:rPr>
          <w:lang w:val="en-CA"/>
        </w:rPr>
        <w:t>prepared by an independent technical expert, and considered by the Executive Committee a</w:t>
      </w:r>
      <w:r w:rsidRPr="00956801">
        <w:rPr>
          <w:lang w:val="en-CA"/>
        </w:rPr>
        <w:t xml:space="preserve">t </w:t>
      </w:r>
      <w:r>
        <w:rPr>
          <w:lang w:val="en-CA"/>
        </w:rPr>
        <w:t xml:space="preserve">its </w:t>
      </w:r>
      <w:r w:rsidRPr="00956801">
        <w:rPr>
          <w:lang w:val="en-CA"/>
        </w:rPr>
        <w:t>76</w:t>
      </w:r>
      <w:r w:rsidRPr="00E652B5">
        <w:rPr>
          <w:vertAlign w:val="superscript"/>
          <w:lang w:val="en-CA"/>
        </w:rPr>
        <w:t>th</w:t>
      </w:r>
      <w:r>
        <w:rPr>
          <w:vertAlign w:val="superscript"/>
          <w:lang w:val="en-CA"/>
        </w:rPr>
        <w:t> </w:t>
      </w:r>
      <w:r w:rsidRPr="00956801">
        <w:rPr>
          <w:lang w:val="en-CA"/>
        </w:rPr>
        <w:t>meeting,</w:t>
      </w:r>
      <w:r>
        <w:rPr>
          <w:rStyle w:val="FootnoteReference"/>
          <w:lang w:val="en-CA"/>
        </w:rPr>
        <w:footnoteReference w:id="2"/>
      </w:r>
      <w:r w:rsidRPr="00956801">
        <w:rPr>
          <w:lang w:val="en-CA"/>
        </w:rPr>
        <w:t xml:space="preserve"> also indicate</w:t>
      </w:r>
      <w:r>
        <w:rPr>
          <w:lang w:val="en-CA"/>
        </w:rPr>
        <w:t>d</w:t>
      </w:r>
      <w:r w:rsidRPr="00956801">
        <w:rPr>
          <w:lang w:val="en-CA"/>
        </w:rPr>
        <w:t xml:space="preserve"> that blends of HC</w:t>
      </w:r>
      <w:r>
        <w:rPr>
          <w:lang w:val="en-CA"/>
        </w:rPr>
        <w:t>s</w:t>
      </w:r>
      <w:r w:rsidRPr="00956801">
        <w:rPr>
          <w:lang w:val="en-CA"/>
        </w:rPr>
        <w:t xml:space="preserve"> with HFC</w:t>
      </w:r>
      <w:r>
        <w:rPr>
          <w:lang w:val="en-CA"/>
        </w:rPr>
        <w:t>s</w:t>
      </w:r>
      <w:r w:rsidRPr="00956801">
        <w:rPr>
          <w:lang w:val="en-CA"/>
        </w:rPr>
        <w:t xml:space="preserve"> or HFO</w:t>
      </w:r>
      <w:r>
        <w:rPr>
          <w:lang w:val="en-CA"/>
        </w:rPr>
        <w:t>s</w:t>
      </w:r>
      <w:r w:rsidRPr="00956801">
        <w:rPr>
          <w:lang w:val="en-CA"/>
        </w:rPr>
        <w:t xml:space="preserve"> can be </w:t>
      </w:r>
      <w:r>
        <w:rPr>
          <w:lang w:val="en-CA"/>
        </w:rPr>
        <w:t>used</w:t>
      </w:r>
      <w:r w:rsidRPr="00956801">
        <w:rPr>
          <w:lang w:val="en-CA"/>
        </w:rPr>
        <w:t xml:space="preserve"> </w:t>
      </w:r>
      <w:r>
        <w:rPr>
          <w:lang w:val="en-CA"/>
        </w:rPr>
        <w:t>in</w:t>
      </w:r>
      <w:r w:rsidRPr="00956801">
        <w:rPr>
          <w:lang w:val="en-CA"/>
        </w:rPr>
        <w:t xml:space="preserve"> the same equipment </w:t>
      </w:r>
      <w:r>
        <w:rPr>
          <w:lang w:val="en-CA"/>
        </w:rPr>
        <w:t xml:space="preserve">that is employed </w:t>
      </w:r>
      <w:r w:rsidRPr="00956801">
        <w:rPr>
          <w:lang w:val="en-CA"/>
        </w:rPr>
        <w:t xml:space="preserve">to manufacture </w:t>
      </w:r>
      <w:r>
        <w:rPr>
          <w:lang w:val="en-CA"/>
        </w:rPr>
        <w:t>using</w:t>
      </w:r>
      <w:r w:rsidRPr="00956801">
        <w:rPr>
          <w:lang w:val="en-CA"/>
        </w:rPr>
        <w:t xml:space="preserve"> HC</w:t>
      </w:r>
      <w:r>
        <w:rPr>
          <w:lang w:val="en-CA"/>
        </w:rPr>
        <w:t>s</w:t>
      </w:r>
      <w:r w:rsidRPr="00956801">
        <w:rPr>
          <w:lang w:val="en-CA"/>
        </w:rPr>
        <w:t xml:space="preserve">. In addition, “for the conversion from HCFCs to HFC, HFOs, water-based systems or methyl </w:t>
      </w:r>
      <w:proofErr w:type="spellStart"/>
      <w:r w:rsidRPr="00956801">
        <w:rPr>
          <w:lang w:val="en-CA"/>
        </w:rPr>
        <w:t>formate</w:t>
      </w:r>
      <w:proofErr w:type="spellEnd"/>
      <w:r w:rsidRPr="00956801">
        <w:rPr>
          <w:lang w:val="en-CA"/>
        </w:rPr>
        <w:t xml:space="preserve"> technology</w:t>
      </w:r>
      <w:r>
        <w:rPr>
          <w:lang w:val="en-CA"/>
        </w:rPr>
        <w:t>,</w:t>
      </w:r>
      <w:r w:rsidRPr="00956801">
        <w:rPr>
          <w:lang w:val="en-CA"/>
        </w:rPr>
        <w:t xml:space="preserve"> no additional capital costs for replacing existing high</w:t>
      </w:r>
      <w:r>
        <w:rPr>
          <w:lang w:val="en-CA"/>
        </w:rPr>
        <w:t>-</w:t>
      </w:r>
      <w:r w:rsidRPr="00956801">
        <w:rPr>
          <w:lang w:val="en-CA"/>
        </w:rPr>
        <w:t>pressure dispensers will be required by all the rigid PU foam enterprises”;</w:t>
      </w:r>
    </w:p>
    <w:p w14:paraId="71A8DD80" w14:textId="77777777" w:rsidR="00AA5A06" w:rsidRPr="00956801" w:rsidRDefault="00AA5A06" w:rsidP="00AA5A06">
      <w:pPr>
        <w:pStyle w:val="Heading2"/>
        <w:numPr>
          <w:ilvl w:val="1"/>
          <w:numId w:val="1"/>
        </w:numPr>
        <w:rPr>
          <w:lang w:val="en-CA"/>
        </w:rPr>
      </w:pPr>
      <w:r w:rsidRPr="00956801">
        <w:rPr>
          <w:lang w:val="en-CA"/>
        </w:rPr>
        <w:t>HFO-1233zd has a boiling point of 19 degrees Celsius</w:t>
      </w:r>
      <w:r>
        <w:rPr>
          <w:lang w:val="en-CA"/>
        </w:rPr>
        <w:t>, which is higher than that of HFC</w:t>
      </w:r>
      <w:r>
        <w:rPr>
          <w:lang w:val="en-CA"/>
        </w:rPr>
        <w:noBreakHyphen/>
        <w:t>245fa (</w:t>
      </w:r>
      <w:r w:rsidRPr="00956801">
        <w:rPr>
          <w:lang w:val="en-CA"/>
        </w:rPr>
        <w:t>15.3 degrees Celsius</w:t>
      </w:r>
      <w:r>
        <w:rPr>
          <w:lang w:val="en-CA"/>
        </w:rPr>
        <w:t>); therefore, enterprises</w:t>
      </w:r>
      <w:r w:rsidRPr="00956801">
        <w:rPr>
          <w:lang w:val="en-CA"/>
        </w:rPr>
        <w:t xml:space="preserve"> using HFC-245fa already have the infrastructure </w:t>
      </w:r>
      <w:r>
        <w:rPr>
          <w:lang w:val="en-CA"/>
        </w:rPr>
        <w:t>needed</w:t>
      </w:r>
      <w:r w:rsidRPr="00956801">
        <w:rPr>
          <w:lang w:val="en-CA"/>
        </w:rPr>
        <w:t xml:space="preserve"> to handle the temperature requirements</w:t>
      </w:r>
      <w:r>
        <w:rPr>
          <w:lang w:val="en-CA"/>
        </w:rPr>
        <w:t xml:space="preserve"> of </w:t>
      </w:r>
      <w:r w:rsidRPr="00956801">
        <w:rPr>
          <w:lang w:val="en-CA"/>
        </w:rPr>
        <w:t>HFO-1233zd;</w:t>
      </w:r>
      <w:r>
        <w:rPr>
          <w:lang w:val="en-CA"/>
        </w:rPr>
        <w:t xml:space="preserve"> and</w:t>
      </w:r>
    </w:p>
    <w:p w14:paraId="76465E39" w14:textId="77777777" w:rsidR="00AA5A06" w:rsidRPr="00BE09C4" w:rsidRDefault="00AA5A06" w:rsidP="00AA5A06">
      <w:pPr>
        <w:pStyle w:val="Heading2"/>
        <w:numPr>
          <w:ilvl w:val="1"/>
          <w:numId w:val="1"/>
        </w:numPr>
        <w:rPr>
          <w:lang w:val="en-CA"/>
        </w:rPr>
      </w:pPr>
      <w:r w:rsidRPr="00956801">
        <w:rPr>
          <w:lang w:val="en-CA"/>
        </w:rPr>
        <w:t>Consistent with the points above,</w:t>
      </w:r>
      <w:r>
        <w:rPr>
          <w:lang w:val="en-CA"/>
        </w:rPr>
        <w:t xml:space="preserve"> a number of</w:t>
      </w:r>
      <w:r w:rsidRPr="00956801">
        <w:rPr>
          <w:lang w:val="en-CA"/>
        </w:rPr>
        <w:t xml:space="preserve"> </w:t>
      </w:r>
      <w:r>
        <w:rPr>
          <w:lang w:val="en-CA"/>
        </w:rPr>
        <w:t xml:space="preserve">other </w:t>
      </w:r>
      <w:r w:rsidRPr="00956801">
        <w:rPr>
          <w:lang w:val="en-CA"/>
        </w:rPr>
        <w:t xml:space="preserve">projects </w:t>
      </w:r>
      <w:r>
        <w:rPr>
          <w:lang w:val="en-CA"/>
        </w:rPr>
        <w:t xml:space="preserve">requesting </w:t>
      </w:r>
      <w:r w:rsidRPr="00956801">
        <w:rPr>
          <w:lang w:val="en-CA"/>
        </w:rPr>
        <w:t xml:space="preserve">funding </w:t>
      </w:r>
      <w:r>
        <w:rPr>
          <w:lang w:val="en-CA"/>
        </w:rPr>
        <w:t>from</w:t>
      </w:r>
      <w:r w:rsidRPr="00956801">
        <w:rPr>
          <w:lang w:val="en-CA"/>
        </w:rPr>
        <w:t xml:space="preserve"> the Multilateral Fund for the conversion of HCFC-141b</w:t>
      </w:r>
      <w:r>
        <w:rPr>
          <w:lang w:val="en-CA"/>
        </w:rPr>
        <w:t>-</w:t>
      </w:r>
      <w:r w:rsidRPr="00956801">
        <w:rPr>
          <w:lang w:val="en-CA"/>
        </w:rPr>
        <w:t xml:space="preserve">based foam to HFO </w:t>
      </w:r>
      <w:r>
        <w:rPr>
          <w:lang w:val="en-CA"/>
        </w:rPr>
        <w:t xml:space="preserve">in several applications </w:t>
      </w:r>
      <w:r w:rsidRPr="00956801">
        <w:rPr>
          <w:lang w:val="en-CA"/>
        </w:rPr>
        <w:t xml:space="preserve">have typically included only development of formulations and </w:t>
      </w:r>
      <w:r>
        <w:rPr>
          <w:lang w:val="en-CA"/>
        </w:rPr>
        <w:t>IOCs</w:t>
      </w:r>
      <w:r w:rsidRPr="00956801">
        <w:rPr>
          <w:lang w:val="en-CA"/>
        </w:rPr>
        <w:t xml:space="preserve">, </w:t>
      </w:r>
      <w:r>
        <w:rPr>
          <w:lang w:val="en-CA"/>
        </w:rPr>
        <w:t>and</w:t>
      </w:r>
      <w:r w:rsidRPr="00956801">
        <w:rPr>
          <w:lang w:val="en-CA"/>
        </w:rPr>
        <w:t xml:space="preserve"> no significant </w:t>
      </w:r>
      <w:r w:rsidRPr="00BE09C4">
        <w:rPr>
          <w:lang w:val="en-CA"/>
        </w:rPr>
        <w:t>ICCs.</w:t>
      </w:r>
    </w:p>
    <w:p w14:paraId="0499B21D" w14:textId="77777777" w:rsidR="00AA5A06" w:rsidRPr="00BE09C4" w:rsidRDefault="00AA5A06" w:rsidP="00AA5A06">
      <w:pPr>
        <w:pStyle w:val="Heading1"/>
        <w:keepNext/>
        <w:keepLines/>
        <w:rPr>
          <w:lang w:val="en-CA"/>
        </w:rPr>
      </w:pPr>
      <w:r w:rsidRPr="00BE09C4">
        <w:rPr>
          <w:lang w:val="en-CA"/>
        </w:rPr>
        <w:lastRenderedPageBreak/>
        <w:t xml:space="preserve">Notwithstanding that the replacement of the existing foam dispenser is not incremental, the Secretariat also noted that the foam equipment is 27 years old. In line with existing policies for machines nearing the end of their useful </w:t>
      </w:r>
      <w:r w:rsidRPr="00ED1D90">
        <w:rPr>
          <w:lang w:val="en-CA"/>
        </w:rPr>
        <w:t>life,</w:t>
      </w:r>
      <w:r w:rsidRPr="00ED1D90">
        <w:rPr>
          <w:rStyle w:val="FootnoteReference"/>
          <w:lang w:val="en-CA"/>
        </w:rPr>
        <w:footnoteReference w:id="3"/>
      </w:r>
      <w:r w:rsidRPr="00ED1D90">
        <w:rPr>
          <w:rStyle w:val="FootnoteReference"/>
          <w:lang w:val="en-CA"/>
        </w:rPr>
        <w:t xml:space="preserve"> </w:t>
      </w:r>
      <w:r w:rsidRPr="00ED1D90">
        <w:rPr>
          <w:lang w:val="en-CA"/>
        </w:rPr>
        <w:t>the incremental cost for replacement of the foam equipment will be</w:t>
      </w:r>
      <w:r w:rsidRPr="00BE09C4">
        <w:rPr>
          <w:lang w:val="en-CA"/>
        </w:rPr>
        <w:t xml:space="preserve"> negligible, as it has already surpassed its useful life. </w:t>
      </w:r>
    </w:p>
    <w:p w14:paraId="595CF6EF" w14:textId="77777777" w:rsidR="00AA5A06" w:rsidRPr="007920BB" w:rsidRDefault="00AA5A06" w:rsidP="00AA5A06">
      <w:pPr>
        <w:pStyle w:val="Heading1"/>
        <w:numPr>
          <w:ilvl w:val="0"/>
          <w:numId w:val="0"/>
        </w:numPr>
        <w:spacing w:after="0"/>
        <w:rPr>
          <w:i/>
          <w:lang w:val="en-CA"/>
        </w:rPr>
      </w:pPr>
      <w:r w:rsidRPr="007920BB">
        <w:rPr>
          <w:i/>
          <w:lang w:val="en-CA"/>
        </w:rPr>
        <w:t>Replacement of sealing rings</w:t>
      </w:r>
    </w:p>
    <w:p w14:paraId="5E7A2549" w14:textId="77777777" w:rsidR="00AA5A06" w:rsidRPr="00F87A7A" w:rsidRDefault="00AA5A06" w:rsidP="00AA5A06">
      <w:pPr>
        <w:rPr>
          <w:lang w:val="en-CA"/>
        </w:rPr>
      </w:pPr>
    </w:p>
    <w:p w14:paraId="0EF54208" w14:textId="77777777" w:rsidR="00AA5A06" w:rsidRPr="00AA5A06" w:rsidRDefault="00AA5A06" w:rsidP="00AA5A06">
      <w:pPr>
        <w:pStyle w:val="Heading1"/>
        <w:rPr>
          <w:lang w:val="en-CA"/>
        </w:rPr>
      </w:pPr>
      <w:r w:rsidRPr="00AA5A06">
        <w:rPr>
          <w:lang w:val="en-CA"/>
        </w:rPr>
        <w:t xml:space="preserve">With regard to the need to change the plastic sealing rings in the equipment on account of the difference in solvency properties between HFO-1233zd and HCFC-141b or HFC-245fa, UNDP explained that, according to technical information provided by experts from the producer of the blowing agent (China) and RIM Refrigeration (China office), HFO-1233zd can react with the materials used in the rings because it contains a chlorine atom and double-bond. UNDP also provided a table outlining the results of compatibility tests between HFOs and different plastic sealing rings conducted by the RIM Refrigeration China office. </w:t>
      </w:r>
    </w:p>
    <w:p w14:paraId="71F2DE95" w14:textId="77777777" w:rsidR="00AA5A06" w:rsidRPr="007920BB" w:rsidRDefault="00AA5A06" w:rsidP="00AA5A06">
      <w:pPr>
        <w:pStyle w:val="Heading1"/>
        <w:numPr>
          <w:ilvl w:val="0"/>
          <w:numId w:val="0"/>
        </w:numPr>
        <w:rPr>
          <w:i/>
          <w:lang w:val="en-CA"/>
        </w:rPr>
      </w:pPr>
      <w:r w:rsidRPr="007920BB">
        <w:rPr>
          <w:i/>
          <w:lang w:val="en-CA"/>
        </w:rPr>
        <w:t>Conversion of the polyether-supply control system</w:t>
      </w:r>
    </w:p>
    <w:p w14:paraId="0D51E461" w14:textId="77777777" w:rsidR="00AA5A06" w:rsidRDefault="00AA5A06" w:rsidP="00AA5A06">
      <w:pPr>
        <w:pStyle w:val="Heading1"/>
        <w:rPr>
          <w:lang w:val="en-CA"/>
        </w:rPr>
      </w:pPr>
      <w:r>
        <w:rPr>
          <w:lang w:val="en-CA"/>
        </w:rPr>
        <w:t>Concerning the need for changes in the equipment on account of the different mixing ratios</w:t>
      </w:r>
      <w:r w:rsidRPr="008149CA">
        <w:t xml:space="preserve"> </w:t>
      </w:r>
      <w:r w:rsidRPr="008149CA">
        <w:rPr>
          <w:lang w:val="en-CA"/>
        </w:rPr>
        <w:t>of blowing agents and polyols</w:t>
      </w:r>
      <w:r>
        <w:rPr>
          <w:lang w:val="en-CA"/>
        </w:rPr>
        <w:t xml:space="preserve">, UNDP explained that the exact ratio to be applied for the conversion will be determined by the enterprise after research and development and a cost evaluation. </w:t>
      </w:r>
    </w:p>
    <w:p w14:paraId="19B32699" w14:textId="77777777" w:rsidR="00AA5A06" w:rsidRDefault="00AA5A06" w:rsidP="00AA5A06">
      <w:pPr>
        <w:pStyle w:val="Heading1"/>
        <w:rPr>
          <w:lang w:val="en-CA"/>
        </w:rPr>
      </w:pPr>
      <w:r>
        <w:rPr>
          <w:lang w:val="en-CA"/>
        </w:rPr>
        <w:t xml:space="preserve">The Secretariat considers, however, that the use of different mixing ratios is part of the baseline. In particular, Hisense </w:t>
      </w:r>
      <w:proofErr w:type="spellStart"/>
      <w:r>
        <w:rPr>
          <w:lang w:val="en-CA"/>
        </w:rPr>
        <w:t>Kelon</w:t>
      </w:r>
      <w:proofErr w:type="spellEnd"/>
      <w:r>
        <w:rPr>
          <w:lang w:val="en-CA"/>
        </w:rPr>
        <w:t xml:space="preserve"> has been successfully producing a large variety of models with different foam blowing formulations including CFC, HCFC, </w:t>
      </w:r>
      <w:proofErr w:type="spellStart"/>
      <w:r>
        <w:rPr>
          <w:lang w:val="en-CA"/>
        </w:rPr>
        <w:t>cyclopentane</w:t>
      </w:r>
      <w:proofErr w:type="spellEnd"/>
      <w:r>
        <w:rPr>
          <w:lang w:val="en-CA"/>
        </w:rPr>
        <w:t>, C5+HFC</w:t>
      </w:r>
      <w:r>
        <w:rPr>
          <w:lang w:val="en-CA"/>
        </w:rPr>
        <w:noBreakHyphen/>
        <w:t>245fa,</w:t>
      </w:r>
      <w:r w:rsidRPr="007920BB">
        <w:t xml:space="preserve"> </w:t>
      </w:r>
      <w:r w:rsidRPr="007920BB">
        <w:rPr>
          <w:lang w:val="en-CA"/>
        </w:rPr>
        <w:t xml:space="preserve">and </w:t>
      </w:r>
      <w:r w:rsidRPr="004B5B72">
        <w:rPr>
          <w:lang w:val="en-CA"/>
        </w:rPr>
        <w:t xml:space="preserve">1233zd </w:t>
      </w:r>
      <w:r>
        <w:rPr>
          <w:lang w:val="en-CA"/>
        </w:rPr>
        <w:t xml:space="preserve">using the same equipment. Therefore, the request is not incremental. </w:t>
      </w:r>
    </w:p>
    <w:p w14:paraId="08DC6865" w14:textId="77777777" w:rsidR="00AA5A06" w:rsidRPr="006261D2" w:rsidRDefault="00AA5A06" w:rsidP="00AA5A06">
      <w:pPr>
        <w:rPr>
          <w:i/>
          <w:lang w:val="en-CA"/>
        </w:rPr>
      </w:pPr>
      <w:r w:rsidRPr="006261D2">
        <w:rPr>
          <w:i/>
          <w:lang w:val="en-CA"/>
        </w:rPr>
        <w:t>Conversion of the static pre-mixing unit</w:t>
      </w:r>
      <w:r>
        <w:rPr>
          <w:i/>
          <w:lang w:val="en-CA"/>
        </w:rPr>
        <w:t xml:space="preserve"> and n</w:t>
      </w:r>
      <w:r w:rsidRPr="006261D2">
        <w:rPr>
          <w:i/>
          <w:lang w:val="en-CA"/>
        </w:rPr>
        <w:t>ew thermal-static systems for rooms and for jigs and moulds</w:t>
      </w:r>
    </w:p>
    <w:p w14:paraId="0A9D8FA2" w14:textId="77777777" w:rsidR="00AA5A06" w:rsidRPr="008149CA" w:rsidRDefault="00AA5A06" w:rsidP="00AA5A06">
      <w:pPr>
        <w:rPr>
          <w:lang w:val="en-CA"/>
        </w:rPr>
      </w:pPr>
    </w:p>
    <w:p w14:paraId="599C0262" w14:textId="77777777" w:rsidR="00AA5A06" w:rsidRDefault="00AA5A06" w:rsidP="00AA5A06">
      <w:pPr>
        <w:pStyle w:val="Heading1"/>
        <w:rPr>
          <w:lang w:val="en-CA"/>
        </w:rPr>
      </w:pPr>
      <w:r>
        <w:rPr>
          <w:lang w:val="en-CA"/>
        </w:rPr>
        <w:t xml:space="preserve">UNDP explained that there is currently no temperature-control device in the pre-mixing area for HFC-245fa, because it is not needed. Given the lower stability of HFO-1233zd, however, </w:t>
      </w:r>
      <w:r w:rsidRPr="00002597">
        <w:rPr>
          <w:lang w:val="en-CA"/>
        </w:rPr>
        <w:t xml:space="preserve">the temperature of </w:t>
      </w:r>
      <w:r>
        <w:rPr>
          <w:lang w:val="en-CA"/>
        </w:rPr>
        <w:t xml:space="preserve">the </w:t>
      </w:r>
      <w:r w:rsidRPr="00002597">
        <w:rPr>
          <w:lang w:val="en-CA"/>
        </w:rPr>
        <w:t xml:space="preserve">foaming process and </w:t>
      </w:r>
      <w:r>
        <w:rPr>
          <w:lang w:val="en-CA"/>
        </w:rPr>
        <w:t xml:space="preserve">of </w:t>
      </w:r>
      <w:r w:rsidRPr="00002597">
        <w:rPr>
          <w:lang w:val="en-CA"/>
        </w:rPr>
        <w:t>the components should be controlled accurately</w:t>
      </w:r>
      <w:r>
        <w:rPr>
          <w:lang w:val="en-CA"/>
        </w:rPr>
        <w:t xml:space="preserve">, </w:t>
      </w:r>
      <w:r w:rsidRPr="00002597">
        <w:rPr>
          <w:lang w:val="en-CA"/>
        </w:rPr>
        <w:t xml:space="preserve">because all </w:t>
      </w:r>
      <w:r>
        <w:rPr>
          <w:lang w:val="en-CA"/>
        </w:rPr>
        <w:t>of these</w:t>
      </w:r>
      <w:r w:rsidRPr="00002597">
        <w:rPr>
          <w:lang w:val="en-CA"/>
        </w:rPr>
        <w:t xml:space="preserve"> will be in contact with the foaming agent or </w:t>
      </w:r>
      <w:r>
        <w:rPr>
          <w:lang w:val="en-CA"/>
        </w:rPr>
        <w:t xml:space="preserve">can have an </w:t>
      </w:r>
      <w:r w:rsidRPr="00002597">
        <w:rPr>
          <w:lang w:val="en-CA"/>
        </w:rPr>
        <w:t>impact on its reaction temper</w:t>
      </w:r>
      <w:r>
        <w:rPr>
          <w:lang w:val="en-CA"/>
        </w:rPr>
        <w:t xml:space="preserve">ature; therefore, one chiller costing US $110,000 for the pre-mixing area and four chillers costing US $100,000 for the foaming room, are required. </w:t>
      </w:r>
    </w:p>
    <w:p w14:paraId="51143CD9" w14:textId="77777777" w:rsidR="00AA5A06" w:rsidRDefault="00AA5A06" w:rsidP="00AA5A06">
      <w:pPr>
        <w:pStyle w:val="Heading1"/>
        <w:rPr>
          <w:lang w:val="en-CA"/>
        </w:rPr>
      </w:pPr>
      <w:r>
        <w:rPr>
          <w:lang w:val="en-CA"/>
        </w:rPr>
        <w:t>The Secretariat noted, however, that this equipment should already be part of the baseline as HFC</w:t>
      </w:r>
      <w:r>
        <w:rPr>
          <w:lang w:val="en-CA"/>
        </w:rPr>
        <w:noBreakHyphen/>
        <w:t>245fa evaporates more easily than HFO-1233zd due to its boiling point. Therefore, the request is not incremental.</w:t>
      </w:r>
      <w:r w:rsidRPr="001331F4">
        <w:rPr>
          <w:lang w:val="en-CA"/>
        </w:rPr>
        <w:t xml:space="preserve"> </w:t>
      </w:r>
      <w:r>
        <w:rPr>
          <w:lang w:val="en-CA"/>
        </w:rPr>
        <w:t xml:space="preserve">The cost of modification of the pre-mixing unit of US $140,000, is almost double the cost of a new pre-mixer unit (US $75,000) requested in projects to introduce </w:t>
      </w:r>
      <w:proofErr w:type="spellStart"/>
      <w:r>
        <w:rPr>
          <w:lang w:val="en-CA"/>
        </w:rPr>
        <w:t>cyclopentane</w:t>
      </w:r>
      <w:proofErr w:type="spellEnd"/>
      <w:r>
        <w:rPr>
          <w:lang w:val="en-CA"/>
        </w:rPr>
        <w:t xml:space="preserve"> when moving from a non-flammable technology to a flammable one.</w:t>
      </w:r>
    </w:p>
    <w:p w14:paraId="106F231B" w14:textId="77777777" w:rsidR="00AA5A06" w:rsidRPr="00AA5A06" w:rsidRDefault="00AA5A06" w:rsidP="00AA5A06">
      <w:pPr>
        <w:pStyle w:val="Heading1"/>
        <w:rPr>
          <w:lang w:val="en-CA"/>
        </w:rPr>
      </w:pPr>
      <w:r w:rsidRPr="00AA5A06">
        <w:rPr>
          <w:lang w:val="en-CA"/>
        </w:rPr>
        <w:t>In relation to the need for thermal-static systems for jigs and moulds for US $960,000, UNDP explained that currently the jigs and moulds are heated with warm-air blowers and electrical heaters. However, as HFO-1233zd is more sensitive to heat, new thermal-static systems for jigs and moulds controlled by water (at a cost of US $960,000) would be needed.  The Secretariat noted that, in the current manufacturing process, the moulds already have heating systems and temperature controls; therefore, the request is not incremental</w:t>
      </w:r>
    </w:p>
    <w:p w14:paraId="12A28739" w14:textId="77777777" w:rsidR="00AA5A06" w:rsidRPr="001331F4" w:rsidRDefault="00AA5A06" w:rsidP="00AA5A06">
      <w:pPr>
        <w:pStyle w:val="Heading1"/>
        <w:keepNext/>
        <w:keepLines/>
        <w:numPr>
          <w:ilvl w:val="0"/>
          <w:numId w:val="0"/>
        </w:numPr>
        <w:rPr>
          <w:i/>
          <w:lang w:val="en-CA"/>
        </w:rPr>
      </w:pPr>
      <w:r>
        <w:rPr>
          <w:i/>
          <w:lang w:val="en-CA"/>
        </w:rPr>
        <w:lastRenderedPageBreak/>
        <w:t>IO</w:t>
      </w:r>
      <w:r w:rsidRPr="001331F4">
        <w:rPr>
          <w:i/>
          <w:lang w:val="en-CA"/>
        </w:rPr>
        <w:t xml:space="preserve">Cs </w:t>
      </w:r>
    </w:p>
    <w:p w14:paraId="002A42F8" w14:textId="77777777" w:rsidR="00AA5A06" w:rsidRDefault="00AA5A06" w:rsidP="00AA5A06">
      <w:pPr>
        <w:pStyle w:val="Heading1"/>
        <w:keepNext/>
        <w:keepLines/>
        <w:rPr>
          <w:lang w:val="en-CA"/>
        </w:rPr>
      </w:pPr>
      <w:r>
        <w:rPr>
          <w:lang w:val="en-CA"/>
        </w:rPr>
        <w:t xml:space="preserve">With regard to the potential use of water in the formulation, in order to reduce the IOCs, </w:t>
      </w:r>
      <w:r>
        <w:t xml:space="preserve">UNDP indicated that the enterprise </w:t>
      </w:r>
      <w:r w:rsidRPr="00271E00">
        <w:rPr>
          <w:lang w:val="en-CA"/>
        </w:rPr>
        <w:t>tried to increase the ratio of water to reduc</w:t>
      </w:r>
      <w:r>
        <w:rPr>
          <w:lang w:val="en-CA"/>
        </w:rPr>
        <w:t>e</w:t>
      </w:r>
      <w:r w:rsidRPr="00271E00">
        <w:rPr>
          <w:lang w:val="en-CA"/>
        </w:rPr>
        <w:t xml:space="preserve"> the use of HFO</w:t>
      </w:r>
      <w:r>
        <w:rPr>
          <w:lang w:val="en-CA"/>
        </w:rPr>
        <w:t xml:space="preserve">, but this resulted in </w:t>
      </w:r>
      <w:r w:rsidRPr="00271E00">
        <w:rPr>
          <w:lang w:val="en-CA"/>
        </w:rPr>
        <w:t xml:space="preserve">the solidification of </w:t>
      </w:r>
      <w:r>
        <w:rPr>
          <w:lang w:val="en-CA"/>
        </w:rPr>
        <w:t xml:space="preserve">the </w:t>
      </w:r>
      <w:r w:rsidRPr="00271E00">
        <w:rPr>
          <w:lang w:val="en-CA"/>
        </w:rPr>
        <w:t xml:space="preserve">foam and </w:t>
      </w:r>
      <w:r>
        <w:rPr>
          <w:lang w:val="en-CA"/>
        </w:rPr>
        <w:t xml:space="preserve">a possible reduction in </w:t>
      </w:r>
      <w:r w:rsidRPr="00271E00">
        <w:rPr>
          <w:lang w:val="en-CA"/>
        </w:rPr>
        <w:t xml:space="preserve">insulation performance. </w:t>
      </w:r>
    </w:p>
    <w:p w14:paraId="7057CC7A" w14:textId="77777777" w:rsidR="00AA5A06" w:rsidRPr="00FB645B" w:rsidRDefault="00AA5A06" w:rsidP="00AA5A06">
      <w:pPr>
        <w:pStyle w:val="Heading1"/>
        <w:rPr>
          <w:lang w:val="en-CA"/>
        </w:rPr>
      </w:pPr>
      <w:r>
        <w:rPr>
          <w:lang w:val="en-CA"/>
        </w:rPr>
        <w:t xml:space="preserve">The Secretariat reviewed the IOCs based on the formulation provided for the conversion project and noted that the formulation for the doors is similar to the baseline formulation, but the one for the cabinets has a higher density that results in an increase in the IOCs, making them higher than for the doors. UNDP explained that foam density was increased by adding new chemicals and increasing the amounts of polyols and MDI. </w:t>
      </w:r>
      <w:r w:rsidRPr="00FB645B">
        <w:rPr>
          <w:lang w:val="en-CA"/>
        </w:rPr>
        <w:t>Noting that the formulation for the doors had minor modifications in relation to the baseline formulation, the Secretariat suggested to use the doors formulation for the cabinets, reducing the IOCs to US $703,558.</w:t>
      </w:r>
    </w:p>
    <w:p w14:paraId="734C60DA" w14:textId="77777777" w:rsidR="00AA5A06" w:rsidRPr="00FB645B" w:rsidRDefault="00AA5A06" w:rsidP="00AA5A06">
      <w:pPr>
        <w:pStyle w:val="Heading1"/>
        <w:rPr>
          <w:lang w:val="en-CA"/>
        </w:rPr>
      </w:pPr>
      <w:r w:rsidRPr="00FB645B">
        <w:rPr>
          <w:lang w:val="en-CA"/>
        </w:rPr>
        <w:t xml:space="preserve">The Secretariat also considers that </w:t>
      </w:r>
      <w:r>
        <w:rPr>
          <w:lang w:val="en-CA"/>
        </w:rPr>
        <w:t xml:space="preserve">the </w:t>
      </w:r>
      <w:r w:rsidRPr="00FB645B">
        <w:rPr>
          <w:lang w:val="en-CA"/>
        </w:rPr>
        <w:t xml:space="preserve">results of demonstration projects on </w:t>
      </w:r>
      <w:r>
        <w:rPr>
          <w:lang w:val="en-CA"/>
        </w:rPr>
        <w:t>HFO</w:t>
      </w:r>
      <w:r w:rsidRPr="00FB645B">
        <w:rPr>
          <w:lang w:val="en-CA"/>
        </w:rPr>
        <w:t xml:space="preserve"> use in discontinuous panels could provide useful input for developing low-cost HFO-based formulations. </w:t>
      </w:r>
    </w:p>
    <w:p w14:paraId="542C6F13" w14:textId="77777777" w:rsidR="00AA5A06" w:rsidRPr="00FB645B" w:rsidRDefault="00AA5A06" w:rsidP="00AA5A06">
      <w:pPr>
        <w:pStyle w:val="Heading1"/>
        <w:numPr>
          <w:ilvl w:val="0"/>
          <w:numId w:val="0"/>
        </w:numPr>
        <w:spacing w:after="0"/>
        <w:rPr>
          <w:i/>
          <w:lang w:val="en-CA"/>
        </w:rPr>
      </w:pPr>
      <w:r w:rsidRPr="00FB645B">
        <w:rPr>
          <w:i/>
          <w:lang w:val="en-CA"/>
        </w:rPr>
        <w:t>Technical assistance component</w:t>
      </w:r>
    </w:p>
    <w:p w14:paraId="47AE0AB0" w14:textId="77777777" w:rsidR="00AA5A06" w:rsidRPr="00FB645B" w:rsidRDefault="00AA5A06" w:rsidP="00AA5A06">
      <w:pPr>
        <w:rPr>
          <w:lang w:val="en-CA"/>
        </w:rPr>
      </w:pPr>
    </w:p>
    <w:p w14:paraId="7ADCD328" w14:textId="4B202A5E" w:rsidR="00AA5A06" w:rsidRDefault="00AA5A06" w:rsidP="00AA5A06">
      <w:pPr>
        <w:pStyle w:val="Heading1"/>
        <w:rPr>
          <w:lang w:val="en-CA"/>
        </w:rPr>
      </w:pPr>
      <w:r w:rsidRPr="00FB645B">
        <w:rPr>
          <w:lang w:val="en-CA"/>
        </w:rPr>
        <w:t>Given the enterprise’s extensive experience and technical capability in manufacturing refrigerators using HFO, the Secretariat considers that additional</w:t>
      </w:r>
      <w:r>
        <w:rPr>
          <w:lang w:val="en-CA"/>
        </w:rPr>
        <w:t xml:space="preserve"> </w:t>
      </w:r>
      <w:r w:rsidRPr="001E0749">
        <w:rPr>
          <w:lang w:val="en-CA"/>
        </w:rPr>
        <w:t xml:space="preserve">technical assistance costs </w:t>
      </w:r>
      <w:r>
        <w:rPr>
          <w:lang w:val="en-CA"/>
        </w:rPr>
        <w:t>should</w:t>
      </w:r>
      <w:r w:rsidRPr="001E0749">
        <w:rPr>
          <w:lang w:val="en-CA"/>
        </w:rPr>
        <w:t xml:space="preserve"> be </w:t>
      </w:r>
      <w:r>
        <w:rPr>
          <w:lang w:val="en-CA"/>
        </w:rPr>
        <w:t>adjusted. The items “project monitoring and evaluation” (at US $20,000) and “progress reporting and dissemination” (at US $20,000) are not included in investment projects and, therefore, are not incremental. However, noting that this is a relatively new technology being introduced the Secretariat suggested to include US $30,000</w:t>
      </w:r>
      <w:r w:rsidR="00546503">
        <w:rPr>
          <w:lang w:val="en-CA"/>
        </w:rPr>
        <w:t> </w:t>
      </w:r>
      <w:r>
        <w:rPr>
          <w:lang w:val="en-CA"/>
        </w:rPr>
        <w:t xml:space="preserve">for tests and trials, in line with other proposals approved. </w:t>
      </w:r>
    </w:p>
    <w:p w14:paraId="049DA1D7" w14:textId="77777777" w:rsidR="00AA5A06" w:rsidRDefault="00AA5A06" w:rsidP="00AA5A06">
      <w:pPr>
        <w:pStyle w:val="Heading1"/>
        <w:rPr>
          <w:lang w:val="en-CA"/>
        </w:rPr>
      </w:pPr>
      <w:r>
        <w:rPr>
          <w:lang w:val="en-CA"/>
        </w:rPr>
        <w:t>Table 4 provides a summary of the incremental costs, both as proposed in the project and as recommended by the Secretariat</w:t>
      </w:r>
      <w:r w:rsidRPr="00965AB5">
        <w:rPr>
          <w:lang w:val="en-CA"/>
        </w:rPr>
        <w:t xml:space="preserve">. </w:t>
      </w:r>
    </w:p>
    <w:p w14:paraId="2E5675C5" w14:textId="77777777" w:rsidR="00AA5A06" w:rsidRPr="00955DCF" w:rsidRDefault="00AA5A06" w:rsidP="00AA5A06">
      <w:pPr>
        <w:pStyle w:val="Heading1"/>
        <w:numPr>
          <w:ilvl w:val="0"/>
          <w:numId w:val="0"/>
        </w:numPr>
        <w:spacing w:after="0"/>
        <w:rPr>
          <w:b/>
        </w:rPr>
      </w:pPr>
      <w:r w:rsidRPr="001A422E">
        <w:rPr>
          <w:b/>
        </w:rPr>
        <w:t xml:space="preserve">Table 4: Incremental costs for conversion </w:t>
      </w:r>
      <w:r w:rsidRPr="001A422E">
        <w:rPr>
          <w:b/>
          <w:lang w:val="en-CA"/>
        </w:rPr>
        <w:t xml:space="preserve">of </w:t>
      </w:r>
      <w:r w:rsidRPr="00955DCF">
        <w:rPr>
          <w:b/>
        </w:rPr>
        <w:t xml:space="preserve">of domestic refrigerators (PU foam) in Hisense </w:t>
      </w:r>
      <w:proofErr w:type="spellStart"/>
      <w:r w:rsidRPr="00955DCF">
        <w:rPr>
          <w:b/>
        </w:rPr>
        <w:t>Kelon</w:t>
      </w:r>
      <w:proofErr w:type="spellEnd"/>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1890"/>
        <w:gridCol w:w="2155"/>
      </w:tblGrid>
      <w:tr w:rsidR="00AA5A06" w:rsidRPr="00ED1D90" w14:paraId="1CA7B44A" w14:textId="77777777" w:rsidTr="00546503">
        <w:trPr>
          <w:trHeight w:val="68"/>
        </w:trPr>
        <w:tc>
          <w:tcPr>
            <w:tcW w:w="5315" w:type="dxa"/>
            <w:shd w:val="clear" w:color="auto" w:fill="auto"/>
            <w:noWrap/>
            <w:vAlign w:val="center"/>
            <w:hideMark/>
          </w:tcPr>
          <w:p w14:paraId="45F0D70A" w14:textId="77777777" w:rsidR="00AA5A06" w:rsidRPr="00ED1D90" w:rsidRDefault="00AA5A06" w:rsidP="00546503">
            <w:pPr>
              <w:jc w:val="left"/>
              <w:rPr>
                <w:b/>
              </w:rPr>
            </w:pPr>
            <w:r w:rsidRPr="00ED1D90">
              <w:rPr>
                <w:b/>
              </w:rPr>
              <w:t>Description</w:t>
            </w:r>
          </w:p>
        </w:tc>
        <w:tc>
          <w:tcPr>
            <w:tcW w:w="1890" w:type="dxa"/>
            <w:shd w:val="clear" w:color="auto" w:fill="auto"/>
            <w:noWrap/>
            <w:vAlign w:val="center"/>
            <w:hideMark/>
          </w:tcPr>
          <w:p w14:paraId="4376779E" w14:textId="77777777" w:rsidR="00AA5A06" w:rsidRPr="00ED1D90" w:rsidRDefault="00AA5A06" w:rsidP="00546503">
            <w:pPr>
              <w:jc w:val="center"/>
              <w:rPr>
                <w:b/>
              </w:rPr>
            </w:pPr>
            <w:r w:rsidRPr="00ED1D90">
              <w:rPr>
                <w:b/>
              </w:rPr>
              <w:t>As submitted (US $)</w:t>
            </w:r>
          </w:p>
        </w:tc>
        <w:tc>
          <w:tcPr>
            <w:tcW w:w="2155" w:type="dxa"/>
          </w:tcPr>
          <w:p w14:paraId="32D7D233" w14:textId="77777777" w:rsidR="00AA5A06" w:rsidRPr="00ED1D90" w:rsidRDefault="00AA5A06" w:rsidP="00546503">
            <w:pPr>
              <w:jc w:val="center"/>
              <w:rPr>
                <w:b/>
              </w:rPr>
            </w:pPr>
            <w:r w:rsidRPr="00ED1D90">
              <w:rPr>
                <w:b/>
              </w:rPr>
              <w:t>Secretariat proposal (US $)</w:t>
            </w:r>
          </w:p>
        </w:tc>
      </w:tr>
      <w:tr w:rsidR="00AA5A06" w:rsidRPr="00ED1D90" w14:paraId="214B3E8D" w14:textId="77777777" w:rsidTr="00546503">
        <w:trPr>
          <w:trHeight w:val="243"/>
        </w:trPr>
        <w:tc>
          <w:tcPr>
            <w:tcW w:w="5315" w:type="dxa"/>
            <w:shd w:val="clear" w:color="auto" w:fill="auto"/>
            <w:noWrap/>
            <w:vAlign w:val="center"/>
          </w:tcPr>
          <w:p w14:paraId="68BC327A" w14:textId="77777777" w:rsidR="00AA5A06" w:rsidRPr="00ED1D90" w:rsidRDefault="00AA5A06" w:rsidP="00546503">
            <w:pPr>
              <w:rPr>
                <w:color w:val="000000"/>
              </w:rPr>
            </w:pPr>
            <w:r w:rsidRPr="00ED1D90">
              <w:rPr>
                <w:color w:val="000000"/>
              </w:rPr>
              <w:t>Incremental capital costs, including technical assistance</w:t>
            </w:r>
          </w:p>
        </w:tc>
        <w:tc>
          <w:tcPr>
            <w:tcW w:w="1890" w:type="dxa"/>
            <w:shd w:val="clear" w:color="auto" w:fill="auto"/>
            <w:noWrap/>
            <w:vAlign w:val="center"/>
          </w:tcPr>
          <w:p w14:paraId="16E969FC" w14:textId="77777777" w:rsidR="00AA5A06" w:rsidRPr="00ED1D90" w:rsidRDefault="00AA5A06" w:rsidP="00546503">
            <w:pPr>
              <w:jc w:val="right"/>
              <w:rPr>
                <w:color w:val="000000"/>
              </w:rPr>
            </w:pPr>
            <w:r w:rsidRPr="00ED1D90">
              <w:rPr>
                <w:color w:val="000000"/>
              </w:rPr>
              <w:t>2,377,300</w:t>
            </w:r>
          </w:p>
        </w:tc>
        <w:tc>
          <w:tcPr>
            <w:tcW w:w="2155" w:type="dxa"/>
          </w:tcPr>
          <w:p w14:paraId="13939F19" w14:textId="77777777" w:rsidR="00AA5A06" w:rsidRPr="00ED1D90" w:rsidRDefault="00AA5A06" w:rsidP="00546503">
            <w:pPr>
              <w:jc w:val="right"/>
            </w:pPr>
            <w:r w:rsidRPr="00ED1D90">
              <w:t>54,000</w:t>
            </w:r>
          </w:p>
        </w:tc>
      </w:tr>
      <w:tr w:rsidR="00AA5A06" w:rsidRPr="00ED1D90" w14:paraId="0E0C85BA" w14:textId="77777777" w:rsidTr="00546503">
        <w:trPr>
          <w:trHeight w:val="132"/>
        </w:trPr>
        <w:tc>
          <w:tcPr>
            <w:tcW w:w="5315" w:type="dxa"/>
            <w:shd w:val="clear" w:color="auto" w:fill="auto"/>
            <w:noWrap/>
            <w:vAlign w:val="center"/>
          </w:tcPr>
          <w:p w14:paraId="5EAB711A" w14:textId="77777777" w:rsidR="00AA5A06" w:rsidRPr="00ED1D90" w:rsidRDefault="00AA5A06" w:rsidP="00546503">
            <w:pPr>
              <w:rPr>
                <w:color w:val="000000"/>
              </w:rPr>
            </w:pPr>
            <w:r w:rsidRPr="00ED1D90">
              <w:rPr>
                <w:color w:val="000000"/>
              </w:rPr>
              <w:t>Incremental operating costs</w:t>
            </w:r>
          </w:p>
        </w:tc>
        <w:tc>
          <w:tcPr>
            <w:tcW w:w="1890" w:type="dxa"/>
            <w:shd w:val="clear" w:color="auto" w:fill="auto"/>
            <w:noWrap/>
          </w:tcPr>
          <w:p w14:paraId="721ED007" w14:textId="77777777" w:rsidR="00AA5A06" w:rsidRPr="00ED1D90" w:rsidRDefault="00AA5A06" w:rsidP="00546503">
            <w:pPr>
              <w:jc w:val="right"/>
              <w:rPr>
                <w:color w:val="000000"/>
              </w:rPr>
            </w:pPr>
            <w:r w:rsidRPr="00ED1D90">
              <w:rPr>
                <w:color w:val="000000"/>
              </w:rPr>
              <w:t>1,500,000</w:t>
            </w:r>
          </w:p>
        </w:tc>
        <w:tc>
          <w:tcPr>
            <w:tcW w:w="2155" w:type="dxa"/>
          </w:tcPr>
          <w:p w14:paraId="231F97BA" w14:textId="77777777" w:rsidR="00AA5A06" w:rsidRPr="00ED1D90" w:rsidRDefault="00AA5A06" w:rsidP="00546503">
            <w:pPr>
              <w:jc w:val="right"/>
            </w:pPr>
            <w:r w:rsidRPr="00ED1D90">
              <w:rPr>
                <w:color w:val="000000"/>
              </w:rPr>
              <w:t>703,558</w:t>
            </w:r>
          </w:p>
        </w:tc>
      </w:tr>
      <w:tr w:rsidR="00AA5A06" w:rsidRPr="00ED1D90" w14:paraId="2ECAD31A" w14:textId="77777777" w:rsidTr="00546503">
        <w:trPr>
          <w:trHeight w:val="151"/>
        </w:trPr>
        <w:tc>
          <w:tcPr>
            <w:tcW w:w="5315" w:type="dxa"/>
            <w:shd w:val="clear" w:color="auto" w:fill="auto"/>
            <w:noWrap/>
            <w:vAlign w:val="center"/>
          </w:tcPr>
          <w:p w14:paraId="1172EB2B" w14:textId="77777777" w:rsidR="00AA5A06" w:rsidRPr="00ED1D90" w:rsidRDefault="00AA5A06" w:rsidP="00546503">
            <w:pPr>
              <w:rPr>
                <w:b/>
                <w:color w:val="000000"/>
              </w:rPr>
            </w:pPr>
            <w:r w:rsidRPr="00ED1D90">
              <w:rPr>
                <w:b/>
                <w:color w:val="000000"/>
              </w:rPr>
              <w:t>Total</w:t>
            </w:r>
          </w:p>
        </w:tc>
        <w:tc>
          <w:tcPr>
            <w:tcW w:w="1890" w:type="dxa"/>
            <w:shd w:val="clear" w:color="auto" w:fill="auto"/>
            <w:noWrap/>
          </w:tcPr>
          <w:p w14:paraId="00B485C0" w14:textId="77777777" w:rsidR="00AA5A06" w:rsidRPr="00ED1D90" w:rsidRDefault="00AA5A06" w:rsidP="00546503">
            <w:pPr>
              <w:jc w:val="right"/>
              <w:rPr>
                <w:b/>
                <w:color w:val="000000"/>
              </w:rPr>
            </w:pPr>
            <w:r w:rsidRPr="00ED1D90">
              <w:rPr>
                <w:b/>
                <w:color w:val="000000"/>
              </w:rPr>
              <w:t>3,877,300</w:t>
            </w:r>
          </w:p>
        </w:tc>
        <w:tc>
          <w:tcPr>
            <w:tcW w:w="2155" w:type="dxa"/>
          </w:tcPr>
          <w:p w14:paraId="287BC1E9" w14:textId="77777777" w:rsidR="00AA5A06" w:rsidRPr="00ED1D90" w:rsidRDefault="00AA5A06" w:rsidP="00546503">
            <w:pPr>
              <w:jc w:val="right"/>
              <w:rPr>
                <w:b/>
              </w:rPr>
            </w:pPr>
            <w:r w:rsidRPr="00ED1D90">
              <w:rPr>
                <w:b/>
              </w:rPr>
              <w:t>757,558</w:t>
            </w:r>
          </w:p>
        </w:tc>
      </w:tr>
      <w:tr w:rsidR="00AA5A06" w:rsidRPr="00ED1D90" w14:paraId="43D14925" w14:textId="77777777" w:rsidTr="00546503">
        <w:trPr>
          <w:trHeight w:val="151"/>
        </w:trPr>
        <w:tc>
          <w:tcPr>
            <w:tcW w:w="5315" w:type="dxa"/>
            <w:shd w:val="clear" w:color="auto" w:fill="auto"/>
            <w:noWrap/>
            <w:vAlign w:val="center"/>
          </w:tcPr>
          <w:p w14:paraId="3611480D" w14:textId="77777777" w:rsidR="00AA5A06" w:rsidRPr="00ED1D90" w:rsidRDefault="00AA5A06" w:rsidP="00546503">
            <w:pPr>
              <w:rPr>
                <w:color w:val="000000"/>
              </w:rPr>
            </w:pPr>
            <w:r w:rsidRPr="00ED1D90">
              <w:rPr>
                <w:color w:val="000000"/>
              </w:rPr>
              <w:t>HFC-134a phased out (</w:t>
            </w:r>
            <w:proofErr w:type="spellStart"/>
            <w:r w:rsidRPr="00ED1D90">
              <w:rPr>
                <w:color w:val="000000"/>
              </w:rPr>
              <w:t>mt</w:t>
            </w:r>
            <w:proofErr w:type="spellEnd"/>
            <w:r w:rsidRPr="00ED1D90">
              <w:rPr>
                <w:color w:val="000000"/>
              </w:rPr>
              <w:t>)</w:t>
            </w:r>
          </w:p>
        </w:tc>
        <w:tc>
          <w:tcPr>
            <w:tcW w:w="1890" w:type="dxa"/>
            <w:shd w:val="clear" w:color="auto" w:fill="auto"/>
            <w:noWrap/>
          </w:tcPr>
          <w:p w14:paraId="5005F460" w14:textId="77777777" w:rsidR="00AA5A06" w:rsidRPr="00ED1D90" w:rsidRDefault="00AA5A06" w:rsidP="00546503">
            <w:pPr>
              <w:jc w:val="right"/>
              <w:rPr>
                <w:color w:val="000000"/>
              </w:rPr>
            </w:pPr>
            <w:r w:rsidRPr="00ED1D90">
              <w:rPr>
                <w:color w:val="000000"/>
              </w:rPr>
              <w:t>250</w:t>
            </w:r>
          </w:p>
        </w:tc>
        <w:tc>
          <w:tcPr>
            <w:tcW w:w="2155" w:type="dxa"/>
          </w:tcPr>
          <w:p w14:paraId="0F7CDA59" w14:textId="77777777" w:rsidR="00AA5A06" w:rsidRPr="00ED1D90" w:rsidRDefault="00AA5A06" w:rsidP="00546503">
            <w:pPr>
              <w:jc w:val="right"/>
            </w:pPr>
            <w:r w:rsidRPr="00ED1D90">
              <w:t>250</w:t>
            </w:r>
          </w:p>
        </w:tc>
      </w:tr>
      <w:tr w:rsidR="00AA5A06" w:rsidRPr="00E678C1" w14:paraId="126C2B61" w14:textId="77777777" w:rsidTr="00546503">
        <w:trPr>
          <w:trHeight w:val="54"/>
        </w:trPr>
        <w:tc>
          <w:tcPr>
            <w:tcW w:w="5315" w:type="dxa"/>
            <w:shd w:val="clear" w:color="auto" w:fill="auto"/>
            <w:noWrap/>
            <w:vAlign w:val="center"/>
          </w:tcPr>
          <w:p w14:paraId="4EEFEEDA" w14:textId="77777777" w:rsidR="00AA5A06" w:rsidRPr="00ED1D90" w:rsidRDefault="00AA5A06" w:rsidP="00546503">
            <w:pPr>
              <w:rPr>
                <w:color w:val="000000"/>
              </w:rPr>
            </w:pPr>
            <w:r w:rsidRPr="00ED1D90">
              <w:rPr>
                <w:color w:val="000000"/>
              </w:rPr>
              <w:t>Cost-effectiveness (US $/kg)</w:t>
            </w:r>
          </w:p>
        </w:tc>
        <w:tc>
          <w:tcPr>
            <w:tcW w:w="1890" w:type="dxa"/>
            <w:shd w:val="clear" w:color="auto" w:fill="auto"/>
            <w:noWrap/>
          </w:tcPr>
          <w:p w14:paraId="65AAF5F0" w14:textId="77777777" w:rsidR="00AA5A06" w:rsidRPr="00ED1D90" w:rsidRDefault="00AA5A06" w:rsidP="00546503">
            <w:pPr>
              <w:jc w:val="right"/>
              <w:rPr>
                <w:color w:val="000000"/>
              </w:rPr>
            </w:pPr>
            <w:r w:rsidRPr="00ED1D90">
              <w:rPr>
                <w:color w:val="000000"/>
              </w:rPr>
              <w:t>15.51</w:t>
            </w:r>
          </w:p>
        </w:tc>
        <w:tc>
          <w:tcPr>
            <w:tcW w:w="2155" w:type="dxa"/>
          </w:tcPr>
          <w:p w14:paraId="6AA9E2BC" w14:textId="77777777" w:rsidR="00AA5A06" w:rsidRPr="00ED1D90" w:rsidRDefault="00AA5A06" w:rsidP="00546503">
            <w:pPr>
              <w:jc w:val="right"/>
            </w:pPr>
            <w:r w:rsidRPr="00ED1D90">
              <w:t>3.03</w:t>
            </w:r>
          </w:p>
        </w:tc>
      </w:tr>
    </w:tbl>
    <w:p w14:paraId="5AC8DCFD" w14:textId="77777777" w:rsidR="00AA5A06" w:rsidRDefault="00AA5A06" w:rsidP="00AA5A06">
      <w:pPr>
        <w:outlineLvl w:val="0"/>
        <w:rPr>
          <w:i/>
          <w:lang w:val="en-CA"/>
        </w:rPr>
      </w:pPr>
    </w:p>
    <w:p w14:paraId="66D2AAF4" w14:textId="77777777" w:rsidR="00AA5A06" w:rsidRPr="00F320AF" w:rsidRDefault="00AA5A06" w:rsidP="00AA5A06">
      <w:pPr>
        <w:pStyle w:val="Heading1"/>
        <w:rPr>
          <w:lang w:val="en-CA"/>
        </w:rPr>
      </w:pPr>
      <w:r w:rsidRPr="00F320AF">
        <w:rPr>
          <w:lang w:val="en-CA"/>
        </w:rPr>
        <w:t xml:space="preserve">UNDP and the Secretariat </w:t>
      </w:r>
      <w:r>
        <w:rPr>
          <w:lang w:val="en-CA"/>
        </w:rPr>
        <w:t>were</w:t>
      </w:r>
      <w:r w:rsidRPr="00F320AF">
        <w:rPr>
          <w:lang w:val="en-CA"/>
        </w:rPr>
        <w:t xml:space="preserve"> not </w:t>
      </w:r>
      <w:r>
        <w:rPr>
          <w:lang w:val="en-CA"/>
        </w:rPr>
        <w:t>able to reach</w:t>
      </w:r>
      <w:r w:rsidRPr="00F320AF">
        <w:rPr>
          <w:lang w:val="en-CA"/>
        </w:rPr>
        <w:t xml:space="preserve"> </w:t>
      </w:r>
      <w:r>
        <w:rPr>
          <w:lang w:val="en-CA"/>
        </w:rPr>
        <w:t xml:space="preserve">an </w:t>
      </w:r>
      <w:r w:rsidRPr="00F320AF">
        <w:rPr>
          <w:lang w:val="en-CA"/>
        </w:rPr>
        <w:t xml:space="preserve">agreement on the overall cost of the project, which </w:t>
      </w:r>
      <w:r>
        <w:rPr>
          <w:lang w:val="en-CA"/>
        </w:rPr>
        <w:t>UNDP</w:t>
      </w:r>
      <w:r w:rsidRPr="00F320AF">
        <w:rPr>
          <w:lang w:val="en-CA"/>
        </w:rPr>
        <w:t xml:space="preserve"> maintain</w:t>
      </w:r>
      <w:r>
        <w:rPr>
          <w:lang w:val="en-CA"/>
        </w:rPr>
        <w:t>ed as submitted at US $3,877,300</w:t>
      </w:r>
      <w:r w:rsidRPr="00F320AF">
        <w:rPr>
          <w:lang w:val="en-CA"/>
        </w:rPr>
        <w:t>, while the Secretariat’s proposal</w:t>
      </w:r>
      <w:r>
        <w:rPr>
          <w:lang w:val="en-CA"/>
        </w:rPr>
        <w:t>,</w:t>
      </w:r>
      <w:r w:rsidRPr="00F320AF">
        <w:rPr>
          <w:lang w:val="en-CA"/>
        </w:rPr>
        <w:t xml:space="preserve"> based on its technical review</w:t>
      </w:r>
      <w:r>
        <w:rPr>
          <w:lang w:val="en-CA"/>
        </w:rPr>
        <w:t>,</w:t>
      </w:r>
      <w:r w:rsidRPr="00F320AF">
        <w:rPr>
          <w:lang w:val="en-CA"/>
        </w:rPr>
        <w:t xml:space="preserve"> is </w:t>
      </w:r>
      <w:r>
        <w:rPr>
          <w:lang w:val="en-CA"/>
        </w:rPr>
        <w:t>US $757,558</w:t>
      </w:r>
      <w:r w:rsidRPr="00F320AF">
        <w:rPr>
          <w:lang w:val="en-CA"/>
        </w:rPr>
        <w:t>.</w:t>
      </w:r>
    </w:p>
    <w:p w14:paraId="3AF532B3" w14:textId="77777777" w:rsidR="00AA5A06" w:rsidRPr="00602062" w:rsidRDefault="00AA5A06" w:rsidP="00AA5A06">
      <w:pPr>
        <w:pStyle w:val="Heading1"/>
        <w:rPr>
          <w:lang w:val="en-CA"/>
        </w:rPr>
      </w:pPr>
      <w:r w:rsidRPr="00602062">
        <w:rPr>
          <w:lang w:val="en-CA"/>
        </w:rPr>
        <w:t xml:space="preserve">The Secretariat notes that the purpose of implementing projects under decision 78/3(g) is to gain experience in the ICCs and IOCs that might be associated with phasing down HFCs. The Secretariat, however, considers that the cost estimates might change as more information becomes available on the technology and according to the specific characteristics of the enterprises. </w:t>
      </w:r>
    </w:p>
    <w:p w14:paraId="6BA6D19E" w14:textId="77777777" w:rsidR="00AA5A06" w:rsidRDefault="00AA5A06" w:rsidP="00AA5A06">
      <w:pPr>
        <w:outlineLvl w:val="0"/>
        <w:rPr>
          <w:u w:val="single"/>
          <w:lang w:val="en-CA"/>
        </w:rPr>
      </w:pPr>
      <w:r w:rsidRPr="001247E5">
        <w:rPr>
          <w:u w:val="single"/>
          <w:lang w:val="en-CA"/>
        </w:rPr>
        <w:t>Climate benefits</w:t>
      </w:r>
    </w:p>
    <w:p w14:paraId="79C49D5F" w14:textId="77777777" w:rsidR="00AA5A06" w:rsidRPr="001247E5" w:rsidRDefault="00AA5A06" w:rsidP="00AA5A06">
      <w:pPr>
        <w:outlineLvl w:val="0"/>
        <w:rPr>
          <w:u w:val="single"/>
          <w:lang w:val="en-CA"/>
        </w:rPr>
      </w:pPr>
    </w:p>
    <w:p w14:paraId="06D632D6" w14:textId="77777777" w:rsidR="00AA5A06" w:rsidRDefault="00AA5A06" w:rsidP="00AA5A06">
      <w:pPr>
        <w:pStyle w:val="Heading1"/>
        <w:rPr>
          <w:lang w:val="en-CA"/>
        </w:rPr>
      </w:pPr>
      <w:r w:rsidRPr="00965AB5">
        <w:rPr>
          <w:lang w:val="en-CA"/>
        </w:rPr>
        <w:t xml:space="preserve">The project is expected to result in </w:t>
      </w:r>
      <w:r>
        <w:rPr>
          <w:lang w:val="en-CA"/>
        </w:rPr>
        <w:t xml:space="preserve">an </w:t>
      </w:r>
      <w:r w:rsidRPr="00965AB5">
        <w:rPr>
          <w:lang w:val="en-CA"/>
        </w:rPr>
        <w:t xml:space="preserve">emissions reduction of </w:t>
      </w:r>
      <w:r>
        <w:rPr>
          <w:lang w:val="en-CA"/>
        </w:rPr>
        <w:t>256,750</w:t>
      </w:r>
      <w:r w:rsidRPr="00965AB5">
        <w:rPr>
          <w:lang w:val="en-CA"/>
        </w:rPr>
        <w:t xml:space="preserve"> tonnes of CO</w:t>
      </w:r>
      <w:r w:rsidRPr="0032477E">
        <w:rPr>
          <w:vertAlign w:val="subscript"/>
          <w:lang w:val="en-CA"/>
        </w:rPr>
        <w:t>2</w:t>
      </w:r>
      <w:r>
        <w:rPr>
          <w:lang w:val="en-CA"/>
        </w:rPr>
        <w:t xml:space="preserve"> </w:t>
      </w:r>
      <w:r w:rsidRPr="00965AB5">
        <w:rPr>
          <w:lang w:val="en-CA"/>
        </w:rPr>
        <w:t xml:space="preserve">equivalent with the reduction of </w:t>
      </w:r>
      <w:r>
        <w:rPr>
          <w:lang w:val="en-CA"/>
        </w:rPr>
        <w:t>250</w:t>
      </w:r>
      <w:r w:rsidRPr="00965AB5">
        <w:rPr>
          <w:lang w:val="en-CA"/>
        </w:rPr>
        <w:t xml:space="preserve"> </w:t>
      </w:r>
      <w:proofErr w:type="spellStart"/>
      <w:r w:rsidRPr="00965AB5">
        <w:rPr>
          <w:lang w:val="en-CA"/>
        </w:rPr>
        <w:t>mt</w:t>
      </w:r>
      <w:proofErr w:type="spellEnd"/>
      <w:r w:rsidRPr="00965AB5">
        <w:rPr>
          <w:lang w:val="en-CA"/>
        </w:rPr>
        <w:t xml:space="preserve"> of HFC-</w:t>
      </w:r>
      <w:r>
        <w:rPr>
          <w:lang w:val="en-CA"/>
        </w:rPr>
        <w:t>245fa</w:t>
      </w:r>
      <w:r w:rsidRPr="00965AB5">
        <w:rPr>
          <w:lang w:val="en-CA"/>
        </w:rPr>
        <w:t xml:space="preserve"> and the expected introduction of HFOs. No estimate of indirect emission</w:t>
      </w:r>
      <w:r>
        <w:rPr>
          <w:lang w:val="en-CA"/>
        </w:rPr>
        <w:t>s</w:t>
      </w:r>
      <w:r w:rsidRPr="00965AB5">
        <w:rPr>
          <w:lang w:val="en-CA"/>
        </w:rPr>
        <w:t xml:space="preserve"> savings associated with energy efficiency </w:t>
      </w:r>
      <w:r>
        <w:rPr>
          <w:lang w:val="en-CA"/>
        </w:rPr>
        <w:t>has been</w:t>
      </w:r>
      <w:r w:rsidRPr="00965AB5">
        <w:rPr>
          <w:lang w:val="en-CA"/>
        </w:rPr>
        <w:t xml:space="preserve"> provided.</w:t>
      </w:r>
    </w:p>
    <w:p w14:paraId="6268EFD1" w14:textId="77777777" w:rsidR="00AA5A06" w:rsidRPr="00B3018E" w:rsidRDefault="00AA5A06" w:rsidP="00AA5A06">
      <w:pPr>
        <w:keepNext/>
        <w:keepLines/>
        <w:rPr>
          <w:u w:val="single"/>
          <w:lang w:val="en-CA"/>
        </w:rPr>
      </w:pPr>
      <w:r w:rsidRPr="00B3018E">
        <w:rPr>
          <w:u w:val="single"/>
          <w:lang w:val="en-CA"/>
        </w:rPr>
        <w:lastRenderedPageBreak/>
        <w:t>Business plan 2018–2020</w:t>
      </w:r>
    </w:p>
    <w:p w14:paraId="6EC507FA" w14:textId="77777777" w:rsidR="00AA5A06" w:rsidRDefault="00AA5A06" w:rsidP="00AA5A06">
      <w:pPr>
        <w:keepNext/>
        <w:keepLines/>
        <w:rPr>
          <w:b/>
          <w:lang w:val="en-CA"/>
        </w:rPr>
      </w:pPr>
    </w:p>
    <w:p w14:paraId="17D006F8" w14:textId="77777777" w:rsidR="00AA5A06" w:rsidRDefault="00AA5A06" w:rsidP="00AA5A06">
      <w:pPr>
        <w:pStyle w:val="Heading1"/>
        <w:keepNext/>
        <w:keepLines/>
        <w:rPr>
          <w:lang w:val="en-CA"/>
        </w:rPr>
      </w:pPr>
      <w:r>
        <w:rPr>
          <w:lang w:val="en-CA"/>
        </w:rPr>
        <w:t>This project is included in the 2018</w:t>
      </w:r>
      <w:r>
        <w:rPr>
          <w:sz w:val="18"/>
          <w:szCs w:val="18"/>
          <w:lang w:val="en-CA"/>
        </w:rPr>
        <w:t>–</w:t>
      </w:r>
      <w:r>
        <w:rPr>
          <w:lang w:val="en-CA"/>
        </w:rPr>
        <w:t>2020 business plan of the Multilateral Fund for the year 2019 at a value of US $1,217,897, including agency support costs, with no indication on the amount of HFC to be phased out. The Secretariat notes that as submitted, the proposal is US $2,930,814 more than what has been included into the business plan; while the Secretariat’s proposal is US $407,310.</w:t>
      </w:r>
    </w:p>
    <w:p w14:paraId="22A82965" w14:textId="77777777" w:rsidR="00AA5A06" w:rsidRDefault="00AA5A06" w:rsidP="00AA5A06">
      <w:pPr>
        <w:keepNext/>
        <w:keepLines/>
        <w:outlineLvl w:val="0"/>
        <w:rPr>
          <w:u w:val="single"/>
          <w:lang w:val="en-CA"/>
        </w:rPr>
      </w:pPr>
      <w:r w:rsidRPr="00B3018E">
        <w:rPr>
          <w:u w:val="single"/>
          <w:lang w:val="en-CA"/>
        </w:rPr>
        <w:t>Conclusion</w:t>
      </w:r>
    </w:p>
    <w:p w14:paraId="2848BE3E" w14:textId="77777777" w:rsidR="00AA5A06" w:rsidRPr="00B3018E" w:rsidRDefault="00AA5A06" w:rsidP="00AA5A06">
      <w:pPr>
        <w:keepNext/>
        <w:keepLines/>
        <w:outlineLvl w:val="0"/>
        <w:rPr>
          <w:u w:val="single"/>
          <w:lang w:val="en-CA"/>
        </w:rPr>
      </w:pPr>
    </w:p>
    <w:p w14:paraId="09B70CFF" w14:textId="68744EE1" w:rsidR="00AA5A06" w:rsidRDefault="00AA5A06" w:rsidP="00AA5A06">
      <w:pPr>
        <w:pStyle w:val="Heading1"/>
        <w:keepNext/>
        <w:keepLines/>
        <w:rPr>
          <w:lang w:val="en-CA"/>
        </w:rPr>
      </w:pPr>
      <w:r>
        <w:rPr>
          <w:lang w:val="en-CA"/>
        </w:rPr>
        <w:t xml:space="preserve">On the basis of the project proposal submitted to the </w:t>
      </w:r>
      <w:r w:rsidRPr="009D65FA">
        <w:rPr>
          <w:lang w:val="en-CA"/>
        </w:rPr>
        <w:t>81</w:t>
      </w:r>
      <w:r w:rsidRPr="009D65FA">
        <w:rPr>
          <w:vertAlign w:val="superscript"/>
          <w:lang w:val="en-CA"/>
        </w:rPr>
        <w:t>st</w:t>
      </w:r>
      <w:r w:rsidRPr="009D65FA">
        <w:rPr>
          <w:lang w:val="en-CA"/>
        </w:rPr>
        <w:t xml:space="preserve"> meeting, the introduction of HFOs, which is considered a near drop-in alternative to HFCs, requires higher investment</w:t>
      </w:r>
      <w:r>
        <w:rPr>
          <w:lang w:val="en-CA"/>
        </w:rPr>
        <w:t xml:space="preserve"> in equipment and systems than the conversion from non-flammable to a flammable foam blowing agent technology (e.g., previous conversions from HCFC-141b to </w:t>
      </w:r>
      <w:proofErr w:type="spellStart"/>
      <w:r>
        <w:rPr>
          <w:lang w:val="en-CA"/>
        </w:rPr>
        <w:t>cyclopentane</w:t>
      </w:r>
      <w:proofErr w:type="spellEnd"/>
      <w:r>
        <w:rPr>
          <w:lang w:val="en-CA"/>
        </w:rPr>
        <w:t xml:space="preserve">). The fact that the baseline equipment already operates with flammable technology and HFC (C5+HFO-245fa) does not seem to represent savings in the required investments. Despite the positive improvements in </w:t>
      </w:r>
      <w:r w:rsidRPr="00E37C8E">
        <w:rPr>
          <w:lang w:val="en-CA"/>
        </w:rPr>
        <w:t xml:space="preserve">thermal-insulation performance of </w:t>
      </w:r>
      <w:r>
        <w:rPr>
          <w:lang w:val="en-CA"/>
        </w:rPr>
        <w:t xml:space="preserve">the technology as compared to </w:t>
      </w:r>
      <w:r w:rsidRPr="00E37C8E">
        <w:rPr>
          <w:lang w:val="en-CA"/>
        </w:rPr>
        <w:t xml:space="preserve">pure </w:t>
      </w:r>
      <w:proofErr w:type="spellStart"/>
      <w:r w:rsidRPr="00E37C8E">
        <w:rPr>
          <w:lang w:val="en-CA"/>
        </w:rPr>
        <w:t>cyclopentane</w:t>
      </w:r>
      <w:proofErr w:type="spellEnd"/>
      <w:r w:rsidRPr="00E37C8E">
        <w:rPr>
          <w:lang w:val="en-CA"/>
        </w:rPr>
        <w:t xml:space="preserve"> </w:t>
      </w:r>
      <w:r>
        <w:rPr>
          <w:lang w:val="en-CA"/>
        </w:rPr>
        <w:t>or C5+HFO-245fa</w:t>
      </w:r>
      <w:r w:rsidRPr="009D65FA">
        <w:rPr>
          <w:lang w:val="en-CA"/>
        </w:rPr>
        <w:t xml:space="preserve">, </w:t>
      </w:r>
      <w:r w:rsidRPr="00ED1D90">
        <w:rPr>
          <w:lang w:val="en-CA"/>
        </w:rPr>
        <w:t>at US</w:t>
      </w:r>
      <w:r w:rsidR="00ED1D90" w:rsidRPr="00ED1D90">
        <w:rPr>
          <w:lang w:val="en-CA"/>
        </w:rPr>
        <w:t> </w:t>
      </w:r>
      <w:r w:rsidRPr="00ED1D90">
        <w:rPr>
          <w:lang w:val="en-CA"/>
        </w:rPr>
        <w:t>$15.5/kg as proposed, its replicability in China and in several other Article 5 countries might be limited given the level of capital investment required and the level of operational costs. Based on the information available so far, the Secretariat, however, considers that the incremental cost to convert from C5+HFC-245fa to C5+HFO</w:t>
      </w:r>
      <w:r w:rsidRPr="00ED1D90">
        <w:rPr>
          <w:lang w:val="en-CA"/>
        </w:rPr>
        <w:noBreakHyphen/>
        <w:t>1233zd could be lower than that proposed in the project, which would make it more replicable. UNDP</w:t>
      </w:r>
      <w:r w:rsidRPr="00F86B24">
        <w:rPr>
          <w:lang w:val="en-CA"/>
        </w:rPr>
        <w:t xml:space="preserve"> and the Secretariat </w:t>
      </w:r>
      <w:r>
        <w:rPr>
          <w:lang w:val="en-CA"/>
        </w:rPr>
        <w:t>have not been able to</w:t>
      </w:r>
      <w:r w:rsidRPr="00F86B24">
        <w:rPr>
          <w:lang w:val="en-CA"/>
        </w:rPr>
        <w:t xml:space="preserve"> </w:t>
      </w:r>
      <w:r>
        <w:rPr>
          <w:lang w:val="en-CA"/>
        </w:rPr>
        <w:t>reach</w:t>
      </w:r>
      <w:r w:rsidRPr="00F86B24">
        <w:rPr>
          <w:lang w:val="en-CA"/>
        </w:rPr>
        <w:t xml:space="preserve"> </w:t>
      </w:r>
      <w:r>
        <w:rPr>
          <w:lang w:val="en-CA"/>
        </w:rPr>
        <w:t xml:space="preserve">an </w:t>
      </w:r>
      <w:r w:rsidRPr="00F86B24">
        <w:rPr>
          <w:lang w:val="en-CA"/>
        </w:rPr>
        <w:t xml:space="preserve">agreement on the overall cost of the project, </w:t>
      </w:r>
      <w:r>
        <w:rPr>
          <w:lang w:val="en-CA"/>
        </w:rPr>
        <w:t xml:space="preserve">as reflected in Table 4. </w:t>
      </w:r>
    </w:p>
    <w:p w14:paraId="4E7A3627" w14:textId="77777777" w:rsidR="00AA5A06" w:rsidRDefault="00AA5A06" w:rsidP="00AA5A06">
      <w:pPr>
        <w:pStyle w:val="Heading1"/>
        <w:spacing w:after="0"/>
        <w:rPr>
          <w:lang w:val="en-CA"/>
        </w:rPr>
      </w:pPr>
      <w:r w:rsidRPr="005B470F">
        <w:rPr>
          <w:lang w:val="en-CA"/>
        </w:rPr>
        <w:t xml:space="preserve">Notwithstanding the above, given the urgent requirement </w:t>
      </w:r>
      <w:r>
        <w:rPr>
          <w:lang w:val="en-CA"/>
        </w:rPr>
        <w:t>by</w:t>
      </w:r>
      <w:r w:rsidRPr="005B470F">
        <w:rPr>
          <w:lang w:val="en-CA"/>
        </w:rPr>
        <w:t xml:space="preserve"> the Executive Committee to gain experience in the ICCs and IOCs that might be associated with phasing down HFCs in Article 5 countries</w:t>
      </w:r>
      <w:r>
        <w:rPr>
          <w:lang w:val="en-CA"/>
        </w:rPr>
        <w:t>, in light of decision 78/3 (g)</w:t>
      </w:r>
      <w:r w:rsidRPr="005B470F">
        <w:rPr>
          <w:lang w:val="en-CA"/>
        </w:rPr>
        <w:t>, the Secretariat is submitting this project for the consideration of the Executive Committee.</w:t>
      </w:r>
    </w:p>
    <w:p w14:paraId="417C53C1" w14:textId="77777777" w:rsidR="00AA5A06" w:rsidRPr="00F87A7A" w:rsidRDefault="00AA5A06" w:rsidP="00AA5A06">
      <w:pPr>
        <w:rPr>
          <w:lang w:val="en-CA"/>
        </w:rPr>
      </w:pPr>
    </w:p>
    <w:p w14:paraId="59A5E7EE" w14:textId="77777777" w:rsidR="00AA5A06" w:rsidRPr="00945F98" w:rsidRDefault="00AA5A06" w:rsidP="00AA5A06">
      <w:pPr>
        <w:keepNext/>
        <w:rPr>
          <w:b/>
          <w:lang w:val="en-CA"/>
        </w:rPr>
      </w:pPr>
      <w:r w:rsidRPr="00945F98">
        <w:rPr>
          <w:b/>
          <w:lang w:val="en-CA"/>
        </w:rPr>
        <w:t>RECOMMENDATION</w:t>
      </w:r>
    </w:p>
    <w:p w14:paraId="4CBF86FA" w14:textId="77777777" w:rsidR="00AA5A06" w:rsidRPr="00945F98" w:rsidRDefault="00AA5A06" w:rsidP="00AA5A06">
      <w:pPr>
        <w:keepNext/>
        <w:rPr>
          <w:b/>
          <w:lang w:val="en-CA"/>
        </w:rPr>
      </w:pPr>
    </w:p>
    <w:p w14:paraId="6AAA05C6" w14:textId="77777777" w:rsidR="00AA5A06" w:rsidRPr="004A5AAF" w:rsidRDefault="00AA5A06" w:rsidP="00AA5A06">
      <w:pPr>
        <w:pStyle w:val="Heading1"/>
        <w:rPr>
          <w:lang w:val="en-CA"/>
        </w:rPr>
      </w:pPr>
      <w:r w:rsidRPr="005B470F">
        <w:rPr>
          <w:lang w:val="en-CA"/>
        </w:rPr>
        <w:t xml:space="preserve">The </w:t>
      </w:r>
      <w:r w:rsidRPr="004A5AAF">
        <w:rPr>
          <w:lang w:val="en-CA"/>
        </w:rPr>
        <w:t xml:space="preserve">Executive Committee may wish to consider: </w:t>
      </w:r>
    </w:p>
    <w:p w14:paraId="17AC7EC8" w14:textId="77777777" w:rsidR="00AA5A06" w:rsidRDefault="00AA5A06" w:rsidP="00AA5A06">
      <w:pPr>
        <w:pStyle w:val="Heading2"/>
        <w:numPr>
          <w:ilvl w:val="1"/>
          <w:numId w:val="1"/>
        </w:numPr>
        <w:rPr>
          <w:lang w:val="en-CA"/>
        </w:rPr>
      </w:pPr>
      <w:r w:rsidRPr="004A5AAF">
        <w:rPr>
          <w:lang w:val="en-CA"/>
        </w:rPr>
        <w:t xml:space="preserve">The project proposal for the </w:t>
      </w:r>
      <w:r>
        <w:rPr>
          <w:lang w:val="en-CA"/>
        </w:rPr>
        <w:t>c</w:t>
      </w:r>
      <w:r w:rsidRPr="00A20F7F">
        <w:rPr>
          <w:lang w:val="en-CA"/>
        </w:rPr>
        <w:t xml:space="preserve">onversion of polyurethane foam panels in domestic refrigeration manufacturing at Hisense </w:t>
      </w:r>
      <w:proofErr w:type="spellStart"/>
      <w:r w:rsidRPr="00A20F7F">
        <w:rPr>
          <w:lang w:val="en-CA"/>
        </w:rPr>
        <w:t>Kelon</w:t>
      </w:r>
      <w:proofErr w:type="spellEnd"/>
      <w:r w:rsidRPr="00A20F7F">
        <w:rPr>
          <w:lang w:val="en-CA"/>
        </w:rPr>
        <w:t xml:space="preserve"> from the use of </w:t>
      </w:r>
      <w:proofErr w:type="spellStart"/>
      <w:r w:rsidRPr="00A20F7F">
        <w:rPr>
          <w:lang w:val="en-CA"/>
        </w:rPr>
        <w:t>cyclopentane</w:t>
      </w:r>
      <w:proofErr w:type="spellEnd"/>
      <w:r w:rsidRPr="00A20F7F">
        <w:rPr>
          <w:lang w:val="en-CA"/>
        </w:rPr>
        <w:t xml:space="preserve"> and HFC-245fa to the use of </w:t>
      </w:r>
      <w:proofErr w:type="spellStart"/>
      <w:r w:rsidRPr="00A20F7F">
        <w:rPr>
          <w:lang w:val="en-CA"/>
        </w:rPr>
        <w:t>cyclopentane</w:t>
      </w:r>
      <w:proofErr w:type="spellEnd"/>
      <w:r w:rsidRPr="00A20F7F">
        <w:rPr>
          <w:lang w:val="en-CA"/>
        </w:rPr>
        <w:t xml:space="preserve"> and HFO-1233zd as the blowing agent</w:t>
      </w:r>
      <w:r w:rsidRPr="004A5AAF">
        <w:rPr>
          <w:lang w:val="en-CA"/>
        </w:rPr>
        <w:t>, in the context of its discussion on HFC stand-alone project submitted to the 81</w:t>
      </w:r>
      <w:r w:rsidRPr="00DE1B1F">
        <w:rPr>
          <w:vertAlign w:val="superscript"/>
          <w:lang w:val="en-CA"/>
        </w:rPr>
        <w:t>st</w:t>
      </w:r>
      <w:r>
        <w:rPr>
          <w:lang w:val="en-CA"/>
        </w:rPr>
        <w:t xml:space="preserve"> </w:t>
      </w:r>
      <w:r w:rsidRPr="004A5AAF">
        <w:rPr>
          <w:lang w:val="en-CA"/>
        </w:rPr>
        <w:t>meeting in line with decis</w:t>
      </w:r>
      <w:r>
        <w:rPr>
          <w:lang w:val="en-CA"/>
        </w:rPr>
        <w:t>ion </w:t>
      </w:r>
      <w:r w:rsidRPr="004A5AAF">
        <w:rPr>
          <w:lang w:val="en-CA"/>
        </w:rPr>
        <w:t xml:space="preserve">78/3(g), as described in the document on the Overview of issues identified during project review </w:t>
      </w:r>
      <w:r w:rsidRPr="00224C61">
        <w:rPr>
          <w:lang w:val="en-CA"/>
        </w:rPr>
        <w:t>(UNEP/</w:t>
      </w:r>
      <w:proofErr w:type="spellStart"/>
      <w:r w:rsidRPr="00224C61">
        <w:rPr>
          <w:lang w:val="en-CA"/>
        </w:rPr>
        <w:t>OzL.Pro</w:t>
      </w:r>
      <w:proofErr w:type="spellEnd"/>
      <w:r w:rsidRPr="00224C61">
        <w:rPr>
          <w:lang w:val="en-CA"/>
        </w:rPr>
        <w:t>/</w:t>
      </w:r>
      <w:proofErr w:type="spellStart"/>
      <w:r w:rsidRPr="00224C61">
        <w:rPr>
          <w:lang w:val="en-CA"/>
        </w:rPr>
        <w:t>ExCom</w:t>
      </w:r>
      <w:proofErr w:type="spellEnd"/>
      <w:r w:rsidRPr="00224C61">
        <w:rPr>
          <w:lang w:val="en-CA"/>
        </w:rPr>
        <w:t>/81/14);</w:t>
      </w:r>
      <w:r>
        <w:rPr>
          <w:lang w:val="en-CA"/>
        </w:rPr>
        <w:t xml:space="preserve"> and</w:t>
      </w:r>
    </w:p>
    <w:p w14:paraId="4F88902D" w14:textId="77777777" w:rsidR="00AA5A06" w:rsidRPr="00276107" w:rsidRDefault="00AA5A06" w:rsidP="00AA5A06">
      <w:pPr>
        <w:pStyle w:val="Heading2"/>
        <w:numPr>
          <w:ilvl w:val="1"/>
          <w:numId w:val="1"/>
        </w:numPr>
        <w:rPr>
          <w:lang w:val="en-CA"/>
        </w:rPr>
      </w:pPr>
      <w:r>
        <w:rPr>
          <w:lang w:val="en-CA"/>
        </w:rPr>
        <w:t>Whether or not to approve the project proposal in light of the information presented in the document.</w:t>
      </w:r>
    </w:p>
    <w:p w14:paraId="4510002A" w14:textId="77777777" w:rsidR="00AA5A06" w:rsidRPr="006623C9" w:rsidRDefault="00AA5A06" w:rsidP="00AA5A06">
      <w:pPr>
        <w:pStyle w:val="Heading1"/>
        <w:numPr>
          <w:ilvl w:val="0"/>
          <w:numId w:val="0"/>
        </w:numPr>
        <w:spacing w:after="0"/>
        <w:rPr>
          <w:lang w:val="en-CA"/>
        </w:rPr>
      </w:pPr>
    </w:p>
    <w:p w14:paraId="2274D5C1" w14:textId="77777777" w:rsidR="0001415F" w:rsidRPr="00B75955" w:rsidRDefault="0001415F">
      <w:pPr>
        <w:jc w:val="left"/>
        <w:rPr>
          <w:lang w:val="en-CA"/>
        </w:rPr>
      </w:pPr>
    </w:p>
    <w:p w14:paraId="4F36FB8E" w14:textId="311C36F3" w:rsidR="0001415F" w:rsidRPr="00B75955" w:rsidRDefault="0001415F">
      <w:pPr>
        <w:jc w:val="left"/>
        <w:rPr>
          <w:lang w:val="en-CA"/>
        </w:rPr>
      </w:pPr>
      <w:r w:rsidRPr="00B75955">
        <w:rPr>
          <w:lang w:val="en-CA"/>
        </w:rPr>
        <w:br w:type="page"/>
      </w:r>
    </w:p>
    <w:p w14:paraId="351D9EEA" w14:textId="0F3B0BAB" w:rsidR="00A54392" w:rsidRPr="00B75955" w:rsidRDefault="00A54392" w:rsidP="00A54392">
      <w:pPr>
        <w:jc w:val="left"/>
        <w:rPr>
          <w:lang w:val="en-CA"/>
        </w:rPr>
      </w:pPr>
      <w:r w:rsidRPr="00D2582E">
        <w:rPr>
          <w:u w:val="single"/>
          <w:lang w:val="en-CA"/>
        </w:rPr>
        <w:lastRenderedPageBreak/>
        <w:t>HCFC phase-out management plan (</w:t>
      </w:r>
      <w:r w:rsidR="00D2582E">
        <w:rPr>
          <w:u w:val="single"/>
          <w:lang w:val="en-CA"/>
        </w:rPr>
        <w:t>stage </w:t>
      </w:r>
      <w:r w:rsidRPr="00D2582E">
        <w:rPr>
          <w:u w:val="single"/>
          <w:lang w:val="en-CA"/>
        </w:rPr>
        <w:t>I): Final</w:t>
      </w:r>
      <w:r w:rsidR="00BD2293" w:rsidRPr="00D2582E">
        <w:rPr>
          <w:u w:val="single"/>
          <w:lang w:val="en-CA"/>
        </w:rPr>
        <w:t xml:space="preserve"> progress</w:t>
      </w:r>
      <w:r w:rsidRPr="00D2582E">
        <w:rPr>
          <w:u w:val="single"/>
          <w:lang w:val="en-CA"/>
        </w:rPr>
        <w:t xml:space="preserve"> report on the solvent sector</w:t>
      </w:r>
      <w:r w:rsidRPr="00D2582E">
        <w:rPr>
          <w:lang w:val="en-CA"/>
        </w:rPr>
        <w:t xml:space="preserve"> (UNDP)</w:t>
      </w:r>
    </w:p>
    <w:p w14:paraId="0B4D67FB" w14:textId="6378D2E8" w:rsidR="00A54392" w:rsidRPr="00B75955" w:rsidRDefault="00A54392">
      <w:pPr>
        <w:jc w:val="left"/>
        <w:rPr>
          <w:lang w:val="en-CA"/>
        </w:rPr>
      </w:pPr>
    </w:p>
    <w:p w14:paraId="5A9D96DB" w14:textId="54AFFCB2" w:rsidR="00D2582E" w:rsidRPr="00AE3434" w:rsidRDefault="00D2582E" w:rsidP="00D2582E">
      <w:pPr>
        <w:pStyle w:val="Heading1"/>
        <w:rPr>
          <w:lang w:val="en-CA"/>
        </w:rPr>
      </w:pPr>
      <w:r>
        <w:rPr>
          <w:lang w:val="en-CA"/>
        </w:rPr>
        <w:t xml:space="preserve">UNDP has submitted the final progress </w:t>
      </w:r>
      <w:r w:rsidRPr="00AE3434">
        <w:rPr>
          <w:lang w:val="en-CA"/>
        </w:rPr>
        <w:t xml:space="preserve">report on the implementation of the solvent sector plan for </w:t>
      </w:r>
      <w:r>
        <w:rPr>
          <w:lang w:val="en-CA"/>
        </w:rPr>
        <w:t>stage </w:t>
      </w:r>
      <w:r w:rsidRPr="00AE3434">
        <w:rPr>
          <w:lang w:val="en-CA"/>
        </w:rPr>
        <w:t xml:space="preserve">I of the HPMP in China </w:t>
      </w:r>
      <w:r>
        <w:rPr>
          <w:lang w:val="en-CA"/>
        </w:rPr>
        <w:t>to the 81</w:t>
      </w:r>
      <w:r w:rsidRPr="00AE3434">
        <w:rPr>
          <w:vertAlign w:val="superscript"/>
          <w:lang w:val="en-CA"/>
        </w:rPr>
        <w:t>st</w:t>
      </w:r>
      <w:r>
        <w:rPr>
          <w:lang w:val="en-CA"/>
        </w:rPr>
        <w:t xml:space="preserve"> meeting</w:t>
      </w:r>
      <w:r w:rsidRPr="00AE3434">
        <w:rPr>
          <w:lang w:val="en-CA"/>
        </w:rPr>
        <w:t xml:space="preserve">. </w:t>
      </w:r>
    </w:p>
    <w:p w14:paraId="6AB137DB" w14:textId="5126F1EA" w:rsidR="00D2582E" w:rsidRDefault="00D2582E" w:rsidP="00D2582E">
      <w:pPr>
        <w:pStyle w:val="Heading1"/>
        <w:rPr>
          <w:lang w:val="en-CA"/>
        </w:rPr>
      </w:pPr>
      <w:r>
        <w:rPr>
          <w:lang w:val="en-CA"/>
        </w:rPr>
        <w:t>The final progress report highlighted the remaining technical assistance activities implemented during the last quarter of 2017, the evaluation of project management and implementation of stage I and the preparation of a project completion report, as summarized below:</w:t>
      </w:r>
    </w:p>
    <w:p w14:paraId="2BB8C6C5" w14:textId="67056E41" w:rsidR="00D2582E" w:rsidRDefault="00D2582E" w:rsidP="00D2582E">
      <w:pPr>
        <w:pStyle w:val="Heading2"/>
        <w:numPr>
          <w:ilvl w:val="1"/>
          <w:numId w:val="1"/>
        </w:numPr>
        <w:rPr>
          <w:lang w:val="en-CA"/>
        </w:rPr>
      </w:pPr>
      <w:r>
        <w:rPr>
          <w:lang w:val="en-CA"/>
        </w:rPr>
        <w:t xml:space="preserve">With the assistance of the </w:t>
      </w:r>
      <w:r w:rsidRPr="00623A75">
        <w:rPr>
          <w:lang w:val="en-CA"/>
        </w:rPr>
        <w:t>China Association for Medical Devices Industry Medical Macromolecule Products</w:t>
      </w:r>
      <w:r>
        <w:rPr>
          <w:lang w:val="en-CA"/>
        </w:rPr>
        <w:t xml:space="preserve"> (CAMDIMMP), a workshop was conducted for</w:t>
      </w:r>
      <w:r w:rsidRPr="009C204B">
        <w:rPr>
          <w:lang w:val="en-CA"/>
        </w:rPr>
        <w:t xml:space="preserve"> technical experts and technical/production managers from enterprises involved </w:t>
      </w:r>
      <w:r>
        <w:rPr>
          <w:lang w:val="en-CA"/>
        </w:rPr>
        <w:t xml:space="preserve">in stage I; and guidelines for conversion of HCFC-based equipment based on their experience and </w:t>
      </w:r>
      <w:r w:rsidRPr="009C204B">
        <w:rPr>
          <w:lang w:val="en-CA"/>
        </w:rPr>
        <w:t>lessons</w:t>
      </w:r>
      <w:r>
        <w:rPr>
          <w:lang w:val="en-CA"/>
        </w:rPr>
        <w:t xml:space="preserve"> learned were finalised in December 2017. These guidelines will be used for stage II;</w:t>
      </w:r>
    </w:p>
    <w:p w14:paraId="6AAE30DB" w14:textId="1DB0CC4A" w:rsidR="00D2582E" w:rsidRDefault="00D2582E" w:rsidP="00D2582E">
      <w:pPr>
        <w:pStyle w:val="Heading2"/>
        <w:numPr>
          <w:ilvl w:val="1"/>
          <w:numId w:val="1"/>
        </w:numPr>
        <w:rPr>
          <w:lang w:val="en-CA"/>
        </w:rPr>
      </w:pPr>
      <w:r>
        <w:rPr>
          <w:lang w:val="en-CA"/>
        </w:rPr>
        <w:t>T</w:t>
      </w:r>
      <w:r w:rsidRPr="0092225C">
        <w:rPr>
          <w:lang w:val="en-CA"/>
        </w:rPr>
        <w:t xml:space="preserve">raining workshop </w:t>
      </w:r>
      <w:r>
        <w:rPr>
          <w:lang w:val="en-CA"/>
        </w:rPr>
        <w:t xml:space="preserve">was organized </w:t>
      </w:r>
      <w:r w:rsidRPr="00FC6192">
        <w:rPr>
          <w:lang w:val="en-CA"/>
        </w:rPr>
        <w:t xml:space="preserve">in December 2017 </w:t>
      </w:r>
      <w:r w:rsidRPr="0092225C">
        <w:rPr>
          <w:lang w:val="en-CA"/>
        </w:rPr>
        <w:t xml:space="preserve">for 14 medical devices enterprises </w:t>
      </w:r>
      <w:r>
        <w:rPr>
          <w:lang w:val="en-CA"/>
        </w:rPr>
        <w:t xml:space="preserve">identified as part of stage II to share lessons learned and provide case studies from stage I conversions; </w:t>
      </w:r>
    </w:p>
    <w:p w14:paraId="379531BA" w14:textId="77777777" w:rsidR="00D2582E" w:rsidRPr="0092225C" w:rsidRDefault="00D2582E" w:rsidP="00D2582E">
      <w:pPr>
        <w:pStyle w:val="Heading2"/>
        <w:numPr>
          <w:ilvl w:val="1"/>
          <w:numId w:val="1"/>
        </w:numPr>
        <w:rPr>
          <w:lang w:val="en-CA"/>
        </w:rPr>
      </w:pPr>
      <w:r>
        <w:rPr>
          <w:lang w:val="en-CA"/>
        </w:rPr>
        <w:t xml:space="preserve">The </w:t>
      </w:r>
      <w:r w:rsidRPr="0092225C">
        <w:rPr>
          <w:lang w:val="en-CA"/>
        </w:rPr>
        <w:t>evaluation report on project management and implementation</w:t>
      </w:r>
      <w:r>
        <w:rPr>
          <w:lang w:val="en-CA"/>
        </w:rPr>
        <w:t xml:space="preserve"> was completed. It will be used to </w:t>
      </w:r>
      <w:r w:rsidRPr="0092225C">
        <w:rPr>
          <w:lang w:val="en-CA"/>
        </w:rPr>
        <w:t>streamline management and implementation of the solvent sector plan under stage II</w:t>
      </w:r>
      <w:r>
        <w:rPr>
          <w:lang w:val="en-CA"/>
        </w:rPr>
        <w:t>;</w:t>
      </w:r>
    </w:p>
    <w:p w14:paraId="71A1832F" w14:textId="77777777" w:rsidR="00D2582E" w:rsidRDefault="00D2582E" w:rsidP="00D2582E">
      <w:pPr>
        <w:pStyle w:val="Heading2"/>
        <w:numPr>
          <w:ilvl w:val="1"/>
          <w:numId w:val="1"/>
        </w:numPr>
        <w:rPr>
          <w:lang w:val="en-CA"/>
        </w:rPr>
      </w:pPr>
      <w:r>
        <w:rPr>
          <w:lang w:val="en-CA"/>
        </w:rPr>
        <w:t xml:space="preserve">The </w:t>
      </w:r>
      <w:r w:rsidRPr="0092225C">
        <w:rPr>
          <w:lang w:val="en-CA"/>
        </w:rPr>
        <w:t xml:space="preserve">project completion report </w:t>
      </w:r>
      <w:r>
        <w:rPr>
          <w:lang w:val="en-CA"/>
        </w:rPr>
        <w:t xml:space="preserve">was finalized in February 2018 for submission to the Secretariat; and </w:t>
      </w:r>
    </w:p>
    <w:p w14:paraId="5C32A160" w14:textId="31A9142B" w:rsidR="00D2582E" w:rsidRPr="00D3088B" w:rsidRDefault="00D2582E" w:rsidP="00D2582E">
      <w:pPr>
        <w:pStyle w:val="Heading2"/>
        <w:numPr>
          <w:ilvl w:val="1"/>
          <w:numId w:val="1"/>
        </w:numPr>
        <w:rPr>
          <w:lang w:val="en-CA"/>
        </w:rPr>
      </w:pPr>
      <w:r>
        <w:rPr>
          <w:lang w:val="en-CA"/>
        </w:rPr>
        <w:t>P</w:t>
      </w:r>
      <w:r w:rsidRPr="00D3088B">
        <w:rPr>
          <w:lang w:val="en-CA"/>
        </w:rPr>
        <w:t>ublic awareness activities</w:t>
      </w:r>
      <w:r>
        <w:rPr>
          <w:lang w:val="en-CA"/>
        </w:rPr>
        <w:t xml:space="preserve"> continued to support the solvent sector conversions in stage II.</w:t>
      </w:r>
    </w:p>
    <w:p w14:paraId="1D65D118" w14:textId="77777777" w:rsidR="00D2582E" w:rsidRPr="00D3088B" w:rsidRDefault="00D2582E" w:rsidP="00D2582E">
      <w:pPr>
        <w:pStyle w:val="Heading2"/>
        <w:keepNext/>
        <w:widowControl/>
        <w:numPr>
          <w:ilvl w:val="0"/>
          <w:numId w:val="0"/>
        </w:numPr>
        <w:rPr>
          <w:lang w:val="en-CA"/>
        </w:rPr>
      </w:pPr>
      <w:r w:rsidRPr="00D3088B">
        <w:rPr>
          <w:u w:val="single"/>
          <w:lang w:val="en-CA"/>
        </w:rPr>
        <w:t>Lessons learned</w:t>
      </w:r>
    </w:p>
    <w:p w14:paraId="66134ACD" w14:textId="24B3D31D" w:rsidR="00D2582E" w:rsidRDefault="00D2582E" w:rsidP="00D2582E">
      <w:pPr>
        <w:pStyle w:val="Heading1"/>
        <w:rPr>
          <w:lang w:val="en-CA"/>
        </w:rPr>
      </w:pPr>
      <w:r>
        <w:rPr>
          <w:lang w:val="en-CA"/>
        </w:rPr>
        <w:t xml:space="preserve">Key </w:t>
      </w:r>
      <w:r w:rsidRPr="00742A28">
        <w:rPr>
          <w:lang w:val="en-CA"/>
        </w:rPr>
        <w:t>lessons learned from the implementation of the solvent sector plan</w:t>
      </w:r>
      <w:r w:rsidRPr="00573229">
        <w:rPr>
          <w:lang w:val="en-CA"/>
        </w:rPr>
        <w:t xml:space="preserve"> </w:t>
      </w:r>
      <w:r w:rsidRPr="00742A28">
        <w:rPr>
          <w:lang w:val="en-CA"/>
        </w:rPr>
        <w:t>includ</w:t>
      </w:r>
      <w:r>
        <w:rPr>
          <w:lang w:val="en-CA"/>
        </w:rPr>
        <w:t>ed</w:t>
      </w:r>
      <w:r w:rsidRPr="00742A28">
        <w:rPr>
          <w:lang w:val="en-CA"/>
        </w:rPr>
        <w:t xml:space="preserve"> the establishment of an effective policy system</w:t>
      </w:r>
      <w:r>
        <w:rPr>
          <w:lang w:val="en-CA"/>
        </w:rPr>
        <w:t xml:space="preserve"> </w:t>
      </w:r>
      <w:r w:rsidRPr="00640166">
        <w:rPr>
          <w:lang w:val="en-CA"/>
        </w:rPr>
        <w:t>for the management and monitoring of HCFC phase-out</w:t>
      </w:r>
      <w:r w:rsidRPr="00742A28">
        <w:rPr>
          <w:lang w:val="en-CA"/>
        </w:rPr>
        <w:t>; involvement of competent local</w:t>
      </w:r>
      <w:r w:rsidRPr="00351306">
        <w:t xml:space="preserve"> </w:t>
      </w:r>
      <w:r w:rsidRPr="00351306">
        <w:rPr>
          <w:lang w:val="en-CA"/>
        </w:rPr>
        <w:t>Environmental Protection Bureaus</w:t>
      </w:r>
      <w:r w:rsidRPr="00742A28">
        <w:rPr>
          <w:lang w:val="en-CA"/>
        </w:rPr>
        <w:t xml:space="preserve"> </w:t>
      </w:r>
      <w:r>
        <w:rPr>
          <w:lang w:val="en-CA"/>
        </w:rPr>
        <w:t>(</w:t>
      </w:r>
      <w:r w:rsidRPr="00742A28">
        <w:rPr>
          <w:lang w:val="en-CA"/>
        </w:rPr>
        <w:t>EPBs</w:t>
      </w:r>
      <w:r>
        <w:rPr>
          <w:lang w:val="en-CA"/>
        </w:rPr>
        <w:t>)</w:t>
      </w:r>
      <w:r w:rsidRPr="00742A28">
        <w:rPr>
          <w:lang w:val="en-CA"/>
        </w:rPr>
        <w:t xml:space="preserve"> in the management and monitoring of HCFCs phase</w:t>
      </w:r>
      <w:r w:rsidRPr="00742A28">
        <w:rPr>
          <w:lang w:val="en-CA"/>
        </w:rPr>
        <w:noBreakHyphen/>
        <w:t xml:space="preserve">out which strengthened China’s capacity to monitor the use of HCFC-141b in the consumption sector; </w:t>
      </w:r>
      <w:r>
        <w:rPr>
          <w:lang w:val="en-CA"/>
        </w:rPr>
        <w:t>c</w:t>
      </w:r>
      <w:r w:rsidRPr="00742A28">
        <w:rPr>
          <w:lang w:val="en-CA"/>
        </w:rPr>
        <w:t xml:space="preserve">ooperation with </w:t>
      </w:r>
      <w:r>
        <w:rPr>
          <w:lang w:val="en-CA"/>
        </w:rPr>
        <w:t>relevant</w:t>
      </w:r>
      <w:r w:rsidRPr="00742A28">
        <w:rPr>
          <w:lang w:val="en-CA"/>
        </w:rPr>
        <w:t xml:space="preserve"> industrial associations, academic institutes and enterprises</w:t>
      </w:r>
      <w:r>
        <w:rPr>
          <w:lang w:val="en-CA"/>
        </w:rPr>
        <w:t>; and that</w:t>
      </w:r>
      <w:r w:rsidRPr="00742A28">
        <w:rPr>
          <w:lang w:val="en-CA"/>
        </w:rPr>
        <w:t xml:space="preserve"> </w:t>
      </w:r>
      <w:r>
        <w:rPr>
          <w:lang w:val="en-CA"/>
        </w:rPr>
        <w:t>the p</w:t>
      </w:r>
      <w:r w:rsidRPr="00742A28">
        <w:rPr>
          <w:lang w:val="en-CA"/>
        </w:rPr>
        <w:t xml:space="preserve">roject management and the implementation system established under </w:t>
      </w:r>
      <w:r>
        <w:rPr>
          <w:lang w:val="en-CA"/>
        </w:rPr>
        <w:t>stage </w:t>
      </w:r>
      <w:r w:rsidRPr="00742A28">
        <w:rPr>
          <w:lang w:val="en-CA"/>
        </w:rPr>
        <w:t xml:space="preserve">I have </w:t>
      </w:r>
      <w:r>
        <w:rPr>
          <w:lang w:val="en-CA"/>
        </w:rPr>
        <w:t>been</w:t>
      </w:r>
      <w:r w:rsidRPr="00742A28">
        <w:rPr>
          <w:lang w:val="en-CA"/>
        </w:rPr>
        <w:t xml:space="preserve"> effective and compatible with business practices of larger enterprises</w:t>
      </w:r>
      <w:r>
        <w:rPr>
          <w:lang w:val="en-CA"/>
        </w:rPr>
        <w:t>, but</w:t>
      </w:r>
      <w:r w:rsidRPr="00742A28">
        <w:rPr>
          <w:lang w:val="en-CA"/>
        </w:rPr>
        <w:t xml:space="preserve"> may require further streamlining to </w:t>
      </w:r>
      <w:r w:rsidRPr="00D256D9">
        <w:rPr>
          <w:lang w:val="en-CA"/>
        </w:rPr>
        <w:t>deliver assistance to small</w:t>
      </w:r>
      <w:r>
        <w:rPr>
          <w:lang w:val="en-CA"/>
        </w:rPr>
        <w:t>er</w:t>
      </w:r>
      <w:r w:rsidRPr="00D256D9">
        <w:rPr>
          <w:lang w:val="en-CA"/>
        </w:rPr>
        <w:t xml:space="preserve"> enterprises </w:t>
      </w:r>
      <w:r>
        <w:rPr>
          <w:lang w:val="en-CA"/>
        </w:rPr>
        <w:t xml:space="preserve">under stage II. </w:t>
      </w:r>
    </w:p>
    <w:p w14:paraId="0D298673" w14:textId="77777777" w:rsidR="00D2582E" w:rsidRPr="00A436D3" w:rsidRDefault="00D2582E" w:rsidP="00D2582E">
      <w:pPr>
        <w:pStyle w:val="Heading1"/>
        <w:numPr>
          <w:ilvl w:val="0"/>
          <w:numId w:val="0"/>
        </w:numPr>
        <w:rPr>
          <w:lang w:val="en-CA"/>
        </w:rPr>
      </w:pPr>
      <w:r w:rsidRPr="00A436D3">
        <w:rPr>
          <w:u w:val="single"/>
          <w:lang w:val="en-CA"/>
        </w:rPr>
        <w:t>Level of fund disbursement</w:t>
      </w:r>
    </w:p>
    <w:p w14:paraId="0D179371" w14:textId="77777777" w:rsidR="00D2582E" w:rsidRPr="00A436D3" w:rsidRDefault="00D2582E" w:rsidP="00D2582E">
      <w:pPr>
        <w:pStyle w:val="Heading1"/>
        <w:rPr>
          <w:lang w:val="en-CA"/>
        </w:rPr>
      </w:pPr>
      <w:r w:rsidRPr="00A436D3">
        <w:rPr>
          <w:lang w:val="en-CA"/>
        </w:rPr>
        <w:t xml:space="preserve">As of </w:t>
      </w:r>
      <w:r>
        <w:rPr>
          <w:lang w:val="en-CA"/>
        </w:rPr>
        <w:t>April 2018</w:t>
      </w:r>
      <w:r w:rsidRPr="00A436D3">
        <w:rPr>
          <w:lang w:val="en-CA"/>
        </w:rPr>
        <w:t>, the US $5,000,000 approved</w:t>
      </w:r>
      <w:r>
        <w:rPr>
          <w:lang w:val="en-CA"/>
        </w:rPr>
        <w:t xml:space="preserve"> </w:t>
      </w:r>
      <w:r w:rsidRPr="00A436D3">
        <w:rPr>
          <w:lang w:val="en-CA"/>
        </w:rPr>
        <w:t xml:space="preserve">had been </w:t>
      </w:r>
      <w:r>
        <w:rPr>
          <w:lang w:val="en-CA"/>
        </w:rPr>
        <w:t xml:space="preserve">fully </w:t>
      </w:r>
      <w:r w:rsidRPr="00A436D3">
        <w:rPr>
          <w:lang w:val="en-CA"/>
        </w:rPr>
        <w:t xml:space="preserve">disbursed by FECO to beneficiaries, and for technical assistance activities, as shown in Table </w:t>
      </w:r>
      <w:r>
        <w:rPr>
          <w:lang w:val="en-CA"/>
        </w:rPr>
        <w:t>1</w:t>
      </w:r>
      <w:r w:rsidRPr="00A436D3">
        <w:rPr>
          <w:lang w:val="en-CA"/>
        </w:rPr>
        <w:t>.</w:t>
      </w:r>
    </w:p>
    <w:p w14:paraId="5C80093A" w14:textId="77777777" w:rsidR="00D2582E" w:rsidRPr="00A436D3" w:rsidRDefault="00D2582E" w:rsidP="00D2582E">
      <w:pPr>
        <w:pStyle w:val="Heading1"/>
        <w:keepNext/>
        <w:keepLines/>
        <w:numPr>
          <w:ilvl w:val="0"/>
          <w:numId w:val="0"/>
        </w:numPr>
        <w:spacing w:after="0"/>
        <w:rPr>
          <w:b/>
          <w:lang w:val="en-CA"/>
        </w:rPr>
      </w:pPr>
      <w:r w:rsidRPr="00A436D3">
        <w:rPr>
          <w:b/>
          <w:lang w:val="en-CA"/>
        </w:rPr>
        <w:t>Table </w:t>
      </w:r>
      <w:r>
        <w:rPr>
          <w:b/>
          <w:lang w:val="en-CA"/>
        </w:rPr>
        <w:t>1</w:t>
      </w:r>
      <w:r w:rsidRPr="00A436D3">
        <w:rPr>
          <w:b/>
          <w:lang w:val="en-CA"/>
        </w:rPr>
        <w:t xml:space="preserve">. Status of disbursements for the solvent sector plan as of </w:t>
      </w:r>
      <w:r>
        <w:rPr>
          <w:b/>
          <w:lang w:val="en-CA"/>
        </w:rPr>
        <w:t>April 2018</w:t>
      </w:r>
    </w:p>
    <w:tbl>
      <w:tblPr>
        <w:tblStyle w:val="TableGrid"/>
        <w:tblW w:w="5000" w:type="pct"/>
        <w:tblLook w:val="04A0" w:firstRow="1" w:lastRow="0" w:firstColumn="1" w:lastColumn="0" w:noHBand="0" w:noVBand="1"/>
      </w:tblPr>
      <w:tblGrid>
        <w:gridCol w:w="2129"/>
        <w:gridCol w:w="2375"/>
        <w:gridCol w:w="2424"/>
        <w:gridCol w:w="2422"/>
      </w:tblGrid>
      <w:tr w:rsidR="00D2582E" w:rsidRPr="00A436D3" w14:paraId="260CF65D" w14:textId="77777777" w:rsidTr="00546503">
        <w:trPr>
          <w:trHeight w:hRule="exact" w:val="284"/>
        </w:trPr>
        <w:tc>
          <w:tcPr>
            <w:tcW w:w="1139" w:type="pct"/>
            <w:vMerge w:val="restart"/>
            <w:vAlign w:val="center"/>
          </w:tcPr>
          <w:p w14:paraId="36EED23C" w14:textId="77777777" w:rsidR="00D2582E" w:rsidRPr="00A436D3" w:rsidRDefault="00D2582E" w:rsidP="00546503">
            <w:pPr>
              <w:keepNext/>
              <w:keepLines/>
              <w:jc w:val="center"/>
              <w:rPr>
                <w:b/>
                <w:sz w:val="20"/>
                <w:szCs w:val="20"/>
                <w:lang w:val="en-CA"/>
              </w:rPr>
            </w:pPr>
            <w:r w:rsidRPr="00A436D3">
              <w:rPr>
                <w:b/>
                <w:sz w:val="20"/>
                <w:szCs w:val="20"/>
                <w:lang w:val="en-CA"/>
              </w:rPr>
              <w:t>Component</w:t>
            </w:r>
          </w:p>
        </w:tc>
        <w:tc>
          <w:tcPr>
            <w:tcW w:w="1270" w:type="pct"/>
            <w:vMerge w:val="restart"/>
            <w:vAlign w:val="center"/>
          </w:tcPr>
          <w:p w14:paraId="03040B50" w14:textId="77777777" w:rsidR="00D2582E" w:rsidRPr="00A436D3" w:rsidRDefault="00D2582E" w:rsidP="00546503">
            <w:pPr>
              <w:keepNext/>
              <w:keepLines/>
              <w:jc w:val="center"/>
              <w:rPr>
                <w:b/>
                <w:sz w:val="20"/>
                <w:szCs w:val="20"/>
                <w:lang w:val="en-CA"/>
              </w:rPr>
            </w:pPr>
            <w:r w:rsidRPr="00A436D3">
              <w:rPr>
                <w:b/>
                <w:sz w:val="20"/>
                <w:szCs w:val="20"/>
                <w:lang w:val="en-CA"/>
              </w:rPr>
              <w:t xml:space="preserve">Funds approved </w:t>
            </w:r>
          </w:p>
          <w:p w14:paraId="4D32A26D" w14:textId="77777777" w:rsidR="00D2582E" w:rsidRPr="00A436D3" w:rsidRDefault="00D2582E" w:rsidP="00546503">
            <w:pPr>
              <w:keepNext/>
              <w:keepLines/>
              <w:jc w:val="center"/>
              <w:rPr>
                <w:b/>
                <w:sz w:val="20"/>
                <w:szCs w:val="20"/>
                <w:lang w:val="en-CA"/>
              </w:rPr>
            </w:pPr>
            <w:r w:rsidRPr="00A436D3">
              <w:rPr>
                <w:b/>
                <w:sz w:val="20"/>
                <w:szCs w:val="20"/>
                <w:lang w:val="en-CA"/>
              </w:rPr>
              <w:t>(US $)</w:t>
            </w:r>
          </w:p>
        </w:tc>
        <w:tc>
          <w:tcPr>
            <w:tcW w:w="2591" w:type="pct"/>
            <w:gridSpan w:val="2"/>
            <w:vAlign w:val="center"/>
          </w:tcPr>
          <w:p w14:paraId="2A8E0971" w14:textId="77777777" w:rsidR="00D2582E" w:rsidRPr="00A436D3" w:rsidRDefault="00D2582E" w:rsidP="00546503">
            <w:pPr>
              <w:keepNext/>
              <w:keepLines/>
              <w:jc w:val="center"/>
              <w:rPr>
                <w:b/>
                <w:sz w:val="20"/>
                <w:szCs w:val="20"/>
                <w:lang w:val="en-CA"/>
              </w:rPr>
            </w:pPr>
            <w:r w:rsidRPr="00A436D3">
              <w:rPr>
                <w:b/>
                <w:sz w:val="20"/>
                <w:szCs w:val="20"/>
                <w:lang w:val="en-CA"/>
              </w:rPr>
              <w:t>Funds disbursed (US $)</w:t>
            </w:r>
          </w:p>
        </w:tc>
      </w:tr>
      <w:tr w:rsidR="00D2582E" w:rsidRPr="00A436D3" w14:paraId="352F3076" w14:textId="77777777" w:rsidTr="00546503">
        <w:trPr>
          <w:trHeight w:hRule="exact" w:val="478"/>
        </w:trPr>
        <w:tc>
          <w:tcPr>
            <w:tcW w:w="1139" w:type="pct"/>
            <w:vMerge/>
            <w:vAlign w:val="center"/>
          </w:tcPr>
          <w:p w14:paraId="5A541E1B" w14:textId="77777777" w:rsidR="00D2582E" w:rsidRPr="00A436D3" w:rsidRDefault="00D2582E" w:rsidP="00546503">
            <w:pPr>
              <w:keepNext/>
              <w:keepLines/>
              <w:jc w:val="center"/>
              <w:rPr>
                <w:sz w:val="20"/>
                <w:szCs w:val="20"/>
                <w:lang w:val="en-CA"/>
              </w:rPr>
            </w:pPr>
          </w:p>
        </w:tc>
        <w:tc>
          <w:tcPr>
            <w:tcW w:w="1270" w:type="pct"/>
            <w:vMerge/>
            <w:vAlign w:val="center"/>
          </w:tcPr>
          <w:p w14:paraId="6813E738" w14:textId="77777777" w:rsidR="00D2582E" w:rsidRPr="00A436D3" w:rsidRDefault="00D2582E" w:rsidP="00546503">
            <w:pPr>
              <w:keepNext/>
              <w:keepLines/>
              <w:jc w:val="center"/>
              <w:rPr>
                <w:sz w:val="20"/>
                <w:szCs w:val="20"/>
                <w:lang w:val="en-CA"/>
              </w:rPr>
            </w:pPr>
          </w:p>
        </w:tc>
        <w:tc>
          <w:tcPr>
            <w:tcW w:w="1296" w:type="pct"/>
            <w:vAlign w:val="center"/>
          </w:tcPr>
          <w:p w14:paraId="5E9A4162" w14:textId="77777777" w:rsidR="00D2582E" w:rsidRPr="00A436D3" w:rsidRDefault="00D2582E" w:rsidP="00546503">
            <w:pPr>
              <w:keepNext/>
              <w:keepLines/>
              <w:jc w:val="center"/>
              <w:rPr>
                <w:sz w:val="20"/>
                <w:szCs w:val="20"/>
                <w:lang w:val="en-CA"/>
              </w:rPr>
            </w:pPr>
            <w:r w:rsidRPr="00A436D3">
              <w:rPr>
                <w:sz w:val="20"/>
                <w:szCs w:val="20"/>
                <w:lang w:val="en-CA"/>
              </w:rPr>
              <w:t>From UNDP to FECO</w:t>
            </w:r>
          </w:p>
        </w:tc>
        <w:tc>
          <w:tcPr>
            <w:tcW w:w="1295" w:type="pct"/>
            <w:vAlign w:val="center"/>
          </w:tcPr>
          <w:p w14:paraId="5ECB37F9" w14:textId="77777777" w:rsidR="00D2582E" w:rsidRPr="00A436D3" w:rsidRDefault="00D2582E" w:rsidP="00546503">
            <w:pPr>
              <w:keepNext/>
              <w:keepLines/>
              <w:jc w:val="center"/>
              <w:rPr>
                <w:sz w:val="20"/>
                <w:szCs w:val="20"/>
                <w:lang w:val="en-CA"/>
              </w:rPr>
            </w:pPr>
            <w:r w:rsidRPr="00A436D3">
              <w:rPr>
                <w:sz w:val="20"/>
                <w:szCs w:val="20"/>
                <w:lang w:val="en-CA"/>
              </w:rPr>
              <w:t>From FECO to beneficiaries</w:t>
            </w:r>
          </w:p>
        </w:tc>
      </w:tr>
      <w:tr w:rsidR="00D2582E" w:rsidRPr="00A436D3" w14:paraId="5F1F115A" w14:textId="77777777" w:rsidTr="00546503">
        <w:tc>
          <w:tcPr>
            <w:tcW w:w="1139" w:type="pct"/>
          </w:tcPr>
          <w:p w14:paraId="6E62F302" w14:textId="77777777" w:rsidR="00D2582E" w:rsidRPr="00A436D3" w:rsidRDefault="00D2582E" w:rsidP="00546503">
            <w:pPr>
              <w:keepNext/>
              <w:keepLines/>
              <w:rPr>
                <w:sz w:val="20"/>
                <w:szCs w:val="20"/>
                <w:lang w:val="en-CA"/>
              </w:rPr>
            </w:pPr>
            <w:r w:rsidRPr="00A436D3">
              <w:rPr>
                <w:sz w:val="20"/>
                <w:szCs w:val="20"/>
                <w:lang w:val="en-CA"/>
              </w:rPr>
              <w:t>Enterprise activities</w:t>
            </w:r>
          </w:p>
        </w:tc>
        <w:tc>
          <w:tcPr>
            <w:tcW w:w="1270" w:type="pct"/>
            <w:vMerge w:val="restart"/>
            <w:vAlign w:val="center"/>
          </w:tcPr>
          <w:p w14:paraId="65119341" w14:textId="77777777" w:rsidR="00D2582E" w:rsidRPr="00A436D3" w:rsidRDefault="00D2582E" w:rsidP="00546503">
            <w:pPr>
              <w:keepNext/>
              <w:keepLines/>
              <w:jc w:val="right"/>
              <w:rPr>
                <w:sz w:val="20"/>
                <w:szCs w:val="20"/>
                <w:lang w:val="en-CA"/>
              </w:rPr>
            </w:pPr>
            <w:r w:rsidRPr="00A436D3">
              <w:rPr>
                <w:sz w:val="20"/>
                <w:szCs w:val="20"/>
                <w:lang w:val="en-CA"/>
              </w:rPr>
              <w:t>5,000,000</w:t>
            </w:r>
          </w:p>
        </w:tc>
        <w:tc>
          <w:tcPr>
            <w:tcW w:w="1296" w:type="pct"/>
            <w:vAlign w:val="center"/>
          </w:tcPr>
          <w:p w14:paraId="6E4B0472" w14:textId="77777777" w:rsidR="00D2582E" w:rsidRPr="00A436D3" w:rsidRDefault="00D2582E" w:rsidP="00546503">
            <w:pPr>
              <w:keepNext/>
              <w:keepLines/>
              <w:jc w:val="right"/>
              <w:rPr>
                <w:sz w:val="20"/>
                <w:szCs w:val="20"/>
                <w:lang w:val="en-CA"/>
              </w:rPr>
            </w:pPr>
            <w:r w:rsidRPr="00A436D3">
              <w:rPr>
                <w:sz w:val="20"/>
                <w:szCs w:val="20"/>
                <w:lang w:val="en-CA"/>
              </w:rPr>
              <w:t>4,347,929</w:t>
            </w:r>
          </w:p>
        </w:tc>
        <w:tc>
          <w:tcPr>
            <w:tcW w:w="1295" w:type="pct"/>
          </w:tcPr>
          <w:p w14:paraId="4EF66F77" w14:textId="77777777" w:rsidR="00D2582E" w:rsidRPr="00A436D3" w:rsidRDefault="00D2582E" w:rsidP="00546503">
            <w:pPr>
              <w:keepNext/>
              <w:keepLines/>
              <w:jc w:val="right"/>
              <w:rPr>
                <w:sz w:val="20"/>
                <w:szCs w:val="20"/>
                <w:lang w:val="en-CA"/>
              </w:rPr>
            </w:pPr>
            <w:r w:rsidRPr="00A436D3">
              <w:rPr>
                <w:sz w:val="20"/>
                <w:szCs w:val="20"/>
                <w:lang w:val="en-CA"/>
              </w:rPr>
              <w:t>4,347,929</w:t>
            </w:r>
          </w:p>
        </w:tc>
      </w:tr>
      <w:tr w:rsidR="00D2582E" w:rsidRPr="00A436D3" w14:paraId="5E4F6895" w14:textId="77777777" w:rsidTr="00546503">
        <w:tc>
          <w:tcPr>
            <w:tcW w:w="1139" w:type="pct"/>
          </w:tcPr>
          <w:p w14:paraId="45E9A3D4" w14:textId="77777777" w:rsidR="00D2582E" w:rsidRPr="00A436D3" w:rsidRDefault="00D2582E" w:rsidP="00546503">
            <w:pPr>
              <w:keepNext/>
              <w:keepLines/>
              <w:rPr>
                <w:sz w:val="20"/>
                <w:szCs w:val="20"/>
                <w:lang w:val="en-CA"/>
              </w:rPr>
            </w:pPr>
            <w:r w:rsidRPr="00A436D3">
              <w:rPr>
                <w:sz w:val="20"/>
                <w:szCs w:val="20"/>
                <w:lang w:val="en-CA"/>
              </w:rPr>
              <w:t>Technical assistance</w:t>
            </w:r>
          </w:p>
        </w:tc>
        <w:tc>
          <w:tcPr>
            <w:tcW w:w="1270" w:type="pct"/>
            <w:vMerge/>
          </w:tcPr>
          <w:p w14:paraId="2F3ED8B4" w14:textId="77777777" w:rsidR="00D2582E" w:rsidRPr="00A436D3" w:rsidRDefault="00D2582E" w:rsidP="00546503">
            <w:pPr>
              <w:keepNext/>
              <w:keepLines/>
              <w:jc w:val="right"/>
              <w:rPr>
                <w:sz w:val="20"/>
                <w:szCs w:val="20"/>
                <w:lang w:val="en-CA"/>
              </w:rPr>
            </w:pPr>
          </w:p>
        </w:tc>
        <w:tc>
          <w:tcPr>
            <w:tcW w:w="1296" w:type="pct"/>
          </w:tcPr>
          <w:p w14:paraId="190C3F52" w14:textId="77777777" w:rsidR="00D2582E" w:rsidRPr="00A436D3" w:rsidRDefault="00D2582E" w:rsidP="00546503">
            <w:pPr>
              <w:keepNext/>
              <w:keepLines/>
              <w:jc w:val="right"/>
              <w:rPr>
                <w:sz w:val="20"/>
                <w:szCs w:val="20"/>
                <w:lang w:val="en-CA"/>
              </w:rPr>
            </w:pPr>
            <w:r w:rsidRPr="00A436D3">
              <w:rPr>
                <w:sz w:val="20"/>
                <w:szCs w:val="20"/>
                <w:lang w:val="en-CA"/>
              </w:rPr>
              <w:t>327,071</w:t>
            </w:r>
          </w:p>
        </w:tc>
        <w:tc>
          <w:tcPr>
            <w:tcW w:w="1295" w:type="pct"/>
          </w:tcPr>
          <w:p w14:paraId="05E5DCAC" w14:textId="77777777" w:rsidR="00D2582E" w:rsidRPr="00A436D3" w:rsidRDefault="00D2582E" w:rsidP="00546503">
            <w:pPr>
              <w:keepNext/>
              <w:keepLines/>
              <w:jc w:val="right"/>
              <w:rPr>
                <w:sz w:val="20"/>
                <w:szCs w:val="20"/>
                <w:lang w:val="en-CA"/>
              </w:rPr>
            </w:pPr>
            <w:r>
              <w:rPr>
                <w:sz w:val="20"/>
                <w:szCs w:val="20"/>
                <w:lang w:val="en-CA"/>
              </w:rPr>
              <w:t>327,071</w:t>
            </w:r>
          </w:p>
        </w:tc>
      </w:tr>
      <w:tr w:rsidR="00D2582E" w:rsidRPr="00A436D3" w14:paraId="24F00758" w14:textId="77777777" w:rsidTr="00546503">
        <w:tc>
          <w:tcPr>
            <w:tcW w:w="1139" w:type="pct"/>
          </w:tcPr>
          <w:p w14:paraId="276BFB84" w14:textId="77777777" w:rsidR="00D2582E" w:rsidRPr="00A436D3" w:rsidRDefault="00D2582E" w:rsidP="00546503">
            <w:pPr>
              <w:keepNext/>
              <w:keepLines/>
              <w:rPr>
                <w:sz w:val="20"/>
                <w:szCs w:val="20"/>
                <w:lang w:val="en-CA"/>
              </w:rPr>
            </w:pPr>
            <w:r w:rsidRPr="00A436D3">
              <w:rPr>
                <w:sz w:val="20"/>
                <w:szCs w:val="20"/>
                <w:lang w:val="en-CA"/>
              </w:rPr>
              <w:t>PMU</w:t>
            </w:r>
          </w:p>
        </w:tc>
        <w:tc>
          <w:tcPr>
            <w:tcW w:w="1270" w:type="pct"/>
            <w:vMerge/>
          </w:tcPr>
          <w:p w14:paraId="749CB331" w14:textId="77777777" w:rsidR="00D2582E" w:rsidRPr="00A436D3" w:rsidRDefault="00D2582E" w:rsidP="00546503">
            <w:pPr>
              <w:keepNext/>
              <w:keepLines/>
              <w:jc w:val="right"/>
              <w:rPr>
                <w:sz w:val="20"/>
                <w:szCs w:val="20"/>
                <w:lang w:val="en-CA"/>
              </w:rPr>
            </w:pPr>
          </w:p>
        </w:tc>
        <w:tc>
          <w:tcPr>
            <w:tcW w:w="1296" w:type="pct"/>
          </w:tcPr>
          <w:p w14:paraId="3A936081" w14:textId="77777777" w:rsidR="00D2582E" w:rsidRPr="00A436D3" w:rsidRDefault="00D2582E" w:rsidP="00546503">
            <w:pPr>
              <w:keepNext/>
              <w:keepLines/>
              <w:jc w:val="right"/>
              <w:rPr>
                <w:sz w:val="20"/>
                <w:szCs w:val="20"/>
                <w:lang w:val="en-CA"/>
              </w:rPr>
            </w:pPr>
            <w:r w:rsidRPr="00A436D3">
              <w:rPr>
                <w:sz w:val="20"/>
                <w:szCs w:val="20"/>
                <w:lang w:val="en-CA"/>
              </w:rPr>
              <w:t>325,000</w:t>
            </w:r>
          </w:p>
        </w:tc>
        <w:tc>
          <w:tcPr>
            <w:tcW w:w="1295" w:type="pct"/>
          </w:tcPr>
          <w:p w14:paraId="42E9F886" w14:textId="77777777" w:rsidR="00D2582E" w:rsidRPr="00A436D3" w:rsidRDefault="00D2582E" w:rsidP="00546503">
            <w:pPr>
              <w:keepNext/>
              <w:keepLines/>
              <w:jc w:val="right"/>
              <w:rPr>
                <w:sz w:val="20"/>
                <w:szCs w:val="20"/>
                <w:lang w:val="en-CA"/>
              </w:rPr>
            </w:pPr>
            <w:r w:rsidRPr="00A436D3">
              <w:rPr>
                <w:sz w:val="20"/>
                <w:szCs w:val="20"/>
                <w:lang w:val="en-CA"/>
              </w:rPr>
              <w:t>325,000</w:t>
            </w:r>
          </w:p>
        </w:tc>
      </w:tr>
      <w:tr w:rsidR="00D2582E" w:rsidRPr="00A436D3" w14:paraId="24268A1B" w14:textId="77777777" w:rsidTr="00546503">
        <w:tc>
          <w:tcPr>
            <w:tcW w:w="1139" w:type="pct"/>
          </w:tcPr>
          <w:p w14:paraId="27568C91" w14:textId="77777777" w:rsidR="00D2582E" w:rsidRPr="00A436D3" w:rsidRDefault="00D2582E" w:rsidP="00546503">
            <w:pPr>
              <w:keepNext/>
              <w:keepLines/>
              <w:rPr>
                <w:b/>
                <w:sz w:val="20"/>
                <w:szCs w:val="20"/>
                <w:lang w:val="en-CA"/>
              </w:rPr>
            </w:pPr>
            <w:r w:rsidRPr="00A436D3">
              <w:rPr>
                <w:b/>
                <w:sz w:val="20"/>
                <w:szCs w:val="20"/>
                <w:lang w:val="en-CA"/>
              </w:rPr>
              <w:t>Total</w:t>
            </w:r>
          </w:p>
        </w:tc>
        <w:tc>
          <w:tcPr>
            <w:tcW w:w="1270" w:type="pct"/>
          </w:tcPr>
          <w:p w14:paraId="3E5B6919" w14:textId="77777777" w:rsidR="00D2582E" w:rsidRPr="00A436D3" w:rsidRDefault="00D2582E" w:rsidP="00546503">
            <w:pPr>
              <w:keepNext/>
              <w:keepLines/>
              <w:jc w:val="right"/>
              <w:rPr>
                <w:b/>
                <w:sz w:val="20"/>
                <w:szCs w:val="20"/>
                <w:lang w:val="en-CA"/>
              </w:rPr>
            </w:pPr>
            <w:r w:rsidRPr="00A436D3">
              <w:rPr>
                <w:b/>
                <w:sz w:val="20"/>
                <w:szCs w:val="20"/>
                <w:lang w:val="en-CA"/>
              </w:rPr>
              <w:t>5,000,000</w:t>
            </w:r>
          </w:p>
        </w:tc>
        <w:tc>
          <w:tcPr>
            <w:tcW w:w="1296" w:type="pct"/>
          </w:tcPr>
          <w:p w14:paraId="53DBB66D" w14:textId="77777777" w:rsidR="00D2582E" w:rsidRPr="00A436D3" w:rsidRDefault="00D2582E" w:rsidP="00546503">
            <w:pPr>
              <w:keepNext/>
              <w:keepLines/>
              <w:jc w:val="right"/>
              <w:rPr>
                <w:b/>
                <w:sz w:val="20"/>
                <w:szCs w:val="20"/>
                <w:lang w:val="en-CA"/>
              </w:rPr>
            </w:pPr>
            <w:r w:rsidRPr="00A436D3">
              <w:rPr>
                <w:b/>
                <w:sz w:val="20"/>
                <w:szCs w:val="20"/>
                <w:lang w:val="en-CA"/>
              </w:rPr>
              <w:t>5,000,000</w:t>
            </w:r>
          </w:p>
        </w:tc>
        <w:tc>
          <w:tcPr>
            <w:tcW w:w="1295" w:type="pct"/>
          </w:tcPr>
          <w:p w14:paraId="2EF26557" w14:textId="77777777" w:rsidR="00D2582E" w:rsidRPr="00A436D3" w:rsidRDefault="00D2582E" w:rsidP="00546503">
            <w:pPr>
              <w:keepNext/>
              <w:keepLines/>
              <w:jc w:val="right"/>
              <w:rPr>
                <w:b/>
                <w:sz w:val="20"/>
                <w:szCs w:val="20"/>
                <w:lang w:val="en-CA"/>
              </w:rPr>
            </w:pPr>
            <w:r>
              <w:rPr>
                <w:b/>
                <w:sz w:val="20"/>
                <w:szCs w:val="20"/>
                <w:lang w:val="en-CA"/>
              </w:rPr>
              <w:t>5,000,000</w:t>
            </w:r>
          </w:p>
        </w:tc>
      </w:tr>
    </w:tbl>
    <w:p w14:paraId="758CFCEE" w14:textId="77777777" w:rsidR="00D2582E" w:rsidRPr="00A436D3" w:rsidRDefault="00D2582E" w:rsidP="00D2582E">
      <w:pPr>
        <w:rPr>
          <w:lang w:val="en-CA"/>
        </w:rPr>
      </w:pPr>
    </w:p>
    <w:p w14:paraId="3CD02F78" w14:textId="77777777" w:rsidR="00D2582E" w:rsidRPr="004C0D01" w:rsidRDefault="00D2582E" w:rsidP="00D2582E">
      <w:pPr>
        <w:pStyle w:val="Heading1"/>
        <w:keepNext/>
        <w:keepLines/>
        <w:numPr>
          <w:ilvl w:val="0"/>
          <w:numId w:val="0"/>
        </w:numPr>
        <w:spacing w:after="0"/>
        <w:rPr>
          <w:b/>
          <w:lang w:val="en-CA"/>
        </w:rPr>
      </w:pPr>
      <w:bookmarkStart w:id="0" w:name="_Ref370981904"/>
      <w:r w:rsidRPr="004C0D01">
        <w:rPr>
          <w:b/>
          <w:lang w:val="en-CA"/>
        </w:rPr>
        <w:lastRenderedPageBreak/>
        <w:t>Secretariat’s comments</w:t>
      </w:r>
    </w:p>
    <w:p w14:paraId="19B9F5EC" w14:textId="77777777" w:rsidR="00D2582E" w:rsidRPr="004C0D01" w:rsidRDefault="00D2582E" w:rsidP="00D2582E">
      <w:pPr>
        <w:keepNext/>
        <w:keepLines/>
        <w:rPr>
          <w:lang w:val="en-CA"/>
        </w:rPr>
      </w:pPr>
    </w:p>
    <w:p w14:paraId="0E1C24B9" w14:textId="77777777" w:rsidR="00D2582E" w:rsidRPr="004C0D01" w:rsidRDefault="00D2582E" w:rsidP="00D2582E">
      <w:pPr>
        <w:keepNext/>
        <w:keepLines/>
        <w:rPr>
          <w:u w:val="single"/>
          <w:lang w:val="en-CA"/>
        </w:rPr>
      </w:pPr>
      <w:r w:rsidRPr="004C0D01">
        <w:rPr>
          <w:u w:val="single"/>
          <w:lang w:val="en-CA"/>
        </w:rPr>
        <w:t>Status of implementation</w:t>
      </w:r>
    </w:p>
    <w:p w14:paraId="68B97358" w14:textId="77777777" w:rsidR="00D2582E" w:rsidRPr="007D61A8" w:rsidRDefault="00D2582E" w:rsidP="00D2582E">
      <w:pPr>
        <w:keepNext/>
        <w:keepLines/>
        <w:rPr>
          <w:highlight w:val="yellow"/>
          <w:lang w:val="en-CA"/>
        </w:rPr>
      </w:pPr>
    </w:p>
    <w:p w14:paraId="2D8AE244" w14:textId="77777777" w:rsidR="00D2582E" w:rsidRPr="00D256D9" w:rsidRDefault="00D2582E" w:rsidP="00D2582E">
      <w:pPr>
        <w:pStyle w:val="Heading1"/>
        <w:keepNext/>
        <w:keepLines/>
        <w:rPr>
          <w:lang w:val="en-CA"/>
        </w:rPr>
      </w:pPr>
      <w:r w:rsidRPr="00D256D9">
        <w:rPr>
          <w:lang w:val="en-CA"/>
        </w:rPr>
        <w:t xml:space="preserve">The Secretariat noted the joint efforts by </w:t>
      </w:r>
      <w:r>
        <w:rPr>
          <w:lang w:val="en-CA"/>
        </w:rPr>
        <w:t>the Government of China</w:t>
      </w:r>
      <w:r w:rsidRPr="00D256D9">
        <w:rPr>
          <w:lang w:val="en-CA"/>
        </w:rPr>
        <w:t xml:space="preserve"> and UNDP in ensuring that the remaining activities for the solvent sector plan had been completed as planned. The project completion report </w:t>
      </w:r>
      <w:r>
        <w:rPr>
          <w:lang w:val="en-CA"/>
        </w:rPr>
        <w:t>was submitted in May 2018,</w:t>
      </w:r>
      <w:r w:rsidRPr="00D256D9">
        <w:rPr>
          <w:lang w:val="en-CA"/>
        </w:rPr>
        <w:t xml:space="preserve"> and the financial completion will take place by December 2018.</w:t>
      </w:r>
    </w:p>
    <w:bookmarkEnd w:id="0"/>
    <w:p w14:paraId="441728BD" w14:textId="77777777" w:rsidR="00D2582E" w:rsidRPr="007D61A8" w:rsidRDefault="00D2582E" w:rsidP="00D2582E">
      <w:pPr>
        <w:keepNext/>
        <w:keepLines/>
        <w:spacing w:after="240"/>
        <w:rPr>
          <w:u w:val="single"/>
          <w:lang w:val="en-CA"/>
        </w:rPr>
      </w:pPr>
      <w:r w:rsidRPr="007D61A8">
        <w:rPr>
          <w:u w:val="single"/>
          <w:lang w:val="en-CA"/>
        </w:rPr>
        <w:t>Conclusion</w:t>
      </w:r>
    </w:p>
    <w:p w14:paraId="4782B2ED" w14:textId="662C5154" w:rsidR="00D2582E" w:rsidRPr="007D61A8" w:rsidRDefault="00D2582E" w:rsidP="00D2582E">
      <w:pPr>
        <w:pStyle w:val="Heading1"/>
        <w:keepNext/>
        <w:keepLines/>
        <w:rPr>
          <w:lang w:val="en-CA"/>
        </w:rPr>
      </w:pPr>
      <w:r w:rsidRPr="007D61A8">
        <w:rPr>
          <w:lang w:val="en-CA"/>
        </w:rPr>
        <w:t>The conversion of nine enterprises and one demonstration project, has been completed; enterprises have been verified, and received national acceptance and final payments in accordance with paragraph 5(b)(</w:t>
      </w:r>
      <w:proofErr w:type="spellStart"/>
      <w:r w:rsidRPr="007D61A8">
        <w:rPr>
          <w:lang w:val="en-CA"/>
        </w:rPr>
        <w:t>i</w:t>
      </w:r>
      <w:proofErr w:type="spellEnd"/>
      <w:r w:rsidRPr="007D61A8">
        <w:rPr>
          <w:lang w:val="en-CA"/>
        </w:rPr>
        <w:t>) of the Agreement. A total consumption of 638.12 </w:t>
      </w:r>
      <w:proofErr w:type="spellStart"/>
      <w:r w:rsidRPr="007D61A8">
        <w:rPr>
          <w:lang w:val="en-CA"/>
        </w:rPr>
        <w:t>mt</w:t>
      </w:r>
      <w:proofErr w:type="spellEnd"/>
      <w:r w:rsidRPr="007D61A8">
        <w:rPr>
          <w:lang w:val="en-CA"/>
        </w:rPr>
        <w:t xml:space="preserve"> o</w:t>
      </w:r>
      <w:r>
        <w:rPr>
          <w:lang w:val="en-CA"/>
        </w:rPr>
        <w:t xml:space="preserve">f HCFC-141b has been phased-out, a consumption </w:t>
      </w:r>
      <w:r w:rsidRPr="007D61A8">
        <w:rPr>
          <w:lang w:val="en-CA"/>
        </w:rPr>
        <w:t>higher than the phase-out of 627.3 </w:t>
      </w:r>
      <w:proofErr w:type="spellStart"/>
      <w:r w:rsidRPr="007D61A8">
        <w:rPr>
          <w:lang w:val="en-CA"/>
        </w:rPr>
        <w:t>mt</w:t>
      </w:r>
      <w:proofErr w:type="spellEnd"/>
      <w:r w:rsidRPr="007D61A8">
        <w:rPr>
          <w:lang w:val="en-CA"/>
        </w:rPr>
        <w:t xml:space="preserve"> </w:t>
      </w:r>
      <w:r>
        <w:rPr>
          <w:lang w:val="en-CA"/>
        </w:rPr>
        <w:t xml:space="preserve">proposed </w:t>
      </w:r>
      <w:r w:rsidRPr="007D61A8">
        <w:rPr>
          <w:lang w:val="en-CA"/>
        </w:rPr>
        <w:t xml:space="preserve">for </w:t>
      </w:r>
      <w:r>
        <w:rPr>
          <w:lang w:val="en-CA"/>
        </w:rPr>
        <w:t>stage </w:t>
      </w:r>
      <w:r w:rsidRPr="007D61A8">
        <w:rPr>
          <w:lang w:val="en-CA"/>
        </w:rPr>
        <w:t>I. Technical assistance and support activities including training, awareness raising, technology promotion and dissemination of experience and lessons learned from the conversion have been implemented to sustain the conversions in the enterprises. All funds approved had been disbursed.</w:t>
      </w:r>
    </w:p>
    <w:p w14:paraId="7C1706E2" w14:textId="77777777" w:rsidR="00D2582E" w:rsidRPr="00570E4A" w:rsidRDefault="00D2582E" w:rsidP="00D2582E">
      <w:pPr>
        <w:keepNext/>
        <w:keepLines/>
        <w:spacing w:after="240"/>
        <w:rPr>
          <w:b/>
          <w:lang w:val="en-CA"/>
        </w:rPr>
      </w:pPr>
      <w:r w:rsidRPr="00570E4A">
        <w:rPr>
          <w:b/>
          <w:lang w:val="en-CA"/>
        </w:rPr>
        <w:t>Secretariat’s recommendation</w:t>
      </w:r>
    </w:p>
    <w:p w14:paraId="1A7015AC" w14:textId="77777777" w:rsidR="00D2582E" w:rsidRDefault="00D2582E" w:rsidP="00D2582E">
      <w:pPr>
        <w:pStyle w:val="Heading1"/>
        <w:rPr>
          <w:lang w:val="en-CA"/>
        </w:rPr>
      </w:pPr>
      <w:r w:rsidRPr="001B60B2">
        <w:rPr>
          <w:lang w:val="en-CA"/>
        </w:rPr>
        <w:t>The Executive Committee may wish to</w:t>
      </w:r>
      <w:r>
        <w:rPr>
          <w:lang w:val="en-CA"/>
        </w:rPr>
        <w:t>:</w:t>
      </w:r>
    </w:p>
    <w:p w14:paraId="58FC2DD7" w14:textId="74137A8C" w:rsidR="00D2582E" w:rsidRDefault="00D2582E" w:rsidP="00D2582E">
      <w:pPr>
        <w:pStyle w:val="Heading2"/>
        <w:numPr>
          <w:ilvl w:val="1"/>
          <w:numId w:val="1"/>
        </w:numPr>
        <w:rPr>
          <w:lang w:val="en-CA"/>
        </w:rPr>
      </w:pPr>
      <w:r>
        <w:rPr>
          <w:lang w:val="en-CA"/>
        </w:rPr>
        <w:t>N</w:t>
      </w:r>
      <w:r w:rsidRPr="001B60B2">
        <w:rPr>
          <w:lang w:val="en-CA"/>
        </w:rPr>
        <w:t xml:space="preserve">ote the final progress report on the implementation of the solvent sector plan of </w:t>
      </w:r>
      <w:r>
        <w:rPr>
          <w:lang w:val="en-CA"/>
        </w:rPr>
        <w:t>stage </w:t>
      </w:r>
      <w:r w:rsidRPr="001B60B2">
        <w:rPr>
          <w:lang w:val="en-CA"/>
        </w:rPr>
        <w:t xml:space="preserve">I of the HCFC phase-out management plan (HPMP) in China submitted by UNDP; and </w:t>
      </w:r>
    </w:p>
    <w:p w14:paraId="5D778073" w14:textId="6BF12CC2" w:rsidR="00D2582E" w:rsidRPr="00166496" w:rsidRDefault="00D2582E" w:rsidP="00D2582E">
      <w:pPr>
        <w:pStyle w:val="Heading2"/>
        <w:numPr>
          <w:ilvl w:val="1"/>
          <w:numId w:val="1"/>
        </w:numPr>
        <w:rPr>
          <w:lang w:val="en-CA"/>
        </w:rPr>
      </w:pPr>
      <w:r>
        <w:t>To further note that the project completion report has been completed and submitted to the 81</w:t>
      </w:r>
      <w:r w:rsidRPr="00166496">
        <w:rPr>
          <w:vertAlign w:val="superscript"/>
        </w:rPr>
        <w:t>st</w:t>
      </w:r>
      <w:r w:rsidRPr="00C16690">
        <w:t> </w:t>
      </w:r>
      <w:r>
        <w:t>meeting; and the financial completion would take place by 31 December 2018, in line with decision 69/24</w:t>
      </w:r>
      <w:r w:rsidRPr="00D256D9">
        <w:t xml:space="preserve">. </w:t>
      </w:r>
    </w:p>
    <w:p w14:paraId="0148469C" w14:textId="0FAA5CEC" w:rsidR="00BE1161" w:rsidRDefault="00BE1161">
      <w:pPr>
        <w:jc w:val="left"/>
        <w:rPr>
          <w:lang w:val="en-CA"/>
        </w:rPr>
      </w:pPr>
    </w:p>
    <w:p w14:paraId="15BB8408" w14:textId="38F3305B" w:rsidR="00BE1161" w:rsidRDefault="00BE1161">
      <w:pPr>
        <w:jc w:val="left"/>
        <w:rPr>
          <w:lang w:val="en-CA"/>
        </w:rPr>
      </w:pPr>
    </w:p>
    <w:p w14:paraId="6492DA9D" w14:textId="77777777" w:rsidR="00BE1161" w:rsidRPr="00B75955" w:rsidRDefault="00BE1161">
      <w:pPr>
        <w:jc w:val="left"/>
        <w:rPr>
          <w:lang w:val="en-CA"/>
        </w:rPr>
      </w:pPr>
    </w:p>
    <w:p w14:paraId="23839CD3" w14:textId="5FF66A00" w:rsidR="0001415F" w:rsidRPr="00B75955" w:rsidRDefault="0001415F">
      <w:pPr>
        <w:jc w:val="left"/>
        <w:rPr>
          <w:lang w:val="en-CA"/>
        </w:rPr>
      </w:pPr>
      <w:r w:rsidRPr="00B75955">
        <w:rPr>
          <w:lang w:val="en-CA"/>
        </w:rPr>
        <w:br w:type="page"/>
      </w:r>
    </w:p>
    <w:p w14:paraId="549C8937" w14:textId="1820AAA8" w:rsidR="00881319" w:rsidRPr="00B75955" w:rsidRDefault="00881319">
      <w:pPr>
        <w:jc w:val="left"/>
        <w:rPr>
          <w:lang w:val="en-CA"/>
        </w:rPr>
      </w:pPr>
    </w:p>
    <w:p w14:paraId="383F9DDD" w14:textId="77777777" w:rsidR="0001415F" w:rsidRPr="00B75955" w:rsidRDefault="0001415F">
      <w:pPr>
        <w:jc w:val="left"/>
        <w:rPr>
          <w:lang w:val="en-CA"/>
        </w:rPr>
      </w:pPr>
    </w:p>
    <w:p w14:paraId="2BAAF012" w14:textId="77777777" w:rsidR="00881319" w:rsidRPr="00B75955" w:rsidRDefault="00881319" w:rsidP="00881319">
      <w:pPr>
        <w:rPr>
          <w:b/>
          <w:lang w:val="en-CA"/>
        </w:rPr>
      </w:pPr>
      <w:r w:rsidRPr="00B75955">
        <w:rPr>
          <w:b/>
          <w:lang w:val="en-CA"/>
        </w:rPr>
        <w:t>HCFC PHASE-OUT MANAGEMENT PLAN (STAGE II, SECOND TRANCHE) (UNDP, UNIDO, the World Bank, Government of Germany, Government of Italy, and Government of Japan)</w:t>
      </w:r>
    </w:p>
    <w:p w14:paraId="57C8ADB1" w14:textId="77777777" w:rsidR="00881319" w:rsidRPr="00B75955" w:rsidRDefault="00881319" w:rsidP="00881319">
      <w:pPr>
        <w:rPr>
          <w:lang w:val="en-CA"/>
        </w:rPr>
      </w:pPr>
    </w:p>
    <w:p w14:paraId="48BC4042" w14:textId="77777777" w:rsidR="00881319" w:rsidRPr="00B75955" w:rsidRDefault="00881319" w:rsidP="00881319">
      <w:pPr>
        <w:jc w:val="center"/>
        <w:rPr>
          <w:b/>
          <w:lang w:val="en-CA"/>
        </w:rPr>
      </w:pPr>
      <w:r w:rsidRPr="00B75955">
        <w:rPr>
          <w:b/>
          <w:lang w:val="en-CA"/>
        </w:rPr>
        <w:t>Note from the Secretariat</w:t>
      </w:r>
    </w:p>
    <w:p w14:paraId="78F9FF76" w14:textId="77777777" w:rsidR="00881319" w:rsidRPr="00B75955" w:rsidRDefault="00881319" w:rsidP="00881319">
      <w:pPr>
        <w:jc w:val="left"/>
        <w:rPr>
          <w:lang w:val="en-CA"/>
        </w:rPr>
      </w:pPr>
    </w:p>
    <w:p w14:paraId="29CA49C1" w14:textId="77777777" w:rsidR="00881319" w:rsidRPr="00B75955" w:rsidRDefault="00881319" w:rsidP="00881319">
      <w:pPr>
        <w:rPr>
          <w:u w:val="single"/>
          <w:lang w:val="en-CA"/>
        </w:rPr>
      </w:pPr>
      <w:r w:rsidRPr="00B75955">
        <w:rPr>
          <w:u w:val="single"/>
          <w:lang w:val="en-CA"/>
        </w:rPr>
        <w:t>Background</w:t>
      </w:r>
    </w:p>
    <w:p w14:paraId="507C3C91" w14:textId="77777777" w:rsidR="00881319" w:rsidRPr="00B75955" w:rsidRDefault="00881319" w:rsidP="00881319">
      <w:pPr>
        <w:rPr>
          <w:lang w:val="en-CA"/>
        </w:rPr>
      </w:pPr>
    </w:p>
    <w:p w14:paraId="492C5D25" w14:textId="77777777" w:rsidR="00881319" w:rsidRPr="00B75955" w:rsidRDefault="00881319" w:rsidP="00881319">
      <w:pPr>
        <w:pStyle w:val="Heading1"/>
        <w:rPr>
          <w:lang w:val="en-CA"/>
        </w:rPr>
      </w:pPr>
      <w:r w:rsidRPr="00B75955">
        <w:rPr>
          <w:lang w:val="en-CA"/>
        </w:rPr>
        <w:t>At its 76</w:t>
      </w:r>
      <w:r w:rsidRPr="00B75955">
        <w:rPr>
          <w:vertAlign w:val="superscript"/>
          <w:lang w:val="en-CA"/>
        </w:rPr>
        <w:t>th</w:t>
      </w:r>
      <w:r w:rsidRPr="00B75955">
        <w:rPr>
          <w:lang w:val="en-CA"/>
        </w:rPr>
        <w:t>, 77</w:t>
      </w:r>
      <w:r w:rsidRPr="00B75955">
        <w:rPr>
          <w:vertAlign w:val="superscript"/>
          <w:lang w:val="en-CA"/>
        </w:rPr>
        <w:t>th</w:t>
      </w:r>
      <w:r w:rsidRPr="00B75955">
        <w:rPr>
          <w:lang w:val="en-CA"/>
        </w:rPr>
        <w:t>, 79</w:t>
      </w:r>
      <w:r w:rsidRPr="00B75955">
        <w:rPr>
          <w:vertAlign w:val="superscript"/>
          <w:lang w:val="en-CA"/>
        </w:rPr>
        <w:t>th</w:t>
      </w:r>
      <w:r w:rsidRPr="00B75955">
        <w:rPr>
          <w:lang w:val="en-CA"/>
        </w:rPr>
        <w:t>, and 80</w:t>
      </w:r>
      <w:r w:rsidRPr="00B75955">
        <w:rPr>
          <w:vertAlign w:val="superscript"/>
          <w:lang w:val="en-CA"/>
        </w:rPr>
        <w:t>th</w:t>
      </w:r>
      <w:r w:rsidRPr="00B75955">
        <w:rPr>
          <w:lang w:val="en-CA"/>
        </w:rPr>
        <w:t> meetings, the Executive Committee has considered stage II of the HCFC phase-out management plan (HPMP) for China, with the associated sectors plans, as described below.</w:t>
      </w:r>
    </w:p>
    <w:p w14:paraId="45FE1F72" w14:textId="77777777" w:rsidR="00881319" w:rsidRPr="00B75955" w:rsidRDefault="00881319" w:rsidP="00881319">
      <w:pPr>
        <w:rPr>
          <w:i/>
          <w:lang w:val="en-CA"/>
        </w:rPr>
      </w:pPr>
      <w:r w:rsidRPr="00B75955">
        <w:rPr>
          <w:i/>
          <w:lang w:val="en-CA"/>
        </w:rPr>
        <w:t>Submission of stage II of the HPMP at the 76</w:t>
      </w:r>
      <w:r w:rsidRPr="00B75955">
        <w:rPr>
          <w:i/>
          <w:vertAlign w:val="superscript"/>
          <w:lang w:val="en-CA"/>
        </w:rPr>
        <w:t>th</w:t>
      </w:r>
      <w:r w:rsidRPr="00B75955">
        <w:rPr>
          <w:i/>
          <w:lang w:val="en-CA"/>
        </w:rPr>
        <w:t> meeting</w:t>
      </w:r>
    </w:p>
    <w:p w14:paraId="41092B6F" w14:textId="77777777" w:rsidR="00881319" w:rsidRPr="00B75955" w:rsidRDefault="00881319" w:rsidP="00881319">
      <w:pPr>
        <w:rPr>
          <w:lang w:val="en-CA"/>
        </w:rPr>
      </w:pPr>
    </w:p>
    <w:p w14:paraId="17D4250E" w14:textId="77777777" w:rsidR="00881319" w:rsidRPr="00B75955" w:rsidRDefault="00881319" w:rsidP="00881319">
      <w:pPr>
        <w:pStyle w:val="Heading1"/>
        <w:rPr>
          <w:lang w:val="en-CA"/>
        </w:rPr>
      </w:pPr>
      <w:r w:rsidRPr="00B75955">
        <w:rPr>
          <w:lang w:val="en-CA"/>
        </w:rPr>
        <w:t>At its 76</w:t>
      </w:r>
      <w:r w:rsidRPr="00B75955">
        <w:rPr>
          <w:vertAlign w:val="superscript"/>
          <w:lang w:val="en-CA"/>
        </w:rPr>
        <w:t>th</w:t>
      </w:r>
      <w:r w:rsidRPr="00B75955">
        <w:rPr>
          <w:lang w:val="en-CA"/>
        </w:rPr>
        <w:t> meeting, the Executive Committee considered the project proposal on stage II of the HPMP.</w:t>
      </w:r>
      <w:r w:rsidRPr="00B75955">
        <w:rPr>
          <w:rStyle w:val="FootnoteReference"/>
          <w:lang w:val="en-CA"/>
        </w:rPr>
        <w:footnoteReference w:id="4"/>
      </w:r>
      <w:r w:rsidRPr="00B75955">
        <w:rPr>
          <w:lang w:val="en-CA"/>
        </w:rPr>
        <w:t xml:space="preserve"> The proposal included the overall strategy for stage II of the HPMP and the following six sector plans: extruded polystyrene (XPS) foam sector plan (UNIDO/Germany); polyurethane rigid (PU) foam sector plan (World Bank); industrial and commercial refrigeration and air conditioning (ICR) sector plan (UNDP); room air-conditioner manufacturing (RAC) sector plan and heat pump water heaters (UNIDO); solvent sector plan (UNDP); and refrigeration and air-conditioning servicing sector plan and enabling component (UNEP/Germany/Japan). </w:t>
      </w:r>
    </w:p>
    <w:p w14:paraId="409E5ADC" w14:textId="77777777" w:rsidR="00881319" w:rsidRPr="00B75955" w:rsidRDefault="00881319" w:rsidP="00881319">
      <w:pPr>
        <w:pStyle w:val="Heading1"/>
        <w:rPr>
          <w:lang w:val="en-CA"/>
        </w:rPr>
      </w:pPr>
      <w:r w:rsidRPr="00B75955">
        <w:rPr>
          <w:lang w:val="en-CA"/>
        </w:rPr>
        <w:t xml:space="preserve">Subsequent to a discussion, in decision 76/43 the Executive Committee noted, with appreciation, the submission by the Government of China of the overarching strategy for stage II of the HPMP and the accompanying plans, and </w:t>
      </w:r>
      <w:r w:rsidRPr="00B75955">
        <w:rPr>
          <w:i/>
          <w:lang w:val="en-CA"/>
        </w:rPr>
        <w:t xml:space="preserve">inter alia </w:t>
      </w:r>
      <w:r w:rsidRPr="00B75955">
        <w:rPr>
          <w:lang w:val="en-CA"/>
        </w:rPr>
        <w:t>approved in principle:</w:t>
      </w:r>
    </w:p>
    <w:p w14:paraId="16107C6C" w14:textId="77777777" w:rsidR="00881319" w:rsidRPr="00B75955" w:rsidRDefault="00881319" w:rsidP="00881319">
      <w:pPr>
        <w:pStyle w:val="Heading2"/>
        <w:numPr>
          <w:ilvl w:val="1"/>
          <w:numId w:val="1"/>
        </w:numPr>
        <w:rPr>
          <w:lang w:val="en-CA"/>
        </w:rPr>
      </w:pPr>
      <w:r w:rsidRPr="00B75955">
        <w:rPr>
          <w:lang w:val="en-CA"/>
        </w:rPr>
        <w:t>The solvent sector plan for the period 2016 to 2026, for the complete phase-out of all HCFCs in that sector, in the amount of US $44.8 million, plus agency support costs, on the understanding that funding for the project implementation and monitoring unit was separate and additional and would be determined at a future meeting; and</w:t>
      </w:r>
    </w:p>
    <w:p w14:paraId="1181EE30" w14:textId="77777777" w:rsidR="00881319" w:rsidRPr="00B75955" w:rsidRDefault="00881319" w:rsidP="00881319">
      <w:pPr>
        <w:pStyle w:val="Heading2"/>
        <w:numPr>
          <w:ilvl w:val="1"/>
          <w:numId w:val="1"/>
        </w:numPr>
        <w:rPr>
          <w:lang w:val="en-CA"/>
        </w:rPr>
      </w:pPr>
      <w:r w:rsidRPr="00B75955">
        <w:rPr>
          <w:lang w:val="en-CA"/>
        </w:rPr>
        <w:t>The refrigeration and air</w:t>
      </w:r>
      <w:r w:rsidRPr="00B75955">
        <w:rPr>
          <w:lang w:val="en-CA"/>
        </w:rPr>
        <w:noBreakHyphen/>
        <w:t>conditioning servicing sector plan and enabling programme component for the period 2016 to 2020, to reduce HCFC consumption by 734.0 ODP tonnes, in the amount of US $20.29 million, plus agency support costs, on the understanding that the percentage of funds allocated to the project implementation and monitoring unit did not set a precedent for future approvals.</w:t>
      </w:r>
    </w:p>
    <w:p w14:paraId="409B6EB2" w14:textId="77777777" w:rsidR="00881319" w:rsidRPr="00B75955" w:rsidRDefault="00881319" w:rsidP="00881319">
      <w:pPr>
        <w:rPr>
          <w:i/>
          <w:lang w:val="en-CA"/>
        </w:rPr>
      </w:pPr>
      <w:r w:rsidRPr="00B75955">
        <w:rPr>
          <w:i/>
          <w:lang w:val="en-CA"/>
        </w:rPr>
        <w:t>Submission of stage II of the HPMP at the 77</w:t>
      </w:r>
      <w:r w:rsidRPr="00B75955">
        <w:rPr>
          <w:i/>
          <w:vertAlign w:val="superscript"/>
          <w:lang w:val="en-CA"/>
        </w:rPr>
        <w:t>th</w:t>
      </w:r>
      <w:r w:rsidRPr="00B75955">
        <w:rPr>
          <w:i/>
          <w:lang w:val="en-CA"/>
        </w:rPr>
        <w:t> meeting</w:t>
      </w:r>
    </w:p>
    <w:p w14:paraId="25F2728A" w14:textId="77777777" w:rsidR="00881319" w:rsidRPr="00B75955" w:rsidRDefault="00881319" w:rsidP="00881319">
      <w:pPr>
        <w:rPr>
          <w:lang w:val="en-CA"/>
        </w:rPr>
      </w:pPr>
    </w:p>
    <w:p w14:paraId="6120E3BC" w14:textId="77777777" w:rsidR="00881319" w:rsidRPr="00B75955" w:rsidRDefault="00881319" w:rsidP="00881319">
      <w:pPr>
        <w:pStyle w:val="Heading1"/>
        <w:rPr>
          <w:lang w:val="en-CA"/>
        </w:rPr>
      </w:pPr>
      <w:r w:rsidRPr="00B75955">
        <w:rPr>
          <w:lang w:val="en-CA"/>
        </w:rPr>
        <w:t>At its 77</w:t>
      </w:r>
      <w:r w:rsidRPr="00B75955">
        <w:rPr>
          <w:vertAlign w:val="superscript"/>
          <w:lang w:val="en-CA"/>
        </w:rPr>
        <w:t>th</w:t>
      </w:r>
      <w:r w:rsidRPr="00B75955">
        <w:rPr>
          <w:lang w:val="en-CA"/>
        </w:rPr>
        <w:t> meeting, the Executive Committee considered the project proposal on stage II of the HPMP for China</w:t>
      </w:r>
      <w:r w:rsidRPr="00B75955">
        <w:rPr>
          <w:rStyle w:val="FootnoteReference"/>
          <w:lang w:val="en-CA"/>
        </w:rPr>
        <w:footnoteReference w:id="5"/>
      </w:r>
      <w:r w:rsidRPr="00B75955">
        <w:rPr>
          <w:lang w:val="en-CA"/>
        </w:rPr>
        <w:t xml:space="preserve"> in light of the discussions held at its 76</w:t>
      </w:r>
      <w:r w:rsidRPr="00B75955">
        <w:rPr>
          <w:vertAlign w:val="superscript"/>
          <w:lang w:val="en-CA"/>
        </w:rPr>
        <w:t>th</w:t>
      </w:r>
      <w:r w:rsidRPr="00B75955">
        <w:rPr>
          <w:lang w:val="en-CA"/>
        </w:rPr>
        <w:t> meeting and further discussions held prior to the 77</w:t>
      </w:r>
      <w:r w:rsidRPr="00B75955">
        <w:rPr>
          <w:vertAlign w:val="superscript"/>
          <w:lang w:val="en-CA"/>
        </w:rPr>
        <w:t>th</w:t>
      </w:r>
      <w:r w:rsidRPr="00B75955">
        <w:rPr>
          <w:lang w:val="en-CA"/>
        </w:rPr>
        <w:t xml:space="preserve"> meeting. In concluding its deliberations, in decision 77/49 the Committee </w:t>
      </w:r>
      <w:r w:rsidRPr="00B75955">
        <w:rPr>
          <w:i/>
          <w:lang w:val="en-CA"/>
        </w:rPr>
        <w:t xml:space="preserve">inter alia </w:t>
      </w:r>
      <w:r w:rsidRPr="00B75955">
        <w:rPr>
          <w:lang w:val="en-CA"/>
        </w:rPr>
        <w:t>approved in principle:</w:t>
      </w:r>
    </w:p>
    <w:p w14:paraId="45CD87B3" w14:textId="77777777" w:rsidR="00881319" w:rsidRPr="00B75955" w:rsidRDefault="00881319" w:rsidP="00881319">
      <w:pPr>
        <w:pStyle w:val="Heading2"/>
        <w:numPr>
          <w:ilvl w:val="1"/>
          <w:numId w:val="1"/>
        </w:numPr>
        <w:rPr>
          <w:lang w:val="en-CA"/>
        </w:rPr>
      </w:pPr>
      <w:r w:rsidRPr="00B75955">
        <w:rPr>
          <w:lang w:val="en-CA"/>
        </w:rPr>
        <w:t xml:space="preserve">Stage II of the HPMP for China for the period 2016 to 2026, to reduce HCFC consumption by 37.6 per cent of the baseline by 2020 and to achieve the total phase-out of HCFCs in the PU foam, XPS foam and the solvent sectors by 2026, in the amount of </w:t>
      </w:r>
      <w:r w:rsidRPr="00B75955">
        <w:rPr>
          <w:lang w:val="en-CA"/>
        </w:rPr>
        <w:lastRenderedPageBreak/>
        <w:t>US $500,100,000,</w:t>
      </w:r>
      <w:r w:rsidRPr="00B75955">
        <w:rPr>
          <w:rStyle w:val="FootnoteReference"/>
          <w:lang w:val="en-CA"/>
        </w:rPr>
        <w:footnoteReference w:id="6"/>
      </w:r>
      <w:r w:rsidRPr="00B75955">
        <w:rPr>
          <w:lang w:val="en-CA"/>
        </w:rPr>
        <w:t xml:space="preserve"> plus agency support costs to be determined at a future meeting, for UNDP, UNEP, UNIDO, the World Bank, and by the Governments of Germany, Italy and Japan; and noting that the national HCFC consumption target, as well as the targets for the ICR sector and the RAC sector for the period 2021 to 2026 would be determined when stage III of the HPMP was submitted;</w:t>
      </w:r>
    </w:p>
    <w:p w14:paraId="78DBC726" w14:textId="77777777" w:rsidR="00881319" w:rsidRPr="00B75955" w:rsidRDefault="00881319" w:rsidP="00881319">
      <w:pPr>
        <w:pStyle w:val="Heading2"/>
        <w:numPr>
          <w:ilvl w:val="1"/>
          <w:numId w:val="1"/>
        </w:numPr>
        <w:rPr>
          <w:lang w:val="en-CA"/>
        </w:rPr>
      </w:pPr>
      <w:r w:rsidRPr="00B75955">
        <w:rPr>
          <w:lang w:val="en-CA"/>
        </w:rPr>
        <w:t>The XPS foam sector plan for the period 2016 to 2026 for the complete phase-out of all HCFCs in that sector, in the amount of US $112,786,630, plus agency support costs to be determined at a future meeting;</w:t>
      </w:r>
    </w:p>
    <w:p w14:paraId="2273F6F1" w14:textId="77777777" w:rsidR="00881319" w:rsidRPr="00B75955" w:rsidRDefault="00881319" w:rsidP="00881319">
      <w:pPr>
        <w:pStyle w:val="Heading2"/>
        <w:numPr>
          <w:ilvl w:val="1"/>
          <w:numId w:val="1"/>
        </w:numPr>
        <w:rPr>
          <w:lang w:val="en-CA"/>
        </w:rPr>
      </w:pPr>
      <w:r w:rsidRPr="00B75955">
        <w:rPr>
          <w:lang w:val="en-CA"/>
        </w:rPr>
        <w:t>The PU rigid foam sector plan for the period 2016 to 2026 for the complete phase-out of all HCFCs in that sector, in the amount of US $141,471,210, plus agency support costs to be determined at a future meeting;</w:t>
      </w:r>
    </w:p>
    <w:p w14:paraId="55D53206" w14:textId="77777777" w:rsidR="00881319" w:rsidRPr="00B75955" w:rsidRDefault="00881319" w:rsidP="00881319">
      <w:pPr>
        <w:pStyle w:val="Heading2"/>
        <w:numPr>
          <w:ilvl w:val="1"/>
          <w:numId w:val="1"/>
        </w:numPr>
        <w:rPr>
          <w:lang w:val="en-CA"/>
        </w:rPr>
      </w:pPr>
      <w:r w:rsidRPr="00B75955">
        <w:rPr>
          <w:lang w:val="en-CA"/>
        </w:rPr>
        <w:t>The ICR sector plan for the period 2016 to 2021 to achieve, by 2020, a 33 per cent reduction in relation to the 2013 maximum allowable consumption in the sector, in the amount of US $89,144,797, plus agency support costs to be determined at a future meeting;</w:t>
      </w:r>
    </w:p>
    <w:p w14:paraId="6EECEC0A" w14:textId="77777777" w:rsidR="00881319" w:rsidRPr="00B75955" w:rsidRDefault="00881319" w:rsidP="00881319">
      <w:pPr>
        <w:pStyle w:val="Heading2"/>
        <w:numPr>
          <w:ilvl w:val="1"/>
          <w:numId w:val="1"/>
        </w:numPr>
        <w:rPr>
          <w:lang w:val="en-CA"/>
        </w:rPr>
      </w:pPr>
      <w:r w:rsidRPr="00B75955">
        <w:rPr>
          <w:lang w:val="en-CA"/>
        </w:rPr>
        <w:t>The RAC sector plan for the period 2016 to 2021 to achieve, by 2020, a 45 per cent reduction in relation to the 2013 maximum allowable consumption in the sector, in the amount of US $89,144,797, plus agency support costs to be determined at a future meeting.</w:t>
      </w:r>
    </w:p>
    <w:p w14:paraId="12283000" w14:textId="77777777" w:rsidR="00881319" w:rsidRPr="00B75955" w:rsidRDefault="00881319" w:rsidP="00881319">
      <w:pPr>
        <w:pStyle w:val="Heading1"/>
        <w:rPr>
          <w:lang w:val="en-CA"/>
        </w:rPr>
      </w:pPr>
      <w:r w:rsidRPr="00B75955">
        <w:rPr>
          <w:lang w:val="en-CA"/>
        </w:rPr>
        <w:t>The Executive Committee also approved the first tranche of the six sector plans of stage II, and the corresponding tranche implementation plans in the amounts shown in Table 1.</w:t>
      </w:r>
    </w:p>
    <w:p w14:paraId="2AC626ED" w14:textId="77777777" w:rsidR="00881319" w:rsidRPr="00B75955" w:rsidRDefault="00881319" w:rsidP="00881319">
      <w:pPr>
        <w:rPr>
          <w:b/>
          <w:lang w:val="en-CA"/>
        </w:rPr>
      </w:pPr>
      <w:r w:rsidRPr="00B75955">
        <w:rPr>
          <w:b/>
          <w:lang w:val="en-CA"/>
        </w:rPr>
        <w:t>Table 1. Funding approved in principle and for the first tranche of stage II of the HPMP for China</w:t>
      </w:r>
    </w:p>
    <w:tbl>
      <w:tblPr>
        <w:tblW w:w="9445" w:type="dxa"/>
        <w:tblLayout w:type="fixed"/>
        <w:tblLook w:val="04A0" w:firstRow="1" w:lastRow="0" w:firstColumn="1" w:lastColumn="0" w:noHBand="0" w:noVBand="1"/>
      </w:tblPr>
      <w:tblGrid>
        <w:gridCol w:w="2361"/>
        <w:gridCol w:w="2361"/>
        <w:gridCol w:w="2361"/>
        <w:gridCol w:w="2362"/>
      </w:tblGrid>
      <w:tr w:rsidR="00881319" w:rsidRPr="00B75955" w14:paraId="11840E47" w14:textId="77777777" w:rsidTr="00881319">
        <w:tc>
          <w:tcPr>
            <w:tcW w:w="2361" w:type="dxa"/>
            <w:vMerge w:val="restart"/>
            <w:tcBorders>
              <w:top w:val="single" w:sz="4" w:space="0" w:color="auto"/>
              <w:left w:val="single" w:sz="4" w:space="0" w:color="auto"/>
              <w:right w:val="single" w:sz="4" w:space="0" w:color="auto"/>
            </w:tcBorders>
            <w:shd w:val="clear" w:color="auto" w:fill="auto"/>
            <w:noWrap/>
            <w:vAlign w:val="center"/>
          </w:tcPr>
          <w:p w14:paraId="0ED00B0C" w14:textId="77777777" w:rsidR="00881319" w:rsidRPr="00B75955" w:rsidRDefault="00881319" w:rsidP="00881319">
            <w:pPr>
              <w:jc w:val="left"/>
              <w:rPr>
                <w:b/>
                <w:color w:val="000000"/>
                <w:sz w:val="20"/>
                <w:szCs w:val="20"/>
                <w:lang w:val="en-CA" w:eastAsia="en-CA"/>
              </w:rPr>
            </w:pPr>
            <w:r w:rsidRPr="00B75955">
              <w:rPr>
                <w:b/>
                <w:color w:val="000000"/>
                <w:sz w:val="20"/>
                <w:szCs w:val="20"/>
                <w:lang w:val="en-CA" w:eastAsia="en-CA"/>
              </w:rPr>
              <w:t>Sector plan</w:t>
            </w:r>
          </w:p>
        </w:tc>
        <w:tc>
          <w:tcPr>
            <w:tcW w:w="2361" w:type="dxa"/>
            <w:vMerge w:val="restart"/>
            <w:tcBorders>
              <w:top w:val="single" w:sz="4" w:space="0" w:color="auto"/>
              <w:left w:val="nil"/>
              <w:right w:val="single" w:sz="4" w:space="0" w:color="auto"/>
            </w:tcBorders>
            <w:shd w:val="clear" w:color="auto" w:fill="auto"/>
            <w:noWrap/>
            <w:vAlign w:val="center"/>
          </w:tcPr>
          <w:p w14:paraId="5E4480A2" w14:textId="77777777" w:rsidR="00881319" w:rsidRPr="00B75955" w:rsidRDefault="00881319" w:rsidP="00881319">
            <w:pPr>
              <w:jc w:val="center"/>
              <w:rPr>
                <w:b/>
                <w:color w:val="000000"/>
                <w:sz w:val="20"/>
                <w:szCs w:val="20"/>
                <w:lang w:val="en-CA" w:eastAsia="en-CA"/>
              </w:rPr>
            </w:pPr>
            <w:r w:rsidRPr="00B75955">
              <w:rPr>
                <w:b/>
                <w:color w:val="000000"/>
                <w:sz w:val="20"/>
                <w:szCs w:val="20"/>
                <w:lang w:val="en-CA" w:eastAsia="en-CA"/>
              </w:rPr>
              <w:t>Agency</w:t>
            </w:r>
          </w:p>
        </w:tc>
        <w:tc>
          <w:tcPr>
            <w:tcW w:w="4723" w:type="dxa"/>
            <w:gridSpan w:val="2"/>
            <w:tcBorders>
              <w:top w:val="single" w:sz="4" w:space="0" w:color="auto"/>
              <w:left w:val="nil"/>
              <w:bottom w:val="single" w:sz="4" w:space="0" w:color="auto"/>
              <w:right w:val="single" w:sz="4" w:space="0" w:color="auto"/>
            </w:tcBorders>
            <w:shd w:val="clear" w:color="auto" w:fill="auto"/>
            <w:noWrap/>
            <w:vAlign w:val="center"/>
          </w:tcPr>
          <w:p w14:paraId="0507A650" w14:textId="77777777" w:rsidR="00881319" w:rsidRPr="00B75955" w:rsidRDefault="00881319" w:rsidP="00881319">
            <w:pPr>
              <w:jc w:val="center"/>
              <w:rPr>
                <w:b/>
                <w:color w:val="000000"/>
                <w:sz w:val="20"/>
                <w:szCs w:val="20"/>
                <w:lang w:val="en-CA" w:eastAsia="en-CA"/>
              </w:rPr>
            </w:pPr>
            <w:r w:rsidRPr="00B75955">
              <w:rPr>
                <w:b/>
                <w:color w:val="000000"/>
                <w:sz w:val="20"/>
                <w:szCs w:val="20"/>
                <w:lang w:val="en-CA" w:eastAsia="en-CA"/>
              </w:rPr>
              <w:t>Funding approved (US $)</w:t>
            </w:r>
          </w:p>
        </w:tc>
      </w:tr>
      <w:tr w:rsidR="00881319" w:rsidRPr="00B75955" w14:paraId="732AD51D" w14:textId="77777777" w:rsidTr="00881319">
        <w:tc>
          <w:tcPr>
            <w:tcW w:w="2361" w:type="dxa"/>
            <w:vMerge/>
            <w:tcBorders>
              <w:left w:val="single" w:sz="4" w:space="0" w:color="auto"/>
              <w:bottom w:val="single" w:sz="4" w:space="0" w:color="auto"/>
              <w:right w:val="single" w:sz="4" w:space="0" w:color="auto"/>
            </w:tcBorders>
            <w:shd w:val="clear" w:color="auto" w:fill="auto"/>
            <w:noWrap/>
            <w:vAlign w:val="bottom"/>
            <w:hideMark/>
          </w:tcPr>
          <w:p w14:paraId="12246AA6" w14:textId="77777777" w:rsidR="00881319" w:rsidRPr="00B75955" w:rsidRDefault="00881319" w:rsidP="00881319">
            <w:pPr>
              <w:jc w:val="left"/>
              <w:rPr>
                <w:b/>
                <w:color w:val="000000"/>
                <w:sz w:val="20"/>
                <w:szCs w:val="20"/>
                <w:lang w:val="en-CA" w:eastAsia="en-CA"/>
              </w:rPr>
            </w:pPr>
          </w:p>
        </w:tc>
        <w:tc>
          <w:tcPr>
            <w:tcW w:w="2361" w:type="dxa"/>
            <w:vMerge/>
            <w:tcBorders>
              <w:left w:val="nil"/>
              <w:bottom w:val="single" w:sz="4" w:space="0" w:color="auto"/>
              <w:right w:val="single" w:sz="4" w:space="0" w:color="auto"/>
            </w:tcBorders>
            <w:shd w:val="clear" w:color="auto" w:fill="auto"/>
            <w:noWrap/>
            <w:vAlign w:val="bottom"/>
            <w:hideMark/>
          </w:tcPr>
          <w:p w14:paraId="1A1C2644" w14:textId="77777777" w:rsidR="00881319" w:rsidRPr="00B75955" w:rsidRDefault="00881319" w:rsidP="00881319">
            <w:pPr>
              <w:jc w:val="left"/>
              <w:rPr>
                <w:b/>
                <w:color w:val="000000"/>
                <w:sz w:val="20"/>
                <w:szCs w:val="20"/>
                <w:lang w:val="en-CA" w:eastAsia="en-CA"/>
              </w:rPr>
            </w:pPr>
          </w:p>
        </w:tc>
        <w:tc>
          <w:tcPr>
            <w:tcW w:w="2361" w:type="dxa"/>
            <w:tcBorders>
              <w:top w:val="single" w:sz="4" w:space="0" w:color="auto"/>
              <w:left w:val="nil"/>
              <w:bottom w:val="single" w:sz="4" w:space="0" w:color="auto"/>
              <w:right w:val="single" w:sz="4" w:space="0" w:color="auto"/>
            </w:tcBorders>
            <w:shd w:val="clear" w:color="auto" w:fill="auto"/>
            <w:noWrap/>
            <w:vAlign w:val="center"/>
            <w:hideMark/>
          </w:tcPr>
          <w:p w14:paraId="44F4CEE0" w14:textId="77777777" w:rsidR="00881319" w:rsidRPr="00B75955" w:rsidRDefault="00881319" w:rsidP="00881319">
            <w:pPr>
              <w:jc w:val="center"/>
              <w:rPr>
                <w:b/>
                <w:color w:val="000000"/>
                <w:sz w:val="20"/>
                <w:szCs w:val="20"/>
                <w:lang w:val="en-CA" w:eastAsia="en-CA"/>
              </w:rPr>
            </w:pPr>
            <w:r w:rsidRPr="00B75955">
              <w:rPr>
                <w:b/>
                <w:color w:val="000000"/>
                <w:sz w:val="20"/>
                <w:szCs w:val="20"/>
                <w:lang w:val="en-CA" w:eastAsia="en-CA"/>
              </w:rPr>
              <w:t>Overall (in principle)</w:t>
            </w:r>
          </w:p>
        </w:tc>
        <w:tc>
          <w:tcPr>
            <w:tcW w:w="2362" w:type="dxa"/>
            <w:tcBorders>
              <w:top w:val="single" w:sz="4" w:space="0" w:color="auto"/>
              <w:left w:val="nil"/>
              <w:bottom w:val="single" w:sz="4" w:space="0" w:color="auto"/>
              <w:right w:val="single" w:sz="4" w:space="0" w:color="auto"/>
            </w:tcBorders>
            <w:shd w:val="clear" w:color="auto" w:fill="auto"/>
            <w:noWrap/>
            <w:vAlign w:val="center"/>
            <w:hideMark/>
          </w:tcPr>
          <w:p w14:paraId="7EB14ED9" w14:textId="77777777" w:rsidR="00881319" w:rsidRPr="00B75955" w:rsidRDefault="00881319" w:rsidP="00881319">
            <w:pPr>
              <w:jc w:val="center"/>
              <w:rPr>
                <w:b/>
                <w:color w:val="000000"/>
                <w:sz w:val="20"/>
                <w:szCs w:val="20"/>
                <w:lang w:val="en-CA" w:eastAsia="en-CA"/>
              </w:rPr>
            </w:pPr>
            <w:r w:rsidRPr="00B75955">
              <w:rPr>
                <w:b/>
                <w:color w:val="000000"/>
                <w:sz w:val="20"/>
                <w:szCs w:val="20"/>
                <w:lang w:val="en-CA" w:eastAsia="en-CA"/>
              </w:rPr>
              <w:t>First tranche</w:t>
            </w:r>
          </w:p>
        </w:tc>
      </w:tr>
      <w:tr w:rsidR="00881319" w:rsidRPr="00B75955" w14:paraId="49C4C2AC" w14:textId="77777777" w:rsidTr="00881319">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4D3EA428"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XPS</w:t>
            </w:r>
          </w:p>
        </w:tc>
        <w:tc>
          <w:tcPr>
            <w:tcW w:w="2361" w:type="dxa"/>
            <w:tcBorders>
              <w:top w:val="nil"/>
              <w:left w:val="nil"/>
              <w:bottom w:val="single" w:sz="4" w:space="0" w:color="auto"/>
              <w:right w:val="single" w:sz="4" w:space="0" w:color="auto"/>
            </w:tcBorders>
            <w:shd w:val="clear" w:color="auto" w:fill="auto"/>
            <w:noWrap/>
            <w:vAlign w:val="bottom"/>
            <w:hideMark/>
          </w:tcPr>
          <w:p w14:paraId="772C7EA6"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UNIDO, Germany</w:t>
            </w:r>
          </w:p>
        </w:tc>
        <w:tc>
          <w:tcPr>
            <w:tcW w:w="2361"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0103AAA2"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112,786,630</w:t>
            </w:r>
          </w:p>
        </w:tc>
        <w:tc>
          <w:tcPr>
            <w:tcW w:w="2362"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04B5B3F0"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7,514,867</w:t>
            </w:r>
          </w:p>
        </w:tc>
      </w:tr>
      <w:tr w:rsidR="00881319" w:rsidRPr="00B75955" w14:paraId="0B3589E6" w14:textId="77777777" w:rsidTr="00881319">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1C6D2692"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ICR</w:t>
            </w:r>
          </w:p>
        </w:tc>
        <w:tc>
          <w:tcPr>
            <w:tcW w:w="2361" w:type="dxa"/>
            <w:tcBorders>
              <w:top w:val="nil"/>
              <w:left w:val="nil"/>
              <w:bottom w:val="single" w:sz="4" w:space="0" w:color="auto"/>
              <w:right w:val="single" w:sz="4" w:space="0" w:color="auto"/>
            </w:tcBorders>
            <w:shd w:val="clear" w:color="auto" w:fill="auto"/>
            <w:noWrap/>
            <w:vAlign w:val="bottom"/>
            <w:hideMark/>
          </w:tcPr>
          <w:p w14:paraId="226D80B7"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UNDP</w:t>
            </w:r>
          </w:p>
        </w:tc>
        <w:tc>
          <w:tcPr>
            <w:tcW w:w="2361"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5DEF9F81"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89,144,797</w:t>
            </w:r>
          </w:p>
        </w:tc>
        <w:tc>
          <w:tcPr>
            <w:tcW w:w="2362"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4CC70C74"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13,368,756</w:t>
            </w:r>
          </w:p>
        </w:tc>
      </w:tr>
      <w:tr w:rsidR="00881319" w:rsidRPr="00B75955" w14:paraId="7616D9F6" w14:textId="77777777" w:rsidTr="00881319">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1FF7E22C"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Solvent</w:t>
            </w:r>
          </w:p>
        </w:tc>
        <w:tc>
          <w:tcPr>
            <w:tcW w:w="2361" w:type="dxa"/>
            <w:tcBorders>
              <w:top w:val="nil"/>
              <w:left w:val="nil"/>
              <w:bottom w:val="single" w:sz="4" w:space="0" w:color="auto"/>
              <w:right w:val="single" w:sz="4" w:space="0" w:color="auto"/>
            </w:tcBorders>
            <w:shd w:val="clear" w:color="auto" w:fill="auto"/>
            <w:noWrap/>
            <w:vAlign w:val="bottom"/>
            <w:hideMark/>
          </w:tcPr>
          <w:p w14:paraId="03AC6C82"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UNDP</w:t>
            </w:r>
          </w:p>
        </w:tc>
        <w:tc>
          <w:tcPr>
            <w:tcW w:w="2361"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08CB6563"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47,262,566</w:t>
            </w:r>
          </w:p>
        </w:tc>
        <w:tc>
          <w:tcPr>
            <w:tcW w:w="2362"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7DFD363E"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2,821,937</w:t>
            </w:r>
          </w:p>
        </w:tc>
      </w:tr>
      <w:tr w:rsidR="00881319" w:rsidRPr="00B75955" w14:paraId="45C28392" w14:textId="77777777" w:rsidTr="00881319">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65B4B2DE"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PU</w:t>
            </w:r>
          </w:p>
        </w:tc>
        <w:tc>
          <w:tcPr>
            <w:tcW w:w="2361" w:type="dxa"/>
            <w:tcBorders>
              <w:top w:val="nil"/>
              <w:left w:val="nil"/>
              <w:bottom w:val="single" w:sz="4" w:space="0" w:color="auto"/>
              <w:right w:val="single" w:sz="4" w:space="0" w:color="auto"/>
            </w:tcBorders>
            <w:shd w:val="clear" w:color="auto" w:fill="auto"/>
            <w:noWrap/>
            <w:vAlign w:val="bottom"/>
            <w:hideMark/>
          </w:tcPr>
          <w:p w14:paraId="603EDC44"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World Bank</w:t>
            </w:r>
          </w:p>
        </w:tc>
        <w:tc>
          <w:tcPr>
            <w:tcW w:w="2361"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669512F0"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141,471,210</w:t>
            </w:r>
          </w:p>
        </w:tc>
        <w:tc>
          <w:tcPr>
            <w:tcW w:w="2362"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00047328"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7,045,027</w:t>
            </w:r>
          </w:p>
        </w:tc>
      </w:tr>
      <w:tr w:rsidR="00881319" w:rsidRPr="00B75955" w14:paraId="4718432D" w14:textId="77777777" w:rsidTr="00881319">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523E612A"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RAC</w:t>
            </w:r>
          </w:p>
        </w:tc>
        <w:tc>
          <w:tcPr>
            <w:tcW w:w="2361" w:type="dxa"/>
            <w:tcBorders>
              <w:top w:val="nil"/>
              <w:left w:val="nil"/>
              <w:bottom w:val="single" w:sz="4" w:space="0" w:color="auto"/>
              <w:right w:val="single" w:sz="4" w:space="0" w:color="auto"/>
            </w:tcBorders>
            <w:shd w:val="clear" w:color="auto" w:fill="auto"/>
            <w:noWrap/>
            <w:vAlign w:val="bottom"/>
            <w:hideMark/>
          </w:tcPr>
          <w:p w14:paraId="3E2269E4"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UNIDO, Italy</w:t>
            </w:r>
          </w:p>
        </w:tc>
        <w:tc>
          <w:tcPr>
            <w:tcW w:w="2361"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49451D4E"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89,144,797</w:t>
            </w:r>
          </w:p>
        </w:tc>
        <w:tc>
          <w:tcPr>
            <w:tcW w:w="2362"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7B820C21"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15,562,981</w:t>
            </w:r>
          </w:p>
        </w:tc>
      </w:tr>
      <w:tr w:rsidR="00881319" w:rsidRPr="00B75955" w14:paraId="0BDDE920" w14:textId="77777777" w:rsidTr="00881319">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08D5F27D"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Servicing</w:t>
            </w:r>
          </w:p>
        </w:tc>
        <w:tc>
          <w:tcPr>
            <w:tcW w:w="2361" w:type="dxa"/>
            <w:tcBorders>
              <w:top w:val="nil"/>
              <w:left w:val="nil"/>
              <w:bottom w:val="single" w:sz="4" w:space="0" w:color="auto"/>
              <w:right w:val="single" w:sz="4" w:space="0" w:color="auto"/>
            </w:tcBorders>
            <w:shd w:val="clear" w:color="auto" w:fill="auto"/>
            <w:noWrap/>
            <w:vAlign w:val="bottom"/>
            <w:hideMark/>
          </w:tcPr>
          <w:p w14:paraId="12C4506C"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UNEP, Germany, Japan</w:t>
            </w:r>
          </w:p>
        </w:tc>
        <w:tc>
          <w:tcPr>
            <w:tcW w:w="2361"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104DFCC1"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20,290,000</w:t>
            </w:r>
          </w:p>
        </w:tc>
        <w:tc>
          <w:tcPr>
            <w:tcW w:w="2362"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1AE63076"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3,679,132</w:t>
            </w:r>
          </w:p>
        </w:tc>
      </w:tr>
      <w:tr w:rsidR="00881319" w:rsidRPr="00B75955" w14:paraId="096FC409" w14:textId="77777777" w:rsidTr="00881319">
        <w:tc>
          <w:tcPr>
            <w:tcW w:w="2361" w:type="dxa"/>
            <w:tcBorders>
              <w:top w:val="nil"/>
              <w:left w:val="single" w:sz="4" w:space="0" w:color="auto"/>
              <w:bottom w:val="single" w:sz="4" w:space="0" w:color="auto"/>
              <w:right w:val="single" w:sz="4" w:space="0" w:color="auto"/>
            </w:tcBorders>
            <w:shd w:val="clear" w:color="auto" w:fill="auto"/>
            <w:noWrap/>
            <w:vAlign w:val="bottom"/>
            <w:hideMark/>
          </w:tcPr>
          <w:p w14:paraId="5B452453"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Total</w:t>
            </w:r>
          </w:p>
        </w:tc>
        <w:tc>
          <w:tcPr>
            <w:tcW w:w="2361" w:type="dxa"/>
            <w:tcBorders>
              <w:top w:val="nil"/>
              <w:left w:val="nil"/>
              <w:bottom w:val="single" w:sz="4" w:space="0" w:color="auto"/>
              <w:right w:val="single" w:sz="4" w:space="0" w:color="auto"/>
            </w:tcBorders>
            <w:shd w:val="clear" w:color="auto" w:fill="auto"/>
            <w:noWrap/>
            <w:vAlign w:val="bottom"/>
            <w:hideMark/>
          </w:tcPr>
          <w:p w14:paraId="068F6ABC"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 </w:t>
            </w:r>
          </w:p>
        </w:tc>
        <w:tc>
          <w:tcPr>
            <w:tcW w:w="2361"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46FE54F6"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500,100,000</w:t>
            </w:r>
          </w:p>
        </w:tc>
        <w:tc>
          <w:tcPr>
            <w:tcW w:w="2362" w:type="dxa"/>
            <w:tcBorders>
              <w:top w:val="nil"/>
              <w:left w:val="nil"/>
              <w:bottom w:val="single" w:sz="4" w:space="0" w:color="auto"/>
              <w:right w:val="single" w:sz="4" w:space="0" w:color="auto"/>
            </w:tcBorders>
            <w:shd w:val="clear" w:color="auto" w:fill="auto"/>
            <w:noWrap/>
            <w:tcMar>
              <w:left w:w="115" w:type="dxa"/>
              <w:right w:w="288" w:type="dxa"/>
            </w:tcMar>
            <w:vAlign w:val="bottom"/>
            <w:hideMark/>
          </w:tcPr>
          <w:p w14:paraId="260E30B8"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49,992,700</w:t>
            </w:r>
          </w:p>
        </w:tc>
      </w:tr>
    </w:tbl>
    <w:p w14:paraId="1FC041CC" w14:textId="77777777" w:rsidR="00881319" w:rsidRPr="00B75955" w:rsidRDefault="00881319" w:rsidP="00881319">
      <w:pPr>
        <w:rPr>
          <w:lang w:val="en-CA"/>
        </w:rPr>
      </w:pPr>
    </w:p>
    <w:p w14:paraId="2DA8EF40" w14:textId="77777777" w:rsidR="00881319" w:rsidRPr="00B75955" w:rsidRDefault="00881319" w:rsidP="00881319">
      <w:pPr>
        <w:rPr>
          <w:i/>
          <w:lang w:val="en-CA"/>
        </w:rPr>
      </w:pPr>
      <w:r w:rsidRPr="00B75955">
        <w:rPr>
          <w:i/>
          <w:lang w:val="en-CA"/>
        </w:rPr>
        <w:t>Submission of the Agreement of stage II of the HPMP at the 79</w:t>
      </w:r>
      <w:r w:rsidRPr="00B75955">
        <w:rPr>
          <w:i/>
          <w:vertAlign w:val="superscript"/>
          <w:lang w:val="en-CA"/>
        </w:rPr>
        <w:t>th</w:t>
      </w:r>
      <w:r w:rsidRPr="00B75955">
        <w:rPr>
          <w:i/>
          <w:lang w:val="en-CA"/>
        </w:rPr>
        <w:t> meeting</w:t>
      </w:r>
    </w:p>
    <w:p w14:paraId="44EF304F" w14:textId="77777777" w:rsidR="00881319" w:rsidRPr="00B75955" w:rsidRDefault="00881319" w:rsidP="00881319">
      <w:pPr>
        <w:rPr>
          <w:lang w:val="en-CA"/>
        </w:rPr>
      </w:pPr>
    </w:p>
    <w:p w14:paraId="271D1A2C" w14:textId="77777777" w:rsidR="00881319" w:rsidRPr="00B75955" w:rsidRDefault="00881319" w:rsidP="00881319">
      <w:pPr>
        <w:pStyle w:val="Heading1"/>
        <w:rPr>
          <w:lang w:val="en-CA"/>
        </w:rPr>
      </w:pPr>
      <w:r w:rsidRPr="00B75955">
        <w:rPr>
          <w:lang w:val="en-CA"/>
        </w:rPr>
        <w:t>At it 79</w:t>
      </w:r>
      <w:r w:rsidRPr="00B75955">
        <w:rPr>
          <w:vertAlign w:val="superscript"/>
          <w:lang w:val="en-CA"/>
        </w:rPr>
        <w:t>th</w:t>
      </w:r>
      <w:r w:rsidRPr="00B75955">
        <w:rPr>
          <w:lang w:val="en-CA"/>
        </w:rPr>
        <w:t> meeting, the Executive Committee considered the Agreement between the Government of China and the Executive Committee for the implementation of stage II of the HPMP for China</w:t>
      </w:r>
      <w:r w:rsidRPr="00B75955">
        <w:rPr>
          <w:rStyle w:val="FootnoteReference"/>
          <w:lang w:val="en-CA"/>
        </w:rPr>
        <w:footnoteReference w:id="7"/>
      </w:r>
      <w:r w:rsidRPr="00B75955">
        <w:rPr>
          <w:lang w:val="en-CA"/>
        </w:rPr>
        <w:t xml:space="preserve"> in line with decision 77/49(b)(</w:t>
      </w:r>
      <w:proofErr w:type="spellStart"/>
      <w:r w:rsidRPr="00B75955">
        <w:rPr>
          <w:lang w:val="en-CA"/>
        </w:rPr>
        <w:t>i</w:t>
      </w:r>
      <w:proofErr w:type="spellEnd"/>
      <w:r w:rsidRPr="00B75955">
        <w:rPr>
          <w:lang w:val="en-CA"/>
        </w:rPr>
        <w:t>).</w:t>
      </w:r>
      <w:r w:rsidRPr="00B75955">
        <w:rPr>
          <w:rStyle w:val="FootnoteReference"/>
          <w:lang w:val="en-CA"/>
        </w:rPr>
        <w:footnoteReference w:id="8"/>
      </w:r>
      <w:r w:rsidRPr="00B75955">
        <w:rPr>
          <w:lang w:val="en-CA"/>
        </w:rPr>
        <w:t xml:space="preserve"> Subsequent to a discussion, in decision 79/35 the Executive Committee </w:t>
      </w:r>
      <w:r w:rsidRPr="00B75955">
        <w:rPr>
          <w:i/>
          <w:lang w:val="en-CA"/>
        </w:rPr>
        <w:t xml:space="preserve">inter </w:t>
      </w:r>
      <w:r w:rsidRPr="00B75955">
        <w:rPr>
          <w:lang w:val="en-CA"/>
        </w:rPr>
        <w:t>alia approved the Agreement for the implementation of stage II of the HPMP, set the agency support costs for UNDP, UNIDO, and the World Bank at 6.5 per cent, on the understanding that the agency support costs could be reconsidered at the 81</w:t>
      </w:r>
      <w:r w:rsidRPr="00B75955">
        <w:rPr>
          <w:vertAlign w:val="superscript"/>
          <w:lang w:val="en-CA"/>
        </w:rPr>
        <w:t>st</w:t>
      </w:r>
      <w:r w:rsidRPr="00B75955">
        <w:rPr>
          <w:lang w:val="en-CA"/>
        </w:rPr>
        <w:t> meeting, and maintained the level of agency support costs for the bilateral agencies and UNEP in place under the administrative cost regime in force.</w:t>
      </w:r>
    </w:p>
    <w:p w14:paraId="2281CACD" w14:textId="77777777" w:rsidR="00881319" w:rsidRPr="00B75955" w:rsidRDefault="00881319" w:rsidP="00881319">
      <w:pPr>
        <w:pStyle w:val="Heading1"/>
        <w:rPr>
          <w:lang w:val="en-CA"/>
        </w:rPr>
      </w:pPr>
      <w:r w:rsidRPr="00B75955">
        <w:rPr>
          <w:lang w:val="en-CA"/>
        </w:rPr>
        <w:lastRenderedPageBreak/>
        <w:t>The HCFC consumption limits and targeted HCFC phase-out for the period 2016 to 2026 in the six sectors included in the Agreement for stage II of the HPMP for China are shown in Table 2.</w:t>
      </w:r>
    </w:p>
    <w:p w14:paraId="684DD284" w14:textId="77777777" w:rsidR="00881319" w:rsidRPr="00B75955" w:rsidRDefault="00881319" w:rsidP="00881319">
      <w:pPr>
        <w:keepNext/>
        <w:keepLines/>
        <w:rPr>
          <w:b/>
          <w:lang w:val="en-CA"/>
        </w:rPr>
      </w:pPr>
      <w:r w:rsidRPr="00B75955">
        <w:rPr>
          <w:b/>
          <w:lang w:val="en-CA"/>
        </w:rPr>
        <w:t>Table 2. HCFC consumption limits and phase-out for stage II of the HPMP for China (ODP tonnes)</w:t>
      </w:r>
    </w:p>
    <w:tbl>
      <w:tblPr>
        <w:tblStyle w:val="TableGrid"/>
        <w:tblW w:w="9360" w:type="dxa"/>
        <w:tblInd w:w="-5" w:type="dxa"/>
        <w:tblLayout w:type="fixed"/>
        <w:tblLook w:val="04A0" w:firstRow="1" w:lastRow="0" w:firstColumn="1" w:lastColumn="0" w:noHBand="0" w:noVBand="1"/>
      </w:tblPr>
      <w:tblGrid>
        <w:gridCol w:w="1528"/>
        <w:gridCol w:w="393"/>
        <w:gridCol w:w="723"/>
        <w:gridCol w:w="516"/>
        <w:gridCol w:w="603"/>
        <w:gridCol w:w="637"/>
        <w:gridCol w:w="481"/>
        <w:gridCol w:w="759"/>
        <w:gridCol w:w="360"/>
        <w:gridCol w:w="880"/>
        <w:gridCol w:w="242"/>
        <w:gridCol w:w="998"/>
        <w:gridCol w:w="121"/>
        <w:gridCol w:w="1119"/>
      </w:tblGrid>
      <w:tr w:rsidR="00881319" w:rsidRPr="00B75955" w14:paraId="5A0BE2FF" w14:textId="77777777" w:rsidTr="00881319">
        <w:tc>
          <w:tcPr>
            <w:tcW w:w="9360" w:type="dxa"/>
            <w:gridSpan w:val="14"/>
          </w:tcPr>
          <w:p w14:paraId="0C920D10" w14:textId="77777777" w:rsidR="00881319" w:rsidRPr="00B75955" w:rsidRDefault="00881319" w:rsidP="00881319">
            <w:pPr>
              <w:keepNext/>
              <w:keepLines/>
              <w:jc w:val="center"/>
              <w:rPr>
                <w:b/>
                <w:sz w:val="20"/>
                <w:szCs w:val="20"/>
                <w:lang w:val="en-CA"/>
              </w:rPr>
            </w:pPr>
            <w:r w:rsidRPr="00B75955">
              <w:rPr>
                <w:b/>
                <w:sz w:val="20"/>
                <w:szCs w:val="20"/>
                <w:lang w:val="en-CA"/>
              </w:rPr>
              <w:t>Maximum allowable consumption</w:t>
            </w:r>
          </w:p>
        </w:tc>
      </w:tr>
      <w:tr w:rsidR="00881319" w:rsidRPr="00B75955" w14:paraId="2F26CB11" w14:textId="77777777" w:rsidTr="00881319">
        <w:tc>
          <w:tcPr>
            <w:tcW w:w="1528" w:type="dxa"/>
          </w:tcPr>
          <w:p w14:paraId="151035B8" w14:textId="77777777" w:rsidR="00881319" w:rsidRPr="00B75955" w:rsidRDefault="00881319" w:rsidP="00881319">
            <w:pPr>
              <w:keepNext/>
              <w:keepLines/>
              <w:jc w:val="center"/>
              <w:rPr>
                <w:b/>
                <w:sz w:val="20"/>
                <w:szCs w:val="20"/>
                <w:lang w:val="en-CA"/>
              </w:rPr>
            </w:pPr>
          </w:p>
        </w:tc>
        <w:tc>
          <w:tcPr>
            <w:tcW w:w="1116" w:type="dxa"/>
            <w:gridSpan w:val="2"/>
            <w:tcMar>
              <w:left w:w="0" w:type="dxa"/>
              <w:right w:w="0" w:type="dxa"/>
            </w:tcMar>
          </w:tcPr>
          <w:p w14:paraId="29E98898" w14:textId="77777777" w:rsidR="00881319" w:rsidRPr="00B75955" w:rsidRDefault="00881319" w:rsidP="00881319">
            <w:pPr>
              <w:keepNext/>
              <w:keepLines/>
              <w:jc w:val="center"/>
              <w:rPr>
                <w:b/>
                <w:sz w:val="20"/>
                <w:szCs w:val="20"/>
                <w:lang w:val="en-CA"/>
              </w:rPr>
            </w:pPr>
            <w:r w:rsidRPr="00B75955">
              <w:rPr>
                <w:b/>
                <w:sz w:val="20"/>
                <w:szCs w:val="20"/>
                <w:lang w:val="en-CA"/>
              </w:rPr>
              <w:t>2016-17</w:t>
            </w:r>
          </w:p>
        </w:tc>
        <w:tc>
          <w:tcPr>
            <w:tcW w:w="1119" w:type="dxa"/>
            <w:gridSpan w:val="2"/>
            <w:tcMar>
              <w:left w:w="0" w:type="dxa"/>
              <w:right w:w="0" w:type="dxa"/>
            </w:tcMar>
          </w:tcPr>
          <w:p w14:paraId="7F2A0442" w14:textId="77777777" w:rsidR="00881319" w:rsidRPr="00B75955" w:rsidRDefault="00881319" w:rsidP="00881319">
            <w:pPr>
              <w:keepNext/>
              <w:keepLines/>
              <w:jc w:val="center"/>
              <w:rPr>
                <w:b/>
                <w:sz w:val="20"/>
                <w:szCs w:val="20"/>
                <w:lang w:val="en-CA"/>
              </w:rPr>
            </w:pPr>
            <w:r w:rsidRPr="00B75955">
              <w:rPr>
                <w:b/>
                <w:sz w:val="20"/>
                <w:szCs w:val="20"/>
                <w:lang w:val="en-CA"/>
              </w:rPr>
              <w:t>2018-2019</w:t>
            </w:r>
          </w:p>
        </w:tc>
        <w:tc>
          <w:tcPr>
            <w:tcW w:w="1118" w:type="dxa"/>
            <w:gridSpan w:val="2"/>
            <w:tcMar>
              <w:left w:w="0" w:type="dxa"/>
              <w:right w:w="0" w:type="dxa"/>
            </w:tcMar>
          </w:tcPr>
          <w:p w14:paraId="09F25E67" w14:textId="77777777" w:rsidR="00881319" w:rsidRPr="00B75955" w:rsidRDefault="00881319" w:rsidP="00881319">
            <w:pPr>
              <w:keepNext/>
              <w:keepLines/>
              <w:jc w:val="center"/>
              <w:rPr>
                <w:b/>
                <w:sz w:val="20"/>
                <w:szCs w:val="20"/>
                <w:lang w:val="en-CA"/>
              </w:rPr>
            </w:pPr>
            <w:r w:rsidRPr="00B75955">
              <w:rPr>
                <w:b/>
                <w:sz w:val="20"/>
                <w:szCs w:val="20"/>
                <w:lang w:val="en-CA"/>
              </w:rPr>
              <w:t>2020-2021</w:t>
            </w:r>
          </w:p>
        </w:tc>
        <w:tc>
          <w:tcPr>
            <w:tcW w:w="1119" w:type="dxa"/>
            <w:gridSpan w:val="2"/>
            <w:tcMar>
              <w:left w:w="0" w:type="dxa"/>
              <w:right w:w="0" w:type="dxa"/>
            </w:tcMar>
          </w:tcPr>
          <w:p w14:paraId="321C43CD" w14:textId="77777777" w:rsidR="00881319" w:rsidRPr="00B75955" w:rsidRDefault="00881319" w:rsidP="00881319">
            <w:pPr>
              <w:keepNext/>
              <w:keepLines/>
              <w:jc w:val="center"/>
              <w:rPr>
                <w:b/>
                <w:sz w:val="20"/>
                <w:szCs w:val="20"/>
                <w:lang w:val="en-CA"/>
              </w:rPr>
            </w:pPr>
            <w:r w:rsidRPr="00B75955">
              <w:rPr>
                <w:b/>
                <w:sz w:val="20"/>
                <w:szCs w:val="20"/>
                <w:lang w:val="en-CA"/>
              </w:rPr>
              <w:t>2022</w:t>
            </w:r>
          </w:p>
        </w:tc>
        <w:tc>
          <w:tcPr>
            <w:tcW w:w="1122" w:type="dxa"/>
            <w:gridSpan w:val="2"/>
            <w:tcMar>
              <w:left w:w="0" w:type="dxa"/>
              <w:right w:w="0" w:type="dxa"/>
            </w:tcMar>
          </w:tcPr>
          <w:p w14:paraId="0161D3A9" w14:textId="77777777" w:rsidR="00881319" w:rsidRPr="00B75955" w:rsidRDefault="00881319" w:rsidP="00881319">
            <w:pPr>
              <w:keepNext/>
              <w:keepLines/>
              <w:jc w:val="center"/>
              <w:rPr>
                <w:b/>
                <w:sz w:val="20"/>
                <w:szCs w:val="20"/>
                <w:lang w:val="en-CA"/>
              </w:rPr>
            </w:pPr>
            <w:r w:rsidRPr="00B75955">
              <w:rPr>
                <w:b/>
                <w:sz w:val="20"/>
                <w:szCs w:val="20"/>
                <w:lang w:val="en-CA"/>
              </w:rPr>
              <w:t>2023-2024</w:t>
            </w:r>
          </w:p>
        </w:tc>
        <w:tc>
          <w:tcPr>
            <w:tcW w:w="1119" w:type="dxa"/>
            <w:gridSpan w:val="2"/>
            <w:tcMar>
              <w:left w:w="0" w:type="dxa"/>
              <w:right w:w="0" w:type="dxa"/>
            </w:tcMar>
          </w:tcPr>
          <w:p w14:paraId="2101B91D" w14:textId="77777777" w:rsidR="00881319" w:rsidRPr="00B75955" w:rsidRDefault="00881319" w:rsidP="00881319">
            <w:pPr>
              <w:keepNext/>
              <w:keepLines/>
              <w:jc w:val="center"/>
              <w:rPr>
                <w:b/>
                <w:sz w:val="20"/>
                <w:szCs w:val="20"/>
                <w:lang w:val="en-CA"/>
              </w:rPr>
            </w:pPr>
            <w:r w:rsidRPr="00B75955">
              <w:rPr>
                <w:b/>
                <w:sz w:val="20"/>
                <w:szCs w:val="20"/>
                <w:lang w:val="en-CA"/>
              </w:rPr>
              <w:t>2025</w:t>
            </w:r>
          </w:p>
        </w:tc>
        <w:tc>
          <w:tcPr>
            <w:tcW w:w="1119" w:type="dxa"/>
            <w:tcMar>
              <w:left w:w="0" w:type="dxa"/>
              <w:right w:w="0" w:type="dxa"/>
            </w:tcMar>
          </w:tcPr>
          <w:p w14:paraId="5A274249" w14:textId="77777777" w:rsidR="00881319" w:rsidRPr="00B75955" w:rsidRDefault="00881319" w:rsidP="00881319">
            <w:pPr>
              <w:keepNext/>
              <w:keepLines/>
              <w:jc w:val="center"/>
              <w:rPr>
                <w:b/>
                <w:sz w:val="20"/>
                <w:szCs w:val="20"/>
                <w:lang w:val="en-CA"/>
              </w:rPr>
            </w:pPr>
            <w:r w:rsidRPr="00B75955">
              <w:rPr>
                <w:b/>
                <w:sz w:val="20"/>
                <w:szCs w:val="20"/>
                <w:lang w:val="en-CA"/>
              </w:rPr>
              <w:t>2026</w:t>
            </w:r>
          </w:p>
        </w:tc>
      </w:tr>
      <w:tr w:rsidR="00881319" w:rsidRPr="00B75955" w14:paraId="3A320533" w14:textId="77777777" w:rsidTr="00881319">
        <w:tc>
          <w:tcPr>
            <w:tcW w:w="1528" w:type="dxa"/>
          </w:tcPr>
          <w:p w14:paraId="7E49138E" w14:textId="77777777" w:rsidR="00881319" w:rsidRPr="00B75955" w:rsidRDefault="00881319" w:rsidP="00881319">
            <w:pPr>
              <w:keepNext/>
              <w:keepLines/>
              <w:rPr>
                <w:sz w:val="20"/>
                <w:szCs w:val="20"/>
                <w:lang w:val="en-CA"/>
              </w:rPr>
            </w:pPr>
            <w:r w:rsidRPr="00B75955">
              <w:rPr>
                <w:sz w:val="20"/>
                <w:szCs w:val="20"/>
                <w:lang w:val="en-CA"/>
              </w:rPr>
              <w:t>National</w:t>
            </w:r>
          </w:p>
        </w:tc>
        <w:tc>
          <w:tcPr>
            <w:tcW w:w="1116" w:type="dxa"/>
            <w:gridSpan w:val="2"/>
          </w:tcPr>
          <w:p w14:paraId="54801A42" w14:textId="77777777" w:rsidR="00881319" w:rsidRPr="00B75955" w:rsidRDefault="00881319" w:rsidP="00881319">
            <w:pPr>
              <w:keepNext/>
              <w:keepLines/>
              <w:jc w:val="right"/>
              <w:rPr>
                <w:sz w:val="20"/>
                <w:szCs w:val="20"/>
                <w:lang w:val="en-CA"/>
              </w:rPr>
            </w:pPr>
            <w:r w:rsidRPr="00B75955">
              <w:rPr>
                <w:sz w:val="20"/>
                <w:szCs w:val="20"/>
                <w:lang w:val="en-CA"/>
              </w:rPr>
              <w:t>16,978.9</w:t>
            </w:r>
          </w:p>
        </w:tc>
        <w:tc>
          <w:tcPr>
            <w:tcW w:w="1119" w:type="dxa"/>
            <w:gridSpan w:val="2"/>
          </w:tcPr>
          <w:p w14:paraId="517C3090" w14:textId="77777777" w:rsidR="00881319" w:rsidRPr="00B75955" w:rsidRDefault="00881319" w:rsidP="00881319">
            <w:pPr>
              <w:keepNext/>
              <w:keepLines/>
              <w:jc w:val="right"/>
              <w:rPr>
                <w:sz w:val="20"/>
                <w:szCs w:val="20"/>
                <w:lang w:val="en-CA"/>
              </w:rPr>
            </w:pPr>
            <w:r w:rsidRPr="00B75955">
              <w:rPr>
                <w:sz w:val="20"/>
                <w:szCs w:val="20"/>
                <w:lang w:val="en-CA"/>
              </w:rPr>
              <w:t>15,048.1</w:t>
            </w:r>
          </w:p>
        </w:tc>
        <w:tc>
          <w:tcPr>
            <w:tcW w:w="1118" w:type="dxa"/>
            <w:gridSpan w:val="2"/>
          </w:tcPr>
          <w:p w14:paraId="245FF54E" w14:textId="77777777" w:rsidR="00881319" w:rsidRPr="00B75955" w:rsidRDefault="00881319" w:rsidP="00881319">
            <w:pPr>
              <w:keepNext/>
              <w:keepLines/>
              <w:jc w:val="right"/>
              <w:rPr>
                <w:sz w:val="20"/>
                <w:szCs w:val="20"/>
                <w:lang w:val="en-CA"/>
              </w:rPr>
            </w:pPr>
            <w:r w:rsidRPr="00B75955">
              <w:rPr>
                <w:sz w:val="20"/>
                <w:szCs w:val="20"/>
                <w:lang w:val="en-CA"/>
              </w:rPr>
              <w:t>11,772.0*</w:t>
            </w:r>
          </w:p>
        </w:tc>
        <w:tc>
          <w:tcPr>
            <w:tcW w:w="1119" w:type="dxa"/>
            <w:gridSpan w:val="2"/>
          </w:tcPr>
          <w:p w14:paraId="105287E2" w14:textId="77777777" w:rsidR="00881319" w:rsidRPr="00B75955" w:rsidRDefault="00881319" w:rsidP="00881319">
            <w:pPr>
              <w:keepNext/>
              <w:keepLines/>
              <w:jc w:val="right"/>
              <w:rPr>
                <w:sz w:val="20"/>
                <w:szCs w:val="20"/>
                <w:lang w:val="en-CA"/>
              </w:rPr>
            </w:pPr>
            <w:r w:rsidRPr="00B75955">
              <w:rPr>
                <w:sz w:val="20"/>
                <w:szCs w:val="20"/>
                <w:lang w:val="en-CA"/>
              </w:rPr>
              <w:t>n/a</w:t>
            </w:r>
          </w:p>
        </w:tc>
        <w:tc>
          <w:tcPr>
            <w:tcW w:w="1122" w:type="dxa"/>
            <w:gridSpan w:val="2"/>
          </w:tcPr>
          <w:p w14:paraId="493394B6" w14:textId="77777777" w:rsidR="00881319" w:rsidRPr="00B75955" w:rsidRDefault="00881319" w:rsidP="00881319">
            <w:pPr>
              <w:keepNext/>
              <w:keepLines/>
              <w:jc w:val="right"/>
              <w:rPr>
                <w:sz w:val="20"/>
                <w:szCs w:val="20"/>
                <w:lang w:val="en-CA"/>
              </w:rPr>
            </w:pPr>
            <w:r w:rsidRPr="00B75955">
              <w:rPr>
                <w:sz w:val="20"/>
                <w:szCs w:val="20"/>
                <w:lang w:val="en-CA"/>
              </w:rPr>
              <w:t>n/a</w:t>
            </w:r>
          </w:p>
        </w:tc>
        <w:tc>
          <w:tcPr>
            <w:tcW w:w="1119" w:type="dxa"/>
            <w:gridSpan w:val="2"/>
          </w:tcPr>
          <w:p w14:paraId="5ADCD904" w14:textId="77777777" w:rsidR="00881319" w:rsidRPr="00B75955" w:rsidRDefault="00881319" w:rsidP="00881319">
            <w:pPr>
              <w:keepNext/>
              <w:keepLines/>
              <w:jc w:val="right"/>
              <w:rPr>
                <w:sz w:val="20"/>
                <w:szCs w:val="20"/>
                <w:lang w:val="en-CA"/>
              </w:rPr>
            </w:pPr>
            <w:r w:rsidRPr="00B75955">
              <w:rPr>
                <w:sz w:val="20"/>
                <w:szCs w:val="20"/>
                <w:lang w:val="en-CA"/>
              </w:rPr>
              <w:t>n/a</w:t>
            </w:r>
          </w:p>
        </w:tc>
        <w:tc>
          <w:tcPr>
            <w:tcW w:w="1119" w:type="dxa"/>
          </w:tcPr>
          <w:p w14:paraId="657E528E" w14:textId="77777777" w:rsidR="00881319" w:rsidRPr="00B75955" w:rsidRDefault="00881319" w:rsidP="00881319">
            <w:pPr>
              <w:keepNext/>
              <w:keepLines/>
              <w:jc w:val="right"/>
              <w:rPr>
                <w:sz w:val="20"/>
                <w:szCs w:val="20"/>
                <w:lang w:val="en-CA"/>
              </w:rPr>
            </w:pPr>
            <w:r w:rsidRPr="00B75955">
              <w:rPr>
                <w:sz w:val="20"/>
                <w:szCs w:val="20"/>
                <w:lang w:val="en-CA"/>
              </w:rPr>
              <w:t>n/a</w:t>
            </w:r>
          </w:p>
        </w:tc>
      </w:tr>
      <w:tr w:rsidR="00881319" w:rsidRPr="00B75955" w14:paraId="66AF2496" w14:textId="77777777" w:rsidTr="00881319">
        <w:tc>
          <w:tcPr>
            <w:tcW w:w="1528" w:type="dxa"/>
          </w:tcPr>
          <w:p w14:paraId="2BFE59C8" w14:textId="77777777" w:rsidR="00881319" w:rsidRPr="00B75955" w:rsidRDefault="00881319" w:rsidP="00881319">
            <w:pPr>
              <w:keepNext/>
              <w:keepLines/>
              <w:rPr>
                <w:sz w:val="20"/>
                <w:szCs w:val="20"/>
                <w:lang w:val="en-CA"/>
              </w:rPr>
            </w:pPr>
            <w:r w:rsidRPr="00B75955">
              <w:rPr>
                <w:sz w:val="20"/>
                <w:szCs w:val="20"/>
                <w:lang w:val="en-CA"/>
              </w:rPr>
              <w:t>XPS sector</w:t>
            </w:r>
          </w:p>
        </w:tc>
        <w:tc>
          <w:tcPr>
            <w:tcW w:w="1116" w:type="dxa"/>
            <w:gridSpan w:val="2"/>
          </w:tcPr>
          <w:p w14:paraId="57C728D8" w14:textId="77777777" w:rsidR="00881319" w:rsidRPr="00B75955" w:rsidRDefault="00881319" w:rsidP="00881319">
            <w:pPr>
              <w:keepNext/>
              <w:keepLines/>
              <w:jc w:val="right"/>
              <w:rPr>
                <w:sz w:val="20"/>
                <w:szCs w:val="20"/>
                <w:lang w:val="en-CA"/>
              </w:rPr>
            </w:pPr>
            <w:r w:rsidRPr="00B75955">
              <w:rPr>
                <w:sz w:val="20"/>
                <w:szCs w:val="20"/>
                <w:lang w:val="en-CA"/>
              </w:rPr>
              <w:t>2,286.0</w:t>
            </w:r>
          </w:p>
        </w:tc>
        <w:tc>
          <w:tcPr>
            <w:tcW w:w="1119" w:type="dxa"/>
            <w:gridSpan w:val="2"/>
          </w:tcPr>
          <w:p w14:paraId="0E76C27C" w14:textId="77777777" w:rsidR="00881319" w:rsidRPr="00B75955" w:rsidRDefault="00881319" w:rsidP="00881319">
            <w:pPr>
              <w:keepNext/>
              <w:keepLines/>
              <w:jc w:val="right"/>
              <w:rPr>
                <w:sz w:val="20"/>
                <w:szCs w:val="20"/>
                <w:lang w:val="en-CA"/>
              </w:rPr>
            </w:pPr>
            <w:r w:rsidRPr="00B75955">
              <w:rPr>
                <w:sz w:val="20"/>
                <w:szCs w:val="20"/>
                <w:lang w:val="en-CA"/>
              </w:rPr>
              <w:t>2,032.0</w:t>
            </w:r>
          </w:p>
        </w:tc>
        <w:tc>
          <w:tcPr>
            <w:tcW w:w="1118" w:type="dxa"/>
            <w:gridSpan w:val="2"/>
          </w:tcPr>
          <w:p w14:paraId="7D0FC49E" w14:textId="77777777" w:rsidR="00881319" w:rsidRPr="00B75955" w:rsidRDefault="00881319" w:rsidP="00881319">
            <w:pPr>
              <w:keepNext/>
              <w:keepLines/>
              <w:jc w:val="right"/>
              <w:rPr>
                <w:sz w:val="20"/>
                <w:szCs w:val="20"/>
                <w:lang w:val="en-CA"/>
              </w:rPr>
            </w:pPr>
            <w:r w:rsidRPr="00B75955">
              <w:rPr>
                <w:sz w:val="20"/>
                <w:szCs w:val="20"/>
                <w:lang w:val="en-CA"/>
              </w:rPr>
              <w:t>1,397.0</w:t>
            </w:r>
          </w:p>
        </w:tc>
        <w:tc>
          <w:tcPr>
            <w:tcW w:w="1119" w:type="dxa"/>
            <w:gridSpan w:val="2"/>
          </w:tcPr>
          <w:p w14:paraId="60F6DCBB" w14:textId="77777777" w:rsidR="00881319" w:rsidRPr="00B75955" w:rsidRDefault="00881319" w:rsidP="00881319">
            <w:pPr>
              <w:keepNext/>
              <w:keepLines/>
              <w:jc w:val="right"/>
              <w:rPr>
                <w:sz w:val="20"/>
                <w:szCs w:val="20"/>
                <w:lang w:val="en-CA"/>
              </w:rPr>
            </w:pPr>
            <w:r w:rsidRPr="00B75955">
              <w:rPr>
                <w:sz w:val="20"/>
                <w:szCs w:val="20"/>
                <w:lang w:val="en-CA"/>
              </w:rPr>
              <w:t>1,397.0</w:t>
            </w:r>
          </w:p>
        </w:tc>
        <w:tc>
          <w:tcPr>
            <w:tcW w:w="1122" w:type="dxa"/>
            <w:gridSpan w:val="2"/>
          </w:tcPr>
          <w:p w14:paraId="797ECB2C" w14:textId="77777777" w:rsidR="00881319" w:rsidRPr="00B75955" w:rsidRDefault="00881319" w:rsidP="00881319">
            <w:pPr>
              <w:keepNext/>
              <w:keepLines/>
              <w:jc w:val="right"/>
              <w:rPr>
                <w:sz w:val="20"/>
                <w:szCs w:val="20"/>
                <w:lang w:val="en-CA"/>
              </w:rPr>
            </w:pPr>
            <w:r w:rsidRPr="00B75955">
              <w:rPr>
                <w:sz w:val="20"/>
                <w:szCs w:val="20"/>
                <w:lang w:val="en-CA"/>
              </w:rPr>
              <w:t>762.0</w:t>
            </w:r>
          </w:p>
        </w:tc>
        <w:tc>
          <w:tcPr>
            <w:tcW w:w="1119" w:type="dxa"/>
            <w:gridSpan w:val="2"/>
          </w:tcPr>
          <w:p w14:paraId="10453DA4" w14:textId="77777777" w:rsidR="00881319" w:rsidRPr="00B75955" w:rsidRDefault="00881319" w:rsidP="00881319">
            <w:pPr>
              <w:keepNext/>
              <w:keepLines/>
              <w:jc w:val="right"/>
              <w:rPr>
                <w:sz w:val="20"/>
                <w:szCs w:val="20"/>
                <w:lang w:val="en-CA"/>
              </w:rPr>
            </w:pPr>
            <w:r w:rsidRPr="00B75955">
              <w:rPr>
                <w:sz w:val="20"/>
                <w:szCs w:val="20"/>
                <w:lang w:val="en-CA"/>
              </w:rPr>
              <w:t>165.0</w:t>
            </w:r>
          </w:p>
        </w:tc>
        <w:tc>
          <w:tcPr>
            <w:tcW w:w="1119" w:type="dxa"/>
          </w:tcPr>
          <w:p w14:paraId="4B5A6A5C" w14:textId="77777777" w:rsidR="00881319" w:rsidRPr="00B75955" w:rsidRDefault="00881319" w:rsidP="00881319">
            <w:pPr>
              <w:keepNext/>
              <w:keepLines/>
              <w:jc w:val="right"/>
              <w:rPr>
                <w:sz w:val="20"/>
                <w:szCs w:val="20"/>
                <w:lang w:val="en-CA"/>
              </w:rPr>
            </w:pPr>
            <w:r w:rsidRPr="00B75955">
              <w:rPr>
                <w:sz w:val="20"/>
                <w:szCs w:val="20"/>
                <w:lang w:val="en-CA"/>
              </w:rPr>
              <w:t>0.0</w:t>
            </w:r>
          </w:p>
        </w:tc>
      </w:tr>
      <w:tr w:rsidR="00881319" w:rsidRPr="00B75955" w14:paraId="4C906105" w14:textId="77777777" w:rsidTr="00881319">
        <w:tc>
          <w:tcPr>
            <w:tcW w:w="1528" w:type="dxa"/>
          </w:tcPr>
          <w:p w14:paraId="681B6E2C" w14:textId="77777777" w:rsidR="00881319" w:rsidRPr="00B75955" w:rsidRDefault="00881319" w:rsidP="00881319">
            <w:pPr>
              <w:rPr>
                <w:sz w:val="20"/>
                <w:szCs w:val="20"/>
                <w:lang w:val="en-CA"/>
              </w:rPr>
            </w:pPr>
            <w:r w:rsidRPr="00B75955">
              <w:rPr>
                <w:sz w:val="20"/>
                <w:szCs w:val="20"/>
                <w:lang w:val="en-CA"/>
              </w:rPr>
              <w:t>PU sector</w:t>
            </w:r>
          </w:p>
        </w:tc>
        <w:tc>
          <w:tcPr>
            <w:tcW w:w="1116" w:type="dxa"/>
            <w:gridSpan w:val="2"/>
          </w:tcPr>
          <w:p w14:paraId="7F5E8C76" w14:textId="77777777" w:rsidR="00881319" w:rsidRPr="00B75955" w:rsidRDefault="00881319" w:rsidP="00881319">
            <w:pPr>
              <w:jc w:val="right"/>
              <w:rPr>
                <w:sz w:val="20"/>
                <w:szCs w:val="20"/>
                <w:lang w:val="en-CA"/>
              </w:rPr>
            </w:pPr>
            <w:r w:rsidRPr="00B75955">
              <w:rPr>
                <w:sz w:val="20"/>
                <w:szCs w:val="20"/>
                <w:lang w:val="en-CA"/>
              </w:rPr>
              <w:t>4,449.6</w:t>
            </w:r>
          </w:p>
        </w:tc>
        <w:tc>
          <w:tcPr>
            <w:tcW w:w="1119" w:type="dxa"/>
            <w:gridSpan w:val="2"/>
          </w:tcPr>
          <w:p w14:paraId="693F7C15" w14:textId="77777777" w:rsidR="00881319" w:rsidRPr="00B75955" w:rsidRDefault="00881319" w:rsidP="00881319">
            <w:pPr>
              <w:jc w:val="right"/>
              <w:rPr>
                <w:sz w:val="20"/>
                <w:szCs w:val="20"/>
                <w:lang w:val="en-CA"/>
              </w:rPr>
            </w:pPr>
            <w:r w:rsidRPr="00B75955">
              <w:rPr>
                <w:sz w:val="20"/>
                <w:szCs w:val="20"/>
                <w:lang w:val="en-CA"/>
              </w:rPr>
              <w:t>3,774.5</w:t>
            </w:r>
          </w:p>
        </w:tc>
        <w:tc>
          <w:tcPr>
            <w:tcW w:w="1118" w:type="dxa"/>
            <w:gridSpan w:val="2"/>
          </w:tcPr>
          <w:p w14:paraId="43881D27" w14:textId="77777777" w:rsidR="00881319" w:rsidRPr="00B75955" w:rsidRDefault="00881319" w:rsidP="00881319">
            <w:pPr>
              <w:jc w:val="right"/>
              <w:rPr>
                <w:sz w:val="20"/>
                <w:szCs w:val="20"/>
                <w:lang w:val="en-CA"/>
              </w:rPr>
            </w:pPr>
            <w:r w:rsidRPr="00B75955">
              <w:rPr>
                <w:sz w:val="20"/>
                <w:szCs w:val="20"/>
                <w:lang w:val="en-CA"/>
              </w:rPr>
              <w:t>2,965.7</w:t>
            </w:r>
          </w:p>
        </w:tc>
        <w:tc>
          <w:tcPr>
            <w:tcW w:w="1119" w:type="dxa"/>
            <w:gridSpan w:val="2"/>
          </w:tcPr>
          <w:p w14:paraId="57D32DBE" w14:textId="77777777" w:rsidR="00881319" w:rsidRPr="00B75955" w:rsidRDefault="00881319" w:rsidP="00881319">
            <w:pPr>
              <w:jc w:val="right"/>
              <w:rPr>
                <w:sz w:val="20"/>
                <w:szCs w:val="20"/>
                <w:lang w:val="en-CA"/>
              </w:rPr>
            </w:pPr>
            <w:r w:rsidRPr="00B75955">
              <w:rPr>
                <w:sz w:val="20"/>
                <w:szCs w:val="20"/>
                <w:lang w:val="en-CA"/>
              </w:rPr>
              <w:t>2,965.7</w:t>
            </w:r>
          </w:p>
        </w:tc>
        <w:tc>
          <w:tcPr>
            <w:tcW w:w="1122" w:type="dxa"/>
            <w:gridSpan w:val="2"/>
          </w:tcPr>
          <w:p w14:paraId="5B8EC44A" w14:textId="77777777" w:rsidR="00881319" w:rsidRPr="00B75955" w:rsidRDefault="00881319" w:rsidP="00881319">
            <w:pPr>
              <w:jc w:val="right"/>
              <w:rPr>
                <w:sz w:val="20"/>
                <w:szCs w:val="20"/>
                <w:lang w:val="en-CA"/>
              </w:rPr>
            </w:pPr>
            <w:r w:rsidRPr="00B75955">
              <w:rPr>
                <w:sz w:val="20"/>
                <w:szCs w:val="20"/>
                <w:lang w:val="en-CA"/>
              </w:rPr>
              <w:t>1,078.4</w:t>
            </w:r>
          </w:p>
        </w:tc>
        <w:tc>
          <w:tcPr>
            <w:tcW w:w="1119" w:type="dxa"/>
            <w:gridSpan w:val="2"/>
          </w:tcPr>
          <w:p w14:paraId="0F0D24CD" w14:textId="77777777" w:rsidR="00881319" w:rsidRPr="00B75955" w:rsidRDefault="00881319" w:rsidP="00881319">
            <w:pPr>
              <w:jc w:val="right"/>
              <w:rPr>
                <w:sz w:val="20"/>
                <w:szCs w:val="20"/>
                <w:lang w:val="en-CA"/>
              </w:rPr>
            </w:pPr>
            <w:r w:rsidRPr="00B75955">
              <w:rPr>
                <w:sz w:val="20"/>
                <w:szCs w:val="20"/>
                <w:lang w:val="en-CA"/>
              </w:rPr>
              <w:t>330.0</w:t>
            </w:r>
          </w:p>
        </w:tc>
        <w:tc>
          <w:tcPr>
            <w:tcW w:w="1119" w:type="dxa"/>
          </w:tcPr>
          <w:p w14:paraId="06497EC1" w14:textId="77777777" w:rsidR="00881319" w:rsidRPr="00B75955" w:rsidRDefault="00881319" w:rsidP="00881319">
            <w:pPr>
              <w:jc w:val="right"/>
              <w:rPr>
                <w:sz w:val="20"/>
                <w:szCs w:val="20"/>
                <w:lang w:val="en-CA"/>
              </w:rPr>
            </w:pPr>
            <w:r w:rsidRPr="00B75955">
              <w:rPr>
                <w:sz w:val="20"/>
                <w:szCs w:val="20"/>
                <w:lang w:val="en-CA"/>
              </w:rPr>
              <w:t>0.0</w:t>
            </w:r>
          </w:p>
        </w:tc>
      </w:tr>
      <w:tr w:rsidR="00881319" w:rsidRPr="00B75955" w14:paraId="6F4EDE67" w14:textId="77777777" w:rsidTr="00881319">
        <w:tc>
          <w:tcPr>
            <w:tcW w:w="1528" w:type="dxa"/>
          </w:tcPr>
          <w:p w14:paraId="59E6CB6A" w14:textId="77777777" w:rsidR="00881319" w:rsidRPr="00B75955" w:rsidRDefault="00881319" w:rsidP="00881319">
            <w:pPr>
              <w:rPr>
                <w:sz w:val="20"/>
                <w:szCs w:val="20"/>
                <w:lang w:val="en-CA"/>
              </w:rPr>
            </w:pPr>
            <w:r w:rsidRPr="00B75955">
              <w:rPr>
                <w:sz w:val="20"/>
                <w:szCs w:val="20"/>
                <w:lang w:val="en-CA"/>
              </w:rPr>
              <w:t>ICR sector</w:t>
            </w:r>
          </w:p>
        </w:tc>
        <w:tc>
          <w:tcPr>
            <w:tcW w:w="1116" w:type="dxa"/>
            <w:gridSpan w:val="2"/>
          </w:tcPr>
          <w:p w14:paraId="0616901B" w14:textId="77777777" w:rsidR="00881319" w:rsidRPr="00B75955" w:rsidRDefault="00881319" w:rsidP="00881319">
            <w:pPr>
              <w:jc w:val="right"/>
              <w:rPr>
                <w:sz w:val="20"/>
                <w:szCs w:val="20"/>
                <w:lang w:val="en-CA"/>
              </w:rPr>
            </w:pPr>
            <w:r w:rsidRPr="00B75955">
              <w:rPr>
                <w:sz w:val="20"/>
                <w:szCs w:val="20"/>
                <w:lang w:val="en-CA"/>
              </w:rPr>
              <w:t>2,162.5</w:t>
            </w:r>
          </w:p>
        </w:tc>
        <w:tc>
          <w:tcPr>
            <w:tcW w:w="1119" w:type="dxa"/>
            <w:gridSpan w:val="2"/>
          </w:tcPr>
          <w:p w14:paraId="2AA3132F" w14:textId="77777777" w:rsidR="00881319" w:rsidRPr="00B75955" w:rsidRDefault="00881319" w:rsidP="00881319">
            <w:pPr>
              <w:jc w:val="right"/>
              <w:rPr>
                <w:sz w:val="20"/>
                <w:szCs w:val="20"/>
                <w:lang w:val="en-CA"/>
              </w:rPr>
            </w:pPr>
            <w:r w:rsidRPr="00B75955">
              <w:rPr>
                <w:sz w:val="20"/>
                <w:szCs w:val="20"/>
                <w:lang w:val="en-CA"/>
              </w:rPr>
              <w:t>2,042.4</w:t>
            </w:r>
          </w:p>
        </w:tc>
        <w:tc>
          <w:tcPr>
            <w:tcW w:w="1118" w:type="dxa"/>
            <w:gridSpan w:val="2"/>
          </w:tcPr>
          <w:p w14:paraId="4D23AE77" w14:textId="77777777" w:rsidR="00881319" w:rsidRPr="00B75955" w:rsidRDefault="00881319" w:rsidP="00881319">
            <w:pPr>
              <w:jc w:val="right"/>
              <w:rPr>
                <w:sz w:val="20"/>
                <w:szCs w:val="20"/>
                <w:lang w:val="en-CA"/>
              </w:rPr>
            </w:pPr>
            <w:r w:rsidRPr="00B75955">
              <w:rPr>
                <w:sz w:val="20"/>
                <w:szCs w:val="20"/>
                <w:lang w:val="en-CA"/>
              </w:rPr>
              <w:t>1,609.9*</w:t>
            </w:r>
          </w:p>
        </w:tc>
        <w:tc>
          <w:tcPr>
            <w:tcW w:w="1119" w:type="dxa"/>
            <w:gridSpan w:val="2"/>
          </w:tcPr>
          <w:p w14:paraId="6CE8F481" w14:textId="77777777" w:rsidR="00881319" w:rsidRPr="00B75955" w:rsidRDefault="00881319" w:rsidP="00881319">
            <w:pPr>
              <w:jc w:val="right"/>
              <w:rPr>
                <w:sz w:val="20"/>
                <w:szCs w:val="20"/>
                <w:lang w:val="en-CA"/>
              </w:rPr>
            </w:pPr>
            <w:r w:rsidRPr="00B75955">
              <w:rPr>
                <w:sz w:val="20"/>
                <w:szCs w:val="20"/>
                <w:lang w:val="en-CA"/>
              </w:rPr>
              <w:t>n/a</w:t>
            </w:r>
          </w:p>
        </w:tc>
        <w:tc>
          <w:tcPr>
            <w:tcW w:w="1122" w:type="dxa"/>
            <w:gridSpan w:val="2"/>
          </w:tcPr>
          <w:p w14:paraId="3FF8DA92" w14:textId="77777777" w:rsidR="00881319" w:rsidRPr="00B75955" w:rsidRDefault="00881319" w:rsidP="00881319">
            <w:pPr>
              <w:jc w:val="right"/>
              <w:rPr>
                <w:sz w:val="20"/>
                <w:szCs w:val="20"/>
                <w:lang w:val="en-CA"/>
              </w:rPr>
            </w:pPr>
            <w:r w:rsidRPr="00B75955">
              <w:rPr>
                <w:sz w:val="20"/>
                <w:szCs w:val="20"/>
                <w:lang w:val="en-CA"/>
              </w:rPr>
              <w:t>n/a</w:t>
            </w:r>
          </w:p>
        </w:tc>
        <w:tc>
          <w:tcPr>
            <w:tcW w:w="1119" w:type="dxa"/>
            <w:gridSpan w:val="2"/>
          </w:tcPr>
          <w:p w14:paraId="48E5E77C" w14:textId="77777777" w:rsidR="00881319" w:rsidRPr="00B75955" w:rsidRDefault="00881319" w:rsidP="00881319">
            <w:pPr>
              <w:jc w:val="right"/>
              <w:rPr>
                <w:sz w:val="20"/>
                <w:szCs w:val="20"/>
                <w:lang w:val="en-CA"/>
              </w:rPr>
            </w:pPr>
            <w:r w:rsidRPr="00B75955">
              <w:rPr>
                <w:sz w:val="20"/>
                <w:szCs w:val="20"/>
                <w:lang w:val="en-CA"/>
              </w:rPr>
              <w:t>n/a</w:t>
            </w:r>
          </w:p>
        </w:tc>
        <w:tc>
          <w:tcPr>
            <w:tcW w:w="1119" w:type="dxa"/>
          </w:tcPr>
          <w:p w14:paraId="36EE4EB9" w14:textId="77777777" w:rsidR="00881319" w:rsidRPr="00B75955" w:rsidRDefault="00881319" w:rsidP="00881319">
            <w:pPr>
              <w:jc w:val="right"/>
              <w:rPr>
                <w:sz w:val="20"/>
                <w:szCs w:val="20"/>
                <w:lang w:val="en-CA"/>
              </w:rPr>
            </w:pPr>
            <w:r w:rsidRPr="00B75955">
              <w:rPr>
                <w:sz w:val="20"/>
                <w:szCs w:val="20"/>
                <w:lang w:val="en-CA"/>
              </w:rPr>
              <w:t>n/a</w:t>
            </w:r>
          </w:p>
        </w:tc>
      </w:tr>
      <w:tr w:rsidR="00881319" w:rsidRPr="00B75955" w14:paraId="0E0B3136" w14:textId="77777777" w:rsidTr="00881319">
        <w:tc>
          <w:tcPr>
            <w:tcW w:w="1528" w:type="dxa"/>
          </w:tcPr>
          <w:p w14:paraId="3FB71565" w14:textId="77777777" w:rsidR="00881319" w:rsidRPr="00B75955" w:rsidRDefault="00881319" w:rsidP="00881319">
            <w:pPr>
              <w:rPr>
                <w:sz w:val="20"/>
                <w:szCs w:val="20"/>
                <w:lang w:val="en-CA"/>
              </w:rPr>
            </w:pPr>
            <w:r w:rsidRPr="00B75955">
              <w:rPr>
                <w:sz w:val="20"/>
                <w:szCs w:val="20"/>
                <w:lang w:val="en-CA"/>
              </w:rPr>
              <w:t>RAC sector</w:t>
            </w:r>
          </w:p>
        </w:tc>
        <w:tc>
          <w:tcPr>
            <w:tcW w:w="1116" w:type="dxa"/>
            <w:gridSpan w:val="2"/>
          </w:tcPr>
          <w:p w14:paraId="6DBCA6D2" w14:textId="77777777" w:rsidR="00881319" w:rsidRPr="00B75955" w:rsidRDefault="00881319" w:rsidP="00881319">
            <w:pPr>
              <w:jc w:val="right"/>
              <w:rPr>
                <w:sz w:val="20"/>
                <w:szCs w:val="20"/>
                <w:lang w:val="en-CA"/>
              </w:rPr>
            </w:pPr>
            <w:r w:rsidRPr="00B75955">
              <w:rPr>
                <w:sz w:val="20"/>
                <w:szCs w:val="20"/>
                <w:lang w:val="en-CA"/>
              </w:rPr>
              <w:t>3,697.7</w:t>
            </w:r>
          </w:p>
        </w:tc>
        <w:tc>
          <w:tcPr>
            <w:tcW w:w="1119" w:type="dxa"/>
            <w:gridSpan w:val="2"/>
          </w:tcPr>
          <w:p w14:paraId="7958AC0A" w14:textId="77777777" w:rsidR="00881319" w:rsidRPr="00B75955" w:rsidRDefault="00881319" w:rsidP="00881319">
            <w:pPr>
              <w:jc w:val="right"/>
              <w:rPr>
                <w:sz w:val="20"/>
                <w:szCs w:val="20"/>
                <w:lang w:val="en-CA"/>
              </w:rPr>
            </w:pPr>
            <w:r w:rsidRPr="00B75955">
              <w:rPr>
                <w:sz w:val="20"/>
                <w:szCs w:val="20"/>
                <w:lang w:val="en-CA"/>
              </w:rPr>
              <w:t>2,876.0</w:t>
            </w:r>
          </w:p>
        </w:tc>
        <w:tc>
          <w:tcPr>
            <w:tcW w:w="1118" w:type="dxa"/>
            <w:gridSpan w:val="2"/>
          </w:tcPr>
          <w:p w14:paraId="59CCEF3F" w14:textId="77777777" w:rsidR="00881319" w:rsidRPr="00B75955" w:rsidRDefault="00881319" w:rsidP="00881319">
            <w:pPr>
              <w:jc w:val="right"/>
              <w:rPr>
                <w:sz w:val="20"/>
                <w:szCs w:val="20"/>
                <w:lang w:val="en-CA"/>
              </w:rPr>
            </w:pPr>
            <w:r w:rsidRPr="00B75955">
              <w:rPr>
                <w:sz w:val="20"/>
                <w:szCs w:val="20"/>
                <w:lang w:val="en-CA"/>
              </w:rPr>
              <w:t>2,259.7*</w:t>
            </w:r>
          </w:p>
        </w:tc>
        <w:tc>
          <w:tcPr>
            <w:tcW w:w="1119" w:type="dxa"/>
            <w:gridSpan w:val="2"/>
          </w:tcPr>
          <w:p w14:paraId="26032838" w14:textId="77777777" w:rsidR="00881319" w:rsidRPr="00B75955" w:rsidRDefault="00881319" w:rsidP="00881319">
            <w:pPr>
              <w:jc w:val="right"/>
              <w:rPr>
                <w:sz w:val="20"/>
                <w:szCs w:val="20"/>
                <w:lang w:val="en-CA"/>
              </w:rPr>
            </w:pPr>
            <w:r w:rsidRPr="00B75955">
              <w:rPr>
                <w:sz w:val="20"/>
                <w:szCs w:val="20"/>
                <w:lang w:val="en-CA"/>
              </w:rPr>
              <w:t>n/a</w:t>
            </w:r>
          </w:p>
        </w:tc>
        <w:tc>
          <w:tcPr>
            <w:tcW w:w="1122" w:type="dxa"/>
            <w:gridSpan w:val="2"/>
          </w:tcPr>
          <w:p w14:paraId="622AA823" w14:textId="77777777" w:rsidR="00881319" w:rsidRPr="00B75955" w:rsidRDefault="00881319" w:rsidP="00881319">
            <w:pPr>
              <w:jc w:val="right"/>
              <w:rPr>
                <w:sz w:val="20"/>
                <w:szCs w:val="20"/>
                <w:lang w:val="en-CA"/>
              </w:rPr>
            </w:pPr>
            <w:r w:rsidRPr="00B75955">
              <w:rPr>
                <w:sz w:val="20"/>
                <w:szCs w:val="20"/>
                <w:lang w:val="en-CA"/>
              </w:rPr>
              <w:t>n/a</w:t>
            </w:r>
          </w:p>
        </w:tc>
        <w:tc>
          <w:tcPr>
            <w:tcW w:w="1119" w:type="dxa"/>
            <w:gridSpan w:val="2"/>
          </w:tcPr>
          <w:p w14:paraId="19811E9C" w14:textId="77777777" w:rsidR="00881319" w:rsidRPr="00B75955" w:rsidRDefault="00881319" w:rsidP="00881319">
            <w:pPr>
              <w:jc w:val="right"/>
              <w:rPr>
                <w:sz w:val="20"/>
                <w:szCs w:val="20"/>
                <w:lang w:val="en-CA"/>
              </w:rPr>
            </w:pPr>
            <w:r w:rsidRPr="00B75955">
              <w:rPr>
                <w:sz w:val="20"/>
                <w:szCs w:val="20"/>
                <w:lang w:val="en-CA"/>
              </w:rPr>
              <w:t>n/a</w:t>
            </w:r>
          </w:p>
        </w:tc>
        <w:tc>
          <w:tcPr>
            <w:tcW w:w="1119" w:type="dxa"/>
          </w:tcPr>
          <w:p w14:paraId="097FFCA0" w14:textId="77777777" w:rsidR="00881319" w:rsidRPr="00B75955" w:rsidRDefault="00881319" w:rsidP="00881319">
            <w:pPr>
              <w:jc w:val="right"/>
              <w:rPr>
                <w:sz w:val="20"/>
                <w:szCs w:val="20"/>
                <w:lang w:val="en-CA"/>
              </w:rPr>
            </w:pPr>
            <w:r w:rsidRPr="00B75955">
              <w:rPr>
                <w:sz w:val="20"/>
                <w:szCs w:val="20"/>
                <w:lang w:val="en-CA"/>
              </w:rPr>
              <w:t>n/a</w:t>
            </w:r>
          </w:p>
        </w:tc>
      </w:tr>
      <w:tr w:rsidR="00881319" w:rsidRPr="00B75955" w14:paraId="7AC16F9F" w14:textId="77777777" w:rsidTr="00881319">
        <w:tc>
          <w:tcPr>
            <w:tcW w:w="1528" w:type="dxa"/>
          </w:tcPr>
          <w:p w14:paraId="5E6BA91A" w14:textId="77777777" w:rsidR="00881319" w:rsidRPr="00B75955" w:rsidRDefault="00881319" w:rsidP="00881319">
            <w:pPr>
              <w:rPr>
                <w:sz w:val="20"/>
                <w:szCs w:val="20"/>
                <w:lang w:val="en-CA"/>
              </w:rPr>
            </w:pPr>
            <w:r w:rsidRPr="00B75955">
              <w:rPr>
                <w:sz w:val="20"/>
                <w:szCs w:val="20"/>
                <w:lang w:val="en-CA"/>
              </w:rPr>
              <w:t>Solvent sector</w:t>
            </w:r>
          </w:p>
        </w:tc>
        <w:tc>
          <w:tcPr>
            <w:tcW w:w="1116" w:type="dxa"/>
            <w:gridSpan w:val="2"/>
          </w:tcPr>
          <w:p w14:paraId="63432508" w14:textId="77777777" w:rsidR="00881319" w:rsidRPr="00B75955" w:rsidRDefault="00881319" w:rsidP="00881319">
            <w:pPr>
              <w:jc w:val="right"/>
              <w:rPr>
                <w:sz w:val="20"/>
                <w:szCs w:val="20"/>
                <w:lang w:val="en-CA"/>
              </w:rPr>
            </w:pPr>
            <w:r w:rsidRPr="00B75955">
              <w:rPr>
                <w:sz w:val="20"/>
                <w:szCs w:val="20"/>
                <w:lang w:val="en-CA"/>
              </w:rPr>
              <w:t>455.2</w:t>
            </w:r>
          </w:p>
        </w:tc>
        <w:tc>
          <w:tcPr>
            <w:tcW w:w="1119" w:type="dxa"/>
            <w:gridSpan w:val="2"/>
          </w:tcPr>
          <w:p w14:paraId="21F094E6" w14:textId="77777777" w:rsidR="00881319" w:rsidRPr="00B75955" w:rsidRDefault="00881319" w:rsidP="00881319">
            <w:pPr>
              <w:jc w:val="right"/>
              <w:rPr>
                <w:sz w:val="20"/>
                <w:szCs w:val="20"/>
                <w:lang w:val="en-CA"/>
              </w:rPr>
            </w:pPr>
            <w:r w:rsidRPr="00B75955">
              <w:rPr>
                <w:sz w:val="20"/>
                <w:szCs w:val="20"/>
                <w:lang w:val="en-CA"/>
              </w:rPr>
              <w:t>395.4</w:t>
            </w:r>
          </w:p>
        </w:tc>
        <w:tc>
          <w:tcPr>
            <w:tcW w:w="1118" w:type="dxa"/>
            <w:gridSpan w:val="2"/>
          </w:tcPr>
          <w:p w14:paraId="258D1219" w14:textId="77777777" w:rsidR="00881319" w:rsidRPr="00B75955" w:rsidRDefault="00881319" w:rsidP="00881319">
            <w:pPr>
              <w:jc w:val="right"/>
              <w:rPr>
                <w:sz w:val="20"/>
                <w:szCs w:val="20"/>
                <w:lang w:val="en-CA"/>
              </w:rPr>
            </w:pPr>
            <w:r w:rsidRPr="00B75955">
              <w:rPr>
                <w:sz w:val="20"/>
                <w:szCs w:val="20"/>
                <w:lang w:val="en-CA"/>
              </w:rPr>
              <w:t>321.2</w:t>
            </w:r>
          </w:p>
        </w:tc>
        <w:tc>
          <w:tcPr>
            <w:tcW w:w="1119" w:type="dxa"/>
            <w:gridSpan w:val="2"/>
          </w:tcPr>
          <w:p w14:paraId="2FFC1B0E" w14:textId="77777777" w:rsidR="00881319" w:rsidRPr="00B75955" w:rsidRDefault="00881319" w:rsidP="00881319">
            <w:pPr>
              <w:jc w:val="right"/>
              <w:rPr>
                <w:sz w:val="20"/>
                <w:szCs w:val="20"/>
                <w:lang w:val="en-CA"/>
              </w:rPr>
            </w:pPr>
            <w:r w:rsidRPr="00B75955">
              <w:rPr>
                <w:sz w:val="20"/>
                <w:szCs w:val="20"/>
                <w:lang w:val="en-CA"/>
              </w:rPr>
              <w:t>321.2</w:t>
            </w:r>
          </w:p>
        </w:tc>
        <w:tc>
          <w:tcPr>
            <w:tcW w:w="1122" w:type="dxa"/>
            <w:gridSpan w:val="2"/>
          </w:tcPr>
          <w:p w14:paraId="75A6B6FC" w14:textId="77777777" w:rsidR="00881319" w:rsidRPr="00B75955" w:rsidRDefault="00881319" w:rsidP="00881319">
            <w:pPr>
              <w:jc w:val="right"/>
              <w:rPr>
                <w:sz w:val="20"/>
                <w:szCs w:val="20"/>
                <w:lang w:val="en-CA"/>
              </w:rPr>
            </w:pPr>
            <w:r w:rsidRPr="00B75955">
              <w:rPr>
                <w:sz w:val="20"/>
                <w:szCs w:val="20"/>
                <w:lang w:val="en-CA"/>
              </w:rPr>
              <w:t>148.3</w:t>
            </w:r>
          </w:p>
        </w:tc>
        <w:tc>
          <w:tcPr>
            <w:tcW w:w="1119" w:type="dxa"/>
            <w:gridSpan w:val="2"/>
          </w:tcPr>
          <w:p w14:paraId="17C6C5A7" w14:textId="77777777" w:rsidR="00881319" w:rsidRPr="00B75955" w:rsidRDefault="00881319" w:rsidP="00881319">
            <w:pPr>
              <w:jc w:val="right"/>
              <w:rPr>
                <w:sz w:val="20"/>
                <w:szCs w:val="20"/>
                <w:lang w:val="en-CA"/>
              </w:rPr>
            </w:pPr>
            <w:r w:rsidRPr="00B75955">
              <w:rPr>
                <w:sz w:val="20"/>
                <w:szCs w:val="20"/>
                <w:lang w:val="en-CA"/>
              </w:rPr>
              <w:t>55.0</w:t>
            </w:r>
          </w:p>
        </w:tc>
        <w:tc>
          <w:tcPr>
            <w:tcW w:w="1119" w:type="dxa"/>
          </w:tcPr>
          <w:p w14:paraId="3F9964EB" w14:textId="77777777" w:rsidR="00881319" w:rsidRPr="00B75955" w:rsidRDefault="00881319" w:rsidP="00881319">
            <w:pPr>
              <w:jc w:val="right"/>
              <w:rPr>
                <w:sz w:val="20"/>
                <w:szCs w:val="20"/>
                <w:lang w:val="en-CA"/>
              </w:rPr>
            </w:pPr>
            <w:r w:rsidRPr="00B75955">
              <w:rPr>
                <w:sz w:val="20"/>
                <w:szCs w:val="20"/>
                <w:lang w:val="en-CA"/>
              </w:rPr>
              <w:t>0.0</w:t>
            </w:r>
          </w:p>
        </w:tc>
      </w:tr>
      <w:tr w:rsidR="00881319" w:rsidRPr="00B75955" w14:paraId="65F3CC51" w14:textId="77777777" w:rsidTr="00881319">
        <w:tc>
          <w:tcPr>
            <w:tcW w:w="1528" w:type="dxa"/>
          </w:tcPr>
          <w:p w14:paraId="69E4284F" w14:textId="77777777" w:rsidR="00881319" w:rsidRPr="00B75955" w:rsidRDefault="00881319" w:rsidP="00881319">
            <w:pPr>
              <w:rPr>
                <w:sz w:val="20"/>
                <w:szCs w:val="20"/>
                <w:lang w:val="en-CA"/>
              </w:rPr>
            </w:pPr>
            <w:r w:rsidRPr="00B75955">
              <w:rPr>
                <w:sz w:val="20"/>
                <w:szCs w:val="20"/>
                <w:lang w:val="en-CA"/>
              </w:rPr>
              <w:t>Servicing sector</w:t>
            </w:r>
          </w:p>
        </w:tc>
        <w:tc>
          <w:tcPr>
            <w:tcW w:w="1116" w:type="dxa"/>
            <w:gridSpan w:val="2"/>
          </w:tcPr>
          <w:p w14:paraId="70EB6126" w14:textId="77777777" w:rsidR="00881319" w:rsidRPr="00B75955" w:rsidRDefault="00881319" w:rsidP="00881319">
            <w:pPr>
              <w:jc w:val="right"/>
              <w:rPr>
                <w:sz w:val="20"/>
                <w:szCs w:val="20"/>
                <w:lang w:val="en-CA"/>
              </w:rPr>
            </w:pPr>
            <w:r w:rsidRPr="00B75955">
              <w:rPr>
                <w:sz w:val="20"/>
                <w:szCs w:val="20"/>
                <w:lang w:val="en-CA"/>
              </w:rPr>
              <w:t>n/a</w:t>
            </w:r>
          </w:p>
        </w:tc>
        <w:tc>
          <w:tcPr>
            <w:tcW w:w="1119" w:type="dxa"/>
            <w:gridSpan w:val="2"/>
          </w:tcPr>
          <w:p w14:paraId="10FAD1B7" w14:textId="77777777" w:rsidR="00881319" w:rsidRPr="00B75955" w:rsidRDefault="00881319" w:rsidP="00881319">
            <w:pPr>
              <w:jc w:val="right"/>
              <w:rPr>
                <w:sz w:val="20"/>
                <w:szCs w:val="20"/>
                <w:lang w:val="en-CA"/>
              </w:rPr>
            </w:pPr>
            <w:r w:rsidRPr="00B75955">
              <w:rPr>
                <w:sz w:val="20"/>
                <w:szCs w:val="20"/>
                <w:lang w:val="en-CA"/>
              </w:rPr>
              <w:t>n/a</w:t>
            </w:r>
          </w:p>
        </w:tc>
        <w:tc>
          <w:tcPr>
            <w:tcW w:w="1118" w:type="dxa"/>
            <w:gridSpan w:val="2"/>
          </w:tcPr>
          <w:p w14:paraId="014C03F8" w14:textId="77777777" w:rsidR="00881319" w:rsidRPr="00B75955" w:rsidRDefault="00881319" w:rsidP="00881319">
            <w:pPr>
              <w:jc w:val="right"/>
              <w:rPr>
                <w:sz w:val="20"/>
                <w:szCs w:val="20"/>
                <w:lang w:val="en-CA"/>
              </w:rPr>
            </w:pPr>
            <w:r w:rsidRPr="00B75955">
              <w:rPr>
                <w:sz w:val="20"/>
                <w:szCs w:val="20"/>
                <w:lang w:val="en-CA"/>
              </w:rPr>
              <w:t>n/a</w:t>
            </w:r>
          </w:p>
        </w:tc>
        <w:tc>
          <w:tcPr>
            <w:tcW w:w="1119" w:type="dxa"/>
            <w:gridSpan w:val="2"/>
          </w:tcPr>
          <w:p w14:paraId="5C40F432" w14:textId="77777777" w:rsidR="00881319" w:rsidRPr="00B75955" w:rsidRDefault="00881319" w:rsidP="00881319">
            <w:pPr>
              <w:jc w:val="right"/>
              <w:rPr>
                <w:sz w:val="20"/>
                <w:szCs w:val="20"/>
                <w:lang w:val="en-CA"/>
              </w:rPr>
            </w:pPr>
            <w:r w:rsidRPr="00B75955">
              <w:rPr>
                <w:sz w:val="20"/>
                <w:szCs w:val="20"/>
                <w:lang w:val="en-CA"/>
              </w:rPr>
              <w:t>n/a</w:t>
            </w:r>
          </w:p>
        </w:tc>
        <w:tc>
          <w:tcPr>
            <w:tcW w:w="1122" w:type="dxa"/>
            <w:gridSpan w:val="2"/>
          </w:tcPr>
          <w:p w14:paraId="42E4F75C" w14:textId="77777777" w:rsidR="00881319" w:rsidRPr="00B75955" w:rsidRDefault="00881319" w:rsidP="00881319">
            <w:pPr>
              <w:jc w:val="right"/>
              <w:rPr>
                <w:sz w:val="20"/>
                <w:szCs w:val="20"/>
                <w:lang w:val="en-CA"/>
              </w:rPr>
            </w:pPr>
            <w:r w:rsidRPr="00B75955">
              <w:rPr>
                <w:sz w:val="20"/>
                <w:szCs w:val="20"/>
                <w:lang w:val="en-CA"/>
              </w:rPr>
              <w:t>n/a</w:t>
            </w:r>
          </w:p>
        </w:tc>
        <w:tc>
          <w:tcPr>
            <w:tcW w:w="1119" w:type="dxa"/>
            <w:gridSpan w:val="2"/>
          </w:tcPr>
          <w:p w14:paraId="64F25784" w14:textId="77777777" w:rsidR="00881319" w:rsidRPr="00B75955" w:rsidRDefault="00881319" w:rsidP="00881319">
            <w:pPr>
              <w:jc w:val="right"/>
              <w:rPr>
                <w:sz w:val="20"/>
                <w:szCs w:val="20"/>
                <w:lang w:val="en-CA"/>
              </w:rPr>
            </w:pPr>
            <w:r w:rsidRPr="00B75955">
              <w:rPr>
                <w:sz w:val="20"/>
                <w:szCs w:val="20"/>
                <w:lang w:val="en-CA"/>
              </w:rPr>
              <w:t>n/a</w:t>
            </w:r>
          </w:p>
        </w:tc>
        <w:tc>
          <w:tcPr>
            <w:tcW w:w="1119" w:type="dxa"/>
          </w:tcPr>
          <w:p w14:paraId="40144DA7" w14:textId="77777777" w:rsidR="00881319" w:rsidRPr="00B75955" w:rsidRDefault="00881319" w:rsidP="00881319">
            <w:pPr>
              <w:jc w:val="right"/>
              <w:rPr>
                <w:sz w:val="20"/>
                <w:szCs w:val="20"/>
                <w:lang w:val="en-CA"/>
              </w:rPr>
            </w:pPr>
            <w:r w:rsidRPr="00B75955">
              <w:rPr>
                <w:sz w:val="20"/>
                <w:szCs w:val="20"/>
                <w:lang w:val="en-CA"/>
              </w:rPr>
              <w:t>n/a</w:t>
            </w:r>
          </w:p>
        </w:tc>
      </w:tr>
      <w:tr w:rsidR="00881319" w:rsidRPr="00B75955" w14:paraId="6B74812F" w14:textId="77777777" w:rsidTr="00881319">
        <w:tc>
          <w:tcPr>
            <w:tcW w:w="9360" w:type="dxa"/>
            <w:gridSpan w:val="14"/>
          </w:tcPr>
          <w:p w14:paraId="54F238A9" w14:textId="77777777" w:rsidR="00881319" w:rsidRPr="00B75955" w:rsidRDefault="00881319" w:rsidP="00881319">
            <w:pPr>
              <w:keepNext/>
              <w:keepLines/>
              <w:jc w:val="center"/>
              <w:rPr>
                <w:b/>
                <w:sz w:val="20"/>
                <w:szCs w:val="20"/>
                <w:lang w:val="en-CA"/>
              </w:rPr>
            </w:pPr>
            <w:r w:rsidRPr="00B75955">
              <w:rPr>
                <w:b/>
                <w:sz w:val="20"/>
                <w:szCs w:val="20"/>
                <w:lang w:val="en-CA"/>
              </w:rPr>
              <w:t>Phase-out by sector</w:t>
            </w:r>
          </w:p>
        </w:tc>
      </w:tr>
      <w:tr w:rsidR="00881319" w:rsidRPr="00B75955" w14:paraId="0D66F910" w14:textId="77777777" w:rsidTr="00881319">
        <w:tc>
          <w:tcPr>
            <w:tcW w:w="1921" w:type="dxa"/>
            <w:gridSpan w:val="2"/>
          </w:tcPr>
          <w:p w14:paraId="6F8CE773" w14:textId="77777777" w:rsidR="00881319" w:rsidRPr="00B75955" w:rsidRDefault="00881319" w:rsidP="00881319">
            <w:pPr>
              <w:rPr>
                <w:sz w:val="20"/>
                <w:szCs w:val="20"/>
                <w:lang w:val="en-CA"/>
              </w:rPr>
            </w:pPr>
          </w:p>
        </w:tc>
        <w:tc>
          <w:tcPr>
            <w:tcW w:w="1239" w:type="dxa"/>
            <w:gridSpan w:val="2"/>
          </w:tcPr>
          <w:p w14:paraId="0B981EE4" w14:textId="77777777" w:rsidR="00881319" w:rsidRPr="00B75955" w:rsidRDefault="00881319" w:rsidP="00881319">
            <w:pPr>
              <w:jc w:val="center"/>
              <w:rPr>
                <w:b/>
                <w:sz w:val="20"/>
                <w:szCs w:val="20"/>
                <w:lang w:val="en-CA"/>
              </w:rPr>
            </w:pPr>
            <w:r w:rsidRPr="00B75955">
              <w:rPr>
                <w:b/>
                <w:sz w:val="20"/>
                <w:szCs w:val="20"/>
                <w:lang w:val="en-CA"/>
              </w:rPr>
              <w:t>2018</w:t>
            </w:r>
          </w:p>
        </w:tc>
        <w:tc>
          <w:tcPr>
            <w:tcW w:w="1240" w:type="dxa"/>
            <w:gridSpan w:val="2"/>
          </w:tcPr>
          <w:p w14:paraId="65E5CAE5" w14:textId="77777777" w:rsidR="00881319" w:rsidRPr="00B75955" w:rsidRDefault="00881319" w:rsidP="00881319">
            <w:pPr>
              <w:keepNext/>
              <w:keepLines/>
              <w:jc w:val="center"/>
              <w:rPr>
                <w:b/>
                <w:sz w:val="20"/>
                <w:szCs w:val="20"/>
                <w:lang w:val="en-CA"/>
              </w:rPr>
            </w:pPr>
            <w:r w:rsidRPr="00B75955">
              <w:rPr>
                <w:b/>
                <w:sz w:val="20"/>
                <w:szCs w:val="20"/>
                <w:lang w:val="en-CA"/>
              </w:rPr>
              <w:t>2020</w:t>
            </w:r>
          </w:p>
        </w:tc>
        <w:tc>
          <w:tcPr>
            <w:tcW w:w="1240" w:type="dxa"/>
            <w:gridSpan w:val="2"/>
          </w:tcPr>
          <w:p w14:paraId="3BA5AAA1" w14:textId="77777777" w:rsidR="00881319" w:rsidRPr="00B75955" w:rsidRDefault="00881319" w:rsidP="00881319">
            <w:pPr>
              <w:jc w:val="center"/>
              <w:rPr>
                <w:b/>
                <w:sz w:val="20"/>
                <w:szCs w:val="20"/>
                <w:lang w:val="en-CA"/>
              </w:rPr>
            </w:pPr>
            <w:r w:rsidRPr="00B75955">
              <w:rPr>
                <w:b/>
                <w:sz w:val="20"/>
                <w:szCs w:val="20"/>
                <w:lang w:val="en-CA"/>
              </w:rPr>
              <w:t>2023</w:t>
            </w:r>
          </w:p>
        </w:tc>
        <w:tc>
          <w:tcPr>
            <w:tcW w:w="1240" w:type="dxa"/>
            <w:gridSpan w:val="2"/>
          </w:tcPr>
          <w:p w14:paraId="5D8FAA7E" w14:textId="77777777" w:rsidR="00881319" w:rsidRPr="00B75955" w:rsidRDefault="00881319" w:rsidP="00881319">
            <w:pPr>
              <w:jc w:val="center"/>
              <w:rPr>
                <w:b/>
                <w:sz w:val="20"/>
                <w:szCs w:val="20"/>
                <w:lang w:val="en-CA"/>
              </w:rPr>
            </w:pPr>
            <w:r w:rsidRPr="00B75955">
              <w:rPr>
                <w:b/>
                <w:sz w:val="20"/>
                <w:szCs w:val="20"/>
                <w:lang w:val="en-CA"/>
              </w:rPr>
              <w:t>2025</w:t>
            </w:r>
          </w:p>
        </w:tc>
        <w:tc>
          <w:tcPr>
            <w:tcW w:w="1240" w:type="dxa"/>
            <w:gridSpan w:val="2"/>
          </w:tcPr>
          <w:p w14:paraId="6B8C92F7" w14:textId="77777777" w:rsidR="00881319" w:rsidRPr="00B75955" w:rsidRDefault="00881319" w:rsidP="00881319">
            <w:pPr>
              <w:jc w:val="center"/>
              <w:rPr>
                <w:b/>
                <w:sz w:val="20"/>
                <w:szCs w:val="20"/>
                <w:lang w:val="en-CA"/>
              </w:rPr>
            </w:pPr>
            <w:r w:rsidRPr="00B75955">
              <w:rPr>
                <w:b/>
                <w:sz w:val="20"/>
                <w:szCs w:val="20"/>
                <w:lang w:val="en-CA"/>
              </w:rPr>
              <w:t>2026</w:t>
            </w:r>
          </w:p>
        </w:tc>
        <w:tc>
          <w:tcPr>
            <w:tcW w:w="1240" w:type="dxa"/>
            <w:gridSpan w:val="2"/>
          </w:tcPr>
          <w:p w14:paraId="0AEEFCDA" w14:textId="77777777" w:rsidR="00881319" w:rsidRPr="00B75955" w:rsidRDefault="00881319" w:rsidP="00881319">
            <w:pPr>
              <w:jc w:val="center"/>
              <w:rPr>
                <w:b/>
                <w:sz w:val="20"/>
                <w:szCs w:val="20"/>
                <w:lang w:val="en-CA"/>
              </w:rPr>
            </w:pPr>
            <w:r w:rsidRPr="00B75955">
              <w:rPr>
                <w:b/>
                <w:sz w:val="20"/>
                <w:szCs w:val="20"/>
                <w:lang w:val="en-CA"/>
              </w:rPr>
              <w:t>Total</w:t>
            </w:r>
          </w:p>
        </w:tc>
      </w:tr>
      <w:tr w:rsidR="00881319" w:rsidRPr="00B75955" w14:paraId="648A23FB" w14:textId="77777777" w:rsidTr="00881319">
        <w:tc>
          <w:tcPr>
            <w:tcW w:w="1921" w:type="dxa"/>
            <w:gridSpan w:val="2"/>
          </w:tcPr>
          <w:p w14:paraId="426D8153" w14:textId="77777777" w:rsidR="00881319" w:rsidRPr="00B75955" w:rsidRDefault="00881319" w:rsidP="00881319">
            <w:pPr>
              <w:rPr>
                <w:b/>
                <w:sz w:val="20"/>
                <w:szCs w:val="20"/>
                <w:lang w:val="en-CA"/>
              </w:rPr>
            </w:pPr>
            <w:r w:rsidRPr="00B75955">
              <w:rPr>
                <w:sz w:val="20"/>
                <w:szCs w:val="20"/>
                <w:lang w:val="en-CA"/>
              </w:rPr>
              <w:t>XPS</w:t>
            </w:r>
          </w:p>
        </w:tc>
        <w:tc>
          <w:tcPr>
            <w:tcW w:w="1239" w:type="dxa"/>
            <w:gridSpan w:val="2"/>
          </w:tcPr>
          <w:p w14:paraId="7E0734ED" w14:textId="77777777" w:rsidR="00881319" w:rsidRPr="00B75955" w:rsidRDefault="00881319" w:rsidP="00881319">
            <w:pPr>
              <w:jc w:val="right"/>
              <w:rPr>
                <w:sz w:val="20"/>
                <w:szCs w:val="20"/>
                <w:lang w:val="en-CA"/>
              </w:rPr>
            </w:pPr>
            <w:r w:rsidRPr="00B75955">
              <w:rPr>
                <w:sz w:val="20"/>
                <w:szCs w:val="20"/>
                <w:lang w:val="en-CA"/>
              </w:rPr>
              <w:t>254.0</w:t>
            </w:r>
          </w:p>
        </w:tc>
        <w:tc>
          <w:tcPr>
            <w:tcW w:w="1240" w:type="dxa"/>
            <w:gridSpan w:val="2"/>
          </w:tcPr>
          <w:p w14:paraId="758657E3" w14:textId="77777777" w:rsidR="00881319" w:rsidRPr="00B75955" w:rsidRDefault="00881319" w:rsidP="00881319">
            <w:pPr>
              <w:jc w:val="right"/>
              <w:rPr>
                <w:sz w:val="20"/>
                <w:szCs w:val="20"/>
                <w:lang w:val="en-CA"/>
              </w:rPr>
            </w:pPr>
            <w:r w:rsidRPr="00B75955">
              <w:rPr>
                <w:sz w:val="20"/>
                <w:szCs w:val="20"/>
                <w:lang w:val="en-CA"/>
              </w:rPr>
              <w:t>635.0</w:t>
            </w:r>
          </w:p>
        </w:tc>
        <w:tc>
          <w:tcPr>
            <w:tcW w:w="1240" w:type="dxa"/>
            <w:gridSpan w:val="2"/>
          </w:tcPr>
          <w:p w14:paraId="3DE69FF8" w14:textId="77777777" w:rsidR="00881319" w:rsidRPr="00B75955" w:rsidRDefault="00881319" w:rsidP="00881319">
            <w:pPr>
              <w:jc w:val="right"/>
              <w:rPr>
                <w:sz w:val="20"/>
                <w:szCs w:val="20"/>
                <w:lang w:val="en-CA"/>
              </w:rPr>
            </w:pPr>
            <w:r w:rsidRPr="00B75955">
              <w:rPr>
                <w:sz w:val="20"/>
                <w:szCs w:val="20"/>
                <w:lang w:val="en-CA"/>
              </w:rPr>
              <w:t>635.0</w:t>
            </w:r>
          </w:p>
        </w:tc>
        <w:tc>
          <w:tcPr>
            <w:tcW w:w="1240" w:type="dxa"/>
            <w:gridSpan w:val="2"/>
          </w:tcPr>
          <w:p w14:paraId="5393B45A" w14:textId="77777777" w:rsidR="00881319" w:rsidRPr="00B75955" w:rsidRDefault="00881319" w:rsidP="00881319">
            <w:pPr>
              <w:jc w:val="right"/>
              <w:rPr>
                <w:sz w:val="20"/>
                <w:szCs w:val="20"/>
                <w:lang w:val="en-CA"/>
              </w:rPr>
            </w:pPr>
            <w:r w:rsidRPr="00B75955">
              <w:rPr>
                <w:sz w:val="20"/>
                <w:szCs w:val="20"/>
                <w:lang w:val="en-CA"/>
              </w:rPr>
              <w:t>597.0</w:t>
            </w:r>
          </w:p>
        </w:tc>
        <w:tc>
          <w:tcPr>
            <w:tcW w:w="1240" w:type="dxa"/>
            <w:gridSpan w:val="2"/>
          </w:tcPr>
          <w:p w14:paraId="647AB091" w14:textId="77777777" w:rsidR="00881319" w:rsidRPr="00B75955" w:rsidRDefault="00881319" w:rsidP="00881319">
            <w:pPr>
              <w:jc w:val="right"/>
              <w:rPr>
                <w:sz w:val="20"/>
                <w:szCs w:val="20"/>
                <w:lang w:val="en-CA"/>
              </w:rPr>
            </w:pPr>
            <w:r w:rsidRPr="00B75955">
              <w:rPr>
                <w:sz w:val="20"/>
                <w:szCs w:val="20"/>
                <w:lang w:val="en-CA"/>
              </w:rPr>
              <w:t>165.0</w:t>
            </w:r>
          </w:p>
        </w:tc>
        <w:tc>
          <w:tcPr>
            <w:tcW w:w="1240" w:type="dxa"/>
            <w:gridSpan w:val="2"/>
            <w:vAlign w:val="center"/>
          </w:tcPr>
          <w:p w14:paraId="51D49CA4" w14:textId="77777777" w:rsidR="00881319" w:rsidRPr="00B75955" w:rsidRDefault="00881319" w:rsidP="00881319">
            <w:pPr>
              <w:jc w:val="right"/>
              <w:rPr>
                <w:sz w:val="20"/>
                <w:szCs w:val="20"/>
                <w:lang w:val="en-CA"/>
              </w:rPr>
            </w:pPr>
            <w:r w:rsidRPr="00B75955">
              <w:rPr>
                <w:color w:val="000000"/>
                <w:sz w:val="20"/>
                <w:szCs w:val="20"/>
                <w:lang w:val="en-CA"/>
              </w:rPr>
              <w:t>2,286</w:t>
            </w:r>
          </w:p>
        </w:tc>
      </w:tr>
      <w:tr w:rsidR="00881319" w:rsidRPr="00B75955" w14:paraId="64B49A49" w14:textId="77777777" w:rsidTr="00881319">
        <w:tc>
          <w:tcPr>
            <w:tcW w:w="1921" w:type="dxa"/>
            <w:gridSpan w:val="2"/>
          </w:tcPr>
          <w:p w14:paraId="22933D4F" w14:textId="77777777" w:rsidR="00881319" w:rsidRPr="00B75955" w:rsidRDefault="00881319" w:rsidP="00881319">
            <w:pPr>
              <w:rPr>
                <w:b/>
                <w:sz w:val="20"/>
                <w:szCs w:val="20"/>
                <w:lang w:val="en-CA"/>
              </w:rPr>
            </w:pPr>
            <w:r w:rsidRPr="00B75955">
              <w:rPr>
                <w:sz w:val="20"/>
                <w:szCs w:val="20"/>
                <w:lang w:val="en-CA"/>
              </w:rPr>
              <w:t>PU</w:t>
            </w:r>
          </w:p>
        </w:tc>
        <w:tc>
          <w:tcPr>
            <w:tcW w:w="1239" w:type="dxa"/>
            <w:gridSpan w:val="2"/>
          </w:tcPr>
          <w:p w14:paraId="05A3D379" w14:textId="77777777" w:rsidR="00881319" w:rsidRPr="00B75955" w:rsidRDefault="00881319" w:rsidP="00881319">
            <w:pPr>
              <w:jc w:val="right"/>
              <w:rPr>
                <w:sz w:val="20"/>
                <w:szCs w:val="20"/>
                <w:lang w:val="en-CA"/>
              </w:rPr>
            </w:pPr>
            <w:r w:rsidRPr="00B75955">
              <w:rPr>
                <w:sz w:val="20"/>
                <w:szCs w:val="20"/>
                <w:lang w:val="en-CA"/>
              </w:rPr>
              <w:t>675.1</w:t>
            </w:r>
          </w:p>
        </w:tc>
        <w:tc>
          <w:tcPr>
            <w:tcW w:w="1240" w:type="dxa"/>
            <w:gridSpan w:val="2"/>
          </w:tcPr>
          <w:p w14:paraId="78F47F47" w14:textId="77777777" w:rsidR="00881319" w:rsidRPr="00B75955" w:rsidRDefault="00881319" w:rsidP="00881319">
            <w:pPr>
              <w:jc w:val="right"/>
              <w:rPr>
                <w:sz w:val="20"/>
                <w:szCs w:val="20"/>
                <w:lang w:val="en-CA"/>
              </w:rPr>
            </w:pPr>
            <w:r w:rsidRPr="00B75955">
              <w:rPr>
                <w:sz w:val="20"/>
                <w:szCs w:val="20"/>
                <w:lang w:val="en-CA"/>
              </w:rPr>
              <w:t>808.8</w:t>
            </w:r>
          </w:p>
        </w:tc>
        <w:tc>
          <w:tcPr>
            <w:tcW w:w="1240" w:type="dxa"/>
            <w:gridSpan w:val="2"/>
          </w:tcPr>
          <w:p w14:paraId="56C3BB15" w14:textId="77777777" w:rsidR="00881319" w:rsidRPr="00B75955" w:rsidRDefault="00881319" w:rsidP="00881319">
            <w:pPr>
              <w:jc w:val="right"/>
              <w:rPr>
                <w:sz w:val="20"/>
                <w:szCs w:val="20"/>
                <w:lang w:val="en-CA"/>
              </w:rPr>
            </w:pPr>
            <w:r w:rsidRPr="00B75955">
              <w:rPr>
                <w:sz w:val="20"/>
                <w:szCs w:val="20"/>
                <w:lang w:val="en-CA"/>
              </w:rPr>
              <w:t>1,887.3</w:t>
            </w:r>
          </w:p>
        </w:tc>
        <w:tc>
          <w:tcPr>
            <w:tcW w:w="1240" w:type="dxa"/>
            <w:gridSpan w:val="2"/>
          </w:tcPr>
          <w:p w14:paraId="2DECEADF" w14:textId="77777777" w:rsidR="00881319" w:rsidRPr="00B75955" w:rsidRDefault="00881319" w:rsidP="00881319">
            <w:pPr>
              <w:jc w:val="right"/>
              <w:rPr>
                <w:sz w:val="20"/>
                <w:szCs w:val="20"/>
                <w:lang w:val="en-CA"/>
              </w:rPr>
            </w:pPr>
            <w:r w:rsidRPr="00B75955">
              <w:rPr>
                <w:sz w:val="20"/>
                <w:szCs w:val="20"/>
                <w:lang w:val="en-CA"/>
              </w:rPr>
              <w:t>748.4</w:t>
            </w:r>
          </w:p>
        </w:tc>
        <w:tc>
          <w:tcPr>
            <w:tcW w:w="1240" w:type="dxa"/>
            <w:gridSpan w:val="2"/>
          </w:tcPr>
          <w:p w14:paraId="74FB4978" w14:textId="77777777" w:rsidR="00881319" w:rsidRPr="00B75955" w:rsidRDefault="00881319" w:rsidP="00881319">
            <w:pPr>
              <w:jc w:val="right"/>
              <w:rPr>
                <w:sz w:val="20"/>
                <w:szCs w:val="20"/>
                <w:lang w:val="en-CA"/>
              </w:rPr>
            </w:pPr>
            <w:r w:rsidRPr="00B75955">
              <w:rPr>
                <w:sz w:val="20"/>
                <w:szCs w:val="20"/>
                <w:lang w:val="en-CA"/>
              </w:rPr>
              <w:t>330.0</w:t>
            </w:r>
          </w:p>
        </w:tc>
        <w:tc>
          <w:tcPr>
            <w:tcW w:w="1240" w:type="dxa"/>
            <w:gridSpan w:val="2"/>
            <w:vAlign w:val="center"/>
          </w:tcPr>
          <w:p w14:paraId="673E8657" w14:textId="77777777" w:rsidR="00881319" w:rsidRPr="00B75955" w:rsidRDefault="00881319" w:rsidP="00881319">
            <w:pPr>
              <w:jc w:val="right"/>
              <w:rPr>
                <w:sz w:val="20"/>
                <w:szCs w:val="20"/>
                <w:lang w:val="en-CA"/>
              </w:rPr>
            </w:pPr>
            <w:r w:rsidRPr="00B75955">
              <w:rPr>
                <w:color w:val="000000"/>
                <w:sz w:val="20"/>
                <w:szCs w:val="20"/>
                <w:lang w:val="en-CA"/>
              </w:rPr>
              <w:t>4,449.6</w:t>
            </w:r>
          </w:p>
        </w:tc>
      </w:tr>
      <w:tr w:rsidR="00881319" w:rsidRPr="00B75955" w14:paraId="002C9C2D" w14:textId="77777777" w:rsidTr="00881319">
        <w:tc>
          <w:tcPr>
            <w:tcW w:w="1921" w:type="dxa"/>
            <w:gridSpan w:val="2"/>
          </w:tcPr>
          <w:p w14:paraId="7F8FC4D2" w14:textId="77777777" w:rsidR="00881319" w:rsidRPr="00B75955" w:rsidRDefault="00881319" w:rsidP="00881319">
            <w:pPr>
              <w:rPr>
                <w:b/>
                <w:sz w:val="20"/>
                <w:szCs w:val="20"/>
                <w:lang w:val="en-CA"/>
              </w:rPr>
            </w:pPr>
            <w:r w:rsidRPr="00B75955">
              <w:rPr>
                <w:sz w:val="20"/>
                <w:szCs w:val="20"/>
                <w:lang w:val="en-CA"/>
              </w:rPr>
              <w:t>ICR</w:t>
            </w:r>
          </w:p>
        </w:tc>
        <w:tc>
          <w:tcPr>
            <w:tcW w:w="1239" w:type="dxa"/>
            <w:gridSpan w:val="2"/>
          </w:tcPr>
          <w:p w14:paraId="497EB87B" w14:textId="77777777" w:rsidR="00881319" w:rsidRPr="00B75955" w:rsidRDefault="00881319" w:rsidP="00881319">
            <w:pPr>
              <w:jc w:val="right"/>
              <w:rPr>
                <w:sz w:val="20"/>
                <w:szCs w:val="20"/>
                <w:lang w:val="en-CA"/>
              </w:rPr>
            </w:pPr>
            <w:r w:rsidRPr="00B75955">
              <w:rPr>
                <w:sz w:val="20"/>
                <w:szCs w:val="20"/>
                <w:lang w:val="en-CA"/>
              </w:rPr>
              <w:t>120.1</w:t>
            </w:r>
          </w:p>
        </w:tc>
        <w:tc>
          <w:tcPr>
            <w:tcW w:w="1240" w:type="dxa"/>
            <w:gridSpan w:val="2"/>
          </w:tcPr>
          <w:p w14:paraId="1D781AD5" w14:textId="77777777" w:rsidR="00881319" w:rsidRPr="00B75955" w:rsidRDefault="00881319" w:rsidP="00881319">
            <w:pPr>
              <w:jc w:val="right"/>
              <w:rPr>
                <w:sz w:val="20"/>
                <w:szCs w:val="20"/>
                <w:lang w:val="en-CA"/>
              </w:rPr>
            </w:pPr>
            <w:r w:rsidRPr="00B75955">
              <w:rPr>
                <w:sz w:val="20"/>
                <w:szCs w:val="20"/>
                <w:lang w:val="en-CA"/>
              </w:rPr>
              <w:t>432.5</w:t>
            </w:r>
          </w:p>
        </w:tc>
        <w:tc>
          <w:tcPr>
            <w:tcW w:w="1240" w:type="dxa"/>
            <w:gridSpan w:val="2"/>
          </w:tcPr>
          <w:p w14:paraId="23AA102F" w14:textId="77777777" w:rsidR="00881319" w:rsidRPr="00B75955" w:rsidRDefault="00881319" w:rsidP="00881319">
            <w:pPr>
              <w:jc w:val="right"/>
              <w:rPr>
                <w:sz w:val="20"/>
                <w:szCs w:val="20"/>
                <w:lang w:val="en-CA"/>
              </w:rPr>
            </w:pPr>
            <w:r w:rsidRPr="00B75955">
              <w:rPr>
                <w:sz w:val="20"/>
                <w:szCs w:val="20"/>
                <w:lang w:val="en-CA"/>
              </w:rPr>
              <w:t xml:space="preserve">n/a </w:t>
            </w:r>
          </w:p>
        </w:tc>
        <w:tc>
          <w:tcPr>
            <w:tcW w:w="1240" w:type="dxa"/>
            <w:gridSpan w:val="2"/>
          </w:tcPr>
          <w:p w14:paraId="4E3B9465" w14:textId="77777777" w:rsidR="00881319" w:rsidRPr="00B75955" w:rsidRDefault="00881319" w:rsidP="00881319">
            <w:pPr>
              <w:jc w:val="right"/>
              <w:rPr>
                <w:sz w:val="20"/>
                <w:szCs w:val="20"/>
                <w:lang w:val="en-CA"/>
              </w:rPr>
            </w:pPr>
            <w:r w:rsidRPr="00B75955">
              <w:rPr>
                <w:sz w:val="20"/>
                <w:szCs w:val="20"/>
                <w:lang w:val="en-CA"/>
              </w:rPr>
              <w:t>n/a</w:t>
            </w:r>
          </w:p>
        </w:tc>
        <w:tc>
          <w:tcPr>
            <w:tcW w:w="1240" w:type="dxa"/>
            <w:gridSpan w:val="2"/>
          </w:tcPr>
          <w:p w14:paraId="5EB8BECE" w14:textId="77777777" w:rsidR="00881319" w:rsidRPr="00B75955" w:rsidRDefault="00881319" w:rsidP="00881319">
            <w:pPr>
              <w:jc w:val="right"/>
              <w:rPr>
                <w:sz w:val="20"/>
                <w:szCs w:val="20"/>
                <w:lang w:val="en-CA"/>
              </w:rPr>
            </w:pPr>
            <w:r w:rsidRPr="00B75955">
              <w:rPr>
                <w:sz w:val="20"/>
                <w:szCs w:val="20"/>
                <w:lang w:val="en-CA"/>
              </w:rPr>
              <w:t>n/a</w:t>
            </w:r>
          </w:p>
        </w:tc>
        <w:tc>
          <w:tcPr>
            <w:tcW w:w="1240" w:type="dxa"/>
            <w:gridSpan w:val="2"/>
            <w:vAlign w:val="center"/>
          </w:tcPr>
          <w:p w14:paraId="707CD60D" w14:textId="77777777" w:rsidR="00881319" w:rsidRPr="00B75955" w:rsidRDefault="00881319" w:rsidP="00881319">
            <w:pPr>
              <w:jc w:val="right"/>
              <w:rPr>
                <w:sz w:val="20"/>
                <w:szCs w:val="20"/>
                <w:lang w:val="en-CA"/>
              </w:rPr>
            </w:pPr>
            <w:r w:rsidRPr="00B75955">
              <w:rPr>
                <w:color w:val="000000"/>
                <w:sz w:val="20"/>
                <w:szCs w:val="20"/>
                <w:lang w:val="en-CA"/>
              </w:rPr>
              <w:t>552.6</w:t>
            </w:r>
          </w:p>
        </w:tc>
      </w:tr>
      <w:tr w:rsidR="00881319" w:rsidRPr="00B75955" w14:paraId="7B1FE35B" w14:textId="77777777" w:rsidTr="00881319">
        <w:tc>
          <w:tcPr>
            <w:tcW w:w="1921" w:type="dxa"/>
            <w:gridSpan w:val="2"/>
          </w:tcPr>
          <w:p w14:paraId="4A7009BE" w14:textId="77777777" w:rsidR="00881319" w:rsidRPr="00B75955" w:rsidRDefault="00881319" w:rsidP="00881319">
            <w:pPr>
              <w:rPr>
                <w:b/>
                <w:sz w:val="20"/>
                <w:szCs w:val="20"/>
                <w:lang w:val="en-CA"/>
              </w:rPr>
            </w:pPr>
            <w:r w:rsidRPr="00B75955">
              <w:rPr>
                <w:sz w:val="20"/>
                <w:szCs w:val="20"/>
                <w:lang w:val="en-CA"/>
              </w:rPr>
              <w:t>RAC</w:t>
            </w:r>
          </w:p>
        </w:tc>
        <w:tc>
          <w:tcPr>
            <w:tcW w:w="1239" w:type="dxa"/>
            <w:gridSpan w:val="2"/>
          </w:tcPr>
          <w:p w14:paraId="47329BFC" w14:textId="77777777" w:rsidR="00881319" w:rsidRPr="00B75955" w:rsidRDefault="00881319" w:rsidP="00881319">
            <w:pPr>
              <w:jc w:val="right"/>
              <w:rPr>
                <w:sz w:val="20"/>
                <w:szCs w:val="20"/>
                <w:lang w:val="en-CA"/>
              </w:rPr>
            </w:pPr>
            <w:r w:rsidRPr="00B75955">
              <w:rPr>
                <w:sz w:val="20"/>
                <w:szCs w:val="20"/>
                <w:lang w:val="en-CA"/>
              </w:rPr>
              <w:t>821.7</w:t>
            </w:r>
          </w:p>
        </w:tc>
        <w:tc>
          <w:tcPr>
            <w:tcW w:w="1240" w:type="dxa"/>
            <w:gridSpan w:val="2"/>
          </w:tcPr>
          <w:p w14:paraId="7B96F23A" w14:textId="77777777" w:rsidR="00881319" w:rsidRPr="00B75955" w:rsidRDefault="00881319" w:rsidP="00881319">
            <w:pPr>
              <w:jc w:val="right"/>
              <w:rPr>
                <w:sz w:val="20"/>
                <w:szCs w:val="20"/>
                <w:lang w:val="en-CA"/>
              </w:rPr>
            </w:pPr>
            <w:r w:rsidRPr="00B75955">
              <w:rPr>
                <w:sz w:val="20"/>
                <w:szCs w:val="20"/>
                <w:lang w:val="en-CA"/>
              </w:rPr>
              <w:t>616.3</w:t>
            </w:r>
          </w:p>
        </w:tc>
        <w:tc>
          <w:tcPr>
            <w:tcW w:w="1240" w:type="dxa"/>
            <w:gridSpan w:val="2"/>
          </w:tcPr>
          <w:p w14:paraId="68D7998C" w14:textId="77777777" w:rsidR="00881319" w:rsidRPr="00B75955" w:rsidRDefault="00881319" w:rsidP="00881319">
            <w:pPr>
              <w:jc w:val="right"/>
              <w:rPr>
                <w:sz w:val="20"/>
                <w:szCs w:val="20"/>
                <w:lang w:val="en-CA"/>
              </w:rPr>
            </w:pPr>
            <w:r w:rsidRPr="00B75955">
              <w:rPr>
                <w:sz w:val="20"/>
                <w:szCs w:val="20"/>
                <w:lang w:val="en-CA"/>
              </w:rPr>
              <w:t>n/a</w:t>
            </w:r>
          </w:p>
        </w:tc>
        <w:tc>
          <w:tcPr>
            <w:tcW w:w="1240" w:type="dxa"/>
            <w:gridSpan w:val="2"/>
          </w:tcPr>
          <w:p w14:paraId="322A8114" w14:textId="77777777" w:rsidR="00881319" w:rsidRPr="00B75955" w:rsidRDefault="00881319" w:rsidP="00881319">
            <w:pPr>
              <w:jc w:val="right"/>
              <w:rPr>
                <w:sz w:val="20"/>
                <w:szCs w:val="20"/>
                <w:lang w:val="en-CA"/>
              </w:rPr>
            </w:pPr>
            <w:r w:rsidRPr="00B75955">
              <w:rPr>
                <w:sz w:val="20"/>
                <w:szCs w:val="20"/>
                <w:lang w:val="en-CA"/>
              </w:rPr>
              <w:t>n/a</w:t>
            </w:r>
          </w:p>
        </w:tc>
        <w:tc>
          <w:tcPr>
            <w:tcW w:w="1240" w:type="dxa"/>
            <w:gridSpan w:val="2"/>
          </w:tcPr>
          <w:p w14:paraId="23A6A15A" w14:textId="77777777" w:rsidR="00881319" w:rsidRPr="00B75955" w:rsidRDefault="00881319" w:rsidP="00881319">
            <w:pPr>
              <w:jc w:val="right"/>
              <w:rPr>
                <w:sz w:val="20"/>
                <w:szCs w:val="20"/>
                <w:lang w:val="en-CA"/>
              </w:rPr>
            </w:pPr>
            <w:r w:rsidRPr="00B75955">
              <w:rPr>
                <w:sz w:val="20"/>
                <w:szCs w:val="20"/>
                <w:lang w:val="en-CA"/>
              </w:rPr>
              <w:t>n/a</w:t>
            </w:r>
          </w:p>
        </w:tc>
        <w:tc>
          <w:tcPr>
            <w:tcW w:w="1240" w:type="dxa"/>
            <w:gridSpan w:val="2"/>
            <w:vAlign w:val="center"/>
          </w:tcPr>
          <w:p w14:paraId="4A88BF4E" w14:textId="77777777" w:rsidR="00881319" w:rsidRPr="00B75955" w:rsidRDefault="00881319" w:rsidP="00881319">
            <w:pPr>
              <w:jc w:val="right"/>
              <w:rPr>
                <w:sz w:val="20"/>
                <w:szCs w:val="20"/>
                <w:lang w:val="en-CA"/>
              </w:rPr>
            </w:pPr>
            <w:r w:rsidRPr="00B75955">
              <w:rPr>
                <w:color w:val="000000"/>
                <w:sz w:val="20"/>
                <w:szCs w:val="20"/>
                <w:lang w:val="en-CA"/>
              </w:rPr>
              <w:t>1,438</w:t>
            </w:r>
          </w:p>
        </w:tc>
      </w:tr>
      <w:tr w:rsidR="00881319" w:rsidRPr="00B75955" w14:paraId="223B90E3" w14:textId="77777777" w:rsidTr="00881319">
        <w:tc>
          <w:tcPr>
            <w:tcW w:w="1921" w:type="dxa"/>
            <w:gridSpan w:val="2"/>
          </w:tcPr>
          <w:p w14:paraId="116219F7" w14:textId="77777777" w:rsidR="00881319" w:rsidRPr="00B75955" w:rsidRDefault="00881319" w:rsidP="00881319">
            <w:pPr>
              <w:rPr>
                <w:b/>
                <w:sz w:val="20"/>
                <w:szCs w:val="20"/>
                <w:lang w:val="en-CA"/>
              </w:rPr>
            </w:pPr>
            <w:r w:rsidRPr="00B75955">
              <w:rPr>
                <w:sz w:val="20"/>
                <w:szCs w:val="20"/>
                <w:lang w:val="en-CA"/>
              </w:rPr>
              <w:t>Solvent</w:t>
            </w:r>
          </w:p>
        </w:tc>
        <w:tc>
          <w:tcPr>
            <w:tcW w:w="1239" w:type="dxa"/>
            <w:gridSpan w:val="2"/>
          </w:tcPr>
          <w:p w14:paraId="7B8ACE9A" w14:textId="77777777" w:rsidR="00881319" w:rsidRPr="00B75955" w:rsidRDefault="00881319" w:rsidP="00881319">
            <w:pPr>
              <w:jc w:val="right"/>
              <w:rPr>
                <w:sz w:val="20"/>
                <w:szCs w:val="20"/>
                <w:lang w:val="en-CA"/>
              </w:rPr>
            </w:pPr>
            <w:r w:rsidRPr="00B75955">
              <w:rPr>
                <w:sz w:val="20"/>
                <w:szCs w:val="20"/>
                <w:lang w:val="en-CA"/>
              </w:rPr>
              <w:t>59.8</w:t>
            </w:r>
          </w:p>
        </w:tc>
        <w:tc>
          <w:tcPr>
            <w:tcW w:w="1240" w:type="dxa"/>
            <w:gridSpan w:val="2"/>
          </w:tcPr>
          <w:p w14:paraId="1724DACA" w14:textId="77777777" w:rsidR="00881319" w:rsidRPr="00B75955" w:rsidRDefault="00881319" w:rsidP="00881319">
            <w:pPr>
              <w:jc w:val="right"/>
              <w:rPr>
                <w:sz w:val="20"/>
                <w:szCs w:val="20"/>
                <w:lang w:val="en-CA"/>
              </w:rPr>
            </w:pPr>
            <w:r w:rsidRPr="00B75955">
              <w:rPr>
                <w:sz w:val="20"/>
                <w:szCs w:val="20"/>
                <w:lang w:val="en-CA"/>
              </w:rPr>
              <w:t>74.2</w:t>
            </w:r>
          </w:p>
        </w:tc>
        <w:tc>
          <w:tcPr>
            <w:tcW w:w="1240" w:type="dxa"/>
            <w:gridSpan w:val="2"/>
          </w:tcPr>
          <w:p w14:paraId="7BEA4023" w14:textId="77777777" w:rsidR="00881319" w:rsidRPr="00B75955" w:rsidRDefault="00881319" w:rsidP="00881319">
            <w:pPr>
              <w:jc w:val="right"/>
              <w:rPr>
                <w:sz w:val="20"/>
                <w:szCs w:val="20"/>
                <w:lang w:val="en-CA"/>
              </w:rPr>
            </w:pPr>
            <w:r w:rsidRPr="00B75955">
              <w:rPr>
                <w:sz w:val="20"/>
                <w:szCs w:val="20"/>
                <w:lang w:val="en-CA"/>
              </w:rPr>
              <w:t>172.9</w:t>
            </w:r>
          </w:p>
        </w:tc>
        <w:tc>
          <w:tcPr>
            <w:tcW w:w="1240" w:type="dxa"/>
            <w:gridSpan w:val="2"/>
          </w:tcPr>
          <w:p w14:paraId="64AB66DD" w14:textId="77777777" w:rsidR="00881319" w:rsidRPr="00B75955" w:rsidRDefault="00881319" w:rsidP="00881319">
            <w:pPr>
              <w:jc w:val="right"/>
              <w:rPr>
                <w:sz w:val="20"/>
                <w:szCs w:val="20"/>
                <w:lang w:val="en-CA"/>
              </w:rPr>
            </w:pPr>
            <w:r w:rsidRPr="00B75955">
              <w:rPr>
                <w:sz w:val="20"/>
                <w:szCs w:val="20"/>
                <w:lang w:val="en-CA"/>
              </w:rPr>
              <w:t>93.3</w:t>
            </w:r>
          </w:p>
        </w:tc>
        <w:tc>
          <w:tcPr>
            <w:tcW w:w="1240" w:type="dxa"/>
            <w:gridSpan w:val="2"/>
          </w:tcPr>
          <w:p w14:paraId="1E9618B5" w14:textId="77777777" w:rsidR="00881319" w:rsidRPr="00B75955" w:rsidRDefault="00881319" w:rsidP="00881319">
            <w:pPr>
              <w:jc w:val="right"/>
              <w:rPr>
                <w:sz w:val="20"/>
                <w:szCs w:val="20"/>
                <w:lang w:val="en-CA"/>
              </w:rPr>
            </w:pPr>
            <w:r w:rsidRPr="00B75955">
              <w:rPr>
                <w:sz w:val="20"/>
                <w:szCs w:val="20"/>
                <w:lang w:val="en-CA"/>
              </w:rPr>
              <w:t>55.0</w:t>
            </w:r>
          </w:p>
        </w:tc>
        <w:tc>
          <w:tcPr>
            <w:tcW w:w="1240" w:type="dxa"/>
            <w:gridSpan w:val="2"/>
            <w:vAlign w:val="center"/>
          </w:tcPr>
          <w:p w14:paraId="7F3EAB38" w14:textId="77777777" w:rsidR="00881319" w:rsidRPr="00B75955" w:rsidRDefault="00881319" w:rsidP="00881319">
            <w:pPr>
              <w:jc w:val="right"/>
              <w:rPr>
                <w:sz w:val="20"/>
                <w:szCs w:val="20"/>
                <w:lang w:val="en-CA"/>
              </w:rPr>
            </w:pPr>
            <w:r w:rsidRPr="00B75955">
              <w:rPr>
                <w:color w:val="000000"/>
                <w:sz w:val="20"/>
                <w:szCs w:val="20"/>
                <w:lang w:val="en-CA"/>
              </w:rPr>
              <w:t>455.2</w:t>
            </w:r>
          </w:p>
        </w:tc>
      </w:tr>
      <w:tr w:rsidR="00881319" w:rsidRPr="00B75955" w14:paraId="6468083A" w14:textId="77777777" w:rsidTr="00881319">
        <w:tc>
          <w:tcPr>
            <w:tcW w:w="1921" w:type="dxa"/>
            <w:gridSpan w:val="2"/>
            <w:vAlign w:val="center"/>
          </w:tcPr>
          <w:p w14:paraId="62320C96" w14:textId="77777777" w:rsidR="00881319" w:rsidRPr="00B75955" w:rsidRDefault="00881319" w:rsidP="00881319">
            <w:pPr>
              <w:jc w:val="left"/>
              <w:rPr>
                <w:b/>
                <w:sz w:val="20"/>
                <w:szCs w:val="20"/>
                <w:lang w:val="en-CA"/>
              </w:rPr>
            </w:pPr>
            <w:r w:rsidRPr="00B75955">
              <w:rPr>
                <w:sz w:val="20"/>
                <w:szCs w:val="20"/>
                <w:lang w:val="en-CA"/>
              </w:rPr>
              <w:t>Servicing sector</w:t>
            </w:r>
          </w:p>
        </w:tc>
        <w:tc>
          <w:tcPr>
            <w:tcW w:w="2479" w:type="dxa"/>
            <w:gridSpan w:val="4"/>
          </w:tcPr>
          <w:p w14:paraId="3519B235" w14:textId="77777777" w:rsidR="00881319" w:rsidRPr="00B75955" w:rsidRDefault="00881319" w:rsidP="00881319">
            <w:pPr>
              <w:jc w:val="right"/>
              <w:rPr>
                <w:sz w:val="20"/>
                <w:szCs w:val="20"/>
                <w:lang w:val="en-CA"/>
              </w:rPr>
            </w:pPr>
            <w:r w:rsidRPr="00B75955">
              <w:rPr>
                <w:sz w:val="20"/>
                <w:szCs w:val="20"/>
                <w:lang w:val="en-CA"/>
              </w:rPr>
              <w:t>734.0</w:t>
            </w:r>
          </w:p>
        </w:tc>
        <w:tc>
          <w:tcPr>
            <w:tcW w:w="1240" w:type="dxa"/>
            <w:gridSpan w:val="2"/>
          </w:tcPr>
          <w:p w14:paraId="35D65B52" w14:textId="77777777" w:rsidR="00881319" w:rsidRPr="00B75955" w:rsidRDefault="00881319" w:rsidP="00881319">
            <w:pPr>
              <w:jc w:val="right"/>
              <w:rPr>
                <w:sz w:val="20"/>
                <w:szCs w:val="20"/>
                <w:lang w:val="en-CA"/>
              </w:rPr>
            </w:pPr>
            <w:r w:rsidRPr="00B75955">
              <w:rPr>
                <w:sz w:val="20"/>
                <w:szCs w:val="20"/>
                <w:lang w:val="en-CA"/>
              </w:rPr>
              <w:t>n/a</w:t>
            </w:r>
          </w:p>
        </w:tc>
        <w:tc>
          <w:tcPr>
            <w:tcW w:w="1240" w:type="dxa"/>
            <w:gridSpan w:val="2"/>
          </w:tcPr>
          <w:p w14:paraId="7B7A17E0" w14:textId="77777777" w:rsidR="00881319" w:rsidRPr="00B75955" w:rsidRDefault="00881319" w:rsidP="00881319">
            <w:pPr>
              <w:jc w:val="right"/>
              <w:rPr>
                <w:sz w:val="20"/>
                <w:szCs w:val="20"/>
                <w:lang w:val="en-CA"/>
              </w:rPr>
            </w:pPr>
            <w:r w:rsidRPr="00B75955">
              <w:rPr>
                <w:sz w:val="20"/>
                <w:szCs w:val="20"/>
                <w:lang w:val="en-CA"/>
              </w:rPr>
              <w:t>n/a</w:t>
            </w:r>
          </w:p>
        </w:tc>
        <w:tc>
          <w:tcPr>
            <w:tcW w:w="1240" w:type="dxa"/>
            <w:gridSpan w:val="2"/>
          </w:tcPr>
          <w:p w14:paraId="15F2EA55" w14:textId="77777777" w:rsidR="00881319" w:rsidRPr="00B75955" w:rsidRDefault="00881319" w:rsidP="00881319">
            <w:pPr>
              <w:jc w:val="right"/>
              <w:rPr>
                <w:sz w:val="20"/>
                <w:szCs w:val="20"/>
                <w:lang w:val="en-CA"/>
              </w:rPr>
            </w:pPr>
            <w:r w:rsidRPr="00B75955">
              <w:rPr>
                <w:sz w:val="20"/>
                <w:szCs w:val="20"/>
                <w:lang w:val="en-CA"/>
              </w:rPr>
              <w:t>n/a</w:t>
            </w:r>
          </w:p>
        </w:tc>
        <w:tc>
          <w:tcPr>
            <w:tcW w:w="1240" w:type="dxa"/>
            <w:gridSpan w:val="2"/>
          </w:tcPr>
          <w:p w14:paraId="23147F65" w14:textId="77777777" w:rsidR="00881319" w:rsidRPr="00B75955" w:rsidRDefault="00881319" w:rsidP="00881319">
            <w:pPr>
              <w:jc w:val="right"/>
              <w:rPr>
                <w:sz w:val="20"/>
                <w:szCs w:val="20"/>
                <w:lang w:val="en-CA"/>
              </w:rPr>
            </w:pPr>
            <w:r w:rsidRPr="00B75955">
              <w:rPr>
                <w:color w:val="000000"/>
                <w:sz w:val="20"/>
                <w:szCs w:val="20"/>
                <w:lang w:val="en-CA"/>
              </w:rPr>
              <w:t>734.0</w:t>
            </w:r>
          </w:p>
        </w:tc>
      </w:tr>
      <w:tr w:rsidR="00881319" w:rsidRPr="00B75955" w14:paraId="785D98D6" w14:textId="77777777" w:rsidTr="00881319">
        <w:tc>
          <w:tcPr>
            <w:tcW w:w="1921" w:type="dxa"/>
            <w:gridSpan w:val="2"/>
          </w:tcPr>
          <w:p w14:paraId="06107E4D" w14:textId="77777777" w:rsidR="00881319" w:rsidRPr="00B75955" w:rsidRDefault="00881319" w:rsidP="00881319">
            <w:pPr>
              <w:rPr>
                <w:b/>
                <w:sz w:val="20"/>
                <w:szCs w:val="20"/>
                <w:lang w:val="en-CA"/>
              </w:rPr>
            </w:pPr>
            <w:r w:rsidRPr="00B75955">
              <w:rPr>
                <w:b/>
                <w:sz w:val="20"/>
                <w:szCs w:val="20"/>
                <w:lang w:val="en-CA"/>
              </w:rPr>
              <w:t>Total</w:t>
            </w:r>
          </w:p>
        </w:tc>
        <w:tc>
          <w:tcPr>
            <w:tcW w:w="1239" w:type="dxa"/>
            <w:gridSpan w:val="2"/>
            <w:vAlign w:val="center"/>
          </w:tcPr>
          <w:p w14:paraId="41CA12A9" w14:textId="77777777" w:rsidR="00881319" w:rsidRPr="00B75955" w:rsidRDefault="00881319" w:rsidP="00881319">
            <w:pPr>
              <w:jc w:val="right"/>
              <w:rPr>
                <w:b/>
                <w:sz w:val="20"/>
                <w:szCs w:val="20"/>
                <w:lang w:val="en-CA"/>
              </w:rPr>
            </w:pPr>
            <w:r w:rsidRPr="00B75955">
              <w:rPr>
                <w:b/>
                <w:bCs/>
                <w:color w:val="000000"/>
                <w:sz w:val="20"/>
                <w:szCs w:val="20"/>
                <w:lang w:val="en-CA"/>
              </w:rPr>
              <w:t>1,930.7</w:t>
            </w:r>
          </w:p>
        </w:tc>
        <w:tc>
          <w:tcPr>
            <w:tcW w:w="1240" w:type="dxa"/>
            <w:gridSpan w:val="2"/>
            <w:vAlign w:val="center"/>
          </w:tcPr>
          <w:p w14:paraId="003AAA33" w14:textId="77777777" w:rsidR="00881319" w:rsidRPr="00B75955" w:rsidRDefault="00881319" w:rsidP="00881319">
            <w:pPr>
              <w:jc w:val="right"/>
              <w:rPr>
                <w:b/>
                <w:sz w:val="20"/>
                <w:szCs w:val="20"/>
                <w:lang w:val="en-CA"/>
              </w:rPr>
            </w:pPr>
            <w:r w:rsidRPr="00B75955">
              <w:rPr>
                <w:b/>
                <w:bCs/>
                <w:color w:val="000000"/>
                <w:sz w:val="20"/>
                <w:szCs w:val="20"/>
                <w:lang w:val="en-CA"/>
              </w:rPr>
              <w:t>3,300.8</w:t>
            </w:r>
          </w:p>
        </w:tc>
        <w:tc>
          <w:tcPr>
            <w:tcW w:w="1240" w:type="dxa"/>
            <w:gridSpan w:val="2"/>
            <w:vAlign w:val="center"/>
          </w:tcPr>
          <w:p w14:paraId="65A020F8" w14:textId="77777777" w:rsidR="00881319" w:rsidRPr="00B75955" w:rsidRDefault="00881319" w:rsidP="00881319">
            <w:pPr>
              <w:jc w:val="right"/>
              <w:rPr>
                <w:b/>
                <w:sz w:val="20"/>
                <w:szCs w:val="20"/>
                <w:lang w:val="en-CA"/>
              </w:rPr>
            </w:pPr>
            <w:r w:rsidRPr="00B75955">
              <w:rPr>
                <w:b/>
                <w:bCs/>
                <w:color w:val="000000"/>
                <w:sz w:val="20"/>
                <w:szCs w:val="20"/>
                <w:lang w:val="en-CA"/>
              </w:rPr>
              <w:t>2,695.2</w:t>
            </w:r>
          </w:p>
        </w:tc>
        <w:tc>
          <w:tcPr>
            <w:tcW w:w="1240" w:type="dxa"/>
            <w:gridSpan w:val="2"/>
            <w:vAlign w:val="center"/>
          </w:tcPr>
          <w:p w14:paraId="4B1DBE02" w14:textId="77777777" w:rsidR="00881319" w:rsidRPr="00B75955" w:rsidRDefault="00881319" w:rsidP="00881319">
            <w:pPr>
              <w:jc w:val="right"/>
              <w:rPr>
                <w:b/>
                <w:sz w:val="20"/>
                <w:szCs w:val="20"/>
                <w:lang w:val="en-CA"/>
              </w:rPr>
            </w:pPr>
            <w:r w:rsidRPr="00B75955">
              <w:rPr>
                <w:b/>
                <w:bCs/>
                <w:color w:val="000000"/>
                <w:sz w:val="20"/>
                <w:szCs w:val="20"/>
                <w:lang w:val="en-CA"/>
              </w:rPr>
              <w:t>1,438.7</w:t>
            </w:r>
          </w:p>
        </w:tc>
        <w:tc>
          <w:tcPr>
            <w:tcW w:w="1240" w:type="dxa"/>
            <w:gridSpan w:val="2"/>
            <w:vAlign w:val="center"/>
          </w:tcPr>
          <w:p w14:paraId="4F0F3AE0" w14:textId="77777777" w:rsidR="00881319" w:rsidRPr="00B75955" w:rsidRDefault="00881319" w:rsidP="00881319">
            <w:pPr>
              <w:jc w:val="right"/>
              <w:rPr>
                <w:b/>
                <w:sz w:val="20"/>
                <w:szCs w:val="20"/>
                <w:lang w:val="en-CA"/>
              </w:rPr>
            </w:pPr>
            <w:r w:rsidRPr="00B75955">
              <w:rPr>
                <w:b/>
                <w:bCs/>
                <w:color w:val="000000"/>
                <w:sz w:val="20"/>
                <w:szCs w:val="20"/>
                <w:lang w:val="en-CA"/>
              </w:rPr>
              <w:t>550.0</w:t>
            </w:r>
          </w:p>
        </w:tc>
        <w:tc>
          <w:tcPr>
            <w:tcW w:w="1240" w:type="dxa"/>
            <w:gridSpan w:val="2"/>
            <w:vAlign w:val="center"/>
          </w:tcPr>
          <w:p w14:paraId="16528FA6" w14:textId="77777777" w:rsidR="00881319" w:rsidRPr="00B75955" w:rsidRDefault="00881319" w:rsidP="00881319">
            <w:pPr>
              <w:jc w:val="right"/>
              <w:rPr>
                <w:b/>
                <w:sz w:val="20"/>
                <w:szCs w:val="20"/>
                <w:lang w:val="en-CA"/>
              </w:rPr>
            </w:pPr>
            <w:r w:rsidRPr="00B75955">
              <w:rPr>
                <w:b/>
                <w:color w:val="000000"/>
                <w:sz w:val="20"/>
                <w:szCs w:val="20"/>
                <w:lang w:val="en-CA"/>
              </w:rPr>
              <w:t>9,915.4</w:t>
            </w:r>
          </w:p>
        </w:tc>
      </w:tr>
    </w:tbl>
    <w:p w14:paraId="39BD3929" w14:textId="77777777" w:rsidR="00881319" w:rsidRPr="00B75955" w:rsidRDefault="00881319" w:rsidP="00881319">
      <w:pPr>
        <w:rPr>
          <w:sz w:val="16"/>
          <w:szCs w:val="16"/>
          <w:lang w:val="en-CA"/>
        </w:rPr>
      </w:pPr>
      <w:r w:rsidRPr="00B75955">
        <w:rPr>
          <w:sz w:val="16"/>
          <w:szCs w:val="16"/>
          <w:lang w:val="en-CA"/>
        </w:rPr>
        <w:t>*</w:t>
      </w:r>
      <w:r w:rsidRPr="00B75955">
        <w:rPr>
          <w:lang w:val="en-CA"/>
        </w:rPr>
        <w:t xml:space="preserve"> </w:t>
      </w:r>
      <w:r w:rsidRPr="00B75955">
        <w:rPr>
          <w:sz w:val="16"/>
          <w:szCs w:val="16"/>
          <w:lang w:val="en-CA"/>
        </w:rPr>
        <w:t>The national HCFC consumption target and the targets for the ICR and RAC sectors for the period 2021 to 2026 will be determined during the submission of stage III of the HPMP.</w:t>
      </w:r>
    </w:p>
    <w:p w14:paraId="2B46B7A2" w14:textId="77777777" w:rsidR="00881319" w:rsidRPr="00B75955" w:rsidRDefault="00881319" w:rsidP="00881319">
      <w:pPr>
        <w:rPr>
          <w:lang w:val="en-CA"/>
        </w:rPr>
      </w:pPr>
    </w:p>
    <w:p w14:paraId="52FF7E3E" w14:textId="77777777" w:rsidR="00881319" w:rsidRPr="00B75955" w:rsidRDefault="00881319" w:rsidP="00881319">
      <w:pPr>
        <w:rPr>
          <w:i/>
          <w:lang w:val="en-CA"/>
        </w:rPr>
      </w:pPr>
      <w:r w:rsidRPr="00B75955">
        <w:rPr>
          <w:i/>
          <w:lang w:val="en-CA"/>
        </w:rPr>
        <w:t>Submission of second tranche requests of stage II of the HPMP at the 80</w:t>
      </w:r>
      <w:r w:rsidRPr="00B75955">
        <w:rPr>
          <w:i/>
          <w:vertAlign w:val="superscript"/>
          <w:lang w:val="en-CA"/>
        </w:rPr>
        <w:t>th</w:t>
      </w:r>
      <w:r w:rsidRPr="00B75955">
        <w:rPr>
          <w:i/>
          <w:lang w:val="en-CA"/>
        </w:rPr>
        <w:t> meeting</w:t>
      </w:r>
    </w:p>
    <w:p w14:paraId="2E9AF9CD" w14:textId="77777777" w:rsidR="00881319" w:rsidRPr="00B75955" w:rsidRDefault="00881319" w:rsidP="00881319">
      <w:pPr>
        <w:rPr>
          <w:lang w:val="en-CA"/>
        </w:rPr>
      </w:pPr>
    </w:p>
    <w:p w14:paraId="0A6DE8D2" w14:textId="77777777" w:rsidR="00881319" w:rsidRPr="00B75955" w:rsidRDefault="00881319" w:rsidP="00881319">
      <w:pPr>
        <w:pStyle w:val="Heading1"/>
        <w:rPr>
          <w:lang w:val="en-CA"/>
        </w:rPr>
      </w:pPr>
      <w:r w:rsidRPr="00B75955">
        <w:rPr>
          <w:lang w:val="en-CA"/>
        </w:rPr>
        <w:t>At its 80</w:t>
      </w:r>
      <w:r w:rsidRPr="00B75955">
        <w:rPr>
          <w:vertAlign w:val="superscript"/>
          <w:lang w:val="en-CA"/>
        </w:rPr>
        <w:t>th</w:t>
      </w:r>
      <w:r w:rsidRPr="00B75955">
        <w:rPr>
          <w:lang w:val="en-CA"/>
        </w:rPr>
        <w:t> meeting, the Executive Committee considered requests for the second tranche of stage II of the HPMP for China for the XPS foam, ICR, RAC and solvent sector plans.</w:t>
      </w:r>
      <w:r w:rsidRPr="00B75955">
        <w:rPr>
          <w:rStyle w:val="FootnoteReference"/>
          <w:lang w:val="en-CA"/>
        </w:rPr>
        <w:footnoteReference w:id="9"/>
      </w:r>
      <w:r w:rsidRPr="00B75955">
        <w:rPr>
          <w:lang w:val="en-CA"/>
        </w:rPr>
        <w:t xml:space="preserve"> The requests for the second tranche of the PU foam and the refrigeration servicing sector plans due at the 80</w:t>
      </w:r>
      <w:r w:rsidRPr="00B75955">
        <w:rPr>
          <w:vertAlign w:val="superscript"/>
          <w:lang w:val="en-CA"/>
        </w:rPr>
        <w:t>th</w:t>
      </w:r>
      <w:r w:rsidRPr="00B75955">
        <w:rPr>
          <w:lang w:val="en-CA"/>
        </w:rPr>
        <w:t> meeting, were not submitted as the agreements between the respective bilateral and implementing agencies and the Government of China had yet to be signed.</w:t>
      </w:r>
    </w:p>
    <w:p w14:paraId="35896E5F" w14:textId="77777777" w:rsidR="00881319" w:rsidRPr="00B75955" w:rsidRDefault="00881319" w:rsidP="00881319">
      <w:pPr>
        <w:pStyle w:val="Heading1"/>
        <w:rPr>
          <w:lang w:val="en-CA"/>
        </w:rPr>
      </w:pPr>
      <w:r w:rsidRPr="00B75955">
        <w:rPr>
          <w:lang w:val="en-CA"/>
        </w:rPr>
        <w:t xml:space="preserve">In concluding its deliberations, in decision 80/66 the Executive Committee </w:t>
      </w:r>
      <w:r w:rsidRPr="00B75955">
        <w:rPr>
          <w:i/>
          <w:lang w:val="en-CA"/>
        </w:rPr>
        <w:t xml:space="preserve">inter alia: </w:t>
      </w:r>
    </w:p>
    <w:p w14:paraId="745C012F" w14:textId="77777777" w:rsidR="00881319" w:rsidRPr="00B75955" w:rsidRDefault="00881319" w:rsidP="00881319">
      <w:pPr>
        <w:pStyle w:val="Heading2"/>
        <w:numPr>
          <w:ilvl w:val="1"/>
          <w:numId w:val="1"/>
        </w:numPr>
        <w:rPr>
          <w:lang w:val="en-CA"/>
        </w:rPr>
      </w:pPr>
      <w:r w:rsidRPr="00B75955">
        <w:rPr>
          <w:lang w:val="en-CA"/>
        </w:rPr>
        <w:t>Noted that the funding request for the second tranche of the XPS foam sector plan, did not fully meet the requirements specified in paragraph 5 of the Agreement, and strongly urged the bilateral and implementing agencies to ensure that future submissions met the relevant requirements, including the deadlines; and approved the second tranche on an exceptional basis and on the understanding that the Treasurer would transfer the funding to the relevant agencies only upon confirmation that, before 31 December 2017, the 20 per cent disbursement threshold of the first tranche had been met and that review by the Secretariat had taken place;</w:t>
      </w:r>
    </w:p>
    <w:p w14:paraId="08A65DA4" w14:textId="77777777" w:rsidR="00881319" w:rsidRPr="00B75955" w:rsidRDefault="00881319" w:rsidP="00881319">
      <w:pPr>
        <w:pStyle w:val="Heading2"/>
        <w:numPr>
          <w:ilvl w:val="1"/>
          <w:numId w:val="1"/>
        </w:numPr>
        <w:rPr>
          <w:lang w:val="en-CA"/>
        </w:rPr>
      </w:pPr>
      <w:r w:rsidRPr="00B75955">
        <w:rPr>
          <w:lang w:val="en-CA"/>
        </w:rPr>
        <w:t xml:space="preserve">Approved the second tranche of the ICR sector plan, approval was on the understanding that: </w:t>
      </w:r>
    </w:p>
    <w:p w14:paraId="71630FE7" w14:textId="77777777" w:rsidR="00881319" w:rsidRPr="00B75955" w:rsidRDefault="00881319" w:rsidP="00881319">
      <w:pPr>
        <w:pStyle w:val="Heading3"/>
        <w:numPr>
          <w:ilvl w:val="2"/>
          <w:numId w:val="1"/>
        </w:numPr>
        <w:rPr>
          <w:lang w:val="en-CA"/>
        </w:rPr>
      </w:pPr>
      <w:r w:rsidRPr="00B75955">
        <w:rPr>
          <w:lang w:val="en-CA"/>
        </w:rPr>
        <w:t xml:space="preserve">The Government and UNDP would assess the feasibility of conversion of chiller manufacturers to HFOs, consistent with the low global-warming-potential (GWP) technology selection reflected in Appendix 8-A of the Agreement, for possible application in other enterprises to be assisted under stage II; </w:t>
      </w:r>
    </w:p>
    <w:p w14:paraId="0065FB05" w14:textId="77777777" w:rsidR="00881319" w:rsidRPr="00B75955" w:rsidRDefault="00881319" w:rsidP="0001415F">
      <w:pPr>
        <w:pStyle w:val="Heading3"/>
        <w:keepNext/>
        <w:keepLines/>
        <w:numPr>
          <w:ilvl w:val="2"/>
          <w:numId w:val="1"/>
        </w:numPr>
        <w:rPr>
          <w:lang w:val="en-CA"/>
        </w:rPr>
      </w:pPr>
      <w:r w:rsidRPr="00B75955">
        <w:rPr>
          <w:lang w:val="en-CA"/>
        </w:rPr>
        <w:lastRenderedPageBreak/>
        <w:t xml:space="preserve">The technology choice for the conversion of manufacturing lines at </w:t>
      </w:r>
      <w:proofErr w:type="spellStart"/>
      <w:r w:rsidRPr="00B75955">
        <w:rPr>
          <w:lang w:val="en-CA"/>
        </w:rPr>
        <w:t>Dunan</w:t>
      </w:r>
      <w:proofErr w:type="spellEnd"/>
      <w:r w:rsidRPr="00B75955">
        <w:rPr>
          <w:lang w:val="en-CA"/>
        </w:rPr>
        <w:t xml:space="preserve"> Environment, Dunham Bush and Zhejiang </w:t>
      </w:r>
      <w:proofErr w:type="spellStart"/>
      <w:r w:rsidRPr="00B75955">
        <w:rPr>
          <w:lang w:val="en-CA"/>
        </w:rPr>
        <w:t>Guoxiang</w:t>
      </w:r>
      <w:proofErr w:type="spellEnd"/>
      <w:r w:rsidRPr="00B75955">
        <w:rPr>
          <w:lang w:val="en-CA"/>
        </w:rPr>
        <w:t xml:space="preserve"> was being agreed to on an exceptional basis, on the understanding that: </w:t>
      </w:r>
    </w:p>
    <w:p w14:paraId="635BAA15" w14:textId="77777777" w:rsidR="00881319" w:rsidRPr="00B75955" w:rsidRDefault="00881319" w:rsidP="00881319">
      <w:pPr>
        <w:pStyle w:val="Heading3"/>
        <w:keepNext/>
        <w:keepLines/>
        <w:numPr>
          <w:ilvl w:val="2"/>
          <w:numId w:val="1"/>
        </w:numPr>
        <w:rPr>
          <w:lang w:val="en-CA"/>
        </w:rPr>
      </w:pPr>
      <w:r w:rsidRPr="00B75955">
        <w:rPr>
          <w:lang w:val="en-CA"/>
        </w:rPr>
        <w:t xml:space="preserve">Consistent with decision XXVIII/2, those manufacturing lines and any other lines converted to the same technology under the second tranche would not be eligible for further funding under the Multilateral Fund; </w:t>
      </w:r>
    </w:p>
    <w:p w14:paraId="4E98DB78" w14:textId="77777777" w:rsidR="00881319" w:rsidRPr="00B75955" w:rsidRDefault="00881319" w:rsidP="00881319">
      <w:pPr>
        <w:pStyle w:val="Heading3"/>
        <w:numPr>
          <w:ilvl w:val="2"/>
          <w:numId w:val="1"/>
        </w:numPr>
        <w:rPr>
          <w:lang w:val="en-CA"/>
        </w:rPr>
      </w:pPr>
      <w:r w:rsidRPr="00B75955">
        <w:rPr>
          <w:lang w:val="en-CA"/>
        </w:rPr>
        <w:t>The level of funding provided to those manufacturing lines would not constitute a precedent for any such future conversions; and</w:t>
      </w:r>
    </w:p>
    <w:p w14:paraId="59286BC6" w14:textId="77777777" w:rsidR="00881319" w:rsidRPr="00B75955" w:rsidRDefault="00881319" w:rsidP="00881319">
      <w:pPr>
        <w:pStyle w:val="Heading3"/>
        <w:numPr>
          <w:ilvl w:val="2"/>
          <w:numId w:val="1"/>
        </w:numPr>
        <w:rPr>
          <w:lang w:val="en-CA"/>
        </w:rPr>
      </w:pPr>
      <w:r w:rsidRPr="00B75955">
        <w:rPr>
          <w:lang w:val="en-CA"/>
        </w:rPr>
        <w:t>The Committee would consider, at the 81</w:t>
      </w:r>
      <w:r w:rsidRPr="00B75955">
        <w:rPr>
          <w:vertAlign w:val="superscript"/>
          <w:lang w:val="en-CA"/>
        </w:rPr>
        <w:t>st</w:t>
      </w:r>
      <w:r w:rsidRPr="00B75955">
        <w:rPr>
          <w:lang w:val="en-CA"/>
        </w:rPr>
        <w:t xml:space="preserve"> meeting, whether and how the Agreement would need to be modified to account for those conversions, on the understanding that the overall tonnage to be converted to low-GWP alternatives would not change. </w:t>
      </w:r>
    </w:p>
    <w:p w14:paraId="7EBB7B52" w14:textId="77777777" w:rsidR="00881319" w:rsidRPr="00B75955" w:rsidRDefault="00881319" w:rsidP="00881319">
      <w:pPr>
        <w:pStyle w:val="Heading2"/>
        <w:numPr>
          <w:ilvl w:val="1"/>
          <w:numId w:val="1"/>
        </w:numPr>
        <w:rPr>
          <w:lang w:val="en-CA"/>
        </w:rPr>
      </w:pPr>
      <w:r w:rsidRPr="00B75955">
        <w:rPr>
          <w:lang w:val="en-CA"/>
        </w:rPr>
        <w:t>Deferred the consideration of the request for the second tranche of the RAC sector plan to a future meeting;</w:t>
      </w:r>
    </w:p>
    <w:p w14:paraId="7976E44F" w14:textId="77777777" w:rsidR="00881319" w:rsidRPr="00B75955" w:rsidRDefault="00881319" w:rsidP="00881319">
      <w:pPr>
        <w:pStyle w:val="Heading2"/>
        <w:numPr>
          <w:ilvl w:val="1"/>
          <w:numId w:val="1"/>
        </w:numPr>
        <w:rPr>
          <w:lang w:val="en-CA"/>
        </w:rPr>
      </w:pPr>
      <w:r w:rsidRPr="00B75955">
        <w:rPr>
          <w:lang w:val="en-CA"/>
        </w:rPr>
        <w:t xml:space="preserve">Approved the second tranche of the solvent sector plan; and </w:t>
      </w:r>
    </w:p>
    <w:p w14:paraId="61219DB6" w14:textId="77777777" w:rsidR="00881319" w:rsidRPr="00B75955" w:rsidRDefault="00881319" w:rsidP="00881319">
      <w:pPr>
        <w:pStyle w:val="Heading2"/>
        <w:numPr>
          <w:ilvl w:val="1"/>
          <w:numId w:val="1"/>
        </w:numPr>
        <w:rPr>
          <w:lang w:val="en-CA"/>
        </w:rPr>
      </w:pPr>
      <w:r w:rsidRPr="00B75955">
        <w:rPr>
          <w:lang w:val="en-CA"/>
        </w:rPr>
        <w:t>Noted that, in line with decision 79/35, the agency support costs with respect to the second tranche of the XPS, ICR and solvent sector plans could be reconsidered at the 81</w:t>
      </w:r>
      <w:r w:rsidRPr="00B75955">
        <w:rPr>
          <w:vertAlign w:val="superscript"/>
          <w:lang w:val="en-CA"/>
        </w:rPr>
        <w:t>st</w:t>
      </w:r>
      <w:r w:rsidRPr="00B75955">
        <w:rPr>
          <w:lang w:val="en-CA"/>
        </w:rPr>
        <w:t> meeting.</w:t>
      </w:r>
    </w:p>
    <w:p w14:paraId="61AC486D" w14:textId="77777777" w:rsidR="00881319" w:rsidRPr="00B75955" w:rsidRDefault="00881319" w:rsidP="00881319">
      <w:pPr>
        <w:rPr>
          <w:i/>
          <w:lang w:val="en-CA"/>
        </w:rPr>
      </w:pPr>
      <w:r w:rsidRPr="00B75955">
        <w:rPr>
          <w:i/>
          <w:lang w:val="en-CA"/>
        </w:rPr>
        <w:t>Issues related to the XPS sector plan addressed subsequent to the 80</w:t>
      </w:r>
      <w:r w:rsidRPr="00B75955">
        <w:rPr>
          <w:i/>
          <w:vertAlign w:val="superscript"/>
          <w:lang w:val="en-CA"/>
        </w:rPr>
        <w:t>th</w:t>
      </w:r>
      <w:r w:rsidRPr="00B75955">
        <w:rPr>
          <w:i/>
          <w:lang w:val="en-CA"/>
        </w:rPr>
        <w:t> meeting</w:t>
      </w:r>
    </w:p>
    <w:p w14:paraId="29635A5C" w14:textId="77777777" w:rsidR="00881319" w:rsidRPr="00B75955" w:rsidRDefault="00881319" w:rsidP="00881319">
      <w:pPr>
        <w:rPr>
          <w:lang w:val="en-CA"/>
        </w:rPr>
      </w:pPr>
    </w:p>
    <w:p w14:paraId="638E5050" w14:textId="77777777" w:rsidR="00881319" w:rsidRPr="00B75955" w:rsidRDefault="00881319" w:rsidP="00881319">
      <w:pPr>
        <w:pStyle w:val="Heading1"/>
        <w:rPr>
          <w:lang w:val="en-CA"/>
        </w:rPr>
      </w:pPr>
      <w:r w:rsidRPr="00B75955">
        <w:rPr>
          <w:lang w:val="en-CA"/>
        </w:rPr>
        <w:t xml:space="preserve">The funding release from the Treasurer of the second tranche was subject to a confirmation that, before 31 December 2017, the 20 per cent disbursement threshold of the first tranche had been met and that review by the Secretariat had taken place (decision 80/66(d)). </w:t>
      </w:r>
    </w:p>
    <w:p w14:paraId="65AC058C" w14:textId="77777777" w:rsidR="00881319" w:rsidRPr="00B75955" w:rsidRDefault="00881319" w:rsidP="00881319">
      <w:pPr>
        <w:pStyle w:val="Heading1"/>
        <w:rPr>
          <w:lang w:val="en-CA"/>
        </w:rPr>
      </w:pPr>
      <w:r w:rsidRPr="00B75955">
        <w:rPr>
          <w:lang w:val="en-CA"/>
        </w:rPr>
        <w:t>On 18 December 2017, UNIDO submitted to the Secretariat confirmation from the Government of China that US $1,572,614 had been disbursed (consisting of US $1,435,245 to enterprises, US $19,902 for technical assistance and US $117,466.20 for the project management unit (PMU)), which amounted to 21 per cent of the funds approved in the first tranche of the XPS foam sector plan. Following its review of the information, the Secretariat requested the Treasurer to transfer to UNIDO funding for the second tranche and to offset the costs associated with the bilateral component against the bilateral contributions to the Fund by the Government of Germany. The funds were transferred to UNIDO on 27 December 2017.</w:t>
      </w:r>
    </w:p>
    <w:p w14:paraId="135DA8B3" w14:textId="77777777" w:rsidR="00881319" w:rsidRPr="00B75955" w:rsidRDefault="00881319" w:rsidP="00881319">
      <w:pPr>
        <w:rPr>
          <w:i/>
          <w:lang w:val="en-CA"/>
        </w:rPr>
      </w:pPr>
      <w:r w:rsidRPr="00B75955">
        <w:rPr>
          <w:i/>
          <w:lang w:val="en-CA"/>
        </w:rPr>
        <w:t>Issues related to the ICR sector plan addressed subsequent to the 80</w:t>
      </w:r>
      <w:r w:rsidRPr="00B75955">
        <w:rPr>
          <w:i/>
          <w:vertAlign w:val="superscript"/>
          <w:lang w:val="en-CA"/>
        </w:rPr>
        <w:t>th</w:t>
      </w:r>
      <w:r w:rsidRPr="00B75955">
        <w:rPr>
          <w:i/>
          <w:lang w:val="en-CA"/>
        </w:rPr>
        <w:t> meeting</w:t>
      </w:r>
    </w:p>
    <w:p w14:paraId="0B1D9088" w14:textId="77777777" w:rsidR="00881319" w:rsidRPr="00B75955" w:rsidRDefault="00881319" w:rsidP="00881319">
      <w:pPr>
        <w:rPr>
          <w:lang w:val="en-CA"/>
        </w:rPr>
      </w:pPr>
    </w:p>
    <w:p w14:paraId="083E590C" w14:textId="77777777" w:rsidR="00881319" w:rsidRPr="00B75955" w:rsidRDefault="00881319" w:rsidP="00881319">
      <w:pPr>
        <w:pStyle w:val="Heading1"/>
        <w:rPr>
          <w:lang w:val="en-CA"/>
        </w:rPr>
      </w:pPr>
      <w:r w:rsidRPr="00B75955">
        <w:rPr>
          <w:lang w:val="en-CA"/>
        </w:rPr>
        <w:t xml:space="preserve">The funding of the second tranche was approved on the understanding that the Government and UNDP would assess the feasibility of conversion of chiller manufacturers to HFOs (decision 80/66(g)). </w:t>
      </w:r>
    </w:p>
    <w:p w14:paraId="5AEAD835" w14:textId="6E5B34BE" w:rsidR="00881319" w:rsidRDefault="00881319" w:rsidP="00881319">
      <w:pPr>
        <w:pStyle w:val="Heading1"/>
        <w:rPr>
          <w:lang w:val="en-CA"/>
        </w:rPr>
      </w:pPr>
      <w:r w:rsidRPr="00B75955">
        <w:rPr>
          <w:lang w:val="en-CA"/>
        </w:rPr>
        <w:t>In following up decision 80/66(g) with UNDP, the Secretariat noted that the approach proposed by UNDP would not change the overall climate impact of the sector plan, but it would facilitate the phase-out of HCFCs in certain applications, for which commercially available and economically viable zero- or low</w:t>
      </w:r>
      <w:r w:rsidRPr="00B75955">
        <w:rPr>
          <w:lang w:val="en-CA"/>
        </w:rPr>
        <w:noBreakHyphen/>
        <w:t>GWP alternatives are presently limited. The change from pure HFO to HFO blends would affect only the incremental operating costs; on the basis of the current market prices of HFO</w:t>
      </w:r>
      <w:r w:rsidRPr="00B75955">
        <w:rPr>
          <w:lang w:val="en-CA"/>
        </w:rPr>
        <w:noBreakHyphen/>
        <w:t>1234yf and R-513A,</w:t>
      </w:r>
      <w:r w:rsidRPr="00B75955">
        <w:rPr>
          <w:rStyle w:val="FootnoteReference"/>
          <w:lang w:val="en-CA"/>
        </w:rPr>
        <w:footnoteReference w:id="10"/>
      </w:r>
      <w:r w:rsidRPr="00B75955">
        <w:rPr>
          <w:lang w:val="en-CA"/>
        </w:rPr>
        <w:t xml:space="preserve"> both conversions would exceed the cost threshold of US $6.3/kg for the air</w:t>
      </w:r>
      <w:r w:rsidRPr="00B75955">
        <w:rPr>
          <w:lang w:val="en-CA"/>
        </w:rPr>
        <w:noBreakHyphen/>
        <w:t xml:space="preserve">conditioning sector, so there would be no change in the eligible funding level. </w:t>
      </w:r>
    </w:p>
    <w:p w14:paraId="5C3CCDC2" w14:textId="6835E3D3" w:rsidR="00A16F27" w:rsidRPr="00A16F27" w:rsidRDefault="00A16F27" w:rsidP="00A16F27">
      <w:pPr>
        <w:pStyle w:val="Heading1"/>
        <w:rPr>
          <w:lang w:val="en-CA"/>
        </w:rPr>
      </w:pPr>
      <w:r w:rsidRPr="00A16F27">
        <w:rPr>
          <w:lang w:val="en-CA"/>
        </w:rPr>
        <w:lastRenderedPageBreak/>
        <w:t>However, the Government of China through UNDP expressed their concerns on the restriction of the technology selection. Pure HFOs are alternatives for HFC-134a and HCFC-123 in the centrifugal machine not for HCFC-22 in screw chiller. To the knowledge of the Government of China, there has been no evidence that pure HFO has been applied in any screw chillers so far.  Moreover, the GWP of R-513A can only be offset in sectors that use HC, CO</w:t>
      </w:r>
      <w:r w:rsidRPr="00A16F27">
        <w:rPr>
          <w:vertAlign w:val="subscript"/>
          <w:lang w:val="en-CA"/>
        </w:rPr>
        <w:t>2</w:t>
      </w:r>
      <w:r w:rsidRPr="00A16F27">
        <w:rPr>
          <w:lang w:val="en-CA"/>
        </w:rPr>
        <w:t xml:space="preserve"> and ammonia. However, the chiller and unitary air</w:t>
      </w:r>
      <w:r w:rsidRPr="00A16F27">
        <w:rPr>
          <w:lang w:val="en-CA"/>
        </w:rPr>
        <w:noBreakHyphen/>
        <w:t xml:space="preserve">conditioning are the two largest sub-sectors in ICR sector accounting for approximately 80 per cent of the consumption. Therefore, the implementation of the decision 80/66 will encounter great challenges to China as it would be difficult to find additional enterprises in other sectors. </w:t>
      </w:r>
    </w:p>
    <w:p w14:paraId="3C034134" w14:textId="23AE6624" w:rsidR="00A16F27" w:rsidRPr="00A16F27" w:rsidRDefault="00A16F27" w:rsidP="00A16F27">
      <w:pPr>
        <w:pStyle w:val="Heading1"/>
        <w:rPr>
          <w:lang w:val="en-CA"/>
        </w:rPr>
      </w:pPr>
      <w:r w:rsidRPr="00A16F27">
        <w:rPr>
          <w:lang w:val="en-CA"/>
        </w:rPr>
        <w:t>UNDP and the Government of China suggested to conduct a comprehensive evaluation on the viable alternatives in chiller sector in the third tranche to identify the appropriate solution on this issue. The Secretariat seeks the Executive Committee’s guidance on the way forward.</w:t>
      </w:r>
    </w:p>
    <w:p w14:paraId="7E754197" w14:textId="77777777" w:rsidR="00881319" w:rsidRPr="00B75955" w:rsidRDefault="00881319" w:rsidP="00881319">
      <w:pPr>
        <w:pStyle w:val="Heading1"/>
        <w:rPr>
          <w:lang w:val="en-CA"/>
        </w:rPr>
      </w:pPr>
      <w:r w:rsidRPr="00A16F27">
        <w:rPr>
          <w:lang w:val="en-CA"/>
        </w:rPr>
        <w:t>Based on the above, the Executive Committee may wish note that the Agreement on stage II of the HPMP would not need to be modified to account for those conversions to technologies with a GWP different from that originally listed in Table 8 of the ICR sector plan contained in document UNEP/</w:t>
      </w:r>
      <w:proofErr w:type="spellStart"/>
      <w:r w:rsidRPr="00A16F27">
        <w:rPr>
          <w:lang w:val="en-CA"/>
        </w:rPr>
        <w:t>OzL.Pro</w:t>
      </w:r>
      <w:proofErr w:type="spellEnd"/>
      <w:r w:rsidRPr="00A16F27">
        <w:rPr>
          <w:lang w:val="en-CA"/>
        </w:rPr>
        <w:t>/</w:t>
      </w:r>
      <w:proofErr w:type="spellStart"/>
      <w:r w:rsidRPr="00A16F27">
        <w:rPr>
          <w:lang w:val="en-CA"/>
        </w:rPr>
        <w:t>ExCom</w:t>
      </w:r>
      <w:proofErr w:type="spellEnd"/>
      <w:r w:rsidRPr="00A16F27">
        <w:rPr>
          <w:lang w:val="en-CA"/>
        </w:rPr>
        <w:t>/76/25, as they could be considered on case-by-case basis, taking into consideration both the climate impact of such conversions and the deviation in</w:t>
      </w:r>
      <w:r w:rsidRPr="00B75955">
        <w:rPr>
          <w:lang w:val="en-CA"/>
        </w:rPr>
        <w:t xml:space="preserve"> cost from that of the approved technologies.</w:t>
      </w:r>
    </w:p>
    <w:p w14:paraId="736243F9" w14:textId="77777777" w:rsidR="00881319" w:rsidRPr="00B75955" w:rsidRDefault="00881319" w:rsidP="00881319">
      <w:pPr>
        <w:rPr>
          <w:u w:val="single"/>
          <w:lang w:val="en-CA"/>
        </w:rPr>
      </w:pPr>
      <w:r w:rsidRPr="00B75955">
        <w:rPr>
          <w:u w:val="single"/>
          <w:lang w:val="en-CA"/>
        </w:rPr>
        <w:t>Submission of tranche requests of stage II of the HPMP at the 81</w:t>
      </w:r>
      <w:r w:rsidRPr="00B75955">
        <w:rPr>
          <w:u w:val="single"/>
          <w:vertAlign w:val="superscript"/>
          <w:lang w:val="en-CA"/>
        </w:rPr>
        <w:t>st</w:t>
      </w:r>
      <w:r w:rsidRPr="00B75955">
        <w:rPr>
          <w:u w:val="single"/>
          <w:lang w:val="en-CA"/>
        </w:rPr>
        <w:t> meeting</w:t>
      </w:r>
    </w:p>
    <w:p w14:paraId="1BD6AD0F" w14:textId="77777777" w:rsidR="00881319" w:rsidRPr="00B75955" w:rsidRDefault="00881319" w:rsidP="00881319">
      <w:pPr>
        <w:rPr>
          <w:i/>
          <w:lang w:val="en-CA"/>
        </w:rPr>
      </w:pPr>
    </w:p>
    <w:p w14:paraId="15B9C6D5" w14:textId="77777777" w:rsidR="00881319" w:rsidRPr="00B75955" w:rsidRDefault="00881319" w:rsidP="00881319">
      <w:pPr>
        <w:pStyle w:val="Heading1"/>
        <w:rPr>
          <w:lang w:val="en-CA"/>
        </w:rPr>
      </w:pPr>
      <w:r w:rsidRPr="00B75955">
        <w:rPr>
          <w:lang w:val="en-CA"/>
        </w:rPr>
        <w:t>On behalf of the Government of China, bilateral and implementing agencies have submitted to the 81</w:t>
      </w:r>
      <w:r w:rsidRPr="00B75955">
        <w:rPr>
          <w:vertAlign w:val="superscript"/>
          <w:lang w:val="en-CA"/>
        </w:rPr>
        <w:t>st</w:t>
      </w:r>
      <w:r w:rsidRPr="00B75955">
        <w:rPr>
          <w:lang w:val="en-CA"/>
        </w:rPr>
        <w:t> meeting requests for funding for the second tranches of the following sector plans¸ together with annual implementation reports covering the activities undertaken so far, and annual implementation plans for the activities to be implemented in 2018 and 2019:</w:t>
      </w:r>
    </w:p>
    <w:p w14:paraId="130D9D91" w14:textId="77777777" w:rsidR="00881319" w:rsidRPr="00B75955" w:rsidRDefault="00881319" w:rsidP="00881319">
      <w:pPr>
        <w:pStyle w:val="Heading2"/>
        <w:numPr>
          <w:ilvl w:val="1"/>
          <w:numId w:val="1"/>
        </w:numPr>
        <w:rPr>
          <w:lang w:val="en-CA"/>
        </w:rPr>
      </w:pPr>
      <w:r w:rsidRPr="00B75955">
        <w:rPr>
          <w:lang w:val="en-CA"/>
        </w:rPr>
        <w:t>PU foam sector plan, in the amount of US $10,600,000, plus agency support costs for the World Bank;</w:t>
      </w:r>
    </w:p>
    <w:p w14:paraId="0C628265" w14:textId="77777777" w:rsidR="00881319" w:rsidRPr="00B75955" w:rsidRDefault="00881319" w:rsidP="00881319">
      <w:pPr>
        <w:pStyle w:val="Heading2"/>
        <w:numPr>
          <w:ilvl w:val="1"/>
          <w:numId w:val="1"/>
        </w:numPr>
        <w:rPr>
          <w:lang w:val="en-CA"/>
        </w:rPr>
      </w:pPr>
      <w:r w:rsidRPr="00B75955">
        <w:rPr>
          <w:lang w:val="en-CA"/>
        </w:rPr>
        <w:t xml:space="preserve">RAC sector plan, in the amount of US $16,000,000, plus agency support costs for UNIDO and the Government of Italy; and </w:t>
      </w:r>
    </w:p>
    <w:p w14:paraId="3A311171" w14:textId="77777777" w:rsidR="00881319" w:rsidRPr="00B75955" w:rsidRDefault="00881319" w:rsidP="00881319">
      <w:pPr>
        <w:pStyle w:val="Heading2"/>
        <w:numPr>
          <w:ilvl w:val="1"/>
          <w:numId w:val="1"/>
        </w:numPr>
        <w:rPr>
          <w:lang w:val="en-CA"/>
        </w:rPr>
      </w:pPr>
      <w:r w:rsidRPr="00B75955">
        <w:rPr>
          <w:lang w:val="en-CA"/>
        </w:rPr>
        <w:t>Refrigeration servicing sector plan and enabling activities, in the amount of US $2,650,000, plus agency support costs for UNEP and the Government of Japan.</w:t>
      </w:r>
    </w:p>
    <w:p w14:paraId="0776F119" w14:textId="77777777" w:rsidR="00881319" w:rsidRPr="00B75955" w:rsidRDefault="00881319" w:rsidP="00881319">
      <w:pPr>
        <w:rPr>
          <w:i/>
          <w:lang w:val="en-CA"/>
        </w:rPr>
      </w:pPr>
      <w:r w:rsidRPr="00B75955">
        <w:rPr>
          <w:i/>
          <w:lang w:val="en-CA"/>
        </w:rPr>
        <w:t>Completeness of the submission</w:t>
      </w:r>
    </w:p>
    <w:p w14:paraId="790C05C6" w14:textId="77777777" w:rsidR="00881319" w:rsidRPr="00B75955" w:rsidRDefault="00881319" w:rsidP="00881319">
      <w:pPr>
        <w:rPr>
          <w:lang w:val="en-CA"/>
        </w:rPr>
      </w:pPr>
    </w:p>
    <w:p w14:paraId="5D4677E3" w14:textId="77777777" w:rsidR="00881319" w:rsidRPr="00B75955" w:rsidRDefault="00881319" w:rsidP="00881319">
      <w:pPr>
        <w:pStyle w:val="Heading1"/>
        <w:rPr>
          <w:lang w:val="en-CA"/>
        </w:rPr>
      </w:pPr>
      <w:r w:rsidRPr="00B75955">
        <w:rPr>
          <w:lang w:val="en-CA"/>
        </w:rPr>
        <w:t>The Secretariat checked the documents associated with the second tranche requests submitted to the 81</w:t>
      </w:r>
      <w:r w:rsidRPr="00B75955">
        <w:rPr>
          <w:vertAlign w:val="superscript"/>
          <w:lang w:val="en-CA"/>
        </w:rPr>
        <w:t>st</w:t>
      </w:r>
      <w:r w:rsidRPr="00B75955">
        <w:rPr>
          <w:lang w:val="en-CA"/>
        </w:rPr>
        <w:t xml:space="preserve"> meeting and concluded that the requests for the RAC and refrigeration servicing sector plans met the requirements specified in paragraph 5 of the Agreement of stage II of the HPMP, warrant their submission. </w:t>
      </w:r>
    </w:p>
    <w:p w14:paraId="73721C26" w14:textId="77777777" w:rsidR="00881319" w:rsidRPr="00B75955" w:rsidRDefault="00881319" w:rsidP="00881319">
      <w:pPr>
        <w:pStyle w:val="Heading1"/>
        <w:rPr>
          <w:lang w:val="en-CA"/>
        </w:rPr>
      </w:pPr>
      <w:r w:rsidRPr="00B75955">
        <w:rPr>
          <w:lang w:val="en-CA"/>
        </w:rPr>
        <w:t xml:space="preserve">The request for the second tranche of the PU foam sector plan, however, did not meet the requirements specified in paragraph 5 of the Agreement. At the time of submission of the request (i.e., 12 weeks before the Executive Committee meeting), the Grant Agreement between the World Bank and the Government of China had not been signed and, therefore, no disbursement had taken place, either from the World Bank to the Foreign Economic Cooperation Office (FECO) or from FECO to the final beneficiaries. </w:t>
      </w:r>
    </w:p>
    <w:p w14:paraId="7BAED217" w14:textId="77777777" w:rsidR="00881319" w:rsidRPr="00B75955" w:rsidRDefault="00881319" w:rsidP="00881319">
      <w:pPr>
        <w:pStyle w:val="Heading1"/>
        <w:rPr>
          <w:lang w:val="en-CA"/>
        </w:rPr>
      </w:pPr>
      <w:r w:rsidRPr="00B75955">
        <w:rPr>
          <w:lang w:val="en-CA"/>
        </w:rPr>
        <w:t>The World Bank indicated that, despite the non-signature of the agreements, a kick-off workshop for potential beneficiaries in the PU foam sector has been held; potential beneficiaries have been trained in preparing subproject proposals for consideration by FECO; the baseline consumption and existing equipment of potential beneficiaries have been reviewed; and seven enterprises consuming 930 </w:t>
      </w:r>
      <w:proofErr w:type="spellStart"/>
      <w:r w:rsidRPr="00B75955">
        <w:rPr>
          <w:lang w:val="en-CA"/>
        </w:rPr>
        <w:t>mt</w:t>
      </w:r>
      <w:proofErr w:type="spellEnd"/>
      <w:r w:rsidRPr="00B75955">
        <w:rPr>
          <w:lang w:val="en-CA"/>
        </w:rPr>
        <w:t xml:space="preserve"> of </w:t>
      </w:r>
      <w:r w:rsidRPr="00B75955">
        <w:rPr>
          <w:lang w:val="en-CA"/>
        </w:rPr>
        <w:lastRenderedPageBreak/>
        <w:t>HCFC-141b have submitted subproject proposals to FECO for approval. However, as the Grant Agreement has not been signed, FECO would make payments to these enterprises using over US $1.5 million from its own general budget, and not from other Multilateral Fund-supported projects.</w:t>
      </w:r>
    </w:p>
    <w:p w14:paraId="7CBEB8F5" w14:textId="77777777" w:rsidR="00881319" w:rsidRPr="00B75955" w:rsidRDefault="00881319" w:rsidP="00881319">
      <w:pPr>
        <w:pStyle w:val="Heading1"/>
        <w:rPr>
          <w:lang w:val="en-CA"/>
        </w:rPr>
      </w:pPr>
      <w:r w:rsidRPr="00B75955">
        <w:rPr>
          <w:lang w:val="en-CA"/>
        </w:rPr>
        <w:t>The Secretariat noted this approach, which appeared to be contrary to the normal practice for making payments to any beneficiary enterprise only when funding was available from the Multilateral Fund. After careful review of the documents submitted and the additional information provided by the World Bank, the request for funding for the second tranche of the PU foam sector plan is not being presented for consideration at the 81</w:t>
      </w:r>
      <w:r w:rsidRPr="00B75955">
        <w:rPr>
          <w:vertAlign w:val="superscript"/>
          <w:lang w:val="en-CA"/>
        </w:rPr>
        <w:t>st</w:t>
      </w:r>
      <w:r w:rsidRPr="00B75955">
        <w:rPr>
          <w:lang w:val="en-CA"/>
        </w:rPr>
        <w:t xml:space="preserve"> meeting, as it does not meet the minimum requirements for fund release, as decided by the Executive Committee. </w:t>
      </w:r>
    </w:p>
    <w:p w14:paraId="3BCA91E7" w14:textId="77777777" w:rsidR="00881319" w:rsidRPr="00B75955" w:rsidRDefault="00881319" w:rsidP="00881319">
      <w:pPr>
        <w:keepNext/>
        <w:keepLines/>
        <w:rPr>
          <w:u w:val="single"/>
          <w:lang w:val="en-CA"/>
        </w:rPr>
      </w:pPr>
      <w:r w:rsidRPr="00B75955">
        <w:rPr>
          <w:u w:val="single"/>
          <w:lang w:val="en-CA"/>
        </w:rPr>
        <w:t>HCFC consumption and verification report</w:t>
      </w:r>
      <w:r w:rsidRPr="00B75955">
        <w:rPr>
          <w:rStyle w:val="FootnoteReference"/>
          <w:u w:val="single"/>
          <w:lang w:val="en-CA"/>
        </w:rPr>
        <w:footnoteReference w:id="11"/>
      </w:r>
    </w:p>
    <w:p w14:paraId="654C3158" w14:textId="77777777" w:rsidR="00881319" w:rsidRPr="00B75955" w:rsidRDefault="00881319" w:rsidP="00881319">
      <w:pPr>
        <w:keepNext/>
        <w:keepLines/>
        <w:rPr>
          <w:u w:val="single"/>
          <w:lang w:val="en-CA"/>
        </w:rPr>
      </w:pPr>
    </w:p>
    <w:p w14:paraId="370DE26C" w14:textId="77777777" w:rsidR="00881319" w:rsidRPr="00B75955" w:rsidRDefault="00881319" w:rsidP="00881319">
      <w:pPr>
        <w:pStyle w:val="Heading1"/>
        <w:keepNext/>
        <w:keepLines/>
        <w:rPr>
          <w:lang w:val="en-CA"/>
        </w:rPr>
      </w:pPr>
      <w:r w:rsidRPr="00B75955">
        <w:rPr>
          <w:lang w:val="en-CA"/>
        </w:rPr>
        <w:t xml:space="preserve">The Government of China has reported HCFC consumption for 2016 under Article 7 of the Montreal Protocol as shown in Table 3. Overall HCFC consumption in 2016 was 5.5 per cent higher (in ODP tonnes) than in 2015 but still lower than in 2014 and previous years. The reason for the variation in HCFC consumption is mainly the economic slowdown in 2015, followed by economic recovery in 2016. </w:t>
      </w:r>
    </w:p>
    <w:p w14:paraId="2AB420D4" w14:textId="77777777" w:rsidR="00881319" w:rsidRPr="00B75955" w:rsidRDefault="00881319" w:rsidP="00881319">
      <w:pPr>
        <w:pStyle w:val="Heading1"/>
        <w:numPr>
          <w:ilvl w:val="0"/>
          <w:numId w:val="0"/>
        </w:numPr>
        <w:spacing w:after="0"/>
        <w:jc w:val="left"/>
        <w:rPr>
          <w:b/>
          <w:lang w:val="en-CA"/>
        </w:rPr>
      </w:pPr>
      <w:r w:rsidRPr="00B75955">
        <w:rPr>
          <w:b/>
          <w:lang w:val="en-CA"/>
        </w:rPr>
        <w:t>Table 3. HCFC consumption in China (2012 to 2016) (Article 7)</w:t>
      </w:r>
    </w:p>
    <w:tbl>
      <w:tblPr>
        <w:tblW w:w="5000" w:type="pct"/>
        <w:tblInd w:w="-5" w:type="dxa"/>
        <w:tblLayout w:type="fixed"/>
        <w:tblLook w:val="04A0" w:firstRow="1" w:lastRow="0" w:firstColumn="1" w:lastColumn="0" w:noHBand="0" w:noVBand="1"/>
      </w:tblPr>
      <w:tblGrid>
        <w:gridCol w:w="2370"/>
        <w:gridCol w:w="1147"/>
        <w:gridCol w:w="1146"/>
        <w:gridCol w:w="1146"/>
        <w:gridCol w:w="1146"/>
        <w:gridCol w:w="1058"/>
        <w:gridCol w:w="1337"/>
      </w:tblGrid>
      <w:tr w:rsidR="00881319" w:rsidRPr="00B75955" w14:paraId="77E69C2D" w14:textId="77777777" w:rsidTr="00881319">
        <w:trPr>
          <w:trHeight w:val="206"/>
          <w:tblHeader/>
        </w:trPr>
        <w:tc>
          <w:tcPr>
            <w:tcW w:w="1267" w:type="pct"/>
            <w:tcBorders>
              <w:top w:val="single" w:sz="4" w:space="0" w:color="auto"/>
              <w:left w:val="single" w:sz="4" w:space="0" w:color="auto"/>
              <w:bottom w:val="single" w:sz="4" w:space="0" w:color="auto"/>
              <w:right w:val="single" w:sz="4" w:space="0" w:color="auto"/>
            </w:tcBorders>
            <w:shd w:val="clear" w:color="auto" w:fill="auto"/>
            <w:noWrap/>
            <w:hideMark/>
          </w:tcPr>
          <w:p w14:paraId="5B5C2574" w14:textId="77777777" w:rsidR="00881319" w:rsidRPr="00B75955" w:rsidRDefault="00881319" w:rsidP="00881319">
            <w:pPr>
              <w:jc w:val="center"/>
              <w:rPr>
                <w:b/>
                <w:bCs/>
                <w:color w:val="000000"/>
                <w:sz w:val="20"/>
                <w:szCs w:val="20"/>
                <w:lang w:val="en-CA" w:eastAsia="en-CA"/>
              </w:rPr>
            </w:pPr>
            <w:r w:rsidRPr="00B75955">
              <w:rPr>
                <w:b/>
                <w:bCs/>
                <w:color w:val="000000"/>
                <w:sz w:val="20"/>
                <w:szCs w:val="20"/>
                <w:lang w:val="en-CA" w:eastAsia="en-CA"/>
              </w:rPr>
              <w:t>Year</w:t>
            </w:r>
          </w:p>
        </w:tc>
        <w:tc>
          <w:tcPr>
            <w:tcW w:w="613" w:type="pct"/>
            <w:tcBorders>
              <w:top w:val="single" w:sz="4" w:space="0" w:color="auto"/>
              <w:left w:val="nil"/>
              <w:bottom w:val="single" w:sz="4" w:space="0" w:color="auto"/>
              <w:right w:val="single" w:sz="4" w:space="0" w:color="auto"/>
            </w:tcBorders>
            <w:shd w:val="clear" w:color="auto" w:fill="auto"/>
            <w:noWrap/>
          </w:tcPr>
          <w:p w14:paraId="7915B512" w14:textId="77777777" w:rsidR="00881319" w:rsidRPr="00B75955" w:rsidRDefault="00881319" w:rsidP="00881319">
            <w:pPr>
              <w:jc w:val="center"/>
              <w:rPr>
                <w:b/>
                <w:bCs/>
                <w:color w:val="000000"/>
                <w:sz w:val="20"/>
                <w:szCs w:val="20"/>
                <w:lang w:val="en-CA" w:eastAsia="en-CA"/>
              </w:rPr>
            </w:pPr>
            <w:r w:rsidRPr="00B75955">
              <w:rPr>
                <w:b/>
                <w:bCs/>
                <w:color w:val="000000"/>
                <w:sz w:val="20"/>
                <w:szCs w:val="20"/>
                <w:lang w:val="en-CA" w:eastAsia="en-CA"/>
              </w:rPr>
              <w:t>2012</w:t>
            </w:r>
          </w:p>
        </w:tc>
        <w:tc>
          <w:tcPr>
            <w:tcW w:w="613" w:type="pct"/>
            <w:tcBorders>
              <w:top w:val="single" w:sz="4" w:space="0" w:color="auto"/>
              <w:left w:val="nil"/>
              <w:bottom w:val="single" w:sz="4" w:space="0" w:color="auto"/>
              <w:right w:val="single" w:sz="4" w:space="0" w:color="auto"/>
            </w:tcBorders>
            <w:shd w:val="clear" w:color="auto" w:fill="auto"/>
            <w:noWrap/>
          </w:tcPr>
          <w:p w14:paraId="50D05CE3" w14:textId="77777777" w:rsidR="00881319" w:rsidRPr="00B75955" w:rsidRDefault="00881319" w:rsidP="00881319">
            <w:pPr>
              <w:jc w:val="center"/>
              <w:rPr>
                <w:b/>
                <w:bCs/>
                <w:iCs/>
                <w:color w:val="000000"/>
                <w:sz w:val="20"/>
                <w:szCs w:val="20"/>
                <w:lang w:val="en-CA" w:eastAsia="en-CA"/>
              </w:rPr>
            </w:pPr>
            <w:r w:rsidRPr="00B75955">
              <w:rPr>
                <w:b/>
                <w:bCs/>
                <w:iCs/>
                <w:color w:val="000000"/>
                <w:sz w:val="20"/>
                <w:szCs w:val="20"/>
                <w:lang w:val="en-CA" w:eastAsia="en-CA"/>
              </w:rPr>
              <w:t>2013</w:t>
            </w:r>
          </w:p>
        </w:tc>
        <w:tc>
          <w:tcPr>
            <w:tcW w:w="613" w:type="pct"/>
            <w:tcBorders>
              <w:top w:val="single" w:sz="4" w:space="0" w:color="auto"/>
              <w:left w:val="nil"/>
              <w:bottom w:val="single" w:sz="4" w:space="0" w:color="auto"/>
              <w:right w:val="single" w:sz="4" w:space="0" w:color="auto"/>
            </w:tcBorders>
            <w:shd w:val="clear" w:color="auto" w:fill="auto"/>
            <w:noWrap/>
          </w:tcPr>
          <w:p w14:paraId="6488594A" w14:textId="77777777" w:rsidR="00881319" w:rsidRPr="00B75955" w:rsidRDefault="00881319" w:rsidP="00881319">
            <w:pPr>
              <w:jc w:val="center"/>
              <w:rPr>
                <w:b/>
                <w:bCs/>
                <w:iCs/>
                <w:color w:val="000000"/>
                <w:sz w:val="20"/>
                <w:szCs w:val="20"/>
                <w:lang w:val="en-CA" w:eastAsia="en-CA"/>
              </w:rPr>
            </w:pPr>
            <w:r w:rsidRPr="00B75955">
              <w:rPr>
                <w:b/>
                <w:bCs/>
                <w:iCs/>
                <w:color w:val="000000"/>
                <w:sz w:val="20"/>
                <w:szCs w:val="20"/>
                <w:lang w:val="en-CA" w:eastAsia="en-CA"/>
              </w:rPr>
              <w:t>2014</w:t>
            </w:r>
          </w:p>
        </w:tc>
        <w:tc>
          <w:tcPr>
            <w:tcW w:w="613" w:type="pct"/>
            <w:tcBorders>
              <w:top w:val="single" w:sz="4" w:space="0" w:color="auto"/>
              <w:left w:val="nil"/>
              <w:bottom w:val="single" w:sz="4" w:space="0" w:color="auto"/>
              <w:right w:val="single" w:sz="4" w:space="0" w:color="auto"/>
            </w:tcBorders>
          </w:tcPr>
          <w:p w14:paraId="5DD64A24" w14:textId="77777777" w:rsidR="00881319" w:rsidRPr="00B75955" w:rsidRDefault="00881319" w:rsidP="00881319">
            <w:pPr>
              <w:jc w:val="center"/>
              <w:rPr>
                <w:b/>
                <w:bCs/>
                <w:iCs/>
                <w:color w:val="000000"/>
                <w:sz w:val="20"/>
                <w:szCs w:val="20"/>
                <w:lang w:val="en-CA" w:eastAsia="en-CA"/>
              </w:rPr>
            </w:pPr>
            <w:r w:rsidRPr="00B75955">
              <w:rPr>
                <w:b/>
                <w:bCs/>
                <w:iCs/>
                <w:color w:val="000000"/>
                <w:sz w:val="20"/>
                <w:szCs w:val="20"/>
                <w:lang w:val="en-CA" w:eastAsia="en-CA"/>
              </w:rPr>
              <w:t>2015</w:t>
            </w:r>
          </w:p>
        </w:tc>
        <w:tc>
          <w:tcPr>
            <w:tcW w:w="566" w:type="pct"/>
            <w:tcBorders>
              <w:top w:val="single" w:sz="4" w:space="0" w:color="auto"/>
              <w:left w:val="single" w:sz="4" w:space="0" w:color="auto"/>
              <w:bottom w:val="single" w:sz="4" w:space="0" w:color="auto"/>
              <w:right w:val="single" w:sz="4" w:space="0" w:color="auto"/>
            </w:tcBorders>
          </w:tcPr>
          <w:p w14:paraId="00E73441" w14:textId="77777777" w:rsidR="00881319" w:rsidRPr="00B75955" w:rsidRDefault="00881319" w:rsidP="00881319">
            <w:pPr>
              <w:jc w:val="center"/>
              <w:rPr>
                <w:b/>
                <w:bCs/>
                <w:iCs/>
                <w:color w:val="000000"/>
                <w:sz w:val="20"/>
                <w:szCs w:val="20"/>
                <w:lang w:val="en-CA" w:eastAsia="en-CA"/>
              </w:rPr>
            </w:pPr>
            <w:r w:rsidRPr="00B75955">
              <w:rPr>
                <w:b/>
                <w:bCs/>
                <w:iCs/>
                <w:color w:val="000000"/>
                <w:sz w:val="20"/>
                <w:szCs w:val="20"/>
                <w:lang w:val="en-CA" w:eastAsia="en-CA"/>
              </w:rPr>
              <w:t>2016</w:t>
            </w:r>
          </w:p>
        </w:tc>
        <w:tc>
          <w:tcPr>
            <w:tcW w:w="714"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14:paraId="40CC47AD" w14:textId="77777777" w:rsidR="00881319" w:rsidRPr="00B75955" w:rsidRDefault="00881319" w:rsidP="00881319">
            <w:pPr>
              <w:jc w:val="center"/>
              <w:rPr>
                <w:b/>
                <w:bCs/>
                <w:iCs/>
                <w:color w:val="000000"/>
                <w:sz w:val="20"/>
                <w:szCs w:val="20"/>
                <w:lang w:val="en-CA" w:eastAsia="en-CA"/>
              </w:rPr>
            </w:pPr>
            <w:r w:rsidRPr="00B75955">
              <w:rPr>
                <w:b/>
                <w:bCs/>
                <w:iCs/>
                <w:color w:val="000000"/>
                <w:sz w:val="20"/>
                <w:szCs w:val="20"/>
                <w:lang w:val="en-CA" w:eastAsia="en-CA"/>
              </w:rPr>
              <w:t>Starting point</w:t>
            </w:r>
          </w:p>
        </w:tc>
      </w:tr>
      <w:tr w:rsidR="00881319" w:rsidRPr="00B75955" w14:paraId="59639991" w14:textId="77777777" w:rsidTr="00881319">
        <w:trPr>
          <w:trHeight w:val="176"/>
          <w:tblHeader/>
        </w:trPr>
        <w:tc>
          <w:tcPr>
            <w:tcW w:w="1267" w:type="pct"/>
            <w:tcBorders>
              <w:top w:val="single" w:sz="4" w:space="0" w:color="auto"/>
              <w:left w:val="single" w:sz="4" w:space="0" w:color="auto"/>
              <w:bottom w:val="single" w:sz="4" w:space="0" w:color="auto"/>
              <w:right w:val="single" w:sz="4" w:space="0" w:color="auto"/>
            </w:tcBorders>
          </w:tcPr>
          <w:p w14:paraId="650257F7" w14:textId="77777777" w:rsidR="00881319" w:rsidRPr="00B75955" w:rsidRDefault="00881319" w:rsidP="00881319">
            <w:pPr>
              <w:jc w:val="center"/>
              <w:rPr>
                <w:b/>
                <w:bCs/>
                <w:iCs/>
                <w:color w:val="000000"/>
                <w:sz w:val="20"/>
                <w:szCs w:val="20"/>
                <w:lang w:val="en-CA" w:eastAsia="en-CA"/>
              </w:rPr>
            </w:pPr>
          </w:p>
        </w:tc>
        <w:tc>
          <w:tcPr>
            <w:tcW w:w="3733" w:type="pct"/>
            <w:gridSpan w:val="6"/>
            <w:tcBorders>
              <w:top w:val="single" w:sz="4" w:space="0" w:color="auto"/>
              <w:left w:val="single" w:sz="4" w:space="0" w:color="auto"/>
              <w:bottom w:val="single" w:sz="4" w:space="0" w:color="auto"/>
              <w:right w:val="single" w:sz="4" w:space="0" w:color="auto"/>
            </w:tcBorders>
          </w:tcPr>
          <w:p w14:paraId="25F5950B" w14:textId="77777777" w:rsidR="00881319" w:rsidRPr="00B75955" w:rsidRDefault="00881319" w:rsidP="00881319">
            <w:pPr>
              <w:jc w:val="center"/>
              <w:rPr>
                <w:b/>
                <w:bCs/>
                <w:iCs/>
                <w:color w:val="000000"/>
                <w:sz w:val="20"/>
                <w:szCs w:val="20"/>
                <w:lang w:val="en-CA" w:eastAsia="en-CA"/>
              </w:rPr>
            </w:pPr>
            <w:r w:rsidRPr="00B75955">
              <w:rPr>
                <w:b/>
                <w:bCs/>
                <w:color w:val="000000"/>
                <w:sz w:val="20"/>
                <w:szCs w:val="20"/>
                <w:lang w:val="en-CA" w:eastAsia="en-CA"/>
              </w:rPr>
              <w:t>Metric tonnes</w:t>
            </w:r>
          </w:p>
        </w:tc>
      </w:tr>
      <w:tr w:rsidR="00881319" w:rsidRPr="00B75955" w14:paraId="553B4B74" w14:textId="77777777" w:rsidTr="00881319">
        <w:trPr>
          <w:trHeight w:val="124"/>
        </w:trPr>
        <w:tc>
          <w:tcPr>
            <w:tcW w:w="1267" w:type="pct"/>
            <w:tcBorders>
              <w:top w:val="nil"/>
              <w:left w:val="single" w:sz="4" w:space="0" w:color="auto"/>
              <w:bottom w:val="single" w:sz="4" w:space="0" w:color="auto"/>
              <w:right w:val="single" w:sz="4" w:space="0" w:color="auto"/>
            </w:tcBorders>
            <w:shd w:val="clear" w:color="auto" w:fill="auto"/>
            <w:noWrap/>
            <w:hideMark/>
          </w:tcPr>
          <w:p w14:paraId="5D072FF5"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HCFC-22</w:t>
            </w:r>
          </w:p>
        </w:tc>
        <w:tc>
          <w:tcPr>
            <w:tcW w:w="613" w:type="pct"/>
            <w:tcBorders>
              <w:top w:val="nil"/>
              <w:left w:val="nil"/>
              <w:bottom w:val="single" w:sz="4" w:space="0" w:color="auto"/>
              <w:right w:val="single" w:sz="4" w:space="0" w:color="auto"/>
            </w:tcBorders>
            <w:shd w:val="clear" w:color="auto" w:fill="auto"/>
            <w:noWrap/>
          </w:tcPr>
          <w:p w14:paraId="77C7B380"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237,397</w:t>
            </w:r>
          </w:p>
        </w:tc>
        <w:tc>
          <w:tcPr>
            <w:tcW w:w="613" w:type="pct"/>
            <w:tcBorders>
              <w:top w:val="nil"/>
              <w:left w:val="nil"/>
              <w:bottom w:val="single" w:sz="4" w:space="0" w:color="auto"/>
              <w:right w:val="single" w:sz="4" w:space="0" w:color="auto"/>
            </w:tcBorders>
            <w:shd w:val="clear" w:color="auto" w:fill="auto"/>
            <w:noWrap/>
          </w:tcPr>
          <w:p w14:paraId="433E2C1D"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179,350</w:t>
            </w:r>
          </w:p>
        </w:tc>
        <w:tc>
          <w:tcPr>
            <w:tcW w:w="613" w:type="pct"/>
            <w:tcBorders>
              <w:top w:val="nil"/>
              <w:left w:val="nil"/>
              <w:bottom w:val="single" w:sz="4" w:space="0" w:color="auto"/>
              <w:right w:val="single" w:sz="4" w:space="0" w:color="auto"/>
            </w:tcBorders>
            <w:shd w:val="clear" w:color="auto" w:fill="auto"/>
            <w:noWrap/>
          </w:tcPr>
          <w:p w14:paraId="432F1CB1" w14:textId="77777777" w:rsidR="00881319" w:rsidRPr="00B75955" w:rsidRDefault="00881319" w:rsidP="00881319">
            <w:pPr>
              <w:jc w:val="right"/>
              <w:rPr>
                <w:sz w:val="20"/>
                <w:szCs w:val="20"/>
                <w:lang w:val="en-CA"/>
              </w:rPr>
            </w:pPr>
            <w:r w:rsidRPr="00B75955">
              <w:rPr>
                <w:sz w:val="20"/>
                <w:szCs w:val="20"/>
                <w:lang w:val="en-CA"/>
              </w:rPr>
              <w:t>190,318</w:t>
            </w:r>
          </w:p>
        </w:tc>
        <w:tc>
          <w:tcPr>
            <w:tcW w:w="613" w:type="pct"/>
            <w:tcBorders>
              <w:top w:val="single" w:sz="4" w:space="0" w:color="auto"/>
              <w:left w:val="nil"/>
              <w:bottom w:val="single" w:sz="4" w:space="0" w:color="auto"/>
              <w:right w:val="single" w:sz="4" w:space="0" w:color="auto"/>
            </w:tcBorders>
          </w:tcPr>
          <w:p w14:paraId="016C8912" w14:textId="77777777" w:rsidR="00881319" w:rsidRPr="00B75955" w:rsidRDefault="00881319" w:rsidP="00881319">
            <w:pPr>
              <w:jc w:val="right"/>
              <w:rPr>
                <w:sz w:val="20"/>
                <w:szCs w:val="20"/>
                <w:lang w:val="en-CA"/>
              </w:rPr>
            </w:pPr>
            <w:r w:rsidRPr="00B75955">
              <w:rPr>
                <w:sz w:val="20"/>
                <w:szCs w:val="20"/>
                <w:lang w:val="en-CA"/>
              </w:rPr>
              <w:t>153,971</w:t>
            </w:r>
          </w:p>
        </w:tc>
        <w:tc>
          <w:tcPr>
            <w:tcW w:w="566" w:type="pct"/>
            <w:tcBorders>
              <w:top w:val="nil"/>
              <w:left w:val="single" w:sz="4" w:space="0" w:color="auto"/>
              <w:bottom w:val="single" w:sz="4" w:space="0" w:color="auto"/>
              <w:right w:val="single" w:sz="4" w:space="0" w:color="auto"/>
            </w:tcBorders>
          </w:tcPr>
          <w:p w14:paraId="3BD3380E"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168,696</w:t>
            </w:r>
          </w:p>
        </w:tc>
        <w:tc>
          <w:tcPr>
            <w:tcW w:w="714" w:type="pct"/>
            <w:tcBorders>
              <w:top w:val="nil"/>
              <w:left w:val="single" w:sz="4" w:space="0" w:color="auto"/>
              <w:bottom w:val="single" w:sz="4" w:space="0" w:color="auto"/>
              <w:right w:val="single" w:sz="4" w:space="0" w:color="auto"/>
            </w:tcBorders>
            <w:shd w:val="clear" w:color="auto" w:fill="auto"/>
            <w:noWrap/>
          </w:tcPr>
          <w:p w14:paraId="311A33A0"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209,006</w:t>
            </w:r>
          </w:p>
        </w:tc>
      </w:tr>
      <w:tr w:rsidR="00881319" w:rsidRPr="00B75955" w14:paraId="72E0919C" w14:textId="77777777" w:rsidTr="00881319">
        <w:trPr>
          <w:trHeight w:val="215"/>
        </w:trPr>
        <w:tc>
          <w:tcPr>
            <w:tcW w:w="1267" w:type="pct"/>
            <w:tcBorders>
              <w:top w:val="nil"/>
              <w:left w:val="single" w:sz="4" w:space="0" w:color="auto"/>
              <w:bottom w:val="single" w:sz="4" w:space="0" w:color="auto"/>
              <w:right w:val="single" w:sz="4" w:space="0" w:color="auto"/>
            </w:tcBorders>
            <w:shd w:val="clear" w:color="auto" w:fill="auto"/>
            <w:noWrap/>
            <w:hideMark/>
          </w:tcPr>
          <w:p w14:paraId="5ECA822C"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HCFC-123</w:t>
            </w:r>
          </w:p>
        </w:tc>
        <w:tc>
          <w:tcPr>
            <w:tcW w:w="613" w:type="pct"/>
            <w:tcBorders>
              <w:top w:val="nil"/>
              <w:left w:val="nil"/>
              <w:bottom w:val="single" w:sz="4" w:space="0" w:color="auto"/>
              <w:right w:val="single" w:sz="4" w:space="0" w:color="auto"/>
            </w:tcBorders>
            <w:shd w:val="clear" w:color="auto" w:fill="auto"/>
            <w:noWrap/>
          </w:tcPr>
          <w:p w14:paraId="19F0B471"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778</w:t>
            </w:r>
          </w:p>
        </w:tc>
        <w:tc>
          <w:tcPr>
            <w:tcW w:w="613" w:type="pct"/>
            <w:tcBorders>
              <w:top w:val="nil"/>
              <w:left w:val="nil"/>
              <w:bottom w:val="single" w:sz="4" w:space="0" w:color="auto"/>
              <w:right w:val="single" w:sz="4" w:space="0" w:color="auto"/>
            </w:tcBorders>
            <w:shd w:val="clear" w:color="auto" w:fill="auto"/>
            <w:noWrap/>
          </w:tcPr>
          <w:p w14:paraId="42472074"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998</w:t>
            </w:r>
          </w:p>
        </w:tc>
        <w:tc>
          <w:tcPr>
            <w:tcW w:w="613" w:type="pct"/>
            <w:tcBorders>
              <w:top w:val="nil"/>
              <w:left w:val="nil"/>
              <w:bottom w:val="single" w:sz="4" w:space="0" w:color="auto"/>
              <w:right w:val="single" w:sz="4" w:space="0" w:color="auto"/>
            </w:tcBorders>
            <w:shd w:val="clear" w:color="auto" w:fill="auto"/>
            <w:noWrap/>
          </w:tcPr>
          <w:p w14:paraId="3DB4CDF8" w14:textId="77777777" w:rsidR="00881319" w:rsidRPr="00B75955" w:rsidRDefault="00881319" w:rsidP="00881319">
            <w:pPr>
              <w:jc w:val="right"/>
              <w:rPr>
                <w:sz w:val="20"/>
                <w:szCs w:val="20"/>
                <w:lang w:val="en-CA"/>
              </w:rPr>
            </w:pPr>
            <w:r w:rsidRPr="00B75955">
              <w:rPr>
                <w:sz w:val="20"/>
                <w:szCs w:val="20"/>
                <w:lang w:val="en-CA"/>
              </w:rPr>
              <w:t>1,006</w:t>
            </w:r>
          </w:p>
        </w:tc>
        <w:tc>
          <w:tcPr>
            <w:tcW w:w="613" w:type="pct"/>
            <w:tcBorders>
              <w:top w:val="single" w:sz="4" w:space="0" w:color="auto"/>
              <w:left w:val="nil"/>
              <w:bottom w:val="single" w:sz="4" w:space="0" w:color="auto"/>
              <w:right w:val="single" w:sz="4" w:space="0" w:color="auto"/>
            </w:tcBorders>
          </w:tcPr>
          <w:p w14:paraId="5C4E760A" w14:textId="77777777" w:rsidR="00881319" w:rsidRPr="00B75955" w:rsidRDefault="00881319" w:rsidP="00881319">
            <w:pPr>
              <w:jc w:val="right"/>
              <w:rPr>
                <w:sz w:val="20"/>
                <w:szCs w:val="20"/>
                <w:lang w:val="en-CA"/>
              </w:rPr>
            </w:pPr>
            <w:r w:rsidRPr="00B75955">
              <w:rPr>
                <w:sz w:val="20"/>
                <w:szCs w:val="20"/>
                <w:lang w:val="en-CA"/>
              </w:rPr>
              <w:t>900</w:t>
            </w:r>
          </w:p>
        </w:tc>
        <w:tc>
          <w:tcPr>
            <w:tcW w:w="566" w:type="pct"/>
            <w:tcBorders>
              <w:top w:val="nil"/>
              <w:left w:val="single" w:sz="4" w:space="0" w:color="auto"/>
              <w:bottom w:val="single" w:sz="4" w:space="0" w:color="auto"/>
              <w:right w:val="single" w:sz="4" w:space="0" w:color="auto"/>
            </w:tcBorders>
          </w:tcPr>
          <w:p w14:paraId="49133A65"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943</w:t>
            </w:r>
          </w:p>
        </w:tc>
        <w:tc>
          <w:tcPr>
            <w:tcW w:w="714" w:type="pct"/>
            <w:tcBorders>
              <w:top w:val="nil"/>
              <w:left w:val="single" w:sz="4" w:space="0" w:color="auto"/>
              <w:bottom w:val="single" w:sz="4" w:space="0" w:color="auto"/>
              <w:right w:val="single" w:sz="4" w:space="0" w:color="auto"/>
            </w:tcBorders>
            <w:shd w:val="clear" w:color="auto" w:fill="auto"/>
            <w:noWrap/>
          </w:tcPr>
          <w:p w14:paraId="01B40997"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507</w:t>
            </w:r>
          </w:p>
        </w:tc>
      </w:tr>
      <w:tr w:rsidR="00881319" w:rsidRPr="00B75955" w14:paraId="14B9E520" w14:textId="77777777" w:rsidTr="00881319">
        <w:trPr>
          <w:trHeight w:val="215"/>
        </w:trPr>
        <w:tc>
          <w:tcPr>
            <w:tcW w:w="1267" w:type="pct"/>
            <w:tcBorders>
              <w:top w:val="nil"/>
              <w:left w:val="single" w:sz="4" w:space="0" w:color="auto"/>
              <w:bottom w:val="single" w:sz="4" w:space="0" w:color="auto"/>
              <w:right w:val="single" w:sz="4" w:space="0" w:color="auto"/>
            </w:tcBorders>
            <w:shd w:val="clear" w:color="auto" w:fill="auto"/>
            <w:noWrap/>
            <w:hideMark/>
          </w:tcPr>
          <w:p w14:paraId="2C3F10E0"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HCFC-124</w:t>
            </w:r>
          </w:p>
        </w:tc>
        <w:tc>
          <w:tcPr>
            <w:tcW w:w="613" w:type="pct"/>
            <w:tcBorders>
              <w:top w:val="nil"/>
              <w:left w:val="nil"/>
              <w:bottom w:val="single" w:sz="4" w:space="0" w:color="auto"/>
              <w:right w:val="single" w:sz="4" w:space="0" w:color="auto"/>
            </w:tcBorders>
            <w:shd w:val="clear" w:color="auto" w:fill="auto"/>
            <w:noWrap/>
          </w:tcPr>
          <w:p w14:paraId="0A772DE1"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(6)</w:t>
            </w:r>
          </w:p>
        </w:tc>
        <w:tc>
          <w:tcPr>
            <w:tcW w:w="613" w:type="pct"/>
            <w:tcBorders>
              <w:top w:val="nil"/>
              <w:left w:val="nil"/>
              <w:bottom w:val="single" w:sz="4" w:space="0" w:color="auto"/>
              <w:right w:val="single" w:sz="4" w:space="0" w:color="auto"/>
            </w:tcBorders>
            <w:shd w:val="clear" w:color="auto" w:fill="auto"/>
            <w:noWrap/>
          </w:tcPr>
          <w:p w14:paraId="1927D5AD" w14:textId="77777777" w:rsidR="00881319" w:rsidRPr="00B75955" w:rsidRDefault="00881319" w:rsidP="00881319">
            <w:pPr>
              <w:jc w:val="right"/>
              <w:rPr>
                <w:iCs/>
                <w:color w:val="000000"/>
                <w:sz w:val="20"/>
                <w:szCs w:val="20"/>
                <w:lang w:val="en-CA" w:eastAsia="en-CA"/>
              </w:rPr>
            </w:pPr>
            <w:r w:rsidRPr="00B75955">
              <w:rPr>
                <w:color w:val="000000"/>
                <w:sz w:val="20"/>
                <w:szCs w:val="20"/>
                <w:lang w:val="en-CA"/>
              </w:rPr>
              <w:t>32</w:t>
            </w:r>
          </w:p>
        </w:tc>
        <w:tc>
          <w:tcPr>
            <w:tcW w:w="613" w:type="pct"/>
            <w:tcBorders>
              <w:top w:val="nil"/>
              <w:left w:val="nil"/>
              <w:bottom w:val="single" w:sz="4" w:space="0" w:color="auto"/>
              <w:right w:val="single" w:sz="4" w:space="0" w:color="auto"/>
            </w:tcBorders>
            <w:shd w:val="clear" w:color="auto" w:fill="auto"/>
            <w:noWrap/>
          </w:tcPr>
          <w:p w14:paraId="283D0585" w14:textId="77777777" w:rsidR="00881319" w:rsidRPr="00B75955" w:rsidRDefault="00881319" w:rsidP="00881319">
            <w:pPr>
              <w:jc w:val="right"/>
              <w:rPr>
                <w:sz w:val="20"/>
                <w:szCs w:val="20"/>
                <w:lang w:val="en-CA"/>
              </w:rPr>
            </w:pPr>
            <w:r w:rsidRPr="00B75955">
              <w:rPr>
                <w:sz w:val="20"/>
                <w:szCs w:val="20"/>
                <w:lang w:val="en-CA"/>
              </w:rPr>
              <w:t>96</w:t>
            </w:r>
          </w:p>
        </w:tc>
        <w:tc>
          <w:tcPr>
            <w:tcW w:w="613" w:type="pct"/>
            <w:tcBorders>
              <w:top w:val="single" w:sz="4" w:space="0" w:color="auto"/>
              <w:left w:val="nil"/>
              <w:bottom w:val="single" w:sz="4" w:space="0" w:color="auto"/>
              <w:right w:val="single" w:sz="4" w:space="0" w:color="auto"/>
            </w:tcBorders>
          </w:tcPr>
          <w:p w14:paraId="48099795" w14:textId="77777777" w:rsidR="00881319" w:rsidRPr="00B75955" w:rsidRDefault="00881319" w:rsidP="00881319">
            <w:pPr>
              <w:jc w:val="right"/>
              <w:rPr>
                <w:sz w:val="20"/>
                <w:szCs w:val="20"/>
                <w:lang w:val="en-CA"/>
              </w:rPr>
            </w:pPr>
            <w:r w:rsidRPr="00B75955">
              <w:rPr>
                <w:sz w:val="20"/>
                <w:szCs w:val="20"/>
                <w:lang w:val="en-CA"/>
              </w:rPr>
              <w:t>(46)</w:t>
            </w:r>
          </w:p>
        </w:tc>
        <w:tc>
          <w:tcPr>
            <w:tcW w:w="566" w:type="pct"/>
            <w:tcBorders>
              <w:top w:val="nil"/>
              <w:left w:val="single" w:sz="4" w:space="0" w:color="auto"/>
              <w:bottom w:val="single" w:sz="4" w:space="0" w:color="auto"/>
              <w:right w:val="single" w:sz="4" w:space="0" w:color="auto"/>
            </w:tcBorders>
          </w:tcPr>
          <w:p w14:paraId="330907EC"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67</w:t>
            </w:r>
          </w:p>
        </w:tc>
        <w:tc>
          <w:tcPr>
            <w:tcW w:w="714" w:type="pct"/>
            <w:tcBorders>
              <w:top w:val="nil"/>
              <w:left w:val="single" w:sz="4" w:space="0" w:color="auto"/>
              <w:bottom w:val="single" w:sz="4" w:space="0" w:color="auto"/>
              <w:right w:val="single" w:sz="4" w:space="0" w:color="auto"/>
            </w:tcBorders>
            <w:shd w:val="clear" w:color="auto" w:fill="auto"/>
            <w:noWrap/>
          </w:tcPr>
          <w:p w14:paraId="7C81A593"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140</w:t>
            </w:r>
          </w:p>
        </w:tc>
      </w:tr>
      <w:tr w:rsidR="00881319" w:rsidRPr="00B75955" w14:paraId="26FFE6A2" w14:textId="77777777" w:rsidTr="00881319">
        <w:trPr>
          <w:trHeight w:val="228"/>
        </w:trPr>
        <w:tc>
          <w:tcPr>
            <w:tcW w:w="1267" w:type="pct"/>
            <w:tcBorders>
              <w:top w:val="nil"/>
              <w:left w:val="single" w:sz="4" w:space="0" w:color="auto"/>
              <w:bottom w:val="single" w:sz="4" w:space="0" w:color="auto"/>
              <w:right w:val="single" w:sz="4" w:space="0" w:color="auto"/>
            </w:tcBorders>
            <w:shd w:val="clear" w:color="auto" w:fill="auto"/>
            <w:noWrap/>
            <w:hideMark/>
          </w:tcPr>
          <w:p w14:paraId="3A97C5AE"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HCFC-141b</w:t>
            </w:r>
          </w:p>
        </w:tc>
        <w:tc>
          <w:tcPr>
            <w:tcW w:w="613" w:type="pct"/>
            <w:tcBorders>
              <w:top w:val="nil"/>
              <w:left w:val="nil"/>
              <w:bottom w:val="single" w:sz="4" w:space="0" w:color="auto"/>
              <w:right w:val="single" w:sz="4" w:space="0" w:color="auto"/>
            </w:tcBorders>
            <w:shd w:val="clear" w:color="auto" w:fill="auto"/>
            <w:noWrap/>
          </w:tcPr>
          <w:p w14:paraId="6B8781DE"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63,864</w:t>
            </w:r>
          </w:p>
        </w:tc>
        <w:tc>
          <w:tcPr>
            <w:tcW w:w="613" w:type="pct"/>
            <w:tcBorders>
              <w:top w:val="nil"/>
              <w:left w:val="nil"/>
              <w:bottom w:val="single" w:sz="4" w:space="0" w:color="auto"/>
              <w:right w:val="single" w:sz="4" w:space="0" w:color="auto"/>
            </w:tcBorders>
            <w:shd w:val="clear" w:color="auto" w:fill="auto"/>
            <w:noWrap/>
          </w:tcPr>
          <w:p w14:paraId="488E23CC" w14:textId="77777777" w:rsidR="00881319" w:rsidRPr="00B75955" w:rsidRDefault="00881319" w:rsidP="00881319">
            <w:pPr>
              <w:jc w:val="right"/>
              <w:rPr>
                <w:iCs/>
                <w:color w:val="000000"/>
                <w:sz w:val="20"/>
                <w:szCs w:val="20"/>
                <w:lang w:val="en-CA" w:eastAsia="en-CA"/>
              </w:rPr>
            </w:pPr>
            <w:r w:rsidRPr="00B75955">
              <w:rPr>
                <w:color w:val="000000"/>
                <w:sz w:val="20"/>
                <w:szCs w:val="20"/>
                <w:lang w:val="en-CA"/>
              </w:rPr>
              <w:t>47,631</w:t>
            </w:r>
          </w:p>
        </w:tc>
        <w:tc>
          <w:tcPr>
            <w:tcW w:w="613" w:type="pct"/>
            <w:tcBorders>
              <w:top w:val="nil"/>
              <w:left w:val="nil"/>
              <w:bottom w:val="single" w:sz="4" w:space="0" w:color="auto"/>
              <w:right w:val="single" w:sz="4" w:space="0" w:color="auto"/>
            </w:tcBorders>
            <w:shd w:val="clear" w:color="auto" w:fill="auto"/>
            <w:noWrap/>
          </w:tcPr>
          <w:p w14:paraId="10003695" w14:textId="77777777" w:rsidR="00881319" w:rsidRPr="00B75955" w:rsidRDefault="00881319" w:rsidP="00881319">
            <w:pPr>
              <w:jc w:val="right"/>
              <w:rPr>
                <w:sz w:val="20"/>
                <w:szCs w:val="20"/>
                <w:lang w:val="en-CA"/>
              </w:rPr>
            </w:pPr>
            <w:r w:rsidRPr="00B75955">
              <w:rPr>
                <w:sz w:val="20"/>
                <w:szCs w:val="20"/>
                <w:lang w:val="en-CA"/>
              </w:rPr>
              <w:t>51,848</w:t>
            </w:r>
          </w:p>
        </w:tc>
        <w:tc>
          <w:tcPr>
            <w:tcW w:w="613" w:type="pct"/>
            <w:tcBorders>
              <w:top w:val="single" w:sz="4" w:space="0" w:color="auto"/>
              <w:left w:val="nil"/>
              <w:bottom w:val="single" w:sz="4" w:space="0" w:color="auto"/>
              <w:right w:val="single" w:sz="4" w:space="0" w:color="auto"/>
            </w:tcBorders>
          </w:tcPr>
          <w:p w14:paraId="733AB410" w14:textId="77777777" w:rsidR="00881319" w:rsidRPr="00B75955" w:rsidRDefault="00881319" w:rsidP="00881319">
            <w:pPr>
              <w:jc w:val="right"/>
              <w:rPr>
                <w:sz w:val="20"/>
                <w:szCs w:val="20"/>
                <w:lang w:val="en-CA"/>
              </w:rPr>
            </w:pPr>
            <w:r w:rsidRPr="00B75955">
              <w:rPr>
                <w:sz w:val="20"/>
                <w:szCs w:val="20"/>
                <w:lang w:val="en-CA"/>
              </w:rPr>
              <w:t>38,584</w:t>
            </w:r>
          </w:p>
        </w:tc>
        <w:tc>
          <w:tcPr>
            <w:tcW w:w="566" w:type="pct"/>
            <w:tcBorders>
              <w:top w:val="nil"/>
              <w:left w:val="single" w:sz="4" w:space="0" w:color="auto"/>
              <w:bottom w:val="single" w:sz="4" w:space="0" w:color="auto"/>
              <w:right w:val="single" w:sz="4" w:space="0" w:color="auto"/>
            </w:tcBorders>
          </w:tcPr>
          <w:p w14:paraId="2E1AC406"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39,144</w:t>
            </w:r>
          </w:p>
        </w:tc>
        <w:tc>
          <w:tcPr>
            <w:tcW w:w="714" w:type="pct"/>
            <w:tcBorders>
              <w:top w:val="nil"/>
              <w:left w:val="single" w:sz="4" w:space="0" w:color="auto"/>
              <w:bottom w:val="single" w:sz="4" w:space="0" w:color="auto"/>
              <w:right w:val="single" w:sz="4" w:space="0" w:color="auto"/>
            </w:tcBorders>
            <w:shd w:val="clear" w:color="auto" w:fill="auto"/>
            <w:noWrap/>
          </w:tcPr>
          <w:p w14:paraId="53DED78C"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53,502</w:t>
            </w:r>
          </w:p>
        </w:tc>
      </w:tr>
      <w:tr w:rsidR="00881319" w:rsidRPr="00B75955" w14:paraId="6C2A8EF0" w14:textId="77777777" w:rsidTr="00881319">
        <w:trPr>
          <w:trHeight w:val="134"/>
        </w:trPr>
        <w:tc>
          <w:tcPr>
            <w:tcW w:w="1267" w:type="pct"/>
            <w:tcBorders>
              <w:top w:val="nil"/>
              <w:left w:val="single" w:sz="4" w:space="0" w:color="auto"/>
              <w:bottom w:val="single" w:sz="4" w:space="0" w:color="auto"/>
              <w:right w:val="single" w:sz="4" w:space="0" w:color="auto"/>
            </w:tcBorders>
            <w:shd w:val="clear" w:color="auto" w:fill="auto"/>
            <w:noWrap/>
            <w:hideMark/>
          </w:tcPr>
          <w:p w14:paraId="423FA759"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HCFC-142b</w:t>
            </w:r>
          </w:p>
        </w:tc>
        <w:tc>
          <w:tcPr>
            <w:tcW w:w="613" w:type="pct"/>
            <w:tcBorders>
              <w:top w:val="nil"/>
              <w:left w:val="nil"/>
              <w:bottom w:val="single" w:sz="4" w:space="0" w:color="auto"/>
              <w:right w:val="single" w:sz="4" w:space="0" w:color="auto"/>
            </w:tcBorders>
            <w:shd w:val="clear" w:color="auto" w:fill="auto"/>
            <w:noWrap/>
          </w:tcPr>
          <w:p w14:paraId="1F03DAA6"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15,274</w:t>
            </w:r>
          </w:p>
        </w:tc>
        <w:tc>
          <w:tcPr>
            <w:tcW w:w="613" w:type="pct"/>
            <w:tcBorders>
              <w:top w:val="nil"/>
              <w:left w:val="nil"/>
              <w:bottom w:val="single" w:sz="4" w:space="0" w:color="auto"/>
              <w:right w:val="single" w:sz="4" w:space="0" w:color="auto"/>
            </w:tcBorders>
            <w:shd w:val="clear" w:color="auto" w:fill="auto"/>
            <w:noWrap/>
          </w:tcPr>
          <w:p w14:paraId="71E7D98F" w14:textId="77777777" w:rsidR="00881319" w:rsidRPr="00B75955" w:rsidRDefault="00881319" w:rsidP="00881319">
            <w:pPr>
              <w:jc w:val="right"/>
              <w:rPr>
                <w:iCs/>
                <w:color w:val="000000"/>
                <w:sz w:val="20"/>
                <w:szCs w:val="20"/>
                <w:lang w:val="en-CA" w:eastAsia="en-CA"/>
              </w:rPr>
            </w:pPr>
            <w:r w:rsidRPr="00B75955">
              <w:rPr>
                <w:color w:val="000000"/>
                <w:sz w:val="20"/>
                <w:szCs w:val="20"/>
                <w:lang w:val="en-CA"/>
              </w:rPr>
              <w:t>9,790</w:t>
            </w:r>
          </w:p>
        </w:tc>
        <w:tc>
          <w:tcPr>
            <w:tcW w:w="613" w:type="pct"/>
            <w:tcBorders>
              <w:top w:val="nil"/>
              <w:left w:val="nil"/>
              <w:bottom w:val="single" w:sz="4" w:space="0" w:color="auto"/>
              <w:right w:val="single" w:sz="4" w:space="0" w:color="auto"/>
            </w:tcBorders>
            <w:shd w:val="clear" w:color="auto" w:fill="auto"/>
            <w:noWrap/>
          </w:tcPr>
          <w:p w14:paraId="6692392F" w14:textId="77777777" w:rsidR="00881319" w:rsidRPr="00B75955" w:rsidRDefault="00881319" w:rsidP="00881319">
            <w:pPr>
              <w:jc w:val="right"/>
              <w:rPr>
                <w:sz w:val="20"/>
                <w:szCs w:val="20"/>
                <w:lang w:val="en-CA"/>
              </w:rPr>
            </w:pPr>
            <w:r w:rsidRPr="00B75955">
              <w:rPr>
                <w:sz w:val="20"/>
                <w:szCs w:val="20"/>
                <w:lang w:val="en-CA"/>
              </w:rPr>
              <w:t>9,918</w:t>
            </w:r>
          </w:p>
        </w:tc>
        <w:tc>
          <w:tcPr>
            <w:tcW w:w="613" w:type="pct"/>
            <w:tcBorders>
              <w:top w:val="single" w:sz="4" w:space="0" w:color="auto"/>
              <w:left w:val="nil"/>
              <w:bottom w:val="single" w:sz="4" w:space="0" w:color="auto"/>
              <w:right w:val="single" w:sz="4" w:space="0" w:color="auto"/>
            </w:tcBorders>
          </w:tcPr>
          <w:p w14:paraId="12A8B231" w14:textId="77777777" w:rsidR="00881319" w:rsidRPr="00B75955" w:rsidRDefault="00881319" w:rsidP="00881319">
            <w:pPr>
              <w:jc w:val="right"/>
              <w:rPr>
                <w:sz w:val="20"/>
                <w:szCs w:val="20"/>
                <w:lang w:val="en-CA"/>
              </w:rPr>
            </w:pPr>
            <w:r w:rsidRPr="00B75955">
              <w:rPr>
                <w:sz w:val="20"/>
                <w:szCs w:val="20"/>
                <w:lang w:val="en-CA"/>
              </w:rPr>
              <w:t>11,616</w:t>
            </w:r>
          </w:p>
        </w:tc>
        <w:tc>
          <w:tcPr>
            <w:tcW w:w="566" w:type="pct"/>
            <w:tcBorders>
              <w:top w:val="nil"/>
              <w:left w:val="single" w:sz="4" w:space="0" w:color="auto"/>
              <w:bottom w:val="single" w:sz="4" w:space="0" w:color="auto"/>
              <w:right w:val="single" w:sz="4" w:space="0" w:color="auto"/>
            </w:tcBorders>
          </w:tcPr>
          <w:p w14:paraId="6CC8CDC7"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9,471</w:t>
            </w:r>
          </w:p>
        </w:tc>
        <w:tc>
          <w:tcPr>
            <w:tcW w:w="714" w:type="pct"/>
            <w:tcBorders>
              <w:top w:val="nil"/>
              <w:left w:val="single" w:sz="4" w:space="0" w:color="auto"/>
              <w:bottom w:val="single" w:sz="4" w:space="0" w:color="auto"/>
              <w:right w:val="single" w:sz="4" w:space="0" w:color="auto"/>
            </w:tcBorders>
            <w:shd w:val="clear" w:color="auto" w:fill="auto"/>
            <w:noWrap/>
          </w:tcPr>
          <w:p w14:paraId="6E8B2C2C"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22,624</w:t>
            </w:r>
          </w:p>
        </w:tc>
      </w:tr>
      <w:tr w:rsidR="00881319" w:rsidRPr="00B75955" w14:paraId="534AEDB6" w14:textId="77777777" w:rsidTr="00881319">
        <w:trPr>
          <w:trHeight w:val="197"/>
        </w:trPr>
        <w:tc>
          <w:tcPr>
            <w:tcW w:w="1267" w:type="pct"/>
            <w:tcBorders>
              <w:top w:val="nil"/>
              <w:left w:val="single" w:sz="4" w:space="0" w:color="auto"/>
              <w:bottom w:val="single" w:sz="4" w:space="0" w:color="auto"/>
              <w:right w:val="single" w:sz="4" w:space="0" w:color="auto"/>
            </w:tcBorders>
            <w:shd w:val="clear" w:color="auto" w:fill="auto"/>
            <w:noWrap/>
            <w:hideMark/>
          </w:tcPr>
          <w:p w14:paraId="37BA903D"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HCFC-225ca/</w:t>
            </w:r>
            <w:proofErr w:type="spellStart"/>
            <w:r w:rsidRPr="00B75955">
              <w:rPr>
                <w:color w:val="000000"/>
                <w:sz w:val="20"/>
                <w:szCs w:val="20"/>
                <w:lang w:val="en-CA" w:eastAsia="en-CA"/>
              </w:rPr>
              <w:t>cb</w:t>
            </w:r>
            <w:proofErr w:type="spellEnd"/>
          </w:p>
        </w:tc>
        <w:tc>
          <w:tcPr>
            <w:tcW w:w="613" w:type="pct"/>
            <w:tcBorders>
              <w:top w:val="nil"/>
              <w:left w:val="nil"/>
              <w:bottom w:val="single" w:sz="4" w:space="0" w:color="auto"/>
              <w:right w:val="single" w:sz="4" w:space="0" w:color="auto"/>
            </w:tcBorders>
            <w:shd w:val="clear" w:color="auto" w:fill="auto"/>
            <w:noWrap/>
          </w:tcPr>
          <w:p w14:paraId="0B3C422A"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36</w:t>
            </w:r>
          </w:p>
        </w:tc>
        <w:tc>
          <w:tcPr>
            <w:tcW w:w="613" w:type="pct"/>
            <w:tcBorders>
              <w:top w:val="nil"/>
              <w:left w:val="nil"/>
              <w:bottom w:val="single" w:sz="4" w:space="0" w:color="auto"/>
              <w:right w:val="single" w:sz="4" w:space="0" w:color="auto"/>
            </w:tcBorders>
            <w:shd w:val="clear" w:color="auto" w:fill="auto"/>
            <w:noWrap/>
          </w:tcPr>
          <w:p w14:paraId="21C2FC1C" w14:textId="77777777" w:rsidR="00881319" w:rsidRPr="00B75955" w:rsidRDefault="00881319" w:rsidP="00881319">
            <w:pPr>
              <w:jc w:val="right"/>
              <w:rPr>
                <w:iCs/>
                <w:color w:val="000000"/>
                <w:sz w:val="20"/>
                <w:szCs w:val="20"/>
                <w:lang w:val="en-CA" w:eastAsia="en-CA"/>
              </w:rPr>
            </w:pPr>
            <w:r w:rsidRPr="00B75955">
              <w:rPr>
                <w:color w:val="000000"/>
                <w:sz w:val="20"/>
                <w:szCs w:val="20"/>
                <w:lang w:val="en-CA"/>
              </w:rPr>
              <w:t>29</w:t>
            </w:r>
          </w:p>
        </w:tc>
        <w:tc>
          <w:tcPr>
            <w:tcW w:w="613" w:type="pct"/>
            <w:tcBorders>
              <w:top w:val="nil"/>
              <w:left w:val="nil"/>
              <w:bottom w:val="single" w:sz="4" w:space="0" w:color="auto"/>
              <w:right w:val="single" w:sz="4" w:space="0" w:color="auto"/>
            </w:tcBorders>
            <w:shd w:val="clear" w:color="auto" w:fill="auto"/>
            <w:noWrap/>
          </w:tcPr>
          <w:p w14:paraId="504E7026" w14:textId="77777777" w:rsidR="00881319" w:rsidRPr="00B75955" w:rsidRDefault="00881319" w:rsidP="00881319">
            <w:pPr>
              <w:jc w:val="right"/>
              <w:rPr>
                <w:sz w:val="20"/>
                <w:szCs w:val="20"/>
                <w:lang w:val="en-CA"/>
              </w:rPr>
            </w:pPr>
            <w:r w:rsidRPr="00B75955">
              <w:rPr>
                <w:sz w:val="20"/>
                <w:szCs w:val="20"/>
                <w:lang w:val="en-CA"/>
              </w:rPr>
              <w:t>33</w:t>
            </w:r>
          </w:p>
        </w:tc>
        <w:tc>
          <w:tcPr>
            <w:tcW w:w="613" w:type="pct"/>
            <w:tcBorders>
              <w:top w:val="single" w:sz="4" w:space="0" w:color="auto"/>
              <w:left w:val="nil"/>
              <w:bottom w:val="single" w:sz="4" w:space="0" w:color="auto"/>
              <w:right w:val="single" w:sz="4" w:space="0" w:color="auto"/>
            </w:tcBorders>
          </w:tcPr>
          <w:p w14:paraId="6C314190" w14:textId="77777777" w:rsidR="00881319" w:rsidRPr="00B75955" w:rsidRDefault="00881319" w:rsidP="00881319">
            <w:pPr>
              <w:jc w:val="right"/>
              <w:rPr>
                <w:sz w:val="20"/>
                <w:szCs w:val="20"/>
                <w:lang w:val="en-CA"/>
              </w:rPr>
            </w:pPr>
            <w:r w:rsidRPr="00B75955">
              <w:rPr>
                <w:sz w:val="20"/>
                <w:szCs w:val="20"/>
                <w:lang w:val="en-CA"/>
              </w:rPr>
              <w:t>15</w:t>
            </w:r>
          </w:p>
        </w:tc>
        <w:tc>
          <w:tcPr>
            <w:tcW w:w="566" w:type="pct"/>
            <w:tcBorders>
              <w:top w:val="nil"/>
              <w:left w:val="single" w:sz="4" w:space="0" w:color="auto"/>
              <w:bottom w:val="single" w:sz="4" w:space="0" w:color="auto"/>
              <w:right w:val="single" w:sz="4" w:space="0" w:color="auto"/>
            </w:tcBorders>
          </w:tcPr>
          <w:p w14:paraId="38AD1066"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38</w:t>
            </w:r>
          </w:p>
        </w:tc>
        <w:tc>
          <w:tcPr>
            <w:tcW w:w="714" w:type="pct"/>
            <w:tcBorders>
              <w:top w:val="nil"/>
              <w:left w:val="single" w:sz="4" w:space="0" w:color="auto"/>
              <w:bottom w:val="single" w:sz="4" w:space="0" w:color="auto"/>
              <w:right w:val="single" w:sz="4" w:space="0" w:color="auto"/>
            </w:tcBorders>
            <w:shd w:val="clear" w:color="auto" w:fill="auto"/>
            <w:noWrap/>
          </w:tcPr>
          <w:p w14:paraId="625ADFDC"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17</w:t>
            </w:r>
          </w:p>
        </w:tc>
      </w:tr>
      <w:tr w:rsidR="00881319" w:rsidRPr="00B75955" w14:paraId="50AE62EB" w14:textId="77777777" w:rsidTr="00881319">
        <w:trPr>
          <w:trHeight w:val="197"/>
        </w:trPr>
        <w:tc>
          <w:tcPr>
            <w:tcW w:w="1267" w:type="pct"/>
            <w:tcBorders>
              <w:top w:val="nil"/>
              <w:left w:val="single" w:sz="4" w:space="0" w:color="auto"/>
              <w:bottom w:val="single" w:sz="4" w:space="0" w:color="auto"/>
              <w:right w:val="single" w:sz="4" w:space="0" w:color="auto"/>
            </w:tcBorders>
            <w:shd w:val="clear" w:color="auto" w:fill="auto"/>
            <w:noWrap/>
          </w:tcPr>
          <w:p w14:paraId="7C8E4371" w14:textId="77777777" w:rsidR="00881319" w:rsidRPr="00B75955" w:rsidRDefault="00881319" w:rsidP="00881319">
            <w:pPr>
              <w:jc w:val="left"/>
              <w:rPr>
                <w:b/>
                <w:color w:val="000000"/>
                <w:sz w:val="20"/>
                <w:szCs w:val="20"/>
                <w:lang w:val="en-CA" w:eastAsia="en-CA"/>
              </w:rPr>
            </w:pPr>
            <w:r w:rsidRPr="00B75955">
              <w:rPr>
                <w:b/>
                <w:color w:val="000000"/>
                <w:sz w:val="20"/>
                <w:szCs w:val="20"/>
                <w:lang w:val="en-CA" w:eastAsia="en-CA"/>
              </w:rPr>
              <w:t>Total</w:t>
            </w:r>
          </w:p>
        </w:tc>
        <w:tc>
          <w:tcPr>
            <w:tcW w:w="613" w:type="pct"/>
            <w:tcBorders>
              <w:top w:val="nil"/>
              <w:left w:val="nil"/>
              <w:bottom w:val="single" w:sz="4" w:space="0" w:color="auto"/>
              <w:right w:val="single" w:sz="4" w:space="0" w:color="auto"/>
            </w:tcBorders>
            <w:shd w:val="clear" w:color="auto" w:fill="auto"/>
            <w:noWrap/>
          </w:tcPr>
          <w:p w14:paraId="78BE4E91" w14:textId="77777777" w:rsidR="00881319" w:rsidRPr="00B75955" w:rsidRDefault="00881319" w:rsidP="00881319">
            <w:pPr>
              <w:jc w:val="right"/>
              <w:rPr>
                <w:b/>
                <w:color w:val="000000"/>
                <w:sz w:val="20"/>
                <w:szCs w:val="20"/>
                <w:lang w:val="en-CA" w:eastAsia="en-CA"/>
              </w:rPr>
            </w:pPr>
            <w:r w:rsidRPr="00B75955">
              <w:rPr>
                <w:b/>
                <w:color w:val="000000"/>
                <w:sz w:val="20"/>
                <w:szCs w:val="20"/>
                <w:lang w:val="en-CA" w:eastAsia="en-CA"/>
              </w:rPr>
              <w:fldChar w:fldCharType="begin"/>
            </w:r>
            <w:r w:rsidRPr="00B75955">
              <w:rPr>
                <w:b/>
                <w:color w:val="000000"/>
                <w:sz w:val="20"/>
                <w:szCs w:val="20"/>
                <w:lang w:val="en-CA" w:eastAsia="en-CA"/>
              </w:rPr>
              <w:instrText xml:space="preserve"> =SUM(ABOVE) </w:instrText>
            </w:r>
            <w:r w:rsidRPr="00B75955">
              <w:rPr>
                <w:b/>
                <w:color w:val="000000"/>
                <w:sz w:val="20"/>
                <w:szCs w:val="20"/>
                <w:lang w:val="en-CA" w:eastAsia="en-CA"/>
              </w:rPr>
              <w:fldChar w:fldCharType="separate"/>
            </w:r>
            <w:r w:rsidRPr="00B75955">
              <w:rPr>
                <w:b/>
                <w:noProof/>
                <w:color w:val="000000"/>
                <w:sz w:val="20"/>
                <w:szCs w:val="20"/>
                <w:lang w:val="en-CA" w:eastAsia="en-CA"/>
              </w:rPr>
              <w:t>317,343</w:t>
            </w:r>
            <w:r w:rsidRPr="00B75955">
              <w:rPr>
                <w:b/>
                <w:color w:val="000000"/>
                <w:sz w:val="20"/>
                <w:szCs w:val="20"/>
                <w:lang w:val="en-CA" w:eastAsia="en-CA"/>
              </w:rPr>
              <w:fldChar w:fldCharType="end"/>
            </w:r>
          </w:p>
        </w:tc>
        <w:tc>
          <w:tcPr>
            <w:tcW w:w="613" w:type="pct"/>
            <w:tcBorders>
              <w:top w:val="nil"/>
              <w:left w:val="nil"/>
              <w:bottom w:val="single" w:sz="4" w:space="0" w:color="auto"/>
              <w:right w:val="single" w:sz="4" w:space="0" w:color="auto"/>
            </w:tcBorders>
            <w:shd w:val="clear" w:color="auto" w:fill="auto"/>
            <w:noWrap/>
          </w:tcPr>
          <w:p w14:paraId="37D90F15" w14:textId="77777777" w:rsidR="00881319" w:rsidRPr="00B75955" w:rsidRDefault="00881319" w:rsidP="00881319">
            <w:pPr>
              <w:jc w:val="right"/>
              <w:rPr>
                <w:b/>
                <w:color w:val="000000"/>
                <w:sz w:val="20"/>
                <w:szCs w:val="20"/>
                <w:lang w:val="en-CA"/>
              </w:rPr>
            </w:pPr>
            <w:r w:rsidRPr="00B75955">
              <w:rPr>
                <w:b/>
                <w:color w:val="000000"/>
                <w:sz w:val="20"/>
                <w:szCs w:val="20"/>
                <w:lang w:val="en-CA"/>
              </w:rPr>
              <w:fldChar w:fldCharType="begin"/>
            </w:r>
            <w:r w:rsidRPr="00B75955">
              <w:rPr>
                <w:b/>
                <w:color w:val="000000"/>
                <w:sz w:val="20"/>
                <w:szCs w:val="20"/>
                <w:lang w:val="en-CA"/>
              </w:rPr>
              <w:instrText xml:space="preserve"> =SUM(ABOVE) </w:instrText>
            </w:r>
            <w:r w:rsidRPr="00B75955">
              <w:rPr>
                <w:b/>
                <w:color w:val="000000"/>
                <w:sz w:val="20"/>
                <w:szCs w:val="20"/>
                <w:lang w:val="en-CA"/>
              </w:rPr>
              <w:fldChar w:fldCharType="separate"/>
            </w:r>
            <w:r w:rsidRPr="00B75955">
              <w:rPr>
                <w:b/>
                <w:noProof/>
                <w:color w:val="000000"/>
                <w:sz w:val="20"/>
                <w:szCs w:val="20"/>
                <w:lang w:val="en-CA"/>
              </w:rPr>
              <w:t>237,830</w:t>
            </w:r>
            <w:r w:rsidRPr="00B75955">
              <w:rPr>
                <w:b/>
                <w:color w:val="000000"/>
                <w:sz w:val="20"/>
                <w:szCs w:val="20"/>
                <w:lang w:val="en-CA"/>
              </w:rPr>
              <w:fldChar w:fldCharType="end"/>
            </w:r>
          </w:p>
        </w:tc>
        <w:tc>
          <w:tcPr>
            <w:tcW w:w="613" w:type="pct"/>
            <w:tcBorders>
              <w:top w:val="nil"/>
              <w:left w:val="nil"/>
              <w:bottom w:val="single" w:sz="4" w:space="0" w:color="auto"/>
              <w:right w:val="single" w:sz="4" w:space="0" w:color="auto"/>
            </w:tcBorders>
            <w:shd w:val="clear" w:color="auto" w:fill="auto"/>
            <w:noWrap/>
          </w:tcPr>
          <w:p w14:paraId="1D245C97" w14:textId="77777777" w:rsidR="00881319" w:rsidRPr="00B75955" w:rsidRDefault="00881319" w:rsidP="00881319">
            <w:pPr>
              <w:jc w:val="right"/>
              <w:rPr>
                <w:b/>
                <w:sz w:val="20"/>
                <w:szCs w:val="20"/>
                <w:lang w:val="en-CA"/>
              </w:rPr>
            </w:pPr>
            <w:r w:rsidRPr="00B75955">
              <w:rPr>
                <w:b/>
                <w:sz w:val="20"/>
                <w:szCs w:val="20"/>
                <w:lang w:val="en-CA"/>
              </w:rPr>
              <w:t>253,219</w:t>
            </w:r>
          </w:p>
        </w:tc>
        <w:tc>
          <w:tcPr>
            <w:tcW w:w="613" w:type="pct"/>
            <w:tcBorders>
              <w:top w:val="single" w:sz="4" w:space="0" w:color="auto"/>
              <w:left w:val="nil"/>
              <w:bottom w:val="single" w:sz="4" w:space="0" w:color="auto"/>
              <w:right w:val="single" w:sz="4" w:space="0" w:color="auto"/>
            </w:tcBorders>
          </w:tcPr>
          <w:p w14:paraId="1700DD08" w14:textId="77777777" w:rsidR="00881319" w:rsidRPr="00B75955" w:rsidRDefault="00881319" w:rsidP="00881319">
            <w:pPr>
              <w:jc w:val="right"/>
              <w:rPr>
                <w:b/>
                <w:sz w:val="20"/>
                <w:szCs w:val="20"/>
                <w:lang w:val="en-CA"/>
              </w:rPr>
            </w:pPr>
            <w:r w:rsidRPr="00B75955">
              <w:rPr>
                <w:b/>
                <w:sz w:val="20"/>
                <w:szCs w:val="20"/>
                <w:lang w:val="en-CA"/>
              </w:rPr>
              <w:t>205,040</w:t>
            </w:r>
          </w:p>
        </w:tc>
        <w:tc>
          <w:tcPr>
            <w:tcW w:w="566" w:type="pct"/>
            <w:tcBorders>
              <w:top w:val="nil"/>
              <w:left w:val="single" w:sz="4" w:space="0" w:color="auto"/>
              <w:bottom w:val="single" w:sz="4" w:space="0" w:color="auto"/>
              <w:right w:val="single" w:sz="4" w:space="0" w:color="auto"/>
            </w:tcBorders>
          </w:tcPr>
          <w:p w14:paraId="172C3D06" w14:textId="77777777" w:rsidR="00881319" w:rsidRPr="00B75955" w:rsidRDefault="00881319" w:rsidP="00881319">
            <w:pPr>
              <w:jc w:val="right"/>
              <w:rPr>
                <w:b/>
                <w:iCs/>
                <w:color w:val="000000"/>
                <w:sz w:val="20"/>
                <w:szCs w:val="20"/>
                <w:lang w:val="en-CA" w:eastAsia="en-CA"/>
              </w:rPr>
            </w:pPr>
            <w:r w:rsidRPr="00B75955">
              <w:rPr>
                <w:b/>
                <w:iCs/>
                <w:color w:val="000000"/>
                <w:sz w:val="20"/>
                <w:szCs w:val="20"/>
                <w:lang w:val="en-CA" w:eastAsia="en-CA"/>
              </w:rPr>
              <w:t>218,360</w:t>
            </w:r>
          </w:p>
        </w:tc>
        <w:tc>
          <w:tcPr>
            <w:tcW w:w="714" w:type="pct"/>
            <w:tcBorders>
              <w:top w:val="nil"/>
              <w:left w:val="single" w:sz="4" w:space="0" w:color="auto"/>
              <w:bottom w:val="single" w:sz="4" w:space="0" w:color="auto"/>
              <w:right w:val="single" w:sz="4" w:space="0" w:color="auto"/>
            </w:tcBorders>
            <w:shd w:val="clear" w:color="auto" w:fill="auto"/>
            <w:noWrap/>
          </w:tcPr>
          <w:p w14:paraId="172DBCBD" w14:textId="77777777" w:rsidR="00881319" w:rsidRPr="00B75955" w:rsidRDefault="00881319" w:rsidP="00881319">
            <w:pPr>
              <w:jc w:val="right"/>
              <w:rPr>
                <w:b/>
                <w:iCs/>
                <w:color w:val="000000"/>
                <w:sz w:val="20"/>
                <w:szCs w:val="20"/>
                <w:lang w:val="en-CA" w:eastAsia="en-CA"/>
              </w:rPr>
            </w:pPr>
            <w:r w:rsidRPr="00B75955">
              <w:rPr>
                <w:b/>
                <w:iCs/>
                <w:color w:val="000000"/>
                <w:sz w:val="20"/>
                <w:szCs w:val="20"/>
                <w:lang w:val="en-CA" w:eastAsia="en-CA"/>
              </w:rPr>
              <w:fldChar w:fldCharType="begin"/>
            </w:r>
            <w:r w:rsidRPr="00B75955">
              <w:rPr>
                <w:b/>
                <w:iCs/>
                <w:color w:val="000000"/>
                <w:sz w:val="20"/>
                <w:szCs w:val="20"/>
                <w:lang w:val="en-CA" w:eastAsia="en-CA"/>
              </w:rPr>
              <w:instrText xml:space="preserve"> =SUM(ABOVE) </w:instrText>
            </w:r>
            <w:r w:rsidRPr="00B75955">
              <w:rPr>
                <w:b/>
                <w:iCs/>
                <w:color w:val="000000"/>
                <w:sz w:val="20"/>
                <w:szCs w:val="20"/>
                <w:lang w:val="en-CA" w:eastAsia="en-CA"/>
              </w:rPr>
              <w:fldChar w:fldCharType="separate"/>
            </w:r>
            <w:r w:rsidRPr="00B75955">
              <w:rPr>
                <w:b/>
                <w:iCs/>
                <w:noProof/>
                <w:color w:val="000000"/>
                <w:sz w:val="20"/>
                <w:szCs w:val="20"/>
                <w:lang w:val="en-CA" w:eastAsia="en-CA"/>
              </w:rPr>
              <w:t>285,7</w:t>
            </w:r>
            <w:r w:rsidRPr="00B75955">
              <w:rPr>
                <w:b/>
                <w:iCs/>
                <w:color w:val="000000"/>
                <w:sz w:val="20"/>
                <w:szCs w:val="20"/>
                <w:lang w:val="en-CA" w:eastAsia="en-CA"/>
              </w:rPr>
              <w:fldChar w:fldCharType="end"/>
            </w:r>
            <w:r w:rsidRPr="00B75955">
              <w:rPr>
                <w:b/>
                <w:iCs/>
                <w:color w:val="000000"/>
                <w:sz w:val="20"/>
                <w:szCs w:val="20"/>
                <w:lang w:val="en-CA" w:eastAsia="en-CA"/>
              </w:rPr>
              <w:t>96</w:t>
            </w:r>
          </w:p>
        </w:tc>
      </w:tr>
      <w:tr w:rsidR="00881319" w:rsidRPr="00B75955" w14:paraId="535F5BB4" w14:textId="77777777" w:rsidTr="00881319">
        <w:trPr>
          <w:trHeight w:val="206"/>
        </w:trPr>
        <w:tc>
          <w:tcPr>
            <w:tcW w:w="1267" w:type="pct"/>
            <w:tcBorders>
              <w:top w:val="nil"/>
              <w:left w:val="single" w:sz="4" w:space="0" w:color="auto"/>
              <w:bottom w:val="single" w:sz="4" w:space="0" w:color="auto"/>
              <w:right w:val="single" w:sz="4" w:space="0" w:color="auto"/>
            </w:tcBorders>
          </w:tcPr>
          <w:p w14:paraId="4D15BD6B" w14:textId="77777777" w:rsidR="00881319" w:rsidRPr="00B75955" w:rsidRDefault="00881319" w:rsidP="00881319">
            <w:pPr>
              <w:jc w:val="center"/>
              <w:rPr>
                <w:b/>
                <w:iCs/>
                <w:color w:val="000000"/>
                <w:sz w:val="20"/>
                <w:szCs w:val="20"/>
                <w:lang w:val="en-CA" w:eastAsia="en-CA"/>
              </w:rPr>
            </w:pPr>
          </w:p>
        </w:tc>
        <w:tc>
          <w:tcPr>
            <w:tcW w:w="3733" w:type="pct"/>
            <w:gridSpan w:val="6"/>
            <w:tcBorders>
              <w:top w:val="nil"/>
              <w:left w:val="single" w:sz="4" w:space="0" w:color="auto"/>
              <w:bottom w:val="single" w:sz="4" w:space="0" w:color="auto"/>
              <w:right w:val="single" w:sz="4" w:space="0" w:color="auto"/>
            </w:tcBorders>
          </w:tcPr>
          <w:p w14:paraId="561088DD" w14:textId="77777777" w:rsidR="00881319" w:rsidRPr="00B75955" w:rsidRDefault="00881319" w:rsidP="00881319">
            <w:pPr>
              <w:jc w:val="center"/>
              <w:rPr>
                <w:b/>
                <w:iCs/>
                <w:color w:val="000000"/>
                <w:sz w:val="20"/>
                <w:szCs w:val="20"/>
                <w:lang w:val="en-CA" w:eastAsia="en-CA"/>
              </w:rPr>
            </w:pPr>
            <w:r w:rsidRPr="00B75955">
              <w:rPr>
                <w:b/>
                <w:color w:val="000000"/>
                <w:sz w:val="20"/>
                <w:szCs w:val="20"/>
                <w:lang w:val="en-CA" w:eastAsia="en-CA"/>
              </w:rPr>
              <w:t>ODP tonnes</w:t>
            </w:r>
          </w:p>
        </w:tc>
      </w:tr>
      <w:tr w:rsidR="00881319" w:rsidRPr="00B75955" w14:paraId="03D8427B" w14:textId="77777777" w:rsidTr="00881319">
        <w:trPr>
          <w:trHeight w:val="152"/>
        </w:trPr>
        <w:tc>
          <w:tcPr>
            <w:tcW w:w="1267" w:type="pct"/>
            <w:tcBorders>
              <w:top w:val="nil"/>
              <w:left w:val="single" w:sz="4" w:space="0" w:color="auto"/>
              <w:bottom w:val="single" w:sz="4" w:space="0" w:color="auto"/>
              <w:right w:val="single" w:sz="4" w:space="0" w:color="auto"/>
            </w:tcBorders>
            <w:shd w:val="clear" w:color="auto" w:fill="auto"/>
            <w:noWrap/>
            <w:hideMark/>
          </w:tcPr>
          <w:p w14:paraId="0C4DE4EE"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HCFC-22</w:t>
            </w:r>
          </w:p>
        </w:tc>
        <w:tc>
          <w:tcPr>
            <w:tcW w:w="613" w:type="pct"/>
            <w:tcBorders>
              <w:top w:val="nil"/>
              <w:left w:val="nil"/>
              <w:bottom w:val="single" w:sz="4" w:space="0" w:color="auto"/>
              <w:right w:val="single" w:sz="4" w:space="0" w:color="auto"/>
            </w:tcBorders>
            <w:shd w:val="clear" w:color="auto" w:fill="auto"/>
            <w:noWrap/>
          </w:tcPr>
          <w:p w14:paraId="23543E74"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13,057</w:t>
            </w:r>
          </w:p>
        </w:tc>
        <w:tc>
          <w:tcPr>
            <w:tcW w:w="613" w:type="pct"/>
            <w:tcBorders>
              <w:top w:val="nil"/>
              <w:left w:val="nil"/>
              <w:bottom w:val="single" w:sz="4" w:space="0" w:color="auto"/>
              <w:right w:val="single" w:sz="4" w:space="0" w:color="auto"/>
            </w:tcBorders>
            <w:shd w:val="clear" w:color="auto" w:fill="auto"/>
            <w:noWrap/>
            <w:vAlign w:val="center"/>
          </w:tcPr>
          <w:p w14:paraId="71ECA042" w14:textId="77777777" w:rsidR="00881319" w:rsidRPr="00B75955" w:rsidRDefault="00881319" w:rsidP="00881319">
            <w:pPr>
              <w:jc w:val="right"/>
              <w:rPr>
                <w:rFonts w:eastAsiaTheme="minorHAnsi"/>
                <w:color w:val="000000"/>
                <w:sz w:val="20"/>
                <w:szCs w:val="20"/>
                <w:lang w:val="en-CA"/>
              </w:rPr>
            </w:pPr>
            <w:r w:rsidRPr="00B75955">
              <w:rPr>
                <w:color w:val="000000"/>
                <w:sz w:val="20"/>
                <w:szCs w:val="20"/>
                <w:lang w:val="en-CA"/>
              </w:rPr>
              <w:t>9,864</w:t>
            </w:r>
          </w:p>
        </w:tc>
        <w:tc>
          <w:tcPr>
            <w:tcW w:w="613" w:type="pct"/>
            <w:tcBorders>
              <w:top w:val="nil"/>
              <w:left w:val="nil"/>
              <w:bottom w:val="single" w:sz="4" w:space="0" w:color="auto"/>
              <w:right w:val="single" w:sz="4" w:space="0" w:color="auto"/>
            </w:tcBorders>
            <w:shd w:val="clear" w:color="auto" w:fill="auto"/>
            <w:noWrap/>
          </w:tcPr>
          <w:p w14:paraId="1DCD060E" w14:textId="77777777" w:rsidR="00881319" w:rsidRPr="00B75955" w:rsidRDefault="00881319" w:rsidP="00881319">
            <w:pPr>
              <w:jc w:val="right"/>
              <w:rPr>
                <w:sz w:val="20"/>
                <w:szCs w:val="20"/>
                <w:lang w:val="en-CA"/>
              </w:rPr>
            </w:pPr>
            <w:r w:rsidRPr="00B75955">
              <w:rPr>
                <w:sz w:val="20"/>
                <w:szCs w:val="20"/>
                <w:lang w:val="en-CA"/>
              </w:rPr>
              <w:t>10,468</w:t>
            </w:r>
          </w:p>
        </w:tc>
        <w:tc>
          <w:tcPr>
            <w:tcW w:w="613" w:type="pct"/>
            <w:tcBorders>
              <w:top w:val="single" w:sz="4" w:space="0" w:color="auto"/>
              <w:left w:val="nil"/>
              <w:bottom w:val="single" w:sz="4" w:space="0" w:color="auto"/>
              <w:right w:val="single" w:sz="4" w:space="0" w:color="auto"/>
            </w:tcBorders>
          </w:tcPr>
          <w:p w14:paraId="5D6E0726" w14:textId="77777777" w:rsidR="00881319" w:rsidRPr="00B75955" w:rsidRDefault="00881319" w:rsidP="00881319">
            <w:pPr>
              <w:jc w:val="right"/>
              <w:rPr>
                <w:sz w:val="20"/>
                <w:szCs w:val="20"/>
                <w:lang w:val="en-CA"/>
              </w:rPr>
            </w:pPr>
            <w:r w:rsidRPr="00B75955">
              <w:rPr>
                <w:sz w:val="20"/>
                <w:szCs w:val="20"/>
                <w:lang w:val="en-CA"/>
              </w:rPr>
              <w:t>8,468</w:t>
            </w:r>
          </w:p>
        </w:tc>
        <w:tc>
          <w:tcPr>
            <w:tcW w:w="566" w:type="pct"/>
            <w:tcBorders>
              <w:top w:val="nil"/>
              <w:left w:val="single" w:sz="4" w:space="0" w:color="auto"/>
              <w:bottom w:val="single" w:sz="4" w:space="0" w:color="auto"/>
              <w:right w:val="single" w:sz="4" w:space="0" w:color="auto"/>
            </w:tcBorders>
          </w:tcPr>
          <w:p w14:paraId="61152242"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9,278</w:t>
            </w:r>
          </w:p>
        </w:tc>
        <w:tc>
          <w:tcPr>
            <w:tcW w:w="714" w:type="pct"/>
            <w:tcBorders>
              <w:top w:val="nil"/>
              <w:left w:val="single" w:sz="4" w:space="0" w:color="auto"/>
              <w:bottom w:val="single" w:sz="4" w:space="0" w:color="auto"/>
              <w:right w:val="single" w:sz="4" w:space="0" w:color="auto"/>
            </w:tcBorders>
            <w:shd w:val="clear" w:color="auto" w:fill="auto"/>
            <w:noWrap/>
          </w:tcPr>
          <w:p w14:paraId="02D01592"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11,495</w:t>
            </w:r>
          </w:p>
        </w:tc>
      </w:tr>
      <w:tr w:rsidR="00881319" w:rsidRPr="00B75955" w14:paraId="01A5CE5B" w14:textId="77777777" w:rsidTr="00881319">
        <w:trPr>
          <w:trHeight w:val="197"/>
        </w:trPr>
        <w:tc>
          <w:tcPr>
            <w:tcW w:w="1267" w:type="pct"/>
            <w:tcBorders>
              <w:top w:val="nil"/>
              <w:left w:val="single" w:sz="4" w:space="0" w:color="auto"/>
              <w:bottom w:val="single" w:sz="4" w:space="0" w:color="auto"/>
              <w:right w:val="single" w:sz="4" w:space="0" w:color="auto"/>
            </w:tcBorders>
            <w:shd w:val="clear" w:color="auto" w:fill="auto"/>
            <w:noWrap/>
            <w:hideMark/>
          </w:tcPr>
          <w:p w14:paraId="1A7B2442"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HCFC-123</w:t>
            </w:r>
          </w:p>
        </w:tc>
        <w:tc>
          <w:tcPr>
            <w:tcW w:w="613" w:type="pct"/>
            <w:tcBorders>
              <w:top w:val="nil"/>
              <w:left w:val="nil"/>
              <w:bottom w:val="single" w:sz="4" w:space="0" w:color="auto"/>
              <w:right w:val="single" w:sz="4" w:space="0" w:color="auto"/>
            </w:tcBorders>
            <w:shd w:val="clear" w:color="auto" w:fill="auto"/>
            <w:noWrap/>
          </w:tcPr>
          <w:p w14:paraId="012AAB99"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16</w:t>
            </w:r>
          </w:p>
        </w:tc>
        <w:tc>
          <w:tcPr>
            <w:tcW w:w="613" w:type="pct"/>
            <w:tcBorders>
              <w:top w:val="nil"/>
              <w:left w:val="nil"/>
              <w:bottom w:val="single" w:sz="4" w:space="0" w:color="auto"/>
              <w:right w:val="single" w:sz="4" w:space="0" w:color="auto"/>
            </w:tcBorders>
            <w:shd w:val="clear" w:color="auto" w:fill="auto"/>
            <w:noWrap/>
            <w:vAlign w:val="center"/>
          </w:tcPr>
          <w:p w14:paraId="5D05B694" w14:textId="77777777" w:rsidR="00881319" w:rsidRPr="00B75955" w:rsidRDefault="00881319" w:rsidP="00881319">
            <w:pPr>
              <w:jc w:val="right"/>
              <w:rPr>
                <w:rFonts w:eastAsiaTheme="minorHAnsi"/>
                <w:color w:val="000000"/>
                <w:sz w:val="20"/>
                <w:szCs w:val="20"/>
                <w:lang w:val="en-CA"/>
              </w:rPr>
            </w:pPr>
            <w:r w:rsidRPr="00B75955">
              <w:rPr>
                <w:color w:val="000000"/>
                <w:sz w:val="20"/>
                <w:szCs w:val="20"/>
                <w:lang w:val="en-CA"/>
              </w:rPr>
              <w:t>20</w:t>
            </w:r>
          </w:p>
        </w:tc>
        <w:tc>
          <w:tcPr>
            <w:tcW w:w="613" w:type="pct"/>
            <w:tcBorders>
              <w:top w:val="nil"/>
              <w:left w:val="nil"/>
              <w:bottom w:val="single" w:sz="4" w:space="0" w:color="auto"/>
              <w:right w:val="single" w:sz="4" w:space="0" w:color="auto"/>
            </w:tcBorders>
            <w:shd w:val="clear" w:color="auto" w:fill="auto"/>
            <w:noWrap/>
          </w:tcPr>
          <w:p w14:paraId="3F3A317B" w14:textId="77777777" w:rsidR="00881319" w:rsidRPr="00B75955" w:rsidRDefault="00881319" w:rsidP="00881319">
            <w:pPr>
              <w:jc w:val="right"/>
              <w:rPr>
                <w:sz w:val="20"/>
                <w:szCs w:val="20"/>
                <w:lang w:val="en-CA"/>
              </w:rPr>
            </w:pPr>
            <w:r w:rsidRPr="00B75955">
              <w:rPr>
                <w:sz w:val="20"/>
                <w:szCs w:val="20"/>
                <w:lang w:val="en-CA"/>
              </w:rPr>
              <w:t>20</w:t>
            </w:r>
          </w:p>
        </w:tc>
        <w:tc>
          <w:tcPr>
            <w:tcW w:w="613" w:type="pct"/>
            <w:tcBorders>
              <w:top w:val="single" w:sz="4" w:space="0" w:color="auto"/>
              <w:left w:val="nil"/>
              <w:bottom w:val="single" w:sz="4" w:space="0" w:color="auto"/>
              <w:right w:val="single" w:sz="4" w:space="0" w:color="auto"/>
            </w:tcBorders>
          </w:tcPr>
          <w:p w14:paraId="368923FC" w14:textId="77777777" w:rsidR="00881319" w:rsidRPr="00B75955" w:rsidRDefault="00881319" w:rsidP="00881319">
            <w:pPr>
              <w:jc w:val="right"/>
              <w:rPr>
                <w:sz w:val="20"/>
                <w:szCs w:val="20"/>
                <w:lang w:val="en-CA"/>
              </w:rPr>
            </w:pPr>
            <w:r w:rsidRPr="00B75955">
              <w:rPr>
                <w:sz w:val="20"/>
                <w:szCs w:val="20"/>
                <w:lang w:val="en-CA"/>
              </w:rPr>
              <w:t>18</w:t>
            </w:r>
          </w:p>
        </w:tc>
        <w:tc>
          <w:tcPr>
            <w:tcW w:w="566" w:type="pct"/>
            <w:tcBorders>
              <w:top w:val="nil"/>
              <w:left w:val="single" w:sz="4" w:space="0" w:color="auto"/>
              <w:bottom w:val="single" w:sz="4" w:space="0" w:color="auto"/>
              <w:right w:val="single" w:sz="4" w:space="0" w:color="auto"/>
            </w:tcBorders>
          </w:tcPr>
          <w:p w14:paraId="46364E64"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19</w:t>
            </w:r>
          </w:p>
        </w:tc>
        <w:tc>
          <w:tcPr>
            <w:tcW w:w="714" w:type="pct"/>
            <w:tcBorders>
              <w:top w:val="nil"/>
              <w:left w:val="single" w:sz="4" w:space="0" w:color="auto"/>
              <w:bottom w:val="single" w:sz="4" w:space="0" w:color="auto"/>
              <w:right w:val="single" w:sz="4" w:space="0" w:color="auto"/>
            </w:tcBorders>
            <w:shd w:val="clear" w:color="auto" w:fill="auto"/>
            <w:noWrap/>
          </w:tcPr>
          <w:p w14:paraId="2C6A35FC"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10</w:t>
            </w:r>
          </w:p>
        </w:tc>
      </w:tr>
      <w:tr w:rsidR="00881319" w:rsidRPr="00B75955" w14:paraId="0E267688" w14:textId="77777777" w:rsidTr="00881319">
        <w:trPr>
          <w:trHeight w:val="124"/>
        </w:trPr>
        <w:tc>
          <w:tcPr>
            <w:tcW w:w="1267" w:type="pct"/>
            <w:tcBorders>
              <w:top w:val="nil"/>
              <w:left w:val="single" w:sz="4" w:space="0" w:color="auto"/>
              <w:bottom w:val="single" w:sz="4" w:space="0" w:color="auto"/>
              <w:right w:val="single" w:sz="4" w:space="0" w:color="auto"/>
            </w:tcBorders>
            <w:shd w:val="clear" w:color="auto" w:fill="auto"/>
            <w:noWrap/>
            <w:hideMark/>
          </w:tcPr>
          <w:p w14:paraId="50EA2950"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HCFC-124</w:t>
            </w:r>
          </w:p>
        </w:tc>
        <w:tc>
          <w:tcPr>
            <w:tcW w:w="613" w:type="pct"/>
            <w:tcBorders>
              <w:top w:val="nil"/>
              <w:left w:val="nil"/>
              <w:bottom w:val="single" w:sz="4" w:space="0" w:color="auto"/>
              <w:right w:val="single" w:sz="4" w:space="0" w:color="auto"/>
            </w:tcBorders>
            <w:shd w:val="clear" w:color="auto" w:fill="auto"/>
            <w:noWrap/>
          </w:tcPr>
          <w:p w14:paraId="423FBB01"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(0)</w:t>
            </w:r>
          </w:p>
        </w:tc>
        <w:tc>
          <w:tcPr>
            <w:tcW w:w="613" w:type="pct"/>
            <w:tcBorders>
              <w:top w:val="nil"/>
              <w:left w:val="nil"/>
              <w:bottom w:val="single" w:sz="4" w:space="0" w:color="auto"/>
              <w:right w:val="single" w:sz="4" w:space="0" w:color="auto"/>
            </w:tcBorders>
            <w:shd w:val="clear" w:color="auto" w:fill="auto"/>
            <w:noWrap/>
            <w:vAlign w:val="center"/>
          </w:tcPr>
          <w:p w14:paraId="21F5EB9C" w14:textId="77777777" w:rsidR="00881319" w:rsidRPr="00B75955" w:rsidRDefault="00881319" w:rsidP="00881319">
            <w:pPr>
              <w:jc w:val="right"/>
              <w:rPr>
                <w:rFonts w:eastAsiaTheme="minorHAnsi"/>
                <w:color w:val="000000"/>
                <w:sz w:val="20"/>
                <w:szCs w:val="20"/>
                <w:lang w:val="en-CA"/>
              </w:rPr>
            </w:pPr>
            <w:r w:rsidRPr="00B75955">
              <w:rPr>
                <w:color w:val="000000"/>
                <w:sz w:val="20"/>
                <w:szCs w:val="20"/>
                <w:lang w:val="en-CA"/>
              </w:rPr>
              <w:t>1</w:t>
            </w:r>
          </w:p>
        </w:tc>
        <w:tc>
          <w:tcPr>
            <w:tcW w:w="613" w:type="pct"/>
            <w:tcBorders>
              <w:top w:val="nil"/>
              <w:left w:val="nil"/>
              <w:bottom w:val="single" w:sz="4" w:space="0" w:color="auto"/>
              <w:right w:val="single" w:sz="4" w:space="0" w:color="auto"/>
            </w:tcBorders>
            <w:shd w:val="clear" w:color="auto" w:fill="auto"/>
            <w:noWrap/>
          </w:tcPr>
          <w:p w14:paraId="725C75C4" w14:textId="77777777" w:rsidR="00881319" w:rsidRPr="00B75955" w:rsidRDefault="00881319" w:rsidP="00881319">
            <w:pPr>
              <w:jc w:val="right"/>
              <w:rPr>
                <w:sz w:val="20"/>
                <w:szCs w:val="20"/>
                <w:lang w:val="en-CA"/>
              </w:rPr>
            </w:pPr>
            <w:r w:rsidRPr="00B75955">
              <w:rPr>
                <w:sz w:val="20"/>
                <w:szCs w:val="20"/>
                <w:lang w:val="en-CA"/>
              </w:rPr>
              <w:t>2</w:t>
            </w:r>
          </w:p>
        </w:tc>
        <w:tc>
          <w:tcPr>
            <w:tcW w:w="613" w:type="pct"/>
            <w:tcBorders>
              <w:top w:val="single" w:sz="4" w:space="0" w:color="auto"/>
              <w:left w:val="nil"/>
              <w:bottom w:val="single" w:sz="4" w:space="0" w:color="auto"/>
              <w:right w:val="single" w:sz="4" w:space="0" w:color="auto"/>
            </w:tcBorders>
          </w:tcPr>
          <w:p w14:paraId="601EE5F3" w14:textId="77777777" w:rsidR="00881319" w:rsidRPr="00B75955" w:rsidRDefault="00881319" w:rsidP="00881319">
            <w:pPr>
              <w:jc w:val="right"/>
              <w:rPr>
                <w:sz w:val="20"/>
                <w:szCs w:val="20"/>
                <w:lang w:val="en-CA"/>
              </w:rPr>
            </w:pPr>
            <w:r w:rsidRPr="00B75955">
              <w:rPr>
                <w:sz w:val="20"/>
                <w:szCs w:val="20"/>
                <w:lang w:val="en-CA"/>
              </w:rPr>
              <w:t>(1)</w:t>
            </w:r>
          </w:p>
        </w:tc>
        <w:tc>
          <w:tcPr>
            <w:tcW w:w="566" w:type="pct"/>
            <w:tcBorders>
              <w:top w:val="nil"/>
              <w:left w:val="single" w:sz="4" w:space="0" w:color="auto"/>
              <w:bottom w:val="single" w:sz="4" w:space="0" w:color="auto"/>
              <w:right w:val="single" w:sz="4" w:space="0" w:color="auto"/>
            </w:tcBorders>
          </w:tcPr>
          <w:p w14:paraId="1C687DF6"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w:t>
            </w:r>
          </w:p>
        </w:tc>
        <w:tc>
          <w:tcPr>
            <w:tcW w:w="714" w:type="pct"/>
            <w:tcBorders>
              <w:top w:val="nil"/>
              <w:left w:val="single" w:sz="4" w:space="0" w:color="auto"/>
              <w:bottom w:val="single" w:sz="4" w:space="0" w:color="auto"/>
              <w:right w:val="single" w:sz="4" w:space="0" w:color="auto"/>
            </w:tcBorders>
            <w:shd w:val="clear" w:color="auto" w:fill="auto"/>
            <w:noWrap/>
          </w:tcPr>
          <w:p w14:paraId="6FB5024F"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3</w:t>
            </w:r>
          </w:p>
        </w:tc>
      </w:tr>
      <w:tr w:rsidR="00881319" w:rsidRPr="00B75955" w14:paraId="13FE079B" w14:textId="77777777" w:rsidTr="00881319">
        <w:trPr>
          <w:trHeight w:val="143"/>
        </w:trPr>
        <w:tc>
          <w:tcPr>
            <w:tcW w:w="1267" w:type="pct"/>
            <w:tcBorders>
              <w:top w:val="nil"/>
              <w:left w:val="single" w:sz="4" w:space="0" w:color="auto"/>
              <w:bottom w:val="single" w:sz="4" w:space="0" w:color="auto"/>
              <w:right w:val="single" w:sz="4" w:space="0" w:color="auto"/>
            </w:tcBorders>
            <w:shd w:val="clear" w:color="auto" w:fill="auto"/>
            <w:noWrap/>
            <w:hideMark/>
          </w:tcPr>
          <w:p w14:paraId="749DED2F"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HCFC-141b</w:t>
            </w:r>
          </w:p>
        </w:tc>
        <w:tc>
          <w:tcPr>
            <w:tcW w:w="613" w:type="pct"/>
            <w:tcBorders>
              <w:top w:val="nil"/>
              <w:left w:val="nil"/>
              <w:bottom w:val="single" w:sz="4" w:space="0" w:color="auto"/>
              <w:right w:val="single" w:sz="4" w:space="0" w:color="auto"/>
            </w:tcBorders>
            <w:shd w:val="clear" w:color="auto" w:fill="auto"/>
            <w:noWrap/>
          </w:tcPr>
          <w:p w14:paraId="69A1239A"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7,025</w:t>
            </w:r>
          </w:p>
        </w:tc>
        <w:tc>
          <w:tcPr>
            <w:tcW w:w="613" w:type="pct"/>
            <w:tcBorders>
              <w:top w:val="nil"/>
              <w:left w:val="nil"/>
              <w:bottom w:val="single" w:sz="4" w:space="0" w:color="auto"/>
              <w:right w:val="single" w:sz="4" w:space="0" w:color="auto"/>
            </w:tcBorders>
            <w:shd w:val="clear" w:color="auto" w:fill="auto"/>
            <w:noWrap/>
            <w:vAlign w:val="center"/>
          </w:tcPr>
          <w:p w14:paraId="65DFAAC7" w14:textId="77777777" w:rsidR="00881319" w:rsidRPr="00B75955" w:rsidRDefault="00881319" w:rsidP="00881319">
            <w:pPr>
              <w:jc w:val="right"/>
              <w:rPr>
                <w:rFonts w:eastAsiaTheme="minorHAnsi"/>
                <w:color w:val="000000"/>
                <w:sz w:val="20"/>
                <w:szCs w:val="20"/>
                <w:lang w:val="en-CA"/>
              </w:rPr>
            </w:pPr>
            <w:r w:rsidRPr="00B75955">
              <w:rPr>
                <w:color w:val="000000"/>
                <w:sz w:val="20"/>
                <w:szCs w:val="20"/>
                <w:lang w:val="en-CA"/>
              </w:rPr>
              <w:t>5,239</w:t>
            </w:r>
          </w:p>
        </w:tc>
        <w:tc>
          <w:tcPr>
            <w:tcW w:w="613" w:type="pct"/>
            <w:tcBorders>
              <w:top w:val="nil"/>
              <w:left w:val="nil"/>
              <w:bottom w:val="single" w:sz="4" w:space="0" w:color="auto"/>
              <w:right w:val="single" w:sz="4" w:space="0" w:color="auto"/>
            </w:tcBorders>
            <w:shd w:val="clear" w:color="auto" w:fill="auto"/>
            <w:noWrap/>
          </w:tcPr>
          <w:p w14:paraId="50A77A58" w14:textId="77777777" w:rsidR="00881319" w:rsidRPr="00B75955" w:rsidRDefault="00881319" w:rsidP="00881319">
            <w:pPr>
              <w:jc w:val="right"/>
              <w:rPr>
                <w:sz w:val="20"/>
                <w:szCs w:val="20"/>
                <w:lang w:val="en-CA"/>
              </w:rPr>
            </w:pPr>
            <w:r w:rsidRPr="00B75955">
              <w:rPr>
                <w:sz w:val="20"/>
                <w:szCs w:val="20"/>
                <w:lang w:val="en-CA"/>
              </w:rPr>
              <w:t>5,703</w:t>
            </w:r>
          </w:p>
        </w:tc>
        <w:tc>
          <w:tcPr>
            <w:tcW w:w="613" w:type="pct"/>
            <w:tcBorders>
              <w:top w:val="single" w:sz="4" w:space="0" w:color="auto"/>
              <w:left w:val="nil"/>
              <w:bottom w:val="single" w:sz="4" w:space="0" w:color="auto"/>
              <w:right w:val="single" w:sz="4" w:space="0" w:color="auto"/>
            </w:tcBorders>
          </w:tcPr>
          <w:p w14:paraId="440D6AF2" w14:textId="77777777" w:rsidR="00881319" w:rsidRPr="00B75955" w:rsidRDefault="00881319" w:rsidP="00881319">
            <w:pPr>
              <w:jc w:val="right"/>
              <w:rPr>
                <w:sz w:val="20"/>
                <w:szCs w:val="20"/>
                <w:lang w:val="en-CA"/>
              </w:rPr>
            </w:pPr>
            <w:r w:rsidRPr="00B75955">
              <w:rPr>
                <w:sz w:val="20"/>
                <w:szCs w:val="20"/>
                <w:lang w:val="en-CA"/>
              </w:rPr>
              <w:t>4,244</w:t>
            </w:r>
          </w:p>
        </w:tc>
        <w:tc>
          <w:tcPr>
            <w:tcW w:w="566" w:type="pct"/>
            <w:tcBorders>
              <w:top w:val="nil"/>
              <w:left w:val="single" w:sz="4" w:space="0" w:color="auto"/>
              <w:bottom w:val="single" w:sz="4" w:space="0" w:color="auto"/>
              <w:right w:val="single" w:sz="4" w:space="0" w:color="auto"/>
            </w:tcBorders>
          </w:tcPr>
          <w:p w14:paraId="51CC8BBF"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4,306</w:t>
            </w:r>
          </w:p>
        </w:tc>
        <w:tc>
          <w:tcPr>
            <w:tcW w:w="714" w:type="pct"/>
            <w:tcBorders>
              <w:top w:val="nil"/>
              <w:left w:val="single" w:sz="4" w:space="0" w:color="auto"/>
              <w:bottom w:val="single" w:sz="4" w:space="0" w:color="auto"/>
              <w:right w:val="single" w:sz="4" w:space="0" w:color="auto"/>
            </w:tcBorders>
            <w:shd w:val="clear" w:color="auto" w:fill="auto"/>
            <w:noWrap/>
          </w:tcPr>
          <w:p w14:paraId="2F1A0351"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5,885</w:t>
            </w:r>
          </w:p>
        </w:tc>
      </w:tr>
      <w:tr w:rsidR="00881319" w:rsidRPr="00B75955" w14:paraId="1AD7CFC4" w14:textId="77777777" w:rsidTr="00881319">
        <w:trPr>
          <w:trHeight w:val="82"/>
        </w:trPr>
        <w:tc>
          <w:tcPr>
            <w:tcW w:w="1267" w:type="pct"/>
            <w:tcBorders>
              <w:top w:val="nil"/>
              <w:left w:val="single" w:sz="4" w:space="0" w:color="auto"/>
              <w:bottom w:val="single" w:sz="4" w:space="0" w:color="auto"/>
              <w:right w:val="single" w:sz="4" w:space="0" w:color="auto"/>
            </w:tcBorders>
            <w:shd w:val="clear" w:color="auto" w:fill="auto"/>
            <w:noWrap/>
            <w:hideMark/>
          </w:tcPr>
          <w:p w14:paraId="13767C3C"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HCFC-142b</w:t>
            </w:r>
          </w:p>
        </w:tc>
        <w:tc>
          <w:tcPr>
            <w:tcW w:w="613" w:type="pct"/>
            <w:tcBorders>
              <w:top w:val="nil"/>
              <w:left w:val="nil"/>
              <w:bottom w:val="single" w:sz="4" w:space="0" w:color="auto"/>
              <w:right w:val="single" w:sz="4" w:space="0" w:color="auto"/>
            </w:tcBorders>
            <w:shd w:val="clear" w:color="auto" w:fill="auto"/>
            <w:noWrap/>
          </w:tcPr>
          <w:p w14:paraId="4388C2BE"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993</w:t>
            </w:r>
          </w:p>
        </w:tc>
        <w:tc>
          <w:tcPr>
            <w:tcW w:w="613" w:type="pct"/>
            <w:tcBorders>
              <w:top w:val="nil"/>
              <w:left w:val="nil"/>
              <w:bottom w:val="single" w:sz="4" w:space="0" w:color="auto"/>
              <w:right w:val="single" w:sz="4" w:space="0" w:color="auto"/>
            </w:tcBorders>
            <w:shd w:val="clear" w:color="auto" w:fill="auto"/>
            <w:noWrap/>
            <w:vAlign w:val="center"/>
          </w:tcPr>
          <w:p w14:paraId="70A3CEA8" w14:textId="77777777" w:rsidR="00881319" w:rsidRPr="00B75955" w:rsidRDefault="00881319" w:rsidP="00881319">
            <w:pPr>
              <w:jc w:val="right"/>
              <w:rPr>
                <w:rFonts w:eastAsiaTheme="minorHAnsi"/>
                <w:color w:val="000000"/>
                <w:sz w:val="20"/>
                <w:szCs w:val="20"/>
                <w:lang w:val="en-CA"/>
              </w:rPr>
            </w:pPr>
            <w:r w:rsidRPr="00B75955">
              <w:rPr>
                <w:color w:val="000000"/>
                <w:sz w:val="20"/>
                <w:szCs w:val="20"/>
                <w:lang w:val="en-CA"/>
              </w:rPr>
              <w:t>636</w:t>
            </w:r>
          </w:p>
        </w:tc>
        <w:tc>
          <w:tcPr>
            <w:tcW w:w="613" w:type="pct"/>
            <w:tcBorders>
              <w:top w:val="nil"/>
              <w:left w:val="nil"/>
              <w:bottom w:val="single" w:sz="4" w:space="0" w:color="auto"/>
              <w:right w:val="single" w:sz="4" w:space="0" w:color="auto"/>
            </w:tcBorders>
            <w:shd w:val="clear" w:color="auto" w:fill="auto"/>
            <w:noWrap/>
          </w:tcPr>
          <w:p w14:paraId="573C08DA" w14:textId="77777777" w:rsidR="00881319" w:rsidRPr="00B75955" w:rsidRDefault="00881319" w:rsidP="00881319">
            <w:pPr>
              <w:jc w:val="right"/>
              <w:rPr>
                <w:sz w:val="20"/>
                <w:szCs w:val="20"/>
                <w:lang w:val="en-CA"/>
              </w:rPr>
            </w:pPr>
            <w:r w:rsidRPr="00B75955">
              <w:rPr>
                <w:sz w:val="20"/>
                <w:szCs w:val="20"/>
                <w:lang w:val="en-CA"/>
              </w:rPr>
              <w:t>645</w:t>
            </w:r>
          </w:p>
        </w:tc>
        <w:tc>
          <w:tcPr>
            <w:tcW w:w="613" w:type="pct"/>
            <w:tcBorders>
              <w:top w:val="single" w:sz="4" w:space="0" w:color="auto"/>
              <w:left w:val="nil"/>
              <w:bottom w:val="single" w:sz="4" w:space="0" w:color="auto"/>
              <w:right w:val="single" w:sz="4" w:space="0" w:color="auto"/>
            </w:tcBorders>
          </w:tcPr>
          <w:p w14:paraId="352C7CEC" w14:textId="77777777" w:rsidR="00881319" w:rsidRPr="00B75955" w:rsidRDefault="00881319" w:rsidP="00881319">
            <w:pPr>
              <w:jc w:val="right"/>
              <w:rPr>
                <w:sz w:val="20"/>
                <w:szCs w:val="20"/>
                <w:lang w:val="en-CA"/>
              </w:rPr>
            </w:pPr>
            <w:r w:rsidRPr="00B75955">
              <w:rPr>
                <w:sz w:val="20"/>
                <w:szCs w:val="20"/>
                <w:lang w:val="en-CA"/>
              </w:rPr>
              <w:t>755</w:t>
            </w:r>
          </w:p>
        </w:tc>
        <w:tc>
          <w:tcPr>
            <w:tcW w:w="566" w:type="pct"/>
            <w:tcBorders>
              <w:top w:val="nil"/>
              <w:left w:val="single" w:sz="4" w:space="0" w:color="auto"/>
              <w:bottom w:val="single" w:sz="4" w:space="0" w:color="auto"/>
              <w:right w:val="single" w:sz="4" w:space="0" w:color="auto"/>
            </w:tcBorders>
          </w:tcPr>
          <w:p w14:paraId="06C12887"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616</w:t>
            </w:r>
          </w:p>
        </w:tc>
        <w:tc>
          <w:tcPr>
            <w:tcW w:w="714" w:type="pct"/>
            <w:tcBorders>
              <w:top w:val="nil"/>
              <w:left w:val="single" w:sz="4" w:space="0" w:color="auto"/>
              <w:bottom w:val="single" w:sz="4" w:space="0" w:color="auto"/>
              <w:right w:val="single" w:sz="4" w:space="0" w:color="auto"/>
            </w:tcBorders>
            <w:shd w:val="clear" w:color="auto" w:fill="auto"/>
            <w:noWrap/>
          </w:tcPr>
          <w:p w14:paraId="3B3C7EC3"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1,471</w:t>
            </w:r>
          </w:p>
        </w:tc>
      </w:tr>
      <w:tr w:rsidR="00881319" w:rsidRPr="00B75955" w14:paraId="01EC07EB" w14:textId="77777777" w:rsidTr="00881319">
        <w:trPr>
          <w:trHeight w:val="217"/>
        </w:trPr>
        <w:tc>
          <w:tcPr>
            <w:tcW w:w="1267" w:type="pct"/>
            <w:tcBorders>
              <w:top w:val="nil"/>
              <w:left w:val="single" w:sz="4" w:space="0" w:color="auto"/>
              <w:bottom w:val="single" w:sz="4" w:space="0" w:color="auto"/>
              <w:right w:val="single" w:sz="4" w:space="0" w:color="auto"/>
            </w:tcBorders>
            <w:shd w:val="clear" w:color="auto" w:fill="auto"/>
            <w:noWrap/>
            <w:hideMark/>
          </w:tcPr>
          <w:p w14:paraId="644A4C45" w14:textId="77777777" w:rsidR="00881319" w:rsidRPr="00B75955" w:rsidRDefault="00881319" w:rsidP="00881319">
            <w:pPr>
              <w:jc w:val="left"/>
              <w:rPr>
                <w:color w:val="000000"/>
                <w:sz w:val="20"/>
                <w:szCs w:val="20"/>
                <w:lang w:val="en-CA" w:eastAsia="en-CA"/>
              </w:rPr>
            </w:pPr>
            <w:r w:rsidRPr="00B75955">
              <w:rPr>
                <w:color w:val="000000"/>
                <w:sz w:val="20"/>
                <w:szCs w:val="20"/>
                <w:lang w:val="en-CA" w:eastAsia="en-CA"/>
              </w:rPr>
              <w:t>HCFC-225ca/</w:t>
            </w:r>
            <w:proofErr w:type="spellStart"/>
            <w:r w:rsidRPr="00B75955">
              <w:rPr>
                <w:color w:val="000000"/>
                <w:sz w:val="20"/>
                <w:szCs w:val="20"/>
                <w:lang w:val="en-CA" w:eastAsia="en-CA"/>
              </w:rPr>
              <w:t>cb</w:t>
            </w:r>
            <w:proofErr w:type="spellEnd"/>
          </w:p>
        </w:tc>
        <w:tc>
          <w:tcPr>
            <w:tcW w:w="613" w:type="pct"/>
            <w:tcBorders>
              <w:top w:val="nil"/>
              <w:left w:val="nil"/>
              <w:bottom w:val="single" w:sz="4" w:space="0" w:color="auto"/>
              <w:right w:val="single" w:sz="4" w:space="0" w:color="auto"/>
            </w:tcBorders>
            <w:shd w:val="clear" w:color="auto" w:fill="auto"/>
            <w:noWrap/>
          </w:tcPr>
          <w:p w14:paraId="115CEA81" w14:textId="77777777" w:rsidR="00881319" w:rsidRPr="00B75955" w:rsidRDefault="00881319" w:rsidP="00881319">
            <w:pPr>
              <w:jc w:val="right"/>
              <w:rPr>
                <w:color w:val="000000"/>
                <w:sz w:val="20"/>
                <w:szCs w:val="20"/>
                <w:lang w:val="en-CA" w:eastAsia="en-CA"/>
              </w:rPr>
            </w:pPr>
            <w:r w:rsidRPr="00B75955">
              <w:rPr>
                <w:color w:val="000000"/>
                <w:sz w:val="20"/>
                <w:szCs w:val="20"/>
                <w:lang w:val="en-CA" w:eastAsia="en-CA"/>
              </w:rPr>
              <w:t>1</w:t>
            </w:r>
          </w:p>
        </w:tc>
        <w:tc>
          <w:tcPr>
            <w:tcW w:w="613" w:type="pct"/>
            <w:tcBorders>
              <w:top w:val="nil"/>
              <w:left w:val="nil"/>
              <w:bottom w:val="single" w:sz="4" w:space="0" w:color="auto"/>
              <w:right w:val="single" w:sz="4" w:space="0" w:color="auto"/>
            </w:tcBorders>
            <w:shd w:val="clear" w:color="auto" w:fill="auto"/>
            <w:noWrap/>
            <w:vAlign w:val="center"/>
          </w:tcPr>
          <w:p w14:paraId="349D1EDF" w14:textId="77777777" w:rsidR="00881319" w:rsidRPr="00B75955" w:rsidRDefault="00881319" w:rsidP="00881319">
            <w:pPr>
              <w:jc w:val="right"/>
              <w:rPr>
                <w:rFonts w:eastAsiaTheme="minorHAnsi"/>
                <w:color w:val="000000"/>
                <w:sz w:val="20"/>
                <w:szCs w:val="20"/>
                <w:lang w:val="en-CA"/>
              </w:rPr>
            </w:pPr>
            <w:r w:rsidRPr="00B75955">
              <w:rPr>
                <w:color w:val="000000"/>
                <w:sz w:val="20"/>
                <w:szCs w:val="20"/>
                <w:lang w:val="en-CA"/>
              </w:rPr>
              <w:t>1</w:t>
            </w:r>
          </w:p>
        </w:tc>
        <w:tc>
          <w:tcPr>
            <w:tcW w:w="613" w:type="pct"/>
            <w:tcBorders>
              <w:top w:val="nil"/>
              <w:left w:val="nil"/>
              <w:bottom w:val="single" w:sz="4" w:space="0" w:color="auto"/>
              <w:right w:val="single" w:sz="4" w:space="0" w:color="auto"/>
            </w:tcBorders>
            <w:shd w:val="clear" w:color="auto" w:fill="auto"/>
            <w:noWrap/>
          </w:tcPr>
          <w:p w14:paraId="0AB619D8" w14:textId="77777777" w:rsidR="00881319" w:rsidRPr="00B75955" w:rsidRDefault="00881319" w:rsidP="00881319">
            <w:pPr>
              <w:jc w:val="right"/>
              <w:rPr>
                <w:sz w:val="20"/>
                <w:szCs w:val="20"/>
                <w:lang w:val="en-CA"/>
              </w:rPr>
            </w:pPr>
            <w:r w:rsidRPr="00B75955">
              <w:rPr>
                <w:sz w:val="20"/>
                <w:szCs w:val="20"/>
                <w:lang w:val="en-CA"/>
              </w:rPr>
              <w:t>1</w:t>
            </w:r>
          </w:p>
        </w:tc>
        <w:tc>
          <w:tcPr>
            <w:tcW w:w="613" w:type="pct"/>
            <w:tcBorders>
              <w:top w:val="single" w:sz="4" w:space="0" w:color="auto"/>
              <w:left w:val="nil"/>
              <w:bottom w:val="single" w:sz="4" w:space="0" w:color="auto"/>
              <w:right w:val="single" w:sz="4" w:space="0" w:color="auto"/>
            </w:tcBorders>
          </w:tcPr>
          <w:p w14:paraId="070A3C3A" w14:textId="77777777" w:rsidR="00881319" w:rsidRPr="00B75955" w:rsidRDefault="00881319" w:rsidP="00881319">
            <w:pPr>
              <w:jc w:val="right"/>
              <w:rPr>
                <w:sz w:val="20"/>
                <w:szCs w:val="20"/>
                <w:lang w:val="en-CA"/>
              </w:rPr>
            </w:pPr>
            <w:r w:rsidRPr="00B75955">
              <w:rPr>
                <w:sz w:val="20"/>
                <w:szCs w:val="20"/>
                <w:lang w:val="en-CA"/>
              </w:rPr>
              <w:t>1</w:t>
            </w:r>
          </w:p>
        </w:tc>
        <w:tc>
          <w:tcPr>
            <w:tcW w:w="566" w:type="pct"/>
            <w:tcBorders>
              <w:top w:val="nil"/>
              <w:left w:val="single" w:sz="4" w:space="0" w:color="auto"/>
              <w:bottom w:val="single" w:sz="4" w:space="0" w:color="auto"/>
              <w:right w:val="single" w:sz="4" w:space="0" w:color="auto"/>
            </w:tcBorders>
          </w:tcPr>
          <w:p w14:paraId="2EB53EDC"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w:t>
            </w:r>
          </w:p>
        </w:tc>
        <w:tc>
          <w:tcPr>
            <w:tcW w:w="714" w:type="pct"/>
            <w:tcBorders>
              <w:top w:val="nil"/>
              <w:left w:val="single" w:sz="4" w:space="0" w:color="auto"/>
              <w:bottom w:val="single" w:sz="4" w:space="0" w:color="auto"/>
              <w:right w:val="single" w:sz="4" w:space="0" w:color="auto"/>
            </w:tcBorders>
            <w:shd w:val="clear" w:color="auto" w:fill="auto"/>
            <w:noWrap/>
          </w:tcPr>
          <w:p w14:paraId="7A3943D4" w14:textId="77777777" w:rsidR="00881319" w:rsidRPr="00B75955" w:rsidRDefault="00881319" w:rsidP="00881319">
            <w:pPr>
              <w:jc w:val="right"/>
              <w:rPr>
                <w:iCs/>
                <w:color w:val="000000"/>
                <w:sz w:val="20"/>
                <w:szCs w:val="20"/>
                <w:lang w:val="en-CA" w:eastAsia="en-CA"/>
              </w:rPr>
            </w:pPr>
            <w:r w:rsidRPr="00B75955">
              <w:rPr>
                <w:iCs/>
                <w:color w:val="000000"/>
                <w:sz w:val="20"/>
                <w:szCs w:val="20"/>
                <w:lang w:val="en-CA" w:eastAsia="en-CA"/>
              </w:rPr>
              <w:t>1</w:t>
            </w:r>
          </w:p>
        </w:tc>
      </w:tr>
      <w:tr w:rsidR="00881319" w:rsidRPr="00B75955" w14:paraId="7B1ABCB5" w14:textId="77777777" w:rsidTr="00881319">
        <w:trPr>
          <w:trHeight w:val="152"/>
        </w:trPr>
        <w:tc>
          <w:tcPr>
            <w:tcW w:w="1267" w:type="pct"/>
            <w:tcBorders>
              <w:top w:val="nil"/>
              <w:left w:val="single" w:sz="4" w:space="0" w:color="auto"/>
              <w:bottom w:val="single" w:sz="4" w:space="0" w:color="auto"/>
              <w:right w:val="single" w:sz="4" w:space="0" w:color="auto"/>
            </w:tcBorders>
            <w:shd w:val="clear" w:color="auto" w:fill="auto"/>
            <w:noWrap/>
            <w:hideMark/>
          </w:tcPr>
          <w:p w14:paraId="56F86510" w14:textId="77777777" w:rsidR="00881319" w:rsidRPr="00B75955" w:rsidRDefault="00881319" w:rsidP="00881319">
            <w:pPr>
              <w:jc w:val="left"/>
              <w:rPr>
                <w:b/>
                <w:bCs/>
                <w:color w:val="000000"/>
                <w:sz w:val="20"/>
                <w:szCs w:val="20"/>
                <w:lang w:val="en-CA" w:eastAsia="en-CA"/>
              </w:rPr>
            </w:pPr>
            <w:r w:rsidRPr="00B75955">
              <w:rPr>
                <w:b/>
                <w:bCs/>
                <w:color w:val="000000"/>
                <w:sz w:val="20"/>
                <w:szCs w:val="20"/>
                <w:lang w:val="en-CA" w:eastAsia="en-CA"/>
              </w:rPr>
              <w:t>Total</w:t>
            </w:r>
          </w:p>
        </w:tc>
        <w:tc>
          <w:tcPr>
            <w:tcW w:w="613" w:type="pct"/>
            <w:tcBorders>
              <w:top w:val="nil"/>
              <w:left w:val="nil"/>
              <w:bottom w:val="single" w:sz="4" w:space="0" w:color="auto"/>
              <w:right w:val="single" w:sz="4" w:space="0" w:color="auto"/>
            </w:tcBorders>
            <w:shd w:val="clear" w:color="auto" w:fill="auto"/>
            <w:noWrap/>
          </w:tcPr>
          <w:p w14:paraId="1249F47A" w14:textId="77777777" w:rsidR="00881319" w:rsidRPr="00B75955" w:rsidRDefault="00881319" w:rsidP="00881319">
            <w:pPr>
              <w:jc w:val="right"/>
              <w:rPr>
                <w:b/>
                <w:bCs/>
                <w:color w:val="000000"/>
                <w:sz w:val="20"/>
                <w:szCs w:val="20"/>
                <w:lang w:val="en-CA" w:eastAsia="en-CA"/>
              </w:rPr>
            </w:pPr>
            <w:r w:rsidRPr="00B75955">
              <w:rPr>
                <w:b/>
                <w:bCs/>
                <w:color w:val="000000"/>
                <w:sz w:val="20"/>
                <w:szCs w:val="20"/>
                <w:lang w:val="en-CA" w:eastAsia="en-CA"/>
              </w:rPr>
              <w:t>21,091</w:t>
            </w:r>
          </w:p>
        </w:tc>
        <w:tc>
          <w:tcPr>
            <w:tcW w:w="613" w:type="pct"/>
            <w:tcBorders>
              <w:top w:val="nil"/>
              <w:left w:val="nil"/>
              <w:bottom w:val="single" w:sz="4" w:space="0" w:color="auto"/>
              <w:right w:val="single" w:sz="4" w:space="0" w:color="auto"/>
            </w:tcBorders>
            <w:shd w:val="clear" w:color="auto" w:fill="auto"/>
            <w:noWrap/>
          </w:tcPr>
          <w:p w14:paraId="3A34B8BF" w14:textId="77777777" w:rsidR="00881319" w:rsidRPr="00B75955" w:rsidRDefault="00881319" w:rsidP="00881319">
            <w:pPr>
              <w:jc w:val="right"/>
              <w:rPr>
                <w:b/>
                <w:bCs/>
                <w:iCs/>
                <w:color w:val="000000"/>
                <w:sz w:val="20"/>
                <w:szCs w:val="20"/>
                <w:lang w:val="en-CA" w:eastAsia="en-CA"/>
              </w:rPr>
            </w:pPr>
            <w:r w:rsidRPr="00B75955">
              <w:rPr>
                <w:b/>
                <w:bCs/>
                <w:iCs/>
                <w:color w:val="000000"/>
                <w:sz w:val="20"/>
                <w:szCs w:val="20"/>
                <w:lang w:val="en-CA" w:eastAsia="en-CA"/>
              </w:rPr>
              <w:t>15,761</w:t>
            </w:r>
          </w:p>
        </w:tc>
        <w:tc>
          <w:tcPr>
            <w:tcW w:w="613" w:type="pct"/>
            <w:tcBorders>
              <w:top w:val="nil"/>
              <w:left w:val="nil"/>
              <w:bottom w:val="single" w:sz="4" w:space="0" w:color="auto"/>
              <w:right w:val="single" w:sz="4" w:space="0" w:color="auto"/>
            </w:tcBorders>
            <w:shd w:val="clear" w:color="auto" w:fill="auto"/>
            <w:noWrap/>
          </w:tcPr>
          <w:p w14:paraId="13A05BB8" w14:textId="77777777" w:rsidR="00881319" w:rsidRPr="00B75955" w:rsidRDefault="00881319" w:rsidP="00881319">
            <w:pPr>
              <w:jc w:val="right"/>
              <w:rPr>
                <w:b/>
                <w:sz w:val="20"/>
                <w:szCs w:val="20"/>
                <w:lang w:val="en-CA"/>
              </w:rPr>
            </w:pPr>
            <w:r w:rsidRPr="00B75955">
              <w:rPr>
                <w:b/>
                <w:sz w:val="20"/>
                <w:szCs w:val="20"/>
                <w:lang w:val="en-CA"/>
              </w:rPr>
              <w:t>16,839</w:t>
            </w:r>
          </w:p>
        </w:tc>
        <w:tc>
          <w:tcPr>
            <w:tcW w:w="613" w:type="pct"/>
            <w:tcBorders>
              <w:top w:val="single" w:sz="4" w:space="0" w:color="auto"/>
              <w:left w:val="nil"/>
              <w:bottom w:val="single" w:sz="4" w:space="0" w:color="auto"/>
              <w:right w:val="single" w:sz="4" w:space="0" w:color="auto"/>
            </w:tcBorders>
          </w:tcPr>
          <w:p w14:paraId="09EB5DA4" w14:textId="77777777" w:rsidR="00881319" w:rsidRPr="00B75955" w:rsidRDefault="00881319" w:rsidP="00881319">
            <w:pPr>
              <w:jc w:val="right"/>
              <w:rPr>
                <w:b/>
                <w:sz w:val="20"/>
                <w:szCs w:val="20"/>
                <w:lang w:val="en-CA"/>
              </w:rPr>
            </w:pPr>
            <w:r w:rsidRPr="00B75955">
              <w:rPr>
                <w:b/>
                <w:sz w:val="20"/>
                <w:szCs w:val="20"/>
                <w:lang w:val="en-CA"/>
              </w:rPr>
              <w:t>13,485</w:t>
            </w:r>
          </w:p>
        </w:tc>
        <w:tc>
          <w:tcPr>
            <w:tcW w:w="566" w:type="pct"/>
            <w:tcBorders>
              <w:top w:val="nil"/>
              <w:left w:val="single" w:sz="4" w:space="0" w:color="auto"/>
              <w:bottom w:val="single" w:sz="4" w:space="0" w:color="auto"/>
              <w:right w:val="single" w:sz="4" w:space="0" w:color="auto"/>
            </w:tcBorders>
          </w:tcPr>
          <w:p w14:paraId="25740E1C" w14:textId="77777777" w:rsidR="00881319" w:rsidRPr="00B75955" w:rsidRDefault="00881319" w:rsidP="00881319">
            <w:pPr>
              <w:jc w:val="right"/>
              <w:rPr>
                <w:b/>
                <w:bCs/>
                <w:iCs/>
                <w:color w:val="000000"/>
                <w:sz w:val="20"/>
                <w:szCs w:val="20"/>
                <w:lang w:val="en-CA" w:eastAsia="en-CA"/>
              </w:rPr>
            </w:pPr>
            <w:r w:rsidRPr="00B75955">
              <w:rPr>
                <w:b/>
                <w:bCs/>
                <w:iCs/>
                <w:color w:val="000000"/>
                <w:sz w:val="20"/>
                <w:szCs w:val="20"/>
                <w:lang w:val="en-CA" w:eastAsia="en-CA"/>
              </w:rPr>
              <w:t>14,221</w:t>
            </w:r>
          </w:p>
        </w:tc>
        <w:tc>
          <w:tcPr>
            <w:tcW w:w="714" w:type="pct"/>
            <w:tcBorders>
              <w:top w:val="nil"/>
              <w:left w:val="single" w:sz="4" w:space="0" w:color="auto"/>
              <w:bottom w:val="single" w:sz="4" w:space="0" w:color="auto"/>
              <w:right w:val="single" w:sz="4" w:space="0" w:color="auto"/>
            </w:tcBorders>
            <w:shd w:val="clear" w:color="auto" w:fill="auto"/>
            <w:noWrap/>
          </w:tcPr>
          <w:p w14:paraId="704DFE1E" w14:textId="77777777" w:rsidR="00881319" w:rsidRPr="00B75955" w:rsidRDefault="00881319" w:rsidP="00881319">
            <w:pPr>
              <w:jc w:val="right"/>
              <w:rPr>
                <w:b/>
                <w:bCs/>
                <w:iCs/>
                <w:color w:val="000000"/>
                <w:sz w:val="20"/>
                <w:szCs w:val="20"/>
                <w:lang w:val="en-CA" w:eastAsia="en-CA"/>
              </w:rPr>
            </w:pPr>
            <w:r w:rsidRPr="00B75955">
              <w:rPr>
                <w:b/>
                <w:bCs/>
                <w:iCs/>
                <w:color w:val="000000"/>
                <w:sz w:val="20"/>
                <w:szCs w:val="20"/>
                <w:lang w:val="en-CA" w:eastAsia="en-CA"/>
              </w:rPr>
              <w:t>18,865</w:t>
            </w:r>
          </w:p>
        </w:tc>
      </w:tr>
    </w:tbl>
    <w:p w14:paraId="4BC656AD" w14:textId="77777777" w:rsidR="00881319" w:rsidRPr="00B75955" w:rsidRDefault="00881319" w:rsidP="00881319">
      <w:pPr>
        <w:pStyle w:val="Heading1"/>
        <w:numPr>
          <w:ilvl w:val="0"/>
          <w:numId w:val="0"/>
        </w:numPr>
        <w:spacing w:after="0"/>
        <w:rPr>
          <w:strike/>
          <w:sz w:val="19"/>
          <w:szCs w:val="19"/>
          <w:lang w:val="en-CA"/>
        </w:rPr>
      </w:pPr>
    </w:p>
    <w:p w14:paraId="12F80C7B" w14:textId="77777777" w:rsidR="00881319" w:rsidRPr="00B75955" w:rsidRDefault="00881319" w:rsidP="00881319">
      <w:pPr>
        <w:pStyle w:val="Heading1"/>
        <w:rPr>
          <w:lang w:val="en-CA"/>
        </w:rPr>
      </w:pPr>
      <w:r w:rsidRPr="00B75955">
        <w:rPr>
          <w:lang w:val="en-CA"/>
        </w:rPr>
        <w:t>The Government of China has reported country programme (CP) data for 2016 as shown in Table 4. China continues to be in compliance with the Montreal Protocol and the Agreement with the Executive Committee for stage II of the HPMP (last consumption target in stage I was 2015).</w:t>
      </w:r>
    </w:p>
    <w:p w14:paraId="51039829" w14:textId="77777777" w:rsidR="00881319" w:rsidRPr="00B75955" w:rsidRDefault="00881319" w:rsidP="00881319">
      <w:pPr>
        <w:tabs>
          <w:tab w:val="left" w:pos="8442"/>
        </w:tabs>
        <w:rPr>
          <w:b/>
          <w:lang w:val="en-CA"/>
        </w:rPr>
      </w:pPr>
      <w:r w:rsidRPr="00B75955">
        <w:rPr>
          <w:b/>
          <w:lang w:val="en-CA"/>
        </w:rPr>
        <w:t>Table 4. Consumption of HCFC (in ODP tonnes) per sector in China in 2016*</w:t>
      </w:r>
    </w:p>
    <w:tbl>
      <w:tblPr>
        <w:tblW w:w="5000" w:type="pct"/>
        <w:tblInd w:w="-5" w:type="dxa"/>
        <w:tblLook w:val="04A0" w:firstRow="1" w:lastRow="0" w:firstColumn="1" w:lastColumn="0" w:noHBand="0" w:noVBand="1"/>
      </w:tblPr>
      <w:tblGrid>
        <w:gridCol w:w="2870"/>
        <w:gridCol w:w="1079"/>
        <w:gridCol w:w="1081"/>
        <w:gridCol w:w="1081"/>
        <w:gridCol w:w="1081"/>
        <w:gridCol w:w="1081"/>
        <w:gridCol w:w="1077"/>
      </w:tblGrid>
      <w:tr w:rsidR="00881319" w:rsidRPr="00B75955" w14:paraId="337D076D" w14:textId="77777777" w:rsidTr="00881319">
        <w:trPr>
          <w:tblHeader/>
        </w:trPr>
        <w:tc>
          <w:tcPr>
            <w:tcW w:w="1535" w:type="pct"/>
            <w:tcBorders>
              <w:top w:val="single" w:sz="4" w:space="0" w:color="auto"/>
              <w:left w:val="single" w:sz="4" w:space="0" w:color="auto"/>
              <w:bottom w:val="single" w:sz="4" w:space="0" w:color="auto"/>
              <w:right w:val="single" w:sz="4" w:space="0" w:color="auto"/>
            </w:tcBorders>
            <w:shd w:val="clear" w:color="auto" w:fill="auto"/>
            <w:noWrap/>
            <w:tcMar>
              <w:left w:w="43" w:type="dxa"/>
              <w:right w:w="0" w:type="dxa"/>
            </w:tcMar>
            <w:hideMark/>
          </w:tcPr>
          <w:p w14:paraId="11F12FB2" w14:textId="77777777" w:rsidR="00881319" w:rsidRPr="00B75955" w:rsidRDefault="00881319" w:rsidP="00881319">
            <w:pPr>
              <w:jc w:val="left"/>
              <w:rPr>
                <w:b/>
                <w:bCs/>
                <w:color w:val="000000"/>
                <w:sz w:val="20"/>
                <w:szCs w:val="20"/>
                <w:lang w:val="en-CA"/>
              </w:rPr>
            </w:pPr>
            <w:r w:rsidRPr="00B75955">
              <w:rPr>
                <w:b/>
                <w:bCs/>
                <w:color w:val="000000"/>
                <w:sz w:val="20"/>
                <w:szCs w:val="20"/>
                <w:lang w:val="en-CA"/>
              </w:rPr>
              <w:t>Substance</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14:paraId="6CBF681F" w14:textId="77777777" w:rsidR="00881319" w:rsidRPr="00B75955" w:rsidRDefault="00881319" w:rsidP="00881319">
            <w:pPr>
              <w:jc w:val="center"/>
              <w:rPr>
                <w:b/>
                <w:bCs/>
                <w:color w:val="000000"/>
                <w:sz w:val="20"/>
                <w:szCs w:val="20"/>
                <w:lang w:val="en-CA"/>
              </w:rPr>
            </w:pPr>
            <w:r w:rsidRPr="00B75955">
              <w:rPr>
                <w:b/>
                <w:bCs/>
                <w:color w:val="000000"/>
                <w:sz w:val="20"/>
                <w:szCs w:val="20"/>
                <w:lang w:val="en-CA"/>
              </w:rPr>
              <w:t>XPS foam</w:t>
            </w: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060A70C4" w14:textId="77777777" w:rsidR="00881319" w:rsidRPr="00B75955" w:rsidRDefault="00881319" w:rsidP="00881319">
            <w:pPr>
              <w:jc w:val="center"/>
              <w:rPr>
                <w:b/>
                <w:bCs/>
                <w:color w:val="000000"/>
                <w:sz w:val="20"/>
                <w:szCs w:val="20"/>
                <w:lang w:val="en-CA"/>
              </w:rPr>
            </w:pPr>
            <w:r w:rsidRPr="00B75955">
              <w:rPr>
                <w:b/>
                <w:bCs/>
                <w:color w:val="000000"/>
                <w:sz w:val="20"/>
                <w:szCs w:val="20"/>
                <w:lang w:val="en-CA"/>
              </w:rPr>
              <w:t>PU foam</w:t>
            </w:r>
          </w:p>
        </w:tc>
        <w:tc>
          <w:tcPr>
            <w:tcW w:w="578" w:type="pct"/>
            <w:tcBorders>
              <w:top w:val="single" w:sz="4" w:space="0" w:color="auto"/>
              <w:left w:val="single" w:sz="4" w:space="0" w:color="auto"/>
              <w:bottom w:val="single" w:sz="4" w:space="0" w:color="auto"/>
              <w:right w:val="single" w:sz="4" w:space="0" w:color="auto"/>
            </w:tcBorders>
          </w:tcPr>
          <w:p w14:paraId="5994BA49" w14:textId="77777777" w:rsidR="00881319" w:rsidRPr="00B75955" w:rsidRDefault="00881319" w:rsidP="00881319">
            <w:pPr>
              <w:jc w:val="center"/>
              <w:rPr>
                <w:b/>
                <w:bCs/>
                <w:color w:val="000000"/>
                <w:sz w:val="20"/>
                <w:szCs w:val="20"/>
                <w:lang w:val="en-CA"/>
              </w:rPr>
            </w:pPr>
            <w:r w:rsidRPr="00B75955">
              <w:rPr>
                <w:b/>
                <w:bCs/>
                <w:color w:val="000000"/>
                <w:sz w:val="20"/>
                <w:szCs w:val="20"/>
                <w:lang w:val="en-CA"/>
              </w:rPr>
              <w:t>ICR</w:t>
            </w: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39BB6D5E" w14:textId="77777777" w:rsidR="00881319" w:rsidRPr="00B75955" w:rsidRDefault="00881319" w:rsidP="00881319">
            <w:pPr>
              <w:jc w:val="center"/>
              <w:rPr>
                <w:b/>
                <w:bCs/>
                <w:color w:val="000000"/>
                <w:sz w:val="20"/>
                <w:szCs w:val="20"/>
                <w:lang w:val="en-CA"/>
              </w:rPr>
            </w:pPr>
            <w:r w:rsidRPr="00B75955">
              <w:rPr>
                <w:b/>
                <w:bCs/>
                <w:color w:val="000000"/>
                <w:sz w:val="20"/>
                <w:szCs w:val="20"/>
                <w:lang w:val="en-CA"/>
              </w:rPr>
              <w:t>RAC</w:t>
            </w:r>
          </w:p>
        </w:tc>
        <w:tc>
          <w:tcPr>
            <w:tcW w:w="578" w:type="pct"/>
            <w:tcBorders>
              <w:top w:val="single" w:sz="4" w:space="0" w:color="auto"/>
              <w:left w:val="single" w:sz="4" w:space="0" w:color="auto"/>
              <w:bottom w:val="single" w:sz="4" w:space="0" w:color="auto"/>
              <w:right w:val="single" w:sz="4" w:space="0" w:color="auto"/>
            </w:tcBorders>
          </w:tcPr>
          <w:p w14:paraId="665F89BC" w14:textId="77777777" w:rsidR="00881319" w:rsidRPr="00B75955" w:rsidRDefault="00881319" w:rsidP="00881319">
            <w:pPr>
              <w:jc w:val="center"/>
              <w:rPr>
                <w:b/>
                <w:bCs/>
                <w:color w:val="000000"/>
                <w:sz w:val="20"/>
                <w:szCs w:val="20"/>
                <w:lang w:val="en-CA"/>
              </w:rPr>
            </w:pPr>
            <w:r w:rsidRPr="00B75955">
              <w:rPr>
                <w:b/>
                <w:bCs/>
                <w:color w:val="000000"/>
                <w:sz w:val="20"/>
                <w:szCs w:val="20"/>
                <w:lang w:val="en-CA"/>
              </w:rPr>
              <w:t>Solvent</w:t>
            </w:r>
          </w:p>
        </w:tc>
        <w:tc>
          <w:tcPr>
            <w:tcW w:w="578" w:type="pct"/>
            <w:tcBorders>
              <w:top w:val="single" w:sz="4" w:space="0" w:color="auto"/>
              <w:left w:val="single" w:sz="4" w:space="0" w:color="auto"/>
              <w:bottom w:val="single" w:sz="4" w:space="0" w:color="auto"/>
              <w:right w:val="single" w:sz="4" w:space="0" w:color="auto"/>
            </w:tcBorders>
          </w:tcPr>
          <w:p w14:paraId="7A33E249" w14:textId="77777777" w:rsidR="00881319" w:rsidRPr="00B75955" w:rsidRDefault="00881319" w:rsidP="00881319">
            <w:pPr>
              <w:jc w:val="center"/>
              <w:rPr>
                <w:b/>
                <w:bCs/>
                <w:color w:val="000000"/>
                <w:sz w:val="20"/>
                <w:szCs w:val="20"/>
                <w:lang w:val="en-CA"/>
              </w:rPr>
            </w:pPr>
            <w:r w:rsidRPr="00B75955">
              <w:rPr>
                <w:b/>
                <w:bCs/>
                <w:color w:val="000000"/>
                <w:sz w:val="20"/>
                <w:szCs w:val="20"/>
                <w:lang w:val="en-CA"/>
              </w:rPr>
              <w:t>Servicing</w:t>
            </w:r>
          </w:p>
        </w:tc>
      </w:tr>
      <w:tr w:rsidR="00881319" w:rsidRPr="00B75955" w14:paraId="0D23C898" w14:textId="77777777" w:rsidTr="00881319">
        <w:tc>
          <w:tcPr>
            <w:tcW w:w="1535"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hideMark/>
          </w:tcPr>
          <w:p w14:paraId="5E92B2A5" w14:textId="77777777" w:rsidR="00881319" w:rsidRPr="00B75955" w:rsidRDefault="00881319" w:rsidP="00881319">
            <w:pPr>
              <w:jc w:val="left"/>
              <w:rPr>
                <w:color w:val="000000"/>
                <w:sz w:val="20"/>
                <w:szCs w:val="20"/>
                <w:lang w:val="en-CA"/>
              </w:rPr>
            </w:pPr>
            <w:r w:rsidRPr="00B75955">
              <w:rPr>
                <w:color w:val="000000"/>
                <w:sz w:val="20"/>
                <w:szCs w:val="20"/>
                <w:lang w:val="en-CA"/>
              </w:rPr>
              <w:t>HCFC-22</w:t>
            </w:r>
          </w:p>
        </w:tc>
        <w:tc>
          <w:tcPr>
            <w:tcW w:w="577" w:type="pct"/>
            <w:tcBorders>
              <w:top w:val="single" w:sz="4" w:space="0" w:color="auto"/>
              <w:left w:val="nil"/>
              <w:bottom w:val="single" w:sz="4" w:space="0" w:color="auto"/>
              <w:right w:val="single" w:sz="4" w:space="0" w:color="auto"/>
            </w:tcBorders>
            <w:shd w:val="clear" w:color="auto" w:fill="auto"/>
          </w:tcPr>
          <w:p w14:paraId="3CDC39CF" w14:textId="77777777" w:rsidR="00881319" w:rsidRPr="00B75955" w:rsidRDefault="00881319" w:rsidP="00881319">
            <w:pPr>
              <w:jc w:val="right"/>
              <w:rPr>
                <w:color w:val="000000"/>
                <w:sz w:val="20"/>
                <w:szCs w:val="20"/>
                <w:lang w:val="en-CA"/>
              </w:rPr>
            </w:pPr>
            <w:r w:rsidRPr="00B75955">
              <w:rPr>
                <w:color w:val="000000"/>
                <w:sz w:val="20"/>
                <w:szCs w:val="20"/>
                <w:lang w:val="en-CA"/>
              </w:rPr>
              <w:t>1,458</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67A29A2E"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6401CAB3" w14:textId="77777777" w:rsidR="00881319" w:rsidRPr="00B75955" w:rsidRDefault="00881319" w:rsidP="00881319">
            <w:pPr>
              <w:jc w:val="right"/>
              <w:rPr>
                <w:color w:val="000000"/>
                <w:sz w:val="20"/>
                <w:szCs w:val="20"/>
                <w:lang w:val="en-CA"/>
              </w:rPr>
            </w:pPr>
            <w:r w:rsidRPr="00B75955">
              <w:rPr>
                <w:color w:val="000000"/>
                <w:sz w:val="20"/>
                <w:szCs w:val="20"/>
                <w:lang w:val="en-CA"/>
              </w:rPr>
              <w:t>2,063</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3CA15C3" w14:textId="77777777" w:rsidR="00881319" w:rsidRPr="00B75955" w:rsidRDefault="00881319" w:rsidP="00881319">
            <w:pPr>
              <w:jc w:val="right"/>
              <w:rPr>
                <w:color w:val="000000"/>
                <w:sz w:val="20"/>
                <w:szCs w:val="20"/>
                <w:lang w:val="en-CA"/>
              </w:rPr>
            </w:pPr>
            <w:r w:rsidRPr="00B75955">
              <w:rPr>
                <w:color w:val="000000"/>
                <w:sz w:val="20"/>
                <w:szCs w:val="20"/>
                <w:lang w:val="en-CA"/>
              </w:rPr>
              <w:t>3,025</w:t>
            </w:r>
          </w:p>
        </w:tc>
        <w:tc>
          <w:tcPr>
            <w:tcW w:w="578" w:type="pct"/>
            <w:tcBorders>
              <w:top w:val="single" w:sz="4" w:space="0" w:color="auto"/>
              <w:left w:val="single" w:sz="4" w:space="0" w:color="auto"/>
              <w:bottom w:val="single" w:sz="4" w:space="0" w:color="auto"/>
              <w:right w:val="single" w:sz="4" w:space="0" w:color="auto"/>
            </w:tcBorders>
          </w:tcPr>
          <w:p w14:paraId="6AB1A06C"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3B642D1F" w14:textId="77777777" w:rsidR="00881319" w:rsidRPr="00B75955" w:rsidRDefault="00881319" w:rsidP="00881319">
            <w:pPr>
              <w:jc w:val="right"/>
              <w:rPr>
                <w:color w:val="000000"/>
                <w:sz w:val="20"/>
                <w:szCs w:val="20"/>
                <w:lang w:val="en-CA"/>
              </w:rPr>
            </w:pPr>
            <w:r w:rsidRPr="00B75955">
              <w:rPr>
                <w:color w:val="000000"/>
                <w:sz w:val="20"/>
                <w:szCs w:val="20"/>
                <w:lang w:val="en-CA"/>
              </w:rPr>
              <w:t>2,607</w:t>
            </w:r>
          </w:p>
        </w:tc>
      </w:tr>
      <w:tr w:rsidR="00881319" w:rsidRPr="00B75955" w14:paraId="03D7CCA1" w14:textId="77777777" w:rsidTr="00881319">
        <w:tc>
          <w:tcPr>
            <w:tcW w:w="1535"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30D329E4" w14:textId="77777777" w:rsidR="00881319" w:rsidRPr="00B75955" w:rsidRDefault="00881319" w:rsidP="00881319">
            <w:pPr>
              <w:jc w:val="left"/>
              <w:rPr>
                <w:color w:val="000000"/>
                <w:sz w:val="20"/>
                <w:szCs w:val="20"/>
                <w:lang w:val="en-CA"/>
              </w:rPr>
            </w:pPr>
            <w:r w:rsidRPr="00B75955">
              <w:rPr>
                <w:color w:val="000000"/>
                <w:sz w:val="20"/>
                <w:szCs w:val="20"/>
                <w:lang w:val="en-CA"/>
              </w:rPr>
              <w:t>HCFC-141b</w:t>
            </w:r>
          </w:p>
        </w:tc>
        <w:tc>
          <w:tcPr>
            <w:tcW w:w="577" w:type="pct"/>
            <w:tcBorders>
              <w:top w:val="single" w:sz="4" w:space="0" w:color="auto"/>
              <w:left w:val="nil"/>
              <w:bottom w:val="single" w:sz="4" w:space="0" w:color="auto"/>
              <w:right w:val="single" w:sz="4" w:space="0" w:color="auto"/>
            </w:tcBorders>
            <w:shd w:val="clear" w:color="auto" w:fill="auto"/>
          </w:tcPr>
          <w:p w14:paraId="2FFACBEC"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36DEA23" w14:textId="77777777" w:rsidR="00881319" w:rsidRPr="00B75955" w:rsidRDefault="00881319" w:rsidP="00881319">
            <w:pPr>
              <w:jc w:val="right"/>
              <w:rPr>
                <w:color w:val="000000"/>
                <w:sz w:val="20"/>
                <w:szCs w:val="20"/>
                <w:lang w:val="en-CA"/>
              </w:rPr>
            </w:pPr>
            <w:r w:rsidRPr="00B75955">
              <w:rPr>
                <w:color w:val="000000"/>
                <w:sz w:val="20"/>
                <w:szCs w:val="20"/>
                <w:lang w:val="en-CA"/>
              </w:rPr>
              <w:t>3,830</w:t>
            </w:r>
          </w:p>
        </w:tc>
        <w:tc>
          <w:tcPr>
            <w:tcW w:w="578" w:type="pct"/>
            <w:tcBorders>
              <w:top w:val="single" w:sz="4" w:space="0" w:color="auto"/>
              <w:left w:val="single" w:sz="4" w:space="0" w:color="auto"/>
              <w:bottom w:val="single" w:sz="4" w:space="0" w:color="auto"/>
              <w:right w:val="single" w:sz="4" w:space="0" w:color="auto"/>
            </w:tcBorders>
          </w:tcPr>
          <w:p w14:paraId="6ABC0C8A"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B3A0371"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0BA2E2D1" w14:textId="77777777" w:rsidR="00881319" w:rsidRPr="00B75955" w:rsidRDefault="00881319" w:rsidP="00881319">
            <w:pPr>
              <w:jc w:val="right"/>
              <w:rPr>
                <w:color w:val="000000"/>
                <w:sz w:val="20"/>
                <w:szCs w:val="20"/>
                <w:lang w:val="en-CA"/>
              </w:rPr>
            </w:pPr>
            <w:r w:rsidRPr="00B75955">
              <w:rPr>
                <w:color w:val="000000"/>
                <w:sz w:val="20"/>
                <w:szCs w:val="20"/>
                <w:lang w:val="en-CA"/>
              </w:rPr>
              <w:t>413</w:t>
            </w:r>
          </w:p>
        </w:tc>
        <w:tc>
          <w:tcPr>
            <w:tcW w:w="578" w:type="pct"/>
            <w:tcBorders>
              <w:top w:val="single" w:sz="4" w:space="0" w:color="auto"/>
              <w:left w:val="single" w:sz="4" w:space="0" w:color="auto"/>
              <w:bottom w:val="single" w:sz="4" w:space="0" w:color="auto"/>
              <w:right w:val="single" w:sz="4" w:space="0" w:color="auto"/>
            </w:tcBorders>
          </w:tcPr>
          <w:p w14:paraId="02E41A76" w14:textId="77777777" w:rsidR="00881319" w:rsidRPr="00B75955" w:rsidRDefault="00881319" w:rsidP="00881319">
            <w:pPr>
              <w:jc w:val="right"/>
              <w:rPr>
                <w:color w:val="000000"/>
                <w:sz w:val="20"/>
                <w:szCs w:val="20"/>
                <w:lang w:val="en-CA"/>
              </w:rPr>
            </w:pPr>
          </w:p>
        </w:tc>
      </w:tr>
      <w:tr w:rsidR="00881319" w:rsidRPr="00B75955" w14:paraId="531DE448" w14:textId="77777777" w:rsidTr="00881319">
        <w:tc>
          <w:tcPr>
            <w:tcW w:w="1535"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08D1F2F8" w14:textId="77777777" w:rsidR="00881319" w:rsidRPr="00B75955" w:rsidRDefault="00881319" w:rsidP="00881319">
            <w:pPr>
              <w:jc w:val="left"/>
              <w:rPr>
                <w:color w:val="000000"/>
                <w:sz w:val="20"/>
                <w:szCs w:val="20"/>
                <w:lang w:val="en-CA"/>
              </w:rPr>
            </w:pPr>
            <w:r w:rsidRPr="00B75955">
              <w:rPr>
                <w:color w:val="000000"/>
                <w:sz w:val="20"/>
                <w:szCs w:val="20"/>
                <w:lang w:val="en-CA"/>
              </w:rPr>
              <w:t>HCFC-142b</w:t>
            </w:r>
          </w:p>
        </w:tc>
        <w:tc>
          <w:tcPr>
            <w:tcW w:w="577" w:type="pct"/>
            <w:tcBorders>
              <w:top w:val="single" w:sz="4" w:space="0" w:color="auto"/>
              <w:left w:val="nil"/>
              <w:bottom w:val="single" w:sz="4" w:space="0" w:color="auto"/>
              <w:right w:val="single" w:sz="4" w:space="0" w:color="auto"/>
            </w:tcBorders>
            <w:shd w:val="clear" w:color="auto" w:fill="auto"/>
          </w:tcPr>
          <w:p w14:paraId="7962BA38" w14:textId="77777777" w:rsidR="00881319" w:rsidRPr="00B75955" w:rsidRDefault="00881319" w:rsidP="00881319">
            <w:pPr>
              <w:jc w:val="right"/>
              <w:rPr>
                <w:color w:val="000000"/>
                <w:sz w:val="20"/>
                <w:szCs w:val="20"/>
                <w:lang w:val="en-CA"/>
              </w:rPr>
            </w:pPr>
            <w:r w:rsidRPr="00B75955">
              <w:rPr>
                <w:color w:val="000000"/>
                <w:sz w:val="20"/>
                <w:szCs w:val="20"/>
                <w:lang w:val="en-CA"/>
              </w:rPr>
              <w:t>585</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5B8EF8BF"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16E99AD2" w14:textId="77777777" w:rsidR="00881319" w:rsidRPr="00B75955" w:rsidRDefault="00881319" w:rsidP="00881319">
            <w:pPr>
              <w:jc w:val="right"/>
              <w:rPr>
                <w:color w:val="000000"/>
                <w:sz w:val="20"/>
                <w:szCs w:val="20"/>
                <w:lang w:val="en-CA"/>
              </w:rPr>
            </w:pPr>
            <w:r w:rsidRPr="00B75955">
              <w:rPr>
                <w:color w:val="000000"/>
                <w:sz w:val="20"/>
                <w:szCs w:val="20"/>
                <w:lang w:val="en-CA"/>
              </w:rPr>
              <w:t>7</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1AE51F31"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62EA576A"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53287BB0" w14:textId="77777777" w:rsidR="00881319" w:rsidRPr="00B75955" w:rsidRDefault="00881319" w:rsidP="00881319">
            <w:pPr>
              <w:jc w:val="right"/>
              <w:rPr>
                <w:color w:val="000000"/>
                <w:sz w:val="20"/>
                <w:szCs w:val="20"/>
                <w:lang w:val="en-CA"/>
              </w:rPr>
            </w:pPr>
            <w:r w:rsidRPr="00B75955">
              <w:rPr>
                <w:color w:val="000000"/>
                <w:sz w:val="20"/>
                <w:szCs w:val="20"/>
                <w:lang w:val="en-CA"/>
              </w:rPr>
              <w:t>24</w:t>
            </w:r>
          </w:p>
        </w:tc>
      </w:tr>
      <w:tr w:rsidR="00881319" w:rsidRPr="00B75955" w14:paraId="40AB35B5" w14:textId="77777777" w:rsidTr="00881319">
        <w:tc>
          <w:tcPr>
            <w:tcW w:w="1535"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3CCB73BA" w14:textId="77777777" w:rsidR="00881319" w:rsidRPr="00B75955" w:rsidRDefault="00881319" w:rsidP="00881319">
            <w:pPr>
              <w:jc w:val="left"/>
              <w:rPr>
                <w:color w:val="000000"/>
                <w:sz w:val="20"/>
                <w:szCs w:val="20"/>
                <w:lang w:val="en-CA"/>
              </w:rPr>
            </w:pPr>
            <w:r w:rsidRPr="00B75955">
              <w:rPr>
                <w:color w:val="000000"/>
                <w:sz w:val="20"/>
                <w:szCs w:val="20"/>
                <w:lang w:val="en-CA"/>
              </w:rPr>
              <w:t>HCFC-123</w:t>
            </w:r>
          </w:p>
        </w:tc>
        <w:tc>
          <w:tcPr>
            <w:tcW w:w="577" w:type="pct"/>
            <w:tcBorders>
              <w:top w:val="single" w:sz="4" w:space="0" w:color="auto"/>
              <w:left w:val="nil"/>
              <w:bottom w:val="single" w:sz="4" w:space="0" w:color="auto"/>
              <w:right w:val="single" w:sz="4" w:space="0" w:color="auto"/>
            </w:tcBorders>
            <w:shd w:val="clear" w:color="auto" w:fill="auto"/>
          </w:tcPr>
          <w:p w14:paraId="64236AAE"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DC07352"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1B14F007" w14:textId="77777777" w:rsidR="00881319" w:rsidRPr="00B75955" w:rsidRDefault="00881319" w:rsidP="00881319">
            <w:pPr>
              <w:jc w:val="right"/>
              <w:rPr>
                <w:color w:val="000000"/>
                <w:sz w:val="20"/>
                <w:szCs w:val="20"/>
                <w:lang w:val="en-CA"/>
              </w:rPr>
            </w:pPr>
            <w:r w:rsidRPr="00B75955">
              <w:rPr>
                <w:color w:val="000000"/>
                <w:sz w:val="20"/>
                <w:szCs w:val="20"/>
                <w:lang w:val="en-CA"/>
              </w:rPr>
              <w:t>13</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0D48EADA"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41666A69"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110D2759" w14:textId="77777777" w:rsidR="00881319" w:rsidRPr="00B75955" w:rsidRDefault="00881319" w:rsidP="00881319">
            <w:pPr>
              <w:jc w:val="right"/>
              <w:rPr>
                <w:color w:val="000000"/>
                <w:sz w:val="20"/>
                <w:szCs w:val="20"/>
                <w:lang w:val="en-CA"/>
              </w:rPr>
            </w:pPr>
            <w:r w:rsidRPr="00B75955">
              <w:rPr>
                <w:color w:val="000000"/>
                <w:sz w:val="20"/>
                <w:szCs w:val="20"/>
                <w:lang w:val="en-CA"/>
              </w:rPr>
              <w:t>6</w:t>
            </w:r>
          </w:p>
        </w:tc>
      </w:tr>
      <w:tr w:rsidR="00881319" w:rsidRPr="00B75955" w14:paraId="1279AE8B" w14:textId="77777777" w:rsidTr="00881319">
        <w:tc>
          <w:tcPr>
            <w:tcW w:w="1535"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03383953" w14:textId="77777777" w:rsidR="00881319" w:rsidRPr="00B75955" w:rsidRDefault="00881319" w:rsidP="00881319">
            <w:pPr>
              <w:jc w:val="left"/>
              <w:rPr>
                <w:color w:val="000000"/>
                <w:sz w:val="20"/>
                <w:szCs w:val="20"/>
                <w:lang w:val="en-CA"/>
              </w:rPr>
            </w:pPr>
            <w:r w:rsidRPr="00B75955">
              <w:rPr>
                <w:color w:val="000000"/>
                <w:sz w:val="20"/>
                <w:szCs w:val="20"/>
                <w:lang w:val="en-CA"/>
              </w:rPr>
              <w:t>HCFC-124</w:t>
            </w:r>
          </w:p>
        </w:tc>
        <w:tc>
          <w:tcPr>
            <w:tcW w:w="577" w:type="pct"/>
            <w:tcBorders>
              <w:top w:val="single" w:sz="4" w:space="0" w:color="auto"/>
              <w:left w:val="nil"/>
              <w:bottom w:val="single" w:sz="4" w:space="0" w:color="auto"/>
              <w:right w:val="single" w:sz="4" w:space="0" w:color="auto"/>
            </w:tcBorders>
            <w:shd w:val="clear" w:color="auto" w:fill="auto"/>
          </w:tcPr>
          <w:p w14:paraId="1EFBCD17"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CF7BE14"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0743E421"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529377D1"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7E685EBE"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0507ACB7" w14:textId="77777777" w:rsidR="00881319" w:rsidRPr="00B75955" w:rsidRDefault="00881319" w:rsidP="00881319">
            <w:pPr>
              <w:jc w:val="right"/>
              <w:rPr>
                <w:color w:val="000000"/>
                <w:sz w:val="20"/>
                <w:szCs w:val="20"/>
                <w:lang w:val="en-CA"/>
              </w:rPr>
            </w:pPr>
            <w:r w:rsidRPr="00B75955">
              <w:rPr>
                <w:color w:val="000000"/>
                <w:sz w:val="20"/>
                <w:szCs w:val="20"/>
                <w:lang w:val="en-CA"/>
              </w:rPr>
              <w:t>1</w:t>
            </w:r>
          </w:p>
        </w:tc>
      </w:tr>
      <w:tr w:rsidR="00881319" w:rsidRPr="00B75955" w14:paraId="2ABC66BE" w14:textId="77777777" w:rsidTr="00881319">
        <w:tc>
          <w:tcPr>
            <w:tcW w:w="1535"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6129B79A" w14:textId="77777777" w:rsidR="00881319" w:rsidRPr="00B75955" w:rsidRDefault="00881319" w:rsidP="00881319">
            <w:pPr>
              <w:jc w:val="left"/>
              <w:rPr>
                <w:color w:val="000000"/>
                <w:sz w:val="20"/>
                <w:szCs w:val="20"/>
                <w:lang w:val="en-CA"/>
              </w:rPr>
            </w:pPr>
            <w:r w:rsidRPr="00B75955">
              <w:rPr>
                <w:color w:val="000000"/>
                <w:sz w:val="20"/>
                <w:szCs w:val="20"/>
                <w:lang w:val="en-CA"/>
              </w:rPr>
              <w:t>HCFC-225ca/</w:t>
            </w:r>
            <w:proofErr w:type="spellStart"/>
            <w:r w:rsidRPr="00B75955">
              <w:rPr>
                <w:color w:val="000000"/>
                <w:sz w:val="20"/>
                <w:szCs w:val="20"/>
                <w:lang w:val="en-CA"/>
              </w:rPr>
              <w:t>cb</w:t>
            </w:r>
            <w:proofErr w:type="spellEnd"/>
          </w:p>
        </w:tc>
        <w:tc>
          <w:tcPr>
            <w:tcW w:w="577" w:type="pct"/>
            <w:tcBorders>
              <w:top w:val="single" w:sz="4" w:space="0" w:color="auto"/>
              <w:left w:val="nil"/>
              <w:bottom w:val="single" w:sz="4" w:space="0" w:color="auto"/>
              <w:right w:val="single" w:sz="4" w:space="0" w:color="auto"/>
            </w:tcBorders>
            <w:shd w:val="clear" w:color="auto" w:fill="auto"/>
          </w:tcPr>
          <w:p w14:paraId="18757620"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6D4161AB"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004CD83C"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1F1013B2" w14:textId="77777777" w:rsidR="00881319" w:rsidRPr="00B75955" w:rsidRDefault="00881319" w:rsidP="00881319">
            <w:pPr>
              <w:jc w:val="right"/>
              <w:rPr>
                <w:color w:val="000000"/>
                <w:sz w:val="20"/>
                <w:szCs w:val="20"/>
                <w:lang w:val="en-CA"/>
              </w:rPr>
            </w:pPr>
          </w:p>
        </w:tc>
        <w:tc>
          <w:tcPr>
            <w:tcW w:w="578" w:type="pct"/>
            <w:tcBorders>
              <w:top w:val="single" w:sz="4" w:space="0" w:color="auto"/>
              <w:left w:val="single" w:sz="4" w:space="0" w:color="auto"/>
              <w:bottom w:val="single" w:sz="4" w:space="0" w:color="auto"/>
              <w:right w:val="single" w:sz="4" w:space="0" w:color="auto"/>
            </w:tcBorders>
          </w:tcPr>
          <w:p w14:paraId="46D05959" w14:textId="77777777" w:rsidR="00881319" w:rsidRPr="00B75955" w:rsidRDefault="00881319" w:rsidP="00881319">
            <w:pPr>
              <w:jc w:val="right"/>
              <w:rPr>
                <w:color w:val="000000"/>
                <w:sz w:val="20"/>
                <w:szCs w:val="20"/>
                <w:lang w:val="en-CA"/>
              </w:rPr>
            </w:pPr>
            <w:r w:rsidRPr="00B75955">
              <w:rPr>
                <w:color w:val="000000"/>
                <w:sz w:val="20"/>
                <w:szCs w:val="20"/>
                <w:lang w:val="en-CA"/>
              </w:rPr>
              <w:t>1</w:t>
            </w:r>
          </w:p>
        </w:tc>
        <w:tc>
          <w:tcPr>
            <w:tcW w:w="578" w:type="pct"/>
            <w:tcBorders>
              <w:top w:val="single" w:sz="4" w:space="0" w:color="auto"/>
              <w:left w:val="single" w:sz="4" w:space="0" w:color="auto"/>
              <w:bottom w:val="single" w:sz="4" w:space="0" w:color="auto"/>
              <w:right w:val="single" w:sz="4" w:space="0" w:color="auto"/>
            </w:tcBorders>
          </w:tcPr>
          <w:p w14:paraId="420090B6" w14:textId="77777777" w:rsidR="00881319" w:rsidRPr="00B75955" w:rsidRDefault="00881319" w:rsidP="00881319">
            <w:pPr>
              <w:jc w:val="right"/>
              <w:rPr>
                <w:color w:val="000000"/>
                <w:sz w:val="20"/>
                <w:szCs w:val="20"/>
                <w:lang w:val="en-CA"/>
              </w:rPr>
            </w:pPr>
          </w:p>
        </w:tc>
      </w:tr>
      <w:tr w:rsidR="00881319" w:rsidRPr="00B75955" w14:paraId="2F8E7C60" w14:textId="77777777" w:rsidTr="00881319">
        <w:tc>
          <w:tcPr>
            <w:tcW w:w="1535"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18BE4B96" w14:textId="77777777" w:rsidR="00881319" w:rsidRPr="00B75955" w:rsidRDefault="00881319" w:rsidP="00881319">
            <w:pPr>
              <w:jc w:val="left"/>
              <w:rPr>
                <w:b/>
                <w:color w:val="000000"/>
                <w:sz w:val="20"/>
                <w:szCs w:val="20"/>
                <w:lang w:val="en-CA"/>
              </w:rPr>
            </w:pPr>
            <w:r w:rsidRPr="00B75955">
              <w:rPr>
                <w:b/>
                <w:color w:val="000000"/>
                <w:sz w:val="20"/>
                <w:szCs w:val="20"/>
                <w:lang w:val="en-CA"/>
              </w:rPr>
              <w:t>Total</w:t>
            </w:r>
          </w:p>
        </w:tc>
        <w:tc>
          <w:tcPr>
            <w:tcW w:w="577" w:type="pct"/>
            <w:tcBorders>
              <w:top w:val="single" w:sz="4" w:space="0" w:color="auto"/>
              <w:left w:val="nil"/>
              <w:bottom w:val="single" w:sz="4" w:space="0" w:color="auto"/>
              <w:right w:val="single" w:sz="4" w:space="0" w:color="auto"/>
            </w:tcBorders>
            <w:shd w:val="clear" w:color="auto" w:fill="auto"/>
          </w:tcPr>
          <w:p w14:paraId="576674AF" w14:textId="77777777" w:rsidR="00881319" w:rsidRPr="00B75955" w:rsidRDefault="00881319" w:rsidP="00881319">
            <w:pPr>
              <w:jc w:val="right"/>
              <w:rPr>
                <w:b/>
                <w:color w:val="000000"/>
                <w:sz w:val="20"/>
                <w:szCs w:val="20"/>
                <w:lang w:val="en-CA"/>
              </w:rPr>
            </w:pPr>
            <w:r w:rsidRPr="00B75955">
              <w:rPr>
                <w:b/>
                <w:color w:val="000000"/>
                <w:sz w:val="20"/>
                <w:szCs w:val="20"/>
                <w:lang w:val="en-CA"/>
              </w:rPr>
              <w:t>2,043</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10974A73" w14:textId="77777777" w:rsidR="00881319" w:rsidRPr="00B75955" w:rsidRDefault="00881319" w:rsidP="00881319">
            <w:pPr>
              <w:jc w:val="right"/>
              <w:rPr>
                <w:b/>
                <w:color w:val="000000"/>
                <w:sz w:val="20"/>
                <w:szCs w:val="20"/>
                <w:lang w:val="en-CA"/>
              </w:rPr>
            </w:pPr>
            <w:r w:rsidRPr="00B75955">
              <w:rPr>
                <w:b/>
                <w:color w:val="000000"/>
                <w:sz w:val="20"/>
                <w:szCs w:val="20"/>
                <w:lang w:val="en-CA"/>
              </w:rPr>
              <w:t>3,830</w:t>
            </w:r>
          </w:p>
        </w:tc>
        <w:tc>
          <w:tcPr>
            <w:tcW w:w="578" w:type="pct"/>
            <w:tcBorders>
              <w:top w:val="single" w:sz="4" w:space="0" w:color="auto"/>
              <w:left w:val="single" w:sz="4" w:space="0" w:color="auto"/>
              <w:bottom w:val="single" w:sz="4" w:space="0" w:color="auto"/>
              <w:right w:val="single" w:sz="4" w:space="0" w:color="auto"/>
            </w:tcBorders>
          </w:tcPr>
          <w:p w14:paraId="170FCE55" w14:textId="77777777" w:rsidR="00881319" w:rsidRPr="00B75955" w:rsidRDefault="00881319" w:rsidP="00881319">
            <w:pPr>
              <w:jc w:val="right"/>
              <w:rPr>
                <w:b/>
                <w:color w:val="000000"/>
                <w:sz w:val="20"/>
                <w:szCs w:val="20"/>
                <w:lang w:val="en-CA"/>
              </w:rPr>
            </w:pPr>
            <w:r w:rsidRPr="00B75955">
              <w:rPr>
                <w:b/>
                <w:color w:val="000000"/>
                <w:sz w:val="20"/>
                <w:szCs w:val="20"/>
                <w:lang w:val="en-CA"/>
              </w:rPr>
              <w:t>2,082</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546B6154" w14:textId="77777777" w:rsidR="00881319" w:rsidRPr="00B75955" w:rsidRDefault="00881319" w:rsidP="00881319">
            <w:pPr>
              <w:jc w:val="right"/>
              <w:rPr>
                <w:b/>
                <w:color w:val="000000"/>
                <w:sz w:val="20"/>
                <w:szCs w:val="20"/>
                <w:lang w:val="en-CA"/>
              </w:rPr>
            </w:pPr>
            <w:r w:rsidRPr="00B75955">
              <w:rPr>
                <w:b/>
                <w:color w:val="000000"/>
                <w:sz w:val="20"/>
                <w:szCs w:val="20"/>
                <w:lang w:val="en-CA"/>
              </w:rPr>
              <w:t>3,025</w:t>
            </w:r>
          </w:p>
        </w:tc>
        <w:tc>
          <w:tcPr>
            <w:tcW w:w="578" w:type="pct"/>
            <w:tcBorders>
              <w:top w:val="single" w:sz="4" w:space="0" w:color="auto"/>
              <w:left w:val="single" w:sz="4" w:space="0" w:color="auto"/>
              <w:bottom w:val="single" w:sz="4" w:space="0" w:color="auto"/>
              <w:right w:val="single" w:sz="4" w:space="0" w:color="auto"/>
            </w:tcBorders>
          </w:tcPr>
          <w:p w14:paraId="3681B42D" w14:textId="77777777" w:rsidR="00881319" w:rsidRPr="00B75955" w:rsidRDefault="00881319" w:rsidP="00881319">
            <w:pPr>
              <w:jc w:val="right"/>
              <w:rPr>
                <w:b/>
                <w:color w:val="000000"/>
                <w:sz w:val="20"/>
                <w:szCs w:val="20"/>
                <w:lang w:val="en-CA"/>
              </w:rPr>
            </w:pPr>
            <w:r w:rsidRPr="00B75955">
              <w:rPr>
                <w:b/>
                <w:color w:val="000000"/>
                <w:sz w:val="20"/>
                <w:szCs w:val="20"/>
                <w:lang w:val="en-CA"/>
              </w:rPr>
              <w:t>413</w:t>
            </w:r>
          </w:p>
        </w:tc>
        <w:tc>
          <w:tcPr>
            <w:tcW w:w="578" w:type="pct"/>
            <w:tcBorders>
              <w:top w:val="single" w:sz="4" w:space="0" w:color="auto"/>
              <w:left w:val="single" w:sz="4" w:space="0" w:color="auto"/>
              <w:bottom w:val="single" w:sz="4" w:space="0" w:color="auto"/>
              <w:right w:val="single" w:sz="4" w:space="0" w:color="auto"/>
            </w:tcBorders>
          </w:tcPr>
          <w:p w14:paraId="28E9E1F7" w14:textId="77777777" w:rsidR="00881319" w:rsidRPr="00B75955" w:rsidRDefault="00881319" w:rsidP="00881319">
            <w:pPr>
              <w:jc w:val="right"/>
              <w:rPr>
                <w:b/>
                <w:color w:val="000000"/>
                <w:sz w:val="20"/>
                <w:szCs w:val="20"/>
                <w:lang w:val="en-CA"/>
              </w:rPr>
            </w:pPr>
            <w:r w:rsidRPr="00B75955">
              <w:rPr>
                <w:b/>
                <w:color w:val="000000"/>
                <w:sz w:val="20"/>
                <w:szCs w:val="20"/>
                <w:lang w:val="en-CA"/>
              </w:rPr>
              <w:t>2,638</w:t>
            </w:r>
          </w:p>
        </w:tc>
      </w:tr>
      <w:tr w:rsidR="00881319" w:rsidRPr="00B75955" w14:paraId="39A969B8" w14:textId="77777777" w:rsidTr="00881319">
        <w:tc>
          <w:tcPr>
            <w:tcW w:w="1535" w:type="pct"/>
            <w:tcBorders>
              <w:top w:val="nil"/>
              <w:left w:val="single" w:sz="4" w:space="0" w:color="auto"/>
              <w:bottom w:val="single" w:sz="4" w:space="0" w:color="auto"/>
              <w:right w:val="single" w:sz="4" w:space="0" w:color="auto"/>
            </w:tcBorders>
            <w:shd w:val="clear" w:color="auto" w:fill="auto"/>
            <w:tcMar>
              <w:left w:w="43" w:type="dxa"/>
              <w:right w:w="0" w:type="dxa"/>
            </w:tcMar>
            <w:hideMark/>
          </w:tcPr>
          <w:p w14:paraId="084638D5" w14:textId="77777777" w:rsidR="00881319" w:rsidRPr="00B75955" w:rsidRDefault="00881319" w:rsidP="00881319">
            <w:pPr>
              <w:jc w:val="left"/>
              <w:rPr>
                <w:color w:val="000000"/>
                <w:sz w:val="20"/>
                <w:szCs w:val="20"/>
                <w:lang w:val="en-CA"/>
              </w:rPr>
            </w:pPr>
            <w:r w:rsidRPr="00B75955">
              <w:rPr>
                <w:color w:val="000000"/>
                <w:sz w:val="20"/>
                <w:szCs w:val="20"/>
                <w:lang w:val="en-CA"/>
              </w:rPr>
              <w:t>Maximum allowable consumption</w:t>
            </w:r>
          </w:p>
        </w:tc>
        <w:tc>
          <w:tcPr>
            <w:tcW w:w="577" w:type="pct"/>
            <w:tcBorders>
              <w:top w:val="single" w:sz="4" w:space="0" w:color="auto"/>
              <w:left w:val="nil"/>
              <w:bottom w:val="single" w:sz="4" w:space="0" w:color="auto"/>
              <w:right w:val="single" w:sz="4" w:space="0" w:color="auto"/>
            </w:tcBorders>
            <w:shd w:val="clear" w:color="auto" w:fill="auto"/>
          </w:tcPr>
          <w:p w14:paraId="08FF0193" w14:textId="77777777" w:rsidR="00881319" w:rsidRPr="00B75955" w:rsidRDefault="00881319" w:rsidP="00881319">
            <w:pPr>
              <w:jc w:val="right"/>
              <w:rPr>
                <w:color w:val="000000"/>
                <w:sz w:val="20"/>
                <w:szCs w:val="20"/>
                <w:lang w:val="en-CA"/>
              </w:rPr>
            </w:pPr>
            <w:r w:rsidRPr="00B75955">
              <w:rPr>
                <w:sz w:val="20"/>
                <w:szCs w:val="20"/>
                <w:lang w:val="en-CA"/>
              </w:rPr>
              <w:t>2,286</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9EC0EBD" w14:textId="77777777" w:rsidR="00881319" w:rsidRPr="00B75955" w:rsidRDefault="00881319" w:rsidP="00881319">
            <w:pPr>
              <w:jc w:val="right"/>
              <w:rPr>
                <w:color w:val="000000"/>
                <w:sz w:val="20"/>
                <w:szCs w:val="20"/>
                <w:lang w:val="en-CA"/>
              </w:rPr>
            </w:pPr>
            <w:r w:rsidRPr="00B75955">
              <w:rPr>
                <w:sz w:val="20"/>
                <w:szCs w:val="20"/>
                <w:lang w:val="en-CA"/>
              </w:rPr>
              <w:t>4,450</w:t>
            </w:r>
          </w:p>
        </w:tc>
        <w:tc>
          <w:tcPr>
            <w:tcW w:w="578" w:type="pct"/>
            <w:tcBorders>
              <w:top w:val="single" w:sz="4" w:space="0" w:color="auto"/>
              <w:left w:val="single" w:sz="4" w:space="0" w:color="auto"/>
              <w:bottom w:val="single" w:sz="4" w:space="0" w:color="auto"/>
              <w:right w:val="single" w:sz="4" w:space="0" w:color="auto"/>
            </w:tcBorders>
          </w:tcPr>
          <w:p w14:paraId="2FFE3430" w14:textId="77777777" w:rsidR="00881319" w:rsidRPr="00B75955" w:rsidRDefault="00881319" w:rsidP="00881319">
            <w:pPr>
              <w:jc w:val="right"/>
              <w:rPr>
                <w:color w:val="000000"/>
                <w:sz w:val="20"/>
                <w:szCs w:val="20"/>
                <w:lang w:val="en-CA"/>
              </w:rPr>
            </w:pPr>
            <w:r w:rsidRPr="00B75955">
              <w:rPr>
                <w:sz w:val="20"/>
                <w:szCs w:val="20"/>
                <w:lang w:val="en-CA"/>
              </w:rPr>
              <w:t>2,163</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624F2DF" w14:textId="77777777" w:rsidR="00881319" w:rsidRPr="00B75955" w:rsidRDefault="00881319" w:rsidP="00881319">
            <w:pPr>
              <w:jc w:val="right"/>
              <w:rPr>
                <w:color w:val="000000"/>
                <w:sz w:val="20"/>
                <w:szCs w:val="20"/>
                <w:lang w:val="en-CA"/>
              </w:rPr>
            </w:pPr>
            <w:r w:rsidRPr="00B75955">
              <w:rPr>
                <w:sz w:val="20"/>
                <w:szCs w:val="20"/>
                <w:lang w:val="en-CA"/>
              </w:rPr>
              <w:t>3,698</w:t>
            </w:r>
          </w:p>
        </w:tc>
        <w:tc>
          <w:tcPr>
            <w:tcW w:w="578" w:type="pct"/>
            <w:tcBorders>
              <w:top w:val="single" w:sz="4" w:space="0" w:color="auto"/>
              <w:left w:val="single" w:sz="4" w:space="0" w:color="auto"/>
              <w:bottom w:val="single" w:sz="4" w:space="0" w:color="auto"/>
              <w:right w:val="single" w:sz="4" w:space="0" w:color="auto"/>
            </w:tcBorders>
          </w:tcPr>
          <w:p w14:paraId="12864243" w14:textId="77777777" w:rsidR="00881319" w:rsidRPr="00B75955" w:rsidRDefault="00881319" w:rsidP="00881319">
            <w:pPr>
              <w:jc w:val="right"/>
              <w:rPr>
                <w:color w:val="000000"/>
                <w:sz w:val="20"/>
                <w:szCs w:val="20"/>
                <w:lang w:val="en-CA"/>
              </w:rPr>
            </w:pPr>
            <w:r w:rsidRPr="00B75955">
              <w:rPr>
                <w:sz w:val="20"/>
                <w:szCs w:val="20"/>
                <w:lang w:val="en-CA"/>
              </w:rPr>
              <w:t>455</w:t>
            </w:r>
          </w:p>
        </w:tc>
        <w:tc>
          <w:tcPr>
            <w:tcW w:w="578" w:type="pct"/>
            <w:tcBorders>
              <w:top w:val="single" w:sz="4" w:space="0" w:color="auto"/>
              <w:left w:val="single" w:sz="4" w:space="0" w:color="auto"/>
              <w:bottom w:val="single" w:sz="4" w:space="0" w:color="auto"/>
              <w:right w:val="single" w:sz="4" w:space="0" w:color="auto"/>
            </w:tcBorders>
          </w:tcPr>
          <w:p w14:paraId="43A8B15F" w14:textId="77777777" w:rsidR="00881319" w:rsidRPr="00B75955" w:rsidRDefault="00881319" w:rsidP="00881319">
            <w:pPr>
              <w:jc w:val="right"/>
              <w:rPr>
                <w:color w:val="000000"/>
                <w:sz w:val="20"/>
                <w:szCs w:val="20"/>
                <w:lang w:val="en-CA"/>
              </w:rPr>
            </w:pPr>
            <w:r w:rsidRPr="00B75955">
              <w:rPr>
                <w:sz w:val="20"/>
                <w:szCs w:val="20"/>
                <w:lang w:val="en-CA"/>
              </w:rPr>
              <w:t>n/a</w:t>
            </w:r>
          </w:p>
        </w:tc>
      </w:tr>
    </w:tbl>
    <w:p w14:paraId="33499A60" w14:textId="77777777" w:rsidR="00881319" w:rsidRPr="00B75955" w:rsidRDefault="00881319" w:rsidP="00881319">
      <w:pPr>
        <w:rPr>
          <w:sz w:val="16"/>
          <w:szCs w:val="16"/>
          <w:lang w:val="en-CA"/>
        </w:rPr>
      </w:pPr>
      <w:r w:rsidRPr="00B75955">
        <w:rPr>
          <w:sz w:val="16"/>
          <w:szCs w:val="16"/>
          <w:lang w:val="en-CA"/>
        </w:rPr>
        <w:t>*The distribution between ICR and RAC sectors are submitted by the implementing agencies; aerosol sector not included as it is not part of the HPMP.</w:t>
      </w:r>
    </w:p>
    <w:p w14:paraId="29B4293F" w14:textId="77777777" w:rsidR="00881319" w:rsidRPr="00B75955" w:rsidRDefault="00881319" w:rsidP="00881319">
      <w:pPr>
        <w:rPr>
          <w:lang w:val="en-CA"/>
        </w:rPr>
      </w:pPr>
    </w:p>
    <w:p w14:paraId="7F9F1D97" w14:textId="77777777" w:rsidR="00881319" w:rsidRPr="00B75955" w:rsidRDefault="00881319" w:rsidP="00881319">
      <w:pPr>
        <w:pStyle w:val="Heading1"/>
        <w:rPr>
          <w:lang w:val="en-CA"/>
        </w:rPr>
      </w:pPr>
      <w:r w:rsidRPr="00B75955">
        <w:rPr>
          <w:lang w:val="en-CA"/>
        </w:rPr>
        <w:t>Each year, the Foreign Economic Cooperation Office (FECO) collects data from different sources including beneficiary enterprises, verification report of the production sector, the license system and industrial associations. Data is cross-verified with the actual consumption in the enterprises only for some sectors and substances. For sectors with large numbers of small and medium-sized enterprises (SMEs), consumption is monitored through the national system of licensing and quotas for HCFC imports, exports, production and consumption. The domestic production quotas control HCFC sold in the local market and subsequent consumption in SMEs. Quotas are also issued to enterprises with an annual consumption of HCFCs over 100 metric tonnes (</w:t>
      </w:r>
      <w:proofErr w:type="spellStart"/>
      <w:r w:rsidRPr="00B75955">
        <w:rPr>
          <w:lang w:val="en-CA"/>
        </w:rPr>
        <w:t>mt</w:t>
      </w:r>
      <w:proofErr w:type="spellEnd"/>
      <w:r w:rsidRPr="00B75955">
        <w:rPr>
          <w:lang w:val="en-CA"/>
        </w:rPr>
        <w:t xml:space="preserve">), for each of the different sectors. </w:t>
      </w:r>
    </w:p>
    <w:p w14:paraId="163F238B" w14:textId="77777777" w:rsidR="00881319" w:rsidRPr="00B75955" w:rsidRDefault="00881319" w:rsidP="00881319">
      <w:pPr>
        <w:pStyle w:val="Heading1"/>
        <w:rPr>
          <w:lang w:val="en-CA"/>
        </w:rPr>
      </w:pPr>
      <w:r w:rsidRPr="00B75955">
        <w:rPr>
          <w:lang w:val="en-CA"/>
        </w:rPr>
        <w:t>In addition, FECO is cooperating with the local Environmental Protection Bureaus (EPBs) to strengthen policies that can support the reduction of HCFC consumption, including a ban for new HCFC</w:t>
      </w:r>
      <w:r w:rsidRPr="00B75955">
        <w:rPr>
          <w:lang w:val="en-CA"/>
        </w:rPr>
        <w:noBreakHyphen/>
        <w:t xml:space="preserve">based manufacturing facilities. </w:t>
      </w:r>
    </w:p>
    <w:p w14:paraId="0F433E60" w14:textId="77777777" w:rsidR="00881319" w:rsidRPr="00B75955" w:rsidRDefault="00881319" w:rsidP="00881319">
      <w:pPr>
        <w:pStyle w:val="Heading1"/>
        <w:rPr>
          <w:lang w:val="en-CA"/>
        </w:rPr>
      </w:pPr>
      <w:r w:rsidRPr="00B75955">
        <w:rPr>
          <w:lang w:val="en-CA"/>
        </w:rPr>
        <w:t>An independent verification of HCFC production and consumption in 2016 (World Bank) was submitted to the 80</w:t>
      </w:r>
      <w:r w:rsidRPr="00B75955">
        <w:rPr>
          <w:vertAlign w:val="superscript"/>
          <w:lang w:val="en-CA"/>
        </w:rPr>
        <w:t>th</w:t>
      </w:r>
      <w:r w:rsidRPr="00B75955">
        <w:rPr>
          <w:lang w:val="en-CA"/>
        </w:rPr>
        <w:t> meeting.</w:t>
      </w:r>
      <w:r w:rsidRPr="00B75955">
        <w:rPr>
          <w:rStyle w:val="FootnoteReference"/>
          <w:lang w:val="en-CA"/>
        </w:rPr>
        <w:footnoteReference w:id="12"/>
      </w:r>
      <w:r w:rsidRPr="00B75955">
        <w:rPr>
          <w:lang w:val="en-CA"/>
        </w:rPr>
        <w:t xml:space="preserve"> The verification confirmed that the consumption of HCFCs in 2016 was within the limits established by the Agreement for the consumption sector.</w:t>
      </w:r>
    </w:p>
    <w:p w14:paraId="21BCA92A" w14:textId="77777777" w:rsidR="00881319" w:rsidRPr="00B75955" w:rsidRDefault="00881319" w:rsidP="00881319">
      <w:pPr>
        <w:pStyle w:val="Heading1"/>
        <w:keepNext/>
        <w:keepLines/>
        <w:numPr>
          <w:ilvl w:val="0"/>
          <w:numId w:val="0"/>
        </w:numPr>
        <w:rPr>
          <w:u w:val="single"/>
          <w:lang w:val="en-CA"/>
        </w:rPr>
      </w:pPr>
      <w:r w:rsidRPr="00B75955">
        <w:rPr>
          <w:u w:val="single"/>
          <w:lang w:val="en-CA"/>
        </w:rPr>
        <w:t>Overview of progress</w:t>
      </w:r>
    </w:p>
    <w:p w14:paraId="5DB28440" w14:textId="77777777" w:rsidR="00881319" w:rsidRPr="00B75955" w:rsidRDefault="00881319" w:rsidP="00881319">
      <w:pPr>
        <w:pStyle w:val="Heading1"/>
        <w:keepNext/>
        <w:keepLines/>
        <w:rPr>
          <w:lang w:val="en-CA"/>
        </w:rPr>
      </w:pPr>
      <w:r w:rsidRPr="00B75955">
        <w:rPr>
          <w:lang w:val="en-CA"/>
        </w:rPr>
        <w:t xml:space="preserve">The main achievements in implementation of stage II of the HPMP are as follows: </w:t>
      </w:r>
    </w:p>
    <w:p w14:paraId="24887CD8" w14:textId="77777777" w:rsidR="00881319" w:rsidRPr="00B75955" w:rsidRDefault="00881319" w:rsidP="00881319">
      <w:pPr>
        <w:pStyle w:val="Heading2"/>
        <w:numPr>
          <w:ilvl w:val="1"/>
          <w:numId w:val="1"/>
        </w:numPr>
        <w:rPr>
          <w:lang w:val="en-CA"/>
        </w:rPr>
      </w:pPr>
      <w:r w:rsidRPr="00B75955">
        <w:rPr>
          <w:lang w:val="en-CA"/>
        </w:rPr>
        <w:t>A licensing and quota system to ensure overall compliance in each of the manufacturing sectors has been established and has been implemented continuously. It includes the application of quota permits to enterprises consuming more than 100 </w:t>
      </w:r>
      <w:proofErr w:type="spellStart"/>
      <w:r w:rsidRPr="00B75955">
        <w:rPr>
          <w:lang w:val="en-CA"/>
        </w:rPr>
        <w:t>mt</w:t>
      </w:r>
      <w:proofErr w:type="spellEnd"/>
      <w:r w:rsidRPr="00B75955">
        <w:rPr>
          <w:lang w:val="en-CA"/>
        </w:rPr>
        <w:t xml:space="preserve"> of HCFCs per year. As a result, all manufacturing sector consumption limits have been complied with since implementation of the system began;</w:t>
      </w:r>
    </w:p>
    <w:p w14:paraId="232A2C08" w14:textId="77777777" w:rsidR="00881319" w:rsidRPr="00B75955" w:rsidRDefault="00881319" w:rsidP="00881319">
      <w:pPr>
        <w:pStyle w:val="Heading2"/>
        <w:numPr>
          <w:ilvl w:val="1"/>
          <w:numId w:val="1"/>
        </w:numPr>
        <w:rPr>
          <w:lang w:val="en-CA"/>
        </w:rPr>
      </w:pPr>
      <w:r w:rsidRPr="00B75955">
        <w:rPr>
          <w:i/>
          <w:lang w:val="en-CA"/>
        </w:rPr>
        <w:t>XPS foam sector:</w:t>
      </w:r>
      <w:r w:rsidRPr="00B75955">
        <w:rPr>
          <w:lang w:val="en-CA"/>
        </w:rPr>
        <w:t xml:space="preserve"> The contract between FECO and UNIDO for the implementation of the plan was signed in September 2017 and its amendment, to include the second tranche, is soon to be signed. Eleven XPS foam enterprises (accounting for 4,522 </w:t>
      </w:r>
      <w:proofErr w:type="spellStart"/>
      <w:r w:rsidRPr="00B75955">
        <w:rPr>
          <w:lang w:val="en-CA"/>
        </w:rPr>
        <w:t>mt</w:t>
      </w:r>
      <w:proofErr w:type="spellEnd"/>
      <w:r w:rsidRPr="00B75955">
        <w:rPr>
          <w:lang w:val="en-CA"/>
        </w:rPr>
        <w:t xml:space="preserve"> of HCFC-22 and HCFC-142b) were identified for their conversion and two of them (accounting for 1,146 </w:t>
      </w:r>
      <w:proofErr w:type="spellStart"/>
      <w:r w:rsidRPr="00B75955">
        <w:rPr>
          <w:lang w:val="en-CA"/>
        </w:rPr>
        <w:t>mt</w:t>
      </w:r>
      <w:proofErr w:type="spellEnd"/>
      <w:r w:rsidRPr="00B75955">
        <w:rPr>
          <w:lang w:val="en-CA"/>
        </w:rPr>
        <w:t xml:space="preserve"> of HCFC-22 and HCFC-142b) have signed subcontracts with FECO, receiving first disbursements in December 2017. The baseline information of four additional enterprises (accounting for 1,408 </w:t>
      </w:r>
      <w:proofErr w:type="spellStart"/>
      <w:r w:rsidRPr="00B75955">
        <w:rPr>
          <w:lang w:val="en-CA"/>
        </w:rPr>
        <w:t>mt</w:t>
      </w:r>
      <w:proofErr w:type="spellEnd"/>
      <w:r w:rsidRPr="00B75955">
        <w:rPr>
          <w:lang w:val="en-CA"/>
        </w:rPr>
        <w:t xml:space="preserve"> of HCFC-22 and HCFC-142b) has been verified and their sub-contracts with FECO are soon to be signed;</w:t>
      </w:r>
    </w:p>
    <w:p w14:paraId="23E80646" w14:textId="77777777" w:rsidR="00881319" w:rsidRPr="00B75955" w:rsidRDefault="00881319" w:rsidP="00881319">
      <w:pPr>
        <w:pStyle w:val="Heading2"/>
        <w:numPr>
          <w:ilvl w:val="1"/>
          <w:numId w:val="1"/>
        </w:numPr>
        <w:rPr>
          <w:lang w:val="en-CA"/>
        </w:rPr>
      </w:pPr>
      <w:r w:rsidRPr="00B75955">
        <w:rPr>
          <w:i/>
          <w:lang w:val="en-CA"/>
        </w:rPr>
        <w:t>ICR sector:</w:t>
      </w:r>
      <w:r w:rsidRPr="00B75955">
        <w:rPr>
          <w:lang w:val="en-CA"/>
        </w:rPr>
        <w:t xml:space="preserve"> The amendment to the contract between FECO and UNDP, to include the second tranche of the ICR sector plan, has been signed. FECO and beneficiary enterprises have signed 10 contracts, covering 11 production lines, with a total value of US $17,440,855 and an associated phase-out of 1,287.29 </w:t>
      </w:r>
      <w:proofErr w:type="spellStart"/>
      <w:r w:rsidRPr="00B75955">
        <w:rPr>
          <w:lang w:val="en-CA"/>
        </w:rPr>
        <w:t>mt</w:t>
      </w:r>
      <w:proofErr w:type="spellEnd"/>
      <w:r w:rsidRPr="00B75955">
        <w:rPr>
          <w:lang w:val="en-CA"/>
        </w:rPr>
        <w:t xml:space="preserve"> of HCFCs;</w:t>
      </w:r>
    </w:p>
    <w:p w14:paraId="17457D54" w14:textId="77777777" w:rsidR="00881319" w:rsidRPr="00B75955" w:rsidRDefault="00881319" w:rsidP="00881319">
      <w:pPr>
        <w:pStyle w:val="Heading2"/>
        <w:numPr>
          <w:ilvl w:val="1"/>
          <w:numId w:val="1"/>
        </w:numPr>
        <w:rPr>
          <w:lang w:val="en-CA"/>
        </w:rPr>
      </w:pPr>
      <w:r w:rsidRPr="00B75955">
        <w:rPr>
          <w:i/>
          <w:lang w:val="en-CA"/>
        </w:rPr>
        <w:t>RAC sector:</w:t>
      </w:r>
      <w:r w:rsidRPr="00B75955">
        <w:rPr>
          <w:lang w:val="en-CA"/>
        </w:rPr>
        <w:t xml:space="preserve"> The contract between FECO and UNIDO for the implementation of the RAC sector plan (stage II) was signed in October 2017. A notice on the request for proposals for conversion was issued in May 2017, and 16 proposals were received to convert 11 RAC manufacturing lines, one heat pump water heater (HPWH) line, and four compressor manufacturing lines. Reviews of 12 proposals have been completed and contracts have been signed with nine of them with a total value of US $11,045,790 and an associated phase</w:t>
      </w:r>
      <w:r w:rsidRPr="00B75955">
        <w:rPr>
          <w:lang w:val="en-CA"/>
        </w:rPr>
        <w:noBreakHyphen/>
        <w:t>out of 2,221 </w:t>
      </w:r>
      <w:proofErr w:type="spellStart"/>
      <w:r w:rsidRPr="00B75955">
        <w:rPr>
          <w:lang w:val="en-CA"/>
        </w:rPr>
        <w:t>mt</w:t>
      </w:r>
      <w:proofErr w:type="spellEnd"/>
      <w:r w:rsidRPr="00B75955">
        <w:rPr>
          <w:lang w:val="en-CA"/>
        </w:rPr>
        <w:t xml:space="preserve"> of HCFC-22;</w:t>
      </w:r>
    </w:p>
    <w:p w14:paraId="5FE5C772" w14:textId="77777777" w:rsidR="00881319" w:rsidRPr="00B75955" w:rsidRDefault="00881319" w:rsidP="00881319">
      <w:pPr>
        <w:pStyle w:val="Heading2"/>
        <w:numPr>
          <w:ilvl w:val="1"/>
          <w:numId w:val="1"/>
        </w:numPr>
        <w:rPr>
          <w:lang w:val="en-CA"/>
        </w:rPr>
      </w:pPr>
      <w:r w:rsidRPr="00B75955">
        <w:rPr>
          <w:i/>
          <w:lang w:val="en-CA"/>
        </w:rPr>
        <w:t>Solvent sector:</w:t>
      </w:r>
      <w:r w:rsidRPr="00B75955">
        <w:rPr>
          <w:lang w:val="en-CA"/>
        </w:rPr>
        <w:t xml:space="preserve"> The amendment to the contract between FECO and UNDP, to include the second tranche of the solvent sector plan, has been signed. A total of 24 enterprises have </w:t>
      </w:r>
      <w:r w:rsidRPr="00B75955">
        <w:rPr>
          <w:lang w:val="en-CA"/>
        </w:rPr>
        <w:lastRenderedPageBreak/>
        <w:t>been selected and verified for eligibility. As at March 2018, all the 24 beneficiaries had signed subcontracts with FECO with a total value of US $19,927,338 and an associated phase-out of 1,176.19 </w:t>
      </w:r>
      <w:proofErr w:type="spellStart"/>
      <w:r w:rsidRPr="00B75955">
        <w:rPr>
          <w:lang w:val="en-CA"/>
        </w:rPr>
        <w:t>mt</w:t>
      </w:r>
      <w:proofErr w:type="spellEnd"/>
      <w:r w:rsidRPr="00B75955">
        <w:rPr>
          <w:lang w:val="en-CA"/>
        </w:rPr>
        <w:t xml:space="preserve"> (129.38 ODP tonnes) of HCFC</w:t>
      </w:r>
      <w:r w:rsidRPr="00B75955">
        <w:rPr>
          <w:lang w:val="en-CA"/>
        </w:rPr>
        <w:noBreakHyphen/>
        <w:t>141b; and</w:t>
      </w:r>
    </w:p>
    <w:p w14:paraId="0D2148A5" w14:textId="77777777" w:rsidR="00881319" w:rsidRPr="00B75955" w:rsidRDefault="00881319" w:rsidP="00881319">
      <w:pPr>
        <w:pStyle w:val="Heading2"/>
        <w:numPr>
          <w:ilvl w:val="1"/>
          <w:numId w:val="1"/>
        </w:numPr>
        <w:rPr>
          <w:lang w:val="en-CA"/>
        </w:rPr>
      </w:pPr>
      <w:r w:rsidRPr="00B75955">
        <w:rPr>
          <w:i/>
          <w:lang w:val="en-CA"/>
        </w:rPr>
        <w:t>Refrigeration servicing sector</w:t>
      </w:r>
      <w:r w:rsidRPr="00B75955">
        <w:rPr>
          <w:lang w:val="en-CA"/>
        </w:rPr>
        <w:t>: Terms of reference for the development of codes and revision of standards in the servicing sector have been prepared; a contract with the national execution agency has been signed for the delivery of  technician training programme under stage II; project proposals for demonstration projects have been reviewed; a bidding process to select training centres has started; a contract to conduct a study on management of HCFC recovery in the refrigeration servicing sector has been signed; data has been collected for HCFC phase-out activities in the supermarket sub-sector;  terms of reference for the qualification certification for servicing enterprises have been prepared; 50 officers from the Bureau of Environmental Supervision and Inspection and 50 national commercial officers from local departments of commerce have been trained; and awareness activities to promote public awareness on ozone layer protection have been prepared.</w:t>
      </w:r>
    </w:p>
    <w:p w14:paraId="50EC8874" w14:textId="77777777" w:rsidR="00881319" w:rsidRPr="00B75955" w:rsidRDefault="00881319" w:rsidP="00881319">
      <w:pPr>
        <w:pStyle w:val="Heading1"/>
        <w:keepNext/>
        <w:keepLines/>
        <w:numPr>
          <w:ilvl w:val="0"/>
          <w:numId w:val="0"/>
        </w:numPr>
        <w:rPr>
          <w:u w:val="single"/>
          <w:lang w:val="en-CA"/>
        </w:rPr>
      </w:pPr>
      <w:r w:rsidRPr="00B75955">
        <w:rPr>
          <w:u w:val="single"/>
          <w:lang w:val="en-CA"/>
        </w:rPr>
        <w:t>Disbursement of funds</w:t>
      </w:r>
    </w:p>
    <w:p w14:paraId="1D3BB1EB" w14:textId="77777777" w:rsidR="00881319" w:rsidRPr="00B75955" w:rsidRDefault="00881319" w:rsidP="00881319">
      <w:pPr>
        <w:pStyle w:val="Heading1"/>
        <w:rPr>
          <w:lang w:val="en-CA"/>
        </w:rPr>
      </w:pPr>
      <w:r w:rsidRPr="00B75955">
        <w:rPr>
          <w:lang w:val="en-CA"/>
        </w:rPr>
        <w:t>As at March 2018, of the US $82,769,890 so far approved (consisting of the first tranches of all sector plans and the second tranches of the XPS foam, ICR and solvent sector plans), US $26,609,531 had been disbursed from the implementing agencies to FECO, and US $14,442,176 had been disbursed from FECO to beneficiaries, as summarized in Table 5.</w:t>
      </w:r>
    </w:p>
    <w:p w14:paraId="16254DCE" w14:textId="77777777" w:rsidR="00881319" w:rsidRPr="00B75955" w:rsidRDefault="00881319" w:rsidP="00881319">
      <w:pPr>
        <w:keepNext/>
        <w:keepLines/>
        <w:jc w:val="left"/>
        <w:rPr>
          <w:b/>
          <w:lang w:val="en-CA"/>
        </w:rPr>
      </w:pPr>
      <w:r w:rsidRPr="00B75955">
        <w:rPr>
          <w:b/>
          <w:lang w:val="en-CA"/>
        </w:rPr>
        <w:t>Table 5. Level of disbursement per sector (as at March 2018)</w:t>
      </w:r>
    </w:p>
    <w:tbl>
      <w:tblPr>
        <w:tblW w:w="5000" w:type="pct"/>
        <w:tblInd w:w="-5" w:type="dxa"/>
        <w:tblLayout w:type="fixed"/>
        <w:tblLook w:val="04A0" w:firstRow="1" w:lastRow="0" w:firstColumn="1" w:lastColumn="0" w:noHBand="0" w:noVBand="1"/>
      </w:tblPr>
      <w:tblGrid>
        <w:gridCol w:w="3504"/>
        <w:gridCol w:w="1947"/>
        <w:gridCol w:w="1949"/>
        <w:gridCol w:w="1950"/>
      </w:tblGrid>
      <w:tr w:rsidR="00881319" w:rsidRPr="00B75955" w14:paraId="52BBA640" w14:textId="77777777" w:rsidTr="00881319">
        <w:tc>
          <w:tcPr>
            <w:tcW w:w="1874" w:type="pct"/>
            <w:vMerge w:val="restart"/>
            <w:tcBorders>
              <w:top w:val="single" w:sz="4" w:space="0" w:color="auto"/>
              <w:left w:val="single" w:sz="4" w:space="0" w:color="auto"/>
              <w:right w:val="single" w:sz="4" w:space="0" w:color="auto"/>
            </w:tcBorders>
            <w:shd w:val="clear" w:color="auto" w:fill="auto"/>
            <w:noWrap/>
            <w:vAlign w:val="center"/>
          </w:tcPr>
          <w:p w14:paraId="30268B9D" w14:textId="77777777" w:rsidR="00881319" w:rsidRPr="00B75955" w:rsidRDefault="00881319" w:rsidP="00881319">
            <w:pPr>
              <w:jc w:val="left"/>
              <w:rPr>
                <w:b/>
                <w:bCs/>
                <w:color w:val="000000"/>
                <w:sz w:val="20"/>
                <w:szCs w:val="20"/>
                <w:lang w:val="en-CA"/>
              </w:rPr>
            </w:pPr>
            <w:r w:rsidRPr="00B75955">
              <w:rPr>
                <w:b/>
                <w:bCs/>
                <w:color w:val="000000"/>
                <w:sz w:val="20"/>
                <w:szCs w:val="20"/>
                <w:lang w:val="en-CA"/>
              </w:rPr>
              <w:t>Sector plan</w:t>
            </w:r>
          </w:p>
        </w:tc>
        <w:tc>
          <w:tcPr>
            <w:tcW w:w="3126" w:type="pct"/>
            <w:gridSpan w:val="3"/>
            <w:tcBorders>
              <w:top w:val="single" w:sz="4" w:space="0" w:color="auto"/>
              <w:left w:val="nil"/>
              <w:bottom w:val="single" w:sz="4" w:space="0" w:color="auto"/>
              <w:right w:val="single" w:sz="4" w:space="0" w:color="auto"/>
            </w:tcBorders>
            <w:shd w:val="clear" w:color="auto" w:fill="auto"/>
            <w:noWrap/>
          </w:tcPr>
          <w:p w14:paraId="51C6CD37" w14:textId="77777777" w:rsidR="00881319" w:rsidRPr="00B75955" w:rsidRDefault="00881319" w:rsidP="00881319">
            <w:pPr>
              <w:jc w:val="center"/>
              <w:rPr>
                <w:b/>
                <w:color w:val="000000"/>
                <w:sz w:val="20"/>
                <w:szCs w:val="20"/>
                <w:lang w:val="en-CA"/>
              </w:rPr>
            </w:pPr>
            <w:r w:rsidRPr="00B75955">
              <w:rPr>
                <w:b/>
                <w:color w:val="000000"/>
                <w:sz w:val="20"/>
                <w:szCs w:val="20"/>
                <w:lang w:val="en-CA"/>
              </w:rPr>
              <w:t>Funds (US $)</w:t>
            </w:r>
          </w:p>
        </w:tc>
      </w:tr>
      <w:tr w:rsidR="00881319" w:rsidRPr="00B75955" w14:paraId="5655FEA9" w14:textId="77777777" w:rsidTr="00881319">
        <w:tc>
          <w:tcPr>
            <w:tcW w:w="1874" w:type="pct"/>
            <w:vMerge/>
            <w:tcBorders>
              <w:left w:val="single" w:sz="4" w:space="0" w:color="auto"/>
              <w:bottom w:val="single" w:sz="4" w:space="0" w:color="auto"/>
              <w:right w:val="single" w:sz="4" w:space="0" w:color="auto"/>
            </w:tcBorders>
            <w:shd w:val="clear" w:color="auto" w:fill="auto"/>
            <w:noWrap/>
            <w:vAlign w:val="center"/>
            <w:hideMark/>
          </w:tcPr>
          <w:p w14:paraId="03E5B4FA" w14:textId="77777777" w:rsidR="00881319" w:rsidRPr="00B75955" w:rsidRDefault="00881319" w:rsidP="00881319">
            <w:pPr>
              <w:jc w:val="left"/>
              <w:rPr>
                <w:b/>
                <w:bCs/>
                <w:color w:val="000000"/>
                <w:sz w:val="20"/>
                <w:szCs w:val="20"/>
                <w:lang w:val="en-CA"/>
              </w:rPr>
            </w:pPr>
          </w:p>
        </w:tc>
        <w:tc>
          <w:tcPr>
            <w:tcW w:w="1041" w:type="pct"/>
            <w:tcBorders>
              <w:top w:val="single" w:sz="4" w:space="0" w:color="auto"/>
              <w:left w:val="nil"/>
              <w:bottom w:val="single" w:sz="4" w:space="0" w:color="auto"/>
              <w:right w:val="single" w:sz="4" w:space="0" w:color="auto"/>
            </w:tcBorders>
            <w:shd w:val="clear" w:color="auto" w:fill="auto"/>
            <w:noWrap/>
            <w:vAlign w:val="center"/>
            <w:hideMark/>
          </w:tcPr>
          <w:p w14:paraId="1E5C987D" w14:textId="77777777" w:rsidR="00881319" w:rsidRPr="00B75955" w:rsidRDefault="00881319" w:rsidP="00881319">
            <w:pPr>
              <w:jc w:val="center"/>
              <w:rPr>
                <w:b/>
                <w:bCs/>
                <w:color w:val="000000"/>
                <w:sz w:val="20"/>
                <w:szCs w:val="20"/>
                <w:lang w:val="en-CA"/>
              </w:rPr>
            </w:pPr>
            <w:r w:rsidRPr="00B75955">
              <w:rPr>
                <w:b/>
                <w:bCs/>
                <w:color w:val="000000"/>
                <w:sz w:val="20"/>
                <w:szCs w:val="20"/>
                <w:lang w:val="en-CA"/>
              </w:rPr>
              <w:t>Approved</w:t>
            </w:r>
          </w:p>
        </w:tc>
        <w:tc>
          <w:tcPr>
            <w:tcW w:w="1042" w:type="pct"/>
            <w:tcBorders>
              <w:top w:val="single" w:sz="4" w:space="0" w:color="auto"/>
              <w:left w:val="nil"/>
              <w:bottom w:val="single" w:sz="4" w:space="0" w:color="auto"/>
              <w:right w:val="single" w:sz="4" w:space="0" w:color="auto"/>
            </w:tcBorders>
            <w:shd w:val="clear" w:color="auto" w:fill="auto"/>
            <w:noWrap/>
            <w:vAlign w:val="center"/>
            <w:hideMark/>
          </w:tcPr>
          <w:p w14:paraId="6152B9B1" w14:textId="77777777" w:rsidR="00881319" w:rsidRPr="00B75955" w:rsidRDefault="00881319" w:rsidP="00881319">
            <w:pPr>
              <w:jc w:val="center"/>
              <w:rPr>
                <w:b/>
                <w:bCs/>
                <w:color w:val="000000"/>
                <w:sz w:val="20"/>
                <w:szCs w:val="20"/>
                <w:lang w:val="en-CA"/>
              </w:rPr>
            </w:pPr>
            <w:r w:rsidRPr="00B75955">
              <w:rPr>
                <w:b/>
                <w:color w:val="000000"/>
                <w:sz w:val="20"/>
                <w:szCs w:val="20"/>
                <w:lang w:val="en-CA"/>
              </w:rPr>
              <w:t>Disbursed to FECO</w:t>
            </w:r>
          </w:p>
        </w:tc>
        <w:tc>
          <w:tcPr>
            <w:tcW w:w="1043" w:type="pct"/>
            <w:tcBorders>
              <w:top w:val="single" w:sz="4" w:space="0" w:color="auto"/>
              <w:left w:val="nil"/>
              <w:bottom w:val="single" w:sz="4" w:space="0" w:color="auto"/>
              <w:right w:val="single" w:sz="4" w:space="0" w:color="auto"/>
            </w:tcBorders>
            <w:shd w:val="clear" w:color="auto" w:fill="auto"/>
            <w:noWrap/>
            <w:vAlign w:val="center"/>
            <w:hideMark/>
          </w:tcPr>
          <w:p w14:paraId="3DAAA3AD" w14:textId="77777777" w:rsidR="00881319" w:rsidRPr="00B75955" w:rsidRDefault="00881319" w:rsidP="00881319">
            <w:pPr>
              <w:jc w:val="center"/>
              <w:rPr>
                <w:b/>
                <w:bCs/>
                <w:color w:val="000000"/>
                <w:sz w:val="20"/>
                <w:szCs w:val="20"/>
                <w:lang w:val="en-CA"/>
              </w:rPr>
            </w:pPr>
            <w:r w:rsidRPr="00B75955">
              <w:rPr>
                <w:b/>
                <w:color w:val="000000"/>
                <w:sz w:val="20"/>
                <w:szCs w:val="20"/>
                <w:lang w:val="en-CA"/>
              </w:rPr>
              <w:t>Disbursed to beneficiaries</w:t>
            </w:r>
          </w:p>
        </w:tc>
      </w:tr>
      <w:tr w:rsidR="00881319" w:rsidRPr="00B75955" w14:paraId="3C195699" w14:textId="77777777" w:rsidTr="00881319">
        <w:tc>
          <w:tcPr>
            <w:tcW w:w="18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778EE" w14:textId="77777777" w:rsidR="00881319" w:rsidRPr="00B75955" w:rsidRDefault="00881319" w:rsidP="00881319">
            <w:pPr>
              <w:jc w:val="left"/>
              <w:rPr>
                <w:bCs/>
                <w:color w:val="000000"/>
                <w:sz w:val="20"/>
                <w:szCs w:val="20"/>
                <w:lang w:val="en-CA"/>
              </w:rPr>
            </w:pPr>
            <w:r w:rsidRPr="00B75955">
              <w:rPr>
                <w:bCs/>
                <w:color w:val="000000"/>
                <w:sz w:val="20"/>
                <w:szCs w:val="20"/>
                <w:lang w:val="en-CA"/>
              </w:rPr>
              <w:t>XPS foam (UNIDO, Germany)*</w:t>
            </w:r>
          </w:p>
        </w:tc>
        <w:tc>
          <w:tcPr>
            <w:tcW w:w="1041" w:type="pct"/>
            <w:tcBorders>
              <w:top w:val="nil"/>
              <w:left w:val="nil"/>
              <w:bottom w:val="single" w:sz="4" w:space="0" w:color="auto"/>
              <w:right w:val="single" w:sz="4" w:space="0" w:color="auto"/>
            </w:tcBorders>
            <w:shd w:val="clear" w:color="auto" w:fill="auto"/>
            <w:noWrap/>
            <w:tcMar>
              <w:left w:w="115" w:type="dxa"/>
              <w:right w:w="216" w:type="dxa"/>
            </w:tcMar>
            <w:hideMark/>
          </w:tcPr>
          <w:p w14:paraId="6B870CA3" w14:textId="77777777" w:rsidR="00881319" w:rsidRPr="00B75955" w:rsidRDefault="00881319" w:rsidP="00881319">
            <w:pPr>
              <w:jc w:val="right"/>
              <w:rPr>
                <w:bCs/>
                <w:color w:val="000000"/>
                <w:sz w:val="20"/>
                <w:szCs w:val="20"/>
                <w:lang w:val="en-CA"/>
              </w:rPr>
            </w:pPr>
            <w:r w:rsidRPr="00B75955">
              <w:rPr>
                <w:bCs/>
                <w:color w:val="000000"/>
                <w:sz w:val="20"/>
                <w:szCs w:val="20"/>
                <w:lang w:val="en-CA"/>
              </w:rPr>
              <w:t>16,514,867</w:t>
            </w:r>
          </w:p>
        </w:tc>
        <w:tc>
          <w:tcPr>
            <w:tcW w:w="1042" w:type="pct"/>
            <w:tcBorders>
              <w:top w:val="nil"/>
              <w:left w:val="nil"/>
              <w:bottom w:val="single" w:sz="4" w:space="0" w:color="auto"/>
              <w:right w:val="single" w:sz="4" w:space="0" w:color="auto"/>
            </w:tcBorders>
            <w:shd w:val="clear" w:color="auto" w:fill="auto"/>
            <w:noWrap/>
            <w:tcMar>
              <w:left w:w="115" w:type="dxa"/>
              <w:right w:w="216" w:type="dxa"/>
            </w:tcMar>
            <w:hideMark/>
          </w:tcPr>
          <w:p w14:paraId="36FCC2AD" w14:textId="77777777" w:rsidR="00881319" w:rsidRPr="00B75955" w:rsidRDefault="00881319" w:rsidP="00881319">
            <w:pPr>
              <w:jc w:val="right"/>
              <w:rPr>
                <w:bCs/>
                <w:color w:val="000000"/>
                <w:sz w:val="20"/>
                <w:szCs w:val="20"/>
                <w:lang w:val="en-CA"/>
              </w:rPr>
            </w:pPr>
            <w:r w:rsidRPr="00B75955">
              <w:rPr>
                <w:bCs/>
                <w:color w:val="000000"/>
                <w:sz w:val="20"/>
                <w:szCs w:val="20"/>
                <w:lang w:val="en-CA"/>
              </w:rPr>
              <w:t>2,254,460</w:t>
            </w:r>
          </w:p>
        </w:tc>
        <w:tc>
          <w:tcPr>
            <w:tcW w:w="1043" w:type="pct"/>
            <w:tcBorders>
              <w:top w:val="nil"/>
              <w:left w:val="nil"/>
              <w:bottom w:val="single" w:sz="4" w:space="0" w:color="auto"/>
              <w:right w:val="single" w:sz="4" w:space="0" w:color="auto"/>
            </w:tcBorders>
            <w:shd w:val="clear" w:color="auto" w:fill="auto"/>
            <w:noWrap/>
            <w:tcMar>
              <w:left w:w="115" w:type="dxa"/>
              <w:right w:w="216" w:type="dxa"/>
            </w:tcMar>
            <w:hideMark/>
          </w:tcPr>
          <w:p w14:paraId="19C52B43" w14:textId="77777777" w:rsidR="00881319" w:rsidRPr="00B75955" w:rsidRDefault="00881319" w:rsidP="00881319">
            <w:pPr>
              <w:jc w:val="right"/>
              <w:rPr>
                <w:bCs/>
                <w:color w:val="000000"/>
                <w:sz w:val="20"/>
                <w:szCs w:val="20"/>
                <w:lang w:val="en-CA"/>
              </w:rPr>
            </w:pPr>
            <w:r w:rsidRPr="00B75955">
              <w:rPr>
                <w:bCs/>
                <w:color w:val="000000"/>
                <w:sz w:val="20"/>
                <w:szCs w:val="20"/>
                <w:lang w:val="en-CA"/>
              </w:rPr>
              <w:t>1,666,843</w:t>
            </w:r>
          </w:p>
        </w:tc>
      </w:tr>
      <w:tr w:rsidR="00881319" w:rsidRPr="00B75955" w14:paraId="4EE6AD42" w14:textId="77777777" w:rsidTr="00881319">
        <w:tc>
          <w:tcPr>
            <w:tcW w:w="18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BFA55" w14:textId="77777777" w:rsidR="00881319" w:rsidRPr="00B75955" w:rsidRDefault="00881319" w:rsidP="00881319">
            <w:pPr>
              <w:jc w:val="left"/>
              <w:rPr>
                <w:bCs/>
                <w:color w:val="000000"/>
                <w:sz w:val="20"/>
                <w:szCs w:val="20"/>
                <w:lang w:val="en-CA"/>
              </w:rPr>
            </w:pPr>
            <w:r w:rsidRPr="00B75955">
              <w:rPr>
                <w:bCs/>
                <w:color w:val="000000"/>
                <w:sz w:val="20"/>
                <w:szCs w:val="20"/>
                <w:lang w:val="en-CA"/>
              </w:rPr>
              <w:t>PU foam (World Bank)</w:t>
            </w:r>
          </w:p>
        </w:tc>
        <w:tc>
          <w:tcPr>
            <w:tcW w:w="1041" w:type="pct"/>
            <w:tcBorders>
              <w:top w:val="nil"/>
              <w:left w:val="nil"/>
              <w:bottom w:val="single" w:sz="4" w:space="0" w:color="auto"/>
              <w:right w:val="single" w:sz="4" w:space="0" w:color="auto"/>
            </w:tcBorders>
            <w:shd w:val="clear" w:color="auto" w:fill="auto"/>
            <w:noWrap/>
            <w:tcMar>
              <w:left w:w="115" w:type="dxa"/>
              <w:right w:w="216" w:type="dxa"/>
            </w:tcMar>
          </w:tcPr>
          <w:p w14:paraId="535F650C" w14:textId="77777777" w:rsidR="00881319" w:rsidRPr="00B75955" w:rsidRDefault="00881319" w:rsidP="00881319">
            <w:pPr>
              <w:jc w:val="right"/>
              <w:rPr>
                <w:bCs/>
                <w:color w:val="000000"/>
                <w:sz w:val="20"/>
                <w:szCs w:val="20"/>
                <w:lang w:val="en-CA"/>
              </w:rPr>
            </w:pPr>
            <w:r w:rsidRPr="00B75955">
              <w:rPr>
                <w:bCs/>
                <w:color w:val="000000"/>
                <w:sz w:val="20"/>
                <w:szCs w:val="20"/>
                <w:lang w:val="en-CA"/>
              </w:rPr>
              <w:t>7,045,027</w:t>
            </w:r>
          </w:p>
        </w:tc>
        <w:tc>
          <w:tcPr>
            <w:tcW w:w="1042" w:type="pct"/>
            <w:tcBorders>
              <w:top w:val="nil"/>
              <w:left w:val="nil"/>
              <w:bottom w:val="single" w:sz="4" w:space="0" w:color="auto"/>
              <w:right w:val="single" w:sz="4" w:space="0" w:color="auto"/>
            </w:tcBorders>
            <w:shd w:val="clear" w:color="auto" w:fill="auto"/>
            <w:noWrap/>
            <w:tcMar>
              <w:left w:w="115" w:type="dxa"/>
              <w:right w:w="216" w:type="dxa"/>
            </w:tcMar>
          </w:tcPr>
          <w:p w14:paraId="0DB452DB" w14:textId="77777777" w:rsidR="00881319" w:rsidRPr="00B75955" w:rsidRDefault="00881319" w:rsidP="00881319">
            <w:pPr>
              <w:jc w:val="right"/>
              <w:rPr>
                <w:bCs/>
                <w:color w:val="000000"/>
                <w:sz w:val="20"/>
                <w:szCs w:val="20"/>
                <w:lang w:val="en-CA"/>
              </w:rPr>
            </w:pPr>
            <w:r w:rsidRPr="00B75955">
              <w:rPr>
                <w:bCs/>
                <w:color w:val="000000"/>
                <w:sz w:val="20"/>
                <w:szCs w:val="20"/>
                <w:lang w:val="en-CA"/>
              </w:rPr>
              <w:t>0</w:t>
            </w:r>
          </w:p>
        </w:tc>
        <w:tc>
          <w:tcPr>
            <w:tcW w:w="1043" w:type="pct"/>
            <w:tcBorders>
              <w:top w:val="nil"/>
              <w:left w:val="nil"/>
              <w:bottom w:val="single" w:sz="4" w:space="0" w:color="auto"/>
              <w:right w:val="single" w:sz="4" w:space="0" w:color="auto"/>
            </w:tcBorders>
            <w:shd w:val="clear" w:color="auto" w:fill="auto"/>
            <w:noWrap/>
            <w:tcMar>
              <w:left w:w="115" w:type="dxa"/>
              <w:right w:w="216" w:type="dxa"/>
            </w:tcMar>
          </w:tcPr>
          <w:p w14:paraId="59DB58B3" w14:textId="77777777" w:rsidR="00881319" w:rsidRPr="00B75955" w:rsidRDefault="00881319" w:rsidP="00881319">
            <w:pPr>
              <w:jc w:val="right"/>
              <w:rPr>
                <w:bCs/>
                <w:color w:val="000000"/>
                <w:sz w:val="20"/>
                <w:szCs w:val="20"/>
                <w:lang w:val="en-CA"/>
              </w:rPr>
            </w:pPr>
            <w:r w:rsidRPr="00B75955">
              <w:rPr>
                <w:bCs/>
                <w:color w:val="000000"/>
                <w:sz w:val="20"/>
                <w:szCs w:val="20"/>
                <w:lang w:val="en-CA"/>
              </w:rPr>
              <w:t>0</w:t>
            </w:r>
          </w:p>
        </w:tc>
      </w:tr>
      <w:tr w:rsidR="00881319" w:rsidRPr="00B75955" w14:paraId="67095C58" w14:textId="77777777" w:rsidTr="00881319">
        <w:tc>
          <w:tcPr>
            <w:tcW w:w="18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19BD7" w14:textId="77777777" w:rsidR="00881319" w:rsidRPr="00B75955" w:rsidRDefault="00881319" w:rsidP="00881319">
            <w:pPr>
              <w:jc w:val="left"/>
              <w:rPr>
                <w:bCs/>
                <w:color w:val="000000"/>
                <w:sz w:val="20"/>
                <w:szCs w:val="20"/>
                <w:lang w:val="en-CA"/>
              </w:rPr>
            </w:pPr>
            <w:r w:rsidRPr="00B75955">
              <w:rPr>
                <w:bCs/>
                <w:color w:val="000000"/>
                <w:sz w:val="20"/>
                <w:szCs w:val="20"/>
                <w:lang w:val="en-CA"/>
              </w:rPr>
              <w:t>ICR (UNDP)*</w:t>
            </w:r>
          </w:p>
        </w:tc>
        <w:tc>
          <w:tcPr>
            <w:tcW w:w="1041" w:type="pct"/>
            <w:tcBorders>
              <w:top w:val="nil"/>
              <w:left w:val="nil"/>
              <w:bottom w:val="single" w:sz="4" w:space="0" w:color="auto"/>
              <w:right w:val="single" w:sz="4" w:space="0" w:color="auto"/>
            </w:tcBorders>
            <w:shd w:val="clear" w:color="auto" w:fill="auto"/>
            <w:noWrap/>
            <w:tcMar>
              <w:left w:w="115" w:type="dxa"/>
              <w:right w:w="216" w:type="dxa"/>
            </w:tcMar>
            <w:hideMark/>
          </w:tcPr>
          <w:p w14:paraId="271438EF" w14:textId="77777777" w:rsidR="00881319" w:rsidRPr="00B75955" w:rsidRDefault="00881319" w:rsidP="00881319">
            <w:pPr>
              <w:jc w:val="right"/>
              <w:rPr>
                <w:bCs/>
                <w:color w:val="000000"/>
                <w:sz w:val="20"/>
                <w:szCs w:val="20"/>
                <w:lang w:val="en-CA"/>
              </w:rPr>
            </w:pPr>
            <w:r w:rsidRPr="00B75955">
              <w:rPr>
                <w:bCs/>
                <w:color w:val="000000"/>
                <w:sz w:val="20"/>
                <w:szCs w:val="20"/>
                <w:lang w:val="en-CA"/>
              </w:rPr>
              <w:t>33,368,756</w:t>
            </w:r>
          </w:p>
        </w:tc>
        <w:tc>
          <w:tcPr>
            <w:tcW w:w="1042" w:type="pct"/>
            <w:tcBorders>
              <w:top w:val="nil"/>
              <w:left w:val="nil"/>
              <w:bottom w:val="single" w:sz="4" w:space="0" w:color="auto"/>
              <w:right w:val="single" w:sz="4" w:space="0" w:color="auto"/>
            </w:tcBorders>
            <w:shd w:val="clear" w:color="auto" w:fill="auto"/>
            <w:noWrap/>
            <w:tcMar>
              <w:left w:w="115" w:type="dxa"/>
              <w:right w:w="216" w:type="dxa"/>
            </w:tcMar>
            <w:hideMark/>
          </w:tcPr>
          <w:p w14:paraId="4DD8FAA6" w14:textId="77777777" w:rsidR="00881319" w:rsidRPr="00B75955" w:rsidRDefault="00881319" w:rsidP="00881319">
            <w:pPr>
              <w:jc w:val="right"/>
              <w:rPr>
                <w:bCs/>
                <w:color w:val="000000"/>
                <w:sz w:val="20"/>
                <w:szCs w:val="20"/>
                <w:lang w:val="en-CA"/>
              </w:rPr>
            </w:pPr>
            <w:r w:rsidRPr="00B75955">
              <w:rPr>
                <w:bCs/>
                <w:color w:val="000000"/>
                <w:sz w:val="20"/>
                <w:szCs w:val="20"/>
                <w:lang w:val="en-CA"/>
              </w:rPr>
              <w:t>13,368,756</w:t>
            </w:r>
          </w:p>
        </w:tc>
        <w:tc>
          <w:tcPr>
            <w:tcW w:w="1043" w:type="pct"/>
            <w:tcBorders>
              <w:top w:val="nil"/>
              <w:left w:val="nil"/>
              <w:bottom w:val="single" w:sz="4" w:space="0" w:color="auto"/>
              <w:right w:val="single" w:sz="4" w:space="0" w:color="auto"/>
            </w:tcBorders>
            <w:shd w:val="clear" w:color="auto" w:fill="auto"/>
            <w:noWrap/>
            <w:tcMar>
              <w:left w:w="115" w:type="dxa"/>
              <w:right w:w="216" w:type="dxa"/>
            </w:tcMar>
            <w:hideMark/>
          </w:tcPr>
          <w:p w14:paraId="18148A46" w14:textId="77777777" w:rsidR="00881319" w:rsidRPr="00B75955" w:rsidRDefault="00881319" w:rsidP="00881319">
            <w:pPr>
              <w:jc w:val="right"/>
              <w:rPr>
                <w:bCs/>
                <w:color w:val="000000"/>
                <w:sz w:val="20"/>
                <w:szCs w:val="20"/>
                <w:lang w:val="en-CA"/>
              </w:rPr>
            </w:pPr>
            <w:r w:rsidRPr="00B75955">
              <w:rPr>
                <w:bCs/>
                <w:color w:val="000000"/>
                <w:sz w:val="20"/>
                <w:szCs w:val="20"/>
                <w:lang w:val="en-CA"/>
              </w:rPr>
              <w:t>4,963,925</w:t>
            </w:r>
          </w:p>
        </w:tc>
      </w:tr>
      <w:tr w:rsidR="00881319" w:rsidRPr="00B75955" w14:paraId="6C2B6E09" w14:textId="77777777" w:rsidTr="00881319">
        <w:tc>
          <w:tcPr>
            <w:tcW w:w="1874" w:type="pct"/>
            <w:tcBorders>
              <w:top w:val="nil"/>
              <w:left w:val="single" w:sz="4" w:space="0" w:color="auto"/>
              <w:bottom w:val="single" w:sz="4" w:space="0" w:color="auto"/>
              <w:right w:val="single" w:sz="4" w:space="0" w:color="auto"/>
            </w:tcBorders>
            <w:shd w:val="clear" w:color="auto" w:fill="auto"/>
            <w:vAlign w:val="center"/>
            <w:hideMark/>
          </w:tcPr>
          <w:p w14:paraId="6D288FA8" w14:textId="77777777" w:rsidR="00881319" w:rsidRPr="00B75955" w:rsidRDefault="00881319" w:rsidP="00881319">
            <w:pPr>
              <w:jc w:val="left"/>
              <w:rPr>
                <w:bCs/>
                <w:color w:val="000000"/>
                <w:sz w:val="20"/>
                <w:szCs w:val="20"/>
                <w:lang w:val="en-CA"/>
              </w:rPr>
            </w:pPr>
            <w:r w:rsidRPr="00B75955">
              <w:rPr>
                <w:bCs/>
                <w:color w:val="000000"/>
                <w:sz w:val="20"/>
                <w:szCs w:val="20"/>
                <w:lang w:val="en-CA"/>
              </w:rPr>
              <w:t>RAC (UNIDO, Italy) </w:t>
            </w:r>
          </w:p>
        </w:tc>
        <w:tc>
          <w:tcPr>
            <w:tcW w:w="1041" w:type="pct"/>
            <w:tcBorders>
              <w:top w:val="nil"/>
              <w:left w:val="nil"/>
              <w:bottom w:val="single" w:sz="4" w:space="0" w:color="auto"/>
              <w:right w:val="single" w:sz="4" w:space="0" w:color="auto"/>
            </w:tcBorders>
            <w:shd w:val="clear" w:color="auto" w:fill="auto"/>
            <w:tcMar>
              <w:left w:w="115" w:type="dxa"/>
              <w:right w:w="216" w:type="dxa"/>
            </w:tcMar>
            <w:hideMark/>
          </w:tcPr>
          <w:p w14:paraId="481C0B41" w14:textId="77777777" w:rsidR="00881319" w:rsidRPr="00B75955" w:rsidRDefault="00881319" w:rsidP="00881319">
            <w:pPr>
              <w:jc w:val="right"/>
              <w:rPr>
                <w:bCs/>
                <w:color w:val="000000"/>
                <w:sz w:val="20"/>
                <w:szCs w:val="20"/>
                <w:lang w:val="en-CA"/>
              </w:rPr>
            </w:pPr>
            <w:r w:rsidRPr="00B75955">
              <w:rPr>
                <w:bCs/>
                <w:color w:val="000000"/>
                <w:sz w:val="20"/>
                <w:szCs w:val="20"/>
                <w:lang w:val="en-CA"/>
              </w:rPr>
              <w:t>15,562,981</w:t>
            </w:r>
          </w:p>
        </w:tc>
        <w:tc>
          <w:tcPr>
            <w:tcW w:w="1042" w:type="pct"/>
            <w:tcBorders>
              <w:top w:val="nil"/>
              <w:left w:val="nil"/>
              <w:bottom w:val="single" w:sz="4" w:space="0" w:color="auto"/>
              <w:right w:val="single" w:sz="4" w:space="0" w:color="auto"/>
            </w:tcBorders>
            <w:shd w:val="clear" w:color="auto" w:fill="auto"/>
            <w:tcMar>
              <w:left w:w="115" w:type="dxa"/>
              <w:right w:w="216" w:type="dxa"/>
            </w:tcMar>
            <w:hideMark/>
          </w:tcPr>
          <w:p w14:paraId="76E893C0" w14:textId="77777777" w:rsidR="00881319" w:rsidRPr="00B75955" w:rsidRDefault="00881319" w:rsidP="00881319">
            <w:pPr>
              <w:jc w:val="right"/>
              <w:rPr>
                <w:bCs/>
                <w:color w:val="000000"/>
                <w:sz w:val="20"/>
                <w:szCs w:val="20"/>
                <w:lang w:val="en-CA"/>
              </w:rPr>
            </w:pPr>
            <w:r w:rsidRPr="00B75955">
              <w:rPr>
                <w:bCs/>
                <w:color w:val="000000"/>
                <w:sz w:val="20"/>
                <w:szCs w:val="20"/>
                <w:lang w:val="en-CA"/>
              </w:rPr>
              <w:t>6,649,378</w:t>
            </w:r>
          </w:p>
        </w:tc>
        <w:tc>
          <w:tcPr>
            <w:tcW w:w="1043" w:type="pct"/>
            <w:tcBorders>
              <w:top w:val="nil"/>
              <w:left w:val="nil"/>
              <w:bottom w:val="single" w:sz="4" w:space="0" w:color="auto"/>
              <w:right w:val="single" w:sz="4" w:space="0" w:color="auto"/>
            </w:tcBorders>
            <w:shd w:val="clear" w:color="auto" w:fill="auto"/>
            <w:noWrap/>
            <w:tcMar>
              <w:left w:w="115" w:type="dxa"/>
              <w:right w:w="216" w:type="dxa"/>
            </w:tcMar>
            <w:hideMark/>
          </w:tcPr>
          <w:p w14:paraId="53793678" w14:textId="77777777" w:rsidR="00881319" w:rsidRPr="00B75955" w:rsidRDefault="00881319" w:rsidP="00881319">
            <w:pPr>
              <w:jc w:val="right"/>
              <w:rPr>
                <w:bCs/>
                <w:color w:val="000000"/>
                <w:sz w:val="20"/>
                <w:szCs w:val="20"/>
                <w:lang w:val="en-CA"/>
              </w:rPr>
            </w:pPr>
            <w:r w:rsidRPr="00B75955">
              <w:rPr>
                <w:bCs/>
                <w:color w:val="000000"/>
                <w:sz w:val="20"/>
                <w:szCs w:val="20"/>
                <w:lang w:val="en-CA"/>
              </w:rPr>
              <w:t>3,982,341</w:t>
            </w:r>
          </w:p>
        </w:tc>
      </w:tr>
      <w:tr w:rsidR="00881319" w:rsidRPr="00B75955" w14:paraId="38A325E9" w14:textId="77777777" w:rsidTr="00881319">
        <w:tc>
          <w:tcPr>
            <w:tcW w:w="1874" w:type="pct"/>
            <w:tcBorders>
              <w:top w:val="nil"/>
              <w:left w:val="single" w:sz="4" w:space="0" w:color="auto"/>
              <w:bottom w:val="single" w:sz="4" w:space="0" w:color="auto"/>
              <w:right w:val="single" w:sz="4" w:space="0" w:color="auto"/>
            </w:tcBorders>
            <w:shd w:val="clear" w:color="auto" w:fill="auto"/>
            <w:vAlign w:val="center"/>
            <w:hideMark/>
          </w:tcPr>
          <w:p w14:paraId="5929444E" w14:textId="77777777" w:rsidR="00881319" w:rsidRPr="00B75955" w:rsidRDefault="00881319" w:rsidP="00881319">
            <w:pPr>
              <w:jc w:val="left"/>
              <w:rPr>
                <w:bCs/>
                <w:color w:val="000000"/>
                <w:sz w:val="20"/>
                <w:szCs w:val="20"/>
                <w:lang w:val="en-CA"/>
              </w:rPr>
            </w:pPr>
            <w:r w:rsidRPr="00B75955">
              <w:rPr>
                <w:bCs/>
                <w:color w:val="000000"/>
                <w:sz w:val="20"/>
                <w:szCs w:val="20"/>
                <w:lang w:val="en-CA"/>
              </w:rPr>
              <w:t>Solvent (UNDP) *</w:t>
            </w:r>
          </w:p>
        </w:tc>
        <w:tc>
          <w:tcPr>
            <w:tcW w:w="1041" w:type="pct"/>
            <w:tcBorders>
              <w:top w:val="nil"/>
              <w:left w:val="nil"/>
              <w:bottom w:val="single" w:sz="4" w:space="0" w:color="auto"/>
              <w:right w:val="single" w:sz="4" w:space="0" w:color="auto"/>
            </w:tcBorders>
            <w:shd w:val="clear" w:color="auto" w:fill="auto"/>
            <w:tcMar>
              <w:left w:w="115" w:type="dxa"/>
              <w:right w:w="216" w:type="dxa"/>
            </w:tcMar>
            <w:hideMark/>
          </w:tcPr>
          <w:p w14:paraId="1F2E5A0D" w14:textId="77777777" w:rsidR="00881319" w:rsidRPr="00B75955" w:rsidRDefault="00881319" w:rsidP="00881319">
            <w:pPr>
              <w:jc w:val="right"/>
              <w:rPr>
                <w:bCs/>
                <w:color w:val="000000"/>
                <w:sz w:val="20"/>
                <w:szCs w:val="20"/>
                <w:lang w:val="en-CA"/>
              </w:rPr>
            </w:pPr>
            <w:r w:rsidRPr="00B75955">
              <w:rPr>
                <w:bCs/>
                <w:color w:val="000000"/>
                <w:sz w:val="20"/>
                <w:szCs w:val="20"/>
                <w:lang w:val="en-CA"/>
              </w:rPr>
              <w:t>6,599,127</w:t>
            </w:r>
          </w:p>
        </w:tc>
        <w:tc>
          <w:tcPr>
            <w:tcW w:w="1042" w:type="pct"/>
            <w:tcBorders>
              <w:top w:val="nil"/>
              <w:left w:val="nil"/>
              <w:bottom w:val="single" w:sz="4" w:space="0" w:color="auto"/>
              <w:right w:val="single" w:sz="4" w:space="0" w:color="auto"/>
            </w:tcBorders>
            <w:shd w:val="clear" w:color="auto" w:fill="auto"/>
            <w:tcMar>
              <w:left w:w="115" w:type="dxa"/>
              <w:right w:w="216" w:type="dxa"/>
            </w:tcMar>
            <w:hideMark/>
          </w:tcPr>
          <w:p w14:paraId="504165E9" w14:textId="77777777" w:rsidR="00881319" w:rsidRPr="00B75955" w:rsidRDefault="00881319" w:rsidP="00881319">
            <w:pPr>
              <w:jc w:val="right"/>
              <w:rPr>
                <w:bCs/>
                <w:color w:val="000000"/>
                <w:sz w:val="20"/>
                <w:szCs w:val="20"/>
                <w:lang w:val="en-CA"/>
              </w:rPr>
            </w:pPr>
            <w:r w:rsidRPr="00B75955">
              <w:rPr>
                <w:sz w:val="20"/>
                <w:szCs w:val="20"/>
                <w:lang w:val="en-CA"/>
              </w:rPr>
              <w:t>2,796,937</w:t>
            </w:r>
          </w:p>
        </w:tc>
        <w:tc>
          <w:tcPr>
            <w:tcW w:w="1043" w:type="pct"/>
            <w:tcBorders>
              <w:top w:val="nil"/>
              <w:left w:val="nil"/>
              <w:bottom w:val="single" w:sz="4" w:space="0" w:color="auto"/>
              <w:right w:val="single" w:sz="4" w:space="0" w:color="auto"/>
            </w:tcBorders>
            <w:shd w:val="clear" w:color="auto" w:fill="auto"/>
            <w:noWrap/>
            <w:tcMar>
              <w:left w:w="115" w:type="dxa"/>
              <w:right w:w="216" w:type="dxa"/>
            </w:tcMar>
            <w:hideMark/>
          </w:tcPr>
          <w:p w14:paraId="77EF7688" w14:textId="77777777" w:rsidR="00881319" w:rsidRPr="00B75955" w:rsidRDefault="00881319" w:rsidP="00881319">
            <w:pPr>
              <w:jc w:val="right"/>
              <w:rPr>
                <w:bCs/>
                <w:color w:val="000000"/>
                <w:sz w:val="20"/>
                <w:szCs w:val="20"/>
                <w:lang w:val="en-CA"/>
              </w:rPr>
            </w:pPr>
            <w:r w:rsidRPr="00B75955">
              <w:rPr>
                <w:sz w:val="20"/>
                <w:szCs w:val="20"/>
                <w:lang w:val="en-CA"/>
              </w:rPr>
              <w:t>2,289,067</w:t>
            </w:r>
          </w:p>
        </w:tc>
      </w:tr>
      <w:tr w:rsidR="00881319" w:rsidRPr="00B75955" w14:paraId="0638C385" w14:textId="77777777" w:rsidTr="00881319">
        <w:tc>
          <w:tcPr>
            <w:tcW w:w="1874" w:type="pct"/>
            <w:tcBorders>
              <w:top w:val="nil"/>
              <w:left w:val="single" w:sz="4" w:space="0" w:color="auto"/>
              <w:bottom w:val="single" w:sz="4" w:space="0" w:color="auto"/>
              <w:right w:val="single" w:sz="4" w:space="0" w:color="auto"/>
            </w:tcBorders>
            <w:shd w:val="clear" w:color="auto" w:fill="auto"/>
            <w:vAlign w:val="center"/>
          </w:tcPr>
          <w:p w14:paraId="65F221B3" w14:textId="77777777" w:rsidR="00881319" w:rsidRPr="00B75955" w:rsidRDefault="00881319" w:rsidP="00881319">
            <w:pPr>
              <w:jc w:val="left"/>
              <w:rPr>
                <w:bCs/>
                <w:color w:val="000000"/>
                <w:sz w:val="20"/>
                <w:szCs w:val="20"/>
                <w:lang w:val="en-CA"/>
              </w:rPr>
            </w:pPr>
            <w:r w:rsidRPr="00B75955">
              <w:rPr>
                <w:bCs/>
                <w:color w:val="000000"/>
                <w:sz w:val="20"/>
                <w:szCs w:val="20"/>
                <w:lang w:val="en-CA"/>
              </w:rPr>
              <w:t>Servicing (UNEP, Germany, Japan)</w:t>
            </w:r>
          </w:p>
        </w:tc>
        <w:tc>
          <w:tcPr>
            <w:tcW w:w="1041" w:type="pct"/>
            <w:tcBorders>
              <w:top w:val="nil"/>
              <w:left w:val="nil"/>
              <w:bottom w:val="single" w:sz="4" w:space="0" w:color="auto"/>
              <w:right w:val="single" w:sz="4" w:space="0" w:color="auto"/>
            </w:tcBorders>
            <w:shd w:val="clear" w:color="auto" w:fill="auto"/>
            <w:tcMar>
              <w:left w:w="115" w:type="dxa"/>
              <w:right w:w="216" w:type="dxa"/>
            </w:tcMar>
          </w:tcPr>
          <w:p w14:paraId="1503C9DD" w14:textId="77777777" w:rsidR="00881319" w:rsidRPr="00B75955" w:rsidRDefault="00881319" w:rsidP="00881319">
            <w:pPr>
              <w:jc w:val="right"/>
              <w:rPr>
                <w:bCs/>
                <w:color w:val="000000"/>
                <w:sz w:val="20"/>
                <w:szCs w:val="20"/>
                <w:lang w:val="en-CA"/>
              </w:rPr>
            </w:pPr>
            <w:r w:rsidRPr="00B75955">
              <w:rPr>
                <w:bCs/>
                <w:color w:val="000000"/>
                <w:sz w:val="20"/>
                <w:szCs w:val="20"/>
                <w:lang w:val="en-CA"/>
              </w:rPr>
              <w:t>3,679,132</w:t>
            </w:r>
          </w:p>
        </w:tc>
        <w:tc>
          <w:tcPr>
            <w:tcW w:w="1042" w:type="pct"/>
            <w:tcBorders>
              <w:top w:val="nil"/>
              <w:left w:val="nil"/>
              <w:bottom w:val="single" w:sz="4" w:space="0" w:color="auto"/>
              <w:right w:val="single" w:sz="4" w:space="0" w:color="auto"/>
            </w:tcBorders>
            <w:shd w:val="clear" w:color="auto" w:fill="auto"/>
            <w:tcMar>
              <w:left w:w="115" w:type="dxa"/>
              <w:right w:w="216" w:type="dxa"/>
            </w:tcMar>
          </w:tcPr>
          <w:p w14:paraId="4D63E419" w14:textId="77777777" w:rsidR="00881319" w:rsidRPr="00B75955" w:rsidRDefault="00881319" w:rsidP="00881319">
            <w:pPr>
              <w:jc w:val="right"/>
              <w:rPr>
                <w:sz w:val="20"/>
                <w:szCs w:val="20"/>
                <w:lang w:val="en-CA"/>
              </w:rPr>
            </w:pPr>
            <w:r w:rsidRPr="00B75955">
              <w:rPr>
                <w:sz w:val="20"/>
                <w:szCs w:val="20"/>
                <w:lang w:val="en-CA"/>
              </w:rPr>
              <w:t>1,540,000</w:t>
            </w:r>
          </w:p>
        </w:tc>
        <w:tc>
          <w:tcPr>
            <w:tcW w:w="1043" w:type="pct"/>
            <w:tcBorders>
              <w:top w:val="nil"/>
              <w:left w:val="nil"/>
              <w:bottom w:val="single" w:sz="4" w:space="0" w:color="auto"/>
              <w:right w:val="single" w:sz="4" w:space="0" w:color="auto"/>
            </w:tcBorders>
            <w:shd w:val="clear" w:color="auto" w:fill="auto"/>
            <w:noWrap/>
            <w:tcMar>
              <w:left w:w="115" w:type="dxa"/>
              <w:right w:w="216" w:type="dxa"/>
            </w:tcMar>
          </w:tcPr>
          <w:p w14:paraId="0C32717F" w14:textId="77777777" w:rsidR="00881319" w:rsidRPr="00B75955" w:rsidRDefault="00881319" w:rsidP="00881319">
            <w:pPr>
              <w:jc w:val="right"/>
              <w:rPr>
                <w:sz w:val="20"/>
                <w:szCs w:val="20"/>
                <w:lang w:val="en-CA"/>
              </w:rPr>
            </w:pPr>
            <w:r w:rsidRPr="00B75955">
              <w:rPr>
                <w:sz w:val="20"/>
                <w:szCs w:val="20"/>
                <w:lang w:val="en-CA"/>
              </w:rPr>
              <w:t>1,540,000</w:t>
            </w:r>
          </w:p>
        </w:tc>
      </w:tr>
      <w:tr w:rsidR="00881319" w:rsidRPr="00B75955" w14:paraId="4FCD34B7" w14:textId="77777777" w:rsidTr="00881319">
        <w:tc>
          <w:tcPr>
            <w:tcW w:w="18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18980" w14:textId="77777777" w:rsidR="00881319" w:rsidRPr="00B75955" w:rsidRDefault="00881319" w:rsidP="00881319">
            <w:pPr>
              <w:jc w:val="left"/>
              <w:rPr>
                <w:b/>
                <w:bCs/>
                <w:color w:val="000000"/>
                <w:sz w:val="20"/>
                <w:szCs w:val="20"/>
                <w:lang w:val="en-CA"/>
              </w:rPr>
            </w:pPr>
            <w:r w:rsidRPr="00B75955">
              <w:rPr>
                <w:b/>
                <w:bCs/>
                <w:color w:val="000000"/>
                <w:sz w:val="20"/>
                <w:szCs w:val="20"/>
                <w:lang w:val="en-CA"/>
              </w:rPr>
              <w:t>Total</w:t>
            </w:r>
          </w:p>
        </w:tc>
        <w:tc>
          <w:tcPr>
            <w:tcW w:w="1041" w:type="pct"/>
            <w:tcBorders>
              <w:top w:val="single" w:sz="4" w:space="0" w:color="auto"/>
              <w:left w:val="nil"/>
              <w:bottom w:val="single" w:sz="4" w:space="0" w:color="auto"/>
              <w:right w:val="single" w:sz="4" w:space="0" w:color="auto"/>
            </w:tcBorders>
            <w:shd w:val="clear" w:color="auto" w:fill="auto"/>
            <w:noWrap/>
            <w:tcMar>
              <w:left w:w="115" w:type="dxa"/>
              <w:right w:w="216" w:type="dxa"/>
            </w:tcMar>
            <w:hideMark/>
          </w:tcPr>
          <w:p w14:paraId="17F4D895" w14:textId="77777777" w:rsidR="00881319" w:rsidRPr="00B75955" w:rsidRDefault="00881319" w:rsidP="00881319">
            <w:pPr>
              <w:jc w:val="right"/>
              <w:rPr>
                <w:b/>
                <w:bCs/>
                <w:color w:val="000000"/>
                <w:sz w:val="20"/>
                <w:szCs w:val="20"/>
                <w:lang w:val="en-CA"/>
              </w:rPr>
            </w:pPr>
            <w:r w:rsidRPr="00B75955">
              <w:rPr>
                <w:b/>
                <w:bCs/>
                <w:color w:val="000000"/>
                <w:sz w:val="20"/>
                <w:szCs w:val="20"/>
                <w:lang w:val="en-CA"/>
              </w:rPr>
              <w:t>82,769,890</w:t>
            </w:r>
          </w:p>
        </w:tc>
        <w:tc>
          <w:tcPr>
            <w:tcW w:w="1042" w:type="pct"/>
            <w:tcBorders>
              <w:top w:val="single" w:sz="4" w:space="0" w:color="auto"/>
              <w:left w:val="nil"/>
              <w:bottom w:val="single" w:sz="4" w:space="0" w:color="auto"/>
              <w:right w:val="single" w:sz="4" w:space="0" w:color="auto"/>
            </w:tcBorders>
            <w:shd w:val="clear" w:color="auto" w:fill="auto"/>
            <w:noWrap/>
            <w:tcMar>
              <w:left w:w="115" w:type="dxa"/>
              <w:right w:w="216" w:type="dxa"/>
            </w:tcMar>
            <w:hideMark/>
          </w:tcPr>
          <w:p w14:paraId="272580E1" w14:textId="77777777" w:rsidR="00881319" w:rsidRPr="00B75955" w:rsidRDefault="00881319" w:rsidP="00881319">
            <w:pPr>
              <w:jc w:val="right"/>
              <w:rPr>
                <w:b/>
                <w:bCs/>
                <w:color w:val="000000"/>
                <w:sz w:val="20"/>
                <w:szCs w:val="20"/>
                <w:lang w:val="en-CA"/>
              </w:rPr>
            </w:pPr>
            <w:r w:rsidRPr="00B75955">
              <w:rPr>
                <w:b/>
                <w:bCs/>
                <w:color w:val="000000"/>
                <w:sz w:val="20"/>
                <w:szCs w:val="20"/>
                <w:lang w:val="en-CA"/>
              </w:rPr>
              <w:t>26,609,531</w:t>
            </w:r>
          </w:p>
        </w:tc>
        <w:tc>
          <w:tcPr>
            <w:tcW w:w="1043" w:type="pct"/>
            <w:tcBorders>
              <w:top w:val="single" w:sz="4" w:space="0" w:color="auto"/>
              <w:left w:val="nil"/>
              <w:bottom w:val="single" w:sz="4" w:space="0" w:color="auto"/>
              <w:right w:val="single" w:sz="4" w:space="0" w:color="auto"/>
            </w:tcBorders>
            <w:shd w:val="clear" w:color="auto" w:fill="auto"/>
            <w:noWrap/>
            <w:tcMar>
              <w:left w:w="115" w:type="dxa"/>
              <w:right w:w="216" w:type="dxa"/>
            </w:tcMar>
            <w:hideMark/>
          </w:tcPr>
          <w:p w14:paraId="64CE0CC8" w14:textId="77777777" w:rsidR="00881319" w:rsidRPr="00B75955" w:rsidRDefault="00881319" w:rsidP="00881319">
            <w:pPr>
              <w:jc w:val="right"/>
              <w:rPr>
                <w:b/>
                <w:bCs/>
                <w:color w:val="000000"/>
                <w:sz w:val="20"/>
                <w:szCs w:val="20"/>
                <w:lang w:val="en-CA"/>
              </w:rPr>
            </w:pPr>
            <w:r w:rsidRPr="00B75955">
              <w:rPr>
                <w:b/>
                <w:bCs/>
                <w:color w:val="000000"/>
                <w:sz w:val="20"/>
                <w:szCs w:val="20"/>
                <w:lang w:val="en-CA"/>
              </w:rPr>
              <w:t>14,442,176</w:t>
            </w:r>
          </w:p>
        </w:tc>
      </w:tr>
    </w:tbl>
    <w:p w14:paraId="0E6C2514" w14:textId="77777777" w:rsidR="00881319" w:rsidRPr="00B75955" w:rsidRDefault="00881319" w:rsidP="00881319">
      <w:pPr>
        <w:jc w:val="left"/>
        <w:rPr>
          <w:sz w:val="16"/>
          <w:szCs w:val="16"/>
          <w:lang w:val="en-CA"/>
        </w:rPr>
      </w:pPr>
      <w:r w:rsidRPr="00B75955">
        <w:rPr>
          <w:sz w:val="16"/>
          <w:szCs w:val="16"/>
          <w:lang w:val="en-CA"/>
        </w:rPr>
        <w:t>*Including the second tranche approved at the 80</w:t>
      </w:r>
      <w:r w:rsidRPr="00B75955">
        <w:rPr>
          <w:sz w:val="16"/>
          <w:szCs w:val="16"/>
          <w:vertAlign w:val="superscript"/>
          <w:lang w:val="en-CA"/>
        </w:rPr>
        <w:t>th</w:t>
      </w:r>
      <w:r w:rsidRPr="00B75955">
        <w:rPr>
          <w:sz w:val="16"/>
          <w:szCs w:val="16"/>
          <w:lang w:val="en-CA"/>
        </w:rPr>
        <w:t> meeting.</w:t>
      </w:r>
    </w:p>
    <w:p w14:paraId="65D72683" w14:textId="77777777" w:rsidR="00881319" w:rsidRPr="00B75955" w:rsidRDefault="00881319" w:rsidP="00881319">
      <w:pPr>
        <w:keepNext/>
        <w:keepLines/>
        <w:jc w:val="left"/>
        <w:rPr>
          <w:b/>
          <w:highlight w:val="cyan"/>
          <w:lang w:val="en-CA"/>
        </w:rPr>
      </w:pPr>
    </w:p>
    <w:p w14:paraId="09ED5CEA" w14:textId="77777777" w:rsidR="00881319" w:rsidRPr="00B75955" w:rsidRDefault="00881319" w:rsidP="00881319">
      <w:pPr>
        <w:pStyle w:val="Heading1"/>
        <w:rPr>
          <w:color w:val="000000"/>
          <w:lang w:val="en-CA"/>
        </w:rPr>
      </w:pPr>
      <w:r w:rsidRPr="00B75955">
        <w:rPr>
          <w:lang w:val="en-CA"/>
        </w:rPr>
        <w:t>With regard to the sector plans for which funding is being requested at the 81</w:t>
      </w:r>
      <w:r w:rsidRPr="00B75955">
        <w:rPr>
          <w:vertAlign w:val="superscript"/>
          <w:lang w:val="en-CA"/>
        </w:rPr>
        <w:t>st</w:t>
      </w:r>
      <w:r w:rsidRPr="00B75955">
        <w:rPr>
          <w:lang w:val="en-CA"/>
        </w:rPr>
        <w:t xml:space="preserve"> meeting, at the time of submission of the requests, the rate of disbursement of funding from FECO to beneficiaries was above 20 per cent in the RAC sector and </w:t>
      </w:r>
      <w:r w:rsidRPr="00B75955">
        <w:rPr>
          <w:color w:val="000000"/>
          <w:lang w:val="en-CA"/>
        </w:rPr>
        <w:t xml:space="preserve">the refrigeration servicing sector. </w:t>
      </w:r>
    </w:p>
    <w:p w14:paraId="72123101" w14:textId="77777777" w:rsidR="00881319" w:rsidRPr="00B75955" w:rsidRDefault="00881319" w:rsidP="00881319">
      <w:pPr>
        <w:pStyle w:val="Heading1"/>
        <w:numPr>
          <w:ilvl w:val="0"/>
          <w:numId w:val="0"/>
        </w:numPr>
        <w:rPr>
          <w:lang w:val="en-CA"/>
        </w:rPr>
      </w:pPr>
      <w:r w:rsidRPr="00B75955">
        <w:rPr>
          <w:u w:val="single"/>
          <w:lang w:val="en-CA"/>
        </w:rPr>
        <w:t>Interest accrued</w:t>
      </w:r>
    </w:p>
    <w:p w14:paraId="3EEEF5D0" w14:textId="77777777" w:rsidR="00881319" w:rsidRPr="00B75955" w:rsidRDefault="00881319" w:rsidP="00881319">
      <w:pPr>
        <w:pStyle w:val="Heading1"/>
        <w:rPr>
          <w:lang w:val="en-CA"/>
        </w:rPr>
      </w:pPr>
      <w:r w:rsidRPr="00B75955">
        <w:rPr>
          <w:lang w:val="en-CA"/>
        </w:rPr>
        <w:t>Information on the interest accrued on the funding approved for the sector plans of the HPMP for China has been provided at every last meeting of the year following the commissioning of a financial audit. UNDP has explained that, at the time of the submission deadline (March 2018), FECO had just finished its final accounting for the year 2017 and had not yet been able to conduct the financial audit on the disbursement and interest accrued for the HPMPs. Accordingly, it has confirmed that information on the interest accrued in 2017 will be submitted at the 82</w:t>
      </w:r>
      <w:r w:rsidRPr="00B75955">
        <w:rPr>
          <w:vertAlign w:val="superscript"/>
          <w:lang w:val="en-CA"/>
        </w:rPr>
        <w:t>nd</w:t>
      </w:r>
      <w:r w:rsidRPr="00B75955">
        <w:rPr>
          <w:lang w:val="en-CA"/>
        </w:rPr>
        <w:t> meeting.</w:t>
      </w:r>
    </w:p>
    <w:p w14:paraId="70590F8A" w14:textId="77777777" w:rsidR="00881319" w:rsidRPr="00B75955" w:rsidRDefault="00881319" w:rsidP="00881319">
      <w:pPr>
        <w:keepNext/>
        <w:keepLines/>
        <w:rPr>
          <w:u w:val="single"/>
          <w:lang w:val="en-CA"/>
        </w:rPr>
      </w:pPr>
      <w:r w:rsidRPr="00B75955">
        <w:rPr>
          <w:u w:val="single"/>
          <w:lang w:val="en-CA"/>
        </w:rPr>
        <w:t>Agency support costs</w:t>
      </w:r>
    </w:p>
    <w:p w14:paraId="23B61F50" w14:textId="77777777" w:rsidR="00881319" w:rsidRPr="00B75955" w:rsidRDefault="00881319" w:rsidP="00881319">
      <w:pPr>
        <w:keepNext/>
        <w:keepLines/>
        <w:rPr>
          <w:u w:val="single"/>
          <w:lang w:val="en-CA"/>
        </w:rPr>
      </w:pPr>
    </w:p>
    <w:p w14:paraId="1CDC1569" w14:textId="77777777" w:rsidR="00881319" w:rsidRPr="00B75955" w:rsidRDefault="00881319" w:rsidP="00881319">
      <w:pPr>
        <w:pStyle w:val="Heading1"/>
        <w:rPr>
          <w:lang w:val="en-CA"/>
        </w:rPr>
      </w:pPr>
      <w:r w:rsidRPr="00B75955">
        <w:rPr>
          <w:lang w:val="en-CA"/>
        </w:rPr>
        <w:t>In approving the Agreement for stage II of the HPMP for China, the Executive Committee decided to set the agency support costs for UNDP, UNIDO, and the World Bank at 6.5 per cent, on the understanding that those costs could be reconsidered at the 81</w:t>
      </w:r>
      <w:r w:rsidRPr="00B75955">
        <w:rPr>
          <w:vertAlign w:val="superscript"/>
          <w:lang w:val="en-CA"/>
        </w:rPr>
        <w:t>st</w:t>
      </w:r>
      <w:r w:rsidRPr="00B75955">
        <w:rPr>
          <w:lang w:val="en-CA"/>
        </w:rPr>
        <w:t xml:space="preserve"> meeting, and maintained the agency support </w:t>
      </w:r>
      <w:r w:rsidRPr="00B75955">
        <w:rPr>
          <w:lang w:val="en-CA"/>
        </w:rPr>
        <w:lastRenderedPageBreak/>
        <w:t xml:space="preserve">costs for the bilateral agencies and UNEP at the level stipulated by the administrative cost regime in force (decision 79/35). </w:t>
      </w:r>
    </w:p>
    <w:p w14:paraId="422E0C59" w14:textId="77777777" w:rsidR="00881319" w:rsidRPr="00B75955" w:rsidRDefault="00881319" w:rsidP="00881319">
      <w:pPr>
        <w:pStyle w:val="Heading1"/>
        <w:rPr>
          <w:lang w:val="en-CA"/>
        </w:rPr>
      </w:pPr>
      <w:r w:rsidRPr="00B75955">
        <w:rPr>
          <w:lang w:val="en-CA"/>
        </w:rPr>
        <w:t>At the 79</w:t>
      </w:r>
      <w:r w:rsidRPr="00B75955">
        <w:rPr>
          <w:vertAlign w:val="superscript"/>
          <w:lang w:val="en-CA"/>
        </w:rPr>
        <w:t>th</w:t>
      </w:r>
      <w:r w:rsidRPr="00B75955">
        <w:rPr>
          <w:lang w:val="en-CA"/>
        </w:rPr>
        <w:t> meeting, during the discussion of this matter, UNIDO, speaking on behalf of the three implementing agencies, said that the decision to place the agency support costs at 6.5 per cent had not involved any cost analysis and that the analysis by the Secretariat in document UNEP/</w:t>
      </w:r>
      <w:proofErr w:type="spellStart"/>
      <w:r w:rsidRPr="00B75955">
        <w:rPr>
          <w:lang w:val="en-CA"/>
        </w:rPr>
        <w:t>OzL.Pro</w:t>
      </w:r>
      <w:proofErr w:type="spellEnd"/>
      <w:r w:rsidRPr="00B75955">
        <w:rPr>
          <w:lang w:val="en-CA"/>
        </w:rPr>
        <w:t>/</w:t>
      </w:r>
      <w:proofErr w:type="spellStart"/>
      <w:r w:rsidRPr="00B75955">
        <w:rPr>
          <w:lang w:val="en-CA"/>
        </w:rPr>
        <w:t>ExCom</w:t>
      </w:r>
      <w:proofErr w:type="spellEnd"/>
      <w:r w:rsidRPr="00B75955">
        <w:rPr>
          <w:lang w:val="en-CA"/>
        </w:rPr>
        <w:t>/79/43 had recommended retaining the level used for the final tranches of stage I of the HPMP for China. The implementing agencies did not agree, therefore, with the change in overhead costs, but noted with appreciation the flexibility of the Executive Committee in agreeing to renewed discussion of the level of support costs at its 81</w:t>
      </w:r>
      <w:r w:rsidRPr="00B75955">
        <w:rPr>
          <w:vertAlign w:val="superscript"/>
          <w:lang w:val="en-CA"/>
        </w:rPr>
        <w:t>st</w:t>
      </w:r>
      <w:r w:rsidRPr="00B75955">
        <w:rPr>
          <w:lang w:val="en-CA"/>
        </w:rPr>
        <w:t> meeting.</w:t>
      </w:r>
      <w:r w:rsidRPr="00B75955">
        <w:rPr>
          <w:rStyle w:val="FootnoteReference"/>
          <w:lang w:val="en-CA"/>
        </w:rPr>
        <w:footnoteReference w:id="13"/>
      </w:r>
      <w:r w:rsidRPr="00B75955">
        <w:rPr>
          <w:lang w:val="en-CA"/>
        </w:rPr>
        <w:t xml:space="preserve"> </w:t>
      </w:r>
    </w:p>
    <w:p w14:paraId="7B9C9CCD" w14:textId="77777777" w:rsidR="00881319" w:rsidRPr="00B75955" w:rsidRDefault="00881319" w:rsidP="00881319">
      <w:pPr>
        <w:pStyle w:val="Heading1"/>
        <w:rPr>
          <w:lang w:val="en-CA"/>
        </w:rPr>
      </w:pPr>
      <w:r w:rsidRPr="00B75955">
        <w:rPr>
          <w:lang w:val="en-CA"/>
        </w:rPr>
        <w:t>At its 80</w:t>
      </w:r>
      <w:r w:rsidRPr="00B75955">
        <w:rPr>
          <w:vertAlign w:val="superscript"/>
          <w:lang w:val="en-CA"/>
        </w:rPr>
        <w:t>th</w:t>
      </w:r>
      <w:r w:rsidRPr="00B75955">
        <w:rPr>
          <w:lang w:val="en-CA"/>
        </w:rPr>
        <w:t> meeting, the Executive Committee approved the second tranches for the XPS foam, ICR and solvent sectors with agency support costs of 6.5 per cent and recalled that, in line with decision 79/35, the agency support costs with respect to the second tranche of each sector plan could be reconsidered at the 81</w:t>
      </w:r>
      <w:r w:rsidRPr="00B75955">
        <w:rPr>
          <w:vertAlign w:val="superscript"/>
          <w:lang w:val="en-CA"/>
        </w:rPr>
        <w:t>st</w:t>
      </w:r>
      <w:r w:rsidRPr="00B75955">
        <w:rPr>
          <w:lang w:val="en-CA"/>
        </w:rPr>
        <w:t> meeting.</w:t>
      </w:r>
    </w:p>
    <w:p w14:paraId="423868F2" w14:textId="77777777" w:rsidR="00881319" w:rsidRPr="00B75955" w:rsidRDefault="00881319" w:rsidP="00881319">
      <w:pPr>
        <w:pStyle w:val="Heading1"/>
        <w:rPr>
          <w:lang w:val="en-CA"/>
        </w:rPr>
      </w:pPr>
      <w:r w:rsidRPr="00B75955">
        <w:rPr>
          <w:lang w:val="en-CA"/>
        </w:rPr>
        <w:t>UNIDO has resubmitted to the 81</w:t>
      </w:r>
      <w:r w:rsidRPr="00B75955">
        <w:rPr>
          <w:vertAlign w:val="superscript"/>
          <w:lang w:val="en-CA"/>
        </w:rPr>
        <w:t>st</w:t>
      </w:r>
      <w:r w:rsidRPr="00B75955">
        <w:rPr>
          <w:lang w:val="en-CA"/>
        </w:rPr>
        <w:t xml:space="preserve"> meeting, the request for the second tranche of the RAC sector plan with agency support costs of 7.0 per cent. However, in line with decision 79/35 the Secretariat adjusted the agency support costs for UNIDO at 6.5 per cent. </w:t>
      </w:r>
    </w:p>
    <w:p w14:paraId="091EEB27" w14:textId="77777777" w:rsidR="00881319" w:rsidRPr="00B75955" w:rsidRDefault="00881319" w:rsidP="00881319">
      <w:pPr>
        <w:pStyle w:val="Heading1"/>
        <w:rPr>
          <w:lang w:val="en-CA"/>
        </w:rPr>
      </w:pPr>
      <w:r w:rsidRPr="00B75955">
        <w:rPr>
          <w:lang w:val="en-CA"/>
        </w:rPr>
        <w:t>In light with decision 79/35(b), the Executive Committee may wish to reconsider the level of the agency support costs for UNDP, UNIDO and the World Bank for stage II of the HPMP for China. It is the Executive Committee’ prerogative whether it adjusts the agency support costs associated with the second (and future) tranches of all the sector plans of stage II of the HPMP for China, including the XPS foam, ICR and solvent sector plans approved in 2017; the RAC sector plan submitted to the 81</w:t>
      </w:r>
      <w:r w:rsidRPr="00B75955">
        <w:rPr>
          <w:vertAlign w:val="superscript"/>
          <w:lang w:val="en-CA"/>
        </w:rPr>
        <w:t>st</w:t>
      </w:r>
      <w:r w:rsidRPr="00B75955">
        <w:rPr>
          <w:lang w:val="en-CA"/>
        </w:rPr>
        <w:t> meeting; and the PU foam sector plan to be submitted to the 82</w:t>
      </w:r>
      <w:r w:rsidRPr="00B75955">
        <w:rPr>
          <w:vertAlign w:val="superscript"/>
          <w:lang w:val="en-CA"/>
        </w:rPr>
        <w:t>nd</w:t>
      </w:r>
      <w:r w:rsidRPr="00B75955">
        <w:rPr>
          <w:lang w:val="en-CA"/>
        </w:rPr>
        <w:t xml:space="preserve"> meeting. Unless otherwise specified, any decision by the Executive Committee to change the agency support costs would apply only to tranches approved at subsequent meetings. The Secretariat would like to note the need to treat agencies equitably. </w:t>
      </w:r>
    </w:p>
    <w:p w14:paraId="022FE57A" w14:textId="77777777" w:rsidR="00881319" w:rsidRPr="00B75955" w:rsidRDefault="00881319" w:rsidP="00881319">
      <w:pPr>
        <w:keepNext/>
        <w:keepLines/>
        <w:rPr>
          <w:u w:val="single"/>
          <w:lang w:val="en-CA"/>
        </w:rPr>
      </w:pPr>
      <w:r w:rsidRPr="00B75955">
        <w:rPr>
          <w:u w:val="single"/>
          <w:lang w:val="en-CA"/>
        </w:rPr>
        <w:t xml:space="preserve">Annual report on the PMU </w:t>
      </w:r>
    </w:p>
    <w:p w14:paraId="0283368A" w14:textId="77777777" w:rsidR="00881319" w:rsidRPr="00B75955" w:rsidRDefault="00881319" w:rsidP="00881319">
      <w:pPr>
        <w:keepNext/>
        <w:keepLines/>
        <w:rPr>
          <w:u w:val="single"/>
          <w:lang w:val="en-CA"/>
        </w:rPr>
      </w:pPr>
    </w:p>
    <w:p w14:paraId="0EDB31D5" w14:textId="22EB6275" w:rsidR="00881319" w:rsidRPr="00181DEB" w:rsidRDefault="00881319" w:rsidP="00181DEB">
      <w:pPr>
        <w:pStyle w:val="Heading1"/>
        <w:rPr>
          <w:lang w:val="en-CA"/>
        </w:rPr>
      </w:pPr>
      <w:r w:rsidRPr="00B75955">
        <w:rPr>
          <w:lang w:val="en-CA"/>
        </w:rPr>
        <w:t>At the 80</w:t>
      </w:r>
      <w:r w:rsidRPr="00B75955">
        <w:rPr>
          <w:vertAlign w:val="superscript"/>
          <w:lang w:val="en-CA"/>
        </w:rPr>
        <w:t>th</w:t>
      </w:r>
      <w:r w:rsidRPr="00B75955">
        <w:rPr>
          <w:lang w:val="en-CA"/>
        </w:rPr>
        <w:t> meeting, the Executive Committee requested the Secretariat to work with the Government of China through UNDP, as the lead implementing agency of the HPMP, and through the World Bank, as the lead implementing agency of the HPPMP, to develop, by the 81</w:t>
      </w:r>
      <w:r w:rsidRPr="00B75955">
        <w:rPr>
          <w:vertAlign w:val="superscript"/>
          <w:lang w:val="en-CA"/>
        </w:rPr>
        <w:t>st</w:t>
      </w:r>
      <w:r w:rsidRPr="00B75955">
        <w:rPr>
          <w:lang w:val="en-CA"/>
        </w:rPr>
        <w:t xml:space="preserve"> meeting, a financial reporting format for annual PMU expenditures in relation to the production and consumption sectors (decision 80/80). </w:t>
      </w:r>
      <w:r w:rsidR="00181DEB">
        <w:rPr>
          <w:lang w:val="en-CA"/>
        </w:rPr>
        <w:t>The d</w:t>
      </w:r>
      <w:r w:rsidR="00181DEB" w:rsidRPr="00181DEB">
        <w:rPr>
          <w:lang w:val="en-CA"/>
        </w:rPr>
        <w:t xml:space="preserve">raft financial reporting format for annual project management unit expenditures for the </w:t>
      </w:r>
      <w:r w:rsidR="00181DEB">
        <w:rPr>
          <w:lang w:val="en-CA"/>
        </w:rPr>
        <w:t>HPMP and HPPMP is contained in paragraphs</w:t>
      </w:r>
      <w:r w:rsidR="00ED1D90">
        <w:rPr>
          <w:lang w:val="en-CA"/>
        </w:rPr>
        <w:t> 136</w:t>
      </w:r>
      <w:r w:rsidR="00181DEB">
        <w:rPr>
          <w:lang w:val="en-CA"/>
        </w:rPr>
        <w:t xml:space="preserve"> to </w:t>
      </w:r>
      <w:r w:rsidR="00ED1D90">
        <w:rPr>
          <w:lang w:val="en-CA"/>
        </w:rPr>
        <w:t>159</w:t>
      </w:r>
      <w:r w:rsidR="00181DEB">
        <w:rPr>
          <w:lang w:val="en-CA"/>
        </w:rPr>
        <w:t xml:space="preserve"> of the present document. </w:t>
      </w:r>
    </w:p>
    <w:p w14:paraId="0A138063" w14:textId="77777777" w:rsidR="00881319" w:rsidRPr="00B75955" w:rsidRDefault="00881319" w:rsidP="00881319">
      <w:pPr>
        <w:rPr>
          <w:u w:val="single"/>
          <w:lang w:val="en-CA"/>
        </w:rPr>
      </w:pPr>
      <w:r w:rsidRPr="00B75955">
        <w:rPr>
          <w:u w:val="single"/>
          <w:lang w:val="en-CA"/>
        </w:rPr>
        <w:t>Revision of the Agreement for stage II of the HPMP for China</w:t>
      </w:r>
    </w:p>
    <w:p w14:paraId="29311ECC" w14:textId="77777777" w:rsidR="00881319" w:rsidRPr="00B75955" w:rsidRDefault="00881319" w:rsidP="00881319">
      <w:pPr>
        <w:rPr>
          <w:u w:val="single"/>
          <w:lang w:val="en-CA"/>
        </w:rPr>
      </w:pPr>
    </w:p>
    <w:p w14:paraId="5C7740DD" w14:textId="77777777" w:rsidR="00881319" w:rsidRPr="00B75955" w:rsidRDefault="00881319" w:rsidP="00881319">
      <w:pPr>
        <w:pStyle w:val="Heading1"/>
        <w:rPr>
          <w:lang w:val="en-CA"/>
        </w:rPr>
      </w:pPr>
      <w:r w:rsidRPr="00B75955">
        <w:rPr>
          <w:lang w:val="en-CA"/>
        </w:rPr>
        <w:t xml:space="preserve">The Secretariat notes that the Agreement between the Government of China and the Executive Committee for stage II of the HPMP would need to be revised to, </w:t>
      </w:r>
      <w:r w:rsidRPr="00B75955">
        <w:rPr>
          <w:i/>
          <w:lang w:val="en-CA"/>
        </w:rPr>
        <w:t xml:space="preserve">inter alia¸ </w:t>
      </w:r>
      <w:r w:rsidRPr="00B75955">
        <w:rPr>
          <w:lang w:val="en-CA"/>
        </w:rPr>
        <w:t>include the level of the agency support costs that the Executive Committee might decide at the 81</w:t>
      </w:r>
      <w:r w:rsidRPr="00B75955">
        <w:rPr>
          <w:vertAlign w:val="superscript"/>
          <w:lang w:val="en-CA"/>
        </w:rPr>
        <w:t>st</w:t>
      </w:r>
      <w:r w:rsidRPr="00B75955">
        <w:rPr>
          <w:lang w:val="en-CA"/>
        </w:rPr>
        <w:t> meeting. The Secretariat also notes that the second tranche of the PU foam sector plan planned for submission in 2018, would only be submitted to the 82</w:t>
      </w:r>
      <w:r w:rsidRPr="00B75955">
        <w:rPr>
          <w:vertAlign w:val="superscript"/>
          <w:lang w:val="en-CA"/>
        </w:rPr>
        <w:t>nd</w:t>
      </w:r>
      <w:r w:rsidRPr="00B75955">
        <w:rPr>
          <w:lang w:val="en-CA"/>
        </w:rPr>
        <w:t xml:space="preserve"> meeting; accordingly, the funding for the third tranche planned in 2018 would need to be deferred to 2019, resulting in changes to the distribution of the overall funding of stage II of the HPMP. </w:t>
      </w:r>
    </w:p>
    <w:p w14:paraId="6600466F" w14:textId="77777777" w:rsidR="00881319" w:rsidRPr="00B75955" w:rsidRDefault="00881319" w:rsidP="00881319">
      <w:pPr>
        <w:pStyle w:val="Heading1"/>
        <w:rPr>
          <w:lang w:val="en-CA"/>
        </w:rPr>
      </w:pPr>
      <w:r w:rsidRPr="00B75955">
        <w:rPr>
          <w:lang w:val="en-CA"/>
        </w:rPr>
        <w:t>Accordingly, the Secretariat would like to suggest that the Executive Committee considers the revision to the Agreement for stage II of the HPMP at its 82</w:t>
      </w:r>
      <w:r w:rsidRPr="00B75955">
        <w:rPr>
          <w:vertAlign w:val="superscript"/>
          <w:lang w:val="en-CA"/>
        </w:rPr>
        <w:t>nd</w:t>
      </w:r>
      <w:r w:rsidRPr="00B75955">
        <w:rPr>
          <w:lang w:val="en-CA"/>
        </w:rPr>
        <w:t> meeting, together with the submission of relevant tranches of sector plans.</w:t>
      </w:r>
    </w:p>
    <w:p w14:paraId="339AFC99" w14:textId="77777777" w:rsidR="00881319" w:rsidRPr="00B75955" w:rsidRDefault="00881319" w:rsidP="00881319">
      <w:pPr>
        <w:rPr>
          <w:u w:val="single"/>
          <w:lang w:val="en-CA"/>
        </w:rPr>
      </w:pPr>
      <w:r w:rsidRPr="00B75955">
        <w:rPr>
          <w:u w:val="single"/>
          <w:lang w:val="en-CA"/>
        </w:rPr>
        <w:lastRenderedPageBreak/>
        <w:t>Tranche progress reports and funding requests</w:t>
      </w:r>
    </w:p>
    <w:p w14:paraId="5BD93F1D" w14:textId="77777777" w:rsidR="00881319" w:rsidRPr="00B75955" w:rsidRDefault="00881319" w:rsidP="00881319">
      <w:pPr>
        <w:rPr>
          <w:u w:val="single"/>
          <w:lang w:val="en-CA"/>
        </w:rPr>
      </w:pPr>
    </w:p>
    <w:p w14:paraId="38572AF4" w14:textId="77777777" w:rsidR="00881319" w:rsidRPr="00B75955" w:rsidRDefault="00881319" w:rsidP="00881319">
      <w:pPr>
        <w:pStyle w:val="Heading1"/>
        <w:rPr>
          <w:lang w:val="en-CA"/>
        </w:rPr>
      </w:pPr>
      <w:r w:rsidRPr="00B75955">
        <w:rPr>
          <w:lang w:val="en-CA"/>
        </w:rPr>
        <w:t>Stand-alone progress reports on the implementation of the RAC and refrigeration servicing sector plans and requests for funding for the second tranches follow this Note by the Secretariat. Each report contains: progress in the implementation of the first tranche; the level of fund disbursement; the implementation plans for the second tranches; comments by the Fund Secretariat; and the recommendations.</w:t>
      </w:r>
    </w:p>
    <w:p w14:paraId="44CD6B0D" w14:textId="77777777" w:rsidR="00881319" w:rsidRPr="00B75955" w:rsidRDefault="00881319">
      <w:pPr>
        <w:jc w:val="left"/>
        <w:rPr>
          <w:lang w:val="en-CA"/>
        </w:rPr>
      </w:pPr>
    </w:p>
    <w:p w14:paraId="616B2B55" w14:textId="77777777" w:rsidR="00881319" w:rsidRPr="00B75955" w:rsidRDefault="00881319">
      <w:pPr>
        <w:jc w:val="left"/>
        <w:rPr>
          <w:lang w:val="en-CA"/>
        </w:rPr>
      </w:pPr>
    </w:p>
    <w:p w14:paraId="106FB1B6" w14:textId="77777777" w:rsidR="00881319" w:rsidRPr="00B75955" w:rsidRDefault="00881319">
      <w:pPr>
        <w:jc w:val="left"/>
        <w:rPr>
          <w:lang w:val="en-CA"/>
        </w:rPr>
      </w:pPr>
    </w:p>
    <w:p w14:paraId="45AA64B4" w14:textId="77777777" w:rsidR="00881319" w:rsidRPr="00B75955" w:rsidRDefault="00881319">
      <w:pPr>
        <w:jc w:val="left"/>
        <w:rPr>
          <w:lang w:val="en-CA"/>
        </w:rPr>
      </w:pPr>
    </w:p>
    <w:p w14:paraId="23595EFD" w14:textId="0EE015A0" w:rsidR="00881319" w:rsidRPr="00B75955" w:rsidRDefault="00881319">
      <w:pPr>
        <w:jc w:val="left"/>
        <w:rPr>
          <w:lang w:val="en-CA"/>
        </w:rPr>
      </w:pPr>
      <w:r w:rsidRPr="00B75955">
        <w:rPr>
          <w:lang w:val="en-CA"/>
        </w:rPr>
        <w:br w:type="page"/>
      </w:r>
    </w:p>
    <w:p w14:paraId="4016088B" w14:textId="77777777" w:rsidR="005D0C02" w:rsidRPr="00B75955" w:rsidRDefault="005D0C02" w:rsidP="005D0C02">
      <w:pPr>
        <w:jc w:val="left"/>
        <w:rPr>
          <w:lang w:val="en-CA"/>
        </w:rPr>
      </w:pPr>
    </w:p>
    <w:p w14:paraId="479C1EA9" w14:textId="58F2D5A8" w:rsidR="008A4C7A" w:rsidRPr="00B75955" w:rsidRDefault="008A4C7A" w:rsidP="008A4C7A">
      <w:pPr>
        <w:jc w:val="center"/>
        <w:rPr>
          <w:b/>
          <w:lang w:val="en-CA"/>
        </w:rPr>
      </w:pPr>
      <w:r w:rsidRPr="00B75955">
        <w:rPr>
          <w:b/>
          <w:lang w:val="en-CA"/>
        </w:rPr>
        <w:t>PROJECT EVALUATION SHEET – MULTI-YEAR PROJECTS</w:t>
      </w:r>
    </w:p>
    <w:p w14:paraId="4B512032" w14:textId="77777777" w:rsidR="008A4C7A" w:rsidRPr="00B75955" w:rsidRDefault="008A4C7A" w:rsidP="008A4C7A">
      <w:pPr>
        <w:jc w:val="center"/>
        <w:rPr>
          <w:b/>
          <w:lang w:val="en-CA"/>
        </w:rPr>
      </w:pPr>
    </w:p>
    <w:p w14:paraId="024D0019" w14:textId="77777777" w:rsidR="008A4C7A" w:rsidRPr="00B75955" w:rsidRDefault="008A4C7A" w:rsidP="008A4C7A">
      <w:pPr>
        <w:jc w:val="center"/>
        <w:rPr>
          <w:b/>
          <w:lang w:val="en-CA"/>
        </w:rPr>
      </w:pPr>
      <w:r w:rsidRPr="00B75955">
        <w:rPr>
          <w:b/>
          <w:lang w:val="en-CA"/>
        </w:rPr>
        <w:t>China</w:t>
      </w:r>
    </w:p>
    <w:p w14:paraId="5F098211" w14:textId="77777777" w:rsidR="008A4C7A" w:rsidRPr="00B75955" w:rsidRDefault="008A4C7A" w:rsidP="008A4C7A">
      <w:pPr>
        <w:jc w:val="center"/>
        <w:rPr>
          <w:lang w:val="en-CA"/>
        </w:rPr>
      </w:pPr>
      <w:r w:rsidRPr="00B75955">
        <w:rPr>
          <w:b/>
          <w:lang w:val="en-CA"/>
        </w:rPr>
        <w:t xml:space="preserve"> </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65"/>
        <w:gridCol w:w="2033"/>
        <w:gridCol w:w="2501"/>
        <w:gridCol w:w="2501"/>
      </w:tblGrid>
      <w:tr w:rsidR="008A4C7A" w:rsidRPr="00B75955" w14:paraId="74A24F45" w14:textId="77777777" w:rsidTr="008A4C7A">
        <w:trPr>
          <w:trHeight w:val="240"/>
        </w:trPr>
        <w:tc>
          <w:tcPr>
            <w:tcW w:w="2965" w:type="dxa"/>
            <w:shd w:val="clear" w:color="auto" w:fill="auto"/>
          </w:tcPr>
          <w:p w14:paraId="0ACFAEDB" w14:textId="77777777" w:rsidR="008A4C7A" w:rsidRPr="00B75955" w:rsidRDefault="008A4C7A" w:rsidP="008A4C7A">
            <w:pPr>
              <w:spacing w:after="80"/>
              <w:jc w:val="left"/>
              <w:rPr>
                <w:b/>
                <w:sz w:val="18"/>
                <w:lang w:val="en-CA"/>
              </w:rPr>
            </w:pPr>
            <w:r w:rsidRPr="00B75955">
              <w:rPr>
                <w:b/>
                <w:sz w:val="18"/>
                <w:lang w:val="en-CA"/>
              </w:rPr>
              <w:t>(I) PROJECT TITLE</w:t>
            </w:r>
          </w:p>
        </w:tc>
        <w:tc>
          <w:tcPr>
            <w:tcW w:w="2033" w:type="dxa"/>
            <w:shd w:val="clear" w:color="auto" w:fill="auto"/>
          </w:tcPr>
          <w:p w14:paraId="5C73C885" w14:textId="77777777" w:rsidR="008A4C7A" w:rsidRPr="00B75955" w:rsidRDefault="008A4C7A" w:rsidP="008A4C7A">
            <w:pPr>
              <w:spacing w:after="80"/>
              <w:jc w:val="center"/>
              <w:rPr>
                <w:b/>
                <w:sz w:val="18"/>
                <w:lang w:val="en-CA"/>
              </w:rPr>
            </w:pPr>
            <w:r w:rsidRPr="00B75955">
              <w:rPr>
                <w:b/>
                <w:sz w:val="18"/>
                <w:lang w:val="en-CA"/>
              </w:rPr>
              <w:t>AGENCY</w:t>
            </w:r>
          </w:p>
        </w:tc>
        <w:tc>
          <w:tcPr>
            <w:tcW w:w="2501" w:type="dxa"/>
            <w:shd w:val="clear" w:color="auto" w:fill="auto"/>
          </w:tcPr>
          <w:p w14:paraId="60E082A9" w14:textId="77777777" w:rsidR="008A4C7A" w:rsidRPr="00B75955" w:rsidRDefault="008A4C7A" w:rsidP="008A4C7A">
            <w:pPr>
              <w:spacing w:after="80"/>
              <w:jc w:val="center"/>
              <w:rPr>
                <w:b/>
                <w:sz w:val="18"/>
                <w:lang w:val="en-CA"/>
              </w:rPr>
            </w:pPr>
            <w:r w:rsidRPr="00B75955">
              <w:rPr>
                <w:b/>
                <w:sz w:val="18"/>
                <w:lang w:val="en-CA"/>
              </w:rPr>
              <w:t>MEETING APPROVED</w:t>
            </w:r>
          </w:p>
        </w:tc>
        <w:tc>
          <w:tcPr>
            <w:tcW w:w="2501" w:type="dxa"/>
            <w:shd w:val="clear" w:color="auto" w:fill="auto"/>
          </w:tcPr>
          <w:p w14:paraId="20018043" w14:textId="77777777" w:rsidR="008A4C7A" w:rsidRPr="00B75955" w:rsidRDefault="008A4C7A" w:rsidP="008A4C7A">
            <w:pPr>
              <w:spacing w:after="80"/>
              <w:jc w:val="center"/>
              <w:rPr>
                <w:b/>
                <w:sz w:val="18"/>
                <w:lang w:val="en-CA"/>
              </w:rPr>
            </w:pPr>
            <w:r w:rsidRPr="00B75955">
              <w:rPr>
                <w:b/>
                <w:sz w:val="18"/>
                <w:lang w:val="en-CA"/>
              </w:rPr>
              <w:t>CONTROL MEASURE</w:t>
            </w:r>
          </w:p>
        </w:tc>
      </w:tr>
      <w:tr w:rsidR="008A4C7A" w:rsidRPr="00B75955" w14:paraId="7A61E0E5" w14:textId="77777777" w:rsidTr="008A4C7A">
        <w:trPr>
          <w:trHeight w:val="240"/>
        </w:trPr>
        <w:tc>
          <w:tcPr>
            <w:tcW w:w="2965" w:type="dxa"/>
            <w:shd w:val="clear" w:color="auto" w:fill="auto"/>
          </w:tcPr>
          <w:p w14:paraId="11C80E78" w14:textId="77777777" w:rsidR="008A4C7A" w:rsidRPr="00B75955" w:rsidRDefault="008A4C7A" w:rsidP="008A4C7A">
            <w:pPr>
              <w:spacing w:after="80"/>
              <w:jc w:val="center"/>
              <w:rPr>
                <w:sz w:val="18"/>
                <w:szCs w:val="18"/>
                <w:lang w:val="en-CA"/>
              </w:rPr>
            </w:pPr>
            <w:r w:rsidRPr="00B75955">
              <w:rPr>
                <w:sz w:val="18"/>
                <w:szCs w:val="18"/>
                <w:lang w:val="en-CA"/>
              </w:rPr>
              <w:t>HCFC phase-out plan (stage II) room air-conditioning manufacturing and heat pump water heaters</w:t>
            </w:r>
          </w:p>
        </w:tc>
        <w:tc>
          <w:tcPr>
            <w:tcW w:w="2033" w:type="dxa"/>
            <w:shd w:val="clear" w:color="auto" w:fill="auto"/>
          </w:tcPr>
          <w:p w14:paraId="42DFC392" w14:textId="77777777" w:rsidR="008A4C7A" w:rsidRPr="00B75955" w:rsidRDefault="008A4C7A" w:rsidP="008A4C7A">
            <w:pPr>
              <w:spacing w:after="80"/>
              <w:jc w:val="center"/>
              <w:rPr>
                <w:sz w:val="18"/>
                <w:lang w:val="en-CA"/>
              </w:rPr>
            </w:pPr>
            <w:r w:rsidRPr="00B75955">
              <w:rPr>
                <w:sz w:val="18"/>
                <w:lang w:val="en-CA"/>
              </w:rPr>
              <w:t>Government of Italy and UNIDO (lead)</w:t>
            </w:r>
          </w:p>
        </w:tc>
        <w:tc>
          <w:tcPr>
            <w:tcW w:w="2501" w:type="dxa"/>
            <w:shd w:val="clear" w:color="auto" w:fill="auto"/>
          </w:tcPr>
          <w:p w14:paraId="1D5E97CD" w14:textId="77777777" w:rsidR="008A4C7A" w:rsidRPr="00B75955" w:rsidRDefault="008A4C7A" w:rsidP="008A4C7A">
            <w:pPr>
              <w:spacing w:after="80"/>
              <w:jc w:val="center"/>
              <w:rPr>
                <w:sz w:val="18"/>
                <w:lang w:val="en-CA"/>
              </w:rPr>
            </w:pPr>
            <w:r w:rsidRPr="00B75955">
              <w:rPr>
                <w:sz w:val="18"/>
                <w:lang w:val="en-CA"/>
              </w:rPr>
              <w:t>77</w:t>
            </w:r>
            <w:r w:rsidRPr="00B75955">
              <w:rPr>
                <w:sz w:val="18"/>
                <w:vertAlign w:val="superscript"/>
                <w:lang w:val="en-CA"/>
              </w:rPr>
              <w:t>th</w:t>
            </w:r>
          </w:p>
        </w:tc>
        <w:tc>
          <w:tcPr>
            <w:tcW w:w="2501" w:type="dxa"/>
            <w:shd w:val="clear" w:color="auto" w:fill="auto"/>
          </w:tcPr>
          <w:p w14:paraId="50F24C31" w14:textId="77777777" w:rsidR="008A4C7A" w:rsidRPr="00B75955" w:rsidRDefault="00A16A8C" w:rsidP="00A16A8C">
            <w:pPr>
              <w:spacing w:after="80"/>
              <w:jc w:val="center"/>
              <w:rPr>
                <w:sz w:val="18"/>
                <w:lang w:val="en-CA"/>
              </w:rPr>
            </w:pPr>
            <w:r w:rsidRPr="00B75955">
              <w:rPr>
                <w:sz w:val="18"/>
                <w:lang w:val="en-CA"/>
              </w:rPr>
              <w:t>37.6</w:t>
            </w:r>
            <w:r w:rsidR="008A4C7A" w:rsidRPr="00B75955">
              <w:rPr>
                <w:sz w:val="18"/>
                <w:lang w:val="en-CA"/>
              </w:rPr>
              <w:t>% by 2020</w:t>
            </w:r>
          </w:p>
        </w:tc>
      </w:tr>
    </w:tbl>
    <w:p w14:paraId="17FD9D04" w14:textId="77777777" w:rsidR="008A4C7A" w:rsidRPr="00B75955" w:rsidRDefault="008A4C7A" w:rsidP="008A4C7A">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8A4C7A" w:rsidRPr="00B75955" w14:paraId="185F00BC" w14:textId="77777777" w:rsidTr="008A4C7A">
        <w:trPr>
          <w:trHeight w:val="240"/>
        </w:trPr>
        <w:tc>
          <w:tcPr>
            <w:tcW w:w="5200" w:type="dxa"/>
            <w:shd w:val="clear" w:color="auto" w:fill="auto"/>
          </w:tcPr>
          <w:p w14:paraId="777D649D" w14:textId="77777777" w:rsidR="008A4C7A" w:rsidRPr="00B75955" w:rsidRDefault="008A4C7A" w:rsidP="008A4C7A">
            <w:pPr>
              <w:spacing w:after="60"/>
              <w:jc w:val="left"/>
              <w:rPr>
                <w:b/>
                <w:sz w:val="18"/>
                <w:lang w:val="en-CA"/>
              </w:rPr>
            </w:pPr>
            <w:r w:rsidRPr="00B75955">
              <w:rPr>
                <w:b/>
                <w:sz w:val="18"/>
                <w:lang w:val="en-CA"/>
              </w:rPr>
              <w:t>(II) LATEST ARTICLE 7 DATA (Annex C Group l)</w:t>
            </w:r>
          </w:p>
        </w:tc>
        <w:tc>
          <w:tcPr>
            <w:tcW w:w="2400" w:type="dxa"/>
            <w:shd w:val="clear" w:color="auto" w:fill="auto"/>
          </w:tcPr>
          <w:p w14:paraId="2089C3CA" w14:textId="77777777" w:rsidR="008A4C7A" w:rsidRPr="00B75955" w:rsidRDefault="008A4C7A" w:rsidP="008A4C7A">
            <w:pPr>
              <w:spacing w:after="60"/>
              <w:jc w:val="center"/>
              <w:rPr>
                <w:sz w:val="18"/>
                <w:lang w:val="en-CA"/>
              </w:rPr>
            </w:pPr>
            <w:r w:rsidRPr="00B75955">
              <w:rPr>
                <w:sz w:val="18"/>
                <w:lang w:val="en-CA"/>
              </w:rPr>
              <w:t>Year: 201</w:t>
            </w:r>
            <w:r w:rsidR="00E446ED" w:rsidRPr="00B75955">
              <w:rPr>
                <w:sz w:val="18"/>
                <w:lang w:val="en-CA"/>
              </w:rPr>
              <w:t>6</w:t>
            </w:r>
          </w:p>
        </w:tc>
        <w:tc>
          <w:tcPr>
            <w:tcW w:w="2400" w:type="dxa"/>
            <w:shd w:val="clear" w:color="auto" w:fill="auto"/>
          </w:tcPr>
          <w:p w14:paraId="6028CD76" w14:textId="77777777" w:rsidR="008A4C7A" w:rsidRPr="00B75955" w:rsidRDefault="00E446ED" w:rsidP="008A4C7A">
            <w:pPr>
              <w:spacing w:after="60"/>
              <w:jc w:val="right"/>
              <w:rPr>
                <w:sz w:val="18"/>
                <w:lang w:val="en-CA"/>
              </w:rPr>
            </w:pPr>
            <w:r w:rsidRPr="00B75955">
              <w:rPr>
                <w:sz w:val="18"/>
                <w:lang w:val="en-CA"/>
              </w:rPr>
              <w:t xml:space="preserve">14,220.59 </w:t>
            </w:r>
            <w:r w:rsidR="008A4C7A" w:rsidRPr="00B75955">
              <w:rPr>
                <w:sz w:val="18"/>
                <w:lang w:val="en-CA"/>
              </w:rPr>
              <w:t>(ODP tonnes)</w:t>
            </w:r>
          </w:p>
        </w:tc>
      </w:tr>
    </w:tbl>
    <w:p w14:paraId="0FABF01C" w14:textId="77777777" w:rsidR="008A4C7A" w:rsidRPr="00B75955" w:rsidRDefault="008A4C7A" w:rsidP="008A4C7A">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756"/>
        <w:gridCol w:w="975"/>
        <w:gridCol w:w="1286"/>
        <w:gridCol w:w="906"/>
        <w:gridCol w:w="767"/>
        <w:gridCol w:w="1012"/>
        <w:gridCol w:w="657"/>
        <w:gridCol w:w="1655"/>
      </w:tblGrid>
      <w:tr w:rsidR="008A4C7A" w:rsidRPr="00B75955" w14:paraId="728996AB" w14:textId="77777777" w:rsidTr="008A4C7A">
        <w:trPr>
          <w:trHeight w:val="240"/>
        </w:trPr>
        <w:tc>
          <w:tcPr>
            <w:tcW w:w="0" w:type="auto"/>
            <w:gridSpan w:val="8"/>
            <w:shd w:val="clear" w:color="auto" w:fill="auto"/>
          </w:tcPr>
          <w:p w14:paraId="52272468" w14:textId="77777777" w:rsidR="008A4C7A" w:rsidRPr="00B75955" w:rsidRDefault="008A4C7A" w:rsidP="008A4C7A">
            <w:pPr>
              <w:spacing w:after="60"/>
              <w:jc w:val="left"/>
              <w:rPr>
                <w:b/>
                <w:sz w:val="18"/>
                <w:lang w:val="en-CA"/>
              </w:rPr>
            </w:pPr>
            <w:r w:rsidRPr="00B75955">
              <w:rPr>
                <w:b/>
                <w:sz w:val="18"/>
                <w:lang w:val="en-CA"/>
              </w:rPr>
              <w:t>(III) LATEST COUNTRY PROGRAMME SECTORAL DATA (ODP tonnes)</w:t>
            </w:r>
          </w:p>
        </w:tc>
        <w:tc>
          <w:tcPr>
            <w:tcW w:w="0" w:type="auto"/>
            <w:gridSpan w:val="2"/>
            <w:shd w:val="clear" w:color="auto" w:fill="auto"/>
          </w:tcPr>
          <w:p w14:paraId="42AC9980" w14:textId="77777777" w:rsidR="008A4C7A" w:rsidRPr="00B75955" w:rsidRDefault="008A4C7A" w:rsidP="008A4C7A">
            <w:pPr>
              <w:spacing w:after="60"/>
              <w:jc w:val="right"/>
              <w:rPr>
                <w:b/>
                <w:sz w:val="18"/>
                <w:lang w:val="en-CA"/>
              </w:rPr>
            </w:pPr>
            <w:r w:rsidRPr="00B75955">
              <w:rPr>
                <w:b/>
                <w:sz w:val="18"/>
                <w:lang w:val="en-CA"/>
              </w:rPr>
              <w:t>Year: 2016</w:t>
            </w:r>
          </w:p>
        </w:tc>
      </w:tr>
      <w:tr w:rsidR="008A4C7A" w:rsidRPr="00B75955" w14:paraId="0B99683D" w14:textId="77777777" w:rsidTr="008A4C7A">
        <w:trPr>
          <w:trHeight w:val="240"/>
        </w:trPr>
        <w:tc>
          <w:tcPr>
            <w:tcW w:w="0" w:type="auto"/>
            <w:shd w:val="clear" w:color="auto" w:fill="auto"/>
          </w:tcPr>
          <w:p w14:paraId="23660FCA" w14:textId="77777777" w:rsidR="008A4C7A" w:rsidRPr="00B75955" w:rsidRDefault="008A4C7A" w:rsidP="008A4C7A">
            <w:pPr>
              <w:spacing w:after="60"/>
              <w:jc w:val="center"/>
              <w:rPr>
                <w:sz w:val="18"/>
                <w:lang w:val="en-CA"/>
              </w:rPr>
            </w:pPr>
            <w:r w:rsidRPr="00B75955">
              <w:rPr>
                <w:sz w:val="18"/>
                <w:lang w:val="en-CA"/>
              </w:rPr>
              <w:t>Chemical</w:t>
            </w:r>
          </w:p>
        </w:tc>
        <w:tc>
          <w:tcPr>
            <w:tcW w:w="0" w:type="auto"/>
            <w:shd w:val="clear" w:color="auto" w:fill="auto"/>
          </w:tcPr>
          <w:p w14:paraId="1D7880FE" w14:textId="77777777" w:rsidR="008A4C7A" w:rsidRPr="00B75955" w:rsidRDefault="008A4C7A" w:rsidP="008A4C7A">
            <w:pPr>
              <w:spacing w:after="60"/>
              <w:jc w:val="center"/>
              <w:rPr>
                <w:sz w:val="18"/>
                <w:lang w:val="en-CA"/>
              </w:rPr>
            </w:pPr>
            <w:r w:rsidRPr="00B75955">
              <w:rPr>
                <w:sz w:val="18"/>
                <w:lang w:val="en-CA"/>
              </w:rPr>
              <w:t>Aerosol</w:t>
            </w:r>
          </w:p>
        </w:tc>
        <w:tc>
          <w:tcPr>
            <w:tcW w:w="0" w:type="auto"/>
            <w:shd w:val="clear" w:color="auto" w:fill="auto"/>
          </w:tcPr>
          <w:p w14:paraId="32F94420" w14:textId="77777777" w:rsidR="008A4C7A" w:rsidRPr="00B75955" w:rsidRDefault="008A4C7A" w:rsidP="008A4C7A">
            <w:pPr>
              <w:spacing w:after="60"/>
              <w:jc w:val="center"/>
              <w:rPr>
                <w:sz w:val="18"/>
                <w:lang w:val="en-CA"/>
              </w:rPr>
            </w:pPr>
            <w:r w:rsidRPr="00B75955">
              <w:rPr>
                <w:sz w:val="18"/>
                <w:lang w:val="en-CA"/>
              </w:rPr>
              <w:t>Foam</w:t>
            </w:r>
          </w:p>
        </w:tc>
        <w:tc>
          <w:tcPr>
            <w:tcW w:w="0" w:type="auto"/>
            <w:shd w:val="clear" w:color="auto" w:fill="auto"/>
          </w:tcPr>
          <w:p w14:paraId="1FB74DC7" w14:textId="77777777" w:rsidR="008A4C7A" w:rsidRPr="00B75955" w:rsidRDefault="008A4C7A" w:rsidP="008A4C7A">
            <w:pPr>
              <w:spacing w:after="60"/>
              <w:jc w:val="center"/>
              <w:rPr>
                <w:sz w:val="18"/>
                <w:lang w:val="en-CA"/>
              </w:rPr>
            </w:pPr>
            <w:r w:rsidRPr="00B75955">
              <w:rPr>
                <w:sz w:val="18"/>
                <w:lang w:val="en-CA"/>
              </w:rPr>
              <w:t>Fire fighting</w:t>
            </w:r>
          </w:p>
        </w:tc>
        <w:tc>
          <w:tcPr>
            <w:tcW w:w="0" w:type="auto"/>
            <w:gridSpan w:val="2"/>
            <w:shd w:val="clear" w:color="auto" w:fill="auto"/>
          </w:tcPr>
          <w:p w14:paraId="562F9013" w14:textId="77777777" w:rsidR="008A4C7A" w:rsidRPr="00B75955" w:rsidRDefault="008A4C7A" w:rsidP="008A4C7A">
            <w:pPr>
              <w:spacing w:after="60"/>
              <w:jc w:val="center"/>
              <w:rPr>
                <w:sz w:val="18"/>
                <w:lang w:val="en-CA"/>
              </w:rPr>
            </w:pPr>
            <w:r w:rsidRPr="00B75955">
              <w:rPr>
                <w:sz w:val="18"/>
                <w:lang w:val="en-CA"/>
              </w:rPr>
              <w:t>Refrigeration</w:t>
            </w:r>
          </w:p>
        </w:tc>
        <w:tc>
          <w:tcPr>
            <w:tcW w:w="0" w:type="auto"/>
            <w:shd w:val="clear" w:color="auto" w:fill="auto"/>
          </w:tcPr>
          <w:p w14:paraId="79B71F5C" w14:textId="77777777" w:rsidR="008A4C7A" w:rsidRPr="00B75955" w:rsidRDefault="008A4C7A" w:rsidP="008A4C7A">
            <w:pPr>
              <w:spacing w:after="60"/>
              <w:jc w:val="center"/>
              <w:rPr>
                <w:sz w:val="18"/>
                <w:lang w:val="en-CA"/>
              </w:rPr>
            </w:pPr>
            <w:r w:rsidRPr="00B75955">
              <w:rPr>
                <w:sz w:val="18"/>
                <w:lang w:val="en-CA"/>
              </w:rPr>
              <w:t>Solvent</w:t>
            </w:r>
          </w:p>
        </w:tc>
        <w:tc>
          <w:tcPr>
            <w:tcW w:w="0" w:type="auto"/>
            <w:shd w:val="clear" w:color="auto" w:fill="auto"/>
          </w:tcPr>
          <w:p w14:paraId="013B134C" w14:textId="77777777" w:rsidR="008A4C7A" w:rsidRPr="00B75955" w:rsidRDefault="008A4C7A" w:rsidP="008A4C7A">
            <w:pPr>
              <w:spacing w:after="60"/>
              <w:jc w:val="center"/>
              <w:rPr>
                <w:sz w:val="18"/>
                <w:lang w:val="en-CA"/>
              </w:rPr>
            </w:pPr>
            <w:r w:rsidRPr="00B75955">
              <w:rPr>
                <w:sz w:val="18"/>
                <w:lang w:val="en-CA"/>
              </w:rPr>
              <w:t>Process agent</w:t>
            </w:r>
          </w:p>
        </w:tc>
        <w:tc>
          <w:tcPr>
            <w:tcW w:w="0" w:type="auto"/>
            <w:shd w:val="clear" w:color="auto" w:fill="auto"/>
          </w:tcPr>
          <w:p w14:paraId="525FFC49" w14:textId="77777777" w:rsidR="008A4C7A" w:rsidRPr="00B75955" w:rsidRDefault="008A4C7A" w:rsidP="008A4C7A">
            <w:pPr>
              <w:spacing w:after="60"/>
              <w:jc w:val="center"/>
              <w:rPr>
                <w:sz w:val="18"/>
                <w:lang w:val="en-CA"/>
              </w:rPr>
            </w:pPr>
            <w:r w:rsidRPr="00B75955">
              <w:rPr>
                <w:sz w:val="18"/>
                <w:lang w:val="en-CA"/>
              </w:rPr>
              <w:t>Lab use</w:t>
            </w:r>
          </w:p>
        </w:tc>
        <w:tc>
          <w:tcPr>
            <w:tcW w:w="0" w:type="auto"/>
            <w:shd w:val="clear" w:color="auto" w:fill="auto"/>
          </w:tcPr>
          <w:p w14:paraId="475E66C5" w14:textId="77777777" w:rsidR="008A4C7A" w:rsidRPr="00B75955" w:rsidRDefault="008A4C7A" w:rsidP="008A4C7A">
            <w:pPr>
              <w:spacing w:after="60"/>
              <w:jc w:val="center"/>
              <w:rPr>
                <w:sz w:val="18"/>
                <w:lang w:val="en-CA"/>
              </w:rPr>
            </w:pPr>
            <w:r w:rsidRPr="00B75955">
              <w:rPr>
                <w:sz w:val="18"/>
                <w:lang w:val="en-CA"/>
              </w:rPr>
              <w:t>Total sector consumption</w:t>
            </w:r>
          </w:p>
        </w:tc>
      </w:tr>
      <w:tr w:rsidR="008A4C7A" w:rsidRPr="00B75955" w14:paraId="07DE95BF" w14:textId="77777777" w:rsidTr="008A4C7A">
        <w:trPr>
          <w:trHeight w:val="240"/>
        </w:trPr>
        <w:tc>
          <w:tcPr>
            <w:tcW w:w="0" w:type="auto"/>
            <w:gridSpan w:val="4"/>
            <w:shd w:val="clear" w:color="auto" w:fill="auto"/>
          </w:tcPr>
          <w:p w14:paraId="1740A961" w14:textId="77777777" w:rsidR="008A4C7A" w:rsidRPr="00B75955" w:rsidRDefault="008A4C7A" w:rsidP="008A4C7A">
            <w:pPr>
              <w:spacing w:after="60"/>
              <w:jc w:val="center"/>
              <w:rPr>
                <w:sz w:val="18"/>
                <w:lang w:val="en-CA"/>
              </w:rPr>
            </w:pPr>
            <w:r w:rsidRPr="00B75955">
              <w:rPr>
                <w:sz w:val="18"/>
                <w:lang w:val="en-CA"/>
              </w:rPr>
              <w:t xml:space="preserve"> </w:t>
            </w:r>
          </w:p>
        </w:tc>
        <w:tc>
          <w:tcPr>
            <w:tcW w:w="0" w:type="auto"/>
            <w:shd w:val="clear" w:color="auto" w:fill="auto"/>
          </w:tcPr>
          <w:p w14:paraId="26AEB114" w14:textId="77777777" w:rsidR="008A4C7A" w:rsidRPr="00B75955" w:rsidRDefault="008A4C7A" w:rsidP="008A4C7A">
            <w:pPr>
              <w:spacing w:after="60"/>
              <w:jc w:val="center"/>
              <w:rPr>
                <w:sz w:val="18"/>
                <w:lang w:val="en-CA"/>
              </w:rPr>
            </w:pPr>
            <w:r w:rsidRPr="00B75955">
              <w:rPr>
                <w:sz w:val="18"/>
                <w:lang w:val="en-CA"/>
              </w:rPr>
              <w:t>Manufacturing</w:t>
            </w:r>
          </w:p>
        </w:tc>
        <w:tc>
          <w:tcPr>
            <w:tcW w:w="0" w:type="auto"/>
            <w:shd w:val="clear" w:color="auto" w:fill="auto"/>
          </w:tcPr>
          <w:p w14:paraId="16CC00A5" w14:textId="77777777" w:rsidR="008A4C7A" w:rsidRPr="00B75955" w:rsidRDefault="008A4C7A" w:rsidP="008A4C7A">
            <w:pPr>
              <w:spacing w:after="60"/>
              <w:jc w:val="center"/>
              <w:rPr>
                <w:sz w:val="18"/>
                <w:lang w:val="en-CA"/>
              </w:rPr>
            </w:pPr>
            <w:r w:rsidRPr="00B75955">
              <w:rPr>
                <w:sz w:val="18"/>
                <w:lang w:val="en-CA"/>
              </w:rPr>
              <w:t>Servicing</w:t>
            </w:r>
          </w:p>
        </w:tc>
        <w:tc>
          <w:tcPr>
            <w:tcW w:w="0" w:type="auto"/>
            <w:gridSpan w:val="4"/>
            <w:shd w:val="clear" w:color="auto" w:fill="auto"/>
          </w:tcPr>
          <w:p w14:paraId="2B416C25" w14:textId="77777777" w:rsidR="008A4C7A" w:rsidRPr="00B75955" w:rsidRDefault="008A4C7A" w:rsidP="008A4C7A">
            <w:pPr>
              <w:spacing w:after="60"/>
              <w:jc w:val="center"/>
              <w:rPr>
                <w:sz w:val="18"/>
                <w:lang w:val="en-CA"/>
              </w:rPr>
            </w:pPr>
          </w:p>
        </w:tc>
      </w:tr>
      <w:tr w:rsidR="008A4C7A" w:rsidRPr="00B75955" w14:paraId="69F1EE09" w14:textId="77777777" w:rsidTr="008A4C7A">
        <w:trPr>
          <w:trHeight w:val="240"/>
        </w:trPr>
        <w:tc>
          <w:tcPr>
            <w:tcW w:w="1200" w:type="dxa"/>
            <w:shd w:val="clear" w:color="auto" w:fill="auto"/>
          </w:tcPr>
          <w:p w14:paraId="01236CC0" w14:textId="77777777" w:rsidR="008A4C7A" w:rsidRPr="00B75955" w:rsidRDefault="008A4C7A" w:rsidP="008A4C7A">
            <w:pPr>
              <w:spacing w:after="60"/>
              <w:jc w:val="left"/>
              <w:rPr>
                <w:sz w:val="18"/>
                <w:lang w:val="en-CA"/>
              </w:rPr>
            </w:pPr>
            <w:r w:rsidRPr="00B75955">
              <w:rPr>
                <w:sz w:val="18"/>
                <w:lang w:val="en-CA"/>
              </w:rPr>
              <w:t>HCFC-22</w:t>
            </w:r>
          </w:p>
        </w:tc>
        <w:tc>
          <w:tcPr>
            <w:tcW w:w="0" w:type="auto"/>
            <w:shd w:val="clear" w:color="auto" w:fill="auto"/>
          </w:tcPr>
          <w:p w14:paraId="470FA33E" w14:textId="77777777" w:rsidR="008A4C7A" w:rsidRPr="00B75955" w:rsidRDefault="008A4C7A" w:rsidP="008A4C7A">
            <w:pPr>
              <w:spacing w:after="60"/>
              <w:jc w:val="right"/>
              <w:rPr>
                <w:sz w:val="18"/>
                <w:lang w:val="en-CA"/>
              </w:rPr>
            </w:pPr>
            <w:r w:rsidRPr="00B75955">
              <w:rPr>
                <w:sz w:val="18"/>
                <w:lang w:val="en-CA"/>
              </w:rPr>
              <w:t>126.4</w:t>
            </w:r>
          </w:p>
        </w:tc>
        <w:tc>
          <w:tcPr>
            <w:tcW w:w="0" w:type="auto"/>
            <w:shd w:val="clear" w:color="auto" w:fill="auto"/>
          </w:tcPr>
          <w:p w14:paraId="3DF662C8" w14:textId="77777777" w:rsidR="008A4C7A" w:rsidRPr="00B75955" w:rsidRDefault="008A4C7A" w:rsidP="008A4C7A">
            <w:pPr>
              <w:spacing w:after="60"/>
              <w:jc w:val="right"/>
              <w:rPr>
                <w:sz w:val="18"/>
                <w:lang w:val="en-CA"/>
              </w:rPr>
            </w:pPr>
            <w:r w:rsidRPr="00B75955">
              <w:rPr>
                <w:sz w:val="18"/>
                <w:lang w:val="en-CA"/>
              </w:rPr>
              <w:t>1,457.5</w:t>
            </w:r>
          </w:p>
        </w:tc>
        <w:tc>
          <w:tcPr>
            <w:tcW w:w="0" w:type="auto"/>
            <w:shd w:val="clear" w:color="auto" w:fill="auto"/>
          </w:tcPr>
          <w:p w14:paraId="30386F1E" w14:textId="77777777" w:rsidR="008A4C7A" w:rsidRPr="00B75955" w:rsidRDefault="008A4C7A" w:rsidP="008A4C7A">
            <w:pPr>
              <w:spacing w:after="60"/>
              <w:jc w:val="right"/>
              <w:rPr>
                <w:sz w:val="18"/>
                <w:lang w:val="en-CA"/>
              </w:rPr>
            </w:pPr>
          </w:p>
        </w:tc>
        <w:tc>
          <w:tcPr>
            <w:tcW w:w="0" w:type="auto"/>
            <w:shd w:val="clear" w:color="auto" w:fill="auto"/>
          </w:tcPr>
          <w:p w14:paraId="000BB149" w14:textId="77777777" w:rsidR="008A4C7A" w:rsidRPr="00B75955" w:rsidRDefault="008A4C7A" w:rsidP="008A4C7A">
            <w:pPr>
              <w:spacing w:after="60"/>
              <w:jc w:val="right"/>
              <w:rPr>
                <w:sz w:val="18"/>
                <w:lang w:val="en-CA"/>
              </w:rPr>
            </w:pPr>
            <w:r w:rsidRPr="00B75955">
              <w:rPr>
                <w:sz w:val="18"/>
                <w:lang w:val="en-CA"/>
              </w:rPr>
              <w:t>5,087.5</w:t>
            </w:r>
          </w:p>
        </w:tc>
        <w:tc>
          <w:tcPr>
            <w:tcW w:w="0" w:type="auto"/>
            <w:shd w:val="clear" w:color="auto" w:fill="auto"/>
          </w:tcPr>
          <w:p w14:paraId="5B9CF9C3" w14:textId="77777777" w:rsidR="008A4C7A" w:rsidRPr="00B75955" w:rsidRDefault="008A4C7A" w:rsidP="008A4C7A">
            <w:pPr>
              <w:spacing w:after="60"/>
              <w:jc w:val="right"/>
              <w:rPr>
                <w:sz w:val="18"/>
                <w:lang w:val="en-CA"/>
              </w:rPr>
            </w:pPr>
            <w:r w:rsidRPr="00B75955">
              <w:rPr>
                <w:sz w:val="18"/>
                <w:lang w:val="en-CA"/>
              </w:rPr>
              <w:t>2,606.9</w:t>
            </w:r>
          </w:p>
        </w:tc>
        <w:tc>
          <w:tcPr>
            <w:tcW w:w="0" w:type="auto"/>
            <w:shd w:val="clear" w:color="auto" w:fill="auto"/>
          </w:tcPr>
          <w:p w14:paraId="3026892E" w14:textId="77777777" w:rsidR="008A4C7A" w:rsidRPr="00B75955" w:rsidRDefault="008A4C7A" w:rsidP="008A4C7A">
            <w:pPr>
              <w:spacing w:after="60"/>
              <w:jc w:val="right"/>
              <w:rPr>
                <w:sz w:val="18"/>
                <w:lang w:val="en-CA"/>
              </w:rPr>
            </w:pPr>
          </w:p>
        </w:tc>
        <w:tc>
          <w:tcPr>
            <w:tcW w:w="0" w:type="auto"/>
            <w:shd w:val="clear" w:color="auto" w:fill="auto"/>
          </w:tcPr>
          <w:p w14:paraId="51697AEF" w14:textId="77777777" w:rsidR="008A4C7A" w:rsidRPr="00B75955" w:rsidRDefault="008A4C7A" w:rsidP="008A4C7A">
            <w:pPr>
              <w:spacing w:after="60"/>
              <w:jc w:val="right"/>
              <w:rPr>
                <w:sz w:val="18"/>
                <w:lang w:val="en-CA"/>
              </w:rPr>
            </w:pPr>
          </w:p>
        </w:tc>
        <w:tc>
          <w:tcPr>
            <w:tcW w:w="0" w:type="auto"/>
            <w:shd w:val="clear" w:color="auto" w:fill="auto"/>
          </w:tcPr>
          <w:p w14:paraId="569DF8C4" w14:textId="77777777" w:rsidR="008A4C7A" w:rsidRPr="00B75955" w:rsidRDefault="008A4C7A" w:rsidP="008A4C7A">
            <w:pPr>
              <w:spacing w:after="60"/>
              <w:jc w:val="right"/>
              <w:rPr>
                <w:sz w:val="18"/>
                <w:lang w:val="en-CA"/>
              </w:rPr>
            </w:pPr>
          </w:p>
        </w:tc>
        <w:tc>
          <w:tcPr>
            <w:tcW w:w="0" w:type="auto"/>
            <w:shd w:val="clear" w:color="auto" w:fill="auto"/>
          </w:tcPr>
          <w:p w14:paraId="055D5E29" w14:textId="77777777" w:rsidR="008A4C7A" w:rsidRPr="00B75955" w:rsidRDefault="008A4C7A" w:rsidP="008A4C7A">
            <w:pPr>
              <w:spacing w:after="60"/>
              <w:jc w:val="right"/>
              <w:rPr>
                <w:sz w:val="18"/>
                <w:lang w:val="en-CA"/>
              </w:rPr>
            </w:pPr>
            <w:r w:rsidRPr="00B75955">
              <w:rPr>
                <w:sz w:val="18"/>
                <w:lang w:val="en-CA"/>
              </w:rPr>
              <w:t>9,278.3</w:t>
            </w:r>
          </w:p>
        </w:tc>
      </w:tr>
      <w:tr w:rsidR="008A4C7A" w:rsidRPr="00B75955" w14:paraId="252E4E27" w14:textId="77777777" w:rsidTr="008A4C7A">
        <w:trPr>
          <w:trHeight w:val="240"/>
        </w:trPr>
        <w:tc>
          <w:tcPr>
            <w:tcW w:w="1200" w:type="dxa"/>
            <w:shd w:val="clear" w:color="auto" w:fill="auto"/>
          </w:tcPr>
          <w:p w14:paraId="0145B061" w14:textId="77777777" w:rsidR="008A4C7A" w:rsidRPr="00B75955" w:rsidRDefault="008A4C7A" w:rsidP="008A4C7A">
            <w:pPr>
              <w:spacing w:after="60"/>
              <w:jc w:val="left"/>
              <w:rPr>
                <w:sz w:val="18"/>
                <w:lang w:val="en-CA"/>
              </w:rPr>
            </w:pPr>
            <w:r w:rsidRPr="00B75955">
              <w:rPr>
                <w:sz w:val="18"/>
                <w:lang w:val="en-CA"/>
              </w:rPr>
              <w:t>HCFC-123</w:t>
            </w:r>
          </w:p>
        </w:tc>
        <w:tc>
          <w:tcPr>
            <w:tcW w:w="0" w:type="auto"/>
            <w:shd w:val="clear" w:color="auto" w:fill="auto"/>
          </w:tcPr>
          <w:p w14:paraId="698C3C4C" w14:textId="77777777" w:rsidR="008A4C7A" w:rsidRPr="00B75955" w:rsidRDefault="008A4C7A" w:rsidP="008A4C7A">
            <w:pPr>
              <w:spacing w:after="60"/>
              <w:jc w:val="right"/>
              <w:rPr>
                <w:sz w:val="18"/>
                <w:lang w:val="en-CA"/>
              </w:rPr>
            </w:pPr>
          </w:p>
        </w:tc>
        <w:tc>
          <w:tcPr>
            <w:tcW w:w="0" w:type="auto"/>
            <w:shd w:val="clear" w:color="auto" w:fill="auto"/>
          </w:tcPr>
          <w:p w14:paraId="43F21F41" w14:textId="77777777" w:rsidR="008A4C7A" w:rsidRPr="00B75955" w:rsidRDefault="008A4C7A" w:rsidP="008A4C7A">
            <w:pPr>
              <w:spacing w:after="60"/>
              <w:jc w:val="right"/>
              <w:rPr>
                <w:sz w:val="18"/>
                <w:lang w:val="en-CA"/>
              </w:rPr>
            </w:pPr>
          </w:p>
        </w:tc>
        <w:tc>
          <w:tcPr>
            <w:tcW w:w="0" w:type="auto"/>
            <w:shd w:val="clear" w:color="auto" w:fill="auto"/>
          </w:tcPr>
          <w:p w14:paraId="3AA5D848" w14:textId="77777777" w:rsidR="008A4C7A" w:rsidRPr="00B75955" w:rsidRDefault="008A4C7A" w:rsidP="008A4C7A">
            <w:pPr>
              <w:spacing w:after="60"/>
              <w:jc w:val="right"/>
              <w:rPr>
                <w:sz w:val="18"/>
                <w:lang w:val="en-CA"/>
              </w:rPr>
            </w:pPr>
          </w:p>
        </w:tc>
        <w:tc>
          <w:tcPr>
            <w:tcW w:w="0" w:type="auto"/>
            <w:shd w:val="clear" w:color="auto" w:fill="auto"/>
          </w:tcPr>
          <w:p w14:paraId="07670991" w14:textId="77777777" w:rsidR="008A4C7A" w:rsidRPr="00B75955" w:rsidRDefault="008A4C7A" w:rsidP="008A4C7A">
            <w:pPr>
              <w:spacing w:after="60"/>
              <w:jc w:val="right"/>
              <w:rPr>
                <w:sz w:val="18"/>
                <w:lang w:val="en-CA"/>
              </w:rPr>
            </w:pPr>
            <w:r w:rsidRPr="00B75955">
              <w:rPr>
                <w:sz w:val="18"/>
                <w:lang w:val="en-CA"/>
              </w:rPr>
              <w:t>13.1</w:t>
            </w:r>
          </w:p>
        </w:tc>
        <w:tc>
          <w:tcPr>
            <w:tcW w:w="0" w:type="auto"/>
            <w:shd w:val="clear" w:color="auto" w:fill="auto"/>
          </w:tcPr>
          <w:p w14:paraId="16E6B720" w14:textId="77777777" w:rsidR="008A4C7A" w:rsidRPr="00B75955" w:rsidRDefault="008A4C7A" w:rsidP="008A4C7A">
            <w:pPr>
              <w:spacing w:after="60"/>
              <w:jc w:val="right"/>
              <w:rPr>
                <w:sz w:val="18"/>
                <w:lang w:val="en-CA"/>
              </w:rPr>
            </w:pPr>
            <w:r w:rsidRPr="00B75955">
              <w:rPr>
                <w:sz w:val="18"/>
                <w:lang w:val="en-CA"/>
              </w:rPr>
              <w:t>5.8</w:t>
            </w:r>
          </w:p>
        </w:tc>
        <w:tc>
          <w:tcPr>
            <w:tcW w:w="0" w:type="auto"/>
            <w:shd w:val="clear" w:color="auto" w:fill="auto"/>
          </w:tcPr>
          <w:p w14:paraId="2C0C09FD" w14:textId="77777777" w:rsidR="008A4C7A" w:rsidRPr="00B75955" w:rsidRDefault="008A4C7A" w:rsidP="008A4C7A">
            <w:pPr>
              <w:spacing w:after="60"/>
              <w:jc w:val="right"/>
              <w:rPr>
                <w:sz w:val="18"/>
                <w:lang w:val="en-CA"/>
              </w:rPr>
            </w:pPr>
          </w:p>
        </w:tc>
        <w:tc>
          <w:tcPr>
            <w:tcW w:w="0" w:type="auto"/>
            <w:shd w:val="clear" w:color="auto" w:fill="auto"/>
          </w:tcPr>
          <w:p w14:paraId="64E7EDB3" w14:textId="77777777" w:rsidR="008A4C7A" w:rsidRPr="00B75955" w:rsidRDefault="008A4C7A" w:rsidP="008A4C7A">
            <w:pPr>
              <w:spacing w:after="60"/>
              <w:jc w:val="right"/>
              <w:rPr>
                <w:sz w:val="18"/>
                <w:lang w:val="en-CA"/>
              </w:rPr>
            </w:pPr>
          </w:p>
        </w:tc>
        <w:tc>
          <w:tcPr>
            <w:tcW w:w="0" w:type="auto"/>
            <w:shd w:val="clear" w:color="auto" w:fill="auto"/>
          </w:tcPr>
          <w:p w14:paraId="3096CE1C" w14:textId="77777777" w:rsidR="008A4C7A" w:rsidRPr="00B75955" w:rsidRDefault="008A4C7A" w:rsidP="008A4C7A">
            <w:pPr>
              <w:spacing w:after="60"/>
              <w:jc w:val="right"/>
              <w:rPr>
                <w:sz w:val="18"/>
                <w:lang w:val="en-CA"/>
              </w:rPr>
            </w:pPr>
          </w:p>
        </w:tc>
        <w:tc>
          <w:tcPr>
            <w:tcW w:w="0" w:type="auto"/>
            <w:shd w:val="clear" w:color="auto" w:fill="auto"/>
          </w:tcPr>
          <w:p w14:paraId="246DD919" w14:textId="77777777" w:rsidR="008A4C7A" w:rsidRPr="00B75955" w:rsidRDefault="008A4C7A" w:rsidP="008A4C7A">
            <w:pPr>
              <w:spacing w:after="60"/>
              <w:jc w:val="right"/>
              <w:rPr>
                <w:sz w:val="18"/>
                <w:lang w:val="en-CA"/>
              </w:rPr>
            </w:pPr>
            <w:r w:rsidRPr="00B75955">
              <w:rPr>
                <w:sz w:val="18"/>
                <w:lang w:val="en-CA"/>
              </w:rPr>
              <w:t>18.9</w:t>
            </w:r>
          </w:p>
        </w:tc>
      </w:tr>
      <w:tr w:rsidR="008A4C7A" w:rsidRPr="00B75955" w14:paraId="4AC83F05" w14:textId="77777777" w:rsidTr="008A4C7A">
        <w:trPr>
          <w:trHeight w:val="240"/>
        </w:trPr>
        <w:tc>
          <w:tcPr>
            <w:tcW w:w="1200" w:type="dxa"/>
            <w:shd w:val="clear" w:color="auto" w:fill="auto"/>
          </w:tcPr>
          <w:p w14:paraId="7C78FF3D" w14:textId="77777777" w:rsidR="008A4C7A" w:rsidRPr="00B75955" w:rsidRDefault="008A4C7A" w:rsidP="008A4C7A">
            <w:pPr>
              <w:spacing w:after="60"/>
              <w:jc w:val="left"/>
              <w:rPr>
                <w:sz w:val="18"/>
                <w:lang w:val="en-CA"/>
              </w:rPr>
            </w:pPr>
            <w:r w:rsidRPr="00B75955">
              <w:rPr>
                <w:sz w:val="18"/>
                <w:lang w:val="en-CA"/>
              </w:rPr>
              <w:t>HCFC-124</w:t>
            </w:r>
          </w:p>
        </w:tc>
        <w:tc>
          <w:tcPr>
            <w:tcW w:w="0" w:type="auto"/>
            <w:shd w:val="clear" w:color="auto" w:fill="auto"/>
          </w:tcPr>
          <w:p w14:paraId="48E4B588" w14:textId="77777777" w:rsidR="008A4C7A" w:rsidRPr="00B75955" w:rsidRDefault="008A4C7A" w:rsidP="008A4C7A">
            <w:pPr>
              <w:spacing w:after="60"/>
              <w:jc w:val="right"/>
              <w:rPr>
                <w:sz w:val="18"/>
                <w:lang w:val="en-CA"/>
              </w:rPr>
            </w:pPr>
          </w:p>
        </w:tc>
        <w:tc>
          <w:tcPr>
            <w:tcW w:w="0" w:type="auto"/>
            <w:shd w:val="clear" w:color="auto" w:fill="auto"/>
          </w:tcPr>
          <w:p w14:paraId="0914EB51" w14:textId="77777777" w:rsidR="008A4C7A" w:rsidRPr="00B75955" w:rsidRDefault="008A4C7A" w:rsidP="008A4C7A">
            <w:pPr>
              <w:spacing w:after="60"/>
              <w:jc w:val="right"/>
              <w:rPr>
                <w:sz w:val="18"/>
                <w:lang w:val="en-CA"/>
              </w:rPr>
            </w:pPr>
          </w:p>
        </w:tc>
        <w:tc>
          <w:tcPr>
            <w:tcW w:w="0" w:type="auto"/>
            <w:shd w:val="clear" w:color="auto" w:fill="auto"/>
          </w:tcPr>
          <w:p w14:paraId="02942BCA" w14:textId="77777777" w:rsidR="008A4C7A" w:rsidRPr="00B75955" w:rsidRDefault="008A4C7A" w:rsidP="008A4C7A">
            <w:pPr>
              <w:spacing w:after="60"/>
              <w:jc w:val="right"/>
              <w:rPr>
                <w:sz w:val="18"/>
                <w:lang w:val="en-CA"/>
              </w:rPr>
            </w:pPr>
          </w:p>
        </w:tc>
        <w:tc>
          <w:tcPr>
            <w:tcW w:w="0" w:type="auto"/>
            <w:shd w:val="clear" w:color="auto" w:fill="auto"/>
          </w:tcPr>
          <w:p w14:paraId="0960A20D" w14:textId="77777777" w:rsidR="008A4C7A" w:rsidRPr="00B75955" w:rsidRDefault="008A4C7A" w:rsidP="008A4C7A">
            <w:pPr>
              <w:spacing w:after="60"/>
              <w:jc w:val="right"/>
              <w:rPr>
                <w:sz w:val="18"/>
                <w:lang w:val="en-CA"/>
              </w:rPr>
            </w:pPr>
          </w:p>
        </w:tc>
        <w:tc>
          <w:tcPr>
            <w:tcW w:w="0" w:type="auto"/>
            <w:shd w:val="clear" w:color="auto" w:fill="auto"/>
          </w:tcPr>
          <w:p w14:paraId="5B359302" w14:textId="77777777" w:rsidR="008A4C7A" w:rsidRPr="00B75955" w:rsidRDefault="008A4C7A" w:rsidP="008A4C7A">
            <w:pPr>
              <w:spacing w:after="60"/>
              <w:jc w:val="right"/>
              <w:rPr>
                <w:sz w:val="18"/>
                <w:lang w:val="en-CA"/>
              </w:rPr>
            </w:pPr>
            <w:r w:rsidRPr="00B75955">
              <w:rPr>
                <w:sz w:val="18"/>
                <w:lang w:val="en-CA"/>
              </w:rPr>
              <w:t>1.5</w:t>
            </w:r>
          </w:p>
        </w:tc>
        <w:tc>
          <w:tcPr>
            <w:tcW w:w="0" w:type="auto"/>
            <w:shd w:val="clear" w:color="auto" w:fill="auto"/>
          </w:tcPr>
          <w:p w14:paraId="31558CBC" w14:textId="77777777" w:rsidR="008A4C7A" w:rsidRPr="00B75955" w:rsidRDefault="008A4C7A" w:rsidP="008A4C7A">
            <w:pPr>
              <w:spacing w:after="60"/>
              <w:jc w:val="right"/>
              <w:rPr>
                <w:sz w:val="18"/>
                <w:lang w:val="en-CA"/>
              </w:rPr>
            </w:pPr>
          </w:p>
        </w:tc>
        <w:tc>
          <w:tcPr>
            <w:tcW w:w="0" w:type="auto"/>
            <w:shd w:val="clear" w:color="auto" w:fill="auto"/>
          </w:tcPr>
          <w:p w14:paraId="3A04CAC2" w14:textId="77777777" w:rsidR="008A4C7A" w:rsidRPr="00B75955" w:rsidRDefault="008A4C7A" w:rsidP="008A4C7A">
            <w:pPr>
              <w:spacing w:after="60"/>
              <w:jc w:val="right"/>
              <w:rPr>
                <w:sz w:val="18"/>
                <w:lang w:val="en-CA"/>
              </w:rPr>
            </w:pPr>
          </w:p>
        </w:tc>
        <w:tc>
          <w:tcPr>
            <w:tcW w:w="0" w:type="auto"/>
            <w:shd w:val="clear" w:color="auto" w:fill="auto"/>
          </w:tcPr>
          <w:p w14:paraId="64E352BC" w14:textId="77777777" w:rsidR="008A4C7A" w:rsidRPr="00B75955" w:rsidRDefault="008A4C7A" w:rsidP="008A4C7A">
            <w:pPr>
              <w:spacing w:after="60"/>
              <w:jc w:val="right"/>
              <w:rPr>
                <w:sz w:val="18"/>
                <w:lang w:val="en-CA"/>
              </w:rPr>
            </w:pPr>
          </w:p>
        </w:tc>
        <w:tc>
          <w:tcPr>
            <w:tcW w:w="0" w:type="auto"/>
            <w:shd w:val="clear" w:color="auto" w:fill="auto"/>
          </w:tcPr>
          <w:p w14:paraId="7FE9E377" w14:textId="77777777" w:rsidR="008A4C7A" w:rsidRPr="00B75955" w:rsidRDefault="008A4C7A" w:rsidP="008A4C7A">
            <w:pPr>
              <w:spacing w:after="60"/>
              <w:jc w:val="right"/>
              <w:rPr>
                <w:sz w:val="18"/>
                <w:lang w:val="en-CA"/>
              </w:rPr>
            </w:pPr>
            <w:r w:rsidRPr="00B75955">
              <w:rPr>
                <w:sz w:val="18"/>
                <w:lang w:val="en-CA"/>
              </w:rPr>
              <w:t>1.5</w:t>
            </w:r>
          </w:p>
        </w:tc>
      </w:tr>
      <w:tr w:rsidR="008A4C7A" w:rsidRPr="00B75955" w14:paraId="484E7333" w14:textId="77777777" w:rsidTr="008A4C7A">
        <w:trPr>
          <w:trHeight w:val="240"/>
        </w:trPr>
        <w:tc>
          <w:tcPr>
            <w:tcW w:w="1200" w:type="dxa"/>
            <w:shd w:val="clear" w:color="auto" w:fill="auto"/>
          </w:tcPr>
          <w:p w14:paraId="7F268724" w14:textId="77777777" w:rsidR="008A4C7A" w:rsidRPr="00B75955" w:rsidRDefault="008A4C7A" w:rsidP="008A4C7A">
            <w:pPr>
              <w:spacing w:after="60"/>
              <w:jc w:val="left"/>
              <w:rPr>
                <w:sz w:val="18"/>
                <w:lang w:val="en-CA"/>
              </w:rPr>
            </w:pPr>
            <w:r w:rsidRPr="00B75955">
              <w:rPr>
                <w:sz w:val="18"/>
                <w:lang w:val="en-CA"/>
              </w:rPr>
              <w:t>HCFC-141b</w:t>
            </w:r>
          </w:p>
        </w:tc>
        <w:tc>
          <w:tcPr>
            <w:tcW w:w="0" w:type="auto"/>
            <w:shd w:val="clear" w:color="auto" w:fill="auto"/>
          </w:tcPr>
          <w:p w14:paraId="041B789A" w14:textId="77777777" w:rsidR="008A4C7A" w:rsidRPr="00B75955" w:rsidRDefault="008A4C7A" w:rsidP="008A4C7A">
            <w:pPr>
              <w:spacing w:after="60"/>
              <w:jc w:val="right"/>
              <w:rPr>
                <w:sz w:val="18"/>
                <w:lang w:val="en-CA"/>
              </w:rPr>
            </w:pPr>
            <w:r w:rsidRPr="00B75955">
              <w:rPr>
                <w:sz w:val="18"/>
                <w:lang w:val="en-CA"/>
              </w:rPr>
              <w:t>63.0</w:t>
            </w:r>
          </w:p>
        </w:tc>
        <w:tc>
          <w:tcPr>
            <w:tcW w:w="0" w:type="auto"/>
            <w:shd w:val="clear" w:color="auto" w:fill="auto"/>
          </w:tcPr>
          <w:p w14:paraId="2CEE5DA0" w14:textId="77777777" w:rsidR="008A4C7A" w:rsidRPr="00B75955" w:rsidRDefault="008A4C7A" w:rsidP="008A4C7A">
            <w:pPr>
              <w:spacing w:after="60"/>
              <w:jc w:val="right"/>
              <w:rPr>
                <w:sz w:val="18"/>
                <w:lang w:val="en-CA"/>
              </w:rPr>
            </w:pPr>
            <w:r w:rsidRPr="00B75955">
              <w:rPr>
                <w:sz w:val="18"/>
                <w:lang w:val="en-CA"/>
              </w:rPr>
              <w:t>3,830.3</w:t>
            </w:r>
          </w:p>
        </w:tc>
        <w:tc>
          <w:tcPr>
            <w:tcW w:w="0" w:type="auto"/>
            <w:shd w:val="clear" w:color="auto" w:fill="auto"/>
          </w:tcPr>
          <w:p w14:paraId="4F8A8702" w14:textId="77777777" w:rsidR="008A4C7A" w:rsidRPr="00B75955" w:rsidRDefault="008A4C7A" w:rsidP="008A4C7A">
            <w:pPr>
              <w:spacing w:after="60"/>
              <w:jc w:val="right"/>
              <w:rPr>
                <w:sz w:val="18"/>
                <w:lang w:val="en-CA"/>
              </w:rPr>
            </w:pPr>
          </w:p>
        </w:tc>
        <w:tc>
          <w:tcPr>
            <w:tcW w:w="0" w:type="auto"/>
            <w:shd w:val="clear" w:color="auto" w:fill="auto"/>
          </w:tcPr>
          <w:p w14:paraId="106A474C" w14:textId="77777777" w:rsidR="008A4C7A" w:rsidRPr="00B75955" w:rsidRDefault="008A4C7A" w:rsidP="008A4C7A">
            <w:pPr>
              <w:spacing w:after="60"/>
              <w:jc w:val="right"/>
              <w:rPr>
                <w:sz w:val="18"/>
                <w:lang w:val="en-CA"/>
              </w:rPr>
            </w:pPr>
          </w:p>
        </w:tc>
        <w:tc>
          <w:tcPr>
            <w:tcW w:w="0" w:type="auto"/>
            <w:shd w:val="clear" w:color="auto" w:fill="auto"/>
          </w:tcPr>
          <w:p w14:paraId="583DF3D8" w14:textId="77777777" w:rsidR="008A4C7A" w:rsidRPr="00B75955" w:rsidRDefault="008A4C7A" w:rsidP="008A4C7A">
            <w:pPr>
              <w:spacing w:after="60"/>
              <w:jc w:val="right"/>
              <w:rPr>
                <w:sz w:val="18"/>
                <w:lang w:val="en-CA"/>
              </w:rPr>
            </w:pPr>
          </w:p>
        </w:tc>
        <w:tc>
          <w:tcPr>
            <w:tcW w:w="0" w:type="auto"/>
            <w:shd w:val="clear" w:color="auto" w:fill="auto"/>
          </w:tcPr>
          <w:p w14:paraId="5BC07903" w14:textId="77777777" w:rsidR="008A4C7A" w:rsidRPr="00B75955" w:rsidRDefault="008A4C7A" w:rsidP="008A4C7A">
            <w:pPr>
              <w:spacing w:after="60"/>
              <w:jc w:val="right"/>
              <w:rPr>
                <w:sz w:val="18"/>
                <w:lang w:val="en-CA"/>
              </w:rPr>
            </w:pPr>
            <w:r w:rsidRPr="00B75955">
              <w:rPr>
                <w:sz w:val="18"/>
                <w:lang w:val="en-CA"/>
              </w:rPr>
              <w:t>412.5</w:t>
            </w:r>
          </w:p>
        </w:tc>
        <w:tc>
          <w:tcPr>
            <w:tcW w:w="0" w:type="auto"/>
            <w:shd w:val="clear" w:color="auto" w:fill="auto"/>
          </w:tcPr>
          <w:p w14:paraId="01EF563D" w14:textId="77777777" w:rsidR="008A4C7A" w:rsidRPr="00B75955" w:rsidRDefault="008A4C7A" w:rsidP="008A4C7A">
            <w:pPr>
              <w:spacing w:after="60"/>
              <w:jc w:val="right"/>
              <w:rPr>
                <w:sz w:val="18"/>
                <w:lang w:val="en-CA"/>
              </w:rPr>
            </w:pPr>
          </w:p>
        </w:tc>
        <w:tc>
          <w:tcPr>
            <w:tcW w:w="0" w:type="auto"/>
            <w:shd w:val="clear" w:color="auto" w:fill="auto"/>
          </w:tcPr>
          <w:p w14:paraId="55CC1616" w14:textId="77777777" w:rsidR="008A4C7A" w:rsidRPr="00B75955" w:rsidRDefault="008A4C7A" w:rsidP="008A4C7A">
            <w:pPr>
              <w:spacing w:after="60"/>
              <w:jc w:val="right"/>
              <w:rPr>
                <w:sz w:val="18"/>
                <w:lang w:val="en-CA"/>
              </w:rPr>
            </w:pPr>
          </w:p>
        </w:tc>
        <w:tc>
          <w:tcPr>
            <w:tcW w:w="0" w:type="auto"/>
            <w:shd w:val="clear" w:color="auto" w:fill="auto"/>
          </w:tcPr>
          <w:p w14:paraId="11781F1E" w14:textId="77777777" w:rsidR="008A4C7A" w:rsidRPr="00B75955" w:rsidRDefault="008A4C7A" w:rsidP="008A4C7A">
            <w:pPr>
              <w:spacing w:after="60"/>
              <w:jc w:val="right"/>
              <w:rPr>
                <w:sz w:val="18"/>
                <w:lang w:val="en-CA"/>
              </w:rPr>
            </w:pPr>
            <w:r w:rsidRPr="00B75955">
              <w:rPr>
                <w:sz w:val="18"/>
                <w:lang w:val="en-CA"/>
              </w:rPr>
              <w:t>4,305.9</w:t>
            </w:r>
          </w:p>
        </w:tc>
      </w:tr>
      <w:tr w:rsidR="008A4C7A" w:rsidRPr="00B75955" w14:paraId="00E820F4" w14:textId="77777777" w:rsidTr="008A4C7A">
        <w:trPr>
          <w:trHeight w:val="240"/>
        </w:trPr>
        <w:tc>
          <w:tcPr>
            <w:tcW w:w="1200" w:type="dxa"/>
            <w:shd w:val="clear" w:color="auto" w:fill="auto"/>
          </w:tcPr>
          <w:p w14:paraId="04A6594D" w14:textId="77777777" w:rsidR="008A4C7A" w:rsidRPr="00B75955" w:rsidRDefault="008A4C7A" w:rsidP="008A4C7A">
            <w:pPr>
              <w:spacing w:after="60"/>
              <w:jc w:val="left"/>
              <w:rPr>
                <w:sz w:val="18"/>
                <w:lang w:val="en-CA"/>
              </w:rPr>
            </w:pPr>
            <w:r w:rsidRPr="00B75955">
              <w:rPr>
                <w:sz w:val="18"/>
                <w:lang w:val="en-CA"/>
              </w:rPr>
              <w:t>HCFC-142b</w:t>
            </w:r>
          </w:p>
        </w:tc>
        <w:tc>
          <w:tcPr>
            <w:tcW w:w="0" w:type="auto"/>
            <w:shd w:val="clear" w:color="auto" w:fill="auto"/>
          </w:tcPr>
          <w:p w14:paraId="7CBC966B" w14:textId="77777777" w:rsidR="008A4C7A" w:rsidRPr="00B75955" w:rsidRDefault="008A4C7A" w:rsidP="008A4C7A">
            <w:pPr>
              <w:spacing w:after="60"/>
              <w:jc w:val="right"/>
              <w:rPr>
                <w:sz w:val="18"/>
                <w:lang w:val="en-CA"/>
              </w:rPr>
            </w:pPr>
          </w:p>
        </w:tc>
        <w:tc>
          <w:tcPr>
            <w:tcW w:w="0" w:type="auto"/>
            <w:shd w:val="clear" w:color="auto" w:fill="auto"/>
          </w:tcPr>
          <w:p w14:paraId="69E37098" w14:textId="77777777" w:rsidR="008A4C7A" w:rsidRPr="00B75955" w:rsidRDefault="008A4C7A" w:rsidP="008A4C7A">
            <w:pPr>
              <w:spacing w:after="60"/>
              <w:jc w:val="right"/>
              <w:rPr>
                <w:sz w:val="18"/>
                <w:lang w:val="en-CA"/>
              </w:rPr>
            </w:pPr>
            <w:r w:rsidRPr="00B75955">
              <w:rPr>
                <w:sz w:val="18"/>
                <w:lang w:val="en-CA"/>
              </w:rPr>
              <w:t>585.0</w:t>
            </w:r>
          </w:p>
        </w:tc>
        <w:tc>
          <w:tcPr>
            <w:tcW w:w="0" w:type="auto"/>
            <w:shd w:val="clear" w:color="auto" w:fill="auto"/>
          </w:tcPr>
          <w:p w14:paraId="55635C72" w14:textId="77777777" w:rsidR="008A4C7A" w:rsidRPr="00B75955" w:rsidRDefault="008A4C7A" w:rsidP="008A4C7A">
            <w:pPr>
              <w:spacing w:after="60"/>
              <w:jc w:val="right"/>
              <w:rPr>
                <w:sz w:val="18"/>
                <w:lang w:val="en-CA"/>
              </w:rPr>
            </w:pPr>
          </w:p>
        </w:tc>
        <w:tc>
          <w:tcPr>
            <w:tcW w:w="0" w:type="auto"/>
            <w:shd w:val="clear" w:color="auto" w:fill="auto"/>
          </w:tcPr>
          <w:p w14:paraId="5FDE6A76" w14:textId="77777777" w:rsidR="008A4C7A" w:rsidRPr="00B75955" w:rsidRDefault="008A4C7A" w:rsidP="008A4C7A">
            <w:pPr>
              <w:spacing w:after="60"/>
              <w:jc w:val="right"/>
              <w:rPr>
                <w:sz w:val="18"/>
                <w:lang w:val="en-CA"/>
              </w:rPr>
            </w:pPr>
            <w:r w:rsidRPr="00B75955">
              <w:rPr>
                <w:sz w:val="18"/>
                <w:lang w:val="en-CA"/>
              </w:rPr>
              <w:t>6.5</w:t>
            </w:r>
          </w:p>
        </w:tc>
        <w:tc>
          <w:tcPr>
            <w:tcW w:w="0" w:type="auto"/>
            <w:shd w:val="clear" w:color="auto" w:fill="auto"/>
          </w:tcPr>
          <w:p w14:paraId="72A72407" w14:textId="77777777" w:rsidR="008A4C7A" w:rsidRPr="00B75955" w:rsidRDefault="008A4C7A" w:rsidP="008A4C7A">
            <w:pPr>
              <w:spacing w:after="60"/>
              <w:jc w:val="right"/>
              <w:rPr>
                <w:sz w:val="18"/>
                <w:lang w:val="en-CA"/>
              </w:rPr>
            </w:pPr>
            <w:r w:rsidRPr="00B75955">
              <w:rPr>
                <w:sz w:val="18"/>
                <w:lang w:val="en-CA"/>
              </w:rPr>
              <w:t>24.1</w:t>
            </w:r>
          </w:p>
        </w:tc>
        <w:tc>
          <w:tcPr>
            <w:tcW w:w="0" w:type="auto"/>
            <w:shd w:val="clear" w:color="auto" w:fill="auto"/>
          </w:tcPr>
          <w:p w14:paraId="111E27B7" w14:textId="77777777" w:rsidR="008A4C7A" w:rsidRPr="00B75955" w:rsidRDefault="008A4C7A" w:rsidP="008A4C7A">
            <w:pPr>
              <w:spacing w:after="60"/>
              <w:jc w:val="right"/>
              <w:rPr>
                <w:sz w:val="18"/>
                <w:lang w:val="en-CA"/>
              </w:rPr>
            </w:pPr>
          </w:p>
        </w:tc>
        <w:tc>
          <w:tcPr>
            <w:tcW w:w="0" w:type="auto"/>
            <w:shd w:val="clear" w:color="auto" w:fill="auto"/>
          </w:tcPr>
          <w:p w14:paraId="4CE66508" w14:textId="77777777" w:rsidR="008A4C7A" w:rsidRPr="00B75955" w:rsidRDefault="008A4C7A" w:rsidP="008A4C7A">
            <w:pPr>
              <w:spacing w:after="60"/>
              <w:jc w:val="right"/>
              <w:rPr>
                <w:sz w:val="18"/>
                <w:lang w:val="en-CA"/>
              </w:rPr>
            </w:pPr>
          </w:p>
        </w:tc>
        <w:tc>
          <w:tcPr>
            <w:tcW w:w="0" w:type="auto"/>
            <w:shd w:val="clear" w:color="auto" w:fill="auto"/>
          </w:tcPr>
          <w:p w14:paraId="3DBEBDAC" w14:textId="77777777" w:rsidR="008A4C7A" w:rsidRPr="00B75955" w:rsidRDefault="008A4C7A" w:rsidP="008A4C7A">
            <w:pPr>
              <w:spacing w:after="60"/>
              <w:jc w:val="right"/>
              <w:rPr>
                <w:sz w:val="18"/>
                <w:lang w:val="en-CA"/>
              </w:rPr>
            </w:pPr>
          </w:p>
        </w:tc>
        <w:tc>
          <w:tcPr>
            <w:tcW w:w="0" w:type="auto"/>
            <w:shd w:val="clear" w:color="auto" w:fill="auto"/>
          </w:tcPr>
          <w:p w14:paraId="597F3A30" w14:textId="77777777" w:rsidR="008A4C7A" w:rsidRPr="00B75955" w:rsidRDefault="008A4C7A" w:rsidP="008A4C7A">
            <w:pPr>
              <w:spacing w:after="60"/>
              <w:jc w:val="right"/>
              <w:rPr>
                <w:sz w:val="18"/>
                <w:lang w:val="en-CA"/>
              </w:rPr>
            </w:pPr>
            <w:r w:rsidRPr="00B75955">
              <w:rPr>
                <w:sz w:val="18"/>
                <w:lang w:val="en-CA"/>
              </w:rPr>
              <w:t>615.6</w:t>
            </w:r>
          </w:p>
        </w:tc>
      </w:tr>
      <w:tr w:rsidR="008A4C7A" w:rsidRPr="00B75955" w14:paraId="54AB0B3A" w14:textId="77777777" w:rsidTr="008A4C7A">
        <w:trPr>
          <w:trHeight w:val="240"/>
        </w:trPr>
        <w:tc>
          <w:tcPr>
            <w:tcW w:w="1200" w:type="dxa"/>
            <w:shd w:val="clear" w:color="auto" w:fill="auto"/>
          </w:tcPr>
          <w:p w14:paraId="6444D820" w14:textId="77777777" w:rsidR="008A4C7A" w:rsidRPr="00B75955" w:rsidRDefault="008A4C7A" w:rsidP="008A4C7A">
            <w:pPr>
              <w:spacing w:after="60"/>
              <w:jc w:val="left"/>
              <w:rPr>
                <w:sz w:val="18"/>
                <w:lang w:val="en-CA"/>
              </w:rPr>
            </w:pPr>
            <w:r w:rsidRPr="00B75955">
              <w:rPr>
                <w:sz w:val="18"/>
                <w:lang w:val="en-CA"/>
              </w:rPr>
              <w:t>HCFC-225ca</w:t>
            </w:r>
          </w:p>
        </w:tc>
        <w:tc>
          <w:tcPr>
            <w:tcW w:w="0" w:type="auto"/>
            <w:shd w:val="clear" w:color="auto" w:fill="auto"/>
          </w:tcPr>
          <w:p w14:paraId="40243944" w14:textId="77777777" w:rsidR="008A4C7A" w:rsidRPr="00B75955" w:rsidRDefault="008A4C7A" w:rsidP="008A4C7A">
            <w:pPr>
              <w:spacing w:after="60"/>
              <w:jc w:val="right"/>
              <w:rPr>
                <w:sz w:val="18"/>
                <w:lang w:val="en-CA"/>
              </w:rPr>
            </w:pPr>
          </w:p>
        </w:tc>
        <w:tc>
          <w:tcPr>
            <w:tcW w:w="0" w:type="auto"/>
            <w:shd w:val="clear" w:color="auto" w:fill="auto"/>
          </w:tcPr>
          <w:p w14:paraId="48B5AB63" w14:textId="77777777" w:rsidR="008A4C7A" w:rsidRPr="00B75955" w:rsidRDefault="008A4C7A" w:rsidP="008A4C7A">
            <w:pPr>
              <w:spacing w:after="60"/>
              <w:jc w:val="right"/>
              <w:rPr>
                <w:sz w:val="18"/>
                <w:lang w:val="en-CA"/>
              </w:rPr>
            </w:pPr>
          </w:p>
        </w:tc>
        <w:tc>
          <w:tcPr>
            <w:tcW w:w="0" w:type="auto"/>
            <w:shd w:val="clear" w:color="auto" w:fill="auto"/>
          </w:tcPr>
          <w:p w14:paraId="7C7CCBF4" w14:textId="77777777" w:rsidR="008A4C7A" w:rsidRPr="00B75955" w:rsidRDefault="008A4C7A" w:rsidP="008A4C7A">
            <w:pPr>
              <w:spacing w:after="60"/>
              <w:jc w:val="right"/>
              <w:rPr>
                <w:sz w:val="18"/>
                <w:lang w:val="en-CA"/>
              </w:rPr>
            </w:pPr>
          </w:p>
        </w:tc>
        <w:tc>
          <w:tcPr>
            <w:tcW w:w="0" w:type="auto"/>
            <w:shd w:val="clear" w:color="auto" w:fill="auto"/>
          </w:tcPr>
          <w:p w14:paraId="5AA94B6C" w14:textId="77777777" w:rsidR="008A4C7A" w:rsidRPr="00B75955" w:rsidRDefault="008A4C7A" w:rsidP="008A4C7A">
            <w:pPr>
              <w:spacing w:after="60"/>
              <w:jc w:val="right"/>
              <w:rPr>
                <w:sz w:val="18"/>
                <w:lang w:val="en-CA"/>
              </w:rPr>
            </w:pPr>
          </w:p>
        </w:tc>
        <w:tc>
          <w:tcPr>
            <w:tcW w:w="0" w:type="auto"/>
            <w:shd w:val="clear" w:color="auto" w:fill="auto"/>
          </w:tcPr>
          <w:p w14:paraId="2BBF4AC6" w14:textId="77777777" w:rsidR="008A4C7A" w:rsidRPr="00B75955" w:rsidRDefault="008A4C7A" w:rsidP="008A4C7A">
            <w:pPr>
              <w:spacing w:after="60"/>
              <w:jc w:val="right"/>
              <w:rPr>
                <w:sz w:val="18"/>
                <w:lang w:val="en-CA"/>
              </w:rPr>
            </w:pPr>
          </w:p>
        </w:tc>
        <w:tc>
          <w:tcPr>
            <w:tcW w:w="0" w:type="auto"/>
            <w:shd w:val="clear" w:color="auto" w:fill="auto"/>
          </w:tcPr>
          <w:p w14:paraId="64A44DEB" w14:textId="77777777" w:rsidR="008A4C7A" w:rsidRPr="00B75955" w:rsidRDefault="008A4C7A" w:rsidP="008A4C7A">
            <w:pPr>
              <w:spacing w:after="60"/>
              <w:jc w:val="right"/>
              <w:rPr>
                <w:sz w:val="18"/>
                <w:lang w:val="en-CA"/>
              </w:rPr>
            </w:pPr>
            <w:r w:rsidRPr="00B75955">
              <w:rPr>
                <w:sz w:val="18"/>
                <w:lang w:val="en-CA"/>
              </w:rPr>
              <w:t>0.9</w:t>
            </w:r>
          </w:p>
        </w:tc>
        <w:tc>
          <w:tcPr>
            <w:tcW w:w="0" w:type="auto"/>
            <w:shd w:val="clear" w:color="auto" w:fill="auto"/>
          </w:tcPr>
          <w:p w14:paraId="0E4E0EDC" w14:textId="77777777" w:rsidR="008A4C7A" w:rsidRPr="00B75955" w:rsidRDefault="008A4C7A" w:rsidP="008A4C7A">
            <w:pPr>
              <w:spacing w:after="60"/>
              <w:jc w:val="right"/>
              <w:rPr>
                <w:sz w:val="18"/>
                <w:lang w:val="en-CA"/>
              </w:rPr>
            </w:pPr>
          </w:p>
        </w:tc>
        <w:tc>
          <w:tcPr>
            <w:tcW w:w="0" w:type="auto"/>
            <w:shd w:val="clear" w:color="auto" w:fill="auto"/>
          </w:tcPr>
          <w:p w14:paraId="639CC345" w14:textId="77777777" w:rsidR="008A4C7A" w:rsidRPr="00B75955" w:rsidRDefault="008A4C7A" w:rsidP="008A4C7A">
            <w:pPr>
              <w:spacing w:after="60"/>
              <w:jc w:val="right"/>
              <w:rPr>
                <w:sz w:val="18"/>
                <w:lang w:val="en-CA"/>
              </w:rPr>
            </w:pPr>
          </w:p>
        </w:tc>
        <w:tc>
          <w:tcPr>
            <w:tcW w:w="0" w:type="auto"/>
            <w:shd w:val="clear" w:color="auto" w:fill="auto"/>
          </w:tcPr>
          <w:p w14:paraId="0FFC147F" w14:textId="77777777" w:rsidR="008A4C7A" w:rsidRPr="00B75955" w:rsidRDefault="008A4C7A" w:rsidP="008A4C7A">
            <w:pPr>
              <w:spacing w:after="60"/>
              <w:jc w:val="right"/>
              <w:rPr>
                <w:sz w:val="18"/>
                <w:lang w:val="en-CA"/>
              </w:rPr>
            </w:pPr>
            <w:r w:rsidRPr="00B75955">
              <w:rPr>
                <w:sz w:val="18"/>
                <w:lang w:val="en-CA"/>
              </w:rPr>
              <w:t>0.9</w:t>
            </w:r>
          </w:p>
        </w:tc>
      </w:tr>
    </w:tbl>
    <w:p w14:paraId="40DA87A9" w14:textId="77777777" w:rsidR="008A4C7A" w:rsidRPr="00B75955" w:rsidRDefault="008A4C7A" w:rsidP="008A4C7A">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92"/>
        <w:gridCol w:w="1264"/>
        <w:gridCol w:w="5080"/>
        <w:gridCol w:w="1264"/>
      </w:tblGrid>
      <w:tr w:rsidR="008A4C7A" w:rsidRPr="00B75955" w14:paraId="1ED27119" w14:textId="77777777" w:rsidTr="008A4C7A">
        <w:trPr>
          <w:trHeight w:val="240"/>
        </w:trPr>
        <w:tc>
          <w:tcPr>
            <w:tcW w:w="0" w:type="auto"/>
            <w:gridSpan w:val="4"/>
            <w:shd w:val="clear" w:color="auto" w:fill="auto"/>
          </w:tcPr>
          <w:p w14:paraId="1A934533" w14:textId="77777777" w:rsidR="008A4C7A" w:rsidRPr="00B75955" w:rsidRDefault="008A4C7A" w:rsidP="008A4C7A">
            <w:pPr>
              <w:spacing w:after="60"/>
              <w:jc w:val="left"/>
              <w:rPr>
                <w:b/>
                <w:sz w:val="18"/>
                <w:lang w:val="en-CA"/>
              </w:rPr>
            </w:pPr>
            <w:r w:rsidRPr="00B75955">
              <w:rPr>
                <w:b/>
                <w:sz w:val="18"/>
                <w:lang w:val="en-CA"/>
              </w:rPr>
              <w:t>(IV) CONSUMPTION DATA (ODP tonnes)</w:t>
            </w:r>
          </w:p>
        </w:tc>
      </w:tr>
      <w:tr w:rsidR="008A4C7A" w:rsidRPr="00B75955" w14:paraId="161620D4" w14:textId="77777777" w:rsidTr="008A4C7A">
        <w:trPr>
          <w:trHeight w:val="240"/>
        </w:trPr>
        <w:tc>
          <w:tcPr>
            <w:tcW w:w="0" w:type="auto"/>
            <w:shd w:val="clear" w:color="auto" w:fill="auto"/>
          </w:tcPr>
          <w:p w14:paraId="0A498F12" w14:textId="77777777" w:rsidR="008A4C7A" w:rsidRPr="00B75955" w:rsidRDefault="008A4C7A" w:rsidP="008A4C7A">
            <w:pPr>
              <w:spacing w:after="60"/>
              <w:jc w:val="center"/>
              <w:rPr>
                <w:sz w:val="18"/>
                <w:lang w:val="en-CA"/>
              </w:rPr>
            </w:pPr>
            <w:r w:rsidRPr="00B75955">
              <w:rPr>
                <w:sz w:val="18"/>
                <w:lang w:val="en-CA"/>
              </w:rPr>
              <w:t>2009 - 2010 baseline:</w:t>
            </w:r>
          </w:p>
        </w:tc>
        <w:tc>
          <w:tcPr>
            <w:tcW w:w="0" w:type="auto"/>
            <w:shd w:val="clear" w:color="auto" w:fill="auto"/>
          </w:tcPr>
          <w:p w14:paraId="430267DA" w14:textId="77777777" w:rsidR="008A4C7A" w:rsidRPr="00B75955" w:rsidRDefault="008A4C7A" w:rsidP="008A4C7A">
            <w:pPr>
              <w:spacing w:after="60"/>
              <w:jc w:val="right"/>
              <w:rPr>
                <w:sz w:val="18"/>
                <w:lang w:val="en-CA"/>
              </w:rPr>
            </w:pPr>
            <w:r w:rsidRPr="00B75955">
              <w:rPr>
                <w:sz w:val="18"/>
                <w:lang w:val="en-CA"/>
              </w:rPr>
              <w:t>19,269.0</w:t>
            </w:r>
          </w:p>
        </w:tc>
        <w:tc>
          <w:tcPr>
            <w:tcW w:w="0" w:type="auto"/>
            <w:shd w:val="clear" w:color="auto" w:fill="auto"/>
          </w:tcPr>
          <w:p w14:paraId="4E56E685" w14:textId="77777777" w:rsidR="008A4C7A" w:rsidRPr="00B75955" w:rsidRDefault="008A4C7A" w:rsidP="008A4C7A">
            <w:pPr>
              <w:spacing w:after="60"/>
              <w:jc w:val="center"/>
              <w:rPr>
                <w:sz w:val="18"/>
                <w:lang w:val="en-CA"/>
              </w:rPr>
            </w:pPr>
            <w:r w:rsidRPr="00B75955">
              <w:rPr>
                <w:sz w:val="18"/>
                <w:lang w:val="en-CA"/>
              </w:rPr>
              <w:t>Starting point for sustained aggregate reductions:</w:t>
            </w:r>
          </w:p>
        </w:tc>
        <w:tc>
          <w:tcPr>
            <w:tcW w:w="0" w:type="auto"/>
            <w:shd w:val="clear" w:color="auto" w:fill="auto"/>
          </w:tcPr>
          <w:p w14:paraId="76D64B5D" w14:textId="77777777" w:rsidR="008A4C7A" w:rsidRPr="00B75955" w:rsidRDefault="008A4C7A" w:rsidP="008A4C7A">
            <w:pPr>
              <w:spacing w:after="60"/>
              <w:jc w:val="right"/>
              <w:rPr>
                <w:sz w:val="18"/>
                <w:lang w:val="en-CA"/>
              </w:rPr>
            </w:pPr>
            <w:r w:rsidRPr="00B75955">
              <w:rPr>
                <w:sz w:val="18"/>
                <w:lang w:val="en-CA"/>
              </w:rPr>
              <w:t>18,865.44</w:t>
            </w:r>
          </w:p>
        </w:tc>
      </w:tr>
      <w:tr w:rsidR="008A4C7A" w:rsidRPr="00B75955" w14:paraId="23BCCCED" w14:textId="77777777" w:rsidTr="008A4C7A">
        <w:trPr>
          <w:trHeight w:val="240"/>
        </w:trPr>
        <w:tc>
          <w:tcPr>
            <w:tcW w:w="0" w:type="auto"/>
            <w:gridSpan w:val="4"/>
            <w:shd w:val="clear" w:color="auto" w:fill="auto"/>
          </w:tcPr>
          <w:p w14:paraId="69F62A2C" w14:textId="77777777" w:rsidR="008A4C7A" w:rsidRPr="00B75955" w:rsidRDefault="008A4C7A" w:rsidP="008A4C7A">
            <w:pPr>
              <w:spacing w:after="60"/>
              <w:jc w:val="center"/>
              <w:rPr>
                <w:b/>
                <w:sz w:val="18"/>
                <w:lang w:val="en-CA"/>
              </w:rPr>
            </w:pPr>
            <w:r w:rsidRPr="00B75955">
              <w:rPr>
                <w:b/>
                <w:sz w:val="18"/>
                <w:lang w:val="en-CA"/>
              </w:rPr>
              <w:t>CONSUMPTION ELIGIBLE FOR FUNDING (ODP tonnes)</w:t>
            </w:r>
          </w:p>
        </w:tc>
      </w:tr>
      <w:tr w:rsidR="008A4C7A" w:rsidRPr="00B75955" w14:paraId="1158F101" w14:textId="77777777" w:rsidTr="008A4C7A">
        <w:trPr>
          <w:trHeight w:val="240"/>
        </w:trPr>
        <w:tc>
          <w:tcPr>
            <w:tcW w:w="0" w:type="auto"/>
            <w:shd w:val="clear" w:color="auto" w:fill="auto"/>
          </w:tcPr>
          <w:p w14:paraId="1D0E6C01" w14:textId="77777777" w:rsidR="008A4C7A" w:rsidRPr="00B75955" w:rsidRDefault="008A4C7A" w:rsidP="008A4C7A">
            <w:pPr>
              <w:spacing w:after="60"/>
              <w:jc w:val="center"/>
              <w:rPr>
                <w:sz w:val="18"/>
                <w:lang w:val="en-CA"/>
              </w:rPr>
            </w:pPr>
            <w:r w:rsidRPr="00B75955">
              <w:rPr>
                <w:sz w:val="18"/>
                <w:lang w:val="en-CA"/>
              </w:rPr>
              <w:t>Already approved:</w:t>
            </w:r>
          </w:p>
        </w:tc>
        <w:tc>
          <w:tcPr>
            <w:tcW w:w="0" w:type="auto"/>
            <w:shd w:val="clear" w:color="auto" w:fill="auto"/>
          </w:tcPr>
          <w:p w14:paraId="4D5215EA" w14:textId="77777777" w:rsidR="008A4C7A" w:rsidRPr="00B75955" w:rsidRDefault="008A4C7A" w:rsidP="008A4C7A">
            <w:pPr>
              <w:spacing w:after="60"/>
              <w:jc w:val="right"/>
              <w:rPr>
                <w:sz w:val="18"/>
                <w:lang w:val="en-CA"/>
              </w:rPr>
            </w:pPr>
            <w:r w:rsidRPr="00B75955">
              <w:rPr>
                <w:sz w:val="18"/>
                <w:lang w:val="en-CA"/>
              </w:rPr>
              <w:t>12,161.02</w:t>
            </w:r>
          </w:p>
        </w:tc>
        <w:tc>
          <w:tcPr>
            <w:tcW w:w="0" w:type="auto"/>
            <w:shd w:val="clear" w:color="auto" w:fill="auto"/>
          </w:tcPr>
          <w:p w14:paraId="611F8AA5" w14:textId="77777777" w:rsidR="008A4C7A" w:rsidRPr="00B75955" w:rsidRDefault="008A4C7A" w:rsidP="008A4C7A">
            <w:pPr>
              <w:spacing w:after="60"/>
              <w:jc w:val="center"/>
              <w:rPr>
                <w:sz w:val="18"/>
                <w:lang w:val="en-CA"/>
              </w:rPr>
            </w:pPr>
            <w:r w:rsidRPr="00B75955">
              <w:rPr>
                <w:sz w:val="18"/>
                <w:lang w:val="en-CA"/>
              </w:rPr>
              <w:t>Remaining:</w:t>
            </w:r>
          </w:p>
        </w:tc>
        <w:tc>
          <w:tcPr>
            <w:tcW w:w="0" w:type="auto"/>
            <w:shd w:val="clear" w:color="auto" w:fill="auto"/>
          </w:tcPr>
          <w:p w14:paraId="1216D794" w14:textId="77777777" w:rsidR="008A4C7A" w:rsidRPr="00B75955" w:rsidRDefault="008A4C7A" w:rsidP="008A4C7A">
            <w:pPr>
              <w:spacing w:after="60"/>
              <w:jc w:val="right"/>
              <w:rPr>
                <w:sz w:val="18"/>
                <w:lang w:val="en-CA"/>
              </w:rPr>
            </w:pPr>
            <w:r w:rsidRPr="00B75955">
              <w:rPr>
                <w:sz w:val="18"/>
                <w:lang w:val="en-CA"/>
              </w:rPr>
              <w:t>6,704.42</w:t>
            </w:r>
          </w:p>
        </w:tc>
      </w:tr>
    </w:tbl>
    <w:p w14:paraId="1C227B99" w14:textId="77777777" w:rsidR="008A4C7A" w:rsidRPr="00B75955" w:rsidRDefault="008A4C7A" w:rsidP="008A4C7A">
      <w:pPr>
        <w:spacing w:after="60"/>
        <w:jc w:val="center"/>
        <w:rPr>
          <w:lang w:val="en-CA"/>
        </w:rPr>
      </w:pPr>
    </w:p>
    <w:tbl>
      <w:tblPr>
        <w:tblStyle w:val="TableGrid"/>
        <w:tblW w:w="99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77"/>
        <w:gridCol w:w="3194"/>
        <w:gridCol w:w="1142"/>
        <w:gridCol w:w="1143"/>
        <w:gridCol w:w="1143"/>
        <w:gridCol w:w="1143"/>
        <w:gridCol w:w="1143"/>
      </w:tblGrid>
      <w:tr w:rsidR="008A4C7A" w:rsidRPr="00B75955" w14:paraId="6636C07A" w14:textId="77777777" w:rsidTr="008A4C7A">
        <w:trPr>
          <w:trHeight w:val="240"/>
        </w:trPr>
        <w:tc>
          <w:tcPr>
            <w:tcW w:w="0" w:type="auto"/>
            <w:gridSpan w:val="2"/>
            <w:shd w:val="clear" w:color="auto" w:fill="auto"/>
          </w:tcPr>
          <w:p w14:paraId="71EC53F4" w14:textId="77777777" w:rsidR="008A4C7A" w:rsidRPr="00B75955" w:rsidRDefault="008A4C7A" w:rsidP="008A4C7A">
            <w:pPr>
              <w:spacing w:after="60"/>
              <w:jc w:val="left"/>
              <w:rPr>
                <w:b/>
                <w:sz w:val="18"/>
                <w:lang w:val="en-CA"/>
              </w:rPr>
            </w:pPr>
            <w:r w:rsidRPr="00B75955">
              <w:rPr>
                <w:b/>
                <w:sz w:val="18"/>
                <w:lang w:val="en-CA"/>
              </w:rPr>
              <w:t>(V) BUSINESS PLAN</w:t>
            </w:r>
          </w:p>
        </w:tc>
        <w:tc>
          <w:tcPr>
            <w:tcW w:w="1142" w:type="dxa"/>
            <w:shd w:val="clear" w:color="auto" w:fill="auto"/>
          </w:tcPr>
          <w:p w14:paraId="125D9A66" w14:textId="77777777" w:rsidR="008A4C7A" w:rsidRPr="00B75955" w:rsidRDefault="008A4C7A" w:rsidP="008A4C7A">
            <w:pPr>
              <w:spacing w:after="60"/>
              <w:jc w:val="center"/>
              <w:rPr>
                <w:b/>
                <w:sz w:val="18"/>
                <w:lang w:val="en-CA"/>
              </w:rPr>
            </w:pPr>
            <w:r w:rsidRPr="00B75955">
              <w:rPr>
                <w:b/>
                <w:sz w:val="18"/>
                <w:lang w:val="en-CA"/>
              </w:rPr>
              <w:t>201</w:t>
            </w:r>
            <w:r w:rsidR="00AA74EB" w:rsidRPr="00B75955">
              <w:rPr>
                <w:b/>
                <w:sz w:val="18"/>
                <w:lang w:val="en-CA"/>
              </w:rPr>
              <w:t>8</w:t>
            </w:r>
          </w:p>
        </w:tc>
        <w:tc>
          <w:tcPr>
            <w:tcW w:w="1143" w:type="dxa"/>
            <w:shd w:val="clear" w:color="auto" w:fill="auto"/>
          </w:tcPr>
          <w:p w14:paraId="2BF8FE1E" w14:textId="77777777" w:rsidR="008A4C7A" w:rsidRPr="00B75955" w:rsidRDefault="008A4C7A" w:rsidP="008A4C7A">
            <w:pPr>
              <w:spacing w:after="60"/>
              <w:jc w:val="center"/>
              <w:rPr>
                <w:b/>
                <w:sz w:val="18"/>
                <w:lang w:val="en-CA"/>
              </w:rPr>
            </w:pPr>
            <w:r w:rsidRPr="00B75955">
              <w:rPr>
                <w:b/>
                <w:sz w:val="18"/>
                <w:lang w:val="en-CA"/>
              </w:rPr>
              <w:t>201</w:t>
            </w:r>
            <w:r w:rsidR="00AA74EB" w:rsidRPr="00B75955">
              <w:rPr>
                <w:b/>
                <w:sz w:val="18"/>
                <w:lang w:val="en-CA"/>
              </w:rPr>
              <w:t>9</w:t>
            </w:r>
          </w:p>
        </w:tc>
        <w:tc>
          <w:tcPr>
            <w:tcW w:w="1143" w:type="dxa"/>
            <w:shd w:val="clear" w:color="auto" w:fill="auto"/>
          </w:tcPr>
          <w:p w14:paraId="0A398E2F" w14:textId="77777777" w:rsidR="008A4C7A" w:rsidRPr="00B75955" w:rsidRDefault="008A4C7A" w:rsidP="00AA74EB">
            <w:pPr>
              <w:spacing w:after="60"/>
              <w:jc w:val="center"/>
              <w:rPr>
                <w:b/>
                <w:sz w:val="18"/>
                <w:lang w:val="en-CA"/>
              </w:rPr>
            </w:pPr>
            <w:r w:rsidRPr="00B75955">
              <w:rPr>
                <w:b/>
                <w:sz w:val="18"/>
                <w:lang w:val="en-CA"/>
              </w:rPr>
              <w:t>20</w:t>
            </w:r>
            <w:r w:rsidR="00AA74EB" w:rsidRPr="00B75955">
              <w:rPr>
                <w:b/>
                <w:sz w:val="18"/>
                <w:lang w:val="en-CA"/>
              </w:rPr>
              <w:t>20</w:t>
            </w:r>
          </w:p>
        </w:tc>
        <w:tc>
          <w:tcPr>
            <w:tcW w:w="1143" w:type="dxa"/>
            <w:shd w:val="clear" w:color="auto" w:fill="auto"/>
          </w:tcPr>
          <w:p w14:paraId="5D1046E9" w14:textId="77777777" w:rsidR="008A4C7A" w:rsidRPr="00B75955" w:rsidRDefault="00AA74EB" w:rsidP="008A4C7A">
            <w:pPr>
              <w:spacing w:after="60"/>
              <w:jc w:val="center"/>
              <w:rPr>
                <w:b/>
                <w:sz w:val="18"/>
                <w:lang w:val="en-CA"/>
              </w:rPr>
            </w:pPr>
            <w:r w:rsidRPr="00B75955">
              <w:rPr>
                <w:b/>
                <w:sz w:val="18"/>
                <w:lang w:val="en-CA"/>
              </w:rPr>
              <w:t xml:space="preserve">After </w:t>
            </w:r>
            <w:r w:rsidR="008A4C7A" w:rsidRPr="00B75955">
              <w:rPr>
                <w:b/>
                <w:sz w:val="18"/>
                <w:lang w:val="en-CA"/>
              </w:rPr>
              <w:t>2020</w:t>
            </w:r>
          </w:p>
        </w:tc>
        <w:tc>
          <w:tcPr>
            <w:tcW w:w="1143" w:type="dxa"/>
            <w:shd w:val="clear" w:color="auto" w:fill="auto"/>
          </w:tcPr>
          <w:p w14:paraId="547D4E6E" w14:textId="77777777" w:rsidR="008A4C7A" w:rsidRPr="00B75955" w:rsidRDefault="008A4C7A" w:rsidP="008A4C7A">
            <w:pPr>
              <w:spacing w:after="60"/>
              <w:jc w:val="center"/>
              <w:rPr>
                <w:b/>
                <w:sz w:val="18"/>
                <w:lang w:val="en-CA"/>
              </w:rPr>
            </w:pPr>
            <w:r w:rsidRPr="00B75955">
              <w:rPr>
                <w:b/>
                <w:sz w:val="18"/>
                <w:lang w:val="en-CA"/>
              </w:rPr>
              <w:t>Total</w:t>
            </w:r>
          </w:p>
        </w:tc>
      </w:tr>
      <w:tr w:rsidR="008A4C7A" w:rsidRPr="00B75955" w14:paraId="28CE888D" w14:textId="77777777" w:rsidTr="008A4C7A">
        <w:trPr>
          <w:trHeight w:val="240"/>
        </w:trPr>
        <w:tc>
          <w:tcPr>
            <w:tcW w:w="0" w:type="auto"/>
            <w:vMerge w:val="restart"/>
            <w:shd w:val="clear" w:color="auto" w:fill="auto"/>
          </w:tcPr>
          <w:p w14:paraId="5D830573" w14:textId="77777777" w:rsidR="008A4C7A" w:rsidRPr="00B75955" w:rsidRDefault="008A4C7A" w:rsidP="008A4C7A">
            <w:pPr>
              <w:spacing w:after="60"/>
              <w:jc w:val="center"/>
              <w:rPr>
                <w:sz w:val="18"/>
                <w:lang w:val="en-CA"/>
              </w:rPr>
            </w:pPr>
            <w:r w:rsidRPr="00B75955">
              <w:rPr>
                <w:sz w:val="18"/>
                <w:lang w:val="en-CA"/>
              </w:rPr>
              <w:t>UNIDO</w:t>
            </w:r>
          </w:p>
        </w:tc>
        <w:tc>
          <w:tcPr>
            <w:tcW w:w="0" w:type="auto"/>
            <w:shd w:val="clear" w:color="auto" w:fill="auto"/>
          </w:tcPr>
          <w:p w14:paraId="0674F3A8" w14:textId="77777777" w:rsidR="008A4C7A" w:rsidRPr="00B75955" w:rsidRDefault="008A4C7A" w:rsidP="008A4C7A">
            <w:pPr>
              <w:spacing w:after="60"/>
              <w:jc w:val="left"/>
              <w:rPr>
                <w:sz w:val="18"/>
                <w:lang w:val="en-CA"/>
              </w:rPr>
            </w:pPr>
            <w:r w:rsidRPr="00B75955">
              <w:rPr>
                <w:sz w:val="18"/>
                <w:lang w:val="en-CA"/>
              </w:rPr>
              <w:t>ODS phase-out (ODP tonnes)</w:t>
            </w:r>
          </w:p>
        </w:tc>
        <w:tc>
          <w:tcPr>
            <w:tcW w:w="1142" w:type="dxa"/>
            <w:shd w:val="clear" w:color="auto" w:fill="auto"/>
          </w:tcPr>
          <w:p w14:paraId="4FB43691" w14:textId="77777777" w:rsidR="008A4C7A" w:rsidRPr="00B75955" w:rsidRDefault="00AA74EB" w:rsidP="008A4C7A">
            <w:pPr>
              <w:spacing w:after="60"/>
              <w:jc w:val="right"/>
              <w:rPr>
                <w:sz w:val="18"/>
                <w:lang w:val="en-CA"/>
              </w:rPr>
            </w:pPr>
            <w:r w:rsidRPr="00B75955">
              <w:rPr>
                <w:sz w:val="18"/>
                <w:lang w:val="en-CA"/>
              </w:rPr>
              <w:t>313.71</w:t>
            </w:r>
          </w:p>
        </w:tc>
        <w:tc>
          <w:tcPr>
            <w:tcW w:w="1143" w:type="dxa"/>
            <w:shd w:val="clear" w:color="auto" w:fill="auto"/>
          </w:tcPr>
          <w:p w14:paraId="4F9E3DE7" w14:textId="77777777" w:rsidR="008A4C7A" w:rsidRPr="00B75955" w:rsidRDefault="00AA74EB" w:rsidP="008A4C7A">
            <w:pPr>
              <w:spacing w:after="60"/>
              <w:jc w:val="right"/>
              <w:rPr>
                <w:sz w:val="18"/>
                <w:lang w:val="en-CA"/>
              </w:rPr>
            </w:pPr>
            <w:r w:rsidRPr="00B75955">
              <w:rPr>
                <w:sz w:val="18"/>
                <w:lang w:val="en-CA"/>
              </w:rPr>
              <w:t>243.99</w:t>
            </w:r>
          </w:p>
        </w:tc>
        <w:tc>
          <w:tcPr>
            <w:tcW w:w="1143" w:type="dxa"/>
            <w:shd w:val="clear" w:color="auto" w:fill="auto"/>
          </w:tcPr>
          <w:p w14:paraId="04B9AFF9" w14:textId="77777777" w:rsidR="008A4C7A" w:rsidRPr="00B75955" w:rsidRDefault="00AA74EB" w:rsidP="008A4C7A">
            <w:pPr>
              <w:spacing w:after="60"/>
              <w:jc w:val="right"/>
              <w:rPr>
                <w:sz w:val="18"/>
                <w:lang w:val="en-CA"/>
              </w:rPr>
            </w:pPr>
            <w:r w:rsidRPr="00B75955">
              <w:rPr>
                <w:sz w:val="18"/>
                <w:lang w:val="en-CA"/>
              </w:rPr>
              <w:t>243.99</w:t>
            </w:r>
          </w:p>
        </w:tc>
        <w:tc>
          <w:tcPr>
            <w:tcW w:w="1143" w:type="dxa"/>
            <w:shd w:val="clear" w:color="auto" w:fill="auto"/>
          </w:tcPr>
          <w:p w14:paraId="62A089E5" w14:textId="77777777" w:rsidR="008A4C7A" w:rsidRPr="00B75955" w:rsidRDefault="00AA74EB" w:rsidP="008A4C7A">
            <w:pPr>
              <w:spacing w:after="60"/>
              <w:jc w:val="right"/>
              <w:rPr>
                <w:sz w:val="18"/>
                <w:lang w:val="en-CA"/>
              </w:rPr>
            </w:pPr>
            <w:r w:rsidRPr="00B75955">
              <w:rPr>
                <w:sz w:val="18"/>
                <w:lang w:val="en-CA"/>
              </w:rPr>
              <w:t>201.85</w:t>
            </w:r>
          </w:p>
        </w:tc>
        <w:tc>
          <w:tcPr>
            <w:tcW w:w="1143" w:type="dxa"/>
            <w:shd w:val="clear" w:color="auto" w:fill="auto"/>
          </w:tcPr>
          <w:p w14:paraId="43D6F700" w14:textId="77777777" w:rsidR="008A4C7A" w:rsidRPr="00B75955" w:rsidRDefault="00AA74EB" w:rsidP="008A4C7A">
            <w:pPr>
              <w:spacing w:after="60"/>
              <w:jc w:val="right"/>
              <w:rPr>
                <w:sz w:val="18"/>
                <w:lang w:val="en-CA"/>
              </w:rPr>
            </w:pPr>
            <w:r w:rsidRPr="00B75955">
              <w:rPr>
                <w:sz w:val="18"/>
                <w:lang w:val="en-CA"/>
              </w:rPr>
              <w:fldChar w:fldCharType="begin"/>
            </w:r>
            <w:r w:rsidRPr="00B75955">
              <w:rPr>
                <w:sz w:val="18"/>
                <w:lang w:val="en-CA"/>
              </w:rPr>
              <w:instrText xml:space="preserve"> =SUM(LEFT) </w:instrText>
            </w:r>
            <w:r w:rsidRPr="00B75955">
              <w:rPr>
                <w:sz w:val="18"/>
                <w:lang w:val="en-CA"/>
              </w:rPr>
              <w:fldChar w:fldCharType="separate"/>
            </w:r>
            <w:r w:rsidRPr="00B75955">
              <w:rPr>
                <w:noProof/>
                <w:sz w:val="18"/>
                <w:lang w:val="en-CA"/>
              </w:rPr>
              <w:t>1</w:t>
            </w:r>
            <w:r w:rsidR="00A16A8C" w:rsidRPr="00B75955">
              <w:rPr>
                <w:noProof/>
                <w:sz w:val="18"/>
                <w:lang w:val="en-CA"/>
              </w:rPr>
              <w:t>,</w:t>
            </w:r>
            <w:r w:rsidRPr="00B75955">
              <w:rPr>
                <w:noProof/>
                <w:sz w:val="18"/>
                <w:lang w:val="en-CA"/>
              </w:rPr>
              <w:t>003.54</w:t>
            </w:r>
            <w:r w:rsidRPr="00B75955">
              <w:rPr>
                <w:sz w:val="18"/>
                <w:lang w:val="en-CA"/>
              </w:rPr>
              <w:fldChar w:fldCharType="end"/>
            </w:r>
          </w:p>
        </w:tc>
      </w:tr>
      <w:tr w:rsidR="008A4C7A" w:rsidRPr="00B75955" w14:paraId="6E546493" w14:textId="77777777" w:rsidTr="008A4C7A">
        <w:trPr>
          <w:trHeight w:val="240"/>
        </w:trPr>
        <w:tc>
          <w:tcPr>
            <w:tcW w:w="0" w:type="auto"/>
            <w:vMerge/>
            <w:shd w:val="clear" w:color="auto" w:fill="auto"/>
          </w:tcPr>
          <w:p w14:paraId="165962FD" w14:textId="77777777" w:rsidR="008A4C7A" w:rsidRPr="00B75955" w:rsidRDefault="008A4C7A" w:rsidP="008A4C7A">
            <w:pPr>
              <w:spacing w:after="60"/>
              <w:jc w:val="center"/>
              <w:rPr>
                <w:sz w:val="18"/>
                <w:lang w:val="en-CA"/>
              </w:rPr>
            </w:pPr>
          </w:p>
        </w:tc>
        <w:tc>
          <w:tcPr>
            <w:tcW w:w="0" w:type="auto"/>
            <w:shd w:val="clear" w:color="auto" w:fill="auto"/>
          </w:tcPr>
          <w:p w14:paraId="7E374E9C" w14:textId="77777777" w:rsidR="008A4C7A" w:rsidRPr="00B75955" w:rsidRDefault="008A4C7A" w:rsidP="008A4C7A">
            <w:pPr>
              <w:spacing w:after="60"/>
              <w:jc w:val="left"/>
              <w:rPr>
                <w:sz w:val="18"/>
                <w:lang w:val="en-CA"/>
              </w:rPr>
            </w:pPr>
            <w:r w:rsidRPr="00B75955">
              <w:rPr>
                <w:sz w:val="18"/>
                <w:lang w:val="en-CA"/>
              </w:rPr>
              <w:t>Funding (US $)</w:t>
            </w:r>
          </w:p>
        </w:tc>
        <w:tc>
          <w:tcPr>
            <w:tcW w:w="1142" w:type="dxa"/>
            <w:shd w:val="clear" w:color="auto" w:fill="auto"/>
          </w:tcPr>
          <w:p w14:paraId="2ACFBA8C" w14:textId="77777777" w:rsidR="008A4C7A" w:rsidRPr="00B75955" w:rsidRDefault="00AA74EB" w:rsidP="008A4C7A">
            <w:pPr>
              <w:spacing w:after="60"/>
              <w:jc w:val="right"/>
              <w:rPr>
                <w:sz w:val="18"/>
                <w:lang w:val="en-CA"/>
              </w:rPr>
            </w:pPr>
            <w:r w:rsidRPr="00B75955">
              <w:rPr>
                <w:sz w:val="18"/>
                <w:lang w:val="en-CA"/>
              </w:rPr>
              <w:t>36,210,000</w:t>
            </w:r>
          </w:p>
        </w:tc>
        <w:tc>
          <w:tcPr>
            <w:tcW w:w="1143" w:type="dxa"/>
            <w:shd w:val="clear" w:color="auto" w:fill="auto"/>
          </w:tcPr>
          <w:p w14:paraId="7E345AB5" w14:textId="77777777" w:rsidR="008A4C7A" w:rsidRPr="00B75955" w:rsidRDefault="00AA74EB" w:rsidP="008A4C7A">
            <w:pPr>
              <w:spacing w:after="60"/>
              <w:jc w:val="right"/>
              <w:rPr>
                <w:sz w:val="18"/>
                <w:lang w:val="en-CA"/>
              </w:rPr>
            </w:pPr>
            <w:r w:rsidRPr="00B75955">
              <w:rPr>
                <w:sz w:val="18"/>
                <w:lang w:val="en-CA"/>
              </w:rPr>
              <w:t>14,910,000</w:t>
            </w:r>
          </w:p>
        </w:tc>
        <w:tc>
          <w:tcPr>
            <w:tcW w:w="1143" w:type="dxa"/>
            <w:shd w:val="clear" w:color="auto" w:fill="auto"/>
          </w:tcPr>
          <w:p w14:paraId="3988C764" w14:textId="77777777" w:rsidR="008A4C7A" w:rsidRPr="00B75955" w:rsidRDefault="00AA74EB" w:rsidP="008A4C7A">
            <w:pPr>
              <w:spacing w:after="60"/>
              <w:jc w:val="right"/>
              <w:rPr>
                <w:sz w:val="18"/>
                <w:lang w:val="en-CA"/>
              </w:rPr>
            </w:pPr>
            <w:r w:rsidRPr="00B75955">
              <w:rPr>
                <w:sz w:val="18"/>
                <w:lang w:val="en-CA"/>
              </w:rPr>
              <w:t>14,910,000</w:t>
            </w:r>
          </w:p>
        </w:tc>
        <w:tc>
          <w:tcPr>
            <w:tcW w:w="1143" w:type="dxa"/>
            <w:shd w:val="clear" w:color="auto" w:fill="auto"/>
          </w:tcPr>
          <w:p w14:paraId="4F56280F" w14:textId="77777777" w:rsidR="008A4C7A" w:rsidRPr="00B75955" w:rsidRDefault="00AA74EB" w:rsidP="00A16A8C">
            <w:pPr>
              <w:spacing w:after="60"/>
              <w:jc w:val="right"/>
              <w:rPr>
                <w:sz w:val="18"/>
                <w:lang w:val="en-CA"/>
              </w:rPr>
            </w:pPr>
            <w:r w:rsidRPr="00B75955">
              <w:rPr>
                <w:sz w:val="18"/>
                <w:lang w:val="en-CA"/>
              </w:rPr>
              <w:t>12,3</w:t>
            </w:r>
            <w:r w:rsidR="00A16A8C" w:rsidRPr="00B75955">
              <w:rPr>
                <w:sz w:val="18"/>
                <w:lang w:val="en-CA"/>
              </w:rPr>
              <w:t>3</w:t>
            </w:r>
            <w:r w:rsidRPr="00B75955">
              <w:rPr>
                <w:sz w:val="18"/>
                <w:lang w:val="en-CA"/>
              </w:rPr>
              <w:t>4,634</w:t>
            </w:r>
          </w:p>
        </w:tc>
        <w:tc>
          <w:tcPr>
            <w:tcW w:w="1143" w:type="dxa"/>
            <w:shd w:val="clear" w:color="auto" w:fill="auto"/>
          </w:tcPr>
          <w:p w14:paraId="374BB465" w14:textId="77777777" w:rsidR="008A4C7A" w:rsidRPr="00B75955" w:rsidRDefault="00A16A8C" w:rsidP="008A4C7A">
            <w:pPr>
              <w:spacing w:after="60"/>
              <w:jc w:val="right"/>
              <w:rPr>
                <w:sz w:val="18"/>
                <w:lang w:val="en-CA"/>
              </w:rPr>
            </w:pPr>
            <w:r w:rsidRPr="00B75955">
              <w:rPr>
                <w:sz w:val="18"/>
                <w:lang w:val="en-CA"/>
              </w:rPr>
              <w:fldChar w:fldCharType="begin"/>
            </w:r>
            <w:r w:rsidRPr="00B75955">
              <w:rPr>
                <w:sz w:val="18"/>
                <w:lang w:val="en-CA"/>
              </w:rPr>
              <w:instrText xml:space="preserve"> =SUM(left) </w:instrText>
            </w:r>
            <w:r w:rsidRPr="00B75955">
              <w:rPr>
                <w:sz w:val="18"/>
                <w:lang w:val="en-CA"/>
              </w:rPr>
              <w:fldChar w:fldCharType="separate"/>
            </w:r>
            <w:r w:rsidRPr="00B75955">
              <w:rPr>
                <w:noProof/>
                <w:sz w:val="18"/>
                <w:lang w:val="en-CA"/>
              </w:rPr>
              <w:t>78,364,634</w:t>
            </w:r>
            <w:r w:rsidRPr="00B75955">
              <w:rPr>
                <w:sz w:val="18"/>
                <w:lang w:val="en-CA"/>
              </w:rPr>
              <w:fldChar w:fldCharType="end"/>
            </w:r>
          </w:p>
        </w:tc>
      </w:tr>
      <w:tr w:rsidR="008A4C7A" w:rsidRPr="00B75955" w14:paraId="2D6EB331" w14:textId="77777777" w:rsidTr="008A4C7A">
        <w:trPr>
          <w:trHeight w:val="240"/>
        </w:trPr>
        <w:tc>
          <w:tcPr>
            <w:tcW w:w="0" w:type="auto"/>
            <w:vMerge w:val="restart"/>
            <w:shd w:val="clear" w:color="auto" w:fill="auto"/>
          </w:tcPr>
          <w:p w14:paraId="36A34C18" w14:textId="77777777" w:rsidR="008A4C7A" w:rsidRPr="00B75955" w:rsidRDefault="008A4C7A" w:rsidP="008A4C7A">
            <w:pPr>
              <w:spacing w:after="60"/>
              <w:jc w:val="center"/>
              <w:rPr>
                <w:sz w:val="18"/>
                <w:lang w:val="en-CA"/>
              </w:rPr>
            </w:pPr>
            <w:r w:rsidRPr="00B75955">
              <w:rPr>
                <w:sz w:val="18"/>
                <w:lang w:val="en-CA"/>
              </w:rPr>
              <w:t>Italy</w:t>
            </w:r>
          </w:p>
        </w:tc>
        <w:tc>
          <w:tcPr>
            <w:tcW w:w="0" w:type="auto"/>
            <w:shd w:val="clear" w:color="auto" w:fill="auto"/>
          </w:tcPr>
          <w:p w14:paraId="31AB15C1" w14:textId="77777777" w:rsidR="008A4C7A" w:rsidRPr="00B75955" w:rsidRDefault="008A4C7A" w:rsidP="008A4C7A">
            <w:pPr>
              <w:spacing w:after="60"/>
              <w:jc w:val="left"/>
              <w:rPr>
                <w:sz w:val="18"/>
                <w:lang w:val="en-CA"/>
              </w:rPr>
            </w:pPr>
            <w:r w:rsidRPr="00B75955">
              <w:rPr>
                <w:sz w:val="18"/>
                <w:lang w:val="en-CA"/>
              </w:rPr>
              <w:t>ODS phase-out (ODP tonnes)</w:t>
            </w:r>
          </w:p>
        </w:tc>
        <w:tc>
          <w:tcPr>
            <w:tcW w:w="1142" w:type="dxa"/>
            <w:shd w:val="clear" w:color="auto" w:fill="auto"/>
          </w:tcPr>
          <w:p w14:paraId="0B6E4936" w14:textId="77777777" w:rsidR="008A4C7A" w:rsidRPr="00B75955" w:rsidRDefault="008A4C7A" w:rsidP="008A4C7A">
            <w:pPr>
              <w:spacing w:after="60"/>
              <w:jc w:val="right"/>
              <w:rPr>
                <w:sz w:val="18"/>
                <w:lang w:val="en-CA"/>
              </w:rPr>
            </w:pPr>
            <w:r w:rsidRPr="00B75955">
              <w:rPr>
                <w:sz w:val="18"/>
                <w:lang w:val="en-CA"/>
              </w:rPr>
              <w:t>0</w:t>
            </w:r>
          </w:p>
        </w:tc>
        <w:tc>
          <w:tcPr>
            <w:tcW w:w="1143" w:type="dxa"/>
            <w:shd w:val="clear" w:color="auto" w:fill="auto"/>
          </w:tcPr>
          <w:p w14:paraId="20FB43A8" w14:textId="77777777" w:rsidR="008A4C7A" w:rsidRPr="00B75955" w:rsidRDefault="008A4C7A" w:rsidP="008A4C7A">
            <w:pPr>
              <w:spacing w:after="60"/>
              <w:jc w:val="right"/>
              <w:rPr>
                <w:sz w:val="18"/>
                <w:lang w:val="en-CA"/>
              </w:rPr>
            </w:pPr>
            <w:r w:rsidRPr="00B75955">
              <w:rPr>
                <w:sz w:val="18"/>
                <w:lang w:val="en-CA"/>
              </w:rPr>
              <w:t>0</w:t>
            </w:r>
          </w:p>
        </w:tc>
        <w:tc>
          <w:tcPr>
            <w:tcW w:w="1143" w:type="dxa"/>
            <w:shd w:val="clear" w:color="auto" w:fill="auto"/>
          </w:tcPr>
          <w:p w14:paraId="625F4FDB" w14:textId="77777777" w:rsidR="008A4C7A" w:rsidRPr="00B75955" w:rsidRDefault="008A4C7A" w:rsidP="008A4C7A">
            <w:pPr>
              <w:spacing w:after="60"/>
              <w:jc w:val="right"/>
              <w:rPr>
                <w:sz w:val="18"/>
                <w:lang w:val="en-CA"/>
              </w:rPr>
            </w:pPr>
            <w:r w:rsidRPr="00B75955">
              <w:rPr>
                <w:sz w:val="18"/>
                <w:lang w:val="en-CA"/>
              </w:rPr>
              <w:t>0</w:t>
            </w:r>
          </w:p>
        </w:tc>
        <w:tc>
          <w:tcPr>
            <w:tcW w:w="1143" w:type="dxa"/>
            <w:shd w:val="clear" w:color="auto" w:fill="auto"/>
          </w:tcPr>
          <w:p w14:paraId="7D877DDD" w14:textId="77777777" w:rsidR="008A4C7A" w:rsidRPr="00B75955" w:rsidRDefault="008A4C7A" w:rsidP="008A4C7A">
            <w:pPr>
              <w:spacing w:after="60"/>
              <w:jc w:val="right"/>
              <w:rPr>
                <w:sz w:val="18"/>
                <w:lang w:val="en-CA"/>
              </w:rPr>
            </w:pPr>
            <w:r w:rsidRPr="00B75955">
              <w:rPr>
                <w:sz w:val="18"/>
                <w:lang w:val="en-CA"/>
              </w:rPr>
              <w:t>0</w:t>
            </w:r>
          </w:p>
        </w:tc>
        <w:tc>
          <w:tcPr>
            <w:tcW w:w="1143" w:type="dxa"/>
            <w:shd w:val="clear" w:color="auto" w:fill="auto"/>
          </w:tcPr>
          <w:p w14:paraId="51F48A69" w14:textId="77777777" w:rsidR="008A4C7A" w:rsidRPr="00B75955" w:rsidRDefault="008A4C7A" w:rsidP="008A4C7A">
            <w:pPr>
              <w:spacing w:after="60"/>
              <w:jc w:val="right"/>
              <w:rPr>
                <w:sz w:val="18"/>
                <w:lang w:val="en-CA"/>
              </w:rPr>
            </w:pPr>
            <w:r w:rsidRPr="00B75955">
              <w:rPr>
                <w:sz w:val="18"/>
                <w:lang w:val="en-CA"/>
              </w:rPr>
              <w:t>0</w:t>
            </w:r>
          </w:p>
        </w:tc>
      </w:tr>
      <w:tr w:rsidR="008A4C7A" w:rsidRPr="00B75955" w14:paraId="4F4BA6D9" w14:textId="77777777" w:rsidTr="008A4C7A">
        <w:trPr>
          <w:trHeight w:val="240"/>
        </w:trPr>
        <w:tc>
          <w:tcPr>
            <w:tcW w:w="0" w:type="auto"/>
            <w:vMerge/>
            <w:shd w:val="clear" w:color="auto" w:fill="auto"/>
          </w:tcPr>
          <w:p w14:paraId="0ADD1880" w14:textId="77777777" w:rsidR="008A4C7A" w:rsidRPr="00B75955" w:rsidRDefault="008A4C7A" w:rsidP="008A4C7A">
            <w:pPr>
              <w:spacing w:after="60"/>
              <w:jc w:val="center"/>
              <w:rPr>
                <w:sz w:val="18"/>
                <w:lang w:val="en-CA"/>
              </w:rPr>
            </w:pPr>
          </w:p>
        </w:tc>
        <w:tc>
          <w:tcPr>
            <w:tcW w:w="0" w:type="auto"/>
            <w:shd w:val="clear" w:color="auto" w:fill="auto"/>
          </w:tcPr>
          <w:p w14:paraId="5F0194BB" w14:textId="77777777" w:rsidR="008A4C7A" w:rsidRPr="00B75955" w:rsidRDefault="008A4C7A" w:rsidP="008A4C7A">
            <w:pPr>
              <w:spacing w:after="60"/>
              <w:jc w:val="left"/>
              <w:rPr>
                <w:sz w:val="18"/>
                <w:lang w:val="en-CA"/>
              </w:rPr>
            </w:pPr>
            <w:r w:rsidRPr="00B75955">
              <w:rPr>
                <w:sz w:val="18"/>
                <w:lang w:val="en-CA"/>
              </w:rPr>
              <w:t>Funding (US $)</w:t>
            </w:r>
          </w:p>
        </w:tc>
        <w:tc>
          <w:tcPr>
            <w:tcW w:w="1142" w:type="dxa"/>
            <w:shd w:val="clear" w:color="auto" w:fill="auto"/>
          </w:tcPr>
          <w:p w14:paraId="5AB3A68B" w14:textId="77777777" w:rsidR="008A4C7A" w:rsidRPr="00B75955" w:rsidRDefault="008A4C7A" w:rsidP="008A4C7A">
            <w:pPr>
              <w:spacing w:after="60"/>
              <w:jc w:val="right"/>
              <w:rPr>
                <w:sz w:val="18"/>
                <w:lang w:val="en-CA"/>
              </w:rPr>
            </w:pPr>
            <w:r w:rsidRPr="00B75955">
              <w:rPr>
                <w:sz w:val="18"/>
                <w:lang w:val="en-CA"/>
              </w:rPr>
              <w:t>0</w:t>
            </w:r>
          </w:p>
        </w:tc>
        <w:tc>
          <w:tcPr>
            <w:tcW w:w="1143" w:type="dxa"/>
            <w:shd w:val="clear" w:color="auto" w:fill="auto"/>
          </w:tcPr>
          <w:p w14:paraId="39090FD1" w14:textId="77777777" w:rsidR="008A4C7A" w:rsidRPr="00B75955" w:rsidRDefault="008A4C7A" w:rsidP="008A4C7A">
            <w:pPr>
              <w:spacing w:after="60"/>
              <w:jc w:val="right"/>
              <w:rPr>
                <w:sz w:val="18"/>
                <w:lang w:val="en-CA"/>
              </w:rPr>
            </w:pPr>
            <w:r w:rsidRPr="00B75955">
              <w:rPr>
                <w:sz w:val="18"/>
                <w:lang w:val="en-CA"/>
              </w:rPr>
              <w:t>0</w:t>
            </w:r>
          </w:p>
        </w:tc>
        <w:tc>
          <w:tcPr>
            <w:tcW w:w="1143" w:type="dxa"/>
            <w:shd w:val="clear" w:color="auto" w:fill="auto"/>
          </w:tcPr>
          <w:p w14:paraId="2BB09F4A" w14:textId="77777777" w:rsidR="008A4C7A" w:rsidRPr="00B75955" w:rsidRDefault="008A4C7A" w:rsidP="008A4C7A">
            <w:pPr>
              <w:spacing w:after="60"/>
              <w:jc w:val="right"/>
              <w:rPr>
                <w:sz w:val="18"/>
                <w:lang w:val="en-CA"/>
              </w:rPr>
            </w:pPr>
            <w:r w:rsidRPr="00B75955">
              <w:rPr>
                <w:sz w:val="18"/>
                <w:lang w:val="en-CA"/>
              </w:rPr>
              <w:t>0</w:t>
            </w:r>
          </w:p>
        </w:tc>
        <w:tc>
          <w:tcPr>
            <w:tcW w:w="1143" w:type="dxa"/>
            <w:shd w:val="clear" w:color="auto" w:fill="auto"/>
          </w:tcPr>
          <w:p w14:paraId="31DBB5F9" w14:textId="77777777" w:rsidR="008A4C7A" w:rsidRPr="00B75955" w:rsidRDefault="008A4C7A" w:rsidP="008A4C7A">
            <w:pPr>
              <w:spacing w:after="60"/>
              <w:jc w:val="right"/>
              <w:rPr>
                <w:sz w:val="18"/>
                <w:lang w:val="en-CA"/>
              </w:rPr>
            </w:pPr>
            <w:r w:rsidRPr="00B75955">
              <w:rPr>
                <w:sz w:val="18"/>
                <w:lang w:val="en-CA"/>
              </w:rPr>
              <w:t>0</w:t>
            </w:r>
          </w:p>
        </w:tc>
        <w:tc>
          <w:tcPr>
            <w:tcW w:w="1143" w:type="dxa"/>
            <w:shd w:val="clear" w:color="auto" w:fill="auto"/>
          </w:tcPr>
          <w:p w14:paraId="54E0CE00" w14:textId="77777777" w:rsidR="008A4C7A" w:rsidRPr="00B75955" w:rsidRDefault="008A4C7A" w:rsidP="008A4C7A">
            <w:pPr>
              <w:spacing w:after="60"/>
              <w:jc w:val="right"/>
              <w:rPr>
                <w:sz w:val="18"/>
                <w:lang w:val="en-CA"/>
              </w:rPr>
            </w:pPr>
            <w:r w:rsidRPr="00B75955">
              <w:rPr>
                <w:sz w:val="18"/>
                <w:lang w:val="en-CA"/>
              </w:rPr>
              <w:t>0</w:t>
            </w:r>
          </w:p>
        </w:tc>
      </w:tr>
    </w:tbl>
    <w:p w14:paraId="244CAC4C" w14:textId="77777777" w:rsidR="008A4C7A" w:rsidRPr="00B75955" w:rsidRDefault="008A4C7A" w:rsidP="008A4C7A">
      <w:pPr>
        <w:spacing w:after="60"/>
        <w:jc w:val="center"/>
        <w:rPr>
          <w:lang w:val="en-CA"/>
        </w:rPr>
      </w:pPr>
    </w:p>
    <w:p w14:paraId="2C7AB4CE" w14:textId="77777777" w:rsidR="008A4C7A" w:rsidRPr="00B75955" w:rsidRDefault="008A4C7A" w:rsidP="008A4C7A">
      <w:pPr>
        <w:spacing w:after="60"/>
        <w:jc w:val="center"/>
        <w:rPr>
          <w:lang w:val="en-CA"/>
        </w:rPr>
      </w:pPr>
    </w:p>
    <w:p w14:paraId="7A770A77" w14:textId="77777777" w:rsidR="008A4C7A" w:rsidRPr="00B75955" w:rsidRDefault="008A4C7A" w:rsidP="008A4C7A">
      <w:pPr>
        <w:spacing w:after="60"/>
        <w:jc w:val="center"/>
        <w:rPr>
          <w:lang w:val="en-CA"/>
        </w:rPr>
      </w:pPr>
    </w:p>
    <w:p w14:paraId="43D969F2" w14:textId="77777777" w:rsidR="008A4C7A" w:rsidRPr="00B75955" w:rsidRDefault="008A4C7A" w:rsidP="008A4C7A">
      <w:pPr>
        <w:spacing w:after="60"/>
        <w:jc w:val="center"/>
        <w:rPr>
          <w:lang w:val="en-CA"/>
        </w:rPr>
      </w:pPr>
    </w:p>
    <w:p w14:paraId="06C2465A" w14:textId="77777777" w:rsidR="008A4C7A" w:rsidRPr="00B75955" w:rsidRDefault="008A4C7A" w:rsidP="008A4C7A">
      <w:pPr>
        <w:jc w:val="left"/>
        <w:rPr>
          <w:lang w:val="en-CA"/>
        </w:rPr>
        <w:sectPr w:rsidR="008A4C7A" w:rsidRPr="00B75955" w:rsidSect="008A4C7A">
          <w:headerReference w:type="first" r:id="rId16"/>
          <w:footerReference w:type="first" r:id="rId17"/>
          <w:pgSz w:w="12240" w:h="15840" w:code="1"/>
          <w:pgMar w:top="600" w:right="1440" w:bottom="600" w:left="1440" w:header="720" w:footer="475" w:gutter="0"/>
          <w:cols w:space="720"/>
          <w:titlePg/>
          <w:docGrid w:linePitch="299"/>
        </w:sectPr>
      </w:pPr>
    </w:p>
    <w:p w14:paraId="6611B193" w14:textId="77777777" w:rsidR="008A4C7A" w:rsidRPr="00B75955" w:rsidRDefault="008A4C7A" w:rsidP="008A4C7A">
      <w:pPr>
        <w:jc w:val="left"/>
        <w:rPr>
          <w:lang w:val="en-CA"/>
        </w:rPr>
      </w:pPr>
    </w:p>
    <w:p w14:paraId="4FD64E29" w14:textId="77777777" w:rsidR="008A4C7A" w:rsidRPr="00B75955" w:rsidRDefault="008A4C7A" w:rsidP="008A4C7A">
      <w:pPr>
        <w:jc w:val="left"/>
        <w:rPr>
          <w:lang w:val="en-CA"/>
        </w:rPr>
      </w:pPr>
    </w:p>
    <w:tbl>
      <w:tblPr>
        <w:tblStyle w:val="TableGrid"/>
        <w:tblW w:w="1329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28"/>
        <w:gridCol w:w="898"/>
        <w:gridCol w:w="851"/>
        <w:gridCol w:w="1014"/>
        <w:gridCol w:w="1025"/>
        <w:gridCol w:w="1016"/>
        <w:gridCol w:w="936"/>
        <w:gridCol w:w="936"/>
        <w:gridCol w:w="936"/>
        <w:gridCol w:w="776"/>
        <w:gridCol w:w="776"/>
        <w:gridCol w:w="776"/>
        <w:gridCol w:w="704"/>
        <w:gridCol w:w="704"/>
        <w:gridCol w:w="1014"/>
      </w:tblGrid>
      <w:tr w:rsidR="008A4C7A" w:rsidRPr="00B75955" w14:paraId="58A33426" w14:textId="77777777" w:rsidTr="008A4C7A">
        <w:tc>
          <w:tcPr>
            <w:tcW w:w="2730" w:type="dxa"/>
            <w:gridSpan w:val="3"/>
            <w:shd w:val="clear" w:color="auto" w:fill="auto"/>
          </w:tcPr>
          <w:p w14:paraId="6B815B1A" w14:textId="77777777" w:rsidR="008A4C7A" w:rsidRPr="00B75955" w:rsidRDefault="008A4C7A" w:rsidP="007978A3">
            <w:pPr>
              <w:jc w:val="left"/>
              <w:rPr>
                <w:b/>
                <w:sz w:val="18"/>
                <w:lang w:val="en-CA"/>
              </w:rPr>
            </w:pPr>
            <w:r w:rsidRPr="00B75955">
              <w:rPr>
                <w:b/>
                <w:sz w:val="18"/>
                <w:lang w:val="en-CA"/>
              </w:rPr>
              <w:t>(VI) PROJECT DATA</w:t>
            </w:r>
          </w:p>
        </w:tc>
        <w:tc>
          <w:tcPr>
            <w:tcW w:w="1026" w:type="dxa"/>
            <w:shd w:val="clear" w:color="auto" w:fill="auto"/>
          </w:tcPr>
          <w:p w14:paraId="5C90D6F9" w14:textId="77777777" w:rsidR="008A4C7A" w:rsidRPr="00B75955" w:rsidRDefault="008A4C7A" w:rsidP="007978A3">
            <w:pPr>
              <w:jc w:val="center"/>
              <w:rPr>
                <w:b/>
                <w:bCs/>
                <w:sz w:val="18"/>
                <w:szCs w:val="18"/>
                <w:lang w:val="en-CA"/>
              </w:rPr>
            </w:pPr>
            <w:r w:rsidRPr="00B75955">
              <w:rPr>
                <w:b/>
                <w:bCs/>
                <w:sz w:val="18"/>
                <w:szCs w:val="18"/>
                <w:lang w:val="en-CA"/>
              </w:rPr>
              <w:t>2016</w:t>
            </w:r>
          </w:p>
        </w:tc>
        <w:tc>
          <w:tcPr>
            <w:tcW w:w="1026" w:type="dxa"/>
            <w:shd w:val="clear" w:color="auto" w:fill="auto"/>
          </w:tcPr>
          <w:p w14:paraId="3B940944" w14:textId="77777777" w:rsidR="008A4C7A" w:rsidRPr="00B75955" w:rsidRDefault="008A4C7A" w:rsidP="007978A3">
            <w:pPr>
              <w:jc w:val="center"/>
              <w:rPr>
                <w:b/>
                <w:bCs/>
                <w:sz w:val="18"/>
                <w:szCs w:val="18"/>
                <w:lang w:val="en-CA"/>
              </w:rPr>
            </w:pPr>
            <w:r w:rsidRPr="00B75955">
              <w:rPr>
                <w:b/>
                <w:bCs/>
                <w:sz w:val="18"/>
                <w:szCs w:val="18"/>
                <w:lang w:val="en-CA"/>
              </w:rPr>
              <w:t>2017</w:t>
            </w:r>
          </w:p>
        </w:tc>
        <w:tc>
          <w:tcPr>
            <w:tcW w:w="936" w:type="dxa"/>
            <w:shd w:val="clear" w:color="auto" w:fill="auto"/>
          </w:tcPr>
          <w:p w14:paraId="39344461" w14:textId="77777777" w:rsidR="008A4C7A" w:rsidRPr="00B75955" w:rsidRDefault="008A4C7A" w:rsidP="007978A3">
            <w:pPr>
              <w:jc w:val="center"/>
              <w:rPr>
                <w:b/>
                <w:bCs/>
                <w:sz w:val="18"/>
                <w:szCs w:val="18"/>
                <w:lang w:val="en-CA"/>
              </w:rPr>
            </w:pPr>
            <w:r w:rsidRPr="00B75955">
              <w:rPr>
                <w:b/>
                <w:bCs/>
                <w:sz w:val="18"/>
                <w:szCs w:val="18"/>
                <w:lang w:val="en-CA"/>
              </w:rPr>
              <w:t>2018</w:t>
            </w:r>
          </w:p>
        </w:tc>
        <w:tc>
          <w:tcPr>
            <w:tcW w:w="936" w:type="dxa"/>
            <w:shd w:val="clear" w:color="auto" w:fill="auto"/>
          </w:tcPr>
          <w:p w14:paraId="25300C70" w14:textId="77777777" w:rsidR="008A4C7A" w:rsidRPr="00B75955" w:rsidRDefault="008A4C7A" w:rsidP="007978A3">
            <w:pPr>
              <w:jc w:val="center"/>
              <w:rPr>
                <w:b/>
                <w:bCs/>
                <w:sz w:val="18"/>
                <w:szCs w:val="18"/>
                <w:lang w:val="en-CA"/>
              </w:rPr>
            </w:pPr>
            <w:r w:rsidRPr="00B75955">
              <w:rPr>
                <w:b/>
                <w:bCs/>
                <w:sz w:val="18"/>
                <w:szCs w:val="18"/>
                <w:lang w:val="en-CA"/>
              </w:rPr>
              <w:t>2019</w:t>
            </w:r>
          </w:p>
        </w:tc>
        <w:tc>
          <w:tcPr>
            <w:tcW w:w="936" w:type="dxa"/>
            <w:shd w:val="clear" w:color="auto" w:fill="auto"/>
          </w:tcPr>
          <w:p w14:paraId="3F59FE4D" w14:textId="77777777" w:rsidR="008A4C7A" w:rsidRPr="00B75955" w:rsidRDefault="008A4C7A" w:rsidP="007978A3">
            <w:pPr>
              <w:jc w:val="center"/>
              <w:rPr>
                <w:b/>
                <w:bCs/>
                <w:sz w:val="18"/>
                <w:szCs w:val="18"/>
                <w:lang w:val="en-CA"/>
              </w:rPr>
            </w:pPr>
            <w:r w:rsidRPr="00B75955">
              <w:rPr>
                <w:b/>
                <w:bCs/>
                <w:sz w:val="18"/>
                <w:szCs w:val="18"/>
                <w:lang w:val="en-CA"/>
              </w:rPr>
              <w:t>2020</w:t>
            </w:r>
          </w:p>
        </w:tc>
        <w:tc>
          <w:tcPr>
            <w:tcW w:w="936" w:type="dxa"/>
            <w:shd w:val="clear" w:color="auto" w:fill="auto"/>
          </w:tcPr>
          <w:p w14:paraId="7A7DB319" w14:textId="77777777" w:rsidR="008A4C7A" w:rsidRPr="00B75955" w:rsidRDefault="008A4C7A" w:rsidP="007978A3">
            <w:pPr>
              <w:jc w:val="center"/>
              <w:rPr>
                <w:b/>
                <w:bCs/>
                <w:sz w:val="18"/>
                <w:szCs w:val="18"/>
                <w:lang w:val="en-CA"/>
              </w:rPr>
            </w:pPr>
            <w:r w:rsidRPr="00B75955">
              <w:rPr>
                <w:b/>
                <w:bCs/>
                <w:sz w:val="18"/>
                <w:szCs w:val="18"/>
                <w:lang w:val="en-CA"/>
              </w:rPr>
              <w:t>2021</w:t>
            </w:r>
          </w:p>
        </w:tc>
        <w:tc>
          <w:tcPr>
            <w:tcW w:w="776" w:type="dxa"/>
          </w:tcPr>
          <w:p w14:paraId="434CD233" w14:textId="77777777" w:rsidR="008A4C7A" w:rsidRPr="00B75955" w:rsidRDefault="008A4C7A" w:rsidP="007978A3">
            <w:pPr>
              <w:jc w:val="center"/>
              <w:rPr>
                <w:b/>
                <w:sz w:val="18"/>
                <w:lang w:val="en-CA"/>
              </w:rPr>
            </w:pPr>
            <w:r w:rsidRPr="00B75955">
              <w:rPr>
                <w:b/>
                <w:sz w:val="18"/>
                <w:lang w:val="en-CA"/>
              </w:rPr>
              <w:t>2022</w:t>
            </w:r>
          </w:p>
        </w:tc>
        <w:tc>
          <w:tcPr>
            <w:tcW w:w="776" w:type="dxa"/>
          </w:tcPr>
          <w:p w14:paraId="7528BBC7" w14:textId="77777777" w:rsidR="008A4C7A" w:rsidRPr="00B75955" w:rsidRDefault="008A4C7A" w:rsidP="007978A3">
            <w:pPr>
              <w:jc w:val="center"/>
              <w:rPr>
                <w:b/>
                <w:sz w:val="18"/>
                <w:lang w:val="en-CA"/>
              </w:rPr>
            </w:pPr>
            <w:r w:rsidRPr="00B75955">
              <w:rPr>
                <w:b/>
                <w:sz w:val="18"/>
                <w:lang w:val="en-CA"/>
              </w:rPr>
              <w:t>2023</w:t>
            </w:r>
          </w:p>
        </w:tc>
        <w:tc>
          <w:tcPr>
            <w:tcW w:w="776" w:type="dxa"/>
          </w:tcPr>
          <w:p w14:paraId="36B8A58C" w14:textId="77777777" w:rsidR="008A4C7A" w:rsidRPr="00B75955" w:rsidRDefault="008A4C7A" w:rsidP="007978A3">
            <w:pPr>
              <w:jc w:val="center"/>
              <w:rPr>
                <w:b/>
                <w:sz w:val="18"/>
                <w:lang w:val="en-CA"/>
              </w:rPr>
            </w:pPr>
            <w:r w:rsidRPr="00B75955">
              <w:rPr>
                <w:b/>
                <w:sz w:val="18"/>
                <w:lang w:val="en-CA"/>
              </w:rPr>
              <w:t>2024</w:t>
            </w:r>
          </w:p>
        </w:tc>
        <w:tc>
          <w:tcPr>
            <w:tcW w:w="705" w:type="dxa"/>
          </w:tcPr>
          <w:p w14:paraId="64B3C732" w14:textId="77777777" w:rsidR="008A4C7A" w:rsidRPr="00B75955" w:rsidRDefault="008A4C7A" w:rsidP="007978A3">
            <w:pPr>
              <w:jc w:val="center"/>
              <w:rPr>
                <w:b/>
                <w:sz w:val="18"/>
                <w:lang w:val="en-CA"/>
              </w:rPr>
            </w:pPr>
            <w:r w:rsidRPr="00B75955">
              <w:rPr>
                <w:b/>
                <w:sz w:val="18"/>
                <w:lang w:val="en-CA"/>
              </w:rPr>
              <w:t>2025</w:t>
            </w:r>
          </w:p>
        </w:tc>
        <w:tc>
          <w:tcPr>
            <w:tcW w:w="705" w:type="dxa"/>
          </w:tcPr>
          <w:p w14:paraId="5FEDB31C" w14:textId="77777777" w:rsidR="008A4C7A" w:rsidRPr="00B75955" w:rsidRDefault="008A4C7A" w:rsidP="007978A3">
            <w:pPr>
              <w:jc w:val="center"/>
              <w:rPr>
                <w:b/>
                <w:sz w:val="18"/>
                <w:lang w:val="en-CA"/>
              </w:rPr>
            </w:pPr>
            <w:r w:rsidRPr="00B75955">
              <w:rPr>
                <w:b/>
                <w:sz w:val="18"/>
                <w:lang w:val="en-CA"/>
              </w:rPr>
              <w:t>2026</w:t>
            </w:r>
          </w:p>
        </w:tc>
        <w:tc>
          <w:tcPr>
            <w:tcW w:w="1026" w:type="dxa"/>
            <w:shd w:val="clear" w:color="auto" w:fill="auto"/>
          </w:tcPr>
          <w:p w14:paraId="3CFD333B" w14:textId="77777777" w:rsidR="008A4C7A" w:rsidRPr="00B75955" w:rsidRDefault="008A4C7A" w:rsidP="007978A3">
            <w:pPr>
              <w:jc w:val="center"/>
              <w:rPr>
                <w:b/>
                <w:sz w:val="18"/>
                <w:lang w:val="en-CA"/>
              </w:rPr>
            </w:pPr>
            <w:r w:rsidRPr="00B75955">
              <w:rPr>
                <w:b/>
                <w:sz w:val="18"/>
                <w:lang w:val="en-CA"/>
              </w:rPr>
              <w:t>Total</w:t>
            </w:r>
          </w:p>
        </w:tc>
      </w:tr>
      <w:tr w:rsidR="008A4C7A" w:rsidRPr="00B75955" w14:paraId="32EF9106" w14:textId="77777777" w:rsidTr="008A4C7A">
        <w:tc>
          <w:tcPr>
            <w:tcW w:w="2730" w:type="dxa"/>
            <w:gridSpan w:val="3"/>
            <w:shd w:val="clear" w:color="auto" w:fill="auto"/>
          </w:tcPr>
          <w:p w14:paraId="08148E38" w14:textId="77777777" w:rsidR="008A4C7A" w:rsidRPr="00B75955" w:rsidRDefault="008A4C7A" w:rsidP="007978A3">
            <w:pPr>
              <w:jc w:val="left"/>
              <w:rPr>
                <w:sz w:val="18"/>
                <w:lang w:val="en-CA"/>
              </w:rPr>
            </w:pPr>
            <w:r w:rsidRPr="00B75955">
              <w:rPr>
                <w:sz w:val="18"/>
                <w:lang w:val="en-CA"/>
              </w:rPr>
              <w:t>Montreal Protocol consumption limits</w:t>
            </w:r>
          </w:p>
        </w:tc>
        <w:tc>
          <w:tcPr>
            <w:tcW w:w="1026" w:type="dxa"/>
            <w:shd w:val="clear" w:color="auto" w:fill="auto"/>
          </w:tcPr>
          <w:p w14:paraId="17A0A9DA"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17,342.1 </w:t>
            </w:r>
          </w:p>
        </w:tc>
        <w:tc>
          <w:tcPr>
            <w:tcW w:w="1026" w:type="dxa"/>
            <w:shd w:val="clear" w:color="auto" w:fill="auto"/>
          </w:tcPr>
          <w:p w14:paraId="09A0C9D2"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17,342.1 </w:t>
            </w:r>
          </w:p>
        </w:tc>
        <w:tc>
          <w:tcPr>
            <w:tcW w:w="936" w:type="dxa"/>
            <w:shd w:val="clear" w:color="auto" w:fill="auto"/>
          </w:tcPr>
          <w:p w14:paraId="786B248C"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17,342.1 </w:t>
            </w:r>
          </w:p>
        </w:tc>
        <w:tc>
          <w:tcPr>
            <w:tcW w:w="936" w:type="dxa"/>
            <w:shd w:val="clear" w:color="auto" w:fill="auto"/>
          </w:tcPr>
          <w:p w14:paraId="416615F5"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17,342.1 </w:t>
            </w:r>
          </w:p>
        </w:tc>
        <w:tc>
          <w:tcPr>
            <w:tcW w:w="936" w:type="dxa"/>
            <w:shd w:val="clear" w:color="auto" w:fill="auto"/>
          </w:tcPr>
          <w:p w14:paraId="04651EAA"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12,524.9 </w:t>
            </w:r>
          </w:p>
        </w:tc>
        <w:tc>
          <w:tcPr>
            <w:tcW w:w="936" w:type="dxa"/>
            <w:shd w:val="clear" w:color="auto" w:fill="auto"/>
          </w:tcPr>
          <w:p w14:paraId="36561E40"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12,524.9 </w:t>
            </w:r>
          </w:p>
        </w:tc>
        <w:tc>
          <w:tcPr>
            <w:tcW w:w="776" w:type="dxa"/>
          </w:tcPr>
          <w:p w14:paraId="20D34376"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12,524.9 </w:t>
            </w:r>
          </w:p>
        </w:tc>
        <w:tc>
          <w:tcPr>
            <w:tcW w:w="776" w:type="dxa"/>
          </w:tcPr>
          <w:p w14:paraId="63CFC0E9"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12,524.9 </w:t>
            </w:r>
          </w:p>
        </w:tc>
        <w:tc>
          <w:tcPr>
            <w:tcW w:w="776" w:type="dxa"/>
          </w:tcPr>
          <w:p w14:paraId="34288994"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12,524.9 </w:t>
            </w:r>
          </w:p>
        </w:tc>
        <w:tc>
          <w:tcPr>
            <w:tcW w:w="705" w:type="dxa"/>
          </w:tcPr>
          <w:p w14:paraId="1232D1ED"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6,262.4 </w:t>
            </w:r>
          </w:p>
        </w:tc>
        <w:tc>
          <w:tcPr>
            <w:tcW w:w="705" w:type="dxa"/>
          </w:tcPr>
          <w:p w14:paraId="42AC3ECC"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6,262.4 </w:t>
            </w:r>
          </w:p>
        </w:tc>
        <w:tc>
          <w:tcPr>
            <w:tcW w:w="1026" w:type="dxa"/>
            <w:shd w:val="clear" w:color="auto" w:fill="auto"/>
          </w:tcPr>
          <w:p w14:paraId="64F1FFCF" w14:textId="77777777" w:rsidR="008A4C7A" w:rsidRPr="00B75955" w:rsidRDefault="008A4C7A" w:rsidP="007978A3">
            <w:pPr>
              <w:jc w:val="right"/>
              <w:rPr>
                <w:sz w:val="18"/>
                <w:lang w:val="en-CA"/>
              </w:rPr>
            </w:pPr>
            <w:r w:rsidRPr="00B75955">
              <w:rPr>
                <w:sz w:val="18"/>
                <w:lang w:val="en-CA"/>
              </w:rPr>
              <w:t>n/a</w:t>
            </w:r>
          </w:p>
        </w:tc>
      </w:tr>
      <w:tr w:rsidR="008A4C7A" w:rsidRPr="00B75955" w14:paraId="6C60BFA5" w14:textId="77777777" w:rsidTr="008A4C7A">
        <w:tc>
          <w:tcPr>
            <w:tcW w:w="2730" w:type="dxa"/>
            <w:gridSpan w:val="3"/>
            <w:shd w:val="clear" w:color="auto" w:fill="auto"/>
          </w:tcPr>
          <w:p w14:paraId="2B9B7171" w14:textId="77777777" w:rsidR="008A4C7A" w:rsidRPr="00B75955" w:rsidRDefault="008A4C7A" w:rsidP="007978A3">
            <w:pPr>
              <w:jc w:val="left"/>
              <w:rPr>
                <w:sz w:val="18"/>
                <w:lang w:val="en-CA"/>
              </w:rPr>
            </w:pPr>
            <w:r w:rsidRPr="00B75955">
              <w:rPr>
                <w:sz w:val="18"/>
                <w:lang w:val="en-CA"/>
              </w:rPr>
              <w:t>Maximum allowable consumption (ODP tonnes)</w:t>
            </w:r>
          </w:p>
        </w:tc>
        <w:tc>
          <w:tcPr>
            <w:tcW w:w="1026" w:type="dxa"/>
            <w:shd w:val="clear" w:color="auto" w:fill="auto"/>
          </w:tcPr>
          <w:p w14:paraId="055BC2DD"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3,697.7 </w:t>
            </w:r>
          </w:p>
        </w:tc>
        <w:tc>
          <w:tcPr>
            <w:tcW w:w="1026" w:type="dxa"/>
            <w:shd w:val="clear" w:color="auto" w:fill="auto"/>
          </w:tcPr>
          <w:p w14:paraId="2C4F3E5A"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3,697.7 </w:t>
            </w:r>
          </w:p>
        </w:tc>
        <w:tc>
          <w:tcPr>
            <w:tcW w:w="936" w:type="dxa"/>
            <w:shd w:val="clear" w:color="auto" w:fill="auto"/>
          </w:tcPr>
          <w:p w14:paraId="7717C0A8"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2,876.0 </w:t>
            </w:r>
          </w:p>
        </w:tc>
        <w:tc>
          <w:tcPr>
            <w:tcW w:w="936" w:type="dxa"/>
            <w:shd w:val="clear" w:color="auto" w:fill="auto"/>
          </w:tcPr>
          <w:p w14:paraId="6546F58C"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2,876.0 </w:t>
            </w:r>
          </w:p>
        </w:tc>
        <w:tc>
          <w:tcPr>
            <w:tcW w:w="936" w:type="dxa"/>
            <w:shd w:val="clear" w:color="auto" w:fill="auto"/>
          </w:tcPr>
          <w:p w14:paraId="6E46FA43"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2,259.7 </w:t>
            </w:r>
          </w:p>
        </w:tc>
        <w:tc>
          <w:tcPr>
            <w:tcW w:w="936" w:type="dxa"/>
            <w:shd w:val="clear" w:color="auto" w:fill="auto"/>
          </w:tcPr>
          <w:p w14:paraId="33FBC697"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2,259.7 </w:t>
            </w:r>
          </w:p>
        </w:tc>
        <w:tc>
          <w:tcPr>
            <w:tcW w:w="776" w:type="dxa"/>
          </w:tcPr>
          <w:p w14:paraId="5CFE5835"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 </w:t>
            </w:r>
          </w:p>
        </w:tc>
        <w:tc>
          <w:tcPr>
            <w:tcW w:w="776" w:type="dxa"/>
          </w:tcPr>
          <w:p w14:paraId="248AE2CA"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 </w:t>
            </w:r>
          </w:p>
        </w:tc>
        <w:tc>
          <w:tcPr>
            <w:tcW w:w="776" w:type="dxa"/>
          </w:tcPr>
          <w:p w14:paraId="7F2B2AAF"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 </w:t>
            </w:r>
          </w:p>
        </w:tc>
        <w:tc>
          <w:tcPr>
            <w:tcW w:w="705" w:type="dxa"/>
          </w:tcPr>
          <w:p w14:paraId="36116A78"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 </w:t>
            </w:r>
          </w:p>
        </w:tc>
        <w:tc>
          <w:tcPr>
            <w:tcW w:w="705" w:type="dxa"/>
          </w:tcPr>
          <w:p w14:paraId="552E50D7" w14:textId="77777777" w:rsidR="008A4C7A" w:rsidRPr="00B75955" w:rsidRDefault="008A4C7A" w:rsidP="007978A3">
            <w:pPr>
              <w:jc w:val="right"/>
              <w:rPr>
                <w:color w:val="000000"/>
                <w:sz w:val="16"/>
                <w:szCs w:val="16"/>
                <w:lang w:val="en-CA"/>
              </w:rPr>
            </w:pPr>
            <w:r w:rsidRPr="00B75955">
              <w:rPr>
                <w:color w:val="000000"/>
                <w:sz w:val="16"/>
                <w:szCs w:val="16"/>
                <w:lang w:val="en-CA"/>
              </w:rPr>
              <w:t xml:space="preserve">* </w:t>
            </w:r>
          </w:p>
        </w:tc>
        <w:tc>
          <w:tcPr>
            <w:tcW w:w="1026" w:type="dxa"/>
            <w:shd w:val="clear" w:color="auto" w:fill="auto"/>
          </w:tcPr>
          <w:p w14:paraId="6CE01A60" w14:textId="77777777" w:rsidR="008A4C7A" w:rsidRPr="00B75955" w:rsidRDefault="008A4C7A" w:rsidP="007978A3">
            <w:pPr>
              <w:jc w:val="right"/>
              <w:rPr>
                <w:color w:val="000000"/>
                <w:sz w:val="16"/>
                <w:szCs w:val="16"/>
                <w:lang w:val="en-CA"/>
              </w:rPr>
            </w:pPr>
            <w:r w:rsidRPr="00B75955">
              <w:rPr>
                <w:color w:val="000000"/>
                <w:sz w:val="16"/>
                <w:szCs w:val="16"/>
                <w:lang w:val="en-CA"/>
              </w:rPr>
              <w:t>n/a</w:t>
            </w:r>
          </w:p>
        </w:tc>
      </w:tr>
      <w:tr w:rsidR="008A4C7A" w:rsidRPr="00B75955" w14:paraId="18214372" w14:textId="77777777" w:rsidTr="008A4C7A">
        <w:tc>
          <w:tcPr>
            <w:tcW w:w="953" w:type="dxa"/>
            <w:vMerge w:val="restart"/>
            <w:shd w:val="clear" w:color="auto" w:fill="auto"/>
          </w:tcPr>
          <w:p w14:paraId="56A51700" w14:textId="77777777" w:rsidR="008A4C7A" w:rsidRPr="00B75955" w:rsidRDefault="008A4C7A" w:rsidP="007978A3">
            <w:pPr>
              <w:jc w:val="left"/>
              <w:rPr>
                <w:sz w:val="18"/>
                <w:lang w:val="en-CA"/>
              </w:rPr>
            </w:pPr>
            <w:r w:rsidRPr="00B75955">
              <w:rPr>
                <w:sz w:val="18"/>
                <w:lang w:val="en-CA"/>
              </w:rPr>
              <w:t>Agreed funding (US $)</w:t>
            </w:r>
          </w:p>
        </w:tc>
        <w:tc>
          <w:tcPr>
            <w:tcW w:w="915" w:type="dxa"/>
            <w:vMerge w:val="restart"/>
            <w:shd w:val="clear" w:color="auto" w:fill="auto"/>
          </w:tcPr>
          <w:p w14:paraId="167030CC" w14:textId="77777777" w:rsidR="008A4C7A" w:rsidRPr="00B75955" w:rsidRDefault="008A4C7A" w:rsidP="007978A3">
            <w:pPr>
              <w:jc w:val="center"/>
              <w:rPr>
                <w:sz w:val="18"/>
                <w:lang w:val="en-CA"/>
              </w:rPr>
            </w:pPr>
            <w:r w:rsidRPr="00B75955">
              <w:rPr>
                <w:sz w:val="18"/>
                <w:lang w:val="en-CA"/>
              </w:rPr>
              <w:t>UNIDO</w:t>
            </w:r>
          </w:p>
        </w:tc>
        <w:tc>
          <w:tcPr>
            <w:tcW w:w="862" w:type="dxa"/>
            <w:shd w:val="clear" w:color="auto" w:fill="auto"/>
          </w:tcPr>
          <w:p w14:paraId="690CB4C2" w14:textId="77777777" w:rsidR="008A4C7A" w:rsidRPr="00B75955" w:rsidRDefault="008A4C7A" w:rsidP="007978A3">
            <w:pPr>
              <w:jc w:val="left"/>
              <w:rPr>
                <w:sz w:val="18"/>
                <w:lang w:val="en-CA"/>
              </w:rPr>
            </w:pPr>
            <w:r w:rsidRPr="00B75955">
              <w:rPr>
                <w:sz w:val="18"/>
                <w:lang w:val="en-CA"/>
              </w:rPr>
              <w:t>Project costs</w:t>
            </w:r>
          </w:p>
        </w:tc>
        <w:tc>
          <w:tcPr>
            <w:tcW w:w="1026" w:type="dxa"/>
            <w:shd w:val="clear" w:color="auto" w:fill="auto"/>
          </w:tcPr>
          <w:p w14:paraId="277F6E97" w14:textId="77777777" w:rsidR="008A4C7A" w:rsidRPr="00B75955" w:rsidRDefault="008A4C7A" w:rsidP="007978A3">
            <w:pPr>
              <w:jc w:val="right"/>
              <w:rPr>
                <w:color w:val="000000"/>
                <w:sz w:val="16"/>
                <w:szCs w:val="16"/>
                <w:lang w:val="en-CA"/>
              </w:rPr>
            </w:pPr>
            <w:r w:rsidRPr="00B75955">
              <w:rPr>
                <w:color w:val="000000"/>
                <w:sz w:val="16"/>
                <w:szCs w:val="16"/>
                <w:lang w:val="en-CA"/>
              </w:rPr>
              <w:t>14,671,089</w:t>
            </w:r>
          </w:p>
        </w:tc>
        <w:tc>
          <w:tcPr>
            <w:tcW w:w="1026" w:type="dxa"/>
            <w:shd w:val="clear" w:color="auto" w:fill="auto"/>
          </w:tcPr>
          <w:p w14:paraId="5EC250D9" w14:textId="77777777" w:rsidR="008A4C7A" w:rsidRPr="00B75955" w:rsidRDefault="008A4C7A" w:rsidP="007978A3">
            <w:pPr>
              <w:jc w:val="right"/>
              <w:rPr>
                <w:color w:val="000000"/>
                <w:sz w:val="16"/>
                <w:szCs w:val="16"/>
                <w:lang w:val="en-CA"/>
              </w:rPr>
            </w:pPr>
            <w:r w:rsidRPr="00B75955">
              <w:rPr>
                <w:color w:val="000000"/>
                <w:sz w:val="16"/>
                <w:szCs w:val="16"/>
                <w:lang w:val="en-CA"/>
              </w:rPr>
              <w:t>16,000,000</w:t>
            </w:r>
          </w:p>
        </w:tc>
        <w:tc>
          <w:tcPr>
            <w:tcW w:w="936" w:type="dxa"/>
            <w:shd w:val="clear" w:color="auto" w:fill="auto"/>
          </w:tcPr>
          <w:p w14:paraId="5FA4854C" w14:textId="77777777" w:rsidR="008A4C7A" w:rsidRPr="00B75955" w:rsidRDefault="008A4C7A" w:rsidP="007978A3">
            <w:pPr>
              <w:jc w:val="right"/>
              <w:rPr>
                <w:color w:val="000000"/>
                <w:sz w:val="16"/>
                <w:szCs w:val="16"/>
                <w:lang w:val="en-CA"/>
              </w:rPr>
            </w:pPr>
            <w:r w:rsidRPr="00B75955">
              <w:rPr>
                <w:color w:val="000000"/>
                <w:sz w:val="16"/>
                <w:szCs w:val="16"/>
                <w:lang w:val="en-CA"/>
              </w:rPr>
              <w:t>18,000,000</w:t>
            </w:r>
          </w:p>
        </w:tc>
        <w:tc>
          <w:tcPr>
            <w:tcW w:w="936" w:type="dxa"/>
            <w:shd w:val="clear" w:color="auto" w:fill="auto"/>
          </w:tcPr>
          <w:p w14:paraId="459AA71A" w14:textId="77777777" w:rsidR="008A4C7A" w:rsidRPr="00B75955" w:rsidRDefault="008A4C7A" w:rsidP="007978A3">
            <w:pPr>
              <w:jc w:val="right"/>
              <w:rPr>
                <w:color w:val="000000"/>
                <w:sz w:val="16"/>
                <w:szCs w:val="16"/>
                <w:lang w:val="en-CA"/>
              </w:rPr>
            </w:pPr>
            <w:r w:rsidRPr="00B75955">
              <w:rPr>
                <w:color w:val="000000"/>
                <w:sz w:val="16"/>
                <w:szCs w:val="16"/>
                <w:lang w:val="en-CA"/>
              </w:rPr>
              <w:t>14,000,000</w:t>
            </w:r>
          </w:p>
        </w:tc>
        <w:tc>
          <w:tcPr>
            <w:tcW w:w="936" w:type="dxa"/>
            <w:shd w:val="clear" w:color="auto" w:fill="auto"/>
          </w:tcPr>
          <w:p w14:paraId="590958E6" w14:textId="77777777" w:rsidR="008A4C7A" w:rsidRPr="00B75955" w:rsidRDefault="008A4C7A" w:rsidP="007978A3">
            <w:pPr>
              <w:jc w:val="right"/>
              <w:rPr>
                <w:color w:val="000000"/>
                <w:sz w:val="16"/>
                <w:szCs w:val="16"/>
                <w:lang w:val="en-CA"/>
              </w:rPr>
            </w:pPr>
            <w:r w:rsidRPr="00B75955">
              <w:rPr>
                <w:color w:val="000000"/>
                <w:sz w:val="16"/>
                <w:szCs w:val="16"/>
                <w:lang w:val="en-CA"/>
              </w:rPr>
              <w:t>14,000,000</w:t>
            </w:r>
          </w:p>
        </w:tc>
        <w:tc>
          <w:tcPr>
            <w:tcW w:w="936" w:type="dxa"/>
            <w:shd w:val="clear" w:color="auto" w:fill="auto"/>
          </w:tcPr>
          <w:p w14:paraId="56A46232" w14:textId="77777777" w:rsidR="008A4C7A" w:rsidRPr="00B75955" w:rsidRDefault="008A4C7A" w:rsidP="007978A3">
            <w:pPr>
              <w:jc w:val="right"/>
              <w:rPr>
                <w:color w:val="000000"/>
                <w:sz w:val="16"/>
                <w:szCs w:val="16"/>
                <w:lang w:val="en-CA"/>
              </w:rPr>
            </w:pPr>
            <w:r w:rsidRPr="00B75955">
              <w:rPr>
                <w:color w:val="000000"/>
                <w:sz w:val="16"/>
                <w:szCs w:val="16"/>
                <w:lang w:val="en-CA"/>
              </w:rPr>
              <w:t>11,581,816</w:t>
            </w:r>
          </w:p>
        </w:tc>
        <w:tc>
          <w:tcPr>
            <w:tcW w:w="776" w:type="dxa"/>
          </w:tcPr>
          <w:p w14:paraId="7B57EE8E"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76" w:type="dxa"/>
          </w:tcPr>
          <w:p w14:paraId="7767A7FB"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76" w:type="dxa"/>
          </w:tcPr>
          <w:p w14:paraId="5EA445B0"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05" w:type="dxa"/>
          </w:tcPr>
          <w:p w14:paraId="5F12545E"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05" w:type="dxa"/>
          </w:tcPr>
          <w:p w14:paraId="5D3B7569"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1026" w:type="dxa"/>
            <w:shd w:val="clear" w:color="auto" w:fill="auto"/>
          </w:tcPr>
          <w:p w14:paraId="4D142020" w14:textId="77777777" w:rsidR="008A4C7A" w:rsidRPr="00B75955" w:rsidRDefault="008A4C7A" w:rsidP="007978A3">
            <w:pPr>
              <w:jc w:val="right"/>
              <w:rPr>
                <w:color w:val="000000"/>
                <w:sz w:val="16"/>
                <w:szCs w:val="16"/>
                <w:lang w:val="en-CA"/>
              </w:rPr>
            </w:pPr>
            <w:r w:rsidRPr="00B75955">
              <w:rPr>
                <w:color w:val="000000"/>
                <w:sz w:val="16"/>
                <w:szCs w:val="16"/>
                <w:lang w:val="en-CA"/>
              </w:rPr>
              <w:t>88,252,905</w:t>
            </w:r>
          </w:p>
        </w:tc>
      </w:tr>
      <w:tr w:rsidR="008A4C7A" w:rsidRPr="00B75955" w14:paraId="42980E82" w14:textId="77777777" w:rsidTr="008A4C7A">
        <w:tc>
          <w:tcPr>
            <w:tcW w:w="953" w:type="dxa"/>
            <w:vMerge/>
            <w:shd w:val="clear" w:color="auto" w:fill="auto"/>
          </w:tcPr>
          <w:p w14:paraId="4F251B65" w14:textId="77777777" w:rsidR="008A4C7A" w:rsidRPr="00B75955" w:rsidRDefault="008A4C7A" w:rsidP="007978A3">
            <w:pPr>
              <w:jc w:val="center"/>
              <w:rPr>
                <w:sz w:val="18"/>
                <w:lang w:val="en-CA"/>
              </w:rPr>
            </w:pPr>
          </w:p>
        </w:tc>
        <w:tc>
          <w:tcPr>
            <w:tcW w:w="915" w:type="dxa"/>
            <w:vMerge/>
            <w:shd w:val="clear" w:color="auto" w:fill="auto"/>
          </w:tcPr>
          <w:p w14:paraId="5D98C742" w14:textId="77777777" w:rsidR="008A4C7A" w:rsidRPr="00B75955" w:rsidRDefault="008A4C7A" w:rsidP="007978A3">
            <w:pPr>
              <w:jc w:val="center"/>
              <w:rPr>
                <w:sz w:val="18"/>
                <w:lang w:val="en-CA"/>
              </w:rPr>
            </w:pPr>
          </w:p>
        </w:tc>
        <w:tc>
          <w:tcPr>
            <w:tcW w:w="862" w:type="dxa"/>
            <w:shd w:val="clear" w:color="auto" w:fill="auto"/>
          </w:tcPr>
          <w:p w14:paraId="49211973" w14:textId="77777777" w:rsidR="008A4C7A" w:rsidRPr="00B75955" w:rsidRDefault="008A4C7A" w:rsidP="007978A3">
            <w:pPr>
              <w:jc w:val="left"/>
              <w:rPr>
                <w:sz w:val="18"/>
                <w:lang w:val="en-CA"/>
              </w:rPr>
            </w:pPr>
            <w:r w:rsidRPr="00B75955">
              <w:rPr>
                <w:sz w:val="18"/>
                <w:lang w:val="en-CA"/>
              </w:rPr>
              <w:t>Support costs</w:t>
            </w:r>
          </w:p>
        </w:tc>
        <w:tc>
          <w:tcPr>
            <w:tcW w:w="1026" w:type="dxa"/>
            <w:shd w:val="clear" w:color="auto" w:fill="auto"/>
          </w:tcPr>
          <w:p w14:paraId="15DA2EE4" w14:textId="77777777" w:rsidR="008A4C7A" w:rsidRPr="00B75955" w:rsidRDefault="008A4C7A" w:rsidP="007978A3">
            <w:pPr>
              <w:jc w:val="right"/>
              <w:rPr>
                <w:color w:val="000000"/>
                <w:sz w:val="16"/>
                <w:szCs w:val="16"/>
                <w:lang w:val="en-CA"/>
              </w:rPr>
            </w:pPr>
            <w:r w:rsidRPr="00B75955">
              <w:rPr>
                <w:color w:val="000000"/>
                <w:sz w:val="16"/>
                <w:szCs w:val="16"/>
                <w:lang w:val="en-CA"/>
              </w:rPr>
              <w:t>1,026,976</w:t>
            </w:r>
          </w:p>
        </w:tc>
        <w:tc>
          <w:tcPr>
            <w:tcW w:w="1026" w:type="dxa"/>
            <w:shd w:val="clear" w:color="auto" w:fill="auto"/>
          </w:tcPr>
          <w:p w14:paraId="6E4599B2" w14:textId="4B0CE01B" w:rsidR="008A4C7A" w:rsidRPr="00B75955" w:rsidRDefault="008A4C7A" w:rsidP="007978A3">
            <w:pPr>
              <w:jc w:val="right"/>
              <w:rPr>
                <w:color w:val="000000"/>
                <w:sz w:val="16"/>
                <w:szCs w:val="16"/>
                <w:lang w:val="en-CA"/>
              </w:rPr>
            </w:pPr>
            <w:r w:rsidRPr="00B75955">
              <w:rPr>
                <w:color w:val="000000"/>
                <w:sz w:val="16"/>
                <w:szCs w:val="16"/>
                <w:lang w:val="en-CA"/>
              </w:rPr>
              <w:t>1,040,000</w:t>
            </w:r>
            <w:r w:rsidR="00784F17" w:rsidRPr="00B75955">
              <w:rPr>
                <w:color w:val="000000"/>
                <w:sz w:val="16"/>
                <w:szCs w:val="16"/>
                <w:lang w:val="en-CA"/>
              </w:rPr>
              <w:t>**</w:t>
            </w:r>
          </w:p>
        </w:tc>
        <w:tc>
          <w:tcPr>
            <w:tcW w:w="936" w:type="dxa"/>
            <w:shd w:val="clear" w:color="auto" w:fill="auto"/>
          </w:tcPr>
          <w:p w14:paraId="7F263CB1" w14:textId="19F9A629" w:rsidR="008A4C7A" w:rsidRPr="00B75955" w:rsidRDefault="008A4C7A" w:rsidP="007978A3">
            <w:pPr>
              <w:jc w:val="right"/>
              <w:rPr>
                <w:color w:val="000000"/>
                <w:sz w:val="16"/>
                <w:szCs w:val="16"/>
                <w:lang w:val="en-CA"/>
              </w:rPr>
            </w:pPr>
            <w:r w:rsidRPr="00B75955">
              <w:rPr>
                <w:color w:val="000000"/>
                <w:sz w:val="16"/>
                <w:szCs w:val="16"/>
                <w:lang w:val="en-CA"/>
              </w:rPr>
              <w:t>1,170,000</w:t>
            </w:r>
            <w:r w:rsidR="00784F17" w:rsidRPr="00B75955">
              <w:rPr>
                <w:color w:val="000000"/>
                <w:sz w:val="16"/>
                <w:szCs w:val="16"/>
                <w:lang w:val="en-CA"/>
              </w:rPr>
              <w:t>**</w:t>
            </w:r>
          </w:p>
        </w:tc>
        <w:tc>
          <w:tcPr>
            <w:tcW w:w="936" w:type="dxa"/>
            <w:shd w:val="clear" w:color="auto" w:fill="auto"/>
          </w:tcPr>
          <w:p w14:paraId="78F35C64" w14:textId="53AAF7A0" w:rsidR="008A4C7A" w:rsidRPr="00B75955" w:rsidRDefault="008A4C7A" w:rsidP="007978A3">
            <w:pPr>
              <w:jc w:val="right"/>
              <w:rPr>
                <w:color w:val="000000"/>
                <w:sz w:val="16"/>
                <w:szCs w:val="16"/>
                <w:lang w:val="en-CA"/>
              </w:rPr>
            </w:pPr>
            <w:r w:rsidRPr="00B75955">
              <w:rPr>
                <w:color w:val="000000"/>
                <w:sz w:val="16"/>
                <w:szCs w:val="16"/>
                <w:lang w:val="en-CA"/>
              </w:rPr>
              <w:t>910,000</w:t>
            </w:r>
            <w:r w:rsidR="00784F17" w:rsidRPr="00B75955">
              <w:rPr>
                <w:color w:val="000000"/>
                <w:sz w:val="16"/>
                <w:szCs w:val="16"/>
                <w:lang w:val="en-CA"/>
              </w:rPr>
              <w:t>**</w:t>
            </w:r>
          </w:p>
        </w:tc>
        <w:tc>
          <w:tcPr>
            <w:tcW w:w="936" w:type="dxa"/>
            <w:shd w:val="clear" w:color="auto" w:fill="auto"/>
          </w:tcPr>
          <w:p w14:paraId="2B2C5F8A" w14:textId="03CB9569" w:rsidR="008A4C7A" w:rsidRPr="00B75955" w:rsidRDefault="008A4C7A" w:rsidP="007978A3">
            <w:pPr>
              <w:jc w:val="right"/>
              <w:rPr>
                <w:color w:val="000000"/>
                <w:sz w:val="16"/>
                <w:szCs w:val="16"/>
                <w:lang w:val="en-CA"/>
              </w:rPr>
            </w:pPr>
            <w:r w:rsidRPr="00B75955">
              <w:rPr>
                <w:color w:val="000000"/>
                <w:sz w:val="16"/>
                <w:szCs w:val="16"/>
                <w:lang w:val="en-CA"/>
              </w:rPr>
              <w:t>910,000</w:t>
            </w:r>
            <w:r w:rsidR="00784F17" w:rsidRPr="00B75955">
              <w:rPr>
                <w:color w:val="000000"/>
                <w:sz w:val="16"/>
                <w:szCs w:val="16"/>
                <w:lang w:val="en-CA"/>
              </w:rPr>
              <w:t>**</w:t>
            </w:r>
          </w:p>
        </w:tc>
        <w:tc>
          <w:tcPr>
            <w:tcW w:w="936" w:type="dxa"/>
            <w:shd w:val="clear" w:color="auto" w:fill="auto"/>
          </w:tcPr>
          <w:p w14:paraId="605A0AAC" w14:textId="0F2DFD55" w:rsidR="008A4C7A" w:rsidRPr="00B75955" w:rsidRDefault="008A4C7A" w:rsidP="007978A3">
            <w:pPr>
              <w:jc w:val="right"/>
              <w:rPr>
                <w:color w:val="000000"/>
                <w:sz w:val="16"/>
                <w:szCs w:val="16"/>
                <w:lang w:val="en-CA"/>
              </w:rPr>
            </w:pPr>
            <w:r w:rsidRPr="00B75955">
              <w:rPr>
                <w:color w:val="000000"/>
                <w:sz w:val="16"/>
                <w:szCs w:val="16"/>
                <w:lang w:val="en-CA"/>
              </w:rPr>
              <w:t>752,818</w:t>
            </w:r>
            <w:r w:rsidR="00784F17" w:rsidRPr="00B75955">
              <w:rPr>
                <w:color w:val="000000"/>
                <w:sz w:val="16"/>
                <w:szCs w:val="16"/>
                <w:lang w:val="en-CA"/>
              </w:rPr>
              <w:t>**</w:t>
            </w:r>
          </w:p>
        </w:tc>
        <w:tc>
          <w:tcPr>
            <w:tcW w:w="776" w:type="dxa"/>
          </w:tcPr>
          <w:p w14:paraId="795844A5"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76" w:type="dxa"/>
          </w:tcPr>
          <w:p w14:paraId="4A4E57D1"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76" w:type="dxa"/>
          </w:tcPr>
          <w:p w14:paraId="3A8BB9BA"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05" w:type="dxa"/>
          </w:tcPr>
          <w:p w14:paraId="1D60F561"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05" w:type="dxa"/>
          </w:tcPr>
          <w:p w14:paraId="2BB257CA"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1026" w:type="dxa"/>
            <w:shd w:val="clear" w:color="auto" w:fill="auto"/>
          </w:tcPr>
          <w:p w14:paraId="73DEBA25" w14:textId="77777777" w:rsidR="008A4C7A" w:rsidRPr="00B75955" w:rsidRDefault="008A4C7A" w:rsidP="007978A3">
            <w:pPr>
              <w:jc w:val="right"/>
              <w:rPr>
                <w:color w:val="000000"/>
                <w:sz w:val="16"/>
                <w:szCs w:val="16"/>
                <w:lang w:val="en-CA"/>
              </w:rPr>
            </w:pPr>
            <w:r w:rsidRPr="00B75955">
              <w:rPr>
                <w:color w:val="000000"/>
                <w:sz w:val="16"/>
                <w:szCs w:val="16"/>
                <w:lang w:val="en-CA"/>
              </w:rPr>
              <w:t>5,809,794</w:t>
            </w:r>
          </w:p>
        </w:tc>
      </w:tr>
      <w:tr w:rsidR="008A4C7A" w:rsidRPr="00B75955" w14:paraId="548B3C99" w14:textId="77777777" w:rsidTr="008A4C7A">
        <w:tc>
          <w:tcPr>
            <w:tcW w:w="953" w:type="dxa"/>
            <w:vMerge/>
            <w:shd w:val="clear" w:color="auto" w:fill="auto"/>
          </w:tcPr>
          <w:p w14:paraId="5E716ECF" w14:textId="77777777" w:rsidR="008A4C7A" w:rsidRPr="00B75955" w:rsidRDefault="008A4C7A" w:rsidP="007978A3">
            <w:pPr>
              <w:jc w:val="center"/>
              <w:rPr>
                <w:sz w:val="18"/>
                <w:lang w:val="en-CA"/>
              </w:rPr>
            </w:pPr>
          </w:p>
        </w:tc>
        <w:tc>
          <w:tcPr>
            <w:tcW w:w="915" w:type="dxa"/>
            <w:vMerge w:val="restart"/>
            <w:shd w:val="clear" w:color="auto" w:fill="auto"/>
          </w:tcPr>
          <w:p w14:paraId="40B4F662" w14:textId="77777777" w:rsidR="008A4C7A" w:rsidRPr="00B75955" w:rsidRDefault="008A4C7A" w:rsidP="007978A3">
            <w:pPr>
              <w:jc w:val="center"/>
              <w:rPr>
                <w:sz w:val="18"/>
                <w:lang w:val="en-CA"/>
              </w:rPr>
            </w:pPr>
            <w:r w:rsidRPr="00B75955">
              <w:rPr>
                <w:sz w:val="18"/>
                <w:lang w:val="en-CA"/>
              </w:rPr>
              <w:t>Italy</w:t>
            </w:r>
          </w:p>
        </w:tc>
        <w:tc>
          <w:tcPr>
            <w:tcW w:w="862" w:type="dxa"/>
            <w:shd w:val="clear" w:color="auto" w:fill="auto"/>
          </w:tcPr>
          <w:p w14:paraId="795CD8C0" w14:textId="77777777" w:rsidR="008A4C7A" w:rsidRPr="00B75955" w:rsidRDefault="008A4C7A" w:rsidP="007978A3">
            <w:pPr>
              <w:jc w:val="left"/>
              <w:rPr>
                <w:sz w:val="18"/>
                <w:lang w:val="en-CA"/>
              </w:rPr>
            </w:pPr>
            <w:r w:rsidRPr="00B75955">
              <w:rPr>
                <w:sz w:val="18"/>
                <w:lang w:val="en-CA"/>
              </w:rPr>
              <w:t>Project costs</w:t>
            </w:r>
          </w:p>
        </w:tc>
        <w:tc>
          <w:tcPr>
            <w:tcW w:w="1026" w:type="dxa"/>
            <w:shd w:val="clear" w:color="auto" w:fill="auto"/>
          </w:tcPr>
          <w:p w14:paraId="79F44511" w14:textId="77777777" w:rsidR="008A4C7A" w:rsidRPr="00B75955" w:rsidRDefault="008A4C7A" w:rsidP="007978A3">
            <w:pPr>
              <w:jc w:val="right"/>
              <w:rPr>
                <w:color w:val="000000"/>
                <w:sz w:val="16"/>
                <w:szCs w:val="16"/>
                <w:lang w:val="en-CA"/>
              </w:rPr>
            </w:pPr>
            <w:r w:rsidRPr="00B75955">
              <w:rPr>
                <w:color w:val="000000"/>
                <w:sz w:val="16"/>
                <w:szCs w:val="16"/>
                <w:lang w:val="en-CA"/>
              </w:rPr>
              <w:t>891,892</w:t>
            </w:r>
          </w:p>
        </w:tc>
        <w:tc>
          <w:tcPr>
            <w:tcW w:w="1026" w:type="dxa"/>
            <w:shd w:val="clear" w:color="auto" w:fill="auto"/>
          </w:tcPr>
          <w:p w14:paraId="2B0A9F2E"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936" w:type="dxa"/>
            <w:shd w:val="clear" w:color="auto" w:fill="auto"/>
          </w:tcPr>
          <w:p w14:paraId="518960E1"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936" w:type="dxa"/>
            <w:shd w:val="clear" w:color="auto" w:fill="auto"/>
          </w:tcPr>
          <w:p w14:paraId="1E568848"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936" w:type="dxa"/>
            <w:shd w:val="clear" w:color="auto" w:fill="auto"/>
          </w:tcPr>
          <w:p w14:paraId="78B70540"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936" w:type="dxa"/>
            <w:shd w:val="clear" w:color="auto" w:fill="auto"/>
          </w:tcPr>
          <w:p w14:paraId="205152F3"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76" w:type="dxa"/>
          </w:tcPr>
          <w:p w14:paraId="6AE800ED"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76" w:type="dxa"/>
          </w:tcPr>
          <w:p w14:paraId="61787D54"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76" w:type="dxa"/>
          </w:tcPr>
          <w:p w14:paraId="666CFBD2"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05" w:type="dxa"/>
          </w:tcPr>
          <w:p w14:paraId="7E058E3D"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05" w:type="dxa"/>
          </w:tcPr>
          <w:p w14:paraId="362EAA07"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1026" w:type="dxa"/>
            <w:shd w:val="clear" w:color="auto" w:fill="auto"/>
          </w:tcPr>
          <w:p w14:paraId="373DAFBA" w14:textId="77777777" w:rsidR="008A4C7A" w:rsidRPr="00B75955" w:rsidRDefault="008A4C7A" w:rsidP="007978A3">
            <w:pPr>
              <w:jc w:val="right"/>
              <w:rPr>
                <w:color w:val="000000"/>
                <w:sz w:val="16"/>
                <w:szCs w:val="16"/>
                <w:lang w:val="en-CA"/>
              </w:rPr>
            </w:pPr>
            <w:r w:rsidRPr="00B75955">
              <w:rPr>
                <w:color w:val="000000"/>
                <w:sz w:val="16"/>
                <w:szCs w:val="16"/>
                <w:lang w:val="en-CA"/>
              </w:rPr>
              <w:t>891,892</w:t>
            </w:r>
          </w:p>
        </w:tc>
      </w:tr>
      <w:tr w:rsidR="008A4C7A" w:rsidRPr="00B75955" w14:paraId="62C96BF2" w14:textId="77777777" w:rsidTr="008A4C7A">
        <w:tc>
          <w:tcPr>
            <w:tcW w:w="953" w:type="dxa"/>
            <w:vMerge/>
            <w:shd w:val="clear" w:color="auto" w:fill="auto"/>
          </w:tcPr>
          <w:p w14:paraId="7CA0A51A" w14:textId="77777777" w:rsidR="008A4C7A" w:rsidRPr="00B75955" w:rsidRDefault="008A4C7A" w:rsidP="007978A3">
            <w:pPr>
              <w:jc w:val="center"/>
              <w:rPr>
                <w:sz w:val="18"/>
                <w:lang w:val="en-CA"/>
              </w:rPr>
            </w:pPr>
          </w:p>
        </w:tc>
        <w:tc>
          <w:tcPr>
            <w:tcW w:w="915" w:type="dxa"/>
            <w:vMerge/>
            <w:shd w:val="clear" w:color="auto" w:fill="auto"/>
          </w:tcPr>
          <w:p w14:paraId="39EAC963" w14:textId="77777777" w:rsidR="008A4C7A" w:rsidRPr="00B75955" w:rsidRDefault="008A4C7A" w:rsidP="007978A3">
            <w:pPr>
              <w:jc w:val="center"/>
              <w:rPr>
                <w:sz w:val="18"/>
                <w:lang w:val="en-CA"/>
              </w:rPr>
            </w:pPr>
          </w:p>
        </w:tc>
        <w:tc>
          <w:tcPr>
            <w:tcW w:w="862" w:type="dxa"/>
            <w:shd w:val="clear" w:color="auto" w:fill="auto"/>
          </w:tcPr>
          <w:p w14:paraId="7F3CA703" w14:textId="77777777" w:rsidR="008A4C7A" w:rsidRPr="00B75955" w:rsidRDefault="008A4C7A" w:rsidP="007978A3">
            <w:pPr>
              <w:jc w:val="left"/>
              <w:rPr>
                <w:sz w:val="18"/>
                <w:lang w:val="en-CA"/>
              </w:rPr>
            </w:pPr>
            <w:r w:rsidRPr="00B75955">
              <w:rPr>
                <w:sz w:val="18"/>
                <w:lang w:val="en-CA"/>
              </w:rPr>
              <w:t>Support costs</w:t>
            </w:r>
          </w:p>
        </w:tc>
        <w:tc>
          <w:tcPr>
            <w:tcW w:w="1026" w:type="dxa"/>
            <w:shd w:val="clear" w:color="auto" w:fill="auto"/>
          </w:tcPr>
          <w:p w14:paraId="54E02C4E" w14:textId="77777777" w:rsidR="008A4C7A" w:rsidRPr="00B75955" w:rsidRDefault="008A4C7A" w:rsidP="007978A3">
            <w:pPr>
              <w:jc w:val="right"/>
              <w:rPr>
                <w:color w:val="000000"/>
                <w:sz w:val="16"/>
                <w:szCs w:val="16"/>
                <w:lang w:val="en-CA"/>
              </w:rPr>
            </w:pPr>
            <w:r w:rsidRPr="00B75955">
              <w:rPr>
                <w:color w:val="000000"/>
                <w:sz w:val="16"/>
                <w:szCs w:val="16"/>
                <w:lang w:val="en-CA"/>
              </w:rPr>
              <w:t>108,108</w:t>
            </w:r>
          </w:p>
        </w:tc>
        <w:tc>
          <w:tcPr>
            <w:tcW w:w="1026" w:type="dxa"/>
            <w:shd w:val="clear" w:color="auto" w:fill="auto"/>
          </w:tcPr>
          <w:p w14:paraId="37107CE2"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936" w:type="dxa"/>
            <w:shd w:val="clear" w:color="auto" w:fill="auto"/>
          </w:tcPr>
          <w:p w14:paraId="0E93CE0F"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936" w:type="dxa"/>
            <w:shd w:val="clear" w:color="auto" w:fill="auto"/>
          </w:tcPr>
          <w:p w14:paraId="5754D4C3"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936" w:type="dxa"/>
            <w:shd w:val="clear" w:color="auto" w:fill="auto"/>
          </w:tcPr>
          <w:p w14:paraId="6C732955"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936" w:type="dxa"/>
            <w:shd w:val="clear" w:color="auto" w:fill="auto"/>
          </w:tcPr>
          <w:p w14:paraId="1905A2AF"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76" w:type="dxa"/>
          </w:tcPr>
          <w:p w14:paraId="083ED058"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76" w:type="dxa"/>
          </w:tcPr>
          <w:p w14:paraId="6CCB7F5B"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76" w:type="dxa"/>
          </w:tcPr>
          <w:p w14:paraId="55E1B986"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05" w:type="dxa"/>
          </w:tcPr>
          <w:p w14:paraId="4F972012"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705" w:type="dxa"/>
          </w:tcPr>
          <w:p w14:paraId="73B63CEF" w14:textId="77777777" w:rsidR="008A4C7A" w:rsidRPr="00B75955" w:rsidRDefault="008A4C7A" w:rsidP="007978A3">
            <w:pPr>
              <w:jc w:val="center"/>
              <w:rPr>
                <w:color w:val="000000"/>
                <w:sz w:val="16"/>
                <w:szCs w:val="16"/>
                <w:lang w:val="en-CA"/>
              </w:rPr>
            </w:pPr>
            <w:r w:rsidRPr="00B75955">
              <w:rPr>
                <w:color w:val="000000"/>
                <w:sz w:val="16"/>
                <w:szCs w:val="16"/>
                <w:lang w:val="en-CA"/>
              </w:rPr>
              <w:t>-</w:t>
            </w:r>
          </w:p>
        </w:tc>
        <w:tc>
          <w:tcPr>
            <w:tcW w:w="1026" w:type="dxa"/>
            <w:shd w:val="clear" w:color="auto" w:fill="auto"/>
          </w:tcPr>
          <w:p w14:paraId="314C9A55" w14:textId="77777777" w:rsidR="008A4C7A" w:rsidRPr="00B75955" w:rsidRDefault="008A4C7A" w:rsidP="007978A3">
            <w:pPr>
              <w:jc w:val="right"/>
              <w:rPr>
                <w:color w:val="000000"/>
                <w:sz w:val="16"/>
                <w:szCs w:val="16"/>
                <w:lang w:val="en-CA"/>
              </w:rPr>
            </w:pPr>
            <w:r w:rsidRPr="00B75955">
              <w:rPr>
                <w:color w:val="000000"/>
                <w:sz w:val="16"/>
                <w:szCs w:val="16"/>
                <w:lang w:val="en-CA"/>
              </w:rPr>
              <w:t>108,108</w:t>
            </w:r>
          </w:p>
        </w:tc>
      </w:tr>
      <w:tr w:rsidR="008A4C7A" w:rsidRPr="00B75955" w14:paraId="31C8FDE9" w14:textId="77777777" w:rsidTr="008A4C7A">
        <w:tc>
          <w:tcPr>
            <w:tcW w:w="1868" w:type="dxa"/>
            <w:gridSpan w:val="2"/>
            <w:vMerge w:val="restart"/>
            <w:shd w:val="clear" w:color="auto" w:fill="auto"/>
          </w:tcPr>
          <w:p w14:paraId="643EFE2D" w14:textId="77777777" w:rsidR="008A4C7A" w:rsidRPr="00B75955" w:rsidRDefault="008A4C7A" w:rsidP="007978A3">
            <w:pPr>
              <w:jc w:val="left"/>
              <w:rPr>
                <w:sz w:val="18"/>
                <w:lang w:val="en-CA"/>
              </w:rPr>
            </w:pPr>
            <w:r w:rsidRPr="00B75955">
              <w:rPr>
                <w:sz w:val="18"/>
                <w:lang w:val="en-CA"/>
              </w:rPr>
              <w:t xml:space="preserve">Funds approved by </w:t>
            </w:r>
            <w:proofErr w:type="spellStart"/>
            <w:r w:rsidRPr="00B75955">
              <w:rPr>
                <w:sz w:val="18"/>
                <w:lang w:val="en-CA"/>
              </w:rPr>
              <w:t>ExCom</w:t>
            </w:r>
            <w:proofErr w:type="spellEnd"/>
            <w:r w:rsidRPr="00B75955">
              <w:rPr>
                <w:sz w:val="18"/>
                <w:lang w:val="en-CA"/>
              </w:rPr>
              <w:t xml:space="preserve"> (US $)</w:t>
            </w:r>
          </w:p>
        </w:tc>
        <w:tc>
          <w:tcPr>
            <w:tcW w:w="862" w:type="dxa"/>
            <w:shd w:val="clear" w:color="auto" w:fill="auto"/>
          </w:tcPr>
          <w:p w14:paraId="5FA9E754" w14:textId="77777777" w:rsidR="008A4C7A" w:rsidRPr="00B75955" w:rsidRDefault="008A4C7A" w:rsidP="007978A3">
            <w:pPr>
              <w:jc w:val="left"/>
              <w:rPr>
                <w:sz w:val="18"/>
                <w:lang w:val="en-CA"/>
              </w:rPr>
            </w:pPr>
            <w:r w:rsidRPr="00B75955">
              <w:rPr>
                <w:sz w:val="18"/>
                <w:lang w:val="en-CA"/>
              </w:rPr>
              <w:t>Project costs</w:t>
            </w:r>
          </w:p>
        </w:tc>
        <w:tc>
          <w:tcPr>
            <w:tcW w:w="1026" w:type="dxa"/>
            <w:shd w:val="clear" w:color="auto" w:fill="auto"/>
          </w:tcPr>
          <w:p w14:paraId="141C5956" w14:textId="77777777" w:rsidR="008A4C7A" w:rsidRPr="00B75955" w:rsidRDefault="008A4C7A" w:rsidP="007978A3">
            <w:pPr>
              <w:jc w:val="right"/>
              <w:rPr>
                <w:sz w:val="16"/>
                <w:szCs w:val="16"/>
                <w:highlight w:val="cyan"/>
                <w:lang w:val="en-CA"/>
              </w:rPr>
            </w:pPr>
            <w:r w:rsidRPr="00B75955">
              <w:rPr>
                <w:sz w:val="16"/>
                <w:szCs w:val="16"/>
                <w:lang w:val="en-CA"/>
              </w:rPr>
              <w:t>15,562,981</w:t>
            </w:r>
          </w:p>
        </w:tc>
        <w:tc>
          <w:tcPr>
            <w:tcW w:w="1026" w:type="dxa"/>
            <w:shd w:val="clear" w:color="auto" w:fill="auto"/>
          </w:tcPr>
          <w:p w14:paraId="1E9BE739" w14:textId="77777777" w:rsidR="008A4C7A" w:rsidRPr="00B75955" w:rsidRDefault="008A4C7A" w:rsidP="007978A3">
            <w:pPr>
              <w:jc w:val="right"/>
              <w:rPr>
                <w:sz w:val="16"/>
                <w:szCs w:val="16"/>
                <w:lang w:val="en-CA"/>
              </w:rPr>
            </w:pPr>
          </w:p>
        </w:tc>
        <w:tc>
          <w:tcPr>
            <w:tcW w:w="936" w:type="dxa"/>
            <w:shd w:val="clear" w:color="auto" w:fill="auto"/>
          </w:tcPr>
          <w:p w14:paraId="5E024B46" w14:textId="77777777" w:rsidR="008A4C7A" w:rsidRPr="00B75955" w:rsidRDefault="008A4C7A" w:rsidP="007978A3">
            <w:pPr>
              <w:jc w:val="right"/>
              <w:rPr>
                <w:sz w:val="16"/>
                <w:szCs w:val="16"/>
                <w:lang w:val="en-CA"/>
              </w:rPr>
            </w:pPr>
          </w:p>
        </w:tc>
        <w:tc>
          <w:tcPr>
            <w:tcW w:w="936" w:type="dxa"/>
            <w:shd w:val="clear" w:color="auto" w:fill="auto"/>
          </w:tcPr>
          <w:p w14:paraId="190EA6E8" w14:textId="77777777" w:rsidR="008A4C7A" w:rsidRPr="00B75955" w:rsidRDefault="008A4C7A" w:rsidP="007978A3">
            <w:pPr>
              <w:jc w:val="right"/>
              <w:rPr>
                <w:sz w:val="16"/>
                <w:szCs w:val="16"/>
                <w:lang w:val="en-CA"/>
              </w:rPr>
            </w:pPr>
          </w:p>
        </w:tc>
        <w:tc>
          <w:tcPr>
            <w:tcW w:w="936" w:type="dxa"/>
            <w:shd w:val="clear" w:color="auto" w:fill="auto"/>
          </w:tcPr>
          <w:p w14:paraId="6225CA07" w14:textId="77777777" w:rsidR="008A4C7A" w:rsidRPr="00B75955" w:rsidRDefault="008A4C7A" w:rsidP="007978A3">
            <w:pPr>
              <w:jc w:val="right"/>
              <w:rPr>
                <w:sz w:val="16"/>
                <w:szCs w:val="16"/>
                <w:lang w:val="en-CA"/>
              </w:rPr>
            </w:pPr>
          </w:p>
        </w:tc>
        <w:tc>
          <w:tcPr>
            <w:tcW w:w="936" w:type="dxa"/>
            <w:shd w:val="clear" w:color="auto" w:fill="auto"/>
          </w:tcPr>
          <w:p w14:paraId="5EC44DC6" w14:textId="77777777" w:rsidR="008A4C7A" w:rsidRPr="00B75955" w:rsidRDefault="008A4C7A" w:rsidP="007978A3">
            <w:pPr>
              <w:jc w:val="right"/>
              <w:rPr>
                <w:sz w:val="16"/>
                <w:szCs w:val="16"/>
                <w:lang w:val="en-CA"/>
              </w:rPr>
            </w:pPr>
          </w:p>
        </w:tc>
        <w:tc>
          <w:tcPr>
            <w:tcW w:w="776" w:type="dxa"/>
          </w:tcPr>
          <w:p w14:paraId="2BE89FF7" w14:textId="77777777" w:rsidR="008A4C7A" w:rsidRPr="00B75955" w:rsidRDefault="008A4C7A" w:rsidP="007978A3">
            <w:pPr>
              <w:jc w:val="right"/>
              <w:rPr>
                <w:sz w:val="16"/>
                <w:szCs w:val="16"/>
                <w:lang w:val="en-CA"/>
              </w:rPr>
            </w:pPr>
          </w:p>
        </w:tc>
        <w:tc>
          <w:tcPr>
            <w:tcW w:w="776" w:type="dxa"/>
          </w:tcPr>
          <w:p w14:paraId="164D83F3" w14:textId="77777777" w:rsidR="008A4C7A" w:rsidRPr="00B75955" w:rsidRDefault="008A4C7A" w:rsidP="007978A3">
            <w:pPr>
              <w:jc w:val="right"/>
              <w:rPr>
                <w:sz w:val="16"/>
                <w:szCs w:val="16"/>
                <w:lang w:val="en-CA"/>
              </w:rPr>
            </w:pPr>
          </w:p>
        </w:tc>
        <w:tc>
          <w:tcPr>
            <w:tcW w:w="776" w:type="dxa"/>
          </w:tcPr>
          <w:p w14:paraId="36CBC41D" w14:textId="77777777" w:rsidR="008A4C7A" w:rsidRPr="00B75955" w:rsidRDefault="008A4C7A" w:rsidP="007978A3">
            <w:pPr>
              <w:jc w:val="right"/>
              <w:rPr>
                <w:sz w:val="16"/>
                <w:szCs w:val="16"/>
                <w:lang w:val="en-CA"/>
              </w:rPr>
            </w:pPr>
          </w:p>
        </w:tc>
        <w:tc>
          <w:tcPr>
            <w:tcW w:w="705" w:type="dxa"/>
          </w:tcPr>
          <w:p w14:paraId="422F6746" w14:textId="77777777" w:rsidR="008A4C7A" w:rsidRPr="00B75955" w:rsidRDefault="008A4C7A" w:rsidP="007978A3">
            <w:pPr>
              <w:jc w:val="right"/>
              <w:rPr>
                <w:sz w:val="16"/>
                <w:szCs w:val="16"/>
                <w:lang w:val="en-CA"/>
              </w:rPr>
            </w:pPr>
          </w:p>
        </w:tc>
        <w:tc>
          <w:tcPr>
            <w:tcW w:w="705" w:type="dxa"/>
          </w:tcPr>
          <w:p w14:paraId="2F99C0FF" w14:textId="77777777" w:rsidR="008A4C7A" w:rsidRPr="00B75955" w:rsidRDefault="008A4C7A" w:rsidP="007978A3">
            <w:pPr>
              <w:jc w:val="right"/>
              <w:rPr>
                <w:sz w:val="16"/>
                <w:szCs w:val="16"/>
                <w:lang w:val="en-CA"/>
              </w:rPr>
            </w:pPr>
          </w:p>
        </w:tc>
        <w:tc>
          <w:tcPr>
            <w:tcW w:w="1026" w:type="dxa"/>
            <w:shd w:val="clear" w:color="auto" w:fill="auto"/>
          </w:tcPr>
          <w:p w14:paraId="388DC4F0" w14:textId="77777777" w:rsidR="008A4C7A" w:rsidRPr="00B75955" w:rsidRDefault="008A4C7A" w:rsidP="007978A3">
            <w:pPr>
              <w:jc w:val="right"/>
              <w:rPr>
                <w:sz w:val="16"/>
                <w:szCs w:val="16"/>
                <w:highlight w:val="cyan"/>
                <w:lang w:val="en-CA"/>
              </w:rPr>
            </w:pPr>
            <w:r w:rsidRPr="00B75955">
              <w:rPr>
                <w:sz w:val="16"/>
                <w:szCs w:val="16"/>
                <w:lang w:val="en-CA"/>
              </w:rPr>
              <w:t>15,562,981</w:t>
            </w:r>
          </w:p>
        </w:tc>
      </w:tr>
      <w:tr w:rsidR="008A4C7A" w:rsidRPr="00B75955" w14:paraId="2E451FBD" w14:textId="77777777" w:rsidTr="008A4C7A">
        <w:tc>
          <w:tcPr>
            <w:tcW w:w="1868" w:type="dxa"/>
            <w:gridSpan w:val="2"/>
            <w:vMerge/>
            <w:tcBorders>
              <w:bottom w:val="single" w:sz="4" w:space="0" w:color="666699"/>
            </w:tcBorders>
            <w:shd w:val="clear" w:color="auto" w:fill="auto"/>
          </w:tcPr>
          <w:p w14:paraId="06C19B81" w14:textId="77777777" w:rsidR="008A4C7A" w:rsidRPr="00B75955" w:rsidRDefault="008A4C7A" w:rsidP="007978A3">
            <w:pPr>
              <w:jc w:val="center"/>
              <w:rPr>
                <w:sz w:val="18"/>
                <w:lang w:val="en-CA"/>
              </w:rPr>
            </w:pPr>
          </w:p>
        </w:tc>
        <w:tc>
          <w:tcPr>
            <w:tcW w:w="862" w:type="dxa"/>
            <w:tcBorders>
              <w:bottom w:val="single" w:sz="4" w:space="0" w:color="666699"/>
            </w:tcBorders>
            <w:shd w:val="clear" w:color="auto" w:fill="auto"/>
          </w:tcPr>
          <w:p w14:paraId="4C775EC2" w14:textId="77777777" w:rsidR="008A4C7A" w:rsidRPr="00B75955" w:rsidRDefault="008A4C7A" w:rsidP="007978A3">
            <w:pPr>
              <w:jc w:val="left"/>
              <w:rPr>
                <w:sz w:val="18"/>
                <w:lang w:val="en-CA"/>
              </w:rPr>
            </w:pPr>
            <w:r w:rsidRPr="00B75955">
              <w:rPr>
                <w:sz w:val="18"/>
                <w:lang w:val="en-CA"/>
              </w:rPr>
              <w:t>Support costs</w:t>
            </w:r>
          </w:p>
        </w:tc>
        <w:tc>
          <w:tcPr>
            <w:tcW w:w="1026" w:type="dxa"/>
            <w:tcBorders>
              <w:bottom w:val="single" w:sz="4" w:space="0" w:color="666699"/>
            </w:tcBorders>
            <w:shd w:val="clear" w:color="auto" w:fill="auto"/>
          </w:tcPr>
          <w:p w14:paraId="1A7B097A" w14:textId="77777777" w:rsidR="008A4C7A" w:rsidRPr="00B75955" w:rsidRDefault="008A4C7A" w:rsidP="007978A3">
            <w:pPr>
              <w:jc w:val="right"/>
              <w:rPr>
                <w:sz w:val="16"/>
                <w:szCs w:val="16"/>
                <w:highlight w:val="cyan"/>
                <w:lang w:val="en-CA"/>
              </w:rPr>
            </w:pPr>
            <w:r w:rsidRPr="00B75955">
              <w:rPr>
                <w:sz w:val="16"/>
                <w:szCs w:val="16"/>
                <w:lang w:val="en-CA"/>
              </w:rPr>
              <w:t>1,135,084</w:t>
            </w:r>
          </w:p>
        </w:tc>
        <w:tc>
          <w:tcPr>
            <w:tcW w:w="1026" w:type="dxa"/>
            <w:tcBorders>
              <w:bottom w:val="single" w:sz="4" w:space="0" w:color="666699"/>
            </w:tcBorders>
            <w:shd w:val="clear" w:color="auto" w:fill="auto"/>
          </w:tcPr>
          <w:p w14:paraId="7D274E5B" w14:textId="77777777" w:rsidR="008A4C7A" w:rsidRPr="00B75955" w:rsidRDefault="008A4C7A" w:rsidP="007978A3">
            <w:pPr>
              <w:jc w:val="right"/>
              <w:rPr>
                <w:sz w:val="16"/>
                <w:szCs w:val="16"/>
                <w:lang w:val="en-CA"/>
              </w:rPr>
            </w:pPr>
          </w:p>
        </w:tc>
        <w:tc>
          <w:tcPr>
            <w:tcW w:w="936" w:type="dxa"/>
            <w:tcBorders>
              <w:bottom w:val="single" w:sz="4" w:space="0" w:color="666699"/>
            </w:tcBorders>
            <w:shd w:val="clear" w:color="auto" w:fill="auto"/>
          </w:tcPr>
          <w:p w14:paraId="67F5EC5F" w14:textId="77777777" w:rsidR="008A4C7A" w:rsidRPr="00B75955" w:rsidRDefault="008A4C7A" w:rsidP="007978A3">
            <w:pPr>
              <w:jc w:val="right"/>
              <w:rPr>
                <w:sz w:val="16"/>
                <w:szCs w:val="16"/>
                <w:lang w:val="en-CA"/>
              </w:rPr>
            </w:pPr>
          </w:p>
        </w:tc>
        <w:tc>
          <w:tcPr>
            <w:tcW w:w="936" w:type="dxa"/>
            <w:tcBorders>
              <w:bottom w:val="single" w:sz="4" w:space="0" w:color="666699"/>
            </w:tcBorders>
            <w:shd w:val="clear" w:color="auto" w:fill="auto"/>
          </w:tcPr>
          <w:p w14:paraId="6079E754" w14:textId="77777777" w:rsidR="008A4C7A" w:rsidRPr="00B75955" w:rsidRDefault="008A4C7A" w:rsidP="007978A3">
            <w:pPr>
              <w:jc w:val="right"/>
              <w:rPr>
                <w:sz w:val="16"/>
                <w:szCs w:val="16"/>
                <w:lang w:val="en-CA"/>
              </w:rPr>
            </w:pPr>
          </w:p>
        </w:tc>
        <w:tc>
          <w:tcPr>
            <w:tcW w:w="936" w:type="dxa"/>
            <w:tcBorders>
              <w:bottom w:val="single" w:sz="4" w:space="0" w:color="666699"/>
            </w:tcBorders>
            <w:shd w:val="clear" w:color="auto" w:fill="auto"/>
          </w:tcPr>
          <w:p w14:paraId="3FAC7428" w14:textId="77777777" w:rsidR="008A4C7A" w:rsidRPr="00B75955" w:rsidRDefault="008A4C7A" w:rsidP="007978A3">
            <w:pPr>
              <w:jc w:val="right"/>
              <w:rPr>
                <w:sz w:val="16"/>
                <w:szCs w:val="16"/>
                <w:lang w:val="en-CA"/>
              </w:rPr>
            </w:pPr>
          </w:p>
        </w:tc>
        <w:tc>
          <w:tcPr>
            <w:tcW w:w="936" w:type="dxa"/>
            <w:tcBorders>
              <w:bottom w:val="single" w:sz="4" w:space="0" w:color="666699"/>
            </w:tcBorders>
            <w:shd w:val="clear" w:color="auto" w:fill="auto"/>
          </w:tcPr>
          <w:p w14:paraId="55F0F8EC" w14:textId="77777777" w:rsidR="008A4C7A" w:rsidRPr="00B75955" w:rsidRDefault="008A4C7A" w:rsidP="007978A3">
            <w:pPr>
              <w:jc w:val="right"/>
              <w:rPr>
                <w:sz w:val="16"/>
                <w:szCs w:val="16"/>
                <w:lang w:val="en-CA"/>
              </w:rPr>
            </w:pPr>
          </w:p>
        </w:tc>
        <w:tc>
          <w:tcPr>
            <w:tcW w:w="776" w:type="dxa"/>
            <w:tcBorders>
              <w:bottom w:val="single" w:sz="4" w:space="0" w:color="666699"/>
            </w:tcBorders>
          </w:tcPr>
          <w:p w14:paraId="188A6023" w14:textId="77777777" w:rsidR="008A4C7A" w:rsidRPr="00B75955" w:rsidRDefault="008A4C7A" w:rsidP="007978A3">
            <w:pPr>
              <w:jc w:val="right"/>
              <w:rPr>
                <w:sz w:val="16"/>
                <w:szCs w:val="16"/>
                <w:lang w:val="en-CA"/>
              </w:rPr>
            </w:pPr>
          </w:p>
        </w:tc>
        <w:tc>
          <w:tcPr>
            <w:tcW w:w="776" w:type="dxa"/>
            <w:tcBorders>
              <w:bottom w:val="single" w:sz="4" w:space="0" w:color="666699"/>
            </w:tcBorders>
          </w:tcPr>
          <w:p w14:paraId="0F96CF7F" w14:textId="77777777" w:rsidR="008A4C7A" w:rsidRPr="00B75955" w:rsidRDefault="008A4C7A" w:rsidP="007978A3">
            <w:pPr>
              <w:jc w:val="right"/>
              <w:rPr>
                <w:sz w:val="16"/>
                <w:szCs w:val="16"/>
                <w:lang w:val="en-CA"/>
              </w:rPr>
            </w:pPr>
          </w:p>
        </w:tc>
        <w:tc>
          <w:tcPr>
            <w:tcW w:w="776" w:type="dxa"/>
            <w:tcBorders>
              <w:bottom w:val="single" w:sz="4" w:space="0" w:color="666699"/>
            </w:tcBorders>
          </w:tcPr>
          <w:p w14:paraId="27A2F821" w14:textId="77777777" w:rsidR="008A4C7A" w:rsidRPr="00B75955" w:rsidRDefault="008A4C7A" w:rsidP="007978A3">
            <w:pPr>
              <w:jc w:val="right"/>
              <w:rPr>
                <w:sz w:val="16"/>
                <w:szCs w:val="16"/>
                <w:lang w:val="en-CA"/>
              </w:rPr>
            </w:pPr>
          </w:p>
        </w:tc>
        <w:tc>
          <w:tcPr>
            <w:tcW w:w="705" w:type="dxa"/>
            <w:tcBorders>
              <w:bottom w:val="single" w:sz="4" w:space="0" w:color="666699"/>
            </w:tcBorders>
          </w:tcPr>
          <w:p w14:paraId="3215DE49" w14:textId="77777777" w:rsidR="008A4C7A" w:rsidRPr="00B75955" w:rsidRDefault="008A4C7A" w:rsidP="007978A3">
            <w:pPr>
              <w:jc w:val="right"/>
              <w:rPr>
                <w:sz w:val="16"/>
                <w:szCs w:val="16"/>
                <w:lang w:val="en-CA"/>
              </w:rPr>
            </w:pPr>
          </w:p>
        </w:tc>
        <w:tc>
          <w:tcPr>
            <w:tcW w:w="705" w:type="dxa"/>
            <w:tcBorders>
              <w:bottom w:val="single" w:sz="4" w:space="0" w:color="666699"/>
            </w:tcBorders>
          </w:tcPr>
          <w:p w14:paraId="0BFD5743" w14:textId="77777777" w:rsidR="008A4C7A" w:rsidRPr="00B75955" w:rsidRDefault="008A4C7A" w:rsidP="007978A3">
            <w:pPr>
              <w:jc w:val="right"/>
              <w:rPr>
                <w:sz w:val="16"/>
                <w:szCs w:val="16"/>
                <w:lang w:val="en-CA"/>
              </w:rPr>
            </w:pPr>
          </w:p>
        </w:tc>
        <w:tc>
          <w:tcPr>
            <w:tcW w:w="1026" w:type="dxa"/>
            <w:tcBorders>
              <w:bottom w:val="single" w:sz="4" w:space="0" w:color="666699"/>
            </w:tcBorders>
            <w:shd w:val="clear" w:color="auto" w:fill="auto"/>
          </w:tcPr>
          <w:p w14:paraId="1109566C" w14:textId="77777777" w:rsidR="008A4C7A" w:rsidRPr="00B75955" w:rsidRDefault="008A4C7A" w:rsidP="007978A3">
            <w:pPr>
              <w:jc w:val="right"/>
              <w:rPr>
                <w:sz w:val="16"/>
                <w:szCs w:val="16"/>
                <w:highlight w:val="cyan"/>
                <w:lang w:val="en-CA"/>
              </w:rPr>
            </w:pPr>
            <w:r w:rsidRPr="00B75955">
              <w:rPr>
                <w:sz w:val="16"/>
                <w:szCs w:val="16"/>
                <w:lang w:val="en-CA"/>
              </w:rPr>
              <w:t>1,135,084</w:t>
            </w:r>
          </w:p>
        </w:tc>
      </w:tr>
      <w:tr w:rsidR="00E446ED" w:rsidRPr="00B75955" w14:paraId="7167FFD6" w14:textId="77777777" w:rsidTr="008A4C7A">
        <w:tc>
          <w:tcPr>
            <w:tcW w:w="1868" w:type="dxa"/>
            <w:gridSpan w:val="2"/>
            <w:vMerge w:val="restart"/>
            <w:tcBorders>
              <w:bottom w:val="single" w:sz="4" w:space="0" w:color="auto"/>
            </w:tcBorders>
            <w:shd w:val="clear" w:color="auto" w:fill="auto"/>
          </w:tcPr>
          <w:p w14:paraId="2CDF5979" w14:textId="77777777" w:rsidR="00E446ED" w:rsidRPr="00B75955" w:rsidRDefault="00E446ED" w:rsidP="007978A3">
            <w:pPr>
              <w:jc w:val="left"/>
              <w:rPr>
                <w:sz w:val="18"/>
                <w:lang w:val="en-CA"/>
              </w:rPr>
            </w:pPr>
            <w:r w:rsidRPr="00B75955">
              <w:rPr>
                <w:sz w:val="18"/>
                <w:lang w:val="en-CA"/>
              </w:rPr>
              <w:t>Total funds requested for approval at this meeting (US $)</w:t>
            </w:r>
          </w:p>
        </w:tc>
        <w:tc>
          <w:tcPr>
            <w:tcW w:w="862" w:type="dxa"/>
            <w:tcBorders>
              <w:bottom w:val="single" w:sz="4" w:space="0" w:color="666699"/>
            </w:tcBorders>
            <w:shd w:val="clear" w:color="auto" w:fill="auto"/>
          </w:tcPr>
          <w:p w14:paraId="0F783932" w14:textId="77777777" w:rsidR="00E446ED" w:rsidRPr="00B75955" w:rsidRDefault="00E446ED" w:rsidP="007978A3">
            <w:pPr>
              <w:jc w:val="left"/>
              <w:rPr>
                <w:sz w:val="18"/>
                <w:lang w:val="en-CA"/>
              </w:rPr>
            </w:pPr>
            <w:r w:rsidRPr="00B75955">
              <w:rPr>
                <w:sz w:val="18"/>
                <w:lang w:val="en-CA"/>
              </w:rPr>
              <w:t>Project costs</w:t>
            </w:r>
          </w:p>
        </w:tc>
        <w:tc>
          <w:tcPr>
            <w:tcW w:w="1026" w:type="dxa"/>
            <w:tcBorders>
              <w:bottom w:val="single" w:sz="4" w:space="0" w:color="666699"/>
            </w:tcBorders>
            <w:shd w:val="clear" w:color="auto" w:fill="auto"/>
          </w:tcPr>
          <w:p w14:paraId="1236FC86" w14:textId="77777777" w:rsidR="00E446ED" w:rsidRPr="00B75955" w:rsidRDefault="00E446ED" w:rsidP="007978A3">
            <w:pPr>
              <w:jc w:val="right"/>
              <w:rPr>
                <w:sz w:val="18"/>
                <w:lang w:val="en-CA"/>
              </w:rPr>
            </w:pPr>
          </w:p>
        </w:tc>
        <w:tc>
          <w:tcPr>
            <w:tcW w:w="1026" w:type="dxa"/>
            <w:tcBorders>
              <w:bottom w:val="single" w:sz="4" w:space="0" w:color="666699"/>
            </w:tcBorders>
            <w:shd w:val="clear" w:color="auto" w:fill="auto"/>
          </w:tcPr>
          <w:p w14:paraId="62824D7C" w14:textId="77777777" w:rsidR="00E446ED" w:rsidRPr="00B75955" w:rsidRDefault="00E446ED" w:rsidP="007978A3">
            <w:pPr>
              <w:jc w:val="right"/>
              <w:rPr>
                <w:color w:val="000000"/>
                <w:sz w:val="16"/>
                <w:szCs w:val="16"/>
                <w:lang w:val="en-CA"/>
              </w:rPr>
            </w:pPr>
          </w:p>
        </w:tc>
        <w:tc>
          <w:tcPr>
            <w:tcW w:w="936" w:type="dxa"/>
            <w:tcBorders>
              <w:bottom w:val="single" w:sz="4" w:space="0" w:color="666699"/>
            </w:tcBorders>
            <w:shd w:val="clear" w:color="auto" w:fill="auto"/>
          </w:tcPr>
          <w:p w14:paraId="3BE37FB7" w14:textId="77777777" w:rsidR="00E446ED" w:rsidRPr="00B75955" w:rsidRDefault="00E446ED" w:rsidP="007978A3">
            <w:pPr>
              <w:jc w:val="right"/>
              <w:rPr>
                <w:color w:val="000000"/>
                <w:sz w:val="16"/>
                <w:szCs w:val="16"/>
                <w:lang w:val="en-CA"/>
              </w:rPr>
            </w:pPr>
            <w:r w:rsidRPr="00B75955">
              <w:rPr>
                <w:color w:val="000000"/>
                <w:sz w:val="16"/>
                <w:szCs w:val="16"/>
                <w:lang w:val="en-CA"/>
              </w:rPr>
              <w:t>16,000,000</w:t>
            </w:r>
          </w:p>
        </w:tc>
        <w:tc>
          <w:tcPr>
            <w:tcW w:w="936" w:type="dxa"/>
            <w:tcBorders>
              <w:bottom w:val="single" w:sz="4" w:space="0" w:color="666699"/>
            </w:tcBorders>
            <w:shd w:val="clear" w:color="auto" w:fill="auto"/>
          </w:tcPr>
          <w:p w14:paraId="21A75803" w14:textId="77777777" w:rsidR="00E446ED" w:rsidRPr="00B75955" w:rsidRDefault="00E446ED" w:rsidP="007978A3">
            <w:pPr>
              <w:jc w:val="right"/>
              <w:rPr>
                <w:sz w:val="18"/>
                <w:lang w:val="en-CA"/>
              </w:rPr>
            </w:pPr>
          </w:p>
        </w:tc>
        <w:tc>
          <w:tcPr>
            <w:tcW w:w="936" w:type="dxa"/>
            <w:tcBorders>
              <w:bottom w:val="single" w:sz="4" w:space="0" w:color="666699"/>
            </w:tcBorders>
            <w:shd w:val="clear" w:color="auto" w:fill="auto"/>
          </w:tcPr>
          <w:p w14:paraId="2BE83E56" w14:textId="77777777" w:rsidR="00E446ED" w:rsidRPr="00B75955" w:rsidRDefault="00E446ED" w:rsidP="007978A3">
            <w:pPr>
              <w:jc w:val="right"/>
              <w:rPr>
                <w:sz w:val="18"/>
                <w:lang w:val="en-CA"/>
              </w:rPr>
            </w:pPr>
          </w:p>
        </w:tc>
        <w:tc>
          <w:tcPr>
            <w:tcW w:w="936" w:type="dxa"/>
            <w:tcBorders>
              <w:bottom w:val="single" w:sz="4" w:space="0" w:color="666699"/>
            </w:tcBorders>
            <w:shd w:val="clear" w:color="auto" w:fill="auto"/>
          </w:tcPr>
          <w:p w14:paraId="07AC3B84" w14:textId="77777777" w:rsidR="00E446ED" w:rsidRPr="00B75955" w:rsidRDefault="00E446ED" w:rsidP="007978A3">
            <w:pPr>
              <w:jc w:val="right"/>
              <w:rPr>
                <w:sz w:val="18"/>
                <w:lang w:val="en-CA"/>
              </w:rPr>
            </w:pPr>
          </w:p>
        </w:tc>
        <w:tc>
          <w:tcPr>
            <w:tcW w:w="776" w:type="dxa"/>
            <w:tcBorders>
              <w:bottom w:val="single" w:sz="4" w:space="0" w:color="666699"/>
            </w:tcBorders>
          </w:tcPr>
          <w:p w14:paraId="7573FB5C" w14:textId="77777777" w:rsidR="00E446ED" w:rsidRPr="00B75955" w:rsidRDefault="00E446ED" w:rsidP="007978A3">
            <w:pPr>
              <w:jc w:val="right"/>
              <w:rPr>
                <w:sz w:val="18"/>
                <w:lang w:val="en-CA"/>
              </w:rPr>
            </w:pPr>
          </w:p>
        </w:tc>
        <w:tc>
          <w:tcPr>
            <w:tcW w:w="776" w:type="dxa"/>
            <w:tcBorders>
              <w:bottom w:val="single" w:sz="4" w:space="0" w:color="666699"/>
            </w:tcBorders>
          </w:tcPr>
          <w:p w14:paraId="7D7EF267" w14:textId="77777777" w:rsidR="00E446ED" w:rsidRPr="00B75955" w:rsidRDefault="00E446ED" w:rsidP="007978A3">
            <w:pPr>
              <w:jc w:val="right"/>
              <w:rPr>
                <w:sz w:val="18"/>
                <w:lang w:val="en-CA"/>
              </w:rPr>
            </w:pPr>
          </w:p>
        </w:tc>
        <w:tc>
          <w:tcPr>
            <w:tcW w:w="776" w:type="dxa"/>
            <w:tcBorders>
              <w:bottom w:val="single" w:sz="4" w:space="0" w:color="666699"/>
            </w:tcBorders>
          </w:tcPr>
          <w:p w14:paraId="0A264E89" w14:textId="77777777" w:rsidR="00E446ED" w:rsidRPr="00B75955" w:rsidRDefault="00E446ED" w:rsidP="007978A3">
            <w:pPr>
              <w:jc w:val="right"/>
              <w:rPr>
                <w:sz w:val="18"/>
                <w:lang w:val="en-CA"/>
              </w:rPr>
            </w:pPr>
          </w:p>
        </w:tc>
        <w:tc>
          <w:tcPr>
            <w:tcW w:w="705" w:type="dxa"/>
            <w:tcBorders>
              <w:bottom w:val="single" w:sz="4" w:space="0" w:color="666699"/>
            </w:tcBorders>
          </w:tcPr>
          <w:p w14:paraId="7A9F8DA5" w14:textId="77777777" w:rsidR="00E446ED" w:rsidRPr="00B75955" w:rsidRDefault="00E446ED" w:rsidP="007978A3">
            <w:pPr>
              <w:jc w:val="right"/>
              <w:rPr>
                <w:sz w:val="18"/>
                <w:lang w:val="en-CA"/>
              </w:rPr>
            </w:pPr>
          </w:p>
        </w:tc>
        <w:tc>
          <w:tcPr>
            <w:tcW w:w="705" w:type="dxa"/>
            <w:tcBorders>
              <w:bottom w:val="single" w:sz="4" w:space="0" w:color="666699"/>
            </w:tcBorders>
          </w:tcPr>
          <w:p w14:paraId="5609F5C4" w14:textId="77777777" w:rsidR="00E446ED" w:rsidRPr="00B75955" w:rsidRDefault="00E446ED" w:rsidP="007978A3">
            <w:pPr>
              <w:jc w:val="right"/>
              <w:rPr>
                <w:sz w:val="18"/>
                <w:lang w:val="en-CA"/>
              </w:rPr>
            </w:pPr>
          </w:p>
        </w:tc>
        <w:tc>
          <w:tcPr>
            <w:tcW w:w="1026" w:type="dxa"/>
            <w:tcBorders>
              <w:bottom w:val="single" w:sz="4" w:space="0" w:color="666699"/>
            </w:tcBorders>
            <w:shd w:val="clear" w:color="auto" w:fill="auto"/>
          </w:tcPr>
          <w:p w14:paraId="57263FBC" w14:textId="77777777" w:rsidR="00E446ED" w:rsidRPr="00B75955" w:rsidRDefault="00E446ED" w:rsidP="007978A3">
            <w:pPr>
              <w:jc w:val="right"/>
              <w:rPr>
                <w:color w:val="000000"/>
                <w:sz w:val="16"/>
                <w:szCs w:val="16"/>
                <w:lang w:val="en-CA"/>
              </w:rPr>
            </w:pPr>
            <w:r w:rsidRPr="00B75955">
              <w:rPr>
                <w:color w:val="000000"/>
                <w:sz w:val="16"/>
                <w:szCs w:val="16"/>
                <w:lang w:val="en-CA"/>
              </w:rPr>
              <w:t>16,000,000</w:t>
            </w:r>
          </w:p>
        </w:tc>
      </w:tr>
      <w:tr w:rsidR="00E446ED" w:rsidRPr="00B75955" w14:paraId="0C38AB93" w14:textId="77777777" w:rsidTr="008A4C7A">
        <w:tc>
          <w:tcPr>
            <w:tcW w:w="1868" w:type="dxa"/>
            <w:gridSpan w:val="2"/>
            <w:vMerge/>
            <w:tcBorders>
              <w:bottom w:val="single" w:sz="4" w:space="0" w:color="666699"/>
            </w:tcBorders>
            <w:shd w:val="clear" w:color="auto" w:fill="auto"/>
          </w:tcPr>
          <w:p w14:paraId="3DCEAE34" w14:textId="77777777" w:rsidR="00E446ED" w:rsidRPr="00B75955" w:rsidRDefault="00E446ED" w:rsidP="007978A3">
            <w:pPr>
              <w:jc w:val="center"/>
              <w:rPr>
                <w:sz w:val="18"/>
                <w:lang w:val="en-CA"/>
              </w:rPr>
            </w:pPr>
          </w:p>
        </w:tc>
        <w:tc>
          <w:tcPr>
            <w:tcW w:w="862" w:type="dxa"/>
            <w:tcBorders>
              <w:bottom w:val="single" w:sz="4" w:space="0" w:color="666699"/>
            </w:tcBorders>
            <w:shd w:val="clear" w:color="auto" w:fill="auto"/>
          </w:tcPr>
          <w:p w14:paraId="3CFDC54D" w14:textId="77777777" w:rsidR="00E446ED" w:rsidRPr="00B75955" w:rsidRDefault="00E446ED" w:rsidP="007978A3">
            <w:pPr>
              <w:jc w:val="left"/>
              <w:rPr>
                <w:sz w:val="18"/>
                <w:lang w:val="en-CA"/>
              </w:rPr>
            </w:pPr>
            <w:r w:rsidRPr="00B75955">
              <w:rPr>
                <w:sz w:val="18"/>
                <w:lang w:val="en-CA"/>
              </w:rPr>
              <w:t>Support costs</w:t>
            </w:r>
          </w:p>
        </w:tc>
        <w:tc>
          <w:tcPr>
            <w:tcW w:w="1026" w:type="dxa"/>
            <w:tcBorders>
              <w:bottom w:val="single" w:sz="4" w:space="0" w:color="666699"/>
            </w:tcBorders>
            <w:shd w:val="clear" w:color="auto" w:fill="auto"/>
          </w:tcPr>
          <w:p w14:paraId="6E86EE97" w14:textId="77777777" w:rsidR="00E446ED" w:rsidRPr="00B75955" w:rsidRDefault="00E446ED" w:rsidP="007978A3">
            <w:pPr>
              <w:jc w:val="right"/>
              <w:rPr>
                <w:sz w:val="18"/>
                <w:lang w:val="en-CA"/>
              </w:rPr>
            </w:pPr>
          </w:p>
        </w:tc>
        <w:tc>
          <w:tcPr>
            <w:tcW w:w="1026" w:type="dxa"/>
            <w:tcBorders>
              <w:bottom w:val="single" w:sz="4" w:space="0" w:color="666699"/>
            </w:tcBorders>
            <w:shd w:val="clear" w:color="auto" w:fill="auto"/>
          </w:tcPr>
          <w:p w14:paraId="497C0BF8" w14:textId="77777777" w:rsidR="00E446ED" w:rsidRPr="00B75955" w:rsidRDefault="00E446ED" w:rsidP="007978A3">
            <w:pPr>
              <w:jc w:val="right"/>
              <w:rPr>
                <w:color w:val="000000"/>
                <w:sz w:val="16"/>
                <w:szCs w:val="16"/>
                <w:lang w:val="en-CA"/>
              </w:rPr>
            </w:pPr>
          </w:p>
        </w:tc>
        <w:tc>
          <w:tcPr>
            <w:tcW w:w="936" w:type="dxa"/>
            <w:tcBorders>
              <w:bottom w:val="single" w:sz="4" w:space="0" w:color="666699"/>
            </w:tcBorders>
            <w:shd w:val="clear" w:color="auto" w:fill="auto"/>
          </w:tcPr>
          <w:p w14:paraId="36E3FF56" w14:textId="77777777" w:rsidR="00E446ED" w:rsidRPr="00B75955" w:rsidRDefault="00E446ED" w:rsidP="007978A3">
            <w:pPr>
              <w:jc w:val="right"/>
              <w:rPr>
                <w:color w:val="000000"/>
                <w:sz w:val="16"/>
                <w:szCs w:val="16"/>
                <w:lang w:val="en-CA"/>
              </w:rPr>
            </w:pPr>
            <w:r w:rsidRPr="00B75955">
              <w:rPr>
                <w:color w:val="000000"/>
                <w:sz w:val="16"/>
                <w:szCs w:val="16"/>
                <w:lang w:val="en-CA"/>
              </w:rPr>
              <w:t>1,040,000</w:t>
            </w:r>
          </w:p>
        </w:tc>
        <w:tc>
          <w:tcPr>
            <w:tcW w:w="936" w:type="dxa"/>
            <w:tcBorders>
              <w:bottom w:val="single" w:sz="4" w:space="0" w:color="666699"/>
            </w:tcBorders>
            <w:shd w:val="clear" w:color="auto" w:fill="auto"/>
          </w:tcPr>
          <w:p w14:paraId="63C762B4" w14:textId="77777777" w:rsidR="00E446ED" w:rsidRPr="00B75955" w:rsidRDefault="00E446ED" w:rsidP="007978A3">
            <w:pPr>
              <w:jc w:val="right"/>
              <w:rPr>
                <w:sz w:val="18"/>
                <w:lang w:val="en-CA"/>
              </w:rPr>
            </w:pPr>
          </w:p>
        </w:tc>
        <w:tc>
          <w:tcPr>
            <w:tcW w:w="936" w:type="dxa"/>
            <w:tcBorders>
              <w:bottom w:val="single" w:sz="4" w:space="0" w:color="666699"/>
            </w:tcBorders>
            <w:shd w:val="clear" w:color="auto" w:fill="auto"/>
          </w:tcPr>
          <w:p w14:paraId="732272C6" w14:textId="77777777" w:rsidR="00E446ED" w:rsidRPr="00B75955" w:rsidRDefault="00E446ED" w:rsidP="007978A3">
            <w:pPr>
              <w:jc w:val="right"/>
              <w:rPr>
                <w:sz w:val="18"/>
                <w:lang w:val="en-CA"/>
              </w:rPr>
            </w:pPr>
          </w:p>
        </w:tc>
        <w:tc>
          <w:tcPr>
            <w:tcW w:w="936" w:type="dxa"/>
            <w:tcBorders>
              <w:bottom w:val="single" w:sz="4" w:space="0" w:color="666699"/>
            </w:tcBorders>
            <w:shd w:val="clear" w:color="auto" w:fill="auto"/>
          </w:tcPr>
          <w:p w14:paraId="0B99F88A" w14:textId="77777777" w:rsidR="00E446ED" w:rsidRPr="00B75955" w:rsidRDefault="00E446ED" w:rsidP="007978A3">
            <w:pPr>
              <w:jc w:val="right"/>
              <w:rPr>
                <w:sz w:val="18"/>
                <w:lang w:val="en-CA"/>
              </w:rPr>
            </w:pPr>
          </w:p>
        </w:tc>
        <w:tc>
          <w:tcPr>
            <w:tcW w:w="776" w:type="dxa"/>
            <w:tcBorders>
              <w:bottom w:val="single" w:sz="4" w:space="0" w:color="666699"/>
            </w:tcBorders>
          </w:tcPr>
          <w:p w14:paraId="2CE07B1C" w14:textId="77777777" w:rsidR="00E446ED" w:rsidRPr="00B75955" w:rsidRDefault="00E446ED" w:rsidP="007978A3">
            <w:pPr>
              <w:jc w:val="right"/>
              <w:rPr>
                <w:sz w:val="18"/>
                <w:lang w:val="en-CA"/>
              </w:rPr>
            </w:pPr>
          </w:p>
        </w:tc>
        <w:tc>
          <w:tcPr>
            <w:tcW w:w="776" w:type="dxa"/>
            <w:tcBorders>
              <w:bottom w:val="single" w:sz="4" w:space="0" w:color="666699"/>
            </w:tcBorders>
          </w:tcPr>
          <w:p w14:paraId="3ADFA4C2" w14:textId="77777777" w:rsidR="00E446ED" w:rsidRPr="00B75955" w:rsidRDefault="00E446ED" w:rsidP="007978A3">
            <w:pPr>
              <w:jc w:val="right"/>
              <w:rPr>
                <w:sz w:val="18"/>
                <w:lang w:val="en-CA"/>
              </w:rPr>
            </w:pPr>
          </w:p>
        </w:tc>
        <w:tc>
          <w:tcPr>
            <w:tcW w:w="776" w:type="dxa"/>
            <w:tcBorders>
              <w:bottom w:val="single" w:sz="4" w:space="0" w:color="666699"/>
            </w:tcBorders>
          </w:tcPr>
          <w:p w14:paraId="30C07A2C" w14:textId="77777777" w:rsidR="00E446ED" w:rsidRPr="00B75955" w:rsidRDefault="00E446ED" w:rsidP="007978A3">
            <w:pPr>
              <w:jc w:val="right"/>
              <w:rPr>
                <w:sz w:val="18"/>
                <w:lang w:val="en-CA"/>
              </w:rPr>
            </w:pPr>
          </w:p>
        </w:tc>
        <w:tc>
          <w:tcPr>
            <w:tcW w:w="705" w:type="dxa"/>
            <w:tcBorders>
              <w:bottom w:val="single" w:sz="4" w:space="0" w:color="666699"/>
            </w:tcBorders>
          </w:tcPr>
          <w:p w14:paraId="631BBFB3" w14:textId="77777777" w:rsidR="00E446ED" w:rsidRPr="00B75955" w:rsidRDefault="00E446ED" w:rsidP="007978A3">
            <w:pPr>
              <w:jc w:val="right"/>
              <w:rPr>
                <w:sz w:val="18"/>
                <w:lang w:val="en-CA"/>
              </w:rPr>
            </w:pPr>
          </w:p>
        </w:tc>
        <w:tc>
          <w:tcPr>
            <w:tcW w:w="705" w:type="dxa"/>
            <w:tcBorders>
              <w:bottom w:val="single" w:sz="4" w:space="0" w:color="666699"/>
            </w:tcBorders>
          </w:tcPr>
          <w:p w14:paraId="3A962E70" w14:textId="77777777" w:rsidR="00E446ED" w:rsidRPr="00B75955" w:rsidRDefault="00E446ED" w:rsidP="007978A3">
            <w:pPr>
              <w:jc w:val="right"/>
              <w:rPr>
                <w:sz w:val="18"/>
                <w:lang w:val="en-CA"/>
              </w:rPr>
            </w:pPr>
          </w:p>
        </w:tc>
        <w:tc>
          <w:tcPr>
            <w:tcW w:w="1026" w:type="dxa"/>
            <w:tcBorders>
              <w:bottom w:val="single" w:sz="4" w:space="0" w:color="666699"/>
            </w:tcBorders>
            <w:shd w:val="clear" w:color="auto" w:fill="auto"/>
          </w:tcPr>
          <w:p w14:paraId="2E80548F" w14:textId="77777777" w:rsidR="00E446ED" w:rsidRPr="00B75955" w:rsidRDefault="00E446ED" w:rsidP="007978A3">
            <w:pPr>
              <w:jc w:val="right"/>
              <w:rPr>
                <w:color w:val="000000"/>
                <w:sz w:val="16"/>
                <w:szCs w:val="16"/>
                <w:lang w:val="en-CA"/>
              </w:rPr>
            </w:pPr>
            <w:r w:rsidRPr="00B75955">
              <w:rPr>
                <w:color w:val="000000"/>
                <w:sz w:val="16"/>
                <w:szCs w:val="16"/>
                <w:lang w:val="en-CA"/>
              </w:rPr>
              <w:t>1,040,000</w:t>
            </w:r>
          </w:p>
        </w:tc>
      </w:tr>
      <w:tr w:rsidR="00E446ED" w:rsidRPr="00B75955" w14:paraId="2050D37E" w14:textId="77777777" w:rsidTr="008A4C7A">
        <w:tc>
          <w:tcPr>
            <w:tcW w:w="13290" w:type="dxa"/>
            <w:gridSpan w:val="15"/>
            <w:tcBorders>
              <w:top w:val="single" w:sz="4" w:space="0" w:color="666699"/>
              <w:left w:val="nil"/>
              <w:bottom w:val="nil"/>
              <w:right w:val="nil"/>
            </w:tcBorders>
            <w:shd w:val="clear" w:color="auto" w:fill="auto"/>
          </w:tcPr>
          <w:p w14:paraId="0C5FED40" w14:textId="77777777" w:rsidR="00E446ED" w:rsidRPr="00B75955" w:rsidRDefault="00E446ED" w:rsidP="007978A3">
            <w:pPr>
              <w:jc w:val="left"/>
              <w:rPr>
                <w:sz w:val="16"/>
                <w:szCs w:val="16"/>
                <w:lang w:val="en-CA"/>
              </w:rPr>
            </w:pPr>
            <w:r w:rsidRPr="00B75955">
              <w:rPr>
                <w:sz w:val="16"/>
                <w:szCs w:val="16"/>
                <w:lang w:val="en-CA"/>
              </w:rPr>
              <w:t>*Maximum allowable total consumption of Annex C, Group I substances in the RAC sector for the period 2021 to 2026 would be determined later, but would in no case be greater than 2,259.7 ODP tonnes prior to 2025, and no greater than 1,335 ODP tonnes thereafter.</w:t>
            </w:r>
          </w:p>
          <w:p w14:paraId="751ACDA9" w14:textId="7C6016AE" w:rsidR="00784F17" w:rsidRPr="00B75955" w:rsidRDefault="00784F17" w:rsidP="00784F17">
            <w:pPr>
              <w:jc w:val="left"/>
              <w:rPr>
                <w:sz w:val="18"/>
                <w:lang w:val="en-CA"/>
              </w:rPr>
            </w:pPr>
            <w:r w:rsidRPr="00B75955">
              <w:rPr>
                <w:sz w:val="16"/>
                <w:szCs w:val="16"/>
                <w:lang w:val="en-CA"/>
              </w:rPr>
              <w:t>** Calculated at 6.5 per cent of the project costs.</w:t>
            </w:r>
          </w:p>
        </w:tc>
      </w:tr>
    </w:tbl>
    <w:p w14:paraId="57CE4F6E" w14:textId="77777777" w:rsidR="008A4C7A" w:rsidRPr="00B75955" w:rsidRDefault="008A4C7A" w:rsidP="008A4C7A">
      <w:pPr>
        <w:spacing w:after="60"/>
        <w:jc w:val="center"/>
        <w:rPr>
          <w:lang w:val="en-CA"/>
        </w:rPr>
      </w:pPr>
    </w:p>
    <w:tbl>
      <w:tblPr>
        <w:tblStyle w:val="TableGrid"/>
        <w:tblW w:w="133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10315"/>
      </w:tblGrid>
      <w:tr w:rsidR="008A4C7A" w:rsidRPr="00B75955" w14:paraId="21569CC3" w14:textId="77777777" w:rsidTr="008A4C7A">
        <w:trPr>
          <w:trHeight w:val="240"/>
        </w:trPr>
        <w:tc>
          <w:tcPr>
            <w:tcW w:w="3000" w:type="dxa"/>
            <w:shd w:val="clear" w:color="auto" w:fill="auto"/>
          </w:tcPr>
          <w:p w14:paraId="20CA13D1" w14:textId="77777777" w:rsidR="008A4C7A" w:rsidRPr="00B75955" w:rsidRDefault="008A4C7A" w:rsidP="008A4C7A">
            <w:pPr>
              <w:spacing w:after="60"/>
              <w:jc w:val="left"/>
              <w:rPr>
                <w:b/>
                <w:sz w:val="18"/>
                <w:lang w:val="en-CA"/>
              </w:rPr>
            </w:pPr>
            <w:r w:rsidRPr="00B75955">
              <w:rPr>
                <w:b/>
                <w:sz w:val="18"/>
                <w:lang w:val="en-CA"/>
              </w:rPr>
              <w:t>Secretariat's recommendation:</w:t>
            </w:r>
          </w:p>
        </w:tc>
        <w:tc>
          <w:tcPr>
            <w:tcW w:w="10315" w:type="dxa"/>
            <w:shd w:val="clear" w:color="auto" w:fill="auto"/>
          </w:tcPr>
          <w:p w14:paraId="0366FF23" w14:textId="77777777" w:rsidR="008A4C7A" w:rsidRPr="00B75955" w:rsidRDefault="008A4C7A" w:rsidP="008A4C7A">
            <w:pPr>
              <w:spacing w:after="60"/>
              <w:jc w:val="center"/>
              <w:rPr>
                <w:sz w:val="18"/>
                <w:lang w:val="en-CA"/>
              </w:rPr>
            </w:pPr>
            <w:r w:rsidRPr="00B75955">
              <w:rPr>
                <w:sz w:val="18"/>
                <w:lang w:val="en-CA"/>
              </w:rPr>
              <w:t>For individual consideration</w:t>
            </w:r>
          </w:p>
        </w:tc>
      </w:tr>
    </w:tbl>
    <w:p w14:paraId="12C89D6A" w14:textId="77777777" w:rsidR="008A4C7A" w:rsidRPr="00B75955" w:rsidRDefault="008A4C7A" w:rsidP="008A4C7A">
      <w:pPr>
        <w:rPr>
          <w:lang w:val="en-CA"/>
        </w:rPr>
      </w:pPr>
    </w:p>
    <w:p w14:paraId="354BA44E" w14:textId="77777777" w:rsidR="008A4C7A" w:rsidRPr="00B75955" w:rsidRDefault="008A4C7A" w:rsidP="008A4C7A">
      <w:pPr>
        <w:shd w:val="clear" w:color="auto" w:fill="FFFFFF" w:themeFill="background1"/>
        <w:jc w:val="center"/>
        <w:rPr>
          <w:b/>
          <w:lang w:val="en-CA"/>
        </w:rPr>
        <w:sectPr w:rsidR="008A4C7A" w:rsidRPr="00B75955" w:rsidSect="008A4C7A">
          <w:headerReference w:type="even" r:id="rId18"/>
          <w:headerReference w:type="default" r:id="rId19"/>
          <w:footerReference w:type="even" r:id="rId20"/>
          <w:footerReference w:type="default" r:id="rId21"/>
          <w:footerReference w:type="first" r:id="rId22"/>
          <w:pgSz w:w="15840" w:h="12240" w:orient="landscape" w:code="1"/>
          <w:pgMar w:top="1440" w:right="720" w:bottom="1440" w:left="864" w:header="720" w:footer="475" w:gutter="0"/>
          <w:cols w:space="720"/>
          <w:docGrid w:linePitch="299"/>
        </w:sectPr>
      </w:pPr>
    </w:p>
    <w:p w14:paraId="38BA74EB" w14:textId="70208443" w:rsidR="008A4C7A" w:rsidRPr="00B75955" w:rsidRDefault="008A4C7A" w:rsidP="002F1866">
      <w:pPr>
        <w:shd w:val="clear" w:color="auto" w:fill="FFFFFF" w:themeFill="background1"/>
        <w:jc w:val="center"/>
        <w:rPr>
          <w:b/>
          <w:lang w:val="en-CA"/>
        </w:rPr>
      </w:pPr>
      <w:r w:rsidRPr="00B75955">
        <w:rPr>
          <w:b/>
          <w:lang w:val="en-CA"/>
        </w:rPr>
        <w:lastRenderedPageBreak/>
        <w:t>PROJECT DESCRIPTION</w:t>
      </w:r>
    </w:p>
    <w:p w14:paraId="2A7EFDCB" w14:textId="77777777" w:rsidR="002F1866" w:rsidRPr="00B75955" w:rsidRDefault="002F1866" w:rsidP="002F1866">
      <w:pPr>
        <w:shd w:val="clear" w:color="auto" w:fill="FFFFFF" w:themeFill="background1"/>
        <w:jc w:val="center"/>
        <w:rPr>
          <w:b/>
          <w:lang w:val="en-CA"/>
        </w:rPr>
      </w:pPr>
    </w:p>
    <w:p w14:paraId="642439A1" w14:textId="1B4FA704" w:rsidR="00CE3742" w:rsidRPr="00B75955" w:rsidRDefault="003C4E04" w:rsidP="002F1866">
      <w:pPr>
        <w:pStyle w:val="Heading1"/>
        <w:numPr>
          <w:ilvl w:val="0"/>
          <w:numId w:val="0"/>
        </w:numPr>
        <w:shd w:val="clear" w:color="auto" w:fill="FFFFFF" w:themeFill="background1"/>
        <w:spacing w:after="0"/>
        <w:rPr>
          <w:u w:val="single"/>
          <w:lang w:val="en-CA"/>
        </w:rPr>
      </w:pPr>
      <w:r w:rsidRPr="00B75955">
        <w:rPr>
          <w:u w:val="single"/>
          <w:lang w:val="en-CA"/>
        </w:rPr>
        <w:t>Background</w:t>
      </w:r>
    </w:p>
    <w:p w14:paraId="59C701E5" w14:textId="77777777" w:rsidR="002F1866" w:rsidRPr="00B75955" w:rsidRDefault="002F1866" w:rsidP="002F1866">
      <w:pPr>
        <w:rPr>
          <w:lang w:val="en-CA"/>
        </w:rPr>
      </w:pPr>
    </w:p>
    <w:p w14:paraId="5CC3C2A8" w14:textId="51BCCFC2" w:rsidR="003C4E04" w:rsidRPr="00B75955" w:rsidRDefault="008A4C7A" w:rsidP="003C4E04">
      <w:pPr>
        <w:pStyle w:val="Heading1"/>
        <w:rPr>
          <w:lang w:val="en-CA"/>
        </w:rPr>
      </w:pPr>
      <w:r w:rsidRPr="00B75955">
        <w:rPr>
          <w:lang w:val="en-CA"/>
        </w:rPr>
        <w:t>On behalf of the Government of China, UNIDO as the designated implementing agency, submitted a request for funding for the second tranche of the room air-conditioning manufacturing (RAC) and heat pump water heaters (HPWH) sector plan (RAC sector plan) of the HCFC phase-out management plan (HPMP) for China</w:t>
      </w:r>
      <w:r w:rsidR="003C4E04" w:rsidRPr="00B75955">
        <w:rPr>
          <w:lang w:val="en-CA"/>
        </w:rPr>
        <w:t xml:space="preserve"> to the 80</w:t>
      </w:r>
      <w:r w:rsidR="003C4E04" w:rsidRPr="00B75955">
        <w:rPr>
          <w:vertAlign w:val="superscript"/>
          <w:lang w:val="en-CA"/>
        </w:rPr>
        <w:t>th</w:t>
      </w:r>
      <w:r w:rsidR="003C4E04" w:rsidRPr="00B75955">
        <w:rPr>
          <w:lang w:val="en-CA"/>
        </w:rPr>
        <w:t xml:space="preserve"> meeting. </w:t>
      </w:r>
      <w:r w:rsidR="00C01AFE" w:rsidRPr="00B75955">
        <w:rPr>
          <w:lang w:val="en-CA"/>
        </w:rPr>
        <w:t>Subsequent to a discussion, t</w:t>
      </w:r>
      <w:r w:rsidR="003C4E04" w:rsidRPr="00B75955">
        <w:rPr>
          <w:lang w:val="en-CA"/>
        </w:rPr>
        <w:t>he Executive Committee decided to defer the consideration of the request for the second tranche of the RAC sector plan to a future meeting (decision</w:t>
      </w:r>
      <w:r w:rsidR="005A5297" w:rsidRPr="00B75955">
        <w:rPr>
          <w:lang w:val="en-CA"/>
        </w:rPr>
        <w:t> </w:t>
      </w:r>
      <w:r w:rsidR="003C4E04" w:rsidRPr="00B75955">
        <w:rPr>
          <w:lang w:val="en-CA"/>
        </w:rPr>
        <w:t xml:space="preserve">80/66(j)). </w:t>
      </w:r>
    </w:p>
    <w:p w14:paraId="5D0F99D2" w14:textId="05E75923" w:rsidR="00902FCA" w:rsidRPr="00B75955" w:rsidRDefault="00902FCA" w:rsidP="003C4E04">
      <w:pPr>
        <w:pStyle w:val="Heading1"/>
        <w:rPr>
          <w:lang w:val="en-CA"/>
        </w:rPr>
      </w:pPr>
      <w:r w:rsidRPr="00B75955">
        <w:rPr>
          <w:lang w:val="en-CA"/>
        </w:rPr>
        <w:t>On behalf of the Government of China, UNIDO has re</w:t>
      </w:r>
      <w:r w:rsidR="005A5297" w:rsidRPr="00B75955">
        <w:rPr>
          <w:lang w:val="en-CA"/>
        </w:rPr>
        <w:noBreakHyphen/>
      </w:r>
      <w:r w:rsidRPr="00B75955">
        <w:rPr>
          <w:lang w:val="en-CA"/>
        </w:rPr>
        <w:t>submitted the request for funding for the second tranche of the RAC sector</w:t>
      </w:r>
      <w:r w:rsidR="00903E4F" w:rsidRPr="00B75955">
        <w:rPr>
          <w:lang w:val="en-CA"/>
        </w:rPr>
        <w:t xml:space="preserve"> plan</w:t>
      </w:r>
      <w:r w:rsidRPr="00B75955">
        <w:rPr>
          <w:lang w:val="en-CA"/>
        </w:rPr>
        <w:t xml:space="preserve"> </w:t>
      </w:r>
      <w:r w:rsidR="008A4C7A" w:rsidRPr="00B75955">
        <w:rPr>
          <w:lang w:val="en-CA"/>
        </w:rPr>
        <w:t>at the amount of US $16,000,000, plus agency support costs of US $1,040,000</w:t>
      </w:r>
      <w:r w:rsidRPr="00B75955">
        <w:rPr>
          <w:lang w:val="en-CA"/>
        </w:rPr>
        <w:t>.</w:t>
      </w:r>
      <w:r w:rsidR="008A4C7A" w:rsidRPr="00B75955">
        <w:rPr>
          <w:rStyle w:val="FootnoteReference"/>
          <w:lang w:val="en-CA"/>
        </w:rPr>
        <w:footnoteReference w:id="14"/>
      </w:r>
      <w:r w:rsidR="008A4C7A" w:rsidRPr="00B75955">
        <w:rPr>
          <w:lang w:val="en-CA"/>
        </w:rPr>
        <w:t xml:space="preserve"> The submission includes a progress report on the implementation of the first tranche of the RAC sector plan and the tran</w:t>
      </w:r>
      <w:r w:rsidRPr="00B75955">
        <w:rPr>
          <w:lang w:val="en-CA"/>
        </w:rPr>
        <w:t>che implementation plan for 2018-2020</w:t>
      </w:r>
      <w:r w:rsidR="008A4C7A" w:rsidRPr="00B75955">
        <w:rPr>
          <w:lang w:val="en-CA"/>
        </w:rPr>
        <w:t>.</w:t>
      </w:r>
    </w:p>
    <w:p w14:paraId="3A8CF19E" w14:textId="60D2EF51" w:rsidR="008A4C7A" w:rsidRPr="00B75955" w:rsidRDefault="00902FCA" w:rsidP="00461E3C">
      <w:pPr>
        <w:pStyle w:val="Heading1"/>
        <w:rPr>
          <w:lang w:val="en-CA"/>
        </w:rPr>
      </w:pPr>
      <w:r w:rsidRPr="00B75955">
        <w:rPr>
          <w:lang w:val="en-CA"/>
        </w:rPr>
        <w:t xml:space="preserve">In order to facilitate the review of the re-submission by the Executive Committee, </w:t>
      </w:r>
      <w:r w:rsidR="00461E3C" w:rsidRPr="00B75955">
        <w:rPr>
          <w:lang w:val="en-CA"/>
        </w:rPr>
        <w:t>the present document is based on document</w:t>
      </w:r>
      <w:r w:rsidR="005A5297" w:rsidRPr="00B75955">
        <w:rPr>
          <w:lang w:val="en-CA"/>
        </w:rPr>
        <w:t> </w:t>
      </w:r>
      <w:r w:rsidR="00461E3C" w:rsidRPr="00B75955">
        <w:rPr>
          <w:lang w:val="en-CA"/>
        </w:rPr>
        <w:t>UNEP/</w:t>
      </w:r>
      <w:proofErr w:type="spellStart"/>
      <w:r w:rsidR="00461E3C" w:rsidRPr="00B75955">
        <w:rPr>
          <w:lang w:val="en-CA"/>
        </w:rPr>
        <w:t>OzL.Pro</w:t>
      </w:r>
      <w:proofErr w:type="spellEnd"/>
      <w:r w:rsidR="00461E3C" w:rsidRPr="00B75955">
        <w:rPr>
          <w:lang w:val="en-CA"/>
        </w:rPr>
        <w:t>/</w:t>
      </w:r>
      <w:proofErr w:type="spellStart"/>
      <w:r w:rsidR="00461E3C" w:rsidRPr="00B75955">
        <w:rPr>
          <w:lang w:val="en-CA"/>
        </w:rPr>
        <w:t>ExCom</w:t>
      </w:r>
      <w:proofErr w:type="spellEnd"/>
      <w:r w:rsidR="00461E3C" w:rsidRPr="00B75955">
        <w:rPr>
          <w:lang w:val="en-CA"/>
        </w:rPr>
        <w:t>/80/37. Progress that has been made since the 80</w:t>
      </w:r>
      <w:r w:rsidR="00461E3C" w:rsidRPr="00B75955">
        <w:rPr>
          <w:vertAlign w:val="superscript"/>
          <w:lang w:val="en-CA"/>
        </w:rPr>
        <w:t>th</w:t>
      </w:r>
      <w:r w:rsidR="00D0473B" w:rsidRPr="00B75955">
        <w:rPr>
          <w:vertAlign w:val="superscript"/>
          <w:lang w:val="en-CA"/>
        </w:rPr>
        <w:t> </w:t>
      </w:r>
      <w:r w:rsidR="005A5297" w:rsidRPr="00B75955">
        <w:rPr>
          <w:lang w:val="en-CA"/>
        </w:rPr>
        <w:t xml:space="preserve">meeting </w:t>
      </w:r>
      <w:r w:rsidR="00461E3C" w:rsidRPr="00B75955">
        <w:rPr>
          <w:lang w:val="en-CA"/>
        </w:rPr>
        <w:t xml:space="preserve">is identified in </w:t>
      </w:r>
      <w:r w:rsidR="00461E3C" w:rsidRPr="00B75955">
        <w:rPr>
          <w:b/>
          <w:highlight w:val="yellow"/>
          <w:lang w:val="en-CA"/>
        </w:rPr>
        <w:t>bold and highlighted in yellow</w:t>
      </w:r>
      <w:r w:rsidR="00461E3C" w:rsidRPr="00B75955">
        <w:rPr>
          <w:lang w:val="en-CA"/>
        </w:rPr>
        <w:t xml:space="preserve">. </w:t>
      </w:r>
    </w:p>
    <w:p w14:paraId="4C1E1C8E" w14:textId="77777777" w:rsidR="008A4C7A" w:rsidRPr="00B75955" w:rsidRDefault="008A4C7A" w:rsidP="008A4C7A">
      <w:pPr>
        <w:rPr>
          <w:u w:val="single"/>
          <w:lang w:val="en-CA"/>
        </w:rPr>
      </w:pPr>
      <w:r w:rsidRPr="00B75955">
        <w:rPr>
          <w:u w:val="single"/>
          <w:lang w:val="en-CA"/>
        </w:rPr>
        <w:t xml:space="preserve">Progress report on the implementation of the first tranche </w:t>
      </w:r>
    </w:p>
    <w:p w14:paraId="3A3A4B7A" w14:textId="77777777" w:rsidR="008A4C7A" w:rsidRPr="00B75955" w:rsidRDefault="008A4C7A" w:rsidP="008A4C7A">
      <w:pPr>
        <w:rPr>
          <w:lang w:val="en-CA"/>
        </w:rPr>
      </w:pPr>
    </w:p>
    <w:p w14:paraId="696E63A1" w14:textId="77777777" w:rsidR="008A4C7A" w:rsidRPr="00B75955" w:rsidRDefault="008A4C7A" w:rsidP="008A4C7A">
      <w:pPr>
        <w:rPr>
          <w:i/>
          <w:lang w:val="en-CA"/>
        </w:rPr>
      </w:pPr>
      <w:r w:rsidRPr="00B75955">
        <w:rPr>
          <w:i/>
          <w:lang w:val="en-CA"/>
        </w:rPr>
        <w:t>Enterprise-level activities</w:t>
      </w:r>
    </w:p>
    <w:p w14:paraId="4AF10F4C" w14:textId="77777777" w:rsidR="008A4C7A" w:rsidRPr="00B75955" w:rsidRDefault="008A4C7A" w:rsidP="008A4C7A">
      <w:pPr>
        <w:rPr>
          <w:lang w:val="en-CA"/>
        </w:rPr>
      </w:pPr>
    </w:p>
    <w:p w14:paraId="1CE4C176" w14:textId="47126834" w:rsidR="008A4C7A" w:rsidRPr="00B75955" w:rsidRDefault="008A4C7A" w:rsidP="008A4C7A">
      <w:pPr>
        <w:pStyle w:val="Heading1"/>
        <w:rPr>
          <w:lang w:val="en-CA"/>
        </w:rPr>
      </w:pPr>
      <w:r w:rsidRPr="00B75955">
        <w:rPr>
          <w:lang w:val="en-CA"/>
        </w:rPr>
        <w:t xml:space="preserve">The contract between FECO and UNIDO for the implementation of the RAC sector plan (stage II) was signed in October 2017. A notice on the request for proposals for conversion under stage II was issued in May 2017, and 16 proposals were received to convert 11 RAC manufacturing lines, one HPWH line, and four compressor manufacturing lines. Reviews of proposals </w:t>
      </w:r>
      <w:r w:rsidR="00681BA3" w:rsidRPr="00B75955">
        <w:rPr>
          <w:lang w:val="en-CA"/>
        </w:rPr>
        <w:t xml:space="preserve">to convert </w:t>
      </w:r>
      <w:r w:rsidR="00681BA3" w:rsidRPr="00B75955">
        <w:rPr>
          <w:b/>
          <w:highlight w:val="yellow"/>
          <w:lang w:val="en-CA"/>
        </w:rPr>
        <w:t>12</w:t>
      </w:r>
      <w:r w:rsidR="00681BA3" w:rsidRPr="00B75955">
        <w:rPr>
          <w:lang w:val="en-CA"/>
        </w:rPr>
        <w:t xml:space="preserve"> lines </w:t>
      </w:r>
      <w:r w:rsidRPr="00B75955">
        <w:rPr>
          <w:lang w:val="en-CA"/>
        </w:rPr>
        <w:t xml:space="preserve">have been completed while the remaining proposals </w:t>
      </w:r>
      <w:r w:rsidR="00681BA3" w:rsidRPr="00B75955">
        <w:rPr>
          <w:lang w:val="en-CA"/>
        </w:rPr>
        <w:t xml:space="preserve">to convert </w:t>
      </w:r>
      <w:r w:rsidR="00681BA3" w:rsidRPr="00B75955">
        <w:rPr>
          <w:b/>
          <w:highlight w:val="yellow"/>
          <w:lang w:val="en-CA"/>
        </w:rPr>
        <w:t>four</w:t>
      </w:r>
      <w:r w:rsidR="00681BA3" w:rsidRPr="00B75955">
        <w:rPr>
          <w:lang w:val="en-CA"/>
        </w:rPr>
        <w:t xml:space="preserve"> lines </w:t>
      </w:r>
      <w:r w:rsidRPr="00B75955">
        <w:rPr>
          <w:lang w:val="en-CA"/>
        </w:rPr>
        <w:t xml:space="preserve">are still under review. </w:t>
      </w:r>
      <w:r w:rsidR="00681BA3" w:rsidRPr="00B75955">
        <w:rPr>
          <w:b/>
          <w:highlight w:val="yellow"/>
          <w:lang w:val="en-CA"/>
        </w:rPr>
        <w:t>As part of the proposal review, t</w:t>
      </w:r>
      <w:r w:rsidRPr="00B75955">
        <w:rPr>
          <w:b/>
          <w:highlight w:val="yellow"/>
          <w:lang w:val="en-CA"/>
        </w:rPr>
        <w:t>h</w:t>
      </w:r>
      <w:r w:rsidR="00221931" w:rsidRPr="00B75955">
        <w:rPr>
          <w:b/>
          <w:highlight w:val="yellow"/>
          <w:lang w:val="en-CA"/>
        </w:rPr>
        <w:t>ose four</w:t>
      </w:r>
      <w:r w:rsidR="00221931" w:rsidRPr="00B75955">
        <w:rPr>
          <w:lang w:val="en-CA"/>
        </w:rPr>
        <w:t xml:space="preserve"> </w:t>
      </w:r>
      <w:r w:rsidRPr="00B75955">
        <w:rPr>
          <w:lang w:val="en-CA"/>
        </w:rPr>
        <w:t>lines will undergo verification of their baseline information (i.e., non-article 5 ownership, baseline equipment, HCFC consumption and financial data) to determine the HCFC-22 phase-out and the incremental capital costs (ICC). The list of 16 enterprises is presented in Table 1.</w:t>
      </w:r>
    </w:p>
    <w:p w14:paraId="0EDE8018" w14:textId="6FF7A25D" w:rsidR="008A4C7A" w:rsidRPr="00B75955" w:rsidRDefault="008A4C7A" w:rsidP="008A4C7A">
      <w:pPr>
        <w:rPr>
          <w:b/>
          <w:lang w:val="en-CA"/>
        </w:rPr>
      </w:pPr>
      <w:r w:rsidRPr="00B75955">
        <w:rPr>
          <w:b/>
          <w:lang w:val="en-CA"/>
        </w:rPr>
        <w:t>Table 1. List of RAC, HPWH and compressor enterprises in the first three tranches</w:t>
      </w:r>
    </w:p>
    <w:tbl>
      <w:tblPr>
        <w:tblW w:w="9209" w:type="dxa"/>
        <w:tblLayout w:type="fixed"/>
        <w:tblLook w:val="04A0" w:firstRow="1" w:lastRow="0" w:firstColumn="1" w:lastColumn="0" w:noHBand="0" w:noVBand="1"/>
      </w:tblPr>
      <w:tblGrid>
        <w:gridCol w:w="2140"/>
        <w:gridCol w:w="1767"/>
        <w:gridCol w:w="211"/>
        <w:gridCol w:w="1556"/>
        <w:gridCol w:w="422"/>
        <w:gridCol w:w="1345"/>
        <w:gridCol w:w="634"/>
        <w:gridCol w:w="1134"/>
      </w:tblGrid>
      <w:tr w:rsidR="007B61FD" w:rsidRPr="00B75955" w14:paraId="44F93F90" w14:textId="77777777" w:rsidTr="00F35DE2">
        <w:trPr>
          <w:trHeight w:val="92"/>
        </w:trPr>
        <w:tc>
          <w:tcPr>
            <w:tcW w:w="92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BB3BFD" w14:textId="4D3FFFBB" w:rsidR="007B61FD" w:rsidRPr="00B75955" w:rsidRDefault="007B61FD" w:rsidP="007B61FD">
            <w:pPr>
              <w:jc w:val="center"/>
              <w:rPr>
                <w:b/>
                <w:bCs/>
                <w:color w:val="000000"/>
                <w:sz w:val="20"/>
                <w:szCs w:val="20"/>
                <w:lang w:val="en-CA"/>
              </w:rPr>
            </w:pPr>
            <w:r w:rsidRPr="00B75955">
              <w:rPr>
                <w:b/>
                <w:bCs/>
                <w:color w:val="000000"/>
                <w:sz w:val="20"/>
                <w:szCs w:val="20"/>
                <w:lang w:val="en-CA"/>
              </w:rPr>
              <w:t>RAC</w:t>
            </w:r>
          </w:p>
        </w:tc>
      </w:tr>
      <w:tr w:rsidR="007B61FD" w:rsidRPr="00B75955" w14:paraId="76015768" w14:textId="77777777" w:rsidTr="00F35DE2">
        <w:trPr>
          <w:trHeight w:val="24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9084B4F" w14:textId="77777777" w:rsidR="007B61FD" w:rsidRPr="00B75955" w:rsidRDefault="007B61FD" w:rsidP="007B61FD">
            <w:pPr>
              <w:jc w:val="center"/>
              <w:rPr>
                <w:b/>
                <w:bCs/>
                <w:sz w:val="20"/>
                <w:szCs w:val="20"/>
                <w:lang w:val="en-CA"/>
              </w:rPr>
            </w:pPr>
            <w:r w:rsidRPr="00B75955">
              <w:rPr>
                <w:b/>
                <w:bCs/>
                <w:sz w:val="20"/>
                <w:szCs w:val="20"/>
                <w:lang w:val="en-CA"/>
              </w:rPr>
              <w:t>Name</w:t>
            </w:r>
          </w:p>
        </w:tc>
        <w:tc>
          <w:tcPr>
            <w:tcW w:w="1978" w:type="dxa"/>
            <w:gridSpan w:val="2"/>
            <w:tcBorders>
              <w:top w:val="nil"/>
              <w:left w:val="nil"/>
              <w:bottom w:val="single" w:sz="4" w:space="0" w:color="auto"/>
              <w:right w:val="single" w:sz="4" w:space="0" w:color="auto"/>
            </w:tcBorders>
            <w:shd w:val="clear" w:color="auto" w:fill="auto"/>
            <w:vAlign w:val="center"/>
            <w:hideMark/>
          </w:tcPr>
          <w:p w14:paraId="3E3DE0ED" w14:textId="7671CCC1" w:rsidR="007B61FD" w:rsidRPr="00B75955" w:rsidRDefault="007B61FD" w:rsidP="008B050C">
            <w:pPr>
              <w:jc w:val="center"/>
              <w:rPr>
                <w:b/>
                <w:bCs/>
                <w:sz w:val="20"/>
                <w:szCs w:val="20"/>
                <w:lang w:val="en-CA"/>
              </w:rPr>
            </w:pPr>
            <w:r w:rsidRPr="00B75955">
              <w:rPr>
                <w:b/>
                <w:bCs/>
                <w:sz w:val="20"/>
                <w:szCs w:val="20"/>
                <w:highlight w:val="yellow"/>
                <w:lang w:val="en-CA"/>
              </w:rPr>
              <w:t>HCFC-22 (</w:t>
            </w:r>
            <w:proofErr w:type="spellStart"/>
            <w:r w:rsidR="008B050C" w:rsidRPr="00B75955">
              <w:rPr>
                <w:b/>
                <w:bCs/>
                <w:sz w:val="20"/>
                <w:szCs w:val="20"/>
                <w:highlight w:val="yellow"/>
                <w:lang w:val="en-CA"/>
              </w:rPr>
              <w:t>mt</w:t>
            </w:r>
            <w:proofErr w:type="spellEnd"/>
            <w:r w:rsidRPr="00B75955">
              <w:rPr>
                <w:b/>
                <w:bCs/>
                <w:sz w:val="20"/>
                <w:szCs w:val="20"/>
                <w:highlight w:val="yellow"/>
                <w:lang w:val="en-CA"/>
              </w:rPr>
              <w:t>)</w:t>
            </w:r>
          </w:p>
        </w:tc>
        <w:tc>
          <w:tcPr>
            <w:tcW w:w="1978" w:type="dxa"/>
            <w:gridSpan w:val="2"/>
            <w:tcBorders>
              <w:top w:val="nil"/>
              <w:left w:val="nil"/>
              <w:bottom w:val="single" w:sz="4" w:space="0" w:color="auto"/>
              <w:right w:val="single" w:sz="4" w:space="0" w:color="auto"/>
            </w:tcBorders>
            <w:shd w:val="clear" w:color="auto" w:fill="auto"/>
            <w:vAlign w:val="center"/>
            <w:hideMark/>
          </w:tcPr>
          <w:p w14:paraId="66EACC05" w14:textId="77777777" w:rsidR="007B61FD" w:rsidRPr="00B75955" w:rsidRDefault="007B61FD" w:rsidP="007B61FD">
            <w:pPr>
              <w:jc w:val="center"/>
              <w:rPr>
                <w:b/>
                <w:bCs/>
                <w:sz w:val="20"/>
                <w:szCs w:val="20"/>
                <w:lang w:val="en-CA"/>
              </w:rPr>
            </w:pPr>
            <w:r w:rsidRPr="00B75955">
              <w:rPr>
                <w:b/>
                <w:bCs/>
                <w:sz w:val="20"/>
                <w:szCs w:val="20"/>
                <w:lang w:val="en-CA"/>
              </w:rPr>
              <w:t>Technology</w:t>
            </w:r>
          </w:p>
        </w:tc>
        <w:tc>
          <w:tcPr>
            <w:tcW w:w="1979" w:type="dxa"/>
            <w:gridSpan w:val="2"/>
            <w:tcBorders>
              <w:top w:val="nil"/>
              <w:left w:val="nil"/>
              <w:bottom w:val="single" w:sz="4" w:space="0" w:color="auto"/>
              <w:right w:val="single" w:sz="4" w:space="0" w:color="auto"/>
            </w:tcBorders>
            <w:shd w:val="clear" w:color="auto" w:fill="auto"/>
            <w:vAlign w:val="center"/>
            <w:hideMark/>
          </w:tcPr>
          <w:p w14:paraId="58A1D98B" w14:textId="023947C4" w:rsidR="007B61FD" w:rsidRPr="00B75955" w:rsidRDefault="007B61FD" w:rsidP="007B61FD">
            <w:pPr>
              <w:jc w:val="center"/>
              <w:rPr>
                <w:b/>
                <w:bCs/>
                <w:sz w:val="20"/>
                <w:szCs w:val="20"/>
                <w:lang w:val="en-CA"/>
              </w:rPr>
            </w:pPr>
            <w:r w:rsidRPr="00B75955">
              <w:rPr>
                <w:b/>
                <w:bCs/>
                <w:sz w:val="20"/>
                <w:szCs w:val="20"/>
                <w:highlight w:val="yellow"/>
                <w:lang w:val="en-CA"/>
              </w:rPr>
              <w:t>ICC(</w:t>
            </w:r>
            <w:r w:rsidR="004F3BB5" w:rsidRPr="00B75955">
              <w:rPr>
                <w:b/>
                <w:bCs/>
                <w:sz w:val="20"/>
                <w:szCs w:val="20"/>
                <w:highlight w:val="yellow"/>
                <w:lang w:val="en-CA"/>
              </w:rPr>
              <w:t>US $</w:t>
            </w:r>
            <w:r w:rsidRPr="00B75955">
              <w:rPr>
                <w:b/>
                <w:bCs/>
                <w:sz w:val="20"/>
                <w:szCs w:val="20"/>
                <w:highlight w:val="yellow"/>
                <w:lang w:val="en-CA"/>
              </w:rPr>
              <w:t>)</w:t>
            </w:r>
          </w:p>
        </w:tc>
        <w:tc>
          <w:tcPr>
            <w:tcW w:w="1134" w:type="dxa"/>
            <w:tcBorders>
              <w:top w:val="nil"/>
              <w:left w:val="nil"/>
              <w:bottom w:val="single" w:sz="4" w:space="0" w:color="auto"/>
              <w:right w:val="single" w:sz="4" w:space="0" w:color="auto"/>
            </w:tcBorders>
            <w:shd w:val="clear" w:color="auto" w:fill="auto"/>
            <w:vAlign w:val="center"/>
            <w:hideMark/>
          </w:tcPr>
          <w:p w14:paraId="5423A1C1" w14:textId="77777777" w:rsidR="007B61FD" w:rsidRPr="00B75955" w:rsidRDefault="007B61FD" w:rsidP="007B61FD">
            <w:pPr>
              <w:jc w:val="center"/>
              <w:rPr>
                <w:b/>
                <w:bCs/>
                <w:sz w:val="20"/>
                <w:szCs w:val="20"/>
                <w:lang w:val="en-CA"/>
              </w:rPr>
            </w:pPr>
            <w:r w:rsidRPr="00B75955">
              <w:rPr>
                <w:b/>
                <w:bCs/>
                <w:sz w:val="20"/>
                <w:szCs w:val="20"/>
                <w:lang w:val="en-CA"/>
              </w:rPr>
              <w:t>Tranche</w:t>
            </w:r>
          </w:p>
        </w:tc>
      </w:tr>
      <w:tr w:rsidR="007B61FD" w:rsidRPr="00B75955" w14:paraId="38DE939C" w14:textId="77777777" w:rsidTr="00F35DE2">
        <w:trPr>
          <w:trHeight w:val="163"/>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C831902" w14:textId="77777777" w:rsidR="007B61FD" w:rsidRPr="00B75955" w:rsidRDefault="007B61FD" w:rsidP="007B61FD">
            <w:pPr>
              <w:jc w:val="left"/>
              <w:rPr>
                <w:sz w:val="20"/>
                <w:szCs w:val="20"/>
                <w:lang w:val="en-CA"/>
              </w:rPr>
            </w:pPr>
            <w:r w:rsidRPr="00B75955">
              <w:rPr>
                <w:sz w:val="20"/>
                <w:szCs w:val="20"/>
                <w:lang w:val="en-CA"/>
              </w:rPr>
              <w:t xml:space="preserve">TCL </w:t>
            </w:r>
            <w:proofErr w:type="spellStart"/>
            <w:r w:rsidRPr="00B75955">
              <w:rPr>
                <w:sz w:val="20"/>
                <w:szCs w:val="20"/>
                <w:lang w:val="en-CA"/>
              </w:rPr>
              <w:t>Zhongshan</w:t>
            </w:r>
            <w:proofErr w:type="spellEnd"/>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3C632EAE" w14:textId="77777777" w:rsidR="007B61FD" w:rsidRPr="00B75955" w:rsidRDefault="007B61FD" w:rsidP="007B61FD">
            <w:pPr>
              <w:jc w:val="right"/>
              <w:rPr>
                <w:b/>
                <w:sz w:val="20"/>
                <w:szCs w:val="20"/>
                <w:highlight w:val="yellow"/>
                <w:lang w:val="en-CA"/>
              </w:rPr>
            </w:pPr>
            <w:r w:rsidRPr="00B75955">
              <w:rPr>
                <w:b/>
                <w:sz w:val="20"/>
                <w:szCs w:val="20"/>
                <w:highlight w:val="yellow"/>
                <w:lang w:val="en-CA"/>
              </w:rPr>
              <w:t>875.87</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44029197" w14:textId="050576AF" w:rsidR="007B61FD" w:rsidRPr="00B75955" w:rsidRDefault="007B61FD" w:rsidP="00F6179B">
            <w:pPr>
              <w:jc w:val="center"/>
              <w:rPr>
                <w:sz w:val="20"/>
                <w:szCs w:val="20"/>
                <w:lang w:val="en-CA"/>
              </w:rPr>
            </w:pPr>
            <w:r w:rsidRPr="00B75955">
              <w:rPr>
                <w:sz w:val="20"/>
                <w:szCs w:val="20"/>
                <w:lang w:val="en-CA"/>
              </w:rPr>
              <w:t>R-290</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31983987" w14:textId="77777777" w:rsidR="007B61FD" w:rsidRPr="00B75955" w:rsidRDefault="007B61FD" w:rsidP="007B61FD">
            <w:pPr>
              <w:jc w:val="right"/>
              <w:rPr>
                <w:b/>
                <w:sz w:val="20"/>
                <w:szCs w:val="20"/>
                <w:highlight w:val="yellow"/>
                <w:lang w:val="en-CA"/>
              </w:rPr>
            </w:pPr>
            <w:r w:rsidRPr="00B75955">
              <w:rPr>
                <w:b/>
                <w:sz w:val="20"/>
                <w:szCs w:val="20"/>
                <w:highlight w:val="yellow"/>
                <w:lang w:val="en-CA"/>
              </w:rPr>
              <w:t>1,352,355</w:t>
            </w:r>
          </w:p>
        </w:tc>
        <w:tc>
          <w:tcPr>
            <w:tcW w:w="1134" w:type="dxa"/>
            <w:tcBorders>
              <w:top w:val="nil"/>
              <w:left w:val="nil"/>
              <w:bottom w:val="single" w:sz="4" w:space="0" w:color="auto"/>
              <w:right w:val="single" w:sz="4" w:space="0" w:color="auto"/>
            </w:tcBorders>
            <w:shd w:val="clear" w:color="auto" w:fill="auto"/>
            <w:noWrap/>
            <w:vAlign w:val="bottom"/>
            <w:hideMark/>
          </w:tcPr>
          <w:p w14:paraId="37E3CA8F" w14:textId="77777777" w:rsidR="007B61FD" w:rsidRPr="00B75955" w:rsidRDefault="007B61FD" w:rsidP="007B61FD">
            <w:pPr>
              <w:jc w:val="right"/>
              <w:rPr>
                <w:color w:val="000000"/>
                <w:sz w:val="20"/>
                <w:szCs w:val="20"/>
                <w:lang w:val="en-CA"/>
              </w:rPr>
            </w:pPr>
            <w:r w:rsidRPr="00B75955">
              <w:rPr>
                <w:color w:val="000000"/>
                <w:sz w:val="20"/>
                <w:szCs w:val="20"/>
                <w:lang w:val="en-CA"/>
              </w:rPr>
              <w:t>1</w:t>
            </w:r>
          </w:p>
        </w:tc>
      </w:tr>
      <w:tr w:rsidR="007B61FD" w:rsidRPr="00B75955" w14:paraId="01799AC2" w14:textId="77777777" w:rsidTr="00F35DE2">
        <w:trPr>
          <w:trHeight w:val="20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DD1A256" w14:textId="77777777" w:rsidR="007B61FD" w:rsidRPr="00B75955" w:rsidRDefault="007B61FD" w:rsidP="007B61FD">
            <w:pPr>
              <w:jc w:val="left"/>
              <w:rPr>
                <w:sz w:val="20"/>
                <w:szCs w:val="20"/>
                <w:lang w:val="en-CA"/>
              </w:rPr>
            </w:pPr>
            <w:r w:rsidRPr="00B75955">
              <w:rPr>
                <w:sz w:val="20"/>
                <w:szCs w:val="20"/>
                <w:lang w:val="en-CA"/>
              </w:rPr>
              <w:t>TCL Wuhan</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7E4D8ED6" w14:textId="77777777" w:rsidR="007B61FD" w:rsidRPr="00B75955" w:rsidRDefault="007B61FD" w:rsidP="007B61FD">
            <w:pPr>
              <w:jc w:val="right"/>
              <w:rPr>
                <w:b/>
                <w:sz w:val="20"/>
                <w:szCs w:val="20"/>
                <w:highlight w:val="yellow"/>
                <w:lang w:val="en-CA"/>
              </w:rPr>
            </w:pPr>
            <w:r w:rsidRPr="00B75955">
              <w:rPr>
                <w:b/>
                <w:sz w:val="20"/>
                <w:szCs w:val="20"/>
                <w:highlight w:val="yellow"/>
                <w:lang w:val="en-CA"/>
              </w:rPr>
              <w:t>829.587</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006DA088" w14:textId="3DA6D9E3" w:rsidR="007B61FD" w:rsidRPr="00B75955" w:rsidRDefault="007B61FD" w:rsidP="00F6179B">
            <w:pPr>
              <w:jc w:val="center"/>
              <w:rPr>
                <w:sz w:val="20"/>
                <w:szCs w:val="20"/>
                <w:lang w:val="en-CA"/>
              </w:rPr>
            </w:pPr>
            <w:r w:rsidRPr="00B75955">
              <w:rPr>
                <w:sz w:val="20"/>
                <w:szCs w:val="20"/>
                <w:lang w:val="en-CA"/>
              </w:rPr>
              <w:t>R-290</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08B42D65" w14:textId="77777777" w:rsidR="007B61FD" w:rsidRPr="00B75955" w:rsidRDefault="007B61FD" w:rsidP="007B61FD">
            <w:pPr>
              <w:jc w:val="right"/>
              <w:rPr>
                <w:b/>
                <w:sz w:val="20"/>
                <w:szCs w:val="20"/>
                <w:highlight w:val="yellow"/>
                <w:lang w:val="en-CA"/>
              </w:rPr>
            </w:pPr>
            <w:r w:rsidRPr="00B75955">
              <w:rPr>
                <w:b/>
                <w:sz w:val="20"/>
                <w:szCs w:val="20"/>
                <w:highlight w:val="yellow"/>
                <w:lang w:val="en-CA"/>
              </w:rPr>
              <w:t>1,352,355</w:t>
            </w:r>
          </w:p>
        </w:tc>
        <w:tc>
          <w:tcPr>
            <w:tcW w:w="1134" w:type="dxa"/>
            <w:tcBorders>
              <w:top w:val="nil"/>
              <w:left w:val="nil"/>
              <w:bottom w:val="single" w:sz="4" w:space="0" w:color="auto"/>
              <w:right w:val="single" w:sz="4" w:space="0" w:color="auto"/>
            </w:tcBorders>
            <w:shd w:val="clear" w:color="auto" w:fill="auto"/>
            <w:noWrap/>
            <w:vAlign w:val="bottom"/>
            <w:hideMark/>
          </w:tcPr>
          <w:p w14:paraId="033E20B6" w14:textId="77777777" w:rsidR="007B61FD" w:rsidRPr="00B75955" w:rsidRDefault="007B61FD" w:rsidP="007B61FD">
            <w:pPr>
              <w:jc w:val="right"/>
              <w:rPr>
                <w:color w:val="000000"/>
                <w:sz w:val="20"/>
                <w:szCs w:val="20"/>
                <w:lang w:val="en-CA"/>
              </w:rPr>
            </w:pPr>
            <w:r w:rsidRPr="00B75955">
              <w:rPr>
                <w:color w:val="000000"/>
                <w:sz w:val="20"/>
                <w:szCs w:val="20"/>
                <w:lang w:val="en-CA"/>
              </w:rPr>
              <w:t>1</w:t>
            </w:r>
          </w:p>
        </w:tc>
      </w:tr>
      <w:tr w:rsidR="007B61FD" w:rsidRPr="00B75955" w14:paraId="50421977" w14:textId="77777777" w:rsidTr="00F35DE2">
        <w:trPr>
          <w:trHeight w:val="113"/>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132BBE4" w14:textId="77777777" w:rsidR="007B61FD" w:rsidRPr="00B75955" w:rsidRDefault="007B61FD" w:rsidP="007B61FD">
            <w:pPr>
              <w:jc w:val="left"/>
              <w:rPr>
                <w:sz w:val="20"/>
                <w:szCs w:val="20"/>
                <w:lang w:val="en-CA"/>
              </w:rPr>
            </w:pPr>
            <w:r w:rsidRPr="00B75955">
              <w:rPr>
                <w:sz w:val="20"/>
                <w:szCs w:val="20"/>
                <w:lang w:val="en-CA"/>
              </w:rPr>
              <w:t>Hisense Guangdong</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025EDD86" w14:textId="77777777" w:rsidR="007B61FD" w:rsidRPr="00B75955" w:rsidRDefault="007B61FD" w:rsidP="007B61FD">
            <w:pPr>
              <w:jc w:val="right"/>
              <w:rPr>
                <w:sz w:val="20"/>
                <w:szCs w:val="20"/>
                <w:lang w:val="en-CA"/>
              </w:rPr>
            </w:pPr>
            <w:r w:rsidRPr="00B75955">
              <w:rPr>
                <w:sz w:val="20"/>
                <w:szCs w:val="20"/>
                <w:lang w:val="en-CA"/>
              </w:rPr>
              <w:t>120*</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0C651581" w14:textId="4501A9CA" w:rsidR="007B61FD" w:rsidRPr="00B75955" w:rsidRDefault="007B61FD" w:rsidP="00F6179B">
            <w:pPr>
              <w:jc w:val="center"/>
              <w:rPr>
                <w:sz w:val="20"/>
                <w:szCs w:val="20"/>
                <w:lang w:val="en-CA"/>
              </w:rPr>
            </w:pPr>
            <w:r w:rsidRPr="00B75955">
              <w:rPr>
                <w:sz w:val="20"/>
                <w:szCs w:val="20"/>
                <w:lang w:val="en-CA"/>
              </w:rPr>
              <w:t>R-290</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1CF6B5B5" w14:textId="77777777" w:rsidR="007B61FD" w:rsidRPr="00B75955" w:rsidRDefault="007B61FD" w:rsidP="007B61FD">
            <w:pPr>
              <w:jc w:val="right"/>
              <w:rPr>
                <w:sz w:val="20"/>
                <w:szCs w:val="20"/>
                <w:lang w:val="en-CA"/>
              </w:rPr>
            </w:pPr>
            <w:r w:rsidRPr="00B75955">
              <w:rPr>
                <w:sz w:val="20"/>
                <w:szCs w:val="20"/>
                <w:lang w:val="en-CA"/>
              </w:rPr>
              <w:t>1,340,805*</w:t>
            </w:r>
          </w:p>
        </w:tc>
        <w:tc>
          <w:tcPr>
            <w:tcW w:w="1134" w:type="dxa"/>
            <w:tcBorders>
              <w:top w:val="nil"/>
              <w:left w:val="nil"/>
              <w:bottom w:val="single" w:sz="4" w:space="0" w:color="auto"/>
              <w:right w:val="single" w:sz="4" w:space="0" w:color="auto"/>
            </w:tcBorders>
            <w:shd w:val="clear" w:color="auto" w:fill="auto"/>
            <w:noWrap/>
            <w:vAlign w:val="bottom"/>
            <w:hideMark/>
          </w:tcPr>
          <w:p w14:paraId="3FA5A1EF" w14:textId="77777777" w:rsidR="007B61FD" w:rsidRPr="00B75955" w:rsidRDefault="007B61FD" w:rsidP="007B61FD">
            <w:pPr>
              <w:jc w:val="right"/>
              <w:rPr>
                <w:b/>
                <w:color w:val="000000"/>
                <w:sz w:val="20"/>
                <w:szCs w:val="20"/>
                <w:lang w:val="en-CA"/>
              </w:rPr>
            </w:pPr>
            <w:r w:rsidRPr="00B75955">
              <w:rPr>
                <w:b/>
                <w:color w:val="000000"/>
                <w:sz w:val="20"/>
                <w:szCs w:val="20"/>
                <w:highlight w:val="yellow"/>
                <w:lang w:val="en-CA"/>
              </w:rPr>
              <w:t>1 or 2</w:t>
            </w:r>
          </w:p>
        </w:tc>
      </w:tr>
      <w:tr w:rsidR="007B61FD" w:rsidRPr="00B75955" w14:paraId="15C5A921" w14:textId="77777777" w:rsidTr="00F35DE2">
        <w:trPr>
          <w:trHeight w:val="159"/>
        </w:trPr>
        <w:tc>
          <w:tcPr>
            <w:tcW w:w="2140" w:type="dxa"/>
            <w:tcBorders>
              <w:top w:val="nil"/>
              <w:left w:val="single" w:sz="4" w:space="0" w:color="auto"/>
              <w:bottom w:val="single" w:sz="4" w:space="0" w:color="auto"/>
              <w:right w:val="single" w:sz="4" w:space="0" w:color="auto"/>
            </w:tcBorders>
            <w:shd w:val="clear" w:color="000000" w:fill="FFFF00"/>
            <w:noWrap/>
            <w:vAlign w:val="center"/>
            <w:hideMark/>
          </w:tcPr>
          <w:p w14:paraId="12D7BEE7" w14:textId="77777777" w:rsidR="007B61FD" w:rsidRPr="00B75955" w:rsidRDefault="007B61FD" w:rsidP="007B61FD">
            <w:pPr>
              <w:jc w:val="left"/>
              <w:rPr>
                <w:b/>
                <w:sz w:val="20"/>
                <w:szCs w:val="20"/>
                <w:highlight w:val="yellow"/>
                <w:lang w:val="en-CA"/>
              </w:rPr>
            </w:pPr>
            <w:r w:rsidRPr="00B75955">
              <w:rPr>
                <w:b/>
                <w:sz w:val="20"/>
                <w:szCs w:val="20"/>
                <w:highlight w:val="yellow"/>
                <w:lang w:val="en-CA"/>
              </w:rPr>
              <w:t>Hisense Jiangmen</w:t>
            </w:r>
          </w:p>
        </w:tc>
        <w:tc>
          <w:tcPr>
            <w:tcW w:w="1978" w:type="dxa"/>
            <w:gridSpan w:val="2"/>
            <w:tcBorders>
              <w:top w:val="nil"/>
              <w:left w:val="nil"/>
              <w:bottom w:val="single" w:sz="4" w:space="0" w:color="auto"/>
              <w:right w:val="single" w:sz="4" w:space="0" w:color="auto"/>
            </w:tcBorders>
            <w:shd w:val="clear" w:color="000000" w:fill="FFFF00"/>
            <w:noWrap/>
            <w:vAlign w:val="center"/>
            <w:hideMark/>
          </w:tcPr>
          <w:p w14:paraId="79C36122" w14:textId="77777777" w:rsidR="007B61FD" w:rsidRPr="00B75955" w:rsidRDefault="007B61FD" w:rsidP="007B61FD">
            <w:pPr>
              <w:jc w:val="right"/>
              <w:rPr>
                <w:b/>
                <w:sz w:val="20"/>
                <w:szCs w:val="20"/>
                <w:highlight w:val="yellow"/>
                <w:lang w:val="en-CA"/>
              </w:rPr>
            </w:pPr>
            <w:r w:rsidRPr="00B75955">
              <w:rPr>
                <w:b/>
                <w:sz w:val="20"/>
                <w:szCs w:val="20"/>
                <w:highlight w:val="yellow"/>
                <w:lang w:val="en-CA"/>
              </w:rPr>
              <w:t>110.2</w:t>
            </w:r>
          </w:p>
        </w:tc>
        <w:tc>
          <w:tcPr>
            <w:tcW w:w="1978" w:type="dxa"/>
            <w:gridSpan w:val="2"/>
            <w:tcBorders>
              <w:top w:val="nil"/>
              <w:left w:val="nil"/>
              <w:bottom w:val="single" w:sz="4" w:space="0" w:color="auto"/>
              <w:right w:val="single" w:sz="4" w:space="0" w:color="auto"/>
            </w:tcBorders>
            <w:shd w:val="clear" w:color="000000" w:fill="FFFF00"/>
            <w:noWrap/>
            <w:vAlign w:val="center"/>
            <w:hideMark/>
          </w:tcPr>
          <w:p w14:paraId="57723E8D" w14:textId="6BDB796E" w:rsidR="007B61FD" w:rsidRPr="00B75955" w:rsidRDefault="007B61FD" w:rsidP="00F6179B">
            <w:pPr>
              <w:jc w:val="center"/>
              <w:rPr>
                <w:b/>
                <w:sz w:val="20"/>
                <w:szCs w:val="20"/>
                <w:highlight w:val="yellow"/>
                <w:lang w:val="en-CA"/>
              </w:rPr>
            </w:pPr>
            <w:r w:rsidRPr="00B75955">
              <w:rPr>
                <w:b/>
                <w:sz w:val="20"/>
                <w:szCs w:val="20"/>
                <w:highlight w:val="yellow"/>
                <w:lang w:val="en-CA"/>
              </w:rPr>
              <w:t>R-290</w:t>
            </w:r>
          </w:p>
        </w:tc>
        <w:tc>
          <w:tcPr>
            <w:tcW w:w="1979" w:type="dxa"/>
            <w:gridSpan w:val="2"/>
            <w:tcBorders>
              <w:top w:val="nil"/>
              <w:left w:val="nil"/>
              <w:bottom w:val="single" w:sz="4" w:space="0" w:color="auto"/>
              <w:right w:val="single" w:sz="4" w:space="0" w:color="auto"/>
            </w:tcBorders>
            <w:shd w:val="clear" w:color="000000" w:fill="FFFF00"/>
            <w:noWrap/>
            <w:vAlign w:val="center"/>
            <w:hideMark/>
          </w:tcPr>
          <w:p w14:paraId="54D681F6" w14:textId="77777777" w:rsidR="007B61FD" w:rsidRPr="00B75955" w:rsidRDefault="007B61FD" w:rsidP="007B61FD">
            <w:pPr>
              <w:jc w:val="right"/>
              <w:rPr>
                <w:b/>
                <w:sz w:val="20"/>
                <w:szCs w:val="20"/>
                <w:highlight w:val="yellow"/>
                <w:lang w:val="en-CA"/>
              </w:rPr>
            </w:pPr>
            <w:r w:rsidRPr="00B75955">
              <w:rPr>
                <w:b/>
                <w:sz w:val="20"/>
                <w:szCs w:val="20"/>
                <w:highlight w:val="yellow"/>
                <w:lang w:val="en-CA"/>
              </w:rPr>
              <w:t>1,147,920</w:t>
            </w:r>
          </w:p>
        </w:tc>
        <w:tc>
          <w:tcPr>
            <w:tcW w:w="1134" w:type="dxa"/>
            <w:tcBorders>
              <w:top w:val="nil"/>
              <w:left w:val="nil"/>
              <w:bottom w:val="single" w:sz="4" w:space="0" w:color="auto"/>
              <w:right w:val="single" w:sz="4" w:space="0" w:color="auto"/>
            </w:tcBorders>
            <w:shd w:val="clear" w:color="000000" w:fill="FFFF00"/>
            <w:noWrap/>
            <w:vAlign w:val="bottom"/>
            <w:hideMark/>
          </w:tcPr>
          <w:p w14:paraId="444492EF" w14:textId="77777777" w:rsidR="007B61FD" w:rsidRPr="00B75955" w:rsidRDefault="007B61FD" w:rsidP="007B61FD">
            <w:pPr>
              <w:jc w:val="right"/>
              <w:rPr>
                <w:b/>
                <w:sz w:val="20"/>
                <w:szCs w:val="20"/>
                <w:highlight w:val="yellow"/>
                <w:lang w:val="en-CA"/>
              </w:rPr>
            </w:pPr>
            <w:r w:rsidRPr="00B75955">
              <w:rPr>
                <w:b/>
                <w:color w:val="000000"/>
                <w:sz w:val="20"/>
                <w:szCs w:val="20"/>
                <w:highlight w:val="yellow"/>
                <w:lang w:val="en-CA"/>
              </w:rPr>
              <w:t>1</w:t>
            </w:r>
          </w:p>
        </w:tc>
      </w:tr>
      <w:tr w:rsidR="007B61FD" w:rsidRPr="00B75955" w14:paraId="38C23510" w14:textId="77777777" w:rsidTr="00F35DE2">
        <w:trPr>
          <w:trHeight w:val="6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AF60358" w14:textId="77777777" w:rsidR="007B61FD" w:rsidRPr="00B75955" w:rsidRDefault="007B61FD" w:rsidP="007B61FD">
            <w:pPr>
              <w:jc w:val="left"/>
              <w:rPr>
                <w:sz w:val="20"/>
                <w:szCs w:val="20"/>
                <w:lang w:val="en-CA"/>
              </w:rPr>
            </w:pPr>
            <w:r w:rsidRPr="00B75955">
              <w:rPr>
                <w:sz w:val="20"/>
                <w:szCs w:val="20"/>
                <w:lang w:val="en-CA"/>
              </w:rPr>
              <w:t xml:space="preserve">Jiangsu </w:t>
            </w:r>
            <w:proofErr w:type="spellStart"/>
            <w:r w:rsidRPr="00B75955">
              <w:rPr>
                <w:sz w:val="20"/>
                <w:szCs w:val="20"/>
                <w:lang w:val="en-CA"/>
              </w:rPr>
              <w:t>Sinco</w:t>
            </w:r>
            <w:proofErr w:type="spellEnd"/>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2AEB3531" w14:textId="77777777" w:rsidR="007B61FD" w:rsidRPr="00B75955" w:rsidRDefault="007B61FD" w:rsidP="007B61FD">
            <w:pPr>
              <w:jc w:val="right"/>
              <w:rPr>
                <w:sz w:val="20"/>
                <w:szCs w:val="20"/>
                <w:lang w:val="en-CA"/>
              </w:rPr>
            </w:pPr>
            <w:r w:rsidRPr="00B75955">
              <w:rPr>
                <w:sz w:val="20"/>
                <w:szCs w:val="20"/>
                <w:lang w:val="en-CA"/>
              </w:rPr>
              <w:t>89.7*</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1C6453B2" w14:textId="5DCE6300" w:rsidR="007B61FD" w:rsidRPr="00B75955" w:rsidRDefault="007B61FD" w:rsidP="00F6179B">
            <w:pPr>
              <w:jc w:val="center"/>
              <w:rPr>
                <w:sz w:val="20"/>
                <w:szCs w:val="20"/>
                <w:lang w:val="en-CA"/>
              </w:rPr>
            </w:pPr>
            <w:r w:rsidRPr="00B75955">
              <w:rPr>
                <w:sz w:val="20"/>
                <w:szCs w:val="20"/>
                <w:lang w:val="en-CA"/>
              </w:rPr>
              <w:t>R-290</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4FEBA4A9" w14:textId="77777777" w:rsidR="007B61FD" w:rsidRPr="00B75955" w:rsidRDefault="007B61FD" w:rsidP="007B61FD">
            <w:pPr>
              <w:jc w:val="right"/>
              <w:rPr>
                <w:sz w:val="20"/>
                <w:szCs w:val="20"/>
                <w:lang w:val="en-CA"/>
              </w:rPr>
            </w:pPr>
            <w:r w:rsidRPr="00B75955">
              <w:rPr>
                <w:sz w:val="20"/>
                <w:szCs w:val="20"/>
                <w:lang w:val="en-CA"/>
              </w:rPr>
              <w:t>1,340,805*</w:t>
            </w:r>
          </w:p>
        </w:tc>
        <w:tc>
          <w:tcPr>
            <w:tcW w:w="1134" w:type="dxa"/>
            <w:tcBorders>
              <w:top w:val="nil"/>
              <w:left w:val="nil"/>
              <w:bottom w:val="single" w:sz="4" w:space="0" w:color="auto"/>
              <w:right w:val="single" w:sz="4" w:space="0" w:color="auto"/>
            </w:tcBorders>
            <w:shd w:val="clear" w:color="auto" w:fill="auto"/>
            <w:noWrap/>
            <w:vAlign w:val="bottom"/>
            <w:hideMark/>
          </w:tcPr>
          <w:p w14:paraId="1E18CECC" w14:textId="77777777" w:rsidR="007B61FD" w:rsidRPr="00B75955" w:rsidRDefault="007B61FD" w:rsidP="007B61FD">
            <w:pPr>
              <w:jc w:val="right"/>
              <w:rPr>
                <w:b/>
                <w:color w:val="000000"/>
                <w:sz w:val="20"/>
                <w:szCs w:val="20"/>
                <w:highlight w:val="yellow"/>
                <w:lang w:val="en-CA"/>
              </w:rPr>
            </w:pPr>
            <w:r w:rsidRPr="00B75955">
              <w:rPr>
                <w:b/>
                <w:color w:val="000000"/>
                <w:sz w:val="20"/>
                <w:szCs w:val="20"/>
                <w:highlight w:val="yellow"/>
                <w:lang w:val="en-CA"/>
              </w:rPr>
              <w:t>1 or 2</w:t>
            </w:r>
          </w:p>
        </w:tc>
      </w:tr>
      <w:tr w:rsidR="007B61FD" w:rsidRPr="00B75955" w14:paraId="41AECE69" w14:textId="77777777" w:rsidTr="00F35DE2">
        <w:trPr>
          <w:trHeight w:val="9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D7A6F32" w14:textId="77777777" w:rsidR="007B61FD" w:rsidRPr="00B75955" w:rsidRDefault="007B61FD" w:rsidP="007B61FD">
            <w:pPr>
              <w:jc w:val="left"/>
              <w:rPr>
                <w:sz w:val="20"/>
                <w:szCs w:val="20"/>
                <w:lang w:val="en-CA"/>
              </w:rPr>
            </w:pPr>
            <w:r w:rsidRPr="00B75955">
              <w:rPr>
                <w:sz w:val="20"/>
                <w:szCs w:val="20"/>
                <w:lang w:val="en-CA"/>
              </w:rPr>
              <w:t xml:space="preserve">Foshan </w:t>
            </w:r>
            <w:proofErr w:type="spellStart"/>
            <w:r w:rsidRPr="00B75955">
              <w:rPr>
                <w:sz w:val="20"/>
                <w:szCs w:val="20"/>
                <w:lang w:val="en-CA"/>
              </w:rPr>
              <w:t>Daishiba</w:t>
            </w:r>
            <w:proofErr w:type="spellEnd"/>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2D089679" w14:textId="77777777" w:rsidR="007B61FD" w:rsidRPr="00B75955" w:rsidRDefault="007B61FD" w:rsidP="007B61FD">
            <w:pPr>
              <w:jc w:val="right"/>
              <w:rPr>
                <w:sz w:val="20"/>
                <w:szCs w:val="20"/>
                <w:lang w:val="en-CA"/>
              </w:rPr>
            </w:pPr>
            <w:r w:rsidRPr="00B75955">
              <w:rPr>
                <w:sz w:val="20"/>
                <w:szCs w:val="20"/>
                <w:lang w:val="en-CA"/>
              </w:rPr>
              <w:t>295.9*</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3D817A79" w14:textId="51B8E285" w:rsidR="007B61FD" w:rsidRPr="00B75955" w:rsidRDefault="007B61FD" w:rsidP="00F6179B">
            <w:pPr>
              <w:jc w:val="center"/>
              <w:rPr>
                <w:sz w:val="20"/>
                <w:szCs w:val="20"/>
                <w:lang w:val="en-CA"/>
              </w:rPr>
            </w:pPr>
            <w:r w:rsidRPr="00B75955">
              <w:rPr>
                <w:sz w:val="20"/>
                <w:szCs w:val="20"/>
                <w:lang w:val="en-CA"/>
              </w:rPr>
              <w:t>R-290</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2B44379E" w14:textId="77777777" w:rsidR="007B61FD" w:rsidRPr="00B75955" w:rsidRDefault="007B61FD" w:rsidP="007B61FD">
            <w:pPr>
              <w:jc w:val="right"/>
              <w:rPr>
                <w:sz w:val="20"/>
                <w:szCs w:val="20"/>
                <w:lang w:val="en-CA"/>
              </w:rPr>
            </w:pPr>
            <w:r w:rsidRPr="00B75955">
              <w:rPr>
                <w:sz w:val="20"/>
                <w:szCs w:val="20"/>
                <w:lang w:val="en-CA"/>
              </w:rPr>
              <w:t>1,340,805*</w:t>
            </w:r>
          </w:p>
        </w:tc>
        <w:tc>
          <w:tcPr>
            <w:tcW w:w="1134" w:type="dxa"/>
            <w:tcBorders>
              <w:top w:val="nil"/>
              <w:left w:val="nil"/>
              <w:bottom w:val="single" w:sz="4" w:space="0" w:color="auto"/>
              <w:right w:val="single" w:sz="4" w:space="0" w:color="auto"/>
            </w:tcBorders>
            <w:shd w:val="clear" w:color="auto" w:fill="auto"/>
            <w:noWrap/>
            <w:vAlign w:val="bottom"/>
            <w:hideMark/>
          </w:tcPr>
          <w:p w14:paraId="7316830F" w14:textId="77777777" w:rsidR="007B61FD" w:rsidRPr="00B75955" w:rsidRDefault="007B61FD" w:rsidP="007B61FD">
            <w:pPr>
              <w:jc w:val="right"/>
              <w:rPr>
                <w:b/>
                <w:color w:val="000000"/>
                <w:sz w:val="20"/>
                <w:szCs w:val="20"/>
                <w:highlight w:val="yellow"/>
                <w:lang w:val="en-CA"/>
              </w:rPr>
            </w:pPr>
            <w:r w:rsidRPr="00B75955">
              <w:rPr>
                <w:b/>
                <w:color w:val="000000"/>
                <w:sz w:val="20"/>
                <w:szCs w:val="20"/>
                <w:highlight w:val="yellow"/>
                <w:lang w:val="en-CA"/>
              </w:rPr>
              <w:t>1 or 2</w:t>
            </w:r>
          </w:p>
        </w:tc>
      </w:tr>
      <w:tr w:rsidR="007B61FD" w:rsidRPr="00B75955" w14:paraId="22922037" w14:textId="77777777" w:rsidTr="00F35DE2">
        <w:trPr>
          <w:trHeight w:val="193"/>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A3164A3" w14:textId="77777777" w:rsidR="007B61FD" w:rsidRPr="00B75955" w:rsidRDefault="007B61FD" w:rsidP="007B61FD">
            <w:pPr>
              <w:jc w:val="left"/>
              <w:rPr>
                <w:sz w:val="20"/>
                <w:szCs w:val="20"/>
                <w:lang w:val="en-CA"/>
              </w:rPr>
            </w:pPr>
            <w:proofErr w:type="spellStart"/>
            <w:r w:rsidRPr="00B75955">
              <w:rPr>
                <w:sz w:val="20"/>
                <w:szCs w:val="20"/>
                <w:lang w:val="en-CA"/>
              </w:rPr>
              <w:t>Zhongshan</w:t>
            </w:r>
            <w:proofErr w:type="spellEnd"/>
            <w:r w:rsidRPr="00B75955">
              <w:rPr>
                <w:sz w:val="20"/>
                <w:szCs w:val="20"/>
                <w:lang w:val="en-CA"/>
              </w:rPr>
              <w:t xml:space="preserve"> </w:t>
            </w:r>
            <w:proofErr w:type="spellStart"/>
            <w:r w:rsidRPr="00B75955">
              <w:rPr>
                <w:sz w:val="20"/>
                <w:szCs w:val="20"/>
                <w:lang w:val="en-CA"/>
              </w:rPr>
              <w:t>Changhong</w:t>
            </w:r>
            <w:proofErr w:type="spellEnd"/>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03EEC0E6" w14:textId="77777777" w:rsidR="007B61FD" w:rsidRPr="00B75955" w:rsidRDefault="007B61FD" w:rsidP="007B61FD">
            <w:pPr>
              <w:jc w:val="right"/>
              <w:rPr>
                <w:b/>
                <w:sz w:val="20"/>
                <w:szCs w:val="20"/>
                <w:highlight w:val="yellow"/>
                <w:lang w:val="en-CA"/>
              </w:rPr>
            </w:pPr>
            <w:r w:rsidRPr="00B75955">
              <w:rPr>
                <w:b/>
                <w:sz w:val="20"/>
                <w:szCs w:val="20"/>
                <w:highlight w:val="yellow"/>
                <w:lang w:val="en-CA"/>
              </w:rPr>
              <w:t>83.361</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796AD872" w14:textId="3CD6FB42" w:rsidR="007B61FD" w:rsidRPr="00B75955" w:rsidRDefault="007B61FD" w:rsidP="00F6179B">
            <w:pPr>
              <w:jc w:val="center"/>
              <w:rPr>
                <w:sz w:val="20"/>
                <w:szCs w:val="20"/>
                <w:lang w:val="en-CA"/>
              </w:rPr>
            </w:pPr>
            <w:r w:rsidRPr="00B75955">
              <w:rPr>
                <w:sz w:val="20"/>
                <w:szCs w:val="20"/>
                <w:lang w:val="en-CA"/>
              </w:rPr>
              <w:t>R-290</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12FE83A7" w14:textId="77777777" w:rsidR="007B61FD" w:rsidRPr="00B75955" w:rsidRDefault="007B61FD" w:rsidP="007B61FD">
            <w:pPr>
              <w:jc w:val="right"/>
              <w:rPr>
                <w:b/>
                <w:sz w:val="20"/>
                <w:szCs w:val="20"/>
                <w:highlight w:val="yellow"/>
                <w:lang w:val="en-CA"/>
              </w:rPr>
            </w:pPr>
            <w:r w:rsidRPr="00B75955">
              <w:rPr>
                <w:b/>
                <w:sz w:val="20"/>
                <w:szCs w:val="20"/>
                <w:highlight w:val="yellow"/>
                <w:lang w:val="en-CA"/>
              </w:rPr>
              <w:t>1,352,355</w:t>
            </w:r>
          </w:p>
        </w:tc>
        <w:tc>
          <w:tcPr>
            <w:tcW w:w="1134" w:type="dxa"/>
            <w:tcBorders>
              <w:top w:val="nil"/>
              <w:left w:val="nil"/>
              <w:bottom w:val="single" w:sz="4" w:space="0" w:color="auto"/>
              <w:right w:val="single" w:sz="4" w:space="0" w:color="auto"/>
            </w:tcBorders>
            <w:shd w:val="clear" w:color="auto" w:fill="auto"/>
            <w:noWrap/>
            <w:vAlign w:val="bottom"/>
            <w:hideMark/>
          </w:tcPr>
          <w:p w14:paraId="490D696C" w14:textId="77777777" w:rsidR="007B61FD" w:rsidRPr="00B75955" w:rsidRDefault="007B61FD" w:rsidP="007B61FD">
            <w:pPr>
              <w:jc w:val="right"/>
              <w:rPr>
                <w:color w:val="000000"/>
                <w:sz w:val="20"/>
                <w:szCs w:val="20"/>
                <w:lang w:val="en-CA"/>
              </w:rPr>
            </w:pPr>
            <w:r w:rsidRPr="00B75955">
              <w:rPr>
                <w:color w:val="000000"/>
                <w:sz w:val="20"/>
                <w:szCs w:val="20"/>
                <w:lang w:val="en-CA"/>
              </w:rPr>
              <w:t>1</w:t>
            </w:r>
          </w:p>
        </w:tc>
      </w:tr>
      <w:tr w:rsidR="007B61FD" w:rsidRPr="00B75955" w14:paraId="61AF8591" w14:textId="77777777" w:rsidTr="00F35DE2">
        <w:trPr>
          <w:trHeight w:val="96"/>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AEA9880" w14:textId="77777777" w:rsidR="007B61FD" w:rsidRPr="00B75955" w:rsidRDefault="007B61FD" w:rsidP="007B61FD">
            <w:pPr>
              <w:jc w:val="left"/>
              <w:rPr>
                <w:sz w:val="20"/>
                <w:szCs w:val="20"/>
                <w:lang w:val="en-CA"/>
              </w:rPr>
            </w:pPr>
            <w:proofErr w:type="spellStart"/>
            <w:r w:rsidRPr="00B75955">
              <w:rPr>
                <w:sz w:val="20"/>
                <w:szCs w:val="20"/>
                <w:lang w:val="en-CA"/>
              </w:rPr>
              <w:t>Chuzhou</w:t>
            </w:r>
            <w:proofErr w:type="spellEnd"/>
            <w:r w:rsidRPr="00B75955">
              <w:rPr>
                <w:sz w:val="20"/>
                <w:szCs w:val="20"/>
                <w:lang w:val="en-CA"/>
              </w:rPr>
              <w:t xml:space="preserve"> Yangzi</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74E93B04" w14:textId="77777777" w:rsidR="007B61FD" w:rsidRPr="00B75955" w:rsidRDefault="007B61FD" w:rsidP="007B61FD">
            <w:pPr>
              <w:jc w:val="right"/>
              <w:rPr>
                <w:b/>
                <w:sz w:val="20"/>
                <w:szCs w:val="20"/>
                <w:highlight w:val="yellow"/>
                <w:lang w:val="en-CA"/>
              </w:rPr>
            </w:pPr>
            <w:r w:rsidRPr="00B75955">
              <w:rPr>
                <w:b/>
                <w:sz w:val="20"/>
                <w:szCs w:val="20"/>
                <w:highlight w:val="yellow"/>
                <w:lang w:val="en-CA"/>
              </w:rPr>
              <w:t>322.107</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328A0476" w14:textId="1E71DEE2" w:rsidR="007B61FD" w:rsidRPr="00B75955" w:rsidRDefault="007B61FD" w:rsidP="00F6179B">
            <w:pPr>
              <w:jc w:val="center"/>
              <w:rPr>
                <w:sz w:val="20"/>
                <w:szCs w:val="20"/>
                <w:lang w:val="en-CA"/>
              </w:rPr>
            </w:pPr>
            <w:r w:rsidRPr="00B75955">
              <w:rPr>
                <w:sz w:val="20"/>
                <w:szCs w:val="20"/>
                <w:lang w:val="en-CA"/>
              </w:rPr>
              <w:t>R-290</w:t>
            </w:r>
          </w:p>
        </w:tc>
        <w:tc>
          <w:tcPr>
            <w:tcW w:w="1979" w:type="dxa"/>
            <w:gridSpan w:val="2"/>
            <w:tcBorders>
              <w:top w:val="nil"/>
              <w:left w:val="nil"/>
              <w:bottom w:val="single" w:sz="4" w:space="0" w:color="auto"/>
              <w:right w:val="single" w:sz="4" w:space="0" w:color="auto"/>
            </w:tcBorders>
            <w:shd w:val="clear" w:color="auto" w:fill="auto"/>
            <w:noWrap/>
            <w:vAlign w:val="center"/>
            <w:hideMark/>
          </w:tcPr>
          <w:p w14:paraId="73D9EE04" w14:textId="77777777" w:rsidR="007B61FD" w:rsidRPr="00B75955" w:rsidRDefault="007B61FD" w:rsidP="007B61FD">
            <w:pPr>
              <w:jc w:val="right"/>
              <w:rPr>
                <w:b/>
                <w:sz w:val="20"/>
                <w:szCs w:val="20"/>
                <w:highlight w:val="yellow"/>
                <w:lang w:val="en-CA"/>
              </w:rPr>
            </w:pPr>
            <w:r w:rsidRPr="00B75955">
              <w:rPr>
                <w:b/>
                <w:sz w:val="20"/>
                <w:szCs w:val="20"/>
                <w:highlight w:val="yellow"/>
                <w:lang w:val="en-CA"/>
              </w:rPr>
              <w:t>1,340,805</w:t>
            </w:r>
          </w:p>
        </w:tc>
        <w:tc>
          <w:tcPr>
            <w:tcW w:w="1134" w:type="dxa"/>
            <w:tcBorders>
              <w:top w:val="nil"/>
              <w:left w:val="nil"/>
              <w:bottom w:val="single" w:sz="4" w:space="0" w:color="auto"/>
              <w:right w:val="single" w:sz="4" w:space="0" w:color="auto"/>
            </w:tcBorders>
            <w:shd w:val="clear" w:color="auto" w:fill="auto"/>
            <w:noWrap/>
            <w:vAlign w:val="bottom"/>
            <w:hideMark/>
          </w:tcPr>
          <w:p w14:paraId="0A8D16C7" w14:textId="77777777" w:rsidR="007B61FD" w:rsidRPr="00B75955" w:rsidRDefault="007B61FD" w:rsidP="007B61FD">
            <w:pPr>
              <w:jc w:val="right"/>
              <w:rPr>
                <w:color w:val="000000"/>
                <w:sz w:val="20"/>
                <w:szCs w:val="20"/>
                <w:lang w:val="en-CA"/>
              </w:rPr>
            </w:pPr>
            <w:r w:rsidRPr="00B75955">
              <w:rPr>
                <w:color w:val="000000"/>
                <w:sz w:val="20"/>
                <w:szCs w:val="20"/>
                <w:lang w:val="en-CA"/>
              </w:rPr>
              <w:t>1</w:t>
            </w:r>
          </w:p>
        </w:tc>
      </w:tr>
      <w:tr w:rsidR="007B61FD" w:rsidRPr="00B75955" w14:paraId="1C8060EE" w14:textId="77777777" w:rsidTr="00F35DE2">
        <w:trPr>
          <w:trHeight w:val="221"/>
        </w:trPr>
        <w:tc>
          <w:tcPr>
            <w:tcW w:w="920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A3EB23" w14:textId="77777777" w:rsidR="007B61FD" w:rsidRPr="00B75955" w:rsidRDefault="007B61FD" w:rsidP="002F1866">
            <w:pPr>
              <w:keepNext/>
              <w:keepLines/>
              <w:jc w:val="center"/>
              <w:rPr>
                <w:b/>
                <w:bCs/>
                <w:color w:val="000000"/>
                <w:sz w:val="20"/>
                <w:szCs w:val="20"/>
                <w:lang w:val="en-CA"/>
              </w:rPr>
            </w:pPr>
            <w:r w:rsidRPr="00B75955">
              <w:rPr>
                <w:b/>
                <w:bCs/>
                <w:color w:val="000000"/>
                <w:sz w:val="20"/>
                <w:szCs w:val="20"/>
                <w:lang w:val="en-CA"/>
              </w:rPr>
              <w:lastRenderedPageBreak/>
              <w:t>Compressor</w:t>
            </w:r>
          </w:p>
        </w:tc>
      </w:tr>
      <w:tr w:rsidR="007B61FD" w:rsidRPr="00B75955" w14:paraId="445A3A40" w14:textId="77777777" w:rsidTr="00F35DE2">
        <w:trPr>
          <w:trHeight w:val="124"/>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4133B51" w14:textId="77777777" w:rsidR="007B61FD" w:rsidRPr="00B75955" w:rsidRDefault="007B61FD" w:rsidP="002F1866">
            <w:pPr>
              <w:keepNext/>
              <w:keepLines/>
              <w:jc w:val="center"/>
              <w:rPr>
                <w:b/>
                <w:bCs/>
                <w:sz w:val="20"/>
                <w:szCs w:val="20"/>
                <w:lang w:val="en-CA"/>
              </w:rPr>
            </w:pPr>
            <w:r w:rsidRPr="00B75955">
              <w:rPr>
                <w:b/>
                <w:bCs/>
                <w:sz w:val="20"/>
                <w:szCs w:val="20"/>
                <w:lang w:val="en-CA"/>
              </w:rPr>
              <w:t>Name</w:t>
            </w:r>
          </w:p>
        </w:tc>
        <w:tc>
          <w:tcPr>
            <w:tcW w:w="1767" w:type="dxa"/>
            <w:tcBorders>
              <w:top w:val="nil"/>
              <w:left w:val="nil"/>
              <w:bottom w:val="single" w:sz="4" w:space="0" w:color="auto"/>
              <w:right w:val="single" w:sz="4" w:space="0" w:color="auto"/>
            </w:tcBorders>
            <w:shd w:val="clear" w:color="auto" w:fill="auto"/>
            <w:vAlign w:val="center"/>
            <w:hideMark/>
          </w:tcPr>
          <w:p w14:paraId="70D75662" w14:textId="2A76D701" w:rsidR="007B61FD" w:rsidRPr="00B75955" w:rsidRDefault="00F35DE2" w:rsidP="002F1866">
            <w:pPr>
              <w:keepNext/>
              <w:keepLines/>
              <w:jc w:val="center"/>
              <w:rPr>
                <w:b/>
                <w:bCs/>
                <w:sz w:val="20"/>
                <w:szCs w:val="20"/>
                <w:lang w:val="en-CA"/>
              </w:rPr>
            </w:pPr>
            <w:r w:rsidRPr="00B75955">
              <w:rPr>
                <w:b/>
                <w:bCs/>
                <w:sz w:val="20"/>
                <w:szCs w:val="20"/>
                <w:lang w:val="en-CA"/>
              </w:rPr>
              <w:t>Compressor</w:t>
            </w:r>
            <w:r w:rsidR="007B61FD" w:rsidRPr="00B75955">
              <w:rPr>
                <w:b/>
                <w:bCs/>
                <w:sz w:val="20"/>
                <w:szCs w:val="20"/>
                <w:lang w:val="en-CA"/>
              </w:rPr>
              <w:t>/year</w:t>
            </w:r>
          </w:p>
        </w:tc>
        <w:tc>
          <w:tcPr>
            <w:tcW w:w="1767" w:type="dxa"/>
            <w:gridSpan w:val="2"/>
            <w:tcBorders>
              <w:top w:val="nil"/>
              <w:left w:val="nil"/>
              <w:bottom w:val="single" w:sz="4" w:space="0" w:color="auto"/>
              <w:right w:val="single" w:sz="4" w:space="0" w:color="auto"/>
            </w:tcBorders>
            <w:shd w:val="clear" w:color="auto" w:fill="auto"/>
            <w:vAlign w:val="center"/>
            <w:hideMark/>
          </w:tcPr>
          <w:p w14:paraId="1019E424" w14:textId="77777777" w:rsidR="007B61FD" w:rsidRPr="00B75955" w:rsidRDefault="007B61FD" w:rsidP="002F1866">
            <w:pPr>
              <w:keepNext/>
              <w:keepLines/>
              <w:jc w:val="center"/>
              <w:rPr>
                <w:b/>
                <w:bCs/>
                <w:sz w:val="20"/>
                <w:szCs w:val="20"/>
                <w:lang w:val="en-CA"/>
              </w:rPr>
            </w:pPr>
            <w:r w:rsidRPr="00B75955">
              <w:rPr>
                <w:b/>
                <w:bCs/>
                <w:sz w:val="20"/>
                <w:szCs w:val="20"/>
                <w:lang w:val="en-CA"/>
              </w:rPr>
              <w:t>Technology</w:t>
            </w:r>
          </w:p>
        </w:tc>
        <w:tc>
          <w:tcPr>
            <w:tcW w:w="1767" w:type="dxa"/>
            <w:gridSpan w:val="2"/>
            <w:tcBorders>
              <w:top w:val="nil"/>
              <w:left w:val="nil"/>
              <w:bottom w:val="single" w:sz="4" w:space="0" w:color="auto"/>
              <w:right w:val="single" w:sz="4" w:space="0" w:color="auto"/>
            </w:tcBorders>
            <w:shd w:val="clear" w:color="auto" w:fill="auto"/>
            <w:vAlign w:val="center"/>
            <w:hideMark/>
          </w:tcPr>
          <w:p w14:paraId="4C51FA57" w14:textId="150A9C61" w:rsidR="007B61FD" w:rsidRPr="00B75955" w:rsidRDefault="007B61FD" w:rsidP="002F1866">
            <w:pPr>
              <w:keepNext/>
              <w:keepLines/>
              <w:jc w:val="center"/>
              <w:rPr>
                <w:b/>
                <w:bCs/>
                <w:sz w:val="20"/>
                <w:szCs w:val="20"/>
                <w:lang w:val="en-CA"/>
              </w:rPr>
            </w:pPr>
            <w:r w:rsidRPr="00B75955">
              <w:rPr>
                <w:b/>
                <w:bCs/>
                <w:sz w:val="20"/>
                <w:szCs w:val="20"/>
                <w:lang w:val="en-CA"/>
              </w:rPr>
              <w:t xml:space="preserve"> ICC(</w:t>
            </w:r>
            <w:r w:rsidR="004F3BB5" w:rsidRPr="00B75955">
              <w:rPr>
                <w:b/>
                <w:bCs/>
                <w:sz w:val="20"/>
                <w:szCs w:val="20"/>
                <w:lang w:val="en-CA"/>
              </w:rPr>
              <w:t>US $</w:t>
            </w:r>
            <w:r w:rsidRPr="00B75955">
              <w:rPr>
                <w:b/>
                <w:bCs/>
                <w:sz w:val="20"/>
                <w:szCs w:val="20"/>
                <w:lang w:val="en-CA"/>
              </w:rPr>
              <w:t>)</w:t>
            </w:r>
          </w:p>
        </w:tc>
        <w:tc>
          <w:tcPr>
            <w:tcW w:w="1768" w:type="dxa"/>
            <w:gridSpan w:val="2"/>
            <w:tcBorders>
              <w:top w:val="nil"/>
              <w:left w:val="nil"/>
              <w:bottom w:val="single" w:sz="4" w:space="0" w:color="auto"/>
              <w:right w:val="single" w:sz="4" w:space="0" w:color="auto"/>
            </w:tcBorders>
            <w:shd w:val="clear" w:color="auto" w:fill="auto"/>
            <w:vAlign w:val="center"/>
            <w:hideMark/>
          </w:tcPr>
          <w:p w14:paraId="7FFDBD75" w14:textId="77777777" w:rsidR="007B61FD" w:rsidRPr="00B75955" w:rsidRDefault="007B61FD" w:rsidP="002F1866">
            <w:pPr>
              <w:keepNext/>
              <w:keepLines/>
              <w:jc w:val="center"/>
              <w:rPr>
                <w:b/>
                <w:bCs/>
                <w:sz w:val="20"/>
                <w:szCs w:val="20"/>
                <w:lang w:val="en-CA"/>
              </w:rPr>
            </w:pPr>
            <w:r w:rsidRPr="00B75955">
              <w:rPr>
                <w:b/>
                <w:bCs/>
                <w:sz w:val="20"/>
                <w:szCs w:val="20"/>
                <w:lang w:val="en-CA"/>
              </w:rPr>
              <w:t>Tranche</w:t>
            </w:r>
          </w:p>
        </w:tc>
      </w:tr>
      <w:tr w:rsidR="007B61FD" w:rsidRPr="00B75955" w14:paraId="47B7872D" w14:textId="77777777" w:rsidTr="00F35DE2">
        <w:trPr>
          <w:trHeight w:val="1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4796FC2" w14:textId="77777777" w:rsidR="007B61FD" w:rsidRPr="00B75955" w:rsidRDefault="007B61FD" w:rsidP="002F1866">
            <w:pPr>
              <w:keepNext/>
              <w:keepLines/>
              <w:jc w:val="left"/>
              <w:rPr>
                <w:sz w:val="20"/>
                <w:szCs w:val="20"/>
                <w:lang w:val="en-CA"/>
              </w:rPr>
            </w:pPr>
            <w:r w:rsidRPr="00B75955">
              <w:rPr>
                <w:sz w:val="20"/>
                <w:szCs w:val="20"/>
                <w:lang w:val="en-CA"/>
              </w:rPr>
              <w:t>Guangdong GMCC</w:t>
            </w:r>
          </w:p>
        </w:tc>
        <w:tc>
          <w:tcPr>
            <w:tcW w:w="1767" w:type="dxa"/>
            <w:tcBorders>
              <w:top w:val="nil"/>
              <w:left w:val="nil"/>
              <w:bottom w:val="single" w:sz="4" w:space="0" w:color="auto"/>
              <w:right w:val="single" w:sz="4" w:space="0" w:color="auto"/>
            </w:tcBorders>
            <w:shd w:val="clear" w:color="auto" w:fill="auto"/>
            <w:noWrap/>
            <w:vAlign w:val="center"/>
            <w:hideMark/>
          </w:tcPr>
          <w:p w14:paraId="51C13C65" w14:textId="66836382" w:rsidR="007B61FD" w:rsidRPr="00B75955" w:rsidRDefault="00B251D7" w:rsidP="002F1866">
            <w:pPr>
              <w:keepNext/>
              <w:keepLines/>
              <w:jc w:val="right"/>
              <w:rPr>
                <w:b/>
                <w:sz w:val="20"/>
                <w:szCs w:val="20"/>
                <w:highlight w:val="yellow"/>
                <w:lang w:val="en-CA"/>
              </w:rPr>
            </w:pPr>
            <w:r w:rsidRPr="00B75955">
              <w:rPr>
                <w:b/>
                <w:sz w:val="20"/>
                <w:szCs w:val="20"/>
                <w:highlight w:val="yellow"/>
                <w:lang w:val="en-CA"/>
              </w:rPr>
              <w:t>1,384,</w:t>
            </w:r>
            <w:r w:rsidR="00E14C6B" w:rsidRPr="00B75955">
              <w:rPr>
                <w:b/>
                <w:sz w:val="20"/>
                <w:szCs w:val="20"/>
                <w:highlight w:val="yellow"/>
                <w:lang w:val="en-CA"/>
              </w:rPr>
              <w:t>268</w:t>
            </w:r>
            <w:r w:rsidR="00E14C6B" w:rsidRPr="00B75955">
              <w:rPr>
                <w:b/>
                <w:sz w:val="20"/>
                <w:szCs w:val="20"/>
                <w:highlight w:val="yellow"/>
                <w:vertAlign w:val="superscript"/>
                <w:lang w:val="en-CA"/>
              </w:rPr>
              <w:t>**</w:t>
            </w:r>
          </w:p>
        </w:tc>
        <w:tc>
          <w:tcPr>
            <w:tcW w:w="1767" w:type="dxa"/>
            <w:gridSpan w:val="2"/>
            <w:tcBorders>
              <w:top w:val="nil"/>
              <w:left w:val="nil"/>
              <w:bottom w:val="single" w:sz="4" w:space="0" w:color="auto"/>
              <w:right w:val="single" w:sz="4" w:space="0" w:color="auto"/>
            </w:tcBorders>
            <w:shd w:val="clear" w:color="auto" w:fill="auto"/>
            <w:vAlign w:val="center"/>
            <w:hideMark/>
          </w:tcPr>
          <w:p w14:paraId="7D36BD23" w14:textId="01933F1D" w:rsidR="007B61FD" w:rsidRPr="00B75955" w:rsidRDefault="007B61FD" w:rsidP="002F1866">
            <w:pPr>
              <w:keepNext/>
              <w:keepLines/>
              <w:jc w:val="center"/>
              <w:rPr>
                <w:sz w:val="20"/>
                <w:szCs w:val="20"/>
                <w:lang w:val="en-CA"/>
              </w:rPr>
            </w:pPr>
            <w:r w:rsidRPr="00B75955">
              <w:rPr>
                <w:sz w:val="20"/>
                <w:szCs w:val="20"/>
                <w:lang w:val="en-CA"/>
              </w:rPr>
              <w:t>R-290</w:t>
            </w:r>
          </w:p>
        </w:tc>
        <w:tc>
          <w:tcPr>
            <w:tcW w:w="1767" w:type="dxa"/>
            <w:gridSpan w:val="2"/>
            <w:tcBorders>
              <w:top w:val="nil"/>
              <w:left w:val="nil"/>
              <w:bottom w:val="single" w:sz="4" w:space="0" w:color="auto"/>
              <w:right w:val="single" w:sz="4" w:space="0" w:color="auto"/>
            </w:tcBorders>
            <w:shd w:val="clear" w:color="auto" w:fill="auto"/>
            <w:noWrap/>
            <w:vAlign w:val="center"/>
            <w:hideMark/>
          </w:tcPr>
          <w:p w14:paraId="3802EEBD" w14:textId="2FC4F612" w:rsidR="007B61FD" w:rsidRPr="00B75955" w:rsidRDefault="007B61FD" w:rsidP="002F1866">
            <w:pPr>
              <w:keepNext/>
              <w:keepLines/>
              <w:jc w:val="right"/>
              <w:rPr>
                <w:b/>
                <w:sz w:val="20"/>
                <w:szCs w:val="20"/>
                <w:highlight w:val="yellow"/>
                <w:lang w:val="en-CA"/>
              </w:rPr>
            </w:pPr>
            <w:r w:rsidRPr="00B75955">
              <w:rPr>
                <w:b/>
                <w:sz w:val="20"/>
                <w:szCs w:val="20"/>
                <w:highlight w:val="yellow"/>
                <w:lang w:val="en-CA"/>
              </w:rPr>
              <w:t>861,490</w:t>
            </w:r>
            <w:r w:rsidR="00E14C6B" w:rsidRPr="00B75955">
              <w:rPr>
                <w:b/>
                <w:sz w:val="20"/>
                <w:szCs w:val="20"/>
                <w:highlight w:val="yellow"/>
                <w:vertAlign w:val="superscript"/>
                <w:lang w:val="en-CA"/>
              </w:rPr>
              <w:t>**</w:t>
            </w:r>
          </w:p>
        </w:tc>
        <w:tc>
          <w:tcPr>
            <w:tcW w:w="1768" w:type="dxa"/>
            <w:gridSpan w:val="2"/>
            <w:tcBorders>
              <w:top w:val="nil"/>
              <w:left w:val="nil"/>
              <w:bottom w:val="single" w:sz="4" w:space="0" w:color="auto"/>
              <w:right w:val="single" w:sz="4" w:space="0" w:color="auto"/>
            </w:tcBorders>
            <w:shd w:val="clear" w:color="auto" w:fill="auto"/>
            <w:noWrap/>
            <w:vAlign w:val="bottom"/>
            <w:hideMark/>
          </w:tcPr>
          <w:p w14:paraId="638D886C" w14:textId="77777777" w:rsidR="007B61FD" w:rsidRPr="00B75955" w:rsidRDefault="007B61FD" w:rsidP="002F1866">
            <w:pPr>
              <w:keepNext/>
              <w:keepLines/>
              <w:jc w:val="right"/>
              <w:rPr>
                <w:color w:val="000000"/>
                <w:sz w:val="20"/>
                <w:szCs w:val="20"/>
                <w:lang w:val="en-CA"/>
              </w:rPr>
            </w:pPr>
            <w:r w:rsidRPr="00B75955">
              <w:rPr>
                <w:color w:val="000000"/>
                <w:sz w:val="20"/>
                <w:szCs w:val="20"/>
                <w:lang w:val="en-CA"/>
              </w:rPr>
              <w:t>1</w:t>
            </w:r>
          </w:p>
        </w:tc>
      </w:tr>
      <w:tr w:rsidR="007B61FD" w:rsidRPr="00B75955" w14:paraId="706AB068" w14:textId="77777777" w:rsidTr="00F35DE2">
        <w:trPr>
          <w:trHeight w:val="217"/>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6C9B16C" w14:textId="77777777" w:rsidR="007B61FD" w:rsidRPr="00B75955" w:rsidRDefault="007B61FD" w:rsidP="002F1866">
            <w:pPr>
              <w:keepNext/>
              <w:keepLines/>
              <w:jc w:val="left"/>
              <w:rPr>
                <w:sz w:val="20"/>
                <w:szCs w:val="20"/>
                <w:lang w:val="en-CA"/>
              </w:rPr>
            </w:pPr>
            <w:r w:rsidRPr="00B75955">
              <w:rPr>
                <w:sz w:val="20"/>
                <w:szCs w:val="20"/>
                <w:lang w:val="en-CA"/>
              </w:rPr>
              <w:t>Shenyang Sanyo</w:t>
            </w:r>
          </w:p>
        </w:tc>
        <w:tc>
          <w:tcPr>
            <w:tcW w:w="1767" w:type="dxa"/>
            <w:tcBorders>
              <w:top w:val="nil"/>
              <w:left w:val="nil"/>
              <w:bottom w:val="single" w:sz="4" w:space="0" w:color="auto"/>
              <w:right w:val="single" w:sz="4" w:space="0" w:color="auto"/>
            </w:tcBorders>
            <w:shd w:val="clear" w:color="auto" w:fill="auto"/>
            <w:noWrap/>
            <w:vAlign w:val="center"/>
            <w:hideMark/>
          </w:tcPr>
          <w:p w14:paraId="62A86189" w14:textId="5A336D88" w:rsidR="007B61FD" w:rsidRPr="00B75955" w:rsidRDefault="00B251D7" w:rsidP="002F1866">
            <w:pPr>
              <w:keepNext/>
              <w:keepLines/>
              <w:jc w:val="right"/>
              <w:rPr>
                <w:b/>
                <w:sz w:val="20"/>
                <w:szCs w:val="20"/>
                <w:highlight w:val="yellow"/>
                <w:lang w:val="en-CA"/>
              </w:rPr>
            </w:pPr>
            <w:r w:rsidRPr="00B75955">
              <w:rPr>
                <w:b/>
                <w:sz w:val="20"/>
                <w:szCs w:val="20"/>
                <w:highlight w:val="yellow"/>
                <w:lang w:val="en-CA"/>
              </w:rPr>
              <w:t>1,465,635</w:t>
            </w:r>
            <w:r w:rsidR="00E14C6B" w:rsidRPr="00B75955">
              <w:rPr>
                <w:b/>
                <w:sz w:val="20"/>
                <w:szCs w:val="20"/>
                <w:highlight w:val="yellow"/>
                <w:vertAlign w:val="superscript"/>
                <w:lang w:val="en-CA"/>
              </w:rPr>
              <w:t>***</w:t>
            </w:r>
          </w:p>
        </w:tc>
        <w:tc>
          <w:tcPr>
            <w:tcW w:w="1767" w:type="dxa"/>
            <w:gridSpan w:val="2"/>
            <w:tcBorders>
              <w:top w:val="nil"/>
              <w:left w:val="nil"/>
              <w:bottom w:val="single" w:sz="4" w:space="0" w:color="auto"/>
              <w:right w:val="single" w:sz="4" w:space="0" w:color="auto"/>
            </w:tcBorders>
            <w:shd w:val="clear" w:color="auto" w:fill="auto"/>
            <w:vAlign w:val="center"/>
            <w:hideMark/>
          </w:tcPr>
          <w:p w14:paraId="70B2B4C9" w14:textId="08E8EF9D" w:rsidR="007B61FD" w:rsidRPr="00B75955" w:rsidRDefault="007B61FD" w:rsidP="002F1866">
            <w:pPr>
              <w:keepNext/>
              <w:keepLines/>
              <w:jc w:val="center"/>
              <w:rPr>
                <w:sz w:val="20"/>
                <w:szCs w:val="20"/>
                <w:lang w:val="en-CA"/>
              </w:rPr>
            </w:pPr>
            <w:r w:rsidRPr="00B75955">
              <w:rPr>
                <w:sz w:val="20"/>
                <w:szCs w:val="20"/>
                <w:lang w:val="en-CA"/>
              </w:rPr>
              <w:t>R-290</w:t>
            </w:r>
          </w:p>
        </w:tc>
        <w:tc>
          <w:tcPr>
            <w:tcW w:w="1767" w:type="dxa"/>
            <w:gridSpan w:val="2"/>
            <w:tcBorders>
              <w:top w:val="nil"/>
              <w:left w:val="nil"/>
              <w:bottom w:val="single" w:sz="4" w:space="0" w:color="auto"/>
              <w:right w:val="single" w:sz="4" w:space="0" w:color="auto"/>
            </w:tcBorders>
            <w:shd w:val="clear" w:color="auto" w:fill="auto"/>
            <w:noWrap/>
            <w:vAlign w:val="center"/>
            <w:hideMark/>
          </w:tcPr>
          <w:p w14:paraId="12CE7211" w14:textId="2BF5845B" w:rsidR="007B61FD" w:rsidRPr="00B75955" w:rsidRDefault="007B61FD" w:rsidP="002F1866">
            <w:pPr>
              <w:keepNext/>
              <w:keepLines/>
              <w:jc w:val="right"/>
              <w:rPr>
                <w:b/>
                <w:sz w:val="20"/>
                <w:szCs w:val="20"/>
                <w:highlight w:val="yellow"/>
                <w:lang w:val="en-CA"/>
              </w:rPr>
            </w:pPr>
            <w:r w:rsidRPr="00B75955">
              <w:rPr>
                <w:b/>
                <w:sz w:val="20"/>
                <w:szCs w:val="20"/>
                <w:highlight w:val="yellow"/>
                <w:lang w:val="en-CA"/>
              </w:rPr>
              <w:t>969,136</w:t>
            </w:r>
            <w:r w:rsidR="00E14C6B" w:rsidRPr="00B75955">
              <w:rPr>
                <w:b/>
                <w:sz w:val="20"/>
                <w:szCs w:val="20"/>
                <w:highlight w:val="yellow"/>
                <w:vertAlign w:val="superscript"/>
                <w:lang w:val="en-CA"/>
              </w:rPr>
              <w:t>***</w:t>
            </w:r>
          </w:p>
        </w:tc>
        <w:tc>
          <w:tcPr>
            <w:tcW w:w="1768" w:type="dxa"/>
            <w:gridSpan w:val="2"/>
            <w:tcBorders>
              <w:top w:val="nil"/>
              <w:left w:val="nil"/>
              <w:bottom w:val="single" w:sz="4" w:space="0" w:color="auto"/>
              <w:right w:val="single" w:sz="4" w:space="0" w:color="auto"/>
            </w:tcBorders>
            <w:shd w:val="clear" w:color="auto" w:fill="auto"/>
            <w:noWrap/>
            <w:vAlign w:val="bottom"/>
            <w:hideMark/>
          </w:tcPr>
          <w:p w14:paraId="14FAB126" w14:textId="77777777" w:rsidR="007B61FD" w:rsidRPr="00B75955" w:rsidRDefault="007B61FD" w:rsidP="002F1866">
            <w:pPr>
              <w:keepNext/>
              <w:keepLines/>
              <w:jc w:val="right"/>
              <w:rPr>
                <w:color w:val="000000"/>
                <w:sz w:val="20"/>
                <w:szCs w:val="20"/>
                <w:lang w:val="en-CA"/>
              </w:rPr>
            </w:pPr>
            <w:r w:rsidRPr="00B75955">
              <w:rPr>
                <w:color w:val="000000"/>
                <w:sz w:val="20"/>
                <w:szCs w:val="20"/>
                <w:lang w:val="en-CA"/>
              </w:rPr>
              <w:t>1</w:t>
            </w:r>
          </w:p>
        </w:tc>
      </w:tr>
      <w:tr w:rsidR="007B61FD" w:rsidRPr="00B75955" w14:paraId="581B04C9" w14:textId="77777777" w:rsidTr="00F35DE2">
        <w:trPr>
          <w:trHeight w:val="106"/>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7FE6910" w14:textId="77777777" w:rsidR="007B61FD" w:rsidRPr="00B75955" w:rsidRDefault="007B61FD" w:rsidP="002F1866">
            <w:pPr>
              <w:keepNext/>
              <w:keepLines/>
              <w:jc w:val="left"/>
              <w:rPr>
                <w:color w:val="000000"/>
                <w:sz w:val="20"/>
                <w:szCs w:val="20"/>
                <w:lang w:val="en-CA"/>
              </w:rPr>
            </w:pPr>
            <w:r w:rsidRPr="00B75955">
              <w:rPr>
                <w:color w:val="000000"/>
                <w:sz w:val="20"/>
                <w:szCs w:val="20"/>
                <w:lang w:val="en-CA"/>
              </w:rPr>
              <w:t xml:space="preserve">Xi'an </w:t>
            </w:r>
            <w:proofErr w:type="spellStart"/>
            <w:r w:rsidRPr="00B75955">
              <w:rPr>
                <w:color w:val="000000"/>
                <w:sz w:val="20"/>
                <w:szCs w:val="20"/>
                <w:lang w:val="en-CA"/>
              </w:rPr>
              <w:t>Qing'an</w:t>
            </w:r>
            <w:proofErr w:type="spellEnd"/>
          </w:p>
        </w:tc>
        <w:tc>
          <w:tcPr>
            <w:tcW w:w="1767" w:type="dxa"/>
            <w:tcBorders>
              <w:top w:val="nil"/>
              <w:left w:val="nil"/>
              <w:bottom w:val="single" w:sz="4" w:space="0" w:color="auto"/>
              <w:right w:val="single" w:sz="4" w:space="0" w:color="auto"/>
            </w:tcBorders>
            <w:shd w:val="clear" w:color="auto" w:fill="auto"/>
            <w:noWrap/>
            <w:vAlign w:val="center"/>
            <w:hideMark/>
          </w:tcPr>
          <w:p w14:paraId="06115838" w14:textId="77777777" w:rsidR="007B61FD" w:rsidRPr="00B75955" w:rsidRDefault="007B61FD" w:rsidP="002F1866">
            <w:pPr>
              <w:keepNext/>
              <w:keepLines/>
              <w:jc w:val="right"/>
              <w:rPr>
                <w:b/>
                <w:sz w:val="20"/>
                <w:szCs w:val="20"/>
                <w:highlight w:val="yellow"/>
                <w:lang w:val="en-CA"/>
              </w:rPr>
            </w:pPr>
            <w:r w:rsidRPr="00B75955">
              <w:rPr>
                <w:b/>
                <w:sz w:val="20"/>
                <w:szCs w:val="20"/>
                <w:highlight w:val="yellow"/>
                <w:lang w:val="en-CA"/>
              </w:rPr>
              <w:t>1,682,250</w:t>
            </w:r>
          </w:p>
        </w:tc>
        <w:tc>
          <w:tcPr>
            <w:tcW w:w="1767" w:type="dxa"/>
            <w:gridSpan w:val="2"/>
            <w:tcBorders>
              <w:top w:val="nil"/>
              <w:left w:val="nil"/>
              <w:bottom w:val="single" w:sz="4" w:space="0" w:color="auto"/>
              <w:right w:val="single" w:sz="4" w:space="0" w:color="auto"/>
            </w:tcBorders>
            <w:shd w:val="clear" w:color="auto" w:fill="auto"/>
            <w:vAlign w:val="center"/>
            <w:hideMark/>
          </w:tcPr>
          <w:p w14:paraId="627201CE" w14:textId="6B3D16BA" w:rsidR="007B61FD" w:rsidRPr="00B75955" w:rsidRDefault="007B61FD" w:rsidP="002F1866">
            <w:pPr>
              <w:keepNext/>
              <w:keepLines/>
              <w:jc w:val="center"/>
              <w:rPr>
                <w:sz w:val="20"/>
                <w:szCs w:val="20"/>
                <w:lang w:val="en-CA"/>
              </w:rPr>
            </w:pPr>
            <w:r w:rsidRPr="00B75955">
              <w:rPr>
                <w:sz w:val="20"/>
                <w:szCs w:val="20"/>
                <w:lang w:val="en-CA"/>
              </w:rPr>
              <w:t>R-290</w:t>
            </w:r>
          </w:p>
        </w:tc>
        <w:tc>
          <w:tcPr>
            <w:tcW w:w="1767" w:type="dxa"/>
            <w:gridSpan w:val="2"/>
            <w:tcBorders>
              <w:top w:val="nil"/>
              <w:left w:val="nil"/>
              <w:bottom w:val="single" w:sz="4" w:space="0" w:color="auto"/>
              <w:right w:val="single" w:sz="4" w:space="0" w:color="auto"/>
            </w:tcBorders>
            <w:shd w:val="clear" w:color="auto" w:fill="auto"/>
            <w:noWrap/>
            <w:vAlign w:val="center"/>
            <w:hideMark/>
          </w:tcPr>
          <w:p w14:paraId="4ABC3525" w14:textId="77777777" w:rsidR="007B61FD" w:rsidRPr="00B75955" w:rsidRDefault="007B61FD" w:rsidP="002F1866">
            <w:pPr>
              <w:keepNext/>
              <w:keepLines/>
              <w:jc w:val="right"/>
              <w:rPr>
                <w:b/>
                <w:sz w:val="20"/>
                <w:szCs w:val="20"/>
                <w:highlight w:val="yellow"/>
                <w:lang w:val="en-CA"/>
              </w:rPr>
            </w:pPr>
            <w:r w:rsidRPr="00B75955">
              <w:rPr>
                <w:b/>
                <w:sz w:val="20"/>
                <w:szCs w:val="20"/>
                <w:highlight w:val="yellow"/>
                <w:lang w:val="en-CA"/>
              </w:rPr>
              <w:t>1,744,895</w:t>
            </w:r>
          </w:p>
        </w:tc>
        <w:tc>
          <w:tcPr>
            <w:tcW w:w="1768" w:type="dxa"/>
            <w:gridSpan w:val="2"/>
            <w:tcBorders>
              <w:top w:val="nil"/>
              <w:left w:val="nil"/>
              <w:bottom w:val="single" w:sz="4" w:space="0" w:color="auto"/>
              <w:right w:val="single" w:sz="4" w:space="0" w:color="auto"/>
            </w:tcBorders>
            <w:shd w:val="clear" w:color="auto" w:fill="auto"/>
            <w:noWrap/>
            <w:vAlign w:val="bottom"/>
            <w:hideMark/>
          </w:tcPr>
          <w:p w14:paraId="314FA934" w14:textId="77777777" w:rsidR="007B61FD" w:rsidRPr="00B75955" w:rsidRDefault="007B61FD" w:rsidP="002F1866">
            <w:pPr>
              <w:keepNext/>
              <w:keepLines/>
              <w:jc w:val="right"/>
              <w:rPr>
                <w:b/>
                <w:color w:val="000000"/>
                <w:sz w:val="20"/>
                <w:szCs w:val="20"/>
                <w:highlight w:val="yellow"/>
                <w:lang w:val="en-CA"/>
              </w:rPr>
            </w:pPr>
            <w:r w:rsidRPr="00B75955">
              <w:rPr>
                <w:b/>
                <w:color w:val="000000"/>
                <w:sz w:val="20"/>
                <w:szCs w:val="20"/>
                <w:highlight w:val="yellow"/>
                <w:lang w:val="en-CA"/>
              </w:rPr>
              <w:t>1</w:t>
            </w:r>
          </w:p>
        </w:tc>
      </w:tr>
      <w:tr w:rsidR="007B61FD" w:rsidRPr="00B75955" w14:paraId="71B93517" w14:textId="77777777" w:rsidTr="00F35DE2">
        <w:trPr>
          <w:trHeight w:val="153"/>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F936525" w14:textId="77777777" w:rsidR="007B61FD" w:rsidRPr="00B75955" w:rsidRDefault="007B61FD" w:rsidP="002F1866">
            <w:pPr>
              <w:keepNext/>
              <w:keepLines/>
              <w:jc w:val="left"/>
              <w:rPr>
                <w:color w:val="000000"/>
                <w:sz w:val="20"/>
                <w:szCs w:val="20"/>
                <w:lang w:val="en-CA"/>
              </w:rPr>
            </w:pPr>
            <w:r w:rsidRPr="00B75955">
              <w:rPr>
                <w:color w:val="000000"/>
                <w:sz w:val="20"/>
                <w:szCs w:val="20"/>
                <w:lang w:val="en-CA"/>
              </w:rPr>
              <w:t>Shanghai Highly</w:t>
            </w:r>
          </w:p>
        </w:tc>
        <w:tc>
          <w:tcPr>
            <w:tcW w:w="1767" w:type="dxa"/>
            <w:tcBorders>
              <w:top w:val="nil"/>
              <w:left w:val="nil"/>
              <w:bottom w:val="single" w:sz="4" w:space="0" w:color="auto"/>
              <w:right w:val="single" w:sz="4" w:space="0" w:color="auto"/>
            </w:tcBorders>
            <w:shd w:val="clear" w:color="auto" w:fill="auto"/>
            <w:noWrap/>
            <w:vAlign w:val="center"/>
            <w:hideMark/>
          </w:tcPr>
          <w:p w14:paraId="749BF2E9" w14:textId="77777777" w:rsidR="007B61FD" w:rsidRPr="00B75955" w:rsidRDefault="007B61FD" w:rsidP="002F1866">
            <w:pPr>
              <w:keepNext/>
              <w:keepLines/>
              <w:jc w:val="right"/>
              <w:rPr>
                <w:b/>
                <w:sz w:val="20"/>
                <w:szCs w:val="20"/>
                <w:highlight w:val="yellow"/>
                <w:lang w:val="en-CA"/>
              </w:rPr>
            </w:pPr>
            <w:r w:rsidRPr="00B75955">
              <w:rPr>
                <w:b/>
                <w:sz w:val="20"/>
                <w:szCs w:val="20"/>
                <w:highlight w:val="yellow"/>
                <w:lang w:val="en-CA"/>
              </w:rPr>
              <w:t>891,288</w:t>
            </w:r>
          </w:p>
        </w:tc>
        <w:tc>
          <w:tcPr>
            <w:tcW w:w="1767" w:type="dxa"/>
            <w:gridSpan w:val="2"/>
            <w:tcBorders>
              <w:top w:val="nil"/>
              <w:left w:val="nil"/>
              <w:bottom w:val="single" w:sz="4" w:space="0" w:color="auto"/>
              <w:right w:val="single" w:sz="4" w:space="0" w:color="auto"/>
            </w:tcBorders>
            <w:shd w:val="clear" w:color="auto" w:fill="auto"/>
            <w:vAlign w:val="center"/>
            <w:hideMark/>
          </w:tcPr>
          <w:p w14:paraId="1DC2D6DF" w14:textId="219DC7DC" w:rsidR="007B61FD" w:rsidRPr="00B75955" w:rsidRDefault="007B61FD" w:rsidP="002F1866">
            <w:pPr>
              <w:keepNext/>
              <w:keepLines/>
              <w:jc w:val="center"/>
              <w:rPr>
                <w:sz w:val="20"/>
                <w:szCs w:val="20"/>
                <w:lang w:val="en-CA"/>
              </w:rPr>
            </w:pPr>
            <w:r w:rsidRPr="00B75955">
              <w:rPr>
                <w:sz w:val="20"/>
                <w:szCs w:val="20"/>
                <w:lang w:val="en-CA"/>
              </w:rPr>
              <w:t>R-290</w:t>
            </w:r>
          </w:p>
        </w:tc>
        <w:tc>
          <w:tcPr>
            <w:tcW w:w="1767" w:type="dxa"/>
            <w:gridSpan w:val="2"/>
            <w:tcBorders>
              <w:top w:val="nil"/>
              <w:left w:val="nil"/>
              <w:bottom w:val="single" w:sz="4" w:space="0" w:color="auto"/>
              <w:right w:val="single" w:sz="4" w:space="0" w:color="auto"/>
            </w:tcBorders>
            <w:shd w:val="clear" w:color="auto" w:fill="auto"/>
            <w:noWrap/>
            <w:vAlign w:val="center"/>
            <w:hideMark/>
          </w:tcPr>
          <w:p w14:paraId="56B9F729" w14:textId="77777777" w:rsidR="007B61FD" w:rsidRPr="00B75955" w:rsidRDefault="007B61FD" w:rsidP="002F1866">
            <w:pPr>
              <w:keepNext/>
              <w:keepLines/>
              <w:jc w:val="right"/>
              <w:rPr>
                <w:b/>
                <w:sz w:val="20"/>
                <w:szCs w:val="20"/>
                <w:highlight w:val="yellow"/>
                <w:lang w:val="en-CA"/>
              </w:rPr>
            </w:pPr>
            <w:r w:rsidRPr="00B75955">
              <w:rPr>
                <w:b/>
                <w:sz w:val="20"/>
                <w:szCs w:val="20"/>
                <w:highlight w:val="yellow"/>
                <w:lang w:val="en-CA"/>
              </w:rPr>
              <w:t>924,479</w:t>
            </w:r>
          </w:p>
        </w:tc>
        <w:tc>
          <w:tcPr>
            <w:tcW w:w="1768" w:type="dxa"/>
            <w:gridSpan w:val="2"/>
            <w:tcBorders>
              <w:top w:val="nil"/>
              <w:left w:val="nil"/>
              <w:bottom w:val="single" w:sz="4" w:space="0" w:color="auto"/>
              <w:right w:val="single" w:sz="4" w:space="0" w:color="auto"/>
            </w:tcBorders>
            <w:shd w:val="clear" w:color="auto" w:fill="auto"/>
            <w:noWrap/>
            <w:vAlign w:val="bottom"/>
            <w:hideMark/>
          </w:tcPr>
          <w:p w14:paraId="374BCB0B" w14:textId="77777777" w:rsidR="007B61FD" w:rsidRPr="00B75955" w:rsidRDefault="007B61FD" w:rsidP="002F1866">
            <w:pPr>
              <w:keepNext/>
              <w:keepLines/>
              <w:jc w:val="right"/>
              <w:rPr>
                <w:b/>
                <w:color w:val="000000"/>
                <w:sz w:val="20"/>
                <w:szCs w:val="20"/>
                <w:highlight w:val="yellow"/>
                <w:lang w:val="en-CA"/>
              </w:rPr>
            </w:pPr>
            <w:r w:rsidRPr="00B75955">
              <w:rPr>
                <w:b/>
                <w:color w:val="000000"/>
                <w:sz w:val="20"/>
                <w:szCs w:val="20"/>
                <w:highlight w:val="yellow"/>
                <w:lang w:val="en-CA"/>
              </w:rPr>
              <w:t>1</w:t>
            </w:r>
          </w:p>
        </w:tc>
      </w:tr>
      <w:tr w:rsidR="007B61FD" w:rsidRPr="00B75955" w14:paraId="73931B1C" w14:textId="77777777" w:rsidTr="00F35DE2">
        <w:trPr>
          <w:trHeight w:val="198"/>
        </w:trPr>
        <w:tc>
          <w:tcPr>
            <w:tcW w:w="92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36BA39" w14:textId="77777777" w:rsidR="007B61FD" w:rsidRPr="00B75955" w:rsidRDefault="007B61FD" w:rsidP="00D0473B">
            <w:pPr>
              <w:keepNext/>
              <w:keepLines/>
              <w:jc w:val="center"/>
              <w:rPr>
                <w:b/>
                <w:bCs/>
                <w:color w:val="000000"/>
                <w:sz w:val="20"/>
                <w:szCs w:val="20"/>
                <w:lang w:val="en-CA"/>
              </w:rPr>
            </w:pPr>
            <w:r w:rsidRPr="00B75955">
              <w:rPr>
                <w:b/>
                <w:bCs/>
                <w:color w:val="000000"/>
                <w:sz w:val="20"/>
                <w:szCs w:val="20"/>
                <w:lang w:val="en-CA"/>
              </w:rPr>
              <w:t>RAC and HPWH</w:t>
            </w:r>
          </w:p>
        </w:tc>
      </w:tr>
      <w:tr w:rsidR="007B61FD" w:rsidRPr="00B75955" w14:paraId="22A06FFF" w14:textId="77777777" w:rsidTr="00F35DE2">
        <w:trPr>
          <w:trHeight w:val="24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D83EB6B" w14:textId="77777777" w:rsidR="007B61FD" w:rsidRPr="00B75955" w:rsidRDefault="007B61FD" w:rsidP="00D0473B">
            <w:pPr>
              <w:keepNext/>
              <w:keepLines/>
              <w:jc w:val="center"/>
              <w:rPr>
                <w:b/>
                <w:bCs/>
                <w:color w:val="000000"/>
                <w:sz w:val="20"/>
                <w:szCs w:val="20"/>
                <w:lang w:val="en-CA"/>
              </w:rPr>
            </w:pPr>
            <w:r w:rsidRPr="00B75955">
              <w:rPr>
                <w:b/>
                <w:bCs/>
                <w:color w:val="000000"/>
                <w:sz w:val="20"/>
                <w:szCs w:val="20"/>
                <w:lang w:val="en-CA"/>
              </w:rPr>
              <w:t>Name</w:t>
            </w:r>
          </w:p>
        </w:tc>
        <w:tc>
          <w:tcPr>
            <w:tcW w:w="1767" w:type="dxa"/>
            <w:tcBorders>
              <w:top w:val="nil"/>
              <w:left w:val="nil"/>
              <w:bottom w:val="single" w:sz="4" w:space="0" w:color="auto"/>
              <w:right w:val="single" w:sz="4" w:space="0" w:color="auto"/>
            </w:tcBorders>
            <w:shd w:val="clear" w:color="auto" w:fill="auto"/>
            <w:vAlign w:val="center"/>
            <w:hideMark/>
          </w:tcPr>
          <w:p w14:paraId="78EB5796" w14:textId="30591CCC" w:rsidR="007B61FD" w:rsidRPr="00B75955" w:rsidRDefault="007B61FD" w:rsidP="00D0473B">
            <w:pPr>
              <w:keepNext/>
              <w:keepLines/>
              <w:jc w:val="center"/>
              <w:rPr>
                <w:b/>
                <w:bCs/>
                <w:sz w:val="20"/>
                <w:szCs w:val="20"/>
                <w:lang w:val="en-CA"/>
              </w:rPr>
            </w:pPr>
            <w:r w:rsidRPr="00B75955">
              <w:rPr>
                <w:b/>
                <w:bCs/>
                <w:sz w:val="20"/>
                <w:szCs w:val="20"/>
                <w:lang w:val="en-CA"/>
              </w:rPr>
              <w:t>HCFC-22 (</w:t>
            </w:r>
            <w:proofErr w:type="spellStart"/>
            <w:r w:rsidR="008B050C" w:rsidRPr="00B75955">
              <w:rPr>
                <w:b/>
                <w:bCs/>
                <w:sz w:val="20"/>
                <w:szCs w:val="20"/>
                <w:lang w:val="en-CA"/>
              </w:rPr>
              <w:t>mt</w:t>
            </w:r>
            <w:proofErr w:type="spellEnd"/>
            <w:r w:rsidRPr="00B75955">
              <w:rPr>
                <w:b/>
                <w:bCs/>
                <w:sz w:val="20"/>
                <w:szCs w:val="20"/>
                <w:lang w:val="en-CA"/>
              </w:rPr>
              <w:t>)*</w:t>
            </w:r>
          </w:p>
        </w:tc>
        <w:tc>
          <w:tcPr>
            <w:tcW w:w="1767" w:type="dxa"/>
            <w:gridSpan w:val="2"/>
            <w:tcBorders>
              <w:top w:val="nil"/>
              <w:left w:val="nil"/>
              <w:bottom w:val="single" w:sz="4" w:space="0" w:color="auto"/>
              <w:right w:val="single" w:sz="4" w:space="0" w:color="auto"/>
            </w:tcBorders>
            <w:shd w:val="clear" w:color="auto" w:fill="auto"/>
            <w:vAlign w:val="center"/>
            <w:hideMark/>
          </w:tcPr>
          <w:p w14:paraId="778C0F19" w14:textId="2678EB66" w:rsidR="007B61FD" w:rsidRPr="00B75955" w:rsidRDefault="005478B3" w:rsidP="00D0473B">
            <w:pPr>
              <w:keepNext/>
              <w:keepLines/>
              <w:jc w:val="center"/>
              <w:rPr>
                <w:b/>
                <w:bCs/>
                <w:color w:val="000000"/>
                <w:sz w:val="20"/>
                <w:szCs w:val="20"/>
                <w:lang w:val="en-CA"/>
              </w:rPr>
            </w:pPr>
            <w:r w:rsidRPr="00B75955">
              <w:rPr>
                <w:b/>
                <w:bCs/>
                <w:color w:val="000000"/>
                <w:sz w:val="20"/>
                <w:szCs w:val="20"/>
                <w:lang w:val="en-CA"/>
              </w:rPr>
              <w:t>Technology</w:t>
            </w:r>
          </w:p>
        </w:tc>
        <w:tc>
          <w:tcPr>
            <w:tcW w:w="1767" w:type="dxa"/>
            <w:gridSpan w:val="2"/>
            <w:tcBorders>
              <w:top w:val="nil"/>
              <w:left w:val="nil"/>
              <w:bottom w:val="single" w:sz="4" w:space="0" w:color="auto"/>
              <w:right w:val="single" w:sz="4" w:space="0" w:color="auto"/>
            </w:tcBorders>
            <w:shd w:val="clear" w:color="auto" w:fill="auto"/>
            <w:vAlign w:val="center"/>
            <w:hideMark/>
          </w:tcPr>
          <w:p w14:paraId="532C2ACA" w14:textId="10627AD6" w:rsidR="007B61FD" w:rsidRPr="00B75955" w:rsidRDefault="007B61FD" w:rsidP="00D0473B">
            <w:pPr>
              <w:keepNext/>
              <w:keepLines/>
              <w:jc w:val="center"/>
              <w:rPr>
                <w:b/>
                <w:bCs/>
                <w:sz w:val="20"/>
                <w:szCs w:val="20"/>
                <w:lang w:val="en-CA"/>
              </w:rPr>
            </w:pPr>
            <w:r w:rsidRPr="00B75955">
              <w:rPr>
                <w:b/>
                <w:bCs/>
                <w:sz w:val="20"/>
                <w:szCs w:val="20"/>
                <w:lang w:val="en-CA"/>
              </w:rPr>
              <w:t>Estimated ICC(US</w:t>
            </w:r>
            <w:r w:rsidR="005A5297" w:rsidRPr="00B75955">
              <w:rPr>
                <w:b/>
                <w:bCs/>
                <w:sz w:val="20"/>
                <w:szCs w:val="20"/>
                <w:lang w:val="en-CA"/>
              </w:rPr>
              <w:t> </w:t>
            </w:r>
            <w:r w:rsidRPr="00B75955">
              <w:rPr>
                <w:b/>
                <w:bCs/>
                <w:sz w:val="20"/>
                <w:szCs w:val="20"/>
                <w:lang w:val="en-CA"/>
              </w:rPr>
              <w:t>$)*</w:t>
            </w:r>
          </w:p>
        </w:tc>
        <w:tc>
          <w:tcPr>
            <w:tcW w:w="1768" w:type="dxa"/>
            <w:gridSpan w:val="2"/>
            <w:tcBorders>
              <w:top w:val="nil"/>
              <w:left w:val="nil"/>
              <w:bottom w:val="single" w:sz="4" w:space="0" w:color="auto"/>
              <w:right w:val="single" w:sz="4" w:space="0" w:color="auto"/>
            </w:tcBorders>
            <w:shd w:val="clear" w:color="auto" w:fill="auto"/>
            <w:vAlign w:val="center"/>
            <w:hideMark/>
          </w:tcPr>
          <w:p w14:paraId="60727932" w14:textId="77777777" w:rsidR="007B61FD" w:rsidRPr="00B75955" w:rsidRDefault="007B61FD" w:rsidP="00D0473B">
            <w:pPr>
              <w:keepNext/>
              <w:keepLines/>
              <w:jc w:val="center"/>
              <w:rPr>
                <w:b/>
                <w:bCs/>
                <w:sz w:val="20"/>
                <w:szCs w:val="20"/>
                <w:lang w:val="en-CA"/>
              </w:rPr>
            </w:pPr>
            <w:r w:rsidRPr="00B75955">
              <w:rPr>
                <w:b/>
                <w:bCs/>
                <w:sz w:val="20"/>
                <w:szCs w:val="20"/>
                <w:lang w:val="en-CA"/>
              </w:rPr>
              <w:t>Tranche</w:t>
            </w:r>
          </w:p>
        </w:tc>
      </w:tr>
      <w:tr w:rsidR="007B61FD" w:rsidRPr="00B75955" w14:paraId="23DD5DC6" w14:textId="77777777" w:rsidTr="00F35DE2">
        <w:trPr>
          <w:trHeight w:val="194"/>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FF554A3" w14:textId="77777777" w:rsidR="007B61FD" w:rsidRPr="00B75955" w:rsidRDefault="007B61FD" w:rsidP="007B61FD">
            <w:pPr>
              <w:jc w:val="left"/>
              <w:rPr>
                <w:color w:val="000000"/>
                <w:sz w:val="20"/>
                <w:szCs w:val="20"/>
                <w:lang w:val="en-CA"/>
              </w:rPr>
            </w:pPr>
            <w:r w:rsidRPr="00B75955">
              <w:rPr>
                <w:color w:val="000000"/>
                <w:sz w:val="20"/>
                <w:szCs w:val="20"/>
                <w:lang w:val="en-CA"/>
              </w:rPr>
              <w:t>Hisense Shandong</w:t>
            </w:r>
          </w:p>
        </w:tc>
        <w:tc>
          <w:tcPr>
            <w:tcW w:w="1767" w:type="dxa"/>
            <w:tcBorders>
              <w:top w:val="nil"/>
              <w:left w:val="nil"/>
              <w:bottom w:val="single" w:sz="4" w:space="0" w:color="auto"/>
              <w:right w:val="single" w:sz="4" w:space="0" w:color="auto"/>
            </w:tcBorders>
            <w:shd w:val="clear" w:color="auto" w:fill="auto"/>
            <w:noWrap/>
            <w:vAlign w:val="center"/>
            <w:hideMark/>
          </w:tcPr>
          <w:p w14:paraId="01BCEA9A" w14:textId="77777777" w:rsidR="007B61FD" w:rsidRPr="00B75955" w:rsidRDefault="007B61FD" w:rsidP="007B61FD">
            <w:pPr>
              <w:jc w:val="right"/>
              <w:rPr>
                <w:color w:val="000000"/>
                <w:sz w:val="20"/>
                <w:szCs w:val="20"/>
                <w:lang w:val="en-CA"/>
              </w:rPr>
            </w:pPr>
            <w:r w:rsidRPr="00B75955">
              <w:rPr>
                <w:color w:val="000000"/>
                <w:sz w:val="20"/>
                <w:szCs w:val="20"/>
                <w:lang w:val="en-CA"/>
              </w:rPr>
              <w:t>47.3</w:t>
            </w:r>
          </w:p>
        </w:tc>
        <w:tc>
          <w:tcPr>
            <w:tcW w:w="1767" w:type="dxa"/>
            <w:gridSpan w:val="2"/>
            <w:tcBorders>
              <w:top w:val="nil"/>
              <w:left w:val="nil"/>
              <w:bottom w:val="single" w:sz="4" w:space="0" w:color="auto"/>
              <w:right w:val="single" w:sz="4" w:space="0" w:color="auto"/>
            </w:tcBorders>
            <w:shd w:val="clear" w:color="auto" w:fill="auto"/>
            <w:noWrap/>
            <w:vAlign w:val="center"/>
            <w:hideMark/>
          </w:tcPr>
          <w:p w14:paraId="4780D350" w14:textId="5AE31A23" w:rsidR="007B61FD" w:rsidRPr="00B75955" w:rsidRDefault="007B61FD" w:rsidP="00F6179B">
            <w:pPr>
              <w:jc w:val="center"/>
              <w:rPr>
                <w:color w:val="000000"/>
                <w:sz w:val="20"/>
                <w:szCs w:val="20"/>
                <w:lang w:val="en-CA"/>
              </w:rPr>
            </w:pPr>
            <w:r w:rsidRPr="00B75955">
              <w:rPr>
                <w:color w:val="000000"/>
                <w:sz w:val="20"/>
                <w:szCs w:val="20"/>
                <w:lang w:val="en-CA"/>
              </w:rPr>
              <w:t xml:space="preserve">R-290 </w:t>
            </w:r>
          </w:p>
        </w:tc>
        <w:tc>
          <w:tcPr>
            <w:tcW w:w="1767" w:type="dxa"/>
            <w:gridSpan w:val="2"/>
            <w:tcBorders>
              <w:top w:val="nil"/>
              <w:left w:val="nil"/>
              <w:bottom w:val="single" w:sz="4" w:space="0" w:color="auto"/>
              <w:right w:val="single" w:sz="4" w:space="0" w:color="auto"/>
            </w:tcBorders>
            <w:shd w:val="clear" w:color="auto" w:fill="auto"/>
            <w:vAlign w:val="center"/>
            <w:hideMark/>
          </w:tcPr>
          <w:p w14:paraId="343774D7" w14:textId="77777777" w:rsidR="007B61FD" w:rsidRPr="00B75955" w:rsidRDefault="007B61FD" w:rsidP="007B61FD">
            <w:pPr>
              <w:jc w:val="center"/>
              <w:rPr>
                <w:color w:val="000000"/>
                <w:sz w:val="20"/>
                <w:szCs w:val="20"/>
                <w:lang w:val="en-CA"/>
              </w:rPr>
            </w:pPr>
            <w:r w:rsidRPr="00B75955">
              <w:rPr>
                <w:color w:val="000000"/>
                <w:sz w:val="20"/>
                <w:szCs w:val="20"/>
                <w:lang w:val="en-CA"/>
              </w:rPr>
              <w:t>1,340,805</w:t>
            </w:r>
          </w:p>
        </w:tc>
        <w:tc>
          <w:tcPr>
            <w:tcW w:w="1768" w:type="dxa"/>
            <w:gridSpan w:val="2"/>
            <w:tcBorders>
              <w:top w:val="nil"/>
              <w:left w:val="nil"/>
              <w:bottom w:val="single" w:sz="4" w:space="0" w:color="auto"/>
              <w:right w:val="single" w:sz="4" w:space="0" w:color="auto"/>
            </w:tcBorders>
            <w:shd w:val="clear" w:color="auto" w:fill="auto"/>
            <w:noWrap/>
            <w:vAlign w:val="center"/>
            <w:hideMark/>
          </w:tcPr>
          <w:p w14:paraId="4E8A1F3E" w14:textId="77777777" w:rsidR="007B61FD" w:rsidRPr="00B75955" w:rsidRDefault="007B61FD" w:rsidP="007B61FD">
            <w:pPr>
              <w:jc w:val="center"/>
              <w:rPr>
                <w:color w:val="000000"/>
                <w:sz w:val="20"/>
                <w:szCs w:val="20"/>
                <w:lang w:val="en-CA"/>
              </w:rPr>
            </w:pPr>
            <w:r w:rsidRPr="00B75955">
              <w:rPr>
                <w:color w:val="000000"/>
                <w:sz w:val="20"/>
                <w:szCs w:val="20"/>
                <w:lang w:val="en-CA"/>
              </w:rPr>
              <w:t>2 or 3</w:t>
            </w:r>
          </w:p>
        </w:tc>
      </w:tr>
      <w:tr w:rsidR="007B61FD" w:rsidRPr="00B75955" w14:paraId="58AAECD5" w14:textId="77777777" w:rsidTr="00F35DE2">
        <w:trPr>
          <w:trHeight w:val="99"/>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E633D02" w14:textId="77777777" w:rsidR="007B61FD" w:rsidRPr="00B75955" w:rsidRDefault="007B61FD" w:rsidP="007B61FD">
            <w:pPr>
              <w:jc w:val="left"/>
              <w:rPr>
                <w:color w:val="000000"/>
                <w:sz w:val="20"/>
                <w:szCs w:val="20"/>
                <w:lang w:val="en-CA"/>
              </w:rPr>
            </w:pPr>
            <w:r w:rsidRPr="00B75955">
              <w:rPr>
                <w:color w:val="000000"/>
                <w:sz w:val="20"/>
                <w:szCs w:val="20"/>
                <w:lang w:val="en-CA"/>
              </w:rPr>
              <w:t>Hisense Zhejiang</w:t>
            </w:r>
          </w:p>
        </w:tc>
        <w:tc>
          <w:tcPr>
            <w:tcW w:w="1767" w:type="dxa"/>
            <w:tcBorders>
              <w:top w:val="nil"/>
              <w:left w:val="nil"/>
              <w:bottom w:val="single" w:sz="4" w:space="0" w:color="auto"/>
              <w:right w:val="single" w:sz="4" w:space="0" w:color="auto"/>
            </w:tcBorders>
            <w:shd w:val="clear" w:color="auto" w:fill="auto"/>
            <w:noWrap/>
            <w:vAlign w:val="center"/>
            <w:hideMark/>
          </w:tcPr>
          <w:p w14:paraId="40286BE4" w14:textId="77777777" w:rsidR="007B61FD" w:rsidRPr="00B75955" w:rsidRDefault="007B61FD" w:rsidP="007B61FD">
            <w:pPr>
              <w:jc w:val="right"/>
              <w:rPr>
                <w:color w:val="000000"/>
                <w:sz w:val="20"/>
                <w:szCs w:val="20"/>
                <w:lang w:val="en-CA"/>
              </w:rPr>
            </w:pPr>
            <w:r w:rsidRPr="00B75955">
              <w:rPr>
                <w:color w:val="000000"/>
                <w:sz w:val="20"/>
                <w:szCs w:val="20"/>
                <w:lang w:val="en-CA"/>
              </w:rPr>
              <w:t>175</w:t>
            </w:r>
          </w:p>
        </w:tc>
        <w:tc>
          <w:tcPr>
            <w:tcW w:w="1767" w:type="dxa"/>
            <w:gridSpan w:val="2"/>
            <w:tcBorders>
              <w:top w:val="nil"/>
              <w:left w:val="nil"/>
              <w:bottom w:val="single" w:sz="4" w:space="0" w:color="auto"/>
              <w:right w:val="single" w:sz="4" w:space="0" w:color="auto"/>
            </w:tcBorders>
            <w:shd w:val="clear" w:color="auto" w:fill="auto"/>
            <w:noWrap/>
            <w:vAlign w:val="center"/>
            <w:hideMark/>
          </w:tcPr>
          <w:p w14:paraId="69BFCE89" w14:textId="77A413BC" w:rsidR="007B61FD" w:rsidRPr="00B75955" w:rsidRDefault="007B61FD" w:rsidP="00F6179B">
            <w:pPr>
              <w:jc w:val="center"/>
              <w:rPr>
                <w:color w:val="000000"/>
                <w:sz w:val="20"/>
                <w:szCs w:val="20"/>
                <w:lang w:val="en-CA"/>
              </w:rPr>
            </w:pPr>
            <w:r w:rsidRPr="00B75955">
              <w:rPr>
                <w:color w:val="000000"/>
                <w:sz w:val="20"/>
                <w:szCs w:val="20"/>
                <w:lang w:val="en-CA"/>
              </w:rPr>
              <w:t xml:space="preserve">R-290 </w:t>
            </w:r>
          </w:p>
        </w:tc>
        <w:tc>
          <w:tcPr>
            <w:tcW w:w="1767" w:type="dxa"/>
            <w:gridSpan w:val="2"/>
            <w:tcBorders>
              <w:top w:val="nil"/>
              <w:left w:val="nil"/>
              <w:bottom w:val="single" w:sz="4" w:space="0" w:color="auto"/>
              <w:right w:val="single" w:sz="4" w:space="0" w:color="auto"/>
            </w:tcBorders>
            <w:shd w:val="clear" w:color="auto" w:fill="auto"/>
            <w:vAlign w:val="center"/>
            <w:hideMark/>
          </w:tcPr>
          <w:p w14:paraId="7E634D42" w14:textId="77777777" w:rsidR="007B61FD" w:rsidRPr="00B75955" w:rsidRDefault="007B61FD" w:rsidP="007B61FD">
            <w:pPr>
              <w:jc w:val="center"/>
              <w:rPr>
                <w:color w:val="000000"/>
                <w:sz w:val="20"/>
                <w:szCs w:val="20"/>
                <w:lang w:val="en-CA"/>
              </w:rPr>
            </w:pPr>
            <w:r w:rsidRPr="00B75955">
              <w:rPr>
                <w:color w:val="000000"/>
                <w:sz w:val="20"/>
                <w:szCs w:val="20"/>
                <w:lang w:val="en-CA"/>
              </w:rPr>
              <w:t>1,340,805</w:t>
            </w:r>
          </w:p>
        </w:tc>
        <w:tc>
          <w:tcPr>
            <w:tcW w:w="1768" w:type="dxa"/>
            <w:gridSpan w:val="2"/>
            <w:tcBorders>
              <w:top w:val="nil"/>
              <w:left w:val="nil"/>
              <w:bottom w:val="single" w:sz="4" w:space="0" w:color="auto"/>
              <w:right w:val="single" w:sz="4" w:space="0" w:color="auto"/>
            </w:tcBorders>
            <w:shd w:val="clear" w:color="auto" w:fill="auto"/>
            <w:noWrap/>
            <w:vAlign w:val="center"/>
            <w:hideMark/>
          </w:tcPr>
          <w:p w14:paraId="4297E7F8" w14:textId="77777777" w:rsidR="007B61FD" w:rsidRPr="00B75955" w:rsidRDefault="007B61FD" w:rsidP="007B61FD">
            <w:pPr>
              <w:jc w:val="center"/>
              <w:rPr>
                <w:color w:val="000000"/>
                <w:sz w:val="20"/>
                <w:szCs w:val="20"/>
                <w:lang w:val="en-CA"/>
              </w:rPr>
            </w:pPr>
            <w:r w:rsidRPr="00B75955">
              <w:rPr>
                <w:color w:val="000000"/>
                <w:sz w:val="20"/>
                <w:szCs w:val="20"/>
                <w:lang w:val="en-CA"/>
              </w:rPr>
              <w:t>2 or 3</w:t>
            </w:r>
          </w:p>
        </w:tc>
      </w:tr>
      <w:tr w:rsidR="007B61FD" w:rsidRPr="00B75955" w14:paraId="568C8942" w14:textId="77777777" w:rsidTr="00F35DE2">
        <w:trPr>
          <w:trHeight w:val="144"/>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04C9C1E" w14:textId="77777777" w:rsidR="007B61FD" w:rsidRPr="00B75955" w:rsidRDefault="007B61FD" w:rsidP="007B61FD">
            <w:pPr>
              <w:jc w:val="left"/>
              <w:rPr>
                <w:color w:val="000000"/>
                <w:sz w:val="20"/>
                <w:szCs w:val="20"/>
                <w:lang w:val="en-CA"/>
              </w:rPr>
            </w:pPr>
            <w:r w:rsidRPr="00B75955">
              <w:rPr>
                <w:color w:val="000000"/>
                <w:sz w:val="20"/>
                <w:szCs w:val="20"/>
                <w:lang w:val="en-CA"/>
              </w:rPr>
              <w:t xml:space="preserve">Foshan </w:t>
            </w:r>
            <w:proofErr w:type="spellStart"/>
            <w:r w:rsidRPr="00B75955">
              <w:rPr>
                <w:color w:val="000000"/>
                <w:sz w:val="20"/>
                <w:szCs w:val="20"/>
                <w:lang w:val="en-CA"/>
              </w:rPr>
              <w:t>Baiyide</w:t>
            </w:r>
            <w:proofErr w:type="spellEnd"/>
          </w:p>
        </w:tc>
        <w:tc>
          <w:tcPr>
            <w:tcW w:w="1767" w:type="dxa"/>
            <w:tcBorders>
              <w:top w:val="nil"/>
              <w:left w:val="nil"/>
              <w:bottom w:val="single" w:sz="4" w:space="0" w:color="auto"/>
              <w:right w:val="single" w:sz="4" w:space="0" w:color="auto"/>
            </w:tcBorders>
            <w:shd w:val="clear" w:color="auto" w:fill="auto"/>
            <w:noWrap/>
            <w:vAlign w:val="center"/>
            <w:hideMark/>
          </w:tcPr>
          <w:p w14:paraId="060E0497" w14:textId="77777777" w:rsidR="007B61FD" w:rsidRPr="00B75955" w:rsidRDefault="007B61FD" w:rsidP="007B61FD">
            <w:pPr>
              <w:jc w:val="right"/>
              <w:rPr>
                <w:color w:val="000000"/>
                <w:sz w:val="20"/>
                <w:szCs w:val="20"/>
                <w:lang w:val="en-CA"/>
              </w:rPr>
            </w:pPr>
            <w:r w:rsidRPr="00B75955">
              <w:rPr>
                <w:color w:val="000000"/>
                <w:sz w:val="20"/>
                <w:szCs w:val="20"/>
                <w:lang w:val="en-CA"/>
              </w:rPr>
              <w:t>231.2</w:t>
            </w:r>
          </w:p>
        </w:tc>
        <w:tc>
          <w:tcPr>
            <w:tcW w:w="1767" w:type="dxa"/>
            <w:gridSpan w:val="2"/>
            <w:tcBorders>
              <w:top w:val="nil"/>
              <w:left w:val="nil"/>
              <w:bottom w:val="single" w:sz="4" w:space="0" w:color="auto"/>
              <w:right w:val="single" w:sz="4" w:space="0" w:color="auto"/>
            </w:tcBorders>
            <w:shd w:val="clear" w:color="auto" w:fill="auto"/>
            <w:noWrap/>
            <w:vAlign w:val="center"/>
            <w:hideMark/>
          </w:tcPr>
          <w:p w14:paraId="62D2D897" w14:textId="0B195C5B" w:rsidR="007B61FD" w:rsidRPr="00B75955" w:rsidRDefault="007B61FD" w:rsidP="00F6179B">
            <w:pPr>
              <w:jc w:val="center"/>
              <w:rPr>
                <w:color w:val="000000"/>
                <w:sz w:val="20"/>
                <w:szCs w:val="20"/>
                <w:lang w:val="en-CA"/>
              </w:rPr>
            </w:pPr>
            <w:r w:rsidRPr="00B75955">
              <w:rPr>
                <w:color w:val="000000"/>
                <w:sz w:val="20"/>
                <w:szCs w:val="20"/>
                <w:lang w:val="en-CA"/>
              </w:rPr>
              <w:t xml:space="preserve">R-290 </w:t>
            </w:r>
          </w:p>
        </w:tc>
        <w:tc>
          <w:tcPr>
            <w:tcW w:w="1767" w:type="dxa"/>
            <w:gridSpan w:val="2"/>
            <w:tcBorders>
              <w:top w:val="nil"/>
              <w:left w:val="nil"/>
              <w:bottom w:val="single" w:sz="4" w:space="0" w:color="auto"/>
              <w:right w:val="single" w:sz="4" w:space="0" w:color="auto"/>
            </w:tcBorders>
            <w:shd w:val="clear" w:color="auto" w:fill="auto"/>
            <w:vAlign w:val="center"/>
            <w:hideMark/>
          </w:tcPr>
          <w:p w14:paraId="4DCBFA7D" w14:textId="77777777" w:rsidR="007B61FD" w:rsidRPr="00B75955" w:rsidRDefault="007B61FD" w:rsidP="007B61FD">
            <w:pPr>
              <w:jc w:val="center"/>
              <w:rPr>
                <w:color w:val="000000"/>
                <w:sz w:val="20"/>
                <w:szCs w:val="20"/>
                <w:lang w:val="en-CA"/>
              </w:rPr>
            </w:pPr>
            <w:r w:rsidRPr="00B75955">
              <w:rPr>
                <w:color w:val="000000"/>
                <w:sz w:val="20"/>
                <w:szCs w:val="20"/>
                <w:lang w:val="en-CA"/>
              </w:rPr>
              <w:t>1,340,805</w:t>
            </w:r>
          </w:p>
        </w:tc>
        <w:tc>
          <w:tcPr>
            <w:tcW w:w="1768" w:type="dxa"/>
            <w:gridSpan w:val="2"/>
            <w:tcBorders>
              <w:top w:val="nil"/>
              <w:left w:val="nil"/>
              <w:bottom w:val="single" w:sz="4" w:space="0" w:color="auto"/>
              <w:right w:val="single" w:sz="4" w:space="0" w:color="auto"/>
            </w:tcBorders>
            <w:shd w:val="clear" w:color="auto" w:fill="auto"/>
            <w:noWrap/>
            <w:vAlign w:val="center"/>
            <w:hideMark/>
          </w:tcPr>
          <w:p w14:paraId="25555AE3" w14:textId="77777777" w:rsidR="007B61FD" w:rsidRPr="00B75955" w:rsidRDefault="007B61FD" w:rsidP="007B61FD">
            <w:pPr>
              <w:jc w:val="center"/>
              <w:rPr>
                <w:color w:val="000000"/>
                <w:sz w:val="20"/>
                <w:szCs w:val="20"/>
                <w:lang w:val="en-CA"/>
              </w:rPr>
            </w:pPr>
            <w:r w:rsidRPr="00B75955">
              <w:rPr>
                <w:color w:val="000000"/>
                <w:sz w:val="20"/>
                <w:szCs w:val="20"/>
                <w:lang w:val="en-CA"/>
              </w:rPr>
              <w:t>2 or 3</w:t>
            </w:r>
          </w:p>
        </w:tc>
      </w:tr>
      <w:tr w:rsidR="007B61FD" w:rsidRPr="00B75955" w14:paraId="43B3F158" w14:textId="77777777" w:rsidTr="00F35DE2">
        <w:trPr>
          <w:trHeight w:val="5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687A9E2A" w14:textId="77777777" w:rsidR="007B61FD" w:rsidRPr="00B75955" w:rsidRDefault="007B61FD" w:rsidP="007B61FD">
            <w:pPr>
              <w:jc w:val="left"/>
              <w:rPr>
                <w:color w:val="000000"/>
                <w:sz w:val="20"/>
                <w:szCs w:val="20"/>
                <w:lang w:val="en-CA"/>
              </w:rPr>
            </w:pPr>
            <w:proofErr w:type="spellStart"/>
            <w:r w:rsidRPr="00B75955">
              <w:rPr>
                <w:color w:val="000000"/>
                <w:sz w:val="20"/>
                <w:szCs w:val="20"/>
                <w:lang w:val="en-CA"/>
              </w:rPr>
              <w:t>Chuzhou</w:t>
            </w:r>
            <w:proofErr w:type="spellEnd"/>
            <w:r w:rsidRPr="00B75955">
              <w:rPr>
                <w:color w:val="000000"/>
                <w:sz w:val="20"/>
                <w:szCs w:val="20"/>
                <w:lang w:val="en-CA"/>
              </w:rPr>
              <w:t xml:space="preserve"> Yangzi</w:t>
            </w:r>
          </w:p>
        </w:tc>
        <w:tc>
          <w:tcPr>
            <w:tcW w:w="1767" w:type="dxa"/>
            <w:tcBorders>
              <w:top w:val="nil"/>
              <w:left w:val="nil"/>
              <w:bottom w:val="single" w:sz="4" w:space="0" w:color="auto"/>
              <w:right w:val="single" w:sz="4" w:space="0" w:color="auto"/>
            </w:tcBorders>
            <w:shd w:val="clear" w:color="auto" w:fill="auto"/>
            <w:noWrap/>
            <w:vAlign w:val="center"/>
            <w:hideMark/>
          </w:tcPr>
          <w:p w14:paraId="43128E65" w14:textId="78001767" w:rsidR="007B61FD" w:rsidRPr="00B75955" w:rsidRDefault="00E14C6B" w:rsidP="007B61FD">
            <w:pPr>
              <w:jc w:val="right"/>
              <w:rPr>
                <w:color w:val="000000"/>
                <w:sz w:val="20"/>
                <w:szCs w:val="20"/>
                <w:lang w:val="en-CA"/>
              </w:rPr>
            </w:pPr>
            <w:r w:rsidRPr="00B75955">
              <w:rPr>
                <w:color w:val="000000"/>
                <w:sz w:val="20"/>
                <w:szCs w:val="20"/>
                <w:lang w:val="en-CA"/>
              </w:rPr>
              <w:t>2</w:t>
            </w:r>
            <w:r w:rsidR="007B61FD" w:rsidRPr="00B75955">
              <w:rPr>
                <w:color w:val="000000"/>
                <w:sz w:val="20"/>
                <w:szCs w:val="20"/>
                <w:lang w:val="en-CA"/>
              </w:rPr>
              <w:t>4</w:t>
            </w:r>
          </w:p>
        </w:tc>
        <w:tc>
          <w:tcPr>
            <w:tcW w:w="1767" w:type="dxa"/>
            <w:gridSpan w:val="2"/>
            <w:tcBorders>
              <w:top w:val="nil"/>
              <w:left w:val="nil"/>
              <w:bottom w:val="single" w:sz="4" w:space="0" w:color="auto"/>
              <w:right w:val="single" w:sz="4" w:space="0" w:color="auto"/>
            </w:tcBorders>
            <w:shd w:val="clear" w:color="auto" w:fill="auto"/>
            <w:noWrap/>
            <w:vAlign w:val="center"/>
            <w:hideMark/>
          </w:tcPr>
          <w:p w14:paraId="39ED8A10" w14:textId="77777777" w:rsidR="007B61FD" w:rsidRPr="00B75955" w:rsidRDefault="007B61FD" w:rsidP="007B61FD">
            <w:pPr>
              <w:jc w:val="center"/>
              <w:rPr>
                <w:color w:val="000000"/>
                <w:sz w:val="20"/>
                <w:szCs w:val="20"/>
                <w:lang w:val="en-CA"/>
              </w:rPr>
            </w:pPr>
            <w:r w:rsidRPr="00B75955">
              <w:rPr>
                <w:color w:val="000000"/>
                <w:sz w:val="20"/>
                <w:szCs w:val="20"/>
                <w:lang w:val="en-CA"/>
              </w:rPr>
              <w:t>R-290 HPWH</w:t>
            </w:r>
          </w:p>
        </w:tc>
        <w:tc>
          <w:tcPr>
            <w:tcW w:w="1767" w:type="dxa"/>
            <w:gridSpan w:val="2"/>
            <w:tcBorders>
              <w:top w:val="nil"/>
              <w:left w:val="nil"/>
              <w:bottom w:val="single" w:sz="4" w:space="0" w:color="auto"/>
              <w:right w:val="single" w:sz="4" w:space="0" w:color="auto"/>
            </w:tcBorders>
            <w:shd w:val="clear" w:color="auto" w:fill="auto"/>
            <w:vAlign w:val="center"/>
            <w:hideMark/>
          </w:tcPr>
          <w:p w14:paraId="68D66BB1" w14:textId="77777777" w:rsidR="007B61FD" w:rsidRPr="00B75955" w:rsidRDefault="007B61FD" w:rsidP="007B61FD">
            <w:pPr>
              <w:jc w:val="center"/>
              <w:rPr>
                <w:color w:val="000000"/>
                <w:sz w:val="20"/>
                <w:szCs w:val="20"/>
                <w:lang w:val="en-CA"/>
              </w:rPr>
            </w:pPr>
            <w:r w:rsidRPr="00B75955">
              <w:rPr>
                <w:color w:val="000000"/>
                <w:sz w:val="20"/>
                <w:szCs w:val="20"/>
                <w:lang w:val="en-CA"/>
              </w:rPr>
              <w:t>338,750</w:t>
            </w:r>
          </w:p>
        </w:tc>
        <w:tc>
          <w:tcPr>
            <w:tcW w:w="1768" w:type="dxa"/>
            <w:gridSpan w:val="2"/>
            <w:tcBorders>
              <w:top w:val="nil"/>
              <w:left w:val="nil"/>
              <w:bottom w:val="single" w:sz="4" w:space="0" w:color="auto"/>
              <w:right w:val="single" w:sz="4" w:space="0" w:color="auto"/>
            </w:tcBorders>
            <w:shd w:val="clear" w:color="auto" w:fill="auto"/>
            <w:noWrap/>
            <w:vAlign w:val="center"/>
            <w:hideMark/>
          </w:tcPr>
          <w:p w14:paraId="04EE4404" w14:textId="77777777" w:rsidR="007B61FD" w:rsidRPr="00B75955" w:rsidRDefault="007B61FD" w:rsidP="007B61FD">
            <w:pPr>
              <w:jc w:val="center"/>
              <w:rPr>
                <w:color w:val="000000"/>
                <w:sz w:val="20"/>
                <w:szCs w:val="20"/>
                <w:lang w:val="en-CA"/>
              </w:rPr>
            </w:pPr>
            <w:r w:rsidRPr="00B75955">
              <w:rPr>
                <w:color w:val="000000"/>
                <w:sz w:val="20"/>
                <w:szCs w:val="20"/>
                <w:lang w:val="en-CA"/>
              </w:rPr>
              <w:t>2 or 3</w:t>
            </w:r>
          </w:p>
        </w:tc>
      </w:tr>
    </w:tbl>
    <w:p w14:paraId="03B928D9" w14:textId="77777777" w:rsidR="008A4C7A" w:rsidRPr="00B75955" w:rsidRDefault="008A4C7A" w:rsidP="008A4C7A">
      <w:pPr>
        <w:rPr>
          <w:sz w:val="16"/>
          <w:szCs w:val="16"/>
          <w:lang w:val="en-CA"/>
        </w:rPr>
      </w:pPr>
      <w:r w:rsidRPr="00B75955">
        <w:rPr>
          <w:sz w:val="16"/>
          <w:szCs w:val="16"/>
          <w:lang w:val="en-CA"/>
        </w:rPr>
        <w:t>* To be verified by audit</w:t>
      </w:r>
    </w:p>
    <w:p w14:paraId="148CE4D6" w14:textId="1C623142" w:rsidR="00E14C6B" w:rsidRPr="00B75955" w:rsidRDefault="00E14C6B" w:rsidP="00E14C6B">
      <w:pPr>
        <w:rPr>
          <w:b/>
          <w:sz w:val="16"/>
          <w:szCs w:val="16"/>
          <w:highlight w:val="yellow"/>
          <w:lang w:val="en-CA"/>
        </w:rPr>
      </w:pPr>
      <w:r w:rsidRPr="00B75955">
        <w:rPr>
          <w:b/>
          <w:sz w:val="16"/>
          <w:szCs w:val="16"/>
          <w:highlight w:val="yellow"/>
          <w:lang w:val="en-CA"/>
        </w:rPr>
        <w:t>** 40</w:t>
      </w:r>
      <w:r w:rsidR="005A5297" w:rsidRPr="00B75955">
        <w:rPr>
          <w:b/>
          <w:sz w:val="16"/>
          <w:szCs w:val="16"/>
          <w:highlight w:val="yellow"/>
          <w:lang w:val="en-CA"/>
        </w:rPr>
        <w:t> </w:t>
      </w:r>
      <w:r w:rsidRPr="00B75955">
        <w:rPr>
          <w:b/>
          <w:sz w:val="16"/>
          <w:szCs w:val="16"/>
          <w:highlight w:val="yellow"/>
          <w:lang w:val="en-CA"/>
        </w:rPr>
        <w:t>per cent non-Article 5 ownership, which is reflected in the ICC</w:t>
      </w:r>
    </w:p>
    <w:p w14:paraId="58CCCFD0" w14:textId="64725876" w:rsidR="00E14C6B" w:rsidRPr="00B75955" w:rsidRDefault="00E14C6B" w:rsidP="00E14C6B">
      <w:pPr>
        <w:rPr>
          <w:b/>
          <w:sz w:val="16"/>
          <w:szCs w:val="16"/>
          <w:lang w:val="en-CA"/>
        </w:rPr>
      </w:pPr>
      <w:r w:rsidRPr="00B75955">
        <w:rPr>
          <w:b/>
          <w:sz w:val="16"/>
          <w:szCs w:val="16"/>
          <w:highlight w:val="yellow"/>
          <w:lang w:val="en-CA"/>
        </w:rPr>
        <w:t>*** 36</w:t>
      </w:r>
      <w:r w:rsidR="005A5297" w:rsidRPr="00B75955">
        <w:rPr>
          <w:b/>
          <w:sz w:val="16"/>
          <w:szCs w:val="16"/>
          <w:highlight w:val="yellow"/>
          <w:lang w:val="en-CA"/>
        </w:rPr>
        <w:t> </w:t>
      </w:r>
      <w:r w:rsidRPr="00B75955">
        <w:rPr>
          <w:b/>
          <w:sz w:val="16"/>
          <w:szCs w:val="16"/>
          <w:highlight w:val="yellow"/>
          <w:lang w:val="en-CA"/>
        </w:rPr>
        <w:t>per cent non-Article 5 ownership, which is reflected in the ICC</w:t>
      </w:r>
    </w:p>
    <w:p w14:paraId="7160C879" w14:textId="77777777" w:rsidR="008A4C7A" w:rsidRPr="00B75955" w:rsidRDefault="008A4C7A" w:rsidP="008A4C7A">
      <w:pPr>
        <w:rPr>
          <w:lang w:val="en-CA"/>
        </w:rPr>
      </w:pPr>
    </w:p>
    <w:p w14:paraId="608D68D3" w14:textId="23660CE0" w:rsidR="00221931" w:rsidRPr="00B75955" w:rsidRDefault="00221931" w:rsidP="008A4C7A">
      <w:pPr>
        <w:pStyle w:val="Heading1"/>
        <w:rPr>
          <w:lang w:val="en-CA"/>
        </w:rPr>
      </w:pPr>
      <w:r w:rsidRPr="00B75955">
        <w:rPr>
          <w:b/>
          <w:highlight w:val="yellow"/>
          <w:lang w:val="en-CA"/>
        </w:rPr>
        <w:t xml:space="preserve">Of the proposals </w:t>
      </w:r>
      <w:r w:rsidR="004C0CE3" w:rsidRPr="00B75955">
        <w:rPr>
          <w:b/>
          <w:highlight w:val="yellow"/>
          <w:lang w:val="en-CA"/>
        </w:rPr>
        <w:t xml:space="preserve">for 12 lines </w:t>
      </w:r>
      <w:r w:rsidRPr="00B75955">
        <w:rPr>
          <w:b/>
          <w:highlight w:val="yellow"/>
          <w:lang w:val="en-CA"/>
        </w:rPr>
        <w:t xml:space="preserve">that have passed the review process, contracts for </w:t>
      </w:r>
      <w:r w:rsidR="005A5297" w:rsidRPr="00B75955">
        <w:rPr>
          <w:b/>
          <w:highlight w:val="yellow"/>
          <w:lang w:val="en-CA"/>
        </w:rPr>
        <w:t>nine</w:t>
      </w:r>
      <w:r w:rsidRPr="00B75955">
        <w:rPr>
          <w:b/>
          <w:highlight w:val="yellow"/>
          <w:lang w:val="en-CA"/>
        </w:rPr>
        <w:t xml:space="preserve"> </w:t>
      </w:r>
      <w:r w:rsidR="004C0CE3" w:rsidRPr="00B75955">
        <w:rPr>
          <w:b/>
          <w:highlight w:val="yellow"/>
          <w:lang w:val="en-CA"/>
        </w:rPr>
        <w:t>lines</w:t>
      </w:r>
      <w:r w:rsidRPr="00B75955">
        <w:rPr>
          <w:b/>
          <w:highlight w:val="yellow"/>
          <w:lang w:val="en-CA"/>
        </w:rPr>
        <w:t xml:space="preserve"> were signed with an associated phase-out of 2,221</w:t>
      </w:r>
      <w:r w:rsidR="005A5297" w:rsidRPr="00B75955">
        <w:rPr>
          <w:b/>
          <w:highlight w:val="yellow"/>
          <w:lang w:val="en-CA"/>
        </w:rPr>
        <w:t> </w:t>
      </w:r>
      <w:proofErr w:type="spellStart"/>
      <w:r w:rsidRPr="00B75955">
        <w:rPr>
          <w:b/>
          <w:highlight w:val="yellow"/>
          <w:lang w:val="en-CA"/>
        </w:rPr>
        <w:t>mt</w:t>
      </w:r>
      <w:proofErr w:type="spellEnd"/>
      <w:r w:rsidRPr="00B75955">
        <w:rPr>
          <w:b/>
          <w:highlight w:val="yellow"/>
          <w:lang w:val="en-CA"/>
        </w:rPr>
        <w:t xml:space="preserve"> of HCFC-22 and a resulting disbursement of US $3,313,740.</w:t>
      </w:r>
      <w:r w:rsidRPr="00B75955">
        <w:rPr>
          <w:b/>
          <w:lang w:val="en-CA"/>
        </w:rPr>
        <w:t xml:space="preserve"> </w:t>
      </w:r>
    </w:p>
    <w:p w14:paraId="28F7BA47" w14:textId="3F0B0E6A" w:rsidR="008A4C7A" w:rsidRPr="00B75955" w:rsidRDefault="008A4C7A" w:rsidP="008A4C7A">
      <w:pPr>
        <w:pStyle w:val="Heading1"/>
        <w:rPr>
          <w:lang w:val="en-CA"/>
        </w:rPr>
      </w:pPr>
      <w:r w:rsidRPr="00B75955">
        <w:rPr>
          <w:lang w:val="en-CA"/>
        </w:rPr>
        <w:t>The China Household Electric Appliances Association (CHEAA) will continue</w:t>
      </w:r>
      <w:r w:rsidR="00DF0DE7" w:rsidRPr="00B75955">
        <w:rPr>
          <w:lang w:val="en-CA"/>
        </w:rPr>
        <w:t>:</w:t>
      </w:r>
      <w:r w:rsidRPr="00B75955">
        <w:rPr>
          <w:lang w:val="en-CA"/>
        </w:rPr>
        <w:t xml:space="preserve"> to assist UNIDO and FECO by providing policy recommendations for introduction of environmentally friendly technologies; supporting the enterprises; assisting FECO to select beneficiaries; supporting technology transfer and implementation of investment projects; and establishing and operating an industrial database on HCFC consumption, alternatives technologies and phase-out activities. </w:t>
      </w:r>
    </w:p>
    <w:p w14:paraId="42B1F40F" w14:textId="77777777" w:rsidR="008A4C7A" w:rsidRPr="00B75955" w:rsidRDefault="008A4C7A" w:rsidP="008A4C7A">
      <w:pPr>
        <w:rPr>
          <w:i/>
          <w:lang w:val="en-CA"/>
        </w:rPr>
      </w:pPr>
      <w:r w:rsidRPr="00B75955">
        <w:rPr>
          <w:i/>
          <w:lang w:val="en-CA"/>
        </w:rPr>
        <w:t xml:space="preserve">Technical assistance activities </w:t>
      </w:r>
    </w:p>
    <w:p w14:paraId="3FECBB1E" w14:textId="77777777" w:rsidR="008A4C7A" w:rsidRPr="00B75955" w:rsidRDefault="008A4C7A" w:rsidP="008A4C7A">
      <w:pPr>
        <w:rPr>
          <w:lang w:val="en-CA"/>
        </w:rPr>
      </w:pPr>
    </w:p>
    <w:p w14:paraId="45AE94D7" w14:textId="0EF4E46B" w:rsidR="002E089F" w:rsidRPr="00B75955" w:rsidRDefault="008A4C7A" w:rsidP="00A01D5F">
      <w:pPr>
        <w:pStyle w:val="Heading1"/>
        <w:rPr>
          <w:lang w:val="en-CA"/>
        </w:rPr>
      </w:pPr>
      <w:r w:rsidRPr="00B75955">
        <w:rPr>
          <w:lang w:val="en-CA"/>
        </w:rPr>
        <w:t xml:space="preserve">Technical assistance (TA) activities implemented in 2017 include the inception meeting in March covering the Kigali Amendment, the implementation concept for the stage II, requirements for the preparation of project proposals, policies and regulations, and lessons learned from stage I; updating the project implementation manual from stage I; a workshop on research and development (R&amp;D) needs with participation from FECO, </w:t>
      </w:r>
      <w:r w:rsidR="00DF0DE7" w:rsidRPr="00B75955">
        <w:rPr>
          <w:lang w:val="en-CA"/>
        </w:rPr>
        <w:t xml:space="preserve">the </w:t>
      </w:r>
      <w:r w:rsidRPr="00B75955">
        <w:rPr>
          <w:lang w:val="en-CA"/>
        </w:rPr>
        <w:t>Government of Germany, UNIDO, universities, technical institutions and enterprises’ representatives</w:t>
      </w:r>
      <w:r w:rsidR="0029036E" w:rsidRPr="00B75955">
        <w:rPr>
          <w:lang w:val="en-CA"/>
        </w:rPr>
        <w:t xml:space="preserve">; </w:t>
      </w:r>
      <w:r w:rsidR="0029036E" w:rsidRPr="00B75955">
        <w:rPr>
          <w:b/>
          <w:highlight w:val="yellow"/>
          <w:lang w:val="en-CA"/>
        </w:rPr>
        <w:t>participation by CHEAA in the workshop on safety standards convened in accordance with decision</w:t>
      </w:r>
      <w:r w:rsidR="005A5297" w:rsidRPr="00B75955">
        <w:rPr>
          <w:b/>
          <w:highlight w:val="yellow"/>
          <w:lang w:val="en-CA"/>
        </w:rPr>
        <w:t> </w:t>
      </w:r>
      <w:r w:rsidR="0029036E" w:rsidRPr="00B75955">
        <w:rPr>
          <w:b/>
          <w:highlight w:val="yellow"/>
          <w:lang w:val="en-CA"/>
        </w:rPr>
        <w:t xml:space="preserve">XXVIII/4 in July 2017 in Bangkok; and </w:t>
      </w:r>
      <w:r w:rsidR="00DF0DE7" w:rsidRPr="00B75955">
        <w:rPr>
          <w:b/>
          <w:highlight w:val="yellow"/>
          <w:lang w:val="en-CA"/>
        </w:rPr>
        <w:t xml:space="preserve">hosting </w:t>
      </w:r>
      <w:r w:rsidR="0029036E" w:rsidRPr="00B75955">
        <w:rPr>
          <w:b/>
          <w:highlight w:val="yellow"/>
          <w:lang w:val="en-CA"/>
        </w:rPr>
        <w:t>an international workshop on HCFC-22 alternatives in the RAC sector in Hefei in November 2017</w:t>
      </w:r>
      <w:r w:rsidR="002E089F" w:rsidRPr="00B75955">
        <w:rPr>
          <w:b/>
          <w:highlight w:val="yellow"/>
          <w:lang w:val="en-CA"/>
        </w:rPr>
        <w:t>. The appliance and electronics world exposition was held in March 2018 in Shanghai, which included a seminar with participation from FECO and RAC and compressor manufacturers to discuss barriers to the market uptake of R-290, and future work on R-290 promotion</w:t>
      </w:r>
      <w:r w:rsidR="00BA5CC5" w:rsidRPr="00B75955">
        <w:rPr>
          <w:b/>
          <w:highlight w:val="yellow"/>
          <w:lang w:val="en-CA"/>
        </w:rPr>
        <w:t xml:space="preserve">. </w:t>
      </w:r>
    </w:p>
    <w:p w14:paraId="74F3F5FB" w14:textId="33941A82" w:rsidR="00FA37FE" w:rsidRPr="00B75955" w:rsidRDefault="00482403" w:rsidP="00FA37FE">
      <w:pPr>
        <w:pStyle w:val="Heading1"/>
        <w:rPr>
          <w:highlight w:val="yellow"/>
          <w:lang w:val="en-CA"/>
        </w:rPr>
      </w:pPr>
      <w:r w:rsidRPr="00B75955">
        <w:rPr>
          <w:b/>
          <w:highlight w:val="yellow"/>
          <w:lang w:val="en-CA"/>
        </w:rPr>
        <w:t>The safety standard GB4706.32 covering air conditioning equipment (household and similar electrical appliances safety and the special requirements of heat pump</w:t>
      </w:r>
      <w:r w:rsidR="009E21BD" w:rsidRPr="00B75955">
        <w:rPr>
          <w:b/>
          <w:highlight w:val="yellow"/>
          <w:lang w:val="en-CA"/>
        </w:rPr>
        <w:t>s</w:t>
      </w:r>
      <w:r w:rsidRPr="00B75955">
        <w:rPr>
          <w:b/>
          <w:highlight w:val="yellow"/>
          <w:lang w:val="en-CA"/>
        </w:rPr>
        <w:t>, air conditioner</w:t>
      </w:r>
      <w:r w:rsidR="009E21BD" w:rsidRPr="00B75955">
        <w:rPr>
          <w:b/>
          <w:highlight w:val="yellow"/>
          <w:lang w:val="en-CA"/>
        </w:rPr>
        <w:t>s</w:t>
      </w:r>
      <w:r w:rsidRPr="00B75955">
        <w:rPr>
          <w:b/>
          <w:highlight w:val="yellow"/>
          <w:lang w:val="en-CA"/>
        </w:rPr>
        <w:t xml:space="preserve"> and dehumidifier</w:t>
      </w:r>
      <w:r w:rsidR="009E21BD" w:rsidRPr="00B75955">
        <w:rPr>
          <w:b/>
          <w:highlight w:val="yellow"/>
          <w:lang w:val="en-CA"/>
        </w:rPr>
        <w:t>s</w:t>
      </w:r>
      <w:r w:rsidRPr="00B75955">
        <w:rPr>
          <w:b/>
          <w:highlight w:val="yellow"/>
          <w:lang w:val="en-CA"/>
        </w:rPr>
        <w:t xml:space="preserve">), has been a compulsory standard as of 1 May 2013. Since then, this standard has been </w:t>
      </w:r>
      <w:r w:rsidR="00D8754C" w:rsidRPr="00B75955">
        <w:rPr>
          <w:b/>
          <w:highlight w:val="yellow"/>
          <w:lang w:val="en-CA"/>
        </w:rPr>
        <w:t xml:space="preserve">under </w:t>
      </w:r>
      <w:r w:rsidRPr="00B75955">
        <w:rPr>
          <w:b/>
          <w:highlight w:val="yellow"/>
          <w:lang w:val="en-CA"/>
        </w:rPr>
        <w:t>review by a technical committee</w:t>
      </w:r>
      <w:r w:rsidR="00D8754C" w:rsidRPr="00B75955">
        <w:rPr>
          <w:b/>
          <w:highlight w:val="yellow"/>
          <w:lang w:val="en-CA"/>
        </w:rPr>
        <w:t xml:space="preserve">. </w:t>
      </w:r>
      <w:r w:rsidR="009E21BD" w:rsidRPr="00B75955">
        <w:rPr>
          <w:b/>
          <w:highlight w:val="yellow"/>
          <w:lang w:val="en-CA"/>
        </w:rPr>
        <w:t>On 29 March 2018, t</w:t>
      </w:r>
      <w:r w:rsidR="00D8754C" w:rsidRPr="00B75955">
        <w:rPr>
          <w:b/>
          <w:highlight w:val="yellow"/>
          <w:lang w:val="en-CA"/>
        </w:rPr>
        <w:t xml:space="preserve">his committee approved a revision to the standard GB4706.32 that adopts equivalently the International </w:t>
      </w:r>
      <w:proofErr w:type="spellStart"/>
      <w:r w:rsidR="00D8754C" w:rsidRPr="00B75955">
        <w:rPr>
          <w:b/>
          <w:highlight w:val="yellow"/>
          <w:lang w:val="en-CA"/>
        </w:rPr>
        <w:t>Electrotechnical</w:t>
      </w:r>
      <w:proofErr w:type="spellEnd"/>
      <w:r w:rsidR="00D8754C" w:rsidRPr="00B75955">
        <w:rPr>
          <w:b/>
          <w:highlight w:val="yellow"/>
          <w:lang w:val="en-CA"/>
        </w:rPr>
        <w:t xml:space="preserve"> Commission (IEC) standard 60335-2-40</w:t>
      </w:r>
      <w:r w:rsidR="00DF0DE7" w:rsidRPr="00B75955">
        <w:rPr>
          <w:b/>
          <w:highlight w:val="yellow"/>
          <w:lang w:val="en-CA"/>
        </w:rPr>
        <w:t>,</w:t>
      </w:r>
      <w:r w:rsidR="00D8754C" w:rsidRPr="00B75955">
        <w:rPr>
          <w:b/>
          <w:highlight w:val="yellow"/>
          <w:lang w:val="en-CA"/>
        </w:rPr>
        <w:t xml:space="preserve"> which specifies particular requirements for the use of flammable refrigerants</w:t>
      </w:r>
      <w:r w:rsidR="00FA37FE" w:rsidRPr="00B75955">
        <w:rPr>
          <w:b/>
          <w:highlight w:val="yellow"/>
          <w:lang w:val="en-CA"/>
        </w:rPr>
        <w:t xml:space="preserve"> (and the maximum allowable charge of refrigerant)</w:t>
      </w:r>
      <w:r w:rsidR="00D8754C" w:rsidRPr="00B75955">
        <w:rPr>
          <w:b/>
          <w:highlight w:val="yellow"/>
          <w:lang w:val="en-CA"/>
        </w:rPr>
        <w:t xml:space="preserve">. </w:t>
      </w:r>
      <w:r w:rsidR="00FA37FE" w:rsidRPr="00B75955">
        <w:rPr>
          <w:b/>
          <w:highlight w:val="yellow"/>
          <w:lang w:val="en-CA"/>
        </w:rPr>
        <w:t>The IEC standard 60335-2-40 is current</w:t>
      </w:r>
      <w:r w:rsidR="00DF0DE7" w:rsidRPr="00B75955">
        <w:rPr>
          <w:b/>
          <w:highlight w:val="yellow"/>
          <w:lang w:val="en-CA"/>
        </w:rPr>
        <w:t>ly</w:t>
      </w:r>
      <w:r w:rsidR="00FA37FE" w:rsidRPr="00B75955">
        <w:rPr>
          <w:b/>
          <w:highlight w:val="yellow"/>
          <w:lang w:val="en-CA"/>
        </w:rPr>
        <w:t xml:space="preserve"> </w:t>
      </w:r>
      <w:r w:rsidR="00DF0DE7" w:rsidRPr="00B75955">
        <w:rPr>
          <w:b/>
          <w:highlight w:val="yellow"/>
          <w:lang w:val="en-CA"/>
        </w:rPr>
        <w:t xml:space="preserve">under </w:t>
      </w:r>
      <w:r w:rsidR="00FA37FE" w:rsidRPr="00B75955">
        <w:rPr>
          <w:b/>
          <w:highlight w:val="yellow"/>
          <w:lang w:val="en-CA"/>
        </w:rPr>
        <w:t xml:space="preserve">review; and </w:t>
      </w:r>
      <w:r w:rsidR="009E21BD" w:rsidRPr="00B75955">
        <w:rPr>
          <w:b/>
          <w:highlight w:val="yellow"/>
          <w:lang w:val="en-CA"/>
        </w:rPr>
        <w:t xml:space="preserve">CHEAA hosted a meeting that produced </w:t>
      </w:r>
      <w:r w:rsidR="00FA37FE" w:rsidRPr="00B75955">
        <w:rPr>
          <w:b/>
          <w:highlight w:val="yellow"/>
          <w:lang w:val="en-CA"/>
        </w:rPr>
        <w:t xml:space="preserve">comments </w:t>
      </w:r>
      <w:r w:rsidR="009E21BD" w:rsidRPr="00B75955">
        <w:rPr>
          <w:b/>
          <w:highlight w:val="yellow"/>
          <w:lang w:val="en-CA"/>
        </w:rPr>
        <w:t xml:space="preserve">that </w:t>
      </w:r>
      <w:r w:rsidR="00FA37FE" w:rsidRPr="00B75955">
        <w:rPr>
          <w:b/>
          <w:highlight w:val="yellow"/>
          <w:lang w:val="en-CA"/>
        </w:rPr>
        <w:t xml:space="preserve">were </w:t>
      </w:r>
      <w:r w:rsidR="00D8754C" w:rsidRPr="00B75955">
        <w:rPr>
          <w:b/>
          <w:highlight w:val="yellow"/>
          <w:lang w:val="en-CA"/>
        </w:rPr>
        <w:t>submitted the IEC, which is now seeking advice from national standard commissions.</w:t>
      </w:r>
      <w:r w:rsidR="00FA37FE" w:rsidRPr="00B75955">
        <w:rPr>
          <w:b/>
          <w:highlight w:val="yellow"/>
          <w:lang w:val="en-CA"/>
        </w:rPr>
        <w:t xml:space="preserve"> The increased charge size that would be permitted under the revised IEC standard would allow higher capacity, higher energy-efficient </w:t>
      </w:r>
      <w:r w:rsidR="00FA37FE" w:rsidRPr="00B75955">
        <w:rPr>
          <w:b/>
          <w:highlight w:val="yellow"/>
          <w:lang w:val="en-CA"/>
        </w:rPr>
        <w:lastRenderedPageBreak/>
        <w:t xml:space="preserve">equipment to be manufactured. Once the review of the IEC 60335-2-40 standard is approved, the GB4706.32 </w:t>
      </w:r>
      <w:r w:rsidR="00C01AFE" w:rsidRPr="00B75955">
        <w:rPr>
          <w:b/>
          <w:highlight w:val="yellow"/>
          <w:lang w:val="en-CA"/>
        </w:rPr>
        <w:t>standard</w:t>
      </w:r>
      <w:r w:rsidR="00FA37FE" w:rsidRPr="00B75955">
        <w:rPr>
          <w:b/>
          <w:highlight w:val="yellow"/>
          <w:lang w:val="en-CA"/>
        </w:rPr>
        <w:t xml:space="preserve"> would again need to </w:t>
      </w:r>
      <w:r w:rsidR="00546503">
        <w:rPr>
          <w:b/>
          <w:highlight w:val="yellow"/>
          <w:lang w:val="en-CA"/>
        </w:rPr>
        <w:t xml:space="preserve">be </w:t>
      </w:r>
      <w:r w:rsidR="00FA37FE" w:rsidRPr="00B75955">
        <w:rPr>
          <w:b/>
          <w:highlight w:val="yellow"/>
          <w:lang w:val="en-CA"/>
        </w:rPr>
        <w:t xml:space="preserve">revised. </w:t>
      </w:r>
    </w:p>
    <w:p w14:paraId="77D3354D" w14:textId="623EFB59" w:rsidR="008A4C7A" w:rsidRPr="00B75955" w:rsidRDefault="00BA5CC5" w:rsidP="00BA5CC5">
      <w:pPr>
        <w:pStyle w:val="Heading1"/>
        <w:rPr>
          <w:lang w:val="en-CA"/>
        </w:rPr>
      </w:pPr>
      <w:r w:rsidRPr="00B75955">
        <w:rPr>
          <w:b/>
          <w:highlight w:val="yellow"/>
          <w:lang w:val="en-CA"/>
        </w:rPr>
        <w:t xml:space="preserve">Terms of reference for two </w:t>
      </w:r>
      <w:r w:rsidR="0025453C" w:rsidRPr="00B75955">
        <w:rPr>
          <w:b/>
          <w:highlight w:val="yellow"/>
          <w:lang w:val="en-CA"/>
        </w:rPr>
        <w:t>R&amp;D</w:t>
      </w:r>
      <w:r w:rsidRPr="00B75955">
        <w:rPr>
          <w:b/>
          <w:highlight w:val="yellow"/>
          <w:lang w:val="en-CA"/>
        </w:rPr>
        <w:t xml:space="preserve"> projects are being developed, one focused on the lubricant for the R-290 compressor, and the other focused on the R-744 HPWH</w:t>
      </w:r>
      <w:r w:rsidR="008A4C7A" w:rsidRPr="00B75955">
        <w:rPr>
          <w:highlight w:val="yellow"/>
          <w:lang w:val="en-CA"/>
        </w:rPr>
        <w:t>.</w:t>
      </w:r>
      <w:r w:rsidR="00F35DE2" w:rsidRPr="00B75955">
        <w:rPr>
          <w:lang w:val="en-CA"/>
        </w:rPr>
        <w:t xml:space="preserve"> </w:t>
      </w:r>
    </w:p>
    <w:p w14:paraId="308760A0" w14:textId="4349B400" w:rsidR="00F36BF7" w:rsidRPr="00B75955" w:rsidRDefault="00F36BF7" w:rsidP="008A4C7A">
      <w:pPr>
        <w:pStyle w:val="Heading1"/>
        <w:rPr>
          <w:lang w:val="en-CA"/>
        </w:rPr>
      </w:pPr>
      <w:proofErr w:type="spellStart"/>
      <w:r w:rsidRPr="00B75955">
        <w:rPr>
          <w:b/>
          <w:highlight w:val="yellow"/>
          <w:lang w:val="en-CA"/>
        </w:rPr>
        <w:t>Midea</w:t>
      </w:r>
      <w:proofErr w:type="spellEnd"/>
      <w:r w:rsidR="000C6A20" w:rsidRPr="00B75955">
        <w:rPr>
          <w:b/>
          <w:highlight w:val="yellow"/>
          <w:lang w:val="en-CA"/>
        </w:rPr>
        <w:t xml:space="preserve">, one of the RAC enterprises that was funded during the implementation of stage I of the RAC sector plan, </w:t>
      </w:r>
      <w:r w:rsidRPr="00B75955">
        <w:rPr>
          <w:b/>
          <w:highlight w:val="yellow"/>
          <w:lang w:val="en-CA"/>
        </w:rPr>
        <w:t>initiated the process of obtaining the German Blue Angel ecolabel</w:t>
      </w:r>
      <w:r w:rsidR="000C6A20" w:rsidRPr="00B75955">
        <w:rPr>
          <w:rStyle w:val="FootnoteReference"/>
          <w:b/>
          <w:highlight w:val="yellow"/>
          <w:lang w:val="en-CA"/>
        </w:rPr>
        <w:footnoteReference w:id="15"/>
      </w:r>
      <w:r w:rsidRPr="00B75955">
        <w:rPr>
          <w:b/>
          <w:highlight w:val="yellow"/>
          <w:lang w:val="en-CA"/>
        </w:rPr>
        <w:t xml:space="preserve"> for their R</w:t>
      </w:r>
      <w:r w:rsidR="00FD0D4E" w:rsidRPr="00B75955">
        <w:rPr>
          <w:b/>
          <w:highlight w:val="yellow"/>
          <w:lang w:val="en-CA"/>
        </w:rPr>
        <w:noBreakHyphen/>
      </w:r>
      <w:r w:rsidRPr="00B75955">
        <w:rPr>
          <w:b/>
          <w:highlight w:val="yellow"/>
          <w:lang w:val="en-CA"/>
        </w:rPr>
        <w:t>290 split-unit</w:t>
      </w:r>
      <w:r w:rsidR="000C6A20" w:rsidRPr="00B75955">
        <w:rPr>
          <w:b/>
          <w:highlight w:val="yellow"/>
          <w:lang w:val="en-CA"/>
        </w:rPr>
        <w:t xml:space="preserve"> using its own funding</w:t>
      </w:r>
      <w:r w:rsidRPr="00B75955">
        <w:rPr>
          <w:b/>
          <w:highlight w:val="yellow"/>
          <w:lang w:val="en-CA"/>
        </w:rPr>
        <w:t>, which was granted in March 2018. This is the first split-unit air</w:t>
      </w:r>
      <w:r w:rsidR="00D0473B" w:rsidRPr="00B75955">
        <w:rPr>
          <w:b/>
          <w:highlight w:val="yellow"/>
          <w:lang w:val="en-CA"/>
        </w:rPr>
        <w:noBreakHyphen/>
      </w:r>
      <w:r w:rsidRPr="00B75955">
        <w:rPr>
          <w:b/>
          <w:highlight w:val="yellow"/>
          <w:lang w:val="en-CA"/>
        </w:rPr>
        <w:t>conditioner to have obtained the Blue Angel ecolabel</w:t>
      </w:r>
      <w:r w:rsidR="001E073C" w:rsidRPr="00B75955">
        <w:rPr>
          <w:lang w:val="en-CA"/>
        </w:rPr>
        <w:t>.</w:t>
      </w:r>
    </w:p>
    <w:p w14:paraId="7CB0CF25" w14:textId="16A41A08" w:rsidR="008A4C7A" w:rsidRPr="00B75955" w:rsidRDefault="008A4C7A" w:rsidP="008A4C7A">
      <w:pPr>
        <w:pStyle w:val="Heading1"/>
        <w:rPr>
          <w:lang w:val="en-CA"/>
        </w:rPr>
      </w:pPr>
      <w:r w:rsidRPr="00B75955">
        <w:rPr>
          <w:lang w:val="en-CA"/>
        </w:rPr>
        <w:t>The funding allocation plan was updated based on the agreed level of funding for stage II of the RAC sector, as reflected in Table 2.</w:t>
      </w:r>
    </w:p>
    <w:p w14:paraId="1C910AAC" w14:textId="28B340F1" w:rsidR="00D0066A" w:rsidRPr="00B75955" w:rsidRDefault="008A4C7A" w:rsidP="008A4C7A">
      <w:pPr>
        <w:keepNext/>
        <w:rPr>
          <w:b/>
          <w:lang w:val="en-CA"/>
        </w:rPr>
      </w:pPr>
      <w:r w:rsidRPr="00B75955">
        <w:rPr>
          <w:b/>
          <w:lang w:val="en-CA"/>
        </w:rPr>
        <w:t>Table 2. Funding allocation plan for stage II of the RAC sector plan</w:t>
      </w:r>
    </w:p>
    <w:tbl>
      <w:tblPr>
        <w:tblW w:w="5000" w:type="pct"/>
        <w:tblLook w:val="04A0" w:firstRow="1" w:lastRow="0" w:firstColumn="1" w:lastColumn="0" w:noHBand="0" w:noVBand="1"/>
      </w:tblPr>
      <w:tblGrid>
        <w:gridCol w:w="6829"/>
        <w:gridCol w:w="2521"/>
      </w:tblGrid>
      <w:tr w:rsidR="00D0066A" w:rsidRPr="00B75955" w14:paraId="6F06F35A"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16A3D" w14:textId="77777777" w:rsidR="00D0066A" w:rsidRPr="00B75955" w:rsidRDefault="00D0066A" w:rsidP="00F35DE2">
            <w:pPr>
              <w:jc w:val="left"/>
              <w:rPr>
                <w:b/>
                <w:bCs/>
                <w:color w:val="000000"/>
                <w:sz w:val="20"/>
                <w:szCs w:val="20"/>
                <w:lang w:val="en-CA"/>
              </w:rPr>
            </w:pPr>
            <w:r w:rsidRPr="00B75955">
              <w:rPr>
                <w:b/>
                <w:bCs/>
                <w:color w:val="000000"/>
                <w:sz w:val="20"/>
                <w:szCs w:val="20"/>
                <w:lang w:val="en-CA"/>
              </w:rPr>
              <w:t>Item</w:t>
            </w:r>
          </w:p>
        </w:tc>
        <w:tc>
          <w:tcPr>
            <w:tcW w:w="1348" w:type="pct"/>
            <w:tcBorders>
              <w:top w:val="single" w:sz="4" w:space="0" w:color="auto"/>
              <w:left w:val="nil"/>
              <w:bottom w:val="single" w:sz="4" w:space="0" w:color="auto"/>
              <w:right w:val="single" w:sz="4" w:space="0" w:color="auto"/>
            </w:tcBorders>
            <w:shd w:val="clear" w:color="auto" w:fill="auto"/>
            <w:vAlign w:val="center"/>
            <w:hideMark/>
          </w:tcPr>
          <w:p w14:paraId="33A57F07" w14:textId="77777777" w:rsidR="00D0066A" w:rsidRPr="00B75955" w:rsidRDefault="00D0066A" w:rsidP="00D0066A">
            <w:pPr>
              <w:jc w:val="center"/>
              <w:rPr>
                <w:b/>
                <w:bCs/>
                <w:color w:val="000000"/>
                <w:sz w:val="20"/>
                <w:szCs w:val="20"/>
                <w:lang w:val="en-CA"/>
              </w:rPr>
            </w:pPr>
            <w:r w:rsidRPr="00B75955">
              <w:rPr>
                <w:b/>
                <w:bCs/>
                <w:color w:val="000000"/>
                <w:sz w:val="20"/>
                <w:szCs w:val="20"/>
                <w:lang w:val="en-CA"/>
              </w:rPr>
              <w:t>Total</w:t>
            </w:r>
          </w:p>
        </w:tc>
      </w:tr>
      <w:tr w:rsidR="000C6A20" w:rsidRPr="00B75955" w14:paraId="1D7D2708" w14:textId="77777777" w:rsidTr="000C6A20">
        <w:trPr>
          <w:trHeight w:val="7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EA784" w14:textId="4C2AB3E9" w:rsidR="000C6A20" w:rsidRPr="00B75955" w:rsidRDefault="000C6A20" w:rsidP="000C6A20">
            <w:pPr>
              <w:jc w:val="left"/>
              <w:rPr>
                <w:b/>
                <w:bCs/>
                <w:color w:val="000000"/>
                <w:sz w:val="20"/>
                <w:szCs w:val="20"/>
                <w:lang w:val="en-CA"/>
              </w:rPr>
            </w:pPr>
            <w:r w:rsidRPr="00B75955">
              <w:rPr>
                <w:b/>
                <w:bCs/>
                <w:color w:val="000000"/>
                <w:sz w:val="20"/>
                <w:szCs w:val="20"/>
                <w:lang w:val="en-CA"/>
              </w:rPr>
              <w:t>Production line conversion</w:t>
            </w:r>
          </w:p>
        </w:tc>
      </w:tr>
      <w:tr w:rsidR="000C6A20" w:rsidRPr="00B75955" w14:paraId="28CCA299"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363E3870" w14:textId="1C7FC97A" w:rsidR="000C6A20" w:rsidRPr="00B75955" w:rsidRDefault="000C6A20" w:rsidP="000C6A20">
            <w:pPr>
              <w:jc w:val="left"/>
              <w:rPr>
                <w:b/>
                <w:bCs/>
                <w:color w:val="000000"/>
                <w:sz w:val="20"/>
                <w:szCs w:val="20"/>
                <w:lang w:val="en-CA"/>
              </w:rPr>
            </w:pPr>
            <w:r w:rsidRPr="00B75955">
              <w:rPr>
                <w:color w:val="000000"/>
                <w:sz w:val="20"/>
                <w:szCs w:val="20"/>
                <w:lang w:val="en-CA"/>
              </w:rPr>
              <w:t>RAC to R-290 (20 lines)</w:t>
            </w:r>
          </w:p>
        </w:tc>
        <w:tc>
          <w:tcPr>
            <w:tcW w:w="1348" w:type="pct"/>
            <w:tcBorders>
              <w:top w:val="single" w:sz="4" w:space="0" w:color="auto"/>
              <w:left w:val="nil"/>
              <w:bottom w:val="single" w:sz="4" w:space="0" w:color="auto"/>
              <w:right w:val="single" w:sz="4" w:space="0" w:color="auto"/>
            </w:tcBorders>
            <w:shd w:val="clear" w:color="auto" w:fill="auto"/>
            <w:vAlign w:val="center"/>
          </w:tcPr>
          <w:p w14:paraId="0C07F848" w14:textId="6A532637" w:rsidR="000C6A20" w:rsidRPr="00B75955" w:rsidRDefault="000C6A20" w:rsidP="000C6A20">
            <w:pPr>
              <w:jc w:val="right"/>
              <w:rPr>
                <w:b/>
                <w:bCs/>
                <w:color w:val="000000"/>
                <w:sz w:val="20"/>
                <w:szCs w:val="20"/>
                <w:lang w:val="en-CA"/>
              </w:rPr>
            </w:pPr>
            <w:r w:rsidRPr="00B75955">
              <w:rPr>
                <w:bCs/>
                <w:color w:val="000000"/>
                <w:sz w:val="20"/>
                <w:szCs w:val="20"/>
                <w:lang w:val="en-CA"/>
              </w:rPr>
              <w:t>33,575,100</w:t>
            </w:r>
          </w:p>
        </w:tc>
      </w:tr>
      <w:tr w:rsidR="000C6A20" w:rsidRPr="00B75955" w14:paraId="65044C50"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28FA4D8C" w14:textId="6D6115B3" w:rsidR="000C6A20" w:rsidRPr="00B75955" w:rsidRDefault="000C6A20" w:rsidP="000C6A20">
            <w:pPr>
              <w:jc w:val="left"/>
              <w:rPr>
                <w:b/>
                <w:bCs/>
                <w:color w:val="000000"/>
                <w:sz w:val="20"/>
                <w:szCs w:val="20"/>
                <w:lang w:val="en-CA"/>
              </w:rPr>
            </w:pPr>
            <w:r w:rsidRPr="00B75955">
              <w:rPr>
                <w:color w:val="000000"/>
                <w:sz w:val="20"/>
                <w:szCs w:val="20"/>
                <w:lang w:val="en-CA"/>
              </w:rPr>
              <w:t>HPWH to R-290 (3 lines)</w:t>
            </w:r>
          </w:p>
        </w:tc>
        <w:tc>
          <w:tcPr>
            <w:tcW w:w="1348" w:type="pct"/>
            <w:tcBorders>
              <w:top w:val="single" w:sz="4" w:space="0" w:color="auto"/>
              <w:left w:val="nil"/>
              <w:bottom w:val="single" w:sz="4" w:space="0" w:color="auto"/>
              <w:right w:val="single" w:sz="4" w:space="0" w:color="auto"/>
            </w:tcBorders>
            <w:shd w:val="clear" w:color="auto" w:fill="auto"/>
            <w:vAlign w:val="center"/>
          </w:tcPr>
          <w:p w14:paraId="257DC53C" w14:textId="12EE06B7" w:rsidR="000C6A20" w:rsidRPr="00B75955" w:rsidRDefault="000C6A20" w:rsidP="000C6A20">
            <w:pPr>
              <w:jc w:val="right"/>
              <w:rPr>
                <w:b/>
                <w:bCs/>
                <w:color w:val="000000"/>
                <w:sz w:val="20"/>
                <w:szCs w:val="20"/>
                <w:lang w:val="en-CA"/>
              </w:rPr>
            </w:pPr>
            <w:r w:rsidRPr="00B75955">
              <w:rPr>
                <w:bCs/>
                <w:color w:val="000000"/>
                <w:sz w:val="20"/>
                <w:szCs w:val="20"/>
                <w:lang w:val="en-CA"/>
              </w:rPr>
              <w:t>1,016,250</w:t>
            </w:r>
          </w:p>
        </w:tc>
      </w:tr>
      <w:tr w:rsidR="000C6A20" w:rsidRPr="00B75955" w14:paraId="694D2490"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59C24229" w14:textId="408A5FB3" w:rsidR="000C6A20" w:rsidRPr="00B75955" w:rsidRDefault="000C6A20" w:rsidP="000C6A20">
            <w:pPr>
              <w:jc w:val="left"/>
              <w:rPr>
                <w:b/>
                <w:bCs/>
                <w:color w:val="000000"/>
                <w:sz w:val="20"/>
                <w:szCs w:val="20"/>
                <w:lang w:val="en-CA"/>
              </w:rPr>
            </w:pPr>
            <w:r w:rsidRPr="00B75955">
              <w:rPr>
                <w:color w:val="000000"/>
                <w:sz w:val="20"/>
                <w:szCs w:val="20"/>
                <w:lang w:val="en-CA"/>
              </w:rPr>
              <w:t>HPWH to R-744 (2 lines)</w:t>
            </w:r>
          </w:p>
        </w:tc>
        <w:tc>
          <w:tcPr>
            <w:tcW w:w="1348" w:type="pct"/>
            <w:tcBorders>
              <w:top w:val="single" w:sz="4" w:space="0" w:color="auto"/>
              <w:left w:val="nil"/>
              <w:bottom w:val="single" w:sz="4" w:space="0" w:color="auto"/>
              <w:right w:val="single" w:sz="4" w:space="0" w:color="auto"/>
            </w:tcBorders>
            <w:shd w:val="clear" w:color="auto" w:fill="auto"/>
            <w:vAlign w:val="center"/>
          </w:tcPr>
          <w:p w14:paraId="0C71155C" w14:textId="50846230" w:rsidR="000C6A20" w:rsidRPr="00B75955" w:rsidRDefault="000C6A20" w:rsidP="000C6A20">
            <w:pPr>
              <w:jc w:val="right"/>
              <w:rPr>
                <w:b/>
                <w:bCs/>
                <w:color w:val="000000"/>
                <w:sz w:val="20"/>
                <w:szCs w:val="20"/>
                <w:lang w:val="en-CA"/>
              </w:rPr>
            </w:pPr>
            <w:r w:rsidRPr="00B75955">
              <w:rPr>
                <w:bCs/>
                <w:color w:val="000000"/>
                <w:sz w:val="20"/>
                <w:szCs w:val="20"/>
                <w:lang w:val="en-CA"/>
              </w:rPr>
              <w:t>528,250</w:t>
            </w:r>
          </w:p>
        </w:tc>
      </w:tr>
      <w:tr w:rsidR="000C6A20" w:rsidRPr="00B75955" w14:paraId="57449553"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07A427D3" w14:textId="1786309E" w:rsidR="000C6A20" w:rsidRPr="00B75955" w:rsidRDefault="000C6A20" w:rsidP="000C6A20">
            <w:pPr>
              <w:jc w:val="left"/>
              <w:rPr>
                <w:b/>
                <w:bCs/>
                <w:color w:val="000000"/>
                <w:sz w:val="20"/>
                <w:szCs w:val="20"/>
                <w:lang w:val="en-CA"/>
              </w:rPr>
            </w:pPr>
            <w:r w:rsidRPr="00B75955">
              <w:rPr>
                <w:color w:val="000000"/>
                <w:sz w:val="20"/>
                <w:szCs w:val="20"/>
                <w:lang w:val="en-CA"/>
              </w:rPr>
              <w:t>Compressors to R-290 (3-4 lines)</w:t>
            </w:r>
          </w:p>
        </w:tc>
        <w:tc>
          <w:tcPr>
            <w:tcW w:w="1348" w:type="pct"/>
            <w:tcBorders>
              <w:top w:val="single" w:sz="4" w:space="0" w:color="auto"/>
              <w:left w:val="nil"/>
              <w:bottom w:val="single" w:sz="4" w:space="0" w:color="auto"/>
              <w:right w:val="single" w:sz="4" w:space="0" w:color="auto"/>
            </w:tcBorders>
            <w:shd w:val="clear" w:color="auto" w:fill="auto"/>
            <w:vAlign w:val="center"/>
          </w:tcPr>
          <w:p w14:paraId="3F98781C" w14:textId="01B79EC3" w:rsidR="000C6A20" w:rsidRPr="00B75955" w:rsidRDefault="000C6A20" w:rsidP="000C6A20">
            <w:pPr>
              <w:jc w:val="right"/>
              <w:rPr>
                <w:b/>
                <w:bCs/>
                <w:color w:val="000000"/>
                <w:sz w:val="20"/>
                <w:szCs w:val="20"/>
                <w:lang w:val="en-CA"/>
              </w:rPr>
            </w:pPr>
            <w:r w:rsidRPr="00B75955">
              <w:rPr>
                <w:bCs/>
                <w:color w:val="000000"/>
                <w:sz w:val="20"/>
                <w:szCs w:val="20"/>
                <w:lang w:val="en-CA"/>
              </w:rPr>
              <w:t>4,500,000</w:t>
            </w:r>
          </w:p>
        </w:tc>
      </w:tr>
      <w:tr w:rsidR="000C6A20" w:rsidRPr="00B75955" w14:paraId="6ACFA77B"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16648B73" w14:textId="1203E808" w:rsidR="000C6A20" w:rsidRPr="00B75955" w:rsidRDefault="000C6A20" w:rsidP="000C6A20">
            <w:pPr>
              <w:jc w:val="left"/>
              <w:rPr>
                <w:b/>
                <w:bCs/>
                <w:color w:val="000000"/>
                <w:sz w:val="20"/>
                <w:szCs w:val="20"/>
                <w:lang w:val="en-CA"/>
              </w:rPr>
            </w:pPr>
            <w:r w:rsidRPr="00B75955">
              <w:rPr>
                <w:color w:val="000000"/>
                <w:sz w:val="20"/>
                <w:szCs w:val="20"/>
                <w:lang w:val="en-CA"/>
              </w:rPr>
              <w:t>IOC</w:t>
            </w:r>
          </w:p>
        </w:tc>
        <w:tc>
          <w:tcPr>
            <w:tcW w:w="1348" w:type="pct"/>
            <w:tcBorders>
              <w:top w:val="single" w:sz="4" w:space="0" w:color="auto"/>
              <w:left w:val="nil"/>
              <w:bottom w:val="single" w:sz="4" w:space="0" w:color="auto"/>
              <w:right w:val="single" w:sz="4" w:space="0" w:color="auto"/>
            </w:tcBorders>
            <w:shd w:val="clear" w:color="auto" w:fill="auto"/>
            <w:vAlign w:val="center"/>
          </w:tcPr>
          <w:p w14:paraId="2A466CFB" w14:textId="7C5251B6" w:rsidR="000C6A20" w:rsidRPr="00B75955" w:rsidRDefault="000C6A20" w:rsidP="000C6A20">
            <w:pPr>
              <w:jc w:val="right"/>
              <w:rPr>
                <w:b/>
                <w:bCs/>
                <w:color w:val="000000"/>
                <w:sz w:val="20"/>
                <w:szCs w:val="20"/>
                <w:lang w:val="en-CA"/>
              </w:rPr>
            </w:pPr>
            <w:r w:rsidRPr="00B75955">
              <w:rPr>
                <w:bCs/>
                <w:color w:val="000000"/>
                <w:sz w:val="20"/>
                <w:szCs w:val="20"/>
                <w:lang w:val="en-CA"/>
              </w:rPr>
              <w:t>33,648,412</w:t>
            </w:r>
          </w:p>
        </w:tc>
      </w:tr>
      <w:tr w:rsidR="000C6A20" w:rsidRPr="00B75955" w14:paraId="5C8C336B" w14:textId="77777777" w:rsidTr="000C6A20">
        <w:trPr>
          <w:trHeight w:val="7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04177" w14:textId="422FD8FF" w:rsidR="000C6A20" w:rsidRPr="00B75955" w:rsidRDefault="000C6A20" w:rsidP="000C6A20">
            <w:pPr>
              <w:jc w:val="left"/>
              <w:rPr>
                <w:b/>
                <w:bCs/>
                <w:color w:val="000000"/>
                <w:sz w:val="20"/>
                <w:szCs w:val="20"/>
                <w:lang w:val="en-CA"/>
              </w:rPr>
            </w:pPr>
            <w:r w:rsidRPr="00B75955">
              <w:rPr>
                <w:b/>
                <w:bCs/>
                <w:color w:val="000000"/>
                <w:sz w:val="20"/>
                <w:szCs w:val="20"/>
                <w:lang w:val="en-CA"/>
              </w:rPr>
              <w:t>Technical assistance</w:t>
            </w:r>
          </w:p>
        </w:tc>
      </w:tr>
      <w:tr w:rsidR="000C6A20" w:rsidRPr="00B75955" w14:paraId="6B918EBA"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5D9F9E25" w14:textId="1A70E9AE" w:rsidR="000C6A20" w:rsidRPr="00B75955" w:rsidRDefault="000C6A20" w:rsidP="000C6A20">
            <w:pPr>
              <w:jc w:val="left"/>
              <w:rPr>
                <w:b/>
                <w:bCs/>
                <w:color w:val="000000"/>
                <w:sz w:val="20"/>
                <w:szCs w:val="20"/>
                <w:lang w:val="en-CA"/>
              </w:rPr>
            </w:pPr>
            <w:r w:rsidRPr="00B75955">
              <w:rPr>
                <w:color w:val="000000"/>
                <w:sz w:val="20"/>
                <w:szCs w:val="20"/>
                <w:lang w:val="en-CA"/>
              </w:rPr>
              <w:t>TA – bilateral contribution (Italy)</w:t>
            </w:r>
          </w:p>
        </w:tc>
        <w:tc>
          <w:tcPr>
            <w:tcW w:w="1348" w:type="pct"/>
            <w:tcBorders>
              <w:top w:val="single" w:sz="4" w:space="0" w:color="auto"/>
              <w:left w:val="nil"/>
              <w:bottom w:val="single" w:sz="4" w:space="0" w:color="auto"/>
              <w:right w:val="single" w:sz="4" w:space="0" w:color="auto"/>
            </w:tcBorders>
            <w:shd w:val="clear" w:color="auto" w:fill="auto"/>
            <w:vAlign w:val="center"/>
          </w:tcPr>
          <w:p w14:paraId="4F82E4D5" w14:textId="78C17281" w:rsidR="000C6A20" w:rsidRPr="00B75955" w:rsidRDefault="000C6A20" w:rsidP="000C6A20">
            <w:pPr>
              <w:jc w:val="right"/>
              <w:rPr>
                <w:b/>
                <w:bCs/>
                <w:color w:val="000000"/>
                <w:sz w:val="20"/>
                <w:szCs w:val="20"/>
                <w:lang w:val="en-CA"/>
              </w:rPr>
            </w:pPr>
            <w:r w:rsidRPr="00B75955">
              <w:rPr>
                <w:bCs/>
                <w:color w:val="000000"/>
                <w:sz w:val="20"/>
                <w:szCs w:val="20"/>
                <w:lang w:val="en-CA"/>
              </w:rPr>
              <w:t>891,892</w:t>
            </w:r>
          </w:p>
        </w:tc>
      </w:tr>
      <w:tr w:rsidR="000C6A20" w:rsidRPr="00B75955" w14:paraId="025D6F17"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3647201E" w14:textId="3052A4D8" w:rsidR="000C6A20" w:rsidRPr="00B75955" w:rsidRDefault="000C6A20" w:rsidP="000C6A20">
            <w:pPr>
              <w:jc w:val="left"/>
              <w:rPr>
                <w:b/>
                <w:bCs/>
                <w:color w:val="000000"/>
                <w:sz w:val="20"/>
                <w:szCs w:val="20"/>
                <w:lang w:val="en-CA"/>
              </w:rPr>
            </w:pPr>
            <w:r w:rsidRPr="00B75955">
              <w:rPr>
                <w:color w:val="000000"/>
                <w:sz w:val="20"/>
                <w:szCs w:val="20"/>
                <w:lang w:val="en-CA"/>
              </w:rPr>
              <w:t>Verification</w:t>
            </w:r>
          </w:p>
        </w:tc>
        <w:tc>
          <w:tcPr>
            <w:tcW w:w="1348" w:type="pct"/>
            <w:tcBorders>
              <w:top w:val="single" w:sz="4" w:space="0" w:color="auto"/>
              <w:left w:val="nil"/>
              <w:bottom w:val="single" w:sz="4" w:space="0" w:color="auto"/>
              <w:right w:val="single" w:sz="4" w:space="0" w:color="auto"/>
            </w:tcBorders>
            <w:shd w:val="clear" w:color="auto" w:fill="auto"/>
            <w:vAlign w:val="center"/>
          </w:tcPr>
          <w:p w14:paraId="61A7EDDF" w14:textId="6D8AAE2F" w:rsidR="000C6A20" w:rsidRPr="00B75955" w:rsidRDefault="000C6A20" w:rsidP="000C6A20">
            <w:pPr>
              <w:jc w:val="right"/>
              <w:rPr>
                <w:b/>
                <w:bCs/>
                <w:color w:val="000000"/>
                <w:sz w:val="20"/>
                <w:szCs w:val="20"/>
                <w:lang w:val="en-CA"/>
              </w:rPr>
            </w:pPr>
            <w:r w:rsidRPr="00B75955">
              <w:rPr>
                <w:bCs/>
                <w:color w:val="000000"/>
                <w:sz w:val="20"/>
                <w:szCs w:val="20"/>
                <w:lang w:val="en-CA"/>
              </w:rPr>
              <w:t>606,200</w:t>
            </w:r>
          </w:p>
        </w:tc>
      </w:tr>
      <w:tr w:rsidR="000C6A20" w:rsidRPr="00B75955" w14:paraId="7457E738"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11307B30" w14:textId="7C49385B" w:rsidR="000C6A20" w:rsidRPr="00B75955" w:rsidRDefault="000C6A20" w:rsidP="000C6A20">
            <w:pPr>
              <w:jc w:val="left"/>
              <w:rPr>
                <w:b/>
                <w:bCs/>
                <w:color w:val="000000"/>
                <w:sz w:val="20"/>
                <w:szCs w:val="20"/>
                <w:lang w:val="en-CA"/>
              </w:rPr>
            </w:pPr>
            <w:r w:rsidRPr="00B75955">
              <w:rPr>
                <w:color w:val="000000"/>
                <w:sz w:val="20"/>
                <w:szCs w:val="20"/>
                <w:lang w:val="en-CA"/>
              </w:rPr>
              <w:t>R&amp;D and standards</w:t>
            </w:r>
          </w:p>
        </w:tc>
        <w:tc>
          <w:tcPr>
            <w:tcW w:w="1348" w:type="pct"/>
            <w:tcBorders>
              <w:top w:val="single" w:sz="4" w:space="0" w:color="auto"/>
              <w:left w:val="nil"/>
              <w:bottom w:val="single" w:sz="4" w:space="0" w:color="auto"/>
              <w:right w:val="single" w:sz="4" w:space="0" w:color="auto"/>
            </w:tcBorders>
            <w:shd w:val="clear" w:color="auto" w:fill="auto"/>
            <w:vAlign w:val="center"/>
          </w:tcPr>
          <w:p w14:paraId="0BF29557" w14:textId="200401DB" w:rsidR="000C6A20" w:rsidRPr="00B75955" w:rsidRDefault="000C6A20" w:rsidP="000C6A20">
            <w:pPr>
              <w:jc w:val="right"/>
              <w:rPr>
                <w:b/>
                <w:bCs/>
                <w:color w:val="000000"/>
                <w:sz w:val="20"/>
                <w:szCs w:val="20"/>
                <w:lang w:val="en-CA"/>
              </w:rPr>
            </w:pPr>
            <w:r w:rsidRPr="00B75955">
              <w:rPr>
                <w:bCs/>
                <w:color w:val="000000"/>
                <w:sz w:val="20"/>
                <w:szCs w:val="20"/>
                <w:lang w:val="en-CA"/>
              </w:rPr>
              <w:t>3,365,000</w:t>
            </w:r>
          </w:p>
        </w:tc>
      </w:tr>
      <w:tr w:rsidR="000C6A20" w:rsidRPr="00B75955" w14:paraId="6DFEA365"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013E5778" w14:textId="54C7FFB4" w:rsidR="000C6A20" w:rsidRPr="00B75955" w:rsidRDefault="000C6A20" w:rsidP="000C6A20">
            <w:pPr>
              <w:jc w:val="left"/>
              <w:rPr>
                <w:b/>
                <w:bCs/>
                <w:color w:val="000000"/>
                <w:sz w:val="20"/>
                <w:szCs w:val="20"/>
                <w:lang w:val="en-CA"/>
              </w:rPr>
            </w:pPr>
            <w:r w:rsidRPr="00B75955">
              <w:rPr>
                <w:color w:val="000000"/>
                <w:sz w:val="20"/>
                <w:szCs w:val="20"/>
                <w:lang w:val="en-CA"/>
              </w:rPr>
              <w:t xml:space="preserve">Technical communication </w:t>
            </w:r>
          </w:p>
        </w:tc>
        <w:tc>
          <w:tcPr>
            <w:tcW w:w="1348" w:type="pct"/>
            <w:tcBorders>
              <w:top w:val="single" w:sz="4" w:space="0" w:color="auto"/>
              <w:left w:val="nil"/>
              <w:bottom w:val="single" w:sz="4" w:space="0" w:color="auto"/>
              <w:right w:val="single" w:sz="4" w:space="0" w:color="auto"/>
            </w:tcBorders>
            <w:shd w:val="clear" w:color="auto" w:fill="auto"/>
            <w:vAlign w:val="center"/>
          </w:tcPr>
          <w:p w14:paraId="4FAE54F9" w14:textId="17A991BB" w:rsidR="000C6A20" w:rsidRPr="00B75955" w:rsidRDefault="000C6A20" w:rsidP="000C6A20">
            <w:pPr>
              <w:jc w:val="right"/>
              <w:rPr>
                <w:b/>
                <w:bCs/>
                <w:color w:val="000000"/>
                <w:sz w:val="20"/>
                <w:szCs w:val="20"/>
                <w:lang w:val="en-CA"/>
              </w:rPr>
            </w:pPr>
            <w:r w:rsidRPr="00B75955">
              <w:rPr>
                <w:bCs/>
                <w:color w:val="000000"/>
                <w:sz w:val="20"/>
                <w:szCs w:val="20"/>
                <w:lang w:val="en-CA"/>
              </w:rPr>
              <w:t>340,000</w:t>
            </w:r>
          </w:p>
        </w:tc>
      </w:tr>
      <w:tr w:rsidR="000C6A20" w:rsidRPr="00B75955" w14:paraId="1EFC1109"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5D588928" w14:textId="5F4877A4" w:rsidR="000C6A20" w:rsidRPr="00B75955" w:rsidRDefault="000C6A20" w:rsidP="000C6A20">
            <w:pPr>
              <w:jc w:val="left"/>
              <w:rPr>
                <w:b/>
                <w:bCs/>
                <w:color w:val="000000"/>
                <w:sz w:val="20"/>
                <w:szCs w:val="20"/>
                <w:lang w:val="en-CA"/>
              </w:rPr>
            </w:pPr>
            <w:r w:rsidRPr="00B75955">
              <w:rPr>
                <w:color w:val="000000"/>
                <w:sz w:val="20"/>
                <w:szCs w:val="20"/>
                <w:lang w:val="en-CA"/>
              </w:rPr>
              <w:t>Publicity</w:t>
            </w:r>
          </w:p>
        </w:tc>
        <w:tc>
          <w:tcPr>
            <w:tcW w:w="1348" w:type="pct"/>
            <w:tcBorders>
              <w:top w:val="single" w:sz="4" w:space="0" w:color="auto"/>
              <w:left w:val="nil"/>
              <w:bottom w:val="single" w:sz="4" w:space="0" w:color="auto"/>
              <w:right w:val="single" w:sz="4" w:space="0" w:color="auto"/>
            </w:tcBorders>
            <w:shd w:val="clear" w:color="auto" w:fill="auto"/>
            <w:vAlign w:val="center"/>
          </w:tcPr>
          <w:p w14:paraId="2892B37A" w14:textId="7A22BE11" w:rsidR="000C6A20" w:rsidRPr="00B75955" w:rsidRDefault="000C6A20" w:rsidP="000C6A20">
            <w:pPr>
              <w:jc w:val="right"/>
              <w:rPr>
                <w:b/>
                <w:bCs/>
                <w:color w:val="000000"/>
                <w:sz w:val="20"/>
                <w:szCs w:val="20"/>
                <w:lang w:val="en-CA"/>
              </w:rPr>
            </w:pPr>
            <w:r w:rsidRPr="00B75955">
              <w:rPr>
                <w:bCs/>
                <w:color w:val="000000"/>
                <w:sz w:val="20"/>
                <w:szCs w:val="20"/>
                <w:lang w:val="en-CA"/>
              </w:rPr>
              <w:t>250,000</w:t>
            </w:r>
          </w:p>
        </w:tc>
      </w:tr>
      <w:tr w:rsidR="000C6A20" w:rsidRPr="00B75955" w14:paraId="291734E5" w14:textId="77777777" w:rsidTr="00F35DE2">
        <w:trPr>
          <w:trHeight w:val="78"/>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7CF7D57C" w14:textId="21E29D2C" w:rsidR="000C6A20" w:rsidRPr="00B75955" w:rsidRDefault="000C6A20" w:rsidP="000C6A20">
            <w:pPr>
              <w:jc w:val="left"/>
              <w:rPr>
                <w:b/>
                <w:bCs/>
                <w:color w:val="000000"/>
                <w:sz w:val="20"/>
                <w:szCs w:val="20"/>
                <w:lang w:val="en-CA"/>
              </w:rPr>
            </w:pPr>
            <w:r w:rsidRPr="00B75955">
              <w:rPr>
                <w:b/>
                <w:color w:val="000000"/>
                <w:sz w:val="20"/>
                <w:szCs w:val="20"/>
                <w:highlight w:val="yellow"/>
                <w:lang w:val="en-CA"/>
              </w:rPr>
              <w:t>CHEAA*</w:t>
            </w:r>
          </w:p>
        </w:tc>
        <w:tc>
          <w:tcPr>
            <w:tcW w:w="1348" w:type="pct"/>
            <w:tcBorders>
              <w:top w:val="single" w:sz="4" w:space="0" w:color="auto"/>
              <w:left w:val="nil"/>
              <w:bottom w:val="single" w:sz="4" w:space="0" w:color="auto"/>
              <w:right w:val="single" w:sz="4" w:space="0" w:color="auto"/>
            </w:tcBorders>
            <w:shd w:val="clear" w:color="auto" w:fill="auto"/>
            <w:vAlign w:val="center"/>
          </w:tcPr>
          <w:p w14:paraId="4AC600BD" w14:textId="0DB4525E" w:rsidR="000C6A20" w:rsidRPr="00B75955" w:rsidRDefault="000C6A20" w:rsidP="000C6A20">
            <w:pPr>
              <w:jc w:val="right"/>
              <w:rPr>
                <w:b/>
                <w:bCs/>
                <w:color w:val="000000"/>
                <w:sz w:val="20"/>
                <w:szCs w:val="20"/>
                <w:lang w:val="en-CA"/>
              </w:rPr>
            </w:pPr>
            <w:r w:rsidRPr="00B75955">
              <w:rPr>
                <w:b/>
                <w:bCs/>
                <w:color w:val="000000"/>
                <w:sz w:val="20"/>
                <w:szCs w:val="20"/>
                <w:highlight w:val="yellow"/>
                <w:lang w:val="en-CA"/>
              </w:rPr>
              <w:t>1,782,896</w:t>
            </w:r>
          </w:p>
        </w:tc>
      </w:tr>
      <w:tr w:rsidR="00421DC9" w:rsidRPr="00B75955" w14:paraId="794077A8" w14:textId="77777777" w:rsidTr="00421DC9">
        <w:trPr>
          <w:trHeight w:val="7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A45B2" w14:textId="2E2AADC5" w:rsidR="00421DC9" w:rsidRPr="00B75955" w:rsidRDefault="00421DC9" w:rsidP="00421DC9">
            <w:pPr>
              <w:jc w:val="left"/>
              <w:rPr>
                <w:b/>
                <w:bCs/>
                <w:color w:val="000000"/>
                <w:sz w:val="20"/>
                <w:szCs w:val="20"/>
                <w:highlight w:val="yellow"/>
                <w:lang w:val="en-CA"/>
              </w:rPr>
            </w:pPr>
            <w:r w:rsidRPr="00B75955">
              <w:rPr>
                <w:b/>
                <w:bCs/>
                <w:color w:val="000000"/>
                <w:sz w:val="20"/>
                <w:szCs w:val="20"/>
                <w:lang w:val="en-CA"/>
              </w:rPr>
              <w:t>Tools and PMU</w:t>
            </w:r>
          </w:p>
        </w:tc>
      </w:tr>
      <w:tr w:rsidR="000C6A20" w:rsidRPr="00B75955" w14:paraId="6B38D0A9" w14:textId="77777777" w:rsidTr="00F35DE2">
        <w:trPr>
          <w:trHeight w:val="43"/>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F2E65" w14:textId="77777777" w:rsidR="000C6A20" w:rsidRPr="00B75955" w:rsidRDefault="000C6A20" w:rsidP="000C6A20">
            <w:pPr>
              <w:jc w:val="left"/>
              <w:rPr>
                <w:color w:val="000000"/>
                <w:sz w:val="20"/>
                <w:szCs w:val="20"/>
                <w:lang w:val="en-CA"/>
              </w:rPr>
            </w:pPr>
            <w:r w:rsidRPr="00B75955">
              <w:rPr>
                <w:color w:val="000000"/>
                <w:sz w:val="20"/>
                <w:szCs w:val="20"/>
                <w:lang w:val="en-CA"/>
              </w:rPr>
              <w:t>Servicing tools</w:t>
            </w:r>
          </w:p>
        </w:tc>
        <w:tc>
          <w:tcPr>
            <w:tcW w:w="1348" w:type="pct"/>
            <w:tcBorders>
              <w:top w:val="nil"/>
              <w:left w:val="nil"/>
              <w:bottom w:val="single" w:sz="4" w:space="0" w:color="auto"/>
              <w:right w:val="single" w:sz="4" w:space="0" w:color="auto"/>
            </w:tcBorders>
            <w:shd w:val="clear" w:color="auto" w:fill="auto"/>
            <w:tcMar>
              <w:left w:w="115" w:type="dxa"/>
              <w:right w:w="216" w:type="dxa"/>
            </w:tcMar>
            <w:vAlign w:val="center"/>
            <w:hideMark/>
          </w:tcPr>
          <w:p w14:paraId="3243B9BA" w14:textId="77777777" w:rsidR="000C6A20" w:rsidRPr="00B75955" w:rsidRDefault="000C6A20" w:rsidP="000C6A20">
            <w:pPr>
              <w:jc w:val="right"/>
              <w:rPr>
                <w:bCs/>
                <w:color w:val="000000"/>
                <w:sz w:val="20"/>
                <w:szCs w:val="20"/>
                <w:lang w:val="en-CA"/>
              </w:rPr>
            </w:pPr>
            <w:r w:rsidRPr="00B75955">
              <w:rPr>
                <w:bCs/>
                <w:color w:val="000000"/>
                <w:sz w:val="20"/>
                <w:szCs w:val="20"/>
                <w:lang w:val="en-CA"/>
              </w:rPr>
              <w:t>3,996,000</w:t>
            </w:r>
          </w:p>
        </w:tc>
      </w:tr>
      <w:tr w:rsidR="000C6A20" w:rsidRPr="00B75955" w14:paraId="4216787E" w14:textId="77777777" w:rsidTr="00F35DE2">
        <w:trPr>
          <w:trHeight w:val="43"/>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tcPr>
          <w:p w14:paraId="76F3221C" w14:textId="3A5E7A45" w:rsidR="000C6A20" w:rsidRPr="00B75955" w:rsidRDefault="000C6A20" w:rsidP="000C6A20">
            <w:pPr>
              <w:jc w:val="left"/>
              <w:rPr>
                <w:color w:val="000000"/>
                <w:sz w:val="20"/>
                <w:szCs w:val="20"/>
                <w:lang w:val="en-CA"/>
              </w:rPr>
            </w:pPr>
            <w:r w:rsidRPr="00B75955">
              <w:rPr>
                <w:b/>
                <w:color w:val="000000"/>
                <w:sz w:val="20"/>
                <w:szCs w:val="20"/>
                <w:highlight w:val="yellow"/>
                <w:lang w:val="en-CA"/>
              </w:rPr>
              <w:t>Management cost*</w:t>
            </w:r>
            <w:r w:rsidRPr="00B75955">
              <w:rPr>
                <w:b/>
                <w:color w:val="000000"/>
                <w:sz w:val="20"/>
                <w:szCs w:val="20"/>
                <w:lang w:val="en-CA"/>
              </w:rPr>
              <w:t xml:space="preserve"> </w:t>
            </w:r>
            <w:r w:rsidRPr="00B75955">
              <w:rPr>
                <w:b/>
                <w:color w:val="000000"/>
                <w:sz w:val="20"/>
                <w:szCs w:val="20"/>
                <w:highlight w:val="yellow"/>
                <w:lang w:val="en-CA"/>
              </w:rPr>
              <w:t>(FECO)</w:t>
            </w:r>
          </w:p>
        </w:tc>
        <w:tc>
          <w:tcPr>
            <w:tcW w:w="1348" w:type="pct"/>
            <w:tcBorders>
              <w:top w:val="nil"/>
              <w:left w:val="nil"/>
              <w:bottom w:val="single" w:sz="4" w:space="0" w:color="auto"/>
              <w:right w:val="single" w:sz="4" w:space="0" w:color="auto"/>
            </w:tcBorders>
            <w:shd w:val="clear" w:color="auto" w:fill="auto"/>
            <w:tcMar>
              <w:left w:w="115" w:type="dxa"/>
              <w:right w:w="216" w:type="dxa"/>
            </w:tcMar>
            <w:vAlign w:val="center"/>
          </w:tcPr>
          <w:p w14:paraId="68709524" w14:textId="7E4D91AF" w:rsidR="000C6A20" w:rsidRPr="00B75955" w:rsidRDefault="000C6A20" w:rsidP="000C6A20">
            <w:pPr>
              <w:jc w:val="right"/>
              <w:rPr>
                <w:bCs/>
                <w:color w:val="000000"/>
                <w:sz w:val="20"/>
                <w:szCs w:val="20"/>
                <w:lang w:val="en-CA"/>
              </w:rPr>
            </w:pPr>
            <w:r w:rsidRPr="00B75955">
              <w:rPr>
                <w:b/>
                <w:bCs/>
                <w:color w:val="000000"/>
                <w:sz w:val="20"/>
                <w:szCs w:val="20"/>
                <w:highlight w:val="yellow"/>
                <w:lang w:val="en-CA"/>
              </w:rPr>
              <w:t>4,644,797</w:t>
            </w:r>
          </w:p>
        </w:tc>
      </w:tr>
      <w:tr w:rsidR="000C6A20" w:rsidRPr="00B75955" w14:paraId="27B26307" w14:textId="77777777" w:rsidTr="00F35DE2">
        <w:trPr>
          <w:trHeight w:val="112"/>
        </w:trPr>
        <w:tc>
          <w:tcPr>
            <w:tcW w:w="3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3A051" w14:textId="77777777" w:rsidR="000C6A20" w:rsidRPr="00B75955" w:rsidRDefault="000C6A20" w:rsidP="000C6A20">
            <w:pPr>
              <w:jc w:val="left"/>
              <w:rPr>
                <w:b/>
                <w:bCs/>
                <w:color w:val="000000"/>
                <w:sz w:val="20"/>
                <w:szCs w:val="20"/>
                <w:lang w:val="en-CA"/>
              </w:rPr>
            </w:pPr>
            <w:r w:rsidRPr="00B75955">
              <w:rPr>
                <w:b/>
                <w:bCs/>
                <w:color w:val="000000"/>
                <w:sz w:val="20"/>
                <w:szCs w:val="20"/>
                <w:lang w:val="en-CA"/>
              </w:rPr>
              <w:t>Total</w:t>
            </w:r>
          </w:p>
        </w:tc>
        <w:tc>
          <w:tcPr>
            <w:tcW w:w="1348" w:type="pct"/>
            <w:tcBorders>
              <w:top w:val="nil"/>
              <w:left w:val="nil"/>
              <w:bottom w:val="single" w:sz="4" w:space="0" w:color="auto"/>
              <w:right w:val="single" w:sz="4" w:space="0" w:color="auto"/>
            </w:tcBorders>
            <w:shd w:val="clear" w:color="auto" w:fill="auto"/>
            <w:tcMar>
              <w:left w:w="115" w:type="dxa"/>
              <w:right w:w="216" w:type="dxa"/>
            </w:tcMar>
            <w:vAlign w:val="center"/>
            <w:hideMark/>
          </w:tcPr>
          <w:p w14:paraId="07AA34A5" w14:textId="77777777" w:rsidR="000C6A20" w:rsidRPr="00B75955" w:rsidRDefault="000C6A20" w:rsidP="000C6A20">
            <w:pPr>
              <w:jc w:val="right"/>
              <w:rPr>
                <w:b/>
                <w:bCs/>
                <w:color w:val="000000"/>
                <w:sz w:val="20"/>
                <w:szCs w:val="20"/>
                <w:lang w:val="en-CA"/>
              </w:rPr>
            </w:pPr>
            <w:r w:rsidRPr="00B75955">
              <w:rPr>
                <w:b/>
                <w:bCs/>
                <w:color w:val="000000"/>
                <w:sz w:val="20"/>
                <w:szCs w:val="20"/>
                <w:lang w:val="en-CA"/>
              </w:rPr>
              <w:t>89,144,797</w:t>
            </w:r>
          </w:p>
        </w:tc>
      </w:tr>
    </w:tbl>
    <w:p w14:paraId="4DFD79F9" w14:textId="7F11BF06" w:rsidR="00C900E9" w:rsidRPr="00B75955" w:rsidRDefault="00C900E9" w:rsidP="00C900E9">
      <w:pPr>
        <w:rPr>
          <w:b/>
          <w:sz w:val="16"/>
          <w:szCs w:val="16"/>
          <w:lang w:val="en-CA"/>
        </w:rPr>
      </w:pPr>
      <w:r w:rsidRPr="00B75955">
        <w:rPr>
          <w:b/>
          <w:sz w:val="16"/>
          <w:szCs w:val="16"/>
          <w:highlight w:val="yellow"/>
          <w:lang w:val="en-CA"/>
        </w:rPr>
        <w:t xml:space="preserve">* In </w:t>
      </w:r>
      <w:r w:rsidR="00901D41" w:rsidRPr="00B75955">
        <w:rPr>
          <w:b/>
          <w:sz w:val="16"/>
          <w:szCs w:val="16"/>
          <w:highlight w:val="yellow"/>
          <w:lang w:val="en-CA"/>
        </w:rPr>
        <w:t xml:space="preserve">document </w:t>
      </w:r>
      <w:r w:rsidRPr="00B75955">
        <w:rPr>
          <w:b/>
          <w:sz w:val="16"/>
          <w:szCs w:val="16"/>
          <w:highlight w:val="yellow"/>
          <w:lang w:val="en-CA"/>
        </w:rPr>
        <w:t>UNEP/</w:t>
      </w:r>
      <w:proofErr w:type="spellStart"/>
      <w:r w:rsidRPr="00B75955">
        <w:rPr>
          <w:b/>
          <w:sz w:val="16"/>
          <w:szCs w:val="16"/>
          <w:highlight w:val="yellow"/>
          <w:lang w:val="en-CA"/>
        </w:rPr>
        <w:t>OzL.Pro</w:t>
      </w:r>
      <w:proofErr w:type="spellEnd"/>
      <w:r w:rsidRPr="00B75955">
        <w:rPr>
          <w:b/>
          <w:sz w:val="16"/>
          <w:szCs w:val="16"/>
          <w:highlight w:val="yellow"/>
          <w:lang w:val="en-CA"/>
        </w:rPr>
        <w:t>/</w:t>
      </w:r>
      <w:proofErr w:type="spellStart"/>
      <w:r w:rsidRPr="00B75955">
        <w:rPr>
          <w:b/>
          <w:sz w:val="16"/>
          <w:szCs w:val="16"/>
          <w:highlight w:val="yellow"/>
          <w:lang w:val="en-CA"/>
        </w:rPr>
        <w:t>ExCom</w:t>
      </w:r>
      <w:proofErr w:type="spellEnd"/>
      <w:r w:rsidRPr="00B75955">
        <w:rPr>
          <w:b/>
          <w:sz w:val="16"/>
          <w:szCs w:val="16"/>
          <w:highlight w:val="yellow"/>
          <w:lang w:val="en-CA"/>
        </w:rPr>
        <w:t>/80/37, funding for CHEAA and FECO were allocated to management costs.</w:t>
      </w:r>
    </w:p>
    <w:p w14:paraId="03037E21" w14:textId="1AD89B83" w:rsidR="00D0066A" w:rsidRPr="00B75955" w:rsidRDefault="00D0066A" w:rsidP="008A4C7A">
      <w:pPr>
        <w:keepNext/>
        <w:rPr>
          <w:b/>
          <w:lang w:val="en-CA"/>
        </w:rPr>
      </w:pPr>
    </w:p>
    <w:p w14:paraId="5E1C5E06" w14:textId="77777777" w:rsidR="008A4C7A" w:rsidRPr="00B75955" w:rsidRDefault="008A4C7A" w:rsidP="008A4C7A">
      <w:pPr>
        <w:spacing w:line="360" w:lineRule="auto"/>
        <w:rPr>
          <w:u w:val="single"/>
          <w:lang w:val="en-CA"/>
        </w:rPr>
      </w:pPr>
      <w:r w:rsidRPr="00B75955">
        <w:rPr>
          <w:u w:val="single"/>
          <w:lang w:val="en-CA"/>
        </w:rPr>
        <w:t>Level of fund disbursement</w:t>
      </w:r>
    </w:p>
    <w:p w14:paraId="014FFA07" w14:textId="77777777" w:rsidR="008A4C7A" w:rsidRPr="00B75955" w:rsidRDefault="008A4C7A" w:rsidP="008A4C7A">
      <w:pPr>
        <w:pStyle w:val="Heading1"/>
        <w:rPr>
          <w:lang w:val="en-CA"/>
        </w:rPr>
      </w:pPr>
      <w:r w:rsidRPr="00B75955">
        <w:rPr>
          <w:lang w:val="en-CA"/>
        </w:rPr>
        <w:t xml:space="preserve">The implementation subcontracts between FECO and the enterprises are performance-based with disbursements to be released upon completion of the following milestones: 30 per cent of ICCs will be paid upon signature of contract with FECO, 10 per cent upon signature of contract with suppliers, 40 per cent upon delivery of equipment and completion of trials, and 20 per cent after project acceptance. Disbursement of the incremental operating costs (IOCs) will be based upon the manufacturing of equipment with the agreed technology. The intention is to allocate 20 per cent of the IOCs with the manufacturers and 80 per cent will be used by FECO for an incentive scheme that is still to be developed. </w:t>
      </w:r>
    </w:p>
    <w:p w14:paraId="74379CF5" w14:textId="549B0506" w:rsidR="008A4C7A" w:rsidRPr="00B75955" w:rsidRDefault="008A4C7A" w:rsidP="008A4C7A">
      <w:pPr>
        <w:pStyle w:val="Heading1"/>
        <w:rPr>
          <w:highlight w:val="yellow"/>
          <w:lang w:val="en-CA"/>
        </w:rPr>
      </w:pPr>
      <w:r w:rsidRPr="00B75955">
        <w:rPr>
          <w:lang w:val="en-CA"/>
        </w:rPr>
        <w:t xml:space="preserve">As of </w:t>
      </w:r>
      <w:r w:rsidR="00400152" w:rsidRPr="00B75955">
        <w:rPr>
          <w:b/>
          <w:highlight w:val="yellow"/>
          <w:lang w:val="en-CA"/>
        </w:rPr>
        <w:t>30</w:t>
      </w:r>
      <w:r w:rsidR="00400152" w:rsidRPr="00B75955">
        <w:rPr>
          <w:b/>
          <w:lang w:val="en-CA"/>
        </w:rPr>
        <w:t xml:space="preserve"> </w:t>
      </w:r>
      <w:r w:rsidR="006F387D" w:rsidRPr="00B75955">
        <w:rPr>
          <w:b/>
          <w:highlight w:val="yellow"/>
          <w:lang w:val="en-CA"/>
        </w:rPr>
        <w:t>March 2018</w:t>
      </w:r>
      <w:r w:rsidRPr="00B75955">
        <w:rPr>
          <w:lang w:val="en-CA"/>
        </w:rPr>
        <w:t>, of the total US $15,562,981 approved, US $4,371,327 (28 per cent) has been transferred to FECO</w:t>
      </w:r>
      <w:r w:rsidR="00C74E4D" w:rsidRPr="00B75955">
        <w:rPr>
          <w:lang w:val="en-CA"/>
        </w:rPr>
        <w:t xml:space="preserve"> </w:t>
      </w:r>
      <w:r w:rsidR="00C74E4D" w:rsidRPr="00B75955">
        <w:rPr>
          <w:b/>
          <w:highlight w:val="yellow"/>
          <w:lang w:val="en-CA"/>
        </w:rPr>
        <w:t>and US $3,</w:t>
      </w:r>
      <w:r w:rsidR="00400152" w:rsidRPr="00B75955">
        <w:rPr>
          <w:b/>
          <w:highlight w:val="yellow"/>
          <w:lang w:val="en-CA"/>
        </w:rPr>
        <w:t>689,476</w:t>
      </w:r>
      <w:r w:rsidR="00C74E4D" w:rsidRPr="00B75955">
        <w:rPr>
          <w:b/>
          <w:highlight w:val="yellow"/>
          <w:lang w:val="en-CA"/>
        </w:rPr>
        <w:t xml:space="preserve"> (2</w:t>
      </w:r>
      <w:r w:rsidR="00400152" w:rsidRPr="00B75955">
        <w:rPr>
          <w:b/>
          <w:highlight w:val="yellow"/>
          <w:lang w:val="en-CA"/>
        </w:rPr>
        <w:t>4</w:t>
      </w:r>
      <w:r w:rsidR="004F3BB5" w:rsidRPr="00B75955">
        <w:rPr>
          <w:b/>
          <w:highlight w:val="yellow"/>
          <w:lang w:val="en-CA"/>
        </w:rPr>
        <w:t> per cent</w:t>
      </w:r>
      <w:r w:rsidR="00C74E4D" w:rsidRPr="00B75955">
        <w:rPr>
          <w:b/>
          <w:highlight w:val="yellow"/>
          <w:lang w:val="en-CA"/>
        </w:rPr>
        <w:t>) has been disbursed to final beneficiaries</w:t>
      </w:r>
      <w:r w:rsidRPr="00B75955">
        <w:rPr>
          <w:highlight w:val="yellow"/>
          <w:lang w:val="en-CA"/>
        </w:rPr>
        <w:t xml:space="preserve">. </w:t>
      </w:r>
    </w:p>
    <w:p w14:paraId="148D489C" w14:textId="1C914E5D" w:rsidR="008A4C7A" w:rsidRPr="00B75955" w:rsidRDefault="008A4C7A" w:rsidP="008A4C7A">
      <w:pPr>
        <w:keepNext/>
        <w:keepLines/>
        <w:rPr>
          <w:b/>
          <w:highlight w:val="yellow"/>
          <w:lang w:val="en-CA"/>
        </w:rPr>
      </w:pPr>
      <w:r w:rsidRPr="00B75955">
        <w:rPr>
          <w:b/>
          <w:highlight w:val="yellow"/>
          <w:lang w:val="en-CA"/>
        </w:rPr>
        <w:lastRenderedPageBreak/>
        <w:t>Table 3. Status of disbursements for the RAC sector plan as of</w:t>
      </w:r>
      <w:r w:rsidR="004F3BB5" w:rsidRPr="00B75955">
        <w:rPr>
          <w:b/>
          <w:highlight w:val="yellow"/>
          <w:lang w:val="en-CA"/>
        </w:rPr>
        <w:t xml:space="preserve"> 30 March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3"/>
        <w:gridCol w:w="2429"/>
        <w:gridCol w:w="2429"/>
        <w:gridCol w:w="7"/>
        <w:gridCol w:w="2422"/>
      </w:tblGrid>
      <w:tr w:rsidR="008A4C7A" w:rsidRPr="00B75955" w14:paraId="0EAA3747" w14:textId="77777777" w:rsidTr="00F35DE2">
        <w:trPr>
          <w:trHeight w:val="89"/>
        </w:trPr>
        <w:tc>
          <w:tcPr>
            <w:tcW w:w="1103" w:type="pct"/>
            <w:vMerge w:val="restart"/>
            <w:tcMar>
              <w:top w:w="0" w:type="dxa"/>
              <w:left w:w="108" w:type="dxa"/>
              <w:bottom w:w="0" w:type="dxa"/>
              <w:right w:w="108" w:type="dxa"/>
            </w:tcMar>
            <w:hideMark/>
          </w:tcPr>
          <w:p w14:paraId="0B275361" w14:textId="77777777" w:rsidR="008A4C7A" w:rsidRPr="00B75955" w:rsidRDefault="008A4C7A" w:rsidP="008A4C7A">
            <w:pPr>
              <w:keepNext/>
              <w:keepLines/>
              <w:jc w:val="center"/>
              <w:rPr>
                <w:b/>
                <w:bCs/>
                <w:sz w:val="20"/>
                <w:szCs w:val="20"/>
                <w:highlight w:val="yellow"/>
                <w:lang w:val="en-CA"/>
              </w:rPr>
            </w:pPr>
            <w:r w:rsidRPr="00B75955">
              <w:rPr>
                <w:b/>
                <w:bCs/>
                <w:sz w:val="20"/>
                <w:szCs w:val="20"/>
                <w:highlight w:val="yellow"/>
                <w:lang w:val="en-CA"/>
              </w:rPr>
              <w:t>Component</w:t>
            </w:r>
          </w:p>
        </w:tc>
        <w:tc>
          <w:tcPr>
            <w:tcW w:w="1299" w:type="pct"/>
            <w:vMerge w:val="restart"/>
            <w:tcMar>
              <w:top w:w="0" w:type="dxa"/>
              <w:left w:w="108" w:type="dxa"/>
              <w:bottom w:w="0" w:type="dxa"/>
              <w:right w:w="108" w:type="dxa"/>
            </w:tcMar>
            <w:hideMark/>
          </w:tcPr>
          <w:p w14:paraId="7EB66762" w14:textId="77777777" w:rsidR="008A4C7A" w:rsidRPr="00B75955" w:rsidRDefault="008A4C7A" w:rsidP="008A4C7A">
            <w:pPr>
              <w:keepNext/>
              <w:keepLines/>
              <w:jc w:val="center"/>
              <w:rPr>
                <w:b/>
                <w:bCs/>
                <w:sz w:val="20"/>
                <w:szCs w:val="20"/>
                <w:highlight w:val="yellow"/>
                <w:lang w:val="en-CA"/>
              </w:rPr>
            </w:pPr>
            <w:r w:rsidRPr="00B75955">
              <w:rPr>
                <w:b/>
                <w:bCs/>
                <w:sz w:val="20"/>
                <w:szCs w:val="20"/>
                <w:highlight w:val="yellow"/>
                <w:lang w:val="en-CA"/>
              </w:rPr>
              <w:t>Funds approved (US $)</w:t>
            </w:r>
          </w:p>
        </w:tc>
        <w:tc>
          <w:tcPr>
            <w:tcW w:w="2598" w:type="pct"/>
            <w:gridSpan w:val="3"/>
            <w:hideMark/>
          </w:tcPr>
          <w:p w14:paraId="36A90ED1" w14:textId="77777777" w:rsidR="008A4C7A" w:rsidRPr="00B75955" w:rsidRDefault="008A4C7A" w:rsidP="008A4C7A">
            <w:pPr>
              <w:keepNext/>
              <w:keepLines/>
              <w:jc w:val="center"/>
              <w:rPr>
                <w:b/>
                <w:bCs/>
                <w:sz w:val="20"/>
                <w:szCs w:val="20"/>
                <w:highlight w:val="yellow"/>
                <w:lang w:val="en-CA"/>
              </w:rPr>
            </w:pPr>
            <w:r w:rsidRPr="00B75955">
              <w:rPr>
                <w:b/>
                <w:bCs/>
                <w:sz w:val="20"/>
                <w:szCs w:val="20"/>
                <w:highlight w:val="yellow"/>
                <w:lang w:val="en-CA"/>
              </w:rPr>
              <w:t>Funds disbursed (US $)</w:t>
            </w:r>
          </w:p>
        </w:tc>
      </w:tr>
      <w:tr w:rsidR="008A4C7A" w:rsidRPr="00B75955" w14:paraId="5892308E" w14:textId="77777777" w:rsidTr="00F35DE2">
        <w:trPr>
          <w:trHeight w:val="206"/>
        </w:trPr>
        <w:tc>
          <w:tcPr>
            <w:tcW w:w="1103" w:type="pct"/>
            <w:vMerge/>
            <w:vAlign w:val="center"/>
            <w:hideMark/>
          </w:tcPr>
          <w:p w14:paraId="33175FFB" w14:textId="77777777" w:rsidR="008A4C7A" w:rsidRPr="00B75955" w:rsidRDefault="008A4C7A" w:rsidP="008A4C7A">
            <w:pPr>
              <w:keepNext/>
              <w:keepLines/>
              <w:rPr>
                <w:rFonts w:eastAsiaTheme="minorHAnsi"/>
                <w:b/>
                <w:bCs/>
                <w:sz w:val="20"/>
                <w:szCs w:val="20"/>
                <w:highlight w:val="yellow"/>
                <w:lang w:val="en-CA"/>
              </w:rPr>
            </w:pPr>
          </w:p>
        </w:tc>
        <w:tc>
          <w:tcPr>
            <w:tcW w:w="1299" w:type="pct"/>
            <w:vMerge/>
            <w:vAlign w:val="center"/>
            <w:hideMark/>
          </w:tcPr>
          <w:p w14:paraId="22C9FB13" w14:textId="77777777" w:rsidR="008A4C7A" w:rsidRPr="00B75955" w:rsidRDefault="008A4C7A" w:rsidP="008A4C7A">
            <w:pPr>
              <w:keepNext/>
              <w:keepLines/>
              <w:rPr>
                <w:rFonts w:eastAsiaTheme="minorHAnsi"/>
                <w:b/>
                <w:bCs/>
                <w:sz w:val="20"/>
                <w:szCs w:val="20"/>
                <w:highlight w:val="yellow"/>
                <w:lang w:val="en-CA"/>
              </w:rPr>
            </w:pPr>
          </w:p>
        </w:tc>
        <w:tc>
          <w:tcPr>
            <w:tcW w:w="1303" w:type="pct"/>
            <w:gridSpan w:val="2"/>
            <w:hideMark/>
          </w:tcPr>
          <w:p w14:paraId="39B1C80B" w14:textId="466FBF7D" w:rsidR="008A4C7A" w:rsidRPr="00B75955" w:rsidRDefault="00901D41" w:rsidP="008A4C7A">
            <w:pPr>
              <w:keepNext/>
              <w:keepLines/>
              <w:jc w:val="center"/>
              <w:rPr>
                <w:b/>
                <w:bCs/>
                <w:sz w:val="20"/>
                <w:szCs w:val="20"/>
                <w:highlight w:val="yellow"/>
                <w:lang w:val="en-CA"/>
              </w:rPr>
            </w:pPr>
            <w:r w:rsidRPr="00B75955">
              <w:rPr>
                <w:b/>
                <w:bCs/>
                <w:sz w:val="20"/>
                <w:szCs w:val="20"/>
                <w:highlight w:val="yellow"/>
                <w:lang w:val="en-CA"/>
              </w:rPr>
              <w:t>T</w:t>
            </w:r>
            <w:r w:rsidR="008A4C7A" w:rsidRPr="00B75955">
              <w:rPr>
                <w:b/>
                <w:bCs/>
                <w:sz w:val="20"/>
                <w:szCs w:val="20"/>
                <w:highlight w:val="yellow"/>
                <w:lang w:val="en-CA"/>
              </w:rPr>
              <w:t>o FECO</w:t>
            </w:r>
          </w:p>
        </w:tc>
        <w:tc>
          <w:tcPr>
            <w:tcW w:w="1295" w:type="pct"/>
            <w:hideMark/>
          </w:tcPr>
          <w:p w14:paraId="7454140D" w14:textId="3DDEC03B" w:rsidR="008A4C7A" w:rsidRPr="00B75955" w:rsidRDefault="00901D41" w:rsidP="008A4C7A">
            <w:pPr>
              <w:keepNext/>
              <w:keepLines/>
              <w:jc w:val="center"/>
              <w:rPr>
                <w:b/>
                <w:bCs/>
                <w:sz w:val="20"/>
                <w:szCs w:val="20"/>
                <w:highlight w:val="yellow"/>
                <w:lang w:val="en-CA"/>
              </w:rPr>
            </w:pPr>
            <w:r w:rsidRPr="00B75955">
              <w:rPr>
                <w:b/>
                <w:bCs/>
                <w:sz w:val="20"/>
                <w:szCs w:val="20"/>
                <w:highlight w:val="yellow"/>
                <w:lang w:val="en-CA"/>
              </w:rPr>
              <w:t>T</w:t>
            </w:r>
            <w:r w:rsidR="008A4C7A" w:rsidRPr="00B75955">
              <w:rPr>
                <w:b/>
                <w:bCs/>
                <w:sz w:val="20"/>
                <w:szCs w:val="20"/>
                <w:highlight w:val="yellow"/>
                <w:lang w:val="en-CA"/>
              </w:rPr>
              <w:t>o beneficiaries</w:t>
            </w:r>
          </w:p>
        </w:tc>
      </w:tr>
      <w:tr w:rsidR="008A4C7A" w:rsidRPr="00B75955" w14:paraId="1EFF260A" w14:textId="77777777" w:rsidTr="00F35DE2">
        <w:trPr>
          <w:trHeight w:val="47"/>
        </w:trPr>
        <w:tc>
          <w:tcPr>
            <w:tcW w:w="1103" w:type="pct"/>
            <w:noWrap/>
            <w:tcMar>
              <w:top w:w="0" w:type="dxa"/>
              <w:left w:w="108" w:type="dxa"/>
              <w:bottom w:w="0" w:type="dxa"/>
              <w:right w:w="108" w:type="dxa"/>
            </w:tcMar>
            <w:hideMark/>
          </w:tcPr>
          <w:p w14:paraId="7B5D9EE9" w14:textId="77777777" w:rsidR="008A4C7A" w:rsidRPr="00B75955" w:rsidRDefault="008A4C7A" w:rsidP="008A4C7A">
            <w:pPr>
              <w:keepNext/>
              <w:keepLines/>
              <w:rPr>
                <w:b/>
                <w:sz w:val="20"/>
                <w:szCs w:val="20"/>
                <w:highlight w:val="yellow"/>
                <w:lang w:val="en-CA"/>
              </w:rPr>
            </w:pPr>
            <w:r w:rsidRPr="00B75955">
              <w:rPr>
                <w:b/>
                <w:sz w:val="20"/>
                <w:szCs w:val="20"/>
                <w:highlight w:val="yellow"/>
                <w:lang w:val="en-CA"/>
              </w:rPr>
              <w:t>Enterprise activities</w:t>
            </w:r>
          </w:p>
        </w:tc>
        <w:tc>
          <w:tcPr>
            <w:tcW w:w="1299" w:type="pct"/>
            <w:noWrap/>
            <w:tcMar>
              <w:top w:w="0" w:type="dxa"/>
              <w:left w:w="108" w:type="dxa"/>
              <w:bottom w:w="0" w:type="dxa"/>
              <w:right w:w="288" w:type="dxa"/>
            </w:tcMar>
            <w:hideMark/>
          </w:tcPr>
          <w:p w14:paraId="51A63CFD" w14:textId="77777777" w:rsidR="008A4C7A" w:rsidRPr="00B75955" w:rsidRDefault="008A4C7A" w:rsidP="008A4C7A">
            <w:pPr>
              <w:keepNext/>
              <w:keepLines/>
              <w:jc w:val="right"/>
              <w:rPr>
                <w:b/>
                <w:sz w:val="20"/>
                <w:szCs w:val="20"/>
                <w:highlight w:val="yellow"/>
                <w:lang w:val="en-CA"/>
              </w:rPr>
            </w:pPr>
            <w:r w:rsidRPr="00B75955">
              <w:rPr>
                <w:b/>
                <w:sz w:val="20"/>
                <w:szCs w:val="20"/>
                <w:highlight w:val="yellow"/>
                <w:lang w:val="en-CA"/>
              </w:rPr>
              <w:t>11,977,500</w:t>
            </w:r>
          </w:p>
        </w:tc>
        <w:tc>
          <w:tcPr>
            <w:tcW w:w="1299" w:type="pct"/>
            <w:tcMar>
              <w:right w:w="288" w:type="dxa"/>
            </w:tcMar>
            <w:hideMark/>
          </w:tcPr>
          <w:p w14:paraId="717EA8EC" w14:textId="77777777" w:rsidR="008A4C7A" w:rsidRPr="00B75955" w:rsidRDefault="008A4C7A" w:rsidP="008A4C7A">
            <w:pPr>
              <w:keepNext/>
              <w:keepLines/>
              <w:ind w:right="89"/>
              <w:jc w:val="right"/>
              <w:rPr>
                <w:b/>
                <w:sz w:val="20"/>
                <w:szCs w:val="20"/>
                <w:highlight w:val="yellow"/>
                <w:lang w:val="en-CA"/>
              </w:rPr>
            </w:pPr>
            <w:r w:rsidRPr="00B75955">
              <w:rPr>
                <w:b/>
                <w:sz w:val="20"/>
                <w:szCs w:val="20"/>
                <w:highlight w:val="yellow"/>
                <w:lang w:val="en-CA"/>
              </w:rPr>
              <w:t>3,593,250</w:t>
            </w:r>
          </w:p>
        </w:tc>
        <w:tc>
          <w:tcPr>
            <w:tcW w:w="1299" w:type="pct"/>
            <w:gridSpan w:val="2"/>
            <w:noWrap/>
            <w:tcMar>
              <w:top w:w="0" w:type="dxa"/>
              <w:left w:w="108" w:type="dxa"/>
              <w:bottom w:w="0" w:type="dxa"/>
              <w:right w:w="288" w:type="dxa"/>
            </w:tcMar>
            <w:hideMark/>
          </w:tcPr>
          <w:p w14:paraId="23235EF8" w14:textId="4EC7F448" w:rsidR="008A4C7A" w:rsidRPr="00B75955" w:rsidRDefault="00C74E4D" w:rsidP="008A4C7A">
            <w:pPr>
              <w:keepNext/>
              <w:keepLines/>
              <w:jc w:val="right"/>
              <w:rPr>
                <w:b/>
                <w:sz w:val="20"/>
                <w:szCs w:val="20"/>
                <w:highlight w:val="yellow"/>
                <w:lang w:val="en-CA"/>
              </w:rPr>
            </w:pPr>
            <w:r w:rsidRPr="00B75955">
              <w:rPr>
                <w:b/>
                <w:sz w:val="20"/>
                <w:szCs w:val="20"/>
                <w:highlight w:val="yellow"/>
                <w:lang w:val="en-CA"/>
              </w:rPr>
              <w:t>3,313,740</w:t>
            </w:r>
          </w:p>
        </w:tc>
      </w:tr>
      <w:tr w:rsidR="008A4C7A" w:rsidRPr="00B75955" w14:paraId="6D0DB421" w14:textId="77777777" w:rsidTr="00F35DE2">
        <w:trPr>
          <w:trHeight w:val="47"/>
        </w:trPr>
        <w:tc>
          <w:tcPr>
            <w:tcW w:w="1103" w:type="pct"/>
            <w:noWrap/>
            <w:tcMar>
              <w:top w:w="0" w:type="dxa"/>
              <w:left w:w="108" w:type="dxa"/>
              <w:bottom w:w="0" w:type="dxa"/>
              <w:right w:w="108" w:type="dxa"/>
            </w:tcMar>
            <w:hideMark/>
          </w:tcPr>
          <w:p w14:paraId="3D630E39" w14:textId="77777777" w:rsidR="008A4C7A" w:rsidRPr="00B75955" w:rsidRDefault="008A4C7A" w:rsidP="008A4C7A">
            <w:pPr>
              <w:keepNext/>
              <w:rPr>
                <w:b/>
                <w:sz w:val="20"/>
                <w:szCs w:val="20"/>
                <w:highlight w:val="yellow"/>
                <w:lang w:val="en-CA"/>
              </w:rPr>
            </w:pPr>
            <w:r w:rsidRPr="00B75955">
              <w:rPr>
                <w:b/>
                <w:sz w:val="20"/>
                <w:szCs w:val="20"/>
                <w:highlight w:val="yellow"/>
                <w:lang w:val="en-CA"/>
              </w:rPr>
              <w:t xml:space="preserve">TA </w:t>
            </w:r>
          </w:p>
        </w:tc>
        <w:tc>
          <w:tcPr>
            <w:tcW w:w="1299" w:type="pct"/>
            <w:noWrap/>
            <w:tcMar>
              <w:top w:w="0" w:type="dxa"/>
              <w:left w:w="108" w:type="dxa"/>
              <w:bottom w:w="0" w:type="dxa"/>
              <w:right w:w="288" w:type="dxa"/>
            </w:tcMar>
            <w:hideMark/>
          </w:tcPr>
          <w:p w14:paraId="1C256A37" w14:textId="77777777" w:rsidR="008A4C7A" w:rsidRPr="00B75955" w:rsidRDefault="008A4C7A" w:rsidP="008A4C7A">
            <w:pPr>
              <w:keepNext/>
              <w:jc w:val="right"/>
              <w:rPr>
                <w:b/>
                <w:sz w:val="20"/>
                <w:szCs w:val="20"/>
                <w:highlight w:val="yellow"/>
                <w:lang w:val="en-CA"/>
              </w:rPr>
            </w:pPr>
            <w:r w:rsidRPr="00B75955">
              <w:rPr>
                <w:b/>
                <w:sz w:val="20"/>
                <w:szCs w:val="20"/>
                <w:highlight w:val="yellow"/>
                <w:lang w:val="en-CA"/>
              </w:rPr>
              <w:t>2,463,328</w:t>
            </w:r>
          </w:p>
        </w:tc>
        <w:tc>
          <w:tcPr>
            <w:tcW w:w="1299" w:type="pct"/>
            <w:tcMar>
              <w:right w:w="288" w:type="dxa"/>
            </w:tcMar>
            <w:hideMark/>
          </w:tcPr>
          <w:p w14:paraId="62687AB9" w14:textId="77777777" w:rsidR="008A4C7A" w:rsidRPr="00B75955" w:rsidRDefault="008A4C7A" w:rsidP="008A4C7A">
            <w:pPr>
              <w:keepNext/>
              <w:ind w:right="89"/>
              <w:jc w:val="right"/>
              <w:rPr>
                <w:b/>
                <w:sz w:val="20"/>
                <w:szCs w:val="20"/>
                <w:highlight w:val="yellow"/>
                <w:lang w:val="en-CA"/>
              </w:rPr>
            </w:pPr>
            <w:r w:rsidRPr="00B75955">
              <w:rPr>
                <w:b/>
                <w:sz w:val="20"/>
                <w:szCs w:val="20"/>
                <w:highlight w:val="yellow"/>
                <w:lang w:val="en-CA"/>
              </w:rPr>
              <w:t>441,431</w:t>
            </w:r>
          </w:p>
        </w:tc>
        <w:tc>
          <w:tcPr>
            <w:tcW w:w="1299" w:type="pct"/>
            <w:gridSpan w:val="2"/>
            <w:noWrap/>
            <w:tcMar>
              <w:top w:w="0" w:type="dxa"/>
              <w:left w:w="108" w:type="dxa"/>
              <w:bottom w:w="0" w:type="dxa"/>
              <w:right w:w="288" w:type="dxa"/>
            </w:tcMar>
            <w:hideMark/>
          </w:tcPr>
          <w:p w14:paraId="5D38F4A1" w14:textId="5944E83F" w:rsidR="008A4C7A" w:rsidRPr="00B75955" w:rsidRDefault="00543596" w:rsidP="008A4C7A">
            <w:pPr>
              <w:jc w:val="right"/>
              <w:rPr>
                <w:b/>
                <w:sz w:val="20"/>
                <w:szCs w:val="20"/>
                <w:highlight w:val="yellow"/>
                <w:lang w:val="en-CA"/>
              </w:rPr>
            </w:pPr>
            <w:r w:rsidRPr="00B75955">
              <w:rPr>
                <w:b/>
                <w:sz w:val="20"/>
                <w:szCs w:val="20"/>
                <w:highlight w:val="yellow"/>
                <w:lang w:val="en-CA"/>
              </w:rPr>
              <w:t>132,468*</w:t>
            </w:r>
          </w:p>
        </w:tc>
      </w:tr>
      <w:tr w:rsidR="008A4C7A" w:rsidRPr="00B75955" w14:paraId="13DF96C0" w14:textId="77777777" w:rsidTr="00F35DE2">
        <w:trPr>
          <w:trHeight w:val="47"/>
        </w:trPr>
        <w:tc>
          <w:tcPr>
            <w:tcW w:w="1103" w:type="pct"/>
            <w:noWrap/>
            <w:tcMar>
              <w:top w:w="0" w:type="dxa"/>
              <w:left w:w="108" w:type="dxa"/>
              <w:bottom w:w="0" w:type="dxa"/>
              <w:right w:w="108" w:type="dxa"/>
            </w:tcMar>
            <w:hideMark/>
          </w:tcPr>
          <w:p w14:paraId="41C4488E" w14:textId="77777777" w:rsidR="008A4C7A" w:rsidRPr="00B75955" w:rsidRDefault="008A4C7A" w:rsidP="008A4C7A">
            <w:pPr>
              <w:keepNext/>
              <w:rPr>
                <w:b/>
                <w:sz w:val="20"/>
                <w:szCs w:val="20"/>
                <w:highlight w:val="yellow"/>
                <w:lang w:val="en-CA"/>
              </w:rPr>
            </w:pPr>
            <w:r w:rsidRPr="00B75955">
              <w:rPr>
                <w:b/>
                <w:sz w:val="20"/>
                <w:szCs w:val="20"/>
                <w:highlight w:val="yellow"/>
                <w:lang w:val="en-CA"/>
              </w:rPr>
              <w:t>PMU</w:t>
            </w:r>
          </w:p>
        </w:tc>
        <w:tc>
          <w:tcPr>
            <w:tcW w:w="1299" w:type="pct"/>
            <w:noWrap/>
            <w:tcMar>
              <w:top w:w="0" w:type="dxa"/>
              <w:left w:w="108" w:type="dxa"/>
              <w:bottom w:w="0" w:type="dxa"/>
              <w:right w:w="288" w:type="dxa"/>
            </w:tcMar>
            <w:hideMark/>
          </w:tcPr>
          <w:p w14:paraId="22203F16" w14:textId="77777777" w:rsidR="008A4C7A" w:rsidRPr="00B75955" w:rsidRDefault="008A4C7A" w:rsidP="008A4C7A">
            <w:pPr>
              <w:keepNext/>
              <w:jc w:val="right"/>
              <w:rPr>
                <w:b/>
                <w:sz w:val="20"/>
                <w:szCs w:val="20"/>
                <w:highlight w:val="yellow"/>
                <w:lang w:val="en-CA"/>
              </w:rPr>
            </w:pPr>
            <w:r w:rsidRPr="00B75955">
              <w:rPr>
                <w:b/>
                <w:sz w:val="20"/>
                <w:szCs w:val="20"/>
                <w:highlight w:val="yellow"/>
                <w:lang w:val="en-CA"/>
              </w:rPr>
              <w:t>1,122,153</w:t>
            </w:r>
          </w:p>
        </w:tc>
        <w:tc>
          <w:tcPr>
            <w:tcW w:w="1299" w:type="pct"/>
            <w:tcMar>
              <w:right w:w="288" w:type="dxa"/>
            </w:tcMar>
            <w:hideMark/>
          </w:tcPr>
          <w:p w14:paraId="4A20FE1E" w14:textId="77777777" w:rsidR="008A4C7A" w:rsidRPr="00B75955" w:rsidRDefault="008A4C7A" w:rsidP="008A4C7A">
            <w:pPr>
              <w:keepNext/>
              <w:ind w:right="89"/>
              <w:jc w:val="right"/>
              <w:rPr>
                <w:b/>
                <w:sz w:val="20"/>
                <w:szCs w:val="20"/>
                <w:highlight w:val="yellow"/>
                <w:lang w:val="en-CA"/>
              </w:rPr>
            </w:pPr>
            <w:r w:rsidRPr="00B75955">
              <w:rPr>
                <w:b/>
                <w:sz w:val="20"/>
                <w:szCs w:val="20"/>
                <w:highlight w:val="yellow"/>
                <w:lang w:val="en-CA"/>
              </w:rPr>
              <w:t>336,646</w:t>
            </w:r>
          </w:p>
        </w:tc>
        <w:tc>
          <w:tcPr>
            <w:tcW w:w="1299" w:type="pct"/>
            <w:gridSpan w:val="2"/>
            <w:noWrap/>
            <w:tcMar>
              <w:top w:w="0" w:type="dxa"/>
              <w:left w:w="108" w:type="dxa"/>
              <w:bottom w:w="0" w:type="dxa"/>
              <w:right w:w="288" w:type="dxa"/>
            </w:tcMar>
            <w:hideMark/>
          </w:tcPr>
          <w:p w14:paraId="6EC1978B" w14:textId="128E906D" w:rsidR="008A4C7A" w:rsidRPr="00B75955" w:rsidRDefault="00400152" w:rsidP="008A4C7A">
            <w:pPr>
              <w:jc w:val="right"/>
              <w:rPr>
                <w:b/>
                <w:sz w:val="20"/>
                <w:szCs w:val="20"/>
                <w:highlight w:val="yellow"/>
                <w:lang w:val="en-CA"/>
              </w:rPr>
            </w:pPr>
            <w:r w:rsidRPr="00B75955">
              <w:rPr>
                <w:b/>
                <w:sz w:val="20"/>
                <w:szCs w:val="20"/>
                <w:highlight w:val="yellow"/>
                <w:lang w:val="en-CA"/>
              </w:rPr>
              <w:t>243,268</w:t>
            </w:r>
          </w:p>
        </w:tc>
      </w:tr>
      <w:tr w:rsidR="008A4C7A" w:rsidRPr="00B75955" w14:paraId="475FB89D" w14:textId="77777777" w:rsidTr="00F35DE2">
        <w:trPr>
          <w:trHeight w:val="47"/>
        </w:trPr>
        <w:tc>
          <w:tcPr>
            <w:tcW w:w="1103" w:type="pct"/>
            <w:noWrap/>
            <w:tcMar>
              <w:top w:w="0" w:type="dxa"/>
              <w:left w:w="108" w:type="dxa"/>
              <w:bottom w:w="0" w:type="dxa"/>
              <w:right w:w="108" w:type="dxa"/>
            </w:tcMar>
            <w:hideMark/>
          </w:tcPr>
          <w:p w14:paraId="03A702EB" w14:textId="77777777" w:rsidR="008A4C7A" w:rsidRPr="00B75955" w:rsidRDefault="008A4C7A" w:rsidP="008A4C7A">
            <w:pPr>
              <w:keepNext/>
              <w:rPr>
                <w:b/>
                <w:bCs/>
                <w:sz w:val="20"/>
                <w:szCs w:val="20"/>
                <w:highlight w:val="yellow"/>
                <w:lang w:val="en-CA"/>
              </w:rPr>
            </w:pPr>
            <w:r w:rsidRPr="00B75955">
              <w:rPr>
                <w:b/>
                <w:bCs/>
                <w:sz w:val="20"/>
                <w:szCs w:val="20"/>
                <w:highlight w:val="yellow"/>
                <w:lang w:val="en-CA"/>
              </w:rPr>
              <w:t>Total</w:t>
            </w:r>
          </w:p>
        </w:tc>
        <w:tc>
          <w:tcPr>
            <w:tcW w:w="1299" w:type="pct"/>
            <w:noWrap/>
            <w:tcMar>
              <w:top w:w="0" w:type="dxa"/>
              <w:left w:w="108" w:type="dxa"/>
              <w:bottom w:w="0" w:type="dxa"/>
              <w:right w:w="288" w:type="dxa"/>
            </w:tcMar>
            <w:hideMark/>
          </w:tcPr>
          <w:p w14:paraId="3927A991" w14:textId="77777777" w:rsidR="008A4C7A" w:rsidRPr="00B75955" w:rsidRDefault="008A4C7A" w:rsidP="008A4C7A">
            <w:pPr>
              <w:keepNext/>
              <w:jc w:val="right"/>
              <w:rPr>
                <w:b/>
                <w:bCs/>
                <w:sz w:val="20"/>
                <w:szCs w:val="20"/>
                <w:highlight w:val="yellow"/>
                <w:lang w:val="en-CA"/>
              </w:rPr>
            </w:pPr>
            <w:r w:rsidRPr="00B75955">
              <w:rPr>
                <w:b/>
                <w:bCs/>
                <w:sz w:val="20"/>
                <w:szCs w:val="20"/>
                <w:highlight w:val="yellow"/>
                <w:lang w:val="en-CA"/>
              </w:rPr>
              <w:t>15,562,981</w:t>
            </w:r>
          </w:p>
        </w:tc>
        <w:tc>
          <w:tcPr>
            <w:tcW w:w="1299" w:type="pct"/>
            <w:tcMar>
              <w:right w:w="288" w:type="dxa"/>
            </w:tcMar>
            <w:hideMark/>
          </w:tcPr>
          <w:p w14:paraId="41A1025B" w14:textId="77777777" w:rsidR="008A4C7A" w:rsidRPr="00B75955" w:rsidRDefault="008A4C7A" w:rsidP="008A4C7A">
            <w:pPr>
              <w:keepNext/>
              <w:ind w:right="89"/>
              <w:jc w:val="right"/>
              <w:rPr>
                <w:b/>
                <w:bCs/>
                <w:sz w:val="20"/>
                <w:szCs w:val="20"/>
                <w:highlight w:val="yellow"/>
                <w:lang w:val="en-CA"/>
              </w:rPr>
            </w:pPr>
            <w:r w:rsidRPr="00B75955">
              <w:rPr>
                <w:b/>
                <w:bCs/>
                <w:sz w:val="20"/>
                <w:szCs w:val="20"/>
                <w:highlight w:val="yellow"/>
                <w:lang w:val="en-CA"/>
              </w:rPr>
              <w:t>4,371,327</w:t>
            </w:r>
          </w:p>
        </w:tc>
        <w:tc>
          <w:tcPr>
            <w:tcW w:w="1299" w:type="pct"/>
            <w:gridSpan w:val="2"/>
            <w:noWrap/>
            <w:tcMar>
              <w:top w:w="0" w:type="dxa"/>
              <w:left w:w="108" w:type="dxa"/>
              <w:bottom w:w="0" w:type="dxa"/>
              <w:right w:w="288" w:type="dxa"/>
            </w:tcMar>
            <w:hideMark/>
          </w:tcPr>
          <w:p w14:paraId="58E43F5D" w14:textId="6EC2EA8C" w:rsidR="008A4C7A" w:rsidRPr="00B75955" w:rsidRDefault="005E1D2F" w:rsidP="00400152">
            <w:pPr>
              <w:jc w:val="right"/>
              <w:rPr>
                <w:b/>
                <w:sz w:val="20"/>
                <w:szCs w:val="20"/>
                <w:highlight w:val="yellow"/>
                <w:lang w:val="en-CA"/>
              </w:rPr>
            </w:pPr>
            <w:r w:rsidRPr="00B75955">
              <w:rPr>
                <w:b/>
                <w:sz w:val="20"/>
                <w:szCs w:val="20"/>
                <w:highlight w:val="yellow"/>
                <w:lang w:val="en-CA"/>
              </w:rPr>
              <w:t>3,</w:t>
            </w:r>
            <w:r w:rsidR="00400152" w:rsidRPr="00B75955">
              <w:rPr>
                <w:b/>
                <w:sz w:val="20"/>
                <w:szCs w:val="20"/>
                <w:highlight w:val="yellow"/>
                <w:lang w:val="en-CA"/>
              </w:rPr>
              <w:t>689,476</w:t>
            </w:r>
          </w:p>
        </w:tc>
      </w:tr>
    </w:tbl>
    <w:p w14:paraId="3E3A331B" w14:textId="5E305C3F" w:rsidR="008A4C7A" w:rsidRPr="00B75955" w:rsidRDefault="00543596" w:rsidP="008A4C7A">
      <w:pPr>
        <w:rPr>
          <w:b/>
          <w:sz w:val="16"/>
          <w:szCs w:val="16"/>
          <w:lang w:val="en-CA"/>
        </w:rPr>
      </w:pPr>
      <w:r w:rsidRPr="00B75955">
        <w:rPr>
          <w:b/>
          <w:sz w:val="16"/>
          <w:szCs w:val="16"/>
          <w:highlight w:val="yellow"/>
          <w:lang w:val="en-CA"/>
        </w:rPr>
        <w:t xml:space="preserve">* </w:t>
      </w:r>
      <w:r w:rsidR="00FC5200" w:rsidRPr="00B75955">
        <w:rPr>
          <w:b/>
          <w:sz w:val="16"/>
          <w:szCs w:val="16"/>
          <w:highlight w:val="yellow"/>
          <w:lang w:val="en-CA"/>
        </w:rPr>
        <w:t>C</w:t>
      </w:r>
      <w:r w:rsidRPr="00B75955">
        <w:rPr>
          <w:b/>
          <w:sz w:val="16"/>
          <w:szCs w:val="16"/>
          <w:highlight w:val="yellow"/>
          <w:lang w:val="en-CA"/>
        </w:rPr>
        <w:t>omprise</w:t>
      </w:r>
      <w:r w:rsidR="00FC5200" w:rsidRPr="00B75955">
        <w:rPr>
          <w:b/>
          <w:sz w:val="16"/>
          <w:szCs w:val="16"/>
          <w:highlight w:val="yellow"/>
          <w:lang w:val="en-CA"/>
        </w:rPr>
        <w:t>s</w:t>
      </w:r>
      <w:r w:rsidRPr="00B75955">
        <w:rPr>
          <w:b/>
          <w:sz w:val="16"/>
          <w:szCs w:val="16"/>
          <w:highlight w:val="yellow"/>
          <w:lang w:val="en-CA"/>
        </w:rPr>
        <w:t xml:space="preserve"> verification (US $39,090) and funding for CHEAA (US $93,378).</w:t>
      </w:r>
    </w:p>
    <w:p w14:paraId="6EA14B66" w14:textId="77777777" w:rsidR="00543596" w:rsidRPr="00B75955" w:rsidRDefault="00543596" w:rsidP="00346D3D">
      <w:pPr>
        <w:rPr>
          <w:lang w:val="en-CA"/>
        </w:rPr>
      </w:pPr>
    </w:p>
    <w:p w14:paraId="59C76501" w14:textId="77777777" w:rsidR="008A4C7A" w:rsidRPr="00B75955" w:rsidRDefault="008A4C7A" w:rsidP="00FD0D4E">
      <w:pPr>
        <w:keepNext/>
        <w:keepLines/>
        <w:rPr>
          <w:u w:val="single"/>
          <w:lang w:val="en-CA"/>
        </w:rPr>
      </w:pPr>
      <w:r w:rsidRPr="00B75955">
        <w:rPr>
          <w:u w:val="single"/>
          <w:lang w:val="en-CA"/>
        </w:rPr>
        <w:t>Implementation plan for the second tranche</w:t>
      </w:r>
    </w:p>
    <w:p w14:paraId="517ABB2B" w14:textId="77777777" w:rsidR="008A4C7A" w:rsidRPr="00B75955" w:rsidRDefault="008A4C7A" w:rsidP="00FD0D4E">
      <w:pPr>
        <w:keepNext/>
        <w:keepLines/>
        <w:rPr>
          <w:u w:val="single"/>
          <w:lang w:val="en-CA"/>
        </w:rPr>
      </w:pPr>
    </w:p>
    <w:p w14:paraId="6C6B385C" w14:textId="6D2FD630" w:rsidR="008A4C7A" w:rsidRPr="00B75955" w:rsidRDefault="008A4C7A" w:rsidP="00FD0D4E">
      <w:pPr>
        <w:pStyle w:val="Heading1"/>
        <w:keepNext/>
        <w:keepLines/>
        <w:spacing w:after="0"/>
        <w:rPr>
          <w:lang w:val="en-CA"/>
        </w:rPr>
      </w:pPr>
      <w:r w:rsidRPr="00B75955">
        <w:rPr>
          <w:lang w:val="en-CA"/>
        </w:rPr>
        <w:t>FECO will continue enforcing the quota permits to RAC enterprises consuming more than 100 </w:t>
      </w:r>
      <w:proofErr w:type="spellStart"/>
      <w:r w:rsidRPr="00B75955">
        <w:rPr>
          <w:lang w:val="en-CA"/>
        </w:rPr>
        <w:t>mt</w:t>
      </w:r>
      <w:proofErr w:type="spellEnd"/>
      <w:r w:rsidRPr="00B75955">
        <w:rPr>
          <w:lang w:val="en-CA"/>
        </w:rPr>
        <w:t xml:space="preserve"> of HCFCs per year, and select between </w:t>
      </w:r>
      <w:r w:rsidR="009C7943" w:rsidRPr="00B75955">
        <w:rPr>
          <w:b/>
          <w:highlight w:val="yellow"/>
          <w:lang w:val="en-CA"/>
        </w:rPr>
        <w:t>seven</w:t>
      </w:r>
      <w:r w:rsidR="00C640CD" w:rsidRPr="00B75955">
        <w:rPr>
          <w:b/>
          <w:highlight w:val="yellow"/>
          <w:lang w:val="en-CA"/>
        </w:rPr>
        <w:t xml:space="preserve"> and ten</w:t>
      </w:r>
      <w:r w:rsidRPr="00B75955">
        <w:rPr>
          <w:lang w:val="en-CA"/>
        </w:rPr>
        <w:t xml:space="preserve"> lines for conversion</w:t>
      </w:r>
      <w:r w:rsidR="009C7943" w:rsidRPr="00B75955">
        <w:rPr>
          <w:lang w:val="en-CA"/>
        </w:rPr>
        <w:t xml:space="preserve"> </w:t>
      </w:r>
      <w:r w:rsidR="009C7943" w:rsidRPr="00B75955">
        <w:rPr>
          <w:b/>
          <w:highlight w:val="yellow"/>
          <w:lang w:val="en-CA"/>
        </w:rPr>
        <w:t>in addition to those assisted under the first tranche</w:t>
      </w:r>
      <w:r w:rsidRPr="00B75955">
        <w:rPr>
          <w:lang w:val="en-CA"/>
        </w:rPr>
        <w:t>. The following TA will be implemented: enterprise baselines verifications; continued R&amp;D activities for the introduction of R-290 and new technologies for the RAC sector; a study tour on the performance of alternative technologies in the air-conditioning industry, analysis of the barriers of international standards, and discussion of possible revisions to international safety standards; and at least two technical communication meetings, and at least one public awareness activity.</w:t>
      </w:r>
    </w:p>
    <w:p w14:paraId="5F38EB4B" w14:textId="77777777" w:rsidR="00FC5200" w:rsidRPr="00B75955" w:rsidRDefault="00FC5200" w:rsidP="00FC5200">
      <w:pPr>
        <w:rPr>
          <w:lang w:val="en-CA"/>
        </w:rPr>
      </w:pPr>
    </w:p>
    <w:p w14:paraId="685E1628" w14:textId="77777777" w:rsidR="008A4C7A" w:rsidRPr="00B75955" w:rsidRDefault="008A4C7A" w:rsidP="008A4C7A">
      <w:pPr>
        <w:pStyle w:val="Heading1"/>
        <w:keepNext/>
        <w:keepLines/>
        <w:rPr>
          <w:lang w:val="en-CA"/>
        </w:rPr>
      </w:pPr>
      <w:r w:rsidRPr="00B75955">
        <w:rPr>
          <w:lang w:val="en-CA"/>
        </w:rPr>
        <w:t xml:space="preserve">Table 4 presents the budget of the activities to be implemented during the implementation of the second tranche. </w:t>
      </w:r>
    </w:p>
    <w:p w14:paraId="7C84FCBB" w14:textId="478E0B4C" w:rsidR="008A4C7A" w:rsidRPr="00B75955" w:rsidRDefault="008A4C7A" w:rsidP="008A4C7A">
      <w:pPr>
        <w:pStyle w:val="Heading1"/>
        <w:keepNext/>
        <w:keepLines/>
        <w:widowControl w:val="0"/>
        <w:numPr>
          <w:ilvl w:val="0"/>
          <w:numId w:val="0"/>
        </w:numPr>
        <w:spacing w:after="0"/>
        <w:jc w:val="left"/>
        <w:rPr>
          <w:b/>
          <w:lang w:val="en-CA"/>
        </w:rPr>
      </w:pPr>
      <w:r w:rsidRPr="00B75955">
        <w:rPr>
          <w:b/>
          <w:lang w:val="en-CA"/>
        </w:rPr>
        <w:t xml:space="preserve">Table 4. Budget for the second tranche of the RAC sector plan </w:t>
      </w:r>
    </w:p>
    <w:tbl>
      <w:tblPr>
        <w:tblW w:w="5000" w:type="pct"/>
        <w:tblLook w:val="04A0" w:firstRow="1" w:lastRow="0" w:firstColumn="1" w:lastColumn="0" w:noHBand="0" w:noVBand="1"/>
      </w:tblPr>
      <w:tblGrid>
        <w:gridCol w:w="6745"/>
        <w:gridCol w:w="2605"/>
      </w:tblGrid>
      <w:tr w:rsidR="00866373" w:rsidRPr="00B75955" w14:paraId="31CFC31C" w14:textId="77777777" w:rsidTr="00F35DE2">
        <w:trPr>
          <w:trHeight w:val="257"/>
        </w:trPr>
        <w:tc>
          <w:tcPr>
            <w:tcW w:w="3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927C2" w14:textId="77777777" w:rsidR="00866373" w:rsidRPr="00B75955" w:rsidRDefault="00866373" w:rsidP="00866373">
            <w:pPr>
              <w:jc w:val="center"/>
              <w:rPr>
                <w:b/>
                <w:bCs/>
                <w:color w:val="000000"/>
                <w:sz w:val="20"/>
                <w:szCs w:val="20"/>
                <w:lang w:val="en-CA"/>
              </w:rPr>
            </w:pPr>
            <w:r w:rsidRPr="00B75955">
              <w:rPr>
                <w:b/>
                <w:bCs/>
                <w:color w:val="000000"/>
                <w:sz w:val="20"/>
                <w:szCs w:val="20"/>
                <w:lang w:val="en-CA"/>
              </w:rPr>
              <w:t>Activity</w:t>
            </w:r>
          </w:p>
        </w:tc>
        <w:tc>
          <w:tcPr>
            <w:tcW w:w="1393" w:type="pct"/>
            <w:tcBorders>
              <w:top w:val="single" w:sz="4" w:space="0" w:color="auto"/>
              <w:left w:val="nil"/>
              <w:bottom w:val="single" w:sz="4" w:space="0" w:color="auto"/>
              <w:right w:val="single" w:sz="4" w:space="0" w:color="auto"/>
            </w:tcBorders>
            <w:shd w:val="clear" w:color="auto" w:fill="auto"/>
            <w:vAlign w:val="center"/>
            <w:hideMark/>
          </w:tcPr>
          <w:p w14:paraId="63E70C4D" w14:textId="77777777" w:rsidR="00866373" w:rsidRPr="00B75955" w:rsidRDefault="00866373" w:rsidP="00866373">
            <w:pPr>
              <w:jc w:val="center"/>
              <w:rPr>
                <w:b/>
                <w:bCs/>
                <w:color w:val="000000"/>
                <w:sz w:val="20"/>
                <w:szCs w:val="20"/>
                <w:lang w:val="en-CA"/>
              </w:rPr>
            </w:pPr>
            <w:r w:rsidRPr="00B75955">
              <w:rPr>
                <w:b/>
                <w:bCs/>
                <w:color w:val="000000"/>
                <w:sz w:val="20"/>
                <w:szCs w:val="20"/>
                <w:lang w:val="en-CA" w:eastAsia="zh-CN"/>
              </w:rPr>
              <w:t>Budget (US $)</w:t>
            </w:r>
          </w:p>
        </w:tc>
      </w:tr>
      <w:tr w:rsidR="00866373" w:rsidRPr="00B75955" w14:paraId="06A44397" w14:textId="77777777" w:rsidTr="00F35DE2">
        <w:trPr>
          <w:trHeight w:val="132"/>
        </w:trPr>
        <w:tc>
          <w:tcPr>
            <w:tcW w:w="3607" w:type="pct"/>
            <w:tcBorders>
              <w:top w:val="nil"/>
              <w:left w:val="single" w:sz="4" w:space="0" w:color="auto"/>
              <w:bottom w:val="single" w:sz="4" w:space="0" w:color="auto"/>
              <w:right w:val="single" w:sz="4" w:space="0" w:color="auto"/>
            </w:tcBorders>
            <w:shd w:val="clear" w:color="auto" w:fill="auto"/>
            <w:vAlign w:val="center"/>
            <w:hideMark/>
          </w:tcPr>
          <w:p w14:paraId="0A7CDA8C" w14:textId="77777777" w:rsidR="00866373" w:rsidRPr="00B75955" w:rsidRDefault="00866373" w:rsidP="00866373">
            <w:pPr>
              <w:rPr>
                <w:b/>
                <w:color w:val="000000"/>
                <w:sz w:val="20"/>
                <w:szCs w:val="20"/>
                <w:highlight w:val="yellow"/>
                <w:lang w:val="en-CA"/>
              </w:rPr>
            </w:pPr>
            <w:r w:rsidRPr="00B75955">
              <w:rPr>
                <w:b/>
                <w:color w:val="000000"/>
                <w:sz w:val="20"/>
                <w:szCs w:val="20"/>
                <w:highlight w:val="yellow"/>
                <w:lang w:val="en-CA"/>
              </w:rPr>
              <w:t>Conversion of RAC lines to R-290</w:t>
            </w:r>
          </w:p>
        </w:tc>
        <w:tc>
          <w:tcPr>
            <w:tcW w:w="1393" w:type="pct"/>
            <w:tcBorders>
              <w:top w:val="nil"/>
              <w:left w:val="nil"/>
              <w:bottom w:val="single" w:sz="4" w:space="0" w:color="auto"/>
              <w:right w:val="single" w:sz="4" w:space="0" w:color="auto"/>
            </w:tcBorders>
            <w:shd w:val="clear" w:color="auto" w:fill="auto"/>
            <w:tcMar>
              <w:left w:w="115" w:type="dxa"/>
              <w:right w:w="288" w:type="dxa"/>
            </w:tcMar>
            <w:vAlign w:val="center"/>
            <w:hideMark/>
          </w:tcPr>
          <w:p w14:paraId="72D8EA5F" w14:textId="77777777" w:rsidR="00866373" w:rsidRPr="00B75955" w:rsidRDefault="00866373" w:rsidP="00866373">
            <w:pPr>
              <w:jc w:val="right"/>
              <w:rPr>
                <w:b/>
                <w:color w:val="000000"/>
                <w:sz w:val="20"/>
                <w:szCs w:val="20"/>
                <w:highlight w:val="yellow"/>
                <w:lang w:val="en-CA"/>
              </w:rPr>
            </w:pPr>
            <w:r w:rsidRPr="00B75955">
              <w:rPr>
                <w:b/>
                <w:color w:val="000000"/>
                <w:sz w:val="20"/>
                <w:szCs w:val="20"/>
                <w:highlight w:val="yellow"/>
                <w:lang w:val="en-CA" w:eastAsia="zh-CN"/>
              </w:rPr>
              <w:t>13,522,500</w:t>
            </w:r>
          </w:p>
        </w:tc>
      </w:tr>
      <w:tr w:rsidR="00866373" w:rsidRPr="00B75955" w14:paraId="6396CA5A" w14:textId="77777777" w:rsidTr="00F35DE2">
        <w:trPr>
          <w:trHeight w:val="43"/>
        </w:trPr>
        <w:tc>
          <w:tcPr>
            <w:tcW w:w="3607" w:type="pct"/>
            <w:tcBorders>
              <w:top w:val="nil"/>
              <w:left w:val="single" w:sz="4" w:space="0" w:color="auto"/>
              <w:bottom w:val="single" w:sz="4" w:space="0" w:color="auto"/>
              <w:right w:val="single" w:sz="4" w:space="0" w:color="auto"/>
            </w:tcBorders>
            <w:shd w:val="clear" w:color="auto" w:fill="auto"/>
            <w:vAlign w:val="center"/>
            <w:hideMark/>
          </w:tcPr>
          <w:p w14:paraId="66C19BBE" w14:textId="77777777" w:rsidR="00866373" w:rsidRPr="00B75955" w:rsidRDefault="00866373" w:rsidP="00866373">
            <w:pPr>
              <w:rPr>
                <w:b/>
                <w:color w:val="000000"/>
                <w:sz w:val="20"/>
                <w:szCs w:val="20"/>
                <w:highlight w:val="yellow"/>
                <w:lang w:val="en-CA"/>
              </w:rPr>
            </w:pPr>
            <w:r w:rsidRPr="00B75955">
              <w:rPr>
                <w:b/>
                <w:color w:val="000000"/>
                <w:sz w:val="20"/>
                <w:szCs w:val="20"/>
                <w:highlight w:val="yellow"/>
                <w:lang w:val="en-CA"/>
              </w:rPr>
              <w:t>Conversion of HPWH to R-290</w:t>
            </w:r>
          </w:p>
        </w:tc>
        <w:tc>
          <w:tcPr>
            <w:tcW w:w="1393" w:type="pct"/>
            <w:tcBorders>
              <w:top w:val="nil"/>
              <w:left w:val="nil"/>
              <w:bottom w:val="single" w:sz="4" w:space="0" w:color="auto"/>
              <w:right w:val="single" w:sz="4" w:space="0" w:color="auto"/>
            </w:tcBorders>
            <w:shd w:val="clear" w:color="auto" w:fill="auto"/>
            <w:tcMar>
              <w:left w:w="115" w:type="dxa"/>
              <w:right w:w="288" w:type="dxa"/>
            </w:tcMar>
            <w:vAlign w:val="center"/>
            <w:hideMark/>
          </w:tcPr>
          <w:p w14:paraId="2C80C874" w14:textId="77777777" w:rsidR="00866373" w:rsidRPr="00B75955" w:rsidRDefault="00866373" w:rsidP="00866373">
            <w:pPr>
              <w:jc w:val="right"/>
              <w:rPr>
                <w:b/>
                <w:color w:val="000000"/>
                <w:sz w:val="20"/>
                <w:szCs w:val="20"/>
                <w:highlight w:val="yellow"/>
                <w:lang w:val="en-CA"/>
              </w:rPr>
            </w:pPr>
            <w:r w:rsidRPr="00B75955">
              <w:rPr>
                <w:b/>
                <w:color w:val="000000"/>
                <w:sz w:val="20"/>
                <w:szCs w:val="20"/>
                <w:highlight w:val="yellow"/>
                <w:lang w:val="en-CA"/>
              </w:rPr>
              <w:t>677,500</w:t>
            </w:r>
          </w:p>
        </w:tc>
      </w:tr>
      <w:tr w:rsidR="00866373" w:rsidRPr="00B75955" w14:paraId="6E29A227" w14:textId="77777777" w:rsidTr="00F35DE2">
        <w:trPr>
          <w:trHeight w:val="68"/>
        </w:trPr>
        <w:tc>
          <w:tcPr>
            <w:tcW w:w="3607" w:type="pct"/>
            <w:tcBorders>
              <w:top w:val="nil"/>
              <w:left w:val="single" w:sz="4" w:space="0" w:color="auto"/>
              <w:bottom w:val="single" w:sz="4" w:space="0" w:color="auto"/>
              <w:right w:val="single" w:sz="4" w:space="0" w:color="auto"/>
            </w:tcBorders>
            <w:shd w:val="clear" w:color="auto" w:fill="auto"/>
            <w:vAlign w:val="center"/>
            <w:hideMark/>
          </w:tcPr>
          <w:p w14:paraId="2ADDD216" w14:textId="77777777" w:rsidR="00866373" w:rsidRPr="00B75955" w:rsidRDefault="00866373" w:rsidP="00866373">
            <w:pPr>
              <w:rPr>
                <w:b/>
                <w:color w:val="000000"/>
                <w:sz w:val="20"/>
                <w:szCs w:val="20"/>
                <w:highlight w:val="yellow"/>
                <w:lang w:val="en-CA"/>
              </w:rPr>
            </w:pPr>
            <w:r w:rsidRPr="00B75955">
              <w:rPr>
                <w:b/>
                <w:color w:val="000000"/>
                <w:sz w:val="20"/>
                <w:szCs w:val="20"/>
                <w:highlight w:val="yellow"/>
                <w:lang w:val="en-CA"/>
              </w:rPr>
              <w:t>Conversion of HPWH to R-744</w:t>
            </w:r>
          </w:p>
        </w:tc>
        <w:tc>
          <w:tcPr>
            <w:tcW w:w="1393" w:type="pct"/>
            <w:tcBorders>
              <w:top w:val="nil"/>
              <w:left w:val="nil"/>
              <w:bottom w:val="single" w:sz="4" w:space="0" w:color="auto"/>
              <w:right w:val="single" w:sz="4" w:space="0" w:color="auto"/>
            </w:tcBorders>
            <w:shd w:val="clear" w:color="auto" w:fill="auto"/>
            <w:tcMar>
              <w:left w:w="115" w:type="dxa"/>
              <w:right w:w="288" w:type="dxa"/>
            </w:tcMar>
            <w:vAlign w:val="center"/>
            <w:hideMark/>
          </w:tcPr>
          <w:p w14:paraId="1AD16558" w14:textId="77777777" w:rsidR="00866373" w:rsidRPr="00B75955" w:rsidRDefault="00866373" w:rsidP="00866373">
            <w:pPr>
              <w:jc w:val="right"/>
              <w:rPr>
                <w:b/>
                <w:color w:val="000000"/>
                <w:sz w:val="20"/>
                <w:szCs w:val="20"/>
                <w:highlight w:val="yellow"/>
                <w:lang w:val="en-CA"/>
              </w:rPr>
            </w:pPr>
            <w:r w:rsidRPr="00B75955">
              <w:rPr>
                <w:b/>
                <w:color w:val="000000"/>
                <w:sz w:val="20"/>
                <w:szCs w:val="20"/>
                <w:highlight w:val="yellow"/>
                <w:lang w:val="en-CA"/>
              </w:rPr>
              <w:t>264,125</w:t>
            </w:r>
          </w:p>
        </w:tc>
      </w:tr>
      <w:tr w:rsidR="00866373" w:rsidRPr="00B75955" w14:paraId="067C66CF" w14:textId="77777777" w:rsidTr="00F35DE2">
        <w:trPr>
          <w:trHeight w:val="115"/>
        </w:trPr>
        <w:tc>
          <w:tcPr>
            <w:tcW w:w="3607" w:type="pct"/>
            <w:tcBorders>
              <w:top w:val="nil"/>
              <w:left w:val="single" w:sz="4" w:space="0" w:color="auto"/>
              <w:bottom w:val="single" w:sz="4" w:space="0" w:color="auto"/>
              <w:right w:val="single" w:sz="4" w:space="0" w:color="auto"/>
            </w:tcBorders>
            <w:shd w:val="clear" w:color="auto" w:fill="auto"/>
            <w:vAlign w:val="center"/>
            <w:hideMark/>
          </w:tcPr>
          <w:p w14:paraId="4E3EB36B" w14:textId="41C8F1F8" w:rsidR="00866373" w:rsidRPr="00B75955" w:rsidRDefault="00866373" w:rsidP="00866373">
            <w:pPr>
              <w:rPr>
                <w:b/>
                <w:color w:val="000000"/>
                <w:sz w:val="20"/>
                <w:szCs w:val="20"/>
                <w:highlight w:val="yellow"/>
                <w:lang w:val="en-CA"/>
              </w:rPr>
            </w:pPr>
            <w:r w:rsidRPr="00B75955">
              <w:rPr>
                <w:b/>
                <w:color w:val="000000"/>
                <w:sz w:val="20"/>
                <w:szCs w:val="20"/>
                <w:highlight w:val="yellow"/>
                <w:lang w:val="en-CA"/>
              </w:rPr>
              <w:t>TA activities*</w:t>
            </w:r>
            <w:r w:rsidR="00F35DE2" w:rsidRPr="00B75955">
              <w:rPr>
                <w:b/>
                <w:color w:val="000000"/>
                <w:sz w:val="20"/>
                <w:szCs w:val="20"/>
                <w:highlight w:val="yellow"/>
                <w:lang w:val="en-CA"/>
              </w:rPr>
              <w:t xml:space="preserve"> </w:t>
            </w:r>
          </w:p>
        </w:tc>
        <w:tc>
          <w:tcPr>
            <w:tcW w:w="1393" w:type="pct"/>
            <w:tcBorders>
              <w:top w:val="nil"/>
              <w:left w:val="nil"/>
              <w:bottom w:val="single" w:sz="4" w:space="0" w:color="auto"/>
              <w:right w:val="single" w:sz="4" w:space="0" w:color="auto"/>
            </w:tcBorders>
            <w:shd w:val="clear" w:color="auto" w:fill="auto"/>
            <w:tcMar>
              <w:left w:w="115" w:type="dxa"/>
              <w:right w:w="288" w:type="dxa"/>
            </w:tcMar>
            <w:vAlign w:val="center"/>
            <w:hideMark/>
          </w:tcPr>
          <w:p w14:paraId="5675F672" w14:textId="77777777" w:rsidR="00866373" w:rsidRPr="00B75955" w:rsidRDefault="00866373" w:rsidP="00866373">
            <w:pPr>
              <w:jc w:val="right"/>
              <w:rPr>
                <w:b/>
                <w:color w:val="000000"/>
                <w:sz w:val="20"/>
                <w:szCs w:val="20"/>
                <w:highlight w:val="yellow"/>
                <w:lang w:val="en-CA"/>
              </w:rPr>
            </w:pPr>
            <w:r w:rsidRPr="00B75955">
              <w:rPr>
                <w:b/>
                <w:color w:val="000000"/>
                <w:sz w:val="20"/>
                <w:szCs w:val="20"/>
                <w:highlight w:val="yellow"/>
                <w:lang w:val="en-CA"/>
              </w:rPr>
              <w:t>702,212</w:t>
            </w:r>
          </w:p>
        </w:tc>
      </w:tr>
      <w:tr w:rsidR="00866373" w:rsidRPr="00B75955" w14:paraId="302F5B2A" w14:textId="77777777" w:rsidTr="00F35DE2">
        <w:trPr>
          <w:trHeight w:val="43"/>
        </w:trPr>
        <w:tc>
          <w:tcPr>
            <w:tcW w:w="3607" w:type="pct"/>
            <w:tcBorders>
              <w:top w:val="nil"/>
              <w:left w:val="single" w:sz="4" w:space="0" w:color="auto"/>
              <w:bottom w:val="single" w:sz="4" w:space="0" w:color="auto"/>
              <w:right w:val="single" w:sz="4" w:space="0" w:color="auto"/>
            </w:tcBorders>
            <w:shd w:val="clear" w:color="auto" w:fill="auto"/>
            <w:vAlign w:val="center"/>
            <w:hideMark/>
          </w:tcPr>
          <w:p w14:paraId="6D80BC2F" w14:textId="0E0A9C64" w:rsidR="00866373" w:rsidRPr="00B75955" w:rsidRDefault="00866373" w:rsidP="00866373">
            <w:pPr>
              <w:jc w:val="left"/>
              <w:rPr>
                <w:b/>
                <w:color w:val="000000"/>
                <w:sz w:val="20"/>
                <w:szCs w:val="20"/>
                <w:highlight w:val="yellow"/>
                <w:lang w:val="en-CA"/>
              </w:rPr>
            </w:pPr>
            <w:r w:rsidRPr="00B75955">
              <w:rPr>
                <w:b/>
                <w:color w:val="000000"/>
                <w:sz w:val="20"/>
                <w:szCs w:val="20"/>
                <w:highlight w:val="yellow"/>
                <w:lang w:val="en-CA" w:eastAsia="zh-CN"/>
              </w:rPr>
              <w:t>PMU</w:t>
            </w:r>
          </w:p>
        </w:tc>
        <w:tc>
          <w:tcPr>
            <w:tcW w:w="1393" w:type="pct"/>
            <w:tcBorders>
              <w:top w:val="nil"/>
              <w:left w:val="nil"/>
              <w:bottom w:val="single" w:sz="4" w:space="0" w:color="auto"/>
              <w:right w:val="single" w:sz="4" w:space="0" w:color="auto"/>
            </w:tcBorders>
            <w:shd w:val="clear" w:color="auto" w:fill="auto"/>
            <w:tcMar>
              <w:left w:w="115" w:type="dxa"/>
              <w:right w:w="288" w:type="dxa"/>
            </w:tcMar>
            <w:vAlign w:val="center"/>
            <w:hideMark/>
          </w:tcPr>
          <w:p w14:paraId="7EC03E9F" w14:textId="77777777" w:rsidR="00866373" w:rsidRPr="00B75955" w:rsidRDefault="00866373" w:rsidP="00866373">
            <w:pPr>
              <w:jc w:val="right"/>
              <w:rPr>
                <w:b/>
                <w:color w:val="000000"/>
                <w:sz w:val="20"/>
                <w:szCs w:val="20"/>
                <w:highlight w:val="yellow"/>
                <w:lang w:val="en-CA"/>
              </w:rPr>
            </w:pPr>
            <w:r w:rsidRPr="00B75955">
              <w:rPr>
                <w:b/>
                <w:color w:val="000000"/>
                <w:sz w:val="20"/>
                <w:szCs w:val="20"/>
                <w:highlight w:val="yellow"/>
                <w:lang w:val="en-CA" w:eastAsia="zh-CN"/>
              </w:rPr>
              <w:t>833,663</w:t>
            </w:r>
          </w:p>
        </w:tc>
      </w:tr>
      <w:tr w:rsidR="00866373" w:rsidRPr="00B75955" w14:paraId="23036290" w14:textId="77777777" w:rsidTr="00F35DE2">
        <w:trPr>
          <w:trHeight w:val="300"/>
        </w:trPr>
        <w:tc>
          <w:tcPr>
            <w:tcW w:w="3607" w:type="pct"/>
            <w:tcBorders>
              <w:top w:val="nil"/>
              <w:left w:val="single" w:sz="4" w:space="0" w:color="auto"/>
              <w:bottom w:val="single" w:sz="4" w:space="0" w:color="auto"/>
              <w:right w:val="single" w:sz="4" w:space="0" w:color="auto"/>
            </w:tcBorders>
            <w:shd w:val="clear" w:color="auto" w:fill="auto"/>
            <w:vAlign w:val="center"/>
            <w:hideMark/>
          </w:tcPr>
          <w:p w14:paraId="23C92869" w14:textId="77777777" w:rsidR="00866373" w:rsidRPr="00B75955" w:rsidRDefault="00866373" w:rsidP="00866373">
            <w:pPr>
              <w:jc w:val="left"/>
              <w:rPr>
                <w:b/>
                <w:bCs/>
                <w:color w:val="000000"/>
                <w:sz w:val="20"/>
                <w:szCs w:val="20"/>
                <w:lang w:val="en-CA"/>
              </w:rPr>
            </w:pPr>
            <w:r w:rsidRPr="00B75955">
              <w:rPr>
                <w:b/>
                <w:bCs/>
                <w:color w:val="000000"/>
                <w:sz w:val="20"/>
                <w:szCs w:val="20"/>
                <w:lang w:val="en-CA" w:eastAsia="zh-CN"/>
              </w:rPr>
              <w:t>Total</w:t>
            </w:r>
          </w:p>
        </w:tc>
        <w:tc>
          <w:tcPr>
            <w:tcW w:w="1393" w:type="pct"/>
            <w:tcBorders>
              <w:top w:val="nil"/>
              <w:left w:val="nil"/>
              <w:bottom w:val="single" w:sz="4" w:space="0" w:color="auto"/>
              <w:right w:val="single" w:sz="4" w:space="0" w:color="auto"/>
            </w:tcBorders>
            <w:shd w:val="clear" w:color="auto" w:fill="auto"/>
            <w:tcMar>
              <w:left w:w="115" w:type="dxa"/>
              <w:right w:w="288" w:type="dxa"/>
            </w:tcMar>
            <w:vAlign w:val="center"/>
            <w:hideMark/>
          </w:tcPr>
          <w:p w14:paraId="772008ED" w14:textId="77777777" w:rsidR="00866373" w:rsidRPr="00B75955" w:rsidRDefault="00866373" w:rsidP="00866373">
            <w:pPr>
              <w:jc w:val="right"/>
              <w:rPr>
                <w:b/>
                <w:bCs/>
                <w:color w:val="000000"/>
                <w:sz w:val="20"/>
                <w:szCs w:val="20"/>
                <w:lang w:val="en-CA"/>
              </w:rPr>
            </w:pPr>
            <w:r w:rsidRPr="00B75955">
              <w:rPr>
                <w:b/>
                <w:bCs/>
                <w:color w:val="000000"/>
                <w:sz w:val="20"/>
                <w:szCs w:val="20"/>
                <w:lang w:val="en-CA"/>
              </w:rPr>
              <w:t>16,000,000</w:t>
            </w:r>
          </w:p>
        </w:tc>
      </w:tr>
    </w:tbl>
    <w:p w14:paraId="23E0A8B5" w14:textId="1F9A1D09" w:rsidR="00866373" w:rsidRPr="00B75955" w:rsidRDefault="00866373" w:rsidP="00866373">
      <w:pPr>
        <w:rPr>
          <w:b/>
          <w:sz w:val="16"/>
          <w:szCs w:val="16"/>
          <w:lang w:val="en-CA"/>
        </w:rPr>
      </w:pPr>
      <w:r w:rsidRPr="00B75955">
        <w:rPr>
          <w:b/>
          <w:sz w:val="16"/>
          <w:szCs w:val="16"/>
          <w:highlight w:val="yellow"/>
          <w:lang w:val="en-CA"/>
        </w:rPr>
        <w:t>* TA activities include verification, R&amp;D and standards, technical communication, publicity, and funding for CHEAA.</w:t>
      </w:r>
    </w:p>
    <w:p w14:paraId="45FDDE06" w14:textId="77777777" w:rsidR="008A4C7A" w:rsidRPr="00B75955" w:rsidRDefault="008A4C7A" w:rsidP="008A4C7A">
      <w:pPr>
        <w:rPr>
          <w:lang w:val="en-CA"/>
        </w:rPr>
      </w:pPr>
    </w:p>
    <w:p w14:paraId="06904039" w14:textId="77777777" w:rsidR="00D0473B" w:rsidRPr="00B75955" w:rsidRDefault="00D0473B" w:rsidP="008A4C7A">
      <w:pPr>
        <w:jc w:val="center"/>
        <w:rPr>
          <w:b/>
          <w:lang w:val="en-CA"/>
        </w:rPr>
      </w:pPr>
    </w:p>
    <w:p w14:paraId="7D2A3AF5" w14:textId="3DF54CCE" w:rsidR="008A4C7A" w:rsidRPr="00B75955" w:rsidRDefault="008A4C7A" w:rsidP="008A4C7A">
      <w:pPr>
        <w:jc w:val="center"/>
        <w:rPr>
          <w:b/>
          <w:lang w:val="en-CA"/>
        </w:rPr>
      </w:pPr>
      <w:r w:rsidRPr="00B75955">
        <w:rPr>
          <w:b/>
          <w:lang w:val="en-CA"/>
        </w:rPr>
        <w:t>SECRETARIAT’S COMMENTS AND RECOMMENDATION</w:t>
      </w:r>
    </w:p>
    <w:p w14:paraId="5824D1F9" w14:textId="77777777" w:rsidR="008A4C7A" w:rsidRPr="00B75955" w:rsidRDefault="008A4C7A" w:rsidP="008A4C7A">
      <w:pPr>
        <w:rPr>
          <w:lang w:val="en-CA"/>
        </w:rPr>
      </w:pPr>
    </w:p>
    <w:p w14:paraId="179818CC" w14:textId="77777777" w:rsidR="008A4C7A" w:rsidRPr="00B75955" w:rsidRDefault="008A4C7A" w:rsidP="008A4C7A">
      <w:pPr>
        <w:rPr>
          <w:b/>
          <w:lang w:val="en-CA"/>
        </w:rPr>
      </w:pPr>
      <w:r w:rsidRPr="00B75955">
        <w:rPr>
          <w:b/>
          <w:lang w:val="en-CA"/>
        </w:rPr>
        <w:t>COMMENTS</w:t>
      </w:r>
    </w:p>
    <w:p w14:paraId="40FC0DB2" w14:textId="77777777" w:rsidR="008A4C7A" w:rsidRPr="00B75955" w:rsidRDefault="008A4C7A" w:rsidP="008A4C7A">
      <w:pPr>
        <w:rPr>
          <w:lang w:val="en-CA"/>
        </w:rPr>
      </w:pPr>
    </w:p>
    <w:p w14:paraId="20A6395C" w14:textId="1A888F9B" w:rsidR="008A4C7A" w:rsidRPr="00B75955" w:rsidRDefault="008A4C7A" w:rsidP="008A4C7A">
      <w:pPr>
        <w:rPr>
          <w:u w:val="single"/>
          <w:lang w:val="en-CA"/>
        </w:rPr>
      </w:pPr>
      <w:r w:rsidRPr="00B75955">
        <w:rPr>
          <w:u w:val="single"/>
          <w:lang w:val="en-CA"/>
        </w:rPr>
        <w:t>HCFC consumption</w:t>
      </w:r>
    </w:p>
    <w:p w14:paraId="03F9FB8A" w14:textId="77777777" w:rsidR="002E7591" w:rsidRPr="00B75955" w:rsidRDefault="002E7591" w:rsidP="008A4C7A">
      <w:pPr>
        <w:rPr>
          <w:u w:val="single"/>
          <w:lang w:val="en-CA"/>
        </w:rPr>
      </w:pPr>
    </w:p>
    <w:p w14:paraId="56A4E872" w14:textId="77777777" w:rsidR="00C64D5A" w:rsidRPr="00B75955" w:rsidRDefault="00421720" w:rsidP="00C64D5A">
      <w:pPr>
        <w:pStyle w:val="Heading1"/>
        <w:rPr>
          <w:highlight w:val="yellow"/>
          <w:lang w:val="en-CA"/>
        </w:rPr>
      </w:pPr>
      <w:r w:rsidRPr="00B75955">
        <w:rPr>
          <w:b/>
          <w:highlight w:val="yellow"/>
          <w:lang w:val="en-CA"/>
        </w:rPr>
        <w:t xml:space="preserve">Since the approval of stage I of the HPMP, the Government of China has established a licensing and quota system which has ensured compliance with the consumption limits under the Montreal Protocol and under its Agreements with the Executive Committee. Through this system, quota permits are issued to enterprises consuming more than 100 </w:t>
      </w:r>
      <w:proofErr w:type="spellStart"/>
      <w:r w:rsidRPr="00B75955">
        <w:rPr>
          <w:b/>
          <w:highlight w:val="yellow"/>
          <w:lang w:val="en-CA"/>
        </w:rPr>
        <w:t>mt</w:t>
      </w:r>
      <w:proofErr w:type="spellEnd"/>
      <w:r w:rsidRPr="00B75955">
        <w:rPr>
          <w:b/>
          <w:highlight w:val="yellow"/>
          <w:lang w:val="en-CA"/>
        </w:rPr>
        <w:t xml:space="preserve"> of HCFCs per year. </w:t>
      </w:r>
    </w:p>
    <w:p w14:paraId="7903970E" w14:textId="18697761" w:rsidR="00C64D5A" w:rsidRPr="00B75955" w:rsidRDefault="00C64D5A" w:rsidP="002D202C">
      <w:pPr>
        <w:pStyle w:val="Heading1"/>
        <w:rPr>
          <w:highlight w:val="yellow"/>
          <w:lang w:val="en-CA"/>
        </w:rPr>
      </w:pPr>
      <w:r w:rsidRPr="00B75955">
        <w:rPr>
          <w:b/>
          <w:highlight w:val="yellow"/>
          <w:lang w:val="en-CA"/>
        </w:rPr>
        <w:t xml:space="preserve">The Secretariat noted that </w:t>
      </w:r>
      <w:r w:rsidR="008173EE" w:rsidRPr="00B75955">
        <w:rPr>
          <w:b/>
          <w:highlight w:val="yellow"/>
          <w:lang w:val="en-CA"/>
        </w:rPr>
        <w:t xml:space="preserve">the quota permits for </w:t>
      </w:r>
      <w:r w:rsidRPr="00B75955">
        <w:rPr>
          <w:b/>
          <w:highlight w:val="yellow"/>
          <w:lang w:val="en-CA"/>
        </w:rPr>
        <w:t xml:space="preserve">the RAC sector for </w:t>
      </w:r>
      <w:r w:rsidR="008173EE" w:rsidRPr="00B75955">
        <w:rPr>
          <w:b/>
          <w:highlight w:val="yellow"/>
          <w:lang w:val="en-CA"/>
        </w:rPr>
        <w:t xml:space="preserve">2016, 2017 and 2018 </w:t>
      </w:r>
      <w:r w:rsidR="005F24D4" w:rsidRPr="00B75955">
        <w:rPr>
          <w:b/>
          <w:highlight w:val="yellow"/>
          <w:lang w:val="en-CA"/>
        </w:rPr>
        <w:t xml:space="preserve">had been established at levels </w:t>
      </w:r>
      <w:r w:rsidR="008173EE" w:rsidRPr="00B75955">
        <w:rPr>
          <w:b/>
          <w:highlight w:val="yellow"/>
          <w:lang w:val="en-CA"/>
        </w:rPr>
        <w:t xml:space="preserve">below the </w:t>
      </w:r>
      <w:r w:rsidR="005F24D4" w:rsidRPr="00B75955">
        <w:rPr>
          <w:b/>
          <w:highlight w:val="yellow"/>
          <w:lang w:val="en-CA"/>
        </w:rPr>
        <w:t xml:space="preserve">maximum allowable </w:t>
      </w:r>
      <w:r w:rsidR="008173EE" w:rsidRPr="00B75955">
        <w:rPr>
          <w:b/>
          <w:highlight w:val="yellow"/>
          <w:lang w:val="en-CA"/>
        </w:rPr>
        <w:t xml:space="preserve">consumption </w:t>
      </w:r>
      <w:r w:rsidR="005F24D4" w:rsidRPr="00B75955">
        <w:rPr>
          <w:b/>
          <w:highlight w:val="yellow"/>
          <w:lang w:val="en-CA"/>
        </w:rPr>
        <w:t>under the Agreement with the Executive Committee</w:t>
      </w:r>
      <w:r w:rsidRPr="00B75955">
        <w:rPr>
          <w:b/>
          <w:highlight w:val="yellow"/>
          <w:lang w:val="en-CA"/>
        </w:rPr>
        <w:t xml:space="preserve">. However, the HCFC-22 consumption in 2016 was above the quota permit while for 2017 </w:t>
      </w:r>
      <w:r w:rsidR="002E7591" w:rsidRPr="00B75955">
        <w:rPr>
          <w:b/>
          <w:highlight w:val="yellow"/>
          <w:lang w:val="en-CA"/>
        </w:rPr>
        <w:t xml:space="preserve">it </w:t>
      </w:r>
      <w:r w:rsidRPr="00B75955">
        <w:rPr>
          <w:b/>
          <w:highlight w:val="yellow"/>
          <w:lang w:val="en-CA"/>
        </w:rPr>
        <w:t>could also be above</w:t>
      </w:r>
      <w:r w:rsidR="00C32702" w:rsidRPr="00B75955">
        <w:rPr>
          <w:b/>
          <w:highlight w:val="yellow"/>
          <w:lang w:val="en-CA"/>
        </w:rPr>
        <w:t xml:space="preserve"> the quota permit as shown in Table </w:t>
      </w:r>
      <w:r w:rsidR="00407F13" w:rsidRPr="00B75955">
        <w:rPr>
          <w:b/>
          <w:highlight w:val="yellow"/>
          <w:lang w:val="en-CA"/>
        </w:rPr>
        <w:t>5.</w:t>
      </w:r>
      <w:r w:rsidR="002D202C" w:rsidRPr="00B75955">
        <w:rPr>
          <w:b/>
          <w:highlight w:val="yellow"/>
          <w:lang w:val="en-CA"/>
        </w:rPr>
        <w:t xml:space="preserve"> </w:t>
      </w:r>
    </w:p>
    <w:p w14:paraId="079D9209" w14:textId="1C27D563" w:rsidR="00C64D5A" w:rsidRPr="00B75955" w:rsidRDefault="00C32702" w:rsidP="002F1866">
      <w:pPr>
        <w:keepNext/>
        <w:keepLines/>
        <w:rPr>
          <w:b/>
          <w:sz w:val="21"/>
          <w:szCs w:val="21"/>
          <w:highlight w:val="yellow"/>
          <w:lang w:val="en-CA"/>
        </w:rPr>
      </w:pPr>
      <w:r w:rsidRPr="00B75955">
        <w:rPr>
          <w:b/>
          <w:sz w:val="21"/>
          <w:szCs w:val="21"/>
          <w:highlight w:val="yellow"/>
          <w:lang w:val="en-CA"/>
        </w:rPr>
        <w:lastRenderedPageBreak/>
        <w:t xml:space="preserve">Table </w:t>
      </w:r>
      <w:r w:rsidR="00407F13" w:rsidRPr="00B75955">
        <w:rPr>
          <w:b/>
          <w:sz w:val="21"/>
          <w:szCs w:val="21"/>
          <w:highlight w:val="yellow"/>
          <w:lang w:val="en-CA"/>
        </w:rPr>
        <w:t>5.</w:t>
      </w:r>
      <w:r w:rsidRPr="00B75955">
        <w:rPr>
          <w:b/>
          <w:sz w:val="21"/>
          <w:szCs w:val="21"/>
          <w:highlight w:val="yellow"/>
          <w:lang w:val="en-CA"/>
        </w:rPr>
        <w:t xml:space="preserve"> HCFC consumption and quota permits in the RAC sector plan for 2016-2018</w:t>
      </w:r>
    </w:p>
    <w:tbl>
      <w:tblPr>
        <w:tblW w:w="9355" w:type="dxa"/>
        <w:tblLayout w:type="fixed"/>
        <w:tblLook w:val="04A0" w:firstRow="1" w:lastRow="0" w:firstColumn="1" w:lastColumn="0" w:noHBand="0" w:noVBand="1"/>
      </w:tblPr>
      <w:tblGrid>
        <w:gridCol w:w="2335"/>
        <w:gridCol w:w="1170"/>
        <w:gridCol w:w="1170"/>
        <w:gridCol w:w="1170"/>
        <w:gridCol w:w="1170"/>
        <w:gridCol w:w="1170"/>
        <w:gridCol w:w="1170"/>
      </w:tblGrid>
      <w:tr w:rsidR="008173EE" w:rsidRPr="00B75955" w14:paraId="6513379A" w14:textId="77777777" w:rsidTr="00407F13">
        <w:tc>
          <w:tcPr>
            <w:tcW w:w="2335" w:type="dxa"/>
            <w:vMerge w:val="restart"/>
            <w:tcBorders>
              <w:top w:val="single" w:sz="4" w:space="0" w:color="auto"/>
              <w:left w:val="single" w:sz="4" w:space="0" w:color="auto"/>
              <w:right w:val="single" w:sz="4" w:space="0" w:color="auto"/>
            </w:tcBorders>
            <w:shd w:val="clear" w:color="auto" w:fill="auto"/>
            <w:noWrap/>
            <w:tcMar>
              <w:left w:w="29" w:type="dxa"/>
              <w:right w:w="0" w:type="dxa"/>
            </w:tcMar>
            <w:vAlign w:val="center"/>
            <w:hideMark/>
          </w:tcPr>
          <w:p w14:paraId="43016CBB" w14:textId="7128E653" w:rsidR="008173EE" w:rsidRPr="00B75955" w:rsidRDefault="008173EE" w:rsidP="002F1866">
            <w:pPr>
              <w:keepNext/>
              <w:keepLines/>
              <w:jc w:val="left"/>
              <w:rPr>
                <w:b/>
                <w:color w:val="000000"/>
                <w:sz w:val="20"/>
                <w:szCs w:val="20"/>
                <w:highlight w:val="yellow"/>
                <w:lang w:val="en-CA" w:eastAsia="en-CA"/>
              </w:rPr>
            </w:pPr>
            <w:r w:rsidRPr="00B75955">
              <w:rPr>
                <w:b/>
                <w:color w:val="000000"/>
                <w:sz w:val="20"/>
                <w:szCs w:val="20"/>
                <w:highlight w:val="yellow"/>
                <w:lang w:val="en-CA" w:eastAsia="en-CA"/>
              </w:rPr>
              <w:t>Description</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C8F7A7" w14:textId="567FA7F3" w:rsidR="008173EE" w:rsidRPr="00B75955" w:rsidRDefault="008173EE" w:rsidP="002F1866">
            <w:pPr>
              <w:keepNext/>
              <w:keepLines/>
              <w:jc w:val="center"/>
              <w:rPr>
                <w:b/>
                <w:color w:val="000000"/>
                <w:sz w:val="20"/>
                <w:szCs w:val="20"/>
                <w:highlight w:val="yellow"/>
                <w:lang w:val="en-CA" w:eastAsia="en-CA"/>
              </w:rPr>
            </w:pPr>
            <w:r w:rsidRPr="00B75955">
              <w:rPr>
                <w:b/>
                <w:color w:val="000000"/>
                <w:sz w:val="20"/>
                <w:szCs w:val="20"/>
                <w:highlight w:val="yellow"/>
                <w:lang w:val="en-CA" w:eastAsia="en-CA"/>
              </w:rPr>
              <w:t>2016</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E63750" w14:textId="5DCBC4F0" w:rsidR="008173EE" w:rsidRPr="00B75955" w:rsidRDefault="008173EE" w:rsidP="002F1866">
            <w:pPr>
              <w:keepNext/>
              <w:keepLines/>
              <w:jc w:val="center"/>
              <w:rPr>
                <w:b/>
                <w:color w:val="000000"/>
                <w:sz w:val="20"/>
                <w:szCs w:val="20"/>
                <w:highlight w:val="yellow"/>
                <w:lang w:val="en-CA" w:eastAsia="en-CA"/>
              </w:rPr>
            </w:pPr>
            <w:r w:rsidRPr="00B75955">
              <w:rPr>
                <w:b/>
                <w:color w:val="000000"/>
                <w:sz w:val="20"/>
                <w:szCs w:val="20"/>
                <w:highlight w:val="yellow"/>
                <w:lang w:val="en-CA" w:eastAsia="en-CA"/>
              </w:rPr>
              <w:t>2017</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B66A28" w14:textId="0933A476" w:rsidR="008173EE" w:rsidRPr="00B75955" w:rsidRDefault="008173EE" w:rsidP="002F1866">
            <w:pPr>
              <w:keepNext/>
              <w:keepLines/>
              <w:jc w:val="center"/>
              <w:rPr>
                <w:b/>
                <w:color w:val="000000"/>
                <w:sz w:val="20"/>
                <w:szCs w:val="20"/>
                <w:highlight w:val="yellow"/>
                <w:lang w:val="en-CA" w:eastAsia="en-CA"/>
              </w:rPr>
            </w:pPr>
            <w:r w:rsidRPr="00B75955">
              <w:rPr>
                <w:b/>
                <w:color w:val="000000"/>
                <w:sz w:val="20"/>
                <w:szCs w:val="20"/>
                <w:highlight w:val="yellow"/>
                <w:lang w:val="en-CA" w:eastAsia="en-CA"/>
              </w:rPr>
              <w:t>2018</w:t>
            </w:r>
          </w:p>
        </w:tc>
      </w:tr>
      <w:tr w:rsidR="008173EE" w:rsidRPr="00B75955" w14:paraId="17201FDA" w14:textId="77777777" w:rsidTr="00407F13">
        <w:tc>
          <w:tcPr>
            <w:tcW w:w="2335" w:type="dxa"/>
            <w:vMerge/>
            <w:tcBorders>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2D48FC31" w14:textId="3AB6C2F0" w:rsidR="008173EE" w:rsidRPr="00B75955" w:rsidRDefault="008173EE" w:rsidP="002F1866">
            <w:pPr>
              <w:keepNext/>
              <w:keepLines/>
              <w:jc w:val="left"/>
              <w:rPr>
                <w:b/>
                <w:color w:val="000000"/>
                <w:sz w:val="20"/>
                <w:szCs w:val="20"/>
                <w:highlight w:val="yellow"/>
                <w:lang w:val="en-CA" w:eastAsia="en-CA"/>
              </w:rPr>
            </w:pPr>
          </w:p>
        </w:tc>
        <w:tc>
          <w:tcPr>
            <w:tcW w:w="117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3FFB732" w14:textId="77777777" w:rsidR="008173EE" w:rsidRPr="00B75955" w:rsidRDefault="008173EE" w:rsidP="002F1866">
            <w:pPr>
              <w:keepNext/>
              <w:keepLines/>
              <w:jc w:val="center"/>
              <w:rPr>
                <w:b/>
                <w:color w:val="000000"/>
                <w:sz w:val="20"/>
                <w:szCs w:val="20"/>
                <w:highlight w:val="yellow"/>
                <w:lang w:val="en-CA" w:eastAsia="en-CA"/>
              </w:rPr>
            </w:pPr>
            <w:proofErr w:type="spellStart"/>
            <w:r w:rsidRPr="00B75955">
              <w:rPr>
                <w:b/>
                <w:color w:val="000000"/>
                <w:sz w:val="20"/>
                <w:szCs w:val="20"/>
                <w:highlight w:val="yellow"/>
                <w:lang w:val="en-CA" w:eastAsia="en-CA"/>
              </w:rPr>
              <w:t>mt</w:t>
            </w:r>
            <w:proofErr w:type="spellEnd"/>
          </w:p>
        </w:tc>
        <w:tc>
          <w:tcPr>
            <w:tcW w:w="117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423D95F" w14:textId="77777777" w:rsidR="008173EE" w:rsidRPr="00B75955" w:rsidRDefault="008173EE" w:rsidP="002F1866">
            <w:pPr>
              <w:keepNext/>
              <w:keepLines/>
              <w:jc w:val="center"/>
              <w:rPr>
                <w:b/>
                <w:color w:val="000000"/>
                <w:sz w:val="20"/>
                <w:szCs w:val="20"/>
                <w:highlight w:val="yellow"/>
                <w:lang w:val="en-CA" w:eastAsia="en-CA"/>
              </w:rPr>
            </w:pPr>
            <w:r w:rsidRPr="00B75955">
              <w:rPr>
                <w:b/>
                <w:color w:val="000000"/>
                <w:sz w:val="20"/>
                <w:szCs w:val="20"/>
                <w:highlight w:val="yellow"/>
                <w:lang w:val="en-CA" w:eastAsia="en-CA"/>
              </w:rPr>
              <w:t>ODP tonnes</w:t>
            </w:r>
          </w:p>
        </w:tc>
        <w:tc>
          <w:tcPr>
            <w:tcW w:w="117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E56F40B" w14:textId="77777777" w:rsidR="008173EE" w:rsidRPr="00B75955" w:rsidRDefault="008173EE" w:rsidP="002F1866">
            <w:pPr>
              <w:keepNext/>
              <w:keepLines/>
              <w:jc w:val="center"/>
              <w:rPr>
                <w:b/>
                <w:color w:val="000000"/>
                <w:sz w:val="20"/>
                <w:szCs w:val="20"/>
                <w:highlight w:val="yellow"/>
                <w:lang w:val="en-CA" w:eastAsia="en-CA"/>
              </w:rPr>
            </w:pPr>
            <w:proofErr w:type="spellStart"/>
            <w:r w:rsidRPr="00B75955">
              <w:rPr>
                <w:b/>
                <w:color w:val="000000"/>
                <w:sz w:val="20"/>
                <w:szCs w:val="20"/>
                <w:highlight w:val="yellow"/>
                <w:lang w:val="en-CA" w:eastAsia="en-CA"/>
              </w:rPr>
              <w:t>mt</w:t>
            </w:r>
            <w:proofErr w:type="spellEnd"/>
          </w:p>
        </w:tc>
        <w:tc>
          <w:tcPr>
            <w:tcW w:w="117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8DD1E5D" w14:textId="77777777" w:rsidR="008173EE" w:rsidRPr="00B75955" w:rsidRDefault="008173EE" w:rsidP="002F1866">
            <w:pPr>
              <w:keepNext/>
              <w:keepLines/>
              <w:jc w:val="center"/>
              <w:rPr>
                <w:b/>
                <w:color w:val="000000"/>
                <w:sz w:val="20"/>
                <w:szCs w:val="20"/>
                <w:highlight w:val="yellow"/>
                <w:lang w:val="en-CA" w:eastAsia="en-CA"/>
              </w:rPr>
            </w:pPr>
            <w:r w:rsidRPr="00B75955">
              <w:rPr>
                <w:b/>
                <w:color w:val="000000"/>
                <w:sz w:val="20"/>
                <w:szCs w:val="20"/>
                <w:highlight w:val="yellow"/>
                <w:lang w:val="en-CA" w:eastAsia="en-CA"/>
              </w:rPr>
              <w:t>ODP tonnes</w:t>
            </w:r>
          </w:p>
        </w:tc>
        <w:tc>
          <w:tcPr>
            <w:tcW w:w="117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5E2C3DB" w14:textId="649CEBA8" w:rsidR="008173EE" w:rsidRPr="00B75955" w:rsidRDefault="00366AC3" w:rsidP="002F1866">
            <w:pPr>
              <w:keepNext/>
              <w:keepLines/>
              <w:jc w:val="center"/>
              <w:rPr>
                <w:b/>
                <w:color w:val="000000"/>
                <w:sz w:val="20"/>
                <w:szCs w:val="20"/>
                <w:highlight w:val="yellow"/>
                <w:lang w:val="en-CA" w:eastAsia="en-CA"/>
              </w:rPr>
            </w:pPr>
            <w:proofErr w:type="spellStart"/>
            <w:r w:rsidRPr="00B75955">
              <w:rPr>
                <w:b/>
                <w:color w:val="000000"/>
                <w:sz w:val="20"/>
                <w:szCs w:val="20"/>
                <w:highlight w:val="yellow"/>
                <w:lang w:val="en-CA" w:eastAsia="en-CA"/>
              </w:rPr>
              <w:t>m</w:t>
            </w:r>
            <w:r w:rsidR="008173EE" w:rsidRPr="00B75955">
              <w:rPr>
                <w:b/>
                <w:color w:val="000000"/>
                <w:sz w:val="20"/>
                <w:szCs w:val="20"/>
                <w:highlight w:val="yellow"/>
                <w:lang w:val="en-CA" w:eastAsia="en-CA"/>
              </w:rPr>
              <w:t>t</w:t>
            </w:r>
            <w:proofErr w:type="spellEnd"/>
          </w:p>
        </w:tc>
        <w:tc>
          <w:tcPr>
            <w:tcW w:w="117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7807BF3" w14:textId="77777777" w:rsidR="008173EE" w:rsidRPr="00B75955" w:rsidRDefault="008173EE" w:rsidP="002F1866">
            <w:pPr>
              <w:keepNext/>
              <w:keepLines/>
              <w:jc w:val="center"/>
              <w:rPr>
                <w:b/>
                <w:color w:val="000000"/>
                <w:sz w:val="20"/>
                <w:szCs w:val="20"/>
                <w:highlight w:val="yellow"/>
                <w:lang w:val="en-CA" w:eastAsia="en-CA"/>
              </w:rPr>
            </w:pPr>
            <w:r w:rsidRPr="00B75955">
              <w:rPr>
                <w:b/>
                <w:color w:val="000000"/>
                <w:sz w:val="20"/>
                <w:szCs w:val="20"/>
                <w:highlight w:val="yellow"/>
                <w:lang w:val="en-CA" w:eastAsia="en-CA"/>
              </w:rPr>
              <w:t>ODP tonnes</w:t>
            </w:r>
          </w:p>
        </w:tc>
      </w:tr>
      <w:tr w:rsidR="008173EE" w:rsidRPr="00B75955" w14:paraId="665B9F56" w14:textId="77777777" w:rsidTr="00407F13">
        <w:tc>
          <w:tcPr>
            <w:tcW w:w="23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4672AA5D" w14:textId="7224CFDB" w:rsidR="008173EE" w:rsidRPr="00B75955" w:rsidRDefault="008173EE" w:rsidP="002F1866">
            <w:pPr>
              <w:keepNext/>
              <w:keepLines/>
              <w:jc w:val="left"/>
              <w:rPr>
                <w:b/>
                <w:color w:val="000000"/>
                <w:sz w:val="20"/>
                <w:szCs w:val="20"/>
                <w:highlight w:val="yellow"/>
                <w:lang w:val="en-CA" w:eastAsia="en-CA"/>
              </w:rPr>
            </w:pPr>
            <w:r w:rsidRPr="00B75955">
              <w:rPr>
                <w:b/>
                <w:color w:val="000000"/>
                <w:sz w:val="20"/>
                <w:szCs w:val="20"/>
                <w:highlight w:val="yellow"/>
                <w:lang w:val="en-CA" w:eastAsia="en-CA"/>
              </w:rPr>
              <w:t>Allowable consumption (a)</w:t>
            </w:r>
          </w:p>
        </w:tc>
        <w:tc>
          <w:tcPr>
            <w:tcW w:w="1170" w:type="dxa"/>
            <w:tcBorders>
              <w:top w:val="nil"/>
              <w:left w:val="nil"/>
              <w:bottom w:val="single" w:sz="4" w:space="0" w:color="auto"/>
              <w:right w:val="single" w:sz="4" w:space="0" w:color="auto"/>
            </w:tcBorders>
            <w:shd w:val="clear" w:color="auto" w:fill="auto"/>
            <w:noWrap/>
            <w:hideMark/>
          </w:tcPr>
          <w:p w14:paraId="37FE8628" w14:textId="2A90C629" w:rsidR="008173EE" w:rsidRPr="00B75955" w:rsidRDefault="008173EE" w:rsidP="002F1866">
            <w:pPr>
              <w:keepNext/>
              <w:keepLines/>
              <w:jc w:val="right"/>
              <w:rPr>
                <w:b/>
                <w:color w:val="000000"/>
                <w:sz w:val="20"/>
                <w:szCs w:val="20"/>
                <w:highlight w:val="yellow"/>
                <w:lang w:val="en-CA" w:eastAsia="en-CA"/>
              </w:rPr>
            </w:pPr>
            <w:r w:rsidRPr="00B75955">
              <w:rPr>
                <w:b/>
                <w:color w:val="000000"/>
                <w:sz w:val="20"/>
                <w:szCs w:val="20"/>
                <w:highlight w:val="yellow"/>
                <w:lang w:val="en-CA" w:eastAsia="en-CA"/>
              </w:rPr>
              <w:t>67,230.91</w:t>
            </w:r>
          </w:p>
        </w:tc>
        <w:tc>
          <w:tcPr>
            <w:tcW w:w="1170" w:type="dxa"/>
            <w:tcBorders>
              <w:top w:val="nil"/>
              <w:left w:val="nil"/>
              <w:bottom w:val="single" w:sz="4" w:space="0" w:color="auto"/>
              <w:right w:val="single" w:sz="4" w:space="0" w:color="auto"/>
            </w:tcBorders>
            <w:shd w:val="clear" w:color="auto" w:fill="auto"/>
            <w:noWrap/>
            <w:hideMark/>
          </w:tcPr>
          <w:p w14:paraId="3A6D743D" w14:textId="48CDEECA" w:rsidR="008173EE" w:rsidRPr="00B75955" w:rsidRDefault="008173EE" w:rsidP="002F1866">
            <w:pPr>
              <w:keepNext/>
              <w:keepLines/>
              <w:jc w:val="right"/>
              <w:rPr>
                <w:b/>
                <w:color w:val="000000"/>
                <w:sz w:val="20"/>
                <w:szCs w:val="20"/>
                <w:highlight w:val="yellow"/>
                <w:lang w:val="en-CA" w:eastAsia="en-CA"/>
              </w:rPr>
            </w:pPr>
            <w:r w:rsidRPr="00B75955">
              <w:rPr>
                <w:b/>
                <w:color w:val="000000"/>
                <w:sz w:val="20"/>
                <w:szCs w:val="20"/>
                <w:highlight w:val="yellow"/>
                <w:lang w:val="en-CA" w:eastAsia="en-CA"/>
              </w:rPr>
              <w:t>3,697.70</w:t>
            </w:r>
          </w:p>
        </w:tc>
        <w:tc>
          <w:tcPr>
            <w:tcW w:w="1170" w:type="dxa"/>
            <w:tcBorders>
              <w:top w:val="nil"/>
              <w:left w:val="nil"/>
              <w:bottom w:val="single" w:sz="4" w:space="0" w:color="auto"/>
              <w:right w:val="single" w:sz="4" w:space="0" w:color="auto"/>
            </w:tcBorders>
            <w:shd w:val="clear" w:color="auto" w:fill="auto"/>
            <w:noWrap/>
            <w:hideMark/>
          </w:tcPr>
          <w:p w14:paraId="14111B7C" w14:textId="26604AA1" w:rsidR="008173EE" w:rsidRPr="00B75955" w:rsidRDefault="008173EE" w:rsidP="002F1866">
            <w:pPr>
              <w:keepNext/>
              <w:keepLines/>
              <w:jc w:val="right"/>
              <w:rPr>
                <w:b/>
                <w:color w:val="000000"/>
                <w:sz w:val="20"/>
                <w:szCs w:val="20"/>
                <w:highlight w:val="yellow"/>
                <w:lang w:val="en-CA" w:eastAsia="en-CA"/>
              </w:rPr>
            </w:pPr>
            <w:r w:rsidRPr="00B75955">
              <w:rPr>
                <w:b/>
                <w:color w:val="000000"/>
                <w:sz w:val="20"/>
                <w:szCs w:val="20"/>
                <w:highlight w:val="yellow"/>
                <w:lang w:val="en-CA" w:eastAsia="en-CA"/>
              </w:rPr>
              <w:t>67,230.91</w:t>
            </w:r>
          </w:p>
        </w:tc>
        <w:tc>
          <w:tcPr>
            <w:tcW w:w="1170" w:type="dxa"/>
            <w:tcBorders>
              <w:top w:val="nil"/>
              <w:left w:val="nil"/>
              <w:bottom w:val="single" w:sz="4" w:space="0" w:color="auto"/>
              <w:right w:val="single" w:sz="4" w:space="0" w:color="auto"/>
            </w:tcBorders>
            <w:shd w:val="clear" w:color="auto" w:fill="auto"/>
            <w:noWrap/>
            <w:hideMark/>
          </w:tcPr>
          <w:p w14:paraId="6F5816EC" w14:textId="5F7F1B1D" w:rsidR="008173EE" w:rsidRPr="00B75955" w:rsidRDefault="008173EE" w:rsidP="002F1866">
            <w:pPr>
              <w:keepNext/>
              <w:keepLines/>
              <w:jc w:val="right"/>
              <w:rPr>
                <w:b/>
                <w:color w:val="000000"/>
                <w:sz w:val="20"/>
                <w:szCs w:val="20"/>
                <w:highlight w:val="yellow"/>
                <w:lang w:val="en-CA" w:eastAsia="en-CA"/>
              </w:rPr>
            </w:pPr>
            <w:r w:rsidRPr="00B75955">
              <w:rPr>
                <w:b/>
                <w:color w:val="000000"/>
                <w:sz w:val="20"/>
                <w:szCs w:val="20"/>
                <w:highlight w:val="yellow"/>
                <w:lang w:val="en-CA" w:eastAsia="en-CA"/>
              </w:rPr>
              <w:t>3,697.70</w:t>
            </w:r>
          </w:p>
        </w:tc>
        <w:tc>
          <w:tcPr>
            <w:tcW w:w="1170" w:type="dxa"/>
            <w:tcBorders>
              <w:top w:val="nil"/>
              <w:left w:val="nil"/>
              <w:bottom w:val="single" w:sz="4" w:space="0" w:color="auto"/>
              <w:right w:val="single" w:sz="4" w:space="0" w:color="auto"/>
            </w:tcBorders>
            <w:shd w:val="clear" w:color="auto" w:fill="auto"/>
            <w:noWrap/>
            <w:hideMark/>
          </w:tcPr>
          <w:p w14:paraId="21744263" w14:textId="765BDC35" w:rsidR="008173EE" w:rsidRPr="00B75955" w:rsidRDefault="008173EE" w:rsidP="002F1866">
            <w:pPr>
              <w:keepNext/>
              <w:keepLines/>
              <w:jc w:val="right"/>
              <w:rPr>
                <w:b/>
                <w:color w:val="000000"/>
                <w:sz w:val="20"/>
                <w:szCs w:val="20"/>
                <w:highlight w:val="yellow"/>
                <w:lang w:val="en-CA" w:eastAsia="en-CA"/>
              </w:rPr>
            </w:pPr>
            <w:r w:rsidRPr="00B75955">
              <w:rPr>
                <w:b/>
                <w:color w:val="000000"/>
                <w:sz w:val="20"/>
                <w:szCs w:val="20"/>
                <w:highlight w:val="yellow"/>
                <w:lang w:val="en-CA" w:eastAsia="en-CA"/>
              </w:rPr>
              <w:t>52,290.91</w:t>
            </w:r>
          </w:p>
        </w:tc>
        <w:tc>
          <w:tcPr>
            <w:tcW w:w="1170" w:type="dxa"/>
            <w:tcBorders>
              <w:top w:val="nil"/>
              <w:left w:val="nil"/>
              <w:bottom w:val="single" w:sz="4" w:space="0" w:color="auto"/>
              <w:right w:val="single" w:sz="4" w:space="0" w:color="auto"/>
            </w:tcBorders>
            <w:shd w:val="clear" w:color="auto" w:fill="auto"/>
            <w:noWrap/>
            <w:hideMark/>
          </w:tcPr>
          <w:p w14:paraId="0423A41D" w14:textId="6CCFF414" w:rsidR="008173EE" w:rsidRPr="00B75955" w:rsidRDefault="008173EE" w:rsidP="002F1866">
            <w:pPr>
              <w:keepNext/>
              <w:keepLines/>
              <w:jc w:val="right"/>
              <w:rPr>
                <w:b/>
                <w:color w:val="000000"/>
                <w:sz w:val="20"/>
                <w:szCs w:val="20"/>
                <w:highlight w:val="yellow"/>
                <w:lang w:val="en-CA" w:eastAsia="en-CA"/>
              </w:rPr>
            </w:pPr>
            <w:r w:rsidRPr="00B75955">
              <w:rPr>
                <w:b/>
                <w:color w:val="000000"/>
                <w:sz w:val="20"/>
                <w:szCs w:val="20"/>
                <w:highlight w:val="yellow"/>
                <w:lang w:val="en-CA" w:eastAsia="en-CA"/>
              </w:rPr>
              <w:t>2,876.00</w:t>
            </w:r>
          </w:p>
        </w:tc>
      </w:tr>
      <w:tr w:rsidR="008173EE" w:rsidRPr="00B75955" w14:paraId="3F73DA22" w14:textId="77777777" w:rsidTr="00407F13">
        <w:tc>
          <w:tcPr>
            <w:tcW w:w="23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63FC85EC" w14:textId="43782735" w:rsidR="008173EE" w:rsidRPr="00B75955" w:rsidRDefault="008173EE" w:rsidP="008173EE">
            <w:pPr>
              <w:jc w:val="left"/>
              <w:rPr>
                <w:b/>
                <w:color w:val="000000"/>
                <w:sz w:val="20"/>
                <w:szCs w:val="20"/>
                <w:highlight w:val="yellow"/>
                <w:lang w:val="en-CA" w:eastAsia="en-CA"/>
              </w:rPr>
            </w:pPr>
            <w:r w:rsidRPr="00B75955">
              <w:rPr>
                <w:b/>
                <w:color w:val="000000"/>
                <w:sz w:val="20"/>
                <w:szCs w:val="20"/>
                <w:highlight w:val="yellow"/>
                <w:lang w:val="en-CA" w:eastAsia="en-CA"/>
              </w:rPr>
              <w:t xml:space="preserve">Quota </w:t>
            </w:r>
            <w:r w:rsidR="00C32702" w:rsidRPr="00B75955">
              <w:rPr>
                <w:b/>
                <w:color w:val="000000"/>
                <w:sz w:val="20"/>
                <w:szCs w:val="20"/>
                <w:highlight w:val="yellow"/>
                <w:lang w:val="en-CA" w:eastAsia="en-CA"/>
              </w:rPr>
              <w:t>permits</w:t>
            </w:r>
            <w:r w:rsidR="002E7591" w:rsidRPr="00B75955">
              <w:rPr>
                <w:b/>
                <w:color w:val="000000"/>
                <w:sz w:val="20"/>
                <w:szCs w:val="20"/>
                <w:highlight w:val="yellow"/>
                <w:lang w:val="en-CA" w:eastAsia="en-CA"/>
              </w:rPr>
              <w:t xml:space="preserve"> </w:t>
            </w:r>
            <w:r w:rsidRPr="00B75955">
              <w:rPr>
                <w:b/>
                <w:color w:val="000000"/>
                <w:sz w:val="20"/>
                <w:szCs w:val="20"/>
                <w:highlight w:val="yellow"/>
                <w:lang w:val="en-CA" w:eastAsia="en-CA"/>
              </w:rPr>
              <w:t>(b)</w:t>
            </w:r>
          </w:p>
        </w:tc>
        <w:tc>
          <w:tcPr>
            <w:tcW w:w="1170" w:type="dxa"/>
            <w:tcBorders>
              <w:top w:val="nil"/>
              <w:left w:val="nil"/>
              <w:bottom w:val="single" w:sz="4" w:space="0" w:color="auto"/>
              <w:right w:val="single" w:sz="4" w:space="0" w:color="auto"/>
            </w:tcBorders>
            <w:shd w:val="clear" w:color="auto" w:fill="auto"/>
            <w:noWrap/>
            <w:hideMark/>
          </w:tcPr>
          <w:p w14:paraId="69AAAD36" w14:textId="5155AE5F"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53,789.00</w:t>
            </w:r>
          </w:p>
        </w:tc>
        <w:tc>
          <w:tcPr>
            <w:tcW w:w="1170" w:type="dxa"/>
            <w:tcBorders>
              <w:top w:val="nil"/>
              <w:left w:val="nil"/>
              <w:bottom w:val="single" w:sz="4" w:space="0" w:color="auto"/>
              <w:right w:val="single" w:sz="4" w:space="0" w:color="auto"/>
            </w:tcBorders>
            <w:shd w:val="clear" w:color="auto" w:fill="auto"/>
            <w:noWrap/>
            <w:hideMark/>
          </w:tcPr>
          <w:p w14:paraId="53C3E1D5" w14:textId="6C85EC93"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2,958.40</w:t>
            </w:r>
          </w:p>
        </w:tc>
        <w:tc>
          <w:tcPr>
            <w:tcW w:w="1170" w:type="dxa"/>
            <w:tcBorders>
              <w:top w:val="nil"/>
              <w:left w:val="nil"/>
              <w:bottom w:val="single" w:sz="4" w:space="0" w:color="auto"/>
              <w:right w:val="single" w:sz="4" w:space="0" w:color="auto"/>
            </w:tcBorders>
            <w:shd w:val="clear" w:color="auto" w:fill="auto"/>
            <w:noWrap/>
            <w:hideMark/>
          </w:tcPr>
          <w:p w14:paraId="1CBB93D4" w14:textId="4F7B4363"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58,154.00</w:t>
            </w:r>
          </w:p>
        </w:tc>
        <w:tc>
          <w:tcPr>
            <w:tcW w:w="1170" w:type="dxa"/>
            <w:tcBorders>
              <w:top w:val="nil"/>
              <w:left w:val="nil"/>
              <w:bottom w:val="single" w:sz="4" w:space="0" w:color="auto"/>
              <w:right w:val="single" w:sz="4" w:space="0" w:color="auto"/>
            </w:tcBorders>
            <w:shd w:val="clear" w:color="auto" w:fill="auto"/>
            <w:noWrap/>
            <w:hideMark/>
          </w:tcPr>
          <w:p w14:paraId="6322F19F" w14:textId="75983CD3"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3,198.47</w:t>
            </w:r>
          </w:p>
        </w:tc>
        <w:tc>
          <w:tcPr>
            <w:tcW w:w="1170" w:type="dxa"/>
            <w:tcBorders>
              <w:top w:val="nil"/>
              <w:left w:val="nil"/>
              <w:bottom w:val="single" w:sz="4" w:space="0" w:color="auto"/>
              <w:right w:val="single" w:sz="4" w:space="0" w:color="auto"/>
            </w:tcBorders>
            <w:shd w:val="clear" w:color="auto" w:fill="auto"/>
            <w:noWrap/>
            <w:hideMark/>
          </w:tcPr>
          <w:p w14:paraId="4E9C5726" w14:textId="1451606A"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47,501.00</w:t>
            </w:r>
          </w:p>
        </w:tc>
        <w:tc>
          <w:tcPr>
            <w:tcW w:w="1170" w:type="dxa"/>
            <w:tcBorders>
              <w:top w:val="nil"/>
              <w:left w:val="nil"/>
              <w:bottom w:val="single" w:sz="4" w:space="0" w:color="auto"/>
              <w:right w:val="single" w:sz="4" w:space="0" w:color="auto"/>
            </w:tcBorders>
            <w:shd w:val="clear" w:color="auto" w:fill="auto"/>
            <w:noWrap/>
            <w:hideMark/>
          </w:tcPr>
          <w:p w14:paraId="5EC82658" w14:textId="5957A326"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2,612.56</w:t>
            </w:r>
          </w:p>
        </w:tc>
      </w:tr>
      <w:tr w:rsidR="008173EE" w:rsidRPr="00B75955" w14:paraId="1F32F96B" w14:textId="77777777" w:rsidTr="00407F13">
        <w:tc>
          <w:tcPr>
            <w:tcW w:w="23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5A840DDC" w14:textId="6964D65A" w:rsidR="008173EE" w:rsidRPr="00B75955" w:rsidRDefault="008173EE" w:rsidP="008173EE">
            <w:pPr>
              <w:jc w:val="left"/>
              <w:rPr>
                <w:b/>
                <w:color w:val="000000"/>
                <w:sz w:val="20"/>
                <w:szCs w:val="20"/>
                <w:highlight w:val="yellow"/>
                <w:lang w:val="en-CA" w:eastAsia="en-CA"/>
              </w:rPr>
            </w:pPr>
            <w:r w:rsidRPr="00B75955">
              <w:rPr>
                <w:b/>
                <w:color w:val="000000"/>
                <w:sz w:val="20"/>
                <w:szCs w:val="20"/>
                <w:highlight w:val="yellow"/>
                <w:lang w:val="en-CA" w:eastAsia="en-CA"/>
              </w:rPr>
              <w:t>Actual consumption (c)</w:t>
            </w:r>
          </w:p>
        </w:tc>
        <w:tc>
          <w:tcPr>
            <w:tcW w:w="1170" w:type="dxa"/>
            <w:tcBorders>
              <w:top w:val="nil"/>
              <w:left w:val="nil"/>
              <w:bottom w:val="single" w:sz="4" w:space="0" w:color="auto"/>
              <w:right w:val="single" w:sz="4" w:space="0" w:color="auto"/>
            </w:tcBorders>
            <w:shd w:val="clear" w:color="auto" w:fill="auto"/>
            <w:noWrap/>
            <w:hideMark/>
          </w:tcPr>
          <w:p w14:paraId="1714A404" w14:textId="2BDD153F"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55,000.00</w:t>
            </w:r>
          </w:p>
        </w:tc>
        <w:tc>
          <w:tcPr>
            <w:tcW w:w="1170" w:type="dxa"/>
            <w:tcBorders>
              <w:top w:val="nil"/>
              <w:left w:val="nil"/>
              <w:bottom w:val="single" w:sz="4" w:space="0" w:color="auto"/>
              <w:right w:val="single" w:sz="4" w:space="0" w:color="auto"/>
            </w:tcBorders>
            <w:shd w:val="clear" w:color="auto" w:fill="auto"/>
            <w:noWrap/>
            <w:hideMark/>
          </w:tcPr>
          <w:p w14:paraId="0DE4E0EF" w14:textId="14401CA9"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3,025.00</w:t>
            </w:r>
          </w:p>
        </w:tc>
        <w:tc>
          <w:tcPr>
            <w:tcW w:w="1170" w:type="dxa"/>
            <w:tcBorders>
              <w:top w:val="nil"/>
              <w:left w:val="nil"/>
              <w:bottom w:val="single" w:sz="4" w:space="0" w:color="auto"/>
              <w:right w:val="single" w:sz="4" w:space="0" w:color="auto"/>
            </w:tcBorders>
            <w:shd w:val="clear" w:color="auto" w:fill="auto"/>
            <w:noWrap/>
            <w:hideMark/>
          </w:tcPr>
          <w:p w14:paraId="2095DC23" w14:textId="13EAC8E5"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59,000.00</w:t>
            </w:r>
            <w:r w:rsidR="005F24D4" w:rsidRPr="00B75955">
              <w:rPr>
                <w:b/>
                <w:color w:val="000000"/>
                <w:sz w:val="20"/>
                <w:szCs w:val="20"/>
                <w:highlight w:val="yellow"/>
                <w:lang w:val="en-CA" w:eastAsia="en-CA"/>
              </w:rPr>
              <w:t>*</w:t>
            </w:r>
          </w:p>
        </w:tc>
        <w:tc>
          <w:tcPr>
            <w:tcW w:w="1170" w:type="dxa"/>
            <w:tcBorders>
              <w:top w:val="nil"/>
              <w:left w:val="nil"/>
              <w:bottom w:val="single" w:sz="4" w:space="0" w:color="auto"/>
              <w:right w:val="single" w:sz="4" w:space="0" w:color="auto"/>
            </w:tcBorders>
            <w:shd w:val="clear" w:color="auto" w:fill="auto"/>
            <w:noWrap/>
            <w:hideMark/>
          </w:tcPr>
          <w:p w14:paraId="302ADDBE" w14:textId="198DFA5E"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3,245.00</w:t>
            </w:r>
            <w:r w:rsidR="005F24D4" w:rsidRPr="00B75955">
              <w:rPr>
                <w:b/>
                <w:color w:val="000000"/>
                <w:sz w:val="20"/>
                <w:szCs w:val="20"/>
                <w:highlight w:val="yellow"/>
                <w:lang w:val="en-CA" w:eastAsia="en-CA"/>
              </w:rPr>
              <w:t>*</w:t>
            </w:r>
          </w:p>
        </w:tc>
        <w:tc>
          <w:tcPr>
            <w:tcW w:w="1170" w:type="dxa"/>
            <w:tcBorders>
              <w:top w:val="nil"/>
              <w:left w:val="nil"/>
              <w:bottom w:val="single" w:sz="4" w:space="0" w:color="auto"/>
              <w:right w:val="single" w:sz="4" w:space="0" w:color="auto"/>
            </w:tcBorders>
            <w:shd w:val="clear" w:color="auto" w:fill="auto"/>
            <w:noWrap/>
            <w:hideMark/>
          </w:tcPr>
          <w:p w14:paraId="7789903F" w14:textId="232F1E95" w:rsidR="008173EE" w:rsidRPr="00B75955" w:rsidRDefault="008173EE" w:rsidP="008173EE">
            <w:pPr>
              <w:jc w:val="right"/>
              <w:rPr>
                <w:b/>
                <w:color w:val="000000"/>
                <w:sz w:val="20"/>
                <w:szCs w:val="20"/>
                <w:highlight w:val="yellow"/>
                <w:lang w:val="en-CA" w:eastAsia="en-CA"/>
              </w:rPr>
            </w:pPr>
          </w:p>
        </w:tc>
        <w:tc>
          <w:tcPr>
            <w:tcW w:w="1170" w:type="dxa"/>
            <w:tcBorders>
              <w:top w:val="nil"/>
              <w:left w:val="nil"/>
              <w:bottom w:val="single" w:sz="4" w:space="0" w:color="auto"/>
              <w:right w:val="single" w:sz="4" w:space="0" w:color="auto"/>
            </w:tcBorders>
            <w:shd w:val="clear" w:color="auto" w:fill="auto"/>
            <w:noWrap/>
            <w:hideMark/>
          </w:tcPr>
          <w:p w14:paraId="736FB300" w14:textId="61B5110C" w:rsidR="008173EE" w:rsidRPr="00B75955" w:rsidRDefault="008173EE" w:rsidP="008173EE">
            <w:pPr>
              <w:jc w:val="right"/>
              <w:rPr>
                <w:b/>
                <w:color w:val="000000"/>
                <w:sz w:val="20"/>
                <w:szCs w:val="20"/>
                <w:highlight w:val="yellow"/>
                <w:lang w:val="en-CA" w:eastAsia="en-CA"/>
              </w:rPr>
            </w:pPr>
          </w:p>
        </w:tc>
      </w:tr>
      <w:tr w:rsidR="008173EE" w:rsidRPr="00B75955" w14:paraId="685FA94A" w14:textId="77777777" w:rsidTr="00407F13">
        <w:tc>
          <w:tcPr>
            <w:tcW w:w="2335" w:type="dxa"/>
            <w:tcBorders>
              <w:top w:val="nil"/>
              <w:left w:val="single" w:sz="4" w:space="0" w:color="auto"/>
              <w:bottom w:val="single" w:sz="4" w:space="0" w:color="auto"/>
              <w:right w:val="single" w:sz="4" w:space="0" w:color="auto"/>
            </w:tcBorders>
            <w:shd w:val="clear" w:color="auto" w:fill="auto"/>
            <w:noWrap/>
            <w:tcMar>
              <w:left w:w="29" w:type="dxa"/>
              <w:right w:w="0" w:type="dxa"/>
            </w:tcMar>
            <w:vAlign w:val="bottom"/>
            <w:hideMark/>
          </w:tcPr>
          <w:p w14:paraId="01973F70" w14:textId="506C9C00" w:rsidR="008173EE" w:rsidRPr="00B75955" w:rsidRDefault="008173EE" w:rsidP="008173EE">
            <w:pPr>
              <w:jc w:val="left"/>
              <w:rPr>
                <w:b/>
                <w:color w:val="000000"/>
                <w:sz w:val="20"/>
                <w:szCs w:val="20"/>
                <w:highlight w:val="yellow"/>
                <w:lang w:val="en-CA" w:eastAsia="en-CA"/>
              </w:rPr>
            </w:pPr>
            <w:r w:rsidRPr="00B75955">
              <w:rPr>
                <w:b/>
                <w:color w:val="000000"/>
                <w:sz w:val="20"/>
                <w:szCs w:val="20"/>
                <w:highlight w:val="yellow"/>
                <w:lang w:val="en-CA" w:eastAsia="en-CA"/>
              </w:rPr>
              <w:t>Difference (c)-(b)</w:t>
            </w:r>
          </w:p>
        </w:tc>
        <w:tc>
          <w:tcPr>
            <w:tcW w:w="1170" w:type="dxa"/>
            <w:tcBorders>
              <w:top w:val="nil"/>
              <w:left w:val="nil"/>
              <w:bottom w:val="single" w:sz="4" w:space="0" w:color="auto"/>
              <w:right w:val="single" w:sz="4" w:space="0" w:color="auto"/>
            </w:tcBorders>
            <w:shd w:val="clear" w:color="auto" w:fill="auto"/>
            <w:noWrap/>
            <w:hideMark/>
          </w:tcPr>
          <w:p w14:paraId="22695CB1" w14:textId="7A5BD34F"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(1,211.00)</w:t>
            </w:r>
          </w:p>
        </w:tc>
        <w:tc>
          <w:tcPr>
            <w:tcW w:w="1170" w:type="dxa"/>
            <w:tcBorders>
              <w:top w:val="nil"/>
              <w:left w:val="nil"/>
              <w:bottom w:val="single" w:sz="4" w:space="0" w:color="auto"/>
              <w:right w:val="single" w:sz="4" w:space="0" w:color="auto"/>
            </w:tcBorders>
            <w:shd w:val="clear" w:color="auto" w:fill="auto"/>
            <w:noWrap/>
            <w:hideMark/>
          </w:tcPr>
          <w:p w14:paraId="3F15C433" w14:textId="2FC66D0B"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(66.61)</w:t>
            </w:r>
          </w:p>
        </w:tc>
        <w:tc>
          <w:tcPr>
            <w:tcW w:w="1170" w:type="dxa"/>
            <w:tcBorders>
              <w:top w:val="nil"/>
              <w:left w:val="nil"/>
              <w:bottom w:val="single" w:sz="4" w:space="0" w:color="auto"/>
              <w:right w:val="single" w:sz="4" w:space="0" w:color="auto"/>
            </w:tcBorders>
            <w:shd w:val="clear" w:color="auto" w:fill="auto"/>
            <w:noWrap/>
            <w:hideMark/>
          </w:tcPr>
          <w:p w14:paraId="4114ABF6" w14:textId="6A5215D6"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(846.00)</w:t>
            </w:r>
          </w:p>
        </w:tc>
        <w:tc>
          <w:tcPr>
            <w:tcW w:w="1170" w:type="dxa"/>
            <w:tcBorders>
              <w:top w:val="nil"/>
              <w:left w:val="nil"/>
              <w:bottom w:val="single" w:sz="4" w:space="0" w:color="auto"/>
              <w:right w:val="single" w:sz="4" w:space="0" w:color="auto"/>
            </w:tcBorders>
            <w:shd w:val="clear" w:color="auto" w:fill="auto"/>
            <w:noWrap/>
            <w:hideMark/>
          </w:tcPr>
          <w:p w14:paraId="5115CCD7" w14:textId="6A1CA096" w:rsidR="008173EE" w:rsidRPr="00B75955" w:rsidRDefault="008173EE" w:rsidP="008173EE">
            <w:pPr>
              <w:jc w:val="right"/>
              <w:rPr>
                <w:b/>
                <w:color w:val="000000"/>
                <w:sz w:val="20"/>
                <w:szCs w:val="20"/>
                <w:highlight w:val="yellow"/>
                <w:lang w:val="en-CA" w:eastAsia="en-CA"/>
              </w:rPr>
            </w:pPr>
            <w:r w:rsidRPr="00B75955">
              <w:rPr>
                <w:b/>
                <w:color w:val="000000"/>
                <w:sz w:val="20"/>
                <w:szCs w:val="20"/>
                <w:highlight w:val="yellow"/>
                <w:lang w:val="en-CA" w:eastAsia="en-CA"/>
              </w:rPr>
              <w:t>(46.53)</w:t>
            </w:r>
          </w:p>
        </w:tc>
        <w:tc>
          <w:tcPr>
            <w:tcW w:w="1170" w:type="dxa"/>
            <w:tcBorders>
              <w:top w:val="nil"/>
              <w:left w:val="nil"/>
              <w:bottom w:val="single" w:sz="4" w:space="0" w:color="auto"/>
              <w:right w:val="single" w:sz="4" w:space="0" w:color="auto"/>
            </w:tcBorders>
            <w:shd w:val="clear" w:color="auto" w:fill="auto"/>
            <w:noWrap/>
            <w:hideMark/>
          </w:tcPr>
          <w:p w14:paraId="4C603117" w14:textId="67497F45" w:rsidR="008173EE" w:rsidRPr="00B75955" w:rsidRDefault="008173EE" w:rsidP="008173EE">
            <w:pPr>
              <w:jc w:val="right"/>
              <w:rPr>
                <w:b/>
                <w:color w:val="000000"/>
                <w:sz w:val="20"/>
                <w:szCs w:val="20"/>
                <w:highlight w:val="yellow"/>
                <w:lang w:val="en-CA" w:eastAsia="en-CA"/>
              </w:rPr>
            </w:pPr>
          </w:p>
        </w:tc>
        <w:tc>
          <w:tcPr>
            <w:tcW w:w="1170" w:type="dxa"/>
            <w:tcBorders>
              <w:top w:val="nil"/>
              <w:left w:val="nil"/>
              <w:bottom w:val="single" w:sz="4" w:space="0" w:color="auto"/>
              <w:right w:val="single" w:sz="4" w:space="0" w:color="auto"/>
            </w:tcBorders>
            <w:shd w:val="clear" w:color="auto" w:fill="auto"/>
            <w:noWrap/>
            <w:hideMark/>
          </w:tcPr>
          <w:p w14:paraId="21482928" w14:textId="09A45FAC" w:rsidR="008173EE" w:rsidRPr="00B75955" w:rsidRDefault="008173EE" w:rsidP="008173EE">
            <w:pPr>
              <w:jc w:val="right"/>
              <w:rPr>
                <w:b/>
                <w:color w:val="000000"/>
                <w:sz w:val="20"/>
                <w:szCs w:val="20"/>
                <w:highlight w:val="yellow"/>
                <w:lang w:val="en-CA" w:eastAsia="en-CA"/>
              </w:rPr>
            </w:pPr>
          </w:p>
        </w:tc>
      </w:tr>
    </w:tbl>
    <w:p w14:paraId="0B308A77" w14:textId="4B19DCD5" w:rsidR="008173EE" w:rsidRPr="00B75955" w:rsidRDefault="002D202C" w:rsidP="008173EE">
      <w:pPr>
        <w:rPr>
          <w:b/>
          <w:sz w:val="16"/>
          <w:szCs w:val="16"/>
          <w:highlight w:val="yellow"/>
          <w:lang w:val="en-CA"/>
        </w:rPr>
      </w:pPr>
      <w:r w:rsidRPr="00B75955">
        <w:rPr>
          <w:b/>
          <w:sz w:val="16"/>
          <w:szCs w:val="16"/>
          <w:highlight w:val="yellow"/>
          <w:lang w:val="en-CA"/>
        </w:rPr>
        <w:t xml:space="preserve">* </w:t>
      </w:r>
      <w:r w:rsidR="00C64D5A" w:rsidRPr="00B75955">
        <w:rPr>
          <w:b/>
          <w:sz w:val="16"/>
          <w:szCs w:val="16"/>
          <w:highlight w:val="yellow"/>
          <w:lang w:val="en-CA"/>
        </w:rPr>
        <w:t xml:space="preserve">Estimated consumption between </w:t>
      </w:r>
      <w:r w:rsidR="00C32702" w:rsidRPr="00B75955">
        <w:rPr>
          <w:b/>
          <w:sz w:val="16"/>
          <w:szCs w:val="16"/>
          <w:highlight w:val="yellow"/>
          <w:lang w:val="en-CA"/>
        </w:rPr>
        <w:t xml:space="preserve">57,000 </w:t>
      </w:r>
      <w:proofErr w:type="spellStart"/>
      <w:r w:rsidR="00C32702" w:rsidRPr="00B75955">
        <w:rPr>
          <w:b/>
          <w:sz w:val="16"/>
          <w:szCs w:val="16"/>
          <w:highlight w:val="yellow"/>
          <w:lang w:val="en-CA"/>
        </w:rPr>
        <w:t>mt</w:t>
      </w:r>
      <w:proofErr w:type="spellEnd"/>
      <w:r w:rsidR="00C32702" w:rsidRPr="00B75955">
        <w:rPr>
          <w:b/>
          <w:sz w:val="16"/>
          <w:szCs w:val="16"/>
          <w:highlight w:val="yellow"/>
          <w:lang w:val="en-CA"/>
        </w:rPr>
        <w:t xml:space="preserve"> (</w:t>
      </w:r>
      <w:r w:rsidR="00C64D5A" w:rsidRPr="00B75955">
        <w:rPr>
          <w:b/>
          <w:sz w:val="16"/>
          <w:szCs w:val="16"/>
          <w:highlight w:val="yellow"/>
          <w:lang w:val="en-CA"/>
        </w:rPr>
        <w:t xml:space="preserve">3,135 </w:t>
      </w:r>
      <w:r w:rsidR="00C32702" w:rsidRPr="00B75955">
        <w:rPr>
          <w:b/>
          <w:sz w:val="16"/>
          <w:szCs w:val="16"/>
          <w:highlight w:val="yellow"/>
          <w:lang w:val="en-CA"/>
        </w:rPr>
        <w:t xml:space="preserve">ODP tonnes) </w:t>
      </w:r>
      <w:r w:rsidR="00C64D5A" w:rsidRPr="00B75955">
        <w:rPr>
          <w:b/>
          <w:sz w:val="16"/>
          <w:szCs w:val="16"/>
          <w:highlight w:val="yellow"/>
          <w:lang w:val="en-CA"/>
        </w:rPr>
        <w:t xml:space="preserve">and 59,000 </w:t>
      </w:r>
      <w:proofErr w:type="spellStart"/>
      <w:r w:rsidR="00C64D5A" w:rsidRPr="00B75955">
        <w:rPr>
          <w:b/>
          <w:sz w:val="16"/>
          <w:szCs w:val="16"/>
          <w:highlight w:val="yellow"/>
          <w:lang w:val="en-CA"/>
        </w:rPr>
        <w:t>mt</w:t>
      </w:r>
      <w:proofErr w:type="spellEnd"/>
      <w:r w:rsidR="00C32702" w:rsidRPr="00B75955">
        <w:rPr>
          <w:b/>
          <w:sz w:val="16"/>
          <w:szCs w:val="16"/>
          <w:highlight w:val="yellow"/>
          <w:lang w:val="en-CA"/>
        </w:rPr>
        <w:t xml:space="preserve"> (3,245 ODP tonnes</w:t>
      </w:r>
      <w:r w:rsidR="00C64D5A" w:rsidRPr="00B75955">
        <w:rPr>
          <w:b/>
          <w:sz w:val="16"/>
          <w:szCs w:val="16"/>
          <w:highlight w:val="yellow"/>
          <w:lang w:val="en-CA"/>
        </w:rPr>
        <w:t>)</w:t>
      </w:r>
      <w:r w:rsidR="00C32702" w:rsidRPr="00B75955">
        <w:rPr>
          <w:b/>
          <w:sz w:val="16"/>
          <w:szCs w:val="16"/>
          <w:highlight w:val="yellow"/>
          <w:lang w:val="en-CA"/>
        </w:rPr>
        <w:t>.</w:t>
      </w:r>
    </w:p>
    <w:p w14:paraId="19D2DB66" w14:textId="75302B51" w:rsidR="00C64D5A" w:rsidRPr="00B75955" w:rsidRDefault="00C64D5A" w:rsidP="008173EE">
      <w:pPr>
        <w:rPr>
          <w:b/>
          <w:highlight w:val="yellow"/>
          <w:lang w:val="en-CA"/>
        </w:rPr>
      </w:pPr>
    </w:p>
    <w:p w14:paraId="1BE16723" w14:textId="7FF04450" w:rsidR="00366AC3" w:rsidRPr="00B75955" w:rsidRDefault="00366AC3" w:rsidP="00366AC3">
      <w:pPr>
        <w:pStyle w:val="Heading1"/>
        <w:rPr>
          <w:highlight w:val="yellow"/>
          <w:lang w:val="en-CA"/>
        </w:rPr>
      </w:pPr>
      <w:r w:rsidRPr="00B75955">
        <w:rPr>
          <w:b/>
          <w:highlight w:val="yellow"/>
          <w:lang w:val="en-CA"/>
        </w:rPr>
        <w:t>Given that quota permits are not issued to enterprises with HCFC-22 consumption below 100</w:t>
      </w:r>
      <w:r w:rsidR="00D0473B" w:rsidRPr="00B75955">
        <w:rPr>
          <w:b/>
          <w:highlight w:val="yellow"/>
          <w:lang w:val="en-CA"/>
        </w:rPr>
        <w:t> </w:t>
      </w:r>
      <w:proofErr w:type="spellStart"/>
      <w:r w:rsidRPr="00B75955">
        <w:rPr>
          <w:b/>
          <w:highlight w:val="yellow"/>
          <w:lang w:val="en-CA"/>
        </w:rPr>
        <w:t>mt</w:t>
      </w:r>
      <w:proofErr w:type="spellEnd"/>
      <w:r w:rsidRPr="00B75955">
        <w:rPr>
          <w:b/>
          <w:highlight w:val="yellow"/>
          <w:lang w:val="en-CA"/>
        </w:rPr>
        <w:t xml:space="preserve">, it appeared that several smaller-size enterprises are manufacturing RAC equipment. </w:t>
      </w:r>
      <w:r w:rsidR="002E7591" w:rsidRPr="00B75955">
        <w:rPr>
          <w:b/>
          <w:highlight w:val="yellow"/>
          <w:lang w:val="en-CA"/>
        </w:rPr>
        <w:t>The Secretariat further noted that in future years where allowable levels of consumption would be lower, there could be a potential risk of non compliance i</w:t>
      </w:r>
      <w:r w:rsidRPr="00B75955">
        <w:rPr>
          <w:b/>
          <w:highlight w:val="yellow"/>
          <w:lang w:val="en-CA"/>
        </w:rPr>
        <w:t xml:space="preserve">f large </w:t>
      </w:r>
      <w:r w:rsidR="002E7591" w:rsidRPr="00B75955">
        <w:rPr>
          <w:b/>
          <w:highlight w:val="yellow"/>
          <w:lang w:val="en-CA"/>
        </w:rPr>
        <w:t>HCFC-</w:t>
      </w:r>
      <w:r w:rsidR="00D0473B" w:rsidRPr="00B75955">
        <w:rPr>
          <w:b/>
          <w:highlight w:val="yellow"/>
          <w:lang w:val="en-CA"/>
        </w:rPr>
        <w:t>consuming</w:t>
      </w:r>
      <w:r w:rsidR="002E7591" w:rsidRPr="00B75955">
        <w:rPr>
          <w:b/>
          <w:highlight w:val="yellow"/>
          <w:lang w:val="en-CA"/>
        </w:rPr>
        <w:t xml:space="preserve"> </w:t>
      </w:r>
      <w:r w:rsidRPr="00B75955">
        <w:rPr>
          <w:b/>
          <w:highlight w:val="yellow"/>
          <w:lang w:val="en-CA"/>
        </w:rPr>
        <w:t>enterprises fully utilize the quotas</w:t>
      </w:r>
      <w:r w:rsidR="002E7591" w:rsidRPr="00B75955">
        <w:rPr>
          <w:b/>
          <w:highlight w:val="yellow"/>
          <w:lang w:val="en-CA"/>
        </w:rPr>
        <w:t xml:space="preserve"> issued and </w:t>
      </w:r>
      <w:r w:rsidRPr="00B75955">
        <w:rPr>
          <w:b/>
          <w:highlight w:val="yellow"/>
          <w:lang w:val="en-CA"/>
        </w:rPr>
        <w:t>smaller</w:t>
      </w:r>
      <w:r w:rsidR="00CE44B5" w:rsidRPr="00B75955">
        <w:rPr>
          <w:b/>
          <w:highlight w:val="yellow"/>
          <w:lang w:val="en-CA"/>
        </w:rPr>
        <w:t>-size e</w:t>
      </w:r>
      <w:r w:rsidRPr="00B75955">
        <w:rPr>
          <w:b/>
          <w:highlight w:val="yellow"/>
          <w:lang w:val="en-CA"/>
        </w:rPr>
        <w:t xml:space="preserve">nterprises </w:t>
      </w:r>
      <w:r w:rsidR="00CE44B5" w:rsidRPr="00B75955">
        <w:rPr>
          <w:b/>
          <w:highlight w:val="yellow"/>
          <w:lang w:val="en-CA"/>
        </w:rPr>
        <w:t xml:space="preserve">are also converted. In this regard, the </w:t>
      </w:r>
      <w:r w:rsidRPr="00B75955">
        <w:rPr>
          <w:b/>
          <w:highlight w:val="yellow"/>
          <w:lang w:val="en-CA"/>
        </w:rPr>
        <w:t xml:space="preserve">Secretariat suggested </w:t>
      </w:r>
      <w:r w:rsidR="00CE44B5" w:rsidRPr="00B75955">
        <w:rPr>
          <w:b/>
          <w:highlight w:val="yellow"/>
          <w:lang w:val="en-CA"/>
        </w:rPr>
        <w:t xml:space="preserve">to UNIDO that </w:t>
      </w:r>
      <w:r w:rsidRPr="00B75955">
        <w:rPr>
          <w:b/>
          <w:highlight w:val="yellow"/>
          <w:lang w:val="en-CA"/>
        </w:rPr>
        <w:t xml:space="preserve">the Government </w:t>
      </w:r>
      <w:r w:rsidR="00CE44B5" w:rsidRPr="00B75955">
        <w:rPr>
          <w:b/>
          <w:highlight w:val="yellow"/>
          <w:lang w:val="en-CA"/>
        </w:rPr>
        <w:t xml:space="preserve">could </w:t>
      </w:r>
      <w:r w:rsidRPr="00B75955">
        <w:rPr>
          <w:b/>
          <w:highlight w:val="yellow"/>
          <w:lang w:val="en-CA"/>
        </w:rPr>
        <w:t xml:space="preserve">consider measures to mitigate the risk of such an occurrence, such as allocating a lower quota or reducing the </w:t>
      </w:r>
      <w:r w:rsidR="00CE44B5" w:rsidRPr="00B75955">
        <w:rPr>
          <w:b/>
          <w:highlight w:val="yellow"/>
          <w:lang w:val="en-CA"/>
        </w:rPr>
        <w:t xml:space="preserve">level of consumption of </w:t>
      </w:r>
      <w:r w:rsidRPr="00B75955">
        <w:rPr>
          <w:b/>
          <w:highlight w:val="yellow"/>
          <w:lang w:val="en-CA"/>
        </w:rPr>
        <w:t xml:space="preserve">enterprises </w:t>
      </w:r>
      <w:r w:rsidR="00CE44B5" w:rsidRPr="00B75955">
        <w:rPr>
          <w:b/>
          <w:highlight w:val="yellow"/>
          <w:lang w:val="en-CA"/>
        </w:rPr>
        <w:t xml:space="preserve">that do </w:t>
      </w:r>
      <w:r w:rsidRPr="00B75955">
        <w:rPr>
          <w:b/>
          <w:highlight w:val="yellow"/>
          <w:lang w:val="en-CA"/>
        </w:rPr>
        <w:t xml:space="preserve">not need to obtain a quota. </w:t>
      </w:r>
    </w:p>
    <w:p w14:paraId="31D9842E" w14:textId="6B087388" w:rsidR="00CE44B5" w:rsidRPr="00B75955" w:rsidRDefault="00CE44B5" w:rsidP="00CE44B5">
      <w:pPr>
        <w:pStyle w:val="Heading1"/>
        <w:rPr>
          <w:highlight w:val="yellow"/>
          <w:lang w:val="en-CA"/>
        </w:rPr>
      </w:pPr>
      <w:r w:rsidRPr="00B75955">
        <w:rPr>
          <w:b/>
          <w:highlight w:val="yellow"/>
          <w:lang w:val="en-CA"/>
        </w:rPr>
        <w:t>UNIDO indicated that based on information from CHEAA and other sources, there could be dozens of smaller-size enterprises; an increasing number of these enterprises where the production had been idle for a long time, have recovered and are currently manufacturing HCFC-22-based equipment. UNIDO further explained that the Government of China has to allocate quotas for the full target according to the national ODS regulation.</w:t>
      </w:r>
    </w:p>
    <w:p w14:paraId="2FEA907E" w14:textId="77777777" w:rsidR="008A4C7A" w:rsidRPr="00B75955" w:rsidRDefault="008A4C7A" w:rsidP="008A4C7A">
      <w:pPr>
        <w:rPr>
          <w:u w:val="single"/>
          <w:lang w:val="en-CA"/>
        </w:rPr>
      </w:pPr>
      <w:r w:rsidRPr="00B75955">
        <w:rPr>
          <w:u w:val="single"/>
          <w:lang w:val="en-CA"/>
        </w:rPr>
        <w:t>Level of disbursement</w:t>
      </w:r>
    </w:p>
    <w:p w14:paraId="54B611C1" w14:textId="77777777" w:rsidR="008A4C7A" w:rsidRPr="00B75955" w:rsidRDefault="008A4C7A" w:rsidP="008A4C7A">
      <w:pPr>
        <w:rPr>
          <w:lang w:val="en-CA"/>
        </w:rPr>
      </w:pPr>
    </w:p>
    <w:p w14:paraId="47743682" w14:textId="5F3ACD60" w:rsidR="006E1604" w:rsidRPr="00B75955" w:rsidRDefault="008A4C7A" w:rsidP="003D1426">
      <w:pPr>
        <w:pStyle w:val="Heading1"/>
        <w:rPr>
          <w:bCs/>
          <w:lang w:val="en-CA"/>
        </w:rPr>
      </w:pPr>
      <w:r w:rsidRPr="00B75955">
        <w:rPr>
          <w:color w:val="000000"/>
          <w:lang w:val="en-CA"/>
        </w:rPr>
        <w:t>The Secretariat noted with appreciation the</w:t>
      </w:r>
      <w:r w:rsidRPr="00B75955">
        <w:rPr>
          <w:lang w:val="en-CA"/>
        </w:rPr>
        <w:t xml:space="preserve"> work of the Government of China, UNIDO and the Government of Italy to continue the progress in implementing China’s RAC sector plan. In particular, the Secretariat noted the signature of the project contract for the stage II and the project implementation plan; the disbursement of 28 per cent of the tranche from UNIDO to FECO; the finalization of the project implementation manual; the submission of proposal from 16 manufacturing lines; the approval of </w:t>
      </w:r>
      <w:r w:rsidR="00A01D5F" w:rsidRPr="00B75955">
        <w:rPr>
          <w:b/>
          <w:highlight w:val="yellow"/>
          <w:lang w:val="en-CA"/>
        </w:rPr>
        <w:t>12</w:t>
      </w:r>
      <w:r w:rsidRPr="00B75955">
        <w:rPr>
          <w:lang w:val="en-CA"/>
        </w:rPr>
        <w:t xml:space="preserve"> of the proposals and the ongoing review of the remaining </w:t>
      </w:r>
      <w:r w:rsidR="00346D3D" w:rsidRPr="00B75955">
        <w:rPr>
          <w:b/>
          <w:highlight w:val="yellow"/>
          <w:lang w:val="en-CA"/>
        </w:rPr>
        <w:t>four</w:t>
      </w:r>
      <w:r w:rsidRPr="00B75955">
        <w:rPr>
          <w:lang w:val="en-CA"/>
        </w:rPr>
        <w:t xml:space="preserve"> proposals; the implementation of TA</w:t>
      </w:r>
      <w:r w:rsidR="00CE0281" w:rsidRPr="00B75955">
        <w:rPr>
          <w:lang w:val="en-CA"/>
        </w:rPr>
        <w:t xml:space="preserve"> </w:t>
      </w:r>
      <w:r w:rsidR="00CE0281" w:rsidRPr="00B75955">
        <w:rPr>
          <w:b/>
          <w:highlight w:val="yellow"/>
          <w:lang w:val="en-CA"/>
        </w:rPr>
        <w:t>and PMU</w:t>
      </w:r>
      <w:r w:rsidRPr="00B75955">
        <w:rPr>
          <w:lang w:val="en-CA"/>
        </w:rPr>
        <w:t xml:space="preserve"> activities</w:t>
      </w:r>
      <w:r w:rsidR="007114CB" w:rsidRPr="00B75955">
        <w:rPr>
          <w:highlight w:val="yellow"/>
          <w:lang w:val="en-CA"/>
        </w:rPr>
        <w:t>;</w:t>
      </w:r>
      <w:r w:rsidR="00A01D5F" w:rsidRPr="00B75955">
        <w:rPr>
          <w:highlight w:val="yellow"/>
          <w:lang w:val="en-CA"/>
        </w:rPr>
        <w:t xml:space="preserve"> </w:t>
      </w:r>
      <w:r w:rsidR="00A01D5F" w:rsidRPr="00B75955">
        <w:rPr>
          <w:b/>
          <w:highlight w:val="yellow"/>
          <w:lang w:val="en-CA"/>
        </w:rPr>
        <w:t xml:space="preserve">and the signature of </w:t>
      </w:r>
      <w:r w:rsidR="00425051" w:rsidRPr="00B75955">
        <w:rPr>
          <w:b/>
          <w:highlight w:val="yellow"/>
          <w:lang w:val="en-CA"/>
        </w:rPr>
        <w:t xml:space="preserve">contracts for the conversion at </w:t>
      </w:r>
      <w:r w:rsidR="00346D3D" w:rsidRPr="00B75955">
        <w:rPr>
          <w:b/>
          <w:highlight w:val="yellow"/>
          <w:lang w:val="en-CA"/>
        </w:rPr>
        <w:t>nine</w:t>
      </w:r>
      <w:r w:rsidR="00A01D5F" w:rsidRPr="00B75955">
        <w:rPr>
          <w:b/>
          <w:highlight w:val="yellow"/>
          <w:lang w:val="en-CA"/>
        </w:rPr>
        <w:t xml:space="preserve"> </w:t>
      </w:r>
      <w:r w:rsidR="00425051" w:rsidRPr="00B75955">
        <w:rPr>
          <w:b/>
          <w:highlight w:val="yellow"/>
          <w:lang w:val="en-CA"/>
        </w:rPr>
        <w:t xml:space="preserve">lines </w:t>
      </w:r>
      <w:r w:rsidR="007114CB" w:rsidRPr="00B75955">
        <w:rPr>
          <w:b/>
          <w:highlight w:val="yellow"/>
          <w:lang w:val="en-CA"/>
        </w:rPr>
        <w:t xml:space="preserve">with an </w:t>
      </w:r>
      <w:r w:rsidR="00A01D5F" w:rsidRPr="00B75955">
        <w:rPr>
          <w:b/>
          <w:highlight w:val="yellow"/>
          <w:lang w:val="en-CA"/>
        </w:rPr>
        <w:t>associated disbursement of US $</w:t>
      </w:r>
      <w:r w:rsidR="00CE0281" w:rsidRPr="00B75955">
        <w:rPr>
          <w:b/>
          <w:highlight w:val="yellow"/>
          <w:lang w:val="en-CA"/>
        </w:rPr>
        <w:t xml:space="preserve">3,689,476 </w:t>
      </w:r>
      <w:r w:rsidR="007114CB" w:rsidRPr="00B75955">
        <w:rPr>
          <w:b/>
          <w:highlight w:val="yellow"/>
          <w:lang w:val="en-CA"/>
        </w:rPr>
        <w:t xml:space="preserve">to the beneficiary enterprises </w:t>
      </w:r>
      <w:r w:rsidR="00EF488D" w:rsidRPr="00B75955">
        <w:rPr>
          <w:b/>
          <w:highlight w:val="yellow"/>
          <w:lang w:val="en-CA"/>
        </w:rPr>
        <w:t>(</w:t>
      </w:r>
      <w:r w:rsidR="00D0473B" w:rsidRPr="00B75955">
        <w:rPr>
          <w:b/>
          <w:highlight w:val="yellow"/>
          <w:lang w:val="en-CA"/>
        </w:rPr>
        <w:t>i.e.</w:t>
      </w:r>
      <w:r w:rsidR="007114CB" w:rsidRPr="00B75955">
        <w:rPr>
          <w:b/>
          <w:highlight w:val="yellow"/>
          <w:lang w:val="en-CA"/>
        </w:rPr>
        <w:t xml:space="preserve">, </w:t>
      </w:r>
      <w:r w:rsidR="00EF488D" w:rsidRPr="00B75955">
        <w:rPr>
          <w:b/>
          <w:highlight w:val="yellow"/>
          <w:lang w:val="en-CA"/>
        </w:rPr>
        <w:t>2</w:t>
      </w:r>
      <w:r w:rsidR="00CE0281" w:rsidRPr="00B75955">
        <w:rPr>
          <w:b/>
          <w:highlight w:val="yellow"/>
          <w:lang w:val="en-CA"/>
        </w:rPr>
        <w:t>4</w:t>
      </w:r>
      <w:r w:rsidR="00346D3D" w:rsidRPr="00B75955">
        <w:rPr>
          <w:b/>
          <w:highlight w:val="yellow"/>
          <w:lang w:val="en-CA"/>
        </w:rPr>
        <w:t> </w:t>
      </w:r>
      <w:r w:rsidR="00EF488D" w:rsidRPr="00B75955">
        <w:rPr>
          <w:b/>
          <w:highlight w:val="yellow"/>
          <w:lang w:val="en-CA"/>
        </w:rPr>
        <w:t>per cent</w:t>
      </w:r>
      <w:r w:rsidR="007114CB" w:rsidRPr="00B75955">
        <w:rPr>
          <w:b/>
          <w:highlight w:val="yellow"/>
          <w:lang w:val="en-CA"/>
        </w:rPr>
        <w:t xml:space="preserve"> of the tranche</w:t>
      </w:r>
      <w:r w:rsidR="00EF488D" w:rsidRPr="00B75955">
        <w:rPr>
          <w:b/>
          <w:highlight w:val="yellow"/>
          <w:lang w:val="en-CA"/>
        </w:rPr>
        <w:t>)</w:t>
      </w:r>
      <w:r w:rsidRPr="00B75955">
        <w:rPr>
          <w:bCs/>
          <w:highlight w:val="yellow"/>
          <w:lang w:val="en-CA"/>
        </w:rPr>
        <w:t>.</w:t>
      </w:r>
      <w:r w:rsidRPr="00B75955">
        <w:rPr>
          <w:bCs/>
          <w:lang w:val="en-CA"/>
        </w:rPr>
        <w:t xml:space="preserve"> </w:t>
      </w:r>
    </w:p>
    <w:p w14:paraId="76DB668F" w14:textId="6A634030" w:rsidR="007114CB" w:rsidRPr="00B75955" w:rsidRDefault="00944FDA" w:rsidP="005243B9">
      <w:pPr>
        <w:pStyle w:val="Heading1"/>
        <w:rPr>
          <w:bCs/>
          <w:highlight w:val="yellow"/>
          <w:lang w:val="en-CA"/>
        </w:rPr>
      </w:pPr>
      <w:r w:rsidRPr="00B75955">
        <w:rPr>
          <w:b/>
          <w:highlight w:val="yellow"/>
          <w:lang w:val="en-CA"/>
        </w:rPr>
        <w:t>T</w:t>
      </w:r>
      <w:r w:rsidR="007114CB" w:rsidRPr="00B75955">
        <w:rPr>
          <w:b/>
          <w:highlight w:val="yellow"/>
          <w:lang w:val="en-CA"/>
        </w:rPr>
        <w:t xml:space="preserve">he progress report for the implementation of the first tranche of the RAC sector submitted on 23 March 2018 had indicated </w:t>
      </w:r>
      <w:r w:rsidRPr="00B75955">
        <w:rPr>
          <w:b/>
          <w:highlight w:val="yellow"/>
          <w:lang w:val="en-CA"/>
        </w:rPr>
        <w:t xml:space="preserve">that a first </w:t>
      </w:r>
      <w:r w:rsidR="007114CB" w:rsidRPr="00B75955">
        <w:rPr>
          <w:b/>
          <w:highlight w:val="yellow"/>
          <w:lang w:val="en-CA"/>
        </w:rPr>
        <w:t xml:space="preserve">disbursement </w:t>
      </w:r>
      <w:r w:rsidRPr="00B75955">
        <w:rPr>
          <w:b/>
          <w:highlight w:val="yellow"/>
          <w:lang w:val="en-CA"/>
        </w:rPr>
        <w:t xml:space="preserve">of </w:t>
      </w:r>
      <w:r w:rsidR="007114CB" w:rsidRPr="00B75955">
        <w:rPr>
          <w:b/>
          <w:highlight w:val="yellow"/>
          <w:lang w:val="en-CA"/>
        </w:rPr>
        <w:t>US</w:t>
      </w:r>
      <w:r w:rsidRPr="00B75955">
        <w:rPr>
          <w:b/>
          <w:highlight w:val="yellow"/>
          <w:lang w:val="en-CA"/>
        </w:rPr>
        <w:t> </w:t>
      </w:r>
      <w:r w:rsidR="007114CB" w:rsidRPr="00B75955">
        <w:rPr>
          <w:b/>
          <w:highlight w:val="yellow"/>
          <w:lang w:val="en-CA"/>
        </w:rPr>
        <w:t xml:space="preserve">$243,268 </w:t>
      </w:r>
      <w:r w:rsidRPr="00B75955">
        <w:rPr>
          <w:b/>
          <w:highlight w:val="yellow"/>
          <w:lang w:val="en-CA"/>
        </w:rPr>
        <w:t xml:space="preserve">for the PMU </w:t>
      </w:r>
      <w:r w:rsidR="007114CB" w:rsidRPr="00B75955">
        <w:rPr>
          <w:b/>
          <w:highlight w:val="yellow"/>
          <w:lang w:val="en-CA"/>
        </w:rPr>
        <w:t xml:space="preserve">would be </w:t>
      </w:r>
      <w:r w:rsidRPr="00B75955">
        <w:rPr>
          <w:b/>
          <w:highlight w:val="yellow"/>
          <w:lang w:val="en-CA"/>
        </w:rPr>
        <w:t xml:space="preserve">made only </w:t>
      </w:r>
      <w:r w:rsidR="007114CB" w:rsidRPr="00B75955">
        <w:rPr>
          <w:b/>
          <w:highlight w:val="yellow"/>
          <w:lang w:val="en-CA"/>
        </w:rPr>
        <w:t xml:space="preserve">in May 2018. </w:t>
      </w:r>
      <w:r w:rsidRPr="00B75955">
        <w:rPr>
          <w:b/>
          <w:highlight w:val="yellow"/>
          <w:lang w:val="en-CA"/>
        </w:rPr>
        <w:t xml:space="preserve">However, </w:t>
      </w:r>
      <w:r w:rsidR="005243B9" w:rsidRPr="00B75955">
        <w:rPr>
          <w:b/>
          <w:highlight w:val="yellow"/>
          <w:lang w:val="en-CA"/>
        </w:rPr>
        <w:t xml:space="preserve">in the context of </w:t>
      </w:r>
      <w:r w:rsidRPr="00B75955">
        <w:rPr>
          <w:b/>
          <w:highlight w:val="yellow"/>
          <w:lang w:val="en-CA"/>
        </w:rPr>
        <w:t xml:space="preserve">the discussions </w:t>
      </w:r>
      <w:r w:rsidR="005243B9" w:rsidRPr="00B75955">
        <w:rPr>
          <w:b/>
          <w:bCs/>
          <w:highlight w:val="yellow"/>
          <w:lang w:val="en-CA"/>
        </w:rPr>
        <w:t>to develop a financial reporting format for annual PMU expenditures in relation to the consumption sector, as requested in decision</w:t>
      </w:r>
      <w:r w:rsidR="00FD0D4E" w:rsidRPr="00B75955">
        <w:rPr>
          <w:b/>
          <w:bCs/>
          <w:highlight w:val="yellow"/>
          <w:lang w:val="en-CA"/>
        </w:rPr>
        <w:t> </w:t>
      </w:r>
      <w:r w:rsidR="005243B9" w:rsidRPr="00B75955">
        <w:rPr>
          <w:b/>
          <w:bCs/>
          <w:highlight w:val="yellow"/>
          <w:lang w:val="en-CA"/>
        </w:rPr>
        <w:t xml:space="preserve">80/80, the Government of China through </w:t>
      </w:r>
      <w:r w:rsidR="005243B9" w:rsidRPr="00B75955">
        <w:rPr>
          <w:b/>
          <w:highlight w:val="yellow"/>
          <w:lang w:val="en-CA"/>
        </w:rPr>
        <w:t>UNDP</w:t>
      </w:r>
      <w:r w:rsidR="005243B9" w:rsidRPr="00B75955">
        <w:rPr>
          <w:b/>
          <w:bCs/>
          <w:highlight w:val="yellow"/>
          <w:lang w:val="en-CA"/>
        </w:rPr>
        <w:t xml:space="preserve"> as the lead implementing agency of stage</w:t>
      </w:r>
      <w:r w:rsidR="00FD0D4E" w:rsidRPr="00B75955">
        <w:rPr>
          <w:b/>
          <w:bCs/>
          <w:highlight w:val="yellow"/>
          <w:lang w:val="en-CA"/>
        </w:rPr>
        <w:t> </w:t>
      </w:r>
      <w:r w:rsidR="005243B9" w:rsidRPr="00B75955">
        <w:rPr>
          <w:b/>
          <w:bCs/>
          <w:highlight w:val="yellow"/>
          <w:lang w:val="en-CA"/>
        </w:rPr>
        <w:t xml:space="preserve">II of the HPMP, </w:t>
      </w:r>
      <w:r w:rsidR="007114CB" w:rsidRPr="00B75955">
        <w:rPr>
          <w:b/>
          <w:bCs/>
          <w:highlight w:val="yellow"/>
          <w:lang w:val="en-CA"/>
        </w:rPr>
        <w:t xml:space="preserve">indicated that </w:t>
      </w:r>
      <w:r w:rsidR="005243B9" w:rsidRPr="00B75955">
        <w:rPr>
          <w:b/>
          <w:bCs/>
          <w:highlight w:val="yellow"/>
          <w:lang w:val="en-CA"/>
        </w:rPr>
        <w:t xml:space="preserve">the disbursement of </w:t>
      </w:r>
      <w:r w:rsidR="007114CB" w:rsidRPr="00B75955">
        <w:rPr>
          <w:b/>
          <w:bCs/>
          <w:highlight w:val="yellow"/>
          <w:lang w:val="en-CA"/>
        </w:rPr>
        <w:t>US</w:t>
      </w:r>
      <w:r w:rsidR="005243B9" w:rsidRPr="00B75955">
        <w:rPr>
          <w:b/>
          <w:bCs/>
          <w:highlight w:val="yellow"/>
          <w:lang w:val="en-CA"/>
        </w:rPr>
        <w:t> </w:t>
      </w:r>
      <w:r w:rsidR="007114CB" w:rsidRPr="00B75955">
        <w:rPr>
          <w:b/>
          <w:bCs/>
          <w:highlight w:val="yellow"/>
          <w:lang w:val="en-CA"/>
        </w:rPr>
        <w:t>$243,268 took place after the submission</w:t>
      </w:r>
      <w:r w:rsidR="00365D29" w:rsidRPr="00B75955">
        <w:rPr>
          <w:b/>
          <w:bCs/>
          <w:highlight w:val="yellow"/>
          <w:lang w:val="en-CA"/>
        </w:rPr>
        <w:t xml:space="preserve"> of</w:t>
      </w:r>
      <w:r w:rsidR="007114CB" w:rsidRPr="00B75955">
        <w:rPr>
          <w:b/>
          <w:bCs/>
          <w:highlight w:val="yellow"/>
          <w:lang w:val="en-CA"/>
        </w:rPr>
        <w:t xml:space="preserve"> the progress report but before 30 March 2018.</w:t>
      </w:r>
    </w:p>
    <w:p w14:paraId="6C40473E" w14:textId="70C70853" w:rsidR="008A4C7A" w:rsidRPr="00B75955" w:rsidRDefault="008A4C7A" w:rsidP="008A4C7A">
      <w:pPr>
        <w:pStyle w:val="Heading1"/>
        <w:widowControl w:val="0"/>
        <w:numPr>
          <w:ilvl w:val="0"/>
          <w:numId w:val="0"/>
        </w:numPr>
        <w:rPr>
          <w:u w:val="single"/>
          <w:lang w:val="en-CA"/>
        </w:rPr>
      </w:pPr>
      <w:r w:rsidRPr="00B75955">
        <w:rPr>
          <w:u w:val="single"/>
          <w:lang w:val="en-CA"/>
        </w:rPr>
        <w:t>Technical issues</w:t>
      </w:r>
    </w:p>
    <w:p w14:paraId="1E973930" w14:textId="6C08F701" w:rsidR="00B17CD1" w:rsidRPr="00B75955" w:rsidRDefault="00B17CD1" w:rsidP="00B17CD1">
      <w:pPr>
        <w:rPr>
          <w:b/>
          <w:i/>
          <w:highlight w:val="yellow"/>
          <w:lang w:val="en-CA"/>
        </w:rPr>
      </w:pPr>
      <w:r w:rsidRPr="00B75955">
        <w:rPr>
          <w:b/>
          <w:i/>
          <w:highlight w:val="yellow"/>
          <w:lang w:val="en-CA"/>
        </w:rPr>
        <w:t>Sustainability of t</w:t>
      </w:r>
      <w:r w:rsidR="0056311B" w:rsidRPr="00B75955">
        <w:rPr>
          <w:b/>
          <w:i/>
          <w:highlight w:val="yellow"/>
          <w:lang w:val="en-CA"/>
        </w:rPr>
        <w:t xml:space="preserve">he conversion to R-290 at </w:t>
      </w:r>
      <w:proofErr w:type="spellStart"/>
      <w:r w:rsidR="0056311B" w:rsidRPr="00B75955">
        <w:rPr>
          <w:b/>
          <w:i/>
          <w:highlight w:val="yellow"/>
          <w:lang w:val="en-CA"/>
        </w:rPr>
        <w:t>Midea</w:t>
      </w:r>
      <w:proofErr w:type="spellEnd"/>
    </w:p>
    <w:p w14:paraId="52F7E609" w14:textId="77777777" w:rsidR="00B17CD1" w:rsidRPr="00B75955" w:rsidRDefault="00B17CD1" w:rsidP="00B17CD1">
      <w:pPr>
        <w:rPr>
          <w:b/>
          <w:highlight w:val="yellow"/>
          <w:lang w:val="en-CA"/>
        </w:rPr>
      </w:pPr>
    </w:p>
    <w:p w14:paraId="5E0D20BF" w14:textId="2D2C87FC" w:rsidR="00F83587" w:rsidRPr="00B75955" w:rsidRDefault="00F83587" w:rsidP="00F83587">
      <w:pPr>
        <w:pStyle w:val="Heading1"/>
        <w:rPr>
          <w:highlight w:val="yellow"/>
          <w:lang w:val="en-CA"/>
        </w:rPr>
      </w:pPr>
      <w:r w:rsidRPr="00B75955">
        <w:rPr>
          <w:b/>
          <w:highlight w:val="yellow"/>
          <w:lang w:val="en-CA"/>
        </w:rPr>
        <w:t xml:space="preserve">At the </w:t>
      </w:r>
      <w:r w:rsidR="0056311B" w:rsidRPr="00B75955">
        <w:rPr>
          <w:b/>
          <w:highlight w:val="yellow"/>
          <w:lang w:val="en-CA"/>
        </w:rPr>
        <w:t>61</w:t>
      </w:r>
      <w:r w:rsidR="0056311B" w:rsidRPr="00B75955">
        <w:rPr>
          <w:b/>
          <w:highlight w:val="yellow"/>
          <w:vertAlign w:val="superscript"/>
          <w:lang w:val="en-CA"/>
        </w:rPr>
        <w:t>st</w:t>
      </w:r>
      <w:r w:rsidR="0056311B" w:rsidRPr="00B75955">
        <w:rPr>
          <w:b/>
          <w:highlight w:val="yellow"/>
          <w:lang w:val="en-CA"/>
        </w:rPr>
        <w:t xml:space="preserve"> </w:t>
      </w:r>
      <w:r w:rsidRPr="00B75955">
        <w:rPr>
          <w:b/>
          <w:highlight w:val="yellow"/>
          <w:lang w:val="en-CA"/>
        </w:rPr>
        <w:t>meeting</w:t>
      </w:r>
      <w:r w:rsidR="0056311B" w:rsidRPr="00B75955">
        <w:rPr>
          <w:b/>
          <w:highlight w:val="yellow"/>
          <w:lang w:val="en-CA"/>
        </w:rPr>
        <w:t>,</w:t>
      </w:r>
      <w:r w:rsidRPr="00B75955">
        <w:rPr>
          <w:b/>
          <w:highlight w:val="yellow"/>
          <w:lang w:val="en-CA"/>
        </w:rPr>
        <w:t xml:space="preserve"> the Executive Committee approved funding for a demonstration project for conversion of one production line from HCFC-22 to R-290 at </w:t>
      </w:r>
      <w:proofErr w:type="spellStart"/>
      <w:r w:rsidRPr="00B75955">
        <w:rPr>
          <w:b/>
          <w:highlight w:val="yellow"/>
          <w:lang w:val="en-CA"/>
        </w:rPr>
        <w:t>Midea</w:t>
      </w:r>
      <w:proofErr w:type="spellEnd"/>
      <w:r w:rsidRPr="00B75955">
        <w:rPr>
          <w:b/>
          <w:highlight w:val="yellow"/>
          <w:lang w:val="en-CA"/>
        </w:rPr>
        <w:t xml:space="preserve"> Room Air-conditioning Manufacturing Company (</w:t>
      </w:r>
      <w:proofErr w:type="spellStart"/>
      <w:r w:rsidRPr="00B75955">
        <w:rPr>
          <w:b/>
          <w:highlight w:val="yellow"/>
          <w:lang w:val="en-CA"/>
        </w:rPr>
        <w:t>Midea</w:t>
      </w:r>
      <w:proofErr w:type="spellEnd"/>
      <w:r w:rsidRPr="00B75955">
        <w:rPr>
          <w:b/>
          <w:highlight w:val="yellow"/>
          <w:lang w:val="en-CA"/>
        </w:rPr>
        <w:t xml:space="preserve">); additional funding was approved for the conversion of additional two lines to R-290 </w:t>
      </w:r>
      <w:proofErr w:type="spellStart"/>
      <w:r w:rsidRPr="00B75955">
        <w:rPr>
          <w:b/>
          <w:highlight w:val="yellow"/>
          <w:lang w:val="en-CA"/>
        </w:rPr>
        <w:t>Midea</w:t>
      </w:r>
      <w:proofErr w:type="spellEnd"/>
      <w:r w:rsidRPr="00B75955">
        <w:rPr>
          <w:b/>
          <w:highlight w:val="yellow"/>
          <w:lang w:val="en-CA"/>
        </w:rPr>
        <w:t xml:space="preserve"> under stage I of the HPMP. Conversion of the three lines to R-290 </w:t>
      </w:r>
      <w:r w:rsidRPr="00B75955">
        <w:rPr>
          <w:b/>
          <w:highlight w:val="yellow"/>
          <w:lang w:val="en-CA"/>
        </w:rPr>
        <w:lastRenderedPageBreak/>
        <w:t xml:space="preserve">technology has been successfully completed and </w:t>
      </w:r>
      <w:proofErr w:type="spellStart"/>
      <w:r w:rsidRPr="00B75955">
        <w:rPr>
          <w:b/>
          <w:highlight w:val="yellow"/>
          <w:lang w:val="en-CA"/>
        </w:rPr>
        <w:t>Midea</w:t>
      </w:r>
      <w:proofErr w:type="spellEnd"/>
      <w:r w:rsidRPr="00B75955">
        <w:rPr>
          <w:b/>
          <w:highlight w:val="yellow"/>
          <w:lang w:val="en-CA"/>
        </w:rPr>
        <w:t xml:space="preserve"> obtained the Blue Angel ecolabel. The World Bank has submitted to the 81</w:t>
      </w:r>
      <w:r w:rsidRPr="00B75955">
        <w:rPr>
          <w:b/>
          <w:highlight w:val="yellow"/>
          <w:vertAlign w:val="superscript"/>
          <w:lang w:val="en-CA"/>
        </w:rPr>
        <w:t>st</w:t>
      </w:r>
      <w:r w:rsidRPr="00B75955">
        <w:rPr>
          <w:b/>
          <w:highlight w:val="yellow"/>
          <w:lang w:val="en-CA"/>
        </w:rPr>
        <w:t xml:space="preserve"> meeting, a request to change the technology from R-290 to HFC-32 a subsidiary of </w:t>
      </w:r>
      <w:proofErr w:type="spellStart"/>
      <w:r w:rsidRPr="00B75955">
        <w:rPr>
          <w:b/>
          <w:highlight w:val="yellow"/>
          <w:lang w:val="en-CA"/>
        </w:rPr>
        <w:t>Midea</w:t>
      </w:r>
      <w:proofErr w:type="spellEnd"/>
      <w:r w:rsidRPr="00B75955">
        <w:rPr>
          <w:b/>
          <w:highlight w:val="yellow"/>
          <w:lang w:val="en-CA"/>
        </w:rPr>
        <w:t xml:space="preserve"> in Viet Nam</w:t>
      </w:r>
      <w:r w:rsidR="00820321" w:rsidRPr="00B75955">
        <w:rPr>
          <w:b/>
          <w:highlight w:val="yellow"/>
          <w:lang w:val="en-CA"/>
        </w:rPr>
        <w:t>.</w:t>
      </w:r>
      <w:r w:rsidRPr="00B75955">
        <w:rPr>
          <w:rStyle w:val="FootnoteReference"/>
          <w:b/>
          <w:highlight w:val="yellow"/>
          <w:lang w:val="en-CA"/>
        </w:rPr>
        <w:footnoteReference w:id="16"/>
      </w:r>
      <w:r w:rsidRPr="00B75955">
        <w:rPr>
          <w:b/>
          <w:highlight w:val="yellow"/>
          <w:lang w:val="en-CA"/>
        </w:rPr>
        <w:t xml:space="preserve"> </w:t>
      </w:r>
      <w:r w:rsidR="00820321" w:rsidRPr="00B75955">
        <w:rPr>
          <w:b/>
          <w:highlight w:val="yellow"/>
          <w:lang w:val="en-CA"/>
        </w:rPr>
        <w:t>Given this fact, the Secretariat inquire</w:t>
      </w:r>
      <w:r w:rsidR="0056311B" w:rsidRPr="00B75955">
        <w:rPr>
          <w:b/>
          <w:highlight w:val="yellow"/>
          <w:lang w:val="en-CA"/>
        </w:rPr>
        <w:t>d</w:t>
      </w:r>
      <w:r w:rsidR="00820321" w:rsidRPr="00B75955">
        <w:rPr>
          <w:b/>
          <w:highlight w:val="yellow"/>
          <w:lang w:val="en-CA"/>
        </w:rPr>
        <w:t xml:space="preserve"> on the long-term sustainability of the manufacturing lines already converted at </w:t>
      </w:r>
      <w:proofErr w:type="spellStart"/>
      <w:r w:rsidR="00820321" w:rsidRPr="00B75955">
        <w:rPr>
          <w:b/>
          <w:highlight w:val="yellow"/>
          <w:lang w:val="en-CA"/>
        </w:rPr>
        <w:t>Midea</w:t>
      </w:r>
      <w:proofErr w:type="spellEnd"/>
      <w:r w:rsidR="00820321" w:rsidRPr="00B75955">
        <w:rPr>
          <w:b/>
          <w:highlight w:val="yellow"/>
          <w:lang w:val="en-CA"/>
        </w:rPr>
        <w:t xml:space="preserve"> (China)</w:t>
      </w:r>
      <w:r w:rsidRPr="00B75955">
        <w:rPr>
          <w:b/>
          <w:highlight w:val="yellow"/>
          <w:lang w:val="en-CA"/>
        </w:rPr>
        <w:t xml:space="preserve">. UNIDO clarified that </w:t>
      </w:r>
      <w:proofErr w:type="spellStart"/>
      <w:r w:rsidRPr="00B75955">
        <w:rPr>
          <w:b/>
          <w:highlight w:val="yellow"/>
          <w:lang w:val="en-CA"/>
        </w:rPr>
        <w:t>Midea</w:t>
      </w:r>
      <w:proofErr w:type="spellEnd"/>
      <w:r w:rsidRPr="00B75955">
        <w:rPr>
          <w:b/>
          <w:highlight w:val="yellow"/>
          <w:lang w:val="en-CA"/>
        </w:rPr>
        <w:t xml:space="preserve">, as a global player, is implementing a multi-refrigerant strategy, including R-410A, HFC-32 and R-290 for different products and markets, and that it remains committed to R-290 as a long-term sustainable choice in China. </w:t>
      </w:r>
    </w:p>
    <w:p w14:paraId="290EFC3A" w14:textId="0D6AD410" w:rsidR="00B17CD1" w:rsidRPr="00B75955" w:rsidRDefault="00B17CD1" w:rsidP="00B17CD1">
      <w:pPr>
        <w:rPr>
          <w:b/>
          <w:i/>
          <w:lang w:val="en-CA"/>
        </w:rPr>
      </w:pPr>
      <w:r w:rsidRPr="00B75955">
        <w:rPr>
          <w:b/>
          <w:i/>
          <w:highlight w:val="yellow"/>
          <w:lang w:val="en-CA"/>
        </w:rPr>
        <w:t>Conversions at enterprises without assistance from the Multilateral Fund</w:t>
      </w:r>
    </w:p>
    <w:p w14:paraId="75934910" w14:textId="77777777" w:rsidR="00B17CD1" w:rsidRPr="00B75955" w:rsidRDefault="00B17CD1" w:rsidP="00B17CD1">
      <w:pPr>
        <w:rPr>
          <w:lang w:val="en-CA"/>
        </w:rPr>
      </w:pPr>
    </w:p>
    <w:p w14:paraId="78F9F80D" w14:textId="1073C4E6" w:rsidR="008A4C7A" w:rsidRPr="00B75955" w:rsidRDefault="008A4C7A" w:rsidP="008A4C7A">
      <w:pPr>
        <w:pStyle w:val="Heading1"/>
        <w:rPr>
          <w:lang w:val="en-CA"/>
        </w:rPr>
      </w:pPr>
      <w:r w:rsidRPr="00B75955">
        <w:rPr>
          <w:lang w:val="en-CA"/>
        </w:rPr>
        <w:t>Recalling that over half of the phase-out under stage II (i.e., 10,505 </w:t>
      </w:r>
      <w:proofErr w:type="spellStart"/>
      <w:r w:rsidRPr="00B75955">
        <w:rPr>
          <w:lang w:val="en-CA"/>
        </w:rPr>
        <w:t>mt</w:t>
      </w:r>
      <w:proofErr w:type="spellEnd"/>
      <w:r w:rsidRPr="00B75955">
        <w:rPr>
          <w:lang w:val="en-CA"/>
        </w:rPr>
        <w:t xml:space="preserve">) would be achieved through conversions at enterprises without assistance from the Multilateral Fund, the Secretariat asked whether any information was available on those conversions. UNIDO indicated that it was expected that those conversions </w:t>
      </w:r>
      <w:r w:rsidR="00486261" w:rsidRPr="00B75955">
        <w:rPr>
          <w:lang w:val="en-CA"/>
        </w:rPr>
        <w:t>would predominantly be to R-410A</w:t>
      </w:r>
      <w:r w:rsidR="00820321" w:rsidRPr="00B75955">
        <w:rPr>
          <w:lang w:val="en-CA"/>
        </w:rPr>
        <w:t xml:space="preserve">; </w:t>
      </w:r>
      <w:r w:rsidR="00820321" w:rsidRPr="00B75955">
        <w:rPr>
          <w:b/>
          <w:highlight w:val="yellow"/>
          <w:lang w:val="en-CA"/>
        </w:rPr>
        <w:t xml:space="preserve">however, </w:t>
      </w:r>
      <w:r w:rsidR="006C1202" w:rsidRPr="00B75955">
        <w:rPr>
          <w:b/>
          <w:highlight w:val="yellow"/>
          <w:lang w:val="en-CA"/>
        </w:rPr>
        <w:t xml:space="preserve">some conversions to HFC-32 </w:t>
      </w:r>
      <w:r w:rsidR="00820321" w:rsidRPr="00B75955">
        <w:rPr>
          <w:b/>
          <w:highlight w:val="yellow"/>
          <w:lang w:val="en-CA"/>
        </w:rPr>
        <w:t xml:space="preserve">technology </w:t>
      </w:r>
      <w:r w:rsidR="006C1202" w:rsidRPr="00B75955">
        <w:rPr>
          <w:b/>
          <w:highlight w:val="yellow"/>
          <w:lang w:val="en-CA"/>
        </w:rPr>
        <w:t>had taken place principally for export to the European Union and to Thailand,</w:t>
      </w:r>
      <w:r w:rsidR="006C1202" w:rsidRPr="00B75955">
        <w:rPr>
          <w:lang w:val="en-CA"/>
        </w:rPr>
        <w:t xml:space="preserve"> </w:t>
      </w:r>
      <w:r w:rsidRPr="00B75955">
        <w:rPr>
          <w:lang w:val="en-CA"/>
        </w:rPr>
        <w:t xml:space="preserve">but no detailed information was available. </w:t>
      </w:r>
    </w:p>
    <w:p w14:paraId="44555C7C" w14:textId="2E892E0A" w:rsidR="00B17CD1" w:rsidRPr="00B75955" w:rsidRDefault="00597EC3" w:rsidP="00B17CD1">
      <w:pPr>
        <w:rPr>
          <w:b/>
          <w:i/>
          <w:lang w:val="en-CA"/>
        </w:rPr>
      </w:pPr>
      <w:r w:rsidRPr="00B75955">
        <w:rPr>
          <w:b/>
          <w:i/>
          <w:highlight w:val="yellow"/>
          <w:lang w:val="en-CA"/>
        </w:rPr>
        <w:t>Potential revision of the Agreement</w:t>
      </w:r>
      <w:r w:rsidRPr="00B75955">
        <w:rPr>
          <w:b/>
          <w:i/>
          <w:lang w:val="en-CA"/>
        </w:rPr>
        <w:t xml:space="preserve"> </w:t>
      </w:r>
    </w:p>
    <w:p w14:paraId="5FB80DE6" w14:textId="77777777" w:rsidR="00597EC3" w:rsidRPr="00B75955" w:rsidRDefault="00597EC3" w:rsidP="00B17CD1">
      <w:pPr>
        <w:rPr>
          <w:lang w:val="en-CA"/>
        </w:rPr>
      </w:pPr>
    </w:p>
    <w:p w14:paraId="63FADF64" w14:textId="782C5B1E" w:rsidR="00597EC3" w:rsidRPr="00B75955" w:rsidRDefault="008A4C7A" w:rsidP="00DA12F9">
      <w:pPr>
        <w:pStyle w:val="Heading1"/>
        <w:rPr>
          <w:lang w:val="en-CA"/>
        </w:rPr>
      </w:pPr>
      <w:r w:rsidRPr="00B75955">
        <w:rPr>
          <w:lang w:val="en-CA"/>
        </w:rPr>
        <w:t>Regarding the expected duration of conversions under the first tranche</w:t>
      </w:r>
      <w:r w:rsidR="00DA12F9" w:rsidRPr="00B75955">
        <w:rPr>
          <w:lang w:val="en-CA"/>
        </w:rPr>
        <w:t>s</w:t>
      </w:r>
      <w:r w:rsidRPr="00B75955">
        <w:rPr>
          <w:lang w:val="en-CA"/>
        </w:rPr>
        <w:t xml:space="preserve">, UNIDO indicated </w:t>
      </w:r>
      <w:r w:rsidR="0096299D" w:rsidRPr="00B75955">
        <w:rPr>
          <w:b/>
          <w:highlight w:val="yellow"/>
          <w:lang w:val="en-CA"/>
        </w:rPr>
        <w:t>that</w:t>
      </w:r>
      <w:r w:rsidR="0096299D" w:rsidRPr="00B75955">
        <w:rPr>
          <w:lang w:val="en-CA"/>
        </w:rPr>
        <w:t xml:space="preserve"> </w:t>
      </w:r>
      <w:r w:rsidRPr="00B75955">
        <w:rPr>
          <w:lang w:val="en-CA"/>
        </w:rPr>
        <w:t>the equipment purchase order</w:t>
      </w:r>
      <w:r w:rsidR="0096299D" w:rsidRPr="00B75955">
        <w:rPr>
          <w:lang w:val="en-CA"/>
        </w:rPr>
        <w:t xml:space="preserve"> </w:t>
      </w:r>
      <w:r w:rsidR="0096299D" w:rsidRPr="00B75955">
        <w:rPr>
          <w:b/>
          <w:highlight w:val="yellow"/>
          <w:lang w:val="en-CA"/>
        </w:rPr>
        <w:t>was expected to be</w:t>
      </w:r>
      <w:r w:rsidRPr="00B75955">
        <w:rPr>
          <w:lang w:val="en-CA"/>
        </w:rPr>
        <w:t xml:space="preserve"> issued in the first and second quarters of 2018. Installation, commissioning, and commercial manufacturing, was expected in 2019, with project acceptance anticipated by the end of 2019. Payment of IOCs was expected in the 2019 to 2021 timeframe</w:t>
      </w:r>
      <w:r w:rsidR="0096299D" w:rsidRPr="00B75955">
        <w:rPr>
          <w:lang w:val="en-CA"/>
        </w:rPr>
        <w:t xml:space="preserve"> </w:t>
      </w:r>
      <w:r w:rsidR="0096299D" w:rsidRPr="00B75955">
        <w:rPr>
          <w:b/>
          <w:highlight w:val="yellow"/>
          <w:lang w:val="en-CA"/>
        </w:rPr>
        <w:t xml:space="preserve">under a subsequent </w:t>
      </w:r>
      <w:r w:rsidR="00820321" w:rsidRPr="00B75955">
        <w:rPr>
          <w:b/>
          <w:highlight w:val="yellow"/>
          <w:lang w:val="en-CA"/>
        </w:rPr>
        <w:t xml:space="preserve">funding </w:t>
      </w:r>
      <w:r w:rsidR="0096299D" w:rsidRPr="00B75955">
        <w:rPr>
          <w:b/>
          <w:highlight w:val="yellow"/>
          <w:lang w:val="en-CA"/>
        </w:rPr>
        <w:t>tranche</w:t>
      </w:r>
      <w:r w:rsidR="00820321" w:rsidRPr="00B75955">
        <w:rPr>
          <w:b/>
          <w:highlight w:val="yellow"/>
          <w:lang w:val="en-CA"/>
        </w:rPr>
        <w:t xml:space="preserve"> </w:t>
      </w:r>
      <w:r w:rsidR="00D0473B" w:rsidRPr="00B75955">
        <w:rPr>
          <w:b/>
          <w:highlight w:val="yellow"/>
          <w:lang w:val="en-CA"/>
        </w:rPr>
        <w:t>request</w:t>
      </w:r>
      <w:r w:rsidRPr="00B75955">
        <w:rPr>
          <w:b/>
          <w:highlight w:val="yellow"/>
          <w:lang w:val="en-CA"/>
        </w:rPr>
        <w:t xml:space="preserve">. </w:t>
      </w:r>
      <w:r w:rsidR="0096299D" w:rsidRPr="00B75955">
        <w:rPr>
          <w:b/>
          <w:highlight w:val="yellow"/>
          <w:lang w:val="en-CA"/>
        </w:rPr>
        <w:t>Contracts for enterprises to be converted under the second tranche were expected to be signed in August 2018, with the completion of the second tranche expected in 2021</w:t>
      </w:r>
      <w:r w:rsidR="00ED7873" w:rsidRPr="00B75955">
        <w:rPr>
          <w:b/>
          <w:highlight w:val="yellow"/>
          <w:lang w:val="en-CA"/>
        </w:rPr>
        <w:t xml:space="preserve">. </w:t>
      </w:r>
    </w:p>
    <w:p w14:paraId="28AE0588" w14:textId="35144DF0" w:rsidR="008A4C7A" w:rsidRPr="00B75955" w:rsidRDefault="00ED7873" w:rsidP="00DA12F9">
      <w:pPr>
        <w:pStyle w:val="Heading1"/>
        <w:rPr>
          <w:lang w:val="en-CA"/>
        </w:rPr>
      </w:pPr>
      <w:r w:rsidRPr="00B75955">
        <w:rPr>
          <w:b/>
          <w:highlight w:val="yellow"/>
          <w:lang w:val="en-CA"/>
        </w:rPr>
        <w:t xml:space="preserve">The </w:t>
      </w:r>
      <w:r w:rsidR="000D1327" w:rsidRPr="00B75955">
        <w:rPr>
          <w:b/>
          <w:highlight w:val="yellow"/>
          <w:lang w:val="en-CA"/>
        </w:rPr>
        <w:t>third tranche of</w:t>
      </w:r>
      <w:r w:rsidR="00DA12F9" w:rsidRPr="00B75955">
        <w:rPr>
          <w:b/>
          <w:highlight w:val="yellow"/>
          <w:lang w:val="en-CA"/>
        </w:rPr>
        <w:t xml:space="preserve"> the RAC sector plan </w:t>
      </w:r>
      <w:r w:rsidR="000D1327" w:rsidRPr="00B75955">
        <w:rPr>
          <w:b/>
          <w:highlight w:val="yellow"/>
          <w:lang w:val="en-CA"/>
        </w:rPr>
        <w:t>is expected to be submitted</w:t>
      </w:r>
      <w:r w:rsidR="00DA12F9" w:rsidRPr="00B75955">
        <w:rPr>
          <w:b/>
          <w:highlight w:val="yellow"/>
          <w:lang w:val="en-CA"/>
        </w:rPr>
        <w:t xml:space="preserve"> to the 82</w:t>
      </w:r>
      <w:r w:rsidR="00DA12F9" w:rsidRPr="00B75955">
        <w:rPr>
          <w:b/>
          <w:highlight w:val="yellow"/>
          <w:vertAlign w:val="superscript"/>
          <w:lang w:val="en-CA"/>
        </w:rPr>
        <w:t>nd</w:t>
      </w:r>
      <w:r w:rsidR="00DA12F9" w:rsidRPr="00B75955">
        <w:rPr>
          <w:b/>
          <w:highlight w:val="yellow"/>
          <w:lang w:val="en-CA"/>
        </w:rPr>
        <w:t xml:space="preserve"> meeting. Given that </w:t>
      </w:r>
      <w:r w:rsidR="00246E97" w:rsidRPr="00B75955">
        <w:rPr>
          <w:b/>
          <w:highlight w:val="yellow"/>
          <w:lang w:val="en-CA"/>
        </w:rPr>
        <w:t xml:space="preserve">the </w:t>
      </w:r>
      <w:r w:rsidR="00DA12F9" w:rsidRPr="00B75955">
        <w:rPr>
          <w:b/>
          <w:highlight w:val="yellow"/>
          <w:lang w:val="en-CA"/>
        </w:rPr>
        <w:t>signatures of the contracts for enterprises associat</w:t>
      </w:r>
      <w:r w:rsidR="000D1327" w:rsidRPr="00B75955">
        <w:rPr>
          <w:b/>
          <w:highlight w:val="yellow"/>
          <w:lang w:val="en-CA"/>
        </w:rPr>
        <w:t>e</w:t>
      </w:r>
      <w:r w:rsidR="00DA12F9" w:rsidRPr="00B75955">
        <w:rPr>
          <w:b/>
          <w:highlight w:val="yellow"/>
          <w:lang w:val="en-CA"/>
        </w:rPr>
        <w:t xml:space="preserve">d with the second tranche were expected in August 2018, </w:t>
      </w:r>
      <w:r w:rsidR="00246E97" w:rsidRPr="00B75955">
        <w:rPr>
          <w:b/>
          <w:highlight w:val="yellow"/>
          <w:lang w:val="en-CA"/>
        </w:rPr>
        <w:t xml:space="preserve">a few weeks prior to the submission deadline for </w:t>
      </w:r>
      <w:r w:rsidR="001F0A13" w:rsidRPr="00B75955">
        <w:rPr>
          <w:b/>
          <w:highlight w:val="yellow"/>
          <w:lang w:val="en-CA"/>
        </w:rPr>
        <w:t xml:space="preserve">project </w:t>
      </w:r>
      <w:r w:rsidR="00D0473B" w:rsidRPr="00B75955">
        <w:rPr>
          <w:b/>
          <w:highlight w:val="yellow"/>
          <w:lang w:val="en-CA"/>
        </w:rPr>
        <w:t>proposals</w:t>
      </w:r>
      <w:r w:rsidR="001F0A13" w:rsidRPr="00B75955">
        <w:rPr>
          <w:b/>
          <w:highlight w:val="yellow"/>
          <w:lang w:val="en-CA"/>
        </w:rPr>
        <w:t xml:space="preserve"> to </w:t>
      </w:r>
      <w:r w:rsidRPr="00B75955">
        <w:rPr>
          <w:b/>
          <w:highlight w:val="yellow"/>
          <w:lang w:val="en-CA"/>
        </w:rPr>
        <w:t>the 82</w:t>
      </w:r>
      <w:r w:rsidRPr="00B75955">
        <w:rPr>
          <w:b/>
          <w:highlight w:val="yellow"/>
          <w:vertAlign w:val="superscript"/>
          <w:lang w:val="en-CA"/>
        </w:rPr>
        <w:t>nd</w:t>
      </w:r>
      <w:r w:rsidRPr="00B75955">
        <w:rPr>
          <w:b/>
          <w:highlight w:val="yellow"/>
          <w:lang w:val="en-CA"/>
        </w:rPr>
        <w:t xml:space="preserve"> meeting</w:t>
      </w:r>
      <w:r w:rsidR="00246E97" w:rsidRPr="00B75955">
        <w:rPr>
          <w:b/>
          <w:highlight w:val="yellow"/>
          <w:lang w:val="en-CA"/>
        </w:rPr>
        <w:t>,</w:t>
      </w:r>
      <w:r w:rsidR="006A1DC9" w:rsidRPr="00B75955">
        <w:rPr>
          <w:b/>
          <w:highlight w:val="yellow"/>
          <w:lang w:val="en-CA"/>
        </w:rPr>
        <w:t xml:space="preserve"> </w:t>
      </w:r>
      <w:r w:rsidR="00B91797" w:rsidRPr="00B75955">
        <w:rPr>
          <w:b/>
          <w:highlight w:val="yellow"/>
          <w:lang w:val="en-CA"/>
        </w:rPr>
        <w:t xml:space="preserve">it </w:t>
      </w:r>
      <w:r w:rsidR="00246E97" w:rsidRPr="00B75955">
        <w:rPr>
          <w:b/>
          <w:highlight w:val="yellow"/>
          <w:lang w:val="en-CA"/>
        </w:rPr>
        <w:t xml:space="preserve">could be </w:t>
      </w:r>
      <w:r w:rsidR="00B91797" w:rsidRPr="00B75955">
        <w:rPr>
          <w:b/>
          <w:highlight w:val="yellow"/>
          <w:lang w:val="en-CA"/>
        </w:rPr>
        <w:t>difficult to meet the 20</w:t>
      </w:r>
      <w:r w:rsidR="004F3BB5" w:rsidRPr="00B75955">
        <w:rPr>
          <w:b/>
          <w:highlight w:val="yellow"/>
          <w:lang w:val="en-CA"/>
        </w:rPr>
        <w:t> per cent</w:t>
      </w:r>
      <w:r w:rsidR="00B91797" w:rsidRPr="00B75955">
        <w:rPr>
          <w:b/>
          <w:highlight w:val="yellow"/>
          <w:lang w:val="en-CA"/>
        </w:rPr>
        <w:t xml:space="preserve"> disbursement necessary for the submission of the third tranche</w:t>
      </w:r>
      <w:r w:rsidR="000D1327" w:rsidRPr="00B75955">
        <w:rPr>
          <w:b/>
          <w:highlight w:val="yellow"/>
          <w:lang w:val="en-CA"/>
        </w:rPr>
        <w:t xml:space="preserve"> to that meeting</w:t>
      </w:r>
      <w:r w:rsidR="00B91797" w:rsidRPr="00B75955">
        <w:rPr>
          <w:b/>
          <w:highlight w:val="yellow"/>
          <w:lang w:val="en-CA"/>
        </w:rPr>
        <w:t xml:space="preserve">. The Secretariat inquired whether </w:t>
      </w:r>
      <w:r w:rsidR="001F0A13" w:rsidRPr="00B75955">
        <w:rPr>
          <w:b/>
          <w:highlight w:val="yellow"/>
          <w:lang w:val="en-CA"/>
        </w:rPr>
        <w:t>UNIDO would be able to ful</w:t>
      </w:r>
      <w:r w:rsidR="000D1327" w:rsidRPr="00B75955">
        <w:rPr>
          <w:b/>
          <w:highlight w:val="yellow"/>
          <w:lang w:val="en-CA"/>
        </w:rPr>
        <w:t xml:space="preserve">fill </w:t>
      </w:r>
      <w:r w:rsidR="001F0A13" w:rsidRPr="00B75955">
        <w:rPr>
          <w:b/>
          <w:highlight w:val="yellow"/>
          <w:lang w:val="en-CA"/>
        </w:rPr>
        <w:t xml:space="preserve">all the </w:t>
      </w:r>
      <w:r w:rsidR="00D0473B" w:rsidRPr="00B75955">
        <w:rPr>
          <w:b/>
          <w:highlight w:val="yellow"/>
          <w:lang w:val="en-CA"/>
        </w:rPr>
        <w:t>requirements</w:t>
      </w:r>
      <w:r w:rsidR="001F0A13" w:rsidRPr="00B75955">
        <w:rPr>
          <w:b/>
          <w:highlight w:val="yellow"/>
          <w:lang w:val="en-CA"/>
        </w:rPr>
        <w:t xml:space="preserve"> </w:t>
      </w:r>
      <w:r w:rsidR="000D1327" w:rsidRPr="00B75955">
        <w:rPr>
          <w:b/>
          <w:highlight w:val="yellow"/>
          <w:lang w:val="en-CA"/>
        </w:rPr>
        <w:t>necessary for the submission to the 82</w:t>
      </w:r>
      <w:r w:rsidR="000D1327" w:rsidRPr="00B75955">
        <w:rPr>
          <w:b/>
          <w:highlight w:val="yellow"/>
          <w:vertAlign w:val="superscript"/>
          <w:lang w:val="en-CA"/>
        </w:rPr>
        <w:t>nd</w:t>
      </w:r>
      <w:r w:rsidR="000D1327" w:rsidRPr="00B75955">
        <w:rPr>
          <w:b/>
          <w:highlight w:val="yellow"/>
          <w:lang w:val="en-CA"/>
        </w:rPr>
        <w:t xml:space="preserve"> meeting, </w:t>
      </w:r>
      <w:r w:rsidR="001F0A13" w:rsidRPr="00B75955">
        <w:rPr>
          <w:b/>
          <w:highlight w:val="yellow"/>
          <w:lang w:val="en-CA"/>
        </w:rPr>
        <w:t xml:space="preserve">or whether </w:t>
      </w:r>
      <w:r w:rsidR="00B91797" w:rsidRPr="00B75955">
        <w:rPr>
          <w:b/>
          <w:highlight w:val="yellow"/>
          <w:lang w:val="en-CA"/>
        </w:rPr>
        <w:t xml:space="preserve">the Agreement </w:t>
      </w:r>
      <w:r w:rsidR="001F0A13" w:rsidRPr="00B75955">
        <w:rPr>
          <w:b/>
          <w:highlight w:val="yellow"/>
          <w:lang w:val="en-CA"/>
        </w:rPr>
        <w:t xml:space="preserve">between the Government of China and the Executive Committee </w:t>
      </w:r>
      <w:r w:rsidR="00B91797" w:rsidRPr="00B75955">
        <w:rPr>
          <w:b/>
          <w:highlight w:val="yellow"/>
          <w:lang w:val="en-CA"/>
        </w:rPr>
        <w:t>should be amended</w:t>
      </w:r>
      <w:r w:rsidR="006C1202" w:rsidRPr="00B75955">
        <w:rPr>
          <w:b/>
          <w:highlight w:val="yellow"/>
          <w:lang w:val="en-CA"/>
        </w:rPr>
        <w:t xml:space="preserve"> to </w:t>
      </w:r>
      <w:r w:rsidR="000D1327" w:rsidRPr="00B75955">
        <w:rPr>
          <w:b/>
          <w:highlight w:val="yellow"/>
          <w:lang w:val="en-CA"/>
        </w:rPr>
        <w:t xml:space="preserve">help </w:t>
      </w:r>
      <w:r w:rsidR="006C1202" w:rsidRPr="00B75955">
        <w:rPr>
          <w:b/>
          <w:highlight w:val="yellow"/>
          <w:lang w:val="en-CA"/>
        </w:rPr>
        <w:t xml:space="preserve">ensure </w:t>
      </w:r>
      <w:r w:rsidR="000D1327" w:rsidRPr="00B75955">
        <w:rPr>
          <w:b/>
          <w:highlight w:val="yellow"/>
          <w:lang w:val="en-CA"/>
        </w:rPr>
        <w:t xml:space="preserve">reliable business planning and </w:t>
      </w:r>
      <w:r w:rsidR="006C1202" w:rsidRPr="00B75955">
        <w:rPr>
          <w:b/>
          <w:highlight w:val="yellow"/>
          <w:lang w:val="en-CA"/>
        </w:rPr>
        <w:t>that the tranche distribution realistically reflects the status of implementation</w:t>
      </w:r>
      <w:r w:rsidR="0096299D" w:rsidRPr="00B75955">
        <w:rPr>
          <w:b/>
          <w:highlight w:val="yellow"/>
          <w:lang w:val="en-CA"/>
        </w:rPr>
        <w:t xml:space="preserve">. </w:t>
      </w:r>
      <w:r w:rsidR="000D1327" w:rsidRPr="00B75955">
        <w:rPr>
          <w:b/>
          <w:highlight w:val="yellow"/>
          <w:lang w:val="en-CA"/>
        </w:rPr>
        <w:t xml:space="preserve">UNIDO indicated that </w:t>
      </w:r>
      <w:r w:rsidR="001F0A13" w:rsidRPr="00B75955">
        <w:rPr>
          <w:b/>
          <w:highlight w:val="yellow"/>
          <w:lang w:val="en-CA"/>
        </w:rPr>
        <w:t xml:space="preserve">the Government of </w:t>
      </w:r>
      <w:r w:rsidR="006C1202" w:rsidRPr="00B75955">
        <w:rPr>
          <w:b/>
          <w:highlight w:val="yellow"/>
          <w:lang w:val="en-CA"/>
        </w:rPr>
        <w:t>China preferred not to amend the Agreement at this time.</w:t>
      </w:r>
      <w:r w:rsidR="006C1202" w:rsidRPr="00B75955">
        <w:rPr>
          <w:lang w:val="en-CA"/>
        </w:rPr>
        <w:t xml:space="preserve"> </w:t>
      </w:r>
    </w:p>
    <w:p w14:paraId="7387A8CC" w14:textId="37C85027" w:rsidR="00597EC3" w:rsidRPr="00B75955" w:rsidRDefault="00597EC3" w:rsidP="00597EC3">
      <w:pPr>
        <w:rPr>
          <w:b/>
          <w:i/>
          <w:lang w:val="en-CA"/>
        </w:rPr>
      </w:pPr>
      <w:r w:rsidRPr="00B75955">
        <w:rPr>
          <w:b/>
          <w:i/>
          <w:highlight w:val="yellow"/>
          <w:lang w:val="en-CA"/>
        </w:rPr>
        <w:t>Issues related to IOCs</w:t>
      </w:r>
    </w:p>
    <w:p w14:paraId="1AB7C9A7" w14:textId="77777777" w:rsidR="00597EC3" w:rsidRPr="00B75955" w:rsidRDefault="00597EC3" w:rsidP="00597EC3">
      <w:pPr>
        <w:rPr>
          <w:lang w:val="en-CA"/>
        </w:rPr>
      </w:pPr>
    </w:p>
    <w:p w14:paraId="37170128" w14:textId="77777777" w:rsidR="008A4C7A" w:rsidRPr="00B75955" w:rsidRDefault="008A4C7A" w:rsidP="008A4C7A">
      <w:pPr>
        <w:pStyle w:val="Heading1"/>
        <w:rPr>
          <w:lang w:val="en-CA"/>
        </w:rPr>
      </w:pPr>
      <w:r w:rsidRPr="00B75955">
        <w:rPr>
          <w:lang w:val="en-CA"/>
        </w:rPr>
        <w:t>The Secretariat requested clarification for the lower level of funding allocated for IOCs that had been agreed between the Secretariat and UNIDO at the 77</w:t>
      </w:r>
      <w:r w:rsidRPr="00B75955">
        <w:rPr>
          <w:vertAlign w:val="superscript"/>
          <w:lang w:val="en-CA"/>
        </w:rPr>
        <w:t>th </w:t>
      </w:r>
      <w:r w:rsidRPr="00B75955">
        <w:rPr>
          <w:lang w:val="en-CA"/>
        </w:rPr>
        <w:t>meeting. UNIDO clarified that the level of funding agreed at the 79</w:t>
      </w:r>
      <w:r w:rsidRPr="00B75955">
        <w:rPr>
          <w:vertAlign w:val="superscript"/>
          <w:lang w:val="en-CA"/>
        </w:rPr>
        <w:t>th </w:t>
      </w:r>
      <w:r w:rsidRPr="00B75955">
        <w:rPr>
          <w:lang w:val="en-CA"/>
        </w:rPr>
        <w:t>meeting for stage II was below the level proposed by the Government. Therefore, changes in the funding allocation were needed. T</w:t>
      </w:r>
      <w:r w:rsidRPr="00B75955">
        <w:rPr>
          <w:lang w:val="en-CA" w:eastAsia="zh-CN"/>
        </w:rPr>
        <w:t xml:space="preserve">o ensure that the conversions are done in a safe manner, part of the IOC had to be reallocated to ICCs of conversion. </w:t>
      </w:r>
    </w:p>
    <w:p w14:paraId="58EEBBA3" w14:textId="15971D04" w:rsidR="00597EC3" w:rsidRPr="00B75955" w:rsidRDefault="008A4C7A" w:rsidP="00597EC3">
      <w:pPr>
        <w:pStyle w:val="Heading1"/>
        <w:rPr>
          <w:lang w:val="en-CA"/>
        </w:rPr>
      </w:pPr>
      <w:r w:rsidRPr="00B75955">
        <w:rPr>
          <w:lang w:val="en-CA" w:eastAsia="zh-CN"/>
        </w:rPr>
        <w:t xml:space="preserve">Noting the unusual provision of IOCs whereby </w:t>
      </w:r>
      <w:r w:rsidRPr="00B75955">
        <w:rPr>
          <w:lang w:val="en-CA"/>
        </w:rPr>
        <w:t>20 per cent of the IOCs would be allocated to the manufacturers and the remaining 80</w:t>
      </w:r>
      <w:r w:rsidR="004F3BB5" w:rsidRPr="00B75955">
        <w:rPr>
          <w:lang w:val="en-CA"/>
        </w:rPr>
        <w:t> per cent</w:t>
      </w:r>
      <w:r w:rsidRPr="00B75955">
        <w:rPr>
          <w:lang w:val="en-CA"/>
        </w:rPr>
        <w:t xml:space="preserve"> to FECO for an incentive scheme, UNIDO clarified that </w:t>
      </w:r>
      <w:r w:rsidRPr="00B75955">
        <w:rPr>
          <w:lang w:val="en-CA" w:eastAsia="zh-CN"/>
        </w:rPr>
        <w:t xml:space="preserve">the level of IOC will continue to be based on the verified HCFC consumption at the converted enterprise, with </w:t>
      </w:r>
      <w:r w:rsidRPr="00B75955">
        <w:rPr>
          <w:lang w:val="en-CA" w:eastAsia="zh-CN"/>
        </w:rPr>
        <w:lastRenderedPageBreak/>
        <w:t>disbursement based on an independent report on the number of HC-290-based units that are sold, their energy efficiency and type and after the lines completed their project acceptance.</w:t>
      </w:r>
      <w:r w:rsidRPr="00B75955">
        <w:rPr>
          <w:lang w:val="en-CA"/>
        </w:rPr>
        <w:t xml:space="preserve"> Further details of the IOC scheme </w:t>
      </w:r>
      <w:r w:rsidRPr="00B75955">
        <w:rPr>
          <w:lang w:val="en-CA" w:eastAsia="zh-CN"/>
        </w:rPr>
        <w:t xml:space="preserve">will only be available following an assessment of market barriers to be undertaken by FECO and CHEAA. </w:t>
      </w:r>
    </w:p>
    <w:p w14:paraId="089431B4" w14:textId="0EEB1B40" w:rsidR="008A4C7A" w:rsidRPr="00B75955" w:rsidRDefault="008A4C7A" w:rsidP="00597EC3">
      <w:pPr>
        <w:pStyle w:val="Heading1"/>
        <w:rPr>
          <w:lang w:val="en-CA" w:eastAsia="zh-CN"/>
        </w:rPr>
      </w:pPr>
      <w:r w:rsidRPr="00B75955">
        <w:rPr>
          <w:lang w:val="en-CA" w:eastAsia="zh-CN"/>
        </w:rPr>
        <w:t>Noting that no funding was allocated for IOCs under the first and second tranche, and that updates on the incentive scheme for stage II might be warranted relative to that used for stage I (e.g., funding for certification of R-290-based models might not be needed in stage II or will be substantially lower as many of the same enterprises that participated in stage I are expected to participate in stage II), the Secretariat looks forward to regular updates on the IOC scheme that will be provided by UNIDO in subsequent progress reports and tranche requests. Based on those updates, the Secretariat would be in a position make a recommendation to the Executive Committee regarding the new IOC scheme.</w:t>
      </w:r>
    </w:p>
    <w:p w14:paraId="6C8120C4" w14:textId="50256642" w:rsidR="00597EC3" w:rsidRPr="00B75955" w:rsidRDefault="00597EC3" w:rsidP="00FD0D4E">
      <w:pPr>
        <w:keepNext/>
        <w:keepLines/>
        <w:rPr>
          <w:b/>
          <w:i/>
          <w:lang w:val="en-CA" w:eastAsia="zh-CN"/>
        </w:rPr>
      </w:pPr>
      <w:r w:rsidRPr="00B75955">
        <w:rPr>
          <w:b/>
          <w:i/>
          <w:highlight w:val="yellow"/>
          <w:lang w:val="en-CA" w:eastAsia="zh-CN"/>
        </w:rPr>
        <w:t xml:space="preserve">Manufacturing lines </w:t>
      </w:r>
      <w:r w:rsidR="00D0473B" w:rsidRPr="00B75955">
        <w:rPr>
          <w:b/>
          <w:i/>
          <w:highlight w:val="yellow"/>
          <w:lang w:val="en-CA" w:eastAsia="zh-CN"/>
        </w:rPr>
        <w:t>selected</w:t>
      </w:r>
      <w:r w:rsidRPr="00B75955">
        <w:rPr>
          <w:b/>
          <w:i/>
          <w:highlight w:val="yellow"/>
          <w:lang w:val="en-CA" w:eastAsia="zh-CN"/>
        </w:rPr>
        <w:t xml:space="preserve"> for conversion</w:t>
      </w:r>
    </w:p>
    <w:p w14:paraId="6089DC6D" w14:textId="77777777" w:rsidR="00597EC3" w:rsidRPr="00B75955" w:rsidRDefault="00597EC3" w:rsidP="00FD0D4E">
      <w:pPr>
        <w:keepNext/>
        <w:keepLines/>
        <w:rPr>
          <w:lang w:val="en-CA" w:eastAsia="zh-CN"/>
        </w:rPr>
      </w:pPr>
    </w:p>
    <w:p w14:paraId="38437585" w14:textId="77777777" w:rsidR="008A4C7A" w:rsidRPr="00B75955" w:rsidRDefault="008A4C7A" w:rsidP="00FD0D4E">
      <w:pPr>
        <w:pStyle w:val="Heading1"/>
        <w:keepNext/>
        <w:keepLines/>
        <w:rPr>
          <w:lang w:val="en-CA"/>
        </w:rPr>
      </w:pPr>
      <w:r w:rsidRPr="00B75955">
        <w:rPr>
          <w:lang w:val="en-CA"/>
        </w:rPr>
        <w:t>Regarding the lines selected for participation thus far, the following issues were discussed:</w:t>
      </w:r>
    </w:p>
    <w:p w14:paraId="0F0052D3" w14:textId="2334030A" w:rsidR="008A4C7A" w:rsidRPr="00B75955" w:rsidRDefault="008A4C7A" w:rsidP="00FD0D4E">
      <w:pPr>
        <w:pStyle w:val="Heading2"/>
        <w:keepNext/>
        <w:keepLines/>
        <w:rPr>
          <w:lang w:val="en-CA"/>
        </w:rPr>
      </w:pPr>
      <w:r w:rsidRPr="00B75955">
        <w:rPr>
          <w:lang w:val="en-CA"/>
        </w:rPr>
        <w:t>With only two exceptions, the identified RAC lines had a lower level of consumption than expected from the stage II proposal</w:t>
      </w:r>
      <w:r w:rsidR="00597EC3" w:rsidRPr="00B75955">
        <w:rPr>
          <w:highlight w:val="yellow"/>
          <w:lang w:val="en-CA"/>
        </w:rPr>
        <w:t xml:space="preserve">; </w:t>
      </w:r>
      <w:r w:rsidR="00E82CEB" w:rsidRPr="00B75955">
        <w:rPr>
          <w:b/>
          <w:highlight w:val="yellow"/>
          <w:lang w:val="en-CA"/>
        </w:rPr>
        <w:t xml:space="preserve">in particular, </w:t>
      </w:r>
      <w:r w:rsidR="00597EC3" w:rsidRPr="00B75955">
        <w:rPr>
          <w:b/>
          <w:highlight w:val="yellow"/>
          <w:lang w:val="en-CA"/>
        </w:rPr>
        <w:t xml:space="preserve">the verified HCFC-22 consumption at the five lines that had signed contracts is approximately 10 per cent lower than the </w:t>
      </w:r>
      <w:r w:rsidR="00E82CEB" w:rsidRPr="00B75955">
        <w:rPr>
          <w:b/>
          <w:highlight w:val="yellow"/>
          <w:lang w:val="en-CA"/>
        </w:rPr>
        <w:t xml:space="preserve">402.5 </w:t>
      </w:r>
      <w:proofErr w:type="spellStart"/>
      <w:r w:rsidR="00E82CEB" w:rsidRPr="00B75955">
        <w:rPr>
          <w:b/>
          <w:highlight w:val="yellow"/>
          <w:lang w:val="en-CA"/>
        </w:rPr>
        <w:t>mt</w:t>
      </w:r>
      <w:proofErr w:type="spellEnd"/>
      <w:r w:rsidR="00E82CEB" w:rsidRPr="00B75955">
        <w:rPr>
          <w:b/>
          <w:highlight w:val="yellow"/>
          <w:lang w:val="en-CA"/>
        </w:rPr>
        <w:t xml:space="preserve"> phase-out per line that</w:t>
      </w:r>
      <w:r w:rsidR="00597EC3" w:rsidRPr="00B75955">
        <w:rPr>
          <w:b/>
          <w:highlight w:val="yellow"/>
          <w:lang w:val="en-CA"/>
        </w:rPr>
        <w:t xml:space="preserve"> had been expected.</w:t>
      </w:r>
      <w:r w:rsidRPr="00B75955">
        <w:rPr>
          <w:b/>
          <w:highlight w:val="yellow"/>
          <w:lang w:val="en-CA"/>
        </w:rPr>
        <w:t xml:space="preserve"> </w:t>
      </w:r>
      <w:r w:rsidR="00597EC3" w:rsidRPr="00B75955">
        <w:rPr>
          <w:b/>
          <w:highlight w:val="yellow"/>
          <w:lang w:val="en-CA"/>
        </w:rPr>
        <w:t xml:space="preserve">This </w:t>
      </w:r>
      <w:r w:rsidRPr="00B75955">
        <w:rPr>
          <w:b/>
          <w:highlight w:val="yellow"/>
          <w:lang w:val="en-CA"/>
        </w:rPr>
        <w:t>rais</w:t>
      </w:r>
      <w:r w:rsidR="00597EC3" w:rsidRPr="00B75955">
        <w:rPr>
          <w:b/>
          <w:highlight w:val="yellow"/>
          <w:lang w:val="en-CA"/>
        </w:rPr>
        <w:t>es</w:t>
      </w:r>
      <w:r w:rsidR="00597EC3" w:rsidRPr="00B75955">
        <w:rPr>
          <w:lang w:val="en-CA"/>
        </w:rPr>
        <w:t xml:space="preserve"> </w:t>
      </w:r>
      <w:r w:rsidRPr="00B75955">
        <w:rPr>
          <w:lang w:val="en-CA"/>
        </w:rPr>
        <w:t>a possible concern of whether the agreed phase-out would be achieved by converting 20 RAC lines as stipulated in Appendix 8-A of the Agreement. UNIDO clarified that the characteristics of lines that participated under stage I varied. Lines that decide to participate later may be larger than those currently wishing to participate. The Government of China was committed to the phase-out agreed under stage II; and</w:t>
      </w:r>
    </w:p>
    <w:p w14:paraId="1A762486" w14:textId="6D7ACFF9" w:rsidR="008A4C7A" w:rsidRPr="00B75955" w:rsidRDefault="008A4C7A" w:rsidP="00366CE1">
      <w:pPr>
        <w:pStyle w:val="Heading2"/>
        <w:rPr>
          <w:lang w:val="en-CA"/>
        </w:rPr>
      </w:pPr>
      <w:r w:rsidRPr="00B75955">
        <w:rPr>
          <w:lang w:val="en-CA"/>
        </w:rPr>
        <w:t xml:space="preserve">The four compressor manufacturing lines had a lower production capacity than expected from the stage II proposal (i.e., 1.7 million units/year), leading to approximately </w:t>
      </w:r>
      <w:r w:rsidR="00366CE1" w:rsidRPr="00B75955">
        <w:rPr>
          <w:b/>
          <w:highlight w:val="yellow"/>
          <w:lang w:val="en-CA"/>
        </w:rPr>
        <w:t>6</w:t>
      </w:r>
      <w:r w:rsidRPr="00B75955">
        <w:rPr>
          <w:lang w:val="en-CA"/>
        </w:rPr>
        <w:t> per cent lower converted capacity and raising a possible concern that that there would be insufficient compressors for the 20 RAC lines that will convert to R-290. In addition, the Secretariat expected that one compressor manufacturing line would be converted to R</w:t>
      </w:r>
      <w:r w:rsidRPr="00B75955">
        <w:rPr>
          <w:lang w:val="en-CA"/>
        </w:rPr>
        <w:noBreakHyphen/>
        <w:t xml:space="preserve">744. UNIDO clarified that </w:t>
      </w:r>
      <w:r w:rsidR="00366CE1" w:rsidRPr="00B75955">
        <w:rPr>
          <w:b/>
          <w:highlight w:val="yellow"/>
          <w:lang w:val="en-CA"/>
        </w:rPr>
        <w:t>no further compressor</w:t>
      </w:r>
      <w:r w:rsidR="00F35DE2" w:rsidRPr="00B75955">
        <w:rPr>
          <w:b/>
          <w:highlight w:val="yellow"/>
          <w:lang w:val="en-CA"/>
        </w:rPr>
        <w:t xml:space="preserve"> </w:t>
      </w:r>
      <w:r w:rsidR="00366CE1" w:rsidRPr="00B75955">
        <w:rPr>
          <w:b/>
          <w:highlight w:val="yellow"/>
          <w:lang w:val="en-CA"/>
        </w:rPr>
        <w:t xml:space="preserve">conversion was planned under stage </w:t>
      </w:r>
      <w:r w:rsidR="00597EC3" w:rsidRPr="00B75955">
        <w:rPr>
          <w:b/>
          <w:highlight w:val="yellow"/>
          <w:lang w:val="en-CA"/>
        </w:rPr>
        <w:t xml:space="preserve">II of the HPMP </w:t>
      </w:r>
      <w:r w:rsidR="00366CE1" w:rsidRPr="00B75955">
        <w:rPr>
          <w:b/>
          <w:highlight w:val="yellow"/>
          <w:lang w:val="en-CA"/>
        </w:rPr>
        <w:t xml:space="preserve">and that </w:t>
      </w:r>
      <w:r w:rsidR="00F67E27" w:rsidRPr="00B75955">
        <w:rPr>
          <w:b/>
          <w:highlight w:val="yellow"/>
          <w:lang w:val="en-CA"/>
        </w:rPr>
        <w:t xml:space="preserve">the Government of China </w:t>
      </w:r>
      <w:r w:rsidR="00366CE1" w:rsidRPr="00B75955">
        <w:rPr>
          <w:b/>
          <w:highlight w:val="yellow"/>
          <w:lang w:val="en-CA"/>
        </w:rPr>
        <w:t>may consider a single compressor conversion to R</w:t>
      </w:r>
      <w:r w:rsidR="00346D3D" w:rsidRPr="00B75955">
        <w:rPr>
          <w:b/>
          <w:highlight w:val="yellow"/>
          <w:lang w:val="en-CA"/>
        </w:rPr>
        <w:noBreakHyphen/>
      </w:r>
      <w:r w:rsidR="00366CE1" w:rsidRPr="00B75955">
        <w:rPr>
          <w:b/>
          <w:highlight w:val="yellow"/>
          <w:lang w:val="en-CA"/>
        </w:rPr>
        <w:t xml:space="preserve">744 for HPWH </w:t>
      </w:r>
      <w:r w:rsidR="006A1DC9" w:rsidRPr="00B75955">
        <w:rPr>
          <w:b/>
          <w:highlight w:val="yellow"/>
          <w:lang w:val="en-CA"/>
        </w:rPr>
        <w:t>under</w:t>
      </w:r>
      <w:r w:rsidR="00366CE1" w:rsidRPr="00B75955">
        <w:rPr>
          <w:b/>
          <w:highlight w:val="yellow"/>
          <w:lang w:val="en-CA"/>
        </w:rPr>
        <w:t xml:space="preserve"> a later stage.</w:t>
      </w:r>
      <w:r w:rsidR="00366CE1" w:rsidRPr="00B75955">
        <w:rPr>
          <w:lang w:val="en-CA"/>
        </w:rPr>
        <w:t xml:space="preserve"> </w:t>
      </w:r>
    </w:p>
    <w:p w14:paraId="52C6E217" w14:textId="26B8055B" w:rsidR="00F67E27" w:rsidRPr="00B75955" w:rsidRDefault="00F67E27" w:rsidP="00F67E27">
      <w:pPr>
        <w:rPr>
          <w:b/>
          <w:i/>
          <w:highlight w:val="yellow"/>
          <w:lang w:val="en-CA"/>
        </w:rPr>
      </w:pPr>
      <w:r w:rsidRPr="00B75955">
        <w:rPr>
          <w:b/>
          <w:i/>
          <w:highlight w:val="yellow"/>
          <w:lang w:val="en-CA"/>
        </w:rPr>
        <w:t xml:space="preserve">Low levels of manufacturing R-290 equipment </w:t>
      </w:r>
    </w:p>
    <w:p w14:paraId="7CB245CD" w14:textId="77777777" w:rsidR="00F67E27" w:rsidRPr="00B75955" w:rsidRDefault="00F67E27" w:rsidP="00F67E27">
      <w:pPr>
        <w:rPr>
          <w:highlight w:val="yellow"/>
          <w:lang w:val="en-CA"/>
        </w:rPr>
      </w:pPr>
    </w:p>
    <w:p w14:paraId="318B7E43" w14:textId="4AEBA3E9" w:rsidR="006A1DC9" w:rsidRPr="00B75955" w:rsidRDefault="00FB70F5" w:rsidP="005A727C">
      <w:pPr>
        <w:pStyle w:val="Heading1"/>
        <w:rPr>
          <w:highlight w:val="yellow"/>
          <w:lang w:val="en-CA"/>
        </w:rPr>
      </w:pPr>
      <w:r w:rsidRPr="00B75955">
        <w:rPr>
          <w:b/>
          <w:highlight w:val="yellow"/>
          <w:lang w:val="en-CA"/>
        </w:rPr>
        <w:t xml:space="preserve">During the </w:t>
      </w:r>
      <w:r w:rsidR="00F67E27" w:rsidRPr="00B75955">
        <w:rPr>
          <w:b/>
          <w:highlight w:val="yellow"/>
          <w:lang w:val="en-CA"/>
        </w:rPr>
        <w:t xml:space="preserve">discussions of the RAC sector plan at the </w:t>
      </w:r>
      <w:r w:rsidRPr="00B75955">
        <w:rPr>
          <w:b/>
          <w:highlight w:val="yellow"/>
          <w:lang w:val="en-CA"/>
        </w:rPr>
        <w:t>80</w:t>
      </w:r>
      <w:r w:rsidRPr="00B75955">
        <w:rPr>
          <w:b/>
          <w:highlight w:val="yellow"/>
          <w:vertAlign w:val="superscript"/>
          <w:lang w:val="en-CA"/>
        </w:rPr>
        <w:t>th</w:t>
      </w:r>
      <w:r w:rsidRPr="00B75955">
        <w:rPr>
          <w:b/>
          <w:highlight w:val="yellow"/>
          <w:lang w:val="en-CA"/>
        </w:rPr>
        <w:t xml:space="preserve"> meeting, UNIDO informed </w:t>
      </w:r>
      <w:r w:rsidR="00F67E27" w:rsidRPr="00B75955">
        <w:rPr>
          <w:b/>
          <w:highlight w:val="yellow"/>
          <w:lang w:val="en-CA"/>
        </w:rPr>
        <w:t xml:space="preserve">the Executive Committee </w:t>
      </w:r>
      <w:r w:rsidRPr="00B75955">
        <w:rPr>
          <w:b/>
          <w:highlight w:val="yellow"/>
          <w:lang w:val="en-CA"/>
        </w:rPr>
        <w:t xml:space="preserve">that </w:t>
      </w:r>
      <w:r w:rsidR="00F67E27" w:rsidRPr="00B75955">
        <w:rPr>
          <w:b/>
          <w:highlight w:val="yellow"/>
          <w:lang w:val="en-CA"/>
        </w:rPr>
        <w:t xml:space="preserve">approximately 12,000 </w:t>
      </w:r>
      <w:r w:rsidRPr="00B75955">
        <w:rPr>
          <w:b/>
          <w:highlight w:val="yellow"/>
          <w:lang w:val="en-CA"/>
        </w:rPr>
        <w:t xml:space="preserve">R-290 units </w:t>
      </w:r>
      <w:r w:rsidR="00F67E27" w:rsidRPr="00B75955">
        <w:rPr>
          <w:b/>
          <w:highlight w:val="yellow"/>
          <w:lang w:val="en-CA"/>
        </w:rPr>
        <w:t>(</w:t>
      </w:r>
      <w:r w:rsidRPr="00B75955">
        <w:rPr>
          <w:b/>
          <w:highlight w:val="yellow"/>
          <w:lang w:val="en-CA"/>
        </w:rPr>
        <w:t xml:space="preserve">2,000 </w:t>
      </w:r>
      <w:r w:rsidR="00F67E27" w:rsidRPr="00B75955">
        <w:rPr>
          <w:b/>
          <w:highlight w:val="yellow"/>
          <w:lang w:val="en-CA"/>
        </w:rPr>
        <w:t xml:space="preserve">units for the local market </w:t>
      </w:r>
      <w:r w:rsidRPr="00B75955">
        <w:rPr>
          <w:b/>
          <w:highlight w:val="yellow"/>
          <w:lang w:val="en-CA"/>
        </w:rPr>
        <w:t xml:space="preserve">and </w:t>
      </w:r>
      <w:r w:rsidR="00F67E27" w:rsidRPr="00B75955">
        <w:rPr>
          <w:b/>
          <w:highlight w:val="yellow"/>
          <w:lang w:val="en-CA"/>
        </w:rPr>
        <w:t>10</w:t>
      </w:r>
      <w:r w:rsidRPr="00B75955">
        <w:rPr>
          <w:b/>
          <w:highlight w:val="yellow"/>
          <w:lang w:val="en-CA"/>
        </w:rPr>
        <w:t>,000 units</w:t>
      </w:r>
      <w:r w:rsidR="00F67E27" w:rsidRPr="00B75955">
        <w:rPr>
          <w:b/>
          <w:highlight w:val="yellow"/>
          <w:lang w:val="en-CA"/>
        </w:rPr>
        <w:t xml:space="preserve"> for export);</w:t>
      </w:r>
      <w:r w:rsidRPr="00B75955">
        <w:rPr>
          <w:b/>
          <w:highlight w:val="yellow"/>
          <w:lang w:val="en-CA"/>
        </w:rPr>
        <w:t xml:space="preserve"> 100,000 R-290 dehumidifiers</w:t>
      </w:r>
      <w:r w:rsidR="00F67E27" w:rsidRPr="00B75955">
        <w:rPr>
          <w:b/>
          <w:highlight w:val="yellow"/>
          <w:lang w:val="en-CA"/>
        </w:rPr>
        <w:t>; and 650,000 rotary compressors (250,000 units for the local market and 400,000 </w:t>
      </w:r>
      <w:r w:rsidR="00D0473B" w:rsidRPr="00B75955">
        <w:rPr>
          <w:b/>
          <w:highlight w:val="yellow"/>
          <w:lang w:val="en-CA"/>
        </w:rPr>
        <w:t>for export</w:t>
      </w:r>
      <w:r w:rsidR="00F67E27" w:rsidRPr="00B75955">
        <w:rPr>
          <w:b/>
          <w:highlight w:val="yellow"/>
          <w:lang w:val="en-CA"/>
        </w:rPr>
        <w:t>)</w:t>
      </w:r>
      <w:r w:rsidR="00F9642F" w:rsidRPr="00B75955">
        <w:rPr>
          <w:b/>
          <w:highlight w:val="yellow"/>
          <w:lang w:val="en-CA"/>
        </w:rPr>
        <w:t>,</w:t>
      </w:r>
      <w:r w:rsidRPr="00B75955">
        <w:rPr>
          <w:b/>
          <w:highlight w:val="yellow"/>
          <w:lang w:val="en-CA"/>
        </w:rPr>
        <w:t xml:space="preserve"> had been produced on the same lines that had been converted under stage I. </w:t>
      </w:r>
      <w:r w:rsidR="00F9642F" w:rsidRPr="00B75955">
        <w:rPr>
          <w:b/>
          <w:highlight w:val="yellow"/>
          <w:lang w:val="en-CA"/>
        </w:rPr>
        <w:t>S</w:t>
      </w:r>
      <w:r w:rsidR="00416BAC" w:rsidRPr="00B75955">
        <w:rPr>
          <w:b/>
          <w:highlight w:val="yellow"/>
          <w:lang w:val="en-CA"/>
        </w:rPr>
        <w:t xml:space="preserve">ince </w:t>
      </w:r>
      <w:r w:rsidR="006A1DC9" w:rsidRPr="00B75955">
        <w:rPr>
          <w:b/>
          <w:highlight w:val="yellow"/>
          <w:lang w:val="en-CA"/>
        </w:rPr>
        <w:t xml:space="preserve">the </w:t>
      </w:r>
      <w:r w:rsidR="00416BAC" w:rsidRPr="00B75955">
        <w:rPr>
          <w:b/>
          <w:highlight w:val="yellow"/>
          <w:lang w:val="en-CA"/>
        </w:rPr>
        <w:t>80</w:t>
      </w:r>
      <w:r w:rsidR="00416BAC" w:rsidRPr="00B75955">
        <w:rPr>
          <w:b/>
          <w:highlight w:val="yellow"/>
          <w:vertAlign w:val="superscript"/>
          <w:lang w:val="en-CA"/>
        </w:rPr>
        <w:t>th</w:t>
      </w:r>
      <w:r w:rsidR="00416BAC" w:rsidRPr="00B75955">
        <w:rPr>
          <w:b/>
          <w:highlight w:val="yellow"/>
          <w:lang w:val="en-CA"/>
        </w:rPr>
        <w:t xml:space="preserve"> meeting, </w:t>
      </w:r>
      <w:r w:rsidR="00F9642F" w:rsidRPr="00B75955">
        <w:rPr>
          <w:b/>
          <w:highlight w:val="yellow"/>
          <w:lang w:val="en-CA"/>
        </w:rPr>
        <w:t xml:space="preserve">UNIDO explained that </w:t>
      </w:r>
      <w:r w:rsidR="00416BAC" w:rsidRPr="00B75955">
        <w:rPr>
          <w:b/>
          <w:highlight w:val="yellow"/>
          <w:lang w:val="en-CA"/>
        </w:rPr>
        <w:t>sales have only increased</w:t>
      </w:r>
      <w:r w:rsidR="004F3BB5" w:rsidRPr="00B75955">
        <w:rPr>
          <w:b/>
          <w:highlight w:val="yellow"/>
          <w:lang w:val="en-CA"/>
        </w:rPr>
        <w:t xml:space="preserve"> by a small amount</w:t>
      </w:r>
      <w:r w:rsidR="00F9642F" w:rsidRPr="00B75955">
        <w:rPr>
          <w:b/>
          <w:highlight w:val="yellow"/>
          <w:lang w:val="en-CA"/>
        </w:rPr>
        <w:t xml:space="preserve">; </w:t>
      </w:r>
      <w:r w:rsidR="00416BAC" w:rsidRPr="00B75955">
        <w:rPr>
          <w:b/>
          <w:highlight w:val="yellow"/>
          <w:lang w:val="en-CA"/>
        </w:rPr>
        <w:t>some enterprises deploy</w:t>
      </w:r>
      <w:r w:rsidR="00F9642F" w:rsidRPr="00B75955">
        <w:rPr>
          <w:b/>
          <w:highlight w:val="yellow"/>
          <w:lang w:val="en-CA"/>
        </w:rPr>
        <w:t>ed</w:t>
      </w:r>
      <w:r w:rsidR="00416BAC" w:rsidRPr="00B75955">
        <w:rPr>
          <w:b/>
          <w:highlight w:val="yellow"/>
          <w:lang w:val="en-CA"/>
        </w:rPr>
        <w:t xml:space="preserve"> a few hundred units near their factories</w:t>
      </w:r>
      <w:r w:rsidR="00F9642F" w:rsidRPr="00B75955">
        <w:rPr>
          <w:b/>
          <w:highlight w:val="yellow"/>
          <w:lang w:val="en-CA"/>
        </w:rPr>
        <w:t xml:space="preserve">; </w:t>
      </w:r>
      <w:r w:rsidR="00416BAC" w:rsidRPr="00B75955">
        <w:rPr>
          <w:b/>
          <w:highlight w:val="yellow"/>
          <w:lang w:val="en-CA"/>
        </w:rPr>
        <w:t xml:space="preserve">one enterprise received an order </w:t>
      </w:r>
      <w:r w:rsidR="005A727C" w:rsidRPr="00B75955">
        <w:rPr>
          <w:b/>
          <w:highlight w:val="yellow"/>
          <w:lang w:val="en-CA"/>
        </w:rPr>
        <w:t>for</w:t>
      </w:r>
      <w:r w:rsidR="00416BAC" w:rsidRPr="00B75955">
        <w:rPr>
          <w:b/>
          <w:highlight w:val="yellow"/>
          <w:lang w:val="en-CA"/>
        </w:rPr>
        <w:t xml:space="preserve"> 400 units for Ghana</w:t>
      </w:r>
      <w:r w:rsidR="00F9642F" w:rsidRPr="00B75955">
        <w:rPr>
          <w:b/>
          <w:highlight w:val="yellow"/>
          <w:lang w:val="en-CA"/>
        </w:rPr>
        <w:t>;</w:t>
      </w:r>
      <w:r w:rsidR="00416BAC" w:rsidRPr="00B75955">
        <w:rPr>
          <w:b/>
          <w:highlight w:val="yellow"/>
          <w:lang w:val="en-CA"/>
        </w:rPr>
        <w:t xml:space="preserve"> and another </w:t>
      </w:r>
      <w:r w:rsidR="005A727C" w:rsidRPr="00B75955">
        <w:rPr>
          <w:b/>
          <w:highlight w:val="yellow"/>
          <w:lang w:val="en-CA"/>
        </w:rPr>
        <w:t xml:space="preserve">enterprise is expected to receive an order </w:t>
      </w:r>
      <w:r w:rsidR="00416BAC" w:rsidRPr="00B75955">
        <w:rPr>
          <w:b/>
          <w:highlight w:val="yellow"/>
          <w:lang w:val="en-CA"/>
        </w:rPr>
        <w:t>for 10,000</w:t>
      </w:r>
      <w:r w:rsidR="00346D3D" w:rsidRPr="00B75955">
        <w:rPr>
          <w:b/>
          <w:highlight w:val="yellow"/>
          <w:lang w:val="en-CA"/>
        </w:rPr>
        <w:t> </w:t>
      </w:r>
      <w:r w:rsidR="00416BAC" w:rsidRPr="00B75955">
        <w:rPr>
          <w:b/>
          <w:highlight w:val="yellow"/>
          <w:lang w:val="en-CA"/>
        </w:rPr>
        <w:t>units annually for Indonesia.</w:t>
      </w:r>
      <w:r w:rsidR="005A727C" w:rsidRPr="00B75955">
        <w:rPr>
          <w:b/>
          <w:highlight w:val="yellow"/>
          <w:lang w:val="en-CA"/>
        </w:rPr>
        <w:t xml:space="preserve"> </w:t>
      </w:r>
    </w:p>
    <w:p w14:paraId="1827604F" w14:textId="47907FA5" w:rsidR="008B3FE1" w:rsidRPr="00B75955" w:rsidRDefault="005A727C" w:rsidP="00D0473B">
      <w:pPr>
        <w:pStyle w:val="Heading1"/>
        <w:rPr>
          <w:highlight w:val="yellow"/>
          <w:lang w:val="en-CA"/>
        </w:rPr>
      </w:pPr>
      <w:r w:rsidRPr="00B75955">
        <w:rPr>
          <w:b/>
          <w:highlight w:val="yellow"/>
          <w:lang w:val="en-CA"/>
        </w:rPr>
        <w:t xml:space="preserve">In light of the </w:t>
      </w:r>
      <w:r w:rsidR="000847CE" w:rsidRPr="00B75955">
        <w:rPr>
          <w:b/>
          <w:highlight w:val="yellow"/>
          <w:lang w:val="en-CA"/>
        </w:rPr>
        <w:t>continued</w:t>
      </w:r>
      <w:r w:rsidRPr="00B75955">
        <w:rPr>
          <w:b/>
          <w:highlight w:val="yellow"/>
          <w:lang w:val="en-CA"/>
        </w:rPr>
        <w:t xml:space="preserve"> low level of manufacturing </w:t>
      </w:r>
      <w:r w:rsidR="00F9642F" w:rsidRPr="00B75955">
        <w:rPr>
          <w:b/>
          <w:highlight w:val="yellow"/>
          <w:lang w:val="en-CA"/>
        </w:rPr>
        <w:t xml:space="preserve">at the </w:t>
      </w:r>
      <w:r w:rsidRPr="00B75955">
        <w:rPr>
          <w:b/>
          <w:highlight w:val="yellow"/>
          <w:lang w:val="en-CA"/>
        </w:rPr>
        <w:t>converted line</w:t>
      </w:r>
      <w:r w:rsidR="00F9642F" w:rsidRPr="00B75955">
        <w:rPr>
          <w:b/>
          <w:highlight w:val="yellow"/>
          <w:lang w:val="en-CA"/>
        </w:rPr>
        <w:t>s</w:t>
      </w:r>
      <w:r w:rsidRPr="00B75955">
        <w:rPr>
          <w:b/>
          <w:highlight w:val="yellow"/>
          <w:lang w:val="en-CA"/>
        </w:rPr>
        <w:t xml:space="preserve"> to R-290</w:t>
      </w:r>
      <w:r w:rsidR="00F9642F" w:rsidRPr="00B75955">
        <w:rPr>
          <w:b/>
          <w:highlight w:val="yellow"/>
          <w:lang w:val="en-CA"/>
        </w:rPr>
        <w:t xml:space="preserve"> (i.e.,</w:t>
      </w:r>
      <w:r w:rsidR="00D0473B" w:rsidRPr="00B75955">
        <w:rPr>
          <w:b/>
          <w:highlight w:val="yellow"/>
          <w:lang w:val="en-CA"/>
        </w:rPr>
        <w:t> </w:t>
      </w:r>
      <w:r w:rsidR="00F9642F" w:rsidRPr="00B75955">
        <w:rPr>
          <w:b/>
          <w:highlight w:val="yellow"/>
          <w:lang w:val="en-CA"/>
        </w:rPr>
        <w:t>approximately 0.3 per cent of the R-290 capacity</w:t>
      </w:r>
      <w:r w:rsidR="00BD53DA" w:rsidRPr="00B75955">
        <w:rPr>
          <w:b/>
          <w:highlight w:val="yellow"/>
          <w:lang w:val="en-CA"/>
        </w:rPr>
        <w:t xml:space="preserve"> converted to date</w:t>
      </w:r>
      <w:r w:rsidR="00F9642F" w:rsidRPr="00B75955">
        <w:rPr>
          <w:b/>
          <w:highlight w:val="yellow"/>
          <w:lang w:val="en-CA"/>
        </w:rPr>
        <w:t xml:space="preserve">), the Secretariat noted </w:t>
      </w:r>
      <w:r w:rsidR="00344C13" w:rsidRPr="00B75955">
        <w:rPr>
          <w:b/>
          <w:highlight w:val="yellow"/>
          <w:lang w:val="en-CA"/>
        </w:rPr>
        <w:t xml:space="preserve">that </w:t>
      </w:r>
      <w:r w:rsidRPr="00B75955">
        <w:rPr>
          <w:b/>
          <w:highlight w:val="yellow"/>
          <w:lang w:val="en-CA"/>
        </w:rPr>
        <w:t xml:space="preserve">further conversions </w:t>
      </w:r>
      <w:r w:rsidR="00344C13" w:rsidRPr="00B75955">
        <w:rPr>
          <w:b/>
          <w:highlight w:val="yellow"/>
          <w:lang w:val="en-CA"/>
        </w:rPr>
        <w:t xml:space="preserve">to R-290 </w:t>
      </w:r>
      <w:r w:rsidR="005A3C79" w:rsidRPr="00B75955">
        <w:rPr>
          <w:b/>
          <w:highlight w:val="yellow"/>
          <w:lang w:val="en-CA"/>
        </w:rPr>
        <w:t>c</w:t>
      </w:r>
      <w:r w:rsidRPr="00B75955">
        <w:rPr>
          <w:b/>
          <w:highlight w:val="yellow"/>
          <w:lang w:val="en-CA"/>
        </w:rPr>
        <w:t xml:space="preserve">ould </w:t>
      </w:r>
      <w:r w:rsidR="00344C13" w:rsidRPr="00B75955">
        <w:rPr>
          <w:b/>
          <w:highlight w:val="yellow"/>
          <w:lang w:val="en-CA"/>
        </w:rPr>
        <w:t xml:space="preserve">have the unintended consequence of increased manufacturing of high-GWP-based equipment as enterprises that wish to offset their idle capacity are likely to do so </w:t>
      </w:r>
      <w:r w:rsidR="00344C13" w:rsidRPr="00B75955">
        <w:rPr>
          <w:b/>
          <w:highlight w:val="yellow"/>
          <w:lang w:val="en-CA"/>
        </w:rPr>
        <w:lastRenderedPageBreak/>
        <w:t>by increasing their manufacturing R-410A-based equipment given the market demand for inverter</w:t>
      </w:r>
      <w:r w:rsidR="00546503">
        <w:rPr>
          <w:b/>
          <w:highlight w:val="yellow"/>
          <w:lang w:val="en-CA"/>
        </w:rPr>
        <w:noBreakHyphen/>
      </w:r>
      <w:r w:rsidR="00344C13" w:rsidRPr="00B75955">
        <w:rPr>
          <w:b/>
          <w:highlight w:val="yellow"/>
          <w:lang w:val="en-CA"/>
        </w:rPr>
        <w:t>based equipment and that the enterprise’s quota likely limits the manufacture of additional HCFC</w:t>
      </w:r>
      <w:r w:rsidR="00344C13" w:rsidRPr="00B75955">
        <w:rPr>
          <w:b/>
          <w:highlight w:val="yellow"/>
          <w:lang w:val="en-CA"/>
        </w:rPr>
        <w:noBreakHyphen/>
        <w:t xml:space="preserve">22-based equipment. </w:t>
      </w:r>
      <w:r w:rsidR="008B3FE1" w:rsidRPr="00B75955">
        <w:rPr>
          <w:b/>
          <w:highlight w:val="yellow"/>
          <w:lang w:val="en-CA"/>
        </w:rPr>
        <w:t>Under these circumstances, the Secretariat suggested to UNIDO</w:t>
      </w:r>
      <w:r w:rsidR="00344C13" w:rsidRPr="00B75955">
        <w:rPr>
          <w:b/>
          <w:highlight w:val="yellow"/>
          <w:lang w:val="en-CA"/>
        </w:rPr>
        <w:t xml:space="preserve"> that further steps to facilitate the market uptake of R-290-based RAC might be considered. For example, the Secretariat inquired </w:t>
      </w:r>
      <w:r w:rsidR="003E3435" w:rsidRPr="00B75955">
        <w:rPr>
          <w:b/>
          <w:highlight w:val="yellow"/>
          <w:lang w:val="en-CA"/>
        </w:rPr>
        <w:t xml:space="preserve">whether the </w:t>
      </w:r>
      <w:r w:rsidR="008B3FE1" w:rsidRPr="00B75955">
        <w:rPr>
          <w:b/>
          <w:highlight w:val="yellow"/>
          <w:lang w:val="en-CA"/>
        </w:rPr>
        <w:t>Government</w:t>
      </w:r>
      <w:r w:rsidR="006B65E8" w:rsidRPr="00B75955">
        <w:rPr>
          <w:b/>
          <w:highlight w:val="yellow"/>
          <w:lang w:val="en-CA"/>
        </w:rPr>
        <w:t xml:space="preserve"> </w:t>
      </w:r>
      <w:r w:rsidR="003E3435" w:rsidRPr="00B75955">
        <w:rPr>
          <w:b/>
          <w:highlight w:val="yellow"/>
          <w:lang w:val="en-CA"/>
        </w:rPr>
        <w:t xml:space="preserve">might be able to request those enterprises </w:t>
      </w:r>
      <w:r w:rsidR="005A3C79" w:rsidRPr="00B75955">
        <w:rPr>
          <w:b/>
          <w:highlight w:val="yellow"/>
          <w:lang w:val="en-CA"/>
        </w:rPr>
        <w:t xml:space="preserve">that converted to R-290 with assistance from the Multilateral Fund </w:t>
      </w:r>
      <w:r w:rsidR="003E3435" w:rsidRPr="00B75955">
        <w:rPr>
          <w:b/>
          <w:highlight w:val="yellow"/>
          <w:lang w:val="en-CA"/>
        </w:rPr>
        <w:t xml:space="preserve">to voluntarily commit not to increase manufacturing of R-410A equipment to offset low manufacturing on their converted line. </w:t>
      </w:r>
      <w:r w:rsidR="0097665E" w:rsidRPr="00B75955">
        <w:rPr>
          <w:b/>
          <w:highlight w:val="yellow"/>
          <w:lang w:val="en-CA"/>
        </w:rPr>
        <w:t xml:space="preserve">The Secretariat also explored whether other approaches might be considered. </w:t>
      </w:r>
      <w:r w:rsidR="008B3FE1" w:rsidRPr="00B75955">
        <w:rPr>
          <w:b/>
          <w:highlight w:val="yellow"/>
          <w:lang w:val="en-CA"/>
        </w:rPr>
        <w:t>UNIDO indicated that such a course of action would not be appropriate at this time as the process of converting to R-290 is ongoing, enterprises are still committed, and any disruption of the program</w:t>
      </w:r>
      <w:r w:rsidR="006B65E8" w:rsidRPr="00B75955">
        <w:rPr>
          <w:b/>
          <w:highlight w:val="yellow"/>
          <w:lang w:val="en-CA"/>
        </w:rPr>
        <w:t>me</w:t>
      </w:r>
      <w:r w:rsidR="008B3FE1" w:rsidRPr="00B75955">
        <w:rPr>
          <w:b/>
          <w:highlight w:val="yellow"/>
          <w:lang w:val="en-CA"/>
        </w:rPr>
        <w:t xml:space="preserve"> and funding flow would likely further increase the </w:t>
      </w:r>
      <w:r w:rsidR="006B65E8" w:rsidRPr="00B75955">
        <w:rPr>
          <w:b/>
          <w:highlight w:val="yellow"/>
          <w:lang w:val="en-CA"/>
        </w:rPr>
        <w:t xml:space="preserve">demand </w:t>
      </w:r>
      <w:r w:rsidR="008B3FE1" w:rsidRPr="00B75955">
        <w:rPr>
          <w:b/>
          <w:highlight w:val="yellow"/>
          <w:lang w:val="en-CA"/>
        </w:rPr>
        <w:t>of high- and medium</w:t>
      </w:r>
      <w:r w:rsidR="00FD0D4E" w:rsidRPr="00B75955">
        <w:rPr>
          <w:b/>
          <w:highlight w:val="yellow"/>
          <w:lang w:val="en-CA"/>
        </w:rPr>
        <w:noBreakHyphen/>
      </w:r>
      <w:r w:rsidR="008B3FE1" w:rsidRPr="00B75955">
        <w:rPr>
          <w:b/>
          <w:highlight w:val="yellow"/>
          <w:lang w:val="en-CA"/>
        </w:rPr>
        <w:t>GWP</w:t>
      </w:r>
      <w:r w:rsidR="00FD0D4E" w:rsidRPr="00B75955">
        <w:rPr>
          <w:b/>
          <w:highlight w:val="yellow"/>
          <w:lang w:val="en-CA"/>
        </w:rPr>
        <w:noBreakHyphen/>
      </w:r>
      <w:r w:rsidR="008B3FE1" w:rsidRPr="00B75955">
        <w:rPr>
          <w:b/>
          <w:highlight w:val="yellow"/>
          <w:lang w:val="en-CA"/>
        </w:rPr>
        <w:t>based equipment.</w:t>
      </w:r>
      <w:r w:rsidR="00AE2BB4" w:rsidRPr="00B75955">
        <w:rPr>
          <w:b/>
          <w:highlight w:val="yellow"/>
          <w:lang w:val="en-CA"/>
        </w:rPr>
        <w:t xml:space="preserve"> </w:t>
      </w:r>
    </w:p>
    <w:p w14:paraId="4163E12D" w14:textId="77777777" w:rsidR="008A4C7A" w:rsidRPr="00B75955" w:rsidRDefault="008A4C7A" w:rsidP="00CF0F90">
      <w:pPr>
        <w:keepNext/>
        <w:keepLines/>
        <w:rPr>
          <w:u w:val="single"/>
          <w:lang w:val="en-CA"/>
        </w:rPr>
      </w:pPr>
      <w:r w:rsidRPr="00B75955">
        <w:rPr>
          <w:u w:val="single"/>
          <w:lang w:val="en-CA"/>
        </w:rPr>
        <w:t>Conclusion</w:t>
      </w:r>
    </w:p>
    <w:p w14:paraId="2FC2538A" w14:textId="77777777" w:rsidR="008A4C7A" w:rsidRPr="00B75955" w:rsidRDefault="008A4C7A" w:rsidP="00CF0F90">
      <w:pPr>
        <w:keepNext/>
        <w:keepLines/>
        <w:rPr>
          <w:highlight w:val="yellow"/>
          <w:lang w:val="en-CA"/>
        </w:rPr>
      </w:pPr>
    </w:p>
    <w:p w14:paraId="4D0BA6F4" w14:textId="61E05346" w:rsidR="008A4C7A" w:rsidRPr="00B75955" w:rsidRDefault="008A4C7A" w:rsidP="00CF0F90">
      <w:pPr>
        <w:pStyle w:val="Heading1"/>
        <w:keepNext/>
        <w:keepLines/>
        <w:rPr>
          <w:highlight w:val="yellow"/>
          <w:lang w:val="en-CA"/>
        </w:rPr>
      </w:pPr>
      <w:r w:rsidRPr="00B75955">
        <w:rPr>
          <w:lang w:val="en-CA"/>
        </w:rPr>
        <w:t>There is significant progress in the implementation of the first tranche of stage II</w:t>
      </w:r>
      <w:r w:rsidR="00CC74E3" w:rsidRPr="00B75955">
        <w:rPr>
          <w:lang w:val="en-CA"/>
        </w:rPr>
        <w:t xml:space="preserve">, </w:t>
      </w:r>
      <w:r w:rsidR="001332D5" w:rsidRPr="00B75955">
        <w:rPr>
          <w:b/>
          <w:highlight w:val="yellow"/>
          <w:lang w:val="en-CA"/>
        </w:rPr>
        <w:t xml:space="preserve">including the signature of contracts </w:t>
      </w:r>
      <w:r w:rsidR="00AE2BB4" w:rsidRPr="00B75955">
        <w:rPr>
          <w:b/>
          <w:highlight w:val="yellow"/>
          <w:lang w:val="en-CA"/>
        </w:rPr>
        <w:t xml:space="preserve">for the conversion of </w:t>
      </w:r>
      <w:r w:rsidR="008D03C8" w:rsidRPr="00B75955">
        <w:rPr>
          <w:b/>
          <w:highlight w:val="yellow"/>
          <w:lang w:val="en-CA"/>
        </w:rPr>
        <w:t>nine</w:t>
      </w:r>
      <w:r w:rsidR="001332D5" w:rsidRPr="00B75955">
        <w:rPr>
          <w:b/>
          <w:highlight w:val="yellow"/>
          <w:lang w:val="en-CA"/>
        </w:rPr>
        <w:t xml:space="preserve"> </w:t>
      </w:r>
      <w:r w:rsidR="00AE2BB4" w:rsidRPr="00B75955">
        <w:rPr>
          <w:b/>
          <w:highlight w:val="yellow"/>
          <w:lang w:val="en-CA"/>
        </w:rPr>
        <w:t>manufacturing lines</w:t>
      </w:r>
      <w:r w:rsidR="001332D5" w:rsidRPr="00B75955">
        <w:rPr>
          <w:b/>
          <w:highlight w:val="yellow"/>
          <w:lang w:val="en-CA"/>
        </w:rPr>
        <w:t xml:space="preserve"> with an associated phase-out of 2,221</w:t>
      </w:r>
      <w:r w:rsidR="008D03C8" w:rsidRPr="00B75955">
        <w:rPr>
          <w:b/>
          <w:highlight w:val="yellow"/>
          <w:lang w:val="en-CA"/>
        </w:rPr>
        <w:t> </w:t>
      </w:r>
      <w:proofErr w:type="spellStart"/>
      <w:r w:rsidR="001332D5" w:rsidRPr="00B75955">
        <w:rPr>
          <w:b/>
          <w:highlight w:val="yellow"/>
          <w:lang w:val="en-CA"/>
        </w:rPr>
        <w:t>mt</w:t>
      </w:r>
      <w:proofErr w:type="spellEnd"/>
      <w:r w:rsidR="001332D5" w:rsidRPr="00B75955">
        <w:rPr>
          <w:b/>
          <w:highlight w:val="yellow"/>
          <w:lang w:val="en-CA"/>
        </w:rPr>
        <w:t xml:space="preserve"> of HCFC-22. The level of disbursement </w:t>
      </w:r>
      <w:r w:rsidR="006B65E8" w:rsidRPr="00B75955">
        <w:rPr>
          <w:b/>
          <w:highlight w:val="yellow"/>
          <w:lang w:val="en-CA"/>
        </w:rPr>
        <w:t>of the first tranche from FECO to the beneficiary enterprises</w:t>
      </w:r>
      <w:r w:rsidR="00AE2BB4" w:rsidRPr="00B75955">
        <w:rPr>
          <w:b/>
          <w:highlight w:val="yellow"/>
          <w:lang w:val="en-CA"/>
        </w:rPr>
        <w:t>, including technical assistance, and for the PMU</w:t>
      </w:r>
      <w:r w:rsidR="006B65E8" w:rsidRPr="00B75955">
        <w:rPr>
          <w:b/>
          <w:highlight w:val="yellow"/>
          <w:lang w:val="en-CA"/>
        </w:rPr>
        <w:t xml:space="preserve"> is </w:t>
      </w:r>
      <w:r w:rsidR="001332D5" w:rsidRPr="00B75955">
        <w:rPr>
          <w:b/>
          <w:highlight w:val="yellow"/>
          <w:lang w:val="en-CA"/>
        </w:rPr>
        <w:t>24</w:t>
      </w:r>
      <w:r w:rsidR="004F3BB5" w:rsidRPr="00B75955">
        <w:rPr>
          <w:b/>
          <w:highlight w:val="yellow"/>
          <w:lang w:val="en-CA"/>
        </w:rPr>
        <w:t> per cent</w:t>
      </w:r>
      <w:r w:rsidR="001332D5" w:rsidRPr="00B75955">
        <w:rPr>
          <w:b/>
          <w:highlight w:val="yellow"/>
          <w:lang w:val="en-CA"/>
        </w:rPr>
        <w:t xml:space="preserve">. </w:t>
      </w:r>
      <w:r w:rsidR="008D03C8" w:rsidRPr="00B75955">
        <w:rPr>
          <w:b/>
          <w:highlight w:val="yellow"/>
          <w:lang w:val="en-CA"/>
        </w:rPr>
        <w:t>TA</w:t>
      </w:r>
      <w:r w:rsidR="001332D5" w:rsidRPr="00B75955">
        <w:rPr>
          <w:b/>
          <w:highlight w:val="yellow"/>
          <w:lang w:val="en-CA"/>
        </w:rPr>
        <w:t xml:space="preserve"> activities continue to be implemented, which are expected to facilitate the market introduction of R-290 RAC equipment. The 2016 </w:t>
      </w:r>
      <w:r w:rsidR="00A90AD1" w:rsidRPr="00B75955">
        <w:rPr>
          <w:b/>
          <w:highlight w:val="yellow"/>
          <w:lang w:val="en-CA"/>
        </w:rPr>
        <w:t xml:space="preserve">(actual) and 2017 (estimated) </w:t>
      </w:r>
      <w:r w:rsidR="001332D5" w:rsidRPr="00B75955">
        <w:rPr>
          <w:b/>
          <w:highlight w:val="yellow"/>
          <w:lang w:val="en-CA"/>
        </w:rPr>
        <w:t>consumption in the sector is in compliance with the Agreement between the Government of China</w:t>
      </w:r>
      <w:r w:rsidR="006B65E8" w:rsidRPr="00B75955">
        <w:rPr>
          <w:b/>
          <w:highlight w:val="yellow"/>
          <w:lang w:val="en-CA"/>
        </w:rPr>
        <w:t xml:space="preserve"> and Executive Committee</w:t>
      </w:r>
      <w:r w:rsidR="001332D5" w:rsidRPr="00B75955">
        <w:rPr>
          <w:b/>
          <w:highlight w:val="yellow"/>
          <w:lang w:val="en-CA"/>
        </w:rPr>
        <w:t xml:space="preserve">. </w:t>
      </w:r>
      <w:r w:rsidR="000847CE" w:rsidRPr="00B75955">
        <w:rPr>
          <w:b/>
          <w:highlight w:val="yellow"/>
          <w:lang w:val="en-CA"/>
        </w:rPr>
        <w:t xml:space="preserve">Notwithstanding the continued progress in implementation of conversions and </w:t>
      </w:r>
      <w:r w:rsidR="008D03C8" w:rsidRPr="00B75955">
        <w:rPr>
          <w:b/>
          <w:highlight w:val="yellow"/>
          <w:lang w:val="en-CA"/>
        </w:rPr>
        <w:t>TA</w:t>
      </w:r>
      <w:r w:rsidR="000847CE" w:rsidRPr="00B75955">
        <w:rPr>
          <w:b/>
          <w:highlight w:val="yellow"/>
          <w:lang w:val="en-CA"/>
        </w:rPr>
        <w:t xml:space="preserve">, sales of R-290-based equipment remain low. At a future meeting, the Executive Committee may wish to consider </w:t>
      </w:r>
      <w:r w:rsidR="00A673B3" w:rsidRPr="00B75955">
        <w:rPr>
          <w:b/>
          <w:highlight w:val="yellow"/>
          <w:lang w:val="en-CA"/>
        </w:rPr>
        <w:t xml:space="preserve">whether </w:t>
      </w:r>
      <w:r w:rsidR="001332D5" w:rsidRPr="00B75955">
        <w:rPr>
          <w:b/>
          <w:highlight w:val="yellow"/>
          <w:lang w:val="en-CA"/>
        </w:rPr>
        <w:t xml:space="preserve">changes to the quota allocation system </w:t>
      </w:r>
      <w:r w:rsidR="00A673B3" w:rsidRPr="00B75955">
        <w:rPr>
          <w:b/>
          <w:highlight w:val="yellow"/>
          <w:lang w:val="en-CA"/>
        </w:rPr>
        <w:t xml:space="preserve">could help </w:t>
      </w:r>
      <w:r w:rsidR="001332D5" w:rsidRPr="00B75955">
        <w:rPr>
          <w:b/>
          <w:highlight w:val="yellow"/>
          <w:lang w:val="en-CA"/>
        </w:rPr>
        <w:t>ensure continued compliance with the sector consumption targets</w:t>
      </w:r>
      <w:r w:rsidR="000847CE" w:rsidRPr="00B75955">
        <w:rPr>
          <w:b/>
          <w:highlight w:val="yellow"/>
          <w:lang w:val="en-CA"/>
        </w:rPr>
        <w:t>; whether the Agreement should be amended to ensure that the tranche distribution realistically reflects the status of implementation; and</w:t>
      </w:r>
      <w:r w:rsidR="001332D5" w:rsidRPr="00B75955">
        <w:rPr>
          <w:b/>
          <w:highlight w:val="yellow"/>
          <w:lang w:val="en-CA"/>
        </w:rPr>
        <w:t xml:space="preserve"> whether </w:t>
      </w:r>
      <w:r w:rsidR="00A90AD1" w:rsidRPr="00B75955">
        <w:rPr>
          <w:b/>
          <w:highlight w:val="yellow"/>
          <w:lang w:val="en-CA"/>
        </w:rPr>
        <w:t xml:space="preserve">to request UNIDO to explore feasible </w:t>
      </w:r>
      <w:r w:rsidR="001332D5" w:rsidRPr="00B75955">
        <w:rPr>
          <w:b/>
          <w:highlight w:val="yellow"/>
          <w:lang w:val="en-CA"/>
        </w:rPr>
        <w:t xml:space="preserve">measures to </w:t>
      </w:r>
      <w:r w:rsidR="000847CE" w:rsidRPr="00B75955">
        <w:rPr>
          <w:b/>
          <w:highlight w:val="yellow"/>
          <w:lang w:val="en-CA"/>
        </w:rPr>
        <w:t>encourage</w:t>
      </w:r>
      <w:r w:rsidR="001332D5" w:rsidRPr="00B75955">
        <w:rPr>
          <w:b/>
          <w:highlight w:val="yellow"/>
          <w:lang w:val="en-CA"/>
        </w:rPr>
        <w:t xml:space="preserve"> </w:t>
      </w:r>
      <w:r w:rsidR="000847CE" w:rsidRPr="00B75955">
        <w:rPr>
          <w:b/>
          <w:highlight w:val="yellow"/>
          <w:lang w:val="en-CA"/>
        </w:rPr>
        <w:t xml:space="preserve">the manufacturing and sale of R-290-based RAC equipment </w:t>
      </w:r>
      <w:r w:rsidR="00A90AD1" w:rsidRPr="00B75955">
        <w:rPr>
          <w:b/>
          <w:highlight w:val="yellow"/>
          <w:lang w:val="en-CA"/>
        </w:rPr>
        <w:t>in the local market</w:t>
      </w:r>
      <w:r w:rsidR="001332D5" w:rsidRPr="00B75955">
        <w:rPr>
          <w:b/>
          <w:highlight w:val="yellow"/>
          <w:lang w:val="en-CA"/>
        </w:rPr>
        <w:t xml:space="preserve">. </w:t>
      </w:r>
    </w:p>
    <w:p w14:paraId="5310C5F7" w14:textId="77777777" w:rsidR="008A4C7A" w:rsidRPr="00B75955" w:rsidRDefault="008A4C7A" w:rsidP="008A4C7A">
      <w:pPr>
        <w:rPr>
          <w:b/>
          <w:lang w:val="en-CA"/>
        </w:rPr>
      </w:pPr>
      <w:r w:rsidRPr="00B75955">
        <w:rPr>
          <w:b/>
          <w:lang w:val="en-CA"/>
        </w:rPr>
        <w:t>RECOMMENDATION</w:t>
      </w:r>
    </w:p>
    <w:p w14:paraId="45878114" w14:textId="77777777" w:rsidR="008A4C7A" w:rsidRPr="00B75955" w:rsidRDefault="008A4C7A" w:rsidP="008A4C7A">
      <w:pPr>
        <w:rPr>
          <w:lang w:val="en-CA"/>
        </w:rPr>
      </w:pPr>
    </w:p>
    <w:p w14:paraId="7A6FA8C4" w14:textId="77777777" w:rsidR="008A4C7A" w:rsidRPr="00B75955" w:rsidRDefault="008A4C7A" w:rsidP="008A4C7A">
      <w:pPr>
        <w:pStyle w:val="Heading1"/>
        <w:rPr>
          <w:lang w:val="en-CA"/>
        </w:rPr>
      </w:pPr>
      <w:r w:rsidRPr="00B75955">
        <w:rPr>
          <w:lang w:val="en-CA"/>
        </w:rPr>
        <w:t>The Executive Committee may wish:</w:t>
      </w:r>
    </w:p>
    <w:p w14:paraId="28AA5281" w14:textId="6E21DDD2" w:rsidR="008A4C7A" w:rsidRPr="00B75955" w:rsidRDefault="008A4C7A" w:rsidP="008A4C7A">
      <w:pPr>
        <w:pStyle w:val="Heading2"/>
        <w:numPr>
          <w:ilvl w:val="1"/>
          <w:numId w:val="1"/>
        </w:numPr>
        <w:rPr>
          <w:lang w:val="en-CA"/>
        </w:rPr>
      </w:pPr>
      <w:r w:rsidRPr="00B75955">
        <w:rPr>
          <w:lang w:val="en-CA"/>
        </w:rPr>
        <w:t>To note the progress report on the implementation of the first tranche of the room air</w:t>
      </w:r>
      <w:r w:rsidRPr="00B75955">
        <w:rPr>
          <w:lang w:val="en-CA"/>
        </w:rPr>
        <w:noBreakHyphen/>
        <w:t xml:space="preserve">conditioning manufacturing (RAC) and heat pump water heaters (HPWH) sector plan (RAC sector plan) of the </w:t>
      </w:r>
      <w:r w:rsidR="008F6A22" w:rsidRPr="00B75955">
        <w:rPr>
          <w:lang w:val="en-CA"/>
        </w:rPr>
        <w:t xml:space="preserve">stage II of the </w:t>
      </w:r>
      <w:r w:rsidRPr="00B75955">
        <w:rPr>
          <w:lang w:val="en-CA"/>
        </w:rPr>
        <w:t>HCFC phase-out management plan (HPMP) for China; and</w:t>
      </w:r>
    </w:p>
    <w:p w14:paraId="292BD689" w14:textId="0C7DB3FF" w:rsidR="008A4C7A" w:rsidRPr="00B75955" w:rsidRDefault="008A4C7A" w:rsidP="008A4C7A">
      <w:pPr>
        <w:pStyle w:val="Heading2"/>
        <w:keepNext/>
        <w:keepLines/>
        <w:numPr>
          <w:ilvl w:val="1"/>
          <w:numId w:val="1"/>
        </w:numPr>
        <w:rPr>
          <w:lang w:val="en-CA"/>
        </w:rPr>
      </w:pPr>
      <w:r w:rsidRPr="00B75955">
        <w:rPr>
          <w:b/>
          <w:highlight w:val="yellow"/>
          <w:lang w:val="en-CA"/>
        </w:rPr>
        <w:t>To approve</w:t>
      </w:r>
      <w:r w:rsidRPr="00B75955">
        <w:rPr>
          <w:lang w:val="en-CA"/>
        </w:rPr>
        <w:t xml:space="preserve"> the second tranche of the RAC sector plan of stage II of the HPMP for China</w:t>
      </w:r>
      <w:r w:rsidR="008F6A22" w:rsidRPr="00B75955">
        <w:rPr>
          <w:lang w:val="en-CA"/>
        </w:rPr>
        <w:t xml:space="preserve">, and the corresponding </w:t>
      </w:r>
      <w:r w:rsidR="008F6A22" w:rsidRPr="00B75955">
        <w:rPr>
          <w:b/>
          <w:highlight w:val="yellow"/>
          <w:lang w:val="en-CA"/>
        </w:rPr>
        <w:t>2018</w:t>
      </w:r>
      <w:r w:rsidR="008F6A22" w:rsidRPr="00B75955">
        <w:rPr>
          <w:b/>
          <w:highlight w:val="yellow"/>
          <w:lang w:val="en-CA"/>
        </w:rPr>
        <w:noBreakHyphen/>
        <w:t>2020</w:t>
      </w:r>
      <w:r w:rsidRPr="00B75955">
        <w:rPr>
          <w:lang w:val="en-CA"/>
        </w:rPr>
        <w:t xml:space="preserve"> tranche implementation plan, at the amount of US $16,000,000, plus agency support costs of US $1,040,000 for UNIDO.</w:t>
      </w:r>
    </w:p>
    <w:p w14:paraId="53BE4B8A" w14:textId="0553951C" w:rsidR="0001415F" w:rsidRPr="00B75955" w:rsidRDefault="0001415F">
      <w:pPr>
        <w:jc w:val="left"/>
        <w:rPr>
          <w:sz w:val="20"/>
          <w:lang w:val="en-CA"/>
        </w:rPr>
      </w:pPr>
      <w:r w:rsidRPr="00B75955">
        <w:rPr>
          <w:lang w:val="en-CA"/>
        </w:rPr>
        <w:br w:type="page"/>
      </w:r>
    </w:p>
    <w:p w14:paraId="7D4FF692" w14:textId="77777777" w:rsidR="002F1866" w:rsidRPr="00B75955" w:rsidRDefault="002F1866" w:rsidP="0001415F">
      <w:pPr>
        <w:jc w:val="center"/>
        <w:rPr>
          <w:b/>
          <w:lang w:val="en-CA"/>
        </w:rPr>
      </w:pPr>
    </w:p>
    <w:p w14:paraId="5C009863" w14:textId="77777777" w:rsidR="002F1866" w:rsidRPr="00B75955" w:rsidRDefault="002F1866" w:rsidP="0001415F">
      <w:pPr>
        <w:jc w:val="center"/>
        <w:rPr>
          <w:b/>
          <w:lang w:val="en-CA"/>
        </w:rPr>
      </w:pPr>
    </w:p>
    <w:p w14:paraId="3C3D2312" w14:textId="099609BF" w:rsidR="0001415F" w:rsidRPr="00B75955" w:rsidRDefault="0001415F" w:rsidP="0001415F">
      <w:pPr>
        <w:jc w:val="center"/>
        <w:rPr>
          <w:b/>
          <w:lang w:val="en-CA"/>
        </w:rPr>
      </w:pPr>
      <w:r w:rsidRPr="00B75955">
        <w:rPr>
          <w:b/>
          <w:lang w:val="en-CA"/>
        </w:rPr>
        <w:t>PROJECT EVALUATION SHEET – MULTI-YEAR PROJECTS</w:t>
      </w:r>
    </w:p>
    <w:p w14:paraId="10772B7B" w14:textId="77777777" w:rsidR="0001415F" w:rsidRPr="00B75955" w:rsidRDefault="0001415F" w:rsidP="0001415F">
      <w:pPr>
        <w:jc w:val="center"/>
        <w:rPr>
          <w:b/>
          <w:lang w:val="en-CA"/>
        </w:rPr>
      </w:pPr>
    </w:p>
    <w:p w14:paraId="46CBBB2A" w14:textId="77777777" w:rsidR="0001415F" w:rsidRPr="00B75955" w:rsidRDefault="0001415F" w:rsidP="0001415F">
      <w:pPr>
        <w:jc w:val="center"/>
        <w:rPr>
          <w:b/>
          <w:lang w:val="en-CA"/>
        </w:rPr>
      </w:pPr>
      <w:r w:rsidRPr="00B75955">
        <w:rPr>
          <w:b/>
          <w:lang w:val="en-CA"/>
        </w:rPr>
        <w:t>CHINA</w:t>
      </w:r>
    </w:p>
    <w:p w14:paraId="10D81DEA" w14:textId="77777777" w:rsidR="0001415F" w:rsidRPr="00B75955" w:rsidRDefault="0001415F" w:rsidP="0001415F">
      <w:pPr>
        <w:jc w:val="center"/>
        <w:rPr>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39"/>
        <w:gridCol w:w="2693"/>
        <w:gridCol w:w="1560"/>
        <w:gridCol w:w="1558"/>
      </w:tblGrid>
      <w:tr w:rsidR="0001415F" w:rsidRPr="00B75955" w14:paraId="327B36C1" w14:textId="77777777" w:rsidTr="002F1866">
        <w:trPr>
          <w:trHeight w:val="240"/>
        </w:trPr>
        <w:tc>
          <w:tcPr>
            <w:tcW w:w="1893" w:type="pct"/>
            <w:shd w:val="clear" w:color="auto" w:fill="auto"/>
          </w:tcPr>
          <w:p w14:paraId="4E0063D0" w14:textId="77777777" w:rsidR="0001415F" w:rsidRPr="00B75955" w:rsidRDefault="0001415F" w:rsidP="00B75955">
            <w:pPr>
              <w:spacing w:after="80"/>
              <w:rPr>
                <w:b/>
                <w:sz w:val="18"/>
                <w:lang w:val="en-CA"/>
              </w:rPr>
            </w:pPr>
            <w:r w:rsidRPr="00B75955">
              <w:rPr>
                <w:b/>
                <w:sz w:val="18"/>
                <w:lang w:val="en-CA"/>
              </w:rPr>
              <w:t>(I) PROJECT TITLE</w:t>
            </w:r>
          </w:p>
        </w:tc>
        <w:tc>
          <w:tcPr>
            <w:tcW w:w="1440" w:type="pct"/>
            <w:shd w:val="clear" w:color="auto" w:fill="auto"/>
          </w:tcPr>
          <w:p w14:paraId="0001F92F" w14:textId="77777777" w:rsidR="0001415F" w:rsidRPr="00B75955" w:rsidRDefault="0001415F" w:rsidP="00B75955">
            <w:pPr>
              <w:spacing w:after="80"/>
              <w:jc w:val="center"/>
              <w:rPr>
                <w:b/>
                <w:sz w:val="18"/>
                <w:lang w:val="en-CA"/>
              </w:rPr>
            </w:pPr>
            <w:r w:rsidRPr="00B75955">
              <w:rPr>
                <w:b/>
                <w:sz w:val="18"/>
                <w:lang w:val="en-CA"/>
              </w:rPr>
              <w:t>AGENCY</w:t>
            </w:r>
          </w:p>
        </w:tc>
        <w:tc>
          <w:tcPr>
            <w:tcW w:w="834" w:type="pct"/>
            <w:shd w:val="clear" w:color="auto" w:fill="auto"/>
          </w:tcPr>
          <w:p w14:paraId="66C132A6" w14:textId="77777777" w:rsidR="0001415F" w:rsidRPr="00B75955" w:rsidRDefault="0001415F" w:rsidP="00B75955">
            <w:pPr>
              <w:spacing w:after="80"/>
              <w:jc w:val="center"/>
              <w:rPr>
                <w:b/>
                <w:sz w:val="18"/>
                <w:lang w:val="en-CA"/>
              </w:rPr>
            </w:pPr>
            <w:r w:rsidRPr="00B75955">
              <w:rPr>
                <w:b/>
                <w:sz w:val="18"/>
                <w:lang w:val="en-CA"/>
              </w:rPr>
              <w:t>MEETING APPROVED</w:t>
            </w:r>
          </w:p>
        </w:tc>
        <w:tc>
          <w:tcPr>
            <w:tcW w:w="833" w:type="pct"/>
            <w:shd w:val="clear" w:color="auto" w:fill="auto"/>
          </w:tcPr>
          <w:p w14:paraId="1CC0FB73" w14:textId="77777777" w:rsidR="0001415F" w:rsidRPr="00B75955" w:rsidRDefault="0001415F" w:rsidP="00B75955">
            <w:pPr>
              <w:spacing w:after="80"/>
              <w:jc w:val="center"/>
              <w:rPr>
                <w:b/>
                <w:sz w:val="18"/>
                <w:lang w:val="en-CA"/>
              </w:rPr>
            </w:pPr>
            <w:r w:rsidRPr="00B75955">
              <w:rPr>
                <w:b/>
                <w:sz w:val="18"/>
                <w:lang w:val="en-CA"/>
              </w:rPr>
              <w:t>CONTROL MEASURE</w:t>
            </w:r>
          </w:p>
        </w:tc>
      </w:tr>
      <w:tr w:rsidR="0001415F" w:rsidRPr="00B75955" w14:paraId="0F5C2997" w14:textId="77777777" w:rsidTr="002F1866">
        <w:trPr>
          <w:trHeight w:val="240"/>
        </w:trPr>
        <w:tc>
          <w:tcPr>
            <w:tcW w:w="1893" w:type="pct"/>
            <w:shd w:val="clear" w:color="auto" w:fill="auto"/>
          </w:tcPr>
          <w:p w14:paraId="3BF06AFF" w14:textId="77777777" w:rsidR="0001415F" w:rsidRPr="00B75955" w:rsidRDefault="0001415F" w:rsidP="00B75955">
            <w:pPr>
              <w:spacing w:after="80"/>
              <w:jc w:val="center"/>
              <w:rPr>
                <w:sz w:val="18"/>
                <w:szCs w:val="18"/>
                <w:lang w:val="en-CA"/>
              </w:rPr>
            </w:pPr>
            <w:r w:rsidRPr="00B75955">
              <w:rPr>
                <w:sz w:val="18"/>
                <w:szCs w:val="18"/>
                <w:lang w:val="en-CA"/>
              </w:rPr>
              <w:t>HCFC phase-out plan (stage II) refrigeration servicing and enabling programme</w:t>
            </w:r>
          </w:p>
        </w:tc>
        <w:tc>
          <w:tcPr>
            <w:tcW w:w="1440" w:type="pct"/>
            <w:shd w:val="clear" w:color="auto" w:fill="auto"/>
          </w:tcPr>
          <w:p w14:paraId="11458D29" w14:textId="77777777" w:rsidR="0001415F" w:rsidRPr="00B75955" w:rsidRDefault="0001415F" w:rsidP="00B75955">
            <w:pPr>
              <w:spacing w:after="80"/>
              <w:jc w:val="center"/>
              <w:rPr>
                <w:sz w:val="18"/>
                <w:lang w:val="en-CA"/>
              </w:rPr>
            </w:pPr>
            <w:r w:rsidRPr="00B75955">
              <w:rPr>
                <w:sz w:val="18"/>
                <w:lang w:val="en-CA"/>
              </w:rPr>
              <w:t>UNEP (lead), Germany and Japan</w:t>
            </w:r>
          </w:p>
        </w:tc>
        <w:tc>
          <w:tcPr>
            <w:tcW w:w="834" w:type="pct"/>
            <w:shd w:val="clear" w:color="auto" w:fill="auto"/>
          </w:tcPr>
          <w:p w14:paraId="34450D2D" w14:textId="77777777" w:rsidR="0001415F" w:rsidRPr="00B75955" w:rsidRDefault="0001415F" w:rsidP="00B75955">
            <w:pPr>
              <w:spacing w:after="80"/>
              <w:jc w:val="center"/>
              <w:rPr>
                <w:sz w:val="18"/>
                <w:lang w:val="en-CA"/>
              </w:rPr>
            </w:pPr>
            <w:r w:rsidRPr="00B75955">
              <w:rPr>
                <w:sz w:val="18"/>
                <w:lang w:val="en-CA"/>
              </w:rPr>
              <w:t>76</w:t>
            </w:r>
            <w:r w:rsidRPr="00B75955">
              <w:rPr>
                <w:sz w:val="18"/>
                <w:vertAlign w:val="superscript"/>
                <w:lang w:val="en-CA"/>
              </w:rPr>
              <w:t>th</w:t>
            </w:r>
            <w:r w:rsidRPr="00B75955">
              <w:rPr>
                <w:sz w:val="18"/>
                <w:lang w:val="en-CA"/>
              </w:rPr>
              <w:t xml:space="preserve"> </w:t>
            </w:r>
          </w:p>
        </w:tc>
        <w:tc>
          <w:tcPr>
            <w:tcW w:w="833" w:type="pct"/>
            <w:shd w:val="clear" w:color="auto" w:fill="auto"/>
          </w:tcPr>
          <w:p w14:paraId="5817426D" w14:textId="77777777" w:rsidR="0001415F" w:rsidRPr="00B75955" w:rsidRDefault="0001415F" w:rsidP="00B75955">
            <w:pPr>
              <w:spacing w:after="80"/>
              <w:jc w:val="center"/>
              <w:rPr>
                <w:sz w:val="18"/>
                <w:lang w:val="en-CA"/>
              </w:rPr>
            </w:pPr>
            <w:r w:rsidRPr="00B75955">
              <w:rPr>
                <w:sz w:val="18"/>
                <w:lang w:val="en-CA"/>
              </w:rPr>
              <w:t>n/a</w:t>
            </w:r>
          </w:p>
        </w:tc>
      </w:tr>
    </w:tbl>
    <w:p w14:paraId="5DB43F19" w14:textId="77777777" w:rsidR="0001415F" w:rsidRPr="00B75955" w:rsidRDefault="0001415F" w:rsidP="0001415F">
      <w:pPr>
        <w:widowControl w:val="0"/>
        <w:tabs>
          <w:tab w:val="left" w:pos="2880"/>
          <w:tab w:val="left" w:pos="5760"/>
        </w:tabs>
        <w:rPr>
          <w:sz w:val="20"/>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62"/>
        <w:gridCol w:w="2244"/>
        <w:gridCol w:w="2244"/>
      </w:tblGrid>
      <w:tr w:rsidR="0001415F" w:rsidRPr="00B75955" w14:paraId="6F091781" w14:textId="77777777" w:rsidTr="00B75955">
        <w:trPr>
          <w:trHeight w:val="240"/>
        </w:trPr>
        <w:tc>
          <w:tcPr>
            <w:tcW w:w="2600" w:type="pct"/>
            <w:shd w:val="clear" w:color="auto" w:fill="auto"/>
          </w:tcPr>
          <w:p w14:paraId="66E59997" w14:textId="77777777" w:rsidR="0001415F" w:rsidRPr="00B75955" w:rsidRDefault="0001415F" w:rsidP="00B75955">
            <w:pPr>
              <w:spacing w:after="60"/>
              <w:rPr>
                <w:b/>
                <w:sz w:val="18"/>
                <w:lang w:val="en-CA"/>
              </w:rPr>
            </w:pPr>
            <w:r w:rsidRPr="00B75955">
              <w:rPr>
                <w:b/>
                <w:sz w:val="18"/>
                <w:lang w:val="en-CA"/>
              </w:rPr>
              <w:t>(II) LATEST ARTICLE 7 DATA (Annex C Group l)</w:t>
            </w:r>
          </w:p>
        </w:tc>
        <w:tc>
          <w:tcPr>
            <w:tcW w:w="1200" w:type="pct"/>
            <w:shd w:val="clear" w:color="auto" w:fill="auto"/>
          </w:tcPr>
          <w:p w14:paraId="11422B32" w14:textId="77777777" w:rsidR="0001415F" w:rsidRPr="00B75955" w:rsidRDefault="0001415F" w:rsidP="00B75955">
            <w:pPr>
              <w:spacing w:after="60"/>
              <w:jc w:val="center"/>
              <w:rPr>
                <w:sz w:val="18"/>
                <w:lang w:val="en-CA"/>
              </w:rPr>
            </w:pPr>
            <w:r w:rsidRPr="00B75955">
              <w:rPr>
                <w:sz w:val="18"/>
                <w:lang w:val="en-CA"/>
              </w:rPr>
              <w:t>Year: 2016</w:t>
            </w:r>
          </w:p>
        </w:tc>
        <w:tc>
          <w:tcPr>
            <w:tcW w:w="1200" w:type="pct"/>
            <w:shd w:val="clear" w:color="auto" w:fill="auto"/>
          </w:tcPr>
          <w:p w14:paraId="327FE1E0" w14:textId="77777777" w:rsidR="0001415F" w:rsidRPr="00B75955" w:rsidRDefault="0001415F" w:rsidP="00B75955">
            <w:pPr>
              <w:spacing w:after="60"/>
              <w:jc w:val="right"/>
              <w:rPr>
                <w:sz w:val="18"/>
                <w:lang w:val="en-CA"/>
              </w:rPr>
            </w:pPr>
            <w:r w:rsidRPr="00B75955">
              <w:rPr>
                <w:sz w:val="18"/>
                <w:lang w:val="en-CA"/>
              </w:rPr>
              <w:t>14,220.59 (ODP tonnes)</w:t>
            </w:r>
          </w:p>
        </w:tc>
      </w:tr>
    </w:tbl>
    <w:p w14:paraId="4AD7947E" w14:textId="77777777" w:rsidR="0001415F" w:rsidRPr="00B75955" w:rsidRDefault="0001415F" w:rsidP="0001415F">
      <w:pPr>
        <w:widowControl w:val="0"/>
        <w:tabs>
          <w:tab w:val="left" w:pos="2880"/>
          <w:tab w:val="left" w:pos="5760"/>
        </w:tabs>
        <w:rPr>
          <w:sz w:val="20"/>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36"/>
        <w:gridCol w:w="786"/>
        <w:gridCol w:w="756"/>
        <w:gridCol w:w="820"/>
        <w:gridCol w:w="1286"/>
        <w:gridCol w:w="906"/>
        <w:gridCol w:w="767"/>
        <w:gridCol w:w="819"/>
        <w:gridCol w:w="522"/>
        <w:gridCol w:w="1452"/>
      </w:tblGrid>
      <w:tr w:rsidR="0001415F" w:rsidRPr="00B75955" w14:paraId="68871334" w14:textId="77777777" w:rsidTr="00B75955">
        <w:trPr>
          <w:trHeight w:val="240"/>
        </w:trPr>
        <w:tc>
          <w:tcPr>
            <w:tcW w:w="3907" w:type="pct"/>
            <w:gridSpan w:val="8"/>
            <w:shd w:val="clear" w:color="auto" w:fill="auto"/>
          </w:tcPr>
          <w:p w14:paraId="4B687D84" w14:textId="77777777" w:rsidR="0001415F" w:rsidRPr="00B75955" w:rsidRDefault="0001415F" w:rsidP="00B75955">
            <w:pPr>
              <w:spacing w:after="60"/>
              <w:rPr>
                <w:b/>
                <w:sz w:val="18"/>
                <w:lang w:val="en-CA"/>
              </w:rPr>
            </w:pPr>
            <w:r w:rsidRPr="00B75955">
              <w:rPr>
                <w:b/>
                <w:sz w:val="18"/>
                <w:lang w:val="en-CA"/>
              </w:rPr>
              <w:t>(III) LATEST COUNTRY PROGRAMME SECTORAL DATA (ODP tonnes)</w:t>
            </w:r>
          </w:p>
        </w:tc>
        <w:tc>
          <w:tcPr>
            <w:tcW w:w="1093" w:type="pct"/>
            <w:gridSpan w:val="2"/>
            <w:shd w:val="clear" w:color="auto" w:fill="auto"/>
          </w:tcPr>
          <w:p w14:paraId="02A3FF55" w14:textId="77777777" w:rsidR="0001415F" w:rsidRPr="00B75955" w:rsidRDefault="0001415F" w:rsidP="00B75955">
            <w:pPr>
              <w:spacing w:after="60"/>
              <w:jc w:val="right"/>
              <w:rPr>
                <w:b/>
                <w:sz w:val="18"/>
                <w:lang w:val="en-CA"/>
              </w:rPr>
            </w:pPr>
            <w:r w:rsidRPr="00B75955">
              <w:rPr>
                <w:b/>
                <w:sz w:val="18"/>
                <w:lang w:val="en-CA"/>
              </w:rPr>
              <w:t>Year: 2016</w:t>
            </w:r>
          </w:p>
        </w:tc>
      </w:tr>
      <w:tr w:rsidR="0001415F" w:rsidRPr="00B75955" w14:paraId="65D38E70" w14:textId="77777777" w:rsidTr="00B75955">
        <w:trPr>
          <w:trHeight w:val="240"/>
        </w:trPr>
        <w:tc>
          <w:tcPr>
            <w:tcW w:w="680" w:type="pct"/>
            <w:shd w:val="clear" w:color="auto" w:fill="auto"/>
          </w:tcPr>
          <w:p w14:paraId="20F89BFE" w14:textId="77777777" w:rsidR="0001415F" w:rsidRPr="00B75955" w:rsidRDefault="0001415F" w:rsidP="00B75955">
            <w:pPr>
              <w:spacing w:after="60"/>
              <w:jc w:val="center"/>
              <w:rPr>
                <w:sz w:val="18"/>
                <w:lang w:val="en-CA"/>
              </w:rPr>
            </w:pPr>
            <w:r w:rsidRPr="00B75955">
              <w:rPr>
                <w:sz w:val="18"/>
                <w:lang w:val="en-CA"/>
              </w:rPr>
              <w:t>Chemical</w:t>
            </w:r>
          </w:p>
        </w:tc>
        <w:tc>
          <w:tcPr>
            <w:tcW w:w="309" w:type="pct"/>
            <w:shd w:val="clear" w:color="auto" w:fill="auto"/>
          </w:tcPr>
          <w:p w14:paraId="7C85318B" w14:textId="77777777" w:rsidR="0001415F" w:rsidRPr="00B75955" w:rsidRDefault="0001415F" w:rsidP="00B75955">
            <w:pPr>
              <w:spacing w:after="60"/>
              <w:jc w:val="center"/>
              <w:rPr>
                <w:sz w:val="18"/>
                <w:lang w:val="en-CA"/>
              </w:rPr>
            </w:pPr>
            <w:r w:rsidRPr="00B75955">
              <w:rPr>
                <w:sz w:val="18"/>
                <w:lang w:val="en-CA"/>
              </w:rPr>
              <w:t>Aerosol</w:t>
            </w:r>
          </w:p>
        </w:tc>
        <w:tc>
          <w:tcPr>
            <w:tcW w:w="404" w:type="pct"/>
            <w:shd w:val="clear" w:color="auto" w:fill="auto"/>
          </w:tcPr>
          <w:p w14:paraId="1CCA8C45" w14:textId="77777777" w:rsidR="0001415F" w:rsidRPr="00B75955" w:rsidRDefault="0001415F" w:rsidP="00B75955">
            <w:pPr>
              <w:spacing w:after="60"/>
              <w:jc w:val="center"/>
              <w:rPr>
                <w:sz w:val="18"/>
                <w:lang w:val="en-CA"/>
              </w:rPr>
            </w:pPr>
            <w:r w:rsidRPr="00B75955">
              <w:rPr>
                <w:sz w:val="18"/>
                <w:lang w:val="en-CA"/>
              </w:rPr>
              <w:t>Foam</w:t>
            </w:r>
          </w:p>
        </w:tc>
        <w:tc>
          <w:tcPr>
            <w:tcW w:w="457" w:type="pct"/>
            <w:shd w:val="clear" w:color="auto" w:fill="auto"/>
          </w:tcPr>
          <w:p w14:paraId="217406C3" w14:textId="77777777" w:rsidR="0001415F" w:rsidRPr="00B75955" w:rsidRDefault="0001415F" w:rsidP="00B75955">
            <w:pPr>
              <w:spacing w:after="60"/>
              <w:jc w:val="center"/>
              <w:rPr>
                <w:sz w:val="18"/>
                <w:lang w:val="en-CA"/>
              </w:rPr>
            </w:pPr>
            <w:r w:rsidRPr="00B75955">
              <w:rPr>
                <w:sz w:val="18"/>
                <w:lang w:val="en-CA"/>
              </w:rPr>
              <w:t>Fire fighting</w:t>
            </w:r>
          </w:p>
        </w:tc>
        <w:tc>
          <w:tcPr>
            <w:tcW w:w="1172" w:type="pct"/>
            <w:gridSpan w:val="2"/>
            <w:shd w:val="clear" w:color="auto" w:fill="auto"/>
          </w:tcPr>
          <w:p w14:paraId="7B343C8E" w14:textId="77777777" w:rsidR="0001415F" w:rsidRPr="00B75955" w:rsidRDefault="0001415F" w:rsidP="00B75955">
            <w:pPr>
              <w:spacing w:after="60"/>
              <w:jc w:val="center"/>
              <w:rPr>
                <w:sz w:val="18"/>
                <w:lang w:val="en-CA"/>
              </w:rPr>
            </w:pPr>
            <w:r w:rsidRPr="00B75955">
              <w:rPr>
                <w:sz w:val="18"/>
                <w:lang w:val="en-CA"/>
              </w:rPr>
              <w:t>Refrigeration</w:t>
            </w:r>
          </w:p>
        </w:tc>
        <w:tc>
          <w:tcPr>
            <w:tcW w:w="410" w:type="pct"/>
            <w:shd w:val="clear" w:color="auto" w:fill="auto"/>
          </w:tcPr>
          <w:p w14:paraId="1E040C00" w14:textId="77777777" w:rsidR="0001415F" w:rsidRPr="00B75955" w:rsidRDefault="0001415F" w:rsidP="00B75955">
            <w:pPr>
              <w:spacing w:after="60"/>
              <w:jc w:val="center"/>
              <w:rPr>
                <w:sz w:val="18"/>
                <w:lang w:val="en-CA"/>
              </w:rPr>
            </w:pPr>
            <w:r w:rsidRPr="00B75955">
              <w:rPr>
                <w:sz w:val="18"/>
                <w:lang w:val="en-CA"/>
              </w:rPr>
              <w:t>Solvent</w:t>
            </w:r>
          </w:p>
        </w:tc>
        <w:tc>
          <w:tcPr>
            <w:tcW w:w="475" w:type="pct"/>
            <w:shd w:val="clear" w:color="auto" w:fill="auto"/>
          </w:tcPr>
          <w:p w14:paraId="1C4D0B95" w14:textId="77777777" w:rsidR="0001415F" w:rsidRPr="00B75955" w:rsidRDefault="0001415F" w:rsidP="00B75955">
            <w:pPr>
              <w:spacing w:after="60"/>
              <w:jc w:val="center"/>
              <w:rPr>
                <w:sz w:val="18"/>
                <w:lang w:val="en-CA"/>
              </w:rPr>
            </w:pPr>
            <w:r w:rsidRPr="00B75955">
              <w:rPr>
                <w:sz w:val="18"/>
                <w:lang w:val="en-CA"/>
              </w:rPr>
              <w:t>Process agent</w:t>
            </w:r>
          </w:p>
        </w:tc>
        <w:tc>
          <w:tcPr>
            <w:tcW w:w="298" w:type="pct"/>
            <w:shd w:val="clear" w:color="auto" w:fill="auto"/>
          </w:tcPr>
          <w:p w14:paraId="52C213B7" w14:textId="77777777" w:rsidR="0001415F" w:rsidRPr="00B75955" w:rsidRDefault="0001415F" w:rsidP="00B75955">
            <w:pPr>
              <w:spacing w:after="60"/>
              <w:jc w:val="center"/>
              <w:rPr>
                <w:sz w:val="18"/>
                <w:lang w:val="en-CA"/>
              </w:rPr>
            </w:pPr>
            <w:r w:rsidRPr="00B75955">
              <w:rPr>
                <w:sz w:val="18"/>
                <w:lang w:val="en-CA"/>
              </w:rPr>
              <w:t>Lab use</w:t>
            </w:r>
          </w:p>
        </w:tc>
        <w:tc>
          <w:tcPr>
            <w:tcW w:w="795" w:type="pct"/>
            <w:shd w:val="clear" w:color="auto" w:fill="auto"/>
          </w:tcPr>
          <w:p w14:paraId="7A7B4358" w14:textId="77777777" w:rsidR="0001415F" w:rsidRPr="00B75955" w:rsidRDefault="0001415F" w:rsidP="00B75955">
            <w:pPr>
              <w:spacing w:after="60"/>
              <w:jc w:val="center"/>
              <w:rPr>
                <w:sz w:val="18"/>
                <w:lang w:val="en-CA"/>
              </w:rPr>
            </w:pPr>
            <w:r w:rsidRPr="00B75955">
              <w:rPr>
                <w:sz w:val="18"/>
                <w:lang w:val="en-CA"/>
              </w:rPr>
              <w:t>Total sector consumption</w:t>
            </w:r>
          </w:p>
        </w:tc>
      </w:tr>
      <w:tr w:rsidR="0001415F" w:rsidRPr="00B75955" w14:paraId="7629CAFF" w14:textId="77777777" w:rsidTr="00B75955">
        <w:trPr>
          <w:trHeight w:val="240"/>
        </w:trPr>
        <w:tc>
          <w:tcPr>
            <w:tcW w:w="1850" w:type="pct"/>
            <w:gridSpan w:val="4"/>
            <w:shd w:val="clear" w:color="auto" w:fill="auto"/>
          </w:tcPr>
          <w:p w14:paraId="000C481E" w14:textId="77777777" w:rsidR="0001415F" w:rsidRPr="00B75955" w:rsidRDefault="0001415F" w:rsidP="00B75955">
            <w:pPr>
              <w:spacing w:after="60"/>
              <w:jc w:val="center"/>
              <w:rPr>
                <w:sz w:val="18"/>
                <w:lang w:val="en-CA"/>
              </w:rPr>
            </w:pPr>
            <w:r w:rsidRPr="00B75955">
              <w:rPr>
                <w:sz w:val="18"/>
                <w:lang w:val="en-CA"/>
              </w:rPr>
              <w:t xml:space="preserve"> </w:t>
            </w:r>
          </w:p>
        </w:tc>
        <w:tc>
          <w:tcPr>
            <w:tcW w:w="688" w:type="pct"/>
            <w:shd w:val="clear" w:color="auto" w:fill="auto"/>
          </w:tcPr>
          <w:p w14:paraId="723749D0" w14:textId="77777777" w:rsidR="0001415F" w:rsidRPr="00B75955" w:rsidRDefault="0001415F" w:rsidP="00B75955">
            <w:pPr>
              <w:spacing w:after="60"/>
              <w:jc w:val="center"/>
              <w:rPr>
                <w:sz w:val="18"/>
                <w:lang w:val="en-CA"/>
              </w:rPr>
            </w:pPr>
            <w:r w:rsidRPr="00B75955">
              <w:rPr>
                <w:sz w:val="18"/>
                <w:lang w:val="en-CA"/>
              </w:rPr>
              <w:t>Manufacturing</w:t>
            </w:r>
          </w:p>
        </w:tc>
        <w:tc>
          <w:tcPr>
            <w:tcW w:w="484" w:type="pct"/>
            <w:shd w:val="clear" w:color="auto" w:fill="auto"/>
          </w:tcPr>
          <w:p w14:paraId="4E17A321" w14:textId="77777777" w:rsidR="0001415F" w:rsidRPr="00B75955" w:rsidRDefault="0001415F" w:rsidP="00B75955">
            <w:pPr>
              <w:spacing w:after="60"/>
              <w:jc w:val="center"/>
              <w:rPr>
                <w:sz w:val="18"/>
                <w:lang w:val="en-CA"/>
              </w:rPr>
            </w:pPr>
            <w:r w:rsidRPr="00B75955">
              <w:rPr>
                <w:sz w:val="18"/>
                <w:lang w:val="en-CA"/>
              </w:rPr>
              <w:t>Servicing</w:t>
            </w:r>
          </w:p>
        </w:tc>
        <w:tc>
          <w:tcPr>
            <w:tcW w:w="1978" w:type="pct"/>
            <w:gridSpan w:val="4"/>
            <w:shd w:val="clear" w:color="auto" w:fill="auto"/>
          </w:tcPr>
          <w:p w14:paraId="7BDA061F" w14:textId="77777777" w:rsidR="0001415F" w:rsidRPr="00B75955" w:rsidRDefault="0001415F" w:rsidP="00B75955">
            <w:pPr>
              <w:spacing w:after="60"/>
              <w:jc w:val="center"/>
              <w:rPr>
                <w:sz w:val="18"/>
                <w:lang w:val="en-CA"/>
              </w:rPr>
            </w:pPr>
          </w:p>
        </w:tc>
      </w:tr>
      <w:tr w:rsidR="0001415F" w:rsidRPr="00B75955" w14:paraId="7834222F" w14:textId="77777777" w:rsidTr="00B75955">
        <w:trPr>
          <w:trHeight w:val="240"/>
        </w:trPr>
        <w:tc>
          <w:tcPr>
            <w:tcW w:w="680" w:type="pct"/>
            <w:shd w:val="clear" w:color="auto" w:fill="auto"/>
          </w:tcPr>
          <w:p w14:paraId="3C5D7CAB" w14:textId="77777777" w:rsidR="0001415F" w:rsidRPr="00B75955" w:rsidRDefault="0001415F" w:rsidP="00B75955">
            <w:pPr>
              <w:spacing w:after="60"/>
              <w:rPr>
                <w:sz w:val="18"/>
                <w:lang w:val="en-CA"/>
              </w:rPr>
            </w:pPr>
            <w:r w:rsidRPr="00B75955">
              <w:rPr>
                <w:sz w:val="18"/>
                <w:lang w:val="en-CA"/>
              </w:rPr>
              <w:t>HCFC-22</w:t>
            </w:r>
          </w:p>
        </w:tc>
        <w:tc>
          <w:tcPr>
            <w:tcW w:w="309" w:type="pct"/>
            <w:shd w:val="clear" w:color="auto" w:fill="auto"/>
          </w:tcPr>
          <w:p w14:paraId="6984727A" w14:textId="77777777" w:rsidR="0001415F" w:rsidRPr="00B75955" w:rsidRDefault="0001415F" w:rsidP="00B75955">
            <w:pPr>
              <w:spacing w:after="60"/>
              <w:jc w:val="right"/>
              <w:rPr>
                <w:sz w:val="18"/>
                <w:lang w:val="en-CA"/>
              </w:rPr>
            </w:pPr>
            <w:r w:rsidRPr="00B75955">
              <w:rPr>
                <w:sz w:val="18"/>
                <w:lang w:val="en-CA"/>
              </w:rPr>
              <w:t>126.4</w:t>
            </w:r>
          </w:p>
        </w:tc>
        <w:tc>
          <w:tcPr>
            <w:tcW w:w="404" w:type="pct"/>
            <w:shd w:val="clear" w:color="auto" w:fill="auto"/>
          </w:tcPr>
          <w:p w14:paraId="1928A1AB" w14:textId="77777777" w:rsidR="0001415F" w:rsidRPr="00B75955" w:rsidRDefault="0001415F" w:rsidP="00B75955">
            <w:pPr>
              <w:spacing w:after="60"/>
              <w:jc w:val="right"/>
              <w:rPr>
                <w:sz w:val="18"/>
                <w:lang w:val="en-CA"/>
              </w:rPr>
            </w:pPr>
            <w:r w:rsidRPr="00B75955">
              <w:rPr>
                <w:sz w:val="18"/>
                <w:lang w:val="en-CA"/>
              </w:rPr>
              <w:t>1,457.5</w:t>
            </w:r>
          </w:p>
        </w:tc>
        <w:tc>
          <w:tcPr>
            <w:tcW w:w="457" w:type="pct"/>
            <w:shd w:val="clear" w:color="auto" w:fill="auto"/>
          </w:tcPr>
          <w:p w14:paraId="46CECD73" w14:textId="77777777" w:rsidR="0001415F" w:rsidRPr="00B75955" w:rsidRDefault="0001415F" w:rsidP="00B75955">
            <w:pPr>
              <w:spacing w:after="60"/>
              <w:jc w:val="right"/>
              <w:rPr>
                <w:sz w:val="18"/>
                <w:lang w:val="en-CA"/>
              </w:rPr>
            </w:pPr>
          </w:p>
        </w:tc>
        <w:tc>
          <w:tcPr>
            <w:tcW w:w="688" w:type="pct"/>
            <w:shd w:val="clear" w:color="auto" w:fill="auto"/>
          </w:tcPr>
          <w:p w14:paraId="06AC94B0" w14:textId="77777777" w:rsidR="0001415F" w:rsidRPr="00B75955" w:rsidRDefault="0001415F" w:rsidP="00B75955">
            <w:pPr>
              <w:spacing w:after="60"/>
              <w:jc w:val="right"/>
              <w:rPr>
                <w:sz w:val="18"/>
                <w:lang w:val="en-CA"/>
              </w:rPr>
            </w:pPr>
            <w:r w:rsidRPr="00B75955">
              <w:rPr>
                <w:sz w:val="18"/>
                <w:lang w:val="en-CA"/>
              </w:rPr>
              <w:t>5,087.5</w:t>
            </w:r>
          </w:p>
        </w:tc>
        <w:tc>
          <w:tcPr>
            <w:tcW w:w="484" w:type="pct"/>
            <w:shd w:val="clear" w:color="auto" w:fill="auto"/>
          </w:tcPr>
          <w:p w14:paraId="25D0EA99" w14:textId="77777777" w:rsidR="0001415F" w:rsidRPr="00B75955" w:rsidRDefault="0001415F" w:rsidP="00B75955">
            <w:pPr>
              <w:spacing w:after="60"/>
              <w:jc w:val="right"/>
              <w:rPr>
                <w:sz w:val="18"/>
                <w:lang w:val="en-CA"/>
              </w:rPr>
            </w:pPr>
            <w:r w:rsidRPr="00B75955">
              <w:rPr>
                <w:sz w:val="18"/>
                <w:lang w:val="en-CA"/>
              </w:rPr>
              <w:t>2,606.9</w:t>
            </w:r>
          </w:p>
        </w:tc>
        <w:tc>
          <w:tcPr>
            <w:tcW w:w="410" w:type="pct"/>
            <w:shd w:val="clear" w:color="auto" w:fill="auto"/>
          </w:tcPr>
          <w:p w14:paraId="5AC4AE12" w14:textId="77777777" w:rsidR="0001415F" w:rsidRPr="00B75955" w:rsidRDefault="0001415F" w:rsidP="00B75955">
            <w:pPr>
              <w:spacing w:after="60"/>
              <w:jc w:val="right"/>
              <w:rPr>
                <w:sz w:val="18"/>
                <w:lang w:val="en-CA"/>
              </w:rPr>
            </w:pPr>
          </w:p>
        </w:tc>
        <w:tc>
          <w:tcPr>
            <w:tcW w:w="475" w:type="pct"/>
            <w:shd w:val="clear" w:color="auto" w:fill="auto"/>
          </w:tcPr>
          <w:p w14:paraId="4656D51C" w14:textId="77777777" w:rsidR="0001415F" w:rsidRPr="00B75955" w:rsidRDefault="0001415F" w:rsidP="00B75955">
            <w:pPr>
              <w:spacing w:after="60"/>
              <w:jc w:val="right"/>
              <w:rPr>
                <w:sz w:val="18"/>
                <w:lang w:val="en-CA"/>
              </w:rPr>
            </w:pPr>
          </w:p>
        </w:tc>
        <w:tc>
          <w:tcPr>
            <w:tcW w:w="298" w:type="pct"/>
            <w:shd w:val="clear" w:color="auto" w:fill="auto"/>
          </w:tcPr>
          <w:p w14:paraId="0C3A7495" w14:textId="77777777" w:rsidR="0001415F" w:rsidRPr="00B75955" w:rsidRDefault="0001415F" w:rsidP="00B75955">
            <w:pPr>
              <w:spacing w:after="60"/>
              <w:jc w:val="right"/>
              <w:rPr>
                <w:sz w:val="18"/>
                <w:lang w:val="en-CA"/>
              </w:rPr>
            </w:pPr>
          </w:p>
        </w:tc>
        <w:tc>
          <w:tcPr>
            <w:tcW w:w="795" w:type="pct"/>
            <w:shd w:val="clear" w:color="auto" w:fill="auto"/>
          </w:tcPr>
          <w:p w14:paraId="399730B3" w14:textId="77777777" w:rsidR="0001415F" w:rsidRPr="00B75955" w:rsidRDefault="0001415F" w:rsidP="00B75955">
            <w:pPr>
              <w:spacing w:after="60"/>
              <w:jc w:val="right"/>
              <w:rPr>
                <w:sz w:val="18"/>
                <w:lang w:val="en-CA"/>
              </w:rPr>
            </w:pPr>
            <w:r w:rsidRPr="00B75955">
              <w:rPr>
                <w:sz w:val="18"/>
                <w:lang w:val="en-CA"/>
              </w:rPr>
              <w:t>9,278.3</w:t>
            </w:r>
          </w:p>
        </w:tc>
      </w:tr>
      <w:tr w:rsidR="0001415F" w:rsidRPr="00B75955" w14:paraId="31F77D5C" w14:textId="77777777" w:rsidTr="00B75955">
        <w:trPr>
          <w:trHeight w:val="240"/>
        </w:trPr>
        <w:tc>
          <w:tcPr>
            <w:tcW w:w="680" w:type="pct"/>
            <w:shd w:val="clear" w:color="auto" w:fill="auto"/>
          </w:tcPr>
          <w:p w14:paraId="03105924" w14:textId="77777777" w:rsidR="0001415F" w:rsidRPr="00B75955" w:rsidRDefault="0001415F" w:rsidP="00B75955">
            <w:pPr>
              <w:spacing w:after="60"/>
              <w:rPr>
                <w:sz w:val="18"/>
                <w:lang w:val="en-CA"/>
              </w:rPr>
            </w:pPr>
            <w:r w:rsidRPr="00B75955">
              <w:rPr>
                <w:sz w:val="18"/>
                <w:lang w:val="en-CA"/>
              </w:rPr>
              <w:t>HCFC-123</w:t>
            </w:r>
          </w:p>
        </w:tc>
        <w:tc>
          <w:tcPr>
            <w:tcW w:w="309" w:type="pct"/>
            <w:shd w:val="clear" w:color="auto" w:fill="auto"/>
          </w:tcPr>
          <w:p w14:paraId="25387B7E" w14:textId="77777777" w:rsidR="0001415F" w:rsidRPr="00B75955" w:rsidRDefault="0001415F" w:rsidP="00B75955">
            <w:pPr>
              <w:spacing w:after="60"/>
              <w:jc w:val="right"/>
              <w:rPr>
                <w:sz w:val="18"/>
                <w:lang w:val="en-CA"/>
              </w:rPr>
            </w:pPr>
          </w:p>
        </w:tc>
        <w:tc>
          <w:tcPr>
            <w:tcW w:w="404" w:type="pct"/>
            <w:shd w:val="clear" w:color="auto" w:fill="auto"/>
          </w:tcPr>
          <w:p w14:paraId="02E65A36" w14:textId="77777777" w:rsidR="0001415F" w:rsidRPr="00B75955" w:rsidRDefault="0001415F" w:rsidP="00B75955">
            <w:pPr>
              <w:spacing w:after="60"/>
              <w:jc w:val="right"/>
              <w:rPr>
                <w:sz w:val="18"/>
                <w:lang w:val="en-CA"/>
              </w:rPr>
            </w:pPr>
          </w:p>
        </w:tc>
        <w:tc>
          <w:tcPr>
            <w:tcW w:w="457" w:type="pct"/>
            <w:shd w:val="clear" w:color="auto" w:fill="auto"/>
          </w:tcPr>
          <w:p w14:paraId="5A1F6E08" w14:textId="77777777" w:rsidR="0001415F" w:rsidRPr="00B75955" w:rsidRDefault="0001415F" w:rsidP="00B75955">
            <w:pPr>
              <w:spacing w:after="60"/>
              <w:jc w:val="right"/>
              <w:rPr>
                <w:sz w:val="18"/>
                <w:lang w:val="en-CA"/>
              </w:rPr>
            </w:pPr>
          </w:p>
        </w:tc>
        <w:tc>
          <w:tcPr>
            <w:tcW w:w="688" w:type="pct"/>
            <w:shd w:val="clear" w:color="auto" w:fill="auto"/>
          </w:tcPr>
          <w:p w14:paraId="02CD0D64" w14:textId="77777777" w:rsidR="0001415F" w:rsidRPr="00B75955" w:rsidRDefault="0001415F" w:rsidP="00B75955">
            <w:pPr>
              <w:spacing w:after="60"/>
              <w:jc w:val="right"/>
              <w:rPr>
                <w:sz w:val="18"/>
                <w:lang w:val="en-CA"/>
              </w:rPr>
            </w:pPr>
            <w:r w:rsidRPr="00B75955">
              <w:rPr>
                <w:sz w:val="18"/>
                <w:lang w:val="en-CA"/>
              </w:rPr>
              <w:t>13.1</w:t>
            </w:r>
          </w:p>
        </w:tc>
        <w:tc>
          <w:tcPr>
            <w:tcW w:w="484" w:type="pct"/>
            <w:shd w:val="clear" w:color="auto" w:fill="auto"/>
          </w:tcPr>
          <w:p w14:paraId="0F876FB3" w14:textId="77777777" w:rsidR="0001415F" w:rsidRPr="00B75955" w:rsidRDefault="0001415F" w:rsidP="00B75955">
            <w:pPr>
              <w:spacing w:after="60"/>
              <w:jc w:val="right"/>
              <w:rPr>
                <w:sz w:val="18"/>
                <w:lang w:val="en-CA"/>
              </w:rPr>
            </w:pPr>
            <w:r w:rsidRPr="00B75955">
              <w:rPr>
                <w:sz w:val="18"/>
                <w:lang w:val="en-CA"/>
              </w:rPr>
              <w:t>5.8</w:t>
            </w:r>
          </w:p>
        </w:tc>
        <w:tc>
          <w:tcPr>
            <w:tcW w:w="410" w:type="pct"/>
            <w:shd w:val="clear" w:color="auto" w:fill="auto"/>
          </w:tcPr>
          <w:p w14:paraId="59D4EC9C" w14:textId="77777777" w:rsidR="0001415F" w:rsidRPr="00B75955" w:rsidRDefault="0001415F" w:rsidP="00B75955">
            <w:pPr>
              <w:spacing w:after="60"/>
              <w:jc w:val="right"/>
              <w:rPr>
                <w:sz w:val="18"/>
                <w:lang w:val="en-CA"/>
              </w:rPr>
            </w:pPr>
          </w:p>
        </w:tc>
        <w:tc>
          <w:tcPr>
            <w:tcW w:w="475" w:type="pct"/>
            <w:shd w:val="clear" w:color="auto" w:fill="auto"/>
          </w:tcPr>
          <w:p w14:paraId="5886118F" w14:textId="77777777" w:rsidR="0001415F" w:rsidRPr="00B75955" w:rsidRDefault="0001415F" w:rsidP="00B75955">
            <w:pPr>
              <w:spacing w:after="60"/>
              <w:jc w:val="right"/>
              <w:rPr>
                <w:sz w:val="18"/>
                <w:lang w:val="en-CA"/>
              </w:rPr>
            </w:pPr>
          </w:p>
        </w:tc>
        <w:tc>
          <w:tcPr>
            <w:tcW w:w="298" w:type="pct"/>
            <w:shd w:val="clear" w:color="auto" w:fill="auto"/>
          </w:tcPr>
          <w:p w14:paraId="2A5C8294" w14:textId="77777777" w:rsidR="0001415F" w:rsidRPr="00B75955" w:rsidRDefault="0001415F" w:rsidP="00B75955">
            <w:pPr>
              <w:spacing w:after="60"/>
              <w:jc w:val="right"/>
              <w:rPr>
                <w:sz w:val="18"/>
                <w:lang w:val="en-CA"/>
              </w:rPr>
            </w:pPr>
          </w:p>
        </w:tc>
        <w:tc>
          <w:tcPr>
            <w:tcW w:w="795" w:type="pct"/>
            <w:shd w:val="clear" w:color="auto" w:fill="auto"/>
          </w:tcPr>
          <w:p w14:paraId="3A0A2342" w14:textId="77777777" w:rsidR="0001415F" w:rsidRPr="00B75955" w:rsidRDefault="0001415F" w:rsidP="00B75955">
            <w:pPr>
              <w:spacing w:after="60"/>
              <w:jc w:val="right"/>
              <w:rPr>
                <w:sz w:val="18"/>
                <w:lang w:val="en-CA"/>
              </w:rPr>
            </w:pPr>
            <w:r w:rsidRPr="00B75955">
              <w:rPr>
                <w:sz w:val="18"/>
                <w:lang w:val="en-CA"/>
              </w:rPr>
              <w:t>18.9</w:t>
            </w:r>
          </w:p>
        </w:tc>
      </w:tr>
      <w:tr w:rsidR="0001415F" w:rsidRPr="00B75955" w14:paraId="10F6C487" w14:textId="77777777" w:rsidTr="00B75955">
        <w:trPr>
          <w:trHeight w:val="240"/>
        </w:trPr>
        <w:tc>
          <w:tcPr>
            <w:tcW w:w="680" w:type="pct"/>
            <w:shd w:val="clear" w:color="auto" w:fill="auto"/>
          </w:tcPr>
          <w:p w14:paraId="7E90F8DA" w14:textId="77777777" w:rsidR="0001415F" w:rsidRPr="00B75955" w:rsidRDefault="0001415F" w:rsidP="00B75955">
            <w:pPr>
              <w:spacing w:after="60"/>
              <w:rPr>
                <w:sz w:val="18"/>
                <w:lang w:val="en-CA"/>
              </w:rPr>
            </w:pPr>
            <w:r w:rsidRPr="00B75955">
              <w:rPr>
                <w:sz w:val="18"/>
                <w:lang w:val="en-CA"/>
              </w:rPr>
              <w:t>HCFC-124</w:t>
            </w:r>
          </w:p>
        </w:tc>
        <w:tc>
          <w:tcPr>
            <w:tcW w:w="309" w:type="pct"/>
            <w:shd w:val="clear" w:color="auto" w:fill="auto"/>
          </w:tcPr>
          <w:p w14:paraId="1AA7B982" w14:textId="77777777" w:rsidR="0001415F" w:rsidRPr="00B75955" w:rsidRDefault="0001415F" w:rsidP="00B75955">
            <w:pPr>
              <w:spacing w:after="60"/>
              <w:jc w:val="right"/>
              <w:rPr>
                <w:sz w:val="18"/>
                <w:lang w:val="en-CA"/>
              </w:rPr>
            </w:pPr>
          </w:p>
        </w:tc>
        <w:tc>
          <w:tcPr>
            <w:tcW w:w="404" w:type="pct"/>
            <w:shd w:val="clear" w:color="auto" w:fill="auto"/>
          </w:tcPr>
          <w:p w14:paraId="2F8482E0" w14:textId="77777777" w:rsidR="0001415F" w:rsidRPr="00B75955" w:rsidRDefault="0001415F" w:rsidP="00B75955">
            <w:pPr>
              <w:spacing w:after="60"/>
              <w:jc w:val="right"/>
              <w:rPr>
                <w:sz w:val="18"/>
                <w:lang w:val="en-CA"/>
              </w:rPr>
            </w:pPr>
          </w:p>
        </w:tc>
        <w:tc>
          <w:tcPr>
            <w:tcW w:w="457" w:type="pct"/>
            <w:shd w:val="clear" w:color="auto" w:fill="auto"/>
          </w:tcPr>
          <w:p w14:paraId="099D8C44" w14:textId="77777777" w:rsidR="0001415F" w:rsidRPr="00B75955" w:rsidRDefault="0001415F" w:rsidP="00B75955">
            <w:pPr>
              <w:spacing w:after="60"/>
              <w:jc w:val="right"/>
              <w:rPr>
                <w:sz w:val="18"/>
                <w:lang w:val="en-CA"/>
              </w:rPr>
            </w:pPr>
          </w:p>
        </w:tc>
        <w:tc>
          <w:tcPr>
            <w:tcW w:w="688" w:type="pct"/>
            <w:shd w:val="clear" w:color="auto" w:fill="auto"/>
          </w:tcPr>
          <w:p w14:paraId="7C1ACBB7" w14:textId="77777777" w:rsidR="0001415F" w:rsidRPr="00B75955" w:rsidRDefault="0001415F" w:rsidP="00B75955">
            <w:pPr>
              <w:spacing w:after="60"/>
              <w:jc w:val="right"/>
              <w:rPr>
                <w:sz w:val="18"/>
                <w:lang w:val="en-CA"/>
              </w:rPr>
            </w:pPr>
          </w:p>
        </w:tc>
        <w:tc>
          <w:tcPr>
            <w:tcW w:w="484" w:type="pct"/>
            <w:shd w:val="clear" w:color="auto" w:fill="auto"/>
          </w:tcPr>
          <w:p w14:paraId="2B062278" w14:textId="77777777" w:rsidR="0001415F" w:rsidRPr="00B75955" w:rsidRDefault="0001415F" w:rsidP="00B75955">
            <w:pPr>
              <w:spacing w:after="60"/>
              <w:jc w:val="right"/>
              <w:rPr>
                <w:sz w:val="18"/>
                <w:lang w:val="en-CA"/>
              </w:rPr>
            </w:pPr>
            <w:r w:rsidRPr="00B75955">
              <w:rPr>
                <w:sz w:val="18"/>
                <w:lang w:val="en-CA"/>
              </w:rPr>
              <w:t>1.5</w:t>
            </w:r>
          </w:p>
        </w:tc>
        <w:tc>
          <w:tcPr>
            <w:tcW w:w="410" w:type="pct"/>
            <w:shd w:val="clear" w:color="auto" w:fill="auto"/>
          </w:tcPr>
          <w:p w14:paraId="25651A28" w14:textId="77777777" w:rsidR="0001415F" w:rsidRPr="00B75955" w:rsidRDefault="0001415F" w:rsidP="00B75955">
            <w:pPr>
              <w:spacing w:after="60"/>
              <w:jc w:val="right"/>
              <w:rPr>
                <w:sz w:val="18"/>
                <w:lang w:val="en-CA"/>
              </w:rPr>
            </w:pPr>
          </w:p>
        </w:tc>
        <w:tc>
          <w:tcPr>
            <w:tcW w:w="475" w:type="pct"/>
            <w:shd w:val="clear" w:color="auto" w:fill="auto"/>
          </w:tcPr>
          <w:p w14:paraId="32A92BBA" w14:textId="77777777" w:rsidR="0001415F" w:rsidRPr="00B75955" w:rsidRDefault="0001415F" w:rsidP="00B75955">
            <w:pPr>
              <w:spacing w:after="60"/>
              <w:jc w:val="right"/>
              <w:rPr>
                <w:sz w:val="18"/>
                <w:lang w:val="en-CA"/>
              </w:rPr>
            </w:pPr>
          </w:p>
        </w:tc>
        <w:tc>
          <w:tcPr>
            <w:tcW w:w="298" w:type="pct"/>
            <w:shd w:val="clear" w:color="auto" w:fill="auto"/>
          </w:tcPr>
          <w:p w14:paraId="1EFF4515" w14:textId="77777777" w:rsidR="0001415F" w:rsidRPr="00B75955" w:rsidRDefault="0001415F" w:rsidP="00B75955">
            <w:pPr>
              <w:spacing w:after="60"/>
              <w:jc w:val="right"/>
              <w:rPr>
                <w:sz w:val="18"/>
                <w:lang w:val="en-CA"/>
              </w:rPr>
            </w:pPr>
          </w:p>
        </w:tc>
        <w:tc>
          <w:tcPr>
            <w:tcW w:w="795" w:type="pct"/>
            <w:shd w:val="clear" w:color="auto" w:fill="auto"/>
          </w:tcPr>
          <w:p w14:paraId="4209E72F" w14:textId="77777777" w:rsidR="0001415F" w:rsidRPr="00B75955" w:rsidRDefault="0001415F" w:rsidP="00B75955">
            <w:pPr>
              <w:spacing w:after="60"/>
              <w:jc w:val="right"/>
              <w:rPr>
                <w:sz w:val="18"/>
                <w:lang w:val="en-CA"/>
              </w:rPr>
            </w:pPr>
            <w:r w:rsidRPr="00B75955">
              <w:rPr>
                <w:sz w:val="18"/>
                <w:lang w:val="en-CA"/>
              </w:rPr>
              <w:t>1.5</w:t>
            </w:r>
          </w:p>
        </w:tc>
      </w:tr>
      <w:tr w:rsidR="0001415F" w:rsidRPr="00B75955" w14:paraId="00C215B1" w14:textId="77777777" w:rsidTr="00B75955">
        <w:trPr>
          <w:trHeight w:val="240"/>
        </w:trPr>
        <w:tc>
          <w:tcPr>
            <w:tcW w:w="680" w:type="pct"/>
            <w:shd w:val="clear" w:color="auto" w:fill="auto"/>
          </w:tcPr>
          <w:p w14:paraId="65DE2956" w14:textId="77777777" w:rsidR="0001415F" w:rsidRPr="00B75955" w:rsidRDefault="0001415F" w:rsidP="00B75955">
            <w:pPr>
              <w:spacing w:after="60"/>
              <w:rPr>
                <w:sz w:val="18"/>
                <w:lang w:val="en-CA"/>
              </w:rPr>
            </w:pPr>
            <w:r w:rsidRPr="00B75955">
              <w:rPr>
                <w:sz w:val="18"/>
                <w:lang w:val="en-CA"/>
              </w:rPr>
              <w:t>HCFC-141b</w:t>
            </w:r>
          </w:p>
        </w:tc>
        <w:tc>
          <w:tcPr>
            <w:tcW w:w="309" w:type="pct"/>
            <w:shd w:val="clear" w:color="auto" w:fill="auto"/>
          </w:tcPr>
          <w:p w14:paraId="16E4AE39" w14:textId="77777777" w:rsidR="0001415F" w:rsidRPr="00B75955" w:rsidRDefault="0001415F" w:rsidP="00B75955">
            <w:pPr>
              <w:spacing w:after="60"/>
              <w:jc w:val="right"/>
              <w:rPr>
                <w:sz w:val="18"/>
                <w:lang w:val="en-CA"/>
              </w:rPr>
            </w:pPr>
            <w:r w:rsidRPr="00B75955">
              <w:rPr>
                <w:sz w:val="18"/>
                <w:lang w:val="en-CA"/>
              </w:rPr>
              <w:t>63.0</w:t>
            </w:r>
          </w:p>
        </w:tc>
        <w:tc>
          <w:tcPr>
            <w:tcW w:w="404" w:type="pct"/>
            <w:shd w:val="clear" w:color="auto" w:fill="auto"/>
          </w:tcPr>
          <w:p w14:paraId="5DFC7C59" w14:textId="77777777" w:rsidR="0001415F" w:rsidRPr="00B75955" w:rsidRDefault="0001415F" w:rsidP="00B75955">
            <w:pPr>
              <w:spacing w:after="60"/>
              <w:jc w:val="right"/>
              <w:rPr>
                <w:sz w:val="18"/>
                <w:lang w:val="en-CA"/>
              </w:rPr>
            </w:pPr>
            <w:r w:rsidRPr="00B75955">
              <w:rPr>
                <w:sz w:val="18"/>
                <w:lang w:val="en-CA"/>
              </w:rPr>
              <w:t>3,830.3</w:t>
            </w:r>
          </w:p>
        </w:tc>
        <w:tc>
          <w:tcPr>
            <w:tcW w:w="457" w:type="pct"/>
            <w:shd w:val="clear" w:color="auto" w:fill="auto"/>
          </w:tcPr>
          <w:p w14:paraId="3A3B52A6" w14:textId="77777777" w:rsidR="0001415F" w:rsidRPr="00B75955" w:rsidRDefault="0001415F" w:rsidP="00B75955">
            <w:pPr>
              <w:spacing w:after="60"/>
              <w:jc w:val="right"/>
              <w:rPr>
                <w:sz w:val="18"/>
                <w:lang w:val="en-CA"/>
              </w:rPr>
            </w:pPr>
          </w:p>
        </w:tc>
        <w:tc>
          <w:tcPr>
            <w:tcW w:w="688" w:type="pct"/>
            <w:shd w:val="clear" w:color="auto" w:fill="auto"/>
          </w:tcPr>
          <w:p w14:paraId="10DE8EDD" w14:textId="77777777" w:rsidR="0001415F" w:rsidRPr="00B75955" w:rsidRDefault="0001415F" w:rsidP="00B75955">
            <w:pPr>
              <w:spacing w:after="60"/>
              <w:jc w:val="right"/>
              <w:rPr>
                <w:sz w:val="18"/>
                <w:lang w:val="en-CA"/>
              </w:rPr>
            </w:pPr>
          </w:p>
        </w:tc>
        <w:tc>
          <w:tcPr>
            <w:tcW w:w="484" w:type="pct"/>
            <w:shd w:val="clear" w:color="auto" w:fill="auto"/>
          </w:tcPr>
          <w:p w14:paraId="451B5E9F" w14:textId="77777777" w:rsidR="0001415F" w:rsidRPr="00B75955" w:rsidRDefault="0001415F" w:rsidP="00B75955">
            <w:pPr>
              <w:spacing w:after="60"/>
              <w:jc w:val="right"/>
              <w:rPr>
                <w:sz w:val="18"/>
                <w:lang w:val="en-CA"/>
              </w:rPr>
            </w:pPr>
          </w:p>
        </w:tc>
        <w:tc>
          <w:tcPr>
            <w:tcW w:w="410" w:type="pct"/>
            <w:shd w:val="clear" w:color="auto" w:fill="auto"/>
          </w:tcPr>
          <w:p w14:paraId="4609C54A" w14:textId="77777777" w:rsidR="0001415F" w:rsidRPr="00B75955" w:rsidRDefault="0001415F" w:rsidP="00B75955">
            <w:pPr>
              <w:spacing w:after="60"/>
              <w:jc w:val="right"/>
              <w:rPr>
                <w:sz w:val="18"/>
                <w:lang w:val="en-CA"/>
              </w:rPr>
            </w:pPr>
            <w:r w:rsidRPr="00B75955">
              <w:rPr>
                <w:sz w:val="18"/>
                <w:lang w:val="en-CA"/>
              </w:rPr>
              <w:t>412.5</w:t>
            </w:r>
          </w:p>
        </w:tc>
        <w:tc>
          <w:tcPr>
            <w:tcW w:w="475" w:type="pct"/>
            <w:shd w:val="clear" w:color="auto" w:fill="auto"/>
          </w:tcPr>
          <w:p w14:paraId="7FE28551" w14:textId="77777777" w:rsidR="0001415F" w:rsidRPr="00B75955" w:rsidRDefault="0001415F" w:rsidP="00B75955">
            <w:pPr>
              <w:spacing w:after="60"/>
              <w:jc w:val="right"/>
              <w:rPr>
                <w:sz w:val="18"/>
                <w:lang w:val="en-CA"/>
              </w:rPr>
            </w:pPr>
          </w:p>
        </w:tc>
        <w:tc>
          <w:tcPr>
            <w:tcW w:w="298" w:type="pct"/>
            <w:shd w:val="clear" w:color="auto" w:fill="auto"/>
          </w:tcPr>
          <w:p w14:paraId="302161AC" w14:textId="77777777" w:rsidR="0001415F" w:rsidRPr="00B75955" w:rsidRDefault="0001415F" w:rsidP="00B75955">
            <w:pPr>
              <w:spacing w:after="60"/>
              <w:jc w:val="right"/>
              <w:rPr>
                <w:sz w:val="18"/>
                <w:lang w:val="en-CA"/>
              </w:rPr>
            </w:pPr>
          </w:p>
        </w:tc>
        <w:tc>
          <w:tcPr>
            <w:tcW w:w="795" w:type="pct"/>
            <w:shd w:val="clear" w:color="auto" w:fill="auto"/>
          </w:tcPr>
          <w:p w14:paraId="0BACD708" w14:textId="77777777" w:rsidR="0001415F" w:rsidRPr="00B75955" w:rsidRDefault="0001415F" w:rsidP="00B75955">
            <w:pPr>
              <w:spacing w:after="60"/>
              <w:jc w:val="right"/>
              <w:rPr>
                <w:sz w:val="18"/>
                <w:lang w:val="en-CA"/>
              </w:rPr>
            </w:pPr>
            <w:r w:rsidRPr="00B75955">
              <w:rPr>
                <w:sz w:val="18"/>
                <w:lang w:val="en-CA"/>
              </w:rPr>
              <w:t>4,305.9</w:t>
            </w:r>
          </w:p>
        </w:tc>
      </w:tr>
      <w:tr w:rsidR="0001415F" w:rsidRPr="00B75955" w14:paraId="36C1F220" w14:textId="77777777" w:rsidTr="00B75955">
        <w:trPr>
          <w:trHeight w:val="240"/>
        </w:trPr>
        <w:tc>
          <w:tcPr>
            <w:tcW w:w="680" w:type="pct"/>
            <w:shd w:val="clear" w:color="auto" w:fill="auto"/>
          </w:tcPr>
          <w:p w14:paraId="30C6DB3A" w14:textId="77777777" w:rsidR="0001415F" w:rsidRPr="00B75955" w:rsidRDefault="0001415F" w:rsidP="00B75955">
            <w:pPr>
              <w:spacing w:after="60"/>
              <w:rPr>
                <w:sz w:val="18"/>
                <w:lang w:val="en-CA"/>
              </w:rPr>
            </w:pPr>
            <w:r w:rsidRPr="00B75955">
              <w:rPr>
                <w:sz w:val="18"/>
                <w:lang w:val="en-CA"/>
              </w:rPr>
              <w:t>HCFC-142b</w:t>
            </w:r>
          </w:p>
        </w:tc>
        <w:tc>
          <w:tcPr>
            <w:tcW w:w="309" w:type="pct"/>
            <w:shd w:val="clear" w:color="auto" w:fill="auto"/>
          </w:tcPr>
          <w:p w14:paraId="57D51530" w14:textId="77777777" w:rsidR="0001415F" w:rsidRPr="00B75955" w:rsidRDefault="0001415F" w:rsidP="00B75955">
            <w:pPr>
              <w:spacing w:after="60"/>
              <w:jc w:val="right"/>
              <w:rPr>
                <w:sz w:val="18"/>
                <w:lang w:val="en-CA"/>
              </w:rPr>
            </w:pPr>
          </w:p>
        </w:tc>
        <w:tc>
          <w:tcPr>
            <w:tcW w:w="404" w:type="pct"/>
            <w:shd w:val="clear" w:color="auto" w:fill="auto"/>
          </w:tcPr>
          <w:p w14:paraId="249AC4F8" w14:textId="77777777" w:rsidR="0001415F" w:rsidRPr="00B75955" w:rsidRDefault="0001415F" w:rsidP="00B75955">
            <w:pPr>
              <w:spacing w:after="60"/>
              <w:jc w:val="right"/>
              <w:rPr>
                <w:sz w:val="18"/>
                <w:lang w:val="en-CA"/>
              </w:rPr>
            </w:pPr>
            <w:r w:rsidRPr="00B75955">
              <w:rPr>
                <w:sz w:val="18"/>
                <w:lang w:val="en-CA"/>
              </w:rPr>
              <w:t>585.0</w:t>
            </w:r>
          </w:p>
        </w:tc>
        <w:tc>
          <w:tcPr>
            <w:tcW w:w="457" w:type="pct"/>
            <w:shd w:val="clear" w:color="auto" w:fill="auto"/>
          </w:tcPr>
          <w:p w14:paraId="608316E3" w14:textId="77777777" w:rsidR="0001415F" w:rsidRPr="00B75955" w:rsidRDefault="0001415F" w:rsidP="00B75955">
            <w:pPr>
              <w:spacing w:after="60"/>
              <w:jc w:val="right"/>
              <w:rPr>
                <w:sz w:val="18"/>
                <w:lang w:val="en-CA"/>
              </w:rPr>
            </w:pPr>
          </w:p>
        </w:tc>
        <w:tc>
          <w:tcPr>
            <w:tcW w:w="688" w:type="pct"/>
            <w:shd w:val="clear" w:color="auto" w:fill="auto"/>
          </w:tcPr>
          <w:p w14:paraId="2011F688" w14:textId="77777777" w:rsidR="0001415F" w:rsidRPr="00B75955" w:rsidRDefault="0001415F" w:rsidP="00B75955">
            <w:pPr>
              <w:spacing w:after="60"/>
              <w:jc w:val="right"/>
              <w:rPr>
                <w:sz w:val="18"/>
                <w:lang w:val="en-CA"/>
              </w:rPr>
            </w:pPr>
            <w:r w:rsidRPr="00B75955">
              <w:rPr>
                <w:sz w:val="18"/>
                <w:lang w:val="en-CA"/>
              </w:rPr>
              <w:t>6.5</w:t>
            </w:r>
          </w:p>
        </w:tc>
        <w:tc>
          <w:tcPr>
            <w:tcW w:w="484" w:type="pct"/>
            <w:shd w:val="clear" w:color="auto" w:fill="auto"/>
          </w:tcPr>
          <w:p w14:paraId="6C2B80BE" w14:textId="77777777" w:rsidR="0001415F" w:rsidRPr="00B75955" w:rsidRDefault="0001415F" w:rsidP="00B75955">
            <w:pPr>
              <w:spacing w:after="60"/>
              <w:jc w:val="right"/>
              <w:rPr>
                <w:sz w:val="18"/>
                <w:lang w:val="en-CA"/>
              </w:rPr>
            </w:pPr>
            <w:r w:rsidRPr="00B75955">
              <w:rPr>
                <w:sz w:val="18"/>
                <w:lang w:val="en-CA"/>
              </w:rPr>
              <w:t>24.1</w:t>
            </w:r>
          </w:p>
        </w:tc>
        <w:tc>
          <w:tcPr>
            <w:tcW w:w="410" w:type="pct"/>
            <w:shd w:val="clear" w:color="auto" w:fill="auto"/>
          </w:tcPr>
          <w:p w14:paraId="5BF6E1D9" w14:textId="77777777" w:rsidR="0001415F" w:rsidRPr="00B75955" w:rsidRDefault="0001415F" w:rsidP="00B75955">
            <w:pPr>
              <w:spacing w:after="60"/>
              <w:jc w:val="right"/>
              <w:rPr>
                <w:sz w:val="18"/>
                <w:lang w:val="en-CA"/>
              </w:rPr>
            </w:pPr>
          </w:p>
        </w:tc>
        <w:tc>
          <w:tcPr>
            <w:tcW w:w="475" w:type="pct"/>
            <w:shd w:val="clear" w:color="auto" w:fill="auto"/>
          </w:tcPr>
          <w:p w14:paraId="2943202B" w14:textId="77777777" w:rsidR="0001415F" w:rsidRPr="00B75955" w:rsidRDefault="0001415F" w:rsidP="00B75955">
            <w:pPr>
              <w:spacing w:after="60"/>
              <w:jc w:val="right"/>
              <w:rPr>
                <w:sz w:val="18"/>
                <w:lang w:val="en-CA"/>
              </w:rPr>
            </w:pPr>
          </w:p>
        </w:tc>
        <w:tc>
          <w:tcPr>
            <w:tcW w:w="298" w:type="pct"/>
            <w:shd w:val="clear" w:color="auto" w:fill="auto"/>
          </w:tcPr>
          <w:p w14:paraId="0F35DF66" w14:textId="77777777" w:rsidR="0001415F" w:rsidRPr="00B75955" w:rsidRDefault="0001415F" w:rsidP="00B75955">
            <w:pPr>
              <w:spacing w:after="60"/>
              <w:jc w:val="right"/>
              <w:rPr>
                <w:sz w:val="18"/>
                <w:lang w:val="en-CA"/>
              </w:rPr>
            </w:pPr>
          </w:p>
        </w:tc>
        <w:tc>
          <w:tcPr>
            <w:tcW w:w="795" w:type="pct"/>
            <w:shd w:val="clear" w:color="auto" w:fill="auto"/>
          </w:tcPr>
          <w:p w14:paraId="20C8145D" w14:textId="77777777" w:rsidR="0001415F" w:rsidRPr="00B75955" w:rsidRDefault="0001415F" w:rsidP="00B75955">
            <w:pPr>
              <w:spacing w:after="60"/>
              <w:jc w:val="right"/>
              <w:rPr>
                <w:sz w:val="18"/>
                <w:lang w:val="en-CA"/>
              </w:rPr>
            </w:pPr>
            <w:r w:rsidRPr="00B75955">
              <w:rPr>
                <w:sz w:val="18"/>
                <w:lang w:val="en-CA"/>
              </w:rPr>
              <w:t>615.6</w:t>
            </w:r>
          </w:p>
        </w:tc>
      </w:tr>
      <w:tr w:rsidR="0001415F" w:rsidRPr="00B75955" w14:paraId="19EE9451" w14:textId="77777777" w:rsidTr="00B75955">
        <w:trPr>
          <w:trHeight w:val="240"/>
        </w:trPr>
        <w:tc>
          <w:tcPr>
            <w:tcW w:w="680" w:type="pct"/>
            <w:shd w:val="clear" w:color="auto" w:fill="auto"/>
          </w:tcPr>
          <w:p w14:paraId="49729442" w14:textId="77777777" w:rsidR="0001415F" w:rsidRPr="00B75955" w:rsidRDefault="0001415F" w:rsidP="00B75955">
            <w:pPr>
              <w:spacing w:after="60"/>
              <w:rPr>
                <w:sz w:val="18"/>
                <w:lang w:val="en-CA"/>
              </w:rPr>
            </w:pPr>
            <w:r w:rsidRPr="00B75955">
              <w:rPr>
                <w:sz w:val="18"/>
                <w:lang w:val="en-CA"/>
              </w:rPr>
              <w:t>HCFC-225ca</w:t>
            </w:r>
          </w:p>
        </w:tc>
        <w:tc>
          <w:tcPr>
            <w:tcW w:w="309" w:type="pct"/>
            <w:shd w:val="clear" w:color="auto" w:fill="auto"/>
          </w:tcPr>
          <w:p w14:paraId="4BAE91A0" w14:textId="77777777" w:rsidR="0001415F" w:rsidRPr="00B75955" w:rsidRDefault="0001415F" w:rsidP="00B75955">
            <w:pPr>
              <w:spacing w:after="60"/>
              <w:jc w:val="right"/>
              <w:rPr>
                <w:sz w:val="18"/>
                <w:lang w:val="en-CA"/>
              </w:rPr>
            </w:pPr>
          </w:p>
        </w:tc>
        <w:tc>
          <w:tcPr>
            <w:tcW w:w="404" w:type="pct"/>
            <w:shd w:val="clear" w:color="auto" w:fill="auto"/>
          </w:tcPr>
          <w:p w14:paraId="03158550" w14:textId="77777777" w:rsidR="0001415F" w:rsidRPr="00B75955" w:rsidRDefault="0001415F" w:rsidP="00B75955">
            <w:pPr>
              <w:spacing w:after="60"/>
              <w:jc w:val="right"/>
              <w:rPr>
                <w:sz w:val="18"/>
                <w:lang w:val="en-CA"/>
              </w:rPr>
            </w:pPr>
          </w:p>
        </w:tc>
        <w:tc>
          <w:tcPr>
            <w:tcW w:w="457" w:type="pct"/>
            <w:shd w:val="clear" w:color="auto" w:fill="auto"/>
          </w:tcPr>
          <w:p w14:paraId="6BA80DE6" w14:textId="77777777" w:rsidR="0001415F" w:rsidRPr="00B75955" w:rsidRDefault="0001415F" w:rsidP="00B75955">
            <w:pPr>
              <w:spacing w:after="60"/>
              <w:jc w:val="right"/>
              <w:rPr>
                <w:sz w:val="18"/>
                <w:lang w:val="en-CA"/>
              </w:rPr>
            </w:pPr>
          </w:p>
        </w:tc>
        <w:tc>
          <w:tcPr>
            <w:tcW w:w="688" w:type="pct"/>
            <w:shd w:val="clear" w:color="auto" w:fill="auto"/>
          </w:tcPr>
          <w:p w14:paraId="292A2778" w14:textId="77777777" w:rsidR="0001415F" w:rsidRPr="00B75955" w:rsidRDefault="0001415F" w:rsidP="00B75955">
            <w:pPr>
              <w:spacing w:after="60"/>
              <w:jc w:val="right"/>
              <w:rPr>
                <w:sz w:val="18"/>
                <w:lang w:val="en-CA"/>
              </w:rPr>
            </w:pPr>
          </w:p>
        </w:tc>
        <w:tc>
          <w:tcPr>
            <w:tcW w:w="484" w:type="pct"/>
            <w:shd w:val="clear" w:color="auto" w:fill="auto"/>
          </w:tcPr>
          <w:p w14:paraId="5138FB30" w14:textId="77777777" w:rsidR="0001415F" w:rsidRPr="00B75955" w:rsidRDefault="0001415F" w:rsidP="00B75955">
            <w:pPr>
              <w:spacing w:after="60"/>
              <w:jc w:val="right"/>
              <w:rPr>
                <w:sz w:val="18"/>
                <w:lang w:val="en-CA"/>
              </w:rPr>
            </w:pPr>
          </w:p>
        </w:tc>
        <w:tc>
          <w:tcPr>
            <w:tcW w:w="410" w:type="pct"/>
            <w:shd w:val="clear" w:color="auto" w:fill="auto"/>
          </w:tcPr>
          <w:p w14:paraId="12093D0D" w14:textId="77777777" w:rsidR="0001415F" w:rsidRPr="00B75955" w:rsidRDefault="0001415F" w:rsidP="00B75955">
            <w:pPr>
              <w:spacing w:after="60"/>
              <w:jc w:val="right"/>
              <w:rPr>
                <w:sz w:val="18"/>
                <w:lang w:val="en-CA"/>
              </w:rPr>
            </w:pPr>
            <w:r w:rsidRPr="00B75955">
              <w:rPr>
                <w:sz w:val="18"/>
                <w:lang w:val="en-CA"/>
              </w:rPr>
              <w:t>0.9</w:t>
            </w:r>
          </w:p>
        </w:tc>
        <w:tc>
          <w:tcPr>
            <w:tcW w:w="475" w:type="pct"/>
            <w:shd w:val="clear" w:color="auto" w:fill="auto"/>
          </w:tcPr>
          <w:p w14:paraId="0777E2AF" w14:textId="77777777" w:rsidR="0001415F" w:rsidRPr="00B75955" w:rsidRDefault="0001415F" w:rsidP="00B75955">
            <w:pPr>
              <w:spacing w:after="60"/>
              <w:jc w:val="right"/>
              <w:rPr>
                <w:sz w:val="18"/>
                <w:lang w:val="en-CA"/>
              </w:rPr>
            </w:pPr>
          </w:p>
        </w:tc>
        <w:tc>
          <w:tcPr>
            <w:tcW w:w="298" w:type="pct"/>
            <w:shd w:val="clear" w:color="auto" w:fill="auto"/>
          </w:tcPr>
          <w:p w14:paraId="1D400794" w14:textId="77777777" w:rsidR="0001415F" w:rsidRPr="00B75955" w:rsidRDefault="0001415F" w:rsidP="00B75955">
            <w:pPr>
              <w:spacing w:after="60"/>
              <w:jc w:val="right"/>
              <w:rPr>
                <w:sz w:val="18"/>
                <w:lang w:val="en-CA"/>
              </w:rPr>
            </w:pPr>
          </w:p>
        </w:tc>
        <w:tc>
          <w:tcPr>
            <w:tcW w:w="795" w:type="pct"/>
            <w:shd w:val="clear" w:color="auto" w:fill="auto"/>
          </w:tcPr>
          <w:p w14:paraId="3C6F6E7D" w14:textId="77777777" w:rsidR="0001415F" w:rsidRPr="00B75955" w:rsidRDefault="0001415F" w:rsidP="00B75955">
            <w:pPr>
              <w:spacing w:after="60"/>
              <w:jc w:val="right"/>
              <w:rPr>
                <w:sz w:val="18"/>
                <w:lang w:val="en-CA"/>
              </w:rPr>
            </w:pPr>
            <w:r w:rsidRPr="00B75955">
              <w:rPr>
                <w:sz w:val="18"/>
                <w:lang w:val="en-CA"/>
              </w:rPr>
              <w:t>0.9</w:t>
            </w:r>
          </w:p>
        </w:tc>
      </w:tr>
    </w:tbl>
    <w:p w14:paraId="70BCB845" w14:textId="77777777" w:rsidR="0001415F" w:rsidRPr="00B75955" w:rsidRDefault="0001415F" w:rsidP="0001415F">
      <w:pPr>
        <w:widowControl w:val="0"/>
        <w:tabs>
          <w:tab w:val="left" w:pos="2880"/>
          <w:tab w:val="left" w:pos="5760"/>
        </w:tabs>
        <w:rPr>
          <w:sz w:val="20"/>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36"/>
        <w:gridCol w:w="1182"/>
        <w:gridCol w:w="4750"/>
        <w:gridCol w:w="1182"/>
      </w:tblGrid>
      <w:tr w:rsidR="0001415F" w:rsidRPr="00B75955" w14:paraId="0971DC8A" w14:textId="77777777" w:rsidTr="00B75955">
        <w:trPr>
          <w:trHeight w:val="240"/>
        </w:trPr>
        <w:tc>
          <w:tcPr>
            <w:tcW w:w="5000" w:type="pct"/>
            <w:gridSpan w:val="4"/>
            <w:shd w:val="clear" w:color="auto" w:fill="auto"/>
          </w:tcPr>
          <w:p w14:paraId="12F62EE6" w14:textId="77777777" w:rsidR="0001415F" w:rsidRPr="00B75955" w:rsidRDefault="0001415F" w:rsidP="00B75955">
            <w:pPr>
              <w:spacing w:after="60"/>
              <w:rPr>
                <w:b/>
                <w:sz w:val="18"/>
                <w:lang w:val="en-CA"/>
              </w:rPr>
            </w:pPr>
            <w:r w:rsidRPr="00B75955">
              <w:rPr>
                <w:b/>
                <w:sz w:val="18"/>
                <w:lang w:val="en-CA"/>
              </w:rPr>
              <w:t>(IV) CONSUMPTION DATA (ODP tonnes)</w:t>
            </w:r>
          </w:p>
        </w:tc>
      </w:tr>
      <w:tr w:rsidR="0001415F" w:rsidRPr="00B75955" w14:paraId="2EC9E4EB" w14:textId="77777777" w:rsidTr="00B75955">
        <w:trPr>
          <w:trHeight w:val="240"/>
        </w:trPr>
        <w:tc>
          <w:tcPr>
            <w:tcW w:w="1196" w:type="pct"/>
            <w:shd w:val="clear" w:color="auto" w:fill="auto"/>
          </w:tcPr>
          <w:p w14:paraId="70264956" w14:textId="77777777" w:rsidR="0001415F" w:rsidRPr="00B75955" w:rsidRDefault="0001415F" w:rsidP="00B75955">
            <w:pPr>
              <w:spacing w:after="60"/>
              <w:jc w:val="center"/>
              <w:rPr>
                <w:sz w:val="18"/>
                <w:lang w:val="en-CA"/>
              </w:rPr>
            </w:pPr>
            <w:r w:rsidRPr="00B75955">
              <w:rPr>
                <w:sz w:val="18"/>
                <w:lang w:val="en-CA"/>
              </w:rPr>
              <w:t>2009 - 2010 baseline:</w:t>
            </w:r>
          </w:p>
        </w:tc>
        <w:tc>
          <w:tcPr>
            <w:tcW w:w="632" w:type="pct"/>
            <w:shd w:val="clear" w:color="auto" w:fill="auto"/>
          </w:tcPr>
          <w:p w14:paraId="07D852B8" w14:textId="77777777" w:rsidR="0001415F" w:rsidRPr="00B75955" w:rsidRDefault="0001415F" w:rsidP="00B75955">
            <w:pPr>
              <w:spacing w:after="60"/>
              <w:jc w:val="right"/>
              <w:rPr>
                <w:sz w:val="18"/>
                <w:lang w:val="en-CA"/>
              </w:rPr>
            </w:pPr>
            <w:r w:rsidRPr="00B75955">
              <w:rPr>
                <w:sz w:val="18"/>
                <w:lang w:val="en-CA"/>
              </w:rPr>
              <w:t>19,269.0</w:t>
            </w:r>
          </w:p>
        </w:tc>
        <w:tc>
          <w:tcPr>
            <w:tcW w:w="2540" w:type="pct"/>
            <w:shd w:val="clear" w:color="auto" w:fill="auto"/>
          </w:tcPr>
          <w:p w14:paraId="10EA14AB" w14:textId="77777777" w:rsidR="0001415F" w:rsidRPr="00B75955" w:rsidRDefault="0001415F" w:rsidP="00B75955">
            <w:pPr>
              <w:spacing w:after="60"/>
              <w:jc w:val="center"/>
              <w:rPr>
                <w:sz w:val="18"/>
                <w:lang w:val="en-CA"/>
              </w:rPr>
            </w:pPr>
            <w:r w:rsidRPr="00B75955">
              <w:rPr>
                <w:sz w:val="18"/>
                <w:lang w:val="en-CA"/>
              </w:rPr>
              <w:t>Starting point for sustained aggregate reductions:</w:t>
            </w:r>
          </w:p>
        </w:tc>
        <w:tc>
          <w:tcPr>
            <w:tcW w:w="632" w:type="pct"/>
            <w:shd w:val="clear" w:color="auto" w:fill="auto"/>
          </w:tcPr>
          <w:p w14:paraId="7F27A3F5" w14:textId="77777777" w:rsidR="0001415F" w:rsidRPr="00B75955" w:rsidRDefault="0001415F" w:rsidP="00B75955">
            <w:pPr>
              <w:spacing w:after="60"/>
              <w:jc w:val="right"/>
              <w:rPr>
                <w:sz w:val="18"/>
                <w:lang w:val="en-CA"/>
              </w:rPr>
            </w:pPr>
            <w:r w:rsidRPr="00B75955">
              <w:rPr>
                <w:sz w:val="18"/>
                <w:lang w:val="en-CA"/>
              </w:rPr>
              <w:t>18,865.44</w:t>
            </w:r>
          </w:p>
        </w:tc>
      </w:tr>
      <w:tr w:rsidR="0001415F" w:rsidRPr="00B75955" w14:paraId="7FB04AE9" w14:textId="77777777" w:rsidTr="00B75955">
        <w:trPr>
          <w:trHeight w:val="240"/>
        </w:trPr>
        <w:tc>
          <w:tcPr>
            <w:tcW w:w="5000" w:type="pct"/>
            <w:gridSpan w:val="4"/>
            <w:shd w:val="clear" w:color="auto" w:fill="auto"/>
          </w:tcPr>
          <w:p w14:paraId="125FC90A" w14:textId="77777777" w:rsidR="0001415F" w:rsidRPr="00B75955" w:rsidRDefault="0001415F" w:rsidP="00B75955">
            <w:pPr>
              <w:spacing w:after="60"/>
              <w:jc w:val="center"/>
              <w:rPr>
                <w:b/>
                <w:sz w:val="18"/>
                <w:lang w:val="en-CA"/>
              </w:rPr>
            </w:pPr>
            <w:r w:rsidRPr="00B75955">
              <w:rPr>
                <w:b/>
                <w:sz w:val="18"/>
                <w:lang w:val="en-CA"/>
              </w:rPr>
              <w:t>CONSUMPTION ELIGIBLE FOR FUNDING (ODP tonnes)</w:t>
            </w:r>
          </w:p>
        </w:tc>
      </w:tr>
      <w:tr w:rsidR="0001415F" w:rsidRPr="00B75955" w14:paraId="3B4C60A6" w14:textId="77777777" w:rsidTr="00B75955">
        <w:trPr>
          <w:trHeight w:val="240"/>
        </w:trPr>
        <w:tc>
          <w:tcPr>
            <w:tcW w:w="1196" w:type="pct"/>
            <w:shd w:val="clear" w:color="auto" w:fill="auto"/>
          </w:tcPr>
          <w:p w14:paraId="2936DB62" w14:textId="77777777" w:rsidR="0001415F" w:rsidRPr="00B75955" w:rsidRDefault="0001415F" w:rsidP="00B75955">
            <w:pPr>
              <w:spacing w:after="60"/>
              <w:jc w:val="center"/>
              <w:rPr>
                <w:sz w:val="18"/>
                <w:lang w:val="en-CA"/>
              </w:rPr>
            </w:pPr>
            <w:r w:rsidRPr="00B75955">
              <w:rPr>
                <w:sz w:val="18"/>
                <w:lang w:val="en-CA"/>
              </w:rPr>
              <w:t>Already approved:</w:t>
            </w:r>
          </w:p>
        </w:tc>
        <w:tc>
          <w:tcPr>
            <w:tcW w:w="632" w:type="pct"/>
            <w:shd w:val="clear" w:color="auto" w:fill="auto"/>
          </w:tcPr>
          <w:p w14:paraId="388B197E" w14:textId="77777777" w:rsidR="0001415F" w:rsidRPr="00B75955" w:rsidRDefault="0001415F" w:rsidP="00B75955">
            <w:pPr>
              <w:spacing w:after="60"/>
              <w:jc w:val="right"/>
              <w:rPr>
                <w:sz w:val="18"/>
                <w:lang w:val="en-CA"/>
              </w:rPr>
            </w:pPr>
            <w:r w:rsidRPr="00B75955">
              <w:rPr>
                <w:sz w:val="18"/>
                <w:lang w:val="en-CA"/>
              </w:rPr>
              <w:t>12,161.02</w:t>
            </w:r>
          </w:p>
        </w:tc>
        <w:tc>
          <w:tcPr>
            <w:tcW w:w="2540" w:type="pct"/>
            <w:shd w:val="clear" w:color="auto" w:fill="auto"/>
          </w:tcPr>
          <w:p w14:paraId="4B5DB6E9" w14:textId="77777777" w:rsidR="0001415F" w:rsidRPr="00B75955" w:rsidRDefault="0001415F" w:rsidP="00B75955">
            <w:pPr>
              <w:spacing w:after="60"/>
              <w:jc w:val="center"/>
              <w:rPr>
                <w:sz w:val="18"/>
                <w:lang w:val="en-CA"/>
              </w:rPr>
            </w:pPr>
            <w:r w:rsidRPr="00B75955">
              <w:rPr>
                <w:sz w:val="18"/>
                <w:lang w:val="en-CA"/>
              </w:rPr>
              <w:t>Remaining:</w:t>
            </w:r>
          </w:p>
        </w:tc>
        <w:tc>
          <w:tcPr>
            <w:tcW w:w="632" w:type="pct"/>
            <w:shd w:val="clear" w:color="auto" w:fill="auto"/>
          </w:tcPr>
          <w:p w14:paraId="653EF510" w14:textId="77777777" w:rsidR="0001415F" w:rsidRPr="00B75955" w:rsidRDefault="0001415F" w:rsidP="00B75955">
            <w:pPr>
              <w:spacing w:after="60"/>
              <w:jc w:val="right"/>
              <w:rPr>
                <w:sz w:val="18"/>
                <w:lang w:val="en-CA"/>
              </w:rPr>
            </w:pPr>
            <w:r w:rsidRPr="00B75955">
              <w:rPr>
                <w:sz w:val="18"/>
                <w:lang w:val="en-CA"/>
              </w:rPr>
              <w:t>6,704.42</w:t>
            </w:r>
          </w:p>
        </w:tc>
      </w:tr>
    </w:tbl>
    <w:p w14:paraId="7C24811D" w14:textId="77777777" w:rsidR="0001415F" w:rsidRPr="00B75955" w:rsidRDefault="0001415F" w:rsidP="0001415F">
      <w:pPr>
        <w:widowControl w:val="0"/>
        <w:tabs>
          <w:tab w:val="left" w:pos="2880"/>
          <w:tab w:val="left" w:pos="5760"/>
        </w:tabs>
        <w:rPr>
          <w:sz w:val="20"/>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87"/>
        <w:gridCol w:w="3013"/>
        <w:gridCol w:w="1070"/>
        <w:gridCol w:w="1070"/>
        <w:gridCol w:w="1070"/>
        <w:gridCol w:w="1070"/>
        <w:gridCol w:w="1070"/>
      </w:tblGrid>
      <w:tr w:rsidR="0001415F" w:rsidRPr="00B75955" w14:paraId="658EA11F" w14:textId="77777777" w:rsidTr="00B75955">
        <w:trPr>
          <w:trHeight w:val="240"/>
        </w:trPr>
        <w:tc>
          <w:tcPr>
            <w:tcW w:w="2139" w:type="pct"/>
            <w:gridSpan w:val="2"/>
            <w:shd w:val="clear" w:color="auto" w:fill="auto"/>
          </w:tcPr>
          <w:p w14:paraId="1F7A3A4F" w14:textId="77777777" w:rsidR="0001415F" w:rsidRPr="00B75955" w:rsidRDefault="0001415F" w:rsidP="00B75955">
            <w:pPr>
              <w:spacing w:after="60"/>
              <w:rPr>
                <w:b/>
                <w:sz w:val="18"/>
                <w:lang w:val="en-CA"/>
              </w:rPr>
            </w:pPr>
            <w:r w:rsidRPr="00B75955">
              <w:rPr>
                <w:b/>
                <w:sz w:val="18"/>
                <w:lang w:val="en-CA"/>
              </w:rPr>
              <w:t>(V) BUSINESS PLAN</w:t>
            </w:r>
          </w:p>
        </w:tc>
        <w:tc>
          <w:tcPr>
            <w:tcW w:w="572" w:type="pct"/>
            <w:shd w:val="clear" w:color="auto" w:fill="auto"/>
          </w:tcPr>
          <w:p w14:paraId="2F1BBD72" w14:textId="77777777" w:rsidR="0001415F" w:rsidRPr="00B75955" w:rsidRDefault="0001415F" w:rsidP="00B75955">
            <w:pPr>
              <w:spacing w:after="60"/>
              <w:jc w:val="center"/>
              <w:rPr>
                <w:b/>
                <w:sz w:val="18"/>
                <w:lang w:val="en-CA"/>
              </w:rPr>
            </w:pPr>
            <w:r w:rsidRPr="00B75955">
              <w:rPr>
                <w:b/>
                <w:sz w:val="18"/>
                <w:lang w:val="en-CA"/>
              </w:rPr>
              <w:t>2018</w:t>
            </w:r>
          </w:p>
        </w:tc>
        <w:tc>
          <w:tcPr>
            <w:tcW w:w="572" w:type="pct"/>
            <w:shd w:val="clear" w:color="auto" w:fill="auto"/>
          </w:tcPr>
          <w:p w14:paraId="563F8299" w14:textId="77777777" w:rsidR="0001415F" w:rsidRPr="00B75955" w:rsidRDefault="0001415F" w:rsidP="00B75955">
            <w:pPr>
              <w:spacing w:after="60"/>
              <w:jc w:val="center"/>
              <w:rPr>
                <w:b/>
                <w:sz w:val="18"/>
                <w:lang w:val="en-CA"/>
              </w:rPr>
            </w:pPr>
            <w:r w:rsidRPr="00B75955">
              <w:rPr>
                <w:b/>
                <w:sz w:val="18"/>
                <w:lang w:val="en-CA"/>
              </w:rPr>
              <w:t>2019</w:t>
            </w:r>
          </w:p>
        </w:tc>
        <w:tc>
          <w:tcPr>
            <w:tcW w:w="572" w:type="pct"/>
            <w:shd w:val="clear" w:color="auto" w:fill="auto"/>
          </w:tcPr>
          <w:p w14:paraId="5D820CA9" w14:textId="77777777" w:rsidR="0001415F" w:rsidRPr="00B75955" w:rsidRDefault="0001415F" w:rsidP="00B75955">
            <w:pPr>
              <w:spacing w:after="60"/>
              <w:jc w:val="center"/>
              <w:rPr>
                <w:b/>
                <w:sz w:val="18"/>
                <w:lang w:val="en-CA"/>
              </w:rPr>
            </w:pPr>
            <w:r w:rsidRPr="00B75955">
              <w:rPr>
                <w:b/>
                <w:sz w:val="18"/>
                <w:lang w:val="en-CA"/>
              </w:rPr>
              <w:t>2020</w:t>
            </w:r>
          </w:p>
        </w:tc>
        <w:tc>
          <w:tcPr>
            <w:tcW w:w="572" w:type="pct"/>
          </w:tcPr>
          <w:p w14:paraId="612C8A81" w14:textId="77777777" w:rsidR="0001415F" w:rsidRPr="00B75955" w:rsidRDefault="0001415F" w:rsidP="00B75955">
            <w:pPr>
              <w:spacing w:after="60"/>
              <w:jc w:val="center"/>
              <w:rPr>
                <w:b/>
                <w:sz w:val="18"/>
                <w:lang w:val="en-CA"/>
              </w:rPr>
            </w:pPr>
            <w:r w:rsidRPr="00B75955">
              <w:rPr>
                <w:b/>
                <w:sz w:val="18"/>
                <w:lang w:val="en-CA"/>
              </w:rPr>
              <w:t>After 2020</w:t>
            </w:r>
          </w:p>
        </w:tc>
        <w:tc>
          <w:tcPr>
            <w:tcW w:w="572" w:type="pct"/>
            <w:shd w:val="clear" w:color="auto" w:fill="auto"/>
          </w:tcPr>
          <w:p w14:paraId="04CA7246" w14:textId="77777777" w:rsidR="0001415F" w:rsidRPr="00B75955" w:rsidRDefault="0001415F" w:rsidP="00B75955">
            <w:pPr>
              <w:spacing w:after="60"/>
              <w:jc w:val="center"/>
              <w:rPr>
                <w:b/>
                <w:sz w:val="18"/>
                <w:lang w:val="en-CA"/>
              </w:rPr>
            </w:pPr>
            <w:r w:rsidRPr="00B75955">
              <w:rPr>
                <w:b/>
                <w:sz w:val="18"/>
                <w:lang w:val="en-CA"/>
              </w:rPr>
              <w:t>Total</w:t>
            </w:r>
          </w:p>
        </w:tc>
      </w:tr>
      <w:tr w:rsidR="0001415F" w:rsidRPr="00B75955" w14:paraId="7834718C" w14:textId="77777777" w:rsidTr="00B75955">
        <w:trPr>
          <w:trHeight w:val="240"/>
        </w:trPr>
        <w:tc>
          <w:tcPr>
            <w:tcW w:w="528" w:type="pct"/>
            <w:vMerge w:val="restart"/>
            <w:shd w:val="clear" w:color="auto" w:fill="auto"/>
          </w:tcPr>
          <w:p w14:paraId="2BC81D38" w14:textId="77777777" w:rsidR="0001415F" w:rsidRPr="00B75955" w:rsidRDefault="0001415F" w:rsidP="00B75955">
            <w:pPr>
              <w:spacing w:after="60"/>
              <w:jc w:val="center"/>
              <w:rPr>
                <w:sz w:val="18"/>
                <w:lang w:val="en-CA"/>
              </w:rPr>
            </w:pPr>
            <w:r w:rsidRPr="00B75955">
              <w:rPr>
                <w:sz w:val="18"/>
                <w:lang w:val="en-CA"/>
              </w:rPr>
              <w:t>UNEP</w:t>
            </w:r>
          </w:p>
        </w:tc>
        <w:tc>
          <w:tcPr>
            <w:tcW w:w="1611" w:type="pct"/>
            <w:shd w:val="clear" w:color="auto" w:fill="auto"/>
          </w:tcPr>
          <w:p w14:paraId="3715C9F5" w14:textId="77777777" w:rsidR="0001415F" w:rsidRPr="00B75955" w:rsidRDefault="0001415F" w:rsidP="00B75955">
            <w:pPr>
              <w:spacing w:after="60"/>
              <w:rPr>
                <w:sz w:val="18"/>
                <w:lang w:val="en-CA"/>
              </w:rPr>
            </w:pPr>
            <w:r w:rsidRPr="00B75955">
              <w:rPr>
                <w:sz w:val="18"/>
                <w:lang w:val="en-CA"/>
              </w:rPr>
              <w:t>ODS phase-out (ODP tonnes)</w:t>
            </w:r>
          </w:p>
        </w:tc>
        <w:tc>
          <w:tcPr>
            <w:tcW w:w="572" w:type="pct"/>
            <w:shd w:val="clear" w:color="auto" w:fill="auto"/>
          </w:tcPr>
          <w:p w14:paraId="59F182F6" w14:textId="77777777" w:rsidR="0001415F" w:rsidRPr="00B75955" w:rsidRDefault="0001415F" w:rsidP="00B75955">
            <w:pPr>
              <w:spacing w:after="60"/>
              <w:jc w:val="right"/>
              <w:rPr>
                <w:sz w:val="18"/>
                <w:lang w:val="en-CA"/>
              </w:rPr>
            </w:pPr>
            <w:r w:rsidRPr="00B75955">
              <w:rPr>
                <w:sz w:val="18"/>
                <w:lang w:val="en-CA"/>
              </w:rPr>
              <w:t>101.8</w:t>
            </w:r>
          </w:p>
        </w:tc>
        <w:tc>
          <w:tcPr>
            <w:tcW w:w="572" w:type="pct"/>
            <w:shd w:val="clear" w:color="auto" w:fill="auto"/>
          </w:tcPr>
          <w:p w14:paraId="2139F1BC" w14:textId="77777777" w:rsidR="0001415F" w:rsidRPr="00B75955" w:rsidRDefault="0001415F" w:rsidP="00B75955">
            <w:pPr>
              <w:spacing w:after="60"/>
              <w:jc w:val="right"/>
              <w:rPr>
                <w:sz w:val="18"/>
                <w:lang w:val="en-CA"/>
              </w:rPr>
            </w:pPr>
            <w:r w:rsidRPr="00B75955">
              <w:rPr>
                <w:sz w:val="18"/>
                <w:lang w:val="en-CA"/>
              </w:rPr>
              <w:t>58.7</w:t>
            </w:r>
          </w:p>
        </w:tc>
        <w:tc>
          <w:tcPr>
            <w:tcW w:w="572" w:type="pct"/>
            <w:shd w:val="clear" w:color="auto" w:fill="auto"/>
          </w:tcPr>
          <w:p w14:paraId="46FB6F05" w14:textId="77777777" w:rsidR="0001415F" w:rsidRPr="00B75955" w:rsidRDefault="0001415F" w:rsidP="00B75955">
            <w:pPr>
              <w:spacing w:after="60"/>
              <w:jc w:val="right"/>
              <w:rPr>
                <w:sz w:val="18"/>
                <w:lang w:val="en-CA"/>
              </w:rPr>
            </w:pPr>
            <w:r w:rsidRPr="00B75955">
              <w:rPr>
                <w:sz w:val="18"/>
                <w:lang w:val="en-CA"/>
              </w:rPr>
              <w:t>62.2</w:t>
            </w:r>
          </w:p>
        </w:tc>
        <w:tc>
          <w:tcPr>
            <w:tcW w:w="572" w:type="pct"/>
          </w:tcPr>
          <w:p w14:paraId="36DEF5B9" w14:textId="77777777" w:rsidR="0001415F" w:rsidRPr="00B75955" w:rsidRDefault="0001415F" w:rsidP="00B75955">
            <w:pPr>
              <w:spacing w:after="60"/>
              <w:jc w:val="right"/>
              <w:rPr>
                <w:sz w:val="18"/>
                <w:lang w:val="en-CA"/>
              </w:rPr>
            </w:pPr>
            <w:r w:rsidRPr="00B75955">
              <w:rPr>
                <w:sz w:val="18"/>
                <w:lang w:val="en-CA"/>
              </w:rPr>
              <w:t>49.0</w:t>
            </w:r>
          </w:p>
        </w:tc>
        <w:tc>
          <w:tcPr>
            <w:tcW w:w="572" w:type="pct"/>
            <w:shd w:val="clear" w:color="auto" w:fill="auto"/>
          </w:tcPr>
          <w:p w14:paraId="22858B0F" w14:textId="77777777" w:rsidR="0001415F" w:rsidRPr="00B75955" w:rsidRDefault="0001415F" w:rsidP="00B75955">
            <w:pPr>
              <w:spacing w:after="60"/>
              <w:jc w:val="right"/>
              <w:rPr>
                <w:sz w:val="18"/>
                <w:lang w:val="en-CA"/>
              </w:rPr>
            </w:pPr>
            <w:r w:rsidRPr="00B75955">
              <w:rPr>
                <w:sz w:val="18"/>
                <w:lang w:val="en-CA"/>
              </w:rPr>
              <w:t>271.1</w:t>
            </w:r>
          </w:p>
        </w:tc>
      </w:tr>
      <w:tr w:rsidR="0001415F" w:rsidRPr="00B75955" w14:paraId="16CFA5A5" w14:textId="77777777" w:rsidTr="00B75955">
        <w:trPr>
          <w:trHeight w:val="240"/>
        </w:trPr>
        <w:tc>
          <w:tcPr>
            <w:tcW w:w="528" w:type="pct"/>
            <w:vMerge/>
            <w:shd w:val="clear" w:color="auto" w:fill="auto"/>
          </w:tcPr>
          <w:p w14:paraId="0EF5036B" w14:textId="77777777" w:rsidR="0001415F" w:rsidRPr="00B75955" w:rsidRDefault="0001415F" w:rsidP="00B75955">
            <w:pPr>
              <w:spacing w:after="60"/>
              <w:jc w:val="center"/>
              <w:rPr>
                <w:sz w:val="18"/>
                <w:lang w:val="en-CA"/>
              </w:rPr>
            </w:pPr>
          </w:p>
        </w:tc>
        <w:tc>
          <w:tcPr>
            <w:tcW w:w="1611" w:type="pct"/>
            <w:shd w:val="clear" w:color="auto" w:fill="auto"/>
          </w:tcPr>
          <w:p w14:paraId="6890E793" w14:textId="77777777" w:rsidR="0001415F" w:rsidRPr="00B75955" w:rsidRDefault="0001415F" w:rsidP="00B75955">
            <w:pPr>
              <w:spacing w:after="60"/>
              <w:rPr>
                <w:sz w:val="18"/>
                <w:lang w:val="en-CA"/>
              </w:rPr>
            </w:pPr>
            <w:r w:rsidRPr="00B75955">
              <w:rPr>
                <w:sz w:val="18"/>
                <w:lang w:val="en-CA"/>
              </w:rPr>
              <w:t>Funding (US $)</w:t>
            </w:r>
          </w:p>
        </w:tc>
        <w:tc>
          <w:tcPr>
            <w:tcW w:w="572" w:type="pct"/>
            <w:shd w:val="clear" w:color="auto" w:fill="auto"/>
          </w:tcPr>
          <w:p w14:paraId="1A10EC17" w14:textId="77777777" w:rsidR="0001415F" w:rsidRPr="00B75955" w:rsidRDefault="0001415F" w:rsidP="00B75955">
            <w:pPr>
              <w:spacing w:after="60"/>
              <w:jc w:val="right"/>
              <w:rPr>
                <w:sz w:val="18"/>
                <w:lang w:val="en-CA"/>
              </w:rPr>
            </w:pPr>
            <w:r w:rsidRPr="00B75955">
              <w:rPr>
                <w:sz w:val="18"/>
                <w:lang w:val="en-CA"/>
              </w:rPr>
              <w:t>6,485,492</w:t>
            </w:r>
          </w:p>
        </w:tc>
        <w:tc>
          <w:tcPr>
            <w:tcW w:w="572" w:type="pct"/>
            <w:shd w:val="clear" w:color="auto" w:fill="auto"/>
          </w:tcPr>
          <w:p w14:paraId="163DE13C" w14:textId="77777777" w:rsidR="0001415F" w:rsidRPr="00B75955" w:rsidRDefault="0001415F" w:rsidP="00B75955">
            <w:pPr>
              <w:spacing w:after="60"/>
              <w:jc w:val="right"/>
              <w:rPr>
                <w:sz w:val="18"/>
                <w:lang w:val="en-CA"/>
              </w:rPr>
            </w:pPr>
            <w:r w:rsidRPr="00B75955">
              <w:rPr>
                <w:sz w:val="18"/>
                <w:lang w:val="en-CA"/>
              </w:rPr>
              <w:t>3,742,484</w:t>
            </w:r>
          </w:p>
        </w:tc>
        <w:tc>
          <w:tcPr>
            <w:tcW w:w="572" w:type="pct"/>
            <w:shd w:val="clear" w:color="auto" w:fill="auto"/>
          </w:tcPr>
          <w:p w14:paraId="5EF67B15" w14:textId="77777777" w:rsidR="0001415F" w:rsidRPr="00B75955" w:rsidRDefault="0001415F" w:rsidP="00B75955">
            <w:pPr>
              <w:spacing w:after="60"/>
              <w:jc w:val="right"/>
              <w:rPr>
                <w:sz w:val="18"/>
                <w:lang w:val="en-CA"/>
              </w:rPr>
            </w:pPr>
            <w:r w:rsidRPr="00B75955">
              <w:rPr>
                <w:sz w:val="18"/>
                <w:lang w:val="en-CA"/>
              </w:rPr>
              <w:t>3,964,590</w:t>
            </w:r>
          </w:p>
        </w:tc>
        <w:tc>
          <w:tcPr>
            <w:tcW w:w="572" w:type="pct"/>
          </w:tcPr>
          <w:p w14:paraId="30DCCEFD" w14:textId="77777777" w:rsidR="0001415F" w:rsidRPr="00B75955" w:rsidRDefault="0001415F" w:rsidP="00B75955">
            <w:pPr>
              <w:spacing w:after="60"/>
              <w:jc w:val="right"/>
              <w:rPr>
                <w:sz w:val="18"/>
                <w:lang w:val="en-CA"/>
              </w:rPr>
            </w:pPr>
            <w:r w:rsidRPr="00B75955">
              <w:rPr>
                <w:sz w:val="18"/>
                <w:lang w:val="en-CA"/>
              </w:rPr>
              <w:t>3,121,552</w:t>
            </w:r>
          </w:p>
        </w:tc>
        <w:tc>
          <w:tcPr>
            <w:tcW w:w="572" w:type="pct"/>
            <w:shd w:val="clear" w:color="auto" w:fill="auto"/>
          </w:tcPr>
          <w:p w14:paraId="21FD8B24" w14:textId="77777777" w:rsidR="0001415F" w:rsidRPr="00B75955" w:rsidRDefault="0001415F" w:rsidP="00B75955">
            <w:pPr>
              <w:spacing w:after="60"/>
              <w:jc w:val="right"/>
              <w:rPr>
                <w:sz w:val="18"/>
                <w:lang w:val="en-CA"/>
              </w:rPr>
            </w:pPr>
            <w:r w:rsidRPr="00B75955">
              <w:rPr>
                <w:sz w:val="18"/>
                <w:lang w:val="en-CA"/>
              </w:rPr>
              <w:t>17,314,118</w:t>
            </w:r>
          </w:p>
        </w:tc>
      </w:tr>
      <w:tr w:rsidR="0001415F" w:rsidRPr="00B75955" w14:paraId="385BF6ED" w14:textId="77777777" w:rsidTr="00B75955">
        <w:trPr>
          <w:trHeight w:val="240"/>
        </w:trPr>
        <w:tc>
          <w:tcPr>
            <w:tcW w:w="528" w:type="pct"/>
            <w:vMerge w:val="restart"/>
            <w:shd w:val="clear" w:color="auto" w:fill="auto"/>
          </w:tcPr>
          <w:p w14:paraId="37125BF2" w14:textId="77777777" w:rsidR="0001415F" w:rsidRPr="00B75955" w:rsidRDefault="0001415F" w:rsidP="00B75955">
            <w:pPr>
              <w:spacing w:after="60"/>
              <w:jc w:val="center"/>
              <w:rPr>
                <w:sz w:val="18"/>
                <w:lang w:val="en-CA"/>
              </w:rPr>
            </w:pPr>
            <w:r w:rsidRPr="00B75955">
              <w:rPr>
                <w:sz w:val="18"/>
                <w:lang w:val="en-CA"/>
              </w:rPr>
              <w:t>Germany</w:t>
            </w:r>
          </w:p>
        </w:tc>
        <w:tc>
          <w:tcPr>
            <w:tcW w:w="1611" w:type="pct"/>
            <w:shd w:val="clear" w:color="auto" w:fill="auto"/>
          </w:tcPr>
          <w:p w14:paraId="565E24CF" w14:textId="77777777" w:rsidR="0001415F" w:rsidRPr="00B75955" w:rsidRDefault="0001415F" w:rsidP="00B75955">
            <w:pPr>
              <w:spacing w:after="60"/>
              <w:rPr>
                <w:sz w:val="18"/>
                <w:lang w:val="en-CA"/>
              </w:rPr>
            </w:pPr>
            <w:r w:rsidRPr="00B75955">
              <w:rPr>
                <w:sz w:val="18"/>
                <w:lang w:val="en-CA"/>
              </w:rPr>
              <w:t>ODS phase-out (ODP tonnes)</w:t>
            </w:r>
          </w:p>
        </w:tc>
        <w:tc>
          <w:tcPr>
            <w:tcW w:w="572" w:type="pct"/>
            <w:shd w:val="clear" w:color="auto" w:fill="auto"/>
          </w:tcPr>
          <w:p w14:paraId="74B7077E" w14:textId="77777777" w:rsidR="0001415F" w:rsidRPr="00B75955" w:rsidRDefault="0001415F" w:rsidP="00B75955">
            <w:pPr>
              <w:spacing w:after="60"/>
              <w:jc w:val="right"/>
              <w:rPr>
                <w:sz w:val="18"/>
                <w:lang w:val="en-CA"/>
              </w:rPr>
            </w:pPr>
            <w:r w:rsidRPr="00B75955">
              <w:rPr>
                <w:sz w:val="18"/>
                <w:lang w:val="en-CA"/>
              </w:rPr>
              <w:t>5.2</w:t>
            </w:r>
          </w:p>
        </w:tc>
        <w:tc>
          <w:tcPr>
            <w:tcW w:w="572" w:type="pct"/>
            <w:shd w:val="clear" w:color="auto" w:fill="auto"/>
          </w:tcPr>
          <w:p w14:paraId="2CA75500" w14:textId="77777777" w:rsidR="0001415F" w:rsidRPr="00B75955" w:rsidRDefault="0001415F" w:rsidP="00B75955">
            <w:pPr>
              <w:spacing w:after="60"/>
              <w:jc w:val="right"/>
              <w:rPr>
                <w:sz w:val="18"/>
                <w:lang w:val="en-CA"/>
              </w:rPr>
            </w:pPr>
            <w:r w:rsidRPr="00B75955">
              <w:rPr>
                <w:sz w:val="18"/>
                <w:lang w:val="en-CA"/>
              </w:rPr>
              <w:t>3.5</w:t>
            </w:r>
          </w:p>
        </w:tc>
        <w:tc>
          <w:tcPr>
            <w:tcW w:w="572" w:type="pct"/>
            <w:shd w:val="clear" w:color="auto" w:fill="auto"/>
          </w:tcPr>
          <w:p w14:paraId="2A74ADF4" w14:textId="77777777" w:rsidR="0001415F" w:rsidRPr="00B75955" w:rsidRDefault="0001415F" w:rsidP="00B75955">
            <w:pPr>
              <w:spacing w:after="60"/>
              <w:jc w:val="right"/>
              <w:rPr>
                <w:sz w:val="18"/>
                <w:lang w:val="en-CA"/>
              </w:rPr>
            </w:pPr>
            <w:r w:rsidRPr="00B75955">
              <w:rPr>
                <w:sz w:val="18"/>
                <w:lang w:val="en-CA"/>
              </w:rPr>
              <w:t>0</w:t>
            </w:r>
          </w:p>
        </w:tc>
        <w:tc>
          <w:tcPr>
            <w:tcW w:w="572" w:type="pct"/>
          </w:tcPr>
          <w:p w14:paraId="59423205" w14:textId="77777777" w:rsidR="0001415F" w:rsidRPr="00B75955" w:rsidRDefault="0001415F" w:rsidP="00B75955">
            <w:pPr>
              <w:spacing w:after="60"/>
              <w:jc w:val="right"/>
              <w:rPr>
                <w:sz w:val="18"/>
                <w:lang w:val="en-CA"/>
              </w:rPr>
            </w:pPr>
            <w:r w:rsidRPr="00B75955">
              <w:rPr>
                <w:sz w:val="18"/>
                <w:lang w:val="en-CA"/>
              </w:rPr>
              <w:t>3.5</w:t>
            </w:r>
          </w:p>
        </w:tc>
        <w:tc>
          <w:tcPr>
            <w:tcW w:w="572" w:type="pct"/>
            <w:shd w:val="clear" w:color="auto" w:fill="auto"/>
          </w:tcPr>
          <w:p w14:paraId="5B85D57D" w14:textId="77777777" w:rsidR="0001415F" w:rsidRPr="00B75955" w:rsidRDefault="0001415F" w:rsidP="00B75955">
            <w:pPr>
              <w:spacing w:after="60"/>
              <w:jc w:val="right"/>
              <w:rPr>
                <w:sz w:val="18"/>
                <w:lang w:val="en-CA"/>
              </w:rPr>
            </w:pPr>
            <w:r w:rsidRPr="00B75955">
              <w:rPr>
                <w:sz w:val="18"/>
                <w:lang w:val="en-CA"/>
              </w:rPr>
              <w:t>12.2</w:t>
            </w:r>
          </w:p>
        </w:tc>
      </w:tr>
      <w:tr w:rsidR="0001415F" w:rsidRPr="00B75955" w14:paraId="2F2AB6DB" w14:textId="77777777" w:rsidTr="00B75955">
        <w:trPr>
          <w:trHeight w:val="240"/>
        </w:trPr>
        <w:tc>
          <w:tcPr>
            <w:tcW w:w="528" w:type="pct"/>
            <w:vMerge/>
            <w:shd w:val="clear" w:color="auto" w:fill="auto"/>
          </w:tcPr>
          <w:p w14:paraId="3B1CA5C2" w14:textId="77777777" w:rsidR="0001415F" w:rsidRPr="00B75955" w:rsidRDefault="0001415F" w:rsidP="00B75955">
            <w:pPr>
              <w:spacing w:after="60"/>
              <w:jc w:val="center"/>
              <w:rPr>
                <w:sz w:val="18"/>
                <w:lang w:val="en-CA"/>
              </w:rPr>
            </w:pPr>
          </w:p>
        </w:tc>
        <w:tc>
          <w:tcPr>
            <w:tcW w:w="1611" w:type="pct"/>
            <w:shd w:val="clear" w:color="auto" w:fill="auto"/>
          </w:tcPr>
          <w:p w14:paraId="550FDE24" w14:textId="77777777" w:rsidR="0001415F" w:rsidRPr="00B75955" w:rsidRDefault="0001415F" w:rsidP="00B75955">
            <w:pPr>
              <w:spacing w:after="60"/>
              <w:rPr>
                <w:sz w:val="18"/>
                <w:lang w:val="en-CA"/>
              </w:rPr>
            </w:pPr>
            <w:r w:rsidRPr="00B75955">
              <w:rPr>
                <w:sz w:val="18"/>
                <w:lang w:val="en-CA"/>
              </w:rPr>
              <w:t>Funding (US $)</w:t>
            </w:r>
          </w:p>
        </w:tc>
        <w:tc>
          <w:tcPr>
            <w:tcW w:w="572" w:type="pct"/>
            <w:shd w:val="clear" w:color="auto" w:fill="auto"/>
          </w:tcPr>
          <w:p w14:paraId="5CC9DCAC" w14:textId="77777777" w:rsidR="0001415F" w:rsidRPr="00B75955" w:rsidRDefault="0001415F" w:rsidP="00B75955">
            <w:pPr>
              <w:spacing w:after="60"/>
              <w:jc w:val="right"/>
              <w:rPr>
                <w:sz w:val="18"/>
                <w:lang w:val="en-CA"/>
              </w:rPr>
            </w:pPr>
            <w:r w:rsidRPr="00B75955">
              <w:rPr>
                <w:sz w:val="18"/>
                <w:lang w:val="en-CA"/>
              </w:rPr>
              <w:t>336,000</w:t>
            </w:r>
          </w:p>
        </w:tc>
        <w:tc>
          <w:tcPr>
            <w:tcW w:w="572" w:type="pct"/>
            <w:shd w:val="clear" w:color="auto" w:fill="auto"/>
          </w:tcPr>
          <w:p w14:paraId="4723AB45" w14:textId="77777777" w:rsidR="0001415F" w:rsidRPr="00B75955" w:rsidRDefault="0001415F" w:rsidP="00B75955">
            <w:pPr>
              <w:spacing w:after="60"/>
              <w:jc w:val="right"/>
              <w:rPr>
                <w:sz w:val="18"/>
                <w:lang w:val="en-CA"/>
              </w:rPr>
            </w:pPr>
            <w:r w:rsidRPr="00B75955">
              <w:rPr>
                <w:sz w:val="18"/>
                <w:lang w:val="en-CA"/>
              </w:rPr>
              <w:t>224,000</w:t>
            </w:r>
          </w:p>
        </w:tc>
        <w:tc>
          <w:tcPr>
            <w:tcW w:w="572" w:type="pct"/>
            <w:shd w:val="clear" w:color="auto" w:fill="auto"/>
          </w:tcPr>
          <w:p w14:paraId="3E6E486A" w14:textId="77777777" w:rsidR="0001415F" w:rsidRPr="00B75955" w:rsidRDefault="0001415F" w:rsidP="00B75955">
            <w:pPr>
              <w:spacing w:after="60"/>
              <w:jc w:val="right"/>
              <w:rPr>
                <w:sz w:val="18"/>
                <w:lang w:val="en-CA"/>
              </w:rPr>
            </w:pPr>
            <w:r w:rsidRPr="00B75955">
              <w:rPr>
                <w:sz w:val="18"/>
                <w:lang w:val="en-CA"/>
              </w:rPr>
              <w:t>0</w:t>
            </w:r>
          </w:p>
        </w:tc>
        <w:tc>
          <w:tcPr>
            <w:tcW w:w="572" w:type="pct"/>
          </w:tcPr>
          <w:p w14:paraId="27DCD5E3" w14:textId="77777777" w:rsidR="0001415F" w:rsidRPr="00B75955" w:rsidRDefault="0001415F" w:rsidP="00B75955">
            <w:pPr>
              <w:spacing w:after="60"/>
              <w:jc w:val="right"/>
              <w:rPr>
                <w:sz w:val="18"/>
                <w:lang w:val="en-CA"/>
              </w:rPr>
            </w:pPr>
            <w:r w:rsidRPr="00B75955">
              <w:rPr>
                <w:sz w:val="18"/>
                <w:lang w:val="en-CA"/>
              </w:rPr>
              <w:t>224,000</w:t>
            </w:r>
          </w:p>
        </w:tc>
        <w:tc>
          <w:tcPr>
            <w:tcW w:w="572" w:type="pct"/>
            <w:shd w:val="clear" w:color="auto" w:fill="auto"/>
          </w:tcPr>
          <w:p w14:paraId="5E0634F6" w14:textId="77777777" w:rsidR="0001415F" w:rsidRPr="00B75955" w:rsidRDefault="0001415F" w:rsidP="00B75955">
            <w:pPr>
              <w:spacing w:after="60"/>
              <w:jc w:val="right"/>
              <w:rPr>
                <w:sz w:val="18"/>
                <w:lang w:val="en-CA"/>
              </w:rPr>
            </w:pPr>
            <w:r w:rsidRPr="00B75955">
              <w:rPr>
                <w:sz w:val="18"/>
                <w:lang w:val="en-CA"/>
              </w:rPr>
              <w:t>784,000</w:t>
            </w:r>
          </w:p>
        </w:tc>
      </w:tr>
      <w:tr w:rsidR="0001415F" w:rsidRPr="00B75955" w14:paraId="091F5429" w14:textId="77777777" w:rsidTr="00B75955">
        <w:trPr>
          <w:trHeight w:val="240"/>
        </w:trPr>
        <w:tc>
          <w:tcPr>
            <w:tcW w:w="528" w:type="pct"/>
            <w:vMerge w:val="restart"/>
            <w:shd w:val="clear" w:color="auto" w:fill="auto"/>
          </w:tcPr>
          <w:p w14:paraId="14B5C235" w14:textId="77777777" w:rsidR="0001415F" w:rsidRPr="00B75955" w:rsidRDefault="0001415F" w:rsidP="00B75955">
            <w:pPr>
              <w:spacing w:after="60"/>
              <w:jc w:val="center"/>
              <w:rPr>
                <w:sz w:val="18"/>
                <w:lang w:val="en-CA"/>
              </w:rPr>
            </w:pPr>
            <w:r w:rsidRPr="00B75955">
              <w:rPr>
                <w:sz w:val="18"/>
                <w:lang w:val="en-CA"/>
              </w:rPr>
              <w:t>Japan</w:t>
            </w:r>
          </w:p>
        </w:tc>
        <w:tc>
          <w:tcPr>
            <w:tcW w:w="1611" w:type="pct"/>
            <w:shd w:val="clear" w:color="auto" w:fill="auto"/>
          </w:tcPr>
          <w:p w14:paraId="1BE82C25" w14:textId="77777777" w:rsidR="0001415F" w:rsidRPr="00B75955" w:rsidRDefault="0001415F" w:rsidP="00B75955">
            <w:pPr>
              <w:spacing w:after="60"/>
              <w:rPr>
                <w:sz w:val="18"/>
                <w:lang w:val="en-CA"/>
              </w:rPr>
            </w:pPr>
            <w:r w:rsidRPr="00B75955">
              <w:rPr>
                <w:sz w:val="18"/>
                <w:lang w:val="en-CA"/>
              </w:rPr>
              <w:t>ODS phase-out (ODP tonnes)</w:t>
            </w:r>
          </w:p>
        </w:tc>
        <w:tc>
          <w:tcPr>
            <w:tcW w:w="572" w:type="pct"/>
            <w:shd w:val="clear" w:color="auto" w:fill="auto"/>
          </w:tcPr>
          <w:p w14:paraId="34F24675" w14:textId="77777777" w:rsidR="0001415F" w:rsidRPr="00B75955" w:rsidRDefault="0001415F" w:rsidP="00B75955">
            <w:pPr>
              <w:spacing w:after="60"/>
              <w:jc w:val="right"/>
              <w:rPr>
                <w:sz w:val="18"/>
                <w:lang w:val="en-CA"/>
              </w:rPr>
            </w:pPr>
            <w:r w:rsidRPr="00B75955">
              <w:rPr>
                <w:sz w:val="18"/>
                <w:lang w:val="en-CA"/>
              </w:rPr>
              <w:t>1.4</w:t>
            </w:r>
          </w:p>
        </w:tc>
        <w:tc>
          <w:tcPr>
            <w:tcW w:w="572" w:type="pct"/>
            <w:shd w:val="clear" w:color="auto" w:fill="auto"/>
          </w:tcPr>
          <w:p w14:paraId="4D85C720" w14:textId="77777777" w:rsidR="0001415F" w:rsidRPr="00B75955" w:rsidRDefault="0001415F" w:rsidP="00B75955">
            <w:pPr>
              <w:spacing w:after="60"/>
              <w:jc w:val="right"/>
              <w:rPr>
                <w:sz w:val="18"/>
                <w:lang w:val="en-CA"/>
              </w:rPr>
            </w:pPr>
            <w:r w:rsidRPr="00B75955">
              <w:rPr>
                <w:sz w:val="18"/>
                <w:lang w:val="en-CA"/>
              </w:rPr>
              <w:t>1.4</w:t>
            </w:r>
          </w:p>
        </w:tc>
        <w:tc>
          <w:tcPr>
            <w:tcW w:w="572" w:type="pct"/>
            <w:shd w:val="clear" w:color="auto" w:fill="auto"/>
          </w:tcPr>
          <w:p w14:paraId="2035018D" w14:textId="77777777" w:rsidR="0001415F" w:rsidRPr="00B75955" w:rsidRDefault="0001415F" w:rsidP="00B75955">
            <w:pPr>
              <w:spacing w:after="60"/>
              <w:jc w:val="right"/>
              <w:rPr>
                <w:sz w:val="18"/>
                <w:lang w:val="en-CA"/>
              </w:rPr>
            </w:pPr>
            <w:r w:rsidRPr="00B75955">
              <w:rPr>
                <w:sz w:val="18"/>
                <w:lang w:val="en-CA"/>
              </w:rPr>
              <w:t>1.4</w:t>
            </w:r>
          </w:p>
        </w:tc>
        <w:tc>
          <w:tcPr>
            <w:tcW w:w="572" w:type="pct"/>
          </w:tcPr>
          <w:p w14:paraId="2C89396B" w14:textId="77777777" w:rsidR="0001415F" w:rsidRPr="00B75955" w:rsidRDefault="0001415F" w:rsidP="00B75955">
            <w:pPr>
              <w:spacing w:after="60"/>
              <w:jc w:val="right"/>
              <w:rPr>
                <w:sz w:val="18"/>
                <w:lang w:val="en-CA"/>
              </w:rPr>
            </w:pPr>
            <w:r w:rsidRPr="00B75955">
              <w:rPr>
                <w:sz w:val="18"/>
                <w:lang w:val="en-CA"/>
              </w:rPr>
              <w:t>0</w:t>
            </w:r>
          </w:p>
        </w:tc>
        <w:tc>
          <w:tcPr>
            <w:tcW w:w="572" w:type="pct"/>
            <w:shd w:val="clear" w:color="auto" w:fill="auto"/>
          </w:tcPr>
          <w:p w14:paraId="276C8461" w14:textId="77777777" w:rsidR="0001415F" w:rsidRPr="00B75955" w:rsidRDefault="0001415F" w:rsidP="00B75955">
            <w:pPr>
              <w:spacing w:after="60"/>
              <w:jc w:val="right"/>
              <w:rPr>
                <w:sz w:val="18"/>
                <w:lang w:val="en-CA"/>
              </w:rPr>
            </w:pPr>
            <w:r w:rsidRPr="00B75955">
              <w:rPr>
                <w:sz w:val="18"/>
                <w:lang w:val="en-CA"/>
              </w:rPr>
              <w:t>4.2</w:t>
            </w:r>
          </w:p>
        </w:tc>
      </w:tr>
      <w:tr w:rsidR="0001415F" w:rsidRPr="00B75955" w14:paraId="064CCFEE" w14:textId="77777777" w:rsidTr="00B75955">
        <w:trPr>
          <w:trHeight w:val="240"/>
        </w:trPr>
        <w:tc>
          <w:tcPr>
            <w:tcW w:w="528" w:type="pct"/>
            <w:vMerge/>
            <w:shd w:val="clear" w:color="auto" w:fill="auto"/>
          </w:tcPr>
          <w:p w14:paraId="11EC50FC" w14:textId="77777777" w:rsidR="0001415F" w:rsidRPr="00B75955" w:rsidRDefault="0001415F" w:rsidP="00B75955">
            <w:pPr>
              <w:spacing w:after="60"/>
              <w:jc w:val="center"/>
              <w:rPr>
                <w:sz w:val="18"/>
                <w:lang w:val="en-CA"/>
              </w:rPr>
            </w:pPr>
          </w:p>
        </w:tc>
        <w:tc>
          <w:tcPr>
            <w:tcW w:w="1611" w:type="pct"/>
            <w:shd w:val="clear" w:color="auto" w:fill="auto"/>
          </w:tcPr>
          <w:p w14:paraId="31EB8DD8" w14:textId="77777777" w:rsidR="0001415F" w:rsidRPr="00B75955" w:rsidRDefault="0001415F" w:rsidP="00B75955">
            <w:pPr>
              <w:spacing w:after="60"/>
              <w:rPr>
                <w:sz w:val="18"/>
                <w:lang w:val="en-CA"/>
              </w:rPr>
            </w:pPr>
            <w:r w:rsidRPr="00B75955">
              <w:rPr>
                <w:sz w:val="18"/>
                <w:lang w:val="en-CA"/>
              </w:rPr>
              <w:t>Funding (US $)</w:t>
            </w:r>
          </w:p>
        </w:tc>
        <w:tc>
          <w:tcPr>
            <w:tcW w:w="572" w:type="pct"/>
            <w:shd w:val="clear" w:color="auto" w:fill="auto"/>
          </w:tcPr>
          <w:p w14:paraId="34AD5715" w14:textId="77777777" w:rsidR="0001415F" w:rsidRPr="00B75955" w:rsidRDefault="0001415F" w:rsidP="00B75955">
            <w:pPr>
              <w:spacing w:after="60"/>
              <w:jc w:val="right"/>
              <w:rPr>
                <w:sz w:val="18"/>
                <w:lang w:val="en-CA"/>
              </w:rPr>
            </w:pPr>
            <w:r w:rsidRPr="00B75955">
              <w:rPr>
                <w:sz w:val="18"/>
                <w:lang w:val="en-CA"/>
              </w:rPr>
              <w:t>180,800</w:t>
            </w:r>
          </w:p>
        </w:tc>
        <w:tc>
          <w:tcPr>
            <w:tcW w:w="572" w:type="pct"/>
            <w:shd w:val="clear" w:color="auto" w:fill="auto"/>
          </w:tcPr>
          <w:p w14:paraId="78F2A2A2" w14:textId="77777777" w:rsidR="0001415F" w:rsidRPr="00B75955" w:rsidRDefault="0001415F" w:rsidP="00B75955">
            <w:pPr>
              <w:spacing w:after="60"/>
              <w:jc w:val="right"/>
              <w:rPr>
                <w:sz w:val="18"/>
                <w:lang w:val="en-CA"/>
              </w:rPr>
            </w:pPr>
            <w:r w:rsidRPr="00B75955">
              <w:rPr>
                <w:sz w:val="18"/>
                <w:lang w:val="en-CA"/>
              </w:rPr>
              <w:t>90,400</w:t>
            </w:r>
          </w:p>
        </w:tc>
        <w:tc>
          <w:tcPr>
            <w:tcW w:w="572" w:type="pct"/>
            <w:shd w:val="clear" w:color="auto" w:fill="auto"/>
          </w:tcPr>
          <w:p w14:paraId="0F56112C" w14:textId="77777777" w:rsidR="0001415F" w:rsidRPr="00B75955" w:rsidRDefault="0001415F" w:rsidP="00B75955">
            <w:pPr>
              <w:spacing w:after="60"/>
              <w:jc w:val="right"/>
              <w:rPr>
                <w:sz w:val="18"/>
                <w:lang w:val="en-CA"/>
              </w:rPr>
            </w:pPr>
            <w:r w:rsidRPr="00B75955">
              <w:rPr>
                <w:sz w:val="18"/>
                <w:lang w:val="en-CA"/>
              </w:rPr>
              <w:t>90,400</w:t>
            </w:r>
          </w:p>
        </w:tc>
        <w:tc>
          <w:tcPr>
            <w:tcW w:w="572" w:type="pct"/>
          </w:tcPr>
          <w:p w14:paraId="73DD833F" w14:textId="77777777" w:rsidR="0001415F" w:rsidRPr="00B75955" w:rsidRDefault="0001415F" w:rsidP="00B75955">
            <w:pPr>
              <w:spacing w:after="60"/>
              <w:jc w:val="right"/>
              <w:rPr>
                <w:sz w:val="18"/>
                <w:lang w:val="en-CA"/>
              </w:rPr>
            </w:pPr>
            <w:r w:rsidRPr="00B75955">
              <w:rPr>
                <w:sz w:val="18"/>
                <w:lang w:val="en-CA"/>
              </w:rPr>
              <w:t>0</w:t>
            </w:r>
          </w:p>
        </w:tc>
        <w:tc>
          <w:tcPr>
            <w:tcW w:w="572" w:type="pct"/>
            <w:shd w:val="clear" w:color="auto" w:fill="auto"/>
          </w:tcPr>
          <w:p w14:paraId="140105EB" w14:textId="77777777" w:rsidR="0001415F" w:rsidRPr="00B75955" w:rsidRDefault="0001415F" w:rsidP="00B75955">
            <w:pPr>
              <w:spacing w:after="60"/>
              <w:jc w:val="right"/>
              <w:rPr>
                <w:sz w:val="18"/>
                <w:lang w:val="en-CA"/>
              </w:rPr>
            </w:pPr>
            <w:r w:rsidRPr="00B75955">
              <w:rPr>
                <w:sz w:val="18"/>
                <w:lang w:val="en-CA"/>
              </w:rPr>
              <w:t>361,600</w:t>
            </w:r>
          </w:p>
        </w:tc>
      </w:tr>
    </w:tbl>
    <w:p w14:paraId="11D87051" w14:textId="517C75D2" w:rsidR="002F1866" w:rsidRPr="00B75955" w:rsidRDefault="002F1866" w:rsidP="0001415F">
      <w:pPr>
        <w:rPr>
          <w:lang w:val="en-CA"/>
        </w:rPr>
      </w:pPr>
    </w:p>
    <w:p w14:paraId="2EC0E6D6" w14:textId="67A955BB" w:rsidR="002F1866" w:rsidRPr="00B75955" w:rsidRDefault="002F1866" w:rsidP="0001415F">
      <w:pPr>
        <w:rPr>
          <w:lang w:val="en-CA"/>
        </w:rPr>
      </w:pPr>
    </w:p>
    <w:p w14:paraId="664AE5A3" w14:textId="548F24C7" w:rsidR="002F1866" w:rsidRPr="00B75955" w:rsidRDefault="002F1866" w:rsidP="0001415F">
      <w:pPr>
        <w:rPr>
          <w:lang w:val="en-CA"/>
        </w:rPr>
      </w:pPr>
    </w:p>
    <w:p w14:paraId="1282BFD6" w14:textId="4E82717F" w:rsidR="002F1866" w:rsidRPr="00B75955" w:rsidRDefault="002F1866" w:rsidP="0001415F">
      <w:pPr>
        <w:rPr>
          <w:lang w:val="en-CA"/>
        </w:rPr>
      </w:pPr>
    </w:p>
    <w:p w14:paraId="7D48EE5F" w14:textId="77777777" w:rsidR="002F1866" w:rsidRPr="00B75955" w:rsidRDefault="002F1866" w:rsidP="0001415F">
      <w:pPr>
        <w:rPr>
          <w:lang w:val="en-CA"/>
        </w:rPr>
        <w:sectPr w:rsidR="002F1866" w:rsidRPr="00B75955">
          <w:headerReference w:type="even" r:id="rId23"/>
          <w:headerReference w:type="default" r:id="rId24"/>
          <w:footerReference w:type="even" r:id="rId25"/>
          <w:footerReference w:type="default" r:id="rId26"/>
          <w:pgSz w:w="12240" w:h="15840"/>
          <w:pgMar w:top="1440" w:right="1440" w:bottom="1440" w:left="1440" w:header="708" w:footer="708" w:gutter="0"/>
          <w:cols w:space="708"/>
          <w:docGrid w:linePitch="360"/>
        </w:sectPr>
      </w:pPr>
    </w:p>
    <w:tbl>
      <w:tblPr>
        <w:tblStyle w:val="TableGrid"/>
        <w:tblW w:w="1329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76"/>
        <w:gridCol w:w="886"/>
        <w:gridCol w:w="787"/>
        <w:gridCol w:w="936"/>
        <w:gridCol w:w="936"/>
        <w:gridCol w:w="1116"/>
        <w:gridCol w:w="936"/>
        <w:gridCol w:w="936"/>
        <w:gridCol w:w="936"/>
        <w:gridCol w:w="846"/>
        <w:gridCol w:w="846"/>
        <w:gridCol w:w="846"/>
        <w:gridCol w:w="756"/>
        <w:gridCol w:w="756"/>
        <w:gridCol w:w="1026"/>
      </w:tblGrid>
      <w:tr w:rsidR="0001415F" w:rsidRPr="00B75955" w14:paraId="7267C5CE" w14:textId="77777777" w:rsidTr="00B75955">
        <w:tc>
          <w:tcPr>
            <w:tcW w:w="2592" w:type="dxa"/>
            <w:gridSpan w:val="3"/>
            <w:shd w:val="clear" w:color="auto" w:fill="auto"/>
          </w:tcPr>
          <w:p w14:paraId="446119F3" w14:textId="269D16EE" w:rsidR="0001415F" w:rsidRPr="00B75955" w:rsidRDefault="0001415F" w:rsidP="00B75955">
            <w:pPr>
              <w:spacing w:after="60"/>
              <w:rPr>
                <w:b/>
                <w:sz w:val="18"/>
                <w:szCs w:val="18"/>
                <w:lang w:val="en-CA"/>
              </w:rPr>
            </w:pPr>
            <w:r w:rsidRPr="00B75955">
              <w:rPr>
                <w:b/>
                <w:sz w:val="18"/>
                <w:szCs w:val="18"/>
                <w:lang w:val="en-CA"/>
              </w:rPr>
              <w:lastRenderedPageBreak/>
              <w:t>(VI) PROJECT DATA</w:t>
            </w:r>
          </w:p>
        </w:tc>
        <w:tc>
          <w:tcPr>
            <w:tcW w:w="936" w:type="dxa"/>
            <w:shd w:val="clear" w:color="auto" w:fill="auto"/>
          </w:tcPr>
          <w:p w14:paraId="5C2D652E" w14:textId="77777777" w:rsidR="0001415F" w:rsidRPr="00B75955" w:rsidRDefault="0001415F" w:rsidP="00B75955">
            <w:pPr>
              <w:jc w:val="center"/>
              <w:rPr>
                <w:b/>
                <w:bCs/>
                <w:sz w:val="18"/>
                <w:szCs w:val="18"/>
                <w:lang w:val="en-CA"/>
              </w:rPr>
            </w:pPr>
            <w:r w:rsidRPr="00B75955">
              <w:rPr>
                <w:b/>
                <w:bCs/>
                <w:sz w:val="18"/>
                <w:szCs w:val="18"/>
                <w:lang w:val="en-CA"/>
              </w:rPr>
              <w:t>2016</w:t>
            </w:r>
          </w:p>
        </w:tc>
        <w:tc>
          <w:tcPr>
            <w:tcW w:w="936" w:type="dxa"/>
            <w:shd w:val="clear" w:color="auto" w:fill="auto"/>
          </w:tcPr>
          <w:p w14:paraId="548F70BF" w14:textId="77777777" w:rsidR="0001415F" w:rsidRPr="00B75955" w:rsidRDefault="0001415F" w:rsidP="00B75955">
            <w:pPr>
              <w:jc w:val="center"/>
              <w:rPr>
                <w:b/>
                <w:bCs/>
                <w:sz w:val="18"/>
                <w:szCs w:val="18"/>
                <w:lang w:val="en-CA"/>
              </w:rPr>
            </w:pPr>
            <w:r w:rsidRPr="00B75955">
              <w:rPr>
                <w:b/>
                <w:bCs/>
                <w:sz w:val="18"/>
                <w:szCs w:val="18"/>
                <w:lang w:val="en-CA"/>
              </w:rPr>
              <w:t>2017</w:t>
            </w:r>
          </w:p>
        </w:tc>
        <w:tc>
          <w:tcPr>
            <w:tcW w:w="1116" w:type="dxa"/>
            <w:shd w:val="clear" w:color="auto" w:fill="auto"/>
          </w:tcPr>
          <w:p w14:paraId="1DE543D4" w14:textId="77777777" w:rsidR="0001415F" w:rsidRPr="00B75955" w:rsidRDefault="0001415F" w:rsidP="00B75955">
            <w:pPr>
              <w:jc w:val="center"/>
              <w:rPr>
                <w:b/>
                <w:bCs/>
                <w:sz w:val="18"/>
                <w:szCs w:val="18"/>
                <w:lang w:val="en-CA"/>
              </w:rPr>
            </w:pPr>
            <w:r w:rsidRPr="00B75955">
              <w:rPr>
                <w:b/>
                <w:bCs/>
                <w:sz w:val="18"/>
                <w:szCs w:val="18"/>
                <w:lang w:val="en-CA"/>
              </w:rPr>
              <w:t>2018</w:t>
            </w:r>
          </w:p>
        </w:tc>
        <w:tc>
          <w:tcPr>
            <w:tcW w:w="936" w:type="dxa"/>
            <w:shd w:val="clear" w:color="auto" w:fill="auto"/>
          </w:tcPr>
          <w:p w14:paraId="7F67D9D4" w14:textId="77777777" w:rsidR="0001415F" w:rsidRPr="00B75955" w:rsidRDefault="0001415F" w:rsidP="00B75955">
            <w:pPr>
              <w:jc w:val="center"/>
              <w:rPr>
                <w:b/>
                <w:bCs/>
                <w:sz w:val="18"/>
                <w:szCs w:val="18"/>
                <w:lang w:val="en-CA"/>
              </w:rPr>
            </w:pPr>
            <w:r w:rsidRPr="00B75955">
              <w:rPr>
                <w:b/>
                <w:bCs/>
                <w:sz w:val="18"/>
                <w:szCs w:val="18"/>
                <w:lang w:val="en-CA"/>
              </w:rPr>
              <w:t>2019</w:t>
            </w:r>
          </w:p>
        </w:tc>
        <w:tc>
          <w:tcPr>
            <w:tcW w:w="936" w:type="dxa"/>
            <w:shd w:val="clear" w:color="auto" w:fill="auto"/>
          </w:tcPr>
          <w:p w14:paraId="4E1C9499" w14:textId="77777777" w:rsidR="0001415F" w:rsidRPr="00B75955" w:rsidRDefault="0001415F" w:rsidP="00B75955">
            <w:pPr>
              <w:jc w:val="center"/>
              <w:rPr>
                <w:b/>
                <w:bCs/>
                <w:sz w:val="18"/>
                <w:szCs w:val="18"/>
                <w:lang w:val="en-CA"/>
              </w:rPr>
            </w:pPr>
            <w:r w:rsidRPr="00B75955">
              <w:rPr>
                <w:b/>
                <w:bCs/>
                <w:sz w:val="18"/>
                <w:szCs w:val="18"/>
                <w:lang w:val="en-CA"/>
              </w:rPr>
              <w:t>2020</w:t>
            </w:r>
          </w:p>
        </w:tc>
        <w:tc>
          <w:tcPr>
            <w:tcW w:w="936" w:type="dxa"/>
            <w:shd w:val="clear" w:color="auto" w:fill="auto"/>
          </w:tcPr>
          <w:p w14:paraId="397D91B7" w14:textId="77777777" w:rsidR="0001415F" w:rsidRPr="00B75955" w:rsidRDefault="0001415F" w:rsidP="00B75955">
            <w:pPr>
              <w:jc w:val="center"/>
              <w:rPr>
                <w:b/>
                <w:bCs/>
                <w:sz w:val="18"/>
                <w:szCs w:val="18"/>
                <w:lang w:val="en-CA"/>
              </w:rPr>
            </w:pPr>
            <w:r w:rsidRPr="00B75955">
              <w:rPr>
                <w:b/>
                <w:bCs/>
                <w:sz w:val="18"/>
                <w:szCs w:val="18"/>
                <w:lang w:val="en-CA"/>
              </w:rPr>
              <w:t>2021</w:t>
            </w:r>
          </w:p>
        </w:tc>
        <w:tc>
          <w:tcPr>
            <w:tcW w:w="798" w:type="dxa"/>
          </w:tcPr>
          <w:p w14:paraId="214BF50C" w14:textId="77777777" w:rsidR="0001415F" w:rsidRPr="00B75955" w:rsidRDefault="0001415F" w:rsidP="00B75955">
            <w:pPr>
              <w:spacing w:after="60"/>
              <w:jc w:val="center"/>
              <w:rPr>
                <w:b/>
                <w:sz w:val="18"/>
                <w:szCs w:val="18"/>
                <w:lang w:val="en-CA"/>
              </w:rPr>
            </w:pPr>
            <w:r w:rsidRPr="00B75955">
              <w:rPr>
                <w:b/>
                <w:sz w:val="18"/>
                <w:szCs w:val="18"/>
                <w:lang w:val="en-CA"/>
              </w:rPr>
              <w:t>2022</w:t>
            </w:r>
          </w:p>
        </w:tc>
        <w:tc>
          <w:tcPr>
            <w:tcW w:w="798" w:type="dxa"/>
          </w:tcPr>
          <w:p w14:paraId="7A047F7C" w14:textId="77777777" w:rsidR="0001415F" w:rsidRPr="00B75955" w:rsidRDefault="0001415F" w:rsidP="00B75955">
            <w:pPr>
              <w:spacing w:after="60"/>
              <w:jc w:val="center"/>
              <w:rPr>
                <w:b/>
                <w:sz w:val="18"/>
                <w:szCs w:val="18"/>
                <w:lang w:val="en-CA"/>
              </w:rPr>
            </w:pPr>
            <w:r w:rsidRPr="00B75955">
              <w:rPr>
                <w:b/>
                <w:sz w:val="18"/>
                <w:szCs w:val="18"/>
                <w:lang w:val="en-CA"/>
              </w:rPr>
              <w:t>2023</w:t>
            </w:r>
          </w:p>
        </w:tc>
        <w:tc>
          <w:tcPr>
            <w:tcW w:w="798" w:type="dxa"/>
          </w:tcPr>
          <w:p w14:paraId="199BA5BF" w14:textId="77777777" w:rsidR="0001415F" w:rsidRPr="00B75955" w:rsidRDefault="0001415F" w:rsidP="00B75955">
            <w:pPr>
              <w:spacing w:after="60"/>
              <w:jc w:val="center"/>
              <w:rPr>
                <w:b/>
                <w:sz w:val="18"/>
                <w:szCs w:val="18"/>
                <w:lang w:val="en-CA"/>
              </w:rPr>
            </w:pPr>
            <w:r w:rsidRPr="00B75955">
              <w:rPr>
                <w:b/>
                <w:sz w:val="18"/>
                <w:szCs w:val="18"/>
                <w:lang w:val="en-CA"/>
              </w:rPr>
              <w:t>2024</w:t>
            </w:r>
          </w:p>
        </w:tc>
        <w:tc>
          <w:tcPr>
            <w:tcW w:w="741" w:type="dxa"/>
          </w:tcPr>
          <w:p w14:paraId="033240DF" w14:textId="77777777" w:rsidR="0001415F" w:rsidRPr="00B75955" w:rsidRDefault="0001415F" w:rsidP="00B75955">
            <w:pPr>
              <w:spacing w:after="60"/>
              <w:jc w:val="center"/>
              <w:rPr>
                <w:b/>
                <w:sz w:val="18"/>
                <w:szCs w:val="18"/>
                <w:lang w:val="en-CA"/>
              </w:rPr>
            </w:pPr>
            <w:r w:rsidRPr="00B75955">
              <w:rPr>
                <w:b/>
                <w:sz w:val="18"/>
                <w:szCs w:val="18"/>
                <w:lang w:val="en-CA"/>
              </w:rPr>
              <w:t>2025</w:t>
            </w:r>
          </w:p>
        </w:tc>
        <w:tc>
          <w:tcPr>
            <w:tcW w:w="741" w:type="dxa"/>
          </w:tcPr>
          <w:p w14:paraId="39EF4C21" w14:textId="77777777" w:rsidR="0001415F" w:rsidRPr="00B75955" w:rsidRDefault="0001415F" w:rsidP="00B75955">
            <w:pPr>
              <w:spacing w:after="60"/>
              <w:jc w:val="center"/>
              <w:rPr>
                <w:b/>
                <w:sz w:val="18"/>
                <w:szCs w:val="18"/>
                <w:lang w:val="en-CA"/>
              </w:rPr>
            </w:pPr>
            <w:r w:rsidRPr="00B75955">
              <w:rPr>
                <w:b/>
                <w:sz w:val="18"/>
                <w:szCs w:val="18"/>
                <w:lang w:val="en-CA"/>
              </w:rPr>
              <w:t>2026</w:t>
            </w:r>
          </w:p>
        </w:tc>
        <w:tc>
          <w:tcPr>
            <w:tcW w:w="1026" w:type="dxa"/>
            <w:shd w:val="clear" w:color="auto" w:fill="auto"/>
          </w:tcPr>
          <w:p w14:paraId="2C4872C5" w14:textId="77777777" w:rsidR="0001415F" w:rsidRPr="00B75955" w:rsidRDefault="0001415F" w:rsidP="00B75955">
            <w:pPr>
              <w:spacing w:after="60"/>
              <w:jc w:val="center"/>
              <w:rPr>
                <w:b/>
                <w:sz w:val="18"/>
                <w:szCs w:val="18"/>
                <w:lang w:val="en-CA"/>
              </w:rPr>
            </w:pPr>
            <w:r w:rsidRPr="00B75955">
              <w:rPr>
                <w:b/>
                <w:sz w:val="18"/>
                <w:szCs w:val="18"/>
                <w:lang w:val="en-CA"/>
              </w:rPr>
              <w:t>Total</w:t>
            </w:r>
          </w:p>
        </w:tc>
      </w:tr>
      <w:tr w:rsidR="0001415F" w:rsidRPr="00B75955" w14:paraId="3825122C" w14:textId="77777777" w:rsidTr="00B75955">
        <w:tc>
          <w:tcPr>
            <w:tcW w:w="2592" w:type="dxa"/>
            <w:gridSpan w:val="3"/>
            <w:shd w:val="clear" w:color="auto" w:fill="auto"/>
          </w:tcPr>
          <w:p w14:paraId="121C72AA" w14:textId="77777777" w:rsidR="0001415F" w:rsidRPr="00B75955" w:rsidRDefault="0001415F" w:rsidP="00B75955">
            <w:pPr>
              <w:spacing w:after="60"/>
              <w:rPr>
                <w:sz w:val="18"/>
                <w:szCs w:val="18"/>
                <w:lang w:val="en-CA"/>
              </w:rPr>
            </w:pPr>
            <w:r w:rsidRPr="00B75955">
              <w:rPr>
                <w:sz w:val="18"/>
                <w:szCs w:val="18"/>
                <w:lang w:val="en-CA"/>
              </w:rPr>
              <w:t>Montreal Protocol consumption limits</w:t>
            </w:r>
          </w:p>
        </w:tc>
        <w:tc>
          <w:tcPr>
            <w:tcW w:w="936" w:type="dxa"/>
            <w:shd w:val="clear" w:color="auto" w:fill="auto"/>
          </w:tcPr>
          <w:p w14:paraId="68679CED"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17,342.1 </w:t>
            </w:r>
          </w:p>
        </w:tc>
        <w:tc>
          <w:tcPr>
            <w:tcW w:w="936" w:type="dxa"/>
            <w:shd w:val="clear" w:color="auto" w:fill="auto"/>
          </w:tcPr>
          <w:p w14:paraId="69FC20A3"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17,342.1 </w:t>
            </w:r>
          </w:p>
        </w:tc>
        <w:tc>
          <w:tcPr>
            <w:tcW w:w="1116" w:type="dxa"/>
            <w:shd w:val="clear" w:color="auto" w:fill="auto"/>
          </w:tcPr>
          <w:p w14:paraId="087D06AD"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17,342.1 </w:t>
            </w:r>
          </w:p>
        </w:tc>
        <w:tc>
          <w:tcPr>
            <w:tcW w:w="936" w:type="dxa"/>
            <w:shd w:val="clear" w:color="auto" w:fill="auto"/>
          </w:tcPr>
          <w:p w14:paraId="3F75DF2F"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17,342.1 </w:t>
            </w:r>
          </w:p>
        </w:tc>
        <w:tc>
          <w:tcPr>
            <w:tcW w:w="936" w:type="dxa"/>
            <w:shd w:val="clear" w:color="auto" w:fill="auto"/>
          </w:tcPr>
          <w:p w14:paraId="27FFDABA"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12,524.9 </w:t>
            </w:r>
          </w:p>
        </w:tc>
        <w:tc>
          <w:tcPr>
            <w:tcW w:w="936" w:type="dxa"/>
            <w:shd w:val="clear" w:color="auto" w:fill="auto"/>
          </w:tcPr>
          <w:p w14:paraId="1D76E472"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12,524.9 </w:t>
            </w:r>
          </w:p>
        </w:tc>
        <w:tc>
          <w:tcPr>
            <w:tcW w:w="798" w:type="dxa"/>
          </w:tcPr>
          <w:p w14:paraId="752698D7"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12,524.9 </w:t>
            </w:r>
          </w:p>
        </w:tc>
        <w:tc>
          <w:tcPr>
            <w:tcW w:w="798" w:type="dxa"/>
          </w:tcPr>
          <w:p w14:paraId="64C26F7B"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12,524.9 </w:t>
            </w:r>
          </w:p>
        </w:tc>
        <w:tc>
          <w:tcPr>
            <w:tcW w:w="798" w:type="dxa"/>
          </w:tcPr>
          <w:p w14:paraId="123BB9CC"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12,524.9 </w:t>
            </w:r>
          </w:p>
        </w:tc>
        <w:tc>
          <w:tcPr>
            <w:tcW w:w="741" w:type="dxa"/>
          </w:tcPr>
          <w:p w14:paraId="1853811B"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6,262.4 </w:t>
            </w:r>
          </w:p>
        </w:tc>
        <w:tc>
          <w:tcPr>
            <w:tcW w:w="741" w:type="dxa"/>
          </w:tcPr>
          <w:p w14:paraId="568CB2E9" w14:textId="77777777" w:rsidR="0001415F" w:rsidRPr="00B75955" w:rsidRDefault="0001415F" w:rsidP="00B75955">
            <w:pPr>
              <w:jc w:val="right"/>
              <w:rPr>
                <w:color w:val="000000"/>
                <w:sz w:val="18"/>
                <w:szCs w:val="18"/>
                <w:lang w:val="en-CA"/>
              </w:rPr>
            </w:pPr>
            <w:r w:rsidRPr="00B75955">
              <w:rPr>
                <w:color w:val="000000"/>
                <w:sz w:val="18"/>
                <w:szCs w:val="18"/>
                <w:lang w:val="en-CA"/>
              </w:rPr>
              <w:t xml:space="preserve">6,262.4 </w:t>
            </w:r>
          </w:p>
        </w:tc>
        <w:tc>
          <w:tcPr>
            <w:tcW w:w="1026" w:type="dxa"/>
            <w:shd w:val="clear" w:color="auto" w:fill="auto"/>
          </w:tcPr>
          <w:p w14:paraId="6EB88722" w14:textId="77777777" w:rsidR="0001415F" w:rsidRPr="00B75955" w:rsidRDefault="0001415F" w:rsidP="00B75955">
            <w:pPr>
              <w:spacing w:after="60"/>
              <w:jc w:val="right"/>
              <w:rPr>
                <w:sz w:val="18"/>
                <w:szCs w:val="18"/>
                <w:lang w:val="en-CA"/>
              </w:rPr>
            </w:pPr>
            <w:r w:rsidRPr="00B75955">
              <w:rPr>
                <w:sz w:val="18"/>
                <w:szCs w:val="18"/>
                <w:lang w:val="en-CA"/>
              </w:rPr>
              <w:t>n/a</w:t>
            </w:r>
          </w:p>
        </w:tc>
      </w:tr>
      <w:tr w:rsidR="0001415F" w:rsidRPr="00B75955" w14:paraId="5ED170D0" w14:textId="77777777" w:rsidTr="00B75955">
        <w:tc>
          <w:tcPr>
            <w:tcW w:w="2592" w:type="dxa"/>
            <w:gridSpan w:val="3"/>
            <w:shd w:val="clear" w:color="auto" w:fill="auto"/>
          </w:tcPr>
          <w:p w14:paraId="0136EE57" w14:textId="77777777" w:rsidR="0001415F" w:rsidRPr="00B75955" w:rsidRDefault="0001415F" w:rsidP="00B75955">
            <w:pPr>
              <w:spacing w:after="60"/>
              <w:jc w:val="left"/>
              <w:rPr>
                <w:sz w:val="18"/>
                <w:szCs w:val="18"/>
                <w:lang w:val="en-CA"/>
              </w:rPr>
            </w:pPr>
            <w:r w:rsidRPr="00B75955">
              <w:rPr>
                <w:sz w:val="18"/>
                <w:szCs w:val="18"/>
                <w:lang w:val="en-CA"/>
              </w:rPr>
              <w:t>Maximum allowable consumption (ODP tonnes)</w:t>
            </w:r>
          </w:p>
        </w:tc>
        <w:tc>
          <w:tcPr>
            <w:tcW w:w="936" w:type="dxa"/>
            <w:shd w:val="clear" w:color="auto" w:fill="auto"/>
          </w:tcPr>
          <w:p w14:paraId="3362369B" w14:textId="77777777" w:rsidR="0001415F" w:rsidRPr="00B75955" w:rsidRDefault="0001415F" w:rsidP="00B75955">
            <w:pPr>
              <w:spacing w:after="60"/>
              <w:jc w:val="right"/>
              <w:rPr>
                <w:sz w:val="18"/>
                <w:szCs w:val="18"/>
                <w:lang w:val="en-CA"/>
              </w:rPr>
            </w:pPr>
            <w:r w:rsidRPr="00B75955">
              <w:rPr>
                <w:sz w:val="18"/>
                <w:szCs w:val="18"/>
                <w:lang w:val="en-CA"/>
              </w:rPr>
              <w:t>16,978.9</w:t>
            </w:r>
          </w:p>
        </w:tc>
        <w:tc>
          <w:tcPr>
            <w:tcW w:w="936" w:type="dxa"/>
            <w:shd w:val="clear" w:color="auto" w:fill="auto"/>
          </w:tcPr>
          <w:p w14:paraId="59D59839" w14:textId="77777777" w:rsidR="0001415F" w:rsidRPr="00B75955" w:rsidRDefault="0001415F" w:rsidP="00B75955">
            <w:pPr>
              <w:spacing w:after="60"/>
              <w:jc w:val="right"/>
              <w:rPr>
                <w:sz w:val="18"/>
                <w:szCs w:val="18"/>
                <w:lang w:val="en-CA"/>
              </w:rPr>
            </w:pPr>
            <w:r w:rsidRPr="00B75955">
              <w:rPr>
                <w:sz w:val="18"/>
                <w:szCs w:val="18"/>
                <w:lang w:val="en-CA"/>
              </w:rPr>
              <w:t>16,978.9</w:t>
            </w:r>
          </w:p>
        </w:tc>
        <w:tc>
          <w:tcPr>
            <w:tcW w:w="1116" w:type="dxa"/>
            <w:shd w:val="clear" w:color="auto" w:fill="auto"/>
          </w:tcPr>
          <w:p w14:paraId="723DA5B9" w14:textId="77777777" w:rsidR="0001415F" w:rsidRPr="00B75955" w:rsidRDefault="0001415F" w:rsidP="00B75955">
            <w:pPr>
              <w:spacing w:after="60"/>
              <w:jc w:val="right"/>
              <w:rPr>
                <w:sz w:val="18"/>
                <w:szCs w:val="18"/>
                <w:lang w:val="en-CA"/>
              </w:rPr>
            </w:pPr>
            <w:r w:rsidRPr="00B75955">
              <w:rPr>
                <w:sz w:val="18"/>
                <w:szCs w:val="18"/>
                <w:lang w:val="en-CA"/>
              </w:rPr>
              <w:t>15,048.1</w:t>
            </w:r>
          </w:p>
        </w:tc>
        <w:tc>
          <w:tcPr>
            <w:tcW w:w="936" w:type="dxa"/>
            <w:shd w:val="clear" w:color="auto" w:fill="auto"/>
          </w:tcPr>
          <w:p w14:paraId="420B98A7" w14:textId="77777777" w:rsidR="0001415F" w:rsidRPr="00B75955" w:rsidRDefault="0001415F" w:rsidP="00B75955">
            <w:pPr>
              <w:spacing w:after="60"/>
              <w:jc w:val="right"/>
              <w:rPr>
                <w:sz w:val="18"/>
                <w:szCs w:val="18"/>
                <w:lang w:val="en-CA"/>
              </w:rPr>
            </w:pPr>
            <w:r w:rsidRPr="00B75955">
              <w:rPr>
                <w:sz w:val="18"/>
                <w:szCs w:val="18"/>
                <w:lang w:val="en-CA"/>
              </w:rPr>
              <w:t>15,048.1</w:t>
            </w:r>
          </w:p>
        </w:tc>
        <w:tc>
          <w:tcPr>
            <w:tcW w:w="936" w:type="dxa"/>
            <w:shd w:val="clear" w:color="auto" w:fill="auto"/>
          </w:tcPr>
          <w:p w14:paraId="51EC0E9E" w14:textId="77777777" w:rsidR="0001415F" w:rsidRPr="00B75955" w:rsidRDefault="0001415F" w:rsidP="00B75955">
            <w:pPr>
              <w:spacing w:after="60"/>
              <w:jc w:val="right"/>
              <w:rPr>
                <w:sz w:val="18"/>
                <w:szCs w:val="18"/>
                <w:lang w:val="en-CA"/>
              </w:rPr>
            </w:pPr>
            <w:r w:rsidRPr="00B75955">
              <w:rPr>
                <w:sz w:val="18"/>
                <w:szCs w:val="18"/>
                <w:lang w:val="en-CA"/>
              </w:rPr>
              <w:t>11,772.0</w:t>
            </w:r>
          </w:p>
        </w:tc>
        <w:tc>
          <w:tcPr>
            <w:tcW w:w="936" w:type="dxa"/>
            <w:shd w:val="clear" w:color="auto" w:fill="auto"/>
          </w:tcPr>
          <w:p w14:paraId="67F995F8" w14:textId="77777777" w:rsidR="0001415F" w:rsidRPr="00B75955" w:rsidRDefault="0001415F" w:rsidP="00B75955">
            <w:pPr>
              <w:spacing w:after="60"/>
              <w:jc w:val="right"/>
              <w:rPr>
                <w:sz w:val="18"/>
                <w:szCs w:val="18"/>
                <w:lang w:val="en-CA"/>
              </w:rPr>
            </w:pPr>
            <w:r w:rsidRPr="00B75955">
              <w:rPr>
                <w:sz w:val="18"/>
                <w:szCs w:val="18"/>
                <w:lang w:val="en-CA"/>
              </w:rPr>
              <w:t>*</w:t>
            </w:r>
          </w:p>
        </w:tc>
        <w:tc>
          <w:tcPr>
            <w:tcW w:w="798" w:type="dxa"/>
          </w:tcPr>
          <w:p w14:paraId="6CFB2B60" w14:textId="77777777" w:rsidR="0001415F" w:rsidRPr="00B75955" w:rsidRDefault="0001415F" w:rsidP="00B75955">
            <w:pPr>
              <w:spacing w:after="60"/>
              <w:jc w:val="right"/>
              <w:rPr>
                <w:sz w:val="18"/>
                <w:szCs w:val="18"/>
                <w:lang w:val="en-CA"/>
              </w:rPr>
            </w:pPr>
            <w:r w:rsidRPr="00B75955">
              <w:rPr>
                <w:sz w:val="18"/>
                <w:szCs w:val="18"/>
                <w:lang w:val="en-CA"/>
              </w:rPr>
              <w:t>*</w:t>
            </w:r>
          </w:p>
        </w:tc>
        <w:tc>
          <w:tcPr>
            <w:tcW w:w="798" w:type="dxa"/>
          </w:tcPr>
          <w:p w14:paraId="7ABBEB5F" w14:textId="77777777" w:rsidR="0001415F" w:rsidRPr="00B75955" w:rsidRDefault="0001415F" w:rsidP="00B75955">
            <w:pPr>
              <w:spacing w:after="60"/>
              <w:jc w:val="right"/>
              <w:rPr>
                <w:sz w:val="18"/>
                <w:szCs w:val="18"/>
                <w:lang w:val="en-CA"/>
              </w:rPr>
            </w:pPr>
            <w:r w:rsidRPr="00B75955">
              <w:rPr>
                <w:sz w:val="18"/>
                <w:szCs w:val="18"/>
                <w:lang w:val="en-CA"/>
              </w:rPr>
              <w:t>*</w:t>
            </w:r>
          </w:p>
        </w:tc>
        <w:tc>
          <w:tcPr>
            <w:tcW w:w="798" w:type="dxa"/>
          </w:tcPr>
          <w:p w14:paraId="16419220" w14:textId="77777777" w:rsidR="0001415F" w:rsidRPr="00B75955" w:rsidRDefault="0001415F" w:rsidP="00B75955">
            <w:pPr>
              <w:spacing w:after="60"/>
              <w:jc w:val="right"/>
              <w:rPr>
                <w:sz w:val="18"/>
                <w:szCs w:val="18"/>
                <w:lang w:val="en-CA"/>
              </w:rPr>
            </w:pPr>
            <w:r w:rsidRPr="00B75955">
              <w:rPr>
                <w:sz w:val="18"/>
                <w:szCs w:val="18"/>
                <w:lang w:val="en-CA"/>
              </w:rPr>
              <w:t>*</w:t>
            </w:r>
          </w:p>
        </w:tc>
        <w:tc>
          <w:tcPr>
            <w:tcW w:w="741" w:type="dxa"/>
          </w:tcPr>
          <w:p w14:paraId="6C8F9DC7" w14:textId="77777777" w:rsidR="0001415F" w:rsidRPr="00B75955" w:rsidRDefault="0001415F" w:rsidP="00B75955">
            <w:pPr>
              <w:spacing w:after="60"/>
              <w:jc w:val="right"/>
              <w:rPr>
                <w:sz w:val="18"/>
                <w:szCs w:val="18"/>
                <w:lang w:val="en-CA"/>
              </w:rPr>
            </w:pPr>
            <w:r w:rsidRPr="00B75955">
              <w:rPr>
                <w:sz w:val="18"/>
                <w:szCs w:val="18"/>
                <w:lang w:val="en-CA"/>
              </w:rPr>
              <w:t>*</w:t>
            </w:r>
          </w:p>
        </w:tc>
        <w:tc>
          <w:tcPr>
            <w:tcW w:w="741" w:type="dxa"/>
          </w:tcPr>
          <w:p w14:paraId="5CA4D86C" w14:textId="77777777" w:rsidR="0001415F" w:rsidRPr="00B75955" w:rsidRDefault="0001415F" w:rsidP="00B75955">
            <w:pPr>
              <w:spacing w:after="60"/>
              <w:jc w:val="right"/>
              <w:rPr>
                <w:sz w:val="18"/>
                <w:szCs w:val="18"/>
                <w:lang w:val="en-CA"/>
              </w:rPr>
            </w:pPr>
            <w:r w:rsidRPr="00B75955">
              <w:rPr>
                <w:sz w:val="18"/>
                <w:szCs w:val="18"/>
                <w:lang w:val="en-CA"/>
              </w:rPr>
              <w:t>*</w:t>
            </w:r>
          </w:p>
        </w:tc>
        <w:tc>
          <w:tcPr>
            <w:tcW w:w="1026" w:type="dxa"/>
            <w:shd w:val="clear" w:color="auto" w:fill="auto"/>
          </w:tcPr>
          <w:p w14:paraId="3B0F8E43" w14:textId="77777777" w:rsidR="0001415F" w:rsidRPr="00B75955" w:rsidRDefault="0001415F" w:rsidP="00B75955">
            <w:pPr>
              <w:spacing w:after="60"/>
              <w:jc w:val="right"/>
              <w:rPr>
                <w:sz w:val="18"/>
                <w:szCs w:val="18"/>
                <w:lang w:val="en-CA"/>
              </w:rPr>
            </w:pPr>
            <w:r w:rsidRPr="00B75955">
              <w:rPr>
                <w:sz w:val="18"/>
                <w:szCs w:val="18"/>
                <w:lang w:val="en-CA"/>
              </w:rPr>
              <w:t>n/a</w:t>
            </w:r>
          </w:p>
        </w:tc>
      </w:tr>
      <w:tr w:rsidR="0001415F" w:rsidRPr="00B75955" w14:paraId="1A3C88E3" w14:textId="77777777" w:rsidTr="00B75955">
        <w:tc>
          <w:tcPr>
            <w:tcW w:w="876" w:type="dxa"/>
            <w:vMerge w:val="restart"/>
            <w:shd w:val="clear" w:color="auto" w:fill="auto"/>
          </w:tcPr>
          <w:p w14:paraId="23E1B88D" w14:textId="77777777" w:rsidR="0001415F" w:rsidRPr="00B75955" w:rsidRDefault="0001415F" w:rsidP="00B75955">
            <w:pPr>
              <w:spacing w:after="60"/>
              <w:rPr>
                <w:sz w:val="18"/>
                <w:szCs w:val="18"/>
                <w:lang w:val="en-CA"/>
              </w:rPr>
            </w:pPr>
            <w:r w:rsidRPr="00B75955">
              <w:rPr>
                <w:sz w:val="18"/>
                <w:szCs w:val="18"/>
                <w:lang w:val="en-CA"/>
              </w:rPr>
              <w:t>Agreed funding (US $)</w:t>
            </w:r>
          </w:p>
        </w:tc>
        <w:tc>
          <w:tcPr>
            <w:tcW w:w="887" w:type="dxa"/>
            <w:vMerge w:val="restart"/>
            <w:shd w:val="clear" w:color="auto" w:fill="auto"/>
          </w:tcPr>
          <w:p w14:paraId="2571BCA9" w14:textId="77777777" w:rsidR="0001415F" w:rsidRPr="00B75955" w:rsidRDefault="0001415F" w:rsidP="00B75955">
            <w:pPr>
              <w:spacing w:after="60"/>
              <w:jc w:val="left"/>
              <w:rPr>
                <w:sz w:val="18"/>
                <w:szCs w:val="18"/>
                <w:lang w:val="en-CA"/>
              </w:rPr>
            </w:pPr>
            <w:r w:rsidRPr="00B75955">
              <w:rPr>
                <w:sz w:val="18"/>
                <w:szCs w:val="18"/>
                <w:lang w:val="en-CA"/>
              </w:rPr>
              <w:t>UNEP</w:t>
            </w:r>
          </w:p>
        </w:tc>
        <w:tc>
          <w:tcPr>
            <w:tcW w:w="829" w:type="dxa"/>
            <w:shd w:val="clear" w:color="auto" w:fill="auto"/>
          </w:tcPr>
          <w:p w14:paraId="175F6528" w14:textId="77777777" w:rsidR="0001415F" w:rsidRPr="00B75955" w:rsidRDefault="0001415F" w:rsidP="00B75955">
            <w:pPr>
              <w:spacing w:after="60"/>
              <w:rPr>
                <w:sz w:val="18"/>
                <w:szCs w:val="18"/>
                <w:lang w:val="en-CA"/>
              </w:rPr>
            </w:pPr>
            <w:r w:rsidRPr="00B75955">
              <w:rPr>
                <w:sz w:val="18"/>
                <w:szCs w:val="18"/>
                <w:lang w:val="en-CA"/>
              </w:rPr>
              <w:t>Project costs</w:t>
            </w:r>
          </w:p>
        </w:tc>
        <w:tc>
          <w:tcPr>
            <w:tcW w:w="936" w:type="dxa"/>
            <w:shd w:val="clear" w:color="auto" w:fill="auto"/>
          </w:tcPr>
          <w:p w14:paraId="41B86721" w14:textId="77777777" w:rsidR="0001415F" w:rsidRPr="00B75955" w:rsidRDefault="0001415F" w:rsidP="00B75955">
            <w:pPr>
              <w:spacing w:after="60"/>
              <w:jc w:val="right"/>
              <w:rPr>
                <w:sz w:val="18"/>
                <w:szCs w:val="18"/>
                <w:lang w:val="en-CA"/>
              </w:rPr>
            </w:pPr>
            <w:r w:rsidRPr="00B75955">
              <w:rPr>
                <w:sz w:val="18"/>
                <w:szCs w:val="18"/>
                <w:lang w:val="en-CA"/>
              </w:rPr>
              <w:t>3,299,132</w:t>
            </w:r>
          </w:p>
        </w:tc>
        <w:tc>
          <w:tcPr>
            <w:tcW w:w="936" w:type="dxa"/>
            <w:shd w:val="clear" w:color="auto" w:fill="auto"/>
          </w:tcPr>
          <w:p w14:paraId="5A592E49" w14:textId="77777777" w:rsidR="0001415F" w:rsidRPr="00B75955" w:rsidRDefault="0001415F" w:rsidP="00B75955">
            <w:pPr>
              <w:spacing w:after="60"/>
              <w:jc w:val="right"/>
              <w:rPr>
                <w:sz w:val="18"/>
                <w:szCs w:val="18"/>
                <w:lang w:val="en-CA"/>
              </w:rPr>
            </w:pPr>
            <w:r w:rsidRPr="00B75955">
              <w:rPr>
                <w:sz w:val="18"/>
                <w:szCs w:val="18"/>
                <w:lang w:val="en-CA"/>
              </w:rPr>
              <w:t>2,570,000</w:t>
            </w:r>
          </w:p>
        </w:tc>
        <w:tc>
          <w:tcPr>
            <w:tcW w:w="1116" w:type="dxa"/>
            <w:shd w:val="clear" w:color="auto" w:fill="auto"/>
          </w:tcPr>
          <w:p w14:paraId="2A51836F" w14:textId="77777777" w:rsidR="0001415F" w:rsidRPr="00B75955" w:rsidRDefault="0001415F" w:rsidP="00B75955">
            <w:pPr>
              <w:spacing w:after="60"/>
              <w:jc w:val="right"/>
              <w:rPr>
                <w:sz w:val="18"/>
                <w:szCs w:val="18"/>
                <w:lang w:val="en-CA"/>
              </w:rPr>
            </w:pPr>
            <w:r w:rsidRPr="00B75955">
              <w:rPr>
                <w:sz w:val="18"/>
                <w:szCs w:val="18"/>
                <w:lang w:val="en-CA"/>
              </w:rPr>
              <w:t>3,270,000</w:t>
            </w:r>
          </w:p>
        </w:tc>
        <w:tc>
          <w:tcPr>
            <w:tcW w:w="936" w:type="dxa"/>
            <w:shd w:val="clear" w:color="auto" w:fill="auto"/>
          </w:tcPr>
          <w:p w14:paraId="142BF5CB" w14:textId="77777777" w:rsidR="0001415F" w:rsidRPr="00B75955" w:rsidRDefault="0001415F" w:rsidP="00B75955">
            <w:pPr>
              <w:spacing w:after="60"/>
              <w:jc w:val="right"/>
              <w:rPr>
                <w:sz w:val="18"/>
                <w:szCs w:val="18"/>
                <w:lang w:val="en-CA"/>
              </w:rPr>
            </w:pPr>
            <w:r w:rsidRPr="00B75955">
              <w:rPr>
                <w:sz w:val="18"/>
                <w:szCs w:val="18"/>
                <w:lang w:val="en-CA"/>
              </w:rPr>
              <w:t>3,370,000</w:t>
            </w:r>
          </w:p>
        </w:tc>
        <w:tc>
          <w:tcPr>
            <w:tcW w:w="936" w:type="dxa"/>
            <w:shd w:val="clear" w:color="auto" w:fill="auto"/>
          </w:tcPr>
          <w:p w14:paraId="7581369F" w14:textId="77777777" w:rsidR="0001415F" w:rsidRPr="00B75955" w:rsidRDefault="0001415F" w:rsidP="00B75955">
            <w:pPr>
              <w:spacing w:after="60"/>
              <w:jc w:val="right"/>
              <w:rPr>
                <w:sz w:val="18"/>
                <w:szCs w:val="18"/>
                <w:lang w:val="en-CA"/>
              </w:rPr>
            </w:pPr>
            <w:r w:rsidRPr="00B75955">
              <w:rPr>
                <w:sz w:val="18"/>
                <w:szCs w:val="18"/>
                <w:lang w:val="en-CA"/>
              </w:rPr>
              <w:t>3,570,000</w:t>
            </w:r>
          </w:p>
        </w:tc>
        <w:tc>
          <w:tcPr>
            <w:tcW w:w="936" w:type="dxa"/>
            <w:shd w:val="clear" w:color="auto" w:fill="auto"/>
          </w:tcPr>
          <w:p w14:paraId="791975B5" w14:textId="77777777" w:rsidR="0001415F" w:rsidRPr="00B75955" w:rsidRDefault="0001415F" w:rsidP="00B75955">
            <w:pPr>
              <w:spacing w:after="60"/>
              <w:jc w:val="right"/>
              <w:rPr>
                <w:sz w:val="18"/>
                <w:szCs w:val="18"/>
                <w:lang w:val="en-CA"/>
              </w:rPr>
            </w:pPr>
            <w:r w:rsidRPr="00B75955">
              <w:rPr>
                <w:sz w:val="18"/>
                <w:szCs w:val="18"/>
                <w:lang w:val="en-CA"/>
              </w:rPr>
              <w:t>2,810,868</w:t>
            </w:r>
          </w:p>
        </w:tc>
        <w:tc>
          <w:tcPr>
            <w:tcW w:w="798" w:type="dxa"/>
          </w:tcPr>
          <w:p w14:paraId="60C59C02"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17FEF14A"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2A7B6153"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5A5184E4"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04641392"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1026" w:type="dxa"/>
            <w:shd w:val="clear" w:color="auto" w:fill="auto"/>
          </w:tcPr>
          <w:p w14:paraId="0E4F7B5E" w14:textId="77777777" w:rsidR="0001415F" w:rsidRPr="00B75955" w:rsidRDefault="0001415F" w:rsidP="00B75955">
            <w:pPr>
              <w:spacing w:after="60"/>
              <w:jc w:val="right"/>
              <w:rPr>
                <w:sz w:val="18"/>
                <w:szCs w:val="18"/>
                <w:lang w:val="en-CA"/>
              </w:rPr>
            </w:pPr>
            <w:r w:rsidRPr="00B75955">
              <w:rPr>
                <w:sz w:val="18"/>
                <w:szCs w:val="18"/>
                <w:lang w:val="en-CA"/>
              </w:rPr>
              <w:t>18,890,000</w:t>
            </w:r>
          </w:p>
        </w:tc>
      </w:tr>
      <w:tr w:rsidR="0001415F" w:rsidRPr="00B75955" w14:paraId="23E31CF8" w14:textId="77777777" w:rsidTr="00B75955">
        <w:tc>
          <w:tcPr>
            <w:tcW w:w="876" w:type="dxa"/>
            <w:vMerge/>
            <w:shd w:val="clear" w:color="auto" w:fill="auto"/>
          </w:tcPr>
          <w:p w14:paraId="1F5C27BC" w14:textId="77777777" w:rsidR="0001415F" w:rsidRPr="00B75955" w:rsidRDefault="0001415F" w:rsidP="00B75955">
            <w:pPr>
              <w:spacing w:after="60"/>
              <w:jc w:val="center"/>
              <w:rPr>
                <w:sz w:val="18"/>
                <w:szCs w:val="18"/>
                <w:lang w:val="en-CA"/>
              </w:rPr>
            </w:pPr>
          </w:p>
        </w:tc>
        <w:tc>
          <w:tcPr>
            <w:tcW w:w="887" w:type="dxa"/>
            <w:vMerge/>
            <w:shd w:val="clear" w:color="auto" w:fill="auto"/>
          </w:tcPr>
          <w:p w14:paraId="2D6D24C6" w14:textId="77777777" w:rsidR="0001415F" w:rsidRPr="00B75955" w:rsidRDefault="0001415F" w:rsidP="00B75955">
            <w:pPr>
              <w:spacing w:after="60"/>
              <w:jc w:val="center"/>
              <w:rPr>
                <w:sz w:val="18"/>
                <w:szCs w:val="18"/>
                <w:lang w:val="en-CA"/>
              </w:rPr>
            </w:pPr>
          </w:p>
        </w:tc>
        <w:tc>
          <w:tcPr>
            <w:tcW w:w="829" w:type="dxa"/>
            <w:shd w:val="clear" w:color="auto" w:fill="auto"/>
          </w:tcPr>
          <w:p w14:paraId="4F2892BA" w14:textId="77777777" w:rsidR="0001415F" w:rsidRPr="00B75955" w:rsidRDefault="0001415F" w:rsidP="00B75955">
            <w:pPr>
              <w:spacing w:after="60"/>
              <w:rPr>
                <w:sz w:val="18"/>
                <w:szCs w:val="18"/>
                <w:lang w:val="en-CA"/>
              </w:rPr>
            </w:pPr>
            <w:r w:rsidRPr="00B75955">
              <w:rPr>
                <w:sz w:val="18"/>
                <w:szCs w:val="18"/>
                <w:lang w:val="en-CA"/>
              </w:rPr>
              <w:t>Support costs</w:t>
            </w:r>
          </w:p>
        </w:tc>
        <w:tc>
          <w:tcPr>
            <w:tcW w:w="936" w:type="dxa"/>
            <w:shd w:val="clear" w:color="auto" w:fill="auto"/>
          </w:tcPr>
          <w:p w14:paraId="6291B865" w14:textId="77777777" w:rsidR="0001415F" w:rsidRPr="00B75955" w:rsidRDefault="0001415F" w:rsidP="00B75955">
            <w:pPr>
              <w:spacing w:after="60"/>
              <w:jc w:val="right"/>
              <w:rPr>
                <w:sz w:val="18"/>
                <w:szCs w:val="18"/>
                <w:lang w:val="en-CA"/>
              </w:rPr>
            </w:pPr>
            <w:r w:rsidRPr="00B75955">
              <w:rPr>
                <w:sz w:val="18"/>
                <w:szCs w:val="18"/>
                <w:lang w:val="en-CA"/>
              </w:rPr>
              <w:t>364,651</w:t>
            </w:r>
          </w:p>
        </w:tc>
        <w:tc>
          <w:tcPr>
            <w:tcW w:w="936" w:type="dxa"/>
            <w:shd w:val="clear" w:color="auto" w:fill="auto"/>
          </w:tcPr>
          <w:p w14:paraId="0B5BD7D5" w14:textId="77777777" w:rsidR="0001415F" w:rsidRPr="00B75955" w:rsidRDefault="0001415F" w:rsidP="00B75955">
            <w:pPr>
              <w:spacing w:after="60"/>
              <w:jc w:val="right"/>
              <w:rPr>
                <w:sz w:val="18"/>
                <w:szCs w:val="18"/>
                <w:lang w:val="en-CA"/>
              </w:rPr>
            </w:pPr>
            <w:r w:rsidRPr="00B75955">
              <w:rPr>
                <w:sz w:val="18"/>
                <w:szCs w:val="18"/>
                <w:lang w:val="en-CA"/>
              </w:rPr>
              <w:t>284,061</w:t>
            </w:r>
          </w:p>
        </w:tc>
        <w:tc>
          <w:tcPr>
            <w:tcW w:w="1116" w:type="dxa"/>
            <w:shd w:val="clear" w:color="auto" w:fill="auto"/>
          </w:tcPr>
          <w:p w14:paraId="5D73B163" w14:textId="77777777" w:rsidR="0001415F" w:rsidRPr="00B75955" w:rsidRDefault="0001415F" w:rsidP="00B75955">
            <w:pPr>
              <w:spacing w:after="60"/>
              <w:jc w:val="right"/>
              <w:rPr>
                <w:sz w:val="18"/>
                <w:szCs w:val="18"/>
                <w:lang w:val="en-CA"/>
              </w:rPr>
            </w:pPr>
            <w:r w:rsidRPr="00B75955">
              <w:rPr>
                <w:sz w:val="18"/>
                <w:szCs w:val="18"/>
                <w:lang w:val="en-CA"/>
              </w:rPr>
              <w:t>361,431</w:t>
            </w:r>
          </w:p>
        </w:tc>
        <w:tc>
          <w:tcPr>
            <w:tcW w:w="936" w:type="dxa"/>
            <w:shd w:val="clear" w:color="auto" w:fill="auto"/>
          </w:tcPr>
          <w:p w14:paraId="3A6906D8" w14:textId="77777777" w:rsidR="0001415F" w:rsidRPr="00B75955" w:rsidRDefault="0001415F" w:rsidP="00B75955">
            <w:pPr>
              <w:spacing w:after="60"/>
              <w:jc w:val="right"/>
              <w:rPr>
                <w:sz w:val="18"/>
                <w:szCs w:val="18"/>
                <w:lang w:val="en-CA"/>
              </w:rPr>
            </w:pPr>
            <w:r w:rsidRPr="00B75955">
              <w:rPr>
                <w:sz w:val="18"/>
                <w:szCs w:val="18"/>
                <w:lang w:val="en-CA"/>
              </w:rPr>
              <w:t>372,484</w:t>
            </w:r>
          </w:p>
        </w:tc>
        <w:tc>
          <w:tcPr>
            <w:tcW w:w="936" w:type="dxa"/>
            <w:shd w:val="clear" w:color="auto" w:fill="auto"/>
          </w:tcPr>
          <w:p w14:paraId="6A386B2D" w14:textId="77777777" w:rsidR="0001415F" w:rsidRPr="00B75955" w:rsidRDefault="0001415F" w:rsidP="00B75955">
            <w:pPr>
              <w:spacing w:after="60"/>
              <w:jc w:val="right"/>
              <w:rPr>
                <w:sz w:val="18"/>
                <w:szCs w:val="18"/>
                <w:lang w:val="en-CA"/>
              </w:rPr>
            </w:pPr>
            <w:r w:rsidRPr="00B75955">
              <w:rPr>
                <w:sz w:val="18"/>
                <w:szCs w:val="18"/>
                <w:lang w:val="en-CA"/>
              </w:rPr>
              <w:t>394,590</w:t>
            </w:r>
          </w:p>
        </w:tc>
        <w:tc>
          <w:tcPr>
            <w:tcW w:w="936" w:type="dxa"/>
            <w:shd w:val="clear" w:color="auto" w:fill="auto"/>
          </w:tcPr>
          <w:p w14:paraId="11748DF8" w14:textId="77777777" w:rsidR="0001415F" w:rsidRPr="00B75955" w:rsidRDefault="0001415F" w:rsidP="00B75955">
            <w:pPr>
              <w:spacing w:after="60"/>
              <w:jc w:val="right"/>
              <w:rPr>
                <w:sz w:val="18"/>
                <w:szCs w:val="18"/>
                <w:lang w:val="en-CA"/>
              </w:rPr>
            </w:pPr>
            <w:r w:rsidRPr="00B75955">
              <w:rPr>
                <w:sz w:val="18"/>
                <w:szCs w:val="18"/>
                <w:lang w:val="en-CA"/>
              </w:rPr>
              <w:t>310,684</w:t>
            </w:r>
          </w:p>
        </w:tc>
        <w:tc>
          <w:tcPr>
            <w:tcW w:w="798" w:type="dxa"/>
          </w:tcPr>
          <w:p w14:paraId="3F7716CB"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56B25052"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11C04D2F"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195DAD10"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39C50000"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1026" w:type="dxa"/>
            <w:shd w:val="clear" w:color="auto" w:fill="auto"/>
          </w:tcPr>
          <w:p w14:paraId="559DDAE3" w14:textId="77777777" w:rsidR="0001415F" w:rsidRPr="00B75955" w:rsidRDefault="0001415F" w:rsidP="00B75955">
            <w:pPr>
              <w:spacing w:after="60"/>
              <w:jc w:val="right"/>
              <w:rPr>
                <w:sz w:val="18"/>
                <w:szCs w:val="18"/>
                <w:lang w:val="en-CA"/>
              </w:rPr>
            </w:pPr>
            <w:r w:rsidRPr="00B75955">
              <w:rPr>
                <w:sz w:val="18"/>
                <w:szCs w:val="18"/>
                <w:lang w:val="en-CA"/>
              </w:rPr>
              <w:t>2,087,900</w:t>
            </w:r>
          </w:p>
        </w:tc>
      </w:tr>
      <w:tr w:rsidR="0001415F" w:rsidRPr="00B75955" w14:paraId="0BB3363E" w14:textId="77777777" w:rsidTr="00B75955">
        <w:tc>
          <w:tcPr>
            <w:tcW w:w="876" w:type="dxa"/>
            <w:vMerge/>
            <w:shd w:val="clear" w:color="auto" w:fill="auto"/>
          </w:tcPr>
          <w:p w14:paraId="5ADB1C27" w14:textId="77777777" w:rsidR="0001415F" w:rsidRPr="00B75955" w:rsidRDefault="0001415F" w:rsidP="00B75955">
            <w:pPr>
              <w:spacing w:after="60"/>
              <w:jc w:val="center"/>
              <w:rPr>
                <w:sz w:val="18"/>
                <w:szCs w:val="18"/>
                <w:lang w:val="en-CA"/>
              </w:rPr>
            </w:pPr>
          </w:p>
        </w:tc>
        <w:tc>
          <w:tcPr>
            <w:tcW w:w="887" w:type="dxa"/>
            <w:vMerge w:val="restart"/>
            <w:shd w:val="clear" w:color="auto" w:fill="auto"/>
          </w:tcPr>
          <w:p w14:paraId="22D3D7A4" w14:textId="77777777" w:rsidR="0001415F" w:rsidRPr="00B75955" w:rsidRDefault="0001415F" w:rsidP="00B75955">
            <w:pPr>
              <w:spacing w:after="60"/>
              <w:jc w:val="center"/>
              <w:rPr>
                <w:sz w:val="18"/>
                <w:szCs w:val="18"/>
                <w:lang w:val="en-CA"/>
              </w:rPr>
            </w:pPr>
            <w:r w:rsidRPr="00B75955">
              <w:rPr>
                <w:sz w:val="18"/>
                <w:szCs w:val="18"/>
                <w:lang w:val="en-CA"/>
              </w:rPr>
              <w:t>Germany</w:t>
            </w:r>
          </w:p>
        </w:tc>
        <w:tc>
          <w:tcPr>
            <w:tcW w:w="829" w:type="dxa"/>
            <w:shd w:val="clear" w:color="auto" w:fill="auto"/>
          </w:tcPr>
          <w:p w14:paraId="34046F64" w14:textId="77777777" w:rsidR="0001415F" w:rsidRPr="00B75955" w:rsidRDefault="0001415F" w:rsidP="00B75955">
            <w:pPr>
              <w:spacing w:after="60"/>
              <w:rPr>
                <w:sz w:val="18"/>
                <w:szCs w:val="18"/>
                <w:lang w:val="en-CA"/>
              </w:rPr>
            </w:pPr>
            <w:r w:rsidRPr="00B75955">
              <w:rPr>
                <w:sz w:val="18"/>
                <w:szCs w:val="18"/>
                <w:lang w:val="en-CA"/>
              </w:rPr>
              <w:t>Project costs</w:t>
            </w:r>
          </w:p>
        </w:tc>
        <w:tc>
          <w:tcPr>
            <w:tcW w:w="936" w:type="dxa"/>
            <w:shd w:val="clear" w:color="auto" w:fill="auto"/>
          </w:tcPr>
          <w:p w14:paraId="29322DBD" w14:textId="77777777" w:rsidR="0001415F" w:rsidRPr="00B75955" w:rsidRDefault="0001415F" w:rsidP="00B75955">
            <w:pPr>
              <w:spacing w:after="60"/>
              <w:jc w:val="right"/>
              <w:rPr>
                <w:sz w:val="18"/>
                <w:szCs w:val="18"/>
                <w:lang w:val="en-CA"/>
              </w:rPr>
            </w:pPr>
            <w:r w:rsidRPr="00B75955">
              <w:rPr>
                <w:sz w:val="18"/>
                <w:szCs w:val="18"/>
                <w:lang w:val="en-CA"/>
              </w:rPr>
              <w:t>300,000</w:t>
            </w:r>
          </w:p>
        </w:tc>
        <w:tc>
          <w:tcPr>
            <w:tcW w:w="936" w:type="dxa"/>
            <w:shd w:val="clear" w:color="auto" w:fill="auto"/>
          </w:tcPr>
          <w:p w14:paraId="05118068"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1116" w:type="dxa"/>
            <w:shd w:val="clear" w:color="auto" w:fill="auto"/>
          </w:tcPr>
          <w:p w14:paraId="0B77D9F8" w14:textId="77777777" w:rsidR="0001415F" w:rsidRPr="00B75955" w:rsidRDefault="0001415F" w:rsidP="00B75955">
            <w:pPr>
              <w:spacing w:after="60"/>
              <w:jc w:val="right"/>
              <w:rPr>
                <w:sz w:val="18"/>
                <w:szCs w:val="18"/>
                <w:lang w:val="en-CA"/>
              </w:rPr>
            </w:pPr>
            <w:r w:rsidRPr="00B75955">
              <w:rPr>
                <w:sz w:val="18"/>
                <w:szCs w:val="18"/>
                <w:lang w:val="en-CA"/>
              </w:rPr>
              <w:t>300,000</w:t>
            </w:r>
          </w:p>
        </w:tc>
        <w:tc>
          <w:tcPr>
            <w:tcW w:w="936" w:type="dxa"/>
            <w:shd w:val="clear" w:color="auto" w:fill="auto"/>
          </w:tcPr>
          <w:p w14:paraId="0FF1BDD0" w14:textId="77777777" w:rsidR="0001415F" w:rsidRPr="00B75955" w:rsidRDefault="0001415F" w:rsidP="00B75955">
            <w:pPr>
              <w:spacing w:after="60"/>
              <w:jc w:val="right"/>
              <w:rPr>
                <w:sz w:val="18"/>
                <w:szCs w:val="18"/>
                <w:lang w:val="en-CA"/>
              </w:rPr>
            </w:pPr>
            <w:r w:rsidRPr="00B75955">
              <w:rPr>
                <w:sz w:val="18"/>
                <w:szCs w:val="18"/>
                <w:lang w:val="en-CA"/>
              </w:rPr>
              <w:t>200,000</w:t>
            </w:r>
          </w:p>
        </w:tc>
        <w:tc>
          <w:tcPr>
            <w:tcW w:w="936" w:type="dxa"/>
            <w:shd w:val="clear" w:color="auto" w:fill="auto"/>
          </w:tcPr>
          <w:p w14:paraId="480B8950"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936" w:type="dxa"/>
            <w:shd w:val="clear" w:color="auto" w:fill="auto"/>
          </w:tcPr>
          <w:p w14:paraId="7D9F971A" w14:textId="77777777" w:rsidR="0001415F" w:rsidRPr="00B75955" w:rsidRDefault="0001415F" w:rsidP="00B75955">
            <w:pPr>
              <w:spacing w:after="60"/>
              <w:jc w:val="right"/>
              <w:rPr>
                <w:sz w:val="18"/>
                <w:szCs w:val="18"/>
                <w:lang w:val="en-CA"/>
              </w:rPr>
            </w:pPr>
            <w:r w:rsidRPr="00B75955">
              <w:rPr>
                <w:sz w:val="18"/>
                <w:szCs w:val="18"/>
                <w:lang w:val="en-CA"/>
              </w:rPr>
              <w:t>200,000</w:t>
            </w:r>
          </w:p>
        </w:tc>
        <w:tc>
          <w:tcPr>
            <w:tcW w:w="798" w:type="dxa"/>
          </w:tcPr>
          <w:p w14:paraId="6E74C6DD"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10FE0765"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7C6E71F3"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34166353"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59ED3E4B"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1026" w:type="dxa"/>
            <w:shd w:val="clear" w:color="auto" w:fill="auto"/>
          </w:tcPr>
          <w:p w14:paraId="7D7BA699" w14:textId="77777777" w:rsidR="0001415F" w:rsidRPr="00B75955" w:rsidRDefault="0001415F" w:rsidP="00B75955">
            <w:pPr>
              <w:spacing w:after="60"/>
              <w:jc w:val="right"/>
              <w:rPr>
                <w:sz w:val="18"/>
                <w:szCs w:val="18"/>
                <w:lang w:val="en-CA"/>
              </w:rPr>
            </w:pPr>
            <w:r w:rsidRPr="00B75955">
              <w:rPr>
                <w:sz w:val="18"/>
                <w:szCs w:val="18"/>
                <w:lang w:val="en-CA"/>
              </w:rPr>
              <w:t>1,000,000</w:t>
            </w:r>
          </w:p>
        </w:tc>
      </w:tr>
      <w:tr w:rsidR="0001415F" w:rsidRPr="00B75955" w14:paraId="01332210" w14:textId="77777777" w:rsidTr="00B75955">
        <w:tc>
          <w:tcPr>
            <w:tcW w:w="876" w:type="dxa"/>
            <w:vMerge/>
            <w:shd w:val="clear" w:color="auto" w:fill="auto"/>
          </w:tcPr>
          <w:p w14:paraId="7534A955" w14:textId="77777777" w:rsidR="0001415F" w:rsidRPr="00B75955" w:rsidRDefault="0001415F" w:rsidP="00B75955">
            <w:pPr>
              <w:spacing w:after="60"/>
              <w:jc w:val="center"/>
              <w:rPr>
                <w:sz w:val="18"/>
                <w:szCs w:val="18"/>
                <w:lang w:val="en-CA"/>
              </w:rPr>
            </w:pPr>
          </w:p>
        </w:tc>
        <w:tc>
          <w:tcPr>
            <w:tcW w:w="887" w:type="dxa"/>
            <w:vMerge/>
            <w:shd w:val="clear" w:color="auto" w:fill="auto"/>
          </w:tcPr>
          <w:p w14:paraId="005126A8" w14:textId="77777777" w:rsidR="0001415F" w:rsidRPr="00B75955" w:rsidRDefault="0001415F" w:rsidP="00B75955">
            <w:pPr>
              <w:spacing w:after="60"/>
              <w:jc w:val="center"/>
              <w:rPr>
                <w:sz w:val="18"/>
                <w:szCs w:val="18"/>
                <w:lang w:val="en-CA"/>
              </w:rPr>
            </w:pPr>
          </w:p>
        </w:tc>
        <w:tc>
          <w:tcPr>
            <w:tcW w:w="829" w:type="dxa"/>
            <w:shd w:val="clear" w:color="auto" w:fill="auto"/>
          </w:tcPr>
          <w:p w14:paraId="4444A969" w14:textId="77777777" w:rsidR="0001415F" w:rsidRPr="00B75955" w:rsidRDefault="0001415F" w:rsidP="00B75955">
            <w:pPr>
              <w:spacing w:after="60"/>
              <w:rPr>
                <w:sz w:val="18"/>
                <w:szCs w:val="18"/>
                <w:lang w:val="en-CA"/>
              </w:rPr>
            </w:pPr>
            <w:r w:rsidRPr="00B75955">
              <w:rPr>
                <w:sz w:val="18"/>
                <w:szCs w:val="18"/>
                <w:lang w:val="en-CA"/>
              </w:rPr>
              <w:t>Support costs</w:t>
            </w:r>
          </w:p>
        </w:tc>
        <w:tc>
          <w:tcPr>
            <w:tcW w:w="936" w:type="dxa"/>
            <w:shd w:val="clear" w:color="auto" w:fill="auto"/>
          </w:tcPr>
          <w:p w14:paraId="19240BB2" w14:textId="77777777" w:rsidR="0001415F" w:rsidRPr="00B75955" w:rsidRDefault="0001415F" w:rsidP="00B75955">
            <w:pPr>
              <w:spacing w:after="60"/>
              <w:jc w:val="right"/>
              <w:rPr>
                <w:sz w:val="18"/>
                <w:szCs w:val="18"/>
                <w:lang w:val="en-CA"/>
              </w:rPr>
            </w:pPr>
            <w:r w:rsidRPr="00B75955">
              <w:rPr>
                <w:sz w:val="18"/>
                <w:szCs w:val="18"/>
                <w:lang w:val="en-CA"/>
              </w:rPr>
              <w:t>36,000</w:t>
            </w:r>
          </w:p>
        </w:tc>
        <w:tc>
          <w:tcPr>
            <w:tcW w:w="936" w:type="dxa"/>
            <w:shd w:val="clear" w:color="auto" w:fill="auto"/>
          </w:tcPr>
          <w:p w14:paraId="16E178C5"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1116" w:type="dxa"/>
            <w:shd w:val="clear" w:color="auto" w:fill="auto"/>
          </w:tcPr>
          <w:p w14:paraId="62E2CD85" w14:textId="77777777" w:rsidR="0001415F" w:rsidRPr="00B75955" w:rsidRDefault="0001415F" w:rsidP="00B75955">
            <w:pPr>
              <w:spacing w:after="60"/>
              <w:jc w:val="right"/>
              <w:rPr>
                <w:sz w:val="18"/>
                <w:szCs w:val="18"/>
                <w:lang w:val="en-CA"/>
              </w:rPr>
            </w:pPr>
            <w:r w:rsidRPr="00B75955">
              <w:rPr>
                <w:sz w:val="18"/>
                <w:szCs w:val="18"/>
                <w:lang w:val="en-CA"/>
              </w:rPr>
              <w:t>36,000</w:t>
            </w:r>
          </w:p>
        </w:tc>
        <w:tc>
          <w:tcPr>
            <w:tcW w:w="936" w:type="dxa"/>
            <w:shd w:val="clear" w:color="auto" w:fill="auto"/>
          </w:tcPr>
          <w:p w14:paraId="31F34ABF" w14:textId="77777777" w:rsidR="0001415F" w:rsidRPr="00B75955" w:rsidRDefault="0001415F" w:rsidP="00B75955">
            <w:pPr>
              <w:spacing w:after="60"/>
              <w:jc w:val="right"/>
              <w:rPr>
                <w:sz w:val="18"/>
                <w:szCs w:val="18"/>
                <w:lang w:val="en-CA"/>
              </w:rPr>
            </w:pPr>
            <w:r w:rsidRPr="00B75955">
              <w:rPr>
                <w:sz w:val="18"/>
                <w:szCs w:val="18"/>
                <w:lang w:val="en-CA"/>
              </w:rPr>
              <w:t>24,000</w:t>
            </w:r>
          </w:p>
        </w:tc>
        <w:tc>
          <w:tcPr>
            <w:tcW w:w="936" w:type="dxa"/>
            <w:shd w:val="clear" w:color="auto" w:fill="auto"/>
          </w:tcPr>
          <w:p w14:paraId="5D875CA6"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936" w:type="dxa"/>
            <w:shd w:val="clear" w:color="auto" w:fill="auto"/>
          </w:tcPr>
          <w:p w14:paraId="2CFA2F49" w14:textId="77777777" w:rsidR="0001415F" w:rsidRPr="00B75955" w:rsidRDefault="0001415F" w:rsidP="00B75955">
            <w:pPr>
              <w:spacing w:after="60"/>
              <w:jc w:val="right"/>
              <w:rPr>
                <w:sz w:val="18"/>
                <w:szCs w:val="18"/>
                <w:lang w:val="en-CA"/>
              </w:rPr>
            </w:pPr>
            <w:r w:rsidRPr="00B75955">
              <w:rPr>
                <w:sz w:val="18"/>
                <w:szCs w:val="18"/>
                <w:lang w:val="en-CA"/>
              </w:rPr>
              <w:t>24,000</w:t>
            </w:r>
          </w:p>
        </w:tc>
        <w:tc>
          <w:tcPr>
            <w:tcW w:w="798" w:type="dxa"/>
          </w:tcPr>
          <w:p w14:paraId="14F4DB57"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108F4797"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63BA1B0F"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75ACF8EB"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07D653D9"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1026" w:type="dxa"/>
            <w:shd w:val="clear" w:color="auto" w:fill="auto"/>
          </w:tcPr>
          <w:p w14:paraId="445B64B4" w14:textId="77777777" w:rsidR="0001415F" w:rsidRPr="00B75955" w:rsidRDefault="0001415F" w:rsidP="00B75955">
            <w:pPr>
              <w:spacing w:after="60"/>
              <w:jc w:val="right"/>
              <w:rPr>
                <w:sz w:val="18"/>
                <w:szCs w:val="18"/>
                <w:lang w:val="en-CA"/>
              </w:rPr>
            </w:pPr>
            <w:r w:rsidRPr="00B75955">
              <w:rPr>
                <w:sz w:val="18"/>
                <w:szCs w:val="18"/>
                <w:lang w:val="en-CA"/>
              </w:rPr>
              <w:t>120,000</w:t>
            </w:r>
          </w:p>
        </w:tc>
      </w:tr>
      <w:tr w:rsidR="0001415F" w:rsidRPr="00B75955" w14:paraId="31695EE0" w14:textId="77777777" w:rsidTr="00B75955">
        <w:tc>
          <w:tcPr>
            <w:tcW w:w="876" w:type="dxa"/>
            <w:vMerge/>
            <w:shd w:val="clear" w:color="auto" w:fill="auto"/>
          </w:tcPr>
          <w:p w14:paraId="21AE7D08" w14:textId="77777777" w:rsidR="0001415F" w:rsidRPr="00B75955" w:rsidRDefault="0001415F" w:rsidP="00B75955">
            <w:pPr>
              <w:spacing w:after="60"/>
              <w:jc w:val="center"/>
              <w:rPr>
                <w:sz w:val="18"/>
                <w:szCs w:val="18"/>
                <w:lang w:val="en-CA"/>
              </w:rPr>
            </w:pPr>
          </w:p>
        </w:tc>
        <w:tc>
          <w:tcPr>
            <w:tcW w:w="887" w:type="dxa"/>
            <w:vMerge w:val="restart"/>
            <w:shd w:val="clear" w:color="auto" w:fill="auto"/>
          </w:tcPr>
          <w:p w14:paraId="3DFF5EBE" w14:textId="77777777" w:rsidR="0001415F" w:rsidRPr="00B75955" w:rsidRDefault="0001415F" w:rsidP="00B75955">
            <w:pPr>
              <w:spacing w:after="60"/>
              <w:jc w:val="center"/>
              <w:rPr>
                <w:sz w:val="18"/>
                <w:szCs w:val="18"/>
                <w:lang w:val="en-CA"/>
              </w:rPr>
            </w:pPr>
            <w:r w:rsidRPr="00B75955">
              <w:rPr>
                <w:sz w:val="18"/>
                <w:szCs w:val="18"/>
                <w:lang w:val="en-CA"/>
              </w:rPr>
              <w:t>Japan</w:t>
            </w:r>
          </w:p>
        </w:tc>
        <w:tc>
          <w:tcPr>
            <w:tcW w:w="829" w:type="dxa"/>
            <w:shd w:val="clear" w:color="auto" w:fill="auto"/>
          </w:tcPr>
          <w:p w14:paraId="08E28544" w14:textId="77777777" w:rsidR="0001415F" w:rsidRPr="00B75955" w:rsidRDefault="0001415F" w:rsidP="00B75955">
            <w:pPr>
              <w:spacing w:after="60"/>
              <w:rPr>
                <w:sz w:val="18"/>
                <w:szCs w:val="18"/>
                <w:lang w:val="en-CA"/>
              </w:rPr>
            </w:pPr>
            <w:r w:rsidRPr="00B75955">
              <w:rPr>
                <w:sz w:val="18"/>
                <w:szCs w:val="18"/>
                <w:lang w:val="en-CA"/>
              </w:rPr>
              <w:t>Project costs</w:t>
            </w:r>
          </w:p>
        </w:tc>
        <w:tc>
          <w:tcPr>
            <w:tcW w:w="936" w:type="dxa"/>
            <w:shd w:val="clear" w:color="auto" w:fill="auto"/>
          </w:tcPr>
          <w:p w14:paraId="751F4297" w14:textId="77777777" w:rsidR="0001415F" w:rsidRPr="00B75955" w:rsidRDefault="0001415F" w:rsidP="00B75955">
            <w:pPr>
              <w:spacing w:after="60"/>
              <w:jc w:val="right"/>
              <w:rPr>
                <w:sz w:val="18"/>
                <w:szCs w:val="18"/>
                <w:lang w:val="en-CA"/>
              </w:rPr>
            </w:pPr>
            <w:r w:rsidRPr="00B75955">
              <w:rPr>
                <w:sz w:val="18"/>
                <w:szCs w:val="18"/>
                <w:lang w:val="en-CA"/>
              </w:rPr>
              <w:t>80,000</w:t>
            </w:r>
          </w:p>
        </w:tc>
        <w:tc>
          <w:tcPr>
            <w:tcW w:w="936" w:type="dxa"/>
            <w:shd w:val="clear" w:color="auto" w:fill="auto"/>
          </w:tcPr>
          <w:p w14:paraId="4B4A803C" w14:textId="77777777" w:rsidR="0001415F" w:rsidRPr="00B75955" w:rsidRDefault="0001415F" w:rsidP="00B75955">
            <w:pPr>
              <w:spacing w:after="60"/>
              <w:jc w:val="right"/>
              <w:rPr>
                <w:sz w:val="18"/>
                <w:szCs w:val="18"/>
                <w:lang w:val="en-CA"/>
              </w:rPr>
            </w:pPr>
            <w:r w:rsidRPr="00B75955">
              <w:rPr>
                <w:sz w:val="18"/>
                <w:szCs w:val="18"/>
                <w:lang w:val="en-CA"/>
              </w:rPr>
              <w:t>80,000</w:t>
            </w:r>
          </w:p>
        </w:tc>
        <w:tc>
          <w:tcPr>
            <w:tcW w:w="1116" w:type="dxa"/>
            <w:shd w:val="clear" w:color="auto" w:fill="auto"/>
          </w:tcPr>
          <w:p w14:paraId="04264E80" w14:textId="77777777" w:rsidR="0001415F" w:rsidRPr="00B75955" w:rsidRDefault="0001415F" w:rsidP="00B75955">
            <w:pPr>
              <w:spacing w:after="60"/>
              <w:jc w:val="right"/>
              <w:rPr>
                <w:sz w:val="18"/>
                <w:szCs w:val="18"/>
                <w:lang w:val="en-CA"/>
              </w:rPr>
            </w:pPr>
            <w:r w:rsidRPr="00B75955">
              <w:rPr>
                <w:sz w:val="18"/>
                <w:szCs w:val="18"/>
                <w:lang w:val="en-CA"/>
              </w:rPr>
              <w:t>80,000</w:t>
            </w:r>
          </w:p>
        </w:tc>
        <w:tc>
          <w:tcPr>
            <w:tcW w:w="936" w:type="dxa"/>
            <w:shd w:val="clear" w:color="auto" w:fill="auto"/>
          </w:tcPr>
          <w:p w14:paraId="4C9E29AA" w14:textId="77777777" w:rsidR="0001415F" w:rsidRPr="00B75955" w:rsidRDefault="0001415F" w:rsidP="00B75955">
            <w:pPr>
              <w:spacing w:after="60"/>
              <w:jc w:val="right"/>
              <w:rPr>
                <w:sz w:val="18"/>
                <w:szCs w:val="18"/>
                <w:lang w:val="en-CA"/>
              </w:rPr>
            </w:pPr>
            <w:r w:rsidRPr="00B75955">
              <w:rPr>
                <w:sz w:val="18"/>
                <w:szCs w:val="18"/>
                <w:lang w:val="en-CA"/>
              </w:rPr>
              <w:t>80,000</w:t>
            </w:r>
          </w:p>
        </w:tc>
        <w:tc>
          <w:tcPr>
            <w:tcW w:w="936" w:type="dxa"/>
            <w:shd w:val="clear" w:color="auto" w:fill="auto"/>
          </w:tcPr>
          <w:p w14:paraId="6AB13C31" w14:textId="77777777" w:rsidR="0001415F" w:rsidRPr="00B75955" w:rsidRDefault="0001415F" w:rsidP="00B75955">
            <w:pPr>
              <w:spacing w:after="60"/>
              <w:jc w:val="right"/>
              <w:rPr>
                <w:sz w:val="18"/>
                <w:szCs w:val="18"/>
                <w:lang w:val="en-CA"/>
              </w:rPr>
            </w:pPr>
            <w:r w:rsidRPr="00B75955">
              <w:rPr>
                <w:sz w:val="18"/>
                <w:szCs w:val="18"/>
                <w:lang w:val="en-CA"/>
              </w:rPr>
              <w:t>80,000</w:t>
            </w:r>
          </w:p>
        </w:tc>
        <w:tc>
          <w:tcPr>
            <w:tcW w:w="936" w:type="dxa"/>
            <w:shd w:val="clear" w:color="auto" w:fill="auto"/>
          </w:tcPr>
          <w:p w14:paraId="2C5F110C"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561DCCC1"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5044E852"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7E917451"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2D284229"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7C7EE6BF"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1026" w:type="dxa"/>
            <w:shd w:val="clear" w:color="auto" w:fill="auto"/>
          </w:tcPr>
          <w:p w14:paraId="2B673502" w14:textId="77777777" w:rsidR="0001415F" w:rsidRPr="00B75955" w:rsidRDefault="0001415F" w:rsidP="00B75955">
            <w:pPr>
              <w:spacing w:after="60"/>
              <w:jc w:val="right"/>
              <w:rPr>
                <w:sz w:val="18"/>
                <w:szCs w:val="18"/>
                <w:lang w:val="en-CA"/>
              </w:rPr>
            </w:pPr>
            <w:r w:rsidRPr="00B75955">
              <w:rPr>
                <w:sz w:val="18"/>
                <w:szCs w:val="18"/>
                <w:lang w:val="en-CA"/>
              </w:rPr>
              <w:t>400,000</w:t>
            </w:r>
          </w:p>
        </w:tc>
      </w:tr>
      <w:tr w:rsidR="0001415F" w:rsidRPr="00B75955" w14:paraId="49AF74BC" w14:textId="77777777" w:rsidTr="00B75955">
        <w:tc>
          <w:tcPr>
            <w:tcW w:w="876" w:type="dxa"/>
            <w:vMerge/>
            <w:shd w:val="clear" w:color="auto" w:fill="auto"/>
          </w:tcPr>
          <w:p w14:paraId="3269865A" w14:textId="77777777" w:rsidR="0001415F" w:rsidRPr="00B75955" w:rsidRDefault="0001415F" w:rsidP="00B75955">
            <w:pPr>
              <w:spacing w:after="60"/>
              <w:jc w:val="center"/>
              <w:rPr>
                <w:sz w:val="18"/>
                <w:szCs w:val="18"/>
                <w:lang w:val="en-CA"/>
              </w:rPr>
            </w:pPr>
          </w:p>
        </w:tc>
        <w:tc>
          <w:tcPr>
            <w:tcW w:w="887" w:type="dxa"/>
            <w:vMerge/>
            <w:shd w:val="clear" w:color="auto" w:fill="auto"/>
          </w:tcPr>
          <w:p w14:paraId="1553EF68" w14:textId="77777777" w:rsidR="0001415F" w:rsidRPr="00B75955" w:rsidRDefault="0001415F" w:rsidP="00B75955">
            <w:pPr>
              <w:spacing w:after="60"/>
              <w:jc w:val="center"/>
              <w:rPr>
                <w:sz w:val="18"/>
                <w:szCs w:val="18"/>
                <w:lang w:val="en-CA"/>
              </w:rPr>
            </w:pPr>
          </w:p>
        </w:tc>
        <w:tc>
          <w:tcPr>
            <w:tcW w:w="829" w:type="dxa"/>
            <w:shd w:val="clear" w:color="auto" w:fill="auto"/>
          </w:tcPr>
          <w:p w14:paraId="501431E9" w14:textId="77777777" w:rsidR="0001415F" w:rsidRPr="00B75955" w:rsidRDefault="0001415F" w:rsidP="00B75955">
            <w:pPr>
              <w:spacing w:after="60"/>
              <w:rPr>
                <w:sz w:val="18"/>
                <w:szCs w:val="18"/>
                <w:lang w:val="en-CA"/>
              </w:rPr>
            </w:pPr>
            <w:r w:rsidRPr="00B75955">
              <w:rPr>
                <w:sz w:val="18"/>
                <w:szCs w:val="18"/>
                <w:lang w:val="en-CA"/>
              </w:rPr>
              <w:t>Support costs</w:t>
            </w:r>
          </w:p>
        </w:tc>
        <w:tc>
          <w:tcPr>
            <w:tcW w:w="936" w:type="dxa"/>
            <w:shd w:val="clear" w:color="auto" w:fill="auto"/>
          </w:tcPr>
          <w:p w14:paraId="31CB9C46" w14:textId="77777777" w:rsidR="0001415F" w:rsidRPr="00B75955" w:rsidRDefault="0001415F" w:rsidP="00B75955">
            <w:pPr>
              <w:spacing w:after="60"/>
              <w:jc w:val="right"/>
              <w:rPr>
                <w:sz w:val="18"/>
                <w:szCs w:val="18"/>
                <w:lang w:val="en-CA"/>
              </w:rPr>
            </w:pPr>
            <w:r w:rsidRPr="00B75955">
              <w:rPr>
                <w:sz w:val="18"/>
                <w:szCs w:val="18"/>
                <w:lang w:val="en-CA"/>
              </w:rPr>
              <w:t>10,400</w:t>
            </w:r>
          </w:p>
        </w:tc>
        <w:tc>
          <w:tcPr>
            <w:tcW w:w="936" w:type="dxa"/>
            <w:shd w:val="clear" w:color="auto" w:fill="auto"/>
          </w:tcPr>
          <w:p w14:paraId="6B370118" w14:textId="77777777" w:rsidR="0001415F" w:rsidRPr="00B75955" w:rsidRDefault="0001415F" w:rsidP="00B75955">
            <w:pPr>
              <w:spacing w:after="60"/>
              <w:jc w:val="right"/>
              <w:rPr>
                <w:sz w:val="18"/>
                <w:szCs w:val="18"/>
                <w:lang w:val="en-CA"/>
              </w:rPr>
            </w:pPr>
            <w:r w:rsidRPr="00B75955">
              <w:rPr>
                <w:sz w:val="18"/>
                <w:szCs w:val="18"/>
                <w:lang w:val="en-CA"/>
              </w:rPr>
              <w:t>10,400</w:t>
            </w:r>
          </w:p>
        </w:tc>
        <w:tc>
          <w:tcPr>
            <w:tcW w:w="1116" w:type="dxa"/>
            <w:shd w:val="clear" w:color="auto" w:fill="auto"/>
          </w:tcPr>
          <w:p w14:paraId="3831E37D" w14:textId="77777777" w:rsidR="0001415F" w:rsidRPr="00B75955" w:rsidRDefault="0001415F" w:rsidP="00B75955">
            <w:pPr>
              <w:spacing w:after="60"/>
              <w:jc w:val="right"/>
              <w:rPr>
                <w:sz w:val="18"/>
                <w:szCs w:val="18"/>
                <w:lang w:val="en-CA"/>
              </w:rPr>
            </w:pPr>
            <w:r w:rsidRPr="00B75955">
              <w:rPr>
                <w:sz w:val="18"/>
                <w:szCs w:val="18"/>
                <w:lang w:val="en-CA"/>
              </w:rPr>
              <w:t>10,400</w:t>
            </w:r>
          </w:p>
        </w:tc>
        <w:tc>
          <w:tcPr>
            <w:tcW w:w="936" w:type="dxa"/>
            <w:shd w:val="clear" w:color="auto" w:fill="auto"/>
          </w:tcPr>
          <w:p w14:paraId="6CF1104B" w14:textId="77777777" w:rsidR="0001415F" w:rsidRPr="00B75955" w:rsidRDefault="0001415F" w:rsidP="00B75955">
            <w:pPr>
              <w:spacing w:after="60"/>
              <w:jc w:val="right"/>
              <w:rPr>
                <w:sz w:val="18"/>
                <w:szCs w:val="18"/>
                <w:lang w:val="en-CA"/>
              </w:rPr>
            </w:pPr>
            <w:r w:rsidRPr="00B75955">
              <w:rPr>
                <w:sz w:val="18"/>
                <w:szCs w:val="18"/>
                <w:lang w:val="en-CA"/>
              </w:rPr>
              <w:t>10,400</w:t>
            </w:r>
          </w:p>
        </w:tc>
        <w:tc>
          <w:tcPr>
            <w:tcW w:w="936" w:type="dxa"/>
            <w:shd w:val="clear" w:color="auto" w:fill="auto"/>
          </w:tcPr>
          <w:p w14:paraId="770AFDEF" w14:textId="77777777" w:rsidR="0001415F" w:rsidRPr="00B75955" w:rsidRDefault="0001415F" w:rsidP="00B75955">
            <w:pPr>
              <w:spacing w:after="60"/>
              <w:jc w:val="right"/>
              <w:rPr>
                <w:sz w:val="18"/>
                <w:szCs w:val="18"/>
                <w:lang w:val="en-CA"/>
              </w:rPr>
            </w:pPr>
            <w:r w:rsidRPr="00B75955">
              <w:rPr>
                <w:sz w:val="18"/>
                <w:szCs w:val="18"/>
                <w:lang w:val="en-CA"/>
              </w:rPr>
              <w:t>10,400</w:t>
            </w:r>
          </w:p>
        </w:tc>
        <w:tc>
          <w:tcPr>
            <w:tcW w:w="936" w:type="dxa"/>
            <w:shd w:val="clear" w:color="auto" w:fill="auto"/>
          </w:tcPr>
          <w:p w14:paraId="7BBCC137"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134D63E1"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1AFD5CD2"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98" w:type="dxa"/>
          </w:tcPr>
          <w:p w14:paraId="04DEB2F8"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6E847CED"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741" w:type="dxa"/>
          </w:tcPr>
          <w:p w14:paraId="6BB99013" w14:textId="77777777" w:rsidR="0001415F" w:rsidRPr="00B75955" w:rsidRDefault="0001415F" w:rsidP="00B75955">
            <w:pPr>
              <w:spacing w:after="60"/>
              <w:jc w:val="center"/>
              <w:rPr>
                <w:sz w:val="18"/>
                <w:szCs w:val="18"/>
                <w:lang w:val="en-CA"/>
              </w:rPr>
            </w:pPr>
            <w:r w:rsidRPr="00B75955">
              <w:rPr>
                <w:sz w:val="18"/>
                <w:szCs w:val="18"/>
                <w:lang w:val="en-CA"/>
              </w:rPr>
              <w:t>-</w:t>
            </w:r>
          </w:p>
        </w:tc>
        <w:tc>
          <w:tcPr>
            <w:tcW w:w="1026" w:type="dxa"/>
            <w:shd w:val="clear" w:color="auto" w:fill="auto"/>
          </w:tcPr>
          <w:p w14:paraId="48D90C08" w14:textId="77777777" w:rsidR="0001415F" w:rsidRPr="00B75955" w:rsidRDefault="0001415F" w:rsidP="00B75955">
            <w:pPr>
              <w:spacing w:after="60"/>
              <w:jc w:val="right"/>
              <w:rPr>
                <w:sz w:val="18"/>
                <w:szCs w:val="18"/>
                <w:lang w:val="en-CA"/>
              </w:rPr>
            </w:pPr>
            <w:r w:rsidRPr="00B75955">
              <w:rPr>
                <w:sz w:val="18"/>
                <w:szCs w:val="18"/>
                <w:lang w:val="en-CA"/>
              </w:rPr>
              <w:t>52,000</w:t>
            </w:r>
          </w:p>
        </w:tc>
      </w:tr>
      <w:tr w:rsidR="0001415F" w:rsidRPr="00B75955" w14:paraId="5010C016" w14:textId="77777777" w:rsidTr="00B75955">
        <w:tc>
          <w:tcPr>
            <w:tcW w:w="1763" w:type="dxa"/>
            <w:gridSpan w:val="2"/>
            <w:vMerge w:val="restart"/>
            <w:shd w:val="clear" w:color="auto" w:fill="auto"/>
          </w:tcPr>
          <w:p w14:paraId="6B1E245D" w14:textId="77777777" w:rsidR="0001415F" w:rsidRPr="00B75955" w:rsidRDefault="0001415F" w:rsidP="00B75955">
            <w:pPr>
              <w:spacing w:after="60"/>
              <w:jc w:val="left"/>
              <w:rPr>
                <w:sz w:val="18"/>
                <w:szCs w:val="18"/>
                <w:lang w:val="en-CA"/>
              </w:rPr>
            </w:pPr>
            <w:r w:rsidRPr="00B75955">
              <w:rPr>
                <w:sz w:val="18"/>
                <w:szCs w:val="18"/>
                <w:lang w:val="en-CA"/>
              </w:rPr>
              <w:t xml:space="preserve">Funds approved by </w:t>
            </w:r>
            <w:proofErr w:type="spellStart"/>
            <w:r w:rsidRPr="00B75955">
              <w:rPr>
                <w:sz w:val="18"/>
                <w:szCs w:val="18"/>
                <w:lang w:val="en-CA"/>
              </w:rPr>
              <w:t>ExCom</w:t>
            </w:r>
            <w:proofErr w:type="spellEnd"/>
            <w:r w:rsidRPr="00B75955">
              <w:rPr>
                <w:sz w:val="18"/>
                <w:szCs w:val="18"/>
                <w:lang w:val="en-CA"/>
              </w:rPr>
              <w:t xml:space="preserve"> (US $)</w:t>
            </w:r>
          </w:p>
        </w:tc>
        <w:tc>
          <w:tcPr>
            <w:tcW w:w="829" w:type="dxa"/>
            <w:shd w:val="clear" w:color="auto" w:fill="auto"/>
          </w:tcPr>
          <w:p w14:paraId="7E65FC57" w14:textId="77777777" w:rsidR="0001415F" w:rsidRPr="00B75955" w:rsidRDefault="0001415F" w:rsidP="00B75955">
            <w:pPr>
              <w:spacing w:after="60"/>
              <w:rPr>
                <w:sz w:val="18"/>
                <w:szCs w:val="18"/>
                <w:lang w:val="en-CA"/>
              </w:rPr>
            </w:pPr>
            <w:r w:rsidRPr="00B75955">
              <w:rPr>
                <w:sz w:val="18"/>
                <w:szCs w:val="18"/>
                <w:lang w:val="en-CA"/>
              </w:rPr>
              <w:t>Project costs</w:t>
            </w:r>
          </w:p>
        </w:tc>
        <w:tc>
          <w:tcPr>
            <w:tcW w:w="936" w:type="dxa"/>
            <w:shd w:val="clear" w:color="auto" w:fill="auto"/>
          </w:tcPr>
          <w:p w14:paraId="298E9FDA" w14:textId="77777777" w:rsidR="0001415F" w:rsidRPr="00B75955" w:rsidRDefault="0001415F" w:rsidP="00B75955">
            <w:pPr>
              <w:spacing w:after="60"/>
              <w:jc w:val="right"/>
              <w:rPr>
                <w:sz w:val="18"/>
                <w:szCs w:val="18"/>
                <w:lang w:val="en-CA"/>
              </w:rPr>
            </w:pPr>
            <w:r w:rsidRPr="00B75955">
              <w:rPr>
                <w:sz w:val="18"/>
                <w:szCs w:val="18"/>
                <w:lang w:val="en-CA"/>
              </w:rPr>
              <w:t>3,679,132</w:t>
            </w:r>
          </w:p>
        </w:tc>
        <w:tc>
          <w:tcPr>
            <w:tcW w:w="936" w:type="dxa"/>
            <w:shd w:val="clear" w:color="auto" w:fill="auto"/>
          </w:tcPr>
          <w:p w14:paraId="5F97269D" w14:textId="77777777" w:rsidR="0001415F" w:rsidRPr="00B75955" w:rsidRDefault="0001415F" w:rsidP="00B75955">
            <w:pPr>
              <w:spacing w:after="60"/>
              <w:jc w:val="right"/>
              <w:rPr>
                <w:sz w:val="18"/>
                <w:szCs w:val="18"/>
                <w:lang w:val="en-CA"/>
              </w:rPr>
            </w:pPr>
          </w:p>
        </w:tc>
        <w:tc>
          <w:tcPr>
            <w:tcW w:w="1116" w:type="dxa"/>
            <w:shd w:val="clear" w:color="auto" w:fill="auto"/>
          </w:tcPr>
          <w:p w14:paraId="44B14C9F" w14:textId="77777777" w:rsidR="0001415F" w:rsidRPr="00B75955" w:rsidRDefault="0001415F" w:rsidP="00B75955">
            <w:pPr>
              <w:spacing w:after="60"/>
              <w:jc w:val="right"/>
              <w:rPr>
                <w:sz w:val="18"/>
                <w:szCs w:val="18"/>
                <w:lang w:val="en-CA"/>
              </w:rPr>
            </w:pPr>
          </w:p>
        </w:tc>
        <w:tc>
          <w:tcPr>
            <w:tcW w:w="936" w:type="dxa"/>
            <w:shd w:val="clear" w:color="auto" w:fill="auto"/>
          </w:tcPr>
          <w:p w14:paraId="60D545B4" w14:textId="77777777" w:rsidR="0001415F" w:rsidRPr="00B75955" w:rsidRDefault="0001415F" w:rsidP="00B75955">
            <w:pPr>
              <w:spacing w:after="60"/>
              <w:jc w:val="right"/>
              <w:rPr>
                <w:sz w:val="18"/>
                <w:szCs w:val="18"/>
                <w:lang w:val="en-CA"/>
              </w:rPr>
            </w:pPr>
          </w:p>
        </w:tc>
        <w:tc>
          <w:tcPr>
            <w:tcW w:w="936" w:type="dxa"/>
            <w:shd w:val="clear" w:color="auto" w:fill="auto"/>
          </w:tcPr>
          <w:p w14:paraId="70DFF157" w14:textId="77777777" w:rsidR="0001415F" w:rsidRPr="00B75955" w:rsidRDefault="0001415F" w:rsidP="00B75955">
            <w:pPr>
              <w:spacing w:after="60"/>
              <w:jc w:val="right"/>
              <w:rPr>
                <w:sz w:val="18"/>
                <w:szCs w:val="18"/>
                <w:lang w:val="en-CA"/>
              </w:rPr>
            </w:pPr>
          </w:p>
        </w:tc>
        <w:tc>
          <w:tcPr>
            <w:tcW w:w="936" w:type="dxa"/>
            <w:shd w:val="clear" w:color="auto" w:fill="auto"/>
          </w:tcPr>
          <w:p w14:paraId="5A3A8679" w14:textId="77777777" w:rsidR="0001415F" w:rsidRPr="00B75955" w:rsidRDefault="0001415F" w:rsidP="00B75955">
            <w:pPr>
              <w:spacing w:after="60"/>
              <w:jc w:val="right"/>
              <w:rPr>
                <w:sz w:val="18"/>
                <w:szCs w:val="18"/>
                <w:lang w:val="en-CA"/>
              </w:rPr>
            </w:pPr>
          </w:p>
        </w:tc>
        <w:tc>
          <w:tcPr>
            <w:tcW w:w="798" w:type="dxa"/>
          </w:tcPr>
          <w:p w14:paraId="1245B124" w14:textId="77777777" w:rsidR="0001415F" w:rsidRPr="00B75955" w:rsidRDefault="0001415F" w:rsidP="00B75955">
            <w:pPr>
              <w:spacing w:after="60"/>
              <w:jc w:val="right"/>
              <w:rPr>
                <w:sz w:val="18"/>
                <w:szCs w:val="18"/>
                <w:lang w:val="en-CA"/>
              </w:rPr>
            </w:pPr>
          </w:p>
        </w:tc>
        <w:tc>
          <w:tcPr>
            <w:tcW w:w="798" w:type="dxa"/>
          </w:tcPr>
          <w:p w14:paraId="16A97C1C" w14:textId="77777777" w:rsidR="0001415F" w:rsidRPr="00B75955" w:rsidRDefault="0001415F" w:rsidP="00B75955">
            <w:pPr>
              <w:spacing w:after="60"/>
              <w:jc w:val="right"/>
              <w:rPr>
                <w:sz w:val="18"/>
                <w:szCs w:val="18"/>
                <w:lang w:val="en-CA"/>
              </w:rPr>
            </w:pPr>
          </w:p>
        </w:tc>
        <w:tc>
          <w:tcPr>
            <w:tcW w:w="798" w:type="dxa"/>
          </w:tcPr>
          <w:p w14:paraId="7F0B0354" w14:textId="77777777" w:rsidR="0001415F" w:rsidRPr="00B75955" w:rsidRDefault="0001415F" w:rsidP="00B75955">
            <w:pPr>
              <w:spacing w:after="60"/>
              <w:jc w:val="right"/>
              <w:rPr>
                <w:sz w:val="18"/>
                <w:szCs w:val="18"/>
                <w:lang w:val="en-CA"/>
              </w:rPr>
            </w:pPr>
          </w:p>
        </w:tc>
        <w:tc>
          <w:tcPr>
            <w:tcW w:w="741" w:type="dxa"/>
          </w:tcPr>
          <w:p w14:paraId="648BA074" w14:textId="77777777" w:rsidR="0001415F" w:rsidRPr="00B75955" w:rsidRDefault="0001415F" w:rsidP="00B75955">
            <w:pPr>
              <w:spacing w:after="60"/>
              <w:jc w:val="right"/>
              <w:rPr>
                <w:sz w:val="18"/>
                <w:szCs w:val="18"/>
                <w:lang w:val="en-CA"/>
              </w:rPr>
            </w:pPr>
          </w:p>
        </w:tc>
        <w:tc>
          <w:tcPr>
            <w:tcW w:w="741" w:type="dxa"/>
          </w:tcPr>
          <w:p w14:paraId="5B97748E" w14:textId="77777777" w:rsidR="0001415F" w:rsidRPr="00B75955" w:rsidRDefault="0001415F" w:rsidP="00B75955">
            <w:pPr>
              <w:spacing w:after="60"/>
              <w:jc w:val="right"/>
              <w:rPr>
                <w:sz w:val="18"/>
                <w:szCs w:val="18"/>
                <w:lang w:val="en-CA"/>
              </w:rPr>
            </w:pPr>
          </w:p>
        </w:tc>
        <w:tc>
          <w:tcPr>
            <w:tcW w:w="1026" w:type="dxa"/>
            <w:shd w:val="clear" w:color="auto" w:fill="auto"/>
          </w:tcPr>
          <w:p w14:paraId="5C5F536F" w14:textId="77777777" w:rsidR="0001415F" w:rsidRPr="00B75955" w:rsidRDefault="0001415F" w:rsidP="00B75955">
            <w:pPr>
              <w:spacing w:after="60"/>
              <w:jc w:val="right"/>
              <w:rPr>
                <w:sz w:val="18"/>
                <w:szCs w:val="18"/>
                <w:lang w:val="en-CA"/>
              </w:rPr>
            </w:pPr>
            <w:r w:rsidRPr="00B75955">
              <w:rPr>
                <w:sz w:val="18"/>
                <w:szCs w:val="18"/>
                <w:lang w:val="en-CA"/>
              </w:rPr>
              <w:t>3,679,132</w:t>
            </w:r>
          </w:p>
        </w:tc>
      </w:tr>
      <w:tr w:rsidR="0001415F" w:rsidRPr="00B75955" w14:paraId="25921B00" w14:textId="77777777" w:rsidTr="00B75955">
        <w:tc>
          <w:tcPr>
            <w:tcW w:w="1763" w:type="dxa"/>
            <w:gridSpan w:val="2"/>
            <w:vMerge/>
            <w:shd w:val="clear" w:color="auto" w:fill="auto"/>
          </w:tcPr>
          <w:p w14:paraId="2DA5E203" w14:textId="77777777" w:rsidR="0001415F" w:rsidRPr="00B75955" w:rsidRDefault="0001415F" w:rsidP="00B75955">
            <w:pPr>
              <w:spacing w:after="60"/>
              <w:jc w:val="left"/>
              <w:rPr>
                <w:sz w:val="18"/>
                <w:szCs w:val="18"/>
                <w:lang w:val="en-CA"/>
              </w:rPr>
            </w:pPr>
          </w:p>
        </w:tc>
        <w:tc>
          <w:tcPr>
            <w:tcW w:w="829" w:type="dxa"/>
            <w:shd w:val="clear" w:color="auto" w:fill="auto"/>
          </w:tcPr>
          <w:p w14:paraId="4FDC54A5" w14:textId="77777777" w:rsidR="0001415F" w:rsidRPr="00B75955" w:rsidRDefault="0001415F" w:rsidP="00B75955">
            <w:pPr>
              <w:spacing w:after="60"/>
              <w:rPr>
                <w:sz w:val="18"/>
                <w:szCs w:val="18"/>
                <w:lang w:val="en-CA"/>
              </w:rPr>
            </w:pPr>
            <w:r w:rsidRPr="00B75955">
              <w:rPr>
                <w:sz w:val="18"/>
                <w:szCs w:val="18"/>
                <w:lang w:val="en-CA"/>
              </w:rPr>
              <w:t>Support costs</w:t>
            </w:r>
          </w:p>
        </w:tc>
        <w:tc>
          <w:tcPr>
            <w:tcW w:w="936" w:type="dxa"/>
            <w:shd w:val="clear" w:color="auto" w:fill="auto"/>
          </w:tcPr>
          <w:p w14:paraId="52A829B0" w14:textId="77777777" w:rsidR="0001415F" w:rsidRPr="00B75955" w:rsidRDefault="0001415F" w:rsidP="00B75955">
            <w:pPr>
              <w:spacing w:after="60"/>
              <w:jc w:val="right"/>
              <w:rPr>
                <w:sz w:val="18"/>
                <w:szCs w:val="18"/>
                <w:lang w:val="en-CA"/>
              </w:rPr>
            </w:pPr>
            <w:r w:rsidRPr="00B75955">
              <w:rPr>
                <w:sz w:val="18"/>
                <w:szCs w:val="18"/>
                <w:lang w:val="en-CA"/>
              </w:rPr>
              <w:t>411,051</w:t>
            </w:r>
          </w:p>
        </w:tc>
        <w:tc>
          <w:tcPr>
            <w:tcW w:w="936" w:type="dxa"/>
            <w:shd w:val="clear" w:color="auto" w:fill="auto"/>
          </w:tcPr>
          <w:p w14:paraId="1854266C" w14:textId="77777777" w:rsidR="0001415F" w:rsidRPr="00B75955" w:rsidRDefault="0001415F" w:rsidP="00B75955">
            <w:pPr>
              <w:spacing w:after="60"/>
              <w:jc w:val="right"/>
              <w:rPr>
                <w:sz w:val="18"/>
                <w:szCs w:val="18"/>
                <w:lang w:val="en-CA"/>
              </w:rPr>
            </w:pPr>
          </w:p>
        </w:tc>
        <w:tc>
          <w:tcPr>
            <w:tcW w:w="1116" w:type="dxa"/>
            <w:shd w:val="clear" w:color="auto" w:fill="auto"/>
          </w:tcPr>
          <w:p w14:paraId="6F52BCC5" w14:textId="77777777" w:rsidR="0001415F" w:rsidRPr="00B75955" w:rsidRDefault="0001415F" w:rsidP="00B75955">
            <w:pPr>
              <w:spacing w:after="60"/>
              <w:jc w:val="right"/>
              <w:rPr>
                <w:sz w:val="18"/>
                <w:szCs w:val="18"/>
                <w:lang w:val="en-CA"/>
              </w:rPr>
            </w:pPr>
          </w:p>
        </w:tc>
        <w:tc>
          <w:tcPr>
            <w:tcW w:w="936" w:type="dxa"/>
            <w:shd w:val="clear" w:color="auto" w:fill="auto"/>
          </w:tcPr>
          <w:p w14:paraId="5420D2F7" w14:textId="77777777" w:rsidR="0001415F" w:rsidRPr="00B75955" w:rsidRDefault="0001415F" w:rsidP="00B75955">
            <w:pPr>
              <w:spacing w:after="60"/>
              <w:jc w:val="right"/>
              <w:rPr>
                <w:sz w:val="18"/>
                <w:szCs w:val="18"/>
                <w:lang w:val="en-CA"/>
              </w:rPr>
            </w:pPr>
          </w:p>
        </w:tc>
        <w:tc>
          <w:tcPr>
            <w:tcW w:w="936" w:type="dxa"/>
            <w:shd w:val="clear" w:color="auto" w:fill="auto"/>
          </w:tcPr>
          <w:p w14:paraId="0A4A423F" w14:textId="77777777" w:rsidR="0001415F" w:rsidRPr="00B75955" w:rsidRDefault="0001415F" w:rsidP="00B75955">
            <w:pPr>
              <w:spacing w:after="60"/>
              <w:jc w:val="right"/>
              <w:rPr>
                <w:sz w:val="18"/>
                <w:szCs w:val="18"/>
                <w:lang w:val="en-CA"/>
              </w:rPr>
            </w:pPr>
          </w:p>
        </w:tc>
        <w:tc>
          <w:tcPr>
            <w:tcW w:w="936" w:type="dxa"/>
            <w:shd w:val="clear" w:color="auto" w:fill="auto"/>
          </w:tcPr>
          <w:p w14:paraId="5DDC2FAB" w14:textId="77777777" w:rsidR="0001415F" w:rsidRPr="00B75955" w:rsidRDefault="0001415F" w:rsidP="00B75955">
            <w:pPr>
              <w:spacing w:after="60"/>
              <w:jc w:val="right"/>
              <w:rPr>
                <w:sz w:val="18"/>
                <w:szCs w:val="18"/>
                <w:lang w:val="en-CA"/>
              </w:rPr>
            </w:pPr>
          </w:p>
        </w:tc>
        <w:tc>
          <w:tcPr>
            <w:tcW w:w="798" w:type="dxa"/>
          </w:tcPr>
          <w:p w14:paraId="631DA995" w14:textId="77777777" w:rsidR="0001415F" w:rsidRPr="00B75955" w:rsidRDefault="0001415F" w:rsidP="00B75955">
            <w:pPr>
              <w:spacing w:after="60"/>
              <w:jc w:val="right"/>
              <w:rPr>
                <w:sz w:val="18"/>
                <w:szCs w:val="18"/>
                <w:lang w:val="en-CA"/>
              </w:rPr>
            </w:pPr>
          </w:p>
        </w:tc>
        <w:tc>
          <w:tcPr>
            <w:tcW w:w="798" w:type="dxa"/>
          </w:tcPr>
          <w:p w14:paraId="03FF99A4" w14:textId="77777777" w:rsidR="0001415F" w:rsidRPr="00B75955" w:rsidRDefault="0001415F" w:rsidP="00B75955">
            <w:pPr>
              <w:spacing w:after="60"/>
              <w:jc w:val="right"/>
              <w:rPr>
                <w:sz w:val="18"/>
                <w:szCs w:val="18"/>
                <w:lang w:val="en-CA"/>
              </w:rPr>
            </w:pPr>
          </w:p>
        </w:tc>
        <w:tc>
          <w:tcPr>
            <w:tcW w:w="798" w:type="dxa"/>
          </w:tcPr>
          <w:p w14:paraId="7FB5DA41" w14:textId="77777777" w:rsidR="0001415F" w:rsidRPr="00B75955" w:rsidRDefault="0001415F" w:rsidP="00B75955">
            <w:pPr>
              <w:spacing w:after="60"/>
              <w:jc w:val="right"/>
              <w:rPr>
                <w:sz w:val="18"/>
                <w:szCs w:val="18"/>
                <w:lang w:val="en-CA"/>
              </w:rPr>
            </w:pPr>
          </w:p>
        </w:tc>
        <w:tc>
          <w:tcPr>
            <w:tcW w:w="741" w:type="dxa"/>
          </w:tcPr>
          <w:p w14:paraId="7E82D9DC" w14:textId="77777777" w:rsidR="0001415F" w:rsidRPr="00B75955" w:rsidRDefault="0001415F" w:rsidP="00B75955">
            <w:pPr>
              <w:spacing w:after="60"/>
              <w:jc w:val="right"/>
              <w:rPr>
                <w:sz w:val="18"/>
                <w:szCs w:val="18"/>
                <w:lang w:val="en-CA"/>
              </w:rPr>
            </w:pPr>
          </w:p>
        </w:tc>
        <w:tc>
          <w:tcPr>
            <w:tcW w:w="741" w:type="dxa"/>
          </w:tcPr>
          <w:p w14:paraId="7CECBCA3" w14:textId="77777777" w:rsidR="0001415F" w:rsidRPr="00B75955" w:rsidRDefault="0001415F" w:rsidP="00B75955">
            <w:pPr>
              <w:spacing w:after="60"/>
              <w:jc w:val="right"/>
              <w:rPr>
                <w:sz w:val="18"/>
                <w:szCs w:val="18"/>
                <w:lang w:val="en-CA"/>
              </w:rPr>
            </w:pPr>
          </w:p>
        </w:tc>
        <w:tc>
          <w:tcPr>
            <w:tcW w:w="1026" w:type="dxa"/>
            <w:shd w:val="clear" w:color="auto" w:fill="auto"/>
          </w:tcPr>
          <w:p w14:paraId="210DB2D3" w14:textId="77777777" w:rsidR="0001415F" w:rsidRPr="00B75955" w:rsidRDefault="0001415F" w:rsidP="00B75955">
            <w:pPr>
              <w:spacing w:after="60"/>
              <w:jc w:val="right"/>
              <w:rPr>
                <w:sz w:val="18"/>
                <w:szCs w:val="18"/>
                <w:lang w:val="en-CA"/>
              </w:rPr>
            </w:pPr>
            <w:r w:rsidRPr="00B75955">
              <w:rPr>
                <w:sz w:val="18"/>
                <w:szCs w:val="18"/>
                <w:lang w:val="en-CA"/>
              </w:rPr>
              <w:t>411,051</w:t>
            </w:r>
          </w:p>
        </w:tc>
      </w:tr>
      <w:tr w:rsidR="0001415F" w:rsidRPr="00B75955" w14:paraId="38ABEC87" w14:textId="77777777" w:rsidTr="00B75955">
        <w:tc>
          <w:tcPr>
            <w:tcW w:w="1763" w:type="dxa"/>
            <w:gridSpan w:val="2"/>
            <w:vMerge w:val="restart"/>
            <w:shd w:val="clear" w:color="auto" w:fill="auto"/>
          </w:tcPr>
          <w:p w14:paraId="71229A60" w14:textId="77777777" w:rsidR="0001415F" w:rsidRPr="00B75955" w:rsidRDefault="0001415F" w:rsidP="00B75955">
            <w:pPr>
              <w:spacing w:after="60"/>
              <w:jc w:val="left"/>
              <w:rPr>
                <w:sz w:val="18"/>
                <w:szCs w:val="18"/>
                <w:lang w:val="en-CA"/>
              </w:rPr>
            </w:pPr>
            <w:r w:rsidRPr="00B75955">
              <w:rPr>
                <w:sz w:val="18"/>
                <w:szCs w:val="18"/>
                <w:lang w:val="en-CA"/>
              </w:rPr>
              <w:t>Total funds requested for approval at this meeting (US $)</w:t>
            </w:r>
          </w:p>
        </w:tc>
        <w:tc>
          <w:tcPr>
            <w:tcW w:w="829" w:type="dxa"/>
            <w:shd w:val="clear" w:color="auto" w:fill="auto"/>
          </w:tcPr>
          <w:p w14:paraId="57894ABC" w14:textId="77777777" w:rsidR="0001415F" w:rsidRPr="00B75955" w:rsidRDefault="0001415F" w:rsidP="00B75955">
            <w:pPr>
              <w:spacing w:after="60"/>
              <w:rPr>
                <w:sz w:val="18"/>
                <w:szCs w:val="18"/>
                <w:lang w:val="en-CA"/>
              </w:rPr>
            </w:pPr>
            <w:r w:rsidRPr="00B75955">
              <w:rPr>
                <w:sz w:val="18"/>
                <w:szCs w:val="18"/>
                <w:lang w:val="en-CA"/>
              </w:rPr>
              <w:t>Project costs</w:t>
            </w:r>
          </w:p>
        </w:tc>
        <w:tc>
          <w:tcPr>
            <w:tcW w:w="936" w:type="dxa"/>
            <w:shd w:val="clear" w:color="auto" w:fill="auto"/>
          </w:tcPr>
          <w:p w14:paraId="490503DC" w14:textId="77777777" w:rsidR="0001415F" w:rsidRPr="00B75955" w:rsidRDefault="0001415F" w:rsidP="00B75955">
            <w:pPr>
              <w:spacing w:after="60"/>
              <w:jc w:val="right"/>
              <w:rPr>
                <w:sz w:val="18"/>
                <w:szCs w:val="18"/>
                <w:lang w:val="en-CA"/>
              </w:rPr>
            </w:pPr>
          </w:p>
        </w:tc>
        <w:tc>
          <w:tcPr>
            <w:tcW w:w="936" w:type="dxa"/>
            <w:shd w:val="clear" w:color="auto" w:fill="auto"/>
          </w:tcPr>
          <w:p w14:paraId="6071E889" w14:textId="77777777" w:rsidR="0001415F" w:rsidRPr="00B75955" w:rsidRDefault="0001415F" w:rsidP="00B75955">
            <w:pPr>
              <w:spacing w:after="60"/>
              <w:jc w:val="right"/>
              <w:rPr>
                <w:sz w:val="18"/>
                <w:szCs w:val="18"/>
                <w:lang w:val="en-CA"/>
              </w:rPr>
            </w:pPr>
          </w:p>
        </w:tc>
        <w:tc>
          <w:tcPr>
            <w:tcW w:w="1116" w:type="dxa"/>
            <w:shd w:val="clear" w:color="auto" w:fill="auto"/>
          </w:tcPr>
          <w:p w14:paraId="0CF2B2E7" w14:textId="77777777" w:rsidR="0001415F" w:rsidRPr="00B75955" w:rsidRDefault="0001415F" w:rsidP="00B75955">
            <w:pPr>
              <w:spacing w:after="60"/>
              <w:jc w:val="right"/>
              <w:rPr>
                <w:sz w:val="18"/>
                <w:szCs w:val="18"/>
                <w:lang w:val="en-CA"/>
              </w:rPr>
            </w:pPr>
            <w:r w:rsidRPr="00B75955">
              <w:rPr>
                <w:sz w:val="18"/>
                <w:szCs w:val="18"/>
                <w:lang w:val="en-CA"/>
              </w:rPr>
              <w:t>2,650,000**</w:t>
            </w:r>
          </w:p>
        </w:tc>
        <w:tc>
          <w:tcPr>
            <w:tcW w:w="936" w:type="dxa"/>
            <w:shd w:val="clear" w:color="auto" w:fill="auto"/>
          </w:tcPr>
          <w:p w14:paraId="55C6074E" w14:textId="77777777" w:rsidR="0001415F" w:rsidRPr="00B75955" w:rsidRDefault="0001415F" w:rsidP="00B75955">
            <w:pPr>
              <w:spacing w:after="60"/>
              <w:jc w:val="right"/>
              <w:rPr>
                <w:sz w:val="18"/>
                <w:szCs w:val="18"/>
                <w:lang w:val="en-CA"/>
              </w:rPr>
            </w:pPr>
          </w:p>
        </w:tc>
        <w:tc>
          <w:tcPr>
            <w:tcW w:w="936" w:type="dxa"/>
            <w:shd w:val="clear" w:color="auto" w:fill="auto"/>
          </w:tcPr>
          <w:p w14:paraId="29132ECD" w14:textId="77777777" w:rsidR="0001415F" w:rsidRPr="00B75955" w:rsidRDefault="0001415F" w:rsidP="00B75955">
            <w:pPr>
              <w:spacing w:after="60"/>
              <w:jc w:val="right"/>
              <w:rPr>
                <w:sz w:val="18"/>
                <w:szCs w:val="18"/>
                <w:lang w:val="en-CA"/>
              </w:rPr>
            </w:pPr>
          </w:p>
        </w:tc>
        <w:tc>
          <w:tcPr>
            <w:tcW w:w="936" w:type="dxa"/>
            <w:shd w:val="clear" w:color="auto" w:fill="auto"/>
          </w:tcPr>
          <w:p w14:paraId="5FF744CA" w14:textId="77777777" w:rsidR="0001415F" w:rsidRPr="00B75955" w:rsidRDefault="0001415F" w:rsidP="00B75955">
            <w:pPr>
              <w:spacing w:after="60"/>
              <w:jc w:val="right"/>
              <w:rPr>
                <w:sz w:val="18"/>
                <w:szCs w:val="18"/>
                <w:lang w:val="en-CA"/>
              </w:rPr>
            </w:pPr>
          </w:p>
        </w:tc>
        <w:tc>
          <w:tcPr>
            <w:tcW w:w="798" w:type="dxa"/>
          </w:tcPr>
          <w:p w14:paraId="2C16DCD0" w14:textId="77777777" w:rsidR="0001415F" w:rsidRPr="00B75955" w:rsidRDefault="0001415F" w:rsidP="00B75955">
            <w:pPr>
              <w:spacing w:after="60"/>
              <w:jc w:val="right"/>
              <w:rPr>
                <w:sz w:val="18"/>
                <w:szCs w:val="18"/>
                <w:lang w:val="en-CA"/>
              </w:rPr>
            </w:pPr>
          </w:p>
        </w:tc>
        <w:tc>
          <w:tcPr>
            <w:tcW w:w="798" w:type="dxa"/>
          </w:tcPr>
          <w:p w14:paraId="0421F2D4" w14:textId="77777777" w:rsidR="0001415F" w:rsidRPr="00B75955" w:rsidRDefault="0001415F" w:rsidP="00B75955">
            <w:pPr>
              <w:spacing w:after="60"/>
              <w:jc w:val="right"/>
              <w:rPr>
                <w:sz w:val="18"/>
                <w:szCs w:val="18"/>
                <w:lang w:val="en-CA"/>
              </w:rPr>
            </w:pPr>
          </w:p>
        </w:tc>
        <w:tc>
          <w:tcPr>
            <w:tcW w:w="798" w:type="dxa"/>
          </w:tcPr>
          <w:p w14:paraId="256D6BA2" w14:textId="77777777" w:rsidR="0001415F" w:rsidRPr="00B75955" w:rsidRDefault="0001415F" w:rsidP="00B75955">
            <w:pPr>
              <w:spacing w:after="60"/>
              <w:jc w:val="right"/>
              <w:rPr>
                <w:sz w:val="18"/>
                <w:szCs w:val="18"/>
                <w:lang w:val="en-CA"/>
              </w:rPr>
            </w:pPr>
          </w:p>
        </w:tc>
        <w:tc>
          <w:tcPr>
            <w:tcW w:w="741" w:type="dxa"/>
          </w:tcPr>
          <w:p w14:paraId="71C6FDAA" w14:textId="77777777" w:rsidR="0001415F" w:rsidRPr="00B75955" w:rsidRDefault="0001415F" w:rsidP="00B75955">
            <w:pPr>
              <w:spacing w:after="60"/>
              <w:jc w:val="right"/>
              <w:rPr>
                <w:sz w:val="18"/>
                <w:szCs w:val="18"/>
                <w:lang w:val="en-CA"/>
              </w:rPr>
            </w:pPr>
          </w:p>
        </w:tc>
        <w:tc>
          <w:tcPr>
            <w:tcW w:w="741" w:type="dxa"/>
          </w:tcPr>
          <w:p w14:paraId="79FE5E76" w14:textId="77777777" w:rsidR="0001415F" w:rsidRPr="00B75955" w:rsidRDefault="0001415F" w:rsidP="00B75955">
            <w:pPr>
              <w:spacing w:after="60"/>
              <w:jc w:val="right"/>
              <w:rPr>
                <w:sz w:val="18"/>
                <w:szCs w:val="18"/>
                <w:lang w:val="en-CA"/>
              </w:rPr>
            </w:pPr>
          </w:p>
        </w:tc>
        <w:tc>
          <w:tcPr>
            <w:tcW w:w="1026" w:type="dxa"/>
            <w:shd w:val="clear" w:color="auto" w:fill="auto"/>
          </w:tcPr>
          <w:p w14:paraId="2E7AD0E0" w14:textId="77777777" w:rsidR="0001415F" w:rsidRPr="00B75955" w:rsidRDefault="0001415F" w:rsidP="00B75955">
            <w:pPr>
              <w:spacing w:after="60"/>
              <w:jc w:val="right"/>
              <w:rPr>
                <w:sz w:val="18"/>
                <w:szCs w:val="18"/>
                <w:lang w:val="en-CA"/>
              </w:rPr>
            </w:pPr>
            <w:r w:rsidRPr="00B75955">
              <w:rPr>
                <w:sz w:val="18"/>
                <w:szCs w:val="18"/>
                <w:lang w:val="en-CA"/>
              </w:rPr>
              <w:t>2,650,000</w:t>
            </w:r>
          </w:p>
        </w:tc>
      </w:tr>
      <w:tr w:rsidR="0001415F" w:rsidRPr="00B75955" w14:paraId="6BC6393E" w14:textId="77777777" w:rsidTr="00B75955">
        <w:tc>
          <w:tcPr>
            <w:tcW w:w="1763" w:type="dxa"/>
            <w:gridSpan w:val="2"/>
            <w:vMerge/>
            <w:shd w:val="clear" w:color="auto" w:fill="auto"/>
          </w:tcPr>
          <w:p w14:paraId="369DD800" w14:textId="77777777" w:rsidR="0001415F" w:rsidRPr="00B75955" w:rsidRDefault="0001415F" w:rsidP="00B75955">
            <w:pPr>
              <w:spacing w:after="60"/>
              <w:jc w:val="center"/>
              <w:rPr>
                <w:sz w:val="18"/>
                <w:szCs w:val="18"/>
                <w:lang w:val="en-CA"/>
              </w:rPr>
            </w:pPr>
          </w:p>
        </w:tc>
        <w:tc>
          <w:tcPr>
            <w:tcW w:w="829" w:type="dxa"/>
            <w:shd w:val="clear" w:color="auto" w:fill="auto"/>
          </w:tcPr>
          <w:p w14:paraId="6074537C" w14:textId="77777777" w:rsidR="0001415F" w:rsidRPr="00B75955" w:rsidRDefault="0001415F" w:rsidP="00B75955">
            <w:pPr>
              <w:spacing w:after="60"/>
              <w:rPr>
                <w:sz w:val="18"/>
                <w:szCs w:val="18"/>
                <w:lang w:val="en-CA"/>
              </w:rPr>
            </w:pPr>
            <w:r w:rsidRPr="00B75955">
              <w:rPr>
                <w:sz w:val="18"/>
                <w:szCs w:val="18"/>
                <w:lang w:val="en-CA"/>
              </w:rPr>
              <w:t>Support costs</w:t>
            </w:r>
          </w:p>
        </w:tc>
        <w:tc>
          <w:tcPr>
            <w:tcW w:w="936" w:type="dxa"/>
            <w:shd w:val="clear" w:color="auto" w:fill="auto"/>
          </w:tcPr>
          <w:p w14:paraId="69B3B3EE" w14:textId="77777777" w:rsidR="0001415F" w:rsidRPr="00B75955" w:rsidRDefault="0001415F" w:rsidP="00B75955">
            <w:pPr>
              <w:spacing w:after="60"/>
              <w:jc w:val="right"/>
              <w:rPr>
                <w:sz w:val="18"/>
                <w:szCs w:val="18"/>
                <w:lang w:val="en-CA"/>
              </w:rPr>
            </w:pPr>
          </w:p>
        </w:tc>
        <w:tc>
          <w:tcPr>
            <w:tcW w:w="936" w:type="dxa"/>
            <w:shd w:val="clear" w:color="auto" w:fill="auto"/>
          </w:tcPr>
          <w:p w14:paraId="2E0AA347" w14:textId="77777777" w:rsidR="0001415F" w:rsidRPr="00B75955" w:rsidRDefault="0001415F" w:rsidP="00B75955">
            <w:pPr>
              <w:spacing w:after="60"/>
              <w:jc w:val="right"/>
              <w:rPr>
                <w:sz w:val="18"/>
                <w:szCs w:val="18"/>
                <w:lang w:val="en-CA"/>
              </w:rPr>
            </w:pPr>
          </w:p>
        </w:tc>
        <w:tc>
          <w:tcPr>
            <w:tcW w:w="1116" w:type="dxa"/>
            <w:shd w:val="clear" w:color="auto" w:fill="auto"/>
          </w:tcPr>
          <w:p w14:paraId="6926B142" w14:textId="77777777" w:rsidR="0001415F" w:rsidRPr="00B75955" w:rsidRDefault="0001415F" w:rsidP="00B75955">
            <w:pPr>
              <w:spacing w:after="60"/>
              <w:jc w:val="right"/>
              <w:rPr>
                <w:sz w:val="18"/>
                <w:szCs w:val="18"/>
                <w:lang w:val="en-CA"/>
              </w:rPr>
            </w:pPr>
            <w:r w:rsidRPr="00B75955">
              <w:rPr>
                <w:sz w:val="18"/>
                <w:szCs w:val="18"/>
                <w:lang w:val="en-CA"/>
              </w:rPr>
              <w:t>294,461**</w:t>
            </w:r>
          </w:p>
        </w:tc>
        <w:tc>
          <w:tcPr>
            <w:tcW w:w="936" w:type="dxa"/>
            <w:shd w:val="clear" w:color="auto" w:fill="auto"/>
          </w:tcPr>
          <w:p w14:paraId="0C6B2259" w14:textId="77777777" w:rsidR="0001415F" w:rsidRPr="00B75955" w:rsidRDefault="0001415F" w:rsidP="00B75955">
            <w:pPr>
              <w:spacing w:after="60"/>
              <w:jc w:val="right"/>
              <w:rPr>
                <w:sz w:val="18"/>
                <w:szCs w:val="18"/>
                <w:lang w:val="en-CA"/>
              </w:rPr>
            </w:pPr>
          </w:p>
        </w:tc>
        <w:tc>
          <w:tcPr>
            <w:tcW w:w="936" w:type="dxa"/>
            <w:shd w:val="clear" w:color="auto" w:fill="auto"/>
          </w:tcPr>
          <w:p w14:paraId="05115CFE" w14:textId="77777777" w:rsidR="0001415F" w:rsidRPr="00B75955" w:rsidRDefault="0001415F" w:rsidP="00B75955">
            <w:pPr>
              <w:spacing w:after="60"/>
              <w:jc w:val="right"/>
              <w:rPr>
                <w:sz w:val="18"/>
                <w:szCs w:val="18"/>
                <w:lang w:val="en-CA"/>
              </w:rPr>
            </w:pPr>
          </w:p>
        </w:tc>
        <w:tc>
          <w:tcPr>
            <w:tcW w:w="936" w:type="dxa"/>
            <w:shd w:val="clear" w:color="auto" w:fill="auto"/>
          </w:tcPr>
          <w:p w14:paraId="062939A5" w14:textId="77777777" w:rsidR="0001415F" w:rsidRPr="00B75955" w:rsidRDefault="0001415F" w:rsidP="00B75955">
            <w:pPr>
              <w:spacing w:after="60"/>
              <w:jc w:val="right"/>
              <w:rPr>
                <w:sz w:val="18"/>
                <w:szCs w:val="18"/>
                <w:lang w:val="en-CA"/>
              </w:rPr>
            </w:pPr>
          </w:p>
        </w:tc>
        <w:tc>
          <w:tcPr>
            <w:tcW w:w="798" w:type="dxa"/>
          </w:tcPr>
          <w:p w14:paraId="76951959" w14:textId="77777777" w:rsidR="0001415F" w:rsidRPr="00B75955" w:rsidRDefault="0001415F" w:rsidP="00B75955">
            <w:pPr>
              <w:spacing w:after="60"/>
              <w:jc w:val="right"/>
              <w:rPr>
                <w:sz w:val="18"/>
                <w:szCs w:val="18"/>
                <w:lang w:val="en-CA"/>
              </w:rPr>
            </w:pPr>
          </w:p>
        </w:tc>
        <w:tc>
          <w:tcPr>
            <w:tcW w:w="798" w:type="dxa"/>
          </w:tcPr>
          <w:p w14:paraId="50FA6431" w14:textId="77777777" w:rsidR="0001415F" w:rsidRPr="00B75955" w:rsidRDefault="0001415F" w:rsidP="00B75955">
            <w:pPr>
              <w:spacing w:after="60"/>
              <w:jc w:val="right"/>
              <w:rPr>
                <w:sz w:val="18"/>
                <w:szCs w:val="18"/>
                <w:lang w:val="en-CA"/>
              </w:rPr>
            </w:pPr>
          </w:p>
        </w:tc>
        <w:tc>
          <w:tcPr>
            <w:tcW w:w="798" w:type="dxa"/>
          </w:tcPr>
          <w:p w14:paraId="30E28531" w14:textId="77777777" w:rsidR="0001415F" w:rsidRPr="00B75955" w:rsidRDefault="0001415F" w:rsidP="00B75955">
            <w:pPr>
              <w:spacing w:after="60"/>
              <w:jc w:val="right"/>
              <w:rPr>
                <w:sz w:val="18"/>
                <w:szCs w:val="18"/>
                <w:lang w:val="en-CA"/>
              </w:rPr>
            </w:pPr>
          </w:p>
        </w:tc>
        <w:tc>
          <w:tcPr>
            <w:tcW w:w="741" w:type="dxa"/>
          </w:tcPr>
          <w:p w14:paraId="7D1C7706" w14:textId="77777777" w:rsidR="0001415F" w:rsidRPr="00B75955" w:rsidRDefault="0001415F" w:rsidP="00B75955">
            <w:pPr>
              <w:spacing w:after="60"/>
              <w:jc w:val="right"/>
              <w:rPr>
                <w:sz w:val="18"/>
                <w:szCs w:val="18"/>
                <w:lang w:val="en-CA"/>
              </w:rPr>
            </w:pPr>
          </w:p>
        </w:tc>
        <w:tc>
          <w:tcPr>
            <w:tcW w:w="741" w:type="dxa"/>
          </w:tcPr>
          <w:p w14:paraId="480F134C" w14:textId="77777777" w:rsidR="0001415F" w:rsidRPr="00B75955" w:rsidRDefault="0001415F" w:rsidP="00B75955">
            <w:pPr>
              <w:spacing w:after="60"/>
              <w:jc w:val="right"/>
              <w:rPr>
                <w:sz w:val="18"/>
                <w:szCs w:val="18"/>
                <w:lang w:val="en-CA"/>
              </w:rPr>
            </w:pPr>
          </w:p>
        </w:tc>
        <w:tc>
          <w:tcPr>
            <w:tcW w:w="1026" w:type="dxa"/>
            <w:shd w:val="clear" w:color="auto" w:fill="auto"/>
          </w:tcPr>
          <w:p w14:paraId="056416AA" w14:textId="77777777" w:rsidR="0001415F" w:rsidRPr="00B75955" w:rsidRDefault="0001415F" w:rsidP="00B75955">
            <w:pPr>
              <w:spacing w:after="60"/>
              <w:jc w:val="right"/>
              <w:rPr>
                <w:sz w:val="18"/>
                <w:szCs w:val="18"/>
                <w:lang w:val="en-CA"/>
              </w:rPr>
            </w:pPr>
            <w:r w:rsidRPr="00B75955">
              <w:rPr>
                <w:sz w:val="18"/>
                <w:szCs w:val="18"/>
                <w:lang w:val="en-CA"/>
              </w:rPr>
              <w:t>294,461</w:t>
            </w:r>
          </w:p>
        </w:tc>
      </w:tr>
    </w:tbl>
    <w:p w14:paraId="2E8EF649" w14:textId="77777777" w:rsidR="0001415F" w:rsidRPr="00B75955" w:rsidRDefault="0001415F" w:rsidP="0001415F">
      <w:pPr>
        <w:rPr>
          <w:sz w:val="18"/>
          <w:lang w:val="en-CA"/>
        </w:rPr>
      </w:pPr>
      <w:r w:rsidRPr="00B75955">
        <w:rPr>
          <w:sz w:val="18"/>
          <w:lang w:val="en-CA"/>
        </w:rPr>
        <w:t>* Maximum allowable total consumption of Annex C, Group I substances for the period 2021 to 2026 would be determined at a later date, but would in no case be greater than 11,772 ODP tonnes prior to 2025, and no greater than 6,131 ODP tonnes thereafter.</w:t>
      </w:r>
    </w:p>
    <w:p w14:paraId="3D8B249D" w14:textId="77777777" w:rsidR="0001415F" w:rsidRPr="00B75955" w:rsidRDefault="0001415F" w:rsidP="0001415F">
      <w:pPr>
        <w:rPr>
          <w:sz w:val="18"/>
          <w:lang w:val="en-CA"/>
        </w:rPr>
      </w:pPr>
      <w:r w:rsidRPr="00B75955">
        <w:rPr>
          <w:sz w:val="18"/>
          <w:lang w:val="en-CA"/>
        </w:rPr>
        <w:t>**The second tranche should have been submitted in 2017.</w:t>
      </w:r>
    </w:p>
    <w:p w14:paraId="1E086990" w14:textId="1F458FCB" w:rsidR="0001415F" w:rsidRPr="00B75955" w:rsidRDefault="0001415F" w:rsidP="0001415F">
      <w:pPr>
        <w:rPr>
          <w:sz w:val="18"/>
          <w:lang w:val="en-CA"/>
        </w:rPr>
      </w:pPr>
    </w:p>
    <w:p w14:paraId="4AAA1645" w14:textId="77777777" w:rsidR="005F19E8" w:rsidRPr="00B75955" w:rsidRDefault="005F19E8" w:rsidP="0001415F">
      <w:pPr>
        <w:rPr>
          <w:sz w:val="18"/>
          <w:lang w:val="en-CA"/>
        </w:rPr>
      </w:pPr>
    </w:p>
    <w:tbl>
      <w:tblPr>
        <w:tblStyle w:val="TableGrid"/>
        <w:tblW w:w="133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10315"/>
      </w:tblGrid>
      <w:tr w:rsidR="0001415F" w:rsidRPr="00B75955" w14:paraId="6A43355B" w14:textId="77777777" w:rsidTr="00B75955">
        <w:trPr>
          <w:trHeight w:val="240"/>
        </w:trPr>
        <w:tc>
          <w:tcPr>
            <w:tcW w:w="3000" w:type="dxa"/>
            <w:shd w:val="clear" w:color="auto" w:fill="auto"/>
          </w:tcPr>
          <w:p w14:paraId="43C67A93" w14:textId="77777777" w:rsidR="0001415F" w:rsidRPr="00B75955" w:rsidRDefault="0001415F" w:rsidP="00B75955">
            <w:pPr>
              <w:spacing w:after="60"/>
              <w:rPr>
                <w:b/>
                <w:sz w:val="18"/>
                <w:lang w:val="en-CA"/>
              </w:rPr>
            </w:pPr>
            <w:r w:rsidRPr="00B75955">
              <w:rPr>
                <w:b/>
                <w:sz w:val="18"/>
                <w:lang w:val="en-CA"/>
              </w:rPr>
              <w:t>Secretariat's recommendation:</w:t>
            </w:r>
          </w:p>
        </w:tc>
        <w:tc>
          <w:tcPr>
            <w:tcW w:w="10315" w:type="dxa"/>
            <w:shd w:val="clear" w:color="auto" w:fill="auto"/>
          </w:tcPr>
          <w:p w14:paraId="30593B43" w14:textId="77777777" w:rsidR="0001415F" w:rsidRPr="00B75955" w:rsidRDefault="0001415F" w:rsidP="00B75955">
            <w:pPr>
              <w:spacing w:after="60"/>
              <w:jc w:val="center"/>
              <w:rPr>
                <w:sz w:val="18"/>
                <w:lang w:val="en-CA"/>
              </w:rPr>
            </w:pPr>
            <w:r w:rsidRPr="00B75955">
              <w:rPr>
                <w:sz w:val="18"/>
                <w:lang w:val="en-CA"/>
              </w:rPr>
              <w:t>For individual consideration</w:t>
            </w:r>
          </w:p>
        </w:tc>
      </w:tr>
    </w:tbl>
    <w:p w14:paraId="2F62D0DB" w14:textId="77777777" w:rsidR="0001415F" w:rsidRPr="00B75955" w:rsidRDefault="0001415F" w:rsidP="0001415F">
      <w:pPr>
        <w:rPr>
          <w:lang w:val="en-CA"/>
        </w:rPr>
      </w:pPr>
    </w:p>
    <w:p w14:paraId="7CF33181" w14:textId="77777777" w:rsidR="0001415F" w:rsidRPr="00B75955" w:rsidRDefault="0001415F" w:rsidP="0001415F">
      <w:pPr>
        <w:rPr>
          <w:lang w:val="en-CA"/>
        </w:rPr>
        <w:sectPr w:rsidR="0001415F" w:rsidRPr="00B75955" w:rsidSect="00B75955">
          <w:headerReference w:type="default" r:id="rId27"/>
          <w:pgSz w:w="15840" w:h="12240" w:orient="landscape"/>
          <w:pgMar w:top="1440" w:right="1440" w:bottom="1440" w:left="1440" w:header="708" w:footer="708" w:gutter="0"/>
          <w:cols w:space="708"/>
          <w:docGrid w:linePitch="360"/>
        </w:sectPr>
      </w:pPr>
    </w:p>
    <w:p w14:paraId="59CDE842" w14:textId="77777777" w:rsidR="005F19E8" w:rsidRPr="00B75955" w:rsidRDefault="005F19E8" w:rsidP="0001415F">
      <w:pPr>
        <w:jc w:val="center"/>
        <w:rPr>
          <w:b/>
          <w:lang w:val="en-CA"/>
        </w:rPr>
      </w:pPr>
    </w:p>
    <w:p w14:paraId="78B21F3E" w14:textId="77777777" w:rsidR="005F19E8" w:rsidRPr="00B75955" w:rsidRDefault="005F19E8" w:rsidP="0001415F">
      <w:pPr>
        <w:jc w:val="center"/>
        <w:rPr>
          <w:b/>
          <w:lang w:val="en-CA"/>
        </w:rPr>
      </w:pPr>
    </w:p>
    <w:p w14:paraId="18BF1ACD" w14:textId="7D888062" w:rsidR="0001415F" w:rsidRPr="00B75955" w:rsidRDefault="0001415F" w:rsidP="0001415F">
      <w:pPr>
        <w:jc w:val="center"/>
        <w:rPr>
          <w:b/>
          <w:lang w:val="en-CA"/>
        </w:rPr>
      </w:pPr>
      <w:r w:rsidRPr="00B75955">
        <w:rPr>
          <w:b/>
          <w:lang w:val="en-CA"/>
        </w:rPr>
        <w:t>PROJECT DESCRIPTION</w:t>
      </w:r>
    </w:p>
    <w:p w14:paraId="7673E48A" w14:textId="77777777" w:rsidR="0001415F" w:rsidRPr="00B75955" w:rsidRDefault="0001415F" w:rsidP="0001415F">
      <w:pPr>
        <w:rPr>
          <w:lang w:val="en-CA"/>
        </w:rPr>
      </w:pPr>
    </w:p>
    <w:p w14:paraId="57137991" w14:textId="32DE2B88" w:rsidR="0001415F" w:rsidRPr="00B75955" w:rsidRDefault="0001415F" w:rsidP="0001415F">
      <w:pPr>
        <w:pStyle w:val="Heading1"/>
        <w:rPr>
          <w:lang w:val="en-CA"/>
        </w:rPr>
      </w:pPr>
      <w:r w:rsidRPr="00B75955">
        <w:rPr>
          <w:lang w:val="en-CA"/>
        </w:rPr>
        <w:t xml:space="preserve">On behalf of the Government of China, UNEP as the lead implementing agency, has submitted a request for funding for the second tranche of the refrigeration servicing sector and enabling components of stage II of the HCFC phase-out management plan (HPMP), at a total cost of </w:t>
      </w:r>
      <w:r w:rsidR="00CE0D2B">
        <w:rPr>
          <w:lang w:val="en-CA"/>
        </w:rPr>
        <w:t>US $</w:t>
      </w:r>
      <w:r w:rsidRPr="00B75955">
        <w:rPr>
          <w:lang w:val="en-CA"/>
        </w:rPr>
        <w:t xml:space="preserve">2,944,461, consisting of </w:t>
      </w:r>
      <w:r w:rsidR="00CE0D2B">
        <w:rPr>
          <w:lang w:val="en-CA"/>
        </w:rPr>
        <w:t>US $</w:t>
      </w:r>
      <w:r w:rsidRPr="00B75955">
        <w:rPr>
          <w:lang w:val="en-CA"/>
        </w:rPr>
        <w:t xml:space="preserve">2,570,000, plus agency support costs of </w:t>
      </w:r>
      <w:r w:rsidR="00CE0D2B">
        <w:rPr>
          <w:lang w:val="en-CA"/>
        </w:rPr>
        <w:t>US $</w:t>
      </w:r>
      <w:r w:rsidRPr="00B75955">
        <w:rPr>
          <w:lang w:val="en-CA"/>
        </w:rPr>
        <w:t xml:space="preserve">284,061 for UNEP, and </w:t>
      </w:r>
      <w:r w:rsidR="00CE0D2B">
        <w:rPr>
          <w:lang w:val="en-CA"/>
        </w:rPr>
        <w:t>US $</w:t>
      </w:r>
      <w:r w:rsidRPr="00B75955">
        <w:rPr>
          <w:lang w:val="en-CA"/>
        </w:rPr>
        <w:t xml:space="preserve">80,000, plus agency support costs of </w:t>
      </w:r>
      <w:r w:rsidR="00CE0D2B">
        <w:rPr>
          <w:lang w:val="en-CA"/>
        </w:rPr>
        <w:t>US $</w:t>
      </w:r>
      <w:r w:rsidRPr="00B75955">
        <w:rPr>
          <w:lang w:val="en-CA"/>
        </w:rPr>
        <w:t>10,400 for Japan.</w:t>
      </w:r>
      <w:r w:rsidRPr="00B75955">
        <w:rPr>
          <w:vertAlign w:val="superscript"/>
          <w:lang w:val="en-CA"/>
        </w:rPr>
        <w:footnoteReference w:id="17"/>
      </w:r>
      <w:r w:rsidRPr="00B75955">
        <w:rPr>
          <w:lang w:val="en-CA"/>
        </w:rPr>
        <w:t xml:space="preserve"> The submission includes a progress report on the implementation of the first tranche and the tranche implementation plan for 2018 to 2020.</w:t>
      </w:r>
    </w:p>
    <w:p w14:paraId="212B9E32" w14:textId="77777777" w:rsidR="0001415F" w:rsidRPr="00B75955" w:rsidRDefault="0001415F" w:rsidP="0001415F">
      <w:pPr>
        <w:rPr>
          <w:u w:val="single"/>
          <w:lang w:val="en-CA"/>
        </w:rPr>
      </w:pPr>
      <w:r w:rsidRPr="00B75955">
        <w:rPr>
          <w:u w:val="single"/>
          <w:lang w:val="en-CA"/>
        </w:rPr>
        <w:t>Progress report on the implementation of the first tranche of the HPMP</w:t>
      </w:r>
    </w:p>
    <w:p w14:paraId="2160BAEF" w14:textId="77777777" w:rsidR="0001415F" w:rsidRPr="00B75955" w:rsidRDefault="0001415F" w:rsidP="0001415F">
      <w:pPr>
        <w:rPr>
          <w:u w:val="single"/>
          <w:lang w:val="en-CA"/>
        </w:rPr>
      </w:pPr>
    </w:p>
    <w:p w14:paraId="16F02357" w14:textId="77777777" w:rsidR="0001415F" w:rsidRPr="00B75955" w:rsidRDefault="0001415F" w:rsidP="0001415F">
      <w:pPr>
        <w:pStyle w:val="Heading1"/>
        <w:rPr>
          <w:lang w:val="en-CA"/>
        </w:rPr>
      </w:pPr>
      <w:r w:rsidRPr="00B75955">
        <w:rPr>
          <w:lang w:val="en-CA"/>
        </w:rPr>
        <w:t>The main activities completed since the approval of the first tranche are summarised below:</w:t>
      </w:r>
    </w:p>
    <w:p w14:paraId="15888325" w14:textId="77777777" w:rsidR="0001415F" w:rsidRPr="00B75955" w:rsidRDefault="0001415F" w:rsidP="0001415F">
      <w:pPr>
        <w:pStyle w:val="Heading2"/>
        <w:numPr>
          <w:ilvl w:val="1"/>
          <w:numId w:val="1"/>
        </w:numPr>
        <w:rPr>
          <w:lang w:val="en-CA"/>
        </w:rPr>
      </w:pPr>
      <w:r w:rsidRPr="00B75955">
        <w:rPr>
          <w:lang w:val="en-CA"/>
        </w:rPr>
        <w:t>Agreement was signed between UNEP and FECO in July 2017, and funds were subsequently transferred in August 2017;</w:t>
      </w:r>
    </w:p>
    <w:p w14:paraId="311BE14F" w14:textId="77777777" w:rsidR="0001415F" w:rsidRPr="00B75955" w:rsidRDefault="0001415F" w:rsidP="0001415F">
      <w:pPr>
        <w:pStyle w:val="Heading2"/>
        <w:numPr>
          <w:ilvl w:val="1"/>
          <w:numId w:val="1"/>
        </w:numPr>
        <w:rPr>
          <w:lang w:val="en-CA"/>
        </w:rPr>
      </w:pPr>
      <w:r w:rsidRPr="00B75955">
        <w:rPr>
          <w:lang w:val="en-CA"/>
        </w:rPr>
        <w:t>Implementation plan of stage II of the HPMP was finalised and approved by FECO/MEP, particularly activities in the servicing sector;</w:t>
      </w:r>
    </w:p>
    <w:p w14:paraId="159F5663" w14:textId="77777777" w:rsidR="0001415F" w:rsidRPr="00B75955" w:rsidRDefault="0001415F" w:rsidP="0001415F">
      <w:pPr>
        <w:pStyle w:val="Heading2"/>
        <w:numPr>
          <w:ilvl w:val="1"/>
          <w:numId w:val="1"/>
        </w:numPr>
        <w:rPr>
          <w:lang w:val="en-CA"/>
        </w:rPr>
      </w:pPr>
      <w:r w:rsidRPr="00B75955">
        <w:rPr>
          <w:lang w:val="en-CA"/>
        </w:rPr>
        <w:t>Development of standards and codes for the refrigeration sector was initiated; terms of reference (TOR) were developed for codes for the servicing and maintenance of air</w:t>
      </w:r>
      <w:r w:rsidRPr="00B75955">
        <w:rPr>
          <w:lang w:val="en-CA"/>
        </w:rPr>
        <w:noBreakHyphen/>
        <w:t>conditioning units (heat pumps) and water chillers (heat pumps) with focus on refrigerant emissions; and TOR are under preparation for the revision of the standards for the installation of room air-conditioners and development of the codes of good practices for installation and servicing of air-conditioners;</w:t>
      </w:r>
    </w:p>
    <w:p w14:paraId="1CC1E0C5" w14:textId="77777777" w:rsidR="0001415F" w:rsidRPr="00B75955" w:rsidRDefault="0001415F" w:rsidP="0001415F">
      <w:pPr>
        <w:pStyle w:val="Heading2"/>
        <w:numPr>
          <w:ilvl w:val="1"/>
          <w:numId w:val="1"/>
        </w:numPr>
        <w:rPr>
          <w:lang w:val="en-CA"/>
        </w:rPr>
      </w:pPr>
      <w:r w:rsidRPr="00B75955">
        <w:rPr>
          <w:lang w:val="en-CA"/>
        </w:rPr>
        <w:t>The national executive agency for the delivery of the technician training programme under stage II of the HPMP, China Association of Staff and Workers Education and Vocational Training (CAWEVT), was identified and a contract was signed; the work plan is expected to be finalised by April 2018;</w:t>
      </w:r>
    </w:p>
    <w:p w14:paraId="54D8A002" w14:textId="77777777" w:rsidR="0001415F" w:rsidRPr="00B75955" w:rsidRDefault="0001415F" w:rsidP="0001415F">
      <w:pPr>
        <w:pStyle w:val="Heading2"/>
        <w:numPr>
          <w:ilvl w:val="1"/>
          <w:numId w:val="1"/>
        </w:numPr>
        <w:rPr>
          <w:lang w:val="en-CA"/>
        </w:rPr>
      </w:pPr>
      <w:r w:rsidRPr="00B75955">
        <w:rPr>
          <w:lang w:val="en-CA"/>
        </w:rPr>
        <w:t>The work to revise the national certification criteria for service technicians was initiated, as well as the qualification certification system for servicing companies;</w:t>
      </w:r>
    </w:p>
    <w:p w14:paraId="157F60A5" w14:textId="77777777" w:rsidR="0001415F" w:rsidRPr="00B75955" w:rsidRDefault="0001415F" w:rsidP="0001415F">
      <w:pPr>
        <w:pStyle w:val="Heading2"/>
        <w:numPr>
          <w:ilvl w:val="1"/>
          <w:numId w:val="1"/>
        </w:numPr>
        <w:rPr>
          <w:lang w:val="en-CA"/>
        </w:rPr>
      </w:pPr>
      <w:r w:rsidRPr="00B75955">
        <w:rPr>
          <w:lang w:val="en-CA"/>
        </w:rPr>
        <w:t>Three cities (Guangzhou, Shanghai and Shenzhen) were identified for the pilot demonstration project for local Environmental Protection Bureaus (EPBs) on the establishment of policy frameworks to support the phase-out of HCFCs and the safe use of non-HCFC refrigerants through management, supervision, incentives, standards, and training; and work plans were developed for implementation once contracts with these cities are signed;</w:t>
      </w:r>
    </w:p>
    <w:p w14:paraId="52AB4D57" w14:textId="77777777" w:rsidR="0001415F" w:rsidRPr="00B75955" w:rsidRDefault="0001415F" w:rsidP="0001415F">
      <w:pPr>
        <w:pStyle w:val="Heading2"/>
        <w:numPr>
          <w:ilvl w:val="1"/>
          <w:numId w:val="1"/>
        </w:numPr>
        <w:rPr>
          <w:lang w:val="en-CA"/>
        </w:rPr>
      </w:pPr>
      <w:r w:rsidRPr="00B75955">
        <w:rPr>
          <w:lang w:val="en-CA"/>
        </w:rPr>
        <w:t xml:space="preserve">The operation of the training centres established under stage I of the HPMP was reviewed, the training centre selection criteria were developed, the training curriculum was consolidated, and the training scheme for the training programme was finalized; </w:t>
      </w:r>
    </w:p>
    <w:p w14:paraId="220AEAFF" w14:textId="77777777" w:rsidR="0001415F" w:rsidRPr="00B75955" w:rsidRDefault="0001415F" w:rsidP="005F19E8">
      <w:pPr>
        <w:pStyle w:val="Heading2"/>
        <w:keepNext/>
        <w:keepLines/>
        <w:widowControl/>
        <w:numPr>
          <w:ilvl w:val="1"/>
          <w:numId w:val="1"/>
        </w:numPr>
        <w:rPr>
          <w:lang w:val="en-CA"/>
        </w:rPr>
      </w:pPr>
      <w:r w:rsidRPr="00B75955">
        <w:rPr>
          <w:lang w:val="en-CA"/>
        </w:rPr>
        <w:lastRenderedPageBreak/>
        <w:t>Contracts were signed in December 2017 with the China Solid Waste and Chemical Management Centre, China National Resources Recycling Association (CNRRA) and Shenzhen University to conduct the study on management of HCFC recovery in the refrigeration servicing sector, which is ongoing;</w:t>
      </w:r>
    </w:p>
    <w:p w14:paraId="17E6067D" w14:textId="77777777" w:rsidR="0001415F" w:rsidRPr="00B75955" w:rsidRDefault="0001415F" w:rsidP="0001415F">
      <w:pPr>
        <w:pStyle w:val="Heading2"/>
        <w:keepNext/>
        <w:widowControl/>
        <w:numPr>
          <w:ilvl w:val="1"/>
          <w:numId w:val="1"/>
        </w:numPr>
        <w:rPr>
          <w:lang w:val="en-CA"/>
        </w:rPr>
      </w:pPr>
      <w:r w:rsidRPr="00B75955">
        <w:rPr>
          <w:lang w:val="en-CA"/>
        </w:rPr>
        <w:t>Stakeholders were consulted for the design of the activities in the supermarket sector; a survey was completed in cooperation with China Chain Store and Franchise Association (CCFA) to support the selection of the potential supermarkets for demonstration projects under stage II;</w:t>
      </w:r>
    </w:p>
    <w:p w14:paraId="6E93B8AF" w14:textId="77777777" w:rsidR="0001415F" w:rsidRPr="00B75955" w:rsidRDefault="0001415F" w:rsidP="0001415F">
      <w:pPr>
        <w:pStyle w:val="Heading2"/>
        <w:numPr>
          <w:ilvl w:val="1"/>
          <w:numId w:val="1"/>
        </w:numPr>
        <w:rPr>
          <w:rFonts w:eastAsia="SimSun"/>
          <w:lang w:val="en-CA"/>
        </w:rPr>
      </w:pPr>
      <w:r w:rsidRPr="00B75955">
        <w:rPr>
          <w:lang w:val="en-CA"/>
        </w:rPr>
        <w:t xml:space="preserve">A training workshop on enforcement of the ODS Management Regulation was conducted for 50 customs officers from different provinces; </w:t>
      </w:r>
      <w:r w:rsidRPr="00B75955">
        <w:rPr>
          <w:rFonts w:eastAsia="SimSun"/>
          <w:lang w:val="en-CA"/>
        </w:rPr>
        <w:t>50 officers from local EPBs were trained on ODS management and supervision at the local level;</w:t>
      </w:r>
    </w:p>
    <w:p w14:paraId="3420F228" w14:textId="77777777" w:rsidR="0001415F" w:rsidRPr="00B75955" w:rsidRDefault="0001415F" w:rsidP="0001415F">
      <w:pPr>
        <w:pStyle w:val="Heading2"/>
        <w:numPr>
          <w:ilvl w:val="1"/>
          <w:numId w:val="1"/>
        </w:numPr>
        <w:rPr>
          <w:lang w:val="en-CA"/>
        </w:rPr>
      </w:pPr>
      <w:r w:rsidRPr="00B75955">
        <w:rPr>
          <w:lang w:val="en-CA"/>
        </w:rPr>
        <w:t>An international workshop on alternatives to HCFC-22 in room air-conditioner sector with 200 participants and a workshop on refrigerant management and emission reduction in the chain stores for 50 managers and engineers from the supermarket sector were organized; and</w:t>
      </w:r>
    </w:p>
    <w:p w14:paraId="6EF6C79D" w14:textId="77777777" w:rsidR="0001415F" w:rsidRPr="00B75955" w:rsidRDefault="0001415F" w:rsidP="0001415F">
      <w:pPr>
        <w:pStyle w:val="Heading2"/>
        <w:numPr>
          <w:ilvl w:val="1"/>
          <w:numId w:val="1"/>
        </w:numPr>
        <w:rPr>
          <w:lang w:val="en-CA"/>
        </w:rPr>
      </w:pPr>
      <w:r w:rsidRPr="00B75955">
        <w:rPr>
          <w:lang w:val="en-CA"/>
        </w:rPr>
        <w:t>A draft plan for the outreach and communication for the celebration of International Ozone Day including workshops on ODS management and other awareness activities to support implementation of stage II of the HPMP was prepared; the website “Ozone Action in China” continued to be updated and an English version was developed.</w:t>
      </w:r>
    </w:p>
    <w:p w14:paraId="0C54BF22" w14:textId="77777777" w:rsidR="0001415F" w:rsidRPr="00B75955" w:rsidRDefault="0001415F" w:rsidP="0001415F">
      <w:pPr>
        <w:keepNext/>
        <w:rPr>
          <w:lang w:val="en-CA"/>
        </w:rPr>
      </w:pPr>
      <w:r w:rsidRPr="00B75955">
        <w:rPr>
          <w:i/>
          <w:lang w:val="en-CA"/>
        </w:rPr>
        <w:t>Project implementation and monitoring unit (PMU)</w:t>
      </w:r>
    </w:p>
    <w:p w14:paraId="2A3540D0" w14:textId="77777777" w:rsidR="0001415F" w:rsidRPr="00B75955" w:rsidRDefault="0001415F" w:rsidP="0001415F">
      <w:pPr>
        <w:keepNext/>
        <w:rPr>
          <w:lang w:val="en-CA"/>
        </w:rPr>
      </w:pPr>
    </w:p>
    <w:p w14:paraId="58042DA6" w14:textId="77777777" w:rsidR="0001415F" w:rsidRPr="00B75955" w:rsidRDefault="0001415F" w:rsidP="0001415F">
      <w:pPr>
        <w:pStyle w:val="Heading1"/>
        <w:keepNext/>
        <w:rPr>
          <w:lang w:val="en-CA"/>
        </w:rPr>
      </w:pPr>
      <w:r w:rsidRPr="00B75955">
        <w:rPr>
          <w:lang w:val="en-CA"/>
        </w:rPr>
        <w:t>A Working Group for the implementation of the refrigeration servicing sector plan has been established under FECO/MEP for the direct coordination, implementation and monitoring of the activities, as well as capacity-building of national and local authorities, and the awareness and outreach strategy.</w:t>
      </w:r>
    </w:p>
    <w:p w14:paraId="33581B16" w14:textId="77777777" w:rsidR="0001415F" w:rsidRPr="00B75955" w:rsidRDefault="0001415F" w:rsidP="0001415F">
      <w:pPr>
        <w:keepNext/>
        <w:rPr>
          <w:u w:val="single"/>
          <w:lang w:val="en-CA"/>
        </w:rPr>
      </w:pPr>
      <w:r w:rsidRPr="00B75955">
        <w:rPr>
          <w:u w:val="single"/>
          <w:lang w:val="en-CA"/>
        </w:rPr>
        <w:t>Level of fund disbursement</w:t>
      </w:r>
    </w:p>
    <w:p w14:paraId="5613F667" w14:textId="77777777" w:rsidR="0001415F" w:rsidRPr="00B75955" w:rsidRDefault="0001415F" w:rsidP="0001415F">
      <w:pPr>
        <w:keepNext/>
        <w:rPr>
          <w:lang w:val="en-CA"/>
        </w:rPr>
      </w:pPr>
    </w:p>
    <w:p w14:paraId="56E0BE55" w14:textId="77777777" w:rsidR="0001415F" w:rsidRPr="00B75955" w:rsidRDefault="0001415F" w:rsidP="0001415F">
      <w:pPr>
        <w:pStyle w:val="Heading1"/>
        <w:keepNext/>
        <w:rPr>
          <w:lang w:val="en-CA"/>
        </w:rPr>
      </w:pPr>
      <w:r w:rsidRPr="00B75955">
        <w:rPr>
          <w:lang w:val="en-CA"/>
        </w:rPr>
        <w:t>As of March 2018, of the US $3,679,132 approved so far, US $1,540,000 (42 per cent) had been disbursed to FECO, as shown in Table 1. The balance of US $2,139,132 will be disbursed in 2018.</w:t>
      </w:r>
    </w:p>
    <w:p w14:paraId="06F2B8D2" w14:textId="77777777" w:rsidR="0001415F" w:rsidRPr="00B75955" w:rsidRDefault="0001415F" w:rsidP="0001415F">
      <w:pPr>
        <w:keepNext/>
        <w:rPr>
          <w:b/>
          <w:lang w:val="en-CA"/>
        </w:rPr>
      </w:pPr>
      <w:r w:rsidRPr="00B75955">
        <w:rPr>
          <w:b/>
          <w:lang w:val="en-CA"/>
        </w:rPr>
        <w:t>Table 1. Financial report of refrigeration servicing sector plan for China (US $)</w:t>
      </w:r>
    </w:p>
    <w:tbl>
      <w:tblPr>
        <w:tblStyle w:val="TableGrid10"/>
        <w:tblW w:w="5000" w:type="pct"/>
        <w:tblLook w:val="04A0" w:firstRow="1" w:lastRow="0" w:firstColumn="1" w:lastColumn="0" w:noHBand="0" w:noVBand="1"/>
      </w:tblPr>
      <w:tblGrid>
        <w:gridCol w:w="4504"/>
        <w:gridCol w:w="2424"/>
        <w:gridCol w:w="2422"/>
      </w:tblGrid>
      <w:tr w:rsidR="0001415F" w:rsidRPr="00B75955" w14:paraId="23CB873C" w14:textId="77777777" w:rsidTr="00B75955">
        <w:tc>
          <w:tcPr>
            <w:tcW w:w="2409" w:type="pct"/>
            <w:vMerge w:val="restart"/>
          </w:tcPr>
          <w:p w14:paraId="28A90005" w14:textId="77777777" w:rsidR="0001415F" w:rsidRPr="00B75955" w:rsidRDefault="0001415F" w:rsidP="00B75955">
            <w:pPr>
              <w:keepNext/>
              <w:jc w:val="center"/>
              <w:rPr>
                <w:b/>
                <w:lang w:val="en-CA"/>
              </w:rPr>
            </w:pPr>
            <w:r w:rsidRPr="00B75955">
              <w:rPr>
                <w:b/>
                <w:lang w:val="en-CA"/>
              </w:rPr>
              <w:t>Agency</w:t>
            </w:r>
          </w:p>
        </w:tc>
        <w:tc>
          <w:tcPr>
            <w:tcW w:w="2591" w:type="pct"/>
            <w:gridSpan w:val="2"/>
          </w:tcPr>
          <w:p w14:paraId="76728E57" w14:textId="77777777" w:rsidR="0001415F" w:rsidRPr="00B75955" w:rsidRDefault="0001415F" w:rsidP="00B75955">
            <w:pPr>
              <w:keepNext/>
              <w:jc w:val="center"/>
              <w:rPr>
                <w:b/>
                <w:lang w:val="en-CA"/>
              </w:rPr>
            </w:pPr>
            <w:r w:rsidRPr="00B75955">
              <w:rPr>
                <w:b/>
                <w:lang w:val="en-CA"/>
              </w:rPr>
              <w:t>First tranche</w:t>
            </w:r>
          </w:p>
        </w:tc>
      </w:tr>
      <w:tr w:rsidR="0001415F" w:rsidRPr="00B75955" w14:paraId="15766EDE" w14:textId="77777777" w:rsidTr="00B75955">
        <w:tc>
          <w:tcPr>
            <w:tcW w:w="2409" w:type="pct"/>
            <w:vMerge/>
          </w:tcPr>
          <w:p w14:paraId="520FC45D" w14:textId="77777777" w:rsidR="0001415F" w:rsidRPr="00B75955" w:rsidRDefault="0001415F" w:rsidP="00B75955">
            <w:pPr>
              <w:keepNext/>
              <w:jc w:val="center"/>
              <w:rPr>
                <w:b/>
                <w:lang w:val="en-CA"/>
              </w:rPr>
            </w:pPr>
          </w:p>
        </w:tc>
        <w:tc>
          <w:tcPr>
            <w:tcW w:w="1296" w:type="pct"/>
          </w:tcPr>
          <w:p w14:paraId="41ED0D22" w14:textId="77777777" w:rsidR="0001415F" w:rsidRPr="00B75955" w:rsidRDefault="0001415F" w:rsidP="00B75955">
            <w:pPr>
              <w:keepNext/>
              <w:jc w:val="center"/>
              <w:rPr>
                <w:b/>
                <w:lang w:val="en-CA"/>
              </w:rPr>
            </w:pPr>
            <w:r w:rsidRPr="00B75955">
              <w:rPr>
                <w:b/>
                <w:lang w:val="en-CA"/>
              </w:rPr>
              <w:t>Approved</w:t>
            </w:r>
          </w:p>
        </w:tc>
        <w:tc>
          <w:tcPr>
            <w:tcW w:w="1296" w:type="pct"/>
          </w:tcPr>
          <w:p w14:paraId="3E1DBA07" w14:textId="77777777" w:rsidR="0001415F" w:rsidRPr="00B75955" w:rsidRDefault="0001415F" w:rsidP="00B75955">
            <w:pPr>
              <w:keepNext/>
              <w:jc w:val="center"/>
              <w:rPr>
                <w:b/>
                <w:lang w:val="en-CA"/>
              </w:rPr>
            </w:pPr>
            <w:r w:rsidRPr="00B75955">
              <w:rPr>
                <w:b/>
                <w:lang w:val="en-CA"/>
              </w:rPr>
              <w:t>Disbursed to FECO</w:t>
            </w:r>
          </w:p>
        </w:tc>
      </w:tr>
      <w:tr w:rsidR="0001415F" w:rsidRPr="00B75955" w14:paraId="73F6EC95" w14:textId="77777777" w:rsidTr="00B75955">
        <w:tc>
          <w:tcPr>
            <w:tcW w:w="2409" w:type="pct"/>
          </w:tcPr>
          <w:p w14:paraId="7B8809B2" w14:textId="77777777" w:rsidR="0001415F" w:rsidRPr="00B75955" w:rsidRDefault="0001415F" w:rsidP="00B75955">
            <w:pPr>
              <w:keepNext/>
              <w:rPr>
                <w:lang w:val="en-CA"/>
              </w:rPr>
            </w:pPr>
            <w:r w:rsidRPr="00B75955">
              <w:rPr>
                <w:lang w:val="en-CA"/>
              </w:rPr>
              <w:t>UNEP</w:t>
            </w:r>
          </w:p>
        </w:tc>
        <w:tc>
          <w:tcPr>
            <w:tcW w:w="1296" w:type="pct"/>
          </w:tcPr>
          <w:p w14:paraId="2CE8E3B5" w14:textId="77777777" w:rsidR="0001415F" w:rsidRPr="00B75955" w:rsidRDefault="0001415F" w:rsidP="00B75955">
            <w:pPr>
              <w:keepNext/>
              <w:jc w:val="right"/>
              <w:rPr>
                <w:lang w:val="en-CA"/>
              </w:rPr>
            </w:pPr>
            <w:r w:rsidRPr="00B75955">
              <w:rPr>
                <w:lang w:val="en-CA"/>
              </w:rPr>
              <w:t>3,299,132</w:t>
            </w:r>
          </w:p>
        </w:tc>
        <w:tc>
          <w:tcPr>
            <w:tcW w:w="1296" w:type="pct"/>
          </w:tcPr>
          <w:p w14:paraId="7D745BE9" w14:textId="77777777" w:rsidR="0001415F" w:rsidRPr="00B75955" w:rsidRDefault="0001415F" w:rsidP="00B75955">
            <w:pPr>
              <w:keepNext/>
              <w:jc w:val="right"/>
              <w:rPr>
                <w:lang w:val="en-CA"/>
              </w:rPr>
            </w:pPr>
            <w:r w:rsidRPr="00B75955">
              <w:rPr>
                <w:lang w:val="en-CA"/>
              </w:rPr>
              <w:t>1,460,000</w:t>
            </w:r>
          </w:p>
        </w:tc>
      </w:tr>
      <w:tr w:rsidR="0001415F" w:rsidRPr="00B75955" w14:paraId="0AC6B9D8" w14:textId="77777777" w:rsidTr="00B75955">
        <w:tc>
          <w:tcPr>
            <w:tcW w:w="2409" w:type="pct"/>
          </w:tcPr>
          <w:p w14:paraId="62DF028B" w14:textId="77777777" w:rsidR="0001415F" w:rsidRPr="00B75955" w:rsidRDefault="0001415F" w:rsidP="00B75955">
            <w:pPr>
              <w:rPr>
                <w:lang w:val="en-CA"/>
              </w:rPr>
            </w:pPr>
            <w:r w:rsidRPr="00B75955">
              <w:rPr>
                <w:lang w:val="en-CA"/>
              </w:rPr>
              <w:t>Germany</w:t>
            </w:r>
          </w:p>
        </w:tc>
        <w:tc>
          <w:tcPr>
            <w:tcW w:w="1296" w:type="pct"/>
          </w:tcPr>
          <w:p w14:paraId="2071766D" w14:textId="77777777" w:rsidR="0001415F" w:rsidRPr="00B75955" w:rsidRDefault="0001415F" w:rsidP="00B75955">
            <w:pPr>
              <w:jc w:val="right"/>
              <w:rPr>
                <w:lang w:val="en-CA"/>
              </w:rPr>
            </w:pPr>
            <w:r w:rsidRPr="00B75955">
              <w:rPr>
                <w:lang w:val="en-CA"/>
              </w:rPr>
              <w:t>300,000</w:t>
            </w:r>
          </w:p>
        </w:tc>
        <w:tc>
          <w:tcPr>
            <w:tcW w:w="1296" w:type="pct"/>
          </w:tcPr>
          <w:p w14:paraId="3BD8E49A" w14:textId="77777777" w:rsidR="0001415F" w:rsidRPr="00B75955" w:rsidRDefault="0001415F" w:rsidP="00B75955">
            <w:pPr>
              <w:jc w:val="right"/>
              <w:rPr>
                <w:lang w:val="en-CA"/>
              </w:rPr>
            </w:pPr>
            <w:r w:rsidRPr="00B75955">
              <w:rPr>
                <w:lang w:val="en-CA"/>
              </w:rPr>
              <w:t>-</w:t>
            </w:r>
          </w:p>
        </w:tc>
      </w:tr>
      <w:tr w:rsidR="0001415F" w:rsidRPr="00B75955" w14:paraId="1B9735AF" w14:textId="77777777" w:rsidTr="00B75955">
        <w:tc>
          <w:tcPr>
            <w:tcW w:w="2409" w:type="pct"/>
          </w:tcPr>
          <w:p w14:paraId="04D45B67" w14:textId="77777777" w:rsidR="0001415F" w:rsidRPr="00B75955" w:rsidRDefault="0001415F" w:rsidP="00B75955">
            <w:pPr>
              <w:rPr>
                <w:lang w:val="en-CA"/>
              </w:rPr>
            </w:pPr>
            <w:r w:rsidRPr="00B75955">
              <w:rPr>
                <w:lang w:val="en-CA"/>
              </w:rPr>
              <w:t>Japan</w:t>
            </w:r>
          </w:p>
        </w:tc>
        <w:tc>
          <w:tcPr>
            <w:tcW w:w="1296" w:type="pct"/>
          </w:tcPr>
          <w:p w14:paraId="61C34047" w14:textId="77777777" w:rsidR="0001415F" w:rsidRPr="00B75955" w:rsidRDefault="0001415F" w:rsidP="00B75955">
            <w:pPr>
              <w:jc w:val="right"/>
              <w:rPr>
                <w:lang w:val="en-CA"/>
              </w:rPr>
            </w:pPr>
            <w:r w:rsidRPr="00B75955">
              <w:rPr>
                <w:lang w:val="en-CA"/>
              </w:rPr>
              <w:t>80,000</w:t>
            </w:r>
          </w:p>
        </w:tc>
        <w:tc>
          <w:tcPr>
            <w:tcW w:w="1296" w:type="pct"/>
          </w:tcPr>
          <w:p w14:paraId="1A85D709" w14:textId="77777777" w:rsidR="0001415F" w:rsidRPr="00B75955" w:rsidRDefault="0001415F" w:rsidP="00B75955">
            <w:pPr>
              <w:jc w:val="right"/>
              <w:rPr>
                <w:lang w:val="en-CA"/>
              </w:rPr>
            </w:pPr>
            <w:r w:rsidRPr="00B75955">
              <w:rPr>
                <w:lang w:val="en-CA"/>
              </w:rPr>
              <w:t>80,000</w:t>
            </w:r>
          </w:p>
        </w:tc>
      </w:tr>
      <w:tr w:rsidR="0001415F" w:rsidRPr="00B75955" w14:paraId="07F61545" w14:textId="77777777" w:rsidTr="00B75955">
        <w:tc>
          <w:tcPr>
            <w:tcW w:w="2409" w:type="pct"/>
          </w:tcPr>
          <w:p w14:paraId="12F34402" w14:textId="77777777" w:rsidR="0001415F" w:rsidRPr="00B75955" w:rsidRDefault="0001415F" w:rsidP="00B75955">
            <w:pPr>
              <w:rPr>
                <w:b/>
                <w:lang w:val="en-CA"/>
              </w:rPr>
            </w:pPr>
            <w:r w:rsidRPr="00B75955">
              <w:rPr>
                <w:b/>
                <w:lang w:val="en-CA"/>
              </w:rPr>
              <w:t>Total</w:t>
            </w:r>
          </w:p>
        </w:tc>
        <w:tc>
          <w:tcPr>
            <w:tcW w:w="1296" w:type="pct"/>
          </w:tcPr>
          <w:p w14:paraId="1984B481" w14:textId="77777777" w:rsidR="0001415F" w:rsidRPr="00B75955" w:rsidRDefault="0001415F" w:rsidP="00B75955">
            <w:pPr>
              <w:jc w:val="right"/>
              <w:rPr>
                <w:b/>
                <w:lang w:val="en-CA"/>
              </w:rPr>
            </w:pPr>
            <w:r w:rsidRPr="00B75955">
              <w:rPr>
                <w:b/>
                <w:lang w:val="en-CA"/>
              </w:rPr>
              <w:t>3,679,132</w:t>
            </w:r>
          </w:p>
        </w:tc>
        <w:tc>
          <w:tcPr>
            <w:tcW w:w="1296" w:type="pct"/>
          </w:tcPr>
          <w:p w14:paraId="130D800C" w14:textId="77777777" w:rsidR="0001415F" w:rsidRPr="00B75955" w:rsidRDefault="0001415F" w:rsidP="00B75955">
            <w:pPr>
              <w:jc w:val="right"/>
              <w:rPr>
                <w:b/>
                <w:lang w:val="en-CA"/>
              </w:rPr>
            </w:pPr>
            <w:r w:rsidRPr="00B75955">
              <w:rPr>
                <w:b/>
                <w:lang w:val="en-CA"/>
              </w:rPr>
              <w:t>1,540,000</w:t>
            </w:r>
          </w:p>
        </w:tc>
      </w:tr>
      <w:tr w:rsidR="0001415F" w:rsidRPr="00B75955" w14:paraId="427E04C5" w14:textId="77777777" w:rsidTr="00B75955">
        <w:tc>
          <w:tcPr>
            <w:tcW w:w="2409" w:type="pct"/>
          </w:tcPr>
          <w:p w14:paraId="069AA16E" w14:textId="77777777" w:rsidR="0001415F" w:rsidRPr="00B75955" w:rsidRDefault="0001415F" w:rsidP="00B75955">
            <w:pPr>
              <w:rPr>
                <w:b/>
                <w:lang w:val="en-CA"/>
              </w:rPr>
            </w:pPr>
            <w:r w:rsidRPr="00B75955">
              <w:rPr>
                <w:b/>
                <w:lang w:val="en-CA"/>
              </w:rPr>
              <w:t>Disbursement rate (%)</w:t>
            </w:r>
          </w:p>
        </w:tc>
        <w:tc>
          <w:tcPr>
            <w:tcW w:w="2591" w:type="pct"/>
            <w:gridSpan w:val="2"/>
          </w:tcPr>
          <w:p w14:paraId="752FB6A0" w14:textId="77777777" w:rsidR="0001415F" w:rsidRPr="00B75955" w:rsidRDefault="0001415F" w:rsidP="00B75955">
            <w:pPr>
              <w:jc w:val="center"/>
              <w:rPr>
                <w:b/>
                <w:lang w:val="en-CA"/>
              </w:rPr>
            </w:pPr>
            <w:r w:rsidRPr="00B75955">
              <w:rPr>
                <w:b/>
                <w:lang w:val="en-CA"/>
              </w:rPr>
              <w:t>42</w:t>
            </w:r>
          </w:p>
        </w:tc>
      </w:tr>
    </w:tbl>
    <w:p w14:paraId="7789E217" w14:textId="77777777" w:rsidR="0001415F" w:rsidRPr="00B75955" w:rsidRDefault="0001415F" w:rsidP="0001415F">
      <w:pPr>
        <w:rPr>
          <w:lang w:val="en-CA"/>
        </w:rPr>
      </w:pPr>
    </w:p>
    <w:p w14:paraId="7FB3751A" w14:textId="77777777" w:rsidR="0001415F" w:rsidRPr="00B75955" w:rsidRDefault="0001415F" w:rsidP="0001415F">
      <w:pPr>
        <w:rPr>
          <w:u w:val="single"/>
          <w:lang w:val="en-CA"/>
        </w:rPr>
      </w:pPr>
      <w:r w:rsidRPr="00B75955">
        <w:rPr>
          <w:u w:val="single"/>
          <w:lang w:val="en-CA"/>
        </w:rPr>
        <w:t xml:space="preserve">Implementation plan for the second tranche </w:t>
      </w:r>
    </w:p>
    <w:p w14:paraId="22A06441" w14:textId="77777777" w:rsidR="0001415F" w:rsidRPr="00B75955" w:rsidRDefault="0001415F" w:rsidP="0001415F">
      <w:pPr>
        <w:rPr>
          <w:u w:val="single"/>
          <w:lang w:val="en-CA"/>
        </w:rPr>
      </w:pPr>
    </w:p>
    <w:p w14:paraId="7E32C430" w14:textId="77777777" w:rsidR="0001415F" w:rsidRPr="00B75955" w:rsidRDefault="0001415F" w:rsidP="0001415F">
      <w:pPr>
        <w:pStyle w:val="Heading1"/>
        <w:rPr>
          <w:lang w:val="en-CA"/>
        </w:rPr>
      </w:pPr>
      <w:r w:rsidRPr="00B75955">
        <w:rPr>
          <w:lang w:val="en-CA"/>
        </w:rPr>
        <w:t>The following activities will be implemented between July 2018 and December 2020:</w:t>
      </w:r>
    </w:p>
    <w:p w14:paraId="7C9D5693" w14:textId="3E98C7A3" w:rsidR="0001415F" w:rsidRPr="00B75955" w:rsidRDefault="0001415F" w:rsidP="0001415F">
      <w:pPr>
        <w:pStyle w:val="Heading2"/>
        <w:numPr>
          <w:ilvl w:val="1"/>
          <w:numId w:val="1"/>
        </w:numPr>
        <w:rPr>
          <w:lang w:val="en-CA"/>
        </w:rPr>
      </w:pPr>
      <w:r w:rsidRPr="00B75955">
        <w:rPr>
          <w:lang w:val="en-CA"/>
        </w:rPr>
        <w:t>Organizing workshops for local customs officers and ODS dealers on strengthening the import/export management of HCFCs and conducting training on ODS import/export control for four customs districts (</w:t>
      </w:r>
      <w:r w:rsidR="00CE0D2B">
        <w:rPr>
          <w:lang w:val="en-CA"/>
        </w:rPr>
        <w:t>US $</w:t>
      </w:r>
      <w:r w:rsidRPr="00B75955">
        <w:rPr>
          <w:lang w:val="en-CA"/>
        </w:rPr>
        <w:t>185,000);</w:t>
      </w:r>
    </w:p>
    <w:p w14:paraId="3B0F5065" w14:textId="77777777" w:rsidR="0001415F" w:rsidRPr="00B75955" w:rsidRDefault="0001415F" w:rsidP="0001415F">
      <w:pPr>
        <w:pStyle w:val="Heading2"/>
        <w:keepNext/>
        <w:widowControl/>
        <w:numPr>
          <w:ilvl w:val="1"/>
          <w:numId w:val="1"/>
        </w:numPr>
        <w:rPr>
          <w:lang w:val="en-CA"/>
        </w:rPr>
      </w:pPr>
      <w:r w:rsidRPr="00B75955">
        <w:rPr>
          <w:lang w:val="en-CA"/>
        </w:rPr>
        <w:lastRenderedPageBreak/>
        <w:t>Contracting additional ten training centres to implement the technicians training programmes including training coordination and monitoring by CAWEVT (US $1,010,000);</w:t>
      </w:r>
    </w:p>
    <w:p w14:paraId="558C0A6E" w14:textId="4C40985D" w:rsidR="0001415F" w:rsidRPr="00B75955" w:rsidRDefault="0001415F" w:rsidP="0001415F">
      <w:pPr>
        <w:pStyle w:val="Heading2"/>
        <w:numPr>
          <w:ilvl w:val="1"/>
          <w:numId w:val="1"/>
        </w:numPr>
        <w:rPr>
          <w:lang w:val="en-CA"/>
        </w:rPr>
      </w:pPr>
      <w:r w:rsidRPr="00B75955">
        <w:rPr>
          <w:lang w:val="en-CA"/>
        </w:rPr>
        <w:t>Selecting 10 to 20 manufacturers’ servicing enterprises to train 6,000 technicians on HCFC good servicing practices, and installation and handling of flammable refrigerant-based air</w:t>
      </w:r>
      <w:r w:rsidRPr="00B75955">
        <w:rPr>
          <w:lang w:val="en-CA"/>
        </w:rPr>
        <w:noBreakHyphen/>
        <w:t>conditioning equipment (</w:t>
      </w:r>
      <w:r w:rsidR="00CE0D2B">
        <w:rPr>
          <w:lang w:val="en-CA"/>
        </w:rPr>
        <w:t>US $</w:t>
      </w:r>
      <w:r w:rsidRPr="00B75955">
        <w:rPr>
          <w:lang w:val="en-CA"/>
        </w:rPr>
        <w:t>660,000);</w:t>
      </w:r>
    </w:p>
    <w:p w14:paraId="787912B2" w14:textId="77777777" w:rsidR="0001415F" w:rsidRPr="00B75955" w:rsidRDefault="0001415F" w:rsidP="0001415F">
      <w:pPr>
        <w:keepNext/>
        <w:numPr>
          <w:ilvl w:val="1"/>
          <w:numId w:val="1"/>
        </w:numPr>
        <w:spacing w:after="240"/>
        <w:outlineLvl w:val="1"/>
        <w:rPr>
          <w:lang w:val="en-CA"/>
        </w:rPr>
      </w:pPr>
      <w:r w:rsidRPr="00B75955">
        <w:rPr>
          <w:lang w:val="en-CA"/>
        </w:rPr>
        <w:t>Organizing overseas training/study tour on alternative refrigerants and their applications in the cold chain and supermarket subsector for eight to ten high-level managers and engineers (US $40,000);</w:t>
      </w:r>
    </w:p>
    <w:p w14:paraId="57CF36B7" w14:textId="33578CC4" w:rsidR="0001415F" w:rsidRPr="00B75955" w:rsidRDefault="0001415F" w:rsidP="0001415F">
      <w:pPr>
        <w:pStyle w:val="Heading2"/>
        <w:numPr>
          <w:ilvl w:val="1"/>
          <w:numId w:val="1"/>
        </w:numPr>
        <w:rPr>
          <w:lang w:val="en-CA"/>
        </w:rPr>
      </w:pPr>
      <w:r w:rsidRPr="00B75955">
        <w:rPr>
          <w:lang w:val="en-CA"/>
        </w:rPr>
        <w:t>Initiating activities for the new pilot cities as part of the demonstration project for capacity building for local EPBs, developing work plans for implementation and conducting one meeting on capacity building and two training workshops for 200 officers on matters related to the Montreal Protocol and the ODS phase-out programme (</w:t>
      </w:r>
      <w:r w:rsidR="00CE0D2B">
        <w:rPr>
          <w:lang w:val="en-CA"/>
        </w:rPr>
        <w:t>US $</w:t>
      </w:r>
      <w:r w:rsidRPr="00B75955">
        <w:rPr>
          <w:lang w:val="en-CA"/>
        </w:rPr>
        <w:t>425,000);</w:t>
      </w:r>
    </w:p>
    <w:p w14:paraId="4372F4A7" w14:textId="77777777" w:rsidR="0001415F" w:rsidRPr="00B75955" w:rsidRDefault="0001415F" w:rsidP="0001415F">
      <w:pPr>
        <w:pStyle w:val="Heading2"/>
        <w:numPr>
          <w:ilvl w:val="1"/>
          <w:numId w:val="1"/>
        </w:numPr>
        <w:rPr>
          <w:lang w:val="en-CA"/>
        </w:rPr>
      </w:pPr>
      <w:r w:rsidRPr="00B75955">
        <w:rPr>
          <w:lang w:val="en-CA"/>
        </w:rPr>
        <w:t>Continuing outreach activities in the servicing sector for other stakeholders and the public (e.g., 2019 Ozone2Climate Technologies Roadshow and Roundtable), promoting awareness on the preservation of ozone layer, and maintaining and updating the “</w:t>
      </w:r>
      <w:proofErr w:type="spellStart"/>
      <w:r w:rsidRPr="00B75955">
        <w:rPr>
          <w:lang w:val="en-CA"/>
        </w:rPr>
        <w:t>OzonAction</w:t>
      </w:r>
      <w:proofErr w:type="spellEnd"/>
      <w:r w:rsidRPr="00B75955">
        <w:rPr>
          <w:lang w:val="en-CA"/>
        </w:rPr>
        <w:t xml:space="preserve"> in China” website (US $130,000); and</w:t>
      </w:r>
    </w:p>
    <w:p w14:paraId="2C209345" w14:textId="44A2DAE0" w:rsidR="0001415F" w:rsidRPr="00B75955" w:rsidRDefault="0001415F" w:rsidP="0001415F">
      <w:pPr>
        <w:pStyle w:val="Heading2"/>
        <w:numPr>
          <w:ilvl w:val="1"/>
          <w:numId w:val="1"/>
        </w:numPr>
        <w:rPr>
          <w:lang w:val="en-CA"/>
        </w:rPr>
      </w:pPr>
      <w:r w:rsidRPr="00B75955">
        <w:rPr>
          <w:lang w:val="en-CA"/>
        </w:rPr>
        <w:t>Operation of the Working Group (PMU) (</w:t>
      </w:r>
      <w:r w:rsidR="00CE0D2B">
        <w:rPr>
          <w:lang w:val="en-CA"/>
        </w:rPr>
        <w:t>US $</w:t>
      </w:r>
      <w:r w:rsidRPr="00B75955">
        <w:rPr>
          <w:lang w:val="en-CA"/>
        </w:rPr>
        <w:t>200,000).</w:t>
      </w:r>
    </w:p>
    <w:p w14:paraId="7F8E01FB" w14:textId="77777777" w:rsidR="0001415F" w:rsidRPr="00B75955" w:rsidRDefault="0001415F" w:rsidP="0001415F">
      <w:pPr>
        <w:jc w:val="center"/>
        <w:rPr>
          <w:b/>
          <w:lang w:val="en-CA"/>
        </w:rPr>
      </w:pPr>
    </w:p>
    <w:p w14:paraId="78BE876B" w14:textId="44294D79" w:rsidR="0001415F" w:rsidRPr="00B75955" w:rsidRDefault="0001415F" w:rsidP="0001415F">
      <w:pPr>
        <w:jc w:val="center"/>
        <w:rPr>
          <w:b/>
          <w:lang w:val="en-CA"/>
        </w:rPr>
      </w:pPr>
      <w:r w:rsidRPr="00B75955">
        <w:rPr>
          <w:b/>
          <w:lang w:val="en-CA"/>
        </w:rPr>
        <w:t>SECRETARIAT’S COMMENTS AND RECOMMENDATION</w:t>
      </w:r>
    </w:p>
    <w:p w14:paraId="405E0D68" w14:textId="77777777" w:rsidR="0001415F" w:rsidRPr="00B75955" w:rsidRDefault="0001415F" w:rsidP="0001415F">
      <w:pPr>
        <w:jc w:val="center"/>
        <w:rPr>
          <w:b/>
          <w:lang w:val="en-CA"/>
        </w:rPr>
      </w:pPr>
    </w:p>
    <w:p w14:paraId="73351A3B" w14:textId="77777777" w:rsidR="0001415F" w:rsidRPr="00B75955" w:rsidRDefault="0001415F" w:rsidP="0001415F">
      <w:pPr>
        <w:rPr>
          <w:b/>
          <w:lang w:val="en-CA"/>
        </w:rPr>
      </w:pPr>
      <w:r w:rsidRPr="00B75955">
        <w:rPr>
          <w:b/>
          <w:lang w:val="en-CA"/>
        </w:rPr>
        <w:t>COMMENTS</w:t>
      </w:r>
    </w:p>
    <w:p w14:paraId="573C4643" w14:textId="77777777" w:rsidR="0001415F" w:rsidRPr="00B75955" w:rsidRDefault="0001415F" w:rsidP="0001415F">
      <w:pPr>
        <w:rPr>
          <w:b/>
          <w:lang w:val="en-CA"/>
        </w:rPr>
      </w:pPr>
    </w:p>
    <w:p w14:paraId="3E6069DB" w14:textId="3617EF86" w:rsidR="0001415F" w:rsidRPr="00B75955" w:rsidRDefault="0001415F" w:rsidP="0001415F">
      <w:pPr>
        <w:rPr>
          <w:u w:val="single"/>
          <w:lang w:val="en-CA"/>
        </w:rPr>
      </w:pPr>
      <w:r w:rsidRPr="00B75955">
        <w:rPr>
          <w:u w:val="single"/>
          <w:lang w:val="en-CA"/>
        </w:rPr>
        <w:t>Progress report on implementation of the first tranche</w:t>
      </w:r>
    </w:p>
    <w:p w14:paraId="4F4CBE25" w14:textId="77777777" w:rsidR="0001415F" w:rsidRPr="00B75955" w:rsidRDefault="0001415F" w:rsidP="0001415F">
      <w:pPr>
        <w:rPr>
          <w:u w:val="single"/>
          <w:lang w:val="en-CA"/>
        </w:rPr>
      </w:pPr>
    </w:p>
    <w:p w14:paraId="13C9D785" w14:textId="77777777" w:rsidR="0001415F" w:rsidRPr="00B75955" w:rsidRDefault="0001415F" w:rsidP="0001415F">
      <w:pPr>
        <w:pStyle w:val="Heading1"/>
        <w:rPr>
          <w:lang w:val="en-CA"/>
        </w:rPr>
      </w:pPr>
      <w:r w:rsidRPr="00B75955">
        <w:rPr>
          <w:lang w:val="en-CA"/>
        </w:rPr>
        <w:t>With regard to the progress in implementation and disbursement, the Secretariat noted that the completed activities were preparatory in nature (e.g., signing agreements and contracts), with limited implementation of training activities. UNEP advised that as it was the case for the implementation of stage I, it was necessary for the preparatory contractual arrangements to be put in place in order for the specific activities to proceed. FECO and UNEP also needed to have consultations with all stakeholders to identify the right partners, as there were new activities in stage II that required further discussions. With the agreement on the work plan in place and agreed, implementation of the activities will go on as planned.</w:t>
      </w:r>
    </w:p>
    <w:p w14:paraId="415DBE71" w14:textId="77777777" w:rsidR="0001415F" w:rsidRPr="00B75955" w:rsidRDefault="0001415F" w:rsidP="0001415F">
      <w:pPr>
        <w:pStyle w:val="Heading1"/>
        <w:rPr>
          <w:lang w:val="en-CA"/>
        </w:rPr>
      </w:pPr>
      <w:r w:rsidRPr="00B75955">
        <w:rPr>
          <w:lang w:val="en-CA"/>
        </w:rPr>
        <w:t xml:space="preserve">In explaining the roles of China Refrigeration and Air-Conditioning Industry Association (CRAA) and China Household Electric Appliances Association (CHEAA) as partners in the servicing sector </w:t>
      </w:r>
      <w:r w:rsidRPr="00B75955">
        <w:rPr>
          <w:i/>
          <w:lang w:val="en-CA"/>
        </w:rPr>
        <w:t>vis</w:t>
      </w:r>
      <w:r w:rsidRPr="00B75955">
        <w:rPr>
          <w:i/>
          <w:lang w:val="en-CA"/>
        </w:rPr>
        <w:noBreakHyphen/>
        <w:t>à</w:t>
      </w:r>
      <w:r w:rsidRPr="00B75955">
        <w:rPr>
          <w:i/>
          <w:lang w:val="en-CA"/>
        </w:rPr>
        <w:noBreakHyphen/>
        <w:t>vis</w:t>
      </w:r>
      <w:r w:rsidRPr="00B75955">
        <w:rPr>
          <w:lang w:val="en-CA"/>
        </w:rPr>
        <w:t xml:space="preserve"> their roles in the ICR and RAC manufacturing sectors, UNEP indicated that both institutes are fully involved in the servicing sector, as well as in the ICR and RAC manufacturing sectors. Their participation is necessary to ensure that in developing standards for the servicing and manufacturing sectors, for example, there is clear delineation of what these standards should be, while at the same time ensuring that they complement each other. For instance, standards in the servicing sector would focus on installation, servicing and maintenance aspects, which are different from standards in the manufacturing sectors. UNEP is cognizant that financial transactions with these institutes have to be clearly defined in order to avoid double counting with other sectors, and these are included in the contracts signed with each institution, thereby clarifying source of funding for certain activities. </w:t>
      </w:r>
    </w:p>
    <w:p w14:paraId="445FC693" w14:textId="77777777" w:rsidR="0001415F" w:rsidRPr="00B75955" w:rsidRDefault="0001415F" w:rsidP="0001415F">
      <w:pPr>
        <w:keepNext/>
        <w:rPr>
          <w:u w:val="single"/>
          <w:lang w:val="en-CA"/>
        </w:rPr>
      </w:pPr>
      <w:r w:rsidRPr="00B75955">
        <w:rPr>
          <w:u w:val="single"/>
          <w:lang w:val="en-CA"/>
        </w:rPr>
        <w:lastRenderedPageBreak/>
        <w:t>Level of disbursement</w:t>
      </w:r>
    </w:p>
    <w:p w14:paraId="2951C0DB" w14:textId="77777777" w:rsidR="0001415F" w:rsidRPr="00B75955" w:rsidRDefault="0001415F" w:rsidP="0001415F">
      <w:pPr>
        <w:keepNext/>
        <w:rPr>
          <w:lang w:val="en-CA"/>
        </w:rPr>
      </w:pPr>
    </w:p>
    <w:p w14:paraId="40606807" w14:textId="3920ED28" w:rsidR="0001415F" w:rsidRPr="00B75955" w:rsidRDefault="0001415F" w:rsidP="0001415F">
      <w:pPr>
        <w:pStyle w:val="Heading1"/>
        <w:keepNext/>
        <w:rPr>
          <w:lang w:val="en-CA"/>
        </w:rPr>
      </w:pPr>
      <w:r w:rsidRPr="00B75955">
        <w:rPr>
          <w:lang w:val="en-CA"/>
        </w:rPr>
        <w:t xml:space="preserve">The Secretariat noted that the agreement between UNEP as the lead agency and FECO was signed in July 2017, and the first disbursement to FECO of </w:t>
      </w:r>
      <w:r w:rsidR="00CE0D2B">
        <w:rPr>
          <w:lang w:val="en-CA"/>
        </w:rPr>
        <w:t>US $</w:t>
      </w:r>
      <w:r w:rsidRPr="00B75955">
        <w:rPr>
          <w:lang w:val="en-CA"/>
        </w:rPr>
        <w:t>1,540,000 (i.e., 42 per cent of the first tranche) was completed in August 2017, and requested a clarification for not submitting the second tranche to the 80</w:t>
      </w:r>
      <w:r w:rsidRPr="00B75955">
        <w:rPr>
          <w:vertAlign w:val="superscript"/>
          <w:lang w:val="en-CA"/>
        </w:rPr>
        <w:t>th</w:t>
      </w:r>
      <w:r w:rsidRPr="00B75955">
        <w:rPr>
          <w:lang w:val="en-CA"/>
        </w:rPr>
        <w:t xml:space="preserve"> meeting where it was due. UNEP explained that the request could not be submitted on time as disbursement was completed only after the deadlines for submission, thus it is being submitted for consideration only to this meeting. UNEP has further confirmed that the request for third tranche for the servicing sector will be submitted to the 82</w:t>
      </w:r>
      <w:r w:rsidRPr="00B75955">
        <w:rPr>
          <w:vertAlign w:val="superscript"/>
          <w:lang w:val="en-CA"/>
        </w:rPr>
        <w:t>nd</w:t>
      </w:r>
      <w:r w:rsidRPr="00B75955">
        <w:rPr>
          <w:lang w:val="en-CA"/>
        </w:rPr>
        <w:t xml:space="preserve"> meeting as planned, if the requirements for tranche submission are met.</w:t>
      </w:r>
    </w:p>
    <w:p w14:paraId="4D839F8C" w14:textId="77777777" w:rsidR="0001415F" w:rsidRPr="00B75955" w:rsidRDefault="0001415F" w:rsidP="0001415F">
      <w:pPr>
        <w:pStyle w:val="Heading1"/>
        <w:rPr>
          <w:lang w:val="en-CA"/>
        </w:rPr>
      </w:pPr>
      <w:r w:rsidRPr="00B75955">
        <w:rPr>
          <w:lang w:val="en-CA"/>
        </w:rPr>
        <w:t xml:space="preserve">UNEP further clarified that the component of the Government of Germany for this programme will be implemented directly by their implementation arm, albeit with overall consultations with UNEP as lead agency for this sector, and FECO. As of writing this document, the agreement between FECO and Germany has not yet been finalised, and no funds have been disbursed for this component. While no contracts have yet been signed, the partners for the initiative led by the Government of Germany, which includes technology demonstration in the supermarket sector, have been identified, and contracts will be signed as soon as the agreement with FECO is signed. </w:t>
      </w:r>
    </w:p>
    <w:p w14:paraId="4D8C90E1" w14:textId="77777777" w:rsidR="0001415F" w:rsidRPr="00B75955" w:rsidRDefault="0001415F" w:rsidP="0001415F">
      <w:pPr>
        <w:pStyle w:val="Heading1"/>
        <w:rPr>
          <w:lang w:val="en-CA"/>
        </w:rPr>
      </w:pPr>
      <w:r w:rsidRPr="00B75955">
        <w:rPr>
          <w:lang w:val="en-CA"/>
        </w:rPr>
        <w:t>UNEP is implementing the activities on behalf of the Government of Japan, therefore any fund disbursements include the funds allocated to Japan as well.</w:t>
      </w:r>
    </w:p>
    <w:p w14:paraId="249EEB78" w14:textId="6C64A180" w:rsidR="0001415F" w:rsidRPr="00B75955" w:rsidRDefault="0001415F" w:rsidP="0001415F">
      <w:pPr>
        <w:rPr>
          <w:u w:val="single"/>
          <w:lang w:val="en-CA"/>
        </w:rPr>
      </w:pPr>
      <w:r w:rsidRPr="00B75955">
        <w:rPr>
          <w:u w:val="single"/>
          <w:lang w:val="en-CA"/>
        </w:rPr>
        <w:t>Work plan for 2018-2019</w:t>
      </w:r>
    </w:p>
    <w:p w14:paraId="6B948D5B" w14:textId="77777777" w:rsidR="0001415F" w:rsidRPr="00B75955" w:rsidRDefault="0001415F" w:rsidP="0001415F">
      <w:pPr>
        <w:rPr>
          <w:u w:val="single"/>
          <w:lang w:val="en-CA"/>
        </w:rPr>
      </w:pPr>
    </w:p>
    <w:p w14:paraId="7FBC2B5D" w14:textId="77777777" w:rsidR="0001415F" w:rsidRPr="00B75955" w:rsidRDefault="0001415F" w:rsidP="0001415F">
      <w:pPr>
        <w:pStyle w:val="Heading1"/>
        <w:rPr>
          <w:lang w:val="en-CA"/>
        </w:rPr>
      </w:pPr>
      <w:r w:rsidRPr="00B75955">
        <w:rPr>
          <w:lang w:val="en-CA"/>
        </w:rPr>
        <w:t>UNEP explained that the implementation of activities for this delayed tranche will start after its approval in June, and will continue up to 2020. UNEP also provided a revised work plan with clear and quantifiable milestones for each activity for easier monitoring of implementation progress.</w:t>
      </w:r>
    </w:p>
    <w:p w14:paraId="70D887A4" w14:textId="34AB6DB1" w:rsidR="0001415F" w:rsidRPr="00B75955" w:rsidRDefault="0001415F" w:rsidP="0001415F">
      <w:pPr>
        <w:keepNext/>
        <w:rPr>
          <w:u w:val="single"/>
          <w:lang w:val="en-CA"/>
        </w:rPr>
      </w:pPr>
      <w:r w:rsidRPr="00B75955">
        <w:rPr>
          <w:u w:val="single"/>
          <w:lang w:val="en-CA"/>
        </w:rPr>
        <w:t>Conclusion</w:t>
      </w:r>
    </w:p>
    <w:p w14:paraId="2F9BF445" w14:textId="77777777" w:rsidR="0001415F" w:rsidRPr="00B75955" w:rsidRDefault="0001415F" w:rsidP="0001415F">
      <w:pPr>
        <w:keepNext/>
        <w:rPr>
          <w:lang w:val="en-CA"/>
        </w:rPr>
      </w:pPr>
    </w:p>
    <w:p w14:paraId="3DD89E55" w14:textId="334EBF01" w:rsidR="0001415F" w:rsidRPr="00B75955" w:rsidRDefault="0001415F" w:rsidP="0001415F">
      <w:pPr>
        <w:pStyle w:val="Heading1"/>
        <w:keepNext/>
        <w:rPr>
          <w:lang w:val="en-CA"/>
        </w:rPr>
      </w:pPr>
      <w:r w:rsidRPr="00B75955">
        <w:rPr>
          <w:lang w:val="en-CA"/>
        </w:rPr>
        <w:t>The Secretariat notes that implementation of the first tranche of the servicing sector plan and the enabling programme is ongoing. Initial and preparatory activities including some workshops were completed, the work plan for stage II has been finalised, and the groundwork has been laid for a faster implementation of the activities in this sector. The overall disbursement rate of 42</w:t>
      </w:r>
      <w:r w:rsidR="00CE0D2B">
        <w:rPr>
          <w:lang w:val="en-CA"/>
        </w:rPr>
        <w:t> </w:t>
      </w:r>
      <w:r w:rsidRPr="00B75955">
        <w:rPr>
          <w:lang w:val="en-CA"/>
        </w:rPr>
        <w:t>per cent meets the required pre-conditions for the release of the second tranche.</w:t>
      </w:r>
    </w:p>
    <w:p w14:paraId="3A3EF12E" w14:textId="0D9C50AB" w:rsidR="0001415F" w:rsidRPr="00B75955" w:rsidRDefault="0001415F" w:rsidP="0001415F">
      <w:pPr>
        <w:rPr>
          <w:b/>
          <w:lang w:val="en-CA"/>
        </w:rPr>
      </w:pPr>
      <w:r w:rsidRPr="00B75955">
        <w:rPr>
          <w:b/>
          <w:lang w:val="en-CA"/>
        </w:rPr>
        <w:t>RECOMMENDATION</w:t>
      </w:r>
    </w:p>
    <w:p w14:paraId="40CF6A31" w14:textId="77777777" w:rsidR="0001415F" w:rsidRPr="00B75955" w:rsidRDefault="0001415F" w:rsidP="0001415F">
      <w:pPr>
        <w:rPr>
          <w:b/>
          <w:lang w:val="en-CA"/>
        </w:rPr>
      </w:pPr>
    </w:p>
    <w:p w14:paraId="1BB7446F" w14:textId="77777777" w:rsidR="0001415F" w:rsidRPr="00B75955" w:rsidRDefault="0001415F" w:rsidP="0001415F">
      <w:pPr>
        <w:pStyle w:val="Heading1"/>
        <w:rPr>
          <w:lang w:val="en-CA"/>
        </w:rPr>
      </w:pPr>
      <w:r w:rsidRPr="00B75955">
        <w:rPr>
          <w:lang w:val="en-CA"/>
        </w:rPr>
        <w:t>The Executive Committee may wish:</w:t>
      </w:r>
    </w:p>
    <w:p w14:paraId="60C91E2E" w14:textId="77777777" w:rsidR="0001415F" w:rsidRPr="00B75955" w:rsidRDefault="0001415F" w:rsidP="0001415F">
      <w:pPr>
        <w:pStyle w:val="Heading2"/>
        <w:numPr>
          <w:ilvl w:val="1"/>
          <w:numId w:val="1"/>
        </w:numPr>
        <w:rPr>
          <w:lang w:val="en-CA"/>
        </w:rPr>
      </w:pPr>
      <w:r w:rsidRPr="00B75955">
        <w:rPr>
          <w:lang w:val="en-CA"/>
        </w:rPr>
        <w:t xml:space="preserve">To note the progress report on the implementation of the first tranche of the servicing sector plan and the enabling programme of stage II of the HCFC phase-out management plan (HPMP) for China; and </w:t>
      </w:r>
    </w:p>
    <w:p w14:paraId="1E97ABF8" w14:textId="65B4CF09" w:rsidR="0001415F" w:rsidRPr="00B75955" w:rsidRDefault="0001415F" w:rsidP="0001415F">
      <w:pPr>
        <w:pStyle w:val="Heading2"/>
        <w:numPr>
          <w:ilvl w:val="1"/>
          <w:numId w:val="1"/>
        </w:numPr>
        <w:rPr>
          <w:lang w:val="en-CA"/>
        </w:rPr>
      </w:pPr>
      <w:r w:rsidRPr="00B75955">
        <w:rPr>
          <w:lang w:val="en-CA"/>
        </w:rPr>
        <w:t xml:space="preserve">To approve the second tranche of the servicing sector plan and the enabling programme of stage II of the HPMP for China, and the corresponding 2018-2020 tranche implementation plan, at the amount of </w:t>
      </w:r>
      <w:r w:rsidR="00CE0D2B">
        <w:rPr>
          <w:lang w:val="en-CA"/>
        </w:rPr>
        <w:t>US $</w:t>
      </w:r>
      <w:r w:rsidRPr="00B75955">
        <w:rPr>
          <w:lang w:val="en-CA"/>
        </w:rPr>
        <w:t xml:space="preserve">2,944,461, consisting of </w:t>
      </w:r>
      <w:r w:rsidR="00CE0D2B">
        <w:rPr>
          <w:lang w:val="en-CA"/>
        </w:rPr>
        <w:t>US $</w:t>
      </w:r>
      <w:r w:rsidRPr="00B75955">
        <w:rPr>
          <w:lang w:val="en-CA"/>
        </w:rPr>
        <w:t xml:space="preserve">2,570,000, plus agency support costs of </w:t>
      </w:r>
      <w:r w:rsidR="00CE0D2B">
        <w:rPr>
          <w:lang w:val="en-CA"/>
        </w:rPr>
        <w:t>US $</w:t>
      </w:r>
      <w:r w:rsidRPr="00B75955">
        <w:rPr>
          <w:lang w:val="en-CA"/>
        </w:rPr>
        <w:t xml:space="preserve">284,061 for UNEP, and </w:t>
      </w:r>
      <w:r w:rsidR="00CE0D2B">
        <w:rPr>
          <w:lang w:val="en-CA"/>
        </w:rPr>
        <w:t>US $</w:t>
      </w:r>
      <w:r w:rsidRPr="00B75955">
        <w:rPr>
          <w:lang w:val="en-CA"/>
        </w:rPr>
        <w:t xml:space="preserve">80,000, plus agency support costs of </w:t>
      </w:r>
      <w:r w:rsidR="00CE0D2B">
        <w:rPr>
          <w:lang w:val="en-CA"/>
        </w:rPr>
        <w:t>US $</w:t>
      </w:r>
      <w:r w:rsidRPr="00B75955">
        <w:rPr>
          <w:lang w:val="en-CA"/>
        </w:rPr>
        <w:t>10,400 for the Government of Japan.</w:t>
      </w:r>
    </w:p>
    <w:p w14:paraId="3BAD1A18" w14:textId="77777777" w:rsidR="0001415F" w:rsidRPr="00B75955" w:rsidRDefault="0001415F" w:rsidP="0001415F">
      <w:pPr>
        <w:rPr>
          <w:lang w:val="en-CA"/>
        </w:rPr>
      </w:pPr>
    </w:p>
    <w:p w14:paraId="728C0479" w14:textId="39D7D87B" w:rsidR="006F2F19" w:rsidRDefault="006F2F19">
      <w:pPr>
        <w:jc w:val="left"/>
        <w:rPr>
          <w:sz w:val="20"/>
          <w:lang w:val="en-CA"/>
        </w:rPr>
      </w:pPr>
      <w:r>
        <w:rPr>
          <w:lang w:val="en-CA"/>
        </w:rPr>
        <w:br w:type="page"/>
      </w:r>
    </w:p>
    <w:p w14:paraId="75623497" w14:textId="77777777" w:rsidR="006F2F19" w:rsidRPr="00B0221D" w:rsidRDefault="006F2F19" w:rsidP="006F2F19">
      <w:pPr>
        <w:jc w:val="center"/>
        <w:rPr>
          <w:b/>
          <w:lang w:val="en-CA"/>
        </w:rPr>
      </w:pPr>
      <w:r w:rsidRPr="00B0221D">
        <w:rPr>
          <w:b/>
          <w:lang w:val="en-CA"/>
        </w:rPr>
        <w:lastRenderedPageBreak/>
        <w:t>DRAFT FINANCIAL REPORTING FORMAT FOR ANNUAL PROJECT MANAGEMENT UNIT EXPENDITURES FOR CHINA HPMP AND CHINA HPPMP</w:t>
      </w:r>
    </w:p>
    <w:p w14:paraId="5388734D" w14:textId="77777777" w:rsidR="006F2F19" w:rsidRDefault="006F2F19" w:rsidP="006F2F19">
      <w:pPr>
        <w:jc w:val="left"/>
        <w:rPr>
          <w:lang w:val="en-CA"/>
        </w:rPr>
      </w:pPr>
    </w:p>
    <w:p w14:paraId="34BC20EC" w14:textId="77777777" w:rsidR="006F2F19" w:rsidRPr="00D079CF" w:rsidRDefault="006F2F19" w:rsidP="006F2F19">
      <w:pPr>
        <w:jc w:val="left"/>
        <w:rPr>
          <w:b/>
          <w:lang w:val="en-CA"/>
        </w:rPr>
      </w:pPr>
      <w:r w:rsidRPr="00D079CF">
        <w:rPr>
          <w:b/>
          <w:lang w:val="en-CA"/>
        </w:rPr>
        <w:t>Background</w:t>
      </w:r>
    </w:p>
    <w:p w14:paraId="3047D04E" w14:textId="77777777" w:rsidR="006F2F19" w:rsidRDefault="006F2F19" w:rsidP="006F2F19">
      <w:pPr>
        <w:rPr>
          <w:lang w:val="en-CA"/>
        </w:rPr>
      </w:pPr>
    </w:p>
    <w:p w14:paraId="4E0F209E" w14:textId="77777777" w:rsidR="006F2F19" w:rsidRDefault="006F2F19" w:rsidP="006F2F19">
      <w:pPr>
        <w:pStyle w:val="Heading1"/>
        <w:rPr>
          <w:lang w:val="en-CA"/>
        </w:rPr>
      </w:pPr>
      <w:r w:rsidRPr="00D30627">
        <w:rPr>
          <w:lang w:val="en-CA"/>
        </w:rPr>
        <w:t xml:space="preserve">The Ministry of Environmental Protection (MEP) is responsible for implementation of Montreal Protocol in China. The Foreign Economic Cooperation Office (FECO), under the leadership of MEP, acts as national ozone unit (NOU) and is responsible for implementing all activities related to ODS phase-out, including institutional strengthening (IS) programme, HPMP and HPPMP. </w:t>
      </w:r>
    </w:p>
    <w:p w14:paraId="356336E6" w14:textId="77777777" w:rsidR="006F2F19" w:rsidRDefault="006F2F19" w:rsidP="006F2F19">
      <w:pPr>
        <w:pStyle w:val="Heading1"/>
        <w:rPr>
          <w:lang w:val="en-CA"/>
        </w:rPr>
      </w:pPr>
      <w:r w:rsidRPr="00D30627">
        <w:rPr>
          <w:lang w:val="en-CA"/>
        </w:rPr>
        <w:t>The IS takes the lead focusing on coordination within MEP, Ministries and governmental departments; liaising with implementing agencies, preparing meetings of Executive Committee and the Parties. The PMU, under the lead of the IS, undertakes all the activities at the operational level.</w:t>
      </w:r>
    </w:p>
    <w:p w14:paraId="3A3DE5CE" w14:textId="77777777" w:rsidR="006F2F19" w:rsidRPr="00D079CF" w:rsidRDefault="006F2F19" w:rsidP="006F2F19">
      <w:pPr>
        <w:rPr>
          <w:u w:val="single"/>
          <w:lang w:val="en-CA"/>
        </w:rPr>
      </w:pPr>
      <w:r w:rsidRPr="00D079CF">
        <w:rPr>
          <w:u w:val="single"/>
          <w:lang w:val="en-CA"/>
        </w:rPr>
        <w:t xml:space="preserve">The project management unit (PMU) for HCFC phase-out activities </w:t>
      </w:r>
    </w:p>
    <w:p w14:paraId="73A5D7EA" w14:textId="77777777" w:rsidR="006F2F19" w:rsidRPr="00D079CF" w:rsidRDefault="006F2F19" w:rsidP="006F2F19">
      <w:pPr>
        <w:rPr>
          <w:lang w:val="en-CA"/>
        </w:rPr>
      </w:pPr>
    </w:p>
    <w:p w14:paraId="3C59222C" w14:textId="77777777" w:rsidR="006F2F19" w:rsidRDefault="006F2F19" w:rsidP="006F2F19">
      <w:pPr>
        <w:pStyle w:val="Heading1"/>
        <w:rPr>
          <w:lang w:val="en-CA"/>
        </w:rPr>
      </w:pPr>
      <w:r>
        <w:rPr>
          <w:lang w:val="en-CA"/>
        </w:rPr>
        <w:t>G</w:t>
      </w:r>
      <w:r w:rsidRPr="00B0221D">
        <w:rPr>
          <w:lang w:val="en-CA"/>
        </w:rPr>
        <w:t>iven the complexity and magnitude of the sectors</w:t>
      </w:r>
      <w:r>
        <w:rPr>
          <w:lang w:val="en-CA"/>
        </w:rPr>
        <w:t xml:space="preserve"> associated with </w:t>
      </w:r>
      <w:r w:rsidRPr="00B0221D">
        <w:rPr>
          <w:lang w:val="en-CA"/>
        </w:rPr>
        <w:t>HCFC phase-out activities</w:t>
      </w:r>
      <w:r>
        <w:rPr>
          <w:lang w:val="en-CA"/>
        </w:rPr>
        <w:t xml:space="preserve"> in China</w:t>
      </w:r>
      <w:r w:rsidRPr="00B0221D">
        <w:rPr>
          <w:lang w:val="en-CA"/>
        </w:rPr>
        <w:t xml:space="preserve">, the enterprises participating in phase-out activities </w:t>
      </w:r>
      <w:r>
        <w:rPr>
          <w:lang w:val="en-CA"/>
        </w:rPr>
        <w:t xml:space="preserve">in each sector </w:t>
      </w:r>
      <w:r w:rsidRPr="00B0221D">
        <w:rPr>
          <w:lang w:val="en-CA"/>
        </w:rPr>
        <w:t>are selected during implementation through a bidding process</w:t>
      </w:r>
      <w:r>
        <w:rPr>
          <w:lang w:val="en-CA"/>
        </w:rPr>
        <w:t xml:space="preserve">. Once a funding tranche of each sector plan is approved, a bidding process is initiated through which </w:t>
      </w:r>
      <w:r w:rsidRPr="00B0221D">
        <w:rPr>
          <w:lang w:val="en-CA"/>
        </w:rPr>
        <w:t xml:space="preserve">specific enterprises are identified and associated funding levels </w:t>
      </w:r>
      <w:r>
        <w:rPr>
          <w:lang w:val="en-CA"/>
        </w:rPr>
        <w:t>are allocated</w:t>
      </w:r>
      <w:r w:rsidRPr="00B0221D">
        <w:rPr>
          <w:lang w:val="en-CA"/>
        </w:rPr>
        <w:t xml:space="preserve">. A key task undertaken by the PMU is to design the implementation strategy, including determination of funding priority and funding levels for individual enterprises, design of any </w:t>
      </w:r>
      <w:r>
        <w:rPr>
          <w:lang w:val="en-CA"/>
        </w:rPr>
        <w:t>TA</w:t>
      </w:r>
      <w:r w:rsidRPr="00B0221D">
        <w:rPr>
          <w:lang w:val="en-CA"/>
        </w:rPr>
        <w:t>, market promotion of converted technologies, and making any adjustments to the strategy during implementation, if needed.</w:t>
      </w:r>
      <w:r>
        <w:rPr>
          <w:lang w:val="en-CA"/>
        </w:rPr>
        <w:t xml:space="preserve"> </w:t>
      </w:r>
    </w:p>
    <w:p w14:paraId="4280B6B2" w14:textId="77777777" w:rsidR="006F2F19" w:rsidRPr="00D079CF" w:rsidRDefault="006F2F19" w:rsidP="006F2F19">
      <w:pPr>
        <w:rPr>
          <w:u w:val="single"/>
          <w:lang w:val="en-CA"/>
        </w:rPr>
      </w:pPr>
      <w:r w:rsidRPr="00D079CF">
        <w:rPr>
          <w:u w:val="single"/>
          <w:lang w:val="en-CA"/>
        </w:rPr>
        <w:t>PMU in the context of stages I and II of the HPMP and stage I of the HPPMP</w:t>
      </w:r>
    </w:p>
    <w:p w14:paraId="5EED93CB" w14:textId="77777777" w:rsidR="006F2F19" w:rsidRPr="00D30627" w:rsidRDefault="006F2F19" w:rsidP="006F2F19">
      <w:pPr>
        <w:rPr>
          <w:lang w:val="en-CA"/>
        </w:rPr>
      </w:pPr>
    </w:p>
    <w:p w14:paraId="5B4BB760" w14:textId="77777777" w:rsidR="006F2F19" w:rsidRPr="00B0221D" w:rsidRDefault="006F2F19" w:rsidP="006F2F19">
      <w:pPr>
        <w:pStyle w:val="Heading1"/>
        <w:rPr>
          <w:lang w:val="en-CA"/>
        </w:rPr>
      </w:pPr>
      <w:r>
        <w:rPr>
          <w:lang w:val="en-CA"/>
        </w:rPr>
        <w:t>At its 64</w:t>
      </w:r>
      <w:r w:rsidRPr="000E279D">
        <w:rPr>
          <w:vertAlign w:val="superscript"/>
          <w:lang w:val="en-CA"/>
        </w:rPr>
        <w:t>th</w:t>
      </w:r>
      <w:r>
        <w:rPr>
          <w:lang w:val="en-CA"/>
        </w:rPr>
        <w:t xml:space="preserve"> meeting, t</w:t>
      </w:r>
      <w:r w:rsidRPr="00B0221D">
        <w:rPr>
          <w:lang w:val="en-CA"/>
        </w:rPr>
        <w:t xml:space="preserve">he Executive Committee approved </w:t>
      </w:r>
      <w:r>
        <w:rPr>
          <w:lang w:val="en-CA"/>
        </w:rPr>
        <w:t>stage </w:t>
      </w:r>
      <w:r w:rsidRPr="00B0221D">
        <w:rPr>
          <w:lang w:val="en-CA"/>
        </w:rPr>
        <w:t>I of the HPMP for China</w:t>
      </w:r>
      <w:r>
        <w:rPr>
          <w:lang w:val="en-CA"/>
        </w:rPr>
        <w:t>.</w:t>
      </w:r>
      <w:r>
        <w:rPr>
          <w:rStyle w:val="FootnoteReference"/>
          <w:lang w:val="en-CA"/>
        </w:rPr>
        <w:footnoteReference w:id="18"/>
      </w:r>
      <w:r>
        <w:rPr>
          <w:lang w:val="en-CA"/>
        </w:rPr>
        <w:t xml:space="preserve"> E</w:t>
      </w:r>
      <w:r w:rsidRPr="00B0221D">
        <w:rPr>
          <w:lang w:val="en-CA"/>
        </w:rPr>
        <w:t xml:space="preserve">ach sector plan </w:t>
      </w:r>
      <w:r>
        <w:rPr>
          <w:lang w:val="en-CA"/>
        </w:rPr>
        <w:t xml:space="preserve">contained in the HPMP </w:t>
      </w:r>
      <w:r w:rsidRPr="00B0221D">
        <w:rPr>
          <w:lang w:val="en-CA"/>
        </w:rPr>
        <w:t xml:space="preserve">was approved for a negotiated value without specifying the </w:t>
      </w:r>
      <w:r>
        <w:rPr>
          <w:lang w:val="en-CA"/>
        </w:rPr>
        <w:t xml:space="preserve">funding </w:t>
      </w:r>
      <w:r w:rsidRPr="00B0221D">
        <w:rPr>
          <w:lang w:val="en-CA"/>
        </w:rPr>
        <w:t xml:space="preserve">level of PMU. Based on the </w:t>
      </w:r>
      <w:r>
        <w:rPr>
          <w:lang w:val="en-CA"/>
        </w:rPr>
        <w:t>stage </w:t>
      </w:r>
      <w:r w:rsidRPr="00B0221D">
        <w:rPr>
          <w:lang w:val="en-CA"/>
        </w:rPr>
        <w:t xml:space="preserve">I progress reports received and additional information provided by </w:t>
      </w:r>
      <w:r>
        <w:rPr>
          <w:lang w:val="en-CA"/>
        </w:rPr>
        <w:t>UNDP</w:t>
      </w:r>
      <w:r w:rsidRPr="00B0221D">
        <w:rPr>
          <w:lang w:val="en-CA"/>
        </w:rPr>
        <w:t>,</w:t>
      </w:r>
      <w:r w:rsidRPr="00B0221D">
        <w:rPr>
          <w:rStyle w:val="FootnoteReference"/>
          <w:lang w:val="en-CA"/>
        </w:rPr>
        <w:footnoteReference w:id="19"/>
      </w:r>
      <w:r w:rsidRPr="00B0221D">
        <w:rPr>
          <w:lang w:val="en-CA"/>
        </w:rPr>
        <w:t xml:space="preserve"> </w:t>
      </w:r>
      <w:r>
        <w:rPr>
          <w:lang w:val="en-CA"/>
        </w:rPr>
        <w:t>of the total funding approved in principle, US $</w:t>
      </w:r>
      <w:r w:rsidRPr="006E10B6">
        <w:rPr>
          <w:lang w:val="en-CA"/>
        </w:rPr>
        <w:t>15,406,950</w:t>
      </w:r>
      <w:r>
        <w:rPr>
          <w:lang w:val="en-CA"/>
        </w:rPr>
        <w:t xml:space="preserve"> was allocated for the PMU, representing </w:t>
      </w:r>
      <w:r w:rsidRPr="006E10B6">
        <w:rPr>
          <w:lang w:val="en-CA"/>
        </w:rPr>
        <w:t>5.71</w:t>
      </w:r>
      <w:r>
        <w:rPr>
          <w:lang w:val="en-CA"/>
        </w:rPr>
        <w:t> per cent of the total funding, of which US $</w:t>
      </w:r>
      <w:r w:rsidRPr="00C505CC">
        <w:rPr>
          <w:lang w:val="en-CA"/>
        </w:rPr>
        <w:t>12,913,707</w:t>
      </w:r>
      <w:r>
        <w:rPr>
          <w:lang w:val="en-CA"/>
        </w:rPr>
        <w:t xml:space="preserve"> had been disbursed. The allocation of PMU funding by sector plan and the level of disbursement as</w:t>
      </w:r>
      <w:r w:rsidRPr="00B0221D">
        <w:rPr>
          <w:lang w:val="en-CA"/>
        </w:rPr>
        <w:t xml:space="preserve"> of August</w:t>
      </w:r>
      <w:r>
        <w:rPr>
          <w:lang w:val="en-CA"/>
        </w:rPr>
        <w:t> </w:t>
      </w:r>
      <w:r w:rsidRPr="00B0221D">
        <w:rPr>
          <w:lang w:val="en-CA"/>
        </w:rPr>
        <w:t xml:space="preserve">2017 </w:t>
      </w:r>
      <w:r>
        <w:rPr>
          <w:lang w:val="en-CA"/>
        </w:rPr>
        <w:t xml:space="preserve">are shown in </w:t>
      </w:r>
      <w:r w:rsidRPr="00B0221D">
        <w:rPr>
          <w:lang w:val="en-CA"/>
        </w:rPr>
        <w:t xml:space="preserve">Table 1. </w:t>
      </w:r>
    </w:p>
    <w:p w14:paraId="02C6B58C" w14:textId="77777777" w:rsidR="006F2F19" w:rsidRPr="00B0221D" w:rsidRDefault="006F2F19" w:rsidP="006F2F19">
      <w:pPr>
        <w:keepNext/>
        <w:keepLines/>
        <w:rPr>
          <w:b/>
          <w:lang w:val="en-CA"/>
        </w:rPr>
      </w:pPr>
      <w:r w:rsidRPr="00B0221D">
        <w:rPr>
          <w:b/>
          <w:lang w:val="en-CA"/>
        </w:rPr>
        <w:t>Table 1.</w:t>
      </w:r>
      <w:r>
        <w:rPr>
          <w:b/>
          <w:lang w:val="en-CA"/>
        </w:rPr>
        <w:t xml:space="preserve"> </w:t>
      </w:r>
      <w:r w:rsidRPr="00B0221D">
        <w:rPr>
          <w:b/>
          <w:lang w:val="en-CA"/>
        </w:rPr>
        <w:t xml:space="preserve">Funds allocated to the PMU in </w:t>
      </w:r>
      <w:r>
        <w:rPr>
          <w:b/>
          <w:lang w:val="en-CA"/>
        </w:rPr>
        <w:t>stage </w:t>
      </w:r>
      <w:r w:rsidRPr="00B0221D">
        <w:rPr>
          <w:b/>
          <w:lang w:val="en-CA"/>
        </w:rPr>
        <w:t>I of the HPMP for China</w:t>
      </w:r>
    </w:p>
    <w:tbl>
      <w:tblPr>
        <w:tblStyle w:val="TableGrid"/>
        <w:tblW w:w="9350" w:type="dxa"/>
        <w:tblLook w:val="04A0" w:firstRow="1" w:lastRow="0" w:firstColumn="1" w:lastColumn="0" w:noHBand="0" w:noVBand="1"/>
      </w:tblPr>
      <w:tblGrid>
        <w:gridCol w:w="1401"/>
        <w:gridCol w:w="1713"/>
        <w:gridCol w:w="1701"/>
        <w:gridCol w:w="1207"/>
        <w:gridCol w:w="1685"/>
        <w:gridCol w:w="1643"/>
      </w:tblGrid>
      <w:tr w:rsidR="006F2F19" w:rsidRPr="00AB54F5" w14:paraId="038A67EF" w14:textId="77777777" w:rsidTr="00546503">
        <w:trPr>
          <w:tblHeader/>
        </w:trPr>
        <w:tc>
          <w:tcPr>
            <w:tcW w:w="1401" w:type="dxa"/>
            <w:vAlign w:val="center"/>
          </w:tcPr>
          <w:p w14:paraId="1C2F5CE8" w14:textId="77777777" w:rsidR="006F2F19" w:rsidRPr="00AB54F5" w:rsidRDefault="006F2F19" w:rsidP="00546503">
            <w:pPr>
              <w:keepNext/>
              <w:keepLines/>
              <w:jc w:val="left"/>
              <w:rPr>
                <w:b/>
                <w:sz w:val="20"/>
                <w:szCs w:val="20"/>
                <w:lang w:val="en-CA"/>
              </w:rPr>
            </w:pPr>
            <w:r w:rsidRPr="00AB54F5">
              <w:rPr>
                <w:b/>
                <w:sz w:val="20"/>
                <w:szCs w:val="20"/>
                <w:lang w:val="en-CA"/>
              </w:rPr>
              <w:t>Sector</w:t>
            </w:r>
          </w:p>
        </w:tc>
        <w:tc>
          <w:tcPr>
            <w:tcW w:w="1713" w:type="dxa"/>
          </w:tcPr>
          <w:p w14:paraId="600BE7BB" w14:textId="77777777" w:rsidR="006F2F19" w:rsidRPr="00AB54F5" w:rsidRDefault="006F2F19" w:rsidP="00546503">
            <w:pPr>
              <w:keepNext/>
              <w:keepLines/>
              <w:jc w:val="center"/>
              <w:rPr>
                <w:b/>
                <w:sz w:val="20"/>
                <w:szCs w:val="20"/>
                <w:lang w:val="en-CA"/>
              </w:rPr>
            </w:pPr>
            <w:r w:rsidRPr="00AB54F5">
              <w:rPr>
                <w:b/>
                <w:sz w:val="20"/>
                <w:szCs w:val="20"/>
                <w:lang w:val="en-CA"/>
              </w:rPr>
              <w:t>Funds approved in principle (US $)</w:t>
            </w:r>
          </w:p>
        </w:tc>
        <w:tc>
          <w:tcPr>
            <w:tcW w:w="1701" w:type="dxa"/>
          </w:tcPr>
          <w:p w14:paraId="43C5CB4C" w14:textId="77777777" w:rsidR="006F2F19" w:rsidRPr="00AB54F5" w:rsidRDefault="006F2F19" w:rsidP="00546503">
            <w:pPr>
              <w:keepNext/>
              <w:keepLines/>
              <w:jc w:val="center"/>
              <w:rPr>
                <w:b/>
                <w:sz w:val="20"/>
                <w:szCs w:val="20"/>
                <w:lang w:val="en-CA"/>
              </w:rPr>
            </w:pPr>
            <w:r w:rsidRPr="00AB54F5">
              <w:rPr>
                <w:b/>
                <w:sz w:val="20"/>
                <w:szCs w:val="20"/>
                <w:lang w:val="en-CA"/>
              </w:rPr>
              <w:t>Funds allocated to PMU (US $)</w:t>
            </w:r>
          </w:p>
        </w:tc>
        <w:tc>
          <w:tcPr>
            <w:tcW w:w="1207" w:type="dxa"/>
          </w:tcPr>
          <w:p w14:paraId="1614FEB3" w14:textId="77777777" w:rsidR="006F2F19" w:rsidRPr="00AB54F5" w:rsidRDefault="006F2F19" w:rsidP="00546503">
            <w:pPr>
              <w:keepNext/>
              <w:keepLines/>
              <w:jc w:val="center"/>
              <w:rPr>
                <w:b/>
                <w:sz w:val="20"/>
                <w:szCs w:val="20"/>
                <w:lang w:val="en-CA"/>
              </w:rPr>
            </w:pPr>
            <w:r w:rsidRPr="00AB54F5">
              <w:rPr>
                <w:b/>
                <w:sz w:val="20"/>
                <w:szCs w:val="20"/>
                <w:lang w:val="en-CA"/>
              </w:rPr>
              <w:t>Percentage of PMU</w:t>
            </w:r>
          </w:p>
        </w:tc>
        <w:tc>
          <w:tcPr>
            <w:tcW w:w="1685" w:type="dxa"/>
          </w:tcPr>
          <w:p w14:paraId="3E7BD592" w14:textId="77777777" w:rsidR="006F2F19" w:rsidRPr="00AB54F5" w:rsidRDefault="006F2F19" w:rsidP="00546503">
            <w:pPr>
              <w:keepNext/>
              <w:keepLines/>
              <w:jc w:val="center"/>
              <w:rPr>
                <w:b/>
                <w:sz w:val="20"/>
                <w:szCs w:val="20"/>
                <w:lang w:val="en-CA"/>
              </w:rPr>
            </w:pPr>
            <w:r w:rsidRPr="00AB54F5">
              <w:rPr>
                <w:b/>
                <w:sz w:val="20"/>
                <w:szCs w:val="20"/>
                <w:lang w:val="en-CA"/>
              </w:rPr>
              <w:t xml:space="preserve">Disbursement by FECO (US$) </w:t>
            </w:r>
          </w:p>
        </w:tc>
        <w:tc>
          <w:tcPr>
            <w:tcW w:w="1643" w:type="dxa"/>
          </w:tcPr>
          <w:p w14:paraId="2FBD12E3" w14:textId="77777777" w:rsidR="006F2F19" w:rsidRPr="00AB54F5" w:rsidRDefault="006F2F19" w:rsidP="00546503">
            <w:pPr>
              <w:keepNext/>
              <w:keepLines/>
              <w:jc w:val="center"/>
              <w:rPr>
                <w:b/>
                <w:sz w:val="20"/>
                <w:szCs w:val="20"/>
                <w:lang w:val="en-CA"/>
              </w:rPr>
            </w:pPr>
            <w:r w:rsidRPr="00AB54F5">
              <w:rPr>
                <w:b/>
                <w:sz w:val="20"/>
                <w:szCs w:val="20"/>
                <w:lang w:val="en-CA"/>
              </w:rPr>
              <w:t>Percentage of disbursement (%)</w:t>
            </w:r>
          </w:p>
        </w:tc>
      </w:tr>
      <w:tr w:rsidR="006F2F19" w:rsidRPr="00AB54F5" w14:paraId="0B78BD65" w14:textId="77777777" w:rsidTr="00546503">
        <w:tc>
          <w:tcPr>
            <w:tcW w:w="1401" w:type="dxa"/>
          </w:tcPr>
          <w:p w14:paraId="6FC1EAA7" w14:textId="77777777" w:rsidR="006F2F19" w:rsidRPr="00AB54F5" w:rsidRDefault="006F2F19" w:rsidP="00546503">
            <w:pPr>
              <w:keepNext/>
              <w:keepLines/>
              <w:rPr>
                <w:sz w:val="20"/>
                <w:szCs w:val="20"/>
                <w:lang w:val="en-CA"/>
              </w:rPr>
            </w:pPr>
            <w:r w:rsidRPr="00AB54F5">
              <w:rPr>
                <w:sz w:val="20"/>
                <w:szCs w:val="20"/>
                <w:lang w:val="en-CA"/>
              </w:rPr>
              <w:t>PU</w:t>
            </w:r>
          </w:p>
        </w:tc>
        <w:tc>
          <w:tcPr>
            <w:tcW w:w="1713" w:type="dxa"/>
          </w:tcPr>
          <w:p w14:paraId="7D53F6A9" w14:textId="77777777" w:rsidR="006F2F19" w:rsidRPr="00AB54F5" w:rsidRDefault="006F2F19" w:rsidP="00546503">
            <w:pPr>
              <w:keepNext/>
              <w:keepLines/>
              <w:jc w:val="right"/>
              <w:rPr>
                <w:sz w:val="20"/>
                <w:szCs w:val="20"/>
                <w:lang w:val="en-CA"/>
              </w:rPr>
            </w:pPr>
            <w:r w:rsidRPr="00AB54F5">
              <w:rPr>
                <w:sz w:val="20"/>
                <w:szCs w:val="20"/>
                <w:lang w:val="en-CA"/>
              </w:rPr>
              <w:t>73,000,000</w:t>
            </w:r>
          </w:p>
        </w:tc>
        <w:tc>
          <w:tcPr>
            <w:tcW w:w="1701" w:type="dxa"/>
          </w:tcPr>
          <w:p w14:paraId="192AA41D" w14:textId="77777777" w:rsidR="006F2F19" w:rsidRPr="00AB54F5" w:rsidRDefault="006F2F19" w:rsidP="00546503">
            <w:pPr>
              <w:keepNext/>
              <w:keepLines/>
              <w:jc w:val="right"/>
              <w:rPr>
                <w:sz w:val="20"/>
                <w:szCs w:val="20"/>
                <w:lang w:val="en-CA"/>
              </w:rPr>
            </w:pPr>
            <w:r w:rsidRPr="00AB54F5">
              <w:rPr>
                <w:sz w:val="20"/>
                <w:szCs w:val="20"/>
                <w:lang w:val="en-CA"/>
              </w:rPr>
              <w:t>3,650,000</w:t>
            </w:r>
          </w:p>
        </w:tc>
        <w:tc>
          <w:tcPr>
            <w:tcW w:w="1207" w:type="dxa"/>
          </w:tcPr>
          <w:p w14:paraId="13E6A39C"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5</w:t>
            </w:r>
          </w:p>
        </w:tc>
        <w:tc>
          <w:tcPr>
            <w:tcW w:w="1685" w:type="dxa"/>
          </w:tcPr>
          <w:p w14:paraId="121F5E8F"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3,102,500</w:t>
            </w:r>
          </w:p>
        </w:tc>
        <w:tc>
          <w:tcPr>
            <w:tcW w:w="1643" w:type="dxa"/>
          </w:tcPr>
          <w:p w14:paraId="587B40FB" w14:textId="77777777" w:rsidR="006F2F19" w:rsidRPr="00AB54F5" w:rsidRDefault="006F2F19" w:rsidP="00546503">
            <w:pPr>
              <w:jc w:val="right"/>
              <w:rPr>
                <w:rFonts w:eastAsia="FangSong_GB2312"/>
                <w:sz w:val="20"/>
                <w:szCs w:val="20"/>
                <w:lang w:val="en-CA"/>
              </w:rPr>
            </w:pPr>
            <w:r w:rsidRPr="00AB54F5">
              <w:rPr>
                <w:sz w:val="20"/>
                <w:szCs w:val="20"/>
              </w:rPr>
              <w:t>85</w:t>
            </w:r>
          </w:p>
        </w:tc>
      </w:tr>
      <w:tr w:rsidR="006F2F19" w:rsidRPr="00AB54F5" w14:paraId="7086755C" w14:textId="77777777" w:rsidTr="00546503">
        <w:tc>
          <w:tcPr>
            <w:tcW w:w="1401" w:type="dxa"/>
          </w:tcPr>
          <w:p w14:paraId="320687DC" w14:textId="77777777" w:rsidR="006F2F19" w:rsidRPr="00AB54F5" w:rsidRDefault="006F2F19" w:rsidP="00546503">
            <w:pPr>
              <w:rPr>
                <w:sz w:val="20"/>
                <w:szCs w:val="20"/>
                <w:lang w:val="en-CA"/>
              </w:rPr>
            </w:pPr>
            <w:r w:rsidRPr="00AB54F5">
              <w:rPr>
                <w:sz w:val="20"/>
                <w:szCs w:val="20"/>
                <w:lang w:val="en-CA"/>
              </w:rPr>
              <w:t>XPS</w:t>
            </w:r>
          </w:p>
        </w:tc>
        <w:tc>
          <w:tcPr>
            <w:tcW w:w="1713" w:type="dxa"/>
          </w:tcPr>
          <w:p w14:paraId="3F96D74B" w14:textId="77777777" w:rsidR="006F2F19" w:rsidRPr="00AB54F5" w:rsidRDefault="006F2F19" w:rsidP="00546503">
            <w:pPr>
              <w:jc w:val="right"/>
              <w:rPr>
                <w:sz w:val="20"/>
                <w:szCs w:val="20"/>
                <w:lang w:val="en-CA"/>
              </w:rPr>
            </w:pPr>
            <w:r w:rsidRPr="00AB54F5">
              <w:rPr>
                <w:sz w:val="20"/>
                <w:szCs w:val="20"/>
                <w:lang w:val="en-CA"/>
              </w:rPr>
              <w:t>50,000,000</w:t>
            </w:r>
          </w:p>
        </w:tc>
        <w:tc>
          <w:tcPr>
            <w:tcW w:w="1701" w:type="dxa"/>
          </w:tcPr>
          <w:p w14:paraId="18CE1FF5" w14:textId="77777777" w:rsidR="006F2F19" w:rsidRPr="00AB54F5" w:rsidRDefault="006F2F19" w:rsidP="00546503">
            <w:pPr>
              <w:jc w:val="right"/>
              <w:rPr>
                <w:sz w:val="20"/>
                <w:szCs w:val="20"/>
                <w:lang w:val="en-CA"/>
              </w:rPr>
            </w:pPr>
            <w:r w:rsidRPr="00AB54F5">
              <w:rPr>
                <w:sz w:val="20"/>
                <w:szCs w:val="20"/>
                <w:lang w:val="en-CA"/>
              </w:rPr>
              <w:t>2,807,000</w:t>
            </w:r>
          </w:p>
        </w:tc>
        <w:tc>
          <w:tcPr>
            <w:tcW w:w="1207" w:type="dxa"/>
          </w:tcPr>
          <w:p w14:paraId="36ACA6F6"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5.6</w:t>
            </w:r>
          </w:p>
        </w:tc>
        <w:tc>
          <w:tcPr>
            <w:tcW w:w="1685" w:type="dxa"/>
          </w:tcPr>
          <w:p w14:paraId="188E049C"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1,969,965</w:t>
            </w:r>
          </w:p>
        </w:tc>
        <w:tc>
          <w:tcPr>
            <w:tcW w:w="1643" w:type="dxa"/>
          </w:tcPr>
          <w:p w14:paraId="1B5394F7" w14:textId="77777777" w:rsidR="006F2F19" w:rsidRPr="00AB54F5" w:rsidRDefault="006F2F19" w:rsidP="00546503">
            <w:pPr>
              <w:jc w:val="right"/>
              <w:rPr>
                <w:rFonts w:eastAsia="FangSong_GB2312"/>
                <w:sz w:val="20"/>
                <w:szCs w:val="20"/>
                <w:lang w:val="en-CA"/>
              </w:rPr>
            </w:pPr>
            <w:r w:rsidRPr="00AB54F5">
              <w:rPr>
                <w:sz w:val="20"/>
                <w:szCs w:val="20"/>
              </w:rPr>
              <w:t>70</w:t>
            </w:r>
          </w:p>
        </w:tc>
      </w:tr>
      <w:tr w:rsidR="006F2F19" w:rsidRPr="00AB54F5" w14:paraId="5457CB1F" w14:textId="77777777" w:rsidTr="00546503">
        <w:tc>
          <w:tcPr>
            <w:tcW w:w="1401" w:type="dxa"/>
          </w:tcPr>
          <w:p w14:paraId="71513C03" w14:textId="77777777" w:rsidR="006F2F19" w:rsidRPr="00AB54F5" w:rsidRDefault="006F2F19" w:rsidP="00546503">
            <w:pPr>
              <w:rPr>
                <w:sz w:val="20"/>
                <w:szCs w:val="20"/>
                <w:lang w:val="en-CA"/>
              </w:rPr>
            </w:pPr>
            <w:r w:rsidRPr="00AB54F5">
              <w:rPr>
                <w:sz w:val="20"/>
                <w:szCs w:val="20"/>
                <w:lang w:val="en-CA"/>
              </w:rPr>
              <w:t>ICR</w:t>
            </w:r>
          </w:p>
        </w:tc>
        <w:tc>
          <w:tcPr>
            <w:tcW w:w="1713" w:type="dxa"/>
          </w:tcPr>
          <w:p w14:paraId="54782704" w14:textId="77777777" w:rsidR="006F2F19" w:rsidRPr="00AB54F5" w:rsidRDefault="006F2F19" w:rsidP="00546503">
            <w:pPr>
              <w:jc w:val="right"/>
              <w:rPr>
                <w:sz w:val="20"/>
                <w:szCs w:val="20"/>
                <w:lang w:val="en-CA"/>
              </w:rPr>
            </w:pPr>
            <w:r w:rsidRPr="00AB54F5">
              <w:rPr>
                <w:sz w:val="20"/>
                <w:szCs w:val="20"/>
                <w:lang w:val="en-CA"/>
              </w:rPr>
              <w:t>61,000,000</w:t>
            </w:r>
          </w:p>
        </w:tc>
        <w:tc>
          <w:tcPr>
            <w:tcW w:w="1701" w:type="dxa"/>
          </w:tcPr>
          <w:p w14:paraId="207D9BE6"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3,965,000</w:t>
            </w:r>
          </w:p>
        </w:tc>
        <w:tc>
          <w:tcPr>
            <w:tcW w:w="1207" w:type="dxa"/>
          </w:tcPr>
          <w:p w14:paraId="0DD2790F"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6.5</w:t>
            </w:r>
          </w:p>
        </w:tc>
        <w:tc>
          <w:tcPr>
            <w:tcW w:w="1685" w:type="dxa"/>
          </w:tcPr>
          <w:p w14:paraId="5E7AF842"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3,965,000</w:t>
            </w:r>
          </w:p>
        </w:tc>
        <w:tc>
          <w:tcPr>
            <w:tcW w:w="1643" w:type="dxa"/>
          </w:tcPr>
          <w:p w14:paraId="2E92E494" w14:textId="77777777" w:rsidR="006F2F19" w:rsidRPr="00AB54F5" w:rsidRDefault="006F2F19" w:rsidP="00546503">
            <w:pPr>
              <w:jc w:val="right"/>
              <w:rPr>
                <w:rFonts w:eastAsia="FangSong_GB2312"/>
                <w:sz w:val="20"/>
                <w:szCs w:val="20"/>
                <w:lang w:val="en-CA"/>
              </w:rPr>
            </w:pPr>
            <w:r w:rsidRPr="00AB54F5">
              <w:rPr>
                <w:sz w:val="20"/>
                <w:szCs w:val="20"/>
              </w:rPr>
              <w:t>100</w:t>
            </w:r>
          </w:p>
        </w:tc>
      </w:tr>
      <w:tr w:rsidR="006F2F19" w:rsidRPr="00AB54F5" w14:paraId="00F72AC9" w14:textId="77777777" w:rsidTr="00546503">
        <w:tc>
          <w:tcPr>
            <w:tcW w:w="1401" w:type="dxa"/>
          </w:tcPr>
          <w:p w14:paraId="4718376F" w14:textId="77777777" w:rsidR="006F2F19" w:rsidRPr="00AB54F5" w:rsidRDefault="006F2F19" w:rsidP="00546503">
            <w:pPr>
              <w:rPr>
                <w:sz w:val="20"/>
                <w:szCs w:val="20"/>
                <w:lang w:val="en-CA"/>
              </w:rPr>
            </w:pPr>
            <w:r w:rsidRPr="00AB54F5">
              <w:rPr>
                <w:sz w:val="20"/>
                <w:szCs w:val="20"/>
                <w:lang w:val="en-CA"/>
              </w:rPr>
              <w:t>RAC</w:t>
            </w:r>
          </w:p>
        </w:tc>
        <w:tc>
          <w:tcPr>
            <w:tcW w:w="1713" w:type="dxa"/>
          </w:tcPr>
          <w:p w14:paraId="071368A2" w14:textId="77777777" w:rsidR="006F2F19" w:rsidRPr="00AB54F5" w:rsidRDefault="006F2F19" w:rsidP="00546503">
            <w:pPr>
              <w:jc w:val="right"/>
              <w:rPr>
                <w:sz w:val="20"/>
                <w:szCs w:val="20"/>
                <w:lang w:val="en-CA"/>
              </w:rPr>
            </w:pPr>
            <w:r w:rsidRPr="00AB54F5">
              <w:rPr>
                <w:sz w:val="20"/>
                <w:szCs w:val="20"/>
                <w:lang w:val="en-CA"/>
              </w:rPr>
              <w:t>75,000,000</w:t>
            </w:r>
          </w:p>
        </w:tc>
        <w:tc>
          <w:tcPr>
            <w:tcW w:w="1701" w:type="dxa"/>
          </w:tcPr>
          <w:p w14:paraId="0EA1B106"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4,236,550</w:t>
            </w:r>
            <w:r w:rsidRPr="00AB54F5">
              <w:rPr>
                <w:rFonts w:eastAsia="FangSong_GB2312"/>
                <w:sz w:val="20"/>
                <w:szCs w:val="20"/>
                <w:vertAlign w:val="superscript"/>
                <w:lang w:val="en-CA"/>
              </w:rPr>
              <w:t>*</w:t>
            </w:r>
          </w:p>
        </w:tc>
        <w:tc>
          <w:tcPr>
            <w:tcW w:w="1207" w:type="dxa"/>
          </w:tcPr>
          <w:p w14:paraId="6C10E00F"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5.6</w:t>
            </w:r>
          </w:p>
        </w:tc>
        <w:tc>
          <w:tcPr>
            <w:tcW w:w="1685" w:type="dxa"/>
          </w:tcPr>
          <w:p w14:paraId="5E709815"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3,374,145</w:t>
            </w:r>
          </w:p>
        </w:tc>
        <w:tc>
          <w:tcPr>
            <w:tcW w:w="1643" w:type="dxa"/>
          </w:tcPr>
          <w:p w14:paraId="2087488E" w14:textId="77777777" w:rsidR="006F2F19" w:rsidRPr="00AB54F5" w:rsidRDefault="006F2F19" w:rsidP="00546503">
            <w:pPr>
              <w:jc w:val="right"/>
              <w:rPr>
                <w:rFonts w:eastAsia="FangSong_GB2312"/>
                <w:sz w:val="20"/>
                <w:szCs w:val="20"/>
                <w:lang w:val="en-CA"/>
              </w:rPr>
            </w:pPr>
            <w:r w:rsidRPr="00AB54F5">
              <w:rPr>
                <w:sz w:val="20"/>
                <w:szCs w:val="20"/>
              </w:rPr>
              <w:t>80</w:t>
            </w:r>
          </w:p>
        </w:tc>
      </w:tr>
      <w:tr w:rsidR="006F2F19" w:rsidRPr="00AB54F5" w14:paraId="3870BBE9" w14:textId="77777777" w:rsidTr="00546503">
        <w:tc>
          <w:tcPr>
            <w:tcW w:w="1401" w:type="dxa"/>
          </w:tcPr>
          <w:p w14:paraId="2531012A" w14:textId="77777777" w:rsidR="006F2F19" w:rsidRPr="00AB54F5" w:rsidRDefault="006F2F19" w:rsidP="00546503">
            <w:pPr>
              <w:rPr>
                <w:sz w:val="20"/>
                <w:szCs w:val="20"/>
                <w:lang w:val="en-CA"/>
              </w:rPr>
            </w:pPr>
            <w:r w:rsidRPr="00AB54F5">
              <w:rPr>
                <w:sz w:val="20"/>
                <w:szCs w:val="20"/>
                <w:lang w:val="en-CA"/>
              </w:rPr>
              <w:t>Solvent</w:t>
            </w:r>
          </w:p>
        </w:tc>
        <w:tc>
          <w:tcPr>
            <w:tcW w:w="1713" w:type="dxa"/>
          </w:tcPr>
          <w:p w14:paraId="64067F2D" w14:textId="77777777" w:rsidR="006F2F19" w:rsidRPr="00AB54F5" w:rsidRDefault="006F2F19" w:rsidP="00546503">
            <w:pPr>
              <w:jc w:val="right"/>
              <w:rPr>
                <w:sz w:val="20"/>
                <w:szCs w:val="20"/>
                <w:lang w:val="en-CA"/>
              </w:rPr>
            </w:pPr>
            <w:r w:rsidRPr="00AB54F5">
              <w:rPr>
                <w:sz w:val="20"/>
                <w:szCs w:val="20"/>
                <w:lang w:val="en-CA"/>
              </w:rPr>
              <w:t>5,000,000</w:t>
            </w:r>
          </w:p>
        </w:tc>
        <w:tc>
          <w:tcPr>
            <w:tcW w:w="1701" w:type="dxa"/>
          </w:tcPr>
          <w:p w14:paraId="6849BB4C"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325,000</w:t>
            </w:r>
          </w:p>
        </w:tc>
        <w:tc>
          <w:tcPr>
            <w:tcW w:w="1207" w:type="dxa"/>
          </w:tcPr>
          <w:p w14:paraId="6FA341F3"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6.5</w:t>
            </w:r>
          </w:p>
        </w:tc>
        <w:tc>
          <w:tcPr>
            <w:tcW w:w="1685" w:type="dxa"/>
          </w:tcPr>
          <w:p w14:paraId="65260455"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325,000</w:t>
            </w:r>
          </w:p>
        </w:tc>
        <w:tc>
          <w:tcPr>
            <w:tcW w:w="1643" w:type="dxa"/>
          </w:tcPr>
          <w:p w14:paraId="7E8110DC" w14:textId="77777777" w:rsidR="006F2F19" w:rsidRPr="00AB54F5" w:rsidRDefault="006F2F19" w:rsidP="00546503">
            <w:pPr>
              <w:jc w:val="right"/>
              <w:rPr>
                <w:rFonts w:eastAsia="FangSong_GB2312"/>
                <w:sz w:val="20"/>
                <w:szCs w:val="20"/>
                <w:lang w:val="en-CA"/>
              </w:rPr>
            </w:pPr>
            <w:r w:rsidRPr="00AB54F5">
              <w:rPr>
                <w:sz w:val="20"/>
                <w:szCs w:val="20"/>
              </w:rPr>
              <w:t>100</w:t>
            </w:r>
          </w:p>
        </w:tc>
      </w:tr>
      <w:tr w:rsidR="006F2F19" w:rsidRPr="00AB54F5" w14:paraId="2DFA3D83" w14:textId="77777777" w:rsidTr="00546503">
        <w:tc>
          <w:tcPr>
            <w:tcW w:w="1401" w:type="dxa"/>
          </w:tcPr>
          <w:p w14:paraId="57E5BA60" w14:textId="77777777" w:rsidR="006F2F19" w:rsidRPr="00AB54F5" w:rsidRDefault="006F2F19" w:rsidP="00546503">
            <w:pPr>
              <w:rPr>
                <w:sz w:val="20"/>
                <w:szCs w:val="20"/>
                <w:lang w:val="en-CA"/>
              </w:rPr>
            </w:pPr>
            <w:r w:rsidRPr="00AB54F5">
              <w:rPr>
                <w:sz w:val="20"/>
                <w:szCs w:val="20"/>
                <w:lang w:val="en-CA"/>
              </w:rPr>
              <w:t>Servicing</w:t>
            </w:r>
          </w:p>
        </w:tc>
        <w:tc>
          <w:tcPr>
            <w:tcW w:w="1713" w:type="dxa"/>
          </w:tcPr>
          <w:p w14:paraId="232BE1D3" w14:textId="77777777" w:rsidR="006F2F19" w:rsidRPr="00AB54F5" w:rsidRDefault="006F2F19" w:rsidP="00546503">
            <w:pPr>
              <w:jc w:val="right"/>
              <w:rPr>
                <w:sz w:val="20"/>
                <w:szCs w:val="20"/>
                <w:lang w:val="en-CA"/>
              </w:rPr>
            </w:pPr>
            <w:r w:rsidRPr="00AB54F5">
              <w:rPr>
                <w:sz w:val="20"/>
                <w:szCs w:val="20"/>
                <w:lang w:val="en-CA"/>
              </w:rPr>
              <w:t>5,640,000</w:t>
            </w:r>
          </w:p>
        </w:tc>
        <w:tc>
          <w:tcPr>
            <w:tcW w:w="1701" w:type="dxa"/>
          </w:tcPr>
          <w:p w14:paraId="6583132C"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400,000</w:t>
            </w:r>
          </w:p>
        </w:tc>
        <w:tc>
          <w:tcPr>
            <w:tcW w:w="1207" w:type="dxa"/>
          </w:tcPr>
          <w:p w14:paraId="70836FAD"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7.1</w:t>
            </w:r>
          </w:p>
        </w:tc>
        <w:tc>
          <w:tcPr>
            <w:tcW w:w="1685" w:type="dxa"/>
          </w:tcPr>
          <w:p w14:paraId="7D6020E0"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161,497</w:t>
            </w:r>
          </w:p>
        </w:tc>
        <w:tc>
          <w:tcPr>
            <w:tcW w:w="1643" w:type="dxa"/>
          </w:tcPr>
          <w:p w14:paraId="6BDA3A44" w14:textId="77777777" w:rsidR="006F2F19" w:rsidRPr="00AB54F5" w:rsidRDefault="006F2F19" w:rsidP="00546503">
            <w:pPr>
              <w:jc w:val="right"/>
              <w:rPr>
                <w:rFonts w:eastAsia="FangSong_GB2312"/>
                <w:sz w:val="20"/>
                <w:szCs w:val="20"/>
                <w:lang w:val="en-CA"/>
              </w:rPr>
            </w:pPr>
            <w:r w:rsidRPr="00AB54F5">
              <w:rPr>
                <w:sz w:val="20"/>
                <w:szCs w:val="20"/>
              </w:rPr>
              <w:t>40</w:t>
            </w:r>
          </w:p>
        </w:tc>
      </w:tr>
      <w:tr w:rsidR="006F2F19" w:rsidRPr="00AB54F5" w14:paraId="620B0EDD" w14:textId="77777777" w:rsidTr="00546503">
        <w:tc>
          <w:tcPr>
            <w:tcW w:w="1401" w:type="dxa"/>
          </w:tcPr>
          <w:p w14:paraId="74169956" w14:textId="77777777" w:rsidR="006F2F19" w:rsidRPr="00AB54F5" w:rsidRDefault="006F2F19" w:rsidP="00546503">
            <w:pPr>
              <w:rPr>
                <w:sz w:val="20"/>
                <w:szCs w:val="20"/>
                <w:lang w:val="en-CA"/>
              </w:rPr>
            </w:pPr>
            <w:r w:rsidRPr="00AB54F5">
              <w:rPr>
                <w:sz w:val="20"/>
                <w:szCs w:val="20"/>
                <w:lang w:val="en-CA"/>
              </w:rPr>
              <w:t>National coordination</w:t>
            </w:r>
          </w:p>
        </w:tc>
        <w:tc>
          <w:tcPr>
            <w:tcW w:w="1713" w:type="dxa"/>
          </w:tcPr>
          <w:p w14:paraId="220574C6" w14:textId="77777777" w:rsidR="006F2F19" w:rsidRPr="00AB54F5" w:rsidRDefault="006F2F19" w:rsidP="00546503">
            <w:pPr>
              <w:jc w:val="right"/>
              <w:rPr>
                <w:sz w:val="20"/>
                <w:szCs w:val="20"/>
                <w:lang w:val="en-CA"/>
              </w:rPr>
            </w:pPr>
            <w:r w:rsidRPr="00AB54F5">
              <w:rPr>
                <w:sz w:val="20"/>
                <w:szCs w:val="20"/>
                <w:lang w:val="en-CA"/>
              </w:rPr>
              <w:t>360,000</w:t>
            </w:r>
          </w:p>
        </w:tc>
        <w:tc>
          <w:tcPr>
            <w:tcW w:w="1701" w:type="dxa"/>
            <w:vAlign w:val="center"/>
          </w:tcPr>
          <w:p w14:paraId="465DA593"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23,400</w:t>
            </w:r>
          </w:p>
        </w:tc>
        <w:tc>
          <w:tcPr>
            <w:tcW w:w="1207" w:type="dxa"/>
            <w:vAlign w:val="center"/>
          </w:tcPr>
          <w:p w14:paraId="11A5C37C"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6.5</w:t>
            </w:r>
          </w:p>
        </w:tc>
        <w:tc>
          <w:tcPr>
            <w:tcW w:w="1685" w:type="dxa"/>
            <w:vAlign w:val="center"/>
          </w:tcPr>
          <w:p w14:paraId="1F491FAD" w14:textId="77777777" w:rsidR="006F2F19" w:rsidRPr="00AB54F5" w:rsidRDefault="006F2F19" w:rsidP="00546503">
            <w:pPr>
              <w:jc w:val="right"/>
              <w:rPr>
                <w:rFonts w:eastAsia="FangSong_GB2312"/>
                <w:sz w:val="20"/>
                <w:szCs w:val="20"/>
                <w:lang w:val="en-CA"/>
              </w:rPr>
            </w:pPr>
            <w:r w:rsidRPr="00AB54F5">
              <w:rPr>
                <w:rFonts w:eastAsia="FangSong_GB2312"/>
                <w:sz w:val="20"/>
                <w:szCs w:val="20"/>
                <w:lang w:val="en-CA"/>
              </w:rPr>
              <w:t>15,600</w:t>
            </w:r>
          </w:p>
        </w:tc>
        <w:tc>
          <w:tcPr>
            <w:tcW w:w="1643" w:type="dxa"/>
          </w:tcPr>
          <w:p w14:paraId="5350E918" w14:textId="77777777" w:rsidR="006F2F19" w:rsidRPr="00AB54F5" w:rsidRDefault="006F2F19" w:rsidP="00546503">
            <w:pPr>
              <w:jc w:val="right"/>
              <w:rPr>
                <w:rFonts w:eastAsia="FangSong_GB2312"/>
                <w:sz w:val="20"/>
                <w:szCs w:val="20"/>
                <w:lang w:val="en-CA"/>
              </w:rPr>
            </w:pPr>
            <w:r w:rsidRPr="00AB54F5">
              <w:rPr>
                <w:sz w:val="20"/>
                <w:szCs w:val="20"/>
              </w:rPr>
              <w:t>67</w:t>
            </w:r>
          </w:p>
        </w:tc>
      </w:tr>
      <w:tr w:rsidR="006F2F19" w:rsidRPr="00AB54F5" w14:paraId="7C83E20E" w14:textId="77777777" w:rsidTr="00546503">
        <w:tc>
          <w:tcPr>
            <w:tcW w:w="1401" w:type="dxa"/>
          </w:tcPr>
          <w:p w14:paraId="5D46299F" w14:textId="77777777" w:rsidR="006F2F19" w:rsidRPr="00AB54F5" w:rsidRDefault="006F2F19" w:rsidP="00546503">
            <w:pPr>
              <w:rPr>
                <w:b/>
                <w:sz w:val="20"/>
                <w:szCs w:val="20"/>
                <w:lang w:val="en-CA"/>
              </w:rPr>
            </w:pPr>
            <w:r w:rsidRPr="00AB54F5">
              <w:rPr>
                <w:b/>
                <w:sz w:val="20"/>
                <w:szCs w:val="20"/>
                <w:lang w:val="en-CA"/>
              </w:rPr>
              <w:t>Total</w:t>
            </w:r>
          </w:p>
        </w:tc>
        <w:tc>
          <w:tcPr>
            <w:tcW w:w="1713" w:type="dxa"/>
          </w:tcPr>
          <w:p w14:paraId="67B7A3D5" w14:textId="77777777" w:rsidR="006F2F19" w:rsidRPr="00AB54F5" w:rsidRDefault="006F2F19" w:rsidP="00546503">
            <w:pPr>
              <w:jc w:val="right"/>
              <w:rPr>
                <w:b/>
                <w:sz w:val="20"/>
                <w:szCs w:val="20"/>
                <w:lang w:val="en-CA"/>
              </w:rPr>
            </w:pPr>
            <w:r w:rsidRPr="00AB54F5">
              <w:rPr>
                <w:b/>
                <w:sz w:val="20"/>
                <w:szCs w:val="20"/>
                <w:lang w:val="en-CA"/>
              </w:rPr>
              <w:t>270,000,000</w:t>
            </w:r>
          </w:p>
        </w:tc>
        <w:tc>
          <w:tcPr>
            <w:tcW w:w="1701" w:type="dxa"/>
          </w:tcPr>
          <w:p w14:paraId="0B1511E0" w14:textId="77777777" w:rsidR="006F2F19" w:rsidRPr="00AB54F5" w:rsidRDefault="006F2F19" w:rsidP="00546503">
            <w:pPr>
              <w:jc w:val="right"/>
              <w:rPr>
                <w:rFonts w:eastAsia="FangSong_GB2312"/>
                <w:b/>
                <w:sz w:val="20"/>
                <w:szCs w:val="20"/>
                <w:lang w:val="en-CA"/>
              </w:rPr>
            </w:pPr>
            <w:r w:rsidRPr="00AB54F5">
              <w:rPr>
                <w:rFonts w:eastAsia="FangSong_GB2312"/>
                <w:b/>
                <w:sz w:val="20"/>
                <w:szCs w:val="20"/>
                <w:lang w:val="en-CA"/>
              </w:rPr>
              <w:t>15,406,950</w:t>
            </w:r>
          </w:p>
        </w:tc>
        <w:tc>
          <w:tcPr>
            <w:tcW w:w="1207" w:type="dxa"/>
          </w:tcPr>
          <w:p w14:paraId="425B7CA4" w14:textId="77777777" w:rsidR="006F2F19" w:rsidRPr="00AB54F5" w:rsidRDefault="006F2F19" w:rsidP="00546503">
            <w:pPr>
              <w:jc w:val="right"/>
              <w:rPr>
                <w:rFonts w:eastAsia="FangSong_GB2312"/>
                <w:b/>
                <w:sz w:val="20"/>
                <w:szCs w:val="20"/>
                <w:lang w:val="en-CA"/>
              </w:rPr>
            </w:pPr>
            <w:r w:rsidRPr="00AB54F5">
              <w:rPr>
                <w:rFonts w:eastAsia="FangSong_GB2312"/>
                <w:b/>
                <w:sz w:val="20"/>
                <w:szCs w:val="20"/>
                <w:lang w:val="en-CA"/>
              </w:rPr>
              <w:t>5.71</w:t>
            </w:r>
          </w:p>
        </w:tc>
        <w:tc>
          <w:tcPr>
            <w:tcW w:w="1685" w:type="dxa"/>
          </w:tcPr>
          <w:p w14:paraId="4AC9773E" w14:textId="77777777" w:rsidR="006F2F19" w:rsidRPr="00AB54F5" w:rsidRDefault="006F2F19" w:rsidP="00546503">
            <w:pPr>
              <w:jc w:val="right"/>
              <w:rPr>
                <w:rFonts w:eastAsia="FangSong_GB2312"/>
                <w:b/>
                <w:sz w:val="20"/>
                <w:szCs w:val="20"/>
                <w:lang w:val="en-CA"/>
              </w:rPr>
            </w:pPr>
            <w:r w:rsidRPr="00AB54F5">
              <w:rPr>
                <w:rFonts w:eastAsia="FangSong_GB2312"/>
                <w:b/>
                <w:sz w:val="20"/>
                <w:szCs w:val="20"/>
                <w:lang w:val="en-CA"/>
              </w:rPr>
              <w:t>12,913,707</w:t>
            </w:r>
          </w:p>
        </w:tc>
        <w:tc>
          <w:tcPr>
            <w:tcW w:w="1643" w:type="dxa"/>
          </w:tcPr>
          <w:p w14:paraId="2DF0734B" w14:textId="77777777" w:rsidR="006F2F19" w:rsidRPr="00B430A7" w:rsidRDefault="006F2F19" w:rsidP="00546503">
            <w:pPr>
              <w:jc w:val="right"/>
              <w:rPr>
                <w:rFonts w:eastAsia="FangSong_GB2312"/>
                <w:b/>
                <w:sz w:val="20"/>
                <w:szCs w:val="20"/>
                <w:lang w:val="en-CA"/>
              </w:rPr>
            </w:pPr>
            <w:r w:rsidRPr="00B430A7">
              <w:rPr>
                <w:b/>
                <w:sz w:val="20"/>
                <w:szCs w:val="20"/>
              </w:rPr>
              <w:t>84%</w:t>
            </w:r>
          </w:p>
        </w:tc>
      </w:tr>
    </w:tbl>
    <w:p w14:paraId="6A841CCF" w14:textId="77777777" w:rsidR="006F2F19" w:rsidRPr="00B0221D" w:rsidRDefault="006F2F19" w:rsidP="006F2F19">
      <w:pPr>
        <w:rPr>
          <w:sz w:val="16"/>
          <w:szCs w:val="16"/>
          <w:lang w:val="en-CA"/>
        </w:rPr>
      </w:pPr>
      <w:r w:rsidRPr="00B0221D">
        <w:rPr>
          <w:sz w:val="16"/>
          <w:szCs w:val="16"/>
          <w:lang w:val="en-CA"/>
        </w:rPr>
        <w:t>* At the 68</w:t>
      </w:r>
      <w:r w:rsidRPr="00B0221D">
        <w:rPr>
          <w:sz w:val="16"/>
          <w:szCs w:val="16"/>
          <w:vertAlign w:val="superscript"/>
          <w:lang w:val="en-CA"/>
        </w:rPr>
        <w:t>th</w:t>
      </w:r>
      <w:r>
        <w:rPr>
          <w:sz w:val="16"/>
          <w:szCs w:val="16"/>
          <w:lang w:val="en-CA"/>
        </w:rPr>
        <w:t> meeting</w:t>
      </w:r>
      <w:r w:rsidRPr="00B0221D">
        <w:rPr>
          <w:sz w:val="16"/>
          <w:szCs w:val="16"/>
          <w:lang w:val="en-CA"/>
        </w:rPr>
        <w:t>, a higher value was reported that included funds used to support the China Household Electrical Appliances Association.</w:t>
      </w:r>
    </w:p>
    <w:p w14:paraId="6952166D" w14:textId="77777777" w:rsidR="006F2F19" w:rsidRDefault="006F2F19" w:rsidP="006F2F19">
      <w:pPr>
        <w:rPr>
          <w:lang w:val="en-CA"/>
        </w:rPr>
      </w:pPr>
    </w:p>
    <w:p w14:paraId="0D333CA7" w14:textId="77777777" w:rsidR="006F2F19" w:rsidRDefault="006F2F19" w:rsidP="006F2F19">
      <w:pPr>
        <w:pStyle w:val="Heading1"/>
        <w:rPr>
          <w:lang w:val="en-CA"/>
        </w:rPr>
      </w:pPr>
      <w:r w:rsidRPr="00B0221D">
        <w:rPr>
          <w:lang w:val="en-CA"/>
        </w:rPr>
        <w:lastRenderedPageBreak/>
        <w:t xml:space="preserve">At </w:t>
      </w:r>
      <w:r>
        <w:rPr>
          <w:lang w:val="en-CA"/>
        </w:rPr>
        <w:t xml:space="preserve">its </w:t>
      </w:r>
      <w:r w:rsidRPr="00B0221D">
        <w:rPr>
          <w:lang w:val="en-CA"/>
        </w:rPr>
        <w:t>69</w:t>
      </w:r>
      <w:r w:rsidRPr="00B0221D">
        <w:rPr>
          <w:vertAlign w:val="superscript"/>
          <w:lang w:val="en-CA"/>
        </w:rPr>
        <w:t>th</w:t>
      </w:r>
      <w:r>
        <w:rPr>
          <w:lang w:val="en-CA"/>
        </w:rPr>
        <w:t> meeting</w:t>
      </w:r>
      <w:r w:rsidRPr="00B0221D">
        <w:rPr>
          <w:lang w:val="en-CA"/>
        </w:rPr>
        <w:t>, the Executive Committee approved</w:t>
      </w:r>
      <w:r>
        <w:rPr>
          <w:lang w:val="en-CA"/>
        </w:rPr>
        <w:t xml:space="preserve"> in principle stage </w:t>
      </w:r>
      <w:r w:rsidRPr="00B0221D">
        <w:rPr>
          <w:lang w:val="en-CA"/>
        </w:rPr>
        <w:t>I of the HPPMP</w:t>
      </w:r>
      <w:r>
        <w:rPr>
          <w:lang w:val="en-CA"/>
        </w:rPr>
        <w:t xml:space="preserve"> </w:t>
      </w:r>
      <w:r w:rsidRPr="00B0221D">
        <w:rPr>
          <w:lang w:val="en-CA"/>
        </w:rPr>
        <w:t>for China</w:t>
      </w:r>
      <w:r>
        <w:rPr>
          <w:lang w:val="en-CA"/>
        </w:rPr>
        <w:t>,</w:t>
      </w:r>
      <w:r w:rsidRPr="00B0221D">
        <w:rPr>
          <w:rStyle w:val="FootnoteReference"/>
          <w:lang w:val="en-CA"/>
        </w:rPr>
        <w:footnoteReference w:id="20"/>
      </w:r>
      <w:r w:rsidRPr="00B0221D">
        <w:rPr>
          <w:lang w:val="en-CA"/>
        </w:rPr>
        <w:t xml:space="preserve"> at a total amount of </w:t>
      </w:r>
      <w:r>
        <w:rPr>
          <w:lang w:val="en-CA"/>
        </w:rPr>
        <w:t>US $95 million (</w:t>
      </w:r>
      <w:r w:rsidRPr="006E10B6">
        <w:rPr>
          <w:lang w:val="en-CA"/>
        </w:rPr>
        <w:t>without specifying the funding level of PMU</w:t>
      </w:r>
      <w:r>
        <w:rPr>
          <w:lang w:val="en-CA"/>
        </w:rPr>
        <w:t>)</w:t>
      </w:r>
      <w:r w:rsidRPr="00B0221D">
        <w:rPr>
          <w:lang w:val="en-CA"/>
        </w:rPr>
        <w:t xml:space="preserve"> to meet the freeze and 10 per cent reduction in HCFC production.</w:t>
      </w:r>
      <w:r w:rsidRPr="006E10B6">
        <w:rPr>
          <w:lang w:val="en-CA"/>
        </w:rPr>
        <w:t xml:space="preserve"> </w:t>
      </w:r>
      <w:r w:rsidRPr="00B0221D">
        <w:rPr>
          <w:lang w:val="en-CA"/>
        </w:rPr>
        <w:t>During the implementation</w:t>
      </w:r>
      <w:r>
        <w:rPr>
          <w:lang w:val="en-CA"/>
        </w:rPr>
        <w:t xml:space="preserve"> of stage I of the HPPMP,</w:t>
      </w:r>
      <w:r w:rsidRPr="00B0221D">
        <w:rPr>
          <w:lang w:val="en-CA"/>
        </w:rPr>
        <w:t xml:space="preserve"> </w:t>
      </w:r>
      <w:r>
        <w:rPr>
          <w:lang w:val="en-CA"/>
        </w:rPr>
        <w:t>US $</w:t>
      </w:r>
      <w:r w:rsidRPr="00B0221D">
        <w:rPr>
          <w:lang w:val="en-CA"/>
        </w:rPr>
        <w:t>4.75 million was allocated to the PMU</w:t>
      </w:r>
      <w:r>
        <w:rPr>
          <w:lang w:val="en-CA"/>
        </w:rPr>
        <w:t xml:space="preserve">, equivalent to </w:t>
      </w:r>
      <w:r w:rsidRPr="00B0221D">
        <w:rPr>
          <w:lang w:val="en-CA"/>
        </w:rPr>
        <w:t>5 per cent of the approved funding</w:t>
      </w:r>
      <w:r>
        <w:rPr>
          <w:lang w:val="en-CA"/>
        </w:rPr>
        <w:t xml:space="preserve"> in principle, </w:t>
      </w:r>
      <w:r w:rsidRPr="00B0221D">
        <w:rPr>
          <w:lang w:val="en-CA"/>
        </w:rPr>
        <w:t>as proposed by the Government in tranche implementation plans and approved by the Executive Committee.</w:t>
      </w:r>
      <w:r w:rsidRPr="00B0221D">
        <w:rPr>
          <w:rStyle w:val="FootnoteReference"/>
          <w:lang w:val="en-CA"/>
        </w:rPr>
        <w:footnoteReference w:id="21"/>
      </w:r>
      <w:r w:rsidRPr="00B0221D">
        <w:rPr>
          <w:lang w:val="en-CA"/>
        </w:rPr>
        <w:t xml:space="preserve"> Based on the progress report provided to the 80</w:t>
      </w:r>
      <w:r w:rsidRPr="00B0221D">
        <w:rPr>
          <w:vertAlign w:val="superscript"/>
          <w:lang w:val="en-CA"/>
        </w:rPr>
        <w:t>th</w:t>
      </w:r>
      <w:r>
        <w:rPr>
          <w:lang w:val="en-CA"/>
        </w:rPr>
        <w:t> meeting</w:t>
      </w:r>
      <w:r w:rsidRPr="00B0221D">
        <w:rPr>
          <w:lang w:val="en-CA"/>
        </w:rPr>
        <w:t xml:space="preserve">, allocation </w:t>
      </w:r>
      <w:r>
        <w:rPr>
          <w:lang w:val="en-CA"/>
        </w:rPr>
        <w:t xml:space="preserve">for the PMU </w:t>
      </w:r>
      <w:r w:rsidRPr="00B0221D">
        <w:rPr>
          <w:lang w:val="en-CA"/>
        </w:rPr>
        <w:t>has been fully disbursed.</w:t>
      </w:r>
    </w:p>
    <w:p w14:paraId="01AA791C" w14:textId="77777777" w:rsidR="006F2F19" w:rsidRPr="00B0221D" w:rsidRDefault="006F2F19" w:rsidP="006F2F19">
      <w:pPr>
        <w:pStyle w:val="Heading1"/>
        <w:rPr>
          <w:lang w:val="en-CA"/>
        </w:rPr>
      </w:pPr>
      <w:r w:rsidRPr="00B0221D">
        <w:rPr>
          <w:lang w:val="en-CA"/>
        </w:rPr>
        <w:t>At the 76</w:t>
      </w:r>
      <w:r w:rsidRPr="00B0221D">
        <w:rPr>
          <w:vertAlign w:val="superscript"/>
          <w:lang w:val="en-CA"/>
        </w:rPr>
        <w:t>th</w:t>
      </w:r>
      <w:r>
        <w:rPr>
          <w:lang w:val="en-CA"/>
        </w:rPr>
        <w:t> meeting</w:t>
      </w:r>
      <w:r w:rsidRPr="00B0221D">
        <w:rPr>
          <w:lang w:val="en-CA"/>
        </w:rPr>
        <w:t xml:space="preserve">, </w:t>
      </w:r>
      <w:r>
        <w:rPr>
          <w:lang w:val="en-CA"/>
        </w:rPr>
        <w:t>stage </w:t>
      </w:r>
      <w:r w:rsidRPr="00B0221D">
        <w:rPr>
          <w:lang w:val="en-CA"/>
        </w:rPr>
        <w:t>II of the HPMP</w:t>
      </w:r>
      <w:r>
        <w:rPr>
          <w:lang w:val="en-CA"/>
        </w:rPr>
        <w:t xml:space="preserve"> for China was submitted for consideration by the Executive Committee. The project contained a </w:t>
      </w:r>
      <w:r w:rsidRPr="00B0221D">
        <w:rPr>
          <w:lang w:val="en-CA"/>
        </w:rPr>
        <w:t>description of the institutional arrangements and activities undertaken by the PMU, including categories of cost and their share in the PMU budget</w:t>
      </w:r>
      <w:r>
        <w:rPr>
          <w:lang w:val="en-CA"/>
        </w:rPr>
        <w:t xml:space="preserve">, as </w:t>
      </w:r>
      <w:r w:rsidRPr="00B0221D">
        <w:rPr>
          <w:lang w:val="en-CA"/>
        </w:rPr>
        <w:t xml:space="preserve">summarized </w:t>
      </w:r>
      <w:r>
        <w:rPr>
          <w:lang w:val="en-CA"/>
        </w:rPr>
        <w:t xml:space="preserve">below </w:t>
      </w:r>
      <w:r w:rsidRPr="00B0221D">
        <w:rPr>
          <w:lang w:val="en-CA"/>
        </w:rPr>
        <w:t>(Annex II to the present document</w:t>
      </w:r>
      <w:r>
        <w:rPr>
          <w:lang w:val="en-CA"/>
        </w:rPr>
        <w:t xml:space="preserve"> describes all the activities undertaken by the PMU):</w:t>
      </w:r>
      <w:r w:rsidRPr="00B0221D">
        <w:rPr>
          <w:lang w:val="en-CA"/>
        </w:rPr>
        <w:t xml:space="preserve"> </w:t>
      </w:r>
    </w:p>
    <w:p w14:paraId="03F4E19F" w14:textId="77777777" w:rsidR="006F2F19" w:rsidRPr="00B0221D" w:rsidRDefault="006F2F19" w:rsidP="006F2F19">
      <w:pPr>
        <w:pStyle w:val="Heading2"/>
        <w:numPr>
          <w:ilvl w:val="1"/>
          <w:numId w:val="1"/>
        </w:numPr>
        <w:rPr>
          <w:lang w:val="en-CA"/>
        </w:rPr>
      </w:pPr>
      <w:r w:rsidRPr="00B0221D">
        <w:rPr>
          <w:lang w:val="en-CA"/>
        </w:rPr>
        <w:t>Salaries and benefits of permanent staff;</w:t>
      </w:r>
    </w:p>
    <w:p w14:paraId="648037F3" w14:textId="77777777" w:rsidR="006F2F19" w:rsidRPr="00B0221D" w:rsidRDefault="006F2F19" w:rsidP="006F2F19">
      <w:pPr>
        <w:pStyle w:val="Heading2"/>
        <w:numPr>
          <w:ilvl w:val="1"/>
          <w:numId w:val="1"/>
        </w:numPr>
        <w:rPr>
          <w:lang w:val="en-CA"/>
        </w:rPr>
      </w:pPr>
      <w:r w:rsidRPr="00B0221D">
        <w:rPr>
          <w:lang w:val="en-CA"/>
        </w:rPr>
        <w:t>Salaries and benefits of contractual staff (consultants) hired to help with high workload or special events;</w:t>
      </w:r>
    </w:p>
    <w:p w14:paraId="25EF5609" w14:textId="77777777" w:rsidR="006F2F19" w:rsidRPr="00B0221D" w:rsidRDefault="006F2F19" w:rsidP="006F2F19">
      <w:pPr>
        <w:pStyle w:val="Heading2"/>
        <w:numPr>
          <w:ilvl w:val="1"/>
          <w:numId w:val="1"/>
        </w:numPr>
        <w:rPr>
          <w:lang w:val="en-CA"/>
        </w:rPr>
      </w:pPr>
      <w:r w:rsidRPr="00B0221D">
        <w:rPr>
          <w:lang w:val="en-CA"/>
        </w:rPr>
        <w:t>Travel costs related to HPMP and HPPMP implementation</w:t>
      </w:r>
      <w:r>
        <w:rPr>
          <w:lang w:val="en-CA"/>
        </w:rPr>
        <w:t xml:space="preserve">, </w:t>
      </w:r>
      <w:r w:rsidRPr="00B0221D">
        <w:rPr>
          <w:lang w:val="en-CA"/>
        </w:rPr>
        <w:t xml:space="preserve">for meetings and workshops; field visits to enterprises for monitoring and verification, data collection for </w:t>
      </w:r>
      <w:r>
        <w:rPr>
          <w:lang w:val="en-CA"/>
        </w:rPr>
        <w:t>TA</w:t>
      </w:r>
      <w:r w:rsidRPr="00B0221D">
        <w:rPr>
          <w:lang w:val="en-CA"/>
        </w:rPr>
        <w:t xml:space="preserve">; coordination of implementation agency visits; </w:t>
      </w:r>
    </w:p>
    <w:p w14:paraId="69C46FFB" w14:textId="77777777" w:rsidR="006F2F19" w:rsidRPr="00B0221D" w:rsidRDefault="006F2F19" w:rsidP="006F2F19">
      <w:pPr>
        <w:pStyle w:val="Heading2"/>
        <w:numPr>
          <w:ilvl w:val="1"/>
          <w:numId w:val="1"/>
        </w:numPr>
        <w:rPr>
          <w:lang w:val="en-CA"/>
        </w:rPr>
      </w:pPr>
      <w:r w:rsidRPr="00B0221D">
        <w:rPr>
          <w:lang w:val="en-CA"/>
        </w:rPr>
        <w:t xml:space="preserve">Meetings for coordination with implementing agencies and other stakeholders </w:t>
      </w:r>
      <w:r>
        <w:rPr>
          <w:lang w:val="en-CA"/>
        </w:rPr>
        <w:t xml:space="preserve">for </w:t>
      </w:r>
      <w:r w:rsidRPr="00B0221D">
        <w:rPr>
          <w:lang w:val="en-CA"/>
        </w:rPr>
        <w:t xml:space="preserve">project </w:t>
      </w:r>
      <w:r>
        <w:rPr>
          <w:lang w:val="en-CA"/>
        </w:rPr>
        <w:t xml:space="preserve">implementation </w:t>
      </w:r>
      <w:r w:rsidRPr="00B0221D">
        <w:rPr>
          <w:lang w:val="en-CA"/>
        </w:rPr>
        <w:t xml:space="preserve">review, bid evaluation, technical consultation, </w:t>
      </w:r>
      <w:r>
        <w:rPr>
          <w:lang w:val="en-CA"/>
        </w:rPr>
        <w:t xml:space="preserve">and </w:t>
      </w:r>
      <w:r w:rsidRPr="00B0221D">
        <w:rPr>
          <w:lang w:val="en-CA"/>
        </w:rPr>
        <w:t xml:space="preserve">auditing; </w:t>
      </w:r>
    </w:p>
    <w:p w14:paraId="3008F2C9" w14:textId="77777777" w:rsidR="006F2F19" w:rsidRPr="00B0221D" w:rsidRDefault="006F2F19" w:rsidP="006F2F19">
      <w:pPr>
        <w:pStyle w:val="Heading2"/>
        <w:numPr>
          <w:ilvl w:val="1"/>
          <w:numId w:val="1"/>
        </w:numPr>
        <w:rPr>
          <w:lang w:val="en-CA"/>
        </w:rPr>
      </w:pPr>
      <w:r w:rsidRPr="00B0221D">
        <w:rPr>
          <w:lang w:val="en-CA"/>
        </w:rPr>
        <w:t xml:space="preserve">Consulting service, and translation for project review, financial and technical verification, technical review, bidding evaluation, and any </w:t>
      </w:r>
      <w:r>
        <w:rPr>
          <w:lang w:val="en-CA"/>
        </w:rPr>
        <w:t xml:space="preserve">other </w:t>
      </w:r>
      <w:r w:rsidRPr="00B0221D">
        <w:rPr>
          <w:lang w:val="en-CA"/>
        </w:rPr>
        <w:t>technical support;</w:t>
      </w:r>
    </w:p>
    <w:p w14:paraId="6256D37F" w14:textId="77777777" w:rsidR="006F2F19" w:rsidRPr="00B0221D" w:rsidRDefault="006F2F19" w:rsidP="006F2F19">
      <w:pPr>
        <w:pStyle w:val="Heading2"/>
        <w:numPr>
          <w:ilvl w:val="1"/>
          <w:numId w:val="1"/>
        </w:numPr>
        <w:rPr>
          <w:lang w:val="en-CA"/>
        </w:rPr>
      </w:pPr>
      <w:r w:rsidRPr="00B0221D">
        <w:rPr>
          <w:lang w:val="en-CA"/>
        </w:rPr>
        <w:t>Building, office equipment and supplies</w:t>
      </w:r>
      <w:r>
        <w:rPr>
          <w:lang w:val="en-CA"/>
        </w:rPr>
        <w:t xml:space="preserve"> (</w:t>
      </w:r>
      <w:r w:rsidRPr="00B0221D">
        <w:rPr>
          <w:lang w:val="en-CA"/>
        </w:rPr>
        <w:t>e.g., power, water, heating, maintenance</w:t>
      </w:r>
      <w:r>
        <w:rPr>
          <w:lang w:val="en-CA"/>
        </w:rPr>
        <w:t>; computer systems</w:t>
      </w:r>
      <w:r w:rsidRPr="00B0221D">
        <w:rPr>
          <w:lang w:val="en-CA"/>
        </w:rPr>
        <w:t>);</w:t>
      </w:r>
    </w:p>
    <w:p w14:paraId="37FC9E1B" w14:textId="77777777" w:rsidR="006F2F19" w:rsidRPr="00B0221D" w:rsidRDefault="006F2F19" w:rsidP="006F2F19">
      <w:pPr>
        <w:pStyle w:val="Heading2"/>
        <w:numPr>
          <w:ilvl w:val="1"/>
          <w:numId w:val="1"/>
        </w:numPr>
        <w:rPr>
          <w:lang w:val="en-CA"/>
        </w:rPr>
      </w:pPr>
      <w:r w:rsidRPr="00B0221D">
        <w:rPr>
          <w:lang w:val="en-CA"/>
        </w:rPr>
        <w:t>Communication (e.g., telephone, fax mailing, internet); and</w:t>
      </w:r>
    </w:p>
    <w:p w14:paraId="714A4C05" w14:textId="77777777" w:rsidR="006F2F19" w:rsidRPr="00B0221D" w:rsidRDefault="006F2F19" w:rsidP="006F2F19">
      <w:pPr>
        <w:pStyle w:val="Heading2"/>
        <w:numPr>
          <w:ilvl w:val="1"/>
          <w:numId w:val="1"/>
        </w:numPr>
        <w:rPr>
          <w:lang w:val="en-CA"/>
        </w:rPr>
      </w:pPr>
      <w:r w:rsidRPr="00B0221D">
        <w:rPr>
          <w:lang w:val="en-CA"/>
        </w:rPr>
        <w:t xml:space="preserve">Supporting the operation of industrial associations for data collection and coordination of enterprise-level activities. </w:t>
      </w:r>
    </w:p>
    <w:p w14:paraId="4A535054" w14:textId="77777777" w:rsidR="006F2F19" w:rsidRPr="00B0221D" w:rsidRDefault="006F2F19" w:rsidP="006F2F19">
      <w:pPr>
        <w:pStyle w:val="Heading1"/>
        <w:rPr>
          <w:lang w:val="en-CA"/>
        </w:rPr>
      </w:pPr>
      <w:r>
        <w:rPr>
          <w:lang w:val="en-CA"/>
        </w:rPr>
        <w:t>At its 77</w:t>
      </w:r>
      <w:r w:rsidRPr="000E279D">
        <w:rPr>
          <w:vertAlign w:val="superscript"/>
          <w:lang w:val="en-CA"/>
        </w:rPr>
        <w:t>th</w:t>
      </w:r>
      <w:r>
        <w:rPr>
          <w:lang w:val="en-CA"/>
        </w:rPr>
        <w:t xml:space="preserve"> meeting, t</w:t>
      </w:r>
      <w:r w:rsidRPr="00B0221D">
        <w:rPr>
          <w:lang w:val="en-CA"/>
        </w:rPr>
        <w:t xml:space="preserve">he Executive Committee approved </w:t>
      </w:r>
      <w:r>
        <w:rPr>
          <w:lang w:val="en-CA"/>
        </w:rPr>
        <w:t>stage </w:t>
      </w:r>
      <w:r w:rsidRPr="00B0221D">
        <w:rPr>
          <w:lang w:val="en-CA"/>
        </w:rPr>
        <w:t>I</w:t>
      </w:r>
      <w:r>
        <w:rPr>
          <w:lang w:val="en-CA"/>
        </w:rPr>
        <w:t>I</w:t>
      </w:r>
      <w:r w:rsidRPr="00B0221D">
        <w:rPr>
          <w:lang w:val="en-CA"/>
        </w:rPr>
        <w:t xml:space="preserve"> of the HPMP for China</w:t>
      </w:r>
      <w:r>
        <w:rPr>
          <w:lang w:val="en-CA"/>
        </w:rPr>
        <w:t>.</w:t>
      </w:r>
      <w:r>
        <w:rPr>
          <w:rStyle w:val="FootnoteReference"/>
          <w:lang w:val="en-CA"/>
        </w:rPr>
        <w:footnoteReference w:id="22"/>
      </w:r>
      <w:r>
        <w:rPr>
          <w:lang w:val="en-CA"/>
        </w:rPr>
        <w:t xml:space="preserve"> E</w:t>
      </w:r>
      <w:r w:rsidRPr="00B0221D">
        <w:rPr>
          <w:lang w:val="en-CA"/>
        </w:rPr>
        <w:t xml:space="preserve">ach sector plan </w:t>
      </w:r>
      <w:r>
        <w:rPr>
          <w:lang w:val="en-CA"/>
        </w:rPr>
        <w:t xml:space="preserve">contained in the HPMP </w:t>
      </w:r>
      <w:r w:rsidRPr="00B0221D">
        <w:rPr>
          <w:lang w:val="en-CA"/>
        </w:rPr>
        <w:t xml:space="preserve">was approved for a negotiated value without specifying the </w:t>
      </w:r>
      <w:r>
        <w:rPr>
          <w:lang w:val="en-CA"/>
        </w:rPr>
        <w:t xml:space="preserve">funding </w:t>
      </w:r>
      <w:r w:rsidRPr="00B0221D">
        <w:rPr>
          <w:lang w:val="en-CA"/>
        </w:rPr>
        <w:t>level of PMU</w:t>
      </w:r>
      <w:r>
        <w:rPr>
          <w:lang w:val="en-CA"/>
        </w:rPr>
        <w:t xml:space="preserve">, </w:t>
      </w:r>
      <w:r w:rsidRPr="00B0221D">
        <w:rPr>
          <w:lang w:val="en-CA"/>
        </w:rPr>
        <w:t xml:space="preserve">except for an informal understanding that this would be no more than </w:t>
      </w:r>
      <w:r>
        <w:rPr>
          <w:lang w:val="en-CA"/>
        </w:rPr>
        <w:t>US $</w:t>
      </w:r>
      <w:r w:rsidRPr="00B0221D">
        <w:rPr>
          <w:lang w:val="en-CA"/>
        </w:rPr>
        <w:t>25</w:t>
      </w:r>
      <w:r>
        <w:rPr>
          <w:lang w:val="en-CA"/>
        </w:rPr>
        <w:t> </w:t>
      </w:r>
      <w:r w:rsidRPr="00B0221D">
        <w:rPr>
          <w:lang w:val="en-CA"/>
        </w:rPr>
        <w:t>million</w:t>
      </w:r>
      <w:r>
        <w:rPr>
          <w:lang w:val="en-CA"/>
        </w:rPr>
        <w:t>, excluding the servicing sector that had been approved at the 76</w:t>
      </w:r>
      <w:r w:rsidRPr="007964AB">
        <w:rPr>
          <w:vertAlign w:val="superscript"/>
          <w:lang w:val="en-CA"/>
        </w:rPr>
        <w:t>th</w:t>
      </w:r>
      <w:r>
        <w:rPr>
          <w:lang w:val="en-CA"/>
        </w:rPr>
        <w:t xml:space="preserve"> meeting</w:t>
      </w:r>
      <w:r w:rsidRPr="00B0221D">
        <w:rPr>
          <w:lang w:val="en-CA"/>
        </w:rPr>
        <w:t>. Based on this total level of funding for the PMU, the Government of China has worked with the bilateral and implementing agencies and developed the budget allocation for each sector plan as shown in Table 2.</w:t>
      </w:r>
    </w:p>
    <w:p w14:paraId="793D91BC" w14:textId="77777777" w:rsidR="006F2F19" w:rsidRPr="00B0221D" w:rsidRDefault="006F2F19" w:rsidP="006F2F19">
      <w:pPr>
        <w:rPr>
          <w:b/>
          <w:lang w:val="en-CA"/>
        </w:rPr>
      </w:pPr>
      <w:r w:rsidRPr="00B0221D">
        <w:rPr>
          <w:b/>
          <w:lang w:val="en-CA"/>
        </w:rPr>
        <w:t>Table 2.</w:t>
      </w:r>
      <w:r>
        <w:rPr>
          <w:b/>
          <w:lang w:val="en-CA"/>
        </w:rPr>
        <w:t xml:space="preserve"> </w:t>
      </w:r>
      <w:r w:rsidRPr="00B0221D">
        <w:rPr>
          <w:b/>
          <w:lang w:val="en-CA"/>
        </w:rPr>
        <w:t xml:space="preserve">The PMU budget per sector under </w:t>
      </w:r>
      <w:r>
        <w:rPr>
          <w:b/>
          <w:lang w:val="en-CA"/>
        </w:rPr>
        <w:t>stage </w:t>
      </w:r>
      <w:r w:rsidRPr="00B0221D">
        <w:rPr>
          <w:b/>
          <w:lang w:val="en-CA"/>
        </w:rPr>
        <w:t>II of the HPMP for China</w:t>
      </w:r>
    </w:p>
    <w:tbl>
      <w:tblPr>
        <w:tblStyle w:val="TableGrid"/>
        <w:tblW w:w="9355" w:type="dxa"/>
        <w:tblLook w:val="04A0" w:firstRow="1" w:lastRow="0" w:firstColumn="1" w:lastColumn="0" w:noHBand="0" w:noVBand="1"/>
      </w:tblPr>
      <w:tblGrid>
        <w:gridCol w:w="2065"/>
        <w:gridCol w:w="1822"/>
        <w:gridCol w:w="1823"/>
        <w:gridCol w:w="1822"/>
        <w:gridCol w:w="1823"/>
      </w:tblGrid>
      <w:tr w:rsidR="006F2F19" w:rsidRPr="00B0221D" w14:paraId="467553B4" w14:textId="77777777" w:rsidTr="00546503">
        <w:trPr>
          <w:tblHeader/>
        </w:trPr>
        <w:tc>
          <w:tcPr>
            <w:tcW w:w="2065" w:type="dxa"/>
          </w:tcPr>
          <w:p w14:paraId="4A0CD6BA" w14:textId="77777777" w:rsidR="006F2F19" w:rsidRPr="00B0221D" w:rsidRDefault="006F2F19" w:rsidP="00546503">
            <w:pPr>
              <w:jc w:val="center"/>
              <w:rPr>
                <w:b/>
                <w:sz w:val="20"/>
                <w:szCs w:val="20"/>
                <w:lang w:val="en-CA"/>
              </w:rPr>
            </w:pPr>
            <w:r w:rsidRPr="00B0221D">
              <w:rPr>
                <w:b/>
                <w:sz w:val="20"/>
                <w:szCs w:val="20"/>
                <w:lang w:val="en-CA"/>
              </w:rPr>
              <w:t>Sector</w:t>
            </w:r>
          </w:p>
        </w:tc>
        <w:tc>
          <w:tcPr>
            <w:tcW w:w="1822" w:type="dxa"/>
          </w:tcPr>
          <w:p w14:paraId="69967A1B" w14:textId="77777777" w:rsidR="006F2F19" w:rsidRPr="00B0221D" w:rsidRDefault="006F2F19" w:rsidP="00546503">
            <w:pPr>
              <w:jc w:val="center"/>
              <w:rPr>
                <w:b/>
                <w:sz w:val="20"/>
                <w:szCs w:val="20"/>
                <w:lang w:val="en-CA"/>
              </w:rPr>
            </w:pPr>
            <w:r w:rsidRPr="00B0221D">
              <w:rPr>
                <w:b/>
                <w:sz w:val="20"/>
                <w:szCs w:val="20"/>
                <w:lang w:val="en-CA"/>
              </w:rPr>
              <w:t>Funds approved in principle</w:t>
            </w:r>
            <w:r>
              <w:rPr>
                <w:b/>
                <w:sz w:val="20"/>
                <w:szCs w:val="20"/>
                <w:lang w:val="en-CA"/>
              </w:rPr>
              <w:t xml:space="preserve"> (US$)</w:t>
            </w:r>
          </w:p>
        </w:tc>
        <w:tc>
          <w:tcPr>
            <w:tcW w:w="1823" w:type="dxa"/>
          </w:tcPr>
          <w:p w14:paraId="4CD74429" w14:textId="77777777" w:rsidR="006F2F19" w:rsidRPr="00B0221D" w:rsidRDefault="006F2F19" w:rsidP="00546503">
            <w:pPr>
              <w:jc w:val="center"/>
              <w:rPr>
                <w:b/>
                <w:sz w:val="20"/>
                <w:szCs w:val="20"/>
                <w:lang w:val="en-CA"/>
              </w:rPr>
            </w:pPr>
            <w:r w:rsidRPr="00B0221D">
              <w:rPr>
                <w:b/>
                <w:sz w:val="20"/>
                <w:szCs w:val="20"/>
                <w:lang w:val="en-CA"/>
              </w:rPr>
              <w:t>Funds allocated to PMU</w:t>
            </w:r>
            <w:r>
              <w:rPr>
                <w:b/>
                <w:sz w:val="20"/>
                <w:szCs w:val="20"/>
                <w:lang w:val="en-CA"/>
              </w:rPr>
              <w:t xml:space="preserve"> (US$)</w:t>
            </w:r>
          </w:p>
        </w:tc>
        <w:tc>
          <w:tcPr>
            <w:tcW w:w="1822" w:type="dxa"/>
          </w:tcPr>
          <w:p w14:paraId="795EB760" w14:textId="77777777" w:rsidR="006F2F19" w:rsidRPr="00B0221D" w:rsidRDefault="006F2F19" w:rsidP="00546503">
            <w:pPr>
              <w:jc w:val="center"/>
              <w:rPr>
                <w:b/>
                <w:sz w:val="20"/>
                <w:szCs w:val="20"/>
                <w:lang w:val="en-CA"/>
              </w:rPr>
            </w:pPr>
            <w:r w:rsidRPr="00B0221D">
              <w:rPr>
                <w:b/>
                <w:sz w:val="20"/>
                <w:szCs w:val="20"/>
                <w:lang w:val="en-CA"/>
              </w:rPr>
              <w:t>Percentage of PMU</w:t>
            </w:r>
          </w:p>
        </w:tc>
        <w:tc>
          <w:tcPr>
            <w:tcW w:w="1823" w:type="dxa"/>
          </w:tcPr>
          <w:p w14:paraId="41ADDFF3" w14:textId="77777777" w:rsidR="006F2F19" w:rsidRPr="00B0221D" w:rsidRDefault="006F2F19" w:rsidP="00546503">
            <w:pPr>
              <w:jc w:val="center"/>
              <w:rPr>
                <w:b/>
                <w:sz w:val="20"/>
                <w:szCs w:val="20"/>
                <w:lang w:val="en-CA"/>
              </w:rPr>
            </w:pPr>
            <w:r w:rsidRPr="00B0221D">
              <w:rPr>
                <w:b/>
                <w:sz w:val="20"/>
                <w:szCs w:val="20"/>
                <w:lang w:val="en-CA"/>
              </w:rPr>
              <w:t xml:space="preserve">Disbursement by FECO </w:t>
            </w:r>
            <w:r>
              <w:rPr>
                <w:b/>
                <w:sz w:val="20"/>
                <w:szCs w:val="20"/>
                <w:lang w:val="en-CA"/>
              </w:rPr>
              <w:t>(US$)</w:t>
            </w:r>
            <w:r w:rsidRPr="00B0221D">
              <w:rPr>
                <w:b/>
                <w:sz w:val="20"/>
                <w:szCs w:val="20"/>
                <w:lang w:val="en-CA"/>
              </w:rPr>
              <w:t xml:space="preserve"> </w:t>
            </w:r>
          </w:p>
        </w:tc>
      </w:tr>
      <w:tr w:rsidR="006F2F19" w:rsidRPr="00B0221D" w14:paraId="77437445" w14:textId="77777777" w:rsidTr="00546503">
        <w:tc>
          <w:tcPr>
            <w:tcW w:w="2065" w:type="dxa"/>
          </w:tcPr>
          <w:p w14:paraId="1E1905D9" w14:textId="77777777" w:rsidR="006F2F19" w:rsidRPr="00B0221D" w:rsidRDefault="006F2F19" w:rsidP="00546503">
            <w:pPr>
              <w:rPr>
                <w:sz w:val="20"/>
                <w:szCs w:val="20"/>
                <w:lang w:val="en-CA"/>
              </w:rPr>
            </w:pPr>
            <w:r w:rsidRPr="00B0221D">
              <w:rPr>
                <w:sz w:val="20"/>
                <w:szCs w:val="20"/>
                <w:lang w:val="en-CA"/>
              </w:rPr>
              <w:t>PU</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tcPr>
          <w:p w14:paraId="4102070F" w14:textId="77777777" w:rsidR="006F2F19" w:rsidRPr="00B0221D" w:rsidRDefault="006F2F19" w:rsidP="00546503">
            <w:pPr>
              <w:jc w:val="right"/>
              <w:rPr>
                <w:sz w:val="20"/>
                <w:szCs w:val="20"/>
                <w:lang w:val="en-CA"/>
              </w:rPr>
            </w:pPr>
            <w:r w:rsidRPr="00B0221D">
              <w:rPr>
                <w:sz w:val="20"/>
                <w:szCs w:val="20"/>
                <w:lang w:val="en-CA"/>
              </w:rPr>
              <w:t>141,471,210</w:t>
            </w:r>
          </w:p>
        </w:tc>
        <w:tc>
          <w:tcPr>
            <w:tcW w:w="1823" w:type="dxa"/>
          </w:tcPr>
          <w:p w14:paraId="05D5B141" w14:textId="77777777" w:rsidR="006F2F19" w:rsidRPr="00B0221D" w:rsidRDefault="006F2F19" w:rsidP="00546503">
            <w:pPr>
              <w:jc w:val="right"/>
              <w:rPr>
                <w:sz w:val="20"/>
                <w:szCs w:val="20"/>
                <w:lang w:val="en-CA"/>
              </w:rPr>
            </w:pPr>
            <w:r w:rsidRPr="00B0221D">
              <w:rPr>
                <w:sz w:val="20"/>
                <w:szCs w:val="20"/>
                <w:lang w:val="en-CA"/>
              </w:rPr>
              <w:t>7,371,210</w:t>
            </w:r>
          </w:p>
        </w:tc>
        <w:tc>
          <w:tcPr>
            <w:tcW w:w="1822" w:type="dxa"/>
          </w:tcPr>
          <w:p w14:paraId="71FDC62E" w14:textId="77777777" w:rsidR="006F2F19" w:rsidRPr="00B0221D" w:rsidRDefault="006F2F19" w:rsidP="00546503">
            <w:pPr>
              <w:jc w:val="right"/>
              <w:rPr>
                <w:sz w:val="20"/>
                <w:szCs w:val="20"/>
                <w:lang w:val="en-CA"/>
              </w:rPr>
            </w:pPr>
            <w:r w:rsidRPr="00B0221D">
              <w:rPr>
                <w:sz w:val="20"/>
                <w:szCs w:val="20"/>
                <w:lang w:val="en-CA"/>
              </w:rPr>
              <w:t>5.21</w:t>
            </w:r>
          </w:p>
        </w:tc>
        <w:tc>
          <w:tcPr>
            <w:tcW w:w="1823" w:type="dxa"/>
          </w:tcPr>
          <w:p w14:paraId="2FA8BC10" w14:textId="77777777" w:rsidR="006F2F19" w:rsidRPr="00B0221D" w:rsidRDefault="006F2F19" w:rsidP="00546503">
            <w:pPr>
              <w:jc w:val="right"/>
              <w:rPr>
                <w:sz w:val="20"/>
                <w:szCs w:val="20"/>
                <w:lang w:val="en-CA"/>
              </w:rPr>
            </w:pPr>
            <w:r w:rsidRPr="00B0221D">
              <w:rPr>
                <w:sz w:val="20"/>
                <w:szCs w:val="20"/>
                <w:lang w:val="en-CA"/>
              </w:rPr>
              <w:t>0</w:t>
            </w:r>
          </w:p>
        </w:tc>
      </w:tr>
      <w:tr w:rsidR="006F2F19" w:rsidRPr="00B0221D" w14:paraId="63EA2A4D" w14:textId="77777777" w:rsidTr="00546503">
        <w:tc>
          <w:tcPr>
            <w:tcW w:w="2065" w:type="dxa"/>
          </w:tcPr>
          <w:p w14:paraId="71D07FB0" w14:textId="77777777" w:rsidR="006F2F19" w:rsidRPr="00B0221D" w:rsidRDefault="006F2F19" w:rsidP="00546503">
            <w:pPr>
              <w:rPr>
                <w:sz w:val="20"/>
                <w:szCs w:val="20"/>
                <w:lang w:val="en-CA"/>
              </w:rPr>
            </w:pPr>
            <w:r w:rsidRPr="00B0221D">
              <w:rPr>
                <w:sz w:val="20"/>
                <w:szCs w:val="20"/>
                <w:lang w:val="en-CA"/>
              </w:rPr>
              <w:t>XPS</w:t>
            </w:r>
          </w:p>
        </w:tc>
        <w:tc>
          <w:tcPr>
            <w:tcW w:w="1822" w:type="dxa"/>
            <w:tcBorders>
              <w:top w:val="nil"/>
              <w:left w:val="single" w:sz="4" w:space="0" w:color="auto"/>
              <w:bottom w:val="single" w:sz="4" w:space="0" w:color="auto"/>
              <w:right w:val="single" w:sz="4" w:space="0" w:color="auto"/>
            </w:tcBorders>
            <w:shd w:val="clear" w:color="auto" w:fill="auto"/>
            <w:vAlign w:val="bottom"/>
          </w:tcPr>
          <w:p w14:paraId="66BF7041" w14:textId="77777777" w:rsidR="006F2F19" w:rsidRPr="00B0221D" w:rsidRDefault="006F2F19" w:rsidP="00546503">
            <w:pPr>
              <w:jc w:val="right"/>
              <w:rPr>
                <w:sz w:val="20"/>
                <w:szCs w:val="20"/>
                <w:lang w:val="en-CA"/>
              </w:rPr>
            </w:pPr>
            <w:r w:rsidRPr="00B0221D">
              <w:rPr>
                <w:sz w:val="20"/>
                <w:szCs w:val="20"/>
                <w:lang w:val="en-CA"/>
              </w:rPr>
              <w:t>112,786,630</w:t>
            </w:r>
          </w:p>
        </w:tc>
        <w:tc>
          <w:tcPr>
            <w:tcW w:w="1823" w:type="dxa"/>
          </w:tcPr>
          <w:p w14:paraId="59426E6A" w14:textId="77777777" w:rsidR="006F2F19" w:rsidRPr="00B0221D" w:rsidRDefault="006F2F19" w:rsidP="00546503">
            <w:pPr>
              <w:jc w:val="right"/>
              <w:rPr>
                <w:sz w:val="20"/>
                <w:szCs w:val="20"/>
                <w:lang w:val="en-CA"/>
              </w:rPr>
            </w:pPr>
            <w:r w:rsidRPr="00B0221D">
              <w:rPr>
                <w:sz w:val="20"/>
                <w:szCs w:val="20"/>
                <w:lang w:val="en-CA"/>
              </w:rPr>
              <w:t>5,876,630</w:t>
            </w:r>
          </w:p>
        </w:tc>
        <w:tc>
          <w:tcPr>
            <w:tcW w:w="1822" w:type="dxa"/>
          </w:tcPr>
          <w:p w14:paraId="6492BB90" w14:textId="77777777" w:rsidR="006F2F19" w:rsidRPr="00B0221D" w:rsidRDefault="006F2F19" w:rsidP="00546503">
            <w:pPr>
              <w:jc w:val="right"/>
              <w:rPr>
                <w:sz w:val="20"/>
                <w:szCs w:val="20"/>
                <w:lang w:val="en-CA"/>
              </w:rPr>
            </w:pPr>
            <w:r w:rsidRPr="00B0221D">
              <w:rPr>
                <w:sz w:val="20"/>
                <w:szCs w:val="20"/>
                <w:lang w:val="en-CA"/>
              </w:rPr>
              <w:t>5.21</w:t>
            </w:r>
          </w:p>
        </w:tc>
        <w:tc>
          <w:tcPr>
            <w:tcW w:w="1823" w:type="dxa"/>
          </w:tcPr>
          <w:p w14:paraId="6C326218" w14:textId="77777777" w:rsidR="006F2F19" w:rsidRPr="00B0221D" w:rsidRDefault="006F2F19" w:rsidP="00546503">
            <w:pPr>
              <w:jc w:val="right"/>
              <w:rPr>
                <w:sz w:val="20"/>
                <w:szCs w:val="20"/>
                <w:lang w:val="en-CA"/>
              </w:rPr>
            </w:pPr>
            <w:r w:rsidRPr="00B0221D">
              <w:rPr>
                <w:sz w:val="20"/>
                <w:szCs w:val="20"/>
                <w:lang w:val="en-CA"/>
              </w:rPr>
              <w:t>117,466</w:t>
            </w:r>
          </w:p>
        </w:tc>
      </w:tr>
      <w:tr w:rsidR="006F2F19" w:rsidRPr="00B0221D" w14:paraId="715B6F87" w14:textId="77777777" w:rsidTr="00546503">
        <w:tc>
          <w:tcPr>
            <w:tcW w:w="2065" w:type="dxa"/>
          </w:tcPr>
          <w:p w14:paraId="2965C848" w14:textId="77777777" w:rsidR="006F2F19" w:rsidRPr="00B0221D" w:rsidRDefault="006F2F19" w:rsidP="00546503">
            <w:pPr>
              <w:rPr>
                <w:sz w:val="20"/>
                <w:szCs w:val="20"/>
                <w:lang w:val="en-CA"/>
              </w:rPr>
            </w:pPr>
            <w:r w:rsidRPr="00B0221D">
              <w:rPr>
                <w:sz w:val="20"/>
                <w:szCs w:val="20"/>
                <w:lang w:val="en-CA"/>
              </w:rPr>
              <w:t>ICR</w:t>
            </w:r>
          </w:p>
        </w:tc>
        <w:tc>
          <w:tcPr>
            <w:tcW w:w="1822" w:type="dxa"/>
          </w:tcPr>
          <w:p w14:paraId="40C132BF" w14:textId="77777777" w:rsidR="006F2F19" w:rsidRPr="00B0221D" w:rsidRDefault="006F2F19" w:rsidP="00546503">
            <w:pPr>
              <w:jc w:val="right"/>
              <w:rPr>
                <w:sz w:val="20"/>
                <w:szCs w:val="20"/>
                <w:lang w:val="en-CA"/>
              </w:rPr>
            </w:pPr>
            <w:r w:rsidRPr="00B0221D">
              <w:rPr>
                <w:sz w:val="20"/>
                <w:szCs w:val="20"/>
                <w:lang w:val="en-CA"/>
              </w:rPr>
              <w:t>89,144,797</w:t>
            </w:r>
          </w:p>
        </w:tc>
        <w:tc>
          <w:tcPr>
            <w:tcW w:w="1823" w:type="dxa"/>
          </w:tcPr>
          <w:p w14:paraId="4EC492E4" w14:textId="77777777" w:rsidR="006F2F19" w:rsidRPr="00B0221D" w:rsidRDefault="006F2F19" w:rsidP="00546503">
            <w:pPr>
              <w:jc w:val="right"/>
              <w:rPr>
                <w:sz w:val="20"/>
                <w:szCs w:val="20"/>
                <w:lang w:val="en-CA"/>
              </w:rPr>
            </w:pPr>
            <w:r w:rsidRPr="00B0221D">
              <w:rPr>
                <w:sz w:val="20"/>
                <w:szCs w:val="20"/>
                <w:lang w:val="en-CA"/>
              </w:rPr>
              <w:t>4,644,797</w:t>
            </w:r>
          </w:p>
        </w:tc>
        <w:tc>
          <w:tcPr>
            <w:tcW w:w="1822" w:type="dxa"/>
          </w:tcPr>
          <w:p w14:paraId="664415EF" w14:textId="77777777" w:rsidR="006F2F19" w:rsidRPr="00B0221D" w:rsidRDefault="006F2F19" w:rsidP="00546503">
            <w:pPr>
              <w:jc w:val="right"/>
              <w:rPr>
                <w:sz w:val="20"/>
                <w:szCs w:val="20"/>
                <w:lang w:val="en-CA"/>
              </w:rPr>
            </w:pPr>
            <w:r w:rsidRPr="00B0221D">
              <w:rPr>
                <w:sz w:val="20"/>
                <w:szCs w:val="20"/>
                <w:lang w:val="en-CA"/>
              </w:rPr>
              <w:t>5.21</w:t>
            </w:r>
          </w:p>
        </w:tc>
        <w:tc>
          <w:tcPr>
            <w:tcW w:w="1823" w:type="dxa"/>
          </w:tcPr>
          <w:p w14:paraId="5D0A5B3F" w14:textId="77777777" w:rsidR="006F2F19" w:rsidRPr="00B0221D" w:rsidRDefault="006F2F19" w:rsidP="00546503">
            <w:pPr>
              <w:jc w:val="right"/>
              <w:rPr>
                <w:sz w:val="20"/>
                <w:szCs w:val="20"/>
                <w:lang w:val="en-CA"/>
              </w:rPr>
            </w:pPr>
            <w:r w:rsidRPr="00B0221D">
              <w:rPr>
                <w:sz w:val="20"/>
                <w:szCs w:val="20"/>
                <w:lang w:val="en-CA"/>
              </w:rPr>
              <w:t>557,252</w:t>
            </w:r>
          </w:p>
        </w:tc>
      </w:tr>
      <w:tr w:rsidR="006F2F19" w:rsidRPr="00B0221D" w14:paraId="3B7F2FBA" w14:textId="77777777" w:rsidTr="00546503">
        <w:trPr>
          <w:trHeight w:val="251"/>
        </w:trPr>
        <w:tc>
          <w:tcPr>
            <w:tcW w:w="2065" w:type="dxa"/>
          </w:tcPr>
          <w:p w14:paraId="5BD2809B" w14:textId="77777777" w:rsidR="006F2F19" w:rsidRPr="00B0221D" w:rsidRDefault="006F2F19" w:rsidP="00546503">
            <w:pPr>
              <w:rPr>
                <w:sz w:val="20"/>
                <w:szCs w:val="20"/>
                <w:lang w:val="en-CA"/>
              </w:rPr>
            </w:pPr>
            <w:r w:rsidRPr="00B0221D">
              <w:rPr>
                <w:sz w:val="20"/>
                <w:szCs w:val="20"/>
                <w:lang w:val="en-CA"/>
              </w:rPr>
              <w:t>RAC</w:t>
            </w:r>
          </w:p>
        </w:tc>
        <w:tc>
          <w:tcPr>
            <w:tcW w:w="1822" w:type="dxa"/>
          </w:tcPr>
          <w:p w14:paraId="359CB02C" w14:textId="77777777" w:rsidR="006F2F19" w:rsidRPr="00B0221D" w:rsidRDefault="006F2F19" w:rsidP="00546503">
            <w:pPr>
              <w:jc w:val="right"/>
              <w:rPr>
                <w:sz w:val="20"/>
                <w:szCs w:val="20"/>
                <w:lang w:val="en-CA"/>
              </w:rPr>
            </w:pPr>
            <w:r w:rsidRPr="00B0221D">
              <w:rPr>
                <w:sz w:val="20"/>
                <w:szCs w:val="20"/>
                <w:lang w:val="en-CA"/>
              </w:rPr>
              <w:t>89,144,797</w:t>
            </w:r>
          </w:p>
        </w:tc>
        <w:tc>
          <w:tcPr>
            <w:tcW w:w="1823" w:type="dxa"/>
          </w:tcPr>
          <w:p w14:paraId="571F571C" w14:textId="77777777" w:rsidR="006F2F19" w:rsidRPr="00B0221D" w:rsidRDefault="006F2F19" w:rsidP="00546503">
            <w:pPr>
              <w:jc w:val="right"/>
              <w:rPr>
                <w:sz w:val="20"/>
                <w:szCs w:val="20"/>
                <w:lang w:val="en-CA"/>
              </w:rPr>
            </w:pPr>
            <w:r w:rsidRPr="00B0221D">
              <w:rPr>
                <w:sz w:val="20"/>
                <w:szCs w:val="20"/>
                <w:lang w:val="en-CA"/>
              </w:rPr>
              <w:t>4,644,797</w:t>
            </w:r>
          </w:p>
        </w:tc>
        <w:tc>
          <w:tcPr>
            <w:tcW w:w="1822" w:type="dxa"/>
          </w:tcPr>
          <w:p w14:paraId="685D9FD1" w14:textId="77777777" w:rsidR="006F2F19" w:rsidRPr="00B0221D" w:rsidRDefault="006F2F19" w:rsidP="00546503">
            <w:pPr>
              <w:jc w:val="right"/>
              <w:rPr>
                <w:sz w:val="20"/>
                <w:szCs w:val="20"/>
                <w:lang w:val="en-CA"/>
              </w:rPr>
            </w:pPr>
            <w:r w:rsidRPr="00B0221D">
              <w:rPr>
                <w:sz w:val="20"/>
                <w:szCs w:val="20"/>
                <w:lang w:val="en-CA"/>
              </w:rPr>
              <w:t>5.21</w:t>
            </w:r>
          </w:p>
        </w:tc>
        <w:tc>
          <w:tcPr>
            <w:tcW w:w="1823" w:type="dxa"/>
          </w:tcPr>
          <w:p w14:paraId="6AC8FC2D" w14:textId="77777777" w:rsidR="006F2F19" w:rsidRPr="00B0221D" w:rsidRDefault="006F2F19" w:rsidP="00546503">
            <w:pPr>
              <w:jc w:val="right"/>
              <w:rPr>
                <w:sz w:val="20"/>
                <w:szCs w:val="20"/>
                <w:lang w:val="en-CA"/>
              </w:rPr>
            </w:pPr>
            <w:r w:rsidRPr="00B0221D">
              <w:rPr>
                <w:sz w:val="20"/>
                <w:szCs w:val="20"/>
                <w:lang w:val="en-CA"/>
              </w:rPr>
              <w:t>243,268</w:t>
            </w:r>
            <w:r w:rsidRPr="00B0221D">
              <w:rPr>
                <w:sz w:val="20"/>
                <w:szCs w:val="20"/>
                <w:vertAlign w:val="superscript"/>
                <w:lang w:val="en-CA"/>
              </w:rPr>
              <w:t>*</w:t>
            </w:r>
          </w:p>
        </w:tc>
      </w:tr>
      <w:tr w:rsidR="006F2F19" w:rsidRPr="00B0221D" w14:paraId="28766BB4" w14:textId="77777777" w:rsidTr="00546503">
        <w:tc>
          <w:tcPr>
            <w:tcW w:w="2065" w:type="dxa"/>
          </w:tcPr>
          <w:p w14:paraId="1956C345" w14:textId="77777777" w:rsidR="006F2F19" w:rsidRPr="00B0221D" w:rsidRDefault="006F2F19" w:rsidP="00546503">
            <w:pPr>
              <w:rPr>
                <w:sz w:val="20"/>
                <w:szCs w:val="20"/>
                <w:lang w:val="en-CA"/>
              </w:rPr>
            </w:pPr>
            <w:r w:rsidRPr="00B0221D">
              <w:rPr>
                <w:sz w:val="20"/>
                <w:szCs w:val="20"/>
                <w:lang w:val="en-CA"/>
              </w:rPr>
              <w:lastRenderedPageBreak/>
              <w:t>Solvent</w:t>
            </w:r>
          </w:p>
        </w:tc>
        <w:tc>
          <w:tcPr>
            <w:tcW w:w="1822" w:type="dxa"/>
          </w:tcPr>
          <w:p w14:paraId="308DF998" w14:textId="77777777" w:rsidR="006F2F19" w:rsidRPr="00B0221D" w:rsidRDefault="006F2F19" w:rsidP="00546503">
            <w:pPr>
              <w:jc w:val="right"/>
              <w:rPr>
                <w:sz w:val="20"/>
                <w:szCs w:val="20"/>
                <w:lang w:val="en-CA"/>
              </w:rPr>
            </w:pPr>
            <w:r w:rsidRPr="00B0221D">
              <w:rPr>
                <w:sz w:val="20"/>
                <w:szCs w:val="20"/>
                <w:lang w:val="en-CA"/>
              </w:rPr>
              <w:t>47,262,566</w:t>
            </w:r>
          </w:p>
        </w:tc>
        <w:tc>
          <w:tcPr>
            <w:tcW w:w="1823" w:type="dxa"/>
          </w:tcPr>
          <w:p w14:paraId="51AD19A7" w14:textId="77777777" w:rsidR="006F2F19" w:rsidRPr="00B0221D" w:rsidRDefault="006F2F19" w:rsidP="00546503">
            <w:pPr>
              <w:jc w:val="right"/>
              <w:rPr>
                <w:sz w:val="20"/>
                <w:szCs w:val="20"/>
                <w:lang w:val="en-CA"/>
              </w:rPr>
            </w:pPr>
            <w:r w:rsidRPr="00B0221D">
              <w:rPr>
                <w:sz w:val="20"/>
                <w:szCs w:val="20"/>
                <w:lang w:val="en-CA"/>
              </w:rPr>
              <w:t>2,462,566</w:t>
            </w:r>
          </w:p>
        </w:tc>
        <w:tc>
          <w:tcPr>
            <w:tcW w:w="1822" w:type="dxa"/>
          </w:tcPr>
          <w:p w14:paraId="78BE08E9" w14:textId="77777777" w:rsidR="006F2F19" w:rsidRPr="00B0221D" w:rsidRDefault="006F2F19" w:rsidP="00546503">
            <w:pPr>
              <w:jc w:val="right"/>
              <w:rPr>
                <w:sz w:val="20"/>
                <w:szCs w:val="20"/>
                <w:lang w:val="en-CA"/>
              </w:rPr>
            </w:pPr>
            <w:r w:rsidRPr="00B0221D">
              <w:rPr>
                <w:sz w:val="20"/>
                <w:szCs w:val="20"/>
                <w:lang w:val="en-CA"/>
              </w:rPr>
              <w:t>5.21</w:t>
            </w:r>
          </w:p>
        </w:tc>
        <w:tc>
          <w:tcPr>
            <w:tcW w:w="1823" w:type="dxa"/>
          </w:tcPr>
          <w:p w14:paraId="2D68CC68" w14:textId="77777777" w:rsidR="006F2F19" w:rsidRPr="00B0221D" w:rsidRDefault="006F2F19" w:rsidP="00546503">
            <w:pPr>
              <w:jc w:val="right"/>
              <w:rPr>
                <w:sz w:val="20"/>
                <w:szCs w:val="20"/>
                <w:lang w:val="en-CA"/>
              </w:rPr>
            </w:pPr>
            <w:r w:rsidRPr="00B0221D">
              <w:rPr>
                <w:sz w:val="20"/>
                <w:szCs w:val="20"/>
                <w:lang w:val="en-CA"/>
              </w:rPr>
              <w:t>109,600</w:t>
            </w:r>
          </w:p>
        </w:tc>
      </w:tr>
      <w:tr w:rsidR="006F2F19" w:rsidRPr="00B0221D" w14:paraId="5DEB18F9" w14:textId="77777777" w:rsidTr="00546503">
        <w:tc>
          <w:tcPr>
            <w:tcW w:w="2065" w:type="dxa"/>
          </w:tcPr>
          <w:p w14:paraId="620E9B86" w14:textId="77777777" w:rsidR="006F2F19" w:rsidRPr="00B0221D" w:rsidRDefault="006F2F19" w:rsidP="00546503">
            <w:pPr>
              <w:rPr>
                <w:sz w:val="20"/>
                <w:szCs w:val="20"/>
                <w:lang w:val="en-CA"/>
              </w:rPr>
            </w:pPr>
            <w:r w:rsidRPr="00B0221D">
              <w:rPr>
                <w:sz w:val="20"/>
                <w:szCs w:val="20"/>
                <w:lang w:val="en-CA"/>
              </w:rPr>
              <w:t>Servicing</w:t>
            </w:r>
          </w:p>
        </w:tc>
        <w:tc>
          <w:tcPr>
            <w:tcW w:w="1822" w:type="dxa"/>
          </w:tcPr>
          <w:p w14:paraId="65715A4A" w14:textId="77777777" w:rsidR="006F2F19" w:rsidRPr="00B0221D" w:rsidRDefault="006F2F19" w:rsidP="00546503">
            <w:pPr>
              <w:jc w:val="right"/>
              <w:rPr>
                <w:sz w:val="20"/>
                <w:szCs w:val="20"/>
                <w:lang w:val="en-CA"/>
              </w:rPr>
            </w:pPr>
            <w:r w:rsidRPr="00B0221D">
              <w:rPr>
                <w:sz w:val="20"/>
                <w:szCs w:val="20"/>
                <w:lang w:val="en-CA"/>
              </w:rPr>
              <w:t>20,290,000</w:t>
            </w:r>
          </w:p>
        </w:tc>
        <w:tc>
          <w:tcPr>
            <w:tcW w:w="1823" w:type="dxa"/>
          </w:tcPr>
          <w:p w14:paraId="48A1B754" w14:textId="77777777" w:rsidR="006F2F19" w:rsidRPr="00B0221D" w:rsidRDefault="006F2F19" w:rsidP="00546503">
            <w:pPr>
              <w:jc w:val="right"/>
              <w:rPr>
                <w:sz w:val="20"/>
                <w:szCs w:val="20"/>
                <w:lang w:val="en-CA"/>
              </w:rPr>
            </w:pPr>
            <w:r w:rsidRPr="00B0221D">
              <w:rPr>
                <w:sz w:val="20"/>
                <w:szCs w:val="20"/>
                <w:lang w:val="en-CA"/>
              </w:rPr>
              <w:t>1,520,000</w:t>
            </w:r>
          </w:p>
        </w:tc>
        <w:tc>
          <w:tcPr>
            <w:tcW w:w="1822" w:type="dxa"/>
          </w:tcPr>
          <w:p w14:paraId="7F02E150" w14:textId="77777777" w:rsidR="006F2F19" w:rsidRPr="00B0221D" w:rsidRDefault="006F2F19" w:rsidP="00546503">
            <w:pPr>
              <w:jc w:val="right"/>
              <w:rPr>
                <w:sz w:val="20"/>
                <w:szCs w:val="20"/>
                <w:lang w:val="en-CA"/>
              </w:rPr>
            </w:pPr>
            <w:r w:rsidRPr="00B0221D">
              <w:rPr>
                <w:sz w:val="20"/>
                <w:szCs w:val="20"/>
                <w:lang w:val="en-CA"/>
              </w:rPr>
              <w:t>7.49</w:t>
            </w:r>
          </w:p>
        </w:tc>
        <w:tc>
          <w:tcPr>
            <w:tcW w:w="1823" w:type="dxa"/>
          </w:tcPr>
          <w:p w14:paraId="2C8AA510" w14:textId="77777777" w:rsidR="006F2F19" w:rsidRPr="00B0221D" w:rsidRDefault="006F2F19" w:rsidP="00546503">
            <w:pPr>
              <w:jc w:val="right"/>
              <w:rPr>
                <w:sz w:val="20"/>
                <w:szCs w:val="20"/>
                <w:lang w:val="en-CA"/>
              </w:rPr>
            </w:pPr>
            <w:r w:rsidRPr="00B0221D">
              <w:rPr>
                <w:sz w:val="20"/>
                <w:szCs w:val="20"/>
                <w:lang w:val="en-CA"/>
              </w:rPr>
              <w:t>135,000</w:t>
            </w:r>
          </w:p>
        </w:tc>
      </w:tr>
      <w:tr w:rsidR="006F2F19" w:rsidRPr="00B0221D" w14:paraId="5C7847BF" w14:textId="77777777" w:rsidTr="00546503">
        <w:trPr>
          <w:trHeight w:val="45"/>
        </w:trPr>
        <w:tc>
          <w:tcPr>
            <w:tcW w:w="2065" w:type="dxa"/>
          </w:tcPr>
          <w:p w14:paraId="1F29F136" w14:textId="77777777" w:rsidR="006F2F19" w:rsidRPr="00B0221D" w:rsidRDefault="006F2F19" w:rsidP="00546503">
            <w:pPr>
              <w:rPr>
                <w:b/>
                <w:sz w:val="20"/>
                <w:szCs w:val="20"/>
                <w:lang w:val="en-CA"/>
              </w:rPr>
            </w:pPr>
            <w:r w:rsidRPr="00B0221D">
              <w:rPr>
                <w:b/>
                <w:sz w:val="20"/>
                <w:szCs w:val="20"/>
                <w:lang w:val="en-CA"/>
              </w:rPr>
              <w:t>Total</w:t>
            </w:r>
          </w:p>
        </w:tc>
        <w:tc>
          <w:tcPr>
            <w:tcW w:w="1822" w:type="dxa"/>
          </w:tcPr>
          <w:p w14:paraId="2717558C" w14:textId="77777777" w:rsidR="006F2F19" w:rsidRPr="00B0221D" w:rsidRDefault="006F2F19" w:rsidP="00546503">
            <w:pPr>
              <w:jc w:val="right"/>
              <w:rPr>
                <w:b/>
                <w:sz w:val="20"/>
                <w:szCs w:val="20"/>
                <w:lang w:val="en-CA"/>
              </w:rPr>
            </w:pPr>
            <w:r>
              <w:rPr>
                <w:b/>
                <w:sz w:val="20"/>
                <w:szCs w:val="20"/>
                <w:lang w:val="en-CA"/>
              </w:rPr>
              <w:fldChar w:fldCharType="begin"/>
            </w:r>
            <w:r>
              <w:rPr>
                <w:b/>
                <w:sz w:val="20"/>
                <w:szCs w:val="20"/>
                <w:lang w:val="en-CA"/>
              </w:rPr>
              <w:instrText xml:space="preserve"> =SUM(ABOVE) </w:instrText>
            </w:r>
            <w:r>
              <w:rPr>
                <w:b/>
                <w:sz w:val="20"/>
                <w:szCs w:val="20"/>
                <w:lang w:val="en-CA"/>
              </w:rPr>
              <w:fldChar w:fldCharType="separate"/>
            </w:r>
            <w:r>
              <w:rPr>
                <w:b/>
                <w:noProof/>
                <w:sz w:val="20"/>
                <w:szCs w:val="20"/>
                <w:lang w:val="en-CA"/>
              </w:rPr>
              <w:t>500,100,000</w:t>
            </w:r>
            <w:r>
              <w:rPr>
                <w:b/>
                <w:sz w:val="20"/>
                <w:szCs w:val="20"/>
                <w:lang w:val="en-CA"/>
              </w:rPr>
              <w:fldChar w:fldCharType="end"/>
            </w:r>
          </w:p>
        </w:tc>
        <w:tc>
          <w:tcPr>
            <w:tcW w:w="1823" w:type="dxa"/>
          </w:tcPr>
          <w:p w14:paraId="4539A6CA" w14:textId="77777777" w:rsidR="006F2F19" w:rsidRPr="00B0221D" w:rsidRDefault="006F2F19" w:rsidP="00546503">
            <w:pPr>
              <w:jc w:val="right"/>
              <w:rPr>
                <w:b/>
                <w:sz w:val="20"/>
                <w:szCs w:val="20"/>
                <w:lang w:val="en-CA"/>
              </w:rPr>
            </w:pPr>
            <w:r w:rsidRPr="00B0221D">
              <w:rPr>
                <w:b/>
                <w:sz w:val="20"/>
                <w:szCs w:val="20"/>
                <w:lang w:val="en-CA"/>
              </w:rPr>
              <w:t>26,520,000</w:t>
            </w:r>
          </w:p>
        </w:tc>
        <w:tc>
          <w:tcPr>
            <w:tcW w:w="1822" w:type="dxa"/>
          </w:tcPr>
          <w:p w14:paraId="4FC05F6F" w14:textId="77777777" w:rsidR="006F2F19" w:rsidRPr="00B0221D" w:rsidRDefault="006F2F19" w:rsidP="00546503">
            <w:pPr>
              <w:jc w:val="right"/>
              <w:rPr>
                <w:b/>
                <w:sz w:val="20"/>
                <w:szCs w:val="20"/>
                <w:lang w:val="en-CA"/>
              </w:rPr>
            </w:pPr>
            <w:r w:rsidRPr="00B0221D">
              <w:rPr>
                <w:b/>
                <w:sz w:val="20"/>
                <w:szCs w:val="20"/>
                <w:lang w:val="en-CA"/>
              </w:rPr>
              <w:t>5.3</w:t>
            </w:r>
          </w:p>
        </w:tc>
        <w:tc>
          <w:tcPr>
            <w:tcW w:w="1823" w:type="dxa"/>
          </w:tcPr>
          <w:p w14:paraId="221A0D2D" w14:textId="77777777" w:rsidR="006F2F19" w:rsidRPr="00B0221D" w:rsidRDefault="006F2F19" w:rsidP="00546503">
            <w:pPr>
              <w:jc w:val="right"/>
              <w:rPr>
                <w:b/>
                <w:sz w:val="20"/>
                <w:szCs w:val="20"/>
                <w:lang w:val="en-CA"/>
              </w:rPr>
            </w:pPr>
            <w:r w:rsidRPr="00B0221D">
              <w:rPr>
                <w:b/>
                <w:sz w:val="20"/>
                <w:szCs w:val="20"/>
                <w:lang w:val="en-CA"/>
              </w:rPr>
              <w:t>1,162,586</w:t>
            </w:r>
          </w:p>
        </w:tc>
      </w:tr>
    </w:tbl>
    <w:p w14:paraId="0D654068" w14:textId="77777777" w:rsidR="006F2F19" w:rsidRDefault="006F2F19" w:rsidP="006F2F19">
      <w:pPr>
        <w:rPr>
          <w:sz w:val="20"/>
          <w:szCs w:val="20"/>
          <w:lang w:val="en-CA"/>
        </w:rPr>
      </w:pPr>
      <w:r w:rsidRPr="00D30627">
        <w:rPr>
          <w:sz w:val="20"/>
          <w:szCs w:val="20"/>
          <w:lang w:val="en-CA"/>
        </w:rPr>
        <w:t>* As of April 2018</w:t>
      </w:r>
    </w:p>
    <w:p w14:paraId="00649D58" w14:textId="77777777" w:rsidR="006F2F19" w:rsidRDefault="006F2F19" w:rsidP="006F2F19">
      <w:pPr>
        <w:rPr>
          <w:sz w:val="20"/>
          <w:szCs w:val="20"/>
          <w:lang w:val="en-CA"/>
        </w:rPr>
      </w:pPr>
    </w:p>
    <w:p w14:paraId="2EF4D7FE" w14:textId="77777777" w:rsidR="006F2F19" w:rsidRPr="00D079CF" w:rsidRDefault="006F2F19" w:rsidP="006F2F19">
      <w:pPr>
        <w:rPr>
          <w:u w:val="single"/>
          <w:lang w:val="en-CA"/>
        </w:rPr>
      </w:pPr>
      <w:r w:rsidRPr="00D079CF">
        <w:rPr>
          <w:u w:val="single"/>
          <w:lang w:val="en-CA"/>
        </w:rPr>
        <w:t>Request for reporting activities under the PMU</w:t>
      </w:r>
    </w:p>
    <w:p w14:paraId="020EE666" w14:textId="77777777" w:rsidR="006F2F19" w:rsidRPr="00D079CF" w:rsidRDefault="006F2F19" w:rsidP="006F2F19">
      <w:pPr>
        <w:rPr>
          <w:lang w:val="en-CA"/>
        </w:rPr>
      </w:pPr>
    </w:p>
    <w:p w14:paraId="10A97E9F" w14:textId="77777777" w:rsidR="006F2F19" w:rsidRPr="00B0221D" w:rsidRDefault="006F2F19" w:rsidP="006F2F19">
      <w:pPr>
        <w:pStyle w:val="Heading1"/>
        <w:rPr>
          <w:lang w:val="en-CA"/>
        </w:rPr>
      </w:pPr>
      <w:r w:rsidRPr="00B0221D">
        <w:rPr>
          <w:lang w:val="en-CA"/>
        </w:rPr>
        <w:t xml:space="preserve">While the progress reports submitted with each tranche request </w:t>
      </w:r>
      <w:r>
        <w:rPr>
          <w:lang w:val="en-CA"/>
        </w:rPr>
        <w:t xml:space="preserve">associated with the HPMP </w:t>
      </w:r>
      <w:r w:rsidRPr="00B0221D">
        <w:rPr>
          <w:lang w:val="en-CA"/>
        </w:rPr>
        <w:t>provided detail on the funds allocated to investment activities and technical assistance</w:t>
      </w:r>
      <w:r>
        <w:rPr>
          <w:lang w:val="en-CA"/>
        </w:rPr>
        <w:t xml:space="preserve"> (TA)</w:t>
      </w:r>
      <w:r w:rsidRPr="00B0221D">
        <w:rPr>
          <w:lang w:val="en-CA"/>
        </w:rPr>
        <w:t>, as well as a description of activities undertaken under the PMUs in each sector, a breakdown of the PMU expenditures have not been provided. Moreover, while the budget allocation for the PMU for the RAC sector was provided to the Executive Committee at the 68</w:t>
      </w:r>
      <w:r w:rsidRPr="00B0221D">
        <w:rPr>
          <w:vertAlign w:val="superscript"/>
          <w:lang w:val="en-CA"/>
        </w:rPr>
        <w:t>th</w:t>
      </w:r>
      <w:r>
        <w:rPr>
          <w:lang w:val="en-CA"/>
        </w:rPr>
        <w:t> meeting</w:t>
      </w:r>
      <w:r w:rsidRPr="00B0221D">
        <w:rPr>
          <w:lang w:val="en-CA"/>
        </w:rPr>
        <w:t>, and the allocation for the PU and XPS foam sectors at the 77</w:t>
      </w:r>
      <w:r w:rsidRPr="00B0221D">
        <w:rPr>
          <w:vertAlign w:val="superscript"/>
          <w:lang w:val="en-CA"/>
        </w:rPr>
        <w:t>th</w:t>
      </w:r>
      <w:r>
        <w:rPr>
          <w:lang w:val="en-CA"/>
        </w:rPr>
        <w:t> meeting</w:t>
      </w:r>
      <w:r w:rsidRPr="00B0221D">
        <w:rPr>
          <w:lang w:val="en-CA"/>
        </w:rPr>
        <w:t>, the budget allocation for the PMU of the ICR, solvent, servicing and national coordination had not been separately provided to the Executive Committee.</w:t>
      </w:r>
    </w:p>
    <w:p w14:paraId="516B49A4" w14:textId="77777777" w:rsidR="006F2F19" w:rsidRDefault="006F2F19" w:rsidP="006F2F19">
      <w:pPr>
        <w:pStyle w:val="Heading1"/>
        <w:rPr>
          <w:lang w:val="en-CA"/>
        </w:rPr>
      </w:pPr>
      <w:r>
        <w:rPr>
          <w:lang w:val="en-CA"/>
        </w:rPr>
        <w:t xml:space="preserve">Similarly, </w:t>
      </w:r>
      <w:r w:rsidRPr="00D079CF">
        <w:rPr>
          <w:lang w:val="en-CA"/>
        </w:rPr>
        <w:t>tranche request associated with the HP</w:t>
      </w:r>
      <w:r>
        <w:rPr>
          <w:lang w:val="en-CA"/>
        </w:rPr>
        <w:t>P</w:t>
      </w:r>
      <w:r w:rsidRPr="00D079CF">
        <w:rPr>
          <w:lang w:val="en-CA"/>
        </w:rPr>
        <w:t>MP provided detail on the funds allocated to investment activities and TA</w:t>
      </w:r>
      <w:r>
        <w:rPr>
          <w:lang w:val="en-CA"/>
        </w:rPr>
        <w:t>; however,</w:t>
      </w:r>
      <w:r w:rsidRPr="00D079CF">
        <w:rPr>
          <w:lang w:val="en-CA"/>
        </w:rPr>
        <w:t xml:space="preserve"> a breakdown of the PMU expenditures </w:t>
      </w:r>
      <w:r>
        <w:rPr>
          <w:lang w:val="en-CA"/>
        </w:rPr>
        <w:t xml:space="preserve">was not </w:t>
      </w:r>
      <w:r w:rsidRPr="00D079CF">
        <w:rPr>
          <w:lang w:val="en-CA"/>
        </w:rPr>
        <w:t xml:space="preserve">provided. </w:t>
      </w:r>
      <w:r w:rsidRPr="00B0221D" w:rsidDel="0034389B">
        <w:rPr>
          <w:lang w:val="en-CA"/>
        </w:rPr>
        <w:t>At its 74</w:t>
      </w:r>
      <w:r w:rsidRPr="00B0221D" w:rsidDel="0034389B">
        <w:rPr>
          <w:vertAlign w:val="superscript"/>
          <w:lang w:val="en-CA"/>
        </w:rPr>
        <w:t>th</w:t>
      </w:r>
      <w:r>
        <w:rPr>
          <w:lang w:val="en-CA"/>
        </w:rPr>
        <w:t> meeting</w:t>
      </w:r>
      <w:r w:rsidRPr="00B0221D" w:rsidDel="0034389B">
        <w:rPr>
          <w:lang w:val="en-CA"/>
        </w:rPr>
        <w:t>, the Executive Committee requested the Government of China, through the World Bank, to provide in future progress reports on tranches a detailed description of the activities conducted by the PMU related to the production sector in the relevant time period and the types and estimates of the costs. In the subsequent progress reports, the Government of China, through the World Bank, highlighted the challenges in reporting a detailed cost breakdown for the PMU</w:t>
      </w:r>
      <w:r w:rsidRPr="00B0221D">
        <w:rPr>
          <w:lang w:val="en-CA"/>
        </w:rPr>
        <w:t xml:space="preserve"> for the production sector</w:t>
      </w:r>
      <w:r w:rsidRPr="00B0221D" w:rsidDel="0034389B">
        <w:rPr>
          <w:lang w:val="en-CA"/>
        </w:rPr>
        <w:t xml:space="preserve"> as the funds </w:t>
      </w:r>
      <w:r w:rsidRPr="00B0221D">
        <w:rPr>
          <w:lang w:val="en-CA"/>
        </w:rPr>
        <w:t xml:space="preserve">for PMU </w:t>
      </w:r>
      <w:r w:rsidRPr="00B0221D" w:rsidDel="0034389B">
        <w:rPr>
          <w:lang w:val="en-CA"/>
        </w:rPr>
        <w:t xml:space="preserve">from </w:t>
      </w:r>
      <w:r w:rsidRPr="00B0221D">
        <w:rPr>
          <w:lang w:val="en-CA"/>
        </w:rPr>
        <w:t xml:space="preserve">both </w:t>
      </w:r>
      <w:r w:rsidRPr="00B0221D" w:rsidDel="0034389B">
        <w:rPr>
          <w:lang w:val="en-CA"/>
        </w:rPr>
        <w:t xml:space="preserve">the production sector and consumption sectors were pooled together and detailed expenditures for </w:t>
      </w:r>
      <w:r w:rsidRPr="00B0221D">
        <w:rPr>
          <w:lang w:val="en-CA"/>
        </w:rPr>
        <w:t>each</w:t>
      </w:r>
      <w:r w:rsidRPr="00B0221D" w:rsidDel="0034389B">
        <w:rPr>
          <w:lang w:val="en-CA"/>
        </w:rPr>
        <w:t xml:space="preserve"> sector were not recorded</w:t>
      </w:r>
      <w:r w:rsidRPr="00B0221D">
        <w:rPr>
          <w:lang w:val="en-CA"/>
        </w:rPr>
        <w:t xml:space="preserve"> separately</w:t>
      </w:r>
      <w:r w:rsidRPr="00B0221D" w:rsidDel="0034389B">
        <w:rPr>
          <w:lang w:val="en-CA"/>
        </w:rPr>
        <w:t xml:space="preserve">. </w:t>
      </w:r>
    </w:p>
    <w:p w14:paraId="1BF50C0C" w14:textId="77777777" w:rsidR="006F2F19" w:rsidRDefault="006F2F19" w:rsidP="006F2F19">
      <w:pPr>
        <w:pStyle w:val="Heading1"/>
        <w:rPr>
          <w:lang w:val="en-CA"/>
        </w:rPr>
      </w:pPr>
      <w:r w:rsidRPr="00B0221D" w:rsidDel="0034389B">
        <w:rPr>
          <w:lang w:val="en-CA"/>
        </w:rPr>
        <w:t>At the 80</w:t>
      </w:r>
      <w:r w:rsidRPr="00B0221D" w:rsidDel="0034389B">
        <w:rPr>
          <w:vertAlign w:val="superscript"/>
          <w:lang w:val="en-CA"/>
        </w:rPr>
        <w:t>th</w:t>
      </w:r>
      <w:r w:rsidRPr="00B0221D">
        <w:rPr>
          <w:vertAlign w:val="superscript"/>
          <w:lang w:val="en-CA"/>
        </w:rPr>
        <w:t> </w:t>
      </w:r>
      <w:r w:rsidRPr="00B0221D" w:rsidDel="0034389B">
        <w:rPr>
          <w:lang w:val="en-CA"/>
        </w:rPr>
        <w:t xml:space="preserve">meeting, the </w:t>
      </w:r>
      <w:r>
        <w:rPr>
          <w:lang w:val="en-CA"/>
        </w:rPr>
        <w:t xml:space="preserve">Sub-group on the Production Sector discussed </w:t>
      </w:r>
      <w:r w:rsidRPr="00B0221D">
        <w:rPr>
          <w:lang w:val="en-CA"/>
        </w:rPr>
        <w:t>the HCFC production phase out management plan (HPPMP)</w:t>
      </w:r>
      <w:r>
        <w:rPr>
          <w:lang w:val="en-CA"/>
        </w:rPr>
        <w:t xml:space="preserve"> submitted to the 80</w:t>
      </w:r>
      <w:r w:rsidRPr="008311E8">
        <w:rPr>
          <w:vertAlign w:val="superscript"/>
          <w:lang w:val="en-CA"/>
        </w:rPr>
        <w:t>th</w:t>
      </w:r>
      <w:r>
        <w:rPr>
          <w:lang w:val="en-CA"/>
        </w:rPr>
        <w:t xml:space="preserve"> meeting. Several issues were discussed by the Sub</w:t>
      </w:r>
      <w:r>
        <w:rPr>
          <w:lang w:val="en-CA"/>
        </w:rPr>
        <w:noBreakHyphen/>
        <w:t>group including issues related to the request for the PMU and the reporting of expenditures associated with it. Further to the report of the Sub-group, the Executive Committee</w:t>
      </w:r>
      <w:r w:rsidRPr="00B0221D">
        <w:rPr>
          <w:lang w:val="en-CA"/>
        </w:rPr>
        <w:t xml:space="preserve"> </w:t>
      </w:r>
      <w:r>
        <w:rPr>
          <w:i/>
          <w:lang w:val="en-CA"/>
        </w:rPr>
        <w:t xml:space="preserve">inter alia </w:t>
      </w:r>
      <w:r w:rsidRPr="00B0221D" w:rsidDel="0034389B">
        <w:rPr>
          <w:lang w:val="en-CA"/>
        </w:rPr>
        <w:t>requested the Secretariat to work with the Government of China through UNDP, as the lead implementing agency of the HCFC phase</w:t>
      </w:r>
      <w:r>
        <w:rPr>
          <w:lang w:val="en-CA"/>
        </w:rPr>
        <w:noBreakHyphen/>
      </w:r>
      <w:r w:rsidRPr="00B0221D" w:rsidDel="0034389B">
        <w:rPr>
          <w:lang w:val="en-CA"/>
        </w:rPr>
        <w:t>out management plan</w:t>
      </w:r>
      <w:r>
        <w:rPr>
          <w:lang w:val="en-CA"/>
        </w:rPr>
        <w:t xml:space="preserve"> (HPMP)</w:t>
      </w:r>
      <w:r w:rsidRPr="00B0221D" w:rsidDel="0034389B">
        <w:rPr>
          <w:lang w:val="en-CA"/>
        </w:rPr>
        <w:t>, and through the World Bank, as the lead implementing agency of the HPPMP, to develop, by the 81</w:t>
      </w:r>
      <w:r w:rsidRPr="00B0221D" w:rsidDel="0034389B">
        <w:rPr>
          <w:vertAlign w:val="superscript"/>
          <w:lang w:val="en-CA"/>
        </w:rPr>
        <w:t>st</w:t>
      </w:r>
      <w:r w:rsidRPr="00B0221D" w:rsidDel="0034389B">
        <w:rPr>
          <w:lang w:val="en-CA"/>
        </w:rPr>
        <w:t> meeting, a financial reporting format for annual PMU expenditures in relation to the production and consumption sectors</w:t>
      </w:r>
      <w:r w:rsidRPr="00B0221D">
        <w:rPr>
          <w:lang w:val="en-CA"/>
        </w:rPr>
        <w:t xml:space="preserve"> (</w:t>
      </w:r>
      <w:r>
        <w:rPr>
          <w:lang w:val="en-CA"/>
        </w:rPr>
        <w:t>decision </w:t>
      </w:r>
      <w:r w:rsidRPr="00B0221D">
        <w:rPr>
          <w:lang w:val="en-CA"/>
        </w:rPr>
        <w:t>80/80)</w:t>
      </w:r>
      <w:r w:rsidRPr="00B0221D" w:rsidDel="0034389B">
        <w:rPr>
          <w:lang w:val="en-CA"/>
        </w:rPr>
        <w:t>.</w:t>
      </w:r>
      <w:r w:rsidRPr="00B0221D">
        <w:rPr>
          <w:lang w:val="en-CA"/>
        </w:rPr>
        <w:t xml:space="preserve"> </w:t>
      </w:r>
    </w:p>
    <w:p w14:paraId="22DBD851" w14:textId="77777777" w:rsidR="006F2F19" w:rsidRPr="00B0221D" w:rsidRDefault="006F2F19" w:rsidP="006F2F19">
      <w:pPr>
        <w:pStyle w:val="Heading1"/>
        <w:rPr>
          <w:lang w:val="en-CA"/>
        </w:rPr>
      </w:pPr>
      <w:r>
        <w:rPr>
          <w:lang w:val="en-CA"/>
        </w:rPr>
        <w:t xml:space="preserve">The Secretariat has prepared the following section of the </w:t>
      </w:r>
      <w:r w:rsidRPr="00B0221D">
        <w:rPr>
          <w:lang w:val="en-CA"/>
        </w:rPr>
        <w:t xml:space="preserve">present document pursuant to </w:t>
      </w:r>
      <w:r>
        <w:rPr>
          <w:lang w:val="en-CA"/>
        </w:rPr>
        <w:t>decision </w:t>
      </w:r>
      <w:r w:rsidRPr="00B0221D">
        <w:rPr>
          <w:lang w:val="en-CA"/>
        </w:rPr>
        <w:t>80/80.</w:t>
      </w:r>
    </w:p>
    <w:p w14:paraId="6706587E" w14:textId="77777777" w:rsidR="006F2F19" w:rsidRPr="00B0221D" w:rsidRDefault="006F2F19" w:rsidP="006F2F19">
      <w:pPr>
        <w:rPr>
          <w:b/>
          <w:lang w:val="en-CA"/>
        </w:rPr>
      </w:pPr>
      <w:r w:rsidRPr="00B0221D">
        <w:rPr>
          <w:b/>
          <w:lang w:val="en-CA"/>
        </w:rPr>
        <w:t>Proposed format for a financial report for PMU expenditures under the HPMP and HPPMP</w:t>
      </w:r>
    </w:p>
    <w:p w14:paraId="797DB508" w14:textId="77777777" w:rsidR="006F2F19" w:rsidRPr="00B0221D" w:rsidRDefault="006F2F19" w:rsidP="006F2F19">
      <w:pPr>
        <w:rPr>
          <w:lang w:val="en-CA"/>
        </w:rPr>
      </w:pPr>
    </w:p>
    <w:p w14:paraId="6696FD3F" w14:textId="77777777" w:rsidR="006F2F19" w:rsidRDefault="006F2F19" w:rsidP="006F2F19">
      <w:pPr>
        <w:pStyle w:val="Heading1"/>
        <w:rPr>
          <w:lang w:val="en-CA"/>
        </w:rPr>
      </w:pPr>
      <w:r w:rsidRPr="00B0221D">
        <w:rPr>
          <w:lang w:val="en-CA"/>
        </w:rPr>
        <w:t>Based on the input provided by the Government of China at the 76</w:t>
      </w:r>
      <w:r w:rsidRPr="00B0221D">
        <w:rPr>
          <w:vertAlign w:val="superscript"/>
          <w:lang w:val="en-CA"/>
        </w:rPr>
        <w:t>th</w:t>
      </w:r>
      <w:r>
        <w:rPr>
          <w:lang w:val="en-CA"/>
        </w:rPr>
        <w:t> meeting</w:t>
      </w:r>
      <w:r w:rsidRPr="00B0221D">
        <w:rPr>
          <w:lang w:val="en-CA"/>
        </w:rPr>
        <w:t xml:space="preserve">, the Secretariat </w:t>
      </w:r>
      <w:r>
        <w:rPr>
          <w:lang w:val="en-CA"/>
        </w:rPr>
        <w:t xml:space="preserve">developed a draft </w:t>
      </w:r>
      <w:r w:rsidRPr="00B0221D">
        <w:rPr>
          <w:lang w:val="en-CA"/>
        </w:rPr>
        <w:t>financial reporting format</w:t>
      </w:r>
      <w:r w:rsidRPr="00B0221D">
        <w:rPr>
          <w:rStyle w:val="FootnoteReference"/>
          <w:lang w:val="en-CA"/>
        </w:rPr>
        <w:footnoteReference w:id="23"/>
      </w:r>
      <w:r w:rsidRPr="00B0221D">
        <w:rPr>
          <w:lang w:val="en-CA"/>
        </w:rPr>
        <w:t xml:space="preserve"> </w:t>
      </w:r>
      <w:r>
        <w:rPr>
          <w:lang w:val="en-CA"/>
        </w:rPr>
        <w:t>and had substantive discussions with all relevant bilateral and implementing agencies</w:t>
      </w:r>
      <w:r w:rsidRPr="00B0221D">
        <w:rPr>
          <w:lang w:val="en-CA"/>
        </w:rPr>
        <w:t xml:space="preserve"> during the Inter-agency coordination meeting</w:t>
      </w:r>
      <w:r>
        <w:rPr>
          <w:lang w:val="en-CA"/>
        </w:rPr>
        <w:t>.</w:t>
      </w:r>
      <w:r w:rsidRPr="00B0221D">
        <w:rPr>
          <w:rStyle w:val="FootnoteReference"/>
          <w:lang w:val="en-CA"/>
        </w:rPr>
        <w:footnoteReference w:id="24"/>
      </w:r>
      <w:r w:rsidRPr="00B0221D">
        <w:rPr>
          <w:lang w:val="en-CA"/>
        </w:rPr>
        <w:t xml:space="preserve"> </w:t>
      </w:r>
    </w:p>
    <w:p w14:paraId="497E5824" w14:textId="77777777" w:rsidR="006F2F19" w:rsidRDefault="006F2F19" w:rsidP="006F2F19">
      <w:pPr>
        <w:pStyle w:val="Heading1"/>
        <w:rPr>
          <w:lang w:val="en-CA"/>
        </w:rPr>
      </w:pPr>
      <w:r w:rsidRPr="008E5574">
        <w:rPr>
          <w:lang w:val="en-CA"/>
        </w:rPr>
        <w:t xml:space="preserve">Subsequently, the Government of China through UNDP proposed an alternate format, as shown in Table 3. </w:t>
      </w:r>
    </w:p>
    <w:p w14:paraId="0F083965" w14:textId="77777777" w:rsidR="006F2F19" w:rsidRPr="008E5574" w:rsidRDefault="006F2F19" w:rsidP="006F2F19">
      <w:pPr>
        <w:pStyle w:val="Heading1"/>
        <w:keepNext/>
        <w:keepLines/>
        <w:numPr>
          <w:ilvl w:val="0"/>
          <w:numId w:val="0"/>
        </w:numPr>
        <w:spacing w:after="0"/>
        <w:rPr>
          <w:lang w:val="en-CA"/>
        </w:rPr>
      </w:pPr>
      <w:r w:rsidRPr="008E5574">
        <w:rPr>
          <w:b/>
          <w:lang w:val="en-CA"/>
        </w:rPr>
        <w:lastRenderedPageBreak/>
        <w:t>Table 3. Financial reporting format for the PMU proposed by the Government of China</w:t>
      </w:r>
    </w:p>
    <w:tbl>
      <w:tblPr>
        <w:tblStyle w:val="TableGrid"/>
        <w:tblW w:w="9355" w:type="dxa"/>
        <w:tblLook w:val="04A0" w:firstRow="1" w:lastRow="0" w:firstColumn="1" w:lastColumn="0" w:noHBand="0" w:noVBand="1"/>
      </w:tblPr>
      <w:tblGrid>
        <w:gridCol w:w="5125"/>
        <w:gridCol w:w="4230"/>
      </w:tblGrid>
      <w:tr w:rsidR="006F2F19" w:rsidRPr="00B0221D" w14:paraId="40C53CE2" w14:textId="77777777" w:rsidTr="00546503">
        <w:tc>
          <w:tcPr>
            <w:tcW w:w="5125" w:type="dxa"/>
            <w:vAlign w:val="center"/>
          </w:tcPr>
          <w:p w14:paraId="498E82C6" w14:textId="77777777" w:rsidR="006F2F19" w:rsidRPr="008E5574" w:rsidRDefault="006F2F19" w:rsidP="00546503">
            <w:pPr>
              <w:keepNext/>
              <w:keepLines/>
              <w:jc w:val="left"/>
              <w:rPr>
                <w:b/>
                <w:sz w:val="21"/>
                <w:szCs w:val="21"/>
                <w:lang w:val="en-CA"/>
              </w:rPr>
            </w:pPr>
            <w:r w:rsidRPr="008E5574">
              <w:rPr>
                <w:b/>
                <w:sz w:val="21"/>
                <w:szCs w:val="21"/>
                <w:lang w:val="en-CA"/>
              </w:rPr>
              <w:t>Cost category</w:t>
            </w:r>
          </w:p>
        </w:tc>
        <w:tc>
          <w:tcPr>
            <w:tcW w:w="4230" w:type="dxa"/>
            <w:vAlign w:val="center"/>
          </w:tcPr>
          <w:p w14:paraId="7B3BD0C6" w14:textId="77777777" w:rsidR="006F2F19" w:rsidRPr="008E5574" w:rsidRDefault="006F2F19" w:rsidP="00546503">
            <w:pPr>
              <w:keepNext/>
              <w:keepLines/>
              <w:jc w:val="center"/>
              <w:rPr>
                <w:sz w:val="21"/>
                <w:szCs w:val="21"/>
                <w:lang w:val="en-CA"/>
              </w:rPr>
            </w:pPr>
            <w:r w:rsidRPr="008E5574">
              <w:rPr>
                <w:b/>
                <w:bCs/>
                <w:sz w:val="21"/>
                <w:szCs w:val="21"/>
                <w:lang w:val="en-CA"/>
              </w:rPr>
              <w:t xml:space="preserve">Estimation of </w:t>
            </w:r>
            <w:r>
              <w:rPr>
                <w:b/>
                <w:bCs/>
                <w:sz w:val="21"/>
                <w:szCs w:val="21"/>
                <w:lang w:val="en-CA"/>
              </w:rPr>
              <w:t>a</w:t>
            </w:r>
            <w:r w:rsidRPr="008E5574">
              <w:rPr>
                <w:b/>
                <w:bCs/>
                <w:sz w:val="21"/>
                <w:szCs w:val="21"/>
                <w:lang w:val="en-CA"/>
              </w:rPr>
              <w:t xml:space="preserve">nnual </w:t>
            </w:r>
            <w:r>
              <w:rPr>
                <w:b/>
                <w:bCs/>
                <w:sz w:val="21"/>
                <w:szCs w:val="21"/>
                <w:lang w:val="en-CA"/>
              </w:rPr>
              <w:t>e</w:t>
            </w:r>
            <w:r w:rsidRPr="008E5574">
              <w:rPr>
                <w:b/>
                <w:bCs/>
                <w:sz w:val="21"/>
                <w:szCs w:val="21"/>
                <w:lang w:val="en-CA"/>
              </w:rPr>
              <w:t>xpenditure (US $)</w:t>
            </w:r>
          </w:p>
        </w:tc>
      </w:tr>
      <w:tr w:rsidR="006F2F19" w:rsidRPr="00B0221D" w14:paraId="6849842E" w14:textId="77777777" w:rsidTr="00546503">
        <w:tc>
          <w:tcPr>
            <w:tcW w:w="5125" w:type="dxa"/>
          </w:tcPr>
          <w:p w14:paraId="69BD74CE" w14:textId="77777777" w:rsidR="006F2F19" w:rsidRPr="008E5574" w:rsidRDefault="006F2F19" w:rsidP="00546503">
            <w:pPr>
              <w:keepNext/>
              <w:keepLines/>
              <w:rPr>
                <w:sz w:val="21"/>
                <w:szCs w:val="21"/>
                <w:lang w:val="en-CA"/>
              </w:rPr>
            </w:pPr>
            <w:r w:rsidRPr="008E5574">
              <w:rPr>
                <w:sz w:val="21"/>
                <w:szCs w:val="21"/>
                <w:lang w:val="en-CA"/>
              </w:rPr>
              <w:t>Project staff (fixed contract)</w:t>
            </w:r>
          </w:p>
        </w:tc>
        <w:tc>
          <w:tcPr>
            <w:tcW w:w="4230" w:type="dxa"/>
          </w:tcPr>
          <w:p w14:paraId="2436E059" w14:textId="77777777" w:rsidR="006F2F19" w:rsidRPr="008E5574" w:rsidRDefault="006F2F19" w:rsidP="00546503">
            <w:pPr>
              <w:keepNext/>
              <w:keepLines/>
              <w:rPr>
                <w:sz w:val="21"/>
                <w:szCs w:val="21"/>
                <w:lang w:val="en-CA"/>
              </w:rPr>
            </w:pPr>
          </w:p>
        </w:tc>
      </w:tr>
      <w:tr w:rsidR="006F2F19" w:rsidRPr="00B0221D" w14:paraId="2CD14C05" w14:textId="77777777" w:rsidTr="00546503">
        <w:tc>
          <w:tcPr>
            <w:tcW w:w="5125" w:type="dxa"/>
          </w:tcPr>
          <w:p w14:paraId="6760CE59" w14:textId="77777777" w:rsidR="006F2F19" w:rsidRPr="008E5574" w:rsidRDefault="006F2F19" w:rsidP="00546503">
            <w:pPr>
              <w:keepNext/>
              <w:keepLines/>
              <w:rPr>
                <w:sz w:val="21"/>
                <w:szCs w:val="21"/>
                <w:lang w:val="en-CA"/>
              </w:rPr>
            </w:pPr>
            <w:r w:rsidRPr="008E5574">
              <w:rPr>
                <w:sz w:val="21"/>
                <w:szCs w:val="21"/>
                <w:lang w:val="en-CA"/>
              </w:rPr>
              <w:t>Supporting staff</w:t>
            </w:r>
          </w:p>
        </w:tc>
        <w:tc>
          <w:tcPr>
            <w:tcW w:w="4230" w:type="dxa"/>
          </w:tcPr>
          <w:p w14:paraId="07D90CEB" w14:textId="77777777" w:rsidR="006F2F19" w:rsidRPr="008E5574" w:rsidRDefault="006F2F19" w:rsidP="00546503">
            <w:pPr>
              <w:keepNext/>
              <w:keepLines/>
              <w:rPr>
                <w:sz w:val="21"/>
                <w:szCs w:val="21"/>
                <w:lang w:val="en-CA"/>
              </w:rPr>
            </w:pPr>
          </w:p>
        </w:tc>
      </w:tr>
      <w:tr w:rsidR="006F2F19" w:rsidRPr="00B0221D" w14:paraId="2A09C3FB" w14:textId="77777777" w:rsidTr="00546503">
        <w:tc>
          <w:tcPr>
            <w:tcW w:w="5125" w:type="dxa"/>
          </w:tcPr>
          <w:p w14:paraId="745E1B94" w14:textId="77777777" w:rsidR="006F2F19" w:rsidRPr="008E5574" w:rsidRDefault="006F2F19" w:rsidP="00546503">
            <w:pPr>
              <w:rPr>
                <w:sz w:val="21"/>
                <w:szCs w:val="21"/>
                <w:lang w:val="en-CA"/>
              </w:rPr>
            </w:pPr>
            <w:r w:rsidRPr="008E5574">
              <w:rPr>
                <w:sz w:val="21"/>
                <w:szCs w:val="21"/>
                <w:lang w:val="en-CA"/>
              </w:rPr>
              <w:t>Domestic travel</w:t>
            </w:r>
          </w:p>
        </w:tc>
        <w:tc>
          <w:tcPr>
            <w:tcW w:w="4230" w:type="dxa"/>
          </w:tcPr>
          <w:p w14:paraId="5954ECB5" w14:textId="77777777" w:rsidR="006F2F19" w:rsidRPr="008E5574" w:rsidRDefault="006F2F19" w:rsidP="00546503">
            <w:pPr>
              <w:rPr>
                <w:sz w:val="21"/>
                <w:szCs w:val="21"/>
                <w:lang w:val="en-CA"/>
              </w:rPr>
            </w:pPr>
          </w:p>
        </w:tc>
      </w:tr>
      <w:tr w:rsidR="006F2F19" w:rsidRPr="00B0221D" w14:paraId="03C0AE81" w14:textId="77777777" w:rsidTr="00546503">
        <w:tc>
          <w:tcPr>
            <w:tcW w:w="5125" w:type="dxa"/>
          </w:tcPr>
          <w:p w14:paraId="53B0410F" w14:textId="77777777" w:rsidR="006F2F19" w:rsidRPr="008E5574" w:rsidRDefault="006F2F19" w:rsidP="00546503">
            <w:pPr>
              <w:rPr>
                <w:sz w:val="21"/>
                <w:szCs w:val="21"/>
                <w:lang w:val="en-CA"/>
              </w:rPr>
            </w:pPr>
            <w:r w:rsidRPr="008E5574">
              <w:rPr>
                <w:sz w:val="21"/>
                <w:szCs w:val="21"/>
                <w:lang w:val="en-CA"/>
              </w:rPr>
              <w:t>International travel</w:t>
            </w:r>
          </w:p>
        </w:tc>
        <w:tc>
          <w:tcPr>
            <w:tcW w:w="4230" w:type="dxa"/>
          </w:tcPr>
          <w:p w14:paraId="2BBCC43A" w14:textId="77777777" w:rsidR="006F2F19" w:rsidRPr="008E5574" w:rsidRDefault="006F2F19" w:rsidP="00546503">
            <w:pPr>
              <w:rPr>
                <w:sz w:val="21"/>
                <w:szCs w:val="21"/>
                <w:lang w:val="en-CA"/>
              </w:rPr>
            </w:pPr>
          </w:p>
        </w:tc>
      </w:tr>
      <w:tr w:rsidR="006F2F19" w:rsidRPr="00B0221D" w14:paraId="71D961BE" w14:textId="77777777" w:rsidTr="00546503">
        <w:tc>
          <w:tcPr>
            <w:tcW w:w="5125" w:type="dxa"/>
          </w:tcPr>
          <w:p w14:paraId="11F33EA4" w14:textId="77777777" w:rsidR="006F2F19" w:rsidRPr="008E5574" w:rsidRDefault="006F2F19" w:rsidP="00546503">
            <w:pPr>
              <w:rPr>
                <w:sz w:val="21"/>
                <w:szCs w:val="21"/>
                <w:lang w:val="en-CA"/>
              </w:rPr>
            </w:pPr>
            <w:r w:rsidRPr="008E5574">
              <w:rPr>
                <w:sz w:val="21"/>
                <w:szCs w:val="21"/>
                <w:lang w:val="en-CA"/>
              </w:rPr>
              <w:t>Meetings</w:t>
            </w:r>
            <w:r w:rsidRPr="008E5574">
              <w:rPr>
                <w:sz w:val="21"/>
                <w:szCs w:val="21"/>
                <w:vertAlign w:val="superscript"/>
                <w:lang w:val="en-CA"/>
              </w:rPr>
              <w:t>*</w:t>
            </w:r>
          </w:p>
        </w:tc>
        <w:tc>
          <w:tcPr>
            <w:tcW w:w="4230" w:type="dxa"/>
          </w:tcPr>
          <w:p w14:paraId="3BB6E0C3" w14:textId="77777777" w:rsidR="006F2F19" w:rsidRPr="008E5574" w:rsidRDefault="006F2F19" w:rsidP="00546503">
            <w:pPr>
              <w:rPr>
                <w:sz w:val="21"/>
                <w:szCs w:val="21"/>
                <w:lang w:val="en-CA"/>
              </w:rPr>
            </w:pPr>
          </w:p>
        </w:tc>
      </w:tr>
      <w:tr w:rsidR="006F2F19" w:rsidRPr="00B0221D" w14:paraId="350F9B2D" w14:textId="77777777" w:rsidTr="00546503">
        <w:tc>
          <w:tcPr>
            <w:tcW w:w="5125" w:type="dxa"/>
          </w:tcPr>
          <w:p w14:paraId="3B87AC1C" w14:textId="77777777" w:rsidR="006F2F19" w:rsidRPr="008E5574" w:rsidRDefault="006F2F19" w:rsidP="00546503">
            <w:pPr>
              <w:rPr>
                <w:sz w:val="21"/>
                <w:szCs w:val="21"/>
                <w:lang w:val="en-CA"/>
              </w:rPr>
            </w:pPr>
            <w:r w:rsidRPr="008E5574">
              <w:rPr>
                <w:sz w:val="21"/>
                <w:szCs w:val="21"/>
                <w:lang w:val="en-CA"/>
              </w:rPr>
              <w:t>Consulting service</w:t>
            </w:r>
            <w:r w:rsidRPr="008E5574">
              <w:rPr>
                <w:sz w:val="21"/>
                <w:szCs w:val="21"/>
                <w:vertAlign w:val="superscript"/>
                <w:lang w:val="en-CA"/>
              </w:rPr>
              <w:t>**</w:t>
            </w:r>
          </w:p>
        </w:tc>
        <w:tc>
          <w:tcPr>
            <w:tcW w:w="4230" w:type="dxa"/>
          </w:tcPr>
          <w:p w14:paraId="5EE29233" w14:textId="77777777" w:rsidR="006F2F19" w:rsidRPr="008E5574" w:rsidRDefault="006F2F19" w:rsidP="00546503">
            <w:pPr>
              <w:rPr>
                <w:sz w:val="21"/>
                <w:szCs w:val="21"/>
                <w:lang w:val="en-CA"/>
              </w:rPr>
            </w:pPr>
          </w:p>
        </w:tc>
      </w:tr>
      <w:tr w:rsidR="006F2F19" w:rsidRPr="00B0221D" w14:paraId="0B50F856" w14:textId="77777777" w:rsidTr="00546503">
        <w:tc>
          <w:tcPr>
            <w:tcW w:w="5125" w:type="dxa"/>
          </w:tcPr>
          <w:p w14:paraId="32C0CF5C" w14:textId="77777777" w:rsidR="006F2F19" w:rsidRPr="008E5574" w:rsidRDefault="006F2F19" w:rsidP="00546503">
            <w:pPr>
              <w:rPr>
                <w:sz w:val="21"/>
                <w:szCs w:val="21"/>
                <w:lang w:val="en-CA"/>
              </w:rPr>
            </w:pPr>
            <w:r w:rsidRPr="008E5574">
              <w:rPr>
                <w:sz w:val="21"/>
                <w:szCs w:val="21"/>
                <w:lang w:val="en-CA"/>
              </w:rPr>
              <w:t>Office operation service and maintenance, utilities</w:t>
            </w:r>
          </w:p>
        </w:tc>
        <w:tc>
          <w:tcPr>
            <w:tcW w:w="4230" w:type="dxa"/>
          </w:tcPr>
          <w:p w14:paraId="29DFD73D" w14:textId="77777777" w:rsidR="006F2F19" w:rsidRPr="008E5574" w:rsidRDefault="006F2F19" w:rsidP="00546503">
            <w:pPr>
              <w:rPr>
                <w:sz w:val="21"/>
                <w:szCs w:val="21"/>
                <w:lang w:val="en-CA"/>
              </w:rPr>
            </w:pPr>
          </w:p>
        </w:tc>
      </w:tr>
      <w:tr w:rsidR="006F2F19" w:rsidRPr="00B0221D" w14:paraId="67522031" w14:textId="77777777" w:rsidTr="00546503">
        <w:tc>
          <w:tcPr>
            <w:tcW w:w="5125" w:type="dxa"/>
            <w:tcBorders>
              <w:bottom w:val="single" w:sz="4" w:space="0" w:color="auto"/>
            </w:tcBorders>
          </w:tcPr>
          <w:p w14:paraId="3C539F0F" w14:textId="77777777" w:rsidR="006F2F19" w:rsidRPr="008E5574" w:rsidRDefault="006F2F19" w:rsidP="00546503">
            <w:pPr>
              <w:rPr>
                <w:sz w:val="21"/>
                <w:szCs w:val="21"/>
                <w:lang w:val="en-CA"/>
              </w:rPr>
            </w:pPr>
            <w:r w:rsidRPr="008E5574">
              <w:rPr>
                <w:sz w:val="21"/>
                <w:szCs w:val="21"/>
                <w:lang w:val="en-CA"/>
              </w:rPr>
              <w:t>Computer, internet, post, phone, printing</w:t>
            </w:r>
          </w:p>
        </w:tc>
        <w:tc>
          <w:tcPr>
            <w:tcW w:w="4230" w:type="dxa"/>
            <w:tcBorders>
              <w:bottom w:val="single" w:sz="4" w:space="0" w:color="auto"/>
            </w:tcBorders>
          </w:tcPr>
          <w:p w14:paraId="6F09D58B" w14:textId="77777777" w:rsidR="006F2F19" w:rsidRPr="008E5574" w:rsidRDefault="006F2F19" w:rsidP="00546503">
            <w:pPr>
              <w:rPr>
                <w:sz w:val="21"/>
                <w:szCs w:val="21"/>
                <w:lang w:val="en-CA"/>
              </w:rPr>
            </w:pPr>
          </w:p>
        </w:tc>
      </w:tr>
      <w:tr w:rsidR="006F2F19" w:rsidRPr="00B0221D" w14:paraId="08B735E8" w14:textId="77777777" w:rsidTr="00546503">
        <w:tc>
          <w:tcPr>
            <w:tcW w:w="5125" w:type="dxa"/>
            <w:tcBorders>
              <w:bottom w:val="single" w:sz="4" w:space="0" w:color="auto"/>
            </w:tcBorders>
          </w:tcPr>
          <w:p w14:paraId="54A9EAD1" w14:textId="77777777" w:rsidR="006F2F19" w:rsidRPr="008E5574" w:rsidRDefault="006F2F19" w:rsidP="00546503">
            <w:pPr>
              <w:rPr>
                <w:sz w:val="21"/>
                <w:szCs w:val="21"/>
                <w:lang w:val="en-CA"/>
              </w:rPr>
            </w:pPr>
            <w:r w:rsidRPr="008E5574">
              <w:rPr>
                <w:sz w:val="21"/>
                <w:szCs w:val="21"/>
                <w:lang w:val="en-CA"/>
              </w:rPr>
              <w:t xml:space="preserve"> Total:</w:t>
            </w:r>
          </w:p>
        </w:tc>
        <w:tc>
          <w:tcPr>
            <w:tcW w:w="4230" w:type="dxa"/>
            <w:tcBorders>
              <w:bottom w:val="single" w:sz="4" w:space="0" w:color="auto"/>
            </w:tcBorders>
          </w:tcPr>
          <w:p w14:paraId="15A226CD" w14:textId="77777777" w:rsidR="006F2F19" w:rsidRPr="008E5574" w:rsidRDefault="006F2F19" w:rsidP="00546503">
            <w:pPr>
              <w:rPr>
                <w:sz w:val="21"/>
                <w:szCs w:val="21"/>
                <w:lang w:val="en-CA"/>
              </w:rPr>
            </w:pPr>
          </w:p>
        </w:tc>
      </w:tr>
    </w:tbl>
    <w:p w14:paraId="779BB7EE" w14:textId="77777777" w:rsidR="006F2F19" w:rsidRPr="008E5574" w:rsidRDefault="006F2F19" w:rsidP="006F2F19">
      <w:pPr>
        <w:rPr>
          <w:sz w:val="18"/>
          <w:szCs w:val="18"/>
          <w:lang w:val="en-CA"/>
        </w:rPr>
      </w:pPr>
      <w:r w:rsidRPr="008E5574">
        <w:rPr>
          <w:sz w:val="18"/>
          <w:szCs w:val="18"/>
          <w:lang w:val="en-CA"/>
        </w:rPr>
        <w:t>* Includes numerous small working meetings, coordination meetings, project implementation training. In some of the meetings, the cost will combine some portion of the transportations and daily subsistence allowance of participants. No international meetings would be included in this category.</w:t>
      </w:r>
    </w:p>
    <w:p w14:paraId="2BEC1D93" w14:textId="77777777" w:rsidR="006F2F19" w:rsidRPr="008E5574" w:rsidRDefault="006F2F19" w:rsidP="006F2F19">
      <w:pPr>
        <w:rPr>
          <w:sz w:val="18"/>
          <w:szCs w:val="18"/>
          <w:lang w:val="en-CA"/>
        </w:rPr>
      </w:pPr>
      <w:r w:rsidRPr="008E5574">
        <w:rPr>
          <w:sz w:val="18"/>
          <w:szCs w:val="18"/>
          <w:lang w:val="en-CA"/>
        </w:rPr>
        <w:t>** Temporary personnel and translation in addition to technical consultants.</w:t>
      </w:r>
    </w:p>
    <w:p w14:paraId="1C374A79" w14:textId="77777777" w:rsidR="006F2F19" w:rsidRPr="00B0221D" w:rsidRDefault="006F2F19" w:rsidP="006F2F19">
      <w:pPr>
        <w:rPr>
          <w:lang w:val="en-CA"/>
        </w:rPr>
      </w:pPr>
    </w:p>
    <w:p w14:paraId="1030D508" w14:textId="77777777" w:rsidR="006F2F19" w:rsidRDefault="006F2F19" w:rsidP="006F2F19">
      <w:pPr>
        <w:pStyle w:val="Heading1"/>
        <w:rPr>
          <w:lang w:val="en-CA"/>
        </w:rPr>
      </w:pPr>
      <w:r>
        <w:rPr>
          <w:lang w:val="en-CA"/>
        </w:rPr>
        <w:t xml:space="preserve">UNDP clarified that </w:t>
      </w:r>
      <w:r w:rsidRPr="008E5574">
        <w:rPr>
          <w:lang w:val="en-CA"/>
        </w:rPr>
        <w:t xml:space="preserve">disbursement to the PMU depends on the funding disbursement from agencies to FECO, as well as the project implementation progress. </w:t>
      </w:r>
      <w:r>
        <w:rPr>
          <w:lang w:val="en-CA"/>
        </w:rPr>
        <w:t>T</w:t>
      </w:r>
      <w:r w:rsidRPr="00B0221D">
        <w:rPr>
          <w:lang w:val="en-CA"/>
        </w:rPr>
        <w:t>he national implementation modality followed for the implementation of the HPMP and HPPMP</w:t>
      </w:r>
      <w:r w:rsidRPr="008E5574">
        <w:rPr>
          <w:lang w:val="en-CA"/>
        </w:rPr>
        <w:t xml:space="preserve"> allows FECO to manage the overall PMU allocation from all sectors to enhance efficiency and performance. The financial accounting system of FECO follows the law and rule of China, which could not divide PMU cost by sectors and tranches. For example, cost of central services such as financial division, procurement and legal (contract) division, general (operation) affairs division, information technology and others, are managed as a whole and could not be accounted by sectors and tranches.</w:t>
      </w:r>
    </w:p>
    <w:p w14:paraId="3C695BEA" w14:textId="77777777" w:rsidR="006F2F19" w:rsidRPr="00982DC8" w:rsidRDefault="006F2F19" w:rsidP="006F2F19">
      <w:pPr>
        <w:pStyle w:val="Heading1"/>
        <w:rPr>
          <w:lang w:val="en-CA"/>
        </w:rPr>
      </w:pPr>
      <w:r w:rsidRPr="00982DC8">
        <w:rPr>
          <w:lang w:val="en-CA"/>
        </w:rPr>
        <w:t>FECO uses the following method to determine the disbursement per sector: After the approval of each tranche of a sector plan, the relevant agency disburses funds to FECO based on milestones identified for each sector, in multiple payments as agreed. These are deposited to a special account established by FECO, from which the allocated PMU cost is disbursed to FECO’s own account when substantial progress in each respective sector has been met. As such, the PMU disbursement in each sector is not necessarily equal to the funds disbursed from the agencies to FECO, and may not relate to actual project implementation progress.</w:t>
      </w:r>
    </w:p>
    <w:p w14:paraId="30F7E8D7" w14:textId="77777777" w:rsidR="006F2F19" w:rsidRDefault="006F2F19" w:rsidP="006F2F19">
      <w:pPr>
        <w:pStyle w:val="Heading1"/>
        <w:rPr>
          <w:lang w:val="en-CA"/>
        </w:rPr>
      </w:pPr>
      <w:r>
        <w:rPr>
          <w:lang w:val="en-CA"/>
        </w:rPr>
        <w:t xml:space="preserve">UNDP </w:t>
      </w:r>
      <w:r w:rsidRPr="00B0221D">
        <w:rPr>
          <w:lang w:val="en-CA"/>
        </w:rPr>
        <w:t>further clarified that</w:t>
      </w:r>
      <w:r>
        <w:rPr>
          <w:lang w:val="en-CA"/>
        </w:rPr>
        <w:t>,</w:t>
      </w:r>
      <w:r w:rsidRPr="00B0221D">
        <w:rPr>
          <w:lang w:val="en-CA"/>
        </w:rPr>
        <w:t xml:space="preserve"> in addition to the annual report in Table 3, </w:t>
      </w:r>
      <w:r>
        <w:rPr>
          <w:lang w:val="en-CA"/>
        </w:rPr>
        <w:t>t</w:t>
      </w:r>
      <w:r w:rsidRPr="00B0221D">
        <w:rPr>
          <w:lang w:val="en-CA"/>
        </w:rPr>
        <w:t>he Government of China</w:t>
      </w:r>
      <w:r>
        <w:rPr>
          <w:lang w:val="en-CA"/>
        </w:rPr>
        <w:t xml:space="preserve"> would provide </w:t>
      </w:r>
      <w:r w:rsidRPr="00B0221D">
        <w:rPr>
          <w:lang w:val="en-CA"/>
        </w:rPr>
        <w:t xml:space="preserve">annual expenditures across sectors and stages, </w:t>
      </w:r>
      <w:r>
        <w:rPr>
          <w:lang w:val="en-CA"/>
        </w:rPr>
        <w:t xml:space="preserve">and </w:t>
      </w:r>
      <w:r w:rsidRPr="00B0221D">
        <w:rPr>
          <w:lang w:val="en-CA"/>
        </w:rPr>
        <w:t>disbursement for the PMU for each sector</w:t>
      </w:r>
      <w:r>
        <w:rPr>
          <w:lang w:val="en-CA"/>
        </w:rPr>
        <w:t xml:space="preserve"> separately</w:t>
      </w:r>
      <w:r w:rsidRPr="00B0221D">
        <w:rPr>
          <w:lang w:val="en-CA"/>
        </w:rPr>
        <w:t xml:space="preserve">, as part of the tranche implementation reports. </w:t>
      </w:r>
    </w:p>
    <w:p w14:paraId="31AC48DD" w14:textId="77777777" w:rsidR="006F2F19" w:rsidRPr="008E5574" w:rsidRDefault="006F2F19" w:rsidP="006F2F19">
      <w:pPr>
        <w:rPr>
          <w:u w:val="single"/>
          <w:lang w:val="en-CA"/>
        </w:rPr>
      </w:pPr>
      <w:r w:rsidRPr="008E5574">
        <w:rPr>
          <w:u w:val="single"/>
          <w:lang w:val="en-CA"/>
        </w:rPr>
        <w:t xml:space="preserve">Discussion </w:t>
      </w:r>
    </w:p>
    <w:p w14:paraId="39740813" w14:textId="77777777" w:rsidR="006F2F19" w:rsidRPr="008E5574" w:rsidRDefault="006F2F19" w:rsidP="006F2F19">
      <w:pPr>
        <w:rPr>
          <w:lang w:val="en-CA"/>
        </w:rPr>
      </w:pPr>
    </w:p>
    <w:p w14:paraId="336686D0" w14:textId="77777777" w:rsidR="006F2F19" w:rsidRPr="00B0221D" w:rsidRDefault="006F2F19" w:rsidP="006F2F19">
      <w:pPr>
        <w:pStyle w:val="Heading1"/>
        <w:rPr>
          <w:lang w:val="en-CA"/>
        </w:rPr>
      </w:pPr>
      <w:r w:rsidRPr="00B0221D">
        <w:rPr>
          <w:lang w:val="en-CA"/>
        </w:rPr>
        <w:t>The Secretariat notes the challenge in developing a methodology to allocate certain shared costs to specific sectors</w:t>
      </w:r>
      <w:r>
        <w:rPr>
          <w:lang w:val="en-CA"/>
        </w:rPr>
        <w:t xml:space="preserve">, </w:t>
      </w:r>
      <w:r w:rsidRPr="00B0221D">
        <w:rPr>
          <w:lang w:val="en-CA"/>
        </w:rPr>
        <w:t>such as communication (e.g., phone, internet, mailings</w:t>
      </w:r>
      <w:r>
        <w:rPr>
          <w:lang w:val="en-CA"/>
        </w:rPr>
        <w:t xml:space="preserve">); </w:t>
      </w:r>
      <w:r w:rsidRPr="00B0221D">
        <w:rPr>
          <w:lang w:val="en-CA"/>
        </w:rPr>
        <w:t>building operation, office facilities, computers, equipment and maintenance</w:t>
      </w:r>
      <w:r>
        <w:rPr>
          <w:lang w:val="en-CA"/>
        </w:rPr>
        <w:t>;</w:t>
      </w:r>
      <w:r w:rsidRPr="00B0221D">
        <w:rPr>
          <w:lang w:val="en-CA"/>
        </w:rPr>
        <w:t xml:space="preserve"> and apportioned supporting staff (e.g., financial division, division of contract management, general affairs division). Noting that considerable effort would be required in developing a methodology to allocate such costs transparently, and i</w:t>
      </w:r>
      <w:r>
        <w:rPr>
          <w:lang w:val="en-CA"/>
        </w:rPr>
        <w:t>s</w:t>
      </w:r>
      <w:r w:rsidRPr="00B0221D">
        <w:rPr>
          <w:lang w:val="en-CA"/>
        </w:rPr>
        <w:t xml:space="preserve"> unlikely to provide the Executive Committee with relevant new information, the Secretariat therefore concurs with the Government of China not to include it in the reporting template. </w:t>
      </w:r>
    </w:p>
    <w:p w14:paraId="7F4E9F18" w14:textId="77777777" w:rsidR="006F2F19" w:rsidRPr="00B0221D" w:rsidRDefault="006F2F19" w:rsidP="006F2F19">
      <w:pPr>
        <w:pStyle w:val="Heading1"/>
        <w:rPr>
          <w:lang w:val="en-CA"/>
        </w:rPr>
      </w:pPr>
      <w:r w:rsidRPr="0073446F">
        <w:rPr>
          <w:lang w:val="en-CA"/>
        </w:rPr>
        <w:t xml:space="preserve">In contrast, a methodology of apportioning other costs to sectors could be developed. For example, project staff are generally hired to work on one or a limited number of sectors. Similarly, international or domestic travels and meetings are </w:t>
      </w:r>
      <w:r>
        <w:rPr>
          <w:lang w:val="en-CA"/>
        </w:rPr>
        <w:t>usually</w:t>
      </w:r>
      <w:r w:rsidRPr="0073446F">
        <w:rPr>
          <w:lang w:val="en-CA"/>
        </w:rPr>
        <w:t xml:space="preserve"> planned for specific sectors</w:t>
      </w:r>
      <w:r>
        <w:rPr>
          <w:lang w:val="en-CA"/>
        </w:rPr>
        <w:t xml:space="preserve">. Where meetings address several sectors, </w:t>
      </w:r>
      <w:r w:rsidRPr="0073446F">
        <w:rPr>
          <w:lang w:val="en-CA"/>
        </w:rPr>
        <w:t>the participation of the sector-based staff could still be identified</w:t>
      </w:r>
      <w:r>
        <w:rPr>
          <w:lang w:val="en-CA"/>
        </w:rPr>
        <w:t xml:space="preserve">. Similarly, a </w:t>
      </w:r>
      <w:r w:rsidRPr="0073446F">
        <w:rPr>
          <w:lang w:val="en-CA"/>
        </w:rPr>
        <w:t>technical consultant undertakes a financial and technical verification for a specific sector.</w:t>
      </w:r>
      <w:r>
        <w:rPr>
          <w:lang w:val="en-CA"/>
        </w:rPr>
        <w:t xml:space="preserve"> Such </w:t>
      </w:r>
      <w:r w:rsidRPr="00B0221D">
        <w:rPr>
          <w:lang w:val="en-CA"/>
        </w:rPr>
        <w:t xml:space="preserve">costs could then be apportioned </w:t>
      </w:r>
      <w:r>
        <w:rPr>
          <w:lang w:val="en-CA"/>
        </w:rPr>
        <w:t xml:space="preserve">by </w:t>
      </w:r>
      <w:r w:rsidRPr="00B0221D">
        <w:rPr>
          <w:lang w:val="en-CA"/>
        </w:rPr>
        <w:t>sector.</w:t>
      </w:r>
      <w:r>
        <w:rPr>
          <w:lang w:val="en-CA"/>
        </w:rPr>
        <w:t xml:space="preserve"> </w:t>
      </w:r>
      <w:r w:rsidRPr="00B0221D">
        <w:rPr>
          <w:lang w:val="en-CA"/>
        </w:rPr>
        <w:t xml:space="preserve">While such reporting may entail additional effort on the part of both the Government the agencies, providing a </w:t>
      </w:r>
      <w:r>
        <w:rPr>
          <w:lang w:val="en-CA"/>
        </w:rPr>
        <w:t xml:space="preserve">more </w:t>
      </w:r>
      <w:r w:rsidRPr="00B0221D">
        <w:rPr>
          <w:lang w:val="en-CA"/>
        </w:rPr>
        <w:t xml:space="preserve">detailed report on the disbursements for the PMU </w:t>
      </w:r>
      <w:r>
        <w:rPr>
          <w:lang w:val="en-CA"/>
        </w:rPr>
        <w:t xml:space="preserve">would be </w:t>
      </w:r>
      <w:r w:rsidRPr="00B0221D">
        <w:rPr>
          <w:lang w:val="en-CA"/>
        </w:rPr>
        <w:t xml:space="preserve">necessary to ensure fiduciary </w:t>
      </w:r>
      <w:r w:rsidRPr="00B0221D">
        <w:rPr>
          <w:lang w:val="en-CA"/>
        </w:rPr>
        <w:lastRenderedPageBreak/>
        <w:t xml:space="preserve">responsibility and accountability. This reporting is also consistent with the reporting requirements contained in the </w:t>
      </w:r>
      <w:r>
        <w:rPr>
          <w:lang w:val="en-CA"/>
        </w:rPr>
        <w:t xml:space="preserve">respective </w:t>
      </w:r>
      <w:r w:rsidRPr="00B0221D">
        <w:rPr>
          <w:lang w:val="en-CA"/>
        </w:rPr>
        <w:t>agreement</w:t>
      </w:r>
      <w:r>
        <w:rPr>
          <w:lang w:val="en-CA"/>
        </w:rPr>
        <w:t>s</w:t>
      </w:r>
      <w:r w:rsidRPr="00B0221D">
        <w:rPr>
          <w:lang w:val="en-CA"/>
        </w:rPr>
        <w:t xml:space="preserve"> for the HPMP and HPPMP</w:t>
      </w:r>
      <w:r>
        <w:rPr>
          <w:lang w:val="en-CA"/>
        </w:rPr>
        <w:t>.</w:t>
      </w:r>
    </w:p>
    <w:p w14:paraId="063A4B24" w14:textId="77777777" w:rsidR="006F2F19" w:rsidRDefault="006F2F19" w:rsidP="006F2F19">
      <w:pPr>
        <w:pStyle w:val="Heading1"/>
        <w:rPr>
          <w:lang w:val="en-CA"/>
        </w:rPr>
      </w:pPr>
      <w:r>
        <w:rPr>
          <w:lang w:val="en-CA"/>
        </w:rPr>
        <w:t>T</w:t>
      </w:r>
      <w:r w:rsidRPr="00B0221D">
        <w:rPr>
          <w:lang w:val="en-CA"/>
        </w:rPr>
        <w:t xml:space="preserve">he Secretariat further noted that one of the limitations of reporting disbursements for the PMU on a sector basis is the </w:t>
      </w:r>
      <w:r>
        <w:rPr>
          <w:lang w:val="en-CA"/>
        </w:rPr>
        <w:t xml:space="preserve">absence </w:t>
      </w:r>
      <w:r w:rsidRPr="00B0221D">
        <w:rPr>
          <w:lang w:val="en-CA"/>
        </w:rPr>
        <w:t xml:space="preserve">of a work and financial plan for the PMU </w:t>
      </w:r>
      <w:r>
        <w:rPr>
          <w:lang w:val="en-CA"/>
        </w:rPr>
        <w:t xml:space="preserve">budget allocations </w:t>
      </w:r>
      <w:r w:rsidRPr="00B0221D">
        <w:rPr>
          <w:lang w:val="en-CA"/>
        </w:rPr>
        <w:t>that would be the foundation for such expenditure reports.</w:t>
      </w:r>
      <w:r>
        <w:rPr>
          <w:lang w:val="en-CA"/>
        </w:rPr>
        <w:t xml:space="preserve"> Such a work and financial plan would provide the basis against which the reported expenditures could be compared, </w:t>
      </w:r>
      <w:r w:rsidRPr="00B0221D">
        <w:rPr>
          <w:lang w:val="en-CA"/>
        </w:rPr>
        <w:t>facilitating a m</w:t>
      </w:r>
      <w:r>
        <w:rPr>
          <w:lang w:val="en-CA"/>
        </w:rPr>
        <w:t>ore efficient reporting process</w:t>
      </w:r>
      <w:r w:rsidRPr="00B0221D">
        <w:rPr>
          <w:lang w:val="en-CA"/>
        </w:rPr>
        <w:t xml:space="preserve"> for any financial reporting format that may be agreed.</w:t>
      </w:r>
    </w:p>
    <w:p w14:paraId="05615B74" w14:textId="77777777" w:rsidR="006F2F19" w:rsidRPr="00B0221D" w:rsidRDefault="006F2F19" w:rsidP="006F2F19">
      <w:pPr>
        <w:pStyle w:val="Heading1"/>
        <w:rPr>
          <w:lang w:val="en-CA"/>
        </w:rPr>
      </w:pPr>
      <w:r>
        <w:rPr>
          <w:lang w:val="en-CA"/>
        </w:rPr>
        <w:t>T</w:t>
      </w:r>
      <w:r w:rsidRPr="00B0221D">
        <w:rPr>
          <w:lang w:val="en-CA"/>
        </w:rPr>
        <w:t>he Secretariat also observed that each bilateral and implementing agency appear to have different reporting requirements for the PMU costs per sector</w:t>
      </w:r>
      <w:r>
        <w:rPr>
          <w:lang w:val="en-CA"/>
        </w:rPr>
        <w:t xml:space="preserve"> (e.g., </w:t>
      </w:r>
      <w:r w:rsidRPr="00B0221D">
        <w:rPr>
          <w:lang w:val="en-CA"/>
        </w:rPr>
        <w:t xml:space="preserve">one agency requires only a reporting of the overall cost without details, while others </w:t>
      </w:r>
      <w:r>
        <w:rPr>
          <w:lang w:val="en-CA"/>
        </w:rPr>
        <w:t xml:space="preserve">may </w:t>
      </w:r>
      <w:r w:rsidRPr="00B0221D">
        <w:rPr>
          <w:lang w:val="en-CA"/>
        </w:rPr>
        <w:t>have particular information that need</w:t>
      </w:r>
      <w:r>
        <w:rPr>
          <w:lang w:val="en-CA"/>
        </w:rPr>
        <w:t>s</w:t>
      </w:r>
      <w:r w:rsidRPr="00B0221D">
        <w:rPr>
          <w:lang w:val="en-CA"/>
        </w:rPr>
        <w:t xml:space="preserve"> to be submitted</w:t>
      </w:r>
      <w:r>
        <w:rPr>
          <w:lang w:val="en-CA"/>
        </w:rPr>
        <w:t>)</w:t>
      </w:r>
      <w:r w:rsidRPr="00B0221D">
        <w:rPr>
          <w:lang w:val="en-CA"/>
        </w:rPr>
        <w:t>.</w:t>
      </w:r>
      <w:r>
        <w:rPr>
          <w:lang w:val="en-CA"/>
        </w:rPr>
        <w:t xml:space="preserve"> </w:t>
      </w:r>
      <w:r w:rsidRPr="00B0221D">
        <w:rPr>
          <w:lang w:val="en-CA"/>
        </w:rPr>
        <w:t xml:space="preserve">This </w:t>
      </w:r>
      <w:r>
        <w:rPr>
          <w:lang w:val="en-CA"/>
        </w:rPr>
        <w:t>in</w:t>
      </w:r>
      <w:r w:rsidRPr="00B0221D">
        <w:rPr>
          <w:lang w:val="en-CA"/>
        </w:rPr>
        <w:t xml:space="preserve">consistency in reporting </w:t>
      </w:r>
      <w:r>
        <w:rPr>
          <w:lang w:val="en-CA"/>
        </w:rPr>
        <w:t xml:space="preserve">PMU </w:t>
      </w:r>
      <w:r w:rsidRPr="00B0221D">
        <w:rPr>
          <w:lang w:val="en-CA"/>
        </w:rPr>
        <w:t xml:space="preserve">costs to the agencies </w:t>
      </w:r>
      <w:r>
        <w:rPr>
          <w:lang w:val="en-CA"/>
        </w:rPr>
        <w:t xml:space="preserve">could have implications in the mandatory </w:t>
      </w:r>
      <w:r w:rsidRPr="00B0221D">
        <w:rPr>
          <w:lang w:val="en-CA"/>
        </w:rPr>
        <w:t>audited report on income and expenditures</w:t>
      </w:r>
      <w:r>
        <w:rPr>
          <w:lang w:val="en-CA"/>
        </w:rPr>
        <w:t xml:space="preserve"> that the agencies provide to the Executive Committee through the Treasurer of the Multilateral Fund</w:t>
      </w:r>
      <w:r w:rsidRPr="00B0221D">
        <w:rPr>
          <w:lang w:val="en-CA"/>
        </w:rPr>
        <w:t xml:space="preserve">. There may therefore be a need for agencies to amend their agreements with the Government of China to ensure an appropriate level of detail in reporting on PMU disbursement and expenditures. </w:t>
      </w:r>
    </w:p>
    <w:p w14:paraId="02FE2D89" w14:textId="77777777" w:rsidR="006F2F19" w:rsidRPr="00B0221D" w:rsidRDefault="006F2F19" w:rsidP="006F2F19">
      <w:pPr>
        <w:pStyle w:val="Heading1"/>
        <w:rPr>
          <w:lang w:val="en-CA"/>
        </w:rPr>
      </w:pPr>
      <w:r>
        <w:rPr>
          <w:lang w:val="en-CA"/>
        </w:rPr>
        <w:t xml:space="preserve">During the comprehensive discussions on the issue of the PMU, relevant agencies provided additional information on disbursements to the PMUs of sector plans, and some </w:t>
      </w:r>
      <w:r w:rsidRPr="00B0221D">
        <w:rPr>
          <w:lang w:val="en-CA"/>
        </w:rPr>
        <w:t xml:space="preserve">inadvertent inconsistencies </w:t>
      </w:r>
      <w:r>
        <w:rPr>
          <w:lang w:val="en-CA"/>
        </w:rPr>
        <w:t>with disbursements previously reported, as well as other relevant observations are noted below</w:t>
      </w:r>
      <w:r w:rsidRPr="00B0221D">
        <w:rPr>
          <w:lang w:val="en-CA"/>
        </w:rPr>
        <w:t xml:space="preserve">: </w:t>
      </w:r>
    </w:p>
    <w:p w14:paraId="6C25A3AE" w14:textId="77777777" w:rsidR="006F2F19" w:rsidRPr="00B0221D" w:rsidRDefault="006F2F19" w:rsidP="006F2F19">
      <w:pPr>
        <w:pStyle w:val="Heading2"/>
        <w:numPr>
          <w:ilvl w:val="1"/>
          <w:numId w:val="1"/>
        </w:numPr>
        <w:rPr>
          <w:lang w:val="en-CA"/>
        </w:rPr>
      </w:pPr>
      <w:r>
        <w:rPr>
          <w:lang w:val="en-CA"/>
        </w:rPr>
        <w:t>A</w:t>
      </w:r>
      <w:r w:rsidRPr="00B0221D">
        <w:rPr>
          <w:lang w:val="en-CA"/>
        </w:rPr>
        <w:t>t the 79</w:t>
      </w:r>
      <w:r w:rsidRPr="00B0221D">
        <w:rPr>
          <w:vertAlign w:val="superscript"/>
          <w:lang w:val="en-CA"/>
        </w:rPr>
        <w:t>th</w:t>
      </w:r>
      <w:r>
        <w:rPr>
          <w:lang w:val="en-CA"/>
        </w:rPr>
        <w:t> meeting</w:t>
      </w:r>
      <w:r w:rsidRPr="00B0221D">
        <w:rPr>
          <w:lang w:val="en-CA"/>
        </w:rPr>
        <w:t xml:space="preserve">, </w:t>
      </w:r>
      <w:r>
        <w:rPr>
          <w:lang w:val="en-CA"/>
        </w:rPr>
        <w:t xml:space="preserve">it was reported a </w:t>
      </w:r>
      <w:r w:rsidRPr="00B0221D">
        <w:rPr>
          <w:lang w:val="en-CA"/>
        </w:rPr>
        <w:t xml:space="preserve">disbursement </w:t>
      </w:r>
      <w:r>
        <w:rPr>
          <w:lang w:val="en-CA"/>
        </w:rPr>
        <w:t>US $</w:t>
      </w:r>
      <w:r w:rsidRPr="00B0221D">
        <w:rPr>
          <w:lang w:val="en-CA"/>
        </w:rPr>
        <w:t xml:space="preserve">4.75 million for the PMU for the </w:t>
      </w:r>
      <w:r>
        <w:rPr>
          <w:lang w:val="en-CA"/>
        </w:rPr>
        <w:t>stage </w:t>
      </w:r>
      <w:r w:rsidRPr="00B0221D">
        <w:rPr>
          <w:lang w:val="en-CA"/>
        </w:rPr>
        <w:t>I of the HPPMP as of 1 May 2017. It was subsequently clarified that as of August</w:t>
      </w:r>
      <w:r>
        <w:rPr>
          <w:lang w:val="en-CA"/>
        </w:rPr>
        <w:t> </w:t>
      </w:r>
      <w:r w:rsidRPr="00B0221D">
        <w:rPr>
          <w:lang w:val="en-CA"/>
        </w:rPr>
        <w:t xml:space="preserve">2017, </w:t>
      </w:r>
      <w:r>
        <w:rPr>
          <w:lang w:val="en-CA"/>
        </w:rPr>
        <w:t>US $</w:t>
      </w:r>
      <w:r w:rsidRPr="00B0221D">
        <w:rPr>
          <w:lang w:val="en-CA"/>
        </w:rPr>
        <w:t>4.51</w:t>
      </w:r>
      <w:r>
        <w:rPr>
          <w:lang w:val="en-CA"/>
        </w:rPr>
        <w:t> </w:t>
      </w:r>
      <w:r w:rsidRPr="00B0221D">
        <w:rPr>
          <w:lang w:val="en-CA"/>
        </w:rPr>
        <w:t xml:space="preserve">million had been disbursed, and that the last disbursement of </w:t>
      </w:r>
      <w:r>
        <w:rPr>
          <w:lang w:val="en-CA"/>
        </w:rPr>
        <w:t>US </w:t>
      </w:r>
      <w:r w:rsidRPr="00B0221D">
        <w:rPr>
          <w:lang w:val="en-CA"/>
        </w:rPr>
        <w:t xml:space="preserve">$240,000 was made in September 2017, bringing the total disbursement to </w:t>
      </w:r>
      <w:r>
        <w:rPr>
          <w:lang w:val="en-CA"/>
        </w:rPr>
        <w:t>US $</w:t>
      </w:r>
      <w:r w:rsidRPr="00B0221D">
        <w:rPr>
          <w:lang w:val="en-CA"/>
        </w:rPr>
        <w:t>4.75</w:t>
      </w:r>
      <w:r>
        <w:rPr>
          <w:lang w:val="en-CA"/>
        </w:rPr>
        <w:t> </w:t>
      </w:r>
      <w:r w:rsidRPr="00B0221D">
        <w:rPr>
          <w:lang w:val="en-CA"/>
        </w:rPr>
        <w:t>million as reported the 80</w:t>
      </w:r>
      <w:r w:rsidRPr="00B0221D">
        <w:rPr>
          <w:vertAlign w:val="superscript"/>
          <w:lang w:val="en-CA"/>
        </w:rPr>
        <w:t>th</w:t>
      </w:r>
      <w:r>
        <w:rPr>
          <w:lang w:val="en-CA"/>
        </w:rPr>
        <w:t> meeting</w:t>
      </w:r>
      <w:r w:rsidRPr="00B0221D">
        <w:rPr>
          <w:lang w:val="en-CA"/>
        </w:rPr>
        <w:t xml:space="preserve">. Similarly, the progress report for the implementation of the first tranche of the RAC sector submitted to the </w:t>
      </w:r>
      <w:r>
        <w:rPr>
          <w:lang w:val="en-CA"/>
        </w:rPr>
        <w:t>81</w:t>
      </w:r>
      <w:r w:rsidRPr="006C18B5">
        <w:rPr>
          <w:vertAlign w:val="superscript"/>
          <w:lang w:val="en-CA"/>
        </w:rPr>
        <w:t>st</w:t>
      </w:r>
      <w:r>
        <w:rPr>
          <w:lang w:val="en-CA"/>
        </w:rPr>
        <w:t xml:space="preserve"> </w:t>
      </w:r>
      <w:r w:rsidRPr="00B0221D">
        <w:rPr>
          <w:lang w:val="en-CA"/>
        </w:rPr>
        <w:t xml:space="preserve">meeting had indicated that </w:t>
      </w:r>
      <w:r>
        <w:rPr>
          <w:lang w:val="en-CA"/>
        </w:rPr>
        <w:t>US $</w:t>
      </w:r>
      <w:r w:rsidRPr="00B0221D">
        <w:rPr>
          <w:lang w:val="en-CA"/>
        </w:rPr>
        <w:t>243,268 would be disbursed in May 2018</w:t>
      </w:r>
      <w:r>
        <w:rPr>
          <w:lang w:val="en-CA"/>
        </w:rPr>
        <w:t xml:space="preserve">; </w:t>
      </w:r>
      <w:r w:rsidRPr="00B0221D">
        <w:rPr>
          <w:lang w:val="en-CA"/>
        </w:rPr>
        <w:t xml:space="preserve">information provided </w:t>
      </w:r>
      <w:r>
        <w:rPr>
          <w:lang w:val="en-CA"/>
        </w:rPr>
        <w:t xml:space="preserve">subsequently indicated the disbursement had been made </w:t>
      </w:r>
      <w:r w:rsidRPr="00B0221D">
        <w:rPr>
          <w:lang w:val="en-CA"/>
        </w:rPr>
        <w:t>by December 2017</w:t>
      </w:r>
      <w:r>
        <w:rPr>
          <w:lang w:val="en-CA"/>
        </w:rPr>
        <w:t>; it</w:t>
      </w:r>
      <w:r w:rsidRPr="00FC1FD8">
        <w:rPr>
          <w:lang w:val="en-CA"/>
        </w:rPr>
        <w:t xml:space="preserve"> was subsequently clarified that this disbursement took place after the submission the progress report but before 30 March 2018.</w:t>
      </w:r>
      <w:r>
        <w:rPr>
          <w:lang w:val="en-CA"/>
        </w:rPr>
        <w:t xml:space="preserve"> </w:t>
      </w:r>
      <w:r w:rsidRPr="00B0221D" w:rsidDel="00830D37">
        <w:rPr>
          <w:lang w:val="en-CA"/>
        </w:rPr>
        <w:t>More detailed sector-specific reporting may help avoid such inadvertent inconsistencies in the future;</w:t>
      </w:r>
      <w:r w:rsidRPr="00B0221D">
        <w:rPr>
          <w:lang w:val="en-CA"/>
        </w:rPr>
        <w:t xml:space="preserve"> </w:t>
      </w:r>
    </w:p>
    <w:p w14:paraId="7B052BEB" w14:textId="77777777" w:rsidR="006F2F19" w:rsidRPr="00B0221D" w:rsidRDefault="006F2F19" w:rsidP="006F2F19">
      <w:pPr>
        <w:pStyle w:val="Heading2"/>
        <w:numPr>
          <w:ilvl w:val="1"/>
          <w:numId w:val="1"/>
        </w:numPr>
        <w:rPr>
          <w:lang w:val="en-CA"/>
        </w:rPr>
      </w:pPr>
      <w:r>
        <w:rPr>
          <w:lang w:val="en-CA"/>
        </w:rPr>
        <w:t>I</w:t>
      </w:r>
      <w:r w:rsidRPr="00B0221D">
        <w:rPr>
          <w:lang w:val="en-CA"/>
        </w:rPr>
        <w:t xml:space="preserve">n line with </w:t>
      </w:r>
      <w:r>
        <w:rPr>
          <w:lang w:val="en-CA"/>
        </w:rPr>
        <w:t>decision </w:t>
      </w:r>
      <w:r w:rsidRPr="00B0221D">
        <w:rPr>
          <w:lang w:val="en-CA"/>
        </w:rPr>
        <w:t>80/66(d)(</w:t>
      </w:r>
      <w:proofErr w:type="spellStart"/>
      <w:r w:rsidRPr="00B0221D">
        <w:rPr>
          <w:lang w:val="en-CA"/>
        </w:rPr>
        <w:t>i</w:t>
      </w:r>
      <w:proofErr w:type="spellEnd"/>
      <w:r w:rsidRPr="00B0221D">
        <w:rPr>
          <w:lang w:val="en-CA"/>
        </w:rPr>
        <w:t xml:space="preserve">), the Treasurer transferred the second tranche of the </w:t>
      </w:r>
      <w:r>
        <w:rPr>
          <w:lang w:val="en-CA"/>
        </w:rPr>
        <w:t>stage </w:t>
      </w:r>
      <w:r w:rsidRPr="00B0221D">
        <w:rPr>
          <w:lang w:val="en-CA"/>
        </w:rPr>
        <w:t>II of the XPS foam sector to UNIDO and offset the costs associated with the bilateral component by the Government of Germany given the confirmation received by the Secretariat that 20</w:t>
      </w:r>
      <w:r>
        <w:rPr>
          <w:lang w:val="en-CA"/>
        </w:rPr>
        <w:t> per cent</w:t>
      </w:r>
      <w:r w:rsidRPr="00B0221D">
        <w:rPr>
          <w:lang w:val="en-CA"/>
        </w:rPr>
        <w:t xml:space="preserve"> disbursement threshold of the first tranche of the XPS foam sector had been achieved. </w:t>
      </w:r>
      <w:r>
        <w:rPr>
          <w:lang w:val="en-CA"/>
        </w:rPr>
        <w:t>T</w:t>
      </w:r>
      <w:r w:rsidRPr="00B0221D">
        <w:rPr>
          <w:lang w:val="en-CA"/>
        </w:rPr>
        <w:t>he 20</w:t>
      </w:r>
      <w:r>
        <w:rPr>
          <w:lang w:val="en-CA"/>
        </w:rPr>
        <w:t> per cent</w:t>
      </w:r>
      <w:r w:rsidRPr="00B0221D">
        <w:rPr>
          <w:lang w:val="en-CA"/>
        </w:rPr>
        <w:t xml:space="preserve"> disbursement would not have been achieved absent the reported disbursement to the PMU for the sector, reinforcing the importance of sector-specific reporting</w:t>
      </w:r>
      <w:r>
        <w:rPr>
          <w:lang w:val="en-CA"/>
        </w:rPr>
        <w:t>;</w:t>
      </w:r>
      <w:r w:rsidRPr="00B0221D">
        <w:rPr>
          <w:lang w:val="en-CA"/>
        </w:rPr>
        <w:t xml:space="preserve"> </w:t>
      </w:r>
    </w:p>
    <w:p w14:paraId="1072C1E5" w14:textId="77777777" w:rsidR="006F2F19" w:rsidRPr="00B0221D" w:rsidRDefault="006F2F19" w:rsidP="006F2F19">
      <w:pPr>
        <w:pStyle w:val="Heading2"/>
        <w:numPr>
          <w:ilvl w:val="1"/>
          <w:numId w:val="1"/>
        </w:numPr>
        <w:rPr>
          <w:lang w:val="en-CA"/>
        </w:rPr>
      </w:pPr>
      <w:r w:rsidRPr="00B0221D">
        <w:rPr>
          <w:lang w:val="en-CA"/>
        </w:rPr>
        <w:t xml:space="preserve">As of September 2017, all the funding allocated to the PMU for </w:t>
      </w:r>
      <w:r>
        <w:rPr>
          <w:lang w:val="en-CA"/>
        </w:rPr>
        <w:t>stage </w:t>
      </w:r>
      <w:r w:rsidRPr="00B0221D">
        <w:rPr>
          <w:lang w:val="en-CA"/>
        </w:rPr>
        <w:t xml:space="preserve">I of the HPPMP had been disbursed. Since that time, the PMU has continued to undertake its (valuable) work notwithstanding that no funds were available. The World Bank clarified that FECO provided its own funding to support the operation of the PMU in 2018, which would be reimbursed once </w:t>
      </w:r>
      <w:r>
        <w:rPr>
          <w:lang w:val="en-CA"/>
        </w:rPr>
        <w:t>stage </w:t>
      </w:r>
      <w:r w:rsidRPr="00B0221D">
        <w:rPr>
          <w:lang w:val="en-CA"/>
        </w:rPr>
        <w:t xml:space="preserve">II </w:t>
      </w:r>
      <w:r>
        <w:rPr>
          <w:lang w:val="en-CA"/>
        </w:rPr>
        <w:t xml:space="preserve">of the </w:t>
      </w:r>
      <w:r w:rsidRPr="00B0221D">
        <w:rPr>
          <w:lang w:val="en-CA"/>
        </w:rPr>
        <w:t xml:space="preserve">HPPMP is approved. This suggests that the level of reimbursement could be determined based on the activities undertaken </w:t>
      </w:r>
      <w:r>
        <w:rPr>
          <w:lang w:val="en-CA"/>
        </w:rPr>
        <w:t>in the sector; and</w:t>
      </w:r>
    </w:p>
    <w:p w14:paraId="1D853AD8" w14:textId="77777777" w:rsidR="006F2F19" w:rsidRPr="00B0221D" w:rsidRDefault="006F2F19" w:rsidP="006F2F19">
      <w:pPr>
        <w:pStyle w:val="Heading2"/>
        <w:keepNext/>
        <w:keepLines/>
        <w:numPr>
          <w:ilvl w:val="1"/>
          <w:numId w:val="1"/>
        </w:numPr>
        <w:rPr>
          <w:lang w:val="en-CA"/>
        </w:rPr>
      </w:pPr>
      <w:r>
        <w:rPr>
          <w:lang w:val="en-CA"/>
        </w:rPr>
        <w:lastRenderedPageBreak/>
        <w:t>F</w:t>
      </w:r>
      <w:r w:rsidRPr="00B0221D">
        <w:rPr>
          <w:lang w:val="en-CA"/>
        </w:rPr>
        <w:t>unds used to support industrial associations</w:t>
      </w:r>
      <w:r>
        <w:rPr>
          <w:lang w:val="en-CA"/>
        </w:rPr>
        <w:t xml:space="preserve"> </w:t>
      </w:r>
      <w:r w:rsidRPr="00B0221D">
        <w:rPr>
          <w:lang w:val="en-CA"/>
        </w:rPr>
        <w:t>may have not been reported consistently</w:t>
      </w:r>
      <w:r>
        <w:rPr>
          <w:lang w:val="en-CA"/>
        </w:rPr>
        <w:t>, sometimes as technical assistance and other times as part of project management</w:t>
      </w:r>
      <w:r w:rsidRPr="00B0221D">
        <w:rPr>
          <w:lang w:val="en-CA"/>
        </w:rPr>
        <w:t xml:space="preserve">. </w:t>
      </w:r>
      <w:r>
        <w:rPr>
          <w:lang w:val="en-CA"/>
        </w:rPr>
        <w:t>It has been clarified that t</w:t>
      </w:r>
      <w:r w:rsidRPr="00B0221D">
        <w:rPr>
          <w:lang w:val="en-CA"/>
        </w:rPr>
        <w:t xml:space="preserve">he Government considers support to the industrial associations as technical </w:t>
      </w:r>
      <w:r>
        <w:rPr>
          <w:lang w:val="en-CA"/>
        </w:rPr>
        <w:t xml:space="preserve">assistance </w:t>
      </w:r>
      <w:r w:rsidRPr="00B0221D">
        <w:rPr>
          <w:lang w:val="en-CA"/>
        </w:rPr>
        <w:t>and will henceforth report it as such</w:t>
      </w:r>
      <w:r>
        <w:rPr>
          <w:lang w:val="en-CA"/>
        </w:rPr>
        <w:t xml:space="preserve">. This reporting allocation may be of relevance when considering administrative costs. </w:t>
      </w:r>
    </w:p>
    <w:p w14:paraId="1B2F4358" w14:textId="77777777" w:rsidR="006F2F19" w:rsidRDefault="006F2F19" w:rsidP="006F2F19">
      <w:pPr>
        <w:pStyle w:val="Heading1"/>
        <w:rPr>
          <w:lang w:val="en-CA"/>
        </w:rPr>
      </w:pPr>
      <w:r>
        <w:rPr>
          <w:lang w:val="en-CA"/>
        </w:rPr>
        <w:t xml:space="preserve">Based on the substantive discussions with bilateral and implementing agencies, the above considerations, and using the financial reporting format for the PMU proposed by the Government, the Secretariat proposed </w:t>
      </w:r>
      <w:r w:rsidRPr="00B0221D">
        <w:rPr>
          <w:lang w:val="en-CA"/>
        </w:rPr>
        <w:t xml:space="preserve">a </w:t>
      </w:r>
      <w:r>
        <w:rPr>
          <w:lang w:val="en-CA"/>
        </w:rPr>
        <w:t xml:space="preserve">draft </w:t>
      </w:r>
      <w:r w:rsidRPr="00B0221D">
        <w:rPr>
          <w:lang w:val="en-CA"/>
        </w:rPr>
        <w:t xml:space="preserve">reporting format </w:t>
      </w:r>
      <w:r>
        <w:rPr>
          <w:lang w:val="en-CA"/>
        </w:rPr>
        <w:t xml:space="preserve">for the PMU, as </w:t>
      </w:r>
      <w:r w:rsidRPr="00B0221D">
        <w:rPr>
          <w:lang w:val="en-CA"/>
        </w:rPr>
        <w:t>contained in Annex</w:t>
      </w:r>
      <w:r>
        <w:rPr>
          <w:lang w:val="en-CA"/>
        </w:rPr>
        <w:t xml:space="preserve"> I to </w:t>
      </w:r>
      <w:r w:rsidRPr="00B0221D">
        <w:rPr>
          <w:lang w:val="en-CA"/>
        </w:rPr>
        <w:t>the present document</w:t>
      </w:r>
      <w:r>
        <w:rPr>
          <w:lang w:val="en-CA"/>
        </w:rPr>
        <w:t>. This format</w:t>
      </w:r>
      <w:r w:rsidRPr="00B0221D">
        <w:rPr>
          <w:lang w:val="en-CA"/>
        </w:rPr>
        <w:t xml:space="preserve"> is proposed to be used for both </w:t>
      </w:r>
      <w:r>
        <w:rPr>
          <w:lang w:val="en-CA"/>
        </w:rPr>
        <w:t>stage </w:t>
      </w:r>
      <w:r w:rsidRPr="00B0221D">
        <w:rPr>
          <w:lang w:val="en-CA"/>
        </w:rPr>
        <w:t xml:space="preserve">I and </w:t>
      </w:r>
      <w:r>
        <w:rPr>
          <w:lang w:val="en-CA"/>
        </w:rPr>
        <w:t>stage </w:t>
      </w:r>
      <w:r w:rsidRPr="00B0221D">
        <w:rPr>
          <w:lang w:val="en-CA"/>
        </w:rPr>
        <w:t>II of the HPMP and HPPMP, where PMU expenditures would be reported separately for each stage, and the format would be filled by the agencies annually as part of the tranche progress reports.</w:t>
      </w:r>
      <w:r>
        <w:rPr>
          <w:lang w:val="en-CA"/>
        </w:rPr>
        <w:t xml:space="preserve"> </w:t>
      </w:r>
    </w:p>
    <w:p w14:paraId="7F373665" w14:textId="77777777" w:rsidR="006F2F19" w:rsidRDefault="006F2F19" w:rsidP="006F2F19">
      <w:pPr>
        <w:pStyle w:val="Heading1"/>
        <w:rPr>
          <w:lang w:val="en-CA"/>
        </w:rPr>
      </w:pPr>
      <w:r w:rsidRPr="00B0221D">
        <w:rPr>
          <w:lang w:val="en-CA"/>
        </w:rPr>
        <w:t>The Executive Committee should note that this format, while prepared in consultation with the relevant implementing agencies and the Government of China</w:t>
      </w:r>
      <w:r>
        <w:rPr>
          <w:lang w:val="en-CA"/>
        </w:rPr>
        <w:t>,</w:t>
      </w:r>
      <w:r w:rsidRPr="00B0221D">
        <w:rPr>
          <w:lang w:val="en-CA"/>
        </w:rPr>
        <w:t xml:space="preserve"> has not been agreed.</w:t>
      </w:r>
      <w:r>
        <w:rPr>
          <w:lang w:val="en-CA"/>
        </w:rPr>
        <w:t xml:space="preserve"> </w:t>
      </w:r>
      <w:r w:rsidRPr="00B0221D">
        <w:rPr>
          <w:lang w:val="en-CA"/>
        </w:rPr>
        <w:t>The Government reiterated that FECO’s current financial management system records all expenditures which come from the revenue pool of FECO, so the expenditure of PMU could not be identified and traced back to the specific project management fee, and certainly not further to the annual tranche of a sector plan</w:t>
      </w:r>
      <w:r>
        <w:rPr>
          <w:lang w:val="en-CA"/>
        </w:rPr>
        <w:t>. T</w:t>
      </w:r>
      <w:r w:rsidRPr="00B0221D">
        <w:rPr>
          <w:lang w:val="en-CA"/>
        </w:rPr>
        <w:t xml:space="preserve">herefore </w:t>
      </w:r>
      <w:r>
        <w:rPr>
          <w:lang w:val="en-CA"/>
        </w:rPr>
        <w:t>it would be</w:t>
      </w:r>
      <w:r w:rsidRPr="00B0221D">
        <w:rPr>
          <w:lang w:val="en-CA"/>
        </w:rPr>
        <w:t xml:space="preserve"> almost impossible to report PMU expenditures by sectors as required in the format proposed by the Secretariat, and therefore</w:t>
      </w:r>
      <w:r>
        <w:rPr>
          <w:lang w:val="en-CA"/>
        </w:rPr>
        <w:t xml:space="preserve"> the Government of China</w:t>
      </w:r>
      <w:r w:rsidRPr="00B0221D">
        <w:rPr>
          <w:lang w:val="en-CA"/>
        </w:rPr>
        <w:t xml:space="preserve"> suggested that the format it had suggested be used.</w:t>
      </w:r>
    </w:p>
    <w:p w14:paraId="042EC013" w14:textId="77777777" w:rsidR="006F2F19" w:rsidRPr="00B0221D" w:rsidRDefault="006F2F19" w:rsidP="006F2F19">
      <w:pPr>
        <w:pStyle w:val="Heading2"/>
        <w:numPr>
          <w:ilvl w:val="0"/>
          <w:numId w:val="0"/>
        </w:numPr>
        <w:rPr>
          <w:b/>
          <w:lang w:val="en-CA"/>
        </w:rPr>
      </w:pPr>
      <w:r w:rsidRPr="00B0221D">
        <w:rPr>
          <w:b/>
          <w:lang w:val="en-CA"/>
        </w:rPr>
        <w:t>RECOMMENDATION</w:t>
      </w:r>
    </w:p>
    <w:p w14:paraId="108B444A" w14:textId="77777777" w:rsidR="006F2F19" w:rsidRPr="00B0221D" w:rsidRDefault="006F2F19" w:rsidP="006F2F19">
      <w:pPr>
        <w:pStyle w:val="Heading1"/>
        <w:rPr>
          <w:lang w:val="en-CA"/>
        </w:rPr>
      </w:pPr>
      <w:r w:rsidRPr="00B0221D">
        <w:rPr>
          <w:lang w:val="en-CA"/>
        </w:rPr>
        <w:t xml:space="preserve">The Executive Committee may wish to: </w:t>
      </w:r>
    </w:p>
    <w:p w14:paraId="49C784E1" w14:textId="77777777" w:rsidR="006F2F19" w:rsidRPr="00B0221D" w:rsidRDefault="006F2F19" w:rsidP="006F2F19">
      <w:pPr>
        <w:pStyle w:val="Heading2"/>
        <w:numPr>
          <w:ilvl w:val="1"/>
          <w:numId w:val="1"/>
        </w:numPr>
        <w:rPr>
          <w:lang w:val="en-CA"/>
        </w:rPr>
      </w:pPr>
      <w:r w:rsidRPr="00B0221D">
        <w:rPr>
          <w:lang w:val="en-CA"/>
        </w:rPr>
        <w:t xml:space="preserve">Note the document on the draft financial reporting format for annual project management unit </w:t>
      </w:r>
      <w:r>
        <w:rPr>
          <w:lang w:val="en-CA"/>
        </w:rPr>
        <w:t xml:space="preserve">(PMU) </w:t>
      </w:r>
      <w:r w:rsidRPr="00B0221D">
        <w:rPr>
          <w:lang w:val="en-CA"/>
        </w:rPr>
        <w:t xml:space="preserve">expenditures for </w:t>
      </w:r>
      <w:r>
        <w:rPr>
          <w:lang w:val="en-CA"/>
        </w:rPr>
        <w:t>the HCFC phase-out management plan (HPMP) and HCFC production phase-out management plan (HPPMP) for China</w:t>
      </w:r>
      <w:r w:rsidRPr="00B0221D">
        <w:rPr>
          <w:lang w:val="en-CA"/>
        </w:rPr>
        <w:t xml:space="preserve"> contained in </w:t>
      </w:r>
      <w:r>
        <w:rPr>
          <w:lang w:val="en-CA"/>
        </w:rPr>
        <w:t>document </w:t>
      </w:r>
      <w:r w:rsidRPr="00B0221D">
        <w:rPr>
          <w:lang w:val="en-CA"/>
        </w:rPr>
        <w:t>UNEP/</w:t>
      </w:r>
      <w:proofErr w:type="spellStart"/>
      <w:r w:rsidRPr="00B0221D">
        <w:rPr>
          <w:lang w:val="en-CA"/>
        </w:rPr>
        <w:t>OzL.Pro</w:t>
      </w:r>
      <w:proofErr w:type="spellEnd"/>
      <w:r w:rsidRPr="00B0221D">
        <w:rPr>
          <w:lang w:val="en-CA"/>
        </w:rPr>
        <w:t>/</w:t>
      </w:r>
      <w:proofErr w:type="spellStart"/>
      <w:r w:rsidRPr="00B0221D">
        <w:rPr>
          <w:lang w:val="en-CA"/>
        </w:rPr>
        <w:t>ExCom</w:t>
      </w:r>
      <w:proofErr w:type="spellEnd"/>
      <w:r w:rsidRPr="00B0221D">
        <w:rPr>
          <w:lang w:val="en-CA"/>
        </w:rPr>
        <w:t>/81/</w:t>
      </w:r>
      <w:r>
        <w:rPr>
          <w:lang w:val="en-CA"/>
        </w:rPr>
        <w:t>29</w:t>
      </w:r>
      <w:r w:rsidRPr="00B0221D">
        <w:rPr>
          <w:lang w:val="en-CA"/>
        </w:rPr>
        <w:t xml:space="preserve">; </w:t>
      </w:r>
      <w:r>
        <w:rPr>
          <w:lang w:val="en-CA"/>
        </w:rPr>
        <w:t>and</w:t>
      </w:r>
    </w:p>
    <w:p w14:paraId="064175D9" w14:textId="77777777" w:rsidR="006F2F19" w:rsidRPr="00B0221D" w:rsidRDefault="006F2F19" w:rsidP="006F2F19">
      <w:pPr>
        <w:pStyle w:val="Heading2"/>
        <w:numPr>
          <w:ilvl w:val="1"/>
          <w:numId w:val="1"/>
        </w:numPr>
        <w:rPr>
          <w:lang w:val="en-CA"/>
        </w:rPr>
      </w:pPr>
      <w:r w:rsidRPr="00B0221D">
        <w:rPr>
          <w:lang w:val="en-CA"/>
        </w:rPr>
        <w:t xml:space="preserve">Request the sector lead implementing agencies to use the financial reporting format for the </w:t>
      </w:r>
      <w:r>
        <w:rPr>
          <w:lang w:val="en-CA"/>
        </w:rPr>
        <w:t>PMU</w:t>
      </w:r>
      <w:r w:rsidRPr="00B0221D">
        <w:rPr>
          <w:lang w:val="en-CA"/>
        </w:rPr>
        <w:t xml:space="preserve"> expenditures contained in Annex</w:t>
      </w:r>
      <w:r>
        <w:rPr>
          <w:lang w:val="en-CA"/>
        </w:rPr>
        <w:t> </w:t>
      </w:r>
      <w:r w:rsidRPr="00B0221D">
        <w:rPr>
          <w:lang w:val="en-CA"/>
        </w:rPr>
        <w:t xml:space="preserve">I of </w:t>
      </w:r>
      <w:r>
        <w:rPr>
          <w:lang w:val="en-CA"/>
        </w:rPr>
        <w:t>document </w:t>
      </w:r>
      <w:r w:rsidRPr="00B0221D">
        <w:rPr>
          <w:lang w:val="en-CA"/>
        </w:rPr>
        <w:t>UNEP/</w:t>
      </w:r>
      <w:proofErr w:type="spellStart"/>
      <w:r w:rsidRPr="00B0221D">
        <w:rPr>
          <w:lang w:val="en-CA"/>
        </w:rPr>
        <w:t>OzL.Pro</w:t>
      </w:r>
      <w:proofErr w:type="spellEnd"/>
      <w:r w:rsidRPr="00B0221D">
        <w:rPr>
          <w:lang w:val="en-CA"/>
        </w:rPr>
        <w:t>/</w:t>
      </w:r>
      <w:proofErr w:type="spellStart"/>
      <w:r w:rsidRPr="00B0221D">
        <w:rPr>
          <w:lang w:val="en-CA"/>
        </w:rPr>
        <w:t>ExCom</w:t>
      </w:r>
      <w:proofErr w:type="spellEnd"/>
      <w:r w:rsidRPr="00B0221D">
        <w:rPr>
          <w:lang w:val="en-CA"/>
        </w:rPr>
        <w:t>/81/</w:t>
      </w:r>
      <w:r>
        <w:rPr>
          <w:lang w:val="en-CA"/>
        </w:rPr>
        <w:t>29</w:t>
      </w:r>
      <w:r w:rsidRPr="00B0221D">
        <w:rPr>
          <w:lang w:val="en-CA"/>
        </w:rPr>
        <w:t xml:space="preserve"> in their annual tranche progress reports</w:t>
      </w:r>
      <w:r>
        <w:rPr>
          <w:lang w:val="en-CA"/>
        </w:rPr>
        <w:t>;</w:t>
      </w:r>
    </w:p>
    <w:p w14:paraId="1852AB99" w14:textId="77777777" w:rsidR="006F2F19" w:rsidRPr="00B0221D" w:rsidRDefault="006F2F19" w:rsidP="006F2F19">
      <w:pPr>
        <w:ind w:left="720" w:firstLine="720"/>
        <w:rPr>
          <w:lang w:val="en-CA"/>
        </w:rPr>
      </w:pPr>
      <w:r w:rsidRPr="00B0221D">
        <w:rPr>
          <w:lang w:val="en-CA"/>
        </w:rPr>
        <w:t>OR</w:t>
      </w:r>
    </w:p>
    <w:p w14:paraId="368DD50A" w14:textId="77777777" w:rsidR="006F2F19" w:rsidRPr="00B0221D" w:rsidRDefault="006F2F19" w:rsidP="006F2F19">
      <w:pPr>
        <w:rPr>
          <w:lang w:val="en-CA"/>
        </w:rPr>
      </w:pPr>
    </w:p>
    <w:p w14:paraId="7A32ACE8" w14:textId="77777777" w:rsidR="006F2F19" w:rsidRPr="00D13BAE" w:rsidRDefault="006F2F19" w:rsidP="006F2F19">
      <w:pPr>
        <w:pStyle w:val="Heading2"/>
        <w:numPr>
          <w:ilvl w:val="0"/>
          <w:numId w:val="0"/>
        </w:numPr>
        <w:ind w:left="1440"/>
        <w:rPr>
          <w:lang w:val="en-CA"/>
        </w:rPr>
      </w:pPr>
      <w:r w:rsidRPr="00B0221D">
        <w:rPr>
          <w:lang w:val="en-CA"/>
        </w:rPr>
        <w:t xml:space="preserve">Request the sector lead implementing agencies </w:t>
      </w:r>
      <w:r w:rsidRPr="00D13BAE">
        <w:rPr>
          <w:lang w:val="en-CA"/>
        </w:rPr>
        <w:t xml:space="preserve">to use the financial reporting format for the PMU expenditures contained in Table 3 of </w:t>
      </w:r>
      <w:r>
        <w:rPr>
          <w:lang w:val="en-CA"/>
        </w:rPr>
        <w:t>document </w:t>
      </w:r>
      <w:r w:rsidRPr="00D13BAE">
        <w:rPr>
          <w:lang w:val="en-CA"/>
        </w:rPr>
        <w:t>UNEP/</w:t>
      </w:r>
      <w:proofErr w:type="spellStart"/>
      <w:r w:rsidRPr="00D13BAE">
        <w:rPr>
          <w:lang w:val="en-CA"/>
        </w:rPr>
        <w:t>OzL.Pro</w:t>
      </w:r>
      <w:proofErr w:type="spellEnd"/>
      <w:r w:rsidRPr="00D13BAE">
        <w:rPr>
          <w:lang w:val="en-CA"/>
        </w:rPr>
        <w:t>/</w:t>
      </w:r>
      <w:proofErr w:type="spellStart"/>
      <w:r w:rsidRPr="00D13BAE">
        <w:rPr>
          <w:lang w:val="en-CA"/>
        </w:rPr>
        <w:t>ExCom</w:t>
      </w:r>
      <w:proofErr w:type="spellEnd"/>
      <w:r w:rsidRPr="00D13BAE">
        <w:rPr>
          <w:lang w:val="en-CA"/>
        </w:rPr>
        <w:t>/81/29</w:t>
      </w:r>
      <w:r>
        <w:rPr>
          <w:lang w:val="en-CA"/>
        </w:rPr>
        <w:t xml:space="preserve"> (under the document on </w:t>
      </w:r>
      <w:r w:rsidRPr="00B0221D">
        <w:rPr>
          <w:lang w:val="en-CA"/>
        </w:rPr>
        <w:t xml:space="preserve">draft financial reporting format for annual </w:t>
      </w:r>
      <w:r>
        <w:rPr>
          <w:lang w:val="en-CA"/>
        </w:rPr>
        <w:t xml:space="preserve">PMU </w:t>
      </w:r>
      <w:r w:rsidRPr="00B0221D">
        <w:rPr>
          <w:lang w:val="en-CA"/>
        </w:rPr>
        <w:t>expenditures</w:t>
      </w:r>
      <w:r>
        <w:rPr>
          <w:lang w:val="en-CA"/>
        </w:rPr>
        <w:t xml:space="preserve"> for the HPMP and HPPMP for China)</w:t>
      </w:r>
      <w:r w:rsidRPr="00D13BAE">
        <w:rPr>
          <w:lang w:val="en-CA"/>
        </w:rPr>
        <w:t xml:space="preserve"> in annual progress reports </w:t>
      </w:r>
      <w:r>
        <w:rPr>
          <w:lang w:val="en-CA"/>
        </w:rPr>
        <w:t>until</w:t>
      </w:r>
      <w:r w:rsidRPr="00D13BAE">
        <w:rPr>
          <w:lang w:val="en-CA"/>
        </w:rPr>
        <w:t xml:space="preserve"> the completion of the HPMP and HPPMP;</w:t>
      </w:r>
    </w:p>
    <w:p w14:paraId="05203D0A" w14:textId="77777777" w:rsidR="006F2F19" w:rsidRPr="00B0221D" w:rsidRDefault="006F2F19" w:rsidP="006F2F19">
      <w:pPr>
        <w:pStyle w:val="Heading2"/>
        <w:numPr>
          <w:ilvl w:val="1"/>
          <w:numId w:val="1"/>
        </w:numPr>
        <w:rPr>
          <w:lang w:val="en-CA"/>
        </w:rPr>
      </w:pPr>
      <w:r>
        <w:rPr>
          <w:lang w:val="en-CA"/>
        </w:rPr>
        <w:t>Request the</w:t>
      </w:r>
      <w:r w:rsidRPr="00B0221D">
        <w:rPr>
          <w:lang w:val="en-CA"/>
        </w:rPr>
        <w:t xml:space="preserve"> implementing agencies to consider whether there is a need to amend their respective agreements with the Government of China with a view to ensure that the financial reporting on PMU expenditures is sufficiently detailed to satisfy their respective financial reporting requirem</w:t>
      </w:r>
      <w:r>
        <w:rPr>
          <w:lang w:val="en-CA"/>
        </w:rPr>
        <w:t>ents to the Executive Committee; and</w:t>
      </w:r>
    </w:p>
    <w:p w14:paraId="40D26CBE" w14:textId="29A04A32" w:rsidR="006F2F19" w:rsidRPr="00A74459" w:rsidRDefault="006F2F19" w:rsidP="006F2F19">
      <w:pPr>
        <w:pStyle w:val="Heading2"/>
        <w:numPr>
          <w:ilvl w:val="1"/>
          <w:numId w:val="1"/>
        </w:numPr>
        <w:rPr>
          <w:lang w:val="en-CA"/>
        </w:rPr>
      </w:pPr>
      <w:r w:rsidRPr="00A74459">
        <w:rPr>
          <w:lang w:val="en-CA"/>
        </w:rPr>
        <w:t xml:space="preserve">Request the sector lead implementing agencies to provide as part of </w:t>
      </w:r>
      <w:r>
        <w:rPr>
          <w:lang w:val="en-CA"/>
        </w:rPr>
        <w:t xml:space="preserve">future tranche submissions </w:t>
      </w:r>
      <w:r w:rsidRPr="00A74459">
        <w:rPr>
          <w:lang w:val="en-CA"/>
        </w:rPr>
        <w:t>a work plan that describes the PMU activities</w:t>
      </w:r>
      <w:r w:rsidR="00CB115F">
        <w:rPr>
          <w:lang w:val="en-CA"/>
        </w:rPr>
        <w:t xml:space="preserve"> to be undertaken</w:t>
      </w:r>
      <w:r w:rsidRPr="00A74459">
        <w:rPr>
          <w:lang w:val="en-CA"/>
        </w:rPr>
        <w:t xml:space="preserve"> </w:t>
      </w:r>
      <w:r w:rsidR="00CB115F">
        <w:rPr>
          <w:lang w:val="en-CA"/>
        </w:rPr>
        <w:t>with</w:t>
      </w:r>
      <w:r w:rsidRPr="00A74459">
        <w:rPr>
          <w:lang w:val="en-CA"/>
        </w:rPr>
        <w:t xml:space="preserve"> allocated budget</w:t>
      </w:r>
      <w:r w:rsidR="00CB115F">
        <w:rPr>
          <w:lang w:val="en-CA"/>
        </w:rPr>
        <w:t xml:space="preserve"> by activity </w:t>
      </w:r>
      <w:r w:rsidRPr="00A74459">
        <w:rPr>
          <w:lang w:val="en-CA"/>
        </w:rPr>
        <w:t xml:space="preserve">in the </w:t>
      </w:r>
      <w:r>
        <w:rPr>
          <w:lang w:val="en-CA"/>
        </w:rPr>
        <w:t>respective sector.</w:t>
      </w:r>
    </w:p>
    <w:p w14:paraId="63A29322" w14:textId="77777777" w:rsidR="006F2F19" w:rsidRDefault="006F2F19" w:rsidP="006F2F19">
      <w:pPr>
        <w:rPr>
          <w:lang w:val="en-CA"/>
        </w:rPr>
      </w:pPr>
    </w:p>
    <w:p w14:paraId="6EF35E95" w14:textId="77777777" w:rsidR="006F2F19" w:rsidRPr="00B0221D" w:rsidRDefault="006F2F19" w:rsidP="006F2F19">
      <w:pPr>
        <w:rPr>
          <w:lang w:val="en-CA"/>
        </w:rPr>
        <w:sectPr w:rsidR="006F2F19" w:rsidRPr="00B0221D" w:rsidSect="00546503">
          <w:headerReference w:type="even" r:id="rId28"/>
          <w:headerReference w:type="default" r:id="rId29"/>
          <w:footerReference w:type="even" r:id="rId30"/>
          <w:footerReference w:type="default" r:id="rId31"/>
          <w:headerReference w:type="first" r:id="rId32"/>
          <w:footerReference w:type="first" r:id="rId33"/>
          <w:pgSz w:w="12240" w:h="15840" w:code="1"/>
          <w:pgMar w:top="720" w:right="1440" w:bottom="864" w:left="1440" w:header="720" w:footer="475" w:gutter="0"/>
          <w:cols w:space="720"/>
          <w:docGrid w:linePitch="299"/>
        </w:sectPr>
      </w:pPr>
    </w:p>
    <w:p w14:paraId="0980752A" w14:textId="77777777" w:rsidR="006F2F19" w:rsidRDefault="006F2F19" w:rsidP="006F2F19">
      <w:pPr>
        <w:jc w:val="center"/>
        <w:rPr>
          <w:b/>
          <w:lang w:val="en-CA"/>
        </w:rPr>
      </w:pPr>
      <w:r w:rsidRPr="00E705F3">
        <w:rPr>
          <w:b/>
          <w:lang w:val="en-CA"/>
        </w:rPr>
        <w:lastRenderedPageBreak/>
        <w:t>Annex I</w:t>
      </w:r>
    </w:p>
    <w:p w14:paraId="201B89A0" w14:textId="77777777" w:rsidR="006F2F19" w:rsidRPr="00E705F3" w:rsidRDefault="006F2F19" w:rsidP="006F2F19">
      <w:pPr>
        <w:jc w:val="center"/>
        <w:rPr>
          <w:b/>
          <w:lang w:val="en-CA"/>
        </w:rPr>
      </w:pPr>
    </w:p>
    <w:p w14:paraId="5B7B8FE5" w14:textId="77777777" w:rsidR="006F2F19" w:rsidRPr="00B0221D" w:rsidRDefault="006F2F19" w:rsidP="006F2F19">
      <w:pPr>
        <w:jc w:val="center"/>
        <w:rPr>
          <w:b/>
          <w:lang w:val="en-CA"/>
        </w:rPr>
      </w:pPr>
      <w:r w:rsidRPr="00B0221D">
        <w:rPr>
          <w:b/>
          <w:lang w:val="en-CA"/>
        </w:rPr>
        <w:t>FINANCIAL REPORTING FORMAT FOR THE PROJECT MANAGEMENT UNIT EXPENDITURES TO BE INCLUDED IN TRANCHE REQUESTS OF THE CHINA HPMP AND CHINA HPPMP</w:t>
      </w:r>
    </w:p>
    <w:p w14:paraId="2E4C3D0D" w14:textId="77777777" w:rsidR="006F2F19" w:rsidRPr="00E705F3" w:rsidRDefault="006F2F19" w:rsidP="006F2F19">
      <w:pPr>
        <w:rPr>
          <w:sz w:val="16"/>
          <w:szCs w:val="16"/>
          <w:lang w:val="en-CA"/>
        </w:rPr>
      </w:pPr>
    </w:p>
    <w:p w14:paraId="3DCEF50A" w14:textId="77777777" w:rsidR="006F2F19" w:rsidRPr="00B0221D" w:rsidRDefault="006F2F19" w:rsidP="006F2F19">
      <w:pPr>
        <w:rPr>
          <w:lang w:val="en-CA"/>
        </w:rPr>
      </w:pPr>
      <w:r w:rsidRPr="00B0221D">
        <w:rPr>
          <w:lang w:val="en-CA"/>
        </w:rPr>
        <w:t>Stage: ___________________________</w:t>
      </w:r>
    </w:p>
    <w:p w14:paraId="479B47E4" w14:textId="77777777" w:rsidR="006F2F19" w:rsidRPr="00B0221D" w:rsidRDefault="006F2F19" w:rsidP="006F2F19">
      <w:pPr>
        <w:rPr>
          <w:lang w:val="en-CA"/>
        </w:rPr>
      </w:pPr>
      <w:r w:rsidRPr="00B0221D">
        <w:rPr>
          <w:lang w:val="en-CA"/>
        </w:rPr>
        <w:t>Tranche: _________________________</w:t>
      </w:r>
    </w:p>
    <w:p w14:paraId="2B21C5B4" w14:textId="77777777" w:rsidR="006F2F19" w:rsidRPr="00E705F3" w:rsidRDefault="006F2F19" w:rsidP="006F2F19">
      <w:pPr>
        <w:rPr>
          <w:sz w:val="16"/>
          <w:szCs w:val="16"/>
          <w:lang w:val="en-CA"/>
        </w:rPr>
      </w:pPr>
    </w:p>
    <w:tbl>
      <w:tblPr>
        <w:tblW w:w="5000" w:type="pct"/>
        <w:tblLook w:val="04A0" w:firstRow="1" w:lastRow="0" w:firstColumn="1" w:lastColumn="0" w:noHBand="0" w:noVBand="1"/>
      </w:tblPr>
      <w:tblGrid>
        <w:gridCol w:w="1785"/>
        <w:gridCol w:w="993"/>
        <w:gridCol w:w="1172"/>
        <w:gridCol w:w="953"/>
        <w:gridCol w:w="705"/>
        <w:gridCol w:w="705"/>
        <w:gridCol w:w="583"/>
        <w:gridCol w:w="850"/>
        <w:gridCol w:w="1016"/>
        <w:gridCol w:w="5484"/>
      </w:tblGrid>
      <w:tr w:rsidR="006F2F19" w:rsidRPr="00B0221D" w14:paraId="144407C2" w14:textId="77777777" w:rsidTr="00546503">
        <w:trPr>
          <w:trHeight w:val="300"/>
        </w:trPr>
        <w:tc>
          <w:tcPr>
            <w:tcW w:w="66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9AA55FE"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Content</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6B1D5AE"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Value allocated (US</w:t>
            </w:r>
            <w:r>
              <w:rPr>
                <w:b/>
                <w:bCs/>
                <w:color w:val="000000"/>
                <w:sz w:val="20"/>
                <w:szCs w:val="20"/>
                <w:lang w:val="en-CA"/>
              </w:rPr>
              <w:t> </w:t>
            </w:r>
            <w:r w:rsidRPr="00B0221D">
              <w:rPr>
                <w:b/>
                <w:bCs/>
                <w:color w:val="000000"/>
                <w:sz w:val="20"/>
                <w:szCs w:val="20"/>
                <w:lang w:val="en-CA"/>
              </w:rPr>
              <w:t>$)</w:t>
            </w:r>
          </w:p>
        </w:tc>
        <w:tc>
          <w:tcPr>
            <w:tcW w:w="1976" w:type="pct"/>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F5F36FA"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Cumulative expenditure (US</w:t>
            </w:r>
            <w:r>
              <w:rPr>
                <w:b/>
                <w:bCs/>
                <w:color w:val="000000"/>
                <w:sz w:val="20"/>
                <w:szCs w:val="20"/>
                <w:lang w:val="en-CA"/>
              </w:rPr>
              <w:t> </w:t>
            </w:r>
            <w:r w:rsidRPr="00B0221D">
              <w:rPr>
                <w:b/>
                <w:bCs/>
                <w:color w:val="000000"/>
                <w:sz w:val="20"/>
                <w:szCs w:val="20"/>
                <w:lang w:val="en-CA"/>
              </w:rPr>
              <w:t>$) as of [DATE]</w:t>
            </w:r>
          </w:p>
        </w:tc>
        <w:tc>
          <w:tcPr>
            <w:tcW w:w="198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2CCC23A"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Secretariat comments</w:t>
            </w:r>
          </w:p>
        </w:tc>
      </w:tr>
      <w:tr w:rsidR="006F2F19" w:rsidRPr="00B0221D" w14:paraId="527B8B28" w14:textId="77777777" w:rsidTr="00546503">
        <w:trPr>
          <w:trHeight w:val="300"/>
        </w:trPr>
        <w:tc>
          <w:tcPr>
            <w:tcW w:w="661" w:type="pct"/>
            <w:vMerge/>
            <w:tcBorders>
              <w:top w:val="single" w:sz="4" w:space="0" w:color="auto"/>
              <w:left w:val="single" w:sz="4" w:space="0" w:color="auto"/>
              <w:bottom w:val="single" w:sz="4" w:space="0" w:color="auto"/>
              <w:right w:val="single" w:sz="4" w:space="0" w:color="auto"/>
            </w:tcBorders>
            <w:hideMark/>
          </w:tcPr>
          <w:p w14:paraId="10EA6B68" w14:textId="77777777" w:rsidR="006F2F19" w:rsidRPr="00B0221D" w:rsidRDefault="006F2F19" w:rsidP="00546503">
            <w:pPr>
              <w:jc w:val="left"/>
              <w:rPr>
                <w:b/>
                <w:bCs/>
                <w:color w:val="000000"/>
                <w:sz w:val="20"/>
                <w:szCs w:val="20"/>
                <w:lang w:val="en-CA"/>
              </w:rPr>
            </w:pPr>
          </w:p>
        </w:tc>
        <w:tc>
          <w:tcPr>
            <w:tcW w:w="383" w:type="pct"/>
            <w:vMerge/>
            <w:tcBorders>
              <w:top w:val="single" w:sz="4" w:space="0" w:color="auto"/>
              <w:left w:val="single" w:sz="4" w:space="0" w:color="auto"/>
              <w:bottom w:val="single" w:sz="4" w:space="0" w:color="000000"/>
              <w:right w:val="single" w:sz="4" w:space="0" w:color="auto"/>
            </w:tcBorders>
            <w:hideMark/>
          </w:tcPr>
          <w:p w14:paraId="0C2724AA" w14:textId="77777777" w:rsidR="006F2F19" w:rsidRPr="00B0221D" w:rsidRDefault="006F2F19" w:rsidP="00546503">
            <w:pPr>
              <w:jc w:val="left"/>
              <w:rPr>
                <w:b/>
                <w:bCs/>
                <w:color w:val="000000"/>
                <w:sz w:val="20"/>
                <w:szCs w:val="20"/>
                <w:lang w:val="en-CA"/>
              </w:rPr>
            </w:pPr>
          </w:p>
        </w:tc>
        <w:tc>
          <w:tcPr>
            <w:tcW w:w="1976" w:type="pct"/>
            <w:gridSpan w:val="7"/>
            <w:vMerge/>
            <w:tcBorders>
              <w:top w:val="single" w:sz="4" w:space="0" w:color="auto"/>
              <w:left w:val="single" w:sz="4" w:space="0" w:color="auto"/>
              <w:bottom w:val="single" w:sz="4" w:space="0" w:color="auto"/>
              <w:right w:val="single" w:sz="4" w:space="0" w:color="auto"/>
            </w:tcBorders>
            <w:hideMark/>
          </w:tcPr>
          <w:p w14:paraId="54B643DB" w14:textId="77777777" w:rsidR="006F2F19" w:rsidRPr="00B0221D" w:rsidRDefault="006F2F19" w:rsidP="00546503">
            <w:pPr>
              <w:jc w:val="left"/>
              <w:rPr>
                <w:b/>
                <w:bCs/>
                <w:color w:val="000000"/>
                <w:sz w:val="20"/>
                <w:szCs w:val="20"/>
                <w:lang w:val="en-CA"/>
              </w:rPr>
            </w:pPr>
          </w:p>
        </w:tc>
        <w:tc>
          <w:tcPr>
            <w:tcW w:w="1981" w:type="pct"/>
            <w:vMerge/>
            <w:tcBorders>
              <w:top w:val="single" w:sz="4" w:space="0" w:color="auto"/>
              <w:left w:val="single" w:sz="4" w:space="0" w:color="auto"/>
              <w:bottom w:val="single" w:sz="4" w:space="0" w:color="auto"/>
              <w:right w:val="single" w:sz="4" w:space="0" w:color="auto"/>
            </w:tcBorders>
            <w:hideMark/>
          </w:tcPr>
          <w:p w14:paraId="6F5607F1" w14:textId="77777777" w:rsidR="006F2F19" w:rsidRPr="00B0221D" w:rsidRDefault="006F2F19" w:rsidP="00546503">
            <w:pPr>
              <w:jc w:val="left"/>
              <w:rPr>
                <w:b/>
                <w:bCs/>
                <w:color w:val="000000"/>
                <w:sz w:val="20"/>
                <w:szCs w:val="20"/>
                <w:lang w:val="en-CA"/>
              </w:rPr>
            </w:pPr>
          </w:p>
        </w:tc>
      </w:tr>
      <w:tr w:rsidR="006F2F19" w:rsidRPr="00B0221D" w14:paraId="1BB6EEDA" w14:textId="77777777" w:rsidTr="00546503">
        <w:trPr>
          <w:trHeight w:val="113"/>
        </w:trPr>
        <w:tc>
          <w:tcPr>
            <w:tcW w:w="661" w:type="pct"/>
            <w:tcBorders>
              <w:top w:val="nil"/>
              <w:left w:val="single" w:sz="4" w:space="0" w:color="auto"/>
              <w:bottom w:val="single" w:sz="4" w:space="0" w:color="auto"/>
              <w:right w:val="single" w:sz="4" w:space="0" w:color="auto"/>
            </w:tcBorders>
            <w:shd w:val="clear" w:color="auto" w:fill="auto"/>
            <w:hideMark/>
          </w:tcPr>
          <w:p w14:paraId="689658DE"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 </w:t>
            </w:r>
          </w:p>
        </w:tc>
        <w:tc>
          <w:tcPr>
            <w:tcW w:w="383" w:type="pct"/>
            <w:tcBorders>
              <w:top w:val="nil"/>
              <w:left w:val="nil"/>
              <w:bottom w:val="single" w:sz="4" w:space="0" w:color="auto"/>
              <w:right w:val="single" w:sz="4" w:space="0" w:color="auto"/>
            </w:tcBorders>
            <w:shd w:val="clear" w:color="auto" w:fill="auto"/>
            <w:hideMark/>
          </w:tcPr>
          <w:p w14:paraId="6ADC2698"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 </w:t>
            </w:r>
          </w:p>
        </w:tc>
        <w:tc>
          <w:tcPr>
            <w:tcW w:w="337" w:type="pct"/>
            <w:tcBorders>
              <w:top w:val="nil"/>
              <w:left w:val="nil"/>
              <w:bottom w:val="single" w:sz="4" w:space="0" w:color="auto"/>
              <w:right w:val="single" w:sz="4" w:space="0" w:color="auto"/>
            </w:tcBorders>
            <w:shd w:val="clear" w:color="auto" w:fill="auto"/>
            <w:hideMark/>
          </w:tcPr>
          <w:p w14:paraId="1AC18F48"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Production</w:t>
            </w:r>
          </w:p>
        </w:tc>
        <w:tc>
          <w:tcPr>
            <w:tcW w:w="369" w:type="pct"/>
            <w:tcBorders>
              <w:top w:val="nil"/>
              <w:left w:val="nil"/>
              <w:bottom w:val="single" w:sz="4" w:space="0" w:color="auto"/>
              <w:right w:val="single" w:sz="4" w:space="0" w:color="auto"/>
            </w:tcBorders>
            <w:shd w:val="clear" w:color="auto" w:fill="auto"/>
            <w:hideMark/>
          </w:tcPr>
          <w:p w14:paraId="0EA26C97" w14:textId="77777777" w:rsidR="006F2F19" w:rsidRPr="00B0221D" w:rsidRDefault="006F2F19" w:rsidP="00546503">
            <w:pPr>
              <w:jc w:val="center"/>
              <w:rPr>
                <w:b/>
                <w:bCs/>
                <w:color w:val="000000"/>
                <w:sz w:val="20"/>
                <w:szCs w:val="20"/>
                <w:lang w:val="en-CA"/>
              </w:rPr>
            </w:pPr>
            <w:r>
              <w:rPr>
                <w:b/>
                <w:bCs/>
                <w:color w:val="000000"/>
                <w:sz w:val="20"/>
                <w:szCs w:val="20"/>
                <w:lang w:val="en-CA"/>
              </w:rPr>
              <w:t>RAC</w:t>
            </w:r>
          </w:p>
        </w:tc>
        <w:tc>
          <w:tcPr>
            <w:tcW w:w="233" w:type="pct"/>
            <w:tcBorders>
              <w:top w:val="nil"/>
              <w:left w:val="nil"/>
              <w:bottom w:val="single" w:sz="4" w:space="0" w:color="auto"/>
              <w:right w:val="single" w:sz="4" w:space="0" w:color="auto"/>
            </w:tcBorders>
            <w:shd w:val="clear" w:color="auto" w:fill="auto"/>
            <w:hideMark/>
          </w:tcPr>
          <w:p w14:paraId="082C8F83"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PU Foam</w:t>
            </w:r>
          </w:p>
        </w:tc>
        <w:tc>
          <w:tcPr>
            <w:tcW w:w="270" w:type="pct"/>
            <w:tcBorders>
              <w:top w:val="nil"/>
              <w:left w:val="nil"/>
              <w:bottom w:val="single" w:sz="4" w:space="0" w:color="auto"/>
              <w:right w:val="single" w:sz="4" w:space="0" w:color="auto"/>
            </w:tcBorders>
            <w:shd w:val="clear" w:color="auto" w:fill="auto"/>
            <w:hideMark/>
          </w:tcPr>
          <w:p w14:paraId="308A3FF9"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XPS Foam</w:t>
            </w:r>
          </w:p>
        </w:tc>
        <w:tc>
          <w:tcPr>
            <w:tcW w:w="230" w:type="pct"/>
            <w:tcBorders>
              <w:top w:val="nil"/>
              <w:left w:val="nil"/>
              <w:bottom w:val="single" w:sz="4" w:space="0" w:color="auto"/>
              <w:right w:val="single" w:sz="4" w:space="0" w:color="auto"/>
            </w:tcBorders>
            <w:shd w:val="clear" w:color="auto" w:fill="auto"/>
            <w:hideMark/>
          </w:tcPr>
          <w:p w14:paraId="42C513D1"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ICR</w:t>
            </w:r>
          </w:p>
        </w:tc>
        <w:tc>
          <w:tcPr>
            <w:tcW w:w="244" w:type="pct"/>
            <w:tcBorders>
              <w:top w:val="nil"/>
              <w:left w:val="nil"/>
              <w:bottom w:val="single" w:sz="4" w:space="0" w:color="auto"/>
              <w:right w:val="single" w:sz="4" w:space="0" w:color="auto"/>
            </w:tcBorders>
            <w:shd w:val="clear" w:color="auto" w:fill="auto"/>
            <w:hideMark/>
          </w:tcPr>
          <w:p w14:paraId="1D960308"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Solvent</w:t>
            </w:r>
          </w:p>
        </w:tc>
        <w:tc>
          <w:tcPr>
            <w:tcW w:w="292" w:type="pct"/>
            <w:tcBorders>
              <w:top w:val="nil"/>
              <w:left w:val="nil"/>
              <w:bottom w:val="single" w:sz="4" w:space="0" w:color="auto"/>
              <w:right w:val="single" w:sz="4" w:space="0" w:color="auto"/>
            </w:tcBorders>
            <w:shd w:val="clear" w:color="auto" w:fill="auto"/>
            <w:hideMark/>
          </w:tcPr>
          <w:p w14:paraId="1EFF1609"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Servicing</w:t>
            </w:r>
          </w:p>
        </w:tc>
        <w:tc>
          <w:tcPr>
            <w:tcW w:w="1981" w:type="pct"/>
            <w:tcBorders>
              <w:top w:val="nil"/>
              <w:left w:val="nil"/>
              <w:bottom w:val="single" w:sz="4" w:space="0" w:color="auto"/>
              <w:right w:val="single" w:sz="4" w:space="0" w:color="auto"/>
            </w:tcBorders>
            <w:shd w:val="clear" w:color="auto" w:fill="auto"/>
            <w:hideMark/>
          </w:tcPr>
          <w:p w14:paraId="3AFD1FBA"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 </w:t>
            </w:r>
          </w:p>
        </w:tc>
      </w:tr>
      <w:tr w:rsidR="006F2F19" w:rsidRPr="00B0221D" w14:paraId="4A2E59A2" w14:textId="77777777" w:rsidTr="00546503">
        <w:trPr>
          <w:trHeight w:val="189"/>
        </w:trPr>
        <w:tc>
          <w:tcPr>
            <w:tcW w:w="661" w:type="pct"/>
            <w:tcBorders>
              <w:top w:val="nil"/>
              <w:left w:val="single" w:sz="4" w:space="0" w:color="auto"/>
              <w:bottom w:val="single" w:sz="4" w:space="0" w:color="auto"/>
              <w:right w:val="single" w:sz="4" w:space="0" w:color="auto"/>
            </w:tcBorders>
            <w:shd w:val="clear" w:color="auto" w:fill="auto"/>
            <w:hideMark/>
          </w:tcPr>
          <w:p w14:paraId="53F5D139"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Sector costs</w:t>
            </w:r>
          </w:p>
        </w:tc>
        <w:tc>
          <w:tcPr>
            <w:tcW w:w="383" w:type="pct"/>
            <w:tcBorders>
              <w:top w:val="nil"/>
              <w:left w:val="nil"/>
              <w:bottom w:val="single" w:sz="4" w:space="0" w:color="auto"/>
              <w:right w:val="single" w:sz="4" w:space="0" w:color="auto"/>
            </w:tcBorders>
            <w:shd w:val="clear" w:color="auto" w:fill="auto"/>
            <w:vAlign w:val="center"/>
            <w:hideMark/>
          </w:tcPr>
          <w:p w14:paraId="1868621C" w14:textId="77777777" w:rsidR="006F2F19" w:rsidRPr="00B0221D" w:rsidRDefault="006F2F19" w:rsidP="00546503">
            <w:pPr>
              <w:jc w:val="left"/>
              <w:rPr>
                <w:b/>
                <w:bCs/>
                <w:color w:val="000000"/>
                <w:sz w:val="20"/>
                <w:szCs w:val="20"/>
                <w:lang w:val="en-CA"/>
              </w:rPr>
            </w:pPr>
            <w:r w:rsidRPr="00B0221D">
              <w:rPr>
                <w:b/>
                <w:bCs/>
                <w:color w:val="000000"/>
                <w:sz w:val="20"/>
                <w:szCs w:val="20"/>
                <w:lang w:val="en-CA"/>
              </w:rPr>
              <w:t> </w:t>
            </w:r>
          </w:p>
        </w:tc>
        <w:tc>
          <w:tcPr>
            <w:tcW w:w="3957" w:type="pct"/>
            <w:gridSpan w:val="8"/>
            <w:tcBorders>
              <w:top w:val="single" w:sz="4" w:space="0" w:color="auto"/>
              <w:left w:val="nil"/>
              <w:bottom w:val="single" w:sz="4" w:space="0" w:color="auto"/>
              <w:right w:val="single" w:sz="4" w:space="0" w:color="auto"/>
            </w:tcBorders>
            <w:shd w:val="clear" w:color="auto" w:fill="auto"/>
            <w:vAlign w:val="center"/>
            <w:hideMark/>
          </w:tcPr>
          <w:p w14:paraId="77887CF2"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 </w:t>
            </w:r>
          </w:p>
        </w:tc>
      </w:tr>
      <w:tr w:rsidR="006F2F19" w:rsidRPr="00B0221D" w14:paraId="7D045696" w14:textId="77777777" w:rsidTr="00546503">
        <w:trPr>
          <w:trHeight w:val="147"/>
        </w:trPr>
        <w:tc>
          <w:tcPr>
            <w:tcW w:w="661" w:type="pct"/>
            <w:tcBorders>
              <w:top w:val="nil"/>
              <w:left w:val="single" w:sz="4" w:space="0" w:color="auto"/>
              <w:bottom w:val="single" w:sz="4" w:space="0" w:color="auto"/>
              <w:right w:val="single" w:sz="4" w:space="0" w:color="auto"/>
            </w:tcBorders>
            <w:shd w:val="clear" w:color="auto" w:fill="auto"/>
            <w:hideMark/>
          </w:tcPr>
          <w:p w14:paraId="6F31704B" w14:textId="77777777" w:rsidR="006F2F19" w:rsidRPr="00E705F3" w:rsidRDefault="006F2F19" w:rsidP="00546503">
            <w:pPr>
              <w:rPr>
                <w:sz w:val="20"/>
                <w:szCs w:val="20"/>
                <w:lang w:val="en-CA"/>
              </w:rPr>
            </w:pPr>
            <w:r w:rsidRPr="00E705F3">
              <w:rPr>
                <w:sz w:val="20"/>
                <w:szCs w:val="20"/>
                <w:lang w:val="en-CA"/>
              </w:rPr>
              <w:t>Project staff</w:t>
            </w:r>
          </w:p>
        </w:tc>
        <w:tc>
          <w:tcPr>
            <w:tcW w:w="383" w:type="pct"/>
            <w:tcBorders>
              <w:top w:val="nil"/>
              <w:left w:val="nil"/>
              <w:bottom w:val="single" w:sz="4" w:space="0" w:color="auto"/>
              <w:right w:val="single" w:sz="4" w:space="0" w:color="auto"/>
            </w:tcBorders>
            <w:shd w:val="clear" w:color="auto" w:fill="auto"/>
            <w:vAlign w:val="center"/>
            <w:hideMark/>
          </w:tcPr>
          <w:p w14:paraId="56ADE248" w14:textId="77777777" w:rsidR="006F2F19" w:rsidRPr="00B0221D" w:rsidRDefault="006F2F19" w:rsidP="00546503">
            <w:pPr>
              <w:rPr>
                <w:lang w:val="en-CA"/>
              </w:rPr>
            </w:pPr>
            <w:r w:rsidRPr="00B0221D">
              <w:rPr>
                <w:lang w:val="en-CA"/>
              </w:rPr>
              <w:t> </w:t>
            </w:r>
          </w:p>
        </w:tc>
        <w:tc>
          <w:tcPr>
            <w:tcW w:w="337" w:type="pct"/>
            <w:tcBorders>
              <w:top w:val="nil"/>
              <w:left w:val="nil"/>
              <w:bottom w:val="single" w:sz="4" w:space="0" w:color="auto"/>
              <w:right w:val="single" w:sz="4" w:space="0" w:color="auto"/>
            </w:tcBorders>
            <w:shd w:val="clear" w:color="auto" w:fill="auto"/>
            <w:vAlign w:val="center"/>
            <w:hideMark/>
          </w:tcPr>
          <w:p w14:paraId="67CED9DE" w14:textId="77777777" w:rsidR="006F2F19" w:rsidRPr="00B0221D" w:rsidRDefault="006F2F19" w:rsidP="00546503">
            <w:pPr>
              <w:rPr>
                <w:lang w:val="en-CA"/>
              </w:rPr>
            </w:pPr>
            <w:r w:rsidRPr="00B0221D">
              <w:rPr>
                <w:lang w:val="en-CA"/>
              </w:rPr>
              <w:t> </w:t>
            </w:r>
          </w:p>
        </w:tc>
        <w:tc>
          <w:tcPr>
            <w:tcW w:w="369" w:type="pct"/>
            <w:tcBorders>
              <w:top w:val="nil"/>
              <w:left w:val="nil"/>
              <w:bottom w:val="single" w:sz="4" w:space="0" w:color="auto"/>
              <w:right w:val="single" w:sz="4" w:space="0" w:color="auto"/>
            </w:tcBorders>
            <w:shd w:val="clear" w:color="auto" w:fill="auto"/>
            <w:vAlign w:val="center"/>
            <w:hideMark/>
          </w:tcPr>
          <w:p w14:paraId="05890134" w14:textId="77777777" w:rsidR="006F2F19" w:rsidRPr="00B0221D" w:rsidRDefault="006F2F19" w:rsidP="00546503">
            <w:pPr>
              <w:rPr>
                <w:lang w:val="en-CA"/>
              </w:rPr>
            </w:pPr>
            <w:r w:rsidRPr="00B0221D">
              <w:rPr>
                <w:lang w:val="en-CA"/>
              </w:rPr>
              <w:t> </w:t>
            </w:r>
          </w:p>
        </w:tc>
        <w:tc>
          <w:tcPr>
            <w:tcW w:w="233" w:type="pct"/>
            <w:tcBorders>
              <w:top w:val="nil"/>
              <w:left w:val="nil"/>
              <w:bottom w:val="single" w:sz="4" w:space="0" w:color="auto"/>
              <w:right w:val="single" w:sz="4" w:space="0" w:color="auto"/>
            </w:tcBorders>
            <w:shd w:val="clear" w:color="auto" w:fill="auto"/>
            <w:vAlign w:val="center"/>
            <w:hideMark/>
          </w:tcPr>
          <w:p w14:paraId="73FFDC6A" w14:textId="77777777" w:rsidR="006F2F19" w:rsidRPr="00B0221D" w:rsidRDefault="006F2F19" w:rsidP="00546503">
            <w:pPr>
              <w:rPr>
                <w:lang w:val="en-CA"/>
              </w:rPr>
            </w:pPr>
            <w:r w:rsidRPr="00B0221D">
              <w:rPr>
                <w:lang w:val="en-CA"/>
              </w:rPr>
              <w:t> </w:t>
            </w:r>
          </w:p>
        </w:tc>
        <w:tc>
          <w:tcPr>
            <w:tcW w:w="270" w:type="pct"/>
            <w:tcBorders>
              <w:top w:val="nil"/>
              <w:left w:val="nil"/>
              <w:bottom w:val="single" w:sz="4" w:space="0" w:color="auto"/>
              <w:right w:val="single" w:sz="4" w:space="0" w:color="auto"/>
            </w:tcBorders>
            <w:shd w:val="clear" w:color="auto" w:fill="auto"/>
            <w:vAlign w:val="center"/>
            <w:hideMark/>
          </w:tcPr>
          <w:p w14:paraId="39B7B503" w14:textId="77777777" w:rsidR="006F2F19" w:rsidRPr="00B0221D" w:rsidRDefault="006F2F19" w:rsidP="00546503">
            <w:pPr>
              <w:rPr>
                <w:lang w:val="en-CA"/>
              </w:rPr>
            </w:pPr>
            <w:r w:rsidRPr="00B0221D">
              <w:rPr>
                <w:lang w:val="en-CA"/>
              </w:rPr>
              <w:t> </w:t>
            </w:r>
          </w:p>
        </w:tc>
        <w:tc>
          <w:tcPr>
            <w:tcW w:w="230" w:type="pct"/>
            <w:tcBorders>
              <w:top w:val="nil"/>
              <w:left w:val="nil"/>
              <w:bottom w:val="single" w:sz="4" w:space="0" w:color="auto"/>
              <w:right w:val="single" w:sz="4" w:space="0" w:color="auto"/>
            </w:tcBorders>
            <w:shd w:val="clear" w:color="auto" w:fill="auto"/>
            <w:vAlign w:val="center"/>
            <w:hideMark/>
          </w:tcPr>
          <w:p w14:paraId="57A7FA26" w14:textId="77777777" w:rsidR="006F2F19" w:rsidRPr="00B0221D" w:rsidRDefault="006F2F19" w:rsidP="00546503">
            <w:pPr>
              <w:rPr>
                <w:lang w:val="en-CA"/>
              </w:rPr>
            </w:pPr>
            <w:r w:rsidRPr="00B0221D">
              <w:rPr>
                <w:lang w:val="en-CA"/>
              </w:rPr>
              <w:t> </w:t>
            </w:r>
          </w:p>
        </w:tc>
        <w:tc>
          <w:tcPr>
            <w:tcW w:w="244" w:type="pct"/>
            <w:tcBorders>
              <w:top w:val="nil"/>
              <w:left w:val="nil"/>
              <w:bottom w:val="single" w:sz="4" w:space="0" w:color="auto"/>
              <w:right w:val="single" w:sz="4" w:space="0" w:color="auto"/>
            </w:tcBorders>
            <w:shd w:val="clear" w:color="auto" w:fill="auto"/>
            <w:vAlign w:val="center"/>
            <w:hideMark/>
          </w:tcPr>
          <w:p w14:paraId="62345746" w14:textId="77777777" w:rsidR="006F2F19" w:rsidRPr="00B0221D" w:rsidRDefault="006F2F19" w:rsidP="00546503">
            <w:pPr>
              <w:rPr>
                <w:lang w:val="en-CA"/>
              </w:rPr>
            </w:pPr>
            <w:r w:rsidRPr="00B0221D">
              <w:rPr>
                <w:lang w:val="en-CA"/>
              </w:rPr>
              <w:t> </w:t>
            </w:r>
          </w:p>
        </w:tc>
        <w:tc>
          <w:tcPr>
            <w:tcW w:w="292" w:type="pct"/>
            <w:tcBorders>
              <w:top w:val="nil"/>
              <w:left w:val="nil"/>
              <w:bottom w:val="single" w:sz="4" w:space="0" w:color="auto"/>
              <w:right w:val="single" w:sz="4" w:space="0" w:color="auto"/>
            </w:tcBorders>
            <w:shd w:val="clear" w:color="auto" w:fill="auto"/>
            <w:vAlign w:val="center"/>
            <w:hideMark/>
          </w:tcPr>
          <w:p w14:paraId="0D04FF9C" w14:textId="77777777" w:rsidR="006F2F19" w:rsidRPr="00B0221D" w:rsidRDefault="006F2F19" w:rsidP="00546503">
            <w:pPr>
              <w:rPr>
                <w:lang w:val="en-CA"/>
              </w:rPr>
            </w:pPr>
            <w:r w:rsidRPr="00B0221D">
              <w:rPr>
                <w:lang w:val="en-CA"/>
              </w:rPr>
              <w:t> </w:t>
            </w:r>
          </w:p>
        </w:tc>
        <w:tc>
          <w:tcPr>
            <w:tcW w:w="1981" w:type="pct"/>
            <w:tcBorders>
              <w:top w:val="nil"/>
              <w:left w:val="nil"/>
              <w:bottom w:val="single" w:sz="4" w:space="0" w:color="auto"/>
              <w:right w:val="single" w:sz="4" w:space="0" w:color="auto"/>
            </w:tcBorders>
            <w:shd w:val="clear" w:color="auto" w:fill="auto"/>
            <w:hideMark/>
          </w:tcPr>
          <w:p w14:paraId="13CEBBB9" w14:textId="77777777" w:rsidR="006F2F19" w:rsidRPr="00B0221D" w:rsidRDefault="006F2F19" w:rsidP="00546503">
            <w:pPr>
              <w:rPr>
                <w:lang w:val="en-CA"/>
              </w:rPr>
            </w:pPr>
            <w:r w:rsidRPr="00B0221D">
              <w:rPr>
                <w:lang w:val="en-CA"/>
              </w:rPr>
              <w:t> </w:t>
            </w:r>
          </w:p>
        </w:tc>
      </w:tr>
      <w:tr w:rsidR="006F2F19" w:rsidRPr="00B0221D" w14:paraId="230089EA" w14:textId="77777777" w:rsidTr="00546503">
        <w:trPr>
          <w:trHeight w:val="50"/>
        </w:trPr>
        <w:tc>
          <w:tcPr>
            <w:tcW w:w="661" w:type="pct"/>
            <w:tcBorders>
              <w:top w:val="nil"/>
              <w:left w:val="single" w:sz="4" w:space="0" w:color="auto"/>
              <w:bottom w:val="single" w:sz="4" w:space="0" w:color="auto"/>
              <w:right w:val="single" w:sz="4" w:space="0" w:color="auto"/>
            </w:tcBorders>
            <w:shd w:val="clear" w:color="auto" w:fill="auto"/>
            <w:hideMark/>
          </w:tcPr>
          <w:p w14:paraId="2A7AA30B" w14:textId="77777777" w:rsidR="006F2F19" w:rsidRPr="00B0221D" w:rsidRDefault="006F2F19" w:rsidP="00546503">
            <w:pPr>
              <w:jc w:val="left"/>
              <w:rPr>
                <w:color w:val="000000"/>
                <w:sz w:val="20"/>
                <w:szCs w:val="20"/>
                <w:lang w:val="en-CA"/>
              </w:rPr>
            </w:pPr>
            <w:r w:rsidRPr="00B0221D">
              <w:rPr>
                <w:color w:val="000000"/>
                <w:sz w:val="20"/>
                <w:szCs w:val="20"/>
                <w:lang w:val="en-CA"/>
              </w:rPr>
              <w:t>Domestic travel</w:t>
            </w:r>
          </w:p>
        </w:tc>
        <w:tc>
          <w:tcPr>
            <w:tcW w:w="383" w:type="pct"/>
            <w:tcBorders>
              <w:top w:val="nil"/>
              <w:left w:val="nil"/>
              <w:bottom w:val="single" w:sz="4" w:space="0" w:color="auto"/>
              <w:right w:val="single" w:sz="4" w:space="0" w:color="auto"/>
            </w:tcBorders>
            <w:shd w:val="clear" w:color="auto" w:fill="auto"/>
            <w:vAlign w:val="center"/>
            <w:hideMark/>
          </w:tcPr>
          <w:p w14:paraId="3DCD9BDD"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37" w:type="pct"/>
            <w:tcBorders>
              <w:top w:val="nil"/>
              <w:left w:val="nil"/>
              <w:bottom w:val="single" w:sz="4" w:space="0" w:color="auto"/>
              <w:right w:val="single" w:sz="4" w:space="0" w:color="auto"/>
            </w:tcBorders>
            <w:shd w:val="clear" w:color="auto" w:fill="auto"/>
            <w:vAlign w:val="center"/>
            <w:hideMark/>
          </w:tcPr>
          <w:p w14:paraId="13E12FF9"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69" w:type="pct"/>
            <w:tcBorders>
              <w:top w:val="nil"/>
              <w:left w:val="nil"/>
              <w:bottom w:val="single" w:sz="4" w:space="0" w:color="auto"/>
              <w:right w:val="single" w:sz="4" w:space="0" w:color="auto"/>
            </w:tcBorders>
            <w:shd w:val="clear" w:color="auto" w:fill="auto"/>
            <w:vAlign w:val="center"/>
            <w:hideMark/>
          </w:tcPr>
          <w:p w14:paraId="40FA3042"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3" w:type="pct"/>
            <w:tcBorders>
              <w:top w:val="nil"/>
              <w:left w:val="nil"/>
              <w:bottom w:val="single" w:sz="4" w:space="0" w:color="auto"/>
              <w:right w:val="single" w:sz="4" w:space="0" w:color="auto"/>
            </w:tcBorders>
            <w:shd w:val="clear" w:color="auto" w:fill="auto"/>
            <w:vAlign w:val="center"/>
            <w:hideMark/>
          </w:tcPr>
          <w:p w14:paraId="591A34C8"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70" w:type="pct"/>
            <w:tcBorders>
              <w:top w:val="nil"/>
              <w:left w:val="nil"/>
              <w:bottom w:val="single" w:sz="4" w:space="0" w:color="auto"/>
              <w:right w:val="single" w:sz="4" w:space="0" w:color="auto"/>
            </w:tcBorders>
            <w:shd w:val="clear" w:color="auto" w:fill="auto"/>
            <w:vAlign w:val="center"/>
            <w:hideMark/>
          </w:tcPr>
          <w:p w14:paraId="5D67D092"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0" w:type="pct"/>
            <w:tcBorders>
              <w:top w:val="nil"/>
              <w:left w:val="nil"/>
              <w:bottom w:val="single" w:sz="4" w:space="0" w:color="auto"/>
              <w:right w:val="single" w:sz="4" w:space="0" w:color="auto"/>
            </w:tcBorders>
            <w:shd w:val="clear" w:color="auto" w:fill="auto"/>
            <w:vAlign w:val="center"/>
            <w:hideMark/>
          </w:tcPr>
          <w:p w14:paraId="72B94ACD"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44" w:type="pct"/>
            <w:tcBorders>
              <w:top w:val="nil"/>
              <w:left w:val="nil"/>
              <w:bottom w:val="single" w:sz="4" w:space="0" w:color="auto"/>
              <w:right w:val="single" w:sz="4" w:space="0" w:color="auto"/>
            </w:tcBorders>
            <w:shd w:val="clear" w:color="auto" w:fill="auto"/>
            <w:vAlign w:val="center"/>
            <w:hideMark/>
          </w:tcPr>
          <w:p w14:paraId="49778B8A"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92" w:type="pct"/>
            <w:tcBorders>
              <w:top w:val="nil"/>
              <w:left w:val="nil"/>
              <w:bottom w:val="single" w:sz="4" w:space="0" w:color="auto"/>
              <w:right w:val="single" w:sz="4" w:space="0" w:color="auto"/>
            </w:tcBorders>
            <w:shd w:val="clear" w:color="auto" w:fill="auto"/>
            <w:vAlign w:val="center"/>
            <w:hideMark/>
          </w:tcPr>
          <w:p w14:paraId="0A310AB9"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1981" w:type="pct"/>
            <w:tcBorders>
              <w:top w:val="nil"/>
              <w:left w:val="nil"/>
              <w:bottom w:val="single" w:sz="4" w:space="0" w:color="auto"/>
              <w:right w:val="single" w:sz="4" w:space="0" w:color="auto"/>
            </w:tcBorders>
            <w:shd w:val="clear" w:color="auto" w:fill="auto"/>
            <w:hideMark/>
          </w:tcPr>
          <w:p w14:paraId="167509AA" w14:textId="77777777" w:rsidR="006F2F19" w:rsidRPr="00B0221D" w:rsidRDefault="006F2F19" w:rsidP="00546503">
            <w:pPr>
              <w:rPr>
                <w:color w:val="000000"/>
                <w:sz w:val="20"/>
                <w:szCs w:val="20"/>
                <w:lang w:val="en-CA"/>
              </w:rPr>
            </w:pPr>
            <w:r w:rsidRPr="00B0221D">
              <w:rPr>
                <w:color w:val="000000"/>
                <w:sz w:val="20"/>
                <w:szCs w:val="20"/>
                <w:lang w:val="en-CA"/>
              </w:rPr>
              <w:t> </w:t>
            </w:r>
          </w:p>
        </w:tc>
      </w:tr>
      <w:tr w:rsidR="006F2F19" w:rsidRPr="00B0221D" w14:paraId="07196A48" w14:textId="77777777" w:rsidTr="00546503">
        <w:trPr>
          <w:trHeight w:val="155"/>
        </w:trPr>
        <w:tc>
          <w:tcPr>
            <w:tcW w:w="661" w:type="pct"/>
            <w:tcBorders>
              <w:top w:val="nil"/>
              <w:left w:val="single" w:sz="4" w:space="0" w:color="auto"/>
              <w:bottom w:val="single" w:sz="4" w:space="0" w:color="auto"/>
              <w:right w:val="single" w:sz="4" w:space="0" w:color="auto"/>
            </w:tcBorders>
            <w:shd w:val="clear" w:color="auto" w:fill="auto"/>
            <w:hideMark/>
          </w:tcPr>
          <w:p w14:paraId="66B7909A" w14:textId="77777777" w:rsidR="006F2F19" w:rsidRPr="00B0221D" w:rsidRDefault="006F2F19" w:rsidP="00546503">
            <w:pPr>
              <w:jc w:val="left"/>
              <w:rPr>
                <w:color w:val="000000"/>
                <w:sz w:val="20"/>
                <w:szCs w:val="20"/>
                <w:lang w:val="en-CA"/>
              </w:rPr>
            </w:pPr>
            <w:r w:rsidRPr="00B0221D">
              <w:rPr>
                <w:color w:val="000000"/>
                <w:sz w:val="20"/>
                <w:szCs w:val="20"/>
                <w:lang w:val="en-CA"/>
              </w:rPr>
              <w:t>International travel</w:t>
            </w:r>
          </w:p>
        </w:tc>
        <w:tc>
          <w:tcPr>
            <w:tcW w:w="383" w:type="pct"/>
            <w:tcBorders>
              <w:top w:val="nil"/>
              <w:left w:val="nil"/>
              <w:bottom w:val="single" w:sz="4" w:space="0" w:color="auto"/>
              <w:right w:val="single" w:sz="4" w:space="0" w:color="auto"/>
            </w:tcBorders>
            <w:shd w:val="clear" w:color="auto" w:fill="auto"/>
            <w:vAlign w:val="center"/>
            <w:hideMark/>
          </w:tcPr>
          <w:p w14:paraId="2B333F6F"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37" w:type="pct"/>
            <w:tcBorders>
              <w:top w:val="nil"/>
              <w:left w:val="nil"/>
              <w:bottom w:val="single" w:sz="4" w:space="0" w:color="auto"/>
              <w:right w:val="single" w:sz="4" w:space="0" w:color="auto"/>
            </w:tcBorders>
            <w:shd w:val="clear" w:color="auto" w:fill="auto"/>
            <w:vAlign w:val="center"/>
            <w:hideMark/>
          </w:tcPr>
          <w:p w14:paraId="681556D8"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69" w:type="pct"/>
            <w:tcBorders>
              <w:top w:val="nil"/>
              <w:left w:val="nil"/>
              <w:bottom w:val="single" w:sz="4" w:space="0" w:color="auto"/>
              <w:right w:val="single" w:sz="4" w:space="0" w:color="auto"/>
            </w:tcBorders>
            <w:shd w:val="clear" w:color="auto" w:fill="auto"/>
            <w:vAlign w:val="center"/>
            <w:hideMark/>
          </w:tcPr>
          <w:p w14:paraId="15B18E4A"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3" w:type="pct"/>
            <w:tcBorders>
              <w:top w:val="nil"/>
              <w:left w:val="nil"/>
              <w:bottom w:val="single" w:sz="4" w:space="0" w:color="auto"/>
              <w:right w:val="single" w:sz="4" w:space="0" w:color="auto"/>
            </w:tcBorders>
            <w:shd w:val="clear" w:color="auto" w:fill="auto"/>
            <w:vAlign w:val="center"/>
            <w:hideMark/>
          </w:tcPr>
          <w:p w14:paraId="57AC5CFC"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70" w:type="pct"/>
            <w:tcBorders>
              <w:top w:val="nil"/>
              <w:left w:val="nil"/>
              <w:bottom w:val="single" w:sz="4" w:space="0" w:color="auto"/>
              <w:right w:val="single" w:sz="4" w:space="0" w:color="auto"/>
            </w:tcBorders>
            <w:shd w:val="clear" w:color="auto" w:fill="auto"/>
            <w:vAlign w:val="center"/>
            <w:hideMark/>
          </w:tcPr>
          <w:p w14:paraId="0A7820EB"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0" w:type="pct"/>
            <w:tcBorders>
              <w:top w:val="nil"/>
              <w:left w:val="nil"/>
              <w:bottom w:val="single" w:sz="4" w:space="0" w:color="auto"/>
              <w:right w:val="single" w:sz="4" w:space="0" w:color="auto"/>
            </w:tcBorders>
            <w:shd w:val="clear" w:color="auto" w:fill="auto"/>
            <w:vAlign w:val="center"/>
            <w:hideMark/>
          </w:tcPr>
          <w:p w14:paraId="3D938407"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44" w:type="pct"/>
            <w:tcBorders>
              <w:top w:val="nil"/>
              <w:left w:val="nil"/>
              <w:bottom w:val="single" w:sz="4" w:space="0" w:color="auto"/>
              <w:right w:val="single" w:sz="4" w:space="0" w:color="auto"/>
            </w:tcBorders>
            <w:shd w:val="clear" w:color="auto" w:fill="auto"/>
            <w:vAlign w:val="center"/>
            <w:hideMark/>
          </w:tcPr>
          <w:p w14:paraId="5F3CE445"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92" w:type="pct"/>
            <w:tcBorders>
              <w:top w:val="nil"/>
              <w:left w:val="nil"/>
              <w:bottom w:val="single" w:sz="4" w:space="0" w:color="auto"/>
              <w:right w:val="single" w:sz="4" w:space="0" w:color="auto"/>
            </w:tcBorders>
            <w:shd w:val="clear" w:color="auto" w:fill="auto"/>
            <w:vAlign w:val="center"/>
            <w:hideMark/>
          </w:tcPr>
          <w:p w14:paraId="3E0E2234"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1981" w:type="pct"/>
            <w:tcBorders>
              <w:top w:val="nil"/>
              <w:left w:val="nil"/>
              <w:bottom w:val="single" w:sz="4" w:space="0" w:color="auto"/>
              <w:right w:val="single" w:sz="4" w:space="0" w:color="auto"/>
            </w:tcBorders>
            <w:shd w:val="clear" w:color="auto" w:fill="auto"/>
            <w:hideMark/>
          </w:tcPr>
          <w:p w14:paraId="3F42F763" w14:textId="77777777" w:rsidR="006F2F19" w:rsidRPr="00B0221D" w:rsidRDefault="006F2F19" w:rsidP="00546503">
            <w:pPr>
              <w:rPr>
                <w:color w:val="000000"/>
                <w:sz w:val="20"/>
                <w:szCs w:val="20"/>
                <w:lang w:val="en-CA"/>
              </w:rPr>
            </w:pPr>
            <w:r w:rsidRPr="00B0221D">
              <w:rPr>
                <w:color w:val="000000"/>
                <w:sz w:val="20"/>
                <w:szCs w:val="20"/>
                <w:lang w:val="en-CA"/>
              </w:rPr>
              <w:t> </w:t>
            </w:r>
          </w:p>
        </w:tc>
      </w:tr>
      <w:tr w:rsidR="006F2F19" w:rsidRPr="00B0221D" w14:paraId="4677FFCF" w14:textId="77777777" w:rsidTr="00546503">
        <w:trPr>
          <w:trHeight w:val="59"/>
        </w:trPr>
        <w:tc>
          <w:tcPr>
            <w:tcW w:w="661" w:type="pct"/>
            <w:tcBorders>
              <w:top w:val="nil"/>
              <w:left w:val="single" w:sz="4" w:space="0" w:color="auto"/>
              <w:bottom w:val="single" w:sz="4" w:space="0" w:color="auto"/>
              <w:right w:val="single" w:sz="4" w:space="0" w:color="auto"/>
            </w:tcBorders>
            <w:shd w:val="clear" w:color="auto" w:fill="auto"/>
            <w:hideMark/>
          </w:tcPr>
          <w:p w14:paraId="750F1369" w14:textId="77777777" w:rsidR="006F2F19" w:rsidRPr="00B0221D" w:rsidRDefault="006F2F19" w:rsidP="00546503">
            <w:pPr>
              <w:jc w:val="left"/>
              <w:rPr>
                <w:color w:val="000000"/>
                <w:sz w:val="20"/>
                <w:szCs w:val="20"/>
                <w:lang w:val="en-CA"/>
              </w:rPr>
            </w:pPr>
            <w:r w:rsidRPr="00B0221D">
              <w:rPr>
                <w:color w:val="000000"/>
                <w:sz w:val="20"/>
                <w:szCs w:val="20"/>
                <w:lang w:val="en-CA"/>
              </w:rPr>
              <w:t>Domestic meeting</w:t>
            </w:r>
          </w:p>
        </w:tc>
        <w:tc>
          <w:tcPr>
            <w:tcW w:w="383" w:type="pct"/>
            <w:tcBorders>
              <w:top w:val="nil"/>
              <w:left w:val="nil"/>
              <w:bottom w:val="single" w:sz="4" w:space="0" w:color="auto"/>
              <w:right w:val="single" w:sz="4" w:space="0" w:color="auto"/>
            </w:tcBorders>
            <w:shd w:val="clear" w:color="auto" w:fill="auto"/>
            <w:vAlign w:val="center"/>
            <w:hideMark/>
          </w:tcPr>
          <w:p w14:paraId="5E689961"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37" w:type="pct"/>
            <w:tcBorders>
              <w:top w:val="nil"/>
              <w:left w:val="nil"/>
              <w:bottom w:val="single" w:sz="4" w:space="0" w:color="auto"/>
              <w:right w:val="single" w:sz="4" w:space="0" w:color="auto"/>
            </w:tcBorders>
            <w:shd w:val="clear" w:color="auto" w:fill="auto"/>
            <w:vAlign w:val="center"/>
            <w:hideMark/>
          </w:tcPr>
          <w:p w14:paraId="6DD1105A"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69" w:type="pct"/>
            <w:tcBorders>
              <w:top w:val="nil"/>
              <w:left w:val="nil"/>
              <w:bottom w:val="single" w:sz="4" w:space="0" w:color="auto"/>
              <w:right w:val="single" w:sz="4" w:space="0" w:color="auto"/>
            </w:tcBorders>
            <w:shd w:val="clear" w:color="auto" w:fill="auto"/>
            <w:vAlign w:val="center"/>
            <w:hideMark/>
          </w:tcPr>
          <w:p w14:paraId="086D3F0A"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3" w:type="pct"/>
            <w:tcBorders>
              <w:top w:val="nil"/>
              <w:left w:val="nil"/>
              <w:bottom w:val="single" w:sz="4" w:space="0" w:color="auto"/>
              <w:right w:val="single" w:sz="4" w:space="0" w:color="auto"/>
            </w:tcBorders>
            <w:shd w:val="clear" w:color="auto" w:fill="auto"/>
            <w:vAlign w:val="center"/>
            <w:hideMark/>
          </w:tcPr>
          <w:p w14:paraId="62181D4D"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70" w:type="pct"/>
            <w:tcBorders>
              <w:top w:val="nil"/>
              <w:left w:val="nil"/>
              <w:bottom w:val="single" w:sz="4" w:space="0" w:color="auto"/>
              <w:right w:val="single" w:sz="4" w:space="0" w:color="auto"/>
            </w:tcBorders>
            <w:shd w:val="clear" w:color="auto" w:fill="auto"/>
            <w:vAlign w:val="center"/>
            <w:hideMark/>
          </w:tcPr>
          <w:p w14:paraId="5228F56D"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0" w:type="pct"/>
            <w:tcBorders>
              <w:top w:val="nil"/>
              <w:left w:val="nil"/>
              <w:bottom w:val="single" w:sz="4" w:space="0" w:color="auto"/>
              <w:right w:val="single" w:sz="4" w:space="0" w:color="auto"/>
            </w:tcBorders>
            <w:shd w:val="clear" w:color="auto" w:fill="auto"/>
            <w:vAlign w:val="center"/>
            <w:hideMark/>
          </w:tcPr>
          <w:p w14:paraId="085C4A5E"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44" w:type="pct"/>
            <w:tcBorders>
              <w:top w:val="nil"/>
              <w:left w:val="nil"/>
              <w:bottom w:val="single" w:sz="4" w:space="0" w:color="auto"/>
              <w:right w:val="single" w:sz="4" w:space="0" w:color="auto"/>
            </w:tcBorders>
            <w:shd w:val="clear" w:color="auto" w:fill="auto"/>
            <w:vAlign w:val="center"/>
            <w:hideMark/>
          </w:tcPr>
          <w:p w14:paraId="579D9D9D"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92" w:type="pct"/>
            <w:tcBorders>
              <w:top w:val="nil"/>
              <w:left w:val="nil"/>
              <w:bottom w:val="single" w:sz="4" w:space="0" w:color="auto"/>
              <w:right w:val="single" w:sz="4" w:space="0" w:color="auto"/>
            </w:tcBorders>
            <w:shd w:val="clear" w:color="auto" w:fill="auto"/>
            <w:vAlign w:val="center"/>
            <w:hideMark/>
          </w:tcPr>
          <w:p w14:paraId="54B462FB"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1981" w:type="pct"/>
            <w:tcBorders>
              <w:top w:val="nil"/>
              <w:left w:val="nil"/>
              <w:bottom w:val="single" w:sz="4" w:space="0" w:color="auto"/>
              <w:right w:val="single" w:sz="4" w:space="0" w:color="auto"/>
            </w:tcBorders>
            <w:shd w:val="clear" w:color="auto" w:fill="auto"/>
            <w:hideMark/>
          </w:tcPr>
          <w:p w14:paraId="274613F2" w14:textId="77777777" w:rsidR="006F2F19" w:rsidRPr="00B0221D" w:rsidRDefault="006F2F19" w:rsidP="00546503">
            <w:pPr>
              <w:rPr>
                <w:color w:val="000000"/>
                <w:sz w:val="18"/>
                <w:szCs w:val="18"/>
                <w:lang w:val="en-CA"/>
              </w:rPr>
            </w:pPr>
            <w:r w:rsidRPr="00B0221D">
              <w:rPr>
                <w:color w:val="000000"/>
                <w:sz w:val="18"/>
                <w:szCs w:val="18"/>
                <w:lang w:val="en-CA"/>
              </w:rPr>
              <w:t>Costs for venue, equipment rental and other costs</w:t>
            </w:r>
          </w:p>
        </w:tc>
      </w:tr>
      <w:tr w:rsidR="006F2F19" w:rsidRPr="00B0221D" w14:paraId="59F44F4E" w14:textId="77777777" w:rsidTr="00546503">
        <w:trPr>
          <w:trHeight w:val="300"/>
        </w:trPr>
        <w:tc>
          <w:tcPr>
            <w:tcW w:w="661" w:type="pct"/>
            <w:tcBorders>
              <w:top w:val="nil"/>
              <w:left w:val="single" w:sz="4" w:space="0" w:color="auto"/>
              <w:bottom w:val="single" w:sz="4" w:space="0" w:color="auto"/>
              <w:right w:val="single" w:sz="4" w:space="0" w:color="auto"/>
            </w:tcBorders>
            <w:shd w:val="clear" w:color="auto" w:fill="auto"/>
            <w:hideMark/>
          </w:tcPr>
          <w:p w14:paraId="049D7A53" w14:textId="77777777" w:rsidR="006F2F19" w:rsidRPr="00B0221D" w:rsidRDefault="006F2F19" w:rsidP="00546503">
            <w:pPr>
              <w:jc w:val="left"/>
              <w:rPr>
                <w:color w:val="000000"/>
                <w:sz w:val="20"/>
                <w:szCs w:val="20"/>
                <w:lang w:val="en-CA"/>
              </w:rPr>
            </w:pPr>
            <w:r w:rsidRPr="00B0221D">
              <w:rPr>
                <w:color w:val="000000"/>
                <w:sz w:val="20"/>
                <w:szCs w:val="20"/>
                <w:lang w:val="en-CA"/>
              </w:rPr>
              <w:t>International meetings</w:t>
            </w:r>
          </w:p>
        </w:tc>
        <w:tc>
          <w:tcPr>
            <w:tcW w:w="383" w:type="pct"/>
            <w:tcBorders>
              <w:top w:val="nil"/>
              <w:left w:val="nil"/>
              <w:bottom w:val="single" w:sz="4" w:space="0" w:color="auto"/>
              <w:right w:val="single" w:sz="4" w:space="0" w:color="auto"/>
            </w:tcBorders>
            <w:shd w:val="clear" w:color="auto" w:fill="auto"/>
            <w:vAlign w:val="center"/>
            <w:hideMark/>
          </w:tcPr>
          <w:p w14:paraId="286A78A1"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37" w:type="pct"/>
            <w:tcBorders>
              <w:top w:val="nil"/>
              <w:left w:val="nil"/>
              <w:bottom w:val="single" w:sz="4" w:space="0" w:color="auto"/>
              <w:right w:val="single" w:sz="4" w:space="0" w:color="auto"/>
            </w:tcBorders>
            <w:shd w:val="clear" w:color="auto" w:fill="auto"/>
            <w:vAlign w:val="center"/>
            <w:hideMark/>
          </w:tcPr>
          <w:p w14:paraId="17A26DFD"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69" w:type="pct"/>
            <w:tcBorders>
              <w:top w:val="nil"/>
              <w:left w:val="nil"/>
              <w:bottom w:val="single" w:sz="4" w:space="0" w:color="auto"/>
              <w:right w:val="single" w:sz="4" w:space="0" w:color="auto"/>
            </w:tcBorders>
            <w:shd w:val="clear" w:color="auto" w:fill="auto"/>
            <w:vAlign w:val="center"/>
            <w:hideMark/>
          </w:tcPr>
          <w:p w14:paraId="4D6250E9"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3" w:type="pct"/>
            <w:tcBorders>
              <w:top w:val="nil"/>
              <w:left w:val="nil"/>
              <w:bottom w:val="single" w:sz="4" w:space="0" w:color="auto"/>
              <w:right w:val="single" w:sz="4" w:space="0" w:color="auto"/>
            </w:tcBorders>
            <w:shd w:val="clear" w:color="auto" w:fill="auto"/>
            <w:vAlign w:val="center"/>
            <w:hideMark/>
          </w:tcPr>
          <w:p w14:paraId="4FC6D7DB"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70" w:type="pct"/>
            <w:tcBorders>
              <w:top w:val="nil"/>
              <w:left w:val="nil"/>
              <w:bottom w:val="single" w:sz="4" w:space="0" w:color="auto"/>
              <w:right w:val="single" w:sz="4" w:space="0" w:color="auto"/>
            </w:tcBorders>
            <w:shd w:val="clear" w:color="auto" w:fill="auto"/>
            <w:vAlign w:val="center"/>
            <w:hideMark/>
          </w:tcPr>
          <w:p w14:paraId="1A53C4E7"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0" w:type="pct"/>
            <w:tcBorders>
              <w:top w:val="nil"/>
              <w:left w:val="nil"/>
              <w:bottom w:val="single" w:sz="4" w:space="0" w:color="auto"/>
              <w:right w:val="single" w:sz="4" w:space="0" w:color="auto"/>
            </w:tcBorders>
            <w:shd w:val="clear" w:color="auto" w:fill="auto"/>
            <w:vAlign w:val="center"/>
            <w:hideMark/>
          </w:tcPr>
          <w:p w14:paraId="1AB58B51"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44" w:type="pct"/>
            <w:tcBorders>
              <w:top w:val="nil"/>
              <w:left w:val="nil"/>
              <w:bottom w:val="single" w:sz="4" w:space="0" w:color="auto"/>
              <w:right w:val="single" w:sz="4" w:space="0" w:color="auto"/>
            </w:tcBorders>
            <w:shd w:val="clear" w:color="auto" w:fill="auto"/>
            <w:vAlign w:val="center"/>
            <w:hideMark/>
          </w:tcPr>
          <w:p w14:paraId="41AE5B26"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92" w:type="pct"/>
            <w:tcBorders>
              <w:top w:val="nil"/>
              <w:left w:val="nil"/>
              <w:bottom w:val="single" w:sz="4" w:space="0" w:color="auto"/>
              <w:right w:val="single" w:sz="4" w:space="0" w:color="auto"/>
            </w:tcBorders>
            <w:shd w:val="clear" w:color="auto" w:fill="auto"/>
            <w:vAlign w:val="center"/>
            <w:hideMark/>
          </w:tcPr>
          <w:p w14:paraId="58EB8789"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1981" w:type="pct"/>
            <w:tcBorders>
              <w:top w:val="nil"/>
              <w:left w:val="nil"/>
              <w:bottom w:val="single" w:sz="4" w:space="0" w:color="auto"/>
              <w:right w:val="single" w:sz="4" w:space="0" w:color="auto"/>
            </w:tcBorders>
            <w:shd w:val="clear" w:color="auto" w:fill="auto"/>
            <w:hideMark/>
          </w:tcPr>
          <w:p w14:paraId="5EBB7E97" w14:textId="77777777" w:rsidR="006F2F19" w:rsidRPr="00B0221D" w:rsidRDefault="006F2F19" w:rsidP="00546503">
            <w:pPr>
              <w:rPr>
                <w:color w:val="000000"/>
                <w:sz w:val="18"/>
                <w:szCs w:val="18"/>
                <w:lang w:val="en-CA"/>
              </w:rPr>
            </w:pPr>
            <w:r w:rsidRPr="00B0221D">
              <w:rPr>
                <w:color w:val="000000"/>
                <w:sz w:val="18"/>
                <w:szCs w:val="18"/>
                <w:lang w:val="en-CA"/>
              </w:rPr>
              <w:t>Please specify which meeting and number of participants</w:t>
            </w:r>
          </w:p>
        </w:tc>
      </w:tr>
      <w:tr w:rsidR="006F2F19" w:rsidRPr="00B0221D" w14:paraId="73F63A39" w14:textId="77777777" w:rsidTr="00546503">
        <w:trPr>
          <w:trHeight w:val="1020"/>
        </w:trPr>
        <w:tc>
          <w:tcPr>
            <w:tcW w:w="661" w:type="pct"/>
            <w:tcBorders>
              <w:top w:val="nil"/>
              <w:left w:val="single" w:sz="4" w:space="0" w:color="auto"/>
              <w:bottom w:val="single" w:sz="4" w:space="0" w:color="auto"/>
              <w:right w:val="single" w:sz="4" w:space="0" w:color="auto"/>
            </w:tcBorders>
            <w:shd w:val="clear" w:color="auto" w:fill="auto"/>
            <w:hideMark/>
          </w:tcPr>
          <w:p w14:paraId="0C93451F" w14:textId="77777777" w:rsidR="006F2F19" w:rsidRPr="00B0221D" w:rsidRDefault="006F2F19" w:rsidP="00546503">
            <w:pPr>
              <w:jc w:val="left"/>
              <w:rPr>
                <w:color w:val="000000"/>
                <w:sz w:val="20"/>
                <w:szCs w:val="20"/>
                <w:lang w:val="en-CA"/>
              </w:rPr>
            </w:pPr>
            <w:r w:rsidRPr="00B0221D">
              <w:rPr>
                <w:color w:val="000000"/>
                <w:sz w:val="20"/>
                <w:szCs w:val="20"/>
                <w:lang w:val="en-CA"/>
              </w:rPr>
              <w:t>Consulting service</w:t>
            </w:r>
          </w:p>
        </w:tc>
        <w:tc>
          <w:tcPr>
            <w:tcW w:w="383" w:type="pct"/>
            <w:tcBorders>
              <w:top w:val="nil"/>
              <w:left w:val="nil"/>
              <w:bottom w:val="single" w:sz="4" w:space="0" w:color="auto"/>
              <w:right w:val="single" w:sz="4" w:space="0" w:color="auto"/>
            </w:tcBorders>
            <w:shd w:val="clear" w:color="auto" w:fill="auto"/>
            <w:vAlign w:val="center"/>
            <w:hideMark/>
          </w:tcPr>
          <w:p w14:paraId="08CF6B51"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37" w:type="pct"/>
            <w:tcBorders>
              <w:top w:val="nil"/>
              <w:left w:val="nil"/>
              <w:bottom w:val="single" w:sz="4" w:space="0" w:color="auto"/>
              <w:right w:val="single" w:sz="4" w:space="0" w:color="auto"/>
            </w:tcBorders>
            <w:shd w:val="clear" w:color="auto" w:fill="auto"/>
            <w:vAlign w:val="center"/>
            <w:hideMark/>
          </w:tcPr>
          <w:p w14:paraId="1854A69E"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69" w:type="pct"/>
            <w:tcBorders>
              <w:top w:val="nil"/>
              <w:left w:val="nil"/>
              <w:bottom w:val="single" w:sz="4" w:space="0" w:color="auto"/>
              <w:right w:val="single" w:sz="4" w:space="0" w:color="auto"/>
            </w:tcBorders>
            <w:shd w:val="clear" w:color="auto" w:fill="auto"/>
            <w:vAlign w:val="center"/>
            <w:hideMark/>
          </w:tcPr>
          <w:p w14:paraId="0288CAFA"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3" w:type="pct"/>
            <w:tcBorders>
              <w:top w:val="nil"/>
              <w:left w:val="nil"/>
              <w:bottom w:val="single" w:sz="4" w:space="0" w:color="auto"/>
              <w:right w:val="single" w:sz="4" w:space="0" w:color="auto"/>
            </w:tcBorders>
            <w:shd w:val="clear" w:color="auto" w:fill="auto"/>
            <w:vAlign w:val="center"/>
            <w:hideMark/>
          </w:tcPr>
          <w:p w14:paraId="54DF888C"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70" w:type="pct"/>
            <w:tcBorders>
              <w:top w:val="nil"/>
              <w:left w:val="nil"/>
              <w:bottom w:val="single" w:sz="4" w:space="0" w:color="auto"/>
              <w:right w:val="single" w:sz="4" w:space="0" w:color="auto"/>
            </w:tcBorders>
            <w:shd w:val="clear" w:color="auto" w:fill="auto"/>
            <w:vAlign w:val="center"/>
            <w:hideMark/>
          </w:tcPr>
          <w:p w14:paraId="1E8657C1"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0" w:type="pct"/>
            <w:tcBorders>
              <w:top w:val="nil"/>
              <w:left w:val="nil"/>
              <w:bottom w:val="single" w:sz="4" w:space="0" w:color="auto"/>
              <w:right w:val="single" w:sz="4" w:space="0" w:color="auto"/>
            </w:tcBorders>
            <w:shd w:val="clear" w:color="auto" w:fill="auto"/>
            <w:vAlign w:val="center"/>
            <w:hideMark/>
          </w:tcPr>
          <w:p w14:paraId="22E13905"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44" w:type="pct"/>
            <w:tcBorders>
              <w:top w:val="nil"/>
              <w:left w:val="nil"/>
              <w:bottom w:val="single" w:sz="4" w:space="0" w:color="auto"/>
              <w:right w:val="single" w:sz="4" w:space="0" w:color="auto"/>
            </w:tcBorders>
            <w:shd w:val="clear" w:color="auto" w:fill="auto"/>
            <w:vAlign w:val="center"/>
            <w:hideMark/>
          </w:tcPr>
          <w:p w14:paraId="3555273E"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92" w:type="pct"/>
            <w:tcBorders>
              <w:top w:val="nil"/>
              <w:left w:val="nil"/>
              <w:bottom w:val="single" w:sz="4" w:space="0" w:color="auto"/>
              <w:right w:val="single" w:sz="4" w:space="0" w:color="auto"/>
            </w:tcBorders>
            <w:shd w:val="clear" w:color="auto" w:fill="auto"/>
            <w:vAlign w:val="center"/>
            <w:hideMark/>
          </w:tcPr>
          <w:p w14:paraId="1ECF58BB"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1981" w:type="pct"/>
            <w:tcBorders>
              <w:top w:val="nil"/>
              <w:left w:val="nil"/>
              <w:bottom w:val="single" w:sz="4" w:space="0" w:color="auto"/>
              <w:right w:val="single" w:sz="4" w:space="0" w:color="auto"/>
            </w:tcBorders>
            <w:shd w:val="clear" w:color="auto" w:fill="auto"/>
            <w:hideMark/>
          </w:tcPr>
          <w:p w14:paraId="138BC44B" w14:textId="77777777" w:rsidR="006F2F19" w:rsidRPr="00B0221D" w:rsidRDefault="006F2F19" w:rsidP="00546503">
            <w:pPr>
              <w:rPr>
                <w:color w:val="000000"/>
                <w:sz w:val="18"/>
                <w:szCs w:val="18"/>
                <w:lang w:val="en-CA"/>
              </w:rPr>
            </w:pPr>
            <w:r w:rsidRPr="00B0221D">
              <w:rPr>
                <w:color w:val="000000"/>
                <w:sz w:val="18"/>
                <w:szCs w:val="18"/>
                <w:lang w:val="en-CA"/>
              </w:rPr>
              <w:t>Consulting institutions and experts hired for project evaluation, financial and technical verification, technical review, bidding evaluation, technical support etc. Would also include contractual staff to help with high workload or special events, such as meetings, exhibitions and workshops, as well as translation-related costs</w:t>
            </w:r>
          </w:p>
        </w:tc>
      </w:tr>
      <w:tr w:rsidR="006F2F19" w:rsidRPr="00B0221D" w14:paraId="3AC529D7" w14:textId="77777777" w:rsidTr="00546503">
        <w:trPr>
          <w:trHeight w:val="300"/>
        </w:trPr>
        <w:tc>
          <w:tcPr>
            <w:tcW w:w="661" w:type="pct"/>
            <w:tcBorders>
              <w:top w:val="nil"/>
              <w:left w:val="single" w:sz="4" w:space="0" w:color="auto"/>
              <w:bottom w:val="single" w:sz="4" w:space="0" w:color="auto"/>
              <w:right w:val="single" w:sz="4" w:space="0" w:color="auto"/>
            </w:tcBorders>
            <w:shd w:val="clear" w:color="auto" w:fill="auto"/>
            <w:hideMark/>
          </w:tcPr>
          <w:p w14:paraId="482499C3"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Sub-total sector costs</w:t>
            </w:r>
          </w:p>
        </w:tc>
        <w:tc>
          <w:tcPr>
            <w:tcW w:w="383" w:type="pct"/>
            <w:tcBorders>
              <w:top w:val="nil"/>
              <w:left w:val="nil"/>
              <w:bottom w:val="single" w:sz="4" w:space="0" w:color="auto"/>
              <w:right w:val="single" w:sz="4" w:space="0" w:color="auto"/>
            </w:tcBorders>
            <w:shd w:val="clear" w:color="auto" w:fill="auto"/>
            <w:vAlign w:val="center"/>
            <w:hideMark/>
          </w:tcPr>
          <w:p w14:paraId="3F2BADD3"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37" w:type="pct"/>
            <w:tcBorders>
              <w:top w:val="nil"/>
              <w:left w:val="nil"/>
              <w:bottom w:val="single" w:sz="4" w:space="0" w:color="auto"/>
              <w:right w:val="single" w:sz="4" w:space="0" w:color="auto"/>
            </w:tcBorders>
            <w:shd w:val="clear" w:color="auto" w:fill="auto"/>
            <w:vAlign w:val="center"/>
            <w:hideMark/>
          </w:tcPr>
          <w:p w14:paraId="09B84548"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369" w:type="pct"/>
            <w:tcBorders>
              <w:top w:val="nil"/>
              <w:left w:val="nil"/>
              <w:bottom w:val="single" w:sz="4" w:space="0" w:color="auto"/>
              <w:right w:val="single" w:sz="4" w:space="0" w:color="auto"/>
            </w:tcBorders>
            <w:shd w:val="clear" w:color="auto" w:fill="auto"/>
            <w:vAlign w:val="center"/>
            <w:hideMark/>
          </w:tcPr>
          <w:p w14:paraId="7D469586"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3" w:type="pct"/>
            <w:tcBorders>
              <w:top w:val="nil"/>
              <w:left w:val="nil"/>
              <w:bottom w:val="single" w:sz="4" w:space="0" w:color="auto"/>
              <w:right w:val="single" w:sz="4" w:space="0" w:color="auto"/>
            </w:tcBorders>
            <w:shd w:val="clear" w:color="auto" w:fill="auto"/>
            <w:vAlign w:val="center"/>
            <w:hideMark/>
          </w:tcPr>
          <w:p w14:paraId="17E322A1"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70" w:type="pct"/>
            <w:tcBorders>
              <w:top w:val="nil"/>
              <w:left w:val="nil"/>
              <w:bottom w:val="single" w:sz="4" w:space="0" w:color="auto"/>
              <w:right w:val="single" w:sz="4" w:space="0" w:color="auto"/>
            </w:tcBorders>
            <w:shd w:val="clear" w:color="auto" w:fill="auto"/>
            <w:vAlign w:val="center"/>
            <w:hideMark/>
          </w:tcPr>
          <w:p w14:paraId="7FB43228"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30" w:type="pct"/>
            <w:tcBorders>
              <w:top w:val="nil"/>
              <w:left w:val="nil"/>
              <w:bottom w:val="single" w:sz="4" w:space="0" w:color="auto"/>
              <w:right w:val="single" w:sz="4" w:space="0" w:color="auto"/>
            </w:tcBorders>
            <w:shd w:val="clear" w:color="auto" w:fill="auto"/>
            <w:vAlign w:val="center"/>
            <w:hideMark/>
          </w:tcPr>
          <w:p w14:paraId="3EF52729"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44" w:type="pct"/>
            <w:tcBorders>
              <w:top w:val="nil"/>
              <w:left w:val="nil"/>
              <w:bottom w:val="single" w:sz="4" w:space="0" w:color="auto"/>
              <w:right w:val="single" w:sz="4" w:space="0" w:color="auto"/>
            </w:tcBorders>
            <w:shd w:val="clear" w:color="auto" w:fill="auto"/>
            <w:vAlign w:val="center"/>
            <w:hideMark/>
          </w:tcPr>
          <w:p w14:paraId="5DEC28D5"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292" w:type="pct"/>
            <w:tcBorders>
              <w:top w:val="nil"/>
              <w:left w:val="nil"/>
              <w:bottom w:val="single" w:sz="4" w:space="0" w:color="auto"/>
              <w:right w:val="single" w:sz="4" w:space="0" w:color="auto"/>
            </w:tcBorders>
            <w:shd w:val="clear" w:color="auto" w:fill="auto"/>
            <w:vAlign w:val="center"/>
            <w:hideMark/>
          </w:tcPr>
          <w:p w14:paraId="47E76485"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1981" w:type="pct"/>
            <w:tcBorders>
              <w:top w:val="nil"/>
              <w:left w:val="nil"/>
              <w:bottom w:val="single" w:sz="4" w:space="0" w:color="auto"/>
              <w:right w:val="single" w:sz="4" w:space="0" w:color="auto"/>
            </w:tcBorders>
            <w:shd w:val="clear" w:color="auto" w:fill="auto"/>
            <w:hideMark/>
          </w:tcPr>
          <w:p w14:paraId="130826CC" w14:textId="77777777" w:rsidR="006F2F19" w:rsidRPr="00B0221D" w:rsidRDefault="006F2F19" w:rsidP="00546503">
            <w:pPr>
              <w:rPr>
                <w:color w:val="000000"/>
                <w:sz w:val="20"/>
                <w:szCs w:val="20"/>
                <w:lang w:val="en-CA"/>
              </w:rPr>
            </w:pPr>
            <w:r w:rsidRPr="00B0221D">
              <w:rPr>
                <w:color w:val="000000"/>
                <w:sz w:val="20"/>
                <w:szCs w:val="20"/>
                <w:lang w:val="en-CA"/>
              </w:rPr>
              <w:t> </w:t>
            </w:r>
          </w:p>
        </w:tc>
      </w:tr>
      <w:tr w:rsidR="006F2F19" w:rsidRPr="00B0221D" w14:paraId="737ED9C0" w14:textId="77777777" w:rsidTr="00546503">
        <w:trPr>
          <w:trHeight w:val="300"/>
        </w:trPr>
        <w:tc>
          <w:tcPr>
            <w:tcW w:w="661" w:type="pct"/>
            <w:tcBorders>
              <w:top w:val="nil"/>
              <w:left w:val="single" w:sz="4" w:space="0" w:color="auto"/>
              <w:bottom w:val="single" w:sz="4" w:space="0" w:color="auto"/>
              <w:right w:val="single" w:sz="4" w:space="0" w:color="auto"/>
            </w:tcBorders>
            <w:shd w:val="clear" w:color="auto" w:fill="auto"/>
            <w:hideMark/>
          </w:tcPr>
          <w:p w14:paraId="38E2ECC1" w14:textId="77777777" w:rsidR="006F2F19" w:rsidRPr="00B0221D" w:rsidRDefault="006F2F19" w:rsidP="00546503">
            <w:pPr>
              <w:jc w:val="center"/>
              <w:rPr>
                <w:b/>
                <w:bCs/>
                <w:color w:val="000000"/>
                <w:sz w:val="20"/>
                <w:szCs w:val="20"/>
                <w:lang w:val="en-CA"/>
              </w:rPr>
            </w:pPr>
            <w:r w:rsidRPr="00B0221D">
              <w:rPr>
                <w:b/>
                <w:bCs/>
                <w:color w:val="000000"/>
                <w:sz w:val="20"/>
                <w:szCs w:val="20"/>
                <w:lang w:val="en-CA"/>
              </w:rPr>
              <w:t>Shared costs</w:t>
            </w:r>
          </w:p>
        </w:tc>
        <w:tc>
          <w:tcPr>
            <w:tcW w:w="4339" w:type="pct"/>
            <w:gridSpan w:val="9"/>
            <w:tcBorders>
              <w:top w:val="single" w:sz="4" w:space="0" w:color="auto"/>
              <w:left w:val="nil"/>
              <w:bottom w:val="single" w:sz="4" w:space="0" w:color="auto"/>
              <w:right w:val="single" w:sz="4" w:space="0" w:color="auto"/>
            </w:tcBorders>
            <w:shd w:val="clear" w:color="auto" w:fill="auto"/>
            <w:vAlign w:val="center"/>
            <w:hideMark/>
          </w:tcPr>
          <w:p w14:paraId="74A1852C" w14:textId="77777777" w:rsidR="006F2F19" w:rsidRPr="00B0221D" w:rsidRDefault="006F2F19" w:rsidP="00546503">
            <w:pPr>
              <w:jc w:val="center"/>
              <w:rPr>
                <w:color w:val="000000"/>
                <w:sz w:val="20"/>
                <w:szCs w:val="20"/>
                <w:lang w:val="en-CA"/>
              </w:rPr>
            </w:pPr>
            <w:r w:rsidRPr="00B0221D">
              <w:rPr>
                <w:color w:val="000000"/>
                <w:sz w:val="20"/>
                <w:szCs w:val="20"/>
                <w:lang w:val="en-CA"/>
              </w:rPr>
              <w:t> </w:t>
            </w:r>
          </w:p>
        </w:tc>
      </w:tr>
      <w:tr w:rsidR="006F2F19" w:rsidRPr="00B0221D" w14:paraId="735C675C" w14:textId="77777777" w:rsidTr="00546503">
        <w:trPr>
          <w:trHeight w:val="510"/>
        </w:trPr>
        <w:tc>
          <w:tcPr>
            <w:tcW w:w="661" w:type="pct"/>
            <w:tcBorders>
              <w:top w:val="nil"/>
              <w:left w:val="single" w:sz="4" w:space="0" w:color="auto"/>
              <w:bottom w:val="single" w:sz="4" w:space="0" w:color="auto"/>
              <w:right w:val="single" w:sz="4" w:space="0" w:color="auto"/>
            </w:tcBorders>
            <w:shd w:val="clear" w:color="auto" w:fill="auto"/>
            <w:hideMark/>
          </w:tcPr>
          <w:p w14:paraId="647482D3" w14:textId="77777777" w:rsidR="006F2F19" w:rsidRPr="00B0221D" w:rsidRDefault="006F2F19" w:rsidP="00546503">
            <w:pPr>
              <w:jc w:val="left"/>
              <w:rPr>
                <w:color w:val="000000"/>
                <w:sz w:val="20"/>
                <w:szCs w:val="20"/>
                <w:lang w:val="en-CA"/>
              </w:rPr>
            </w:pPr>
            <w:r w:rsidRPr="00B0221D">
              <w:rPr>
                <w:color w:val="000000"/>
                <w:sz w:val="20"/>
                <w:szCs w:val="20"/>
                <w:lang w:val="en-CA"/>
              </w:rPr>
              <w:t>Supporting staff</w:t>
            </w:r>
          </w:p>
        </w:tc>
        <w:tc>
          <w:tcPr>
            <w:tcW w:w="383" w:type="pct"/>
            <w:tcBorders>
              <w:top w:val="nil"/>
              <w:left w:val="nil"/>
              <w:bottom w:val="single" w:sz="4" w:space="0" w:color="auto"/>
              <w:right w:val="single" w:sz="4" w:space="0" w:color="auto"/>
            </w:tcBorders>
            <w:shd w:val="clear" w:color="auto" w:fill="auto"/>
            <w:vAlign w:val="center"/>
            <w:hideMark/>
          </w:tcPr>
          <w:p w14:paraId="64CBBE07" w14:textId="77777777" w:rsidR="006F2F19" w:rsidRPr="00B0221D" w:rsidRDefault="006F2F19" w:rsidP="00546503">
            <w:pPr>
              <w:rPr>
                <w:color w:val="000000"/>
                <w:sz w:val="20"/>
                <w:szCs w:val="20"/>
                <w:lang w:val="en-CA"/>
              </w:rPr>
            </w:pPr>
            <w:r w:rsidRPr="00B0221D">
              <w:rPr>
                <w:color w:val="000000"/>
                <w:sz w:val="20"/>
                <w:szCs w:val="20"/>
                <w:lang w:val="en-CA"/>
              </w:rPr>
              <w:t> </w:t>
            </w:r>
          </w:p>
        </w:tc>
        <w:tc>
          <w:tcPr>
            <w:tcW w:w="1976" w:type="pct"/>
            <w:gridSpan w:val="7"/>
            <w:tcBorders>
              <w:top w:val="single" w:sz="4" w:space="0" w:color="auto"/>
              <w:left w:val="nil"/>
              <w:bottom w:val="single" w:sz="4" w:space="0" w:color="auto"/>
              <w:right w:val="single" w:sz="4" w:space="0" w:color="auto"/>
            </w:tcBorders>
            <w:shd w:val="clear" w:color="auto" w:fill="auto"/>
            <w:vAlign w:val="center"/>
            <w:hideMark/>
          </w:tcPr>
          <w:p w14:paraId="77460987" w14:textId="77777777" w:rsidR="006F2F19" w:rsidRPr="00B0221D" w:rsidRDefault="006F2F19" w:rsidP="00546503">
            <w:pPr>
              <w:jc w:val="center"/>
              <w:rPr>
                <w:color w:val="000000"/>
                <w:sz w:val="20"/>
                <w:szCs w:val="20"/>
                <w:lang w:val="en-CA"/>
              </w:rPr>
            </w:pPr>
            <w:r w:rsidRPr="00B0221D">
              <w:rPr>
                <w:color w:val="000000"/>
                <w:sz w:val="20"/>
                <w:szCs w:val="20"/>
                <w:lang w:val="en-CA"/>
              </w:rPr>
              <w:t> </w:t>
            </w:r>
          </w:p>
        </w:tc>
        <w:tc>
          <w:tcPr>
            <w:tcW w:w="1981" w:type="pct"/>
            <w:tcBorders>
              <w:top w:val="nil"/>
              <w:left w:val="nil"/>
              <w:bottom w:val="single" w:sz="4" w:space="0" w:color="auto"/>
              <w:right w:val="single" w:sz="4" w:space="0" w:color="auto"/>
            </w:tcBorders>
            <w:shd w:val="clear" w:color="auto" w:fill="auto"/>
            <w:vAlign w:val="center"/>
            <w:hideMark/>
          </w:tcPr>
          <w:p w14:paraId="54E86AF7" w14:textId="77777777" w:rsidR="006F2F19" w:rsidRPr="00B0221D" w:rsidRDefault="006F2F19" w:rsidP="00546503">
            <w:pPr>
              <w:rPr>
                <w:color w:val="000000"/>
                <w:sz w:val="18"/>
                <w:szCs w:val="18"/>
                <w:lang w:val="en-CA"/>
              </w:rPr>
            </w:pPr>
            <w:r w:rsidRPr="00B0221D">
              <w:rPr>
                <w:color w:val="000000"/>
                <w:sz w:val="18"/>
                <w:szCs w:val="18"/>
                <w:lang w:val="en-CA"/>
              </w:rPr>
              <w:t>Costs associated with apportioned supporting staff e.g., financial division, division of contract management, general affairs division, and other relevant divisions</w:t>
            </w:r>
          </w:p>
        </w:tc>
      </w:tr>
      <w:tr w:rsidR="006F2F19" w:rsidRPr="00B0221D" w14:paraId="776F75D7" w14:textId="77777777" w:rsidTr="00546503">
        <w:trPr>
          <w:trHeight w:val="510"/>
        </w:trPr>
        <w:tc>
          <w:tcPr>
            <w:tcW w:w="661" w:type="pct"/>
            <w:tcBorders>
              <w:top w:val="nil"/>
              <w:left w:val="single" w:sz="4" w:space="0" w:color="auto"/>
              <w:bottom w:val="single" w:sz="4" w:space="0" w:color="auto"/>
              <w:right w:val="single" w:sz="4" w:space="0" w:color="auto"/>
            </w:tcBorders>
            <w:shd w:val="clear" w:color="auto" w:fill="auto"/>
            <w:hideMark/>
          </w:tcPr>
          <w:p w14:paraId="3AF62843" w14:textId="77777777" w:rsidR="006F2F19" w:rsidRPr="00B0221D" w:rsidRDefault="006F2F19" w:rsidP="00546503">
            <w:pPr>
              <w:jc w:val="left"/>
              <w:rPr>
                <w:color w:val="000000"/>
                <w:sz w:val="20"/>
                <w:szCs w:val="20"/>
                <w:lang w:val="en-CA"/>
              </w:rPr>
            </w:pPr>
            <w:r w:rsidRPr="00B0221D">
              <w:rPr>
                <w:color w:val="000000"/>
                <w:sz w:val="20"/>
                <w:szCs w:val="20"/>
                <w:lang w:val="en-CA"/>
              </w:rPr>
              <w:t xml:space="preserve">Computer, internet, post, phone, printing, etc. </w:t>
            </w:r>
          </w:p>
        </w:tc>
        <w:tc>
          <w:tcPr>
            <w:tcW w:w="383" w:type="pct"/>
            <w:tcBorders>
              <w:top w:val="nil"/>
              <w:left w:val="nil"/>
              <w:bottom w:val="single" w:sz="4" w:space="0" w:color="auto"/>
              <w:right w:val="single" w:sz="4" w:space="0" w:color="auto"/>
            </w:tcBorders>
            <w:shd w:val="clear" w:color="auto" w:fill="auto"/>
            <w:vAlign w:val="center"/>
            <w:hideMark/>
          </w:tcPr>
          <w:p w14:paraId="1073654A" w14:textId="77777777" w:rsidR="006F2F19" w:rsidRPr="00B0221D" w:rsidRDefault="006F2F19" w:rsidP="00546503">
            <w:pPr>
              <w:jc w:val="left"/>
              <w:rPr>
                <w:color w:val="000000"/>
                <w:sz w:val="20"/>
                <w:szCs w:val="20"/>
                <w:lang w:val="en-CA"/>
              </w:rPr>
            </w:pPr>
            <w:r w:rsidRPr="00B0221D">
              <w:rPr>
                <w:color w:val="000000"/>
                <w:sz w:val="20"/>
                <w:szCs w:val="20"/>
                <w:lang w:val="en-CA"/>
              </w:rPr>
              <w:t> </w:t>
            </w:r>
          </w:p>
        </w:tc>
        <w:tc>
          <w:tcPr>
            <w:tcW w:w="1976" w:type="pct"/>
            <w:gridSpan w:val="7"/>
            <w:tcBorders>
              <w:top w:val="single" w:sz="4" w:space="0" w:color="auto"/>
              <w:left w:val="nil"/>
              <w:bottom w:val="single" w:sz="4" w:space="0" w:color="auto"/>
              <w:right w:val="single" w:sz="4" w:space="0" w:color="000000"/>
            </w:tcBorders>
            <w:shd w:val="clear" w:color="auto" w:fill="auto"/>
            <w:vAlign w:val="center"/>
            <w:hideMark/>
          </w:tcPr>
          <w:p w14:paraId="36017E48" w14:textId="77777777" w:rsidR="006F2F19" w:rsidRPr="00B0221D" w:rsidRDefault="006F2F19" w:rsidP="00546503">
            <w:pPr>
              <w:jc w:val="center"/>
              <w:rPr>
                <w:color w:val="000000"/>
                <w:sz w:val="20"/>
                <w:szCs w:val="20"/>
                <w:lang w:val="en-CA"/>
              </w:rPr>
            </w:pPr>
            <w:r w:rsidRPr="00B0221D">
              <w:rPr>
                <w:color w:val="000000"/>
                <w:sz w:val="20"/>
                <w:szCs w:val="20"/>
                <w:lang w:val="en-CA"/>
              </w:rPr>
              <w:t> </w:t>
            </w:r>
          </w:p>
        </w:tc>
        <w:tc>
          <w:tcPr>
            <w:tcW w:w="1981" w:type="pct"/>
            <w:tcBorders>
              <w:top w:val="nil"/>
              <w:left w:val="nil"/>
              <w:bottom w:val="single" w:sz="4" w:space="0" w:color="auto"/>
              <w:right w:val="single" w:sz="4" w:space="0" w:color="auto"/>
            </w:tcBorders>
            <w:shd w:val="clear" w:color="auto" w:fill="auto"/>
            <w:vAlign w:val="center"/>
            <w:hideMark/>
          </w:tcPr>
          <w:p w14:paraId="7256650C" w14:textId="77777777" w:rsidR="006F2F19" w:rsidRPr="00B0221D" w:rsidRDefault="006F2F19" w:rsidP="00546503">
            <w:pPr>
              <w:rPr>
                <w:color w:val="000000"/>
                <w:sz w:val="20"/>
                <w:szCs w:val="20"/>
                <w:lang w:val="en-CA"/>
              </w:rPr>
            </w:pPr>
            <w:r w:rsidRPr="00B0221D">
              <w:rPr>
                <w:color w:val="000000"/>
                <w:sz w:val="20"/>
                <w:szCs w:val="20"/>
                <w:lang w:val="en-CA"/>
              </w:rPr>
              <w:t> </w:t>
            </w:r>
          </w:p>
        </w:tc>
      </w:tr>
      <w:tr w:rsidR="006F2F19" w:rsidRPr="00B0221D" w14:paraId="19D05829" w14:textId="77777777" w:rsidTr="00546503">
        <w:trPr>
          <w:trHeight w:val="510"/>
        </w:trPr>
        <w:tc>
          <w:tcPr>
            <w:tcW w:w="661" w:type="pct"/>
            <w:tcBorders>
              <w:top w:val="nil"/>
              <w:left w:val="single" w:sz="4" w:space="0" w:color="auto"/>
              <w:bottom w:val="single" w:sz="4" w:space="0" w:color="auto"/>
              <w:right w:val="single" w:sz="4" w:space="0" w:color="auto"/>
            </w:tcBorders>
            <w:shd w:val="clear" w:color="auto" w:fill="auto"/>
            <w:hideMark/>
          </w:tcPr>
          <w:p w14:paraId="0A08BC4F" w14:textId="77777777" w:rsidR="006F2F19" w:rsidRPr="00B0221D" w:rsidRDefault="006F2F19" w:rsidP="00546503">
            <w:pPr>
              <w:jc w:val="left"/>
              <w:rPr>
                <w:color w:val="000000"/>
                <w:sz w:val="20"/>
                <w:szCs w:val="20"/>
                <w:lang w:val="en-CA"/>
              </w:rPr>
            </w:pPr>
            <w:r w:rsidRPr="00B0221D">
              <w:rPr>
                <w:color w:val="000000"/>
                <w:sz w:val="20"/>
                <w:szCs w:val="20"/>
                <w:lang w:val="en-CA"/>
              </w:rPr>
              <w:t>Office operation service and maintenance, utilities</w:t>
            </w:r>
          </w:p>
        </w:tc>
        <w:tc>
          <w:tcPr>
            <w:tcW w:w="383" w:type="pct"/>
            <w:tcBorders>
              <w:top w:val="nil"/>
              <w:left w:val="nil"/>
              <w:bottom w:val="single" w:sz="4" w:space="0" w:color="auto"/>
              <w:right w:val="single" w:sz="4" w:space="0" w:color="auto"/>
            </w:tcBorders>
            <w:shd w:val="clear" w:color="auto" w:fill="auto"/>
            <w:vAlign w:val="center"/>
            <w:hideMark/>
          </w:tcPr>
          <w:p w14:paraId="0C2CD847" w14:textId="77777777" w:rsidR="006F2F19" w:rsidRPr="00B0221D" w:rsidRDefault="006F2F19" w:rsidP="00546503">
            <w:pPr>
              <w:jc w:val="left"/>
              <w:rPr>
                <w:color w:val="000000"/>
                <w:sz w:val="20"/>
                <w:szCs w:val="20"/>
                <w:lang w:val="en-CA"/>
              </w:rPr>
            </w:pPr>
            <w:r w:rsidRPr="00B0221D">
              <w:rPr>
                <w:color w:val="000000"/>
                <w:sz w:val="20"/>
                <w:szCs w:val="20"/>
                <w:lang w:val="en-CA"/>
              </w:rPr>
              <w:t> </w:t>
            </w:r>
          </w:p>
        </w:tc>
        <w:tc>
          <w:tcPr>
            <w:tcW w:w="1976" w:type="pct"/>
            <w:gridSpan w:val="7"/>
            <w:tcBorders>
              <w:top w:val="single" w:sz="4" w:space="0" w:color="auto"/>
              <w:left w:val="nil"/>
              <w:bottom w:val="single" w:sz="4" w:space="0" w:color="auto"/>
              <w:right w:val="single" w:sz="4" w:space="0" w:color="000000"/>
            </w:tcBorders>
            <w:shd w:val="clear" w:color="auto" w:fill="auto"/>
            <w:vAlign w:val="center"/>
            <w:hideMark/>
          </w:tcPr>
          <w:p w14:paraId="2F71CA66" w14:textId="77777777" w:rsidR="006F2F19" w:rsidRPr="00B0221D" w:rsidRDefault="006F2F19" w:rsidP="00546503">
            <w:pPr>
              <w:jc w:val="center"/>
              <w:rPr>
                <w:color w:val="000000"/>
                <w:sz w:val="20"/>
                <w:szCs w:val="20"/>
                <w:lang w:val="en-CA"/>
              </w:rPr>
            </w:pPr>
            <w:r w:rsidRPr="00B0221D">
              <w:rPr>
                <w:color w:val="000000"/>
                <w:sz w:val="20"/>
                <w:szCs w:val="20"/>
                <w:lang w:val="en-CA"/>
              </w:rPr>
              <w:t> </w:t>
            </w:r>
          </w:p>
        </w:tc>
        <w:tc>
          <w:tcPr>
            <w:tcW w:w="1981" w:type="pct"/>
            <w:tcBorders>
              <w:top w:val="nil"/>
              <w:left w:val="nil"/>
              <w:bottom w:val="single" w:sz="4" w:space="0" w:color="auto"/>
              <w:right w:val="single" w:sz="4" w:space="0" w:color="auto"/>
            </w:tcBorders>
            <w:shd w:val="clear" w:color="auto" w:fill="auto"/>
            <w:vAlign w:val="center"/>
            <w:hideMark/>
          </w:tcPr>
          <w:p w14:paraId="3B6E8425" w14:textId="77777777" w:rsidR="006F2F19" w:rsidRPr="00B0221D" w:rsidRDefault="006F2F19" w:rsidP="00546503">
            <w:pPr>
              <w:rPr>
                <w:color w:val="000000"/>
                <w:sz w:val="20"/>
                <w:szCs w:val="20"/>
                <w:lang w:val="en-CA"/>
              </w:rPr>
            </w:pPr>
            <w:r w:rsidRPr="00B0221D">
              <w:rPr>
                <w:color w:val="000000"/>
                <w:sz w:val="20"/>
                <w:szCs w:val="20"/>
                <w:lang w:val="en-CA"/>
              </w:rPr>
              <w:t> </w:t>
            </w:r>
          </w:p>
        </w:tc>
      </w:tr>
      <w:tr w:rsidR="006F2F19" w:rsidRPr="00B0221D" w14:paraId="53B4E391" w14:textId="77777777" w:rsidTr="00546503">
        <w:trPr>
          <w:trHeight w:val="146"/>
        </w:trPr>
        <w:tc>
          <w:tcPr>
            <w:tcW w:w="661" w:type="pct"/>
            <w:tcBorders>
              <w:top w:val="nil"/>
              <w:left w:val="single" w:sz="4" w:space="0" w:color="auto"/>
              <w:bottom w:val="single" w:sz="4" w:space="0" w:color="auto"/>
              <w:right w:val="single" w:sz="4" w:space="0" w:color="auto"/>
            </w:tcBorders>
            <w:shd w:val="clear" w:color="auto" w:fill="auto"/>
            <w:hideMark/>
          </w:tcPr>
          <w:p w14:paraId="68D2D2C4" w14:textId="77777777" w:rsidR="006F2F19" w:rsidRPr="00B0221D" w:rsidRDefault="006F2F19" w:rsidP="00546503">
            <w:pPr>
              <w:rPr>
                <w:b/>
                <w:bCs/>
                <w:color w:val="000000"/>
                <w:sz w:val="20"/>
                <w:szCs w:val="20"/>
                <w:lang w:val="en-CA"/>
              </w:rPr>
            </w:pPr>
            <w:r w:rsidRPr="00B0221D">
              <w:rPr>
                <w:b/>
                <w:bCs/>
                <w:color w:val="000000"/>
                <w:sz w:val="20"/>
                <w:szCs w:val="20"/>
                <w:lang w:val="en-CA"/>
              </w:rPr>
              <w:t>Total</w:t>
            </w:r>
          </w:p>
        </w:tc>
        <w:tc>
          <w:tcPr>
            <w:tcW w:w="383" w:type="pct"/>
            <w:tcBorders>
              <w:top w:val="nil"/>
              <w:left w:val="nil"/>
              <w:bottom w:val="single" w:sz="4" w:space="0" w:color="auto"/>
              <w:right w:val="single" w:sz="4" w:space="0" w:color="auto"/>
            </w:tcBorders>
            <w:shd w:val="clear" w:color="auto" w:fill="auto"/>
            <w:vAlign w:val="center"/>
            <w:hideMark/>
          </w:tcPr>
          <w:p w14:paraId="7AEC9A0B" w14:textId="77777777" w:rsidR="006F2F19" w:rsidRPr="00B0221D" w:rsidRDefault="006F2F19" w:rsidP="00546503">
            <w:pPr>
              <w:rPr>
                <w:b/>
                <w:bCs/>
                <w:color w:val="000000"/>
                <w:sz w:val="20"/>
                <w:szCs w:val="20"/>
                <w:lang w:val="en-CA"/>
              </w:rPr>
            </w:pPr>
            <w:r w:rsidRPr="00B0221D">
              <w:rPr>
                <w:b/>
                <w:bCs/>
                <w:color w:val="000000"/>
                <w:sz w:val="20"/>
                <w:szCs w:val="20"/>
                <w:lang w:val="en-CA"/>
              </w:rPr>
              <w:t> </w:t>
            </w:r>
          </w:p>
        </w:tc>
        <w:tc>
          <w:tcPr>
            <w:tcW w:w="337" w:type="pct"/>
            <w:tcBorders>
              <w:top w:val="nil"/>
              <w:left w:val="nil"/>
              <w:bottom w:val="single" w:sz="4" w:space="0" w:color="auto"/>
              <w:right w:val="single" w:sz="4" w:space="0" w:color="auto"/>
            </w:tcBorders>
            <w:shd w:val="clear" w:color="auto" w:fill="auto"/>
            <w:vAlign w:val="center"/>
            <w:hideMark/>
          </w:tcPr>
          <w:p w14:paraId="61DE86F7" w14:textId="77777777" w:rsidR="006F2F19" w:rsidRPr="00B0221D" w:rsidRDefault="006F2F19" w:rsidP="00546503">
            <w:pPr>
              <w:jc w:val="left"/>
              <w:rPr>
                <w:b/>
                <w:bCs/>
                <w:color w:val="000000"/>
                <w:sz w:val="20"/>
                <w:szCs w:val="20"/>
                <w:lang w:val="en-CA"/>
              </w:rPr>
            </w:pPr>
            <w:r w:rsidRPr="00B0221D">
              <w:rPr>
                <w:b/>
                <w:bCs/>
                <w:color w:val="000000"/>
                <w:sz w:val="20"/>
                <w:szCs w:val="20"/>
                <w:lang w:val="en-CA"/>
              </w:rPr>
              <w:t> </w:t>
            </w:r>
          </w:p>
        </w:tc>
        <w:tc>
          <w:tcPr>
            <w:tcW w:w="369" w:type="pct"/>
            <w:tcBorders>
              <w:top w:val="nil"/>
              <w:left w:val="nil"/>
              <w:bottom w:val="single" w:sz="4" w:space="0" w:color="auto"/>
              <w:right w:val="single" w:sz="4" w:space="0" w:color="auto"/>
            </w:tcBorders>
            <w:shd w:val="clear" w:color="auto" w:fill="auto"/>
            <w:vAlign w:val="center"/>
            <w:hideMark/>
          </w:tcPr>
          <w:p w14:paraId="30EC8C05" w14:textId="77777777" w:rsidR="006F2F19" w:rsidRPr="00B0221D" w:rsidRDefault="006F2F19" w:rsidP="00546503">
            <w:pPr>
              <w:jc w:val="left"/>
              <w:rPr>
                <w:b/>
                <w:bCs/>
                <w:color w:val="000000"/>
                <w:sz w:val="20"/>
                <w:szCs w:val="20"/>
                <w:lang w:val="en-CA"/>
              </w:rPr>
            </w:pPr>
            <w:r w:rsidRPr="00B0221D">
              <w:rPr>
                <w:b/>
                <w:bCs/>
                <w:color w:val="000000"/>
                <w:sz w:val="20"/>
                <w:szCs w:val="20"/>
                <w:lang w:val="en-CA"/>
              </w:rPr>
              <w:t> </w:t>
            </w:r>
          </w:p>
        </w:tc>
        <w:tc>
          <w:tcPr>
            <w:tcW w:w="233" w:type="pct"/>
            <w:tcBorders>
              <w:top w:val="nil"/>
              <w:left w:val="nil"/>
              <w:bottom w:val="single" w:sz="4" w:space="0" w:color="auto"/>
              <w:right w:val="single" w:sz="4" w:space="0" w:color="auto"/>
            </w:tcBorders>
            <w:shd w:val="clear" w:color="auto" w:fill="auto"/>
            <w:vAlign w:val="center"/>
            <w:hideMark/>
          </w:tcPr>
          <w:p w14:paraId="7DC470EE" w14:textId="77777777" w:rsidR="006F2F19" w:rsidRPr="00B0221D" w:rsidRDefault="006F2F19" w:rsidP="00546503">
            <w:pPr>
              <w:jc w:val="left"/>
              <w:rPr>
                <w:b/>
                <w:bCs/>
                <w:color w:val="000000"/>
                <w:sz w:val="20"/>
                <w:szCs w:val="20"/>
                <w:lang w:val="en-CA"/>
              </w:rPr>
            </w:pPr>
            <w:r w:rsidRPr="00B0221D">
              <w:rPr>
                <w:b/>
                <w:bCs/>
                <w:color w:val="000000"/>
                <w:sz w:val="20"/>
                <w:szCs w:val="20"/>
                <w:lang w:val="en-CA"/>
              </w:rPr>
              <w:t> </w:t>
            </w:r>
          </w:p>
        </w:tc>
        <w:tc>
          <w:tcPr>
            <w:tcW w:w="270" w:type="pct"/>
            <w:tcBorders>
              <w:top w:val="nil"/>
              <w:left w:val="nil"/>
              <w:bottom w:val="single" w:sz="4" w:space="0" w:color="auto"/>
              <w:right w:val="single" w:sz="4" w:space="0" w:color="auto"/>
            </w:tcBorders>
            <w:shd w:val="clear" w:color="auto" w:fill="auto"/>
            <w:vAlign w:val="center"/>
            <w:hideMark/>
          </w:tcPr>
          <w:p w14:paraId="742D67D9" w14:textId="77777777" w:rsidR="006F2F19" w:rsidRPr="00B0221D" w:rsidRDefault="006F2F19" w:rsidP="00546503">
            <w:pPr>
              <w:jc w:val="left"/>
              <w:rPr>
                <w:b/>
                <w:bCs/>
                <w:color w:val="000000"/>
                <w:sz w:val="20"/>
                <w:szCs w:val="20"/>
                <w:lang w:val="en-CA"/>
              </w:rPr>
            </w:pPr>
            <w:r w:rsidRPr="00B0221D">
              <w:rPr>
                <w:b/>
                <w:bCs/>
                <w:color w:val="000000"/>
                <w:sz w:val="20"/>
                <w:szCs w:val="20"/>
                <w:lang w:val="en-CA"/>
              </w:rPr>
              <w:t> </w:t>
            </w:r>
          </w:p>
        </w:tc>
        <w:tc>
          <w:tcPr>
            <w:tcW w:w="230" w:type="pct"/>
            <w:tcBorders>
              <w:top w:val="nil"/>
              <w:left w:val="nil"/>
              <w:bottom w:val="single" w:sz="4" w:space="0" w:color="auto"/>
              <w:right w:val="single" w:sz="4" w:space="0" w:color="auto"/>
            </w:tcBorders>
            <w:shd w:val="clear" w:color="auto" w:fill="auto"/>
            <w:vAlign w:val="center"/>
            <w:hideMark/>
          </w:tcPr>
          <w:p w14:paraId="0CF5E6BF" w14:textId="77777777" w:rsidR="006F2F19" w:rsidRPr="00B0221D" w:rsidRDefault="006F2F19" w:rsidP="00546503">
            <w:pPr>
              <w:jc w:val="left"/>
              <w:rPr>
                <w:b/>
                <w:bCs/>
                <w:color w:val="000000"/>
                <w:sz w:val="20"/>
                <w:szCs w:val="20"/>
                <w:lang w:val="en-CA"/>
              </w:rPr>
            </w:pPr>
            <w:r w:rsidRPr="00B0221D">
              <w:rPr>
                <w:b/>
                <w:bCs/>
                <w:color w:val="000000"/>
                <w:sz w:val="20"/>
                <w:szCs w:val="20"/>
                <w:lang w:val="en-CA"/>
              </w:rPr>
              <w:t> </w:t>
            </w:r>
          </w:p>
        </w:tc>
        <w:tc>
          <w:tcPr>
            <w:tcW w:w="244" w:type="pct"/>
            <w:tcBorders>
              <w:top w:val="nil"/>
              <w:left w:val="nil"/>
              <w:bottom w:val="single" w:sz="4" w:space="0" w:color="auto"/>
              <w:right w:val="single" w:sz="4" w:space="0" w:color="auto"/>
            </w:tcBorders>
            <w:shd w:val="clear" w:color="auto" w:fill="auto"/>
            <w:vAlign w:val="center"/>
            <w:hideMark/>
          </w:tcPr>
          <w:p w14:paraId="50A1EB0D" w14:textId="77777777" w:rsidR="006F2F19" w:rsidRPr="00B0221D" w:rsidRDefault="006F2F19" w:rsidP="00546503">
            <w:pPr>
              <w:jc w:val="left"/>
              <w:rPr>
                <w:b/>
                <w:bCs/>
                <w:color w:val="000000"/>
                <w:sz w:val="20"/>
                <w:szCs w:val="20"/>
                <w:lang w:val="en-CA"/>
              </w:rPr>
            </w:pPr>
            <w:r w:rsidRPr="00B0221D">
              <w:rPr>
                <w:b/>
                <w:bCs/>
                <w:color w:val="000000"/>
                <w:sz w:val="20"/>
                <w:szCs w:val="20"/>
                <w:lang w:val="en-CA"/>
              </w:rPr>
              <w:t> </w:t>
            </w:r>
          </w:p>
        </w:tc>
        <w:tc>
          <w:tcPr>
            <w:tcW w:w="292" w:type="pct"/>
            <w:tcBorders>
              <w:top w:val="nil"/>
              <w:left w:val="nil"/>
              <w:bottom w:val="single" w:sz="4" w:space="0" w:color="auto"/>
              <w:right w:val="single" w:sz="4" w:space="0" w:color="auto"/>
            </w:tcBorders>
            <w:shd w:val="clear" w:color="auto" w:fill="auto"/>
            <w:vAlign w:val="center"/>
            <w:hideMark/>
          </w:tcPr>
          <w:p w14:paraId="6EC33E5E" w14:textId="77777777" w:rsidR="006F2F19" w:rsidRPr="00B0221D" w:rsidRDefault="006F2F19" w:rsidP="00546503">
            <w:pPr>
              <w:jc w:val="left"/>
              <w:rPr>
                <w:b/>
                <w:bCs/>
                <w:color w:val="000000"/>
                <w:sz w:val="20"/>
                <w:szCs w:val="20"/>
                <w:lang w:val="en-CA"/>
              </w:rPr>
            </w:pPr>
            <w:r w:rsidRPr="00B0221D">
              <w:rPr>
                <w:b/>
                <w:bCs/>
                <w:color w:val="000000"/>
                <w:sz w:val="20"/>
                <w:szCs w:val="20"/>
                <w:lang w:val="en-CA"/>
              </w:rPr>
              <w:t> </w:t>
            </w:r>
          </w:p>
        </w:tc>
        <w:tc>
          <w:tcPr>
            <w:tcW w:w="1981" w:type="pct"/>
            <w:tcBorders>
              <w:top w:val="nil"/>
              <w:left w:val="nil"/>
              <w:bottom w:val="single" w:sz="4" w:space="0" w:color="auto"/>
              <w:right w:val="single" w:sz="4" w:space="0" w:color="auto"/>
            </w:tcBorders>
            <w:shd w:val="clear" w:color="auto" w:fill="auto"/>
            <w:vAlign w:val="center"/>
            <w:hideMark/>
          </w:tcPr>
          <w:p w14:paraId="533C8486" w14:textId="77777777" w:rsidR="006F2F19" w:rsidRPr="00B0221D" w:rsidRDefault="006F2F19" w:rsidP="00546503">
            <w:pPr>
              <w:rPr>
                <w:b/>
                <w:bCs/>
                <w:color w:val="000000"/>
                <w:sz w:val="20"/>
                <w:szCs w:val="20"/>
                <w:lang w:val="en-CA"/>
              </w:rPr>
            </w:pPr>
            <w:r w:rsidRPr="00B0221D">
              <w:rPr>
                <w:b/>
                <w:bCs/>
                <w:color w:val="000000"/>
                <w:sz w:val="20"/>
                <w:szCs w:val="20"/>
                <w:lang w:val="en-CA"/>
              </w:rPr>
              <w:t> </w:t>
            </w:r>
          </w:p>
        </w:tc>
      </w:tr>
    </w:tbl>
    <w:p w14:paraId="5D8B182D" w14:textId="77777777" w:rsidR="006F2F19" w:rsidRPr="00B0221D" w:rsidRDefault="006F2F19" w:rsidP="006F2F19">
      <w:pPr>
        <w:rPr>
          <w:lang w:val="en-CA"/>
        </w:rPr>
      </w:pPr>
    </w:p>
    <w:p w14:paraId="3C2B62C5" w14:textId="77777777" w:rsidR="006F2F19" w:rsidRPr="00B0221D" w:rsidRDefault="006F2F19" w:rsidP="006F2F19">
      <w:pPr>
        <w:pStyle w:val="Heading2"/>
        <w:numPr>
          <w:ilvl w:val="0"/>
          <w:numId w:val="0"/>
        </w:numPr>
        <w:ind w:left="1440"/>
        <w:rPr>
          <w:lang w:val="en-CA"/>
        </w:rPr>
        <w:sectPr w:rsidR="006F2F19" w:rsidRPr="00B0221D" w:rsidSect="00546503">
          <w:headerReference w:type="first" r:id="rId34"/>
          <w:footerReference w:type="first" r:id="rId35"/>
          <w:pgSz w:w="15840" w:h="12240" w:orient="landscape" w:code="1"/>
          <w:pgMar w:top="1440" w:right="720" w:bottom="1440" w:left="864" w:header="720" w:footer="475" w:gutter="0"/>
          <w:pgNumType w:start="1"/>
          <w:cols w:space="720"/>
          <w:titlePg/>
          <w:docGrid w:linePitch="299"/>
        </w:sectPr>
      </w:pPr>
    </w:p>
    <w:p w14:paraId="6778F309" w14:textId="77777777" w:rsidR="006F2F19" w:rsidRPr="00B0221D" w:rsidRDefault="006F2F19" w:rsidP="006F2F19">
      <w:pPr>
        <w:jc w:val="center"/>
        <w:rPr>
          <w:b/>
          <w:lang w:val="en-CA"/>
        </w:rPr>
      </w:pPr>
    </w:p>
    <w:p w14:paraId="26108773" w14:textId="77777777" w:rsidR="006F2F19" w:rsidRPr="00B0221D" w:rsidRDefault="006F2F19" w:rsidP="006F2F19">
      <w:pPr>
        <w:jc w:val="center"/>
        <w:rPr>
          <w:b/>
          <w:lang w:val="en-CA"/>
        </w:rPr>
      </w:pPr>
      <w:r w:rsidRPr="00B0221D">
        <w:rPr>
          <w:b/>
          <w:lang w:val="en-CA"/>
        </w:rPr>
        <w:t>Annex II</w:t>
      </w:r>
    </w:p>
    <w:p w14:paraId="6328FED2" w14:textId="77777777" w:rsidR="006F2F19" w:rsidRPr="00B0221D" w:rsidRDefault="006F2F19" w:rsidP="006F2F19">
      <w:pPr>
        <w:jc w:val="center"/>
        <w:rPr>
          <w:b/>
          <w:lang w:val="en-CA"/>
        </w:rPr>
      </w:pPr>
    </w:p>
    <w:p w14:paraId="36C4B966" w14:textId="77777777" w:rsidR="006F2F19" w:rsidRPr="00B0221D" w:rsidRDefault="006F2F19" w:rsidP="006F2F19">
      <w:pPr>
        <w:jc w:val="center"/>
        <w:rPr>
          <w:b/>
          <w:lang w:val="en-CA"/>
        </w:rPr>
      </w:pPr>
      <w:r w:rsidRPr="00B0221D">
        <w:rPr>
          <w:b/>
          <w:lang w:val="en-CA"/>
        </w:rPr>
        <w:t>DESCRIPTION OF ACTIVITIES CARRIED OUT BY THE PROJECT MANAGEMENT UNIT</w:t>
      </w:r>
    </w:p>
    <w:p w14:paraId="3409423E" w14:textId="77777777" w:rsidR="006F2F19" w:rsidRPr="00B0221D" w:rsidRDefault="006F2F19" w:rsidP="006F2F19">
      <w:pPr>
        <w:jc w:val="left"/>
        <w:rPr>
          <w:lang w:val="en-CA"/>
        </w:rPr>
      </w:pPr>
    </w:p>
    <w:p w14:paraId="623F033D" w14:textId="77777777" w:rsidR="006F2F19" w:rsidRPr="00B0221D" w:rsidRDefault="006F2F19" w:rsidP="006F2F19">
      <w:pPr>
        <w:pStyle w:val="Heading1"/>
        <w:numPr>
          <w:ilvl w:val="0"/>
          <w:numId w:val="28"/>
        </w:numPr>
        <w:rPr>
          <w:lang w:val="en-CA"/>
        </w:rPr>
      </w:pPr>
      <w:r w:rsidRPr="00B0221D">
        <w:rPr>
          <w:lang w:val="en-CA"/>
        </w:rPr>
        <w:t>The activities undertaken by the</w:t>
      </w:r>
      <w:r>
        <w:rPr>
          <w:lang w:val="en-CA"/>
        </w:rPr>
        <w:t xml:space="preserve"> project management unit (</w:t>
      </w:r>
      <w:r w:rsidRPr="00B0221D">
        <w:rPr>
          <w:lang w:val="en-CA"/>
        </w:rPr>
        <w:t>PMU</w:t>
      </w:r>
      <w:r>
        <w:rPr>
          <w:lang w:val="en-CA"/>
        </w:rPr>
        <w:t>)</w:t>
      </w:r>
      <w:r w:rsidRPr="00B0221D">
        <w:rPr>
          <w:lang w:val="en-CA"/>
        </w:rPr>
        <w:t xml:space="preserve"> can be categorize</w:t>
      </w:r>
      <w:r>
        <w:rPr>
          <w:lang w:val="en-CA"/>
        </w:rPr>
        <w:t>d</w:t>
      </w:r>
      <w:r w:rsidRPr="00B0221D">
        <w:rPr>
          <w:lang w:val="en-CA"/>
        </w:rPr>
        <w:t xml:space="preserve"> in the following groups: </w:t>
      </w:r>
    </w:p>
    <w:p w14:paraId="266C1646" w14:textId="77777777" w:rsidR="006F2F19" w:rsidRPr="00B0221D" w:rsidRDefault="006F2F19" w:rsidP="006F2F19">
      <w:pPr>
        <w:pStyle w:val="Heading2"/>
        <w:numPr>
          <w:ilvl w:val="1"/>
          <w:numId w:val="1"/>
        </w:numPr>
        <w:rPr>
          <w:lang w:val="en-CA"/>
        </w:rPr>
      </w:pPr>
      <w:r w:rsidRPr="00B0221D">
        <w:rPr>
          <w:lang w:val="en-CA"/>
        </w:rPr>
        <w:t xml:space="preserve">Policies and regulations development and enforcement; </w:t>
      </w:r>
    </w:p>
    <w:p w14:paraId="1B9F507A" w14:textId="77777777" w:rsidR="006F2F19" w:rsidRPr="00B0221D" w:rsidRDefault="006F2F19" w:rsidP="006F2F19">
      <w:pPr>
        <w:pStyle w:val="Heading2"/>
        <w:numPr>
          <w:ilvl w:val="1"/>
          <w:numId w:val="1"/>
        </w:numPr>
        <w:rPr>
          <w:lang w:val="en-CA"/>
        </w:rPr>
      </w:pPr>
      <w:r w:rsidRPr="00B0221D">
        <w:rPr>
          <w:lang w:val="en-CA"/>
        </w:rPr>
        <w:t>Coordinating and managing investment projects;</w:t>
      </w:r>
    </w:p>
    <w:p w14:paraId="49DF1204" w14:textId="77777777" w:rsidR="006F2F19" w:rsidRPr="00B0221D" w:rsidRDefault="006F2F19" w:rsidP="006F2F19">
      <w:pPr>
        <w:pStyle w:val="Heading2"/>
        <w:numPr>
          <w:ilvl w:val="1"/>
          <w:numId w:val="1"/>
        </w:numPr>
        <w:rPr>
          <w:lang w:val="en-CA"/>
        </w:rPr>
      </w:pPr>
      <w:r w:rsidRPr="00B0221D">
        <w:rPr>
          <w:lang w:val="en-CA"/>
        </w:rPr>
        <w:t>Coordinating and managing technical assistance</w:t>
      </w:r>
      <w:r>
        <w:rPr>
          <w:lang w:val="en-CA"/>
        </w:rPr>
        <w:t xml:space="preserve"> (TA)</w:t>
      </w:r>
      <w:r w:rsidRPr="00B0221D">
        <w:rPr>
          <w:lang w:val="en-CA"/>
        </w:rPr>
        <w:t xml:space="preserve"> activities;</w:t>
      </w:r>
    </w:p>
    <w:p w14:paraId="0DC2F80D" w14:textId="77777777" w:rsidR="006F2F19" w:rsidRPr="00B0221D" w:rsidRDefault="006F2F19" w:rsidP="006F2F19">
      <w:pPr>
        <w:pStyle w:val="Heading2"/>
        <w:numPr>
          <w:ilvl w:val="1"/>
          <w:numId w:val="1"/>
        </w:numPr>
        <w:rPr>
          <w:lang w:val="en-CA"/>
        </w:rPr>
      </w:pPr>
      <w:r w:rsidRPr="00B0221D">
        <w:rPr>
          <w:lang w:val="en-CA"/>
        </w:rPr>
        <w:t>Coordinating and organizing publicity, education and capacity building;</w:t>
      </w:r>
    </w:p>
    <w:p w14:paraId="0BB2C0F9" w14:textId="77777777" w:rsidR="006F2F19" w:rsidRPr="00B0221D" w:rsidRDefault="006F2F19" w:rsidP="006F2F19">
      <w:pPr>
        <w:pStyle w:val="Heading2"/>
        <w:numPr>
          <w:ilvl w:val="1"/>
          <w:numId w:val="1"/>
        </w:numPr>
        <w:rPr>
          <w:lang w:val="en-CA"/>
        </w:rPr>
      </w:pPr>
      <w:r w:rsidRPr="00B0221D">
        <w:rPr>
          <w:lang w:val="en-CA"/>
        </w:rPr>
        <w:t>HPMP and HPPMP coordination and management;</w:t>
      </w:r>
    </w:p>
    <w:p w14:paraId="63A1D76A" w14:textId="77777777" w:rsidR="006F2F19" w:rsidRPr="00B0221D" w:rsidRDefault="006F2F19" w:rsidP="006F2F19">
      <w:pPr>
        <w:pStyle w:val="Heading2"/>
        <w:numPr>
          <w:ilvl w:val="1"/>
          <w:numId w:val="1"/>
        </w:numPr>
        <w:rPr>
          <w:lang w:val="en-CA"/>
        </w:rPr>
      </w:pPr>
      <w:r w:rsidRPr="00B0221D">
        <w:rPr>
          <w:lang w:val="en-CA"/>
        </w:rPr>
        <w:t>Procurement of equipment and services; and</w:t>
      </w:r>
    </w:p>
    <w:p w14:paraId="52D1D7DF" w14:textId="77777777" w:rsidR="006F2F19" w:rsidRPr="00B0221D" w:rsidRDefault="006F2F19" w:rsidP="006F2F19">
      <w:pPr>
        <w:pStyle w:val="Heading2"/>
        <w:numPr>
          <w:ilvl w:val="1"/>
          <w:numId w:val="1"/>
        </w:numPr>
        <w:rPr>
          <w:lang w:val="en-CA"/>
        </w:rPr>
      </w:pPr>
      <w:r w:rsidRPr="00B0221D">
        <w:rPr>
          <w:lang w:val="en-CA"/>
        </w:rPr>
        <w:t xml:space="preserve">Financial management. </w:t>
      </w:r>
    </w:p>
    <w:p w14:paraId="57536219" w14:textId="77777777" w:rsidR="006F2F19" w:rsidRPr="00B0221D" w:rsidRDefault="006F2F19" w:rsidP="006F2F19">
      <w:pPr>
        <w:jc w:val="left"/>
        <w:rPr>
          <w:b/>
          <w:lang w:val="en-CA"/>
        </w:rPr>
      </w:pPr>
      <w:r w:rsidRPr="00B0221D">
        <w:rPr>
          <w:b/>
          <w:lang w:val="en-CA"/>
        </w:rPr>
        <w:t>Policies and regulations development and enforcement</w:t>
      </w:r>
    </w:p>
    <w:p w14:paraId="34E73BFD" w14:textId="77777777" w:rsidR="006F2F19" w:rsidRPr="00B0221D" w:rsidRDefault="006F2F19" w:rsidP="006F2F19">
      <w:pPr>
        <w:jc w:val="left"/>
        <w:rPr>
          <w:b/>
          <w:i/>
          <w:lang w:val="en-CA"/>
        </w:rPr>
      </w:pPr>
    </w:p>
    <w:p w14:paraId="25F529C2" w14:textId="77777777" w:rsidR="006F2F19" w:rsidRPr="00B0221D" w:rsidRDefault="006F2F19" w:rsidP="006F2F19">
      <w:pPr>
        <w:pStyle w:val="Heading1"/>
        <w:rPr>
          <w:lang w:val="en-CA"/>
        </w:rPr>
      </w:pPr>
      <w:r w:rsidRPr="00B0221D">
        <w:rPr>
          <w:lang w:val="en-CA"/>
        </w:rPr>
        <w:t xml:space="preserve">The PMU supports the implementation of the licensing and quota system for production, import and export of HCFCs; the ban on the establishment/expansion of new HCFC production and manufacturing capacities; manages HCFC production for feedstock use to prevent direction to controlled use; establishes standards for alternatives including flammable refrigerants; and other legal documents for supporting good practices and management of ODS. </w:t>
      </w:r>
    </w:p>
    <w:p w14:paraId="494FD0F1" w14:textId="77777777" w:rsidR="006F2F19" w:rsidRPr="00B0221D" w:rsidRDefault="006F2F19" w:rsidP="006F2F19">
      <w:pPr>
        <w:pStyle w:val="Heading1"/>
        <w:rPr>
          <w:lang w:val="en-CA"/>
        </w:rPr>
      </w:pPr>
      <w:r w:rsidRPr="00B0221D">
        <w:rPr>
          <w:lang w:val="en-CA"/>
        </w:rPr>
        <w:t xml:space="preserve">The development of policies and regulations to support the HCFC phase-out takes several stages, from draft development, public consultation, expert review to final issuance, and often involves many industrial stakeholders and Government departments. The PMU is responsible for the development of draft regulations, technical review, debate within industries and expert review for submission to the Ministry of Environmental Protection (MEP). The institutional strengthening team then takes over from there to further conduct legal review, wider scope public consultation, coordination with other Governmental departments, and submission for final approval. </w:t>
      </w:r>
    </w:p>
    <w:p w14:paraId="160F82BF" w14:textId="77777777" w:rsidR="006F2F19" w:rsidRPr="00B0221D" w:rsidRDefault="006F2F19" w:rsidP="006F2F19">
      <w:pPr>
        <w:pStyle w:val="Heading1"/>
        <w:rPr>
          <w:lang w:val="en-CA"/>
        </w:rPr>
      </w:pPr>
      <w:r w:rsidRPr="00B0221D">
        <w:rPr>
          <w:lang w:val="en-CA"/>
        </w:rPr>
        <w:t xml:space="preserve">The costs incurred in these activities include staff salary and associated office cost, travel, coordination meetings, expert services/consultant and public consultation. </w:t>
      </w:r>
    </w:p>
    <w:p w14:paraId="6C17A104" w14:textId="77777777" w:rsidR="006F2F19" w:rsidRPr="00B0221D" w:rsidRDefault="006F2F19" w:rsidP="006F2F19">
      <w:pPr>
        <w:pStyle w:val="Heading1"/>
        <w:numPr>
          <w:ilvl w:val="0"/>
          <w:numId w:val="0"/>
        </w:numPr>
        <w:rPr>
          <w:b/>
          <w:lang w:val="en-CA"/>
        </w:rPr>
      </w:pPr>
      <w:r w:rsidRPr="00B0221D">
        <w:rPr>
          <w:b/>
          <w:lang w:val="en-CA"/>
        </w:rPr>
        <w:t>Coordinating the implementation of investment projects</w:t>
      </w:r>
    </w:p>
    <w:p w14:paraId="6189092B" w14:textId="77777777" w:rsidR="006F2F19" w:rsidRPr="00B0221D" w:rsidRDefault="006F2F19" w:rsidP="006F2F19">
      <w:pPr>
        <w:pStyle w:val="Heading1"/>
        <w:rPr>
          <w:lang w:val="en-CA"/>
        </w:rPr>
      </w:pPr>
      <w:r w:rsidRPr="00B0221D">
        <w:rPr>
          <w:lang w:val="en-CA"/>
        </w:rPr>
        <w:t xml:space="preserve">The closure of HCFC production lines and/or production quota reduction and conversion of manufacturing capacity consuming HCFCs are realized through investment projects. The implementation modality in China uses bidding processes to select the most cost-effective investment projects for funding. It usually takes several steps before a project is selected for funding, which include distributing information on alternative technologies and funding policies to mobilise enterprises to participate; developing project implementation manuals as a guide for enterprises seeking funding support from the Multilateral Fund; developing bidding documents; screening project proposals received; field verification of the beneficiary enterprises; technical evaluation of projects by experts; and preparing and signing the contracts between the Foreign Economic Cooperation Office (FECO) and the beneficiary enterprise. For projects that </w:t>
      </w:r>
      <w:r w:rsidRPr="00B0221D">
        <w:rPr>
          <w:lang w:val="en-CA"/>
        </w:rPr>
        <w:lastRenderedPageBreak/>
        <w:t>showcase alternative technologies or products, the PMU also develops project concepts and prepares project proposals.</w:t>
      </w:r>
    </w:p>
    <w:p w14:paraId="6131940E" w14:textId="77777777" w:rsidR="006F2F19" w:rsidRPr="00B0221D" w:rsidRDefault="006F2F19" w:rsidP="006F2F19">
      <w:pPr>
        <w:pStyle w:val="Heading1"/>
        <w:rPr>
          <w:lang w:val="en-CA"/>
        </w:rPr>
      </w:pPr>
      <w:r w:rsidRPr="00B0221D">
        <w:rPr>
          <w:lang w:val="en-CA"/>
        </w:rPr>
        <w:t xml:space="preserve">After the signing of contracts, training workshops are provided to enterprises to understand the requirements of project implementation, including procurement rules, funding disbursement, verification of progress milestones and final commissioning. Detailed work plans with milestones are developed and the process is closely monitored and independently verified according to milestones before payments are made. </w:t>
      </w:r>
    </w:p>
    <w:p w14:paraId="4609CA55" w14:textId="77777777" w:rsidR="006F2F19" w:rsidRPr="00B0221D" w:rsidRDefault="006F2F19" w:rsidP="006F2F19">
      <w:pPr>
        <w:pStyle w:val="Heading1"/>
        <w:rPr>
          <w:lang w:val="en-CA"/>
        </w:rPr>
      </w:pPr>
      <w:r w:rsidRPr="00B0221D">
        <w:rPr>
          <w:lang w:val="en-CA"/>
        </w:rPr>
        <w:t xml:space="preserve">A total of 21 contracts in the production sector and over 130 contracts in the consumption sectors were signed and implemented in </w:t>
      </w:r>
      <w:r>
        <w:rPr>
          <w:lang w:val="en-CA"/>
        </w:rPr>
        <w:t>stage </w:t>
      </w:r>
      <w:r w:rsidRPr="00B0221D">
        <w:rPr>
          <w:lang w:val="en-CA"/>
        </w:rPr>
        <w:t xml:space="preserve">I; more projects will be implemented in </w:t>
      </w:r>
      <w:r>
        <w:rPr>
          <w:lang w:val="en-CA"/>
        </w:rPr>
        <w:t>stage </w:t>
      </w:r>
      <w:r w:rsidRPr="00B0221D">
        <w:rPr>
          <w:lang w:val="en-CA"/>
        </w:rPr>
        <w:t xml:space="preserve">II. </w:t>
      </w:r>
    </w:p>
    <w:p w14:paraId="00A3F247" w14:textId="77777777" w:rsidR="006F2F19" w:rsidRPr="00B0221D" w:rsidRDefault="006F2F19" w:rsidP="006F2F19">
      <w:pPr>
        <w:pStyle w:val="Heading1"/>
        <w:rPr>
          <w:lang w:val="en-CA"/>
        </w:rPr>
      </w:pPr>
      <w:r w:rsidRPr="00B0221D">
        <w:rPr>
          <w:lang w:val="en-CA"/>
        </w:rPr>
        <w:t>The costs incurred by the PMU in managing and coordinating investment projects are similar to developing policies and regulations and enforcing them, plus training workshops for enterprises,</w:t>
      </w:r>
      <w:r w:rsidRPr="00B0221D" w:rsidDel="008A7B32">
        <w:rPr>
          <w:lang w:val="en-CA"/>
        </w:rPr>
        <w:t xml:space="preserve"> </w:t>
      </w:r>
      <w:r w:rsidRPr="00B0221D">
        <w:rPr>
          <w:lang w:val="en-CA"/>
        </w:rPr>
        <w:t xml:space="preserve">independent verification services, and financial audits. </w:t>
      </w:r>
    </w:p>
    <w:p w14:paraId="2C9247A4" w14:textId="77777777" w:rsidR="006F2F19" w:rsidRPr="00B0221D" w:rsidRDefault="006F2F19" w:rsidP="006F2F19">
      <w:pPr>
        <w:keepNext/>
        <w:keepLines/>
        <w:rPr>
          <w:b/>
          <w:lang w:val="en-CA"/>
        </w:rPr>
      </w:pPr>
      <w:r>
        <w:rPr>
          <w:b/>
          <w:lang w:val="en-CA"/>
        </w:rPr>
        <w:t>TA</w:t>
      </w:r>
      <w:r w:rsidRPr="00B0221D">
        <w:rPr>
          <w:b/>
          <w:lang w:val="en-CA"/>
        </w:rPr>
        <w:t xml:space="preserve"> activities</w:t>
      </w:r>
    </w:p>
    <w:p w14:paraId="02D31AC0" w14:textId="77777777" w:rsidR="006F2F19" w:rsidRPr="00B0221D" w:rsidRDefault="006F2F19" w:rsidP="006F2F19">
      <w:pPr>
        <w:keepNext/>
        <w:keepLines/>
        <w:rPr>
          <w:b/>
          <w:i/>
          <w:lang w:val="en-CA"/>
        </w:rPr>
      </w:pPr>
    </w:p>
    <w:p w14:paraId="77B5F141" w14:textId="77777777" w:rsidR="006F2F19" w:rsidRPr="00B0221D" w:rsidRDefault="006F2F19" w:rsidP="006F2F19">
      <w:pPr>
        <w:pStyle w:val="Heading1"/>
        <w:keepNext/>
        <w:keepLines/>
        <w:rPr>
          <w:lang w:val="en-CA"/>
        </w:rPr>
      </w:pPr>
      <w:r w:rsidRPr="00B0221D">
        <w:rPr>
          <w:lang w:val="en-CA"/>
        </w:rPr>
        <w:t xml:space="preserve">The activities undertaken by the PMU include identifying the needs for TA, preparing terms of reference, bidding and selecting TA services, preparing contracts, monitoring implementation, review draft and final reports, and dissemination of TA results. </w:t>
      </w:r>
    </w:p>
    <w:p w14:paraId="19F54756" w14:textId="77777777" w:rsidR="006F2F19" w:rsidRPr="00B0221D" w:rsidRDefault="006F2F19" w:rsidP="006F2F19">
      <w:pPr>
        <w:pStyle w:val="Heading1"/>
        <w:keepNext/>
        <w:keepLines/>
        <w:rPr>
          <w:lang w:val="en-CA"/>
        </w:rPr>
      </w:pPr>
      <w:r w:rsidRPr="00B0221D">
        <w:rPr>
          <w:lang w:val="en-CA"/>
        </w:rPr>
        <w:t xml:space="preserve">The PMU costs associated with this activity are the same as those in developing policies and regulations, as well costs related to TA project design, review of reports and dissemination of results. </w:t>
      </w:r>
    </w:p>
    <w:p w14:paraId="71BE72A6" w14:textId="77777777" w:rsidR="006F2F19" w:rsidRPr="00B0221D" w:rsidRDefault="006F2F19" w:rsidP="006F2F19">
      <w:pPr>
        <w:rPr>
          <w:b/>
          <w:lang w:val="en-CA"/>
        </w:rPr>
      </w:pPr>
      <w:r w:rsidRPr="00B0221D">
        <w:rPr>
          <w:b/>
          <w:lang w:val="en-CA"/>
        </w:rPr>
        <w:t>Public awareness raising and capacity-building activities</w:t>
      </w:r>
    </w:p>
    <w:p w14:paraId="3241444A" w14:textId="77777777" w:rsidR="006F2F19" w:rsidRPr="00B0221D" w:rsidRDefault="006F2F19" w:rsidP="006F2F19">
      <w:pPr>
        <w:rPr>
          <w:b/>
          <w:i/>
          <w:lang w:val="en-CA"/>
        </w:rPr>
      </w:pPr>
    </w:p>
    <w:p w14:paraId="0CE599A3" w14:textId="77777777" w:rsidR="006F2F19" w:rsidRPr="00B0221D" w:rsidRDefault="006F2F19" w:rsidP="006F2F19">
      <w:pPr>
        <w:pStyle w:val="Heading1"/>
        <w:rPr>
          <w:lang w:val="en-CA"/>
        </w:rPr>
      </w:pPr>
      <w:r w:rsidRPr="00B0221D">
        <w:rPr>
          <w:lang w:val="en-CA"/>
        </w:rPr>
        <w:t xml:space="preserve">The PMU directly conducts or coordinates various public awareness raising activities to disseminate information on sector phase-out plans, control targets, policies and regulations, to promote environmentally friendly alternatives and their market adoption, raising awareness in ODS phase-out and climate change. In </w:t>
      </w:r>
      <w:r>
        <w:rPr>
          <w:lang w:val="en-CA"/>
        </w:rPr>
        <w:t>stage </w:t>
      </w:r>
      <w:r w:rsidRPr="00B0221D">
        <w:rPr>
          <w:lang w:val="en-CA"/>
        </w:rPr>
        <w:t>I, the PMU conducted a series of awareness raising activities, including technical seminars on a regular basis to disseminate information on alternative technologies; issuance of environmentally friendly and low-global warming potential label to refrigeration and air-conditioning equipment; organization of climate friendly technology road show and exhibition and international workshops in the industrial and commercial refrigeration and air</w:t>
      </w:r>
      <w:r w:rsidRPr="00B0221D">
        <w:rPr>
          <w:lang w:val="en-CA"/>
        </w:rPr>
        <w:noBreakHyphen/>
        <w:t>conditioning sector; organization of R</w:t>
      </w:r>
      <w:r w:rsidRPr="00B0221D">
        <w:rPr>
          <w:lang w:val="en-CA"/>
        </w:rPr>
        <w:noBreakHyphen/>
        <w:t xml:space="preserve">290 procurement event. The PMU also conducted capacity building for local environmental protection bureau on policy and compliance issues, and organized national ozone day celebrations. </w:t>
      </w:r>
    </w:p>
    <w:p w14:paraId="5F43B204" w14:textId="77777777" w:rsidR="006F2F19" w:rsidRPr="00B0221D" w:rsidRDefault="006F2F19" w:rsidP="006F2F19">
      <w:pPr>
        <w:pStyle w:val="Heading1"/>
        <w:rPr>
          <w:lang w:val="en-CA"/>
        </w:rPr>
      </w:pPr>
      <w:r w:rsidRPr="00B0221D">
        <w:rPr>
          <w:lang w:val="en-CA"/>
        </w:rPr>
        <w:t xml:space="preserve">The costs incurred by the PMU are similar to developing policies and regulations and enforcing them. </w:t>
      </w:r>
    </w:p>
    <w:p w14:paraId="43113F4F" w14:textId="77777777" w:rsidR="006F2F19" w:rsidRPr="00B0221D" w:rsidRDefault="006F2F19" w:rsidP="006F2F19">
      <w:pPr>
        <w:rPr>
          <w:b/>
          <w:lang w:val="en-CA"/>
        </w:rPr>
      </w:pPr>
      <w:r w:rsidRPr="00B0221D">
        <w:rPr>
          <w:b/>
          <w:lang w:val="en-CA"/>
        </w:rPr>
        <w:t>Project coordination, monitoring and reporting</w:t>
      </w:r>
    </w:p>
    <w:p w14:paraId="07B69D35" w14:textId="77777777" w:rsidR="006F2F19" w:rsidRPr="00B0221D" w:rsidRDefault="006F2F19" w:rsidP="006F2F19">
      <w:pPr>
        <w:rPr>
          <w:b/>
          <w:i/>
          <w:lang w:val="en-CA"/>
        </w:rPr>
      </w:pPr>
    </w:p>
    <w:p w14:paraId="03B9B620" w14:textId="77777777" w:rsidR="006F2F19" w:rsidRPr="00B0221D" w:rsidRDefault="006F2F19" w:rsidP="006F2F19">
      <w:pPr>
        <w:pStyle w:val="Heading1"/>
        <w:rPr>
          <w:lang w:val="en-CA"/>
        </w:rPr>
      </w:pPr>
      <w:r w:rsidRPr="00B0221D">
        <w:rPr>
          <w:lang w:val="en-CA"/>
        </w:rPr>
        <w:t xml:space="preserve">The PMU works with relevant bilateral and implementing agencies and develops detailed project implementation plans for each sector, including project implementation approach, funding allocation, disbursement milestones, procurement management, monitoring and verification. Contracts between bilateral and implementing agencies and the PMU are signed for each tranche. </w:t>
      </w:r>
    </w:p>
    <w:p w14:paraId="068CA220" w14:textId="77777777" w:rsidR="006F2F19" w:rsidRPr="00B0221D" w:rsidRDefault="006F2F19" w:rsidP="006F2F19">
      <w:pPr>
        <w:pStyle w:val="Heading1"/>
        <w:rPr>
          <w:lang w:val="en-CA"/>
        </w:rPr>
      </w:pPr>
      <w:r w:rsidRPr="00B0221D">
        <w:rPr>
          <w:lang w:val="en-CA"/>
        </w:rPr>
        <w:t xml:space="preserve">Tranche implementation plans are developed for approval by the Executive Committee. Projects in each tranche are monitored and progress reports are submitted to the Executive Committee through bilateral and implementing agencies. Except for reports to the Executive Committee, the PMU also prepares quarterly or half-year reports for the agencies to meet their specific reporting requirements; coordinates </w:t>
      </w:r>
      <w:r w:rsidRPr="00B0221D">
        <w:rPr>
          <w:lang w:val="en-CA"/>
        </w:rPr>
        <w:lastRenderedPageBreak/>
        <w:t xml:space="preserve">agencies’ field monitoring visits to discuss the implementation progress and issues in implementation; coordinates the approval of procurement plans and disbursement plans; coordinates the audit of agencies and the Government; arranges the annual financial audit and submits the report to the Executive Committee. The PMU also coordinates with industrial associations to conduct training, awareness-raising, disseminate policies, promoting technologies, technical workshops, and annual sector implementation meetings, etc. </w:t>
      </w:r>
    </w:p>
    <w:p w14:paraId="5C345773" w14:textId="77777777" w:rsidR="006F2F19" w:rsidRPr="00B0221D" w:rsidRDefault="006F2F19" w:rsidP="006F2F19">
      <w:pPr>
        <w:pStyle w:val="Heading1"/>
        <w:rPr>
          <w:lang w:val="en-CA"/>
        </w:rPr>
      </w:pPr>
      <w:r w:rsidRPr="00B0221D">
        <w:rPr>
          <w:lang w:val="en-CA"/>
        </w:rPr>
        <w:t xml:space="preserve">The cost incurred by the PMU in coordination are similar to developing policies and regulations and enforcing them. </w:t>
      </w:r>
    </w:p>
    <w:p w14:paraId="5F0BCEF6" w14:textId="77777777" w:rsidR="006F2F19" w:rsidRPr="00B0221D" w:rsidRDefault="006F2F19" w:rsidP="006F2F19">
      <w:pPr>
        <w:rPr>
          <w:b/>
          <w:lang w:val="en-CA"/>
        </w:rPr>
      </w:pPr>
      <w:r w:rsidRPr="00B0221D">
        <w:rPr>
          <w:b/>
          <w:lang w:val="en-CA"/>
        </w:rPr>
        <w:t xml:space="preserve">Financial management </w:t>
      </w:r>
    </w:p>
    <w:p w14:paraId="630F9AB1" w14:textId="77777777" w:rsidR="006F2F19" w:rsidRPr="00B0221D" w:rsidRDefault="006F2F19" w:rsidP="006F2F19">
      <w:pPr>
        <w:rPr>
          <w:lang w:val="en-CA"/>
        </w:rPr>
      </w:pPr>
    </w:p>
    <w:p w14:paraId="68AE64A5" w14:textId="77777777" w:rsidR="006F2F19" w:rsidRPr="00B0221D" w:rsidRDefault="006F2F19" w:rsidP="006F2F19">
      <w:pPr>
        <w:pStyle w:val="Heading1"/>
        <w:rPr>
          <w:lang w:val="en-CA"/>
        </w:rPr>
      </w:pPr>
      <w:r w:rsidRPr="00B0221D">
        <w:rPr>
          <w:lang w:val="en-CA"/>
        </w:rPr>
        <w:t xml:space="preserve">The financial division is responsible for managing, monitoring and maintaining all the accounting records for projects. Detailed activities include: reviewing the project funding allocation plan and project approval procedure; maintaining all the accounting records for projects; receiving funding from bilateral and implementing agencies; reviewing funding disbursement applications and disbursing funds to final beneficiaries; conducting financial review when commissioning projects; and coordinating financial audits of the project expenses. The division makes approximately 300 disbursements each year. </w:t>
      </w:r>
    </w:p>
    <w:p w14:paraId="055800CF" w14:textId="77777777" w:rsidR="006F2F19" w:rsidRPr="00B0221D" w:rsidRDefault="006F2F19" w:rsidP="006F2F19">
      <w:pPr>
        <w:pStyle w:val="Heading1"/>
        <w:rPr>
          <w:lang w:val="en-CA"/>
        </w:rPr>
      </w:pPr>
      <w:r w:rsidRPr="00B0221D">
        <w:rPr>
          <w:lang w:val="en-CA"/>
        </w:rPr>
        <w:t xml:space="preserve">The cost of the financial department is mainly staff and the associated operational costs (office and supplies). </w:t>
      </w:r>
    </w:p>
    <w:p w14:paraId="1C23CA23" w14:textId="77777777" w:rsidR="006F2F19" w:rsidRPr="00B0221D" w:rsidRDefault="006F2F19" w:rsidP="006F2F19">
      <w:pPr>
        <w:pStyle w:val="Heading2"/>
        <w:numPr>
          <w:ilvl w:val="0"/>
          <w:numId w:val="0"/>
        </w:numPr>
        <w:rPr>
          <w:b/>
          <w:lang w:val="en-CA"/>
        </w:rPr>
      </w:pPr>
      <w:r w:rsidRPr="00B0221D">
        <w:rPr>
          <w:b/>
          <w:lang w:val="en-CA"/>
        </w:rPr>
        <w:t>Procurement services</w:t>
      </w:r>
    </w:p>
    <w:p w14:paraId="240E5863" w14:textId="77777777" w:rsidR="006F2F19" w:rsidRPr="00B0221D" w:rsidRDefault="006F2F19" w:rsidP="006F2F19">
      <w:pPr>
        <w:pStyle w:val="Heading1"/>
        <w:rPr>
          <w:lang w:val="en-CA"/>
        </w:rPr>
      </w:pPr>
      <w:r w:rsidRPr="00B0221D">
        <w:rPr>
          <w:lang w:val="en-CA"/>
        </w:rPr>
        <w:t xml:space="preserve">The contract division is responsible for procurement-related matters. The detailed activities include developing and maintaining procurement procedures and standard documents for bidding; evaluating procurement capacity of beneficiary enterprises; reviewing project proposals, work plans and implementation programme to ensure sound procurement; reviewing bidding invitations; receiving bidding proposals; organizing procurement committee meetings; reviewing bidding evaluation documents; monitoring the contract implementation; reviewing and recording contracts, participating in project verification and commissioning; and providing legal support to project implementation. The finance and procurement departments are supporting departments for all the sector plans and other projects outside of Montreal Protocol. Their costs are shared by all the projects. </w:t>
      </w:r>
    </w:p>
    <w:p w14:paraId="5561A63B" w14:textId="77777777" w:rsidR="006F2F19" w:rsidRPr="00B0221D" w:rsidRDefault="006F2F19" w:rsidP="006F2F19">
      <w:pPr>
        <w:pStyle w:val="Heading1"/>
        <w:rPr>
          <w:lang w:val="en-CA"/>
        </w:rPr>
      </w:pPr>
      <w:r w:rsidRPr="00B0221D">
        <w:rPr>
          <w:lang w:val="en-CA"/>
        </w:rPr>
        <w:t xml:space="preserve">The cost incurred by the PMU in procurement services include staff and the associated operational costs (office and supplies), travel for field visits and meetings. </w:t>
      </w:r>
    </w:p>
    <w:p w14:paraId="1E32FE3A" w14:textId="77777777" w:rsidR="006F2F19" w:rsidRDefault="006F2F19" w:rsidP="006F2F19">
      <w:pPr>
        <w:rPr>
          <w:lang w:val="en-CA"/>
        </w:rPr>
      </w:pPr>
    </w:p>
    <w:p w14:paraId="254FB3EA" w14:textId="77777777" w:rsidR="006F2F19" w:rsidRDefault="006F2F19" w:rsidP="006F2F19">
      <w:pPr>
        <w:rPr>
          <w:lang w:val="en-CA"/>
        </w:rPr>
      </w:pPr>
    </w:p>
    <w:p w14:paraId="7DB5DE5D" w14:textId="77777777" w:rsidR="006F2F19" w:rsidRDefault="006F2F19" w:rsidP="006F2F19">
      <w:pPr>
        <w:rPr>
          <w:lang w:val="en-CA"/>
        </w:rPr>
      </w:pPr>
    </w:p>
    <w:p w14:paraId="45208521" w14:textId="77777777" w:rsidR="006F2F19" w:rsidRPr="00B0221D" w:rsidRDefault="006F2F19" w:rsidP="006F2F19">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F2F19" w:rsidRPr="00B0221D" w14:paraId="51DFE103" w14:textId="77777777" w:rsidTr="00546503">
        <w:tc>
          <w:tcPr>
            <w:tcW w:w="2849" w:type="dxa"/>
          </w:tcPr>
          <w:p w14:paraId="0BA019D5" w14:textId="77777777" w:rsidR="006F2F19" w:rsidRPr="00B0221D" w:rsidRDefault="006F2F19" w:rsidP="00546503">
            <w:pPr>
              <w:rPr>
                <w:lang w:val="en-CA"/>
              </w:rPr>
            </w:pPr>
          </w:p>
        </w:tc>
        <w:tc>
          <w:tcPr>
            <w:tcW w:w="2849" w:type="dxa"/>
          </w:tcPr>
          <w:p w14:paraId="180BC7DD" w14:textId="77777777" w:rsidR="006F2F19" w:rsidRPr="00B0221D" w:rsidRDefault="006F2F19" w:rsidP="00546503">
            <w:pPr>
              <w:rPr>
                <w:lang w:val="en-CA"/>
              </w:rPr>
            </w:pPr>
          </w:p>
        </w:tc>
        <w:tc>
          <w:tcPr>
            <w:tcW w:w="2849" w:type="dxa"/>
            <w:tcBorders>
              <w:bottom w:val="single" w:sz="4" w:space="0" w:color="auto"/>
            </w:tcBorders>
          </w:tcPr>
          <w:p w14:paraId="16FF27B4" w14:textId="77777777" w:rsidR="006F2F19" w:rsidRPr="00B0221D" w:rsidRDefault="006F2F19" w:rsidP="00546503">
            <w:pPr>
              <w:rPr>
                <w:lang w:val="en-CA"/>
              </w:rPr>
            </w:pPr>
          </w:p>
        </w:tc>
        <w:tc>
          <w:tcPr>
            <w:tcW w:w="2849" w:type="dxa"/>
          </w:tcPr>
          <w:p w14:paraId="55A2E3A1" w14:textId="77777777" w:rsidR="006F2F19" w:rsidRPr="00B0221D" w:rsidRDefault="006F2F19" w:rsidP="00546503">
            <w:pPr>
              <w:rPr>
                <w:lang w:val="en-CA"/>
              </w:rPr>
            </w:pPr>
          </w:p>
        </w:tc>
        <w:tc>
          <w:tcPr>
            <w:tcW w:w="2850" w:type="dxa"/>
          </w:tcPr>
          <w:p w14:paraId="65037D04" w14:textId="77777777" w:rsidR="006F2F19" w:rsidRPr="00B0221D" w:rsidRDefault="006F2F19" w:rsidP="00546503">
            <w:pPr>
              <w:rPr>
                <w:lang w:val="en-CA"/>
              </w:rPr>
            </w:pPr>
          </w:p>
        </w:tc>
      </w:tr>
    </w:tbl>
    <w:p w14:paraId="14C812C6" w14:textId="77777777" w:rsidR="006F2F19" w:rsidRPr="00B0221D" w:rsidRDefault="006F2F19" w:rsidP="006F2F19">
      <w:pPr>
        <w:rPr>
          <w:lang w:val="en-CA"/>
        </w:rPr>
      </w:pPr>
    </w:p>
    <w:p w14:paraId="5A84F1DF" w14:textId="77777777" w:rsidR="006F2F19" w:rsidRPr="00B0221D" w:rsidRDefault="006F2F19" w:rsidP="006F2F19">
      <w:pPr>
        <w:rPr>
          <w:lang w:val="en-CA"/>
        </w:rPr>
      </w:pPr>
    </w:p>
    <w:p w14:paraId="2898B044" w14:textId="77777777" w:rsidR="0048787E" w:rsidRPr="00B75955" w:rsidRDefault="0048787E" w:rsidP="007D709E">
      <w:pPr>
        <w:pStyle w:val="StyleHeader4Para4Left0Firstline0"/>
        <w:numPr>
          <w:ilvl w:val="0"/>
          <w:numId w:val="0"/>
        </w:numPr>
        <w:spacing w:after="0"/>
        <w:rPr>
          <w:lang w:val="en-CA"/>
        </w:rPr>
      </w:pPr>
    </w:p>
    <w:sectPr w:rsidR="0048787E" w:rsidRPr="00B75955" w:rsidSect="00EA12B5">
      <w:headerReference w:type="even" r:id="rId36"/>
      <w:headerReference w:type="default" r:id="rId37"/>
      <w:footerReference w:type="even" r:id="rId38"/>
      <w:footerReference w:type="default" r:id="rId39"/>
      <w:footerReference w:type="first" r:id="rId40"/>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7F31C" w14:textId="77777777" w:rsidR="00ED1D90" w:rsidRDefault="00ED1D90" w:rsidP="004A504B">
      <w:r>
        <w:separator/>
      </w:r>
    </w:p>
  </w:endnote>
  <w:endnote w:type="continuationSeparator" w:id="0">
    <w:p w14:paraId="543BE3E3" w14:textId="77777777" w:rsidR="00ED1D90" w:rsidRDefault="00ED1D9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9F24" w14:textId="79502CF6" w:rsidR="00ED1D90" w:rsidRPr="0033525D" w:rsidRDefault="00ED1D90">
    <w:pPr>
      <w:jc w:val="center"/>
    </w:pPr>
    <w:r>
      <w:fldChar w:fldCharType="begin"/>
    </w:r>
    <w:r>
      <w:instrText xml:space="preserve"> PAGE </w:instrText>
    </w:r>
    <w:r>
      <w:fldChar w:fldCharType="separate"/>
    </w:r>
    <w:r w:rsidR="002378DF">
      <w:rPr>
        <w:noProof/>
      </w:rPr>
      <w:t>22</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A654" w14:textId="0395DD0A" w:rsidR="00ED1D90" w:rsidRPr="0033525D" w:rsidRDefault="00ED1D90">
    <w:pPr>
      <w:jc w:val="center"/>
    </w:pPr>
    <w:r>
      <w:fldChar w:fldCharType="begin"/>
    </w:r>
    <w:r>
      <w:instrText xml:space="preserve"> PAGE </w:instrText>
    </w:r>
    <w:r>
      <w:fldChar w:fldCharType="separate"/>
    </w:r>
    <w:r w:rsidR="002378DF">
      <w:rPr>
        <w:noProof/>
      </w:rPr>
      <w:t>44</w:t>
    </w:r>
    <w:r>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5DC4" w14:textId="126DE215" w:rsidR="00ED1D90" w:rsidRPr="0033525D" w:rsidRDefault="00ED1D90">
    <w:pPr>
      <w:jc w:val="center"/>
    </w:pPr>
    <w:r>
      <w:fldChar w:fldCharType="begin"/>
    </w:r>
    <w:r>
      <w:instrText xml:space="preserve"> PAGE </w:instrText>
    </w:r>
    <w:r>
      <w:fldChar w:fldCharType="separate"/>
    </w:r>
    <w:r w:rsidR="002378DF">
      <w:rPr>
        <w:noProof/>
      </w:rPr>
      <w:t>43</w:t>
    </w:r>
    <w:r>
      <w:rPr>
        <w:noProof/>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919A" w14:textId="77777777" w:rsidR="00ED1D90" w:rsidRDefault="00ED1D90" w:rsidP="00546503">
    <w:pPr>
      <w:jc w:val="center"/>
      <w:rPr>
        <w:sz w:val="18"/>
        <w:szCs w:val="18"/>
      </w:rPr>
    </w:pPr>
  </w:p>
  <w:p w14:paraId="39F4988A" w14:textId="77777777" w:rsidR="00ED1D90" w:rsidRDefault="00ED1D90" w:rsidP="00546503">
    <w:pPr>
      <w:jc w:val="center"/>
      <w:rPr>
        <w:sz w:val="18"/>
        <w:szCs w:val="18"/>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956603"/>
      <w:docPartObj>
        <w:docPartGallery w:val="Page Numbers (Bottom of Page)"/>
        <w:docPartUnique/>
      </w:docPartObj>
    </w:sdtPr>
    <w:sdtEndPr>
      <w:rPr>
        <w:noProof/>
      </w:rPr>
    </w:sdtEndPr>
    <w:sdtContent>
      <w:p w14:paraId="56636FC8" w14:textId="6B824698" w:rsidR="00ED1D90" w:rsidRDefault="00ED1D90">
        <w:pPr>
          <w:pStyle w:val="Footer"/>
          <w:jc w:val="center"/>
        </w:pPr>
        <w:r>
          <w:fldChar w:fldCharType="begin"/>
        </w:r>
        <w:r>
          <w:instrText xml:space="preserve"> PAGE   \* MERGEFORMAT </w:instrText>
        </w:r>
        <w:r>
          <w:fldChar w:fldCharType="separate"/>
        </w:r>
        <w:r w:rsidR="002378DF">
          <w:rPr>
            <w:noProof/>
          </w:rPr>
          <w:t>1</w:t>
        </w:r>
        <w:r>
          <w:rPr>
            <w:noProof/>
          </w:rP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7960" w14:textId="3A028F77" w:rsidR="00ED1D90" w:rsidRPr="0033525D" w:rsidRDefault="00ED1D90">
    <w:pPr>
      <w:jc w:val="center"/>
    </w:pPr>
    <w:r>
      <w:fldChar w:fldCharType="begin"/>
    </w:r>
    <w:r>
      <w:instrText xml:space="preserve"> PAGE </w:instrText>
    </w:r>
    <w:r>
      <w:fldChar w:fldCharType="separate"/>
    </w:r>
    <w:r w:rsidR="002378DF">
      <w:rPr>
        <w:noProof/>
      </w:rPr>
      <w:t>2</w:t>
    </w:r>
    <w:r>
      <w:rPr>
        <w:noProof/>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EE2F" w14:textId="3EA2ADDC" w:rsidR="00ED1D90" w:rsidRPr="0033525D" w:rsidRDefault="00ED1D90">
    <w:pPr>
      <w:jc w:val="center"/>
    </w:pPr>
    <w:r>
      <w:fldChar w:fldCharType="begin"/>
    </w:r>
    <w:r>
      <w:instrText xml:space="preserve"> PAGE </w:instrText>
    </w:r>
    <w:r>
      <w:fldChar w:fldCharType="separate"/>
    </w:r>
    <w:r w:rsidR="002378DF">
      <w:rPr>
        <w:noProof/>
      </w:rPr>
      <w:t>3</w:t>
    </w:r>
    <w:r>
      <w:rPr>
        <w:noProof/>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5998" w14:textId="77777777" w:rsidR="00ED1D90" w:rsidRDefault="00ED1D90"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06BF8C2" w14:textId="77777777" w:rsidR="00ED1D90" w:rsidRDefault="00ED1D90"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B1AF" w14:textId="26C76FDC" w:rsidR="00ED1D90" w:rsidRPr="0033525D" w:rsidRDefault="00ED1D90">
    <w:pPr>
      <w:jc w:val="center"/>
    </w:pPr>
    <w:r>
      <w:fldChar w:fldCharType="begin"/>
    </w:r>
    <w:r>
      <w:instrText xml:space="preserve"> PAGE </w:instrText>
    </w:r>
    <w:r>
      <w:fldChar w:fldCharType="separate"/>
    </w:r>
    <w:r w:rsidR="002378DF">
      <w:rPr>
        <w:noProof/>
      </w:rPr>
      <w:t>23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6139" w14:textId="6B021825" w:rsidR="002378DF" w:rsidRDefault="002378DF" w:rsidP="002378DF">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displacedByCustomXml="next"/>
  <w:bookmarkEnd w:id="1" w:displacedByCustomXml="next"/>
  <w:sdt>
    <w:sdtPr>
      <w:id w:val="1508862928"/>
      <w:docPartObj>
        <w:docPartGallery w:val="Page Numbers (Bottom of Page)"/>
        <w:docPartUnique/>
      </w:docPartObj>
    </w:sdtPr>
    <w:sdtEndPr>
      <w:rPr>
        <w:noProof/>
      </w:rPr>
    </w:sdtEndPr>
    <w:sdtContent>
      <w:p w14:paraId="1C09A4E8" w14:textId="5497A015" w:rsidR="002378DF" w:rsidRDefault="002378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05C5D" w14:textId="6F2C461B" w:rsidR="002378DF" w:rsidRPr="002378DF" w:rsidRDefault="002378DF" w:rsidP="002378D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B1C8" w14:textId="4610D25B" w:rsidR="00ED1D90" w:rsidRPr="0033525D" w:rsidRDefault="00ED1D90">
    <w:pPr>
      <w:jc w:val="center"/>
    </w:pPr>
    <w:r>
      <w:fldChar w:fldCharType="begin"/>
    </w:r>
    <w:r>
      <w:instrText xml:space="preserve"> PAGE </w:instrText>
    </w:r>
    <w:r>
      <w:fldChar w:fldCharType="separate"/>
    </w:r>
    <w:r w:rsidR="002378DF">
      <w:rPr>
        <w:noProof/>
      </w:rPr>
      <w:t>24</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4663" w14:textId="14AF79BA" w:rsidR="00ED1D90" w:rsidRPr="0033525D" w:rsidRDefault="00ED1D90">
    <w:pPr>
      <w:jc w:val="center"/>
    </w:pPr>
    <w:r>
      <w:fldChar w:fldCharType="begin"/>
    </w:r>
    <w:r>
      <w:instrText xml:space="preserve"> PAGE </w:instrText>
    </w:r>
    <w:r>
      <w:fldChar w:fldCharType="separate"/>
    </w:r>
    <w:r w:rsidR="002378DF">
      <w:rPr>
        <w:noProof/>
      </w:rPr>
      <w:t>25</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FE40" w14:textId="77777777" w:rsidR="00ED1D90" w:rsidRDefault="00ED1D90"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46CD0CA" w14:textId="77777777" w:rsidR="00ED1D90" w:rsidRDefault="00ED1D90"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56649"/>
      <w:docPartObj>
        <w:docPartGallery w:val="Page Numbers (Bottom of Page)"/>
        <w:docPartUnique/>
      </w:docPartObj>
    </w:sdtPr>
    <w:sdtEndPr>
      <w:rPr>
        <w:noProof/>
      </w:rPr>
    </w:sdtEndPr>
    <w:sdtContent>
      <w:p w14:paraId="0E045F91" w14:textId="2927D12A" w:rsidR="00ED1D90" w:rsidRPr="006B1406" w:rsidRDefault="00ED1D90">
        <w:pPr>
          <w:pStyle w:val="Footer"/>
          <w:jc w:val="center"/>
        </w:pPr>
        <w:r w:rsidRPr="006B1406">
          <w:fldChar w:fldCharType="begin"/>
        </w:r>
        <w:r w:rsidRPr="006B1406">
          <w:instrText xml:space="preserve"> PAGE   \* MERGEFORMAT </w:instrText>
        </w:r>
        <w:r w:rsidRPr="006B1406">
          <w:fldChar w:fldCharType="separate"/>
        </w:r>
        <w:r w:rsidR="002378DF">
          <w:rPr>
            <w:noProof/>
          </w:rPr>
          <w:t>34</w:t>
        </w:r>
        <w:r w:rsidRPr="006B1406">
          <w:rPr>
            <w:noProof/>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87013"/>
      <w:docPartObj>
        <w:docPartGallery w:val="Page Numbers (Bottom of Page)"/>
        <w:docPartUnique/>
      </w:docPartObj>
    </w:sdtPr>
    <w:sdtEndPr>
      <w:rPr>
        <w:noProof/>
      </w:rPr>
    </w:sdtEndPr>
    <w:sdtContent>
      <w:p w14:paraId="7CAFCB6D" w14:textId="4362821F" w:rsidR="00ED1D90" w:rsidRDefault="00ED1D90">
        <w:pPr>
          <w:pStyle w:val="Footer"/>
          <w:jc w:val="center"/>
        </w:pPr>
        <w:r w:rsidRPr="00462F3F">
          <w:fldChar w:fldCharType="begin"/>
        </w:r>
        <w:r w:rsidRPr="00462F3F">
          <w:instrText xml:space="preserve"> PAGE   \* MERGEFORMAT </w:instrText>
        </w:r>
        <w:r w:rsidRPr="00462F3F">
          <w:fldChar w:fldCharType="separate"/>
        </w:r>
        <w:r w:rsidR="002378DF">
          <w:rPr>
            <w:noProof/>
          </w:rPr>
          <w:t>33</w:t>
        </w:r>
        <w:r w:rsidRPr="00462F3F">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7931" w14:textId="77777777" w:rsidR="00ED1D90" w:rsidRDefault="00ED1D90" w:rsidP="004A504B">
      <w:r>
        <w:separator/>
      </w:r>
    </w:p>
  </w:footnote>
  <w:footnote w:type="continuationSeparator" w:id="0">
    <w:p w14:paraId="4A937680" w14:textId="77777777" w:rsidR="00ED1D90" w:rsidRDefault="00ED1D90" w:rsidP="004A504B">
      <w:r>
        <w:continuationSeparator/>
      </w:r>
    </w:p>
  </w:footnote>
  <w:footnote w:id="1">
    <w:p w14:paraId="11E321BA" w14:textId="17B1947F" w:rsidR="00ED1D90" w:rsidRPr="00F80201" w:rsidRDefault="00ED1D90" w:rsidP="00AA5A06">
      <w:pPr>
        <w:pStyle w:val="FootnoteText"/>
        <w:rPr>
          <w:lang w:val="en-US"/>
        </w:rPr>
      </w:pPr>
      <w:r>
        <w:rPr>
          <w:rStyle w:val="FootnoteReference"/>
        </w:rPr>
        <w:footnoteRef/>
      </w:r>
      <w:r>
        <w:t xml:space="preserve"> </w:t>
      </w:r>
      <w:r w:rsidRPr="00163B62">
        <w:t>CPR/REF/17/INV/123</w:t>
      </w:r>
      <w:r>
        <w:t>.</w:t>
      </w:r>
    </w:p>
  </w:footnote>
  <w:footnote w:id="2">
    <w:p w14:paraId="5191A793" w14:textId="77777777" w:rsidR="00ED1D90" w:rsidRPr="00FE0726" w:rsidRDefault="00ED1D90" w:rsidP="00AA5A06">
      <w:pPr>
        <w:pStyle w:val="FootnoteText"/>
        <w:rPr>
          <w:lang w:val="en-CA"/>
        </w:rPr>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/76/58, Annex I.</w:t>
      </w:r>
    </w:p>
  </w:footnote>
  <w:footnote w:id="3">
    <w:p w14:paraId="5BD6856C" w14:textId="77777777" w:rsidR="00ED1D90" w:rsidRPr="0095150B" w:rsidRDefault="00ED1D90" w:rsidP="00AA5A06">
      <w:pPr>
        <w:pStyle w:val="FootnoteText"/>
      </w:pPr>
      <w:r>
        <w:rPr>
          <w:rStyle w:val="FootnoteReference"/>
        </w:rPr>
        <w:footnoteRef/>
      </w:r>
      <w:r>
        <w:t xml:space="preserve"> T</w:t>
      </w:r>
      <w:r w:rsidRPr="004875E8">
        <w:t>he incremental cost of conversion should be based on the cost</w:t>
      </w:r>
      <w:r>
        <w:t xml:space="preserve"> </w:t>
      </w:r>
      <w:r w:rsidRPr="004875E8">
        <w:t>of a new machine, from the same supplier, minus the cost of a machine using a replacement ODS technology, or a proportion thereof</w:t>
      </w:r>
      <w:r>
        <w:t>, in line with decision 25/48(ii).</w:t>
      </w:r>
    </w:p>
  </w:footnote>
  <w:footnote w:id="4">
    <w:p w14:paraId="0317B04E" w14:textId="77777777" w:rsidR="00ED1D90" w:rsidRPr="002A2C91" w:rsidRDefault="00ED1D90" w:rsidP="00881319">
      <w:pPr>
        <w:pStyle w:val="FootnoteText"/>
      </w:pPr>
      <w:r>
        <w:rPr>
          <w:rStyle w:val="FootnoteReference"/>
        </w:rPr>
        <w:footnoteRef/>
      </w:r>
      <w:r>
        <w:t xml:space="preserve"> </w:t>
      </w:r>
      <w:r w:rsidRPr="002A2C91">
        <w:t>UNEP/</w:t>
      </w:r>
      <w:proofErr w:type="spellStart"/>
      <w:r w:rsidRPr="002A2C91">
        <w:t>OzL.Pro</w:t>
      </w:r>
      <w:proofErr w:type="spellEnd"/>
      <w:r w:rsidRPr="002A2C91">
        <w:t>/</w:t>
      </w:r>
      <w:proofErr w:type="spellStart"/>
      <w:r w:rsidRPr="002A2C91">
        <w:t>ExCom</w:t>
      </w:r>
      <w:proofErr w:type="spellEnd"/>
      <w:r w:rsidRPr="002A2C91">
        <w:t>/76/25</w:t>
      </w:r>
      <w:r>
        <w:t>.</w:t>
      </w:r>
    </w:p>
  </w:footnote>
  <w:footnote w:id="5">
    <w:p w14:paraId="3ED355C3" w14:textId="77777777" w:rsidR="00ED1D90" w:rsidRPr="002A2C91" w:rsidRDefault="00ED1D90" w:rsidP="00881319">
      <w:pPr>
        <w:pStyle w:val="FootnoteText"/>
      </w:pPr>
      <w:r>
        <w:rPr>
          <w:rStyle w:val="FootnoteReference"/>
        </w:rPr>
        <w:footnoteRef/>
      </w:r>
      <w:r>
        <w:t xml:space="preserve"> </w:t>
      </w:r>
      <w:r w:rsidRPr="007617B6">
        <w:t>UNEP/</w:t>
      </w:r>
      <w:proofErr w:type="spellStart"/>
      <w:r w:rsidRPr="007617B6">
        <w:t>OzL.Pro</w:t>
      </w:r>
      <w:proofErr w:type="spellEnd"/>
      <w:r w:rsidRPr="007617B6">
        <w:t>/</w:t>
      </w:r>
      <w:proofErr w:type="spellStart"/>
      <w:r w:rsidRPr="007617B6">
        <w:t>ExCom</w:t>
      </w:r>
      <w:proofErr w:type="spellEnd"/>
      <w:r w:rsidRPr="007617B6">
        <w:t>/77/37</w:t>
      </w:r>
      <w:r>
        <w:t>.</w:t>
      </w:r>
    </w:p>
  </w:footnote>
  <w:footnote w:id="6">
    <w:p w14:paraId="4C8DE0E0" w14:textId="77777777" w:rsidR="00ED1D90" w:rsidRPr="002E7B20" w:rsidRDefault="00ED1D90" w:rsidP="00881319">
      <w:pPr>
        <w:pStyle w:val="FootnoteText"/>
      </w:pPr>
      <w:r>
        <w:rPr>
          <w:rStyle w:val="FootnoteReference"/>
        </w:rPr>
        <w:footnoteRef/>
      </w:r>
      <w:r>
        <w:t xml:space="preserve"> This funding includes the funding associated with the solvent and the refrigeration servicing sector plans approved in principle at the 76</w:t>
      </w:r>
      <w:r w:rsidRPr="002E7B20">
        <w:rPr>
          <w:vertAlign w:val="superscript"/>
        </w:rPr>
        <w:t>th</w:t>
      </w:r>
      <w:r>
        <w:t xml:space="preserve"> meeting, plus </w:t>
      </w:r>
      <w:r w:rsidRPr="00082BA1">
        <w:t>an additional US</w:t>
      </w:r>
      <w:r>
        <w:t> </w:t>
      </w:r>
      <w:r w:rsidRPr="00082BA1">
        <w:t xml:space="preserve">$2,462,566 </w:t>
      </w:r>
      <w:r>
        <w:t>approved at the 77</w:t>
      </w:r>
      <w:r w:rsidRPr="00082BA1">
        <w:rPr>
          <w:vertAlign w:val="superscript"/>
        </w:rPr>
        <w:t>th</w:t>
      </w:r>
      <w:r>
        <w:t xml:space="preserve"> meeting </w:t>
      </w:r>
      <w:r w:rsidRPr="00082BA1">
        <w:t>for the project management unit for the solvent sector</w:t>
      </w:r>
      <w:r>
        <w:t>.</w:t>
      </w:r>
    </w:p>
  </w:footnote>
  <w:footnote w:id="7">
    <w:p w14:paraId="79F8C358" w14:textId="77777777" w:rsidR="00ED1D90" w:rsidRPr="002A2C91" w:rsidRDefault="00ED1D90" w:rsidP="00881319">
      <w:pPr>
        <w:pStyle w:val="FootnoteText"/>
      </w:pPr>
      <w:r>
        <w:rPr>
          <w:rStyle w:val="FootnoteReference"/>
        </w:rPr>
        <w:footnoteRef/>
      </w:r>
      <w:r>
        <w:t xml:space="preserve"> </w:t>
      </w:r>
      <w:r w:rsidRPr="007617B6">
        <w:t>UNEP/</w:t>
      </w:r>
      <w:proofErr w:type="spellStart"/>
      <w:r w:rsidRPr="007617B6">
        <w:t>OzL.Pro</w:t>
      </w:r>
      <w:proofErr w:type="spellEnd"/>
      <w:r w:rsidRPr="007617B6">
        <w:t>/</w:t>
      </w:r>
      <w:proofErr w:type="spellStart"/>
      <w:r w:rsidRPr="007617B6">
        <w:t>ExCom</w:t>
      </w:r>
      <w:proofErr w:type="spellEnd"/>
      <w:r w:rsidRPr="007617B6">
        <w:t>/</w:t>
      </w:r>
      <w:r>
        <w:t>79/30.</w:t>
      </w:r>
    </w:p>
  </w:footnote>
  <w:footnote w:id="8">
    <w:p w14:paraId="576AFC3B" w14:textId="77777777" w:rsidR="00ED1D90" w:rsidRPr="00720170" w:rsidRDefault="00ED1D90" w:rsidP="00881319">
      <w:pPr>
        <w:pStyle w:val="FootnoteText"/>
      </w:pPr>
      <w:r>
        <w:rPr>
          <w:rStyle w:val="FootnoteReference"/>
        </w:rPr>
        <w:footnoteRef/>
      </w:r>
      <w:r>
        <w:t xml:space="preserve"> T</w:t>
      </w:r>
      <w:r w:rsidRPr="00720170">
        <w:t>he Agreement between the Government of China and the Executive Committee would be considered at the 79</w:t>
      </w:r>
      <w:r w:rsidRPr="00720170">
        <w:rPr>
          <w:vertAlign w:val="superscript"/>
        </w:rPr>
        <w:t>th</w:t>
      </w:r>
      <w:r>
        <w:rPr>
          <w:vertAlign w:val="superscript"/>
        </w:rPr>
        <w:t> </w:t>
      </w:r>
      <w:r w:rsidRPr="00720170">
        <w:t>meeting and should include in Appendix 4-</w:t>
      </w:r>
      <w:proofErr w:type="gramStart"/>
      <w:r w:rsidRPr="00720170">
        <w:t>A the</w:t>
      </w:r>
      <w:proofErr w:type="gramEnd"/>
      <w:r w:rsidRPr="00720170">
        <w:t xml:space="preserve"> amount of co-funding provided by China for the HCFC reductions</w:t>
      </w:r>
      <w:r>
        <w:t>.</w:t>
      </w:r>
    </w:p>
  </w:footnote>
  <w:footnote w:id="9">
    <w:p w14:paraId="3E5B479D" w14:textId="77777777" w:rsidR="00ED1D90" w:rsidRPr="002A2C91" w:rsidRDefault="00ED1D90" w:rsidP="00881319">
      <w:pPr>
        <w:pStyle w:val="FootnoteText"/>
      </w:pPr>
      <w:r>
        <w:rPr>
          <w:rStyle w:val="FootnoteReference"/>
        </w:rPr>
        <w:footnoteRef/>
      </w:r>
      <w:r>
        <w:t xml:space="preserve"> </w:t>
      </w:r>
      <w:r w:rsidRPr="00641F47">
        <w:t>UNEP/</w:t>
      </w:r>
      <w:proofErr w:type="spellStart"/>
      <w:r w:rsidRPr="00641F47">
        <w:t>OzL.Pro</w:t>
      </w:r>
      <w:proofErr w:type="spellEnd"/>
      <w:r w:rsidRPr="00641F47">
        <w:t>/</w:t>
      </w:r>
      <w:proofErr w:type="spellStart"/>
      <w:r w:rsidRPr="00641F47">
        <w:t>ExCom</w:t>
      </w:r>
      <w:proofErr w:type="spellEnd"/>
      <w:r w:rsidRPr="00641F47">
        <w:t>/80/37.</w:t>
      </w:r>
    </w:p>
  </w:footnote>
  <w:footnote w:id="10">
    <w:p w14:paraId="4ED72641" w14:textId="77777777" w:rsidR="00ED1D90" w:rsidRPr="002256D2" w:rsidRDefault="00ED1D90" w:rsidP="00881319">
      <w:pPr>
        <w:pStyle w:val="FootnoteText"/>
      </w:pPr>
      <w:r>
        <w:rPr>
          <w:rStyle w:val="FootnoteReference"/>
        </w:rPr>
        <w:footnoteRef/>
      </w:r>
      <w:r>
        <w:t xml:space="preserve"> A blend of HFO-1234yf and HFC-134a.</w:t>
      </w:r>
    </w:p>
  </w:footnote>
  <w:footnote w:id="11">
    <w:p w14:paraId="2EE36BBF" w14:textId="77777777" w:rsidR="00ED1D90" w:rsidRPr="00EC5251" w:rsidRDefault="00ED1D90" w:rsidP="00881319">
      <w:pPr>
        <w:pStyle w:val="FootnoteText"/>
        <w:rPr>
          <w:lang w:val="en-CA"/>
        </w:rPr>
      </w:pPr>
      <w:r>
        <w:rPr>
          <w:rStyle w:val="FootnoteReference"/>
        </w:rPr>
        <w:footnoteRef/>
      </w:r>
      <w:r>
        <w:t xml:space="preserve"> HCFC consumption data was presented in p</w:t>
      </w:r>
      <w:r w:rsidRPr="00EC5251">
        <w:t>aragraphs 6 to 10 of document UNEP/</w:t>
      </w:r>
      <w:proofErr w:type="spellStart"/>
      <w:r w:rsidRPr="00EC5251">
        <w:t>OzL.Pro</w:t>
      </w:r>
      <w:proofErr w:type="spellEnd"/>
      <w:r w:rsidRPr="00EC5251">
        <w:t>/</w:t>
      </w:r>
      <w:proofErr w:type="spellStart"/>
      <w:r w:rsidRPr="00EC5251">
        <w:t>ExCom</w:t>
      </w:r>
      <w:proofErr w:type="spellEnd"/>
      <w:r w:rsidRPr="00EC5251">
        <w:t>/80/37</w:t>
      </w:r>
      <w:r>
        <w:t>. The data reported for 2016 was preliminary.</w:t>
      </w:r>
    </w:p>
  </w:footnote>
  <w:footnote w:id="12">
    <w:p w14:paraId="65A959F2" w14:textId="77777777" w:rsidR="00ED1D90" w:rsidRPr="003B1D55" w:rsidRDefault="00ED1D90" w:rsidP="00881319">
      <w:pPr>
        <w:pStyle w:val="FootnoteText"/>
      </w:pPr>
      <w:r>
        <w:rPr>
          <w:rStyle w:val="FootnoteReference"/>
        </w:rPr>
        <w:footnoteRef/>
      </w:r>
      <w:r>
        <w:t xml:space="preserve"> </w:t>
      </w:r>
      <w:r w:rsidRPr="003B1D55">
        <w:t>UNEP/</w:t>
      </w:r>
      <w:proofErr w:type="spellStart"/>
      <w:r w:rsidRPr="003B1D55">
        <w:t>OzL.Pro</w:t>
      </w:r>
      <w:proofErr w:type="spellEnd"/>
      <w:r w:rsidRPr="003B1D55">
        <w:t>/</w:t>
      </w:r>
      <w:proofErr w:type="spellStart"/>
      <w:r w:rsidRPr="003B1D55">
        <w:t>ExCom</w:t>
      </w:r>
      <w:proofErr w:type="spellEnd"/>
      <w:r w:rsidRPr="003B1D55">
        <w:t>/80/37</w:t>
      </w:r>
      <w:r>
        <w:t>.</w:t>
      </w:r>
    </w:p>
  </w:footnote>
  <w:footnote w:id="13">
    <w:p w14:paraId="2CEC97C5" w14:textId="24FD5796" w:rsidR="00ED1D90" w:rsidRDefault="00ED1D90" w:rsidP="00881319">
      <w:pPr>
        <w:pStyle w:val="FootnoteText"/>
      </w:pPr>
      <w:r>
        <w:rPr>
          <w:rStyle w:val="FootnoteReference"/>
        </w:rPr>
        <w:footnoteRef/>
      </w:r>
      <w:r>
        <w:t xml:space="preserve"> Paragraph 114 of document </w:t>
      </w:r>
      <w:r w:rsidRPr="00A142BC">
        <w:t>UNEP/</w:t>
      </w:r>
      <w:proofErr w:type="spellStart"/>
      <w:r w:rsidRPr="00A142BC">
        <w:t>OzL.Pro</w:t>
      </w:r>
      <w:proofErr w:type="spellEnd"/>
      <w:r w:rsidRPr="00A142BC">
        <w:t>/</w:t>
      </w:r>
      <w:proofErr w:type="spellStart"/>
      <w:r w:rsidRPr="00A142BC">
        <w:t>ExCom</w:t>
      </w:r>
      <w:proofErr w:type="spellEnd"/>
      <w:r w:rsidRPr="00A142BC">
        <w:t>/79/51</w:t>
      </w:r>
      <w:r>
        <w:t>.</w:t>
      </w:r>
    </w:p>
    <w:p w14:paraId="2615DF99" w14:textId="77777777" w:rsidR="00ED1D90" w:rsidRPr="00A142BC" w:rsidRDefault="00ED1D90" w:rsidP="00881319">
      <w:pPr>
        <w:pStyle w:val="FootnoteText"/>
      </w:pPr>
    </w:p>
  </w:footnote>
  <w:footnote w:id="14">
    <w:p w14:paraId="280E05A1" w14:textId="7D548736" w:rsidR="00ED1D90" w:rsidRPr="000C05F3" w:rsidRDefault="00ED1D90" w:rsidP="008A4C7A">
      <w:pPr>
        <w:pStyle w:val="FootnoteText"/>
        <w:rPr>
          <w:lang w:val="en-CA"/>
        </w:rPr>
      </w:pPr>
      <w:r>
        <w:rPr>
          <w:rStyle w:val="FootnoteReference"/>
        </w:rPr>
        <w:footnoteRef/>
      </w:r>
      <w:r>
        <w:t xml:space="preserve"> </w:t>
      </w:r>
      <w:r w:rsidRPr="000C05F3">
        <w:rPr>
          <w:lang w:val="en-CA"/>
        </w:rPr>
        <w:t xml:space="preserve">As per the letter of </w:t>
      </w:r>
      <w:r w:rsidRPr="0010536D">
        <w:rPr>
          <w:b/>
          <w:highlight w:val="yellow"/>
          <w:lang w:val="en-CA"/>
        </w:rPr>
        <w:t>22 March 2018</w:t>
      </w:r>
      <w:r w:rsidRPr="000C05F3">
        <w:rPr>
          <w:lang w:val="en-CA"/>
        </w:rPr>
        <w:t xml:space="preserve"> from the Foreign Economic Cooperation Office of the Ministry of Environmental Protection of China to UNIDO.</w:t>
      </w:r>
    </w:p>
  </w:footnote>
  <w:footnote w:id="15">
    <w:p w14:paraId="4DB7B360" w14:textId="398BE7F4" w:rsidR="00ED1D90" w:rsidRPr="000C6A20" w:rsidRDefault="00ED1D90">
      <w:pPr>
        <w:pStyle w:val="FootnoteText"/>
        <w:rPr>
          <w:lang w:val="en-US"/>
        </w:rPr>
      </w:pPr>
      <w:r>
        <w:rPr>
          <w:rStyle w:val="FootnoteReference"/>
        </w:rPr>
        <w:footnoteRef/>
      </w:r>
      <w:r>
        <w:t xml:space="preserve"> </w:t>
      </w:r>
      <w:r w:rsidRPr="000C6A20">
        <w:rPr>
          <w:b/>
          <w:highlight w:val="yellow"/>
          <w:lang w:val="en-US"/>
        </w:rPr>
        <w:t>Ecolabel of the Government of Germany since 1978. It sets high standards for environmentally friendly product design.</w:t>
      </w:r>
      <w:r>
        <w:rPr>
          <w:lang w:val="en-US"/>
        </w:rPr>
        <w:t xml:space="preserve"> </w:t>
      </w:r>
    </w:p>
  </w:footnote>
  <w:footnote w:id="16">
    <w:p w14:paraId="2A6E48DD" w14:textId="477AA492" w:rsidR="00ED1D90" w:rsidRPr="001F0A13" w:rsidRDefault="00ED1D90">
      <w:pPr>
        <w:pStyle w:val="FootnoteText"/>
        <w:rPr>
          <w:b/>
          <w:lang w:val="en-CA"/>
        </w:rPr>
      </w:pPr>
      <w:r w:rsidRPr="0056311B">
        <w:rPr>
          <w:rStyle w:val="FootnoteReference"/>
          <w:b/>
          <w:highlight w:val="yellow"/>
        </w:rPr>
        <w:footnoteRef/>
      </w:r>
      <w:r w:rsidRPr="0056311B">
        <w:rPr>
          <w:b/>
          <w:highlight w:val="yellow"/>
        </w:rPr>
        <w:t xml:space="preserve"> </w:t>
      </w:r>
      <w:r w:rsidRPr="0056311B">
        <w:rPr>
          <w:b/>
          <w:highlight w:val="yellow"/>
          <w:lang w:val="en-CA"/>
        </w:rPr>
        <w:t>The request for the change of technology for Viet Nam is presented in document</w:t>
      </w:r>
      <w:r>
        <w:rPr>
          <w:b/>
          <w:highlight w:val="yellow"/>
          <w:lang w:val="en-CA"/>
        </w:rPr>
        <w:t> </w:t>
      </w:r>
      <w:r w:rsidRPr="0056311B">
        <w:rPr>
          <w:b/>
          <w:highlight w:val="yellow"/>
          <w:lang w:val="en-CA"/>
        </w:rPr>
        <w:t>UNEP/</w:t>
      </w:r>
      <w:proofErr w:type="spellStart"/>
      <w:r w:rsidRPr="0056311B">
        <w:rPr>
          <w:b/>
          <w:highlight w:val="yellow"/>
          <w:lang w:val="en-CA"/>
        </w:rPr>
        <w:t>OzL.Pro</w:t>
      </w:r>
      <w:proofErr w:type="spellEnd"/>
      <w:r w:rsidRPr="0056311B">
        <w:rPr>
          <w:b/>
          <w:highlight w:val="yellow"/>
          <w:lang w:val="en-CA"/>
        </w:rPr>
        <w:t>/</w:t>
      </w:r>
      <w:proofErr w:type="spellStart"/>
      <w:r w:rsidRPr="0056311B">
        <w:rPr>
          <w:b/>
          <w:highlight w:val="yellow"/>
          <w:lang w:val="en-CA"/>
        </w:rPr>
        <w:t>ExCom</w:t>
      </w:r>
      <w:proofErr w:type="spellEnd"/>
      <w:r w:rsidRPr="0056311B">
        <w:rPr>
          <w:b/>
          <w:highlight w:val="yellow"/>
          <w:lang w:val="en-CA"/>
        </w:rPr>
        <w:t>/81/10.</w:t>
      </w:r>
    </w:p>
  </w:footnote>
  <w:footnote w:id="17">
    <w:p w14:paraId="7ACECBC1" w14:textId="77777777" w:rsidR="00ED1D90" w:rsidRPr="002C2317" w:rsidRDefault="00ED1D90" w:rsidP="0001415F">
      <w:pPr>
        <w:rPr>
          <w:sz w:val="20"/>
          <w:szCs w:val="20"/>
        </w:rPr>
      </w:pPr>
      <w:r w:rsidRPr="002C2317">
        <w:rPr>
          <w:rStyle w:val="FootnoteReference"/>
          <w:sz w:val="20"/>
          <w:szCs w:val="20"/>
        </w:rPr>
        <w:footnoteRef/>
      </w:r>
      <w:r w:rsidRPr="002C2317">
        <w:rPr>
          <w:sz w:val="20"/>
          <w:szCs w:val="20"/>
        </w:rPr>
        <w:t xml:space="preserve"> As per the letter of 21 March </w:t>
      </w:r>
      <w:r>
        <w:rPr>
          <w:sz w:val="20"/>
          <w:szCs w:val="20"/>
        </w:rPr>
        <w:t xml:space="preserve">2018, </w:t>
      </w:r>
      <w:r w:rsidRPr="002C2317">
        <w:rPr>
          <w:sz w:val="20"/>
          <w:szCs w:val="20"/>
        </w:rPr>
        <w:t>from the Foreign Economic Cooperation Office, Ministry of Environmental Protection of China</w:t>
      </w:r>
      <w:r>
        <w:rPr>
          <w:sz w:val="20"/>
          <w:szCs w:val="20"/>
        </w:rPr>
        <w:t>,</w:t>
      </w:r>
      <w:r w:rsidRPr="002C2317">
        <w:rPr>
          <w:sz w:val="20"/>
          <w:szCs w:val="20"/>
        </w:rPr>
        <w:t xml:space="preserve"> to UNEP.</w:t>
      </w:r>
    </w:p>
  </w:footnote>
  <w:footnote w:id="18">
    <w:p w14:paraId="393FDDD7" w14:textId="77777777" w:rsidR="00ED1D90" w:rsidRPr="006E10B6" w:rsidRDefault="00ED1D90" w:rsidP="006F2F19">
      <w:pPr>
        <w:pStyle w:val="FootnoteText"/>
      </w:pPr>
      <w:r>
        <w:rPr>
          <w:rStyle w:val="FootnoteReference"/>
        </w:rPr>
        <w:footnoteRef/>
      </w:r>
      <w:r>
        <w:t xml:space="preserve"> Decision </w:t>
      </w:r>
      <w:r w:rsidRPr="00C505CC">
        <w:t>64/49.</w:t>
      </w:r>
    </w:p>
  </w:footnote>
  <w:footnote w:id="19">
    <w:p w14:paraId="622E552C" w14:textId="77777777" w:rsidR="00ED1D90" w:rsidRPr="00CD0207" w:rsidRDefault="00ED1D90" w:rsidP="006F2F19">
      <w:pPr>
        <w:pStyle w:val="FootnoteText"/>
        <w:rPr>
          <w:lang w:val="en-US"/>
        </w:rPr>
      </w:pPr>
      <w:r>
        <w:rPr>
          <w:rStyle w:val="FootnoteReference"/>
        </w:rPr>
        <w:footnoteRef/>
      </w:r>
      <w:r>
        <w:t xml:space="preserve"> </w:t>
      </w:r>
      <w:r>
        <w:rPr>
          <w:lang w:val="en-US"/>
        </w:rPr>
        <w:t>Information provided by the Government of China through UNDP, as the lead implementing agency of the HPMP, on 30 March 2018.</w:t>
      </w:r>
    </w:p>
  </w:footnote>
  <w:footnote w:id="20">
    <w:p w14:paraId="2686718C" w14:textId="77777777" w:rsidR="00ED1D90" w:rsidRPr="00FD40BF" w:rsidRDefault="00ED1D90" w:rsidP="006F2F19">
      <w:pPr>
        <w:pStyle w:val="FootnoteText"/>
        <w:rPr>
          <w:lang w:val="en-US"/>
        </w:rPr>
      </w:pPr>
      <w:r>
        <w:rPr>
          <w:rStyle w:val="FootnoteReference"/>
        </w:rPr>
        <w:footnoteRef/>
      </w:r>
      <w:r>
        <w:t xml:space="preserve"> Decision 69/28.</w:t>
      </w:r>
    </w:p>
  </w:footnote>
  <w:footnote w:id="21">
    <w:p w14:paraId="0EBEC54E" w14:textId="77777777" w:rsidR="00ED1D90" w:rsidRPr="00106AB5" w:rsidRDefault="00ED1D90" w:rsidP="006F2F19">
      <w:pPr>
        <w:pStyle w:val="FootnoteText"/>
        <w:rPr>
          <w:lang w:val="en-US"/>
        </w:rPr>
      </w:pPr>
      <w:r>
        <w:rPr>
          <w:rStyle w:val="FootnoteReference"/>
        </w:rPr>
        <w:footnoteRef/>
      </w:r>
      <w:r>
        <w:t xml:space="preserve"> </w:t>
      </w:r>
      <w:r>
        <w:rPr>
          <w:lang w:val="en-US"/>
        </w:rPr>
        <w:t>Decision 72/45(b), 74/56(b) and 75/74(b).</w:t>
      </w:r>
    </w:p>
  </w:footnote>
  <w:footnote w:id="22">
    <w:p w14:paraId="47A3F2B7" w14:textId="77777777" w:rsidR="00ED1D90" w:rsidRPr="006E10B6" w:rsidRDefault="00ED1D90" w:rsidP="006F2F19">
      <w:pPr>
        <w:pStyle w:val="FootnoteText"/>
      </w:pPr>
      <w:r>
        <w:rPr>
          <w:rStyle w:val="FootnoteReference"/>
        </w:rPr>
        <w:footnoteRef/>
      </w:r>
      <w:r>
        <w:t xml:space="preserve"> Decision 77</w:t>
      </w:r>
      <w:r w:rsidRPr="00633408">
        <w:t>/49.</w:t>
      </w:r>
    </w:p>
  </w:footnote>
  <w:footnote w:id="23">
    <w:p w14:paraId="77A324DA" w14:textId="77777777" w:rsidR="00ED1D90" w:rsidRPr="00CC4E83" w:rsidRDefault="00ED1D90" w:rsidP="006F2F19">
      <w:pPr>
        <w:pStyle w:val="FootnoteText"/>
        <w:rPr>
          <w:lang w:val="en-US"/>
        </w:rPr>
      </w:pPr>
      <w:r>
        <w:rPr>
          <w:rStyle w:val="FootnoteReference"/>
        </w:rPr>
        <w:footnoteRef/>
      </w:r>
      <w:r>
        <w:t xml:space="preserve"> </w:t>
      </w:r>
      <w:r w:rsidRPr="00C93663">
        <w:t>Annex I</w:t>
      </w:r>
      <w:r>
        <w:t>,</w:t>
      </w:r>
      <w:r w:rsidRPr="00C93663">
        <w:t xml:space="preserve"> MLF/IACM.2018/1/11</w:t>
      </w:r>
      <w:r>
        <w:t xml:space="preserve"> </w:t>
      </w:r>
      <w:hyperlink r:id="rId1" w:history="1">
        <w:r w:rsidRPr="004C5A93">
          <w:rPr>
            <w:rStyle w:val="Hyperlink"/>
            <w:lang w:val="en-US"/>
          </w:rPr>
          <w:t>http://multilateralfund.org/implementingagencies/IACM2018-1/default.aspx</w:t>
        </w:r>
      </w:hyperlink>
      <w:r>
        <w:rPr>
          <w:lang w:val="en-US"/>
        </w:rPr>
        <w:t xml:space="preserve"> </w:t>
      </w:r>
    </w:p>
  </w:footnote>
  <w:footnote w:id="24">
    <w:p w14:paraId="48C9BF3F" w14:textId="77777777" w:rsidR="00ED1D90" w:rsidRPr="00CC4E83" w:rsidRDefault="00ED1D90" w:rsidP="006F2F19">
      <w:pPr>
        <w:pStyle w:val="FootnoteText"/>
        <w:rPr>
          <w:lang w:val="en-US"/>
        </w:rPr>
      </w:pPr>
      <w:r>
        <w:rPr>
          <w:rStyle w:val="FootnoteReference"/>
        </w:rPr>
        <w:footnoteRef/>
      </w:r>
      <w:r>
        <w:t xml:space="preserve"> </w:t>
      </w:r>
      <w:r w:rsidRPr="00CC4E83">
        <w:t>Montreal, 6 – 8 March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95BC" w14:textId="45A5E88C" w:rsidR="00ED1D90" w:rsidRDefault="002378DF">
    <w:r>
      <w:fldChar w:fldCharType="begin"/>
    </w:r>
    <w:r>
      <w:instrText xml:space="preserve"> DOCPROPERTY  "Document number"  \* MERGEFORMAT </w:instrText>
    </w:r>
    <w:r>
      <w:fldChar w:fldCharType="separate"/>
    </w:r>
    <w:r w:rsidR="00ED1D90">
      <w:t>UNEP/</w:t>
    </w:r>
    <w:proofErr w:type="spellStart"/>
    <w:r w:rsidR="00ED1D90">
      <w:t>OzL.Pro</w:t>
    </w:r>
    <w:proofErr w:type="spellEnd"/>
    <w:r w:rsidR="00ED1D90">
      <w:t>/</w:t>
    </w:r>
    <w:proofErr w:type="spellStart"/>
    <w:r w:rsidR="00ED1D90">
      <w:t>ExCom</w:t>
    </w:r>
    <w:proofErr w:type="spellEnd"/>
    <w:r w:rsidR="00ED1D90">
      <w:t>/81/29</w:t>
    </w:r>
    <w:r>
      <w:fldChar w:fldCharType="end"/>
    </w:r>
  </w:p>
  <w:p w14:paraId="52114601" w14:textId="77777777" w:rsidR="00ED1D90" w:rsidRPr="0033525D" w:rsidRDefault="00ED1D90"/>
  <w:p w14:paraId="7BB7862D" w14:textId="77777777" w:rsidR="00ED1D90" w:rsidRPr="0033525D" w:rsidRDefault="00ED1D90"/>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BE0E" w14:textId="77777777" w:rsidR="00ED1D90" w:rsidRDefault="00ED1D90" w:rsidP="00546503">
    <w:pPr>
      <w:jc w:val="left"/>
    </w:pPr>
    <w:r>
      <w:t>UNEP/</w:t>
    </w:r>
    <w:proofErr w:type="spellStart"/>
    <w:r>
      <w:t>OzL.Pro</w:t>
    </w:r>
    <w:proofErr w:type="spellEnd"/>
    <w:r>
      <w:t>/</w:t>
    </w:r>
    <w:proofErr w:type="spellStart"/>
    <w:r>
      <w:t>ExCom</w:t>
    </w:r>
    <w:proofErr w:type="spellEnd"/>
    <w:r>
      <w:t>/81/29</w:t>
    </w:r>
  </w:p>
  <w:p w14:paraId="5D1A2E0C" w14:textId="77777777" w:rsidR="00ED1D90" w:rsidRDefault="00ED1D90" w:rsidP="00546503">
    <w:pPr>
      <w:jc w:val="left"/>
    </w:pPr>
  </w:p>
  <w:p w14:paraId="50657214" w14:textId="77777777" w:rsidR="00ED1D90" w:rsidRPr="0033525D" w:rsidRDefault="00ED1D90" w:rsidP="00546503">
    <w:pPr>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5FFD" w14:textId="77777777" w:rsidR="00ED1D90" w:rsidRPr="0033525D" w:rsidRDefault="00ED1D90" w:rsidP="00546503">
    <w:pPr>
      <w:jc w:val="right"/>
    </w:pPr>
    <w:r>
      <w:t>UNEP/</w:t>
    </w:r>
    <w:proofErr w:type="spellStart"/>
    <w:r>
      <w:t>OzL.Pro</w:t>
    </w:r>
    <w:proofErr w:type="spellEnd"/>
    <w:r>
      <w:t>/</w:t>
    </w:r>
    <w:proofErr w:type="spellStart"/>
    <w:r>
      <w:t>ExCom</w:t>
    </w:r>
    <w:proofErr w:type="spellEnd"/>
    <w:r>
      <w:t>/81/29</w:t>
    </w:r>
  </w:p>
  <w:p w14:paraId="3D445BCE" w14:textId="77777777" w:rsidR="00ED1D90" w:rsidRPr="0033525D" w:rsidRDefault="00ED1D90" w:rsidP="00546503">
    <w:pPr>
      <w:pStyle w:val="Header"/>
    </w:pPr>
  </w:p>
  <w:p w14:paraId="0282C116" w14:textId="77777777" w:rsidR="00ED1D90" w:rsidRPr="00E81110" w:rsidRDefault="00ED1D90" w:rsidP="00546503">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38CB" w14:textId="77777777" w:rsidR="00ED1D90" w:rsidRDefault="00ED1D90" w:rsidP="00546503">
    <w:pPr>
      <w:pStyle w:val="Header"/>
      <w:jc w:val="right"/>
    </w:pPr>
    <w:r>
      <w:t>UNEP/</w:t>
    </w:r>
    <w:proofErr w:type="spellStart"/>
    <w:r>
      <w:t>OzL.Pro</w:t>
    </w:r>
    <w:proofErr w:type="spellEnd"/>
    <w:r>
      <w:t>/</w:t>
    </w:r>
    <w:proofErr w:type="spellStart"/>
    <w:r>
      <w:t>ExCom</w:t>
    </w:r>
    <w:proofErr w:type="spellEnd"/>
    <w:r>
      <w:t>/81/29</w:t>
    </w:r>
  </w:p>
  <w:p w14:paraId="1B47C6A6" w14:textId="77777777" w:rsidR="00ED1D90" w:rsidRDefault="00ED1D90" w:rsidP="00546503">
    <w:pPr>
      <w:pStyle w:val="Header"/>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10F8" w14:textId="77777777" w:rsidR="00ED1D90" w:rsidRDefault="00ED1D90" w:rsidP="00546503">
    <w:pPr>
      <w:pStyle w:val="Header"/>
      <w:jc w:val="right"/>
    </w:pPr>
    <w:r>
      <w:t>UNEP/</w:t>
    </w:r>
    <w:proofErr w:type="spellStart"/>
    <w:r>
      <w:t>OzL.Pro</w:t>
    </w:r>
    <w:proofErr w:type="spellEnd"/>
    <w:r>
      <w:t>/</w:t>
    </w:r>
    <w:proofErr w:type="spellStart"/>
    <w:r>
      <w:t>ExCom</w:t>
    </w:r>
    <w:proofErr w:type="spellEnd"/>
    <w:r>
      <w:t>/81/29</w:t>
    </w:r>
  </w:p>
  <w:p w14:paraId="2D9AE385" w14:textId="77777777" w:rsidR="00ED1D90" w:rsidRDefault="00ED1D90" w:rsidP="00546503">
    <w:pPr>
      <w:pStyle w:val="Header"/>
      <w:jc w:val="right"/>
    </w:pPr>
    <w:r>
      <w:t>Annex I</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296E" w14:textId="2F3CC524" w:rsidR="00ED1D90" w:rsidRPr="0033525D" w:rsidRDefault="002378DF">
    <w:r>
      <w:fldChar w:fldCharType="begin"/>
    </w:r>
    <w:r>
      <w:instrText xml:space="preserve"> DOCPROPERTY "Document number"  \* MERGEFORMAT </w:instrText>
    </w:r>
    <w:r>
      <w:fldChar w:fldCharType="separate"/>
    </w:r>
    <w:r w:rsidR="00ED1D90">
      <w:t>UNEP/</w:t>
    </w:r>
    <w:proofErr w:type="spellStart"/>
    <w:r w:rsidR="00ED1D90">
      <w:t>OzL.Pro</w:t>
    </w:r>
    <w:proofErr w:type="spellEnd"/>
    <w:r w:rsidR="00ED1D90">
      <w:t>/</w:t>
    </w:r>
    <w:proofErr w:type="spellStart"/>
    <w:r w:rsidR="00ED1D90">
      <w:t>ExCom</w:t>
    </w:r>
    <w:proofErr w:type="spellEnd"/>
    <w:r w:rsidR="00ED1D90">
      <w:t>/81/29</w:t>
    </w:r>
    <w:r>
      <w:fldChar w:fldCharType="end"/>
    </w:r>
  </w:p>
  <w:p w14:paraId="528B3C99" w14:textId="76D7F65E" w:rsidR="00ED1D90" w:rsidRDefault="00ED1D90">
    <w:r>
      <w:t>Annex II</w:t>
    </w:r>
  </w:p>
  <w:p w14:paraId="56135AA6" w14:textId="77777777" w:rsidR="00ED1D90" w:rsidRPr="0033525D" w:rsidRDefault="00ED1D90"/>
  <w:p w14:paraId="42A0990A" w14:textId="77777777" w:rsidR="00ED1D90" w:rsidRPr="0033525D" w:rsidRDefault="00ED1D90"/>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0E79" w14:textId="124F3D06" w:rsidR="00ED1D90" w:rsidRPr="0033525D" w:rsidRDefault="002378DF">
    <w:pPr>
      <w:jc w:val="right"/>
    </w:pPr>
    <w:r>
      <w:fldChar w:fldCharType="begin"/>
    </w:r>
    <w:r>
      <w:instrText xml:space="preserve"> DOCPROPERTY "Document number"  \* MERGEFORMAT </w:instrText>
    </w:r>
    <w:r>
      <w:fldChar w:fldCharType="separate"/>
    </w:r>
    <w:r w:rsidR="00ED1D90">
      <w:t>UNEP/</w:t>
    </w:r>
    <w:proofErr w:type="spellStart"/>
    <w:r w:rsidR="00ED1D90">
      <w:t>OzL.Pro</w:t>
    </w:r>
    <w:proofErr w:type="spellEnd"/>
    <w:r w:rsidR="00ED1D90">
      <w:t>/</w:t>
    </w:r>
    <w:proofErr w:type="spellStart"/>
    <w:r w:rsidR="00ED1D90">
      <w:t>ExCom</w:t>
    </w:r>
    <w:proofErr w:type="spellEnd"/>
    <w:r w:rsidR="00ED1D90">
      <w:t>/81/29</w:t>
    </w:r>
    <w:r>
      <w:fldChar w:fldCharType="end"/>
    </w:r>
  </w:p>
  <w:p w14:paraId="1FDBFBEB" w14:textId="10871082" w:rsidR="00ED1D90" w:rsidRDefault="00ED1D90" w:rsidP="00EA12B5">
    <w:pPr>
      <w:jc w:val="right"/>
    </w:pPr>
    <w:r>
      <w:t>Annex II</w:t>
    </w:r>
  </w:p>
  <w:p w14:paraId="28910A78" w14:textId="77777777" w:rsidR="00ED1D90" w:rsidRPr="0033525D" w:rsidRDefault="00ED1D90" w:rsidP="00EA12B5">
    <w:pPr>
      <w:jc w:val="right"/>
    </w:pPr>
  </w:p>
  <w:p w14:paraId="555C368B" w14:textId="77777777" w:rsidR="00ED1D90" w:rsidRPr="0033525D" w:rsidRDefault="00ED1D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4DC" w14:textId="417A396C" w:rsidR="00ED1D90" w:rsidRDefault="002378DF" w:rsidP="008A4C7A">
    <w:pPr>
      <w:jc w:val="right"/>
    </w:pPr>
    <w:r>
      <w:fldChar w:fldCharType="begin"/>
    </w:r>
    <w:r>
      <w:instrText xml:space="preserve"> DOCPROPERTY  "Document number"  \* MERGEFORMAT </w:instrText>
    </w:r>
    <w:r>
      <w:fldChar w:fldCharType="separate"/>
    </w:r>
    <w:r w:rsidR="00ED1D90">
      <w:t>UNEP/</w:t>
    </w:r>
    <w:proofErr w:type="spellStart"/>
    <w:r w:rsidR="00ED1D90">
      <w:t>OzL.Pro</w:t>
    </w:r>
    <w:proofErr w:type="spellEnd"/>
    <w:r w:rsidR="00ED1D90">
      <w:t>/</w:t>
    </w:r>
    <w:proofErr w:type="spellStart"/>
    <w:r w:rsidR="00ED1D90">
      <w:t>ExCom</w:t>
    </w:r>
    <w:proofErr w:type="spellEnd"/>
    <w:r w:rsidR="00ED1D90">
      <w:t>/81/29</w:t>
    </w:r>
    <w:r>
      <w:fldChar w:fldCharType="end"/>
    </w:r>
  </w:p>
  <w:p w14:paraId="7321033D" w14:textId="77777777" w:rsidR="00ED1D90" w:rsidRPr="0033525D" w:rsidRDefault="00ED1D90"/>
  <w:p w14:paraId="54863D29" w14:textId="77777777" w:rsidR="00ED1D90" w:rsidRPr="0033525D" w:rsidRDefault="00ED1D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6EA9" w14:textId="77777777" w:rsidR="002378DF" w:rsidRDefault="002378D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4789" w14:textId="77777777" w:rsidR="002378DF" w:rsidRDefault="002378DF" w:rsidP="002378DF">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/81/29</w:t>
    </w:r>
    <w:r>
      <w:fldChar w:fldCharType="end"/>
    </w:r>
  </w:p>
  <w:p w14:paraId="0F1AA762" w14:textId="77777777" w:rsidR="002378DF" w:rsidRDefault="002378D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89B9" w14:textId="6DFE0797" w:rsidR="00ED1D90" w:rsidRDefault="002378DF">
    <w:r>
      <w:fldChar w:fldCharType="begin"/>
    </w:r>
    <w:r>
      <w:instrText xml:space="preserve"> DOCPROPERTY  "Document number"  \* MERGEFORMAT </w:instrText>
    </w:r>
    <w:r>
      <w:fldChar w:fldCharType="separate"/>
    </w:r>
    <w:r w:rsidR="00ED1D90">
      <w:t>UNEP/</w:t>
    </w:r>
    <w:proofErr w:type="spellStart"/>
    <w:r w:rsidR="00ED1D90">
      <w:t>OzL.Pro</w:t>
    </w:r>
    <w:proofErr w:type="spellEnd"/>
    <w:r w:rsidR="00ED1D90">
      <w:t>/</w:t>
    </w:r>
    <w:proofErr w:type="spellStart"/>
    <w:r w:rsidR="00ED1D90">
      <w:t>ExCom</w:t>
    </w:r>
    <w:proofErr w:type="spellEnd"/>
    <w:r w:rsidR="00ED1D90">
      <w:t>/81/29</w:t>
    </w:r>
    <w:r>
      <w:fldChar w:fldCharType="end"/>
    </w:r>
  </w:p>
  <w:p w14:paraId="402C6E13" w14:textId="77777777" w:rsidR="00ED1D90" w:rsidRPr="0033525D" w:rsidRDefault="00ED1D90"/>
  <w:p w14:paraId="0387B003" w14:textId="77777777" w:rsidR="00ED1D90" w:rsidRPr="0033525D" w:rsidRDefault="00ED1D9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6F73" w14:textId="622605F4" w:rsidR="00ED1D90" w:rsidRDefault="002378DF" w:rsidP="008A4C7A">
    <w:pPr>
      <w:jc w:val="right"/>
    </w:pPr>
    <w:r>
      <w:fldChar w:fldCharType="begin"/>
    </w:r>
    <w:r>
      <w:instrText xml:space="preserve"> DOCPROPERTY  "Document number"  \* MERGEFORMAT </w:instrText>
    </w:r>
    <w:r>
      <w:fldChar w:fldCharType="separate"/>
    </w:r>
    <w:r w:rsidR="00ED1D90">
      <w:t>UNEP/</w:t>
    </w:r>
    <w:proofErr w:type="spellStart"/>
    <w:r w:rsidR="00ED1D90">
      <w:t>OzL.Pro</w:t>
    </w:r>
    <w:proofErr w:type="spellEnd"/>
    <w:r w:rsidR="00ED1D90">
      <w:t>/</w:t>
    </w:r>
    <w:proofErr w:type="spellStart"/>
    <w:r w:rsidR="00ED1D90">
      <w:t>ExCom</w:t>
    </w:r>
    <w:proofErr w:type="spellEnd"/>
    <w:r w:rsidR="00ED1D90">
      <w:t>/81/29</w:t>
    </w:r>
    <w:r>
      <w:fldChar w:fldCharType="end"/>
    </w:r>
  </w:p>
  <w:p w14:paraId="202C5AFB" w14:textId="77777777" w:rsidR="00ED1D90" w:rsidRPr="0033525D" w:rsidRDefault="00ED1D90" w:rsidP="008A4C7A">
    <w:pPr>
      <w:jc w:val="right"/>
    </w:pPr>
  </w:p>
  <w:p w14:paraId="60AB1E9B" w14:textId="77777777" w:rsidR="00ED1D90" w:rsidRPr="0033525D" w:rsidRDefault="00ED1D90">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9E6D" w14:textId="01A9CC03" w:rsidR="00ED1D90" w:rsidRDefault="00ED1D90" w:rsidP="002F1866">
    <w:pPr>
      <w:pStyle w:val="Header"/>
      <w:jc w:val="left"/>
    </w:pPr>
    <w:r w:rsidRPr="00E4749F">
      <w:t>UNEP/</w:t>
    </w:r>
    <w:proofErr w:type="spellStart"/>
    <w:r w:rsidRPr="00E4749F">
      <w:t>OzL.Pro</w:t>
    </w:r>
    <w:proofErr w:type="spellEnd"/>
    <w:r w:rsidRPr="00E4749F">
      <w:t>/</w:t>
    </w:r>
    <w:proofErr w:type="spellStart"/>
    <w:r w:rsidRPr="00E4749F">
      <w:t>ExCom</w:t>
    </w:r>
    <w:proofErr w:type="spellEnd"/>
    <w:r w:rsidRPr="00E4749F">
      <w:t>/81/29</w:t>
    </w:r>
  </w:p>
  <w:p w14:paraId="6A042F88" w14:textId="3E4B0826" w:rsidR="00ED1D90" w:rsidRDefault="00ED1D90" w:rsidP="002F1866">
    <w:pPr>
      <w:pStyle w:val="Header"/>
      <w:jc w:val="left"/>
    </w:pPr>
  </w:p>
  <w:p w14:paraId="5F8475D1" w14:textId="77777777" w:rsidR="00ED1D90" w:rsidRPr="00E4749F" w:rsidRDefault="00ED1D90" w:rsidP="002F1866">
    <w:pPr>
      <w:pStyle w:val="Header"/>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9726" w14:textId="4F24B365" w:rsidR="00ED1D90" w:rsidRDefault="00ED1D90" w:rsidP="002F1866">
    <w:pPr>
      <w:pStyle w:val="Header"/>
      <w:jc w:val="right"/>
    </w:pPr>
    <w:r w:rsidRPr="00E4749F">
      <w:t>UNEP/</w:t>
    </w:r>
    <w:proofErr w:type="spellStart"/>
    <w:r w:rsidRPr="00E4749F">
      <w:t>OzL.Pro</w:t>
    </w:r>
    <w:proofErr w:type="spellEnd"/>
    <w:r w:rsidRPr="00E4749F">
      <w:t>/</w:t>
    </w:r>
    <w:proofErr w:type="spellStart"/>
    <w:r w:rsidRPr="00E4749F">
      <w:t>ExCom</w:t>
    </w:r>
    <w:proofErr w:type="spellEnd"/>
    <w:r w:rsidRPr="00E4749F">
      <w:t>/81/29</w:t>
    </w:r>
  </w:p>
  <w:p w14:paraId="4E030FD1" w14:textId="177E27B1" w:rsidR="00ED1D90" w:rsidRDefault="00ED1D90" w:rsidP="002F1866">
    <w:pPr>
      <w:pStyle w:val="Header"/>
      <w:jc w:val="right"/>
    </w:pPr>
  </w:p>
  <w:p w14:paraId="5DC563BA" w14:textId="77777777" w:rsidR="00ED1D90" w:rsidRPr="00E4749F" w:rsidRDefault="00ED1D90" w:rsidP="002F1866">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F10A" w14:textId="77777777" w:rsidR="00ED1D90" w:rsidRDefault="00ED1D90" w:rsidP="002F1866">
    <w:pPr>
      <w:pStyle w:val="Header"/>
      <w:jc w:val="right"/>
    </w:pPr>
    <w:r w:rsidRPr="00E4749F">
      <w:t>UNEP/</w:t>
    </w:r>
    <w:proofErr w:type="spellStart"/>
    <w:r w:rsidRPr="00E4749F">
      <w:t>OzL.Pro</w:t>
    </w:r>
    <w:proofErr w:type="spellEnd"/>
    <w:r w:rsidRPr="00E4749F">
      <w:t>/</w:t>
    </w:r>
    <w:proofErr w:type="spellStart"/>
    <w:r w:rsidRPr="00E4749F">
      <w:t>ExCom</w:t>
    </w:r>
    <w:proofErr w:type="spellEnd"/>
    <w:r w:rsidRPr="00E4749F">
      <w:t>/81/29</w:t>
    </w:r>
  </w:p>
  <w:p w14:paraId="089BFF0D" w14:textId="77777777" w:rsidR="00ED1D90" w:rsidRDefault="00ED1D90" w:rsidP="002F1866">
    <w:pPr>
      <w:pStyle w:val="Header"/>
      <w:jc w:val="right"/>
    </w:pPr>
  </w:p>
  <w:p w14:paraId="63945748" w14:textId="6DDD437C" w:rsidR="00ED1D90" w:rsidRDefault="00ED1D90" w:rsidP="002F1866">
    <w:pPr>
      <w:pStyle w:val="Header"/>
      <w:jc w:val="right"/>
    </w:pPr>
  </w:p>
  <w:p w14:paraId="5C72D625" w14:textId="22BCB62F" w:rsidR="00ED1D90" w:rsidRDefault="00ED1D90" w:rsidP="002F1866">
    <w:pPr>
      <w:pStyle w:val="Header"/>
      <w:jc w:val="right"/>
    </w:pPr>
  </w:p>
  <w:p w14:paraId="3CA5F19B" w14:textId="0DD3AAB5" w:rsidR="00ED1D90" w:rsidRDefault="00ED1D90" w:rsidP="002F1866">
    <w:pPr>
      <w:pStyle w:val="Header"/>
      <w:jc w:val="right"/>
    </w:pPr>
  </w:p>
  <w:p w14:paraId="0C48A305" w14:textId="0F1BABBA" w:rsidR="00ED1D90" w:rsidRDefault="00ED1D90" w:rsidP="002F1866">
    <w:pPr>
      <w:pStyle w:val="Header"/>
      <w:jc w:val="right"/>
    </w:pPr>
  </w:p>
  <w:p w14:paraId="3397C9A6" w14:textId="77777777" w:rsidR="00ED1D90" w:rsidRPr="00E4749F" w:rsidRDefault="00ED1D90" w:rsidP="002F186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F94536E"/>
    <w:multiLevelType w:val="hybridMultilevel"/>
    <w:tmpl w:val="A164F196"/>
    <w:lvl w:ilvl="0" w:tplc="10090001">
      <w:start w:val="17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3D728A4"/>
    <w:multiLevelType w:val="hybridMultilevel"/>
    <w:tmpl w:val="CED09D3C"/>
    <w:lvl w:ilvl="0" w:tplc="428C5EC6">
      <w:start w:val="1"/>
      <w:numFmt w:val="lowerLetter"/>
      <w:lvlText w:val="(%1)"/>
      <w:lvlJc w:val="left"/>
      <w:pPr>
        <w:ind w:left="720" w:hanging="360"/>
      </w:pPr>
      <w:rPr>
        <w:rFonts w:ascii="Times New Roman" w:hAnsi="Times New Roman" w:hint="default"/>
        <w:b w:val="0"/>
        <w:bCs/>
        <w:i w:val="0"/>
        <w:strike w:val="0"/>
        <w:dstrike w:val="0"/>
        <w:color w:val="auto"/>
        <w:sz w:val="22"/>
        <w:szCs w:val="20"/>
        <w:u w:val="none" w:color="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D259DA"/>
    <w:multiLevelType w:val="hybridMultilevel"/>
    <w:tmpl w:val="93BAE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862DA6"/>
    <w:multiLevelType w:val="hybridMultilevel"/>
    <w:tmpl w:val="CC8A6CE6"/>
    <w:lvl w:ilvl="0" w:tplc="F692C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20"/>
  </w:num>
  <w:num w:numId="20">
    <w:abstractNumId w:val="13"/>
  </w:num>
  <w:num w:numId="21">
    <w:abstractNumId w:val="11"/>
  </w:num>
  <w:num w:numId="22">
    <w:abstractNumId w:val="2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19"/>
  </w:num>
  <w:num w:numId="28">
    <w:abstractNumId w:val="10"/>
    <w:lvlOverride w:ilvl="0">
      <w:startOverride w:val="1"/>
    </w:lvlOverride>
  </w:num>
  <w:num w:numId="29">
    <w:abstractNumId w:val="14"/>
  </w:num>
  <w:num w:numId="3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48787E"/>
    <w:rsid w:val="00000FED"/>
    <w:rsid w:val="000016A9"/>
    <w:rsid w:val="00002FE0"/>
    <w:rsid w:val="0000434E"/>
    <w:rsid w:val="0001415F"/>
    <w:rsid w:val="000211A9"/>
    <w:rsid w:val="00031260"/>
    <w:rsid w:val="0003681A"/>
    <w:rsid w:val="00057613"/>
    <w:rsid w:val="00061EC2"/>
    <w:rsid w:val="00080ED0"/>
    <w:rsid w:val="000847CE"/>
    <w:rsid w:val="00085B8F"/>
    <w:rsid w:val="00090481"/>
    <w:rsid w:val="000A6C26"/>
    <w:rsid w:val="000C6A20"/>
    <w:rsid w:val="000D1327"/>
    <w:rsid w:val="000E06B9"/>
    <w:rsid w:val="000E07BC"/>
    <w:rsid w:val="000F1CD4"/>
    <w:rsid w:val="000F4103"/>
    <w:rsid w:val="000F70A7"/>
    <w:rsid w:val="0010536D"/>
    <w:rsid w:val="00105DD1"/>
    <w:rsid w:val="00112F80"/>
    <w:rsid w:val="00114D0E"/>
    <w:rsid w:val="00122F25"/>
    <w:rsid w:val="001332D5"/>
    <w:rsid w:val="00135980"/>
    <w:rsid w:val="0013755C"/>
    <w:rsid w:val="00142468"/>
    <w:rsid w:val="00143E83"/>
    <w:rsid w:val="001645DE"/>
    <w:rsid w:val="00164719"/>
    <w:rsid w:val="00166FC4"/>
    <w:rsid w:val="001677AC"/>
    <w:rsid w:val="00167AA9"/>
    <w:rsid w:val="001738F4"/>
    <w:rsid w:val="001804EA"/>
    <w:rsid w:val="00181DEB"/>
    <w:rsid w:val="00190A61"/>
    <w:rsid w:val="001A3342"/>
    <w:rsid w:val="001A3E3D"/>
    <w:rsid w:val="001A7049"/>
    <w:rsid w:val="001B1E40"/>
    <w:rsid w:val="001C1D68"/>
    <w:rsid w:val="001C764E"/>
    <w:rsid w:val="001E073C"/>
    <w:rsid w:val="001E1052"/>
    <w:rsid w:val="001E21B1"/>
    <w:rsid w:val="001E2C9E"/>
    <w:rsid w:val="001E2F93"/>
    <w:rsid w:val="001E524C"/>
    <w:rsid w:val="001E61E5"/>
    <w:rsid w:val="001F0A13"/>
    <w:rsid w:val="001F2159"/>
    <w:rsid w:val="001F5C49"/>
    <w:rsid w:val="00214863"/>
    <w:rsid w:val="002156B4"/>
    <w:rsid w:val="00221931"/>
    <w:rsid w:val="00227187"/>
    <w:rsid w:val="0023482F"/>
    <w:rsid w:val="002378DF"/>
    <w:rsid w:val="00246E97"/>
    <w:rsid w:val="00253222"/>
    <w:rsid w:val="0025453C"/>
    <w:rsid w:val="002548B3"/>
    <w:rsid w:val="00262847"/>
    <w:rsid w:val="00281025"/>
    <w:rsid w:val="00281BB2"/>
    <w:rsid w:val="0029036E"/>
    <w:rsid w:val="00294125"/>
    <w:rsid w:val="002B72E9"/>
    <w:rsid w:val="002C4909"/>
    <w:rsid w:val="002C6BFF"/>
    <w:rsid w:val="002C7998"/>
    <w:rsid w:val="002D202C"/>
    <w:rsid w:val="002E089F"/>
    <w:rsid w:val="002E7591"/>
    <w:rsid w:val="002E7E89"/>
    <w:rsid w:val="002F1866"/>
    <w:rsid w:val="002F1E53"/>
    <w:rsid w:val="002F2CAA"/>
    <w:rsid w:val="0030052C"/>
    <w:rsid w:val="003306E1"/>
    <w:rsid w:val="003320E4"/>
    <w:rsid w:val="0033525D"/>
    <w:rsid w:val="00337005"/>
    <w:rsid w:val="003414F3"/>
    <w:rsid w:val="00344C13"/>
    <w:rsid w:val="00346D3D"/>
    <w:rsid w:val="0035613E"/>
    <w:rsid w:val="00361E41"/>
    <w:rsid w:val="00363EE9"/>
    <w:rsid w:val="00365D29"/>
    <w:rsid w:val="00366AC3"/>
    <w:rsid w:val="00366CE1"/>
    <w:rsid w:val="0037292A"/>
    <w:rsid w:val="00376128"/>
    <w:rsid w:val="0037742E"/>
    <w:rsid w:val="0038245A"/>
    <w:rsid w:val="00385CFC"/>
    <w:rsid w:val="00392D52"/>
    <w:rsid w:val="0039337A"/>
    <w:rsid w:val="003A03C2"/>
    <w:rsid w:val="003A3189"/>
    <w:rsid w:val="003B33BD"/>
    <w:rsid w:val="003B569D"/>
    <w:rsid w:val="003B5F51"/>
    <w:rsid w:val="003C3C0E"/>
    <w:rsid w:val="003C4E04"/>
    <w:rsid w:val="003D1426"/>
    <w:rsid w:val="003D4FAC"/>
    <w:rsid w:val="003D70E0"/>
    <w:rsid w:val="003E3435"/>
    <w:rsid w:val="003E7906"/>
    <w:rsid w:val="003E7A99"/>
    <w:rsid w:val="003F1EA6"/>
    <w:rsid w:val="003F3C50"/>
    <w:rsid w:val="003F3F0B"/>
    <w:rsid w:val="00400152"/>
    <w:rsid w:val="00400715"/>
    <w:rsid w:val="00406A6A"/>
    <w:rsid w:val="00406B22"/>
    <w:rsid w:val="00407F13"/>
    <w:rsid w:val="00412B77"/>
    <w:rsid w:val="00416BAC"/>
    <w:rsid w:val="00421720"/>
    <w:rsid w:val="00421DC9"/>
    <w:rsid w:val="00425051"/>
    <w:rsid w:val="00426D61"/>
    <w:rsid w:val="004328A7"/>
    <w:rsid w:val="00434C74"/>
    <w:rsid w:val="00445395"/>
    <w:rsid w:val="00456EB4"/>
    <w:rsid w:val="00461E3C"/>
    <w:rsid w:val="004718F3"/>
    <w:rsid w:val="00472301"/>
    <w:rsid w:val="00475040"/>
    <w:rsid w:val="00482403"/>
    <w:rsid w:val="00486261"/>
    <w:rsid w:val="0048787E"/>
    <w:rsid w:val="00490614"/>
    <w:rsid w:val="00493D40"/>
    <w:rsid w:val="004967B6"/>
    <w:rsid w:val="004A504B"/>
    <w:rsid w:val="004A6911"/>
    <w:rsid w:val="004B0BDE"/>
    <w:rsid w:val="004B54E0"/>
    <w:rsid w:val="004B7384"/>
    <w:rsid w:val="004C0CE3"/>
    <w:rsid w:val="004C15AC"/>
    <w:rsid w:val="004C4269"/>
    <w:rsid w:val="004C60AD"/>
    <w:rsid w:val="004D221E"/>
    <w:rsid w:val="004D6236"/>
    <w:rsid w:val="004D69BD"/>
    <w:rsid w:val="004E3412"/>
    <w:rsid w:val="004E4DBB"/>
    <w:rsid w:val="004E4E41"/>
    <w:rsid w:val="004E7F9C"/>
    <w:rsid w:val="004F3493"/>
    <w:rsid w:val="004F3BB5"/>
    <w:rsid w:val="004F5143"/>
    <w:rsid w:val="004F739B"/>
    <w:rsid w:val="0050254C"/>
    <w:rsid w:val="00512B09"/>
    <w:rsid w:val="00523DFB"/>
    <w:rsid w:val="005243B9"/>
    <w:rsid w:val="00532805"/>
    <w:rsid w:val="00543596"/>
    <w:rsid w:val="00546503"/>
    <w:rsid w:val="005478B3"/>
    <w:rsid w:val="00555D75"/>
    <w:rsid w:val="00560DF0"/>
    <w:rsid w:val="0056311B"/>
    <w:rsid w:val="0056759C"/>
    <w:rsid w:val="0059513E"/>
    <w:rsid w:val="00597EC3"/>
    <w:rsid w:val="005A3C79"/>
    <w:rsid w:val="005A5297"/>
    <w:rsid w:val="005A727C"/>
    <w:rsid w:val="005B48FF"/>
    <w:rsid w:val="005D0C02"/>
    <w:rsid w:val="005E1D2F"/>
    <w:rsid w:val="005F19E8"/>
    <w:rsid w:val="005F24D4"/>
    <w:rsid w:val="0060285B"/>
    <w:rsid w:val="00604C15"/>
    <w:rsid w:val="006158D5"/>
    <w:rsid w:val="00625D83"/>
    <w:rsid w:val="00636C93"/>
    <w:rsid w:val="006623C9"/>
    <w:rsid w:val="006623E7"/>
    <w:rsid w:val="00662B80"/>
    <w:rsid w:val="006670D5"/>
    <w:rsid w:val="00670F6C"/>
    <w:rsid w:val="00676059"/>
    <w:rsid w:val="00681BA3"/>
    <w:rsid w:val="006852C7"/>
    <w:rsid w:val="006906B4"/>
    <w:rsid w:val="00697FBF"/>
    <w:rsid w:val="006A1DC9"/>
    <w:rsid w:val="006A3117"/>
    <w:rsid w:val="006B65E8"/>
    <w:rsid w:val="006C1202"/>
    <w:rsid w:val="006C1727"/>
    <w:rsid w:val="006C32FD"/>
    <w:rsid w:val="006C39CE"/>
    <w:rsid w:val="006D0FCC"/>
    <w:rsid w:val="006E1604"/>
    <w:rsid w:val="006E1FC3"/>
    <w:rsid w:val="006E28BC"/>
    <w:rsid w:val="006F2F19"/>
    <w:rsid w:val="006F387D"/>
    <w:rsid w:val="0070616B"/>
    <w:rsid w:val="00706FDA"/>
    <w:rsid w:val="007114CB"/>
    <w:rsid w:val="00711F9A"/>
    <w:rsid w:val="00713810"/>
    <w:rsid w:val="00715B93"/>
    <w:rsid w:val="007303A5"/>
    <w:rsid w:val="00730B3E"/>
    <w:rsid w:val="007311F2"/>
    <w:rsid w:val="0073420B"/>
    <w:rsid w:val="0074760E"/>
    <w:rsid w:val="007521D3"/>
    <w:rsid w:val="00754ABA"/>
    <w:rsid w:val="00764CE7"/>
    <w:rsid w:val="007762EE"/>
    <w:rsid w:val="00784F17"/>
    <w:rsid w:val="007978A3"/>
    <w:rsid w:val="007A1546"/>
    <w:rsid w:val="007A228C"/>
    <w:rsid w:val="007A368E"/>
    <w:rsid w:val="007A5868"/>
    <w:rsid w:val="007B04CE"/>
    <w:rsid w:val="007B61FD"/>
    <w:rsid w:val="007B6871"/>
    <w:rsid w:val="007B7A2F"/>
    <w:rsid w:val="007C3D33"/>
    <w:rsid w:val="007C6FDD"/>
    <w:rsid w:val="007D294A"/>
    <w:rsid w:val="007D47D2"/>
    <w:rsid w:val="007D6EC0"/>
    <w:rsid w:val="007D709E"/>
    <w:rsid w:val="007D7E1D"/>
    <w:rsid w:val="008173EE"/>
    <w:rsid w:val="00820321"/>
    <w:rsid w:val="00823414"/>
    <w:rsid w:val="00831979"/>
    <w:rsid w:val="00851352"/>
    <w:rsid w:val="00863230"/>
    <w:rsid w:val="00866373"/>
    <w:rsid w:val="008717D8"/>
    <w:rsid w:val="0087215C"/>
    <w:rsid w:val="00874A8E"/>
    <w:rsid w:val="00881319"/>
    <w:rsid w:val="008875FE"/>
    <w:rsid w:val="00887F8E"/>
    <w:rsid w:val="00896234"/>
    <w:rsid w:val="00897E43"/>
    <w:rsid w:val="008A4C7A"/>
    <w:rsid w:val="008B050C"/>
    <w:rsid w:val="008B3FE1"/>
    <w:rsid w:val="008C17F3"/>
    <w:rsid w:val="008C5738"/>
    <w:rsid w:val="008C5F73"/>
    <w:rsid w:val="008C7EAD"/>
    <w:rsid w:val="008D03C8"/>
    <w:rsid w:val="008D0CFE"/>
    <w:rsid w:val="008D6152"/>
    <w:rsid w:val="008F0F81"/>
    <w:rsid w:val="008F27BF"/>
    <w:rsid w:val="008F49E1"/>
    <w:rsid w:val="008F6A22"/>
    <w:rsid w:val="00901D41"/>
    <w:rsid w:val="00902FCA"/>
    <w:rsid w:val="00903E4F"/>
    <w:rsid w:val="009142EC"/>
    <w:rsid w:val="009154C3"/>
    <w:rsid w:val="00923540"/>
    <w:rsid w:val="00926767"/>
    <w:rsid w:val="009361D5"/>
    <w:rsid w:val="009428A4"/>
    <w:rsid w:val="00944FDA"/>
    <w:rsid w:val="009455F9"/>
    <w:rsid w:val="0095331E"/>
    <w:rsid w:val="0096299D"/>
    <w:rsid w:val="009659F4"/>
    <w:rsid w:val="00970D60"/>
    <w:rsid w:val="00972845"/>
    <w:rsid w:val="0097665E"/>
    <w:rsid w:val="00992D63"/>
    <w:rsid w:val="009960E5"/>
    <w:rsid w:val="009A7ADC"/>
    <w:rsid w:val="009C19B7"/>
    <w:rsid w:val="009C7943"/>
    <w:rsid w:val="009D4E47"/>
    <w:rsid w:val="009D6B2D"/>
    <w:rsid w:val="009D7C51"/>
    <w:rsid w:val="009E00AF"/>
    <w:rsid w:val="009E21BD"/>
    <w:rsid w:val="009F02E8"/>
    <w:rsid w:val="009F13B5"/>
    <w:rsid w:val="009F36BF"/>
    <w:rsid w:val="009F45CA"/>
    <w:rsid w:val="00A00CCB"/>
    <w:rsid w:val="00A01746"/>
    <w:rsid w:val="00A01D5F"/>
    <w:rsid w:val="00A111B6"/>
    <w:rsid w:val="00A16A8C"/>
    <w:rsid w:val="00A16F27"/>
    <w:rsid w:val="00A26D27"/>
    <w:rsid w:val="00A3312E"/>
    <w:rsid w:val="00A376EE"/>
    <w:rsid w:val="00A42A99"/>
    <w:rsid w:val="00A5151A"/>
    <w:rsid w:val="00A54392"/>
    <w:rsid w:val="00A56A45"/>
    <w:rsid w:val="00A57E0A"/>
    <w:rsid w:val="00A673B3"/>
    <w:rsid w:val="00A823F6"/>
    <w:rsid w:val="00A90AD1"/>
    <w:rsid w:val="00AA0A89"/>
    <w:rsid w:val="00AA5A06"/>
    <w:rsid w:val="00AA6429"/>
    <w:rsid w:val="00AA74EB"/>
    <w:rsid w:val="00AC01AA"/>
    <w:rsid w:val="00AC1722"/>
    <w:rsid w:val="00AC21B7"/>
    <w:rsid w:val="00AC4F72"/>
    <w:rsid w:val="00AE2BB4"/>
    <w:rsid w:val="00AF741A"/>
    <w:rsid w:val="00B01ADB"/>
    <w:rsid w:val="00B04161"/>
    <w:rsid w:val="00B056F9"/>
    <w:rsid w:val="00B11E3D"/>
    <w:rsid w:val="00B17CD1"/>
    <w:rsid w:val="00B17E82"/>
    <w:rsid w:val="00B251D7"/>
    <w:rsid w:val="00B4575A"/>
    <w:rsid w:val="00B543C8"/>
    <w:rsid w:val="00B575BA"/>
    <w:rsid w:val="00B75955"/>
    <w:rsid w:val="00B76429"/>
    <w:rsid w:val="00B80486"/>
    <w:rsid w:val="00B91797"/>
    <w:rsid w:val="00B956D4"/>
    <w:rsid w:val="00B97446"/>
    <w:rsid w:val="00BA2D58"/>
    <w:rsid w:val="00BA5CC5"/>
    <w:rsid w:val="00BA7432"/>
    <w:rsid w:val="00BC1AA0"/>
    <w:rsid w:val="00BC2495"/>
    <w:rsid w:val="00BC7EB9"/>
    <w:rsid w:val="00BD2293"/>
    <w:rsid w:val="00BD2643"/>
    <w:rsid w:val="00BD53DA"/>
    <w:rsid w:val="00BD56B1"/>
    <w:rsid w:val="00BD6558"/>
    <w:rsid w:val="00BE1161"/>
    <w:rsid w:val="00BF3022"/>
    <w:rsid w:val="00BF3214"/>
    <w:rsid w:val="00BF5573"/>
    <w:rsid w:val="00C01AFE"/>
    <w:rsid w:val="00C15867"/>
    <w:rsid w:val="00C2296D"/>
    <w:rsid w:val="00C23155"/>
    <w:rsid w:val="00C240D1"/>
    <w:rsid w:val="00C25D30"/>
    <w:rsid w:val="00C32702"/>
    <w:rsid w:val="00C40C41"/>
    <w:rsid w:val="00C45885"/>
    <w:rsid w:val="00C50F22"/>
    <w:rsid w:val="00C57971"/>
    <w:rsid w:val="00C62DF9"/>
    <w:rsid w:val="00C640CD"/>
    <w:rsid w:val="00C64D5A"/>
    <w:rsid w:val="00C66973"/>
    <w:rsid w:val="00C74E4D"/>
    <w:rsid w:val="00C76BA4"/>
    <w:rsid w:val="00C83A48"/>
    <w:rsid w:val="00C85865"/>
    <w:rsid w:val="00C85E85"/>
    <w:rsid w:val="00C900E9"/>
    <w:rsid w:val="00C93410"/>
    <w:rsid w:val="00CA2468"/>
    <w:rsid w:val="00CA2EAE"/>
    <w:rsid w:val="00CA4AC1"/>
    <w:rsid w:val="00CB0316"/>
    <w:rsid w:val="00CB0B11"/>
    <w:rsid w:val="00CB115F"/>
    <w:rsid w:val="00CB1849"/>
    <w:rsid w:val="00CB33AC"/>
    <w:rsid w:val="00CB5354"/>
    <w:rsid w:val="00CC6A14"/>
    <w:rsid w:val="00CC6F75"/>
    <w:rsid w:val="00CC70A3"/>
    <w:rsid w:val="00CC74E3"/>
    <w:rsid w:val="00CD1497"/>
    <w:rsid w:val="00CD4442"/>
    <w:rsid w:val="00CD53C3"/>
    <w:rsid w:val="00CD574E"/>
    <w:rsid w:val="00CE0281"/>
    <w:rsid w:val="00CE0D2B"/>
    <w:rsid w:val="00CE3742"/>
    <w:rsid w:val="00CE44B5"/>
    <w:rsid w:val="00CE4C22"/>
    <w:rsid w:val="00CF0F90"/>
    <w:rsid w:val="00CF41EC"/>
    <w:rsid w:val="00CF5792"/>
    <w:rsid w:val="00CF5D04"/>
    <w:rsid w:val="00D0066A"/>
    <w:rsid w:val="00D0473B"/>
    <w:rsid w:val="00D04DE4"/>
    <w:rsid w:val="00D063F1"/>
    <w:rsid w:val="00D14F22"/>
    <w:rsid w:val="00D200A6"/>
    <w:rsid w:val="00D2582E"/>
    <w:rsid w:val="00D3240B"/>
    <w:rsid w:val="00D446DB"/>
    <w:rsid w:val="00D57918"/>
    <w:rsid w:val="00D73DC6"/>
    <w:rsid w:val="00D74C1A"/>
    <w:rsid w:val="00D754C1"/>
    <w:rsid w:val="00D77393"/>
    <w:rsid w:val="00D77A35"/>
    <w:rsid w:val="00D81B3E"/>
    <w:rsid w:val="00D85D10"/>
    <w:rsid w:val="00D8754C"/>
    <w:rsid w:val="00D90C70"/>
    <w:rsid w:val="00D90E49"/>
    <w:rsid w:val="00D96ADE"/>
    <w:rsid w:val="00DA12F9"/>
    <w:rsid w:val="00DA1D06"/>
    <w:rsid w:val="00DB471D"/>
    <w:rsid w:val="00DB4866"/>
    <w:rsid w:val="00DC2CD1"/>
    <w:rsid w:val="00DC6A10"/>
    <w:rsid w:val="00DD25D3"/>
    <w:rsid w:val="00DE188C"/>
    <w:rsid w:val="00DE657E"/>
    <w:rsid w:val="00DF0DE7"/>
    <w:rsid w:val="00DF4704"/>
    <w:rsid w:val="00E024AA"/>
    <w:rsid w:val="00E06CFD"/>
    <w:rsid w:val="00E14C6B"/>
    <w:rsid w:val="00E250F1"/>
    <w:rsid w:val="00E3550D"/>
    <w:rsid w:val="00E446ED"/>
    <w:rsid w:val="00E518FC"/>
    <w:rsid w:val="00E5605B"/>
    <w:rsid w:val="00E614E0"/>
    <w:rsid w:val="00E73F7F"/>
    <w:rsid w:val="00E82CEB"/>
    <w:rsid w:val="00E85409"/>
    <w:rsid w:val="00E86442"/>
    <w:rsid w:val="00EA12B5"/>
    <w:rsid w:val="00EA429F"/>
    <w:rsid w:val="00EA4F9E"/>
    <w:rsid w:val="00EA63CA"/>
    <w:rsid w:val="00EA6D3B"/>
    <w:rsid w:val="00EB00AD"/>
    <w:rsid w:val="00EB136C"/>
    <w:rsid w:val="00EB3642"/>
    <w:rsid w:val="00EB480E"/>
    <w:rsid w:val="00EB5EC6"/>
    <w:rsid w:val="00EB7FC9"/>
    <w:rsid w:val="00ED1D90"/>
    <w:rsid w:val="00ED27E8"/>
    <w:rsid w:val="00ED7137"/>
    <w:rsid w:val="00ED7873"/>
    <w:rsid w:val="00EE169C"/>
    <w:rsid w:val="00EF488D"/>
    <w:rsid w:val="00EF4A31"/>
    <w:rsid w:val="00F21088"/>
    <w:rsid w:val="00F246F9"/>
    <w:rsid w:val="00F327E7"/>
    <w:rsid w:val="00F35746"/>
    <w:rsid w:val="00F35DE2"/>
    <w:rsid w:val="00F36BF7"/>
    <w:rsid w:val="00F4015C"/>
    <w:rsid w:val="00F447C7"/>
    <w:rsid w:val="00F554A9"/>
    <w:rsid w:val="00F6179B"/>
    <w:rsid w:val="00F67E27"/>
    <w:rsid w:val="00F716FD"/>
    <w:rsid w:val="00F801C2"/>
    <w:rsid w:val="00F80355"/>
    <w:rsid w:val="00F81C8E"/>
    <w:rsid w:val="00F83587"/>
    <w:rsid w:val="00F92297"/>
    <w:rsid w:val="00F9472A"/>
    <w:rsid w:val="00F9642F"/>
    <w:rsid w:val="00FA37FE"/>
    <w:rsid w:val="00FA642F"/>
    <w:rsid w:val="00FA7157"/>
    <w:rsid w:val="00FB0C81"/>
    <w:rsid w:val="00FB70F5"/>
    <w:rsid w:val="00FC2200"/>
    <w:rsid w:val="00FC2540"/>
    <w:rsid w:val="00FC5200"/>
    <w:rsid w:val="00FC5EF7"/>
    <w:rsid w:val="00FD0D4E"/>
    <w:rsid w:val="00FE409B"/>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9A2818D"/>
  <w15:docId w15:val="{A10410BE-E912-4DBD-AF11-259CC818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8787E"/>
    <w:rPr>
      <w:sz w:val="22"/>
      <w:szCs w:val="22"/>
      <w:lang w:val="en-GB"/>
    </w:rPr>
  </w:style>
  <w:style w:type="character" w:styleId="FootnoteReference">
    <w:name w:val="footnote reference"/>
    <w:basedOn w:val="DefaultParagraphFont"/>
    <w:uiPriority w:val="99"/>
    <w:unhideWhenUsed/>
    <w:rsid w:val="0048787E"/>
    <w:rPr>
      <w:vertAlign w:val="superscript"/>
    </w:rPr>
  </w:style>
  <w:style w:type="paragraph" w:styleId="ListParagraph">
    <w:name w:val="List Paragraph"/>
    <w:basedOn w:val="Normal"/>
    <w:uiPriority w:val="34"/>
    <w:qFormat/>
    <w:rsid w:val="0048787E"/>
    <w:pPr>
      <w:ind w:left="720"/>
      <w:contextualSpacing/>
    </w:pPr>
  </w:style>
  <w:style w:type="character" w:customStyle="1" w:styleId="FooterChar">
    <w:name w:val="Footer Char"/>
    <w:basedOn w:val="DefaultParagraphFont"/>
    <w:link w:val="Footer"/>
    <w:uiPriority w:val="99"/>
    <w:rsid w:val="008A4C7A"/>
    <w:rPr>
      <w:sz w:val="22"/>
      <w:szCs w:val="22"/>
      <w:lang w:val="en-GB"/>
    </w:rPr>
  </w:style>
  <w:style w:type="character" w:customStyle="1" w:styleId="HeaderChar">
    <w:name w:val="Header Char"/>
    <w:basedOn w:val="DefaultParagraphFont"/>
    <w:link w:val="Header"/>
    <w:rsid w:val="008A4C7A"/>
    <w:rPr>
      <w:sz w:val="22"/>
      <w:szCs w:val="22"/>
      <w:lang w:val="en-GB"/>
    </w:rPr>
  </w:style>
  <w:style w:type="paragraph" w:styleId="FootnoteText">
    <w:name w:val="footnote text"/>
    <w:aliases w:val="Char1,Char1 Char Char, Char1, Char1 Char Char"/>
    <w:basedOn w:val="Normal"/>
    <w:link w:val="FootnoteTextChar"/>
    <w:uiPriority w:val="99"/>
    <w:unhideWhenUsed/>
    <w:qFormat/>
    <w:rsid w:val="008A4C7A"/>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8A4C7A"/>
    <w:rPr>
      <w:lang w:val="en-GB"/>
    </w:rPr>
  </w:style>
  <w:style w:type="character" w:styleId="Emphasis">
    <w:name w:val="Emphasis"/>
    <w:basedOn w:val="DefaultParagraphFont"/>
    <w:uiPriority w:val="20"/>
    <w:qFormat/>
    <w:rsid w:val="00881319"/>
    <w:rPr>
      <w:i/>
      <w:iCs/>
    </w:rPr>
  </w:style>
  <w:style w:type="paragraph" w:styleId="Revision">
    <w:name w:val="Revision"/>
    <w:hidden/>
    <w:uiPriority w:val="99"/>
    <w:semiHidden/>
    <w:rsid w:val="00881319"/>
    <w:rPr>
      <w:sz w:val="22"/>
      <w:szCs w:val="22"/>
      <w:lang w:val="en-GB"/>
    </w:rPr>
  </w:style>
  <w:style w:type="table" w:customStyle="1" w:styleId="TableGrid10">
    <w:name w:val="Table Grid1"/>
    <w:basedOn w:val="TableNormal"/>
    <w:next w:val="TableGrid"/>
    <w:rsid w:val="0001415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F19"/>
    <w:rPr>
      <w:color w:val="0000FF" w:themeColor="hyperlink"/>
      <w:u w:val="single"/>
    </w:rPr>
  </w:style>
  <w:style w:type="paragraph" w:customStyle="1" w:styleId="Footer1">
    <w:name w:val="Footer1"/>
    <w:basedOn w:val="Normal"/>
    <w:rsid w:val="00AA5A06"/>
    <w:pPr>
      <w:widowControl w:val="0"/>
      <w:tabs>
        <w:tab w:val="center" w:pos="4320"/>
        <w:tab w:val="right" w:pos="8640"/>
        <w:tab w:val="left" w:pos="9000"/>
      </w:tabs>
      <w:jc w:val="left"/>
    </w:pPr>
    <w:rPr>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59910">
      <w:bodyDiv w:val="1"/>
      <w:marLeft w:val="0"/>
      <w:marRight w:val="0"/>
      <w:marTop w:val="0"/>
      <w:marBottom w:val="0"/>
      <w:divBdr>
        <w:top w:val="none" w:sz="0" w:space="0" w:color="auto"/>
        <w:left w:val="none" w:sz="0" w:space="0" w:color="auto"/>
        <w:bottom w:val="none" w:sz="0" w:space="0" w:color="auto"/>
        <w:right w:val="none" w:sz="0" w:space="0" w:color="auto"/>
      </w:divBdr>
    </w:div>
    <w:div w:id="972448394">
      <w:bodyDiv w:val="1"/>
      <w:marLeft w:val="0"/>
      <w:marRight w:val="0"/>
      <w:marTop w:val="0"/>
      <w:marBottom w:val="0"/>
      <w:divBdr>
        <w:top w:val="none" w:sz="0" w:space="0" w:color="auto"/>
        <w:left w:val="none" w:sz="0" w:space="0" w:color="auto"/>
        <w:bottom w:val="none" w:sz="0" w:space="0" w:color="auto"/>
        <w:right w:val="none" w:sz="0" w:space="0" w:color="auto"/>
      </w:divBdr>
    </w:div>
    <w:div w:id="1251040126">
      <w:bodyDiv w:val="1"/>
      <w:marLeft w:val="0"/>
      <w:marRight w:val="0"/>
      <w:marTop w:val="0"/>
      <w:marBottom w:val="0"/>
      <w:divBdr>
        <w:top w:val="none" w:sz="0" w:space="0" w:color="auto"/>
        <w:left w:val="none" w:sz="0" w:space="0" w:color="auto"/>
        <w:bottom w:val="none" w:sz="0" w:space="0" w:color="auto"/>
        <w:right w:val="none" w:sz="0" w:space="0" w:color="auto"/>
      </w:divBdr>
    </w:div>
    <w:div w:id="179675044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853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0" Type="http://schemas.openxmlformats.org/officeDocument/2006/relationships/footer" Target="footer5.xm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ultilateralfund.org/implementingagencies/IACM2018-1/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UNEP/OzL.Pro/ExCom/81/29</Document_x0020_Number>
    <DocumentType xmlns="64e33b30-101d-41de-b951-961aab25ea29">Pre-session</DocumentType>
    <Format xmlns="c41b18c7-297f-4c27-85f0-8b52ca6c4730">Word</Format>
    <Language xmlns="c41b18c7-297f-4c27-85f0-8b52ca6c4730">English</Language>
  </documentManagement>
</p:properties>
</file>

<file path=customXml/itemProps1.xml><?xml version="1.0" encoding="utf-8"?>
<ds:datastoreItem xmlns:ds="http://schemas.openxmlformats.org/officeDocument/2006/customXml" ds:itemID="{0706D601-A46B-41ED-9E76-EF3AA55B2D81}"/>
</file>

<file path=customXml/itemProps2.xml><?xml version="1.0" encoding="utf-8"?>
<ds:datastoreItem xmlns:ds="http://schemas.openxmlformats.org/officeDocument/2006/customXml" ds:itemID="{6A5A755E-70AC-4FD4-A226-1ADA35D50C11}"/>
</file>

<file path=customXml/itemProps3.xml><?xml version="1.0" encoding="utf-8"?>
<ds:datastoreItem xmlns:ds="http://schemas.openxmlformats.org/officeDocument/2006/customXml" ds:itemID="{80325C9E-4BB0-469B-8D03-A2884B9101BE}"/>
</file>

<file path=customXml/itemProps4.xml><?xml version="1.0" encoding="utf-8"?>
<ds:datastoreItem xmlns:ds="http://schemas.openxmlformats.org/officeDocument/2006/customXml" ds:itemID="{2DCF653A-C274-4104-84F8-3D9793C21A06}"/>
</file>

<file path=docProps/app.xml><?xml version="1.0" encoding="utf-8"?>
<Properties xmlns="http://schemas.openxmlformats.org/officeDocument/2006/extended-properties" xmlns:vt="http://schemas.openxmlformats.org/officeDocument/2006/docPropsVTypes">
  <Template>Eec80G</Template>
  <TotalTime>420</TotalTime>
  <Pages>49</Pages>
  <Words>20038</Words>
  <Characters>110747</Characters>
  <Application>Microsoft Office Word</Application>
  <DocSecurity>0</DocSecurity>
  <Lines>922</Lines>
  <Paragraphs>261</Paragraphs>
  <ScaleCrop>false</ScaleCrop>
  <HeadingPairs>
    <vt:vector size="2" baseType="variant">
      <vt:variant>
        <vt:lpstr>Title</vt:lpstr>
      </vt:variant>
      <vt:variant>
        <vt:i4>1</vt:i4>
      </vt:variant>
    </vt:vector>
  </HeadingPairs>
  <TitlesOfParts>
    <vt:vector size="1" baseType="lpstr">
      <vt:lpstr>Project proposals: China</vt:lpstr>
    </vt:vector>
  </TitlesOfParts>
  <Company/>
  <LinksUpToDate>false</LinksUpToDate>
  <CharactersWithSpaces>130524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China</dc:title>
  <dc:subject>81st</dc:subject>
  <dc:creator>Ico San Martini</dc:creator>
  <cp:keywords/>
  <dc:description/>
  <cp:lastModifiedBy>Elina Yuen</cp:lastModifiedBy>
  <cp:revision>13</cp:revision>
  <cp:lastPrinted>2018-01-26T23:01:00Z</cp:lastPrinted>
  <dcterms:created xsi:type="dcterms:W3CDTF">2018-05-19T12:59:00Z</dcterms:created>
  <dcterms:modified xsi:type="dcterms:W3CDTF">2018-06-01T23:02:00Z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UNEP/OzL.Pro/ExCom/81/29</vt:lpwstr>
  </property>
  <property fmtid="{D5CDD505-2E9C-101B-9397-08002B2CF9AE}" pid="3" name="Revision date">
    <vt:lpwstr>6/1/2018</vt:lpwstr>
  </property>
  <property fmtid="{D5CDD505-2E9C-101B-9397-08002B2CF9AE}" pid="4" name="ContentTypeId">
    <vt:lpwstr>0x0101004B13B1B27BA23146A32B327DDC69C6DE</vt:lpwstr>
  </property>
</Properties>
</file>